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256" w:rsidR="005E714A" w:rsidP="00F06866" w:rsidRDefault="00F06866" w14:paraId="2747B776" w14:textId="77777777">
      <w:pPr>
        <w:pStyle w:val="Heading2"/>
        <w:tabs>
          <w:tab w:val="left" w:pos="900"/>
        </w:tabs>
        <w:ind w:right="-180"/>
      </w:pPr>
      <w:r w:rsidRPr="00652256">
        <w:t>Request</w:t>
      </w:r>
      <w:bookmarkStart w:name="_GoBack" w:id="0"/>
      <w:bookmarkEnd w:id="0"/>
      <w:r w:rsidRPr="00652256">
        <w:t xml:space="preserve"> for Approval under the “Generic Clearance for the Collection of Routine Customer Feedback” (OMB Control Number: </w:t>
      </w:r>
      <w:r w:rsidRPr="00652256" w:rsidR="00994746">
        <w:t>1651-0136</w:t>
      </w:r>
      <w:r w:rsidRPr="00652256">
        <w:t>)</w:t>
      </w:r>
    </w:p>
    <w:p w:rsidRPr="008D44F8" w:rsidR="00452C79" w:rsidP="00452C79" w:rsidRDefault="00376933" w14:paraId="0555E6A3" w14:textId="77777777">
      <w:pPr>
        <w:pStyle w:val="Header"/>
        <w:rPr>
          <w:b/>
          <w:i/>
          <w:color w:val="FF0000"/>
          <w:sz w:val="32"/>
          <w:szCs w:val="22"/>
        </w:rPr>
      </w:pPr>
      <w:r>
        <w:rPr>
          <w:b/>
          <w:noProof/>
        </w:rPr>
        <mc:AlternateContent>
          <mc:Choice Requires="wps">
            <w:drawing>
              <wp:anchor distT="0" distB="0" distL="114300" distR="114300" simplePos="0" relativeHeight="251657728" behindDoc="0" locked="0" layoutInCell="0" allowOverlap="1" wp14:editId="5ADC723E" wp14:anchorId="46A24922">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904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9079A4">
        <w:t xml:space="preserve">Traveler Satisfaction Survey </w:t>
      </w:r>
    </w:p>
    <w:p w:rsidR="005E714A" w:rsidRDefault="005E714A" w14:paraId="4B7DBA9B" w14:textId="77777777"/>
    <w:p w:rsidR="00C8488C" w:rsidP="00652256" w:rsidRDefault="00F15956" w14:paraId="316C9969" w14:textId="77777777">
      <w:pPr>
        <w:jc w:val="both"/>
        <w:rPr>
          <w:b/>
        </w:rPr>
      </w:pPr>
      <w:r>
        <w:rPr>
          <w:b/>
        </w:rPr>
        <w:t>PURPOSE</w:t>
      </w:r>
      <w:r w:rsidRPr="009239AA">
        <w:rPr>
          <w:b/>
        </w:rPr>
        <w:t>:</w:t>
      </w:r>
      <w:r w:rsidRPr="009239AA" w:rsidR="00C14CC4">
        <w:rPr>
          <w:b/>
        </w:rPr>
        <w:t xml:space="preserve">  </w:t>
      </w:r>
      <w:r w:rsidRPr="00A869F9" w:rsidR="009079A4">
        <w:t>The purpose of this information collection is to gather feedback from international travelers arriving at U.S. ports of entry to gain insight into their satisfaction and perception of the CBP international arrivals process at 25 domestic airports.</w:t>
      </w:r>
      <w:r w:rsidR="009079A4">
        <w:rPr>
          <w:b/>
        </w:rPr>
        <w:t xml:space="preserve"> </w:t>
      </w:r>
    </w:p>
    <w:p w:rsidR="00C8488C" w:rsidP="00434E33" w:rsidRDefault="00C8488C" w14:paraId="2E462777" w14:textId="77777777">
      <w:pPr>
        <w:pStyle w:val="Header"/>
        <w:tabs>
          <w:tab w:val="clear" w:pos="4320"/>
          <w:tab w:val="clear" w:pos="8640"/>
        </w:tabs>
        <w:rPr>
          <w:b/>
        </w:rPr>
      </w:pPr>
    </w:p>
    <w:p w:rsidR="00676254" w:rsidP="00652256" w:rsidRDefault="00434E33" w14:paraId="5464BD4C" w14:textId="77777777">
      <w:pPr>
        <w:pStyle w:val="Header"/>
        <w:tabs>
          <w:tab w:val="clear" w:pos="4320"/>
          <w:tab w:val="clear" w:pos="8640"/>
        </w:tabs>
        <w:jc w:val="both"/>
        <w:rPr>
          <w:b/>
        </w:rPr>
      </w:pPr>
      <w:r w:rsidRPr="00434E33">
        <w:rPr>
          <w:b/>
        </w:rPr>
        <w:t>DESCRIPTION OF RESPONDENTS</w:t>
      </w:r>
      <w:r>
        <w:t xml:space="preserve">: </w:t>
      </w:r>
      <w:r w:rsidR="009079A4">
        <w:t xml:space="preserve">This will be a voluntary intercept survey conducted in the Federal Inspection Services area after the completion of primary CBP processing.  The survey is aimed at all types of travelers from U.S. citizens, Lawful Permanent Residents, to Visitors. The survey will be conducted in multiple languages to include English, French, </w:t>
      </w:r>
      <w:r w:rsidR="00B45A61">
        <w:t>Mandarin</w:t>
      </w:r>
      <w:r w:rsidR="009079A4">
        <w:t xml:space="preserve">, </w:t>
      </w:r>
      <w:r w:rsidR="00B276E5">
        <w:t xml:space="preserve">Japanese, </w:t>
      </w:r>
      <w:r w:rsidR="009079A4">
        <w:t xml:space="preserve">and Spanish. The survey will be conducted by contractors on behalf of CBP. </w:t>
      </w:r>
    </w:p>
    <w:p w:rsidR="00E26329" w:rsidP="00987CA5" w:rsidRDefault="00987CA5" w14:paraId="37BEE7DF" w14:textId="77777777">
      <w:pPr>
        <w:pStyle w:val="Header"/>
        <w:tabs>
          <w:tab w:val="clear" w:pos="4320"/>
          <w:tab w:val="clear" w:pos="8640"/>
        </w:tabs>
        <w:rPr>
          <w:b/>
        </w:rPr>
      </w:pPr>
      <w:r>
        <w:t xml:space="preserve"> </w:t>
      </w:r>
    </w:p>
    <w:p w:rsidR="00E26329" w:rsidRDefault="00E26329" w14:paraId="31D238FE" w14:textId="77777777">
      <w:pPr>
        <w:rPr>
          <w:b/>
        </w:rPr>
      </w:pPr>
    </w:p>
    <w:p w:rsidRPr="00F06866" w:rsidR="00F06866" w:rsidRDefault="00F06866" w14:paraId="68E14016" w14:textId="77777777">
      <w:pPr>
        <w:rPr>
          <w:b/>
        </w:rPr>
      </w:pPr>
      <w:r>
        <w:rPr>
          <w:b/>
        </w:rPr>
        <w:t>TYPE OF COLLECTION:</w:t>
      </w:r>
      <w:r w:rsidRPr="00F06866">
        <w:t xml:space="preserve"> </w:t>
      </w:r>
      <w:r w:rsidRPr="00C6183B">
        <w:t>(Check one)</w:t>
      </w:r>
    </w:p>
    <w:p w:rsidRPr="00434E33" w:rsidR="00441434" w:rsidP="0096108F" w:rsidRDefault="00441434" w14:paraId="246487B3" w14:textId="77777777">
      <w:pPr>
        <w:pStyle w:val="BodyTextIndent"/>
        <w:tabs>
          <w:tab w:val="left" w:pos="360"/>
        </w:tabs>
        <w:ind w:left="0"/>
        <w:rPr>
          <w:bCs/>
          <w:sz w:val="16"/>
          <w:szCs w:val="16"/>
        </w:rPr>
      </w:pPr>
    </w:p>
    <w:p w:rsidRPr="00F06866" w:rsidR="00F06866" w:rsidP="0096108F" w:rsidRDefault="0096108F" w14:paraId="3FB6B39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A869F9">
        <w:rPr>
          <w:bCs/>
          <w:sz w:val="24"/>
        </w:rPr>
        <w:t xml:space="preserve"> </w:t>
      </w:r>
      <w:r w:rsidR="00A869F9">
        <w:rPr>
          <w:bCs/>
          <w:sz w:val="24"/>
        </w:rPr>
        <w:tab/>
        <w:t>[</w:t>
      </w:r>
      <w:r w:rsidR="009079A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F14B8B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8FE3C69" w14:textId="77777777">
      <w:pPr>
        <w:pStyle w:val="BodyTextIndent"/>
        <w:tabs>
          <w:tab w:val="left" w:pos="360"/>
        </w:tabs>
        <w:ind w:left="0"/>
        <w:rPr>
          <w:bCs/>
          <w:sz w:val="24"/>
        </w:rPr>
      </w:pPr>
      <w:r>
        <w:rPr>
          <w:bCs/>
          <w:sz w:val="24"/>
        </w:rPr>
        <w:t>[</w:t>
      </w:r>
      <w:r w:rsidR="00CF6542">
        <w:rPr>
          <w:bCs/>
          <w:sz w:val="24"/>
        </w:rPr>
        <w:t xml:space="preserve"> </w:t>
      </w:r>
      <w:r w:rsidR="00A869F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A869F9">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00A869F9">
        <w:rPr>
          <w:bCs/>
          <w:sz w:val="24"/>
          <w:u w:val="single"/>
        </w:rPr>
        <w:t>_____________</w:t>
      </w:r>
    </w:p>
    <w:p w:rsidR="00434E33" w:rsidRDefault="00434E33" w14:paraId="0C606762" w14:textId="77777777">
      <w:pPr>
        <w:pStyle w:val="Header"/>
        <w:tabs>
          <w:tab w:val="clear" w:pos="4320"/>
          <w:tab w:val="clear" w:pos="8640"/>
        </w:tabs>
      </w:pPr>
    </w:p>
    <w:p w:rsidR="00CA2650" w:rsidRDefault="00441434" w14:paraId="696AC8E8" w14:textId="77777777">
      <w:pPr>
        <w:rPr>
          <w:b/>
        </w:rPr>
      </w:pPr>
      <w:r>
        <w:rPr>
          <w:b/>
        </w:rPr>
        <w:t>C</w:t>
      </w:r>
      <w:r w:rsidR="009C13B9">
        <w:rPr>
          <w:b/>
        </w:rPr>
        <w:t>ERTIFICATION:</w:t>
      </w:r>
    </w:p>
    <w:p w:rsidR="00441434" w:rsidRDefault="00441434" w14:paraId="40AA4FDC" w14:textId="77777777">
      <w:pPr>
        <w:rPr>
          <w:sz w:val="16"/>
          <w:szCs w:val="16"/>
        </w:rPr>
      </w:pPr>
    </w:p>
    <w:p w:rsidRPr="009C13B9" w:rsidR="008101A5" w:rsidP="008101A5" w:rsidRDefault="008101A5" w14:paraId="60C6941F" w14:textId="77777777">
      <w:r>
        <w:t xml:space="preserve">I certify the following to be true: </w:t>
      </w:r>
    </w:p>
    <w:p w:rsidR="008101A5" w:rsidP="008101A5" w:rsidRDefault="008101A5" w14:paraId="3D2D4400" w14:textId="77777777">
      <w:pPr>
        <w:pStyle w:val="ListParagraph"/>
        <w:numPr>
          <w:ilvl w:val="0"/>
          <w:numId w:val="14"/>
        </w:numPr>
      </w:pPr>
      <w:r>
        <w:t>The collection is voluntary.</w:t>
      </w:r>
      <w:r w:rsidRPr="00C14CC4">
        <w:t xml:space="preserve"> </w:t>
      </w:r>
    </w:p>
    <w:p w:rsidR="008101A5" w:rsidP="008101A5" w:rsidRDefault="008101A5" w14:paraId="0C968C9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69B64F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27D9D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811A55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652256" w:rsidRDefault="008101A5" w14:paraId="58014EF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53EB7CA" w14:textId="77777777"/>
    <w:p w:rsidR="009C13B9" w:rsidP="009C13B9" w:rsidRDefault="009C13B9" w14:paraId="121D8F5C" w14:textId="54B23070">
      <w:r>
        <w:t>Name</w:t>
      </w:r>
      <w:r w:rsidRPr="00D571FF">
        <w:rPr>
          <w:u w:val="single"/>
        </w:rPr>
        <w:t>:</w:t>
      </w:r>
      <w:r w:rsidRPr="00D571FF" w:rsidR="00342CDC">
        <w:rPr>
          <w:u w:val="single"/>
        </w:rPr>
        <w:t>____</w:t>
      </w:r>
      <w:r w:rsidR="000C518B">
        <w:rPr>
          <w:u w:val="single"/>
        </w:rPr>
        <w:t>Adam I. Wolf</w:t>
      </w:r>
      <w:r w:rsidRPr="00C801BF" w:rsidR="00A13D76">
        <w:rPr>
          <w:u w:val="single"/>
        </w:rPr>
        <w:t>_______</w:t>
      </w:r>
      <w:r w:rsidRPr="00C801BF" w:rsidR="00342CDC">
        <w:rPr>
          <w:u w:val="single"/>
        </w:rPr>
        <w:t>______</w:t>
      </w:r>
      <w:r w:rsidRPr="00C801BF">
        <w:rPr>
          <w:u w:val="single"/>
        </w:rPr>
        <w:t>_</w:t>
      </w:r>
      <w:r w:rsidR="00A13D76">
        <w:softHyphen/>
      </w:r>
      <w:r w:rsidR="00A13D76">
        <w:softHyphen/>
        <w:t>_</w:t>
      </w:r>
      <w:r w:rsidR="00342CDC">
        <w:t xml:space="preserve">    </w:t>
      </w:r>
    </w:p>
    <w:p w:rsidR="009C13B9" w:rsidP="009C13B9" w:rsidRDefault="009C13B9" w14:paraId="13118122" w14:textId="77777777">
      <w:pPr>
        <w:pStyle w:val="ListParagraph"/>
        <w:ind w:left="360"/>
      </w:pPr>
    </w:p>
    <w:p w:rsidR="009C13B9" w:rsidP="009C13B9" w:rsidRDefault="009C13B9" w14:paraId="2193BE7C" w14:textId="77777777">
      <w:r>
        <w:t>To assist review, please provide answers to the following question:</w:t>
      </w:r>
    </w:p>
    <w:p w:rsidR="009C13B9" w:rsidP="009C13B9" w:rsidRDefault="009C13B9" w14:paraId="3BFF5950" w14:textId="77777777">
      <w:pPr>
        <w:pStyle w:val="ListParagraph"/>
        <w:ind w:left="360"/>
      </w:pPr>
    </w:p>
    <w:p w:rsidRPr="00C86E91" w:rsidR="009C13B9" w:rsidP="00C86E91" w:rsidRDefault="00C86E91" w14:paraId="4E1229BA" w14:textId="77777777">
      <w:pPr>
        <w:rPr>
          <w:b/>
        </w:rPr>
      </w:pPr>
      <w:r w:rsidRPr="00A30AFA">
        <w:rPr>
          <w:b/>
        </w:rPr>
        <w:t>Personally Identifiable Information:</w:t>
      </w:r>
      <w:r w:rsidRPr="00A30AFA" w:rsidR="00652256">
        <w:rPr>
          <w:b/>
        </w:rPr>
        <w:t xml:space="preserve"> Select either Yes or No for</w:t>
      </w:r>
      <w:r w:rsidR="00652256">
        <w:rPr>
          <w:b/>
        </w:rPr>
        <w:t xml:space="preserve"> each question. </w:t>
      </w:r>
    </w:p>
    <w:p w:rsidR="00C86E91" w:rsidP="00C86E91" w:rsidRDefault="009C13B9" w14:paraId="29D7B258" w14:textId="77777777">
      <w:pPr>
        <w:pStyle w:val="ListParagraph"/>
        <w:numPr>
          <w:ilvl w:val="0"/>
          <w:numId w:val="18"/>
        </w:numPr>
      </w:pPr>
      <w:r>
        <w:t>Is</w:t>
      </w:r>
      <w:r w:rsidR="00237B48">
        <w:t xml:space="preserve"> personally identifiable information (PII) collected</w:t>
      </w:r>
      <w:r>
        <w:t xml:space="preserve">?  </w:t>
      </w:r>
      <w:r w:rsidRPr="0073592B" w:rsidR="009239AA">
        <w:t>[  ] Yes  [</w:t>
      </w:r>
      <w:r w:rsidR="009079A4">
        <w:t>X</w:t>
      </w:r>
      <w:r w:rsidRPr="0073592B" w:rsidR="009239AA">
        <w:t xml:space="preserve"> ]  No</w:t>
      </w:r>
      <w:r w:rsidRPr="00342CDC" w:rsidR="009239AA">
        <w:rPr>
          <w:color w:val="FF0000"/>
        </w:rPr>
        <w:t xml:space="preserve"> </w:t>
      </w:r>
    </w:p>
    <w:p w:rsidR="00C86E91" w:rsidP="00C86E91" w:rsidRDefault="009C13B9" w14:paraId="52E1916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Pr="0073592B" w:rsidR="009239AA">
        <w:t>[  ] Yes [] No</w:t>
      </w:r>
      <w:r w:rsidR="00C86E91">
        <w:t xml:space="preserve">   </w:t>
      </w:r>
      <w:r w:rsidR="009079A4">
        <w:t>N/A</w:t>
      </w:r>
    </w:p>
    <w:p w:rsidRPr="0073592B" w:rsidR="00C86E91" w:rsidP="00C86E91" w:rsidRDefault="00C86E91" w14:paraId="3294793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73592B">
        <w:t>?  [  ] Yes  [ ] No</w:t>
      </w:r>
      <w:r w:rsidR="009079A4">
        <w:t xml:space="preserve"> N/A</w:t>
      </w:r>
    </w:p>
    <w:p w:rsidR="00CF6542" w:rsidP="00C86E91" w:rsidRDefault="00CF6542" w14:paraId="04FBB197" w14:textId="77777777">
      <w:pPr>
        <w:pStyle w:val="ListParagraph"/>
        <w:ind w:left="0"/>
        <w:rPr>
          <w:b/>
        </w:rPr>
      </w:pPr>
    </w:p>
    <w:p w:rsidRPr="00C86E91" w:rsidR="00C86E91" w:rsidP="00C86E91" w:rsidRDefault="00CB1078" w14:paraId="46D8A993" w14:textId="77777777">
      <w:pPr>
        <w:pStyle w:val="ListParagraph"/>
        <w:ind w:left="0"/>
        <w:rPr>
          <w:b/>
        </w:rPr>
      </w:pPr>
      <w:r>
        <w:rPr>
          <w:b/>
        </w:rPr>
        <w:t>Gifts or Payments</w:t>
      </w:r>
      <w:r w:rsidR="00C86E91">
        <w:rPr>
          <w:b/>
        </w:rPr>
        <w:t>:</w:t>
      </w:r>
      <w:r w:rsidR="00652256">
        <w:rPr>
          <w:b/>
        </w:rPr>
        <w:t xml:space="preserve"> Select one.</w:t>
      </w:r>
    </w:p>
    <w:p w:rsidR="00C86E91" w:rsidP="00C86E91" w:rsidRDefault="00C86E91" w14:paraId="00EE3D54" w14:textId="77777777">
      <w:r>
        <w:t>Is an incentive (e.g., money or reimbursement of expenses, token of appreciation) provided to participants</w:t>
      </w:r>
      <w:r w:rsidRPr="0073592B">
        <w:t>?  [  ] Yes [</w:t>
      </w:r>
      <w:r w:rsidR="009079A4">
        <w:t>X</w:t>
      </w:r>
      <w:r w:rsidR="0073592B">
        <w:t xml:space="preserve"> </w:t>
      </w:r>
      <w:r w:rsidRPr="0073592B">
        <w:t>] No</w:t>
      </w:r>
      <w:r>
        <w:t xml:space="preserve">  </w:t>
      </w:r>
    </w:p>
    <w:p w:rsidR="004D6E14" w:rsidRDefault="004D6E14" w14:paraId="4EB37996" w14:textId="77777777">
      <w:pPr>
        <w:rPr>
          <w:b/>
        </w:rPr>
      </w:pPr>
    </w:p>
    <w:p w:rsidR="00F24CFC" w:rsidRDefault="00F24CFC" w14:paraId="564C4091" w14:textId="77777777">
      <w:pPr>
        <w:rPr>
          <w:b/>
        </w:rPr>
      </w:pPr>
    </w:p>
    <w:p w:rsidR="00C86E91" w:rsidRDefault="00C86E91" w14:paraId="4655CE25" w14:textId="77777777">
      <w:pPr>
        <w:rPr>
          <w:b/>
        </w:rPr>
      </w:pPr>
    </w:p>
    <w:p w:rsidR="00C86E91" w:rsidRDefault="00C86E91" w14:paraId="64D2489E" w14:textId="77777777">
      <w:pPr>
        <w:rPr>
          <w:b/>
        </w:rPr>
      </w:pPr>
    </w:p>
    <w:p w:rsidRPr="00A13D76" w:rsidR="005E714A" w:rsidP="00C86E91" w:rsidRDefault="005E714A" w14:paraId="7238B3CE" w14:textId="77777777">
      <w:pPr>
        <w:rPr>
          <w:i/>
        </w:rPr>
      </w:pPr>
      <w:r w:rsidRPr="00A13D76">
        <w:rPr>
          <w:b/>
        </w:rPr>
        <w:lastRenderedPageBreak/>
        <w:t>BURDEN HOUR</w:t>
      </w:r>
      <w:r w:rsidRPr="00A13D76" w:rsidR="00441434">
        <w:rPr>
          <w:b/>
        </w:rPr>
        <w:t>S</w:t>
      </w:r>
      <w:r w:rsidRPr="00A13D76">
        <w:t xml:space="preserve"> </w:t>
      </w:r>
    </w:p>
    <w:p w:rsidRPr="00A13D76" w:rsidR="006832D9" w:rsidP="00F3170F" w:rsidRDefault="006832D9" w14:paraId="0456E0F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3150"/>
        <w:gridCol w:w="1620"/>
        <w:gridCol w:w="1813"/>
      </w:tblGrid>
      <w:tr w:rsidRPr="00A13D76" w:rsidR="00A13D76" w:rsidTr="00E57038" w14:paraId="630435F0" w14:textId="77777777">
        <w:trPr>
          <w:trHeight w:val="274"/>
        </w:trPr>
        <w:tc>
          <w:tcPr>
            <w:tcW w:w="3078" w:type="dxa"/>
          </w:tcPr>
          <w:p w:rsidRPr="00A13D76" w:rsidR="006832D9" w:rsidP="00C8488C" w:rsidRDefault="00E40B50" w14:paraId="1400682D" w14:textId="77777777">
            <w:pPr>
              <w:rPr>
                <w:b/>
              </w:rPr>
            </w:pPr>
            <w:r w:rsidRPr="00A13D76">
              <w:rPr>
                <w:b/>
              </w:rPr>
              <w:t>Category of Respondent</w:t>
            </w:r>
            <w:r w:rsidRPr="00A13D76" w:rsidR="00EF2095">
              <w:rPr>
                <w:b/>
              </w:rPr>
              <w:t xml:space="preserve"> </w:t>
            </w:r>
          </w:p>
        </w:tc>
        <w:tc>
          <w:tcPr>
            <w:tcW w:w="3150" w:type="dxa"/>
          </w:tcPr>
          <w:p w:rsidRPr="00A13D76" w:rsidR="006832D9" w:rsidP="00A13D76" w:rsidRDefault="006832D9" w14:paraId="6EA94C07" w14:textId="77777777">
            <w:pPr>
              <w:jc w:val="center"/>
              <w:rPr>
                <w:b/>
              </w:rPr>
            </w:pPr>
            <w:r w:rsidRPr="00A13D76">
              <w:rPr>
                <w:b/>
              </w:rPr>
              <w:t>N</w:t>
            </w:r>
            <w:r w:rsidRPr="00A13D76" w:rsidR="009F5923">
              <w:rPr>
                <w:b/>
              </w:rPr>
              <w:t>o.</w:t>
            </w:r>
            <w:r w:rsidRPr="00A13D76">
              <w:rPr>
                <w:b/>
              </w:rPr>
              <w:t xml:space="preserve"> of Respondents</w:t>
            </w:r>
          </w:p>
        </w:tc>
        <w:tc>
          <w:tcPr>
            <w:tcW w:w="1620" w:type="dxa"/>
          </w:tcPr>
          <w:p w:rsidRPr="00A13D76" w:rsidR="006832D9" w:rsidP="00A13D76" w:rsidRDefault="006832D9" w14:paraId="6FD6A5E5" w14:textId="77777777">
            <w:pPr>
              <w:jc w:val="center"/>
              <w:rPr>
                <w:b/>
              </w:rPr>
            </w:pPr>
            <w:r w:rsidRPr="00A13D76">
              <w:rPr>
                <w:b/>
              </w:rPr>
              <w:t>Participation Time</w:t>
            </w:r>
          </w:p>
        </w:tc>
        <w:tc>
          <w:tcPr>
            <w:tcW w:w="1813" w:type="dxa"/>
          </w:tcPr>
          <w:p w:rsidRPr="00A13D76" w:rsidR="006832D9" w:rsidP="00E57038" w:rsidRDefault="00E57038" w14:paraId="18A73E0D" w14:textId="77777777">
            <w:pPr>
              <w:jc w:val="center"/>
              <w:rPr>
                <w:b/>
              </w:rPr>
            </w:pPr>
            <w:r>
              <w:rPr>
                <w:b/>
              </w:rPr>
              <w:t>Total Burden Hours</w:t>
            </w:r>
          </w:p>
        </w:tc>
      </w:tr>
      <w:tr w:rsidRPr="00A13D76" w:rsidR="00EF2095" w:rsidTr="00E57038" w14:paraId="562D5D4E" w14:textId="77777777">
        <w:trPr>
          <w:trHeight w:val="274"/>
        </w:trPr>
        <w:tc>
          <w:tcPr>
            <w:tcW w:w="3078" w:type="dxa"/>
          </w:tcPr>
          <w:p w:rsidR="006832D9" w:rsidP="00A13D76" w:rsidRDefault="00A13D76" w14:paraId="33962163" w14:textId="77777777">
            <w:r>
              <w:t>Individuals or Households</w:t>
            </w:r>
          </w:p>
          <w:p w:rsidRPr="00A13D76" w:rsidR="006F13B6" w:rsidP="00A13D76" w:rsidRDefault="006F13B6" w14:paraId="218BADB5" w14:textId="77777777">
            <w:r>
              <w:t>Per Survey Period</w:t>
            </w:r>
          </w:p>
        </w:tc>
        <w:tc>
          <w:tcPr>
            <w:tcW w:w="3150" w:type="dxa"/>
            <w:shd w:val="clear" w:color="auto" w:fill="auto"/>
          </w:tcPr>
          <w:p w:rsidRPr="00CB3F5A" w:rsidR="006832D9" w:rsidP="00A13D76" w:rsidRDefault="00180AD9" w14:paraId="0693AAF6" w14:textId="77777777">
            <w:pPr>
              <w:jc w:val="center"/>
            </w:pPr>
            <w:r w:rsidRPr="00CB3F5A">
              <w:t>25,000</w:t>
            </w:r>
          </w:p>
        </w:tc>
        <w:tc>
          <w:tcPr>
            <w:tcW w:w="1620" w:type="dxa"/>
          </w:tcPr>
          <w:p w:rsidRPr="00CB3F5A" w:rsidR="006832D9" w:rsidP="00A13D76" w:rsidRDefault="00B276E5" w14:paraId="6A12474D" w14:textId="5F1B772A">
            <w:pPr>
              <w:jc w:val="center"/>
            </w:pPr>
            <w:r w:rsidRPr="00CB3F5A">
              <w:t>3</w:t>
            </w:r>
            <w:r w:rsidRPr="00CB3F5A" w:rsidR="006F13B6">
              <w:t xml:space="preserve"> </w:t>
            </w:r>
          </w:p>
        </w:tc>
        <w:tc>
          <w:tcPr>
            <w:tcW w:w="1813" w:type="dxa"/>
          </w:tcPr>
          <w:p w:rsidRPr="00CB3F5A" w:rsidR="006832D9" w:rsidP="00A13D76" w:rsidRDefault="00B276E5" w14:paraId="5A464E0E" w14:textId="3BB77993">
            <w:pPr>
              <w:jc w:val="center"/>
            </w:pPr>
            <w:r w:rsidRPr="00CB3F5A">
              <w:t>1,250</w:t>
            </w:r>
            <w:r w:rsidRPr="00CB3F5A" w:rsidR="006F13B6">
              <w:t xml:space="preserve"> Hours</w:t>
            </w:r>
          </w:p>
        </w:tc>
      </w:tr>
      <w:tr w:rsidRPr="00A13D76" w:rsidR="00B261B9" w:rsidTr="00E57038" w14:paraId="66ACE166" w14:textId="77777777">
        <w:trPr>
          <w:trHeight w:val="728"/>
        </w:trPr>
        <w:tc>
          <w:tcPr>
            <w:tcW w:w="3078" w:type="dxa"/>
          </w:tcPr>
          <w:p w:rsidR="006832D9" w:rsidP="00843796" w:rsidRDefault="006832D9" w14:paraId="25615A98" w14:textId="77777777">
            <w:pPr>
              <w:rPr>
                <w:b/>
              </w:rPr>
            </w:pPr>
            <w:r w:rsidRPr="00A13D76">
              <w:rPr>
                <w:b/>
              </w:rPr>
              <w:t>Totals</w:t>
            </w:r>
            <w:r w:rsidR="00E57038">
              <w:rPr>
                <w:b/>
              </w:rPr>
              <w:t xml:space="preserve"> per fiscal year. </w:t>
            </w:r>
          </w:p>
          <w:p w:rsidRPr="00A13D76" w:rsidR="00E57038" w:rsidP="00843796" w:rsidRDefault="006F13B6" w14:paraId="22DD4A38" w14:textId="77777777">
            <w:pPr>
              <w:rPr>
                <w:b/>
              </w:rPr>
            </w:pPr>
            <w:r>
              <w:rPr>
                <w:b/>
              </w:rPr>
              <w:t>2</w:t>
            </w:r>
            <w:r w:rsidR="00E57038">
              <w:rPr>
                <w:b/>
              </w:rPr>
              <w:t xml:space="preserve"> Total survey periods</w:t>
            </w:r>
          </w:p>
        </w:tc>
        <w:tc>
          <w:tcPr>
            <w:tcW w:w="3150" w:type="dxa"/>
          </w:tcPr>
          <w:p w:rsidRPr="00CB3F5A" w:rsidR="006832D9" w:rsidP="00A13D76" w:rsidRDefault="00DD1836" w14:paraId="1E750762" w14:textId="77777777">
            <w:pPr>
              <w:jc w:val="center"/>
              <w:rPr>
                <w:b/>
              </w:rPr>
            </w:pPr>
            <w:r w:rsidRPr="00CB3F5A">
              <w:rPr>
                <w:b/>
              </w:rPr>
              <w:t>50</w:t>
            </w:r>
            <w:r w:rsidRPr="00CB3F5A" w:rsidR="00A13D76">
              <w:rPr>
                <w:b/>
              </w:rPr>
              <w:t>,000</w:t>
            </w:r>
          </w:p>
        </w:tc>
        <w:tc>
          <w:tcPr>
            <w:tcW w:w="1620" w:type="dxa"/>
          </w:tcPr>
          <w:p w:rsidRPr="00CB3F5A" w:rsidR="006832D9" w:rsidP="00A13D76" w:rsidRDefault="00B276E5" w14:paraId="0AA9078E" w14:textId="08BFC4C9">
            <w:pPr>
              <w:jc w:val="center"/>
              <w:rPr>
                <w:b/>
              </w:rPr>
            </w:pPr>
            <w:r w:rsidRPr="00CB3F5A">
              <w:rPr>
                <w:b/>
              </w:rPr>
              <w:t>3</w:t>
            </w:r>
          </w:p>
        </w:tc>
        <w:tc>
          <w:tcPr>
            <w:tcW w:w="1813" w:type="dxa"/>
          </w:tcPr>
          <w:p w:rsidRPr="00CB3F5A" w:rsidR="00D571FF" w:rsidP="00E57038" w:rsidRDefault="00B276E5" w14:paraId="11939AF8" w14:textId="3FED1854">
            <w:pPr>
              <w:jc w:val="center"/>
              <w:rPr>
                <w:b/>
              </w:rPr>
            </w:pPr>
            <w:r w:rsidRPr="00CB3F5A">
              <w:rPr>
                <w:b/>
              </w:rPr>
              <w:t>2,500</w:t>
            </w:r>
            <w:r w:rsidRPr="00CB3F5A" w:rsidR="00D571FF">
              <w:rPr>
                <w:b/>
              </w:rPr>
              <w:t xml:space="preserve"> </w:t>
            </w:r>
            <w:r w:rsidRPr="00CB3F5A" w:rsidR="00E57038">
              <w:rPr>
                <w:b/>
              </w:rPr>
              <w:t>H</w:t>
            </w:r>
            <w:r w:rsidRPr="00CB3F5A" w:rsidR="00D571FF">
              <w:rPr>
                <w:b/>
              </w:rPr>
              <w:t>ours</w:t>
            </w:r>
          </w:p>
        </w:tc>
      </w:tr>
    </w:tbl>
    <w:p w:rsidRPr="00A13D76" w:rsidR="00F3170F" w:rsidP="00F3170F" w:rsidRDefault="00F3170F" w14:paraId="115006EF" w14:textId="77777777"/>
    <w:p w:rsidR="005E714A" w:rsidRDefault="001C39F7" w14:paraId="4626C27C" w14:textId="77777777">
      <w:r w:rsidRPr="00A13D76">
        <w:rPr>
          <w:b/>
        </w:rPr>
        <w:t xml:space="preserve">FEDERAL </w:t>
      </w:r>
      <w:r w:rsidRPr="00A13D76" w:rsidR="009F5923">
        <w:rPr>
          <w:b/>
        </w:rPr>
        <w:t>COST</w:t>
      </w:r>
      <w:r w:rsidRPr="00A13D76" w:rsidR="00F06866">
        <w:rPr>
          <w:b/>
        </w:rPr>
        <w:t>:</w:t>
      </w:r>
      <w:r w:rsidRPr="00A13D76" w:rsidR="00895229">
        <w:rPr>
          <w:b/>
        </w:rPr>
        <w:t xml:space="preserve"> </w:t>
      </w:r>
      <w:r w:rsidRPr="00A13D76" w:rsidR="00C86E91">
        <w:rPr>
          <w:b/>
        </w:rPr>
        <w:t xml:space="preserve"> </w:t>
      </w:r>
      <w:r w:rsidRPr="00A13D76" w:rsidR="00C86E91">
        <w:t xml:space="preserve">The estimated annual cost to the Federal government is </w:t>
      </w:r>
      <w:r w:rsidRPr="00A13D76" w:rsidR="009079A4">
        <w:t>$1.</w:t>
      </w:r>
      <w:r w:rsidR="00D06FC9">
        <w:t>9</w:t>
      </w:r>
      <w:r w:rsidRPr="00A13D76" w:rsidR="009079A4">
        <w:t xml:space="preserve"> million</w:t>
      </w:r>
      <w:r w:rsidRPr="00A13D76" w:rsidR="00C86E91">
        <w:t xml:space="preserve"> </w:t>
      </w:r>
    </w:p>
    <w:p w:rsidR="003826DA" w:rsidRDefault="00072453" w14:paraId="57FFE9B5" w14:textId="77777777">
      <w:r>
        <w:t>Per contract with Elevation</w:t>
      </w:r>
      <w:r w:rsidR="00D94755">
        <w:t>.</w:t>
      </w:r>
    </w:p>
    <w:p w:rsidR="00FB7C63" w:rsidRDefault="00FB7C63" w14:paraId="0FB5BCB8" w14:textId="77777777"/>
    <w:p w:rsidRPr="00CB3F5A" w:rsidR="00FB7C63" w:rsidP="00FB7C63" w:rsidRDefault="00FB7C63" w14:paraId="4A158AE7" w14:textId="691BA62D">
      <w:pPr>
        <w:rPr>
          <w:bCs/>
          <w:vertAlign w:val="superscript"/>
        </w:rPr>
      </w:pPr>
      <w:r w:rsidRPr="00CB3F5A">
        <w:rPr>
          <w:b/>
        </w:rPr>
        <w:t>PUBLIC COST:</w:t>
      </w:r>
      <w:r w:rsidRPr="00CB3F5A">
        <w:t xml:space="preserve"> The estimated cost to the respondents is $</w:t>
      </w:r>
      <w:r w:rsidRPr="00CB3F5A" w:rsidR="00E47FA3">
        <w:t>123,775.00</w:t>
      </w:r>
      <w:r w:rsidRPr="00CB3F5A">
        <w:t>.  This is based on the estimated burden hours (</w:t>
      </w:r>
      <w:r w:rsidRPr="00CB3F5A" w:rsidR="00B276E5">
        <w:t>2,500</w:t>
      </w:r>
      <w:r w:rsidRPr="00CB3F5A">
        <w:t>) multiplied by (x) the average hourly wage rate for all-purpose air travelers ($</w:t>
      </w:r>
      <w:r w:rsidRPr="00CB3F5A" w:rsidR="00E47FA3">
        <w:t>49.51</w:t>
      </w:r>
      <w:r w:rsidRPr="00CB3F5A">
        <w:t xml:space="preserve">).  CBP calculated this wage rate by adjusting the </w:t>
      </w:r>
      <w:r w:rsidRPr="00CB3F5A">
        <w:rPr>
          <w:bCs/>
        </w:rPr>
        <w:t>U.S. Department of Transportation’s (DOT) recommended hourly values of travel time savings for intercity, all-purpose travel by air and high-speed rail ($</w:t>
      </w:r>
      <w:r w:rsidRPr="00CB3F5A" w:rsidR="00E47FA3">
        <w:rPr>
          <w:bCs/>
        </w:rPr>
        <w:t>49.02</w:t>
      </w:r>
      <w:r w:rsidRPr="00CB3F5A">
        <w:rPr>
          <w:bCs/>
        </w:rPr>
        <w:t xml:space="preserve"> in 201</w:t>
      </w:r>
      <w:r w:rsidRPr="00CB3F5A" w:rsidR="00E47FA3">
        <w:rPr>
          <w:bCs/>
        </w:rPr>
        <w:t>9</w:t>
      </w:r>
      <w:r w:rsidRPr="00CB3F5A">
        <w:rPr>
          <w:bCs/>
        </w:rPr>
        <w:t xml:space="preserve"> U.S. dollars) to 20</w:t>
      </w:r>
      <w:r w:rsidRPr="00CB3F5A" w:rsidR="00E47FA3">
        <w:rPr>
          <w:bCs/>
        </w:rPr>
        <w:t>20</w:t>
      </w:r>
      <w:r w:rsidRPr="00CB3F5A">
        <w:rPr>
          <w:bCs/>
        </w:rPr>
        <w:t xml:space="preserve"> U.S. dollars using DOT’s recommended annual growth rate of 1.0 percent.</w:t>
      </w:r>
      <w:r w:rsidRPr="00CB3F5A">
        <w:rPr>
          <w:rStyle w:val="FootnoteReference"/>
        </w:rPr>
        <w:footnoteReference w:id="1"/>
      </w:r>
      <w:r w:rsidRPr="00CB3F5A">
        <w:rPr>
          <w:bCs/>
          <w:vertAlign w:val="superscript"/>
        </w:rPr>
        <w:t xml:space="preserve"> </w:t>
      </w:r>
    </w:p>
    <w:p w:rsidRPr="00A13D76" w:rsidR="00ED6492" w:rsidRDefault="00ED6492" w14:paraId="377E9244" w14:textId="77777777">
      <w:pPr>
        <w:rPr>
          <w:b/>
          <w:bCs/>
          <w:u w:val="single"/>
        </w:rPr>
      </w:pPr>
    </w:p>
    <w:p w:rsidRPr="00A13D76" w:rsidR="0069403B" w:rsidP="00F06866" w:rsidRDefault="00ED6492" w14:paraId="0DBE0616" w14:textId="77777777">
      <w:pPr>
        <w:rPr>
          <w:b/>
        </w:rPr>
      </w:pPr>
      <w:r w:rsidRPr="00A13D76">
        <w:rPr>
          <w:b/>
          <w:bCs/>
          <w:u w:val="single"/>
        </w:rPr>
        <w:t xml:space="preserve">If you are conducting a focus group, survey, or plan to employ statistical methods, </w:t>
      </w:r>
      <w:r w:rsidRPr="00A13D76" w:rsidR="00A13D76">
        <w:rPr>
          <w:b/>
          <w:bCs/>
          <w:u w:val="single"/>
        </w:rPr>
        <w:t>please provide</w:t>
      </w:r>
      <w:r w:rsidRPr="00A13D76" w:rsidR="0069403B">
        <w:rPr>
          <w:b/>
          <w:bCs/>
          <w:u w:val="single"/>
        </w:rPr>
        <w:t xml:space="preserve"> answers to the following questions:</w:t>
      </w:r>
    </w:p>
    <w:p w:rsidRPr="00A13D76" w:rsidR="0069403B" w:rsidP="00F06866" w:rsidRDefault="0069403B" w14:paraId="4DFC2321" w14:textId="77777777">
      <w:pPr>
        <w:rPr>
          <w:b/>
        </w:rPr>
      </w:pPr>
    </w:p>
    <w:p w:rsidRPr="00A13D76" w:rsidR="00F06866" w:rsidP="00652256" w:rsidRDefault="00636621" w14:paraId="5CDC781C" w14:textId="77777777">
      <w:pPr>
        <w:jc w:val="both"/>
        <w:rPr>
          <w:b/>
        </w:rPr>
      </w:pPr>
      <w:r w:rsidRPr="00A13D76">
        <w:rPr>
          <w:b/>
        </w:rPr>
        <w:t>The</w:t>
      </w:r>
      <w:r w:rsidRPr="00A13D76" w:rsidR="0069403B">
        <w:rPr>
          <w:b/>
        </w:rPr>
        <w:t xml:space="preserve"> select</w:t>
      </w:r>
      <w:r w:rsidRPr="00A13D76">
        <w:rPr>
          <w:b/>
        </w:rPr>
        <w:t>ion of your targeted respondents</w:t>
      </w:r>
    </w:p>
    <w:p w:rsidRPr="00A13D76" w:rsidR="0069403B" w:rsidP="00652256" w:rsidRDefault="0069403B" w14:paraId="10F8C32F" w14:textId="77777777">
      <w:pPr>
        <w:pStyle w:val="ListParagraph"/>
        <w:numPr>
          <w:ilvl w:val="0"/>
          <w:numId w:val="15"/>
        </w:numPr>
        <w:jc w:val="both"/>
      </w:pPr>
      <w:r w:rsidRPr="00A13D76">
        <w:t>Do you have a customer list or something similar that defines the universe of potential respondents</w:t>
      </w:r>
      <w:r w:rsidRPr="00A13D76" w:rsidR="00636621">
        <w:t xml:space="preserve"> and do you have a sampling plan for selecting from this universe</w:t>
      </w:r>
      <w:r w:rsidRPr="00A13D76">
        <w:t>?</w:t>
      </w:r>
      <w:r w:rsidRPr="00A13D76">
        <w:tab/>
      </w:r>
      <w:r w:rsidRPr="00A13D76">
        <w:tab/>
      </w:r>
      <w:r w:rsidRPr="00A13D76">
        <w:tab/>
      </w:r>
      <w:r w:rsidRPr="00A13D76">
        <w:tab/>
      </w:r>
      <w:r w:rsidRPr="00A13D76">
        <w:tab/>
      </w:r>
      <w:r w:rsidRPr="00A13D76">
        <w:tab/>
      </w:r>
      <w:r w:rsidRPr="00A13D76">
        <w:tab/>
      </w:r>
      <w:r w:rsidRPr="00A13D76">
        <w:tab/>
      </w:r>
      <w:r w:rsidRPr="00A13D76" w:rsidR="00636621">
        <w:tab/>
      </w:r>
      <w:r w:rsidRPr="00A13D76" w:rsidR="00636621">
        <w:tab/>
      </w:r>
      <w:r w:rsidRPr="00A13D76" w:rsidR="00636621">
        <w:tab/>
      </w:r>
      <w:r w:rsidRPr="00A13D76">
        <w:t>[] Yes</w:t>
      </w:r>
      <w:r w:rsidRPr="00A13D76">
        <w:tab/>
        <w:t>[</w:t>
      </w:r>
      <w:r w:rsidRPr="00A13D76" w:rsidR="00180AD9">
        <w:t>X</w:t>
      </w:r>
      <w:r w:rsidRPr="00A13D76">
        <w:t>] No</w:t>
      </w:r>
    </w:p>
    <w:p w:rsidRPr="00A13D76" w:rsidR="00636621" w:rsidP="00636621" w:rsidRDefault="00636621" w14:paraId="3264A2F7" w14:textId="77777777">
      <w:pPr>
        <w:pStyle w:val="ListParagraph"/>
      </w:pPr>
    </w:p>
    <w:p w:rsidRPr="00A13D76" w:rsidR="00636621" w:rsidP="001B0AAA" w:rsidRDefault="00636621" w14:paraId="59CC9CBE" w14:textId="77777777">
      <w:r w:rsidRPr="00A13D76">
        <w:t>If the answer is yes, please provide a description of both below</w:t>
      </w:r>
      <w:r w:rsidRPr="00A13D76" w:rsidR="00A403BB">
        <w:t xml:space="preserve"> (or attach the sampling plan)</w:t>
      </w:r>
      <w:r w:rsidRPr="00A13D76">
        <w:t>?   If the answer is no, please provide a description of how you plan to identify your potential group of respondents</w:t>
      </w:r>
      <w:r w:rsidRPr="00A13D76" w:rsidR="001B0AAA">
        <w:t xml:space="preserve"> and how you will select them</w:t>
      </w:r>
      <w:r w:rsidRPr="00A13D76">
        <w:t>?</w:t>
      </w:r>
    </w:p>
    <w:p w:rsidRPr="00A13D76" w:rsidR="00A403BB" w:rsidP="00A403BB" w:rsidRDefault="00A403BB" w14:paraId="19A61C03" w14:textId="77777777">
      <w:pPr>
        <w:pStyle w:val="ListParagraph"/>
      </w:pPr>
    </w:p>
    <w:p w:rsidRPr="00A13D76" w:rsidR="00A403BB" w:rsidP="00A403BB" w:rsidRDefault="00CE7807" w14:paraId="148D63A7" w14:textId="23CF1CEF">
      <w:r w:rsidRPr="00A13D76">
        <w:t xml:space="preserve">Interviewers will be escorted to a specifically designated position within </w:t>
      </w:r>
      <w:r w:rsidR="00E47FA3">
        <w:rPr>
          <w:color w:val="2F5496" w:themeColor="accent5" w:themeShade="BF"/>
        </w:rPr>
        <w:t xml:space="preserve">the FIS or </w:t>
      </w:r>
      <w:r w:rsidRPr="00A13D76">
        <w:t xml:space="preserve">baggage claim of the POE before exiting the facility. Potential participants waiting for luggage will be approached at random and solicited to take a brief survey about their arrival experience. </w:t>
      </w:r>
    </w:p>
    <w:p w:rsidR="004D6E14" w:rsidP="00A403BB" w:rsidRDefault="004D6E14" w14:paraId="0F34B8DD" w14:textId="77777777">
      <w:pPr>
        <w:rPr>
          <w:b/>
        </w:rPr>
      </w:pPr>
    </w:p>
    <w:p w:rsidR="00A403BB" w:rsidP="00A403BB" w:rsidRDefault="00A403BB" w14:paraId="74A4BCCA" w14:textId="77777777">
      <w:pPr>
        <w:rPr>
          <w:b/>
        </w:rPr>
      </w:pPr>
      <w:r>
        <w:rPr>
          <w:b/>
        </w:rPr>
        <w:t>Administration of the Instrument</w:t>
      </w:r>
    </w:p>
    <w:p w:rsidR="00A403BB" w:rsidP="00A403BB" w:rsidRDefault="001B0AAA" w14:paraId="6EEB8EA9" w14:textId="77777777">
      <w:pPr>
        <w:pStyle w:val="ListParagraph"/>
        <w:numPr>
          <w:ilvl w:val="0"/>
          <w:numId w:val="17"/>
        </w:numPr>
      </w:pPr>
      <w:r>
        <w:t>H</w:t>
      </w:r>
      <w:r w:rsidR="00A403BB">
        <w:t>ow will you collect the information</w:t>
      </w:r>
      <w:r w:rsidRPr="00C6183B" w:rsidR="00A403BB">
        <w:t>? (Check all that apply)</w:t>
      </w:r>
    </w:p>
    <w:p w:rsidR="001B0AAA" w:rsidP="001B0AAA" w:rsidRDefault="00A403BB" w14:paraId="5DCCDE35" w14:textId="77777777">
      <w:pPr>
        <w:ind w:left="720"/>
      </w:pPr>
      <w:r w:rsidRPr="0073592B">
        <w:t>[</w:t>
      </w:r>
      <w:r w:rsidR="00802772">
        <w:t xml:space="preserve">  </w:t>
      </w:r>
      <w:r w:rsidRPr="0073592B">
        <w:t>]</w:t>
      </w:r>
      <w:r>
        <w:t xml:space="preserve"> Web-based</w:t>
      </w:r>
      <w:r w:rsidR="001B0AAA">
        <w:t xml:space="preserve"> or other forms of Social Media </w:t>
      </w:r>
    </w:p>
    <w:p w:rsidR="001B0AAA" w:rsidP="001B0AAA" w:rsidRDefault="00A403BB" w14:paraId="177577FD" w14:textId="77777777">
      <w:pPr>
        <w:ind w:left="720"/>
      </w:pPr>
      <w:r>
        <w:t xml:space="preserve">[ </w:t>
      </w:r>
      <w:r w:rsidR="001B0AAA">
        <w:t xml:space="preserve"> </w:t>
      </w:r>
      <w:r>
        <w:t>] Telephone</w:t>
      </w:r>
      <w:r>
        <w:tab/>
      </w:r>
    </w:p>
    <w:p w:rsidR="001B0AAA" w:rsidP="001B0AAA" w:rsidRDefault="00A403BB" w14:paraId="1088EB7F" w14:textId="77777777">
      <w:pPr>
        <w:ind w:left="720"/>
      </w:pPr>
      <w:r>
        <w:t>[</w:t>
      </w:r>
      <w:r w:rsidR="009079A4">
        <w:t>X</w:t>
      </w:r>
      <w:r>
        <w:t>] In-person</w:t>
      </w:r>
      <w:r>
        <w:tab/>
      </w:r>
    </w:p>
    <w:p w:rsidR="001B0AAA" w:rsidP="001B0AAA" w:rsidRDefault="00A403BB" w14:paraId="6FBF1EA8" w14:textId="77777777">
      <w:pPr>
        <w:ind w:left="720"/>
      </w:pPr>
      <w:r>
        <w:t xml:space="preserve">[ </w:t>
      </w:r>
      <w:r w:rsidR="001B0AAA">
        <w:t xml:space="preserve"> </w:t>
      </w:r>
      <w:r>
        <w:t>] Mail</w:t>
      </w:r>
      <w:r w:rsidR="001B0AAA">
        <w:t xml:space="preserve"> </w:t>
      </w:r>
    </w:p>
    <w:p w:rsidR="001B0AAA" w:rsidP="001B0AAA" w:rsidRDefault="00A403BB" w14:paraId="120803BA" w14:textId="77777777">
      <w:pPr>
        <w:ind w:left="720"/>
      </w:pPr>
      <w:r>
        <w:t xml:space="preserve">[ </w:t>
      </w:r>
      <w:r w:rsidR="001B0AAA">
        <w:t xml:space="preserve"> </w:t>
      </w:r>
      <w:r>
        <w:t>] Other, Explain</w:t>
      </w:r>
    </w:p>
    <w:p w:rsidR="00A869F9" w:rsidP="001B0AAA" w:rsidRDefault="00A869F9" w14:paraId="5883B13D" w14:textId="77777777">
      <w:pPr>
        <w:ind w:left="720"/>
      </w:pPr>
    </w:p>
    <w:p w:rsidR="00F24CFC" w:rsidP="00F24CFC" w:rsidRDefault="00F24CFC" w14:paraId="4F33539E" w14:textId="77777777">
      <w:pPr>
        <w:pStyle w:val="ListParagraph"/>
        <w:numPr>
          <w:ilvl w:val="0"/>
          <w:numId w:val="17"/>
        </w:numPr>
      </w:pPr>
      <w:r>
        <w:t xml:space="preserve">Will interviewers or facilitators be used?  </w:t>
      </w:r>
      <w:r w:rsidR="00802772">
        <w:t>[</w:t>
      </w:r>
      <w:r w:rsidR="009079A4">
        <w:t>X</w:t>
      </w:r>
      <w:r w:rsidRPr="0073592B">
        <w:t>] Yes [ ] No</w:t>
      </w:r>
    </w:p>
    <w:p w:rsidR="00F24CFC" w:rsidP="00F24CFC" w:rsidRDefault="00F24CFC" w14:paraId="7F1BA1CC" w14:textId="77777777">
      <w:pPr>
        <w:pStyle w:val="ListParagraph"/>
        <w:ind w:left="360"/>
      </w:pPr>
      <w:r>
        <w:lastRenderedPageBreak/>
        <w:t xml:space="preserve"> </w:t>
      </w:r>
    </w:p>
    <w:p w:rsidR="00DF1AE7" w:rsidP="0024521E" w:rsidRDefault="00F24CFC" w14:paraId="621B014C" w14:textId="4749F9A0">
      <w:pPr>
        <w:rPr>
          <w:b/>
        </w:rPr>
      </w:pPr>
      <w:r w:rsidRPr="00A13D76">
        <w:rPr>
          <w:b/>
        </w:rPr>
        <w:t>Please make sure that all instruments, instructions, and scripts are submitted with the request.</w:t>
      </w:r>
    </w:p>
    <w:p w:rsidRPr="00A13D76" w:rsidR="00CB3F5A" w:rsidP="0024521E" w:rsidRDefault="00CB3F5A" w14:paraId="7BFA5420" w14:textId="77777777">
      <w:pPr>
        <w:rPr>
          <w:b/>
        </w:rPr>
      </w:pPr>
    </w:p>
    <w:p w:rsidR="0073592B" w:rsidP="00652256" w:rsidRDefault="001426BC" w14:paraId="410DB9EB" w14:textId="77777777">
      <w:pPr>
        <w:jc w:val="both"/>
      </w:pPr>
      <w:r w:rsidRPr="00A13D76">
        <w:t>The following materials are submitted with this form: both versions of the survey in MS Word, the surveys as they will be presented online (HTML</w:t>
      </w:r>
      <w:r w:rsidR="00BD5FD4">
        <w:t xml:space="preserve"> archive file)</w:t>
      </w:r>
      <w:r w:rsidRPr="00A13D76">
        <w:t>.</w:t>
      </w:r>
      <w:r w:rsidR="00BD5FD4">
        <w:t xml:space="preserve"> There will be no emails sent. Only the survey filled out on site and no PII collected. </w:t>
      </w:r>
    </w:p>
    <w:sectPr w:rsidR="0073592B" w:rsidSect="00652256">
      <w:footerReference w:type="default" r:id="rId7"/>
      <w:pgSz w:w="12240" w:h="15840"/>
      <w:pgMar w:top="720" w:right="1440" w:bottom="9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5225" w16cex:dateUtc="2020-07-2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097D9" w16cid:durableId="22C952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098B" w14:textId="77777777" w:rsidR="00C253D3" w:rsidRDefault="00C253D3">
      <w:r>
        <w:separator/>
      </w:r>
    </w:p>
  </w:endnote>
  <w:endnote w:type="continuationSeparator" w:id="0">
    <w:p w14:paraId="6E437E7F" w14:textId="77777777" w:rsidR="00C253D3" w:rsidRDefault="00C2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E84D" w14:textId="36AE94E4"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414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AD02" w14:textId="77777777" w:rsidR="00C253D3" w:rsidRDefault="00C253D3">
      <w:r>
        <w:separator/>
      </w:r>
    </w:p>
  </w:footnote>
  <w:footnote w:type="continuationSeparator" w:id="0">
    <w:p w14:paraId="09502A2E" w14:textId="77777777" w:rsidR="00C253D3" w:rsidRDefault="00C253D3">
      <w:r>
        <w:continuationSeparator/>
      </w:r>
    </w:p>
  </w:footnote>
  <w:footnote w:id="1">
    <w:p w14:paraId="2380F8C2" w14:textId="77777777" w:rsidR="00FB7C63" w:rsidRPr="00D41379" w:rsidRDefault="00FB7C63" w:rsidP="00FB7C63">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 xml:space="preserve">Source: U.S. Department of Transportation, Office of Transportation Policy. </w:t>
      </w:r>
      <w:r w:rsidRPr="00D41379">
        <w:rPr>
          <w:rFonts w:ascii="Times New Roman" w:hAnsi="Times New Roman" w:cs="Times New Roman"/>
          <w:i/>
          <w:lang w:val="en"/>
        </w:rPr>
        <w:t>The Value of Travel Time Savings: Departmental Guidance for Conducting Economic Evaluations Revision 2 (2015 Update)</w:t>
      </w:r>
      <w:r w:rsidRPr="00D41379">
        <w:rPr>
          <w:rFonts w:ascii="Times New Roman" w:hAnsi="Times New Roman" w:cs="Times New Roman"/>
          <w:lang w:val="en"/>
        </w:rPr>
        <w:t>, “Table 4 (Revision 2-corrected): Recommended Hourly Values of Travel Time Savings for Intercity, All-Purpose Travel by Air and High-Speed Rail.”  April 29, 2015.  Available at</w:t>
      </w:r>
      <w:r w:rsidRPr="00D41379">
        <w:rPr>
          <w:rFonts w:ascii="Times New Roman" w:hAnsi="Times New Roman" w:cs="Times New Roman"/>
        </w:rPr>
        <w:t xml:space="preserve"> </w:t>
      </w:r>
      <w:hyperlink r:id="rId1"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40EC"/>
    <w:rsid w:val="00030DC6"/>
    <w:rsid w:val="0003232C"/>
    <w:rsid w:val="00047A64"/>
    <w:rsid w:val="00067329"/>
    <w:rsid w:val="00072453"/>
    <w:rsid w:val="000741C9"/>
    <w:rsid w:val="00075395"/>
    <w:rsid w:val="00087F01"/>
    <w:rsid w:val="00090488"/>
    <w:rsid w:val="000B2838"/>
    <w:rsid w:val="000C518B"/>
    <w:rsid w:val="000D44CA"/>
    <w:rsid w:val="000E200B"/>
    <w:rsid w:val="000F39F7"/>
    <w:rsid w:val="000F68BE"/>
    <w:rsid w:val="00130DF4"/>
    <w:rsid w:val="001426BC"/>
    <w:rsid w:val="00180AD9"/>
    <w:rsid w:val="001927A4"/>
    <w:rsid w:val="00194AC6"/>
    <w:rsid w:val="001A23B0"/>
    <w:rsid w:val="001A25CC"/>
    <w:rsid w:val="001B0AAA"/>
    <w:rsid w:val="001C39F7"/>
    <w:rsid w:val="002009E8"/>
    <w:rsid w:val="00210F16"/>
    <w:rsid w:val="002163EB"/>
    <w:rsid w:val="00237B48"/>
    <w:rsid w:val="0024521E"/>
    <w:rsid w:val="00263C3D"/>
    <w:rsid w:val="00274D0B"/>
    <w:rsid w:val="002B052D"/>
    <w:rsid w:val="002B34CD"/>
    <w:rsid w:val="002B3C95"/>
    <w:rsid w:val="002B79F3"/>
    <w:rsid w:val="002D0B92"/>
    <w:rsid w:val="002D6A55"/>
    <w:rsid w:val="00342CDC"/>
    <w:rsid w:val="00376933"/>
    <w:rsid w:val="003826DA"/>
    <w:rsid w:val="003D5BBE"/>
    <w:rsid w:val="003E3C61"/>
    <w:rsid w:val="003F1C5B"/>
    <w:rsid w:val="0041242E"/>
    <w:rsid w:val="00425F01"/>
    <w:rsid w:val="0042791F"/>
    <w:rsid w:val="00434E33"/>
    <w:rsid w:val="00441434"/>
    <w:rsid w:val="0045264C"/>
    <w:rsid w:val="00452C79"/>
    <w:rsid w:val="004541BD"/>
    <w:rsid w:val="00476775"/>
    <w:rsid w:val="004876EC"/>
    <w:rsid w:val="004C115B"/>
    <w:rsid w:val="004D6E14"/>
    <w:rsid w:val="005009B0"/>
    <w:rsid w:val="00513B1F"/>
    <w:rsid w:val="005171A7"/>
    <w:rsid w:val="0053785A"/>
    <w:rsid w:val="00574666"/>
    <w:rsid w:val="005900C3"/>
    <w:rsid w:val="005A1006"/>
    <w:rsid w:val="005C2AFE"/>
    <w:rsid w:val="005E1036"/>
    <w:rsid w:val="005E714A"/>
    <w:rsid w:val="005F448D"/>
    <w:rsid w:val="005F693D"/>
    <w:rsid w:val="006140A0"/>
    <w:rsid w:val="00623CF5"/>
    <w:rsid w:val="00636621"/>
    <w:rsid w:val="00642B49"/>
    <w:rsid w:val="00652256"/>
    <w:rsid w:val="00664767"/>
    <w:rsid w:val="00673F4A"/>
    <w:rsid w:val="00676254"/>
    <w:rsid w:val="006832D9"/>
    <w:rsid w:val="0069403B"/>
    <w:rsid w:val="006A679A"/>
    <w:rsid w:val="006C557C"/>
    <w:rsid w:val="006F01E5"/>
    <w:rsid w:val="006F13B6"/>
    <w:rsid w:val="006F3DDE"/>
    <w:rsid w:val="007016E5"/>
    <w:rsid w:val="00704678"/>
    <w:rsid w:val="0073592B"/>
    <w:rsid w:val="007425E7"/>
    <w:rsid w:val="00742B44"/>
    <w:rsid w:val="007843AD"/>
    <w:rsid w:val="007A01AD"/>
    <w:rsid w:val="007B7EC3"/>
    <w:rsid w:val="007E7569"/>
    <w:rsid w:val="007F7080"/>
    <w:rsid w:val="00802607"/>
    <w:rsid w:val="00802772"/>
    <w:rsid w:val="008101A5"/>
    <w:rsid w:val="00821352"/>
    <w:rsid w:val="00822664"/>
    <w:rsid w:val="008228C3"/>
    <w:rsid w:val="00824758"/>
    <w:rsid w:val="00843796"/>
    <w:rsid w:val="00861398"/>
    <w:rsid w:val="00886A19"/>
    <w:rsid w:val="0089024D"/>
    <w:rsid w:val="00895229"/>
    <w:rsid w:val="008B2EB3"/>
    <w:rsid w:val="008D44F8"/>
    <w:rsid w:val="008F0203"/>
    <w:rsid w:val="008F50D4"/>
    <w:rsid w:val="008F63B5"/>
    <w:rsid w:val="008F7D7A"/>
    <w:rsid w:val="009079A4"/>
    <w:rsid w:val="009239AA"/>
    <w:rsid w:val="00926283"/>
    <w:rsid w:val="00935ADA"/>
    <w:rsid w:val="00946B6C"/>
    <w:rsid w:val="00955A71"/>
    <w:rsid w:val="0096108F"/>
    <w:rsid w:val="0098404E"/>
    <w:rsid w:val="009840C5"/>
    <w:rsid w:val="00987CA5"/>
    <w:rsid w:val="00994746"/>
    <w:rsid w:val="009A1953"/>
    <w:rsid w:val="009C13B9"/>
    <w:rsid w:val="009D01A2"/>
    <w:rsid w:val="009D0BD3"/>
    <w:rsid w:val="009F5923"/>
    <w:rsid w:val="00A13D76"/>
    <w:rsid w:val="00A30AFA"/>
    <w:rsid w:val="00A403BB"/>
    <w:rsid w:val="00A674DF"/>
    <w:rsid w:val="00A83AA6"/>
    <w:rsid w:val="00A84F55"/>
    <w:rsid w:val="00A85235"/>
    <w:rsid w:val="00A8559F"/>
    <w:rsid w:val="00A869F9"/>
    <w:rsid w:val="00A934D6"/>
    <w:rsid w:val="00AE1809"/>
    <w:rsid w:val="00AE7262"/>
    <w:rsid w:val="00AF30DB"/>
    <w:rsid w:val="00B261B9"/>
    <w:rsid w:val="00B276E5"/>
    <w:rsid w:val="00B3276E"/>
    <w:rsid w:val="00B45A61"/>
    <w:rsid w:val="00B67EED"/>
    <w:rsid w:val="00B80D76"/>
    <w:rsid w:val="00B824F4"/>
    <w:rsid w:val="00BA2105"/>
    <w:rsid w:val="00BA7E06"/>
    <w:rsid w:val="00BB43B5"/>
    <w:rsid w:val="00BB6219"/>
    <w:rsid w:val="00BC41B2"/>
    <w:rsid w:val="00BD290F"/>
    <w:rsid w:val="00BD5FD4"/>
    <w:rsid w:val="00BD78CA"/>
    <w:rsid w:val="00C14CC4"/>
    <w:rsid w:val="00C14D68"/>
    <w:rsid w:val="00C16F02"/>
    <w:rsid w:val="00C22EFC"/>
    <w:rsid w:val="00C253D3"/>
    <w:rsid w:val="00C33C52"/>
    <w:rsid w:val="00C40D8B"/>
    <w:rsid w:val="00C41436"/>
    <w:rsid w:val="00C50B22"/>
    <w:rsid w:val="00C6183B"/>
    <w:rsid w:val="00C801BF"/>
    <w:rsid w:val="00C8407A"/>
    <w:rsid w:val="00C8488C"/>
    <w:rsid w:val="00C86E91"/>
    <w:rsid w:val="00CA2650"/>
    <w:rsid w:val="00CA79C6"/>
    <w:rsid w:val="00CB1078"/>
    <w:rsid w:val="00CB3F5A"/>
    <w:rsid w:val="00CC6FAF"/>
    <w:rsid w:val="00CE7807"/>
    <w:rsid w:val="00CF6542"/>
    <w:rsid w:val="00D06FC9"/>
    <w:rsid w:val="00D24698"/>
    <w:rsid w:val="00D36116"/>
    <w:rsid w:val="00D44336"/>
    <w:rsid w:val="00D571FF"/>
    <w:rsid w:val="00D6383F"/>
    <w:rsid w:val="00D660C0"/>
    <w:rsid w:val="00D94755"/>
    <w:rsid w:val="00DB59D0"/>
    <w:rsid w:val="00DC3160"/>
    <w:rsid w:val="00DC33D3"/>
    <w:rsid w:val="00DD1836"/>
    <w:rsid w:val="00DF1AE7"/>
    <w:rsid w:val="00E17C21"/>
    <w:rsid w:val="00E26329"/>
    <w:rsid w:val="00E40B50"/>
    <w:rsid w:val="00E47FA3"/>
    <w:rsid w:val="00E50293"/>
    <w:rsid w:val="00E57038"/>
    <w:rsid w:val="00E65FFC"/>
    <w:rsid w:val="00E744EA"/>
    <w:rsid w:val="00E80951"/>
    <w:rsid w:val="00E82D20"/>
    <w:rsid w:val="00E86CC6"/>
    <w:rsid w:val="00EB56B3"/>
    <w:rsid w:val="00ED6492"/>
    <w:rsid w:val="00EF2095"/>
    <w:rsid w:val="00F06827"/>
    <w:rsid w:val="00F06866"/>
    <w:rsid w:val="00F111FD"/>
    <w:rsid w:val="00F15956"/>
    <w:rsid w:val="00F24CFC"/>
    <w:rsid w:val="00F3170F"/>
    <w:rsid w:val="00F36EFE"/>
    <w:rsid w:val="00F51AC7"/>
    <w:rsid w:val="00F51DF9"/>
    <w:rsid w:val="00F976B0"/>
    <w:rsid w:val="00FA6DE7"/>
    <w:rsid w:val="00FB5A67"/>
    <w:rsid w:val="00FB7C63"/>
    <w:rsid w:val="00FC0A8E"/>
    <w:rsid w:val="00FE2FA6"/>
    <w:rsid w:val="00FE3DF2"/>
    <w:rsid w:val="00FF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C3FC51"/>
  <w15:chartTrackingRefBased/>
  <w15:docId w15:val="{2E08030D-110A-4DDE-B0F1-E5C95B5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676254"/>
    <w:rPr>
      <w:snapToGrid w:val="0"/>
      <w:sz w:val="24"/>
      <w:szCs w:val="24"/>
    </w:rPr>
  </w:style>
  <w:style w:type="character" w:styleId="Hyperlink">
    <w:name w:val="Hyperlink"/>
    <w:unhideWhenUsed/>
    <w:rsid w:val="003826DA"/>
    <w:rPr>
      <w:color w:val="0000FF"/>
      <w:u w:val="single"/>
    </w:rPr>
  </w:style>
  <w:style w:type="paragraph" w:styleId="FootnoteText">
    <w:name w:val="footnote text"/>
    <w:basedOn w:val="Normal"/>
    <w:link w:val="FootnoteTextChar"/>
    <w:unhideWhenUsed/>
    <w:rsid w:val="003826DA"/>
    <w:rPr>
      <w:rFonts w:ascii="Calibri" w:eastAsia="Calibri" w:hAnsi="Calibri" w:cs="Calibri"/>
      <w:sz w:val="20"/>
      <w:szCs w:val="20"/>
    </w:rPr>
  </w:style>
  <w:style w:type="character" w:customStyle="1" w:styleId="FootnoteTextChar">
    <w:name w:val="Footnote Text Char"/>
    <w:link w:val="FootnoteText"/>
    <w:rsid w:val="003826DA"/>
    <w:rPr>
      <w:rFonts w:ascii="Calibri" w:eastAsia="Calibri" w:hAnsi="Calibri" w:cs="Calibri"/>
    </w:rPr>
  </w:style>
  <w:style w:type="character" w:styleId="FootnoteReference">
    <w:name w:val="footnote reference"/>
    <w:uiPriority w:val="99"/>
    <w:unhideWhenUsed/>
    <w:rsid w:val="003826DA"/>
    <w:rPr>
      <w:vertAlign w:val="superscript"/>
    </w:rPr>
  </w:style>
  <w:style w:type="paragraph" w:styleId="Revision">
    <w:name w:val="Revision"/>
    <w:hidden/>
    <w:uiPriority w:val="99"/>
    <w:semiHidden/>
    <w:rsid w:val="00A855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560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4808</CharactersWithSpaces>
  <SharedDoc>false</SharedDoc>
  <HLinks>
    <vt:vector size="6" baseType="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RENKEMA, SETH D</cp:lastModifiedBy>
  <cp:revision>2</cp:revision>
  <cp:lastPrinted>2010-10-04T15:59:00Z</cp:lastPrinted>
  <dcterms:created xsi:type="dcterms:W3CDTF">2020-08-05T16:06:00Z</dcterms:created>
  <dcterms:modified xsi:type="dcterms:W3CDTF">2020-08-05T16:06:00Z</dcterms:modified>
</cp:coreProperties>
</file>