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15BDE" w14:textId="77777777" w:rsidR="00792394" w:rsidRPr="00C51CDF" w:rsidRDefault="00792394" w:rsidP="00315F54">
      <w:pPr>
        <w:ind w:left="-180"/>
        <w:rPr>
          <w:rFonts w:asciiTheme="minorHAnsi" w:hAnsiTheme="minorHAnsi" w:cstheme="minorHAnsi"/>
        </w:rPr>
      </w:pPr>
      <w:bookmarkStart w:id="0" w:name="_GoBack"/>
      <w:bookmarkEnd w:id="0"/>
    </w:p>
    <w:tbl>
      <w:tblPr>
        <w:tblStyle w:val="TableGrid"/>
        <w:tblW w:w="0" w:type="auto"/>
        <w:jc w:val="center"/>
        <w:tblLook w:val="04A0" w:firstRow="1" w:lastRow="0" w:firstColumn="1" w:lastColumn="0" w:noHBand="0" w:noVBand="1"/>
      </w:tblPr>
      <w:tblGrid>
        <w:gridCol w:w="662"/>
        <w:gridCol w:w="2234"/>
        <w:gridCol w:w="4333"/>
        <w:gridCol w:w="4762"/>
      </w:tblGrid>
      <w:tr w:rsidR="008C3ED7" w:rsidRPr="00C51CDF" w14:paraId="49604597" w14:textId="77777777" w:rsidTr="002D794A">
        <w:trPr>
          <w:trHeight w:val="224"/>
          <w:tblHeader/>
          <w:jc w:val="center"/>
        </w:trPr>
        <w:tc>
          <w:tcPr>
            <w:tcW w:w="11991" w:type="dxa"/>
            <w:gridSpan w:val="4"/>
            <w:shd w:val="clear" w:color="auto" w:fill="548DD4" w:themeFill="text2" w:themeFillTint="99"/>
          </w:tcPr>
          <w:p w14:paraId="1DF7E030" w14:textId="761DDEF4" w:rsidR="008C3ED7" w:rsidRPr="00C51CDF" w:rsidRDefault="008C3ED7" w:rsidP="00136A15">
            <w:pPr>
              <w:jc w:val="center"/>
              <w:rPr>
                <w:rFonts w:asciiTheme="minorHAnsi" w:hAnsiTheme="minorHAnsi" w:cstheme="minorHAnsi"/>
                <w:b/>
                <w:sz w:val="28"/>
                <w:szCs w:val="28"/>
              </w:rPr>
            </w:pPr>
            <w:r>
              <w:rPr>
                <w:rFonts w:asciiTheme="minorHAnsi" w:hAnsiTheme="minorHAnsi" w:cstheme="minorHAnsi"/>
                <w:b/>
                <w:sz w:val="28"/>
                <w:szCs w:val="28"/>
              </w:rPr>
              <w:t>1670</w:t>
            </w:r>
            <w:r w:rsidR="00136A15">
              <w:rPr>
                <w:rFonts w:asciiTheme="minorHAnsi" w:hAnsiTheme="minorHAnsi" w:cstheme="minorHAnsi"/>
                <w:b/>
                <w:sz w:val="28"/>
                <w:szCs w:val="28"/>
              </w:rPr>
              <w:t>-0029 (CFATS Personnel Surety Program)</w:t>
            </w:r>
          </w:p>
        </w:tc>
      </w:tr>
      <w:tr w:rsidR="008C3ED7" w:rsidRPr="00C51CDF" w14:paraId="011510F5" w14:textId="77777777" w:rsidTr="002D794A">
        <w:trPr>
          <w:trHeight w:val="183"/>
          <w:tblHeader/>
          <w:jc w:val="center"/>
        </w:trPr>
        <w:tc>
          <w:tcPr>
            <w:tcW w:w="662" w:type="dxa"/>
            <w:shd w:val="clear" w:color="auto" w:fill="C6D9F1" w:themeFill="text2" w:themeFillTint="33"/>
          </w:tcPr>
          <w:p w14:paraId="0D5A8328" w14:textId="77777777" w:rsidR="008C3ED7" w:rsidRPr="00C51CDF" w:rsidRDefault="008C3ED7" w:rsidP="001B09CA">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w:t>
            </w:r>
          </w:p>
        </w:tc>
        <w:tc>
          <w:tcPr>
            <w:tcW w:w="2234" w:type="dxa"/>
            <w:shd w:val="clear" w:color="auto" w:fill="C6D9F1" w:themeFill="text2" w:themeFillTint="33"/>
          </w:tcPr>
          <w:p w14:paraId="64664C14" w14:textId="77777777" w:rsidR="008C3ED7" w:rsidRPr="00C51CDF" w:rsidRDefault="008C3ED7" w:rsidP="001B09CA">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Category</w:t>
            </w:r>
          </w:p>
        </w:tc>
        <w:tc>
          <w:tcPr>
            <w:tcW w:w="4333" w:type="dxa"/>
            <w:shd w:val="clear" w:color="auto" w:fill="C6D9F1" w:themeFill="text2" w:themeFillTint="33"/>
          </w:tcPr>
          <w:p w14:paraId="43817E19" w14:textId="77777777" w:rsidR="008C3ED7" w:rsidRPr="00C51CDF" w:rsidRDefault="008C3ED7" w:rsidP="001B09CA">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Comment</w:t>
            </w:r>
          </w:p>
        </w:tc>
        <w:tc>
          <w:tcPr>
            <w:tcW w:w="4762" w:type="dxa"/>
            <w:shd w:val="clear" w:color="auto" w:fill="C6D9F1" w:themeFill="text2" w:themeFillTint="33"/>
          </w:tcPr>
          <w:p w14:paraId="59CF4EF6" w14:textId="77777777" w:rsidR="008C3ED7" w:rsidRPr="00C51CDF" w:rsidRDefault="008C3ED7" w:rsidP="001B09CA">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Response</w:t>
            </w:r>
          </w:p>
        </w:tc>
      </w:tr>
      <w:tr w:rsidR="00136A15" w:rsidRPr="00C51CDF" w14:paraId="19182177" w14:textId="77777777" w:rsidTr="002D794A">
        <w:trPr>
          <w:trHeight w:val="378"/>
          <w:tblHeader/>
          <w:jc w:val="center"/>
        </w:trPr>
        <w:tc>
          <w:tcPr>
            <w:tcW w:w="11991" w:type="dxa"/>
            <w:gridSpan w:val="4"/>
            <w:shd w:val="clear" w:color="auto" w:fill="DBE5F1" w:themeFill="accent1" w:themeFillTint="33"/>
            <w:vAlign w:val="center"/>
          </w:tcPr>
          <w:p w14:paraId="0FFDDD1B" w14:textId="39533013" w:rsidR="00136A15" w:rsidRPr="00136A15" w:rsidRDefault="008A3AA0" w:rsidP="00136A15">
            <w:pPr>
              <w:rPr>
                <w:rFonts w:asciiTheme="minorHAnsi" w:hAnsiTheme="minorHAnsi" w:cstheme="minorHAnsi"/>
                <w:b/>
                <w:sz w:val="22"/>
                <w:szCs w:val="22"/>
              </w:rPr>
            </w:pPr>
            <w:r>
              <w:rPr>
                <w:rFonts w:asciiTheme="minorHAnsi" w:hAnsiTheme="minorHAnsi" w:cstheme="minorHAnsi"/>
                <w:b/>
                <w:sz w:val="22"/>
                <w:szCs w:val="22"/>
              </w:rPr>
              <w:t>Comments on whether the proposed collection is necessary for the proper performance of the functions of the agency</w:t>
            </w:r>
            <w:r w:rsidR="00136A15" w:rsidRPr="00136A15">
              <w:rPr>
                <w:rFonts w:asciiTheme="minorHAnsi" w:hAnsiTheme="minorHAnsi" w:cstheme="minorHAnsi"/>
                <w:b/>
                <w:sz w:val="22"/>
                <w:szCs w:val="22"/>
              </w:rPr>
              <w:t xml:space="preserve"> </w:t>
            </w:r>
          </w:p>
        </w:tc>
      </w:tr>
      <w:tr w:rsidR="008A3AA0" w:rsidRPr="00C51CDF" w14:paraId="0C4CCC5B" w14:textId="77777777" w:rsidTr="002D794A">
        <w:trPr>
          <w:trHeight w:val="1160"/>
          <w:jc w:val="center"/>
        </w:trPr>
        <w:tc>
          <w:tcPr>
            <w:tcW w:w="662" w:type="dxa"/>
          </w:tcPr>
          <w:p w14:paraId="0A004302" w14:textId="54690436" w:rsidR="008A3AA0" w:rsidRPr="00C51CDF" w:rsidRDefault="008A3AA0" w:rsidP="008A3AA0">
            <w:pPr>
              <w:rPr>
                <w:rFonts w:asciiTheme="minorHAnsi" w:hAnsiTheme="minorHAnsi" w:cstheme="minorHAnsi"/>
                <w:sz w:val="22"/>
                <w:szCs w:val="22"/>
              </w:rPr>
            </w:pPr>
            <w:r>
              <w:rPr>
                <w:rFonts w:asciiTheme="minorHAnsi" w:hAnsiTheme="minorHAnsi" w:cstheme="minorHAnsi"/>
                <w:sz w:val="22"/>
                <w:szCs w:val="22"/>
              </w:rPr>
              <w:t>1.1</w:t>
            </w:r>
            <w:r w:rsidR="00003040">
              <w:rPr>
                <w:rFonts w:asciiTheme="minorHAnsi" w:hAnsiTheme="minorHAnsi" w:cstheme="minorHAnsi"/>
                <w:sz w:val="22"/>
                <w:szCs w:val="22"/>
              </w:rPr>
              <w:t>.1</w:t>
            </w:r>
          </w:p>
        </w:tc>
        <w:tc>
          <w:tcPr>
            <w:tcW w:w="2234" w:type="dxa"/>
          </w:tcPr>
          <w:p w14:paraId="47175016" w14:textId="5040E1C7" w:rsidR="008A3AA0" w:rsidRPr="00C51CDF" w:rsidRDefault="00DB680A" w:rsidP="008A3AA0">
            <w:pPr>
              <w:rPr>
                <w:rFonts w:asciiTheme="minorHAnsi" w:hAnsiTheme="minorHAnsi" w:cstheme="minorHAnsi"/>
                <w:sz w:val="22"/>
                <w:szCs w:val="22"/>
              </w:rPr>
            </w:pPr>
            <w:r>
              <w:rPr>
                <w:rFonts w:asciiTheme="minorHAnsi" w:hAnsiTheme="minorHAnsi" w:cstheme="minorHAnsi"/>
                <w:sz w:val="22"/>
                <w:szCs w:val="22"/>
              </w:rPr>
              <w:t>Additional Analysis</w:t>
            </w:r>
            <w:r w:rsidR="008A3AA0" w:rsidRPr="00A15D49">
              <w:rPr>
                <w:rFonts w:asciiTheme="minorHAnsi" w:hAnsiTheme="minorHAnsi" w:cstheme="minorHAnsi"/>
                <w:sz w:val="22"/>
                <w:szCs w:val="22"/>
              </w:rPr>
              <w:t xml:space="preserve"> </w:t>
            </w:r>
          </w:p>
        </w:tc>
        <w:tc>
          <w:tcPr>
            <w:tcW w:w="4333" w:type="dxa"/>
          </w:tcPr>
          <w:p w14:paraId="1F124769" w14:textId="5E93CDA3" w:rsidR="008A3AA0" w:rsidRDefault="002114E1" w:rsidP="00716660">
            <w:pPr>
              <w:rPr>
                <w:rFonts w:ascii="Calibri" w:hAnsi="Calibri"/>
                <w:sz w:val="22"/>
                <w:szCs w:val="22"/>
              </w:rPr>
            </w:pPr>
            <w:r>
              <w:rPr>
                <w:rFonts w:asciiTheme="minorHAnsi" w:hAnsiTheme="minorHAnsi"/>
                <w:sz w:val="22"/>
                <w:szCs w:val="22"/>
              </w:rPr>
              <w:t>Four</w:t>
            </w:r>
            <w:r w:rsidRPr="00716660">
              <w:rPr>
                <w:rFonts w:asciiTheme="minorHAnsi" w:hAnsiTheme="minorHAnsi"/>
                <w:sz w:val="22"/>
                <w:szCs w:val="22"/>
              </w:rPr>
              <w:t xml:space="preserve"> </w:t>
            </w:r>
            <w:r w:rsidR="008A3AA0" w:rsidRPr="00716660">
              <w:rPr>
                <w:rFonts w:asciiTheme="minorHAnsi" w:hAnsiTheme="minorHAnsi"/>
                <w:sz w:val="22"/>
                <w:szCs w:val="22"/>
              </w:rPr>
              <w:t>commenters suggested that the Department conduct further assessments</w:t>
            </w:r>
            <w:r w:rsidR="00214DAB">
              <w:rPr>
                <w:rFonts w:asciiTheme="minorHAnsi" w:hAnsiTheme="minorHAnsi"/>
                <w:sz w:val="22"/>
                <w:szCs w:val="22"/>
              </w:rPr>
              <w:t xml:space="preserve"> </w:t>
            </w:r>
            <w:r>
              <w:rPr>
                <w:rFonts w:asciiTheme="minorHAnsi" w:hAnsiTheme="minorHAnsi"/>
                <w:sz w:val="22"/>
                <w:szCs w:val="22"/>
              </w:rPr>
              <w:t xml:space="preserve">on the </w:t>
            </w:r>
            <w:r w:rsidR="00E4543A">
              <w:rPr>
                <w:rFonts w:asciiTheme="minorHAnsi" w:hAnsiTheme="minorHAnsi"/>
                <w:sz w:val="22"/>
                <w:szCs w:val="22"/>
              </w:rPr>
              <w:t>Personnel S</w:t>
            </w:r>
            <w:r w:rsidR="008A3AA0" w:rsidRPr="00716660">
              <w:rPr>
                <w:rFonts w:asciiTheme="minorHAnsi" w:hAnsiTheme="minorHAnsi"/>
                <w:sz w:val="22"/>
                <w:szCs w:val="22"/>
              </w:rPr>
              <w:t xml:space="preserve">urety </w:t>
            </w:r>
            <w:r w:rsidR="00E4543A">
              <w:rPr>
                <w:rFonts w:asciiTheme="minorHAnsi" w:hAnsiTheme="minorHAnsi"/>
                <w:sz w:val="22"/>
                <w:szCs w:val="22"/>
              </w:rPr>
              <w:t>P</w:t>
            </w:r>
            <w:r>
              <w:rPr>
                <w:rFonts w:asciiTheme="minorHAnsi" w:hAnsiTheme="minorHAnsi"/>
                <w:sz w:val="22"/>
                <w:szCs w:val="22"/>
              </w:rPr>
              <w:t>rogram</w:t>
            </w:r>
            <w:r w:rsidR="00E4543A">
              <w:rPr>
                <w:rFonts w:asciiTheme="minorHAnsi" w:hAnsiTheme="minorHAnsi"/>
                <w:sz w:val="22"/>
                <w:szCs w:val="22"/>
              </w:rPr>
              <w:t xml:space="preserve"> (PSP)</w:t>
            </w:r>
            <w:r w:rsidR="008A3AA0" w:rsidRPr="00716660">
              <w:rPr>
                <w:rFonts w:asciiTheme="minorHAnsi" w:hAnsiTheme="minorHAnsi"/>
                <w:sz w:val="22"/>
                <w:szCs w:val="22"/>
              </w:rPr>
              <w:t>:</w:t>
            </w:r>
            <w:r w:rsidR="008A3AA0" w:rsidRPr="00716660">
              <w:rPr>
                <w:rFonts w:ascii="Calibri" w:hAnsi="Calibri"/>
                <w:sz w:val="22"/>
                <w:szCs w:val="22"/>
              </w:rPr>
              <w:t xml:space="preserve"> </w:t>
            </w:r>
          </w:p>
          <w:p w14:paraId="08C5DE97" w14:textId="77777777" w:rsidR="005C6F4F" w:rsidRPr="00716660" w:rsidRDefault="005C6F4F" w:rsidP="00716660">
            <w:pPr>
              <w:rPr>
                <w:rFonts w:ascii="Calibri" w:hAnsi="Calibri"/>
                <w:sz w:val="22"/>
                <w:szCs w:val="22"/>
              </w:rPr>
            </w:pPr>
          </w:p>
          <w:p w14:paraId="1B4A4EEE" w14:textId="3E71DC6A" w:rsidR="008A3AA0" w:rsidRPr="005C6F4F" w:rsidRDefault="008A3AA0" w:rsidP="00716660">
            <w:pPr>
              <w:pStyle w:val="ListParagraph"/>
              <w:tabs>
                <w:tab w:val="left" w:pos="2954"/>
              </w:tabs>
              <w:ind w:left="405"/>
              <w:rPr>
                <w:rFonts w:asciiTheme="minorHAnsi" w:hAnsiTheme="minorHAnsi"/>
              </w:rPr>
            </w:pPr>
            <w:r w:rsidRPr="005C6F4F">
              <w:rPr>
                <w:rFonts w:asciiTheme="minorHAnsi" w:hAnsiTheme="minorHAnsi"/>
              </w:rPr>
              <w:t>One commenter suggested that the Department “should not expand the program until it can see the successes and failures it has with Tier 1 and Tier 2 facilities.” Further, the commenter suggested a “formal assessment, in conjunction with the Department of Justice and the Federal Bureau of Investigation, on the benefits and positive outcomes of running PSP-gained information through the TSDB</w:t>
            </w:r>
            <w:r w:rsidR="00E4543A">
              <w:rPr>
                <w:rFonts w:asciiTheme="minorHAnsi" w:hAnsiTheme="minorHAnsi"/>
              </w:rPr>
              <w:t xml:space="preserve"> [Terrorist Screening Database]</w:t>
            </w:r>
            <w:r w:rsidRPr="005C6F4F">
              <w:rPr>
                <w:rFonts w:asciiTheme="minorHAnsi" w:hAnsiTheme="minorHAnsi"/>
              </w:rPr>
              <w:t xml:space="preserve">” be conducted. The commenter also suggested that such a review could evaluate the effectiveness of the </w:t>
            </w:r>
            <w:r w:rsidR="00E4543A">
              <w:rPr>
                <w:rFonts w:asciiTheme="minorHAnsi" w:hAnsiTheme="minorHAnsi"/>
              </w:rPr>
              <w:t xml:space="preserve">Chemical Facility Anti-Terrorism Standards (CFATS) </w:t>
            </w:r>
            <w:r w:rsidRPr="005C6F4F">
              <w:rPr>
                <w:rFonts w:asciiTheme="minorHAnsi" w:hAnsiTheme="minorHAnsi"/>
              </w:rPr>
              <w:t>CFATS Personnel Surety Program and opportunities “to make it more effective.”</w:t>
            </w:r>
          </w:p>
          <w:p w14:paraId="482AE7BC" w14:textId="77777777" w:rsidR="00716660" w:rsidRPr="005C6F4F" w:rsidRDefault="00716660" w:rsidP="00716660">
            <w:pPr>
              <w:pStyle w:val="ListParagraph"/>
              <w:tabs>
                <w:tab w:val="left" w:pos="2954"/>
              </w:tabs>
              <w:ind w:left="405"/>
              <w:rPr>
                <w:rFonts w:asciiTheme="minorHAnsi" w:hAnsiTheme="minorHAnsi"/>
              </w:rPr>
            </w:pPr>
          </w:p>
          <w:p w14:paraId="0CC2B464" w14:textId="3121AEB8" w:rsidR="008A3AA0" w:rsidRPr="005C6F4F" w:rsidRDefault="008A3AA0" w:rsidP="00716660">
            <w:pPr>
              <w:pStyle w:val="ListParagraph"/>
              <w:tabs>
                <w:tab w:val="left" w:pos="2954"/>
              </w:tabs>
              <w:ind w:left="405"/>
              <w:rPr>
                <w:rFonts w:asciiTheme="minorHAnsi" w:hAnsiTheme="minorHAnsi"/>
              </w:rPr>
            </w:pPr>
            <w:r w:rsidRPr="005C6F4F">
              <w:rPr>
                <w:rFonts w:asciiTheme="minorHAnsi" w:hAnsiTheme="minorHAnsi"/>
              </w:rPr>
              <w:t xml:space="preserve">A second commenter encouraged the Department to “examine the effectiveness of such screening before </w:t>
            </w:r>
            <w:r w:rsidRPr="005C6F4F">
              <w:rPr>
                <w:rFonts w:asciiTheme="minorHAnsi" w:hAnsiTheme="minorHAnsi"/>
              </w:rPr>
              <w:lastRenderedPageBreak/>
              <w:t xml:space="preserve">proceeding to subject the bulk of CFATS regulated facilities to these additional measures.” The second commenter suggested the Department conduct a comprehensive evaluation, similar to the comprehensive evaluation the Transportation Security Administration (TSA) is conducting with respect to the </w:t>
            </w:r>
            <w:r w:rsidR="00E4543A">
              <w:rPr>
                <w:rFonts w:asciiTheme="minorHAnsi" w:hAnsiTheme="minorHAnsi"/>
              </w:rPr>
              <w:t>Transportation Worker Identification Credentials (</w:t>
            </w:r>
            <w:r w:rsidRPr="005C6F4F">
              <w:rPr>
                <w:rFonts w:asciiTheme="minorHAnsi" w:hAnsiTheme="minorHAnsi"/>
              </w:rPr>
              <w:t>TWIC</w:t>
            </w:r>
            <w:r w:rsidR="00E4543A">
              <w:rPr>
                <w:rFonts w:asciiTheme="minorHAnsi" w:hAnsiTheme="minorHAnsi"/>
              </w:rPr>
              <w:t>)</w:t>
            </w:r>
            <w:r w:rsidRPr="005C6F4F">
              <w:rPr>
                <w:rFonts w:asciiTheme="minorHAnsi" w:hAnsiTheme="minorHAnsi"/>
              </w:rPr>
              <w:t xml:space="preserve"> Program</w:t>
            </w:r>
            <w:r w:rsidR="00E4543A">
              <w:rPr>
                <w:rFonts w:asciiTheme="minorHAnsi" w:hAnsiTheme="minorHAnsi"/>
              </w:rPr>
              <w:t>,</w:t>
            </w:r>
            <w:r w:rsidR="005C6F4F" w:rsidRPr="005C6F4F">
              <w:rPr>
                <w:rStyle w:val="FootnoteReference"/>
                <w:rFonts w:asciiTheme="minorHAnsi" w:hAnsiTheme="minorHAnsi"/>
              </w:rPr>
              <w:footnoteReference w:id="2"/>
            </w:r>
            <w:r w:rsidR="005C6F4F" w:rsidRPr="005C6F4F">
              <w:rPr>
                <w:rFonts w:asciiTheme="minorHAnsi" w:hAnsiTheme="minorHAnsi"/>
              </w:rPr>
              <w:t xml:space="preserve"> </w:t>
            </w:r>
            <w:r w:rsidRPr="005C6F4F">
              <w:rPr>
                <w:rFonts w:asciiTheme="minorHAnsi" w:hAnsiTheme="minorHAnsi"/>
              </w:rPr>
              <w:t>before determining whether to expand the CFATS Personnel Surety Program to Tier 3 and Tier 4 covered chemical facilities.</w:t>
            </w:r>
          </w:p>
          <w:p w14:paraId="202C9486" w14:textId="77777777" w:rsidR="00716660" w:rsidRPr="005C6F4F" w:rsidRDefault="00716660" w:rsidP="00716660">
            <w:pPr>
              <w:pStyle w:val="ListParagraph"/>
              <w:tabs>
                <w:tab w:val="left" w:pos="2954"/>
              </w:tabs>
              <w:ind w:left="405"/>
              <w:rPr>
                <w:rFonts w:asciiTheme="minorHAnsi" w:hAnsiTheme="minorHAnsi"/>
              </w:rPr>
            </w:pPr>
          </w:p>
          <w:p w14:paraId="28D74493" w14:textId="74C7E884" w:rsidR="008A3AA0" w:rsidRPr="005C6F4F" w:rsidRDefault="008A3AA0" w:rsidP="00716660">
            <w:pPr>
              <w:pStyle w:val="ListParagraph"/>
              <w:tabs>
                <w:tab w:val="left" w:pos="2954"/>
              </w:tabs>
              <w:ind w:left="405"/>
              <w:rPr>
                <w:rFonts w:asciiTheme="minorHAnsi" w:hAnsiTheme="minorHAnsi"/>
              </w:rPr>
            </w:pPr>
            <w:r w:rsidRPr="005C6F4F">
              <w:rPr>
                <w:rFonts w:asciiTheme="minorHAnsi" w:hAnsiTheme="minorHAnsi"/>
              </w:rPr>
              <w:t xml:space="preserve">A third commenter referenced an ongoing Government Accountability Office (GAO) assessment of the CFATS program and speculated that the GAO assessment might review the implementation of the CFATS Personnel Surety Program. The commenter suggested that the Department could benefit from considering the results of the GAO assessment with respect “to tailoring implementation of PSP for Tier 3 and 4 facilities.” The commenter also suggested that if the GAO assessment does not </w:t>
            </w:r>
            <w:r w:rsidR="00E4543A">
              <w:rPr>
                <w:rFonts w:asciiTheme="minorHAnsi" w:hAnsiTheme="minorHAnsi"/>
              </w:rPr>
              <w:t>include</w:t>
            </w:r>
            <w:r w:rsidRPr="005C6F4F">
              <w:rPr>
                <w:rFonts w:asciiTheme="minorHAnsi" w:hAnsiTheme="minorHAnsi"/>
              </w:rPr>
              <w:t xml:space="preserve"> a review of the CFATS Personnel Surety Program, the Department should undertake such an analysis. In conclusion, the </w:t>
            </w:r>
            <w:r w:rsidR="005C6F4F" w:rsidRPr="005C6F4F">
              <w:rPr>
                <w:rFonts w:asciiTheme="minorHAnsi" w:hAnsiTheme="minorHAnsi"/>
              </w:rPr>
              <w:t xml:space="preserve">same </w:t>
            </w:r>
            <w:r w:rsidRPr="005C6F4F">
              <w:rPr>
                <w:rFonts w:asciiTheme="minorHAnsi" w:hAnsiTheme="minorHAnsi"/>
              </w:rPr>
              <w:t>commenter suggested that the Department not expand the CFATS Personnel Surety Program to Tier 3 and Tier 4 covered chemical facilities until such an analysis has been conducted and the results used to inform the CFATS Personnel Surety Program I</w:t>
            </w:r>
            <w:r w:rsidR="00E4543A">
              <w:rPr>
                <w:rFonts w:asciiTheme="minorHAnsi" w:hAnsiTheme="minorHAnsi"/>
              </w:rPr>
              <w:t>nformation Collection Request (I</w:t>
            </w:r>
            <w:r w:rsidRPr="005C6F4F">
              <w:rPr>
                <w:rFonts w:asciiTheme="minorHAnsi" w:hAnsiTheme="minorHAnsi"/>
              </w:rPr>
              <w:t>CR</w:t>
            </w:r>
            <w:r w:rsidR="00E4543A">
              <w:rPr>
                <w:rFonts w:asciiTheme="minorHAnsi" w:hAnsiTheme="minorHAnsi"/>
              </w:rPr>
              <w:t>)</w:t>
            </w:r>
            <w:r w:rsidRPr="005C6F4F">
              <w:rPr>
                <w:rFonts w:asciiTheme="minorHAnsi" w:hAnsiTheme="minorHAnsi"/>
              </w:rPr>
              <w:t>.</w:t>
            </w:r>
          </w:p>
          <w:p w14:paraId="5261DD4F" w14:textId="77777777" w:rsidR="002114E1" w:rsidRPr="005C6F4F" w:rsidRDefault="002114E1" w:rsidP="00716660">
            <w:pPr>
              <w:pStyle w:val="ListParagraph"/>
              <w:tabs>
                <w:tab w:val="left" w:pos="2954"/>
              </w:tabs>
              <w:ind w:left="405"/>
              <w:rPr>
                <w:rFonts w:asciiTheme="minorHAnsi" w:hAnsiTheme="minorHAnsi"/>
              </w:rPr>
            </w:pPr>
          </w:p>
          <w:p w14:paraId="646823D9" w14:textId="34301939" w:rsidR="002114E1" w:rsidRPr="00716660" w:rsidRDefault="002114E1" w:rsidP="00585698">
            <w:pPr>
              <w:pStyle w:val="ListParagraph"/>
              <w:tabs>
                <w:tab w:val="left" w:pos="2954"/>
              </w:tabs>
              <w:ind w:left="405"/>
            </w:pPr>
            <w:r w:rsidRPr="005C6F4F">
              <w:rPr>
                <w:rFonts w:asciiTheme="minorHAnsi" w:hAnsiTheme="minorHAnsi"/>
              </w:rPr>
              <w:t>A fourth commenter requested that the Department allow a third-party review of the CFATS Personnel Surety Program after a suitable period of time has passed to determine if the program add</w:t>
            </w:r>
            <w:r w:rsidR="00E4543A">
              <w:rPr>
                <w:rFonts w:asciiTheme="minorHAnsi" w:hAnsiTheme="minorHAnsi"/>
              </w:rPr>
              <w:t>s</w:t>
            </w:r>
            <w:r w:rsidRPr="005C6F4F">
              <w:rPr>
                <w:rFonts w:asciiTheme="minorHAnsi" w:hAnsiTheme="minorHAnsi"/>
              </w:rPr>
              <w:t xml:space="preserve"> value to the security of the nation.</w:t>
            </w:r>
          </w:p>
        </w:tc>
        <w:tc>
          <w:tcPr>
            <w:tcW w:w="4762" w:type="dxa"/>
          </w:tcPr>
          <w:p w14:paraId="61B9003C" w14:textId="153880E3" w:rsidR="0093446B" w:rsidRDefault="00716660" w:rsidP="0093446B">
            <w:pPr>
              <w:rPr>
                <w:rFonts w:asciiTheme="minorHAnsi" w:hAnsiTheme="minorHAnsi"/>
                <w:sz w:val="22"/>
                <w:szCs w:val="22"/>
              </w:rPr>
            </w:pPr>
            <w:r w:rsidRPr="00716660">
              <w:rPr>
                <w:rFonts w:asciiTheme="minorHAnsi" w:hAnsiTheme="minorHAnsi"/>
                <w:sz w:val="22"/>
                <w:szCs w:val="22"/>
              </w:rPr>
              <w:lastRenderedPageBreak/>
              <w:t xml:space="preserve">The Department does not </w:t>
            </w:r>
            <w:r w:rsidR="005B3AB3">
              <w:rPr>
                <w:rFonts w:asciiTheme="minorHAnsi" w:hAnsiTheme="minorHAnsi"/>
                <w:sz w:val="22"/>
                <w:szCs w:val="22"/>
              </w:rPr>
              <w:t>believe</w:t>
            </w:r>
            <w:r w:rsidRPr="00716660">
              <w:rPr>
                <w:rFonts w:asciiTheme="minorHAnsi" w:hAnsiTheme="minorHAnsi"/>
                <w:sz w:val="22"/>
                <w:szCs w:val="22"/>
              </w:rPr>
              <w:t xml:space="preserve"> that additional analysis is needed prior to </w:t>
            </w:r>
            <w:r w:rsidR="00E4543A">
              <w:rPr>
                <w:rFonts w:asciiTheme="minorHAnsi" w:hAnsiTheme="minorHAnsi"/>
                <w:sz w:val="22"/>
                <w:szCs w:val="22"/>
              </w:rPr>
              <w:t>the Office of Management and Budget (</w:t>
            </w:r>
            <w:r w:rsidRPr="00716660">
              <w:rPr>
                <w:rFonts w:asciiTheme="minorHAnsi" w:hAnsiTheme="minorHAnsi"/>
                <w:sz w:val="22"/>
                <w:szCs w:val="22"/>
              </w:rPr>
              <w:t>OMB</w:t>
            </w:r>
            <w:r w:rsidR="00E4543A">
              <w:rPr>
                <w:rFonts w:asciiTheme="minorHAnsi" w:hAnsiTheme="minorHAnsi"/>
                <w:sz w:val="22"/>
                <w:szCs w:val="22"/>
              </w:rPr>
              <w:t>)</w:t>
            </w:r>
            <w:r w:rsidRPr="00716660">
              <w:rPr>
                <w:rFonts w:asciiTheme="minorHAnsi" w:hAnsiTheme="minorHAnsi"/>
                <w:sz w:val="22"/>
                <w:szCs w:val="22"/>
              </w:rPr>
              <w:t xml:space="preserve"> approving the collection of information </w:t>
            </w:r>
            <w:r w:rsidR="00E4543A">
              <w:rPr>
                <w:rFonts w:asciiTheme="minorHAnsi" w:hAnsiTheme="minorHAnsi"/>
                <w:sz w:val="22"/>
                <w:szCs w:val="22"/>
              </w:rPr>
              <w:t>concerning</w:t>
            </w:r>
            <w:r w:rsidRPr="00716660">
              <w:rPr>
                <w:rFonts w:asciiTheme="minorHAnsi" w:hAnsiTheme="minorHAnsi"/>
                <w:sz w:val="22"/>
                <w:szCs w:val="22"/>
              </w:rPr>
              <w:t xml:space="preserve"> affected individuals from all covered chemical facilities. The Department has closely reviewed how Tier 1 and Tier 2 covered chemicals facilities have implemented the check for terrorist ties. Tier 1 and Tier 2 covered chemical facilities have varied by size, complexity, security issue, and location. </w:t>
            </w:r>
          </w:p>
          <w:p w14:paraId="01BD7D2E" w14:textId="77777777" w:rsidR="0093446B" w:rsidRDefault="0093446B" w:rsidP="0093446B">
            <w:pPr>
              <w:rPr>
                <w:rFonts w:asciiTheme="minorHAnsi" w:hAnsiTheme="minorHAnsi"/>
                <w:sz w:val="22"/>
                <w:szCs w:val="22"/>
              </w:rPr>
            </w:pPr>
          </w:p>
          <w:p w14:paraId="0A341D18" w14:textId="0240AFFC" w:rsidR="008A3AA0" w:rsidRPr="00716660" w:rsidRDefault="0093446B" w:rsidP="008E3341">
            <w:pPr>
              <w:rPr>
                <w:rFonts w:asciiTheme="minorHAnsi" w:hAnsiTheme="minorHAnsi" w:cstheme="minorHAnsi"/>
                <w:sz w:val="22"/>
                <w:szCs w:val="22"/>
              </w:rPr>
            </w:pPr>
            <w:r>
              <w:rPr>
                <w:rFonts w:asciiTheme="minorHAnsi" w:hAnsiTheme="minorHAnsi"/>
                <w:sz w:val="22"/>
                <w:szCs w:val="22"/>
              </w:rPr>
              <w:t>Additionally, v</w:t>
            </w:r>
            <w:r w:rsidRPr="0093446B">
              <w:rPr>
                <w:rFonts w:asciiTheme="minorHAnsi" w:hAnsiTheme="minorHAnsi"/>
                <w:sz w:val="22"/>
                <w:szCs w:val="22"/>
              </w:rPr>
              <w:t>etting for terrorist ties for all four tiers of covered facilities is required by CFATS.  Members of the public commented on the CFATS rulemaking in 2007 before the regulation was finalized, and DHS considered all public comments (including comments about terrorist ties vetting and background checks) in coming to the reasoned decision to vet affected individuals for terrorist ties at all tiered faci</w:t>
            </w:r>
            <w:r w:rsidR="00E4543A">
              <w:rPr>
                <w:rFonts w:asciiTheme="minorHAnsi" w:hAnsiTheme="minorHAnsi"/>
                <w:sz w:val="22"/>
                <w:szCs w:val="22"/>
              </w:rPr>
              <w:t xml:space="preserve">lities as part of the program. </w:t>
            </w:r>
            <w:r w:rsidRPr="0093446B">
              <w:rPr>
                <w:rFonts w:asciiTheme="minorHAnsi" w:hAnsiTheme="minorHAnsi"/>
                <w:sz w:val="22"/>
                <w:szCs w:val="22"/>
              </w:rPr>
              <w:t>DHS disagrees that a modification</w:t>
            </w:r>
            <w:r w:rsidR="008E3341">
              <w:rPr>
                <w:rFonts w:asciiTheme="minorHAnsi" w:hAnsiTheme="minorHAnsi"/>
                <w:sz w:val="22"/>
                <w:szCs w:val="22"/>
              </w:rPr>
              <w:t xml:space="preserve"> to the program</w:t>
            </w:r>
            <w:r w:rsidRPr="0093446B">
              <w:rPr>
                <w:rFonts w:asciiTheme="minorHAnsi" w:hAnsiTheme="minorHAnsi"/>
                <w:sz w:val="22"/>
                <w:szCs w:val="22"/>
              </w:rPr>
              <w:t xml:space="preserve"> to eliminate this requirement for Tiers 3 and 4 or to indefinitely delay its rollout in order to conduct additiona</w:t>
            </w:r>
            <w:r w:rsidR="00E4543A">
              <w:rPr>
                <w:rFonts w:asciiTheme="minorHAnsi" w:hAnsiTheme="minorHAnsi"/>
                <w:sz w:val="22"/>
                <w:szCs w:val="22"/>
              </w:rPr>
              <w:t>l analysis would be appropriate. P</w:t>
            </w:r>
            <w:r w:rsidRPr="0093446B">
              <w:rPr>
                <w:rFonts w:asciiTheme="minorHAnsi" w:hAnsiTheme="minorHAnsi"/>
                <w:sz w:val="22"/>
                <w:szCs w:val="22"/>
              </w:rPr>
              <w:t xml:space="preserve">reventing terrorist access to high-risk chemical facilities’ restricted areas and critical assets is a core purpose of CFATS, and failure to conduct terrorist ties checks </w:t>
            </w:r>
            <w:r w:rsidR="008E3341">
              <w:rPr>
                <w:rFonts w:asciiTheme="minorHAnsi" w:hAnsiTheme="minorHAnsi"/>
                <w:sz w:val="22"/>
                <w:szCs w:val="22"/>
              </w:rPr>
              <w:t xml:space="preserve">may allow terrorist to gain access. </w:t>
            </w:r>
          </w:p>
        </w:tc>
      </w:tr>
      <w:tr w:rsidR="002114E1" w:rsidRPr="00C51CDF" w14:paraId="1163B80D" w14:textId="77777777" w:rsidTr="002D794A">
        <w:trPr>
          <w:trHeight w:val="1160"/>
          <w:jc w:val="center"/>
        </w:trPr>
        <w:tc>
          <w:tcPr>
            <w:tcW w:w="662" w:type="dxa"/>
          </w:tcPr>
          <w:p w14:paraId="74D0825C" w14:textId="68CD3400" w:rsidR="002114E1" w:rsidRPr="00C51CDF" w:rsidRDefault="002D794A" w:rsidP="002D794A">
            <w:pPr>
              <w:rPr>
                <w:rFonts w:asciiTheme="minorHAnsi" w:hAnsiTheme="minorHAnsi" w:cstheme="minorHAnsi"/>
                <w:sz w:val="22"/>
                <w:szCs w:val="22"/>
              </w:rPr>
            </w:pPr>
            <w:r>
              <w:rPr>
                <w:rFonts w:asciiTheme="minorHAnsi" w:hAnsiTheme="minorHAnsi" w:cstheme="minorHAnsi"/>
                <w:sz w:val="22"/>
                <w:szCs w:val="22"/>
              </w:rPr>
              <w:lastRenderedPageBreak/>
              <w:t>1.2</w:t>
            </w:r>
            <w:r w:rsidR="002114E1">
              <w:rPr>
                <w:rFonts w:asciiTheme="minorHAnsi" w:hAnsiTheme="minorHAnsi" w:cstheme="minorHAnsi"/>
                <w:sz w:val="22"/>
                <w:szCs w:val="22"/>
              </w:rPr>
              <w:t>.</w:t>
            </w:r>
            <w:r>
              <w:rPr>
                <w:rFonts w:asciiTheme="minorHAnsi" w:hAnsiTheme="minorHAnsi" w:cstheme="minorHAnsi"/>
                <w:sz w:val="22"/>
                <w:szCs w:val="22"/>
              </w:rPr>
              <w:t>1</w:t>
            </w:r>
          </w:p>
        </w:tc>
        <w:tc>
          <w:tcPr>
            <w:tcW w:w="2234" w:type="dxa"/>
          </w:tcPr>
          <w:p w14:paraId="7E25E9EC" w14:textId="03122FC1" w:rsidR="002114E1" w:rsidRPr="00C51CDF" w:rsidRDefault="00DB680A" w:rsidP="002D794A">
            <w:pPr>
              <w:rPr>
                <w:rFonts w:asciiTheme="minorHAnsi" w:hAnsiTheme="minorHAnsi" w:cstheme="minorHAnsi"/>
                <w:sz w:val="22"/>
                <w:szCs w:val="22"/>
              </w:rPr>
            </w:pPr>
            <w:r>
              <w:rPr>
                <w:rFonts w:asciiTheme="minorHAnsi" w:hAnsiTheme="minorHAnsi" w:cstheme="minorHAnsi"/>
                <w:sz w:val="22"/>
                <w:szCs w:val="22"/>
              </w:rPr>
              <w:t xml:space="preserve">Objection to inclusion of certain </w:t>
            </w:r>
            <w:r w:rsidR="002D794A">
              <w:rPr>
                <w:rFonts w:asciiTheme="minorHAnsi" w:hAnsiTheme="minorHAnsi" w:cstheme="minorHAnsi"/>
                <w:sz w:val="22"/>
                <w:szCs w:val="22"/>
              </w:rPr>
              <w:t>groups</w:t>
            </w:r>
            <w:r w:rsidR="002114E1" w:rsidRPr="00A15D49">
              <w:rPr>
                <w:rFonts w:asciiTheme="minorHAnsi" w:hAnsiTheme="minorHAnsi" w:cstheme="minorHAnsi"/>
                <w:sz w:val="22"/>
                <w:szCs w:val="22"/>
              </w:rPr>
              <w:t xml:space="preserve"> </w:t>
            </w:r>
          </w:p>
        </w:tc>
        <w:tc>
          <w:tcPr>
            <w:tcW w:w="4333" w:type="dxa"/>
          </w:tcPr>
          <w:p w14:paraId="0F8BEF29" w14:textId="3444708E" w:rsidR="002114E1" w:rsidRPr="00C51CDF" w:rsidRDefault="002114E1" w:rsidP="00585698">
            <w:pPr>
              <w:tabs>
                <w:tab w:val="left" w:pos="2954"/>
              </w:tabs>
              <w:rPr>
                <w:rFonts w:asciiTheme="minorHAnsi" w:hAnsiTheme="minorHAnsi" w:cstheme="minorHAnsi"/>
                <w:sz w:val="22"/>
              </w:rPr>
            </w:pPr>
            <w:r w:rsidRPr="00716660">
              <w:rPr>
                <w:rFonts w:asciiTheme="minorHAnsi" w:hAnsiTheme="minorHAnsi" w:cstheme="minorHAnsi"/>
                <w:sz w:val="22"/>
              </w:rPr>
              <w:t xml:space="preserve">One commenter reiterated its continued objection to the inclusion of railroad employees </w:t>
            </w:r>
            <w:r w:rsidR="003D131D">
              <w:rPr>
                <w:rFonts w:asciiTheme="minorHAnsi" w:hAnsiTheme="minorHAnsi" w:cstheme="minorHAnsi"/>
                <w:sz w:val="22"/>
              </w:rPr>
              <w:t xml:space="preserve">is </w:t>
            </w:r>
            <w:r w:rsidRPr="00716660">
              <w:rPr>
                <w:rFonts w:asciiTheme="minorHAnsi" w:hAnsiTheme="minorHAnsi" w:cstheme="minorHAnsi"/>
                <w:sz w:val="22"/>
              </w:rPr>
              <w:t>within the scope of CFATS because the</w:t>
            </w:r>
            <w:r w:rsidR="003D131D">
              <w:rPr>
                <w:rFonts w:asciiTheme="minorHAnsi" w:hAnsiTheme="minorHAnsi" w:cstheme="minorHAnsi"/>
                <w:sz w:val="22"/>
              </w:rPr>
              <w:t xml:space="preserve"> commenter claims that</w:t>
            </w:r>
            <w:r w:rsidRPr="00716660">
              <w:rPr>
                <w:rFonts w:asciiTheme="minorHAnsi" w:hAnsiTheme="minorHAnsi" w:cstheme="minorHAnsi"/>
                <w:sz w:val="22"/>
              </w:rPr>
              <w:t xml:space="preserve"> inclusion of railroad employees lacks a risk</w:t>
            </w:r>
            <w:r w:rsidR="00775CBD">
              <w:rPr>
                <w:rFonts w:asciiTheme="minorHAnsi" w:hAnsiTheme="minorHAnsi" w:cstheme="minorHAnsi"/>
                <w:sz w:val="22"/>
              </w:rPr>
              <w:t>-</w:t>
            </w:r>
            <w:r w:rsidRPr="00716660">
              <w:rPr>
                <w:rFonts w:asciiTheme="minorHAnsi" w:hAnsiTheme="minorHAnsi" w:cstheme="minorHAnsi"/>
                <w:sz w:val="22"/>
              </w:rPr>
              <w:t>based justification.</w:t>
            </w:r>
          </w:p>
        </w:tc>
        <w:tc>
          <w:tcPr>
            <w:tcW w:w="4762" w:type="dxa"/>
          </w:tcPr>
          <w:p w14:paraId="7F12E507" w14:textId="0D7CEC41" w:rsidR="002114E1" w:rsidRDefault="002114E1" w:rsidP="005B3AB3">
            <w:pPr>
              <w:rPr>
                <w:rFonts w:asciiTheme="minorHAnsi" w:hAnsiTheme="minorHAnsi" w:cstheme="minorHAnsi"/>
                <w:sz w:val="22"/>
                <w:szCs w:val="22"/>
              </w:rPr>
            </w:pPr>
            <w:r w:rsidRPr="00757CB5">
              <w:rPr>
                <w:rFonts w:asciiTheme="minorHAnsi" w:hAnsiTheme="minorHAnsi" w:cstheme="minorHAnsi"/>
                <w:sz w:val="22"/>
                <w:szCs w:val="22"/>
              </w:rPr>
              <w:t>Under CFATS, the Department regulates covered chemical facilities that present a high risk from terrorist attack</w:t>
            </w:r>
            <w:r w:rsidR="005B3AB3">
              <w:rPr>
                <w:rFonts w:asciiTheme="minorHAnsi" w:hAnsiTheme="minorHAnsi" w:cstheme="minorHAnsi"/>
                <w:sz w:val="22"/>
                <w:szCs w:val="22"/>
              </w:rPr>
              <w:t xml:space="preserve">. </w:t>
            </w:r>
            <w:r w:rsidR="00B25CE9">
              <w:rPr>
                <w:rFonts w:asciiTheme="minorHAnsi" w:hAnsiTheme="minorHAnsi" w:cstheme="minorHAnsi"/>
                <w:sz w:val="22"/>
                <w:szCs w:val="22"/>
              </w:rPr>
              <w:t xml:space="preserve">Effectively regulating chemical facility security involves assessing whether terrorists have access to facilities, and terrorists seeking access might not be limited to facility employees. </w:t>
            </w:r>
            <w:r w:rsidR="00775CBD">
              <w:rPr>
                <w:rFonts w:asciiTheme="minorHAnsi" w:hAnsiTheme="minorHAnsi" w:cstheme="minorHAnsi"/>
                <w:sz w:val="22"/>
                <w:szCs w:val="22"/>
              </w:rPr>
              <w:t>To help reduce risk to high-</w:t>
            </w:r>
            <w:r w:rsidR="005B3AB3">
              <w:rPr>
                <w:rFonts w:asciiTheme="minorHAnsi" w:hAnsiTheme="minorHAnsi" w:cstheme="minorHAnsi"/>
                <w:sz w:val="22"/>
                <w:szCs w:val="22"/>
              </w:rPr>
              <w:t xml:space="preserve">risk facilities, </w:t>
            </w:r>
            <w:r w:rsidR="00B25CE9">
              <w:rPr>
                <w:rFonts w:asciiTheme="minorHAnsi" w:hAnsiTheme="minorHAnsi" w:cstheme="minorHAnsi"/>
                <w:sz w:val="22"/>
                <w:szCs w:val="22"/>
              </w:rPr>
              <w:t>t</w:t>
            </w:r>
            <w:r w:rsidRPr="00757CB5">
              <w:rPr>
                <w:rFonts w:asciiTheme="minorHAnsi" w:hAnsiTheme="minorHAnsi" w:cstheme="minorHAnsi"/>
                <w:sz w:val="22"/>
                <w:szCs w:val="22"/>
              </w:rPr>
              <w:t>he Department require</w:t>
            </w:r>
            <w:r>
              <w:rPr>
                <w:rFonts w:asciiTheme="minorHAnsi" w:hAnsiTheme="minorHAnsi" w:cstheme="minorHAnsi"/>
                <w:sz w:val="22"/>
                <w:szCs w:val="22"/>
              </w:rPr>
              <w:t>s</w:t>
            </w:r>
            <w:r w:rsidRPr="00757CB5">
              <w:rPr>
                <w:rFonts w:asciiTheme="minorHAnsi" w:hAnsiTheme="minorHAnsi" w:cstheme="minorHAnsi"/>
                <w:sz w:val="22"/>
                <w:szCs w:val="22"/>
              </w:rPr>
              <w:t xml:space="preserve"> covered chemical facilities to conduct a check for terrorist ties o</w:t>
            </w:r>
            <w:r>
              <w:rPr>
                <w:rFonts w:asciiTheme="minorHAnsi" w:hAnsiTheme="minorHAnsi" w:cstheme="minorHAnsi"/>
                <w:sz w:val="22"/>
                <w:szCs w:val="22"/>
              </w:rPr>
              <w:t>n</w:t>
            </w:r>
            <w:r w:rsidRPr="00757CB5">
              <w:rPr>
                <w:rFonts w:asciiTheme="minorHAnsi" w:hAnsiTheme="minorHAnsi" w:cstheme="minorHAnsi"/>
                <w:sz w:val="22"/>
                <w:szCs w:val="22"/>
              </w:rPr>
              <w:t xml:space="preserve"> </w:t>
            </w:r>
            <w:r w:rsidRPr="001D0991">
              <w:rPr>
                <w:rFonts w:asciiTheme="minorHAnsi" w:hAnsiTheme="minorHAnsi" w:cstheme="minorHAnsi"/>
                <w:sz w:val="22"/>
                <w:szCs w:val="22"/>
              </w:rPr>
              <w:t xml:space="preserve">affected individuals </w:t>
            </w:r>
            <w:r w:rsidR="00DB680A">
              <w:rPr>
                <w:rFonts w:asciiTheme="minorHAnsi" w:hAnsiTheme="minorHAnsi" w:cstheme="minorHAnsi"/>
                <w:sz w:val="22"/>
                <w:szCs w:val="22"/>
              </w:rPr>
              <w:t>(</w:t>
            </w:r>
            <w:r w:rsidRPr="001D0991">
              <w:rPr>
                <w:rFonts w:asciiTheme="minorHAnsi" w:hAnsiTheme="minorHAnsi" w:cstheme="minorHAnsi"/>
                <w:sz w:val="22"/>
                <w:szCs w:val="22"/>
              </w:rPr>
              <w:t xml:space="preserve">e.g., </w:t>
            </w:r>
            <w:r w:rsidR="00B25CE9">
              <w:rPr>
                <w:rFonts w:asciiTheme="minorHAnsi" w:hAnsiTheme="minorHAnsi" w:cstheme="minorHAnsi"/>
                <w:sz w:val="22"/>
                <w:szCs w:val="22"/>
              </w:rPr>
              <w:t>facility personnel</w:t>
            </w:r>
            <w:r w:rsidRPr="001D0991">
              <w:rPr>
                <w:rFonts w:asciiTheme="minorHAnsi" w:hAnsiTheme="minorHAnsi" w:cstheme="minorHAnsi"/>
                <w:sz w:val="22"/>
                <w:szCs w:val="22"/>
              </w:rPr>
              <w:t xml:space="preserve"> and unescorted visitor</w:t>
            </w:r>
            <w:r w:rsidR="005B3AB3">
              <w:rPr>
                <w:rFonts w:asciiTheme="minorHAnsi" w:hAnsiTheme="minorHAnsi" w:cstheme="minorHAnsi"/>
                <w:sz w:val="22"/>
                <w:szCs w:val="22"/>
              </w:rPr>
              <w:t>s</w:t>
            </w:r>
            <w:r w:rsidR="00DB680A">
              <w:rPr>
                <w:rFonts w:asciiTheme="minorHAnsi" w:hAnsiTheme="minorHAnsi" w:cstheme="minorHAnsi"/>
                <w:sz w:val="22"/>
                <w:szCs w:val="22"/>
              </w:rPr>
              <w:t>)</w:t>
            </w:r>
            <w:r w:rsidRPr="00757CB5">
              <w:rPr>
                <w:rFonts w:asciiTheme="minorHAnsi" w:hAnsiTheme="minorHAnsi" w:cstheme="minorHAnsi"/>
                <w:sz w:val="22"/>
                <w:szCs w:val="22"/>
              </w:rPr>
              <w:t xml:space="preserve"> with or seeking access to restricted areas and critical assets. A covered chemical facility</w:t>
            </w:r>
            <w:r w:rsidR="008E3341">
              <w:rPr>
                <w:rFonts w:asciiTheme="minorHAnsi" w:hAnsiTheme="minorHAnsi" w:cstheme="minorHAnsi"/>
                <w:sz w:val="22"/>
                <w:szCs w:val="22"/>
              </w:rPr>
              <w:t xml:space="preserve"> </w:t>
            </w:r>
            <w:r w:rsidRPr="001D0991">
              <w:rPr>
                <w:rFonts w:asciiTheme="minorHAnsi" w:hAnsiTheme="minorHAnsi" w:cstheme="minorHAnsi"/>
                <w:sz w:val="22"/>
                <w:szCs w:val="22"/>
              </w:rPr>
              <w:t>has the discretion to decide if they want t</w:t>
            </w:r>
            <w:r w:rsidR="00775CBD">
              <w:rPr>
                <w:rFonts w:asciiTheme="minorHAnsi" w:hAnsiTheme="minorHAnsi" w:cstheme="minorHAnsi"/>
                <w:sz w:val="22"/>
                <w:szCs w:val="22"/>
              </w:rPr>
              <w:t xml:space="preserve">o escort railroad employees as </w:t>
            </w:r>
            <w:r w:rsidRPr="001D0991">
              <w:rPr>
                <w:rFonts w:asciiTheme="minorHAnsi" w:hAnsiTheme="minorHAnsi" w:cstheme="minorHAnsi"/>
                <w:sz w:val="22"/>
                <w:szCs w:val="22"/>
              </w:rPr>
              <w:t>visitor</w:t>
            </w:r>
            <w:r w:rsidR="00775CBD">
              <w:rPr>
                <w:rFonts w:asciiTheme="minorHAnsi" w:hAnsiTheme="minorHAnsi" w:cstheme="minorHAnsi"/>
                <w:sz w:val="22"/>
                <w:szCs w:val="22"/>
              </w:rPr>
              <w:t>s</w:t>
            </w:r>
            <w:r w:rsidR="00B25CE9">
              <w:rPr>
                <w:rFonts w:asciiTheme="minorHAnsi" w:hAnsiTheme="minorHAnsi" w:cstheme="minorHAnsi"/>
                <w:sz w:val="22"/>
                <w:szCs w:val="22"/>
              </w:rPr>
              <w:t xml:space="preserve">, </w:t>
            </w:r>
            <w:r w:rsidRPr="001D0991">
              <w:rPr>
                <w:rFonts w:asciiTheme="minorHAnsi" w:hAnsiTheme="minorHAnsi" w:cstheme="minorHAnsi"/>
                <w:sz w:val="22"/>
                <w:szCs w:val="22"/>
              </w:rPr>
              <w:t>identify railroad employees as affected individual</w:t>
            </w:r>
            <w:r w:rsidR="00775CBD">
              <w:rPr>
                <w:rFonts w:asciiTheme="minorHAnsi" w:hAnsiTheme="minorHAnsi" w:cstheme="minorHAnsi"/>
                <w:sz w:val="22"/>
                <w:szCs w:val="22"/>
              </w:rPr>
              <w:t>s</w:t>
            </w:r>
            <w:r w:rsidR="00B25CE9">
              <w:rPr>
                <w:rFonts w:asciiTheme="minorHAnsi" w:hAnsiTheme="minorHAnsi" w:cstheme="minorHAnsi"/>
                <w:sz w:val="22"/>
                <w:szCs w:val="22"/>
              </w:rPr>
              <w:t>, or treat them in some other way consistent with CFATS requirements</w:t>
            </w:r>
            <w:r w:rsidR="002D794A">
              <w:rPr>
                <w:rFonts w:asciiTheme="minorHAnsi" w:hAnsiTheme="minorHAnsi" w:cstheme="minorHAnsi"/>
                <w:sz w:val="22"/>
                <w:szCs w:val="22"/>
              </w:rPr>
              <w:t>.</w:t>
            </w:r>
            <w:r w:rsidR="00B25CE9">
              <w:rPr>
                <w:rFonts w:asciiTheme="minorHAnsi" w:hAnsiTheme="minorHAnsi" w:cstheme="minorHAnsi"/>
                <w:sz w:val="22"/>
                <w:szCs w:val="22"/>
              </w:rPr>
              <w:t xml:space="preserve"> Identifying railroad employees as affected individuals would</w:t>
            </w:r>
            <w:r w:rsidRPr="001D0991">
              <w:rPr>
                <w:rFonts w:asciiTheme="minorHAnsi" w:hAnsiTheme="minorHAnsi" w:cstheme="minorHAnsi"/>
                <w:sz w:val="22"/>
                <w:szCs w:val="22"/>
              </w:rPr>
              <w:t xml:space="preserve"> require </w:t>
            </w:r>
            <w:r w:rsidR="00B25CE9">
              <w:rPr>
                <w:rFonts w:asciiTheme="minorHAnsi" w:hAnsiTheme="minorHAnsi" w:cstheme="minorHAnsi"/>
                <w:sz w:val="22"/>
                <w:szCs w:val="22"/>
              </w:rPr>
              <w:t>a</w:t>
            </w:r>
            <w:r w:rsidRPr="001D0991">
              <w:rPr>
                <w:rFonts w:asciiTheme="minorHAnsi" w:hAnsiTheme="minorHAnsi" w:cstheme="minorHAnsi"/>
                <w:sz w:val="22"/>
                <w:szCs w:val="22"/>
              </w:rPr>
              <w:t xml:space="preserve"> covered chemical facility to ensure </w:t>
            </w:r>
            <w:r w:rsidR="00B25CE9">
              <w:rPr>
                <w:rFonts w:asciiTheme="minorHAnsi" w:hAnsiTheme="minorHAnsi" w:cstheme="minorHAnsi"/>
                <w:sz w:val="22"/>
                <w:szCs w:val="22"/>
              </w:rPr>
              <w:t>that those personnel</w:t>
            </w:r>
            <w:r w:rsidRPr="001D0991">
              <w:rPr>
                <w:rFonts w:asciiTheme="minorHAnsi" w:hAnsiTheme="minorHAnsi" w:cstheme="minorHAnsi"/>
                <w:sz w:val="22"/>
                <w:szCs w:val="22"/>
              </w:rPr>
              <w:t xml:space="preserve"> are screened for terrorist ties</w:t>
            </w:r>
            <w:r w:rsidR="00B25CE9">
              <w:rPr>
                <w:rFonts w:asciiTheme="minorHAnsi" w:hAnsiTheme="minorHAnsi" w:cstheme="minorHAnsi"/>
                <w:sz w:val="22"/>
                <w:szCs w:val="22"/>
              </w:rPr>
              <w:t xml:space="preserve"> pursuant to 6 CFR 27.230(a)(12)</w:t>
            </w:r>
            <w:r w:rsidRPr="001D0991">
              <w:rPr>
                <w:rFonts w:asciiTheme="minorHAnsi" w:hAnsiTheme="minorHAnsi" w:cstheme="minorHAnsi"/>
                <w:sz w:val="22"/>
                <w:szCs w:val="22"/>
              </w:rPr>
              <w:t>.</w:t>
            </w:r>
          </w:p>
          <w:p w14:paraId="0662A515" w14:textId="42512F02" w:rsidR="005B3AB3" w:rsidRPr="00C51CDF" w:rsidRDefault="005B3AB3" w:rsidP="00775CBD">
            <w:pPr>
              <w:rPr>
                <w:rFonts w:asciiTheme="minorHAnsi" w:hAnsiTheme="minorHAnsi" w:cstheme="minorHAnsi"/>
                <w:sz w:val="22"/>
                <w:szCs w:val="22"/>
              </w:rPr>
            </w:pPr>
            <w:r>
              <w:rPr>
                <w:rFonts w:asciiTheme="minorHAnsi" w:hAnsiTheme="minorHAnsi" w:cstheme="minorHAnsi"/>
                <w:sz w:val="22"/>
                <w:szCs w:val="22"/>
              </w:rPr>
              <w:t xml:space="preserve">In ensuring affected individuals are screened for terrorist ties, the facility has the discretion to choose from four options for </w:t>
            </w:r>
            <w:r w:rsidR="006D45CD">
              <w:rPr>
                <w:rFonts w:asciiTheme="minorHAnsi" w:hAnsiTheme="minorHAnsi" w:cstheme="minorHAnsi"/>
                <w:sz w:val="22"/>
                <w:szCs w:val="22"/>
              </w:rPr>
              <w:t xml:space="preserve">vetting affected individuals or propose alternatives or supplemental options in its </w:t>
            </w:r>
            <w:r w:rsidR="00775CBD">
              <w:rPr>
                <w:rFonts w:asciiTheme="minorHAnsi" w:hAnsiTheme="minorHAnsi" w:cstheme="minorHAnsi"/>
                <w:sz w:val="22"/>
                <w:szCs w:val="22"/>
              </w:rPr>
              <w:t>Site Security Plan (</w:t>
            </w:r>
            <w:r w:rsidR="006D45CD">
              <w:rPr>
                <w:rFonts w:asciiTheme="minorHAnsi" w:hAnsiTheme="minorHAnsi" w:cstheme="minorHAnsi"/>
                <w:sz w:val="22"/>
                <w:szCs w:val="22"/>
              </w:rPr>
              <w:t>SSP</w:t>
            </w:r>
            <w:r w:rsidR="00775CBD">
              <w:rPr>
                <w:rFonts w:asciiTheme="minorHAnsi" w:hAnsiTheme="minorHAnsi" w:cstheme="minorHAnsi"/>
                <w:sz w:val="22"/>
                <w:szCs w:val="22"/>
              </w:rPr>
              <w:t xml:space="preserve">) or Alternative Security Program (ASP) </w:t>
            </w:r>
            <w:r w:rsidR="006D45CD" w:rsidRPr="00F66B8B">
              <w:rPr>
                <w:rFonts w:asciiTheme="minorHAnsi" w:hAnsiTheme="minorHAnsi" w:cstheme="minorHAnsi"/>
                <w:sz w:val="22"/>
                <w:szCs w:val="22"/>
              </w:rPr>
              <w:t>(See 82 FR</w:t>
            </w:r>
            <w:r w:rsidR="00935455">
              <w:rPr>
                <w:rFonts w:asciiTheme="minorHAnsi" w:hAnsiTheme="minorHAnsi" w:cstheme="minorHAnsi"/>
                <w:sz w:val="22"/>
                <w:szCs w:val="22"/>
              </w:rPr>
              <w:t xml:space="preserve"> 61312,</w:t>
            </w:r>
            <w:r w:rsidR="006D45CD" w:rsidRPr="00F66B8B">
              <w:rPr>
                <w:rFonts w:asciiTheme="minorHAnsi" w:hAnsiTheme="minorHAnsi" w:cstheme="minorHAnsi"/>
                <w:sz w:val="22"/>
                <w:szCs w:val="22"/>
              </w:rPr>
              <w:t xml:space="preserve"> 61316)</w:t>
            </w:r>
            <w:r w:rsidR="00775CBD">
              <w:rPr>
                <w:rFonts w:asciiTheme="minorHAnsi" w:hAnsiTheme="minorHAnsi" w:cstheme="minorHAnsi"/>
                <w:sz w:val="22"/>
                <w:szCs w:val="22"/>
              </w:rPr>
              <w:t>.</w:t>
            </w:r>
            <w:r w:rsidR="006D45CD" w:rsidRPr="00F66B8B">
              <w:rPr>
                <w:rFonts w:asciiTheme="minorHAnsi" w:hAnsiTheme="minorHAnsi" w:cstheme="minorHAnsi"/>
                <w:sz w:val="22"/>
                <w:szCs w:val="22"/>
                <w:vertAlign w:val="superscript"/>
              </w:rPr>
              <w:footnoteReference w:id="3"/>
            </w:r>
            <w:r w:rsidR="006D45CD">
              <w:rPr>
                <w:rFonts w:asciiTheme="minorHAnsi" w:hAnsiTheme="minorHAnsi" w:cstheme="minorHAnsi"/>
                <w:sz w:val="22"/>
                <w:szCs w:val="22"/>
              </w:rPr>
              <w:t xml:space="preserve"> </w:t>
            </w:r>
          </w:p>
        </w:tc>
      </w:tr>
      <w:tr w:rsidR="002114E1" w:rsidRPr="00C51CDF" w14:paraId="503EE78C" w14:textId="77777777" w:rsidTr="002D794A">
        <w:trPr>
          <w:trHeight w:val="1160"/>
          <w:jc w:val="center"/>
        </w:trPr>
        <w:tc>
          <w:tcPr>
            <w:tcW w:w="662" w:type="dxa"/>
          </w:tcPr>
          <w:p w14:paraId="39987EA6" w14:textId="379D050E" w:rsidR="002114E1" w:rsidRPr="00C51CDF" w:rsidRDefault="002D794A" w:rsidP="002D794A">
            <w:pPr>
              <w:rPr>
                <w:rFonts w:asciiTheme="minorHAnsi" w:hAnsiTheme="minorHAnsi" w:cstheme="minorHAnsi"/>
                <w:sz w:val="22"/>
                <w:szCs w:val="22"/>
              </w:rPr>
            </w:pPr>
            <w:r>
              <w:rPr>
                <w:rFonts w:asciiTheme="minorHAnsi" w:hAnsiTheme="minorHAnsi" w:cstheme="minorHAnsi"/>
                <w:sz w:val="22"/>
                <w:szCs w:val="22"/>
              </w:rPr>
              <w:t>1.2</w:t>
            </w:r>
            <w:r w:rsidR="002114E1">
              <w:rPr>
                <w:rFonts w:asciiTheme="minorHAnsi" w:hAnsiTheme="minorHAnsi" w:cstheme="minorHAnsi"/>
                <w:sz w:val="22"/>
                <w:szCs w:val="22"/>
              </w:rPr>
              <w:t>.</w:t>
            </w:r>
            <w:r>
              <w:rPr>
                <w:rFonts w:asciiTheme="minorHAnsi" w:hAnsiTheme="minorHAnsi" w:cstheme="minorHAnsi"/>
                <w:sz w:val="22"/>
                <w:szCs w:val="22"/>
              </w:rPr>
              <w:t>2</w:t>
            </w:r>
          </w:p>
        </w:tc>
        <w:tc>
          <w:tcPr>
            <w:tcW w:w="2234" w:type="dxa"/>
          </w:tcPr>
          <w:p w14:paraId="2A3F7B6D" w14:textId="0E9F537B" w:rsidR="002114E1" w:rsidRPr="00C51CDF" w:rsidRDefault="002D794A" w:rsidP="002114E1">
            <w:pPr>
              <w:rPr>
                <w:rFonts w:asciiTheme="minorHAnsi" w:hAnsiTheme="minorHAnsi" w:cstheme="minorHAnsi"/>
                <w:sz w:val="22"/>
                <w:szCs w:val="22"/>
              </w:rPr>
            </w:pPr>
            <w:r>
              <w:rPr>
                <w:rFonts w:asciiTheme="minorHAnsi" w:hAnsiTheme="minorHAnsi" w:cstheme="minorHAnsi"/>
                <w:sz w:val="22"/>
                <w:szCs w:val="22"/>
              </w:rPr>
              <w:t>Objection to inclusion of certain groups</w:t>
            </w:r>
            <w:r w:rsidR="002114E1" w:rsidRPr="00A15D49">
              <w:rPr>
                <w:rFonts w:asciiTheme="minorHAnsi" w:hAnsiTheme="minorHAnsi" w:cstheme="minorHAnsi"/>
                <w:sz w:val="22"/>
                <w:szCs w:val="22"/>
              </w:rPr>
              <w:t xml:space="preserve"> </w:t>
            </w:r>
          </w:p>
        </w:tc>
        <w:tc>
          <w:tcPr>
            <w:tcW w:w="4333" w:type="dxa"/>
          </w:tcPr>
          <w:p w14:paraId="606EC542" w14:textId="27C6B4EB" w:rsidR="002114E1" w:rsidRPr="00C51CDF" w:rsidRDefault="002114E1" w:rsidP="00585698">
            <w:pPr>
              <w:tabs>
                <w:tab w:val="left" w:pos="2954"/>
              </w:tabs>
              <w:rPr>
                <w:rFonts w:asciiTheme="minorHAnsi" w:hAnsiTheme="minorHAnsi" w:cstheme="minorHAnsi"/>
                <w:sz w:val="22"/>
              </w:rPr>
            </w:pPr>
            <w:r w:rsidRPr="00757CB5">
              <w:rPr>
                <w:rFonts w:asciiTheme="minorHAnsi" w:hAnsiTheme="minorHAnsi" w:cstheme="minorHAnsi"/>
                <w:sz w:val="22"/>
              </w:rPr>
              <w:t xml:space="preserve">One commenter highlighted the </w:t>
            </w:r>
            <w:r w:rsidR="00775CBD">
              <w:rPr>
                <w:rFonts w:asciiTheme="minorHAnsi" w:hAnsiTheme="minorHAnsi" w:cstheme="minorHAnsi"/>
                <w:sz w:val="22"/>
              </w:rPr>
              <w:t>Department of Transportation (</w:t>
            </w:r>
            <w:r w:rsidRPr="00757CB5">
              <w:rPr>
                <w:rFonts w:asciiTheme="minorHAnsi" w:hAnsiTheme="minorHAnsi" w:cstheme="minorHAnsi"/>
                <w:sz w:val="22"/>
              </w:rPr>
              <w:t>DOT</w:t>
            </w:r>
            <w:r w:rsidR="00775CBD">
              <w:rPr>
                <w:rFonts w:asciiTheme="minorHAnsi" w:hAnsiTheme="minorHAnsi" w:cstheme="minorHAnsi"/>
                <w:sz w:val="22"/>
              </w:rPr>
              <w:t>)</w:t>
            </w:r>
            <w:r w:rsidRPr="00757CB5">
              <w:rPr>
                <w:rFonts w:asciiTheme="minorHAnsi" w:hAnsiTheme="minorHAnsi" w:cstheme="minorHAnsi"/>
                <w:sz w:val="22"/>
              </w:rPr>
              <w:t xml:space="preserve"> requirement at 49 CFR 172.802(a)(1) which states, “Personnel security. Measures to confirm information provided by job applicants hired for positions that involve access to and handling of the hazardous materials covered by the security plan. …” The commenter suggested that railroad employees having undergone such a background check and demonstrated their reliability by being stewards of the chemical during transit, should “not suddenly seem suspect simply by crossing a fence line at a covered chemical facility.”</w:t>
            </w:r>
          </w:p>
        </w:tc>
        <w:tc>
          <w:tcPr>
            <w:tcW w:w="4762" w:type="dxa"/>
          </w:tcPr>
          <w:p w14:paraId="14926BD1" w14:textId="59C4D485" w:rsidR="002114E1" w:rsidRPr="00C51CDF" w:rsidRDefault="003D131D" w:rsidP="00775CBD">
            <w:pPr>
              <w:rPr>
                <w:rFonts w:asciiTheme="minorHAnsi" w:hAnsiTheme="minorHAnsi" w:cstheme="minorHAnsi"/>
                <w:sz w:val="22"/>
                <w:szCs w:val="22"/>
              </w:rPr>
            </w:pPr>
            <w:r>
              <w:rPr>
                <w:rFonts w:asciiTheme="minorHAnsi" w:hAnsiTheme="minorHAnsi" w:cstheme="minorHAnsi"/>
                <w:sz w:val="22"/>
                <w:szCs w:val="22"/>
              </w:rPr>
              <w:t>It is the Department’s understanding that the sort of background checks discussed by the commenter do not incl</w:t>
            </w:r>
            <w:r w:rsidR="00775CBD">
              <w:rPr>
                <w:rFonts w:asciiTheme="minorHAnsi" w:hAnsiTheme="minorHAnsi" w:cstheme="minorHAnsi"/>
                <w:sz w:val="22"/>
                <w:szCs w:val="22"/>
              </w:rPr>
              <w:t xml:space="preserve">ude checks for terrorist ties. </w:t>
            </w:r>
            <w:r>
              <w:rPr>
                <w:rFonts w:asciiTheme="minorHAnsi" w:hAnsiTheme="minorHAnsi" w:cstheme="minorHAnsi"/>
                <w:sz w:val="22"/>
                <w:szCs w:val="22"/>
              </w:rPr>
              <w:t xml:space="preserve">Checks for terrorist </w:t>
            </w:r>
            <w:r w:rsidR="00775CBD">
              <w:rPr>
                <w:rFonts w:asciiTheme="minorHAnsi" w:hAnsiTheme="minorHAnsi" w:cstheme="minorHAnsi"/>
                <w:sz w:val="22"/>
                <w:szCs w:val="22"/>
              </w:rPr>
              <w:t>ties are required under CFATS (</w:t>
            </w:r>
            <w:r>
              <w:rPr>
                <w:rFonts w:asciiTheme="minorHAnsi" w:hAnsiTheme="minorHAnsi" w:cstheme="minorHAnsi"/>
                <w:sz w:val="22"/>
                <w:szCs w:val="22"/>
              </w:rPr>
              <w:t>6 CFR 27.230(a)(12)</w:t>
            </w:r>
            <w:r w:rsidR="00775CBD">
              <w:rPr>
                <w:rFonts w:asciiTheme="minorHAnsi" w:hAnsiTheme="minorHAnsi" w:cstheme="minorHAnsi"/>
                <w:sz w:val="22"/>
                <w:szCs w:val="22"/>
              </w:rPr>
              <w:t>)</w:t>
            </w:r>
            <w:r>
              <w:rPr>
                <w:rFonts w:asciiTheme="minorHAnsi" w:hAnsiTheme="minorHAnsi" w:cstheme="minorHAnsi"/>
                <w:sz w:val="22"/>
                <w:szCs w:val="22"/>
              </w:rPr>
              <w:t>.</w:t>
            </w:r>
          </w:p>
        </w:tc>
      </w:tr>
    </w:tbl>
    <w:p w14:paraId="3E767135" w14:textId="77777777" w:rsidR="008C3ED7" w:rsidRPr="00BC3FF9" w:rsidRDefault="008C3ED7" w:rsidP="008C3ED7"/>
    <w:tbl>
      <w:tblPr>
        <w:tblStyle w:val="TableGrid"/>
        <w:tblW w:w="0" w:type="auto"/>
        <w:jc w:val="center"/>
        <w:tblLook w:val="04A0" w:firstRow="1" w:lastRow="0" w:firstColumn="1" w:lastColumn="0" w:noHBand="0" w:noVBand="1"/>
      </w:tblPr>
      <w:tblGrid>
        <w:gridCol w:w="662"/>
        <w:gridCol w:w="2234"/>
        <w:gridCol w:w="4333"/>
        <w:gridCol w:w="4762"/>
      </w:tblGrid>
      <w:tr w:rsidR="001D0991" w:rsidRPr="00C51CDF" w14:paraId="5436B7F1" w14:textId="77777777" w:rsidTr="002D794A">
        <w:trPr>
          <w:trHeight w:val="224"/>
          <w:tblHeader/>
          <w:jc w:val="center"/>
        </w:trPr>
        <w:tc>
          <w:tcPr>
            <w:tcW w:w="11991" w:type="dxa"/>
            <w:gridSpan w:val="4"/>
            <w:shd w:val="clear" w:color="auto" w:fill="548DD4" w:themeFill="text2" w:themeFillTint="99"/>
          </w:tcPr>
          <w:p w14:paraId="1FA33BB8" w14:textId="4C993365" w:rsidR="001D0991" w:rsidRPr="00C51CDF" w:rsidRDefault="001D0991" w:rsidP="00CA0552">
            <w:pPr>
              <w:jc w:val="center"/>
              <w:rPr>
                <w:rFonts w:asciiTheme="minorHAnsi" w:hAnsiTheme="minorHAnsi" w:cstheme="minorHAnsi"/>
                <w:b/>
                <w:sz w:val="28"/>
                <w:szCs w:val="28"/>
              </w:rPr>
            </w:pPr>
            <w:r>
              <w:rPr>
                <w:rFonts w:asciiTheme="minorHAnsi" w:hAnsiTheme="minorHAnsi" w:cstheme="minorHAnsi"/>
              </w:rPr>
              <w:br w:type="page"/>
            </w:r>
            <w:r>
              <w:rPr>
                <w:rFonts w:asciiTheme="minorHAnsi" w:hAnsiTheme="minorHAnsi" w:cstheme="minorHAnsi"/>
                <w:b/>
                <w:sz w:val="28"/>
                <w:szCs w:val="28"/>
              </w:rPr>
              <w:t>1670-0029 (CFATS Personnel Surety Program)</w:t>
            </w:r>
          </w:p>
        </w:tc>
      </w:tr>
      <w:tr w:rsidR="001D0991" w:rsidRPr="00C51CDF" w14:paraId="76E12FCA" w14:textId="77777777" w:rsidTr="002D794A">
        <w:trPr>
          <w:trHeight w:val="183"/>
          <w:tblHeader/>
          <w:jc w:val="center"/>
        </w:trPr>
        <w:tc>
          <w:tcPr>
            <w:tcW w:w="662" w:type="dxa"/>
            <w:shd w:val="clear" w:color="auto" w:fill="C6D9F1" w:themeFill="text2" w:themeFillTint="33"/>
          </w:tcPr>
          <w:p w14:paraId="523B77EF"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w:t>
            </w:r>
          </w:p>
        </w:tc>
        <w:tc>
          <w:tcPr>
            <w:tcW w:w="2234" w:type="dxa"/>
            <w:shd w:val="clear" w:color="auto" w:fill="C6D9F1" w:themeFill="text2" w:themeFillTint="33"/>
          </w:tcPr>
          <w:p w14:paraId="4E74EE6E"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Category</w:t>
            </w:r>
          </w:p>
        </w:tc>
        <w:tc>
          <w:tcPr>
            <w:tcW w:w="4333" w:type="dxa"/>
            <w:shd w:val="clear" w:color="auto" w:fill="C6D9F1" w:themeFill="text2" w:themeFillTint="33"/>
          </w:tcPr>
          <w:p w14:paraId="76EBCD4C"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Comment</w:t>
            </w:r>
          </w:p>
        </w:tc>
        <w:tc>
          <w:tcPr>
            <w:tcW w:w="4762" w:type="dxa"/>
            <w:shd w:val="clear" w:color="auto" w:fill="C6D9F1" w:themeFill="text2" w:themeFillTint="33"/>
          </w:tcPr>
          <w:p w14:paraId="4F2FC68F"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Response</w:t>
            </w:r>
          </w:p>
        </w:tc>
      </w:tr>
      <w:tr w:rsidR="001D0991" w:rsidRPr="00C51CDF" w14:paraId="0F12D360" w14:textId="77777777" w:rsidTr="002D794A">
        <w:trPr>
          <w:trHeight w:val="378"/>
          <w:tblHeader/>
          <w:jc w:val="center"/>
        </w:trPr>
        <w:tc>
          <w:tcPr>
            <w:tcW w:w="11991" w:type="dxa"/>
            <w:gridSpan w:val="4"/>
            <w:shd w:val="clear" w:color="auto" w:fill="DBE5F1" w:themeFill="accent1" w:themeFillTint="33"/>
            <w:vAlign w:val="center"/>
          </w:tcPr>
          <w:p w14:paraId="37F36267" w14:textId="7C062EA6" w:rsidR="001D0991" w:rsidRPr="00136A15" w:rsidRDefault="001D0991" w:rsidP="00CA0552">
            <w:pPr>
              <w:rPr>
                <w:rFonts w:asciiTheme="minorHAnsi" w:hAnsiTheme="minorHAnsi" w:cstheme="minorHAnsi"/>
                <w:b/>
                <w:sz w:val="22"/>
                <w:szCs w:val="22"/>
              </w:rPr>
            </w:pPr>
            <w:r>
              <w:rPr>
                <w:rFonts w:asciiTheme="minorHAnsi" w:hAnsiTheme="minorHAnsi" w:cstheme="minorHAnsi"/>
                <w:b/>
                <w:sz w:val="22"/>
                <w:szCs w:val="22"/>
              </w:rPr>
              <w:t>Comments on the accuracy of the agency’s estimate of the burden of the proposed collection of information</w:t>
            </w:r>
            <w:r w:rsidRPr="00136A15">
              <w:rPr>
                <w:rFonts w:asciiTheme="minorHAnsi" w:hAnsiTheme="minorHAnsi" w:cstheme="minorHAnsi"/>
                <w:b/>
                <w:sz w:val="22"/>
                <w:szCs w:val="22"/>
              </w:rPr>
              <w:t xml:space="preserve"> </w:t>
            </w:r>
          </w:p>
        </w:tc>
      </w:tr>
      <w:tr w:rsidR="001D0991" w:rsidRPr="00C51CDF" w14:paraId="2310C1CF" w14:textId="77777777" w:rsidTr="002D794A">
        <w:trPr>
          <w:trHeight w:val="1160"/>
          <w:jc w:val="center"/>
        </w:trPr>
        <w:tc>
          <w:tcPr>
            <w:tcW w:w="662" w:type="dxa"/>
          </w:tcPr>
          <w:p w14:paraId="6043C810" w14:textId="7B84F7D1" w:rsidR="001D0991" w:rsidRPr="00C51CDF" w:rsidRDefault="001D0991" w:rsidP="00CA0552">
            <w:pPr>
              <w:rPr>
                <w:rFonts w:asciiTheme="minorHAnsi" w:hAnsiTheme="minorHAnsi" w:cstheme="minorHAnsi"/>
                <w:sz w:val="22"/>
                <w:szCs w:val="22"/>
              </w:rPr>
            </w:pPr>
            <w:r>
              <w:rPr>
                <w:rFonts w:asciiTheme="minorHAnsi" w:hAnsiTheme="minorHAnsi" w:cstheme="minorHAnsi"/>
                <w:sz w:val="22"/>
                <w:szCs w:val="22"/>
              </w:rPr>
              <w:t>2.1</w:t>
            </w:r>
            <w:r w:rsidR="00003040">
              <w:rPr>
                <w:rFonts w:asciiTheme="minorHAnsi" w:hAnsiTheme="minorHAnsi" w:cstheme="minorHAnsi"/>
                <w:sz w:val="22"/>
                <w:szCs w:val="22"/>
              </w:rPr>
              <w:t>.1</w:t>
            </w:r>
          </w:p>
        </w:tc>
        <w:tc>
          <w:tcPr>
            <w:tcW w:w="2234" w:type="dxa"/>
          </w:tcPr>
          <w:p w14:paraId="235F04E0" w14:textId="09B5A66A" w:rsidR="001D0991" w:rsidRPr="00C51CDF" w:rsidRDefault="001D0991" w:rsidP="00202E0E">
            <w:pPr>
              <w:rPr>
                <w:rFonts w:asciiTheme="minorHAnsi" w:hAnsiTheme="minorHAnsi" w:cstheme="minorHAnsi"/>
                <w:sz w:val="22"/>
                <w:szCs w:val="22"/>
              </w:rPr>
            </w:pPr>
            <w:r w:rsidRPr="001D0991">
              <w:rPr>
                <w:rFonts w:asciiTheme="minorHAnsi" w:hAnsiTheme="minorHAnsi" w:cstheme="minorHAnsi"/>
                <w:sz w:val="22"/>
                <w:szCs w:val="22"/>
              </w:rPr>
              <w:t>Clarif</w:t>
            </w:r>
            <w:r w:rsidR="00202E0E">
              <w:rPr>
                <w:rFonts w:asciiTheme="minorHAnsi" w:hAnsiTheme="minorHAnsi" w:cstheme="minorHAnsi"/>
                <w:sz w:val="22"/>
                <w:szCs w:val="22"/>
              </w:rPr>
              <w:t>ication</w:t>
            </w:r>
            <w:r w:rsidRPr="001D0991">
              <w:rPr>
                <w:rFonts w:asciiTheme="minorHAnsi" w:hAnsiTheme="minorHAnsi" w:cstheme="minorHAnsi"/>
                <w:sz w:val="22"/>
                <w:szCs w:val="22"/>
              </w:rPr>
              <w:t xml:space="preserve"> of assumptions</w:t>
            </w:r>
          </w:p>
        </w:tc>
        <w:tc>
          <w:tcPr>
            <w:tcW w:w="4333" w:type="dxa"/>
          </w:tcPr>
          <w:p w14:paraId="2BB1F3AA" w14:textId="0D176302" w:rsidR="001D0991" w:rsidRPr="00716660" w:rsidRDefault="001D0991" w:rsidP="00585698">
            <w:pPr>
              <w:tabs>
                <w:tab w:val="left" w:pos="2954"/>
              </w:tabs>
              <w:rPr>
                <w:rFonts w:ascii="Calibri" w:hAnsi="Calibri"/>
                <w:sz w:val="22"/>
              </w:rPr>
            </w:pPr>
            <w:r w:rsidRPr="001D0991">
              <w:rPr>
                <w:rFonts w:asciiTheme="minorHAnsi" w:hAnsiTheme="minorHAnsi" w:cstheme="minorHAnsi"/>
                <w:sz w:val="22"/>
              </w:rPr>
              <w:t xml:space="preserve">One </w:t>
            </w:r>
            <w:r w:rsidR="00214DAB" w:rsidRPr="00F66B8B">
              <w:rPr>
                <w:rFonts w:asciiTheme="minorHAnsi" w:hAnsiTheme="minorHAnsi" w:cstheme="minorHAnsi"/>
                <w:sz w:val="22"/>
              </w:rPr>
              <w:t>commenter</w:t>
            </w:r>
            <w:r w:rsidRPr="001D0991">
              <w:rPr>
                <w:rFonts w:asciiTheme="minorHAnsi" w:hAnsiTheme="minorHAnsi" w:cstheme="minorHAnsi"/>
                <w:sz w:val="22"/>
              </w:rPr>
              <w:t xml:space="preserve"> </w:t>
            </w:r>
            <w:r w:rsidR="00F53D3B">
              <w:rPr>
                <w:rFonts w:asciiTheme="minorHAnsi" w:hAnsiTheme="minorHAnsi" w:cstheme="minorHAnsi"/>
                <w:sz w:val="22"/>
              </w:rPr>
              <w:t xml:space="preserve">recognizes the assumptions that release facilities may have more affected individuals than theft and diversion facilities, that there are an average of </w:t>
            </w:r>
            <w:r w:rsidRPr="001D0991">
              <w:rPr>
                <w:rFonts w:asciiTheme="minorHAnsi" w:hAnsiTheme="minorHAnsi" w:cstheme="minorHAnsi"/>
                <w:sz w:val="22"/>
              </w:rPr>
              <w:t>106 employees per facility</w:t>
            </w:r>
            <w:r w:rsidR="00F53D3B">
              <w:rPr>
                <w:rFonts w:asciiTheme="minorHAnsi" w:hAnsiTheme="minorHAnsi" w:cstheme="minorHAnsi"/>
                <w:sz w:val="22"/>
              </w:rPr>
              <w:t>,</w:t>
            </w:r>
            <w:r w:rsidRPr="001D0991">
              <w:rPr>
                <w:rFonts w:asciiTheme="minorHAnsi" w:hAnsiTheme="minorHAnsi" w:cstheme="minorHAnsi"/>
                <w:sz w:val="22"/>
              </w:rPr>
              <w:t xml:space="preserve"> and </w:t>
            </w:r>
            <w:r w:rsidR="00F53D3B">
              <w:rPr>
                <w:rFonts w:asciiTheme="minorHAnsi" w:hAnsiTheme="minorHAnsi" w:cstheme="minorHAnsi"/>
                <w:sz w:val="22"/>
              </w:rPr>
              <w:t xml:space="preserve">that </w:t>
            </w:r>
            <w:r w:rsidRPr="001D0991">
              <w:rPr>
                <w:rFonts w:asciiTheme="minorHAnsi" w:hAnsiTheme="minorHAnsi" w:cstheme="minorHAnsi"/>
                <w:sz w:val="22"/>
              </w:rPr>
              <w:t xml:space="preserve">the time it takes to vet an affected individual may be valid, but states, “it is not clear upon what information they </w:t>
            </w:r>
            <w:r w:rsidR="00775CBD">
              <w:rPr>
                <w:rFonts w:asciiTheme="minorHAnsi" w:hAnsiTheme="minorHAnsi" w:cstheme="minorHAnsi"/>
                <w:sz w:val="22"/>
              </w:rPr>
              <w:t>[the assumptions]</w:t>
            </w:r>
            <w:r w:rsidR="00B00E82">
              <w:rPr>
                <w:rFonts w:asciiTheme="minorHAnsi" w:hAnsiTheme="minorHAnsi" w:cstheme="minorHAnsi"/>
                <w:sz w:val="22"/>
              </w:rPr>
              <w:t xml:space="preserve"> </w:t>
            </w:r>
            <w:r w:rsidRPr="001D0991">
              <w:rPr>
                <w:rFonts w:asciiTheme="minorHAnsi" w:hAnsiTheme="minorHAnsi" w:cstheme="minorHAnsi"/>
                <w:sz w:val="22"/>
              </w:rPr>
              <w:t>are based</w:t>
            </w:r>
            <w:r w:rsidR="00775CBD">
              <w:rPr>
                <w:rFonts w:asciiTheme="minorHAnsi" w:hAnsiTheme="minorHAnsi" w:cstheme="minorHAnsi"/>
                <w:sz w:val="22"/>
              </w:rPr>
              <w:t>.</w:t>
            </w:r>
            <w:r w:rsidRPr="001D0991">
              <w:rPr>
                <w:rFonts w:asciiTheme="minorHAnsi" w:hAnsiTheme="minorHAnsi" w:cstheme="minorHAnsi"/>
                <w:sz w:val="22"/>
              </w:rPr>
              <w:t>”</w:t>
            </w:r>
          </w:p>
        </w:tc>
        <w:tc>
          <w:tcPr>
            <w:tcW w:w="4762" w:type="dxa"/>
          </w:tcPr>
          <w:p w14:paraId="6A958C6B" w14:textId="11B458C6" w:rsidR="00F53D3B" w:rsidRDefault="001D0991" w:rsidP="00CA0552">
            <w:pPr>
              <w:rPr>
                <w:rFonts w:asciiTheme="minorHAnsi" w:hAnsiTheme="minorHAnsi" w:cstheme="minorHAnsi"/>
                <w:sz w:val="22"/>
                <w:szCs w:val="22"/>
              </w:rPr>
            </w:pPr>
            <w:r>
              <w:rPr>
                <w:rFonts w:asciiTheme="minorHAnsi" w:hAnsiTheme="minorHAnsi" w:cstheme="minorHAnsi"/>
                <w:sz w:val="22"/>
                <w:szCs w:val="22"/>
              </w:rPr>
              <w:t xml:space="preserve">The Department based the assumptions </w:t>
            </w:r>
            <w:r w:rsidRPr="0010625B">
              <w:rPr>
                <w:rFonts w:asciiTheme="minorHAnsi" w:hAnsiTheme="minorHAnsi" w:cstheme="minorHAnsi"/>
                <w:sz w:val="22"/>
                <w:szCs w:val="22"/>
              </w:rPr>
              <w:t>on historical data collected by the Department since the implementation of the C</w:t>
            </w:r>
            <w:r w:rsidR="00F53D3B">
              <w:rPr>
                <w:rFonts w:asciiTheme="minorHAnsi" w:hAnsiTheme="minorHAnsi" w:cstheme="minorHAnsi"/>
                <w:sz w:val="22"/>
                <w:szCs w:val="22"/>
              </w:rPr>
              <w:t>FATS Personnel Surety Program. Specifically</w:t>
            </w:r>
            <w:r w:rsidR="00511CCD">
              <w:rPr>
                <w:rFonts w:asciiTheme="minorHAnsi" w:hAnsiTheme="minorHAnsi" w:cstheme="minorHAnsi"/>
                <w:sz w:val="22"/>
                <w:szCs w:val="22"/>
              </w:rPr>
              <w:t>,</w:t>
            </w:r>
            <w:r w:rsidR="00F53D3B">
              <w:rPr>
                <w:rFonts w:asciiTheme="minorHAnsi" w:hAnsiTheme="minorHAnsi" w:cstheme="minorHAnsi"/>
                <w:sz w:val="22"/>
                <w:szCs w:val="22"/>
              </w:rPr>
              <w:t xml:space="preserve"> for the difference between release and theft and diversion facilities, the Department recognizes that high-risk chemical facilities for release security issue</w:t>
            </w:r>
            <w:r w:rsidR="00B00E82">
              <w:rPr>
                <w:rFonts w:asciiTheme="minorHAnsi" w:hAnsiTheme="minorHAnsi" w:cstheme="minorHAnsi"/>
                <w:sz w:val="22"/>
                <w:szCs w:val="22"/>
              </w:rPr>
              <w:t>s</w:t>
            </w:r>
            <w:r w:rsidR="00F53D3B">
              <w:rPr>
                <w:rFonts w:asciiTheme="minorHAnsi" w:hAnsiTheme="minorHAnsi" w:cstheme="minorHAnsi"/>
                <w:sz w:val="22"/>
                <w:szCs w:val="22"/>
              </w:rPr>
              <w:t xml:space="preserve"> may take a facility-wide approach rather than an asset-based approach in defining their restricted areas, which may result in a higher number of affected individuals</w:t>
            </w:r>
            <w:r w:rsidR="00775CBD">
              <w:rPr>
                <w:rFonts w:asciiTheme="minorHAnsi" w:hAnsiTheme="minorHAnsi" w:cstheme="minorHAnsi"/>
                <w:sz w:val="22"/>
                <w:szCs w:val="22"/>
              </w:rPr>
              <w:t xml:space="preserve"> than theft and diversion facilities</w:t>
            </w:r>
            <w:r w:rsidR="00F53D3B">
              <w:rPr>
                <w:rFonts w:asciiTheme="minorHAnsi" w:hAnsiTheme="minorHAnsi" w:cstheme="minorHAnsi"/>
                <w:sz w:val="22"/>
                <w:szCs w:val="22"/>
              </w:rPr>
              <w:t xml:space="preserve">. Therefore, the Department reviewed the number of release sites to ensure the estimated number of respondents for the Tier 3 and Tier 4 high-risk chemical facilities were comparable to the historical data received by the Department since the implementation of the CFATS Personnel Surety Program. The Department found that the release security issues for Tier </w:t>
            </w:r>
            <w:r w:rsidR="00B00E82">
              <w:rPr>
                <w:rFonts w:asciiTheme="minorHAnsi" w:hAnsiTheme="minorHAnsi" w:cstheme="minorHAnsi"/>
                <w:sz w:val="22"/>
                <w:szCs w:val="22"/>
              </w:rPr>
              <w:t xml:space="preserve">1 </w:t>
            </w:r>
            <w:r w:rsidR="00F53D3B">
              <w:rPr>
                <w:rFonts w:asciiTheme="minorHAnsi" w:hAnsiTheme="minorHAnsi" w:cstheme="minorHAnsi"/>
                <w:sz w:val="22"/>
                <w:szCs w:val="22"/>
              </w:rPr>
              <w:t xml:space="preserve">and Tier 2 high-risk </w:t>
            </w:r>
            <w:r w:rsidR="00775CBD">
              <w:rPr>
                <w:rFonts w:asciiTheme="minorHAnsi" w:hAnsiTheme="minorHAnsi" w:cstheme="minorHAnsi"/>
                <w:sz w:val="22"/>
                <w:szCs w:val="22"/>
              </w:rPr>
              <w:t xml:space="preserve">chemical facilities made up 38 percent </w:t>
            </w:r>
            <w:r w:rsidR="00F53D3B">
              <w:rPr>
                <w:rFonts w:asciiTheme="minorHAnsi" w:hAnsiTheme="minorHAnsi" w:cstheme="minorHAnsi"/>
                <w:sz w:val="22"/>
                <w:szCs w:val="22"/>
              </w:rPr>
              <w:t>of the total Tier 1 and Tier 2 high-risk chemical facility population. For Tier 3 and Tier 4 high-risk chemical facilities, the re</w:t>
            </w:r>
            <w:r w:rsidR="00775CBD">
              <w:rPr>
                <w:rFonts w:asciiTheme="minorHAnsi" w:hAnsiTheme="minorHAnsi" w:cstheme="minorHAnsi"/>
                <w:sz w:val="22"/>
                <w:szCs w:val="22"/>
              </w:rPr>
              <w:t>lease security issue made up 25 percent</w:t>
            </w:r>
            <w:r w:rsidR="00F53D3B">
              <w:rPr>
                <w:rFonts w:asciiTheme="minorHAnsi" w:hAnsiTheme="minorHAnsi" w:cstheme="minorHAnsi"/>
                <w:sz w:val="22"/>
                <w:szCs w:val="22"/>
              </w:rPr>
              <w:t xml:space="preserve"> of the total Tier 3 and Tier 4 high-risk chemical facility population. Based on these findings, the Department </w:t>
            </w:r>
            <w:r w:rsidR="008E3341">
              <w:rPr>
                <w:rFonts w:asciiTheme="minorHAnsi" w:hAnsiTheme="minorHAnsi" w:cstheme="minorHAnsi"/>
                <w:sz w:val="22"/>
                <w:szCs w:val="22"/>
              </w:rPr>
              <w:t>is</w:t>
            </w:r>
            <w:r w:rsidR="00F53D3B">
              <w:rPr>
                <w:rFonts w:asciiTheme="minorHAnsi" w:hAnsiTheme="minorHAnsi" w:cstheme="minorHAnsi"/>
                <w:sz w:val="22"/>
                <w:szCs w:val="22"/>
              </w:rPr>
              <w:t xml:space="preserve"> satisfied that the Tier 1 and Tier 2 high-risk chemical facility historical data provided a valid representation of what the Department can expect f</w:t>
            </w:r>
            <w:r w:rsidR="00775CBD">
              <w:rPr>
                <w:rFonts w:asciiTheme="minorHAnsi" w:hAnsiTheme="minorHAnsi" w:cstheme="minorHAnsi"/>
                <w:sz w:val="22"/>
                <w:szCs w:val="22"/>
              </w:rPr>
              <w:t>rom</w:t>
            </w:r>
            <w:r w:rsidR="00F53D3B">
              <w:rPr>
                <w:rFonts w:asciiTheme="minorHAnsi" w:hAnsiTheme="minorHAnsi" w:cstheme="minorHAnsi"/>
                <w:sz w:val="22"/>
                <w:szCs w:val="22"/>
              </w:rPr>
              <w:t xml:space="preserve"> Tier 3 and Tier 4 high-risk chemical facilities.  </w:t>
            </w:r>
          </w:p>
          <w:p w14:paraId="470B55CA" w14:textId="7D17933B" w:rsidR="00581133" w:rsidRDefault="00581133" w:rsidP="00CA0552">
            <w:pPr>
              <w:rPr>
                <w:rFonts w:asciiTheme="minorHAnsi" w:hAnsiTheme="minorHAnsi" w:cstheme="minorHAnsi"/>
                <w:sz w:val="22"/>
                <w:szCs w:val="22"/>
              </w:rPr>
            </w:pPr>
            <w:r>
              <w:rPr>
                <w:rFonts w:asciiTheme="minorHAnsi" w:hAnsiTheme="minorHAnsi" w:cstheme="minorHAnsi"/>
                <w:sz w:val="22"/>
                <w:szCs w:val="22"/>
              </w:rPr>
              <w:t>Specifically for the 106 employees, t</w:t>
            </w:r>
            <w:r w:rsidR="001D0991" w:rsidRPr="0010625B">
              <w:rPr>
                <w:rFonts w:asciiTheme="minorHAnsi" w:hAnsiTheme="minorHAnsi" w:cstheme="minorHAnsi"/>
                <w:sz w:val="22"/>
                <w:szCs w:val="22"/>
              </w:rPr>
              <w:t xml:space="preserve">he Department estimates that under this collection there are (a) 200 Tier 1 and Tier 2 high-risk chemical facilities that </w:t>
            </w:r>
            <w:r w:rsidR="00775CBD">
              <w:rPr>
                <w:rFonts w:asciiTheme="minorHAnsi" w:hAnsiTheme="minorHAnsi" w:cstheme="minorHAnsi"/>
                <w:sz w:val="22"/>
                <w:szCs w:val="22"/>
              </w:rPr>
              <w:t xml:space="preserve">did submit or </w:t>
            </w:r>
            <w:r w:rsidR="001D0991" w:rsidRPr="0010625B">
              <w:rPr>
                <w:rFonts w:asciiTheme="minorHAnsi" w:hAnsiTheme="minorHAnsi" w:cstheme="minorHAnsi"/>
                <w:sz w:val="22"/>
                <w:szCs w:val="22"/>
              </w:rPr>
              <w:t>will have to submit information about affected individuals under the current ICR, and (b) 3,700 Tier 3 and Tier 4 high-risk chemical facilities that will submit for the first t</w:t>
            </w:r>
            <w:r w:rsidR="00775CBD">
              <w:rPr>
                <w:rFonts w:asciiTheme="minorHAnsi" w:hAnsiTheme="minorHAnsi" w:cstheme="minorHAnsi"/>
                <w:sz w:val="22"/>
                <w:szCs w:val="22"/>
              </w:rPr>
              <w:t xml:space="preserve">ime under this new collection. </w:t>
            </w:r>
            <w:r w:rsidR="001D0991" w:rsidRPr="0010625B">
              <w:rPr>
                <w:rFonts w:asciiTheme="minorHAnsi" w:hAnsiTheme="minorHAnsi" w:cstheme="minorHAnsi"/>
                <w:sz w:val="22"/>
                <w:szCs w:val="22"/>
              </w:rPr>
              <w:t>Historically, each Authorizer submitted, on average, 180 initial respondents, with each Authorizer responsible for 1.7 high-risk chemical facilities.  Dividing 180 affected individuals per Authorizer by 1.7 high-risk chemical facilities results in an average of 106 initial respondents submitted per high-risk chemical facility.</w:t>
            </w:r>
          </w:p>
          <w:p w14:paraId="3C88E3BD" w14:textId="77777777" w:rsidR="00F53D3B" w:rsidRDefault="00F53D3B" w:rsidP="00CA0552">
            <w:pPr>
              <w:rPr>
                <w:rFonts w:asciiTheme="minorHAnsi" w:hAnsiTheme="minorHAnsi" w:cstheme="minorHAnsi"/>
                <w:sz w:val="22"/>
                <w:szCs w:val="22"/>
              </w:rPr>
            </w:pPr>
          </w:p>
          <w:p w14:paraId="64DD9101" w14:textId="33A921CD" w:rsidR="001D0991" w:rsidRPr="00716660" w:rsidRDefault="00581133" w:rsidP="00EE4A7D">
            <w:pPr>
              <w:rPr>
                <w:rFonts w:asciiTheme="minorHAnsi" w:hAnsiTheme="minorHAnsi" w:cstheme="minorHAnsi"/>
                <w:sz w:val="22"/>
                <w:szCs w:val="22"/>
              </w:rPr>
            </w:pPr>
            <w:r>
              <w:rPr>
                <w:rFonts w:asciiTheme="minorHAnsi" w:hAnsiTheme="minorHAnsi" w:cstheme="minorHAnsi"/>
                <w:sz w:val="22"/>
                <w:szCs w:val="22"/>
              </w:rPr>
              <w:t>The Department</w:t>
            </w:r>
            <w:r w:rsidR="00F53D3B">
              <w:rPr>
                <w:rFonts w:asciiTheme="minorHAnsi" w:hAnsiTheme="minorHAnsi" w:cstheme="minorHAnsi"/>
                <w:sz w:val="22"/>
                <w:szCs w:val="22"/>
              </w:rPr>
              <w:t>’s</w:t>
            </w:r>
            <w:r>
              <w:rPr>
                <w:rFonts w:asciiTheme="minorHAnsi" w:hAnsiTheme="minorHAnsi" w:cstheme="minorHAnsi"/>
                <w:sz w:val="22"/>
                <w:szCs w:val="22"/>
              </w:rPr>
              <w:t xml:space="preserve"> estimate</w:t>
            </w:r>
            <w:r w:rsidR="000E6751">
              <w:rPr>
                <w:rFonts w:asciiTheme="minorHAnsi" w:hAnsiTheme="minorHAnsi" w:cstheme="minorHAnsi"/>
                <w:sz w:val="22"/>
                <w:szCs w:val="22"/>
              </w:rPr>
              <w:t xml:space="preserve"> per respondent (affected individual) is based on industry feedback and historical data collected on their use of the CFA</w:t>
            </w:r>
            <w:r w:rsidR="00775CBD">
              <w:rPr>
                <w:rFonts w:asciiTheme="minorHAnsi" w:hAnsiTheme="minorHAnsi" w:cstheme="minorHAnsi"/>
                <w:sz w:val="22"/>
                <w:szCs w:val="22"/>
              </w:rPr>
              <w:t>TS</w:t>
            </w:r>
            <w:r w:rsidR="000E6751">
              <w:rPr>
                <w:rFonts w:asciiTheme="minorHAnsi" w:hAnsiTheme="minorHAnsi" w:cstheme="minorHAnsi"/>
                <w:sz w:val="22"/>
                <w:szCs w:val="22"/>
              </w:rPr>
              <w:t xml:space="preserve"> Perso</w:t>
            </w:r>
            <w:r w:rsidR="00EE4A7D">
              <w:rPr>
                <w:rFonts w:asciiTheme="minorHAnsi" w:hAnsiTheme="minorHAnsi" w:cstheme="minorHAnsi"/>
                <w:sz w:val="22"/>
                <w:szCs w:val="22"/>
              </w:rPr>
              <w:t>nnel Surety Program application. T</w:t>
            </w:r>
            <w:r w:rsidR="000E6751">
              <w:rPr>
                <w:rFonts w:asciiTheme="minorHAnsi" w:hAnsiTheme="minorHAnsi" w:cstheme="minorHAnsi"/>
                <w:sz w:val="22"/>
                <w:szCs w:val="22"/>
              </w:rPr>
              <w:t xml:space="preserve">he Department has estimated the time per respondent </w:t>
            </w:r>
            <w:r w:rsidR="00775CBD">
              <w:rPr>
                <w:rFonts w:asciiTheme="minorHAnsi" w:hAnsiTheme="minorHAnsi" w:cstheme="minorHAnsi"/>
                <w:sz w:val="22"/>
                <w:szCs w:val="22"/>
              </w:rPr>
              <w:t>t</w:t>
            </w:r>
            <w:r w:rsidR="000E6751">
              <w:rPr>
                <w:rFonts w:asciiTheme="minorHAnsi" w:hAnsiTheme="minorHAnsi" w:cstheme="minorHAnsi"/>
                <w:sz w:val="22"/>
                <w:szCs w:val="22"/>
              </w:rPr>
              <w:t xml:space="preserve">o be 5 minutes per submission of a record about an affected individual. Since this estimate is based on current submissions from Tier 1 and </w:t>
            </w:r>
            <w:r w:rsidR="00EE4A7D">
              <w:rPr>
                <w:rFonts w:asciiTheme="minorHAnsi" w:hAnsiTheme="minorHAnsi" w:cstheme="minorHAnsi"/>
                <w:sz w:val="22"/>
                <w:szCs w:val="22"/>
              </w:rPr>
              <w:t xml:space="preserve">Tier </w:t>
            </w:r>
            <w:r w:rsidR="000E6751">
              <w:rPr>
                <w:rFonts w:asciiTheme="minorHAnsi" w:hAnsiTheme="minorHAnsi" w:cstheme="minorHAnsi"/>
                <w:sz w:val="22"/>
                <w:szCs w:val="22"/>
              </w:rPr>
              <w:t xml:space="preserve">2 high-risk chemical facilities, the Department has chosen an estimate of 10 minutes per record to provide a more conservative estimate. </w:t>
            </w:r>
            <w:r w:rsidR="001D0991">
              <w:rPr>
                <w:rFonts w:asciiTheme="minorHAnsi" w:hAnsiTheme="minorHAnsi" w:cstheme="minorHAnsi"/>
                <w:sz w:val="22"/>
                <w:szCs w:val="22"/>
              </w:rPr>
              <w:t xml:space="preserve"> </w:t>
            </w:r>
          </w:p>
        </w:tc>
      </w:tr>
      <w:tr w:rsidR="001D0991" w:rsidRPr="00C51CDF" w14:paraId="46305D6B" w14:textId="77777777" w:rsidTr="002D794A">
        <w:trPr>
          <w:trHeight w:val="1160"/>
          <w:jc w:val="center"/>
        </w:trPr>
        <w:tc>
          <w:tcPr>
            <w:tcW w:w="662" w:type="dxa"/>
          </w:tcPr>
          <w:p w14:paraId="54E7F1FF" w14:textId="5B76C960" w:rsidR="001D0991" w:rsidRPr="00C51CDF" w:rsidRDefault="00003040" w:rsidP="00CA0552">
            <w:pPr>
              <w:rPr>
                <w:rFonts w:asciiTheme="minorHAnsi" w:hAnsiTheme="minorHAnsi" w:cstheme="minorHAnsi"/>
                <w:sz w:val="22"/>
                <w:szCs w:val="22"/>
              </w:rPr>
            </w:pPr>
            <w:r>
              <w:rPr>
                <w:rFonts w:asciiTheme="minorHAnsi" w:hAnsiTheme="minorHAnsi" w:cstheme="minorHAnsi"/>
                <w:sz w:val="22"/>
                <w:szCs w:val="22"/>
              </w:rPr>
              <w:t>2.2.1</w:t>
            </w:r>
          </w:p>
        </w:tc>
        <w:tc>
          <w:tcPr>
            <w:tcW w:w="2234" w:type="dxa"/>
          </w:tcPr>
          <w:p w14:paraId="613BAEA2" w14:textId="5E845571" w:rsidR="001D0991" w:rsidRPr="00C51CDF" w:rsidRDefault="00F66B8B" w:rsidP="00CA0552">
            <w:pPr>
              <w:rPr>
                <w:rFonts w:asciiTheme="minorHAnsi" w:hAnsiTheme="minorHAnsi" w:cstheme="minorHAnsi"/>
                <w:sz w:val="22"/>
                <w:szCs w:val="22"/>
              </w:rPr>
            </w:pPr>
            <w:r w:rsidRPr="00F66B8B">
              <w:rPr>
                <w:rFonts w:asciiTheme="minorHAnsi" w:hAnsiTheme="minorHAnsi" w:cstheme="minorHAnsi"/>
                <w:sz w:val="22"/>
                <w:szCs w:val="22"/>
              </w:rPr>
              <w:t>Underestimating Burden</w:t>
            </w:r>
          </w:p>
        </w:tc>
        <w:tc>
          <w:tcPr>
            <w:tcW w:w="4333" w:type="dxa"/>
          </w:tcPr>
          <w:p w14:paraId="49A76560" w14:textId="553DE9B7" w:rsidR="001D0991" w:rsidRPr="00C51CDF" w:rsidRDefault="00EF48A4" w:rsidP="00585698">
            <w:pPr>
              <w:tabs>
                <w:tab w:val="left" w:pos="2954"/>
              </w:tabs>
              <w:rPr>
                <w:rFonts w:asciiTheme="minorHAnsi" w:hAnsiTheme="minorHAnsi" w:cstheme="minorHAnsi"/>
                <w:sz w:val="22"/>
              </w:rPr>
            </w:pPr>
            <w:r>
              <w:rPr>
                <w:rFonts w:asciiTheme="minorHAnsi" w:hAnsiTheme="minorHAnsi" w:cstheme="minorHAnsi"/>
                <w:sz w:val="22"/>
              </w:rPr>
              <w:t>Two</w:t>
            </w:r>
            <w:r w:rsidR="00F66B8B" w:rsidRPr="00F66B8B">
              <w:rPr>
                <w:rFonts w:asciiTheme="minorHAnsi" w:hAnsiTheme="minorHAnsi" w:cstheme="minorHAnsi"/>
                <w:sz w:val="22"/>
              </w:rPr>
              <w:t xml:space="preserve"> commenter</w:t>
            </w:r>
            <w:r w:rsidR="00511CCD">
              <w:rPr>
                <w:rFonts w:asciiTheme="minorHAnsi" w:hAnsiTheme="minorHAnsi" w:cstheme="minorHAnsi"/>
                <w:sz w:val="22"/>
              </w:rPr>
              <w:t>s</w:t>
            </w:r>
            <w:r w:rsidR="00F66B8B" w:rsidRPr="00F66B8B">
              <w:rPr>
                <w:rFonts w:asciiTheme="minorHAnsi" w:hAnsiTheme="minorHAnsi" w:cstheme="minorHAnsi"/>
                <w:sz w:val="22"/>
              </w:rPr>
              <w:t xml:space="preserve"> expressed concern that the ICR did not appear to account for the burd</w:t>
            </w:r>
            <w:r w:rsidR="000E6751">
              <w:rPr>
                <w:rFonts w:asciiTheme="minorHAnsi" w:hAnsiTheme="minorHAnsi" w:cstheme="minorHAnsi"/>
                <w:sz w:val="22"/>
              </w:rPr>
              <w:t xml:space="preserve">en associated with part-time or </w:t>
            </w:r>
            <w:r w:rsidR="00F66B8B" w:rsidRPr="00F66B8B">
              <w:rPr>
                <w:rFonts w:asciiTheme="minorHAnsi" w:hAnsiTheme="minorHAnsi" w:cstheme="minorHAnsi"/>
                <w:sz w:val="22"/>
              </w:rPr>
              <w:t>seasonal employees or contractors that qualify as affected individuals.</w:t>
            </w:r>
          </w:p>
        </w:tc>
        <w:tc>
          <w:tcPr>
            <w:tcW w:w="4762" w:type="dxa"/>
          </w:tcPr>
          <w:p w14:paraId="35E8FCA0" w14:textId="30F40A2F" w:rsidR="001D0991" w:rsidRPr="00C51CDF" w:rsidRDefault="00F66B8B" w:rsidP="00A12644">
            <w:pPr>
              <w:rPr>
                <w:rFonts w:asciiTheme="minorHAnsi" w:hAnsiTheme="minorHAnsi" w:cstheme="minorHAnsi"/>
                <w:sz w:val="22"/>
                <w:szCs w:val="22"/>
              </w:rPr>
            </w:pPr>
            <w:r w:rsidRPr="00F66B8B">
              <w:rPr>
                <w:rFonts w:asciiTheme="minorHAnsi" w:hAnsiTheme="minorHAnsi" w:cstheme="minorHAnsi"/>
                <w:sz w:val="22"/>
                <w:szCs w:val="22"/>
              </w:rPr>
              <w:t xml:space="preserve">The Department’s estimate of the number of affected individuals in the 60-day notice </w:t>
            </w:r>
            <w:r w:rsidR="00A12644">
              <w:rPr>
                <w:rFonts w:asciiTheme="minorHAnsi" w:hAnsiTheme="minorHAnsi" w:cstheme="minorHAnsi"/>
                <w:sz w:val="22"/>
                <w:szCs w:val="22"/>
              </w:rPr>
              <w:t>was based</w:t>
            </w:r>
            <w:r w:rsidR="00A12644" w:rsidRPr="00F66B8B">
              <w:rPr>
                <w:rFonts w:asciiTheme="minorHAnsi" w:hAnsiTheme="minorHAnsi" w:cstheme="minorHAnsi"/>
                <w:sz w:val="22"/>
                <w:szCs w:val="22"/>
              </w:rPr>
              <w:t xml:space="preserve"> </w:t>
            </w:r>
            <w:r w:rsidRPr="00F66B8B">
              <w:rPr>
                <w:rFonts w:asciiTheme="minorHAnsi" w:hAnsiTheme="minorHAnsi" w:cstheme="minorHAnsi"/>
                <w:sz w:val="22"/>
                <w:szCs w:val="22"/>
              </w:rPr>
              <w:t>on actual data submitted by covered chemical facilities at which seasonal and part-time employees (to include contractors) are considered affected individuals. Thus, the Department concludes that the historical data relied upon in the 60-day notice incorporates seasonal and part-time employees.</w:t>
            </w:r>
          </w:p>
        </w:tc>
      </w:tr>
      <w:tr w:rsidR="001D0991" w:rsidRPr="00C51CDF" w14:paraId="35196FE6" w14:textId="77777777" w:rsidTr="002D794A">
        <w:trPr>
          <w:trHeight w:val="1160"/>
          <w:jc w:val="center"/>
        </w:trPr>
        <w:tc>
          <w:tcPr>
            <w:tcW w:w="662" w:type="dxa"/>
          </w:tcPr>
          <w:p w14:paraId="487C9CCD" w14:textId="2B315BEA" w:rsidR="001D0991" w:rsidRPr="00C51CDF" w:rsidRDefault="00003040" w:rsidP="00003040">
            <w:pPr>
              <w:rPr>
                <w:rFonts w:asciiTheme="minorHAnsi" w:hAnsiTheme="minorHAnsi" w:cstheme="minorHAnsi"/>
                <w:sz w:val="22"/>
                <w:szCs w:val="22"/>
              </w:rPr>
            </w:pPr>
            <w:r>
              <w:rPr>
                <w:rFonts w:asciiTheme="minorHAnsi" w:hAnsiTheme="minorHAnsi" w:cstheme="minorHAnsi"/>
                <w:sz w:val="22"/>
                <w:szCs w:val="22"/>
              </w:rPr>
              <w:t>2.2.2</w:t>
            </w:r>
          </w:p>
        </w:tc>
        <w:tc>
          <w:tcPr>
            <w:tcW w:w="2234" w:type="dxa"/>
          </w:tcPr>
          <w:p w14:paraId="6F983086" w14:textId="193FA321" w:rsidR="001D0991" w:rsidRPr="00C51CDF" w:rsidRDefault="00F66B8B" w:rsidP="00CA0552">
            <w:pPr>
              <w:rPr>
                <w:rFonts w:asciiTheme="minorHAnsi" w:hAnsiTheme="minorHAnsi" w:cstheme="minorHAnsi"/>
                <w:sz w:val="22"/>
                <w:szCs w:val="22"/>
              </w:rPr>
            </w:pPr>
            <w:r w:rsidRPr="00F66B8B">
              <w:rPr>
                <w:rFonts w:asciiTheme="minorHAnsi" w:hAnsiTheme="minorHAnsi" w:cstheme="minorHAnsi"/>
                <w:sz w:val="22"/>
                <w:szCs w:val="22"/>
              </w:rPr>
              <w:t>Underestimating Burden</w:t>
            </w:r>
          </w:p>
        </w:tc>
        <w:tc>
          <w:tcPr>
            <w:tcW w:w="4333" w:type="dxa"/>
          </w:tcPr>
          <w:p w14:paraId="0438DF97" w14:textId="4004262B" w:rsidR="00214DAB" w:rsidRDefault="002703CA" w:rsidP="002703CA">
            <w:pPr>
              <w:tabs>
                <w:tab w:val="left" w:pos="2954"/>
              </w:tabs>
              <w:rPr>
                <w:rFonts w:asciiTheme="minorHAnsi" w:hAnsiTheme="minorHAnsi" w:cstheme="minorHAnsi"/>
                <w:sz w:val="22"/>
              </w:rPr>
            </w:pPr>
            <w:r>
              <w:rPr>
                <w:rFonts w:asciiTheme="minorHAnsi" w:hAnsiTheme="minorHAnsi"/>
                <w:sz w:val="22"/>
                <w:szCs w:val="22"/>
              </w:rPr>
              <w:t>Three</w:t>
            </w:r>
            <w:r w:rsidRPr="00716660">
              <w:rPr>
                <w:rFonts w:asciiTheme="minorHAnsi" w:hAnsiTheme="minorHAnsi"/>
                <w:sz w:val="22"/>
                <w:szCs w:val="22"/>
              </w:rPr>
              <w:t xml:space="preserve"> commenters </w:t>
            </w:r>
            <w:r>
              <w:rPr>
                <w:rFonts w:asciiTheme="minorHAnsi" w:hAnsiTheme="minorHAnsi"/>
                <w:sz w:val="22"/>
                <w:szCs w:val="22"/>
              </w:rPr>
              <w:t xml:space="preserve">felt </w:t>
            </w:r>
            <w:r w:rsidRPr="00F66B8B">
              <w:rPr>
                <w:rFonts w:asciiTheme="minorHAnsi" w:hAnsiTheme="minorHAnsi" w:cstheme="minorHAnsi"/>
                <w:sz w:val="22"/>
              </w:rPr>
              <w:t>the personal identifiable information collection is not “usual and customary”</w:t>
            </w:r>
            <w:r>
              <w:rPr>
                <w:rFonts w:asciiTheme="minorHAnsi" w:hAnsiTheme="minorHAnsi"/>
                <w:sz w:val="22"/>
                <w:szCs w:val="22"/>
              </w:rPr>
              <w:t>:</w:t>
            </w:r>
            <w:r w:rsidR="00F66B8B" w:rsidRPr="00F66B8B">
              <w:rPr>
                <w:rFonts w:asciiTheme="minorHAnsi" w:hAnsiTheme="minorHAnsi" w:cstheme="minorHAnsi"/>
                <w:sz w:val="22"/>
              </w:rPr>
              <w:t xml:space="preserve"> </w:t>
            </w:r>
          </w:p>
          <w:p w14:paraId="3211F441" w14:textId="77777777" w:rsidR="00214DAB" w:rsidRDefault="00214DAB" w:rsidP="00F66B8B">
            <w:pPr>
              <w:tabs>
                <w:tab w:val="left" w:pos="2954"/>
              </w:tabs>
              <w:rPr>
                <w:rFonts w:asciiTheme="minorHAnsi" w:hAnsiTheme="minorHAnsi" w:cstheme="minorHAnsi"/>
                <w:sz w:val="22"/>
              </w:rPr>
            </w:pPr>
          </w:p>
          <w:p w14:paraId="147FF352" w14:textId="47B74B1E" w:rsidR="00F66B8B" w:rsidRPr="002703CA" w:rsidRDefault="00F66B8B" w:rsidP="002703CA">
            <w:pPr>
              <w:pStyle w:val="ListParagraph"/>
              <w:tabs>
                <w:tab w:val="left" w:pos="2954"/>
              </w:tabs>
              <w:ind w:left="405"/>
            </w:pPr>
            <w:r w:rsidRPr="002703CA">
              <w:t xml:space="preserve">One commenter disagreed with the Department’s decision to invoke 5 CFR 1320.3(b)(2) to exclude “certain activities and costs related to the PSP data collection process.” The commenter suggested that two assumptions made by the Department are not accurate. Specifically, that (a) the Department’s assumption that facilities already possess the information necessary to submit under Option 1 or Option 2 of the CFATS Personnel Surety Program; and (b) the Department’s assumption that additional data collection is not required and there is no further burden imposed by this Information Collection beyond submitting the information to the Department under Option 1 or Option 2. </w:t>
            </w:r>
          </w:p>
          <w:p w14:paraId="1064B9E6" w14:textId="77777777" w:rsidR="00F66B8B" w:rsidRPr="002703CA" w:rsidRDefault="00F66B8B" w:rsidP="002703CA">
            <w:pPr>
              <w:pStyle w:val="ListParagraph"/>
              <w:tabs>
                <w:tab w:val="left" w:pos="2954"/>
              </w:tabs>
              <w:ind w:left="405"/>
            </w:pPr>
          </w:p>
          <w:p w14:paraId="0BA66024" w14:textId="6E598884" w:rsidR="00F66B8B" w:rsidRPr="002703CA" w:rsidRDefault="00F66B8B" w:rsidP="002703CA">
            <w:pPr>
              <w:pStyle w:val="ListParagraph"/>
              <w:tabs>
                <w:tab w:val="left" w:pos="2954"/>
              </w:tabs>
              <w:ind w:left="405"/>
            </w:pPr>
            <w:r w:rsidRPr="002703CA">
              <w:t xml:space="preserve">A second commenter also objected to the exclusion of “the time needed for a site security officer to manage data collection, submissions, and tracking” under 5 CFR 1320.3(b)(2) which is similar to some of the examples </w:t>
            </w:r>
            <w:r w:rsidR="00585698">
              <w:t>provided by the first commenter.</w:t>
            </w:r>
          </w:p>
          <w:p w14:paraId="7C37A566" w14:textId="77777777" w:rsidR="00F66B8B" w:rsidRPr="002703CA" w:rsidRDefault="00F66B8B" w:rsidP="002703CA">
            <w:pPr>
              <w:pStyle w:val="ListParagraph"/>
              <w:tabs>
                <w:tab w:val="left" w:pos="2954"/>
              </w:tabs>
              <w:ind w:left="405"/>
            </w:pPr>
          </w:p>
          <w:p w14:paraId="3C8A6C88" w14:textId="7BD7237D" w:rsidR="001D0991" w:rsidRPr="00C51CDF" w:rsidRDefault="00F66B8B" w:rsidP="00585698">
            <w:pPr>
              <w:pStyle w:val="ListParagraph"/>
              <w:tabs>
                <w:tab w:val="left" w:pos="2954"/>
              </w:tabs>
              <w:ind w:left="405"/>
              <w:rPr>
                <w:rFonts w:asciiTheme="minorHAnsi" w:hAnsiTheme="minorHAnsi" w:cstheme="minorHAnsi"/>
              </w:rPr>
            </w:pPr>
            <w:r w:rsidRPr="002703CA">
              <w:t>A third commenter expressed concern similar in nature that the estimated time per respondent does not appear to account for acquiring the necessary personal information to compare</w:t>
            </w:r>
            <w:r w:rsidR="00EE4A7D">
              <w:t xml:space="preserve"> against the TSDB</w:t>
            </w:r>
            <w:r w:rsidRPr="002703CA">
              <w:t>.</w:t>
            </w:r>
          </w:p>
        </w:tc>
        <w:tc>
          <w:tcPr>
            <w:tcW w:w="4762" w:type="dxa"/>
          </w:tcPr>
          <w:p w14:paraId="1FB0EBDD" w14:textId="6D469461" w:rsidR="00EE4A7D" w:rsidRDefault="00F42ED2" w:rsidP="00EE4A7D">
            <w:pPr>
              <w:rPr>
                <w:rFonts w:asciiTheme="minorHAnsi" w:hAnsiTheme="minorHAnsi" w:cstheme="minorHAnsi"/>
                <w:sz w:val="22"/>
                <w:szCs w:val="22"/>
              </w:rPr>
            </w:pPr>
            <w:r>
              <w:rPr>
                <w:rFonts w:asciiTheme="minorHAnsi" w:hAnsiTheme="minorHAnsi" w:cstheme="minorHAnsi"/>
                <w:sz w:val="22"/>
                <w:szCs w:val="22"/>
              </w:rPr>
              <w:t xml:space="preserve">The Department evaluated </w:t>
            </w:r>
            <w:r w:rsidR="00F66B8B" w:rsidRPr="00F66B8B">
              <w:rPr>
                <w:rFonts w:asciiTheme="minorHAnsi" w:hAnsiTheme="minorHAnsi" w:cstheme="minorHAnsi"/>
                <w:sz w:val="22"/>
                <w:szCs w:val="22"/>
              </w:rPr>
              <w:t xml:space="preserve">each of the examples provided by the </w:t>
            </w:r>
            <w:r w:rsidR="00D63A79">
              <w:rPr>
                <w:rFonts w:asciiTheme="minorHAnsi" w:hAnsiTheme="minorHAnsi" w:cstheme="minorHAnsi"/>
                <w:sz w:val="22"/>
                <w:szCs w:val="22"/>
              </w:rPr>
              <w:t>commenters</w:t>
            </w:r>
            <w:r>
              <w:rPr>
                <w:rFonts w:asciiTheme="minorHAnsi" w:hAnsiTheme="minorHAnsi" w:cstheme="minorHAnsi"/>
                <w:sz w:val="22"/>
                <w:szCs w:val="22"/>
              </w:rPr>
              <w:t xml:space="preserve">. </w:t>
            </w:r>
            <w:r w:rsidR="00F66B8B" w:rsidRPr="00F66B8B">
              <w:rPr>
                <w:rFonts w:asciiTheme="minorHAnsi" w:hAnsiTheme="minorHAnsi" w:cstheme="minorHAnsi"/>
                <w:sz w:val="22"/>
                <w:szCs w:val="22"/>
              </w:rPr>
              <w:t>The Department’s evaluation of the examples provided by the commenter</w:t>
            </w:r>
            <w:r w:rsidR="00D63A79">
              <w:rPr>
                <w:rFonts w:asciiTheme="minorHAnsi" w:hAnsiTheme="minorHAnsi" w:cstheme="minorHAnsi"/>
                <w:sz w:val="22"/>
                <w:szCs w:val="22"/>
              </w:rPr>
              <w:t>s</w:t>
            </w:r>
            <w:r w:rsidR="00F66B8B" w:rsidRPr="00F66B8B">
              <w:rPr>
                <w:rFonts w:asciiTheme="minorHAnsi" w:hAnsiTheme="minorHAnsi" w:cstheme="minorHAnsi"/>
                <w:sz w:val="22"/>
                <w:szCs w:val="22"/>
              </w:rPr>
              <w:t xml:space="preserve"> are below:</w:t>
            </w:r>
          </w:p>
          <w:p w14:paraId="20DCC53B" w14:textId="77777777" w:rsidR="00EE4A7D" w:rsidRDefault="00EE4A7D" w:rsidP="00EE4A7D">
            <w:pPr>
              <w:rPr>
                <w:rFonts w:asciiTheme="minorHAnsi" w:hAnsiTheme="minorHAnsi" w:cstheme="minorHAnsi"/>
                <w:sz w:val="22"/>
                <w:szCs w:val="22"/>
              </w:rPr>
            </w:pPr>
          </w:p>
          <w:p w14:paraId="0AEDB023" w14:textId="5DC99DBB" w:rsidR="00EE4A7D" w:rsidRDefault="00F66B8B" w:rsidP="00F66B8B">
            <w:pPr>
              <w:pStyle w:val="ListParagraph"/>
              <w:numPr>
                <w:ilvl w:val="0"/>
                <w:numId w:val="39"/>
              </w:numPr>
              <w:rPr>
                <w:rFonts w:asciiTheme="minorHAnsi" w:hAnsiTheme="minorHAnsi" w:cstheme="minorHAnsi"/>
              </w:rPr>
            </w:pPr>
            <w:r w:rsidRPr="00EE4A7D">
              <w:rPr>
                <w:rFonts w:asciiTheme="minorHAnsi" w:hAnsiTheme="minorHAnsi" w:cstheme="minorHAnsi"/>
              </w:rPr>
              <w:t xml:space="preserve">The Department considered whether the CFATS Personnel Surety Program ICR should be revised to account </w:t>
            </w:r>
            <w:r w:rsidR="00D63A79" w:rsidRPr="00EE4A7D">
              <w:rPr>
                <w:rFonts w:asciiTheme="minorHAnsi" w:hAnsiTheme="minorHAnsi" w:cstheme="minorHAnsi"/>
              </w:rPr>
              <w:t xml:space="preserve">for the burden associated with </w:t>
            </w:r>
            <w:r w:rsidRPr="00EE4A7D">
              <w:rPr>
                <w:rFonts w:asciiTheme="minorHAnsi" w:hAnsiTheme="minorHAnsi" w:cstheme="minorHAnsi"/>
              </w:rPr>
              <w:t xml:space="preserve">coordinating with CFATS-facility stakeholders, including Human Resources, Procurement, and/or Contract Administration to explain the PSP requirements and determine how best to gather the data from different populations (e.g., employees and resident and non-resident contractors). </w:t>
            </w:r>
            <w:r w:rsidR="00D63A79" w:rsidRPr="00EE4A7D">
              <w:rPr>
                <w:rFonts w:asciiTheme="minorHAnsi" w:hAnsiTheme="minorHAnsi" w:cstheme="minorHAnsi"/>
              </w:rPr>
              <w:t>One commenter</w:t>
            </w:r>
            <w:r w:rsidRPr="00EE4A7D">
              <w:rPr>
                <w:rFonts w:asciiTheme="minorHAnsi" w:hAnsiTheme="minorHAnsi" w:cstheme="minorHAnsi"/>
              </w:rPr>
              <w:t xml:space="preserve"> clarified elsewhere in its comments that the</w:t>
            </w:r>
            <w:r w:rsidR="00D63A79" w:rsidRPr="00EE4A7D">
              <w:rPr>
                <w:rFonts w:asciiTheme="minorHAnsi" w:hAnsiTheme="minorHAnsi" w:cstheme="minorHAnsi"/>
              </w:rPr>
              <w:t xml:space="preserve"> coordination included </w:t>
            </w:r>
            <w:r w:rsidRPr="00EE4A7D">
              <w:rPr>
                <w:rFonts w:asciiTheme="minorHAnsi" w:hAnsiTheme="minorHAnsi" w:cstheme="minorHAnsi"/>
              </w:rPr>
              <w:t>creating separate groups</w:t>
            </w:r>
            <w:r w:rsidRPr="00F66B8B">
              <w:rPr>
                <w:vertAlign w:val="superscript"/>
              </w:rPr>
              <w:footnoteReference w:id="4"/>
            </w:r>
            <w:r w:rsidRPr="00EE4A7D">
              <w:rPr>
                <w:rFonts w:asciiTheme="minorHAnsi" w:hAnsiTheme="minorHAnsi" w:cstheme="minorHAnsi"/>
              </w:rPr>
              <w:t xml:space="preserve"> and </w:t>
            </w:r>
            <w:r w:rsidR="00D63A79" w:rsidRPr="00EE4A7D">
              <w:rPr>
                <w:rFonts w:asciiTheme="minorHAnsi" w:hAnsiTheme="minorHAnsi" w:cstheme="minorHAnsi"/>
              </w:rPr>
              <w:t>“</w:t>
            </w:r>
            <w:r w:rsidRPr="00EE4A7D">
              <w:rPr>
                <w:rFonts w:asciiTheme="minorHAnsi" w:hAnsiTheme="minorHAnsi" w:cstheme="minorHAnsi"/>
              </w:rPr>
              <w:t xml:space="preserve">PSP Submitter [user] accounts for each contract company, which may include hundreds of different contract companies in cases where a large facility is tiered for a release security issue.” After considering the comment, the Department did not revise the CFATS Personnel Surety Program ICR because this burden is properly accounted for under a separate and different ICR. The establishment of </w:t>
            </w:r>
            <w:r w:rsidR="00EE4A7D">
              <w:rPr>
                <w:rFonts w:asciiTheme="minorHAnsi" w:hAnsiTheme="minorHAnsi" w:cstheme="minorHAnsi"/>
              </w:rPr>
              <w:t>Chemical Security Assessment Tool (</w:t>
            </w:r>
            <w:r w:rsidRPr="00EE4A7D">
              <w:rPr>
                <w:rFonts w:asciiTheme="minorHAnsi" w:hAnsiTheme="minorHAnsi" w:cstheme="minorHAnsi"/>
              </w:rPr>
              <w:t>CSAT</w:t>
            </w:r>
            <w:r w:rsidR="00EE4A7D">
              <w:rPr>
                <w:rFonts w:asciiTheme="minorHAnsi" w:hAnsiTheme="minorHAnsi" w:cstheme="minorHAnsi"/>
              </w:rPr>
              <w:t>)</w:t>
            </w:r>
            <w:r w:rsidRPr="00EE4A7D">
              <w:rPr>
                <w:rFonts w:asciiTheme="minorHAnsi" w:hAnsiTheme="minorHAnsi" w:cstheme="minorHAnsi"/>
              </w:rPr>
              <w:t xml:space="preserve"> accounts, such as a PSP Submitter, and the assignment of such accounts to “groups” is covered under Information Collection 1670-0007.</w:t>
            </w:r>
            <w:r w:rsidRPr="00F66B8B">
              <w:rPr>
                <w:vertAlign w:val="superscript"/>
              </w:rPr>
              <w:footnoteReference w:id="5"/>
            </w:r>
          </w:p>
          <w:p w14:paraId="79E085CC" w14:textId="77777777" w:rsidR="00EE4A7D" w:rsidRDefault="00EE4A7D" w:rsidP="00EE4A7D">
            <w:pPr>
              <w:pStyle w:val="ListParagraph"/>
              <w:rPr>
                <w:rFonts w:asciiTheme="minorHAnsi" w:hAnsiTheme="minorHAnsi" w:cstheme="minorHAnsi"/>
              </w:rPr>
            </w:pPr>
          </w:p>
          <w:p w14:paraId="1AD9FEC0" w14:textId="77777777" w:rsidR="00EE4A7D" w:rsidRDefault="00F66B8B" w:rsidP="00F66B8B">
            <w:pPr>
              <w:pStyle w:val="ListParagraph"/>
              <w:numPr>
                <w:ilvl w:val="0"/>
                <w:numId w:val="39"/>
              </w:numPr>
              <w:rPr>
                <w:rFonts w:asciiTheme="minorHAnsi" w:hAnsiTheme="minorHAnsi" w:cstheme="minorHAnsi"/>
              </w:rPr>
            </w:pPr>
            <w:r w:rsidRPr="00EE4A7D">
              <w:rPr>
                <w:rFonts w:asciiTheme="minorHAnsi" w:hAnsiTheme="minorHAnsi" w:cstheme="minorHAnsi"/>
              </w:rPr>
              <w:t>The Department considered whether the CFATS Personnel Surety Program ICR should be revised to account for the burden associated with “developing and providing communications, Privacy Act notices, and data collection forms to affected individuals.” After considering the comment, the Department did not revise the CFATS Personnel Surety Program ICR because, as described earlier in this notice, this burden is already accounted for in the 10 minutes per respondent burden estimate.</w:t>
            </w:r>
          </w:p>
          <w:p w14:paraId="29BC5AE1" w14:textId="77777777" w:rsidR="00EE4A7D" w:rsidRPr="00EE4A7D" w:rsidRDefault="00EE4A7D" w:rsidP="00EE4A7D">
            <w:pPr>
              <w:pStyle w:val="ListParagraph"/>
              <w:rPr>
                <w:rFonts w:asciiTheme="minorHAnsi" w:hAnsiTheme="minorHAnsi" w:cstheme="minorHAnsi"/>
              </w:rPr>
            </w:pPr>
          </w:p>
          <w:p w14:paraId="32AE3F4B" w14:textId="77777777" w:rsidR="00EE4A7D" w:rsidRDefault="00F66B8B" w:rsidP="00F66B8B">
            <w:pPr>
              <w:pStyle w:val="ListParagraph"/>
              <w:numPr>
                <w:ilvl w:val="0"/>
                <w:numId w:val="39"/>
              </w:numPr>
              <w:rPr>
                <w:rFonts w:asciiTheme="minorHAnsi" w:hAnsiTheme="minorHAnsi" w:cstheme="minorHAnsi"/>
              </w:rPr>
            </w:pPr>
            <w:r w:rsidRPr="00EE4A7D">
              <w:rPr>
                <w:rFonts w:asciiTheme="minorHAnsi" w:hAnsiTheme="minorHAnsi" w:cstheme="minorHAnsi"/>
              </w:rPr>
              <w:t xml:space="preserve">The Department considered whether the CFATS Personnel Surety Program ICR should be revised to account for the burden associated with “ensuring that all affected individuals provide the necessary </w:t>
            </w:r>
            <w:r w:rsidR="00EE4A7D">
              <w:rPr>
                <w:rFonts w:asciiTheme="minorHAnsi" w:hAnsiTheme="minorHAnsi" w:cstheme="minorHAnsi"/>
              </w:rPr>
              <w:t>[personally identifiable information]</w:t>
            </w:r>
            <w:r w:rsidR="00EE4A7D" w:rsidRPr="00EE4A7D">
              <w:rPr>
                <w:rFonts w:asciiTheme="minorHAnsi" w:hAnsiTheme="minorHAnsi" w:cstheme="minorHAnsi"/>
              </w:rPr>
              <w:t xml:space="preserve"> </w:t>
            </w:r>
            <w:r w:rsidRPr="00EE4A7D">
              <w:rPr>
                <w:rFonts w:asciiTheme="minorHAnsi" w:hAnsiTheme="minorHAnsi" w:cstheme="minorHAnsi"/>
              </w:rPr>
              <w:t>PII– and following up with those that do not.” After considering the comment, the Department did not revise the CFAT</w:t>
            </w:r>
            <w:r w:rsidR="00D63A79" w:rsidRPr="00EE4A7D">
              <w:rPr>
                <w:rFonts w:asciiTheme="minorHAnsi" w:hAnsiTheme="minorHAnsi" w:cstheme="minorHAnsi"/>
              </w:rPr>
              <w:t>S Personnel Surety Program ICR. T</w:t>
            </w:r>
            <w:r w:rsidRPr="00EE4A7D">
              <w:rPr>
                <w:rFonts w:asciiTheme="minorHAnsi" w:hAnsiTheme="minorHAnsi" w:cstheme="minorHAnsi"/>
              </w:rPr>
              <w:t>he collection of data from affected individuals by a covered chemical facility or its designees is excluded under 5 CFR 1320.3(b)(2).</w:t>
            </w:r>
          </w:p>
          <w:p w14:paraId="72A77C8A" w14:textId="77777777" w:rsidR="00EE4A7D" w:rsidRPr="00EE4A7D" w:rsidRDefault="00EE4A7D" w:rsidP="00EE4A7D">
            <w:pPr>
              <w:pStyle w:val="ListParagraph"/>
              <w:rPr>
                <w:rFonts w:asciiTheme="minorHAnsi" w:hAnsiTheme="minorHAnsi" w:cstheme="minorHAnsi"/>
              </w:rPr>
            </w:pPr>
          </w:p>
          <w:p w14:paraId="0DFC6A73" w14:textId="77777777" w:rsidR="00EE4A7D" w:rsidRDefault="00F66B8B" w:rsidP="00EE4A7D">
            <w:pPr>
              <w:pStyle w:val="ListParagraph"/>
              <w:numPr>
                <w:ilvl w:val="0"/>
                <w:numId w:val="39"/>
              </w:numPr>
              <w:rPr>
                <w:rFonts w:asciiTheme="minorHAnsi" w:hAnsiTheme="minorHAnsi" w:cstheme="minorHAnsi"/>
              </w:rPr>
            </w:pPr>
            <w:r w:rsidRPr="00EE4A7D">
              <w:rPr>
                <w:rFonts w:asciiTheme="minorHAnsi" w:hAnsiTheme="minorHAnsi" w:cstheme="minorHAnsi"/>
              </w:rPr>
              <w:t>The Department considered whether the CFATS Personnel Surety Program ICR should be revised to account for the burden associated with “training personnel to use the CSAT PSP application.” After considering the comment, the Department did not revise the CFATS Personnel Surety Program ICR because the burden is properly accounted for under Information Collection 1670-0007.</w:t>
            </w:r>
          </w:p>
          <w:p w14:paraId="54C73AEB" w14:textId="77777777" w:rsidR="00EE4A7D" w:rsidRPr="00EE4A7D" w:rsidRDefault="00EE4A7D" w:rsidP="00EE4A7D">
            <w:pPr>
              <w:pStyle w:val="ListParagraph"/>
              <w:rPr>
                <w:rFonts w:asciiTheme="minorHAnsi" w:hAnsiTheme="minorHAnsi" w:cstheme="minorHAnsi"/>
              </w:rPr>
            </w:pPr>
          </w:p>
          <w:p w14:paraId="1A0E63DA" w14:textId="3F855F43" w:rsidR="001D0991" w:rsidRPr="00EE4A7D" w:rsidRDefault="00F66B8B" w:rsidP="00EE4A7D">
            <w:pPr>
              <w:pStyle w:val="ListParagraph"/>
              <w:numPr>
                <w:ilvl w:val="0"/>
                <w:numId w:val="39"/>
              </w:numPr>
              <w:rPr>
                <w:rFonts w:asciiTheme="minorHAnsi" w:hAnsiTheme="minorHAnsi" w:cstheme="minorHAnsi"/>
              </w:rPr>
            </w:pPr>
            <w:r w:rsidRPr="00EE4A7D">
              <w:rPr>
                <w:rFonts w:asciiTheme="minorHAnsi" w:hAnsiTheme="minorHAnsi" w:cstheme="minorHAnsi"/>
              </w:rPr>
              <w:t>The Department considered whether the CFATS Personnel Surety Program ICR should be revised to account f</w:t>
            </w:r>
            <w:r w:rsidR="00EE4A7D">
              <w:rPr>
                <w:rFonts w:asciiTheme="minorHAnsi" w:hAnsiTheme="minorHAnsi" w:cstheme="minorHAnsi"/>
              </w:rPr>
              <w:t>or the burden associated with “e</w:t>
            </w:r>
            <w:r w:rsidRPr="00EE4A7D">
              <w:rPr>
                <w:rFonts w:asciiTheme="minorHAnsi" w:hAnsiTheme="minorHAnsi" w:cstheme="minorHAnsi"/>
              </w:rPr>
              <w:t>nsuring change management (e.g., once the initial data is gathered and uploaded, the facility still must account for new hires and new contractors – and further incorporate this into the facility access process)</w:t>
            </w:r>
            <w:r w:rsidR="00EE4A7D">
              <w:rPr>
                <w:rFonts w:asciiTheme="minorHAnsi" w:hAnsiTheme="minorHAnsi" w:cstheme="minorHAnsi"/>
              </w:rPr>
              <w:t>.</w:t>
            </w:r>
            <w:r w:rsidRPr="00EE4A7D">
              <w:rPr>
                <w:rFonts w:asciiTheme="minorHAnsi" w:hAnsiTheme="minorHAnsi" w:cstheme="minorHAnsi"/>
              </w:rPr>
              <w:t>” After considering the comment, the Department did not revise the CFATS Personnel Surety Program ICR because the burden is already accounted for in this ICR</w:t>
            </w:r>
            <w:r w:rsidR="00242BCC" w:rsidRPr="00EE4A7D">
              <w:rPr>
                <w:rFonts w:asciiTheme="minorHAnsi" w:hAnsiTheme="minorHAnsi" w:cstheme="minorHAnsi"/>
              </w:rPr>
              <w:t xml:space="preserve"> (See 82 FR 61312, 61316)</w:t>
            </w:r>
            <w:r w:rsidR="00EE4A7D">
              <w:rPr>
                <w:rFonts w:asciiTheme="minorHAnsi" w:hAnsiTheme="minorHAnsi" w:cstheme="minorHAnsi"/>
              </w:rPr>
              <w:t>.</w:t>
            </w:r>
            <w:r w:rsidR="00242BCC" w:rsidRPr="00F66B8B">
              <w:rPr>
                <w:vertAlign w:val="superscript"/>
              </w:rPr>
              <w:footnoteReference w:id="6"/>
            </w:r>
            <w:r w:rsidRPr="00EE4A7D">
              <w:rPr>
                <w:rFonts w:asciiTheme="minorHAnsi" w:hAnsiTheme="minorHAnsi" w:cstheme="minorHAnsi"/>
              </w:rPr>
              <w:t xml:space="preserve"> The Department laid out the expectations to submit both existing affected individuals as well as new affected individuals in the ICR notices associated with the current Information Collection and in the CFATS Personnel Surety Program Implementation Notice. The clear expectation for covered chemical facilities to submit new affected individuals is therefore inherently a part of the actual historical data upon which the Department relied in the 60-day notice. </w:t>
            </w:r>
          </w:p>
        </w:tc>
      </w:tr>
      <w:tr w:rsidR="001D0991" w:rsidRPr="00C51CDF" w14:paraId="03720E7F" w14:textId="77777777" w:rsidTr="002D794A">
        <w:trPr>
          <w:trHeight w:val="1160"/>
          <w:jc w:val="center"/>
        </w:trPr>
        <w:tc>
          <w:tcPr>
            <w:tcW w:w="662" w:type="dxa"/>
          </w:tcPr>
          <w:p w14:paraId="2BE68BE5" w14:textId="4F59BDBB" w:rsidR="001D0991" w:rsidRPr="00C51CDF" w:rsidRDefault="00003040" w:rsidP="00003040">
            <w:pPr>
              <w:rPr>
                <w:rFonts w:asciiTheme="minorHAnsi" w:hAnsiTheme="minorHAnsi" w:cstheme="minorHAnsi"/>
                <w:sz w:val="22"/>
                <w:szCs w:val="22"/>
              </w:rPr>
            </w:pPr>
            <w:r>
              <w:rPr>
                <w:rFonts w:asciiTheme="minorHAnsi" w:hAnsiTheme="minorHAnsi" w:cstheme="minorHAnsi"/>
                <w:sz w:val="22"/>
                <w:szCs w:val="22"/>
              </w:rPr>
              <w:t>2.2.3</w:t>
            </w:r>
          </w:p>
        </w:tc>
        <w:tc>
          <w:tcPr>
            <w:tcW w:w="2234" w:type="dxa"/>
          </w:tcPr>
          <w:p w14:paraId="469192A7" w14:textId="379EA98E" w:rsidR="001D0991" w:rsidRPr="00C51CDF" w:rsidRDefault="00F66B8B" w:rsidP="00CA0552">
            <w:pPr>
              <w:rPr>
                <w:rFonts w:asciiTheme="minorHAnsi" w:hAnsiTheme="minorHAnsi" w:cstheme="minorHAnsi"/>
                <w:sz w:val="22"/>
                <w:szCs w:val="22"/>
              </w:rPr>
            </w:pPr>
            <w:r w:rsidRPr="00F66B8B">
              <w:rPr>
                <w:rFonts w:asciiTheme="minorHAnsi" w:hAnsiTheme="minorHAnsi" w:cstheme="minorHAnsi"/>
                <w:sz w:val="22"/>
                <w:szCs w:val="22"/>
              </w:rPr>
              <w:t>Underestimating Burden</w:t>
            </w:r>
          </w:p>
        </w:tc>
        <w:tc>
          <w:tcPr>
            <w:tcW w:w="4333" w:type="dxa"/>
          </w:tcPr>
          <w:p w14:paraId="59B3EEED" w14:textId="07797636" w:rsidR="001D0991" w:rsidRPr="00C51CDF" w:rsidRDefault="00F66B8B" w:rsidP="00585698">
            <w:pPr>
              <w:tabs>
                <w:tab w:val="left" w:pos="2954"/>
              </w:tabs>
              <w:rPr>
                <w:rFonts w:asciiTheme="minorHAnsi" w:hAnsiTheme="minorHAnsi" w:cstheme="minorHAnsi"/>
                <w:sz w:val="22"/>
              </w:rPr>
            </w:pPr>
            <w:r w:rsidRPr="00F66B8B">
              <w:rPr>
                <w:rFonts w:asciiTheme="minorHAnsi" w:hAnsiTheme="minorHAnsi" w:cstheme="minorHAnsi"/>
                <w:sz w:val="22"/>
              </w:rPr>
              <w:t>One commenter suggested that the CFATS Personnel Surety Program is being implemented</w:t>
            </w:r>
            <w:r w:rsidR="00FB5A5B">
              <w:rPr>
                <w:rFonts w:asciiTheme="minorHAnsi" w:hAnsiTheme="minorHAnsi" w:cstheme="minorHAnsi"/>
                <w:sz w:val="22"/>
              </w:rPr>
              <w:t xml:space="preserve"> on a facility-by-</w:t>
            </w:r>
            <w:r w:rsidR="00F42ED2">
              <w:rPr>
                <w:rFonts w:asciiTheme="minorHAnsi" w:hAnsiTheme="minorHAnsi" w:cstheme="minorHAnsi"/>
                <w:sz w:val="22"/>
              </w:rPr>
              <w:t xml:space="preserve">facility basis rather than a company-wide basis, which encourages duplicative processes for information collection and vetting and dramatically increases the burdens on railroads serving </w:t>
            </w:r>
            <w:r w:rsidR="00FB5A5B">
              <w:rPr>
                <w:rFonts w:asciiTheme="minorHAnsi" w:hAnsiTheme="minorHAnsi" w:cstheme="minorHAnsi"/>
                <w:sz w:val="22"/>
              </w:rPr>
              <w:t>more than one company location.</w:t>
            </w:r>
          </w:p>
        </w:tc>
        <w:tc>
          <w:tcPr>
            <w:tcW w:w="4762" w:type="dxa"/>
          </w:tcPr>
          <w:p w14:paraId="66E1E744" w14:textId="2AB473DF" w:rsidR="001D0991" w:rsidRPr="00C51CDF" w:rsidRDefault="00F66B8B" w:rsidP="00FB5A5B">
            <w:pPr>
              <w:rPr>
                <w:rFonts w:asciiTheme="minorHAnsi" w:hAnsiTheme="minorHAnsi" w:cstheme="minorHAnsi"/>
                <w:sz w:val="22"/>
                <w:szCs w:val="22"/>
              </w:rPr>
            </w:pPr>
            <w:r w:rsidRPr="00F66B8B">
              <w:rPr>
                <w:rFonts w:asciiTheme="minorHAnsi" w:hAnsiTheme="minorHAnsi" w:cstheme="minorHAnsi"/>
                <w:sz w:val="22"/>
                <w:szCs w:val="22"/>
              </w:rPr>
              <w:t xml:space="preserve">The Department has designed the CFATS Program as a whole, and the CFATS Personnel Surety Program in particular, to allow for a company-wide approach. This has been mentioned in </w:t>
            </w:r>
            <w:r w:rsidR="00F42ED2">
              <w:rPr>
                <w:rFonts w:asciiTheme="minorHAnsi" w:hAnsiTheme="minorHAnsi" w:cstheme="minorHAnsi"/>
                <w:sz w:val="22"/>
                <w:szCs w:val="22"/>
              </w:rPr>
              <w:t>previous</w:t>
            </w:r>
            <w:r w:rsidRPr="00F66B8B">
              <w:rPr>
                <w:rFonts w:asciiTheme="minorHAnsi" w:hAnsiTheme="minorHAnsi" w:cstheme="minorHAnsi"/>
                <w:sz w:val="22"/>
                <w:szCs w:val="22"/>
              </w:rPr>
              <w:t xml:space="preserve"> notices</w:t>
            </w:r>
            <w:r w:rsidR="00FB5A5B" w:rsidRPr="00F66B8B">
              <w:rPr>
                <w:rFonts w:asciiTheme="minorHAnsi" w:hAnsiTheme="minorHAnsi" w:cstheme="minorHAnsi"/>
                <w:sz w:val="22"/>
                <w:szCs w:val="22"/>
                <w:vertAlign w:val="superscript"/>
              </w:rPr>
              <w:footnoteReference w:id="7"/>
            </w:r>
            <w:r w:rsidR="00FB5A5B">
              <w:rPr>
                <w:rFonts w:asciiTheme="minorHAnsi" w:hAnsiTheme="minorHAnsi" w:cstheme="minorHAnsi"/>
                <w:sz w:val="22"/>
                <w:szCs w:val="22"/>
              </w:rPr>
              <w:t xml:space="preserve"> and </w:t>
            </w:r>
            <w:r w:rsidRPr="00F66B8B">
              <w:rPr>
                <w:rFonts w:asciiTheme="minorHAnsi" w:hAnsiTheme="minorHAnsi" w:cstheme="minorHAnsi"/>
                <w:sz w:val="22"/>
                <w:szCs w:val="22"/>
              </w:rPr>
              <w:t>can be found in current program guidance and resources.</w:t>
            </w:r>
            <w:r w:rsidRPr="00F66B8B">
              <w:rPr>
                <w:rFonts w:asciiTheme="minorHAnsi" w:hAnsiTheme="minorHAnsi" w:cstheme="minorHAnsi"/>
                <w:sz w:val="22"/>
                <w:szCs w:val="22"/>
                <w:vertAlign w:val="superscript"/>
              </w:rPr>
              <w:footnoteReference w:id="8"/>
            </w:r>
            <w:r w:rsidRPr="00F66B8B">
              <w:rPr>
                <w:rFonts w:asciiTheme="minorHAnsi" w:hAnsiTheme="minorHAnsi" w:cstheme="minorHAnsi"/>
                <w:sz w:val="22"/>
                <w:szCs w:val="22"/>
              </w:rPr>
              <w:t xml:space="preserve"> Some companies have opted to implement a company-wide approach </w:t>
            </w:r>
            <w:r w:rsidR="00F42ED2">
              <w:rPr>
                <w:rFonts w:asciiTheme="minorHAnsi" w:hAnsiTheme="minorHAnsi" w:cstheme="minorHAnsi"/>
                <w:sz w:val="22"/>
                <w:szCs w:val="22"/>
              </w:rPr>
              <w:t xml:space="preserve">to </w:t>
            </w:r>
            <w:r w:rsidR="00FB5A5B">
              <w:rPr>
                <w:rFonts w:asciiTheme="minorHAnsi" w:hAnsiTheme="minorHAnsi" w:cstheme="minorHAnsi"/>
                <w:sz w:val="22"/>
                <w:szCs w:val="22"/>
              </w:rPr>
              <w:t xml:space="preserve">the </w:t>
            </w:r>
            <w:r w:rsidR="00F42ED2">
              <w:rPr>
                <w:rFonts w:asciiTheme="minorHAnsi" w:hAnsiTheme="minorHAnsi" w:cstheme="minorHAnsi"/>
                <w:sz w:val="22"/>
                <w:szCs w:val="22"/>
              </w:rPr>
              <w:t xml:space="preserve">Personnel Surety Program </w:t>
            </w:r>
            <w:r w:rsidRPr="00F66B8B">
              <w:rPr>
                <w:rFonts w:asciiTheme="minorHAnsi" w:hAnsiTheme="minorHAnsi" w:cstheme="minorHAnsi"/>
                <w:sz w:val="22"/>
                <w:szCs w:val="22"/>
              </w:rPr>
              <w:t>while others have not. The design of the CFATS Personnel Surety Program and this ICR allows each company with multiple covered chemical facilities to choose for itself whether or not, or to what degree, to adopt a company-wide approach under CFATS.</w:t>
            </w:r>
          </w:p>
        </w:tc>
      </w:tr>
      <w:tr w:rsidR="001D0991" w:rsidRPr="00C51CDF" w14:paraId="08A9E642" w14:textId="77777777" w:rsidTr="002D794A">
        <w:trPr>
          <w:trHeight w:val="1160"/>
          <w:jc w:val="center"/>
        </w:trPr>
        <w:tc>
          <w:tcPr>
            <w:tcW w:w="662" w:type="dxa"/>
          </w:tcPr>
          <w:p w14:paraId="49A2DC1A" w14:textId="460145F8" w:rsidR="001D0991" w:rsidRPr="00C51CDF" w:rsidRDefault="00003040" w:rsidP="00003040">
            <w:pPr>
              <w:rPr>
                <w:rFonts w:asciiTheme="minorHAnsi" w:hAnsiTheme="minorHAnsi" w:cstheme="minorHAnsi"/>
                <w:sz w:val="22"/>
                <w:szCs w:val="22"/>
              </w:rPr>
            </w:pPr>
            <w:r>
              <w:rPr>
                <w:rFonts w:asciiTheme="minorHAnsi" w:hAnsiTheme="minorHAnsi" w:cstheme="minorHAnsi"/>
                <w:sz w:val="22"/>
                <w:szCs w:val="22"/>
              </w:rPr>
              <w:t>2.2.4</w:t>
            </w:r>
          </w:p>
        </w:tc>
        <w:tc>
          <w:tcPr>
            <w:tcW w:w="2234" w:type="dxa"/>
          </w:tcPr>
          <w:p w14:paraId="07E2B39B" w14:textId="1AA6B29D" w:rsidR="001D0991" w:rsidRPr="00C51CDF" w:rsidRDefault="00F66B8B" w:rsidP="00CA0552">
            <w:pPr>
              <w:rPr>
                <w:rFonts w:asciiTheme="minorHAnsi" w:hAnsiTheme="minorHAnsi" w:cstheme="minorHAnsi"/>
                <w:sz w:val="22"/>
                <w:szCs w:val="22"/>
              </w:rPr>
            </w:pPr>
            <w:r w:rsidRPr="00F66B8B">
              <w:rPr>
                <w:rFonts w:asciiTheme="minorHAnsi" w:hAnsiTheme="minorHAnsi" w:cstheme="minorHAnsi"/>
                <w:sz w:val="22"/>
                <w:szCs w:val="22"/>
              </w:rPr>
              <w:t>Underestimating Burden</w:t>
            </w:r>
          </w:p>
        </w:tc>
        <w:tc>
          <w:tcPr>
            <w:tcW w:w="4333" w:type="dxa"/>
          </w:tcPr>
          <w:p w14:paraId="1F10F2D7" w14:textId="59B8BC93" w:rsidR="001D0991" w:rsidRPr="00C51CDF" w:rsidRDefault="00F66B8B" w:rsidP="00585698">
            <w:pPr>
              <w:tabs>
                <w:tab w:val="left" w:pos="2954"/>
              </w:tabs>
              <w:rPr>
                <w:rFonts w:asciiTheme="minorHAnsi" w:hAnsiTheme="minorHAnsi" w:cstheme="minorHAnsi"/>
                <w:sz w:val="22"/>
              </w:rPr>
            </w:pPr>
            <w:r w:rsidRPr="00F66B8B">
              <w:rPr>
                <w:rFonts w:asciiTheme="minorHAnsi" w:hAnsiTheme="minorHAnsi" w:cstheme="minorHAnsi"/>
                <w:sz w:val="22"/>
              </w:rPr>
              <w:t xml:space="preserve">One commenter expressed concern that the estimated time per respondent of five minutes “does not appear to include the additional time necessary to notify employees of the PSP requirement, obtain consent …” </w:t>
            </w:r>
          </w:p>
        </w:tc>
        <w:tc>
          <w:tcPr>
            <w:tcW w:w="4762" w:type="dxa"/>
          </w:tcPr>
          <w:p w14:paraId="22DB29A8" w14:textId="3CB6CCC4" w:rsidR="00A12644" w:rsidRPr="00A12644" w:rsidRDefault="00D479FF" w:rsidP="00A12644">
            <w:pPr>
              <w:rPr>
                <w:rFonts w:asciiTheme="minorHAnsi" w:hAnsiTheme="minorHAnsi" w:cstheme="minorHAnsi"/>
                <w:sz w:val="22"/>
                <w:szCs w:val="22"/>
              </w:rPr>
            </w:pPr>
            <w:r>
              <w:rPr>
                <w:rFonts w:asciiTheme="minorHAnsi" w:hAnsiTheme="minorHAnsi" w:cstheme="minorHAnsi"/>
                <w:sz w:val="22"/>
                <w:szCs w:val="22"/>
              </w:rPr>
              <w:t>As previously discussed</w:t>
            </w:r>
            <w:r w:rsidR="00FB5A5B">
              <w:rPr>
                <w:rFonts w:asciiTheme="minorHAnsi" w:hAnsiTheme="minorHAnsi" w:cstheme="minorHAnsi"/>
                <w:sz w:val="22"/>
                <w:szCs w:val="22"/>
              </w:rPr>
              <w:t>,</w:t>
            </w:r>
            <w:r>
              <w:rPr>
                <w:rFonts w:asciiTheme="minorHAnsi" w:hAnsiTheme="minorHAnsi" w:cstheme="minorHAnsi"/>
                <w:sz w:val="22"/>
                <w:szCs w:val="22"/>
              </w:rPr>
              <w:t xml:space="preserve"> t</w:t>
            </w:r>
            <w:r w:rsidR="00A12644" w:rsidRPr="00A12644">
              <w:rPr>
                <w:rFonts w:asciiTheme="minorHAnsi" w:hAnsiTheme="minorHAnsi" w:cstheme="minorHAnsi"/>
                <w:sz w:val="22"/>
                <w:szCs w:val="22"/>
              </w:rPr>
              <w:t>he Department</w:t>
            </w:r>
            <w:r>
              <w:rPr>
                <w:rFonts w:asciiTheme="minorHAnsi" w:hAnsiTheme="minorHAnsi" w:cstheme="minorHAnsi"/>
                <w:sz w:val="22"/>
                <w:szCs w:val="22"/>
              </w:rPr>
              <w:t xml:space="preserve"> </w:t>
            </w:r>
            <w:r w:rsidRPr="00F66B8B">
              <w:rPr>
                <w:rFonts w:asciiTheme="minorHAnsi" w:hAnsiTheme="minorHAnsi" w:cstheme="minorHAnsi"/>
                <w:sz w:val="22"/>
                <w:szCs w:val="22"/>
              </w:rPr>
              <w:t>did not revise the CFATS Personnel Surety Program ICR because this burden is already accounted for in the 10 minutes per respondent burden estimate.</w:t>
            </w:r>
            <w:r w:rsidR="00A12644" w:rsidRPr="00A12644">
              <w:rPr>
                <w:rFonts w:asciiTheme="minorHAnsi" w:hAnsiTheme="minorHAnsi" w:cstheme="minorHAnsi"/>
                <w:sz w:val="22"/>
                <w:szCs w:val="22"/>
              </w:rPr>
              <w:t xml:space="preserve"> </w:t>
            </w:r>
          </w:p>
          <w:p w14:paraId="1AAD6289" w14:textId="6D6F33C3" w:rsidR="001D0991" w:rsidRPr="00C51CDF" w:rsidRDefault="001D0991" w:rsidP="00A12644">
            <w:pPr>
              <w:rPr>
                <w:rFonts w:asciiTheme="minorHAnsi" w:hAnsiTheme="minorHAnsi" w:cstheme="minorHAnsi"/>
                <w:sz w:val="22"/>
                <w:szCs w:val="22"/>
              </w:rPr>
            </w:pPr>
          </w:p>
        </w:tc>
      </w:tr>
      <w:tr w:rsidR="001D0991" w:rsidRPr="00C51CDF" w14:paraId="3DAFF817" w14:textId="77777777" w:rsidTr="002D794A">
        <w:trPr>
          <w:trHeight w:val="1160"/>
          <w:jc w:val="center"/>
        </w:trPr>
        <w:tc>
          <w:tcPr>
            <w:tcW w:w="662" w:type="dxa"/>
          </w:tcPr>
          <w:p w14:paraId="78F32633" w14:textId="5EDFE740" w:rsidR="001D0991" w:rsidRPr="00C51CDF" w:rsidRDefault="00003040" w:rsidP="00003040">
            <w:pPr>
              <w:rPr>
                <w:rFonts w:asciiTheme="minorHAnsi" w:hAnsiTheme="minorHAnsi" w:cstheme="minorHAnsi"/>
                <w:sz w:val="22"/>
                <w:szCs w:val="22"/>
              </w:rPr>
            </w:pPr>
            <w:r>
              <w:rPr>
                <w:rFonts w:asciiTheme="minorHAnsi" w:hAnsiTheme="minorHAnsi" w:cstheme="minorHAnsi"/>
                <w:sz w:val="22"/>
                <w:szCs w:val="22"/>
              </w:rPr>
              <w:t>2.2.5</w:t>
            </w:r>
          </w:p>
        </w:tc>
        <w:tc>
          <w:tcPr>
            <w:tcW w:w="2234" w:type="dxa"/>
          </w:tcPr>
          <w:p w14:paraId="230D6385" w14:textId="53B1FE11" w:rsidR="001D0991" w:rsidRPr="00C51CDF" w:rsidRDefault="00F66B8B" w:rsidP="00CA0552">
            <w:pPr>
              <w:rPr>
                <w:rFonts w:asciiTheme="minorHAnsi" w:hAnsiTheme="minorHAnsi" w:cstheme="minorHAnsi"/>
                <w:sz w:val="22"/>
                <w:szCs w:val="22"/>
              </w:rPr>
            </w:pPr>
            <w:r w:rsidRPr="00F66B8B">
              <w:rPr>
                <w:rFonts w:asciiTheme="minorHAnsi" w:hAnsiTheme="minorHAnsi" w:cstheme="minorHAnsi"/>
                <w:sz w:val="22"/>
                <w:szCs w:val="22"/>
              </w:rPr>
              <w:t>Underestimating Burden</w:t>
            </w:r>
          </w:p>
        </w:tc>
        <w:tc>
          <w:tcPr>
            <w:tcW w:w="4333" w:type="dxa"/>
          </w:tcPr>
          <w:p w14:paraId="53AFBBDC" w14:textId="1F272DC5" w:rsidR="001D0991" w:rsidRPr="00C51CDF" w:rsidRDefault="00F66B8B" w:rsidP="00585698">
            <w:pPr>
              <w:tabs>
                <w:tab w:val="left" w:pos="2954"/>
              </w:tabs>
              <w:rPr>
                <w:rFonts w:asciiTheme="minorHAnsi" w:hAnsiTheme="minorHAnsi" w:cstheme="minorHAnsi"/>
                <w:sz w:val="22"/>
              </w:rPr>
            </w:pPr>
            <w:r w:rsidRPr="00F66B8B">
              <w:rPr>
                <w:rFonts w:asciiTheme="minorHAnsi" w:hAnsiTheme="minorHAnsi" w:cstheme="minorHAnsi"/>
                <w:sz w:val="22"/>
              </w:rPr>
              <w:t>On</w:t>
            </w:r>
            <w:r w:rsidR="00C9769D">
              <w:rPr>
                <w:rFonts w:asciiTheme="minorHAnsi" w:hAnsiTheme="minorHAnsi" w:cstheme="minorHAnsi"/>
                <w:sz w:val="22"/>
              </w:rPr>
              <w:t>e</w:t>
            </w:r>
            <w:r w:rsidRPr="00F66B8B">
              <w:rPr>
                <w:rFonts w:asciiTheme="minorHAnsi" w:hAnsiTheme="minorHAnsi" w:cstheme="minorHAnsi"/>
                <w:sz w:val="22"/>
              </w:rPr>
              <w:t xml:space="preserve"> commenter is concerned with the time it takes authorizer to create CSAT accounts for contractors. </w:t>
            </w:r>
          </w:p>
        </w:tc>
        <w:tc>
          <w:tcPr>
            <w:tcW w:w="4762" w:type="dxa"/>
          </w:tcPr>
          <w:p w14:paraId="17C6B8E5" w14:textId="3E60E212" w:rsidR="001D0991" w:rsidRPr="00C51CDF" w:rsidRDefault="00D479FF" w:rsidP="00FB5A5B">
            <w:pPr>
              <w:rPr>
                <w:rFonts w:asciiTheme="minorHAnsi" w:hAnsiTheme="minorHAnsi" w:cstheme="minorHAnsi"/>
                <w:sz w:val="22"/>
                <w:szCs w:val="22"/>
              </w:rPr>
            </w:pPr>
            <w:r>
              <w:rPr>
                <w:rFonts w:asciiTheme="minorHAnsi" w:hAnsiTheme="minorHAnsi" w:cstheme="minorHAnsi"/>
                <w:sz w:val="22"/>
                <w:szCs w:val="22"/>
              </w:rPr>
              <w:t>T</w:t>
            </w:r>
            <w:r w:rsidRPr="00F66B8B">
              <w:rPr>
                <w:rFonts w:asciiTheme="minorHAnsi" w:hAnsiTheme="minorHAnsi" w:cstheme="minorHAnsi"/>
                <w:sz w:val="22"/>
                <w:szCs w:val="22"/>
              </w:rPr>
              <w:t xml:space="preserve">he </w:t>
            </w:r>
            <w:r w:rsidR="00C9769D">
              <w:rPr>
                <w:rFonts w:asciiTheme="minorHAnsi" w:hAnsiTheme="minorHAnsi" w:cstheme="minorHAnsi"/>
                <w:sz w:val="22"/>
                <w:szCs w:val="22"/>
              </w:rPr>
              <w:t xml:space="preserve">Department accounts for </w:t>
            </w:r>
            <w:r w:rsidR="00FB5A5B">
              <w:rPr>
                <w:rFonts w:asciiTheme="minorHAnsi" w:hAnsiTheme="minorHAnsi" w:cstheme="minorHAnsi"/>
                <w:sz w:val="22"/>
                <w:szCs w:val="22"/>
              </w:rPr>
              <w:t xml:space="preserve">the </w:t>
            </w:r>
            <w:r w:rsidR="007F47BF">
              <w:rPr>
                <w:rFonts w:asciiTheme="minorHAnsi" w:hAnsiTheme="minorHAnsi" w:cstheme="minorHAnsi"/>
                <w:sz w:val="22"/>
                <w:szCs w:val="22"/>
              </w:rPr>
              <w:t xml:space="preserve">burden related to the </w:t>
            </w:r>
            <w:r>
              <w:rPr>
                <w:rFonts w:asciiTheme="minorHAnsi" w:hAnsiTheme="minorHAnsi" w:cstheme="minorHAnsi"/>
                <w:sz w:val="22"/>
                <w:szCs w:val="22"/>
              </w:rPr>
              <w:t xml:space="preserve">creation of CSAT accounts for contractors </w:t>
            </w:r>
            <w:r w:rsidR="00FB5A5B">
              <w:rPr>
                <w:rFonts w:asciiTheme="minorHAnsi" w:hAnsiTheme="minorHAnsi" w:cstheme="minorHAnsi"/>
                <w:sz w:val="22"/>
                <w:szCs w:val="22"/>
              </w:rPr>
              <w:t>under</w:t>
            </w:r>
            <w:r w:rsidRPr="00F66B8B">
              <w:rPr>
                <w:rFonts w:asciiTheme="minorHAnsi" w:hAnsiTheme="minorHAnsi" w:cstheme="minorHAnsi"/>
                <w:sz w:val="22"/>
                <w:szCs w:val="22"/>
              </w:rPr>
              <w:t xml:space="preserve"> </w:t>
            </w:r>
            <w:r w:rsidR="00FB5A5B">
              <w:rPr>
                <w:rFonts w:asciiTheme="minorHAnsi" w:hAnsiTheme="minorHAnsi" w:cstheme="minorHAnsi"/>
                <w:sz w:val="22"/>
                <w:szCs w:val="22"/>
              </w:rPr>
              <w:t>Information Collection</w:t>
            </w:r>
            <w:r w:rsidR="007F47BF">
              <w:rPr>
                <w:rFonts w:asciiTheme="minorHAnsi" w:hAnsiTheme="minorHAnsi" w:cstheme="minorHAnsi"/>
                <w:sz w:val="22"/>
                <w:szCs w:val="22"/>
              </w:rPr>
              <w:t xml:space="preserve"> </w:t>
            </w:r>
            <w:r w:rsidRPr="00F66B8B">
              <w:rPr>
                <w:rFonts w:asciiTheme="minorHAnsi" w:hAnsiTheme="minorHAnsi" w:cstheme="minorHAnsi"/>
                <w:sz w:val="22"/>
                <w:szCs w:val="22"/>
              </w:rPr>
              <w:t>1670-0007.</w:t>
            </w:r>
            <w:r w:rsidRPr="00F66B8B">
              <w:rPr>
                <w:rFonts w:asciiTheme="minorHAnsi" w:hAnsiTheme="minorHAnsi" w:cstheme="minorHAnsi"/>
                <w:sz w:val="22"/>
                <w:szCs w:val="22"/>
                <w:vertAlign w:val="superscript"/>
              </w:rPr>
              <w:footnoteReference w:id="9"/>
            </w:r>
          </w:p>
        </w:tc>
      </w:tr>
    </w:tbl>
    <w:p w14:paraId="2EC8071C" w14:textId="77777777" w:rsidR="00E0647A" w:rsidRDefault="00E0647A" w:rsidP="00315F54">
      <w:pPr>
        <w:ind w:left="-180"/>
        <w:rPr>
          <w:rFonts w:asciiTheme="minorHAnsi" w:hAnsiTheme="minorHAnsi" w:cstheme="minorHAnsi"/>
        </w:rPr>
      </w:pPr>
    </w:p>
    <w:p w14:paraId="1C6F48DB" w14:textId="437DE74A" w:rsidR="001D0991" w:rsidRDefault="001D0991">
      <w:pPr>
        <w:rPr>
          <w:rFonts w:asciiTheme="minorHAnsi" w:hAnsiTheme="minorHAnsi" w:cstheme="minorHAnsi"/>
        </w:rPr>
      </w:pPr>
      <w:r>
        <w:rPr>
          <w:rFonts w:asciiTheme="minorHAnsi" w:hAnsiTheme="minorHAnsi" w:cstheme="minorHAnsi"/>
        </w:rPr>
        <w:br w:type="page"/>
      </w:r>
    </w:p>
    <w:tbl>
      <w:tblPr>
        <w:tblStyle w:val="TableGrid"/>
        <w:tblW w:w="0" w:type="auto"/>
        <w:jc w:val="center"/>
        <w:tblLook w:val="04A0" w:firstRow="1" w:lastRow="0" w:firstColumn="1" w:lastColumn="0" w:noHBand="0" w:noVBand="1"/>
      </w:tblPr>
      <w:tblGrid>
        <w:gridCol w:w="662"/>
        <w:gridCol w:w="2234"/>
        <w:gridCol w:w="4333"/>
        <w:gridCol w:w="4762"/>
      </w:tblGrid>
      <w:tr w:rsidR="002114E1" w:rsidRPr="00C51CDF" w14:paraId="1197D9BF" w14:textId="77777777" w:rsidTr="00CA0552">
        <w:trPr>
          <w:trHeight w:val="224"/>
          <w:tblHeader/>
          <w:jc w:val="center"/>
        </w:trPr>
        <w:tc>
          <w:tcPr>
            <w:tcW w:w="11834" w:type="dxa"/>
            <w:gridSpan w:val="4"/>
            <w:shd w:val="clear" w:color="auto" w:fill="548DD4" w:themeFill="text2" w:themeFillTint="99"/>
          </w:tcPr>
          <w:p w14:paraId="5E417E51" w14:textId="77777777" w:rsidR="002114E1" w:rsidRPr="00C51CDF" w:rsidRDefault="002114E1" w:rsidP="00CA0552">
            <w:pPr>
              <w:jc w:val="center"/>
              <w:rPr>
                <w:rFonts w:asciiTheme="minorHAnsi" w:hAnsiTheme="minorHAnsi" w:cstheme="minorHAnsi"/>
                <w:b/>
                <w:sz w:val="28"/>
                <w:szCs w:val="28"/>
              </w:rPr>
            </w:pPr>
            <w:r>
              <w:rPr>
                <w:rFonts w:asciiTheme="minorHAnsi" w:hAnsiTheme="minorHAnsi" w:cstheme="minorHAnsi"/>
                <w:b/>
                <w:sz w:val="28"/>
                <w:szCs w:val="28"/>
              </w:rPr>
              <w:t>1670-0029 (CFATS Personnel Surety Program)</w:t>
            </w:r>
          </w:p>
        </w:tc>
      </w:tr>
      <w:tr w:rsidR="002114E1" w:rsidRPr="00C51CDF" w14:paraId="6E5012E3" w14:textId="77777777" w:rsidTr="00CA0552">
        <w:trPr>
          <w:trHeight w:val="183"/>
          <w:tblHeader/>
          <w:jc w:val="center"/>
        </w:trPr>
        <w:tc>
          <w:tcPr>
            <w:tcW w:w="505" w:type="dxa"/>
            <w:shd w:val="clear" w:color="auto" w:fill="C6D9F1" w:themeFill="text2" w:themeFillTint="33"/>
          </w:tcPr>
          <w:p w14:paraId="09893295" w14:textId="77777777" w:rsidR="002114E1" w:rsidRPr="00C51CDF" w:rsidRDefault="002114E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w:t>
            </w:r>
          </w:p>
        </w:tc>
        <w:tc>
          <w:tcPr>
            <w:tcW w:w="2234" w:type="dxa"/>
            <w:shd w:val="clear" w:color="auto" w:fill="C6D9F1" w:themeFill="text2" w:themeFillTint="33"/>
          </w:tcPr>
          <w:p w14:paraId="6F662876" w14:textId="77777777" w:rsidR="002114E1" w:rsidRPr="00C51CDF" w:rsidRDefault="002114E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Category</w:t>
            </w:r>
          </w:p>
        </w:tc>
        <w:tc>
          <w:tcPr>
            <w:tcW w:w="4333" w:type="dxa"/>
            <w:shd w:val="clear" w:color="auto" w:fill="C6D9F1" w:themeFill="text2" w:themeFillTint="33"/>
          </w:tcPr>
          <w:p w14:paraId="3D2B28C2" w14:textId="77777777" w:rsidR="002114E1" w:rsidRPr="00C51CDF" w:rsidRDefault="002114E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Comment</w:t>
            </w:r>
          </w:p>
        </w:tc>
        <w:tc>
          <w:tcPr>
            <w:tcW w:w="4762" w:type="dxa"/>
            <w:shd w:val="clear" w:color="auto" w:fill="C6D9F1" w:themeFill="text2" w:themeFillTint="33"/>
          </w:tcPr>
          <w:p w14:paraId="3BC777EA" w14:textId="77777777" w:rsidR="002114E1" w:rsidRPr="00C51CDF" w:rsidRDefault="002114E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Response</w:t>
            </w:r>
          </w:p>
        </w:tc>
      </w:tr>
      <w:tr w:rsidR="002114E1" w:rsidRPr="00C51CDF" w14:paraId="1D03D2FE" w14:textId="77777777" w:rsidTr="00CA0552">
        <w:trPr>
          <w:trHeight w:val="378"/>
          <w:tblHeader/>
          <w:jc w:val="center"/>
        </w:trPr>
        <w:tc>
          <w:tcPr>
            <w:tcW w:w="11834" w:type="dxa"/>
            <w:gridSpan w:val="4"/>
            <w:shd w:val="clear" w:color="auto" w:fill="DBE5F1" w:themeFill="accent1" w:themeFillTint="33"/>
            <w:vAlign w:val="center"/>
          </w:tcPr>
          <w:p w14:paraId="10F1883A" w14:textId="7F155D5F" w:rsidR="002114E1" w:rsidRPr="00136A15" w:rsidRDefault="002114E1" w:rsidP="00CA0552">
            <w:pPr>
              <w:rPr>
                <w:rFonts w:asciiTheme="minorHAnsi" w:hAnsiTheme="minorHAnsi" w:cstheme="minorHAnsi"/>
                <w:b/>
                <w:sz w:val="22"/>
                <w:szCs w:val="22"/>
              </w:rPr>
            </w:pPr>
            <w:r>
              <w:rPr>
                <w:rFonts w:asciiTheme="minorHAnsi" w:hAnsiTheme="minorHAnsi" w:cstheme="minorHAnsi"/>
                <w:b/>
                <w:sz w:val="22"/>
                <w:szCs w:val="22"/>
              </w:rPr>
              <w:t xml:space="preserve">Comments on </w:t>
            </w:r>
            <w:r w:rsidR="00FB5A5B">
              <w:rPr>
                <w:rFonts w:asciiTheme="minorHAnsi" w:hAnsiTheme="minorHAnsi" w:cstheme="minorHAnsi"/>
                <w:b/>
                <w:sz w:val="22"/>
                <w:szCs w:val="22"/>
              </w:rPr>
              <w:t>enhancing</w:t>
            </w:r>
            <w:r w:rsidRPr="002114E1">
              <w:rPr>
                <w:rFonts w:asciiTheme="minorHAnsi" w:hAnsiTheme="minorHAnsi" w:cstheme="minorHAnsi"/>
                <w:b/>
                <w:sz w:val="22"/>
                <w:szCs w:val="22"/>
              </w:rPr>
              <w:t xml:space="preserve"> the quality, utility, and clarity of the information to be collected</w:t>
            </w:r>
            <w:r w:rsidRPr="00136A15">
              <w:rPr>
                <w:rFonts w:asciiTheme="minorHAnsi" w:hAnsiTheme="minorHAnsi" w:cstheme="minorHAnsi"/>
                <w:b/>
                <w:sz w:val="22"/>
                <w:szCs w:val="22"/>
              </w:rPr>
              <w:t xml:space="preserve"> </w:t>
            </w:r>
          </w:p>
        </w:tc>
      </w:tr>
      <w:tr w:rsidR="002114E1" w:rsidRPr="00C51CDF" w14:paraId="69999C91" w14:textId="77777777" w:rsidTr="00CA0552">
        <w:trPr>
          <w:trHeight w:val="1160"/>
          <w:jc w:val="center"/>
        </w:trPr>
        <w:tc>
          <w:tcPr>
            <w:tcW w:w="505" w:type="dxa"/>
          </w:tcPr>
          <w:p w14:paraId="36C21D69" w14:textId="65CF5633" w:rsidR="002114E1" w:rsidRPr="00C51CDF" w:rsidRDefault="002114E1" w:rsidP="00CA0552">
            <w:pPr>
              <w:rPr>
                <w:rFonts w:asciiTheme="minorHAnsi" w:hAnsiTheme="minorHAnsi" w:cstheme="minorHAnsi"/>
                <w:sz w:val="22"/>
                <w:szCs w:val="22"/>
              </w:rPr>
            </w:pPr>
            <w:r>
              <w:rPr>
                <w:rFonts w:asciiTheme="minorHAnsi" w:hAnsiTheme="minorHAnsi" w:cstheme="minorHAnsi"/>
                <w:sz w:val="22"/>
                <w:szCs w:val="22"/>
              </w:rPr>
              <w:t>3.1.1</w:t>
            </w:r>
          </w:p>
        </w:tc>
        <w:tc>
          <w:tcPr>
            <w:tcW w:w="2234" w:type="dxa"/>
          </w:tcPr>
          <w:p w14:paraId="4FEF1564" w14:textId="7C475DE1" w:rsidR="002114E1" w:rsidRPr="00C51CDF" w:rsidRDefault="007F47BF" w:rsidP="00CA0552">
            <w:pPr>
              <w:rPr>
                <w:rFonts w:asciiTheme="minorHAnsi" w:hAnsiTheme="minorHAnsi" w:cstheme="minorHAnsi"/>
                <w:sz w:val="22"/>
                <w:szCs w:val="22"/>
              </w:rPr>
            </w:pPr>
            <w:r>
              <w:rPr>
                <w:rFonts w:asciiTheme="minorHAnsi" w:hAnsiTheme="minorHAnsi" w:cstheme="minorHAnsi"/>
                <w:sz w:val="22"/>
                <w:szCs w:val="22"/>
              </w:rPr>
              <w:t>N/A</w:t>
            </w:r>
          </w:p>
        </w:tc>
        <w:tc>
          <w:tcPr>
            <w:tcW w:w="4333" w:type="dxa"/>
          </w:tcPr>
          <w:p w14:paraId="22148BC6" w14:textId="0024626A" w:rsidR="002114E1" w:rsidRPr="00716660" w:rsidRDefault="007F47BF" w:rsidP="00CA0552">
            <w:pPr>
              <w:pStyle w:val="ListParagraph"/>
              <w:tabs>
                <w:tab w:val="left" w:pos="2954"/>
              </w:tabs>
              <w:ind w:left="405"/>
            </w:pPr>
            <w:r>
              <w:t>No Comments Received</w:t>
            </w:r>
          </w:p>
        </w:tc>
        <w:tc>
          <w:tcPr>
            <w:tcW w:w="4762" w:type="dxa"/>
          </w:tcPr>
          <w:p w14:paraId="0942FABB" w14:textId="0CCA20AF" w:rsidR="002114E1" w:rsidRPr="00716660" w:rsidRDefault="007F47BF" w:rsidP="00CA0552">
            <w:pPr>
              <w:rPr>
                <w:rFonts w:asciiTheme="minorHAnsi" w:hAnsiTheme="minorHAnsi" w:cstheme="minorHAnsi"/>
                <w:sz w:val="22"/>
                <w:szCs w:val="22"/>
              </w:rPr>
            </w:pPr>
            <w:r>
              <w:rPr>
                <w:rFonts w:asciiTheme="minorHAnsi" w:hAnsiTheme="minorHAnsi" w:cstheme="minorHAnsi"/>
                <w:sz w:val="22"/>
                <w:szCs w:val="22"/>
              </w:rPr>
              <w:t>N/A</w:t>
            </w:r>
          </w:p>
        </w:tc>
      </w:tr>
    </w:tbl>
    <w:p w14:paraId="501EEA1B" w14:textId="5F7A4ED7" w:rsidR="002114E1" w:rsidRDefault="002114E1">
      <w:pPr>
        <w:rPr>
          <w:rFonts w:asciiTheme="minorHAnsi" w:hAnsiTheme="minorHAnsi" w:cstheme="minorHAnsi"/>
        </w:rPr>
      </w:pPr>
    </w:p>
    <w:p w14:paraId="722F7E92" w14:textId="77777777" w:rsidR="002114E1" w:rsidRDefault="002114E1">
      <w:pPr>
        <w:rPr>
          <w:rFonts w:asciiTheme="minorHAnsi" w:hAnsiTheme="minorHAnsi" w:cstheme="minorHAnsi"/>
        </w:rPr>
      </w:pPr>
      <w:r>
        <w:rPr>
          <w:rFonts w:asciiTheme="minorHAnsi" w:hAnsiTheme="minorHAnsi" w:cstheme="minorHAnsi"/>
        </w:rPr>
        <w:br w:type="page"/>
      </w:r>
    </w:p>
    <w:p w14:paraId="4417C8AC" w14:textId="77777777" w:rsidR="002114E1" w:rsidRDefault="002114E1">
      <w:pPr>
        <w:rPr>
          <w:rFonts w:asciiTheme="minorHAnsi" w:hAnsiTheme="minorHAnsi" w:cstheme="minorHAnsi"/>
        </w:rPr>
      </w:pPr>
    </w:p>
    <w:p w14:paraId="701246FA" w14:textId="77777777" w:rsidR="002114E1" w:rsidRDefault="002114E1">
      <w:pPr>
        <w:rPr>
          <w:rFonts w:asciiTheme="minorHAnsi" w:hAnsiTheme="minorHAnsi" w:cstheme="minorHAnsi"/>
        </w:rPr>
      </w:pPr>
    </w:p>
    <w:tbl>
      <w:tblPr>
        <w:tblStyle w:val="TableGrid"/>
        <w:tblW w:w="0" w:type="auto"/>
        <w:jc w:val="center"/>
        <w:tblLook w:val="04A0" w:firstRow="1" w:lastRow="0" w:firstColumn="1" w:lastColumn="0" w:noHBand="0" w:noVBand="1"/>
      </w:tblPr>
      <w:tblGrid>
        <w:gridCol w:w="662"/>
        <w:gridCol w:w="2234"/>
        <w:gridCol w:w="4333"/>
        <w:gridCol w:w="4762"/>
      </w:tblGrid>
      <w:tr w:rsidR="001D0991" w:rsidRPr="00C51CDF" w14:paraId="0894BC4B" w14:textId="77777777" w:rsidTr="007F47BF">
        <w:trPr>
          <w:trHeight w:val="224"/>
          <w:tblHeader/>
          <w:jc w:val="center"/>
        </w:trPr>
        <w:tc>
          <w:tcPr>
            <w:tcW w:w="11991" w:type="dxa"/>
            <w:gridSpan w:val="4"/>
            <w:shd w:val="clear" w:color="auto" w:fill="548DD4" w:themeFill="text2" w:themeFillTint="99"/>
          </w:tcPr>
          <w:p w14:paraId="64DCE046" w14:textId="77777777" w:rsidR="001D0991" w:rsidRPr="00C51CDF" w:rsidRDefault="001D0991" w:rsidP="00CA0552">
            <w:pPr>
              <w:jc w:val="center"/>
              <w:rPr>
                <w:rFonts w:asciiTheme="minorHAnsi" w:hAnsiTheme="minorHAnsi" w:cstheme="minorHAnsi"/>
                <w:b/>
                <w:sz w:val="28"/>
                <w:szCs w:val="28"/>
              </w:rPr>
            </w:pPr>
            <w:r>
              <w:rPr>
                <w:rFonts w:asciiTheme="minorHAnsi" w:hAnsiTheme="minorHAnsi" w:cstheme="minorHAnsi"/>
                <w:b/>
                <w:sz w:val="28"/>
                <w:szCs w:val="28"/>
              </w:rPr>
              <w:t>1670-0029 (CFATS Personnel Surety Program)</w:t>
            </w:r>
          </w:p>
        </w:tc>
      </w:tr>
      <w:tr w:rsidR="001D0991" w:rsidRPr="00C51CDF" w14:paraId="0E49CE9E" w14:textId="77777777" w:rsidTr="007F47BF">
        <w:trPr>
          <w:trHeight w:val="183"/>
          <w:tblHeader/>
          <w:jc w:val="center"/>
        </w:trPr>
        <w:tc>
          <w:tcPr>
            <w:tcW w:w="662" w:type="dxa"/>
            <w:shd w:val="clear" w:color="auto" w:fill="C6D9F1" w:themeFill="text2" w:themeFillTint="33"/>
          </w:tcPr>
          <w:p w14:paraId="4D083B13"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w:t>
            </w:r>
          </w:p>
        </w:tc>
        <w:tc>
          <w:tcPr>
            <w:tcW w:w="2234" w:type="dxa"/>
            <w:shd w:val="clear" w:color="auto" w:fill="C6D9F1" w:themeFill="text2" w:themeFillTint="33"/>
          </w:tcPr>
          <w:p w14:paraId="4FCF19B9"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Category</w:t>
            </w:r>
          </w:p>
        </w:tc>
        <w:tc>
          <w:tcPr>
            <w:tcW w:w="4333" w:type="dxa"/>
            <w:shd w:val="clear" w:color="auto" w:fill="C6D9F1" w:themeFill="text2" w:themeFillTint="33"/>
          </w:tcPr>
          <w:p w14:paraId="571AB588"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Comment</w:t>
            </w:r>
          </w:p>
        </w:tc>
        <w:tc>
          <w:tcPr>
            <w:tcW w:w="4762" w:type="dxa"/>
            <w:shd w:val="clear" w:color="auto" w:fill="C6D9F1" w:themeFill="text2" w:themeFillTint="33"/>
          </w:tcPr>
          <w:p w14:paraId="36B30EC1"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Response</w:t>
            </w:r>
          </w:p>
        </w:tc>
      </w:tr>
      <w:tr w:rsidR="001D0991" w:rsidRPr="00C51CDF" w14:paraId="474BC2EA" w14:textId="77777777" w:rsidTr="007F47BF">
        <w:trPr>
          <w:trHeight w:val="378"/>
          <w:tblHeader/>
          <w:jc w:val="center"/>
        </w:trPr>
        <w:tc>
          <w:tcPr>
            <w:tcW w:w="11991" w:type="dxa"/>
            <w:gridSpan w:val="4"/>
            <w:shd w:val="clear" w:color="auto" w:fill="DBE5F1" w:themeFill="accent1" w:themeFillTint="33"/>
            <w:vAlign w:val="center"/>
          </w:tcPr>
          <w:p w14:paraId="40884855" w14:textId="2E0FF57B" w:rsidR="001D0991" w:rsidRPr="00136A15" w:rsidRDefault="00A12644" w:rsidP="00CA0552">
            <w:pPr>
              <w:rPr>
                <w:rFonts w:asciiTheme="minorHAnsi" w:hAnsiTheme="minorHAnsi" w:cstheme="minorHAnsi"/>
                <w:b/>
                <w:sz w:val="22"/>
                <w:szCs w:val="22"/>
              </w:rPr>
            </w:pPr>
            <w:r>
              <w:rPr>
                <w:rFonts w:asciiTheme="minorHAnsi" w:hAnsiTheme="minorHAnsi" w:cstheme="minorHAnsi"/>
                <w:b/>
                <w:sz w:val="22"/>
                <w:szCs w:val="22"/>
              </w:rPr>
              <w:t>Comments on minimizing the burden of the collection of information on those who are to respond</w:t>
            </w:r>
          </w:p>
        </w:tc>
      </w:tr>
      <w:tr w:rsidR="001D0991" w:rsidRPr="00C51CDF" w14:paraId="2DF9482F" w14:textId="77777777" w:rsidTr="007F47BF">
        <w:trPr>
          <w:trHeight w:val="1160"/>
          <w:jc w:val="center"/>
        </w:trPr>
        <w:tc>
          <w:tcPr>
            <w:tcW w:w="662" w:type="dxa"/>
          </w:tcPr>
          <w:p w14:paraId="40816346" w14:textId="7E17A6A7" w:rsidR="001D0991" w:rsidRPr="00C51CDF" w:rsidRDefault="002114E1" w:rsidP="00CA0552">
            <w:pPr>
              <w:rPr>
                <w:rFonts w:asciiTheme="minorHAnsi" w:hAnsiTheme="minorHAnsi" w:cstheme="minorHAnsi"/>
                <w:sz w:val="22"/>
                <w:szCs w:val="22"/>
              </w:rPr>
            </w:pPr>
            <w:r>
              <w:rPr>
                <w:rFonts w:asciiTheme="minorHAnsi" w:hAnsiTheme="minorHAnsi" w:cstheme="minorHAnsi"/>
                <w:sz w:val="22"/>
                <w:szCs w:val="22"/>
              </w:rPr>
              <w:t>4</w:t>
            </w:r>
            <w:r w:rsidR="001D3538">
              <w:rPr>
                <w:rFonts w:asciiTheme="minorHAnsi" w:hAnsiTheme="minorHAnsi" w:cstheme="minorHAnsi"/>
                <w:sz w:val="22"/>
                <w:szCs w:val="22"/>
              </w:rPr>
              <w:t>.1</w:t>
            </w:r>
            <w:r w:rsidR="00003040">
              <w:rPr>
                <w:rFonts w:asciiTheme="minorHAnsi" w:hAnsiTheme="minorHAnsi" w:cstheme="minorHAnsi"/>
                <w:sz w:val="22"/>
                <w:szCs w:val="22"/>
              </w:rPr>
              <w:t>.1</w:t>
            </w:r>
          </w:p>
        </w:tc>
        <w:tc>
          <w:tcPr>
            <w:tcW w:w="2234" w:type="dxa"/>
          </w:tcPr>
          <w:p w14:paraId="3ECA4D38" w14:textId="3E6D48F0" w:rsidR="001D0991" w:rsidRPr="00C51CDF" w:rsidRDefault="001D3538" w:rsidP="00CA0552">
            <w:pPr>
              <w:rPr>
                <w:rFonts w:asciiTheme="minorHAnsi" w:hAnsiTheme="minorHAnsi" w:cstheme="minorHAnsi"/>
                <w:sz w:val="22"/>
                <w:szCs w:val="22"/>
              </w:rPr>
            </w:pPr>
            <w:r w:rsidRPr="001D3538">
              <w:rPr>
                <w:rFonts w:asciiTheme="minorHAnsi" w:hAnsiTheme="minorHAnsi" w:cstheme="minorHAnsi"/>
                <w:sz w:val="22"/>
                <w:szCs w:val="22"/>
              </w:rPr>
              <w:t>Flexible approach</w:t>
            </w:r>
          </w:p>
        </w:tc>
        <w:tc>
          <w:tcPr>
            <w:tcW w:w="4333" w:type="dxa"/>
          </w:tcPr>
          <w:p w14:paraId="6A9B969E" w14:textId="596B0374" w:rsidR="002703CA" w:rsidRDefault="002703CA" w:rsidP="001D3538">
            <w:pPr>
              <w:tabs>
                <w:tab w:val="left" w:pos="2954"/>
              </w:tabs>
              <w:rPr>
                <w:rFonts w:asciiTheme="minorHAnsi" w:hAnsiTheme="minorHAnsi"/>
                <w:sz w:val="22"/>
                <w:szCs w:val="22"/>
              </w:rPr>
            </w:pPr>
            <w:r>
              <w:rPr>
                <w:rFonts w:asciiTheme="minorHAnsi" w:hAnsiTheme="minorHAnsi"/>
                <w:sz w:val="22"/>
                <w:szCs w:val="22"/>
              </w:rPr>
              <w:t>Two</w:t>
            </w:r>
            <w:r w:rsidRPr="00716660">
              <w:rPr>
                <w:rFonts w:asciiTheme="minorHAnsi" w:hAnsiTheme="minorHAnsi"/>
                <w:sz w:val="22"/>
                <w:szCs w:val="22"/>
              </w:rPr>
              <w:t xml:space="preserve"> commenters suggested that the Department </w:t>
            </w:r>
            <w:r>
              <w:rPr>
                <w:rFonts w:asciiTheme="minorHAnsi" w:hAnsiTheme="minorHAnsi"/>
                <w:sz w:val="22"/>
                <w:szCs w:val="22"/>
              </w:rPr>
              <w:t>use a flexible approach in the rollout:</w:t>
            </w:r>
          </w:p>
          <w:p w14:paraId="79705AB2" w14:textId="77777777" w:rsidR="002703CA" w:rsidRDefault="002703CA" w:rsidP="001D3538">
            <w:pPr>
              <w:tabs>
                <w:tab w:val="left" w:pos="2954"/>
              </w:tabs>
              <w:rPr>
                <w:rFonts w:asciiTheme="minorHAnsi" w:hAnsiTheme="minorHAnsi" w:cstheme="minorHAnsi"/>
                <w:sz w:val="22"/>
              </w:rPr>
            </w:pPr>
          </w:p>
          <w:p w14:paraId="2D010F12" w14:textId="3D13944A" w:rsidR="000E1DB7" w:rsidRDefault="001D3538" w:rsidP="002703CA">
            <w:pPr>
              <w:pStyle w:val="ListParagraph"/>
              <w:tabs>
                <w:tab w:val="left" w:pos="2954"/>
              </w:tabs>
              <w:ind w:left="405"/>
            </w:pPr>
            <w:r w:rsidRPr="002703CA">
              <w:t xml:space="preserve">One commenter requested a phased roll out of the CFATS Personnel Surety Program to Tier 3 and Tier 4 covered chemical facilities. </w:t>
            </w:r>
          </w:p>
          <w:p w14:paraId="0C9C477C" w14:textId="77777777" w:rsidR="000E1DB7" w:rsidRDefault="000E1DB7" w:rsidP="002703CA">
            <w:pPr>
              <w:pStyle w:val="ListParagraph"/>
              <w:tabs>
                <w:tab w:val="left" w:pos="2954"/>
              </w:tabs>
              <w:ind w:left="405"/>
            </w:pPr>
          </w:p>
          <w:p w14:paraId="7201408C" w14:textId="332CBDCA" w:rsidR="007F47BF" w:rsidRPr="000E1DB7" w:rsidRDefault="001D3538" w:rsidP="00585698">
            <w:pPr>
              <w:pStyle w:val="ListParagraph"/>
              <w:tabs>
                <w:tab w:val="left" w:pos="2954"/>
              </w:tabs>
              <w:ind w:left="405"/>
            </w:pPr>
            <w:r w:rsidRPr="002703CA">
              <w:t xml:space="preserve">A second commenter “appreciate[d] that DHS is proposing to roll out these requirements in a phased method…” </w:t>
            </w:r>
            <w:r w:rsidR="00BB7EC6">
              <w:t>The same commenter</w:t>
            </w:r>
            <w:r w:rsidRPr="002703CA">
              <w:t xml:space="preserve"> also encouraged the Department to consider a “site’s various risk factors, including location, number of employees, types and volumes of COI, and likely offsite incident consequences” when planning the phased-in approach.</w:t>
            </w:r>
            <w:r w:rsidR="000E1DB7">
              <w:t xml:space="preserve"> </w:t>
            </w:r>
          </w:p>
        </w:tc>
        <w:tc>
          <w:tcPr>
            <w:tcW w:w="4762" w:type="dxa"/>
          </w:tcPr>
          <w:p w14:paraId="35162795" w14:textId="6EC31678" w:rsidR="001D0991" w:rsidRPr="00716660" w:rsidRDefault="003069B3" w:rsidP="004A3E6C">
            <w:pPr>
              <w:rPr>
                <w:rFonts w:asciiTheme="minorHAnsi" w:hAnsiTheme="minorHAnsi" w:cstheme="minorHAnsi"/>
                <w:sz w:val="22"/>
                <w:szCs w:val="22"/>
              </w:rPr>
            </w:pPr>
            <w:r>
              <w:rPr>
                <w:rFonts w:asciiTheme="minorHAnsi" w:hAnsiTheme="minorHAnsi" w:cstheme="minorHAnsi"/>
                <w:sz w:val="22"/>
                <w:szCs w:val="22"/>
              </w:rPr>
              <w:t xml:space="preserve">The Department agrees that a flexible approach is appropriate for the rollout of the Personnel Surety Program to Tier 3 and </w:t>
            </w:r>
            <w:r w:rsidR="00FB5A5B">
              <w:rPr>
                <w:rFonts w:asciiTheme="minorHAnsi" w:hAnsiTheme="minorHAnsi" w:cstheme="minorHAnsi"/>
                <w:sz w:val="22"/>
                <w:szCs w:val="22"/>
              </w:rPr>
              <w:t xml:space="preserve">Tier </w:t>
            </w:r>
            <w:r>
              <w:rPr>
                <w:rFonts w:asciiTheme="minorHAnsi" w:hAnsiTheme="minorHAnsi" w:cstheme="minorHAnsi"/>
                <w:sz w:val="22"/>
                <w:szCs w:val="22"/>
              </w:rPr>
              <w:t>4</w:t>
            </w:r>
            <w:r w:rsidR="000E1DB7">
              <w:rPr>
                <w:rFonts w:asciiTheme="minorHAnsi" w:hAnsiTheme="minorHAnsi" w:cstheme="minorHAnsi"/>
                <w:sz w:val="22"/>
                <w:szCs w:val="22"/>
              </w:rPr>
              <w:t xml:space="preserve"> covered chemical</w:t>
            </w:r>
            <w:r>
              <w:rPr>
                <w:rFonts w:asciiTheme="minorHAnsi" w:hAnsiTheme="minorHAnsi" w:cstheme="minorHAnsi"/>
                <w:sz w:val="22"/>
                <w:szCs w:val="22"/>
              </w:rPr>
              <w:t xml:space="preserve"> facilities. </w:t>
            </w:r>
            <w:r w:rsidR="001D3538" w:rsidRPr="001D3538">
              <w:rPr>
                <w:rFonts w:asciiTheme="minorHAnsi" w:hAnsiTheme="minorHAnsi" w:cstheme="minorHAnsi"/>
                <w:sz w:val="22"/>
                <w:szCs w:val="22"/>
              </w:rPr>
              <w:t xml:space="preserve">If approved, the Department </w:t>
            </w:r>
            <w:r w:rsidR="004A3E6C">
              <w:rPr>
                <w:rFonts w:asciiTheme="minorHAnsi" w:hAnsiTheme="minorHAnsi" w:cstheme="minorHAnsi"/>
                <w:sz w:val="22"/>
                <w:szCs w:val="22"/>
              </w:rPr>
              <w:t xml:space="preserve">plans to </w:t>
            </w:r>
            <w:r w:rsidR="001D3538" w:rsidRPr="001D3538">
              <w:rPr>
                <w:rFonts w:asciiTheme="minorHAnsi" w:hAnsiTheme="minorHAnsi" w:cstheme="minorHAnsi"/>
                <w:sz w:val="22"/>
                <w:szCs w:val="22"/>
              </w:rPr>
              <w:t>implement the CFATS Personnel Surety Program in a phased manner to Tier 3 and Tier 4 covered chemical</w:t>
            </w:r>
            <w:r w:rsidR="00FB5A5B">
              <w:rPr>
                <w:rFonts w:asciiTheme="minorHAnsi" w:hAnsiTheme="minorHAnsi" w:cstheme="minorHAnsi"/>
                <w:sz w:val="22"/>
                <w:szCs w:val="22"/>
              </w:rPr>
              <w:t xml:space="preserve"> facilities</w:t>
            </w:r>
            <w:r w:rsidR="00CE24C6">
              <w:rPr>
                <w:rFonts w:asciiTheme="minorHAnsi" w:hAnsiTheme="minorHAnsi" w:cstheme="minorHAnsi"/>
                <w:sz w:val="22"/>
                <w:szCs w:val="22"/>
              </w:rPr>
              <w:t xml:space="preserve"> over a thr</w:t>
            </w:r>
            <w:r w:rsidR="008861FB">
              <w:rPr>
                <w:rFonts w:asciiTheme="minorHAnsi" w:hAnsiTheme="minorHAnsi" w:cstheme="minorHAnsi"/>
                <w:sz w:val="22"/>
                <w:szCs w:val="22"/>
              </w:rPr>
              <w:t xml:space="preserve">ee year period.  Similar to the successful and </w:t>
            </w:r>
            <w:r>
              <w:rPr>
                <w:rFonts w:asciiTheme="minorHAnsi" w:hAnsiTheme="minorHAnsi" w:cstheme="minorHAnsi"/>
                <w:sz w:val="22"/>
                <w:szCs w:val="22"/>
              </w:rPr>
              <w:t xml:space="preserve">recent </w:t>
            </w:r>
            <w:r w:rsidR="00CE24C6">
              <w:rPr>
                <w:rFonts w:asciiTheme="minorHAnsi" w:hAnsiTheme="minorHAnsi" w:cstheme="minorHAnsi"/>
                <w:sz w:val="22"/>
                <w:szCs w:val="22"/>
              </w:rPr>
              <w:t>retiering effort</w:t>
            </w:r>
            <w:r w:rsidR="00C9769D">
              <w:rPr>
                <w:rFonts w:asciiTheme="minorHAnsi" w:hAnsiTheme="minorHAnsi" w:cstheme="minorHAnsi"/>
                <w:sz w:val="22"/>
                <w:szCs w:val="22"/>
              </w:rPr>
              <w:t xml:space="preserve">, </w:t>
            </w:r>
            <w:r w:rsidR="00CE24C6">
              <w:rPr>
                <w:rFonts w:asciiTheme="minorHAnsi" w:hAnsiTheme="minorHAnsi" w:cstheme="minorHAnsi"/>
                <w:sz w:val="22"/>
                <w:szCs w:val="22"/>
              </w:rPr>
              <w:t xml:space="preserve">the Department </w:t>
            </w:r>
            <w:r w:rsidR="008861FB">
              <w:rPr>
                <w:rFonts w:asciiTheme="minorHAnsi" w:hAnsiTheme="minorHAnsi" w:cstheme="minorHAnsi"/>
                <w:sz w:val="22"/>
                <w:szCs w:val="22"/>
              </w:rPr>
              <w:t>plans to</w:t>
            </w:r>
            <w:r w:rsidR="00CE24C6">
              <w:rPr>
                <w:rFonts w:asciiTheme="minorHAnsi" w:hAnsiTheme="minorHAnsi" w:cstheme="minorHAnsi"/>
                <w:sz w:val="22"/>
                <w:szCs w:val="22"/>
              </w:rPr>
              <w:t xml:space="preserve"> </w:t>
            </w:r>
            <w:r w:rsidR="00BB7EC6">
              <w:rPr>
                <w:rFonts w:asciiTheme="minorHAnsi" w:hAnsiTheme="minorHAnsi" w:cstheme="minorHAnsi"/>
                <w:sz w:val="22"/>
                <w:szCs w:val="22"/>
              </w:rPr>
              <w:t>consider the number of facilitie</w:t>
            </w:r>
            <w:r w:rsidR="008861FB">
              <w:rPr>
                <w:rFonts w:asciiTheme="minorHAnsi" w:hAnsiTheme="minorHAnsi" w:cstheme="minorHAnsi"/>
                <w:sz w:val="22"/>
                <w:szCs w:val="22"/>
              </w:rPr>
              <w:t>s</w:t>
            </w:r>
            <w:r w:rsidR="004A3E6C">
              <w:rPr>
                <w:rFonts w:asciiTheme="minorHAnsi" w:hAnsiTheme="minorHAnsi" w:cstheme="minorHAnsi"/>
                <w:sz w:val="22"/>
                <w:szCs w:val="22"/>
              </w:rPr>
              <w:t xml:space="preserve"> assigned to a single Authorizer when notifying facilities to implement the Personnel Surety Program, as not to overwhelm a single Authorizer. The Department will also allow the </w:t>
            </w:r>
            <w:r w:rsidR="00CE24C6">
              <w:rPr>
                <w:rFonts w:asciiTheme="minorHAnsi" w:hAnsiTheme="minorHAnsi" w:cstheme="minorHAnsi"/>
                <w:sz w:val="22"/>
                <w:szCs w:val="22"/>
              </w:rPr>
              <w:t>flexibility for Authorizers</w:t>
            </w:r>
            <w:r w:rsidR="00BB7EC6">
              <w:rPr>
                <w:rFonts w:asciiTheme="minorHAnsi" w:hAnsiTheme="minorHAnsi" w:cstheme="minorHAnsi"/>
                <w:sz w:val="22"/>
                <w:szCs w:val="22"/>
              </w:rPr>
              <w:t>, if desired,</w:t>
            </w:r>
            <w:r w:rsidR="00CE24C6">
              <w:rPr>
                <w:rFonts w:asciiTheme="minorHAnsi" w:hAnsiTheme="minorHAnsi" w:cstheme="minorHAnsi"/>
                <w:sz w:val="22"/>
                <w:szCs w:val="22"/>
              </w:rPr>
              <w:t xml:space="preserve"> to complete the process</w:t>
            </w:r>
            <w:r w:rsidR="004A3E6C">
              <w:rPr>
                <w:rFonts w:asciiTheme="minorHAnsi" w:hAnsiTheme="minorHAnsi" w:cstheme="minorHAnsi"/>
                <w:sz w:val="22"/>
                <w:szCs w:val="22"/>
              </w:rPr>
              <w:t xml:space="preserve"> for their facilities</w:t>
            </w:r>
            <w:r w:rsidR="00CE24C6">
              <w:rPr>
                <w:rFonts w:asciiTheme="minorHAnsi" w:hAnsiTheme="minorHAnsi" w:cstheme="minorHAnsi"/>
                <w:sz w:val="22"/>
                <w:szCs w:val="22"/>
              </w:rPr>
              <w:t xml:space="preserve"> before notification</w:t>
            </w:r>
            <w:r w:rsidR="00BB7EC6">
              <w:rPr>
                <w:rFonts w:asciiTheme="minorHAnsi" w:hAnsiTheme="minorHAnsi" w:cstheme="minorHAnsi"/>
                <w:sz w:val="22"/>
                <w:szCs w:val="22"/>
              </w:rPr>
              <w:t xml:space="preserve"> by the Department</w:t>
            </w:r>
            <w:r w:rsidR="00CE24C6">
              <w:rPr>
                <w:rFonts w:asciiTheme="minorHAnsi" w:hAnsiTheme="minorHAnsi" w:cstheme="minorHAnsi"/>
                <w:sz w:val="22"/>
                <w:szCs w:val="22"/>
              </w:rPr>
              <w:t xml:space="preserve">.  </w:t>
            </w:r>
          </w:p>
        </w:tc>
      </w:tr>
      <w:tr w:rsidR="002703CA" w:rsidRPr="00C51CDF" w14:paraId="53F72BB1" w14:textId="77777777" w:rsidTr="007F47BF">
        <w:trPr>
          <w:trHeight w:val="1160"/>
          <w:jc w:val="center"/>
        </w:trPr>
        <w:tc>
          <w:tcPr>
            <w:tcW w:w="662" w:type="dxa"/>
          </w:tcPr>
          <w:p w14:paraId="7B20701F" w14:textId="6C0B051D" w:rsidR="002703CA" w:rsidRPr="00C51CDF" w:rsidRDefault="002703CA" w:rsidP="002703CA">
            <w:pPr>
              <w:rPr>
                <w:rFonts w:asciiTheme="minorHAnsi" w:hAnsiTheme="minorHAnsi" w:cstheme="minorHAnsi"/>
                <w:sz w:val="22"/>
                <w:szCs w:val="22"/>
              </w:rPr>
            </w:pPr>
            <w:r>
              <w:rPr>
                <w:rFonts w:asciiTheme="minorHAnsi" w:hAnsiTheme="minorHAnsi" w:cstheme="minorHAnsi"/>
                <w:sz w:val="22"/>
                <w:szCs w:val="22"/>
              </w:rPr>
              <w:t>4.2.1</w:t>
            </w:r>
          </w:p>
        </w:tc>
        <w:tc>
          <w:tcPr>
            <w:tcW w:w="2234" w:type="dxa"/>
          </w:tcPr>
          <w:p w14:paraId="267A625B" w14:textId="5006BE49" w:rsidR="002703CA" w:rsidRPr="00C51CDF" w:rsidRDefault="002703CA" w:rsidP="002703CA">
            <w:pPr>
              <w:rPr>
                <w:rFonts w:asciiTheme="minorHAnsi" w:hAnsiTheme="minorHAnsi" w:cstheme="minorHAnsi"/>
                <w:sz w:val="22"/>
                <w:szCs w:val="22"/>
              </w:rPr>
            </w:pPr>
            <w:r w:rsidRPr="001D3538">
              <w:rPr>
                <w:rFonts w:asciiTheme="minorHAnsi" w:hAnsiTheme="minorHAnsi" w:cstheme="minorHAnsi"/>
                <w:sz w:val="22"/>
                <w:szCs w:val="22"/>
              </w:rPr>
              <w:t>Other existing options</w:t>
            </w:r>
          </w:p>
        </w:tc>
        <w:tc>
          <w:tcPr>
            <w:tcW w:w="4333" w:type="dxa"/>
          </w:tcPr>
          <w:p w14:paraId="401BF1BC" w14:textId="5679BF3B" w:rsidR="002703CA" w:rsidRPr="00C51CDF" w:rsidRDefault="002703CA" w:rsidP="00585698">
            <w:pPr>
              <w:tabs>
                <w:tab w:val="left" w:pos="2954"/>
              </w:tabs>
              <w:rPr>
                <w:rFonts w:asciiTheme="minorHAnsi" w:hAnsiTheme="minorHAnsi" w:cstheme="minorHAnsi"/>
                <w:sz w:val="22"/>
              </w:rPr>
            </w:pPr>
            <w:r w:rsidRPr="001D3538">
              <w:rPr>
                <w:rFonts w:asciiTheme="minorHAnsi" w:hAnsiTheme="minorHAnsi" w:cstheme="minorHAnsi"/>
                <w:sz w:val="22"/>
              </w:rPr>
              <w:t>One commenter suggested that the Department has downplayed the use of “existing options” that co</w:t>
            </w:r>
            <w:r w:rsidR="00FB5A5B">
              <w:rPr>
                <w:rFonts w:asciiTheme="minorHAnsi" w:hAnsiTheme="minorHAnsi" w:cstheme="minorHAnsi"/>
                <w:sz w:val="22"/>
              </w:rPr>
              <w:t>uld lessen the burdens on third-</w:t>
            </w:r>
            <w:r w:rsidRPr="001D3538">
              <w:rPr>
                <w:rFonts w:asciiTheme="minorHAnsi" w:hAnsiTheme="minorHAnsi" w:cstheme="minorHAnsi"/>
                <w:sz w:val="22"/>
              </w:rPr>
              <w:t>party service providers, such as railroads, that employ affected individuals as defined by the covered chemical facility. The commenter suggested that one such “existing option” is real-time video monitoring as a means of escort.</w:t>
            </w:r>
          </w:p>
        </w:tc>
        <w:tc>
          <w:tcPr>
            <w:tcW w:w="4762" w:type="dxa"/>
          </w:tcPr>
          <w:p w14:paraId="54C6A889" w14:textId="767CD039" w:rsidR="002703CA" w:rsidRDefault="002703CA" w:rsidP="002703CA">
            <w:pPr>
              <w:rPr>
                <w:rFonts w:asciiTheme="minorHAnsi" w:hAnsiTheme="minorHAnsi" w:cstheme="minorHAnsi"/>
                <w:sz w:val="22"/>
                <w:szCs w:val="22"/>
              </w:rPr>
            </w:pPr>
            <w:r w:rsidRPr="001D3538">
              <w:rPr>
                <w:rFonts w:asciiTheme="minorHAnsi" w:hAnsiTheme="minorHAnsi" w:cstheme="minorHAnsi"/>
                <w:sz w:val="22"/>
                <w:szCs w:val="22"/>
              </w:rPr>
              <w:t xml:space="preserve">The Department has explicitly mentioned in multiple notices associated with this Information Collection (see 79 FR </w:t>
            </w:r>
            <w:r w:rsidR="00935455">
              <w:rPr>
                <w:rFonts w:asciiTheme="minorHAnsi" w:hAnsiTheme="minorHAnsi" w:cstheme="minorHAnsi"/>
                <w:sz w:val="22"/>
                <w:szCs w:val="22"/>
              </w:rPr>
              <w:t xml:space="preserve">6418, </w:t>
            </w:r>
            <w:r w:rsidRPr="001D3538">
              <w:rPr>
                <w:rFonts w:asciiTheme="minorHAnsi" w:hAnsiTheme="minorHAnsi" w:cstheme="minorHAnsi"/>
                <w:sz w:val="22"/>
                <w:szCs w:val="22"/>
              </w:rPr>
              <w:t xml:space="preserve">6420) and in CFATS Personnel Surety Program resources the possibility of innovative escorting alternatives such as video monitoring. The Department has also </w:t>
            </w:r>
            <w:r w:rsidR="003069B3">
              <w:rPr>
                <w:rFonts w:asciiTheme="minorHAnsi" w:hAnsiTheme="minorHAnsi" w:cstheme="minorHAnsi"/>
                <w:sz w:val="22"/>
                <w:szCs w:val="22"/>
              </w:rPr>
              <w:t>worked with facilities to identify</w:t>
            </w:r>
            <w:r w:rsidRPr="001D3538">
              <w:rPr>
                <w:rFonts w:asciiTheme="minorHAnsi" w:hAnsiTheme="minorHAnsi" w:cstheme="minorHAnsi"/>
                <w:sz w:val="22"/>
                <w:szCs w:val="22"/>
              </w:rPr>
              <w:t xml:space="preserve"> other alternatives </w:t>
            </w:r>
            <w:r w:rsidR="003069B3">
              <w:rPr>
                <w:rFonts w:asciiTheme="minorHAnsi" w:hAnsiTheme="minorHAnsi" w:cstheme="minorHAnsi"/>
                <w:sz w:val="22"/>
                <w:szCs w:val="22"/>
              </w:rPr>
              <w:t>for</w:t>
            </w:r>
            <w:r w:rsidRPr="001D3538">
              <w:rPr>
                <w:rFonts w:asciiTheme="minorHAnsi" w:hAnsiTheme="minorHAnsi" w:cstheme="minorHAnsi"/>
                <w:sz w:val="22"/>
                <w:szCs w:val="22"/>
              </w:rPr>
              <w:t xml:space="preserve"> a covered chemical </w:t>
            </w:r>
            <w:r w:rsidR="003069B3">
              <w:rPr>
                <w:rFonts w:asciiTheme="minorHAnsi" w:hAnsiTheme="minorHAnsi" w:cstheme="minorHAnsi"/>
                <w:sz w:val="22"/>
                <w:szCs w:val="22"/>
              </w:rPr>
              <w:t>facility</w:t>
            </w:r>
            <w:r w:rsidRPr="001D3538">
              <w:rPr>
                <w:rFonts w:asciiTheme="minorHAnsi" w:hAnsiTheme="minorHAnsi" w:cstheme="minorHAnsi"/>
                <w:sz w:val="22"/>
                <w:szCs w:val="22"/>
              </w:rPr>
              <w:t xml:space="preserve"> to limit who is an affected individual. Furthermore, the Department provided the following guidance to covered chemical facilities in the CFATS Personnel Surety Program Implementation Notice</w:t>
            </w:r>
            <w:r w:rsidR="00FB5A5B">
              <w:rPr>
                <w:rFonts w:asciiTheme="minorHAnsi" w:hAnsiTheme="minorHAnsi" w:cstheme="minorHAnsi"/>
                <w:sz w:val="22"/>
                <w:szCs w:val="22"/>
              </w:rPr>
              <w:t>:</w:t>
            </w:r>
            <w:r w:rsidR="00BB7EC6">
              <w:rPr>
                <w:rStyle w:val="FootnoteReference"/>
                <w:rFonts w:asciiTheme="minorHAnsi" w:hAnsiTheme="minorHAnsi" w:cstheme="minorHAnsi"/>
                <w:sz w:val="22"/>
                <w:szCs w:val="22"/>
              </w:rPr>
              <w:footnoteReference w:id="10"/>
            </w:r>
          </w:p>
          <w:p w14:paraId="6D98DB1F" w14:textId="77777777" w:rsidR="003069B3" w:rsidRPr="001D3538" w:rsidRDefault="003069B3" w:rsidP="002703CA">
            <w:pPr>
              <w:rPr>
                <w:rFonts w:asciiTheme="minorHAnsi" w:hAnsiTheme="minorHAnsi" w:cstheme="minorHAnsi"/>
                <w:sz w:val="22"/>
                <w:szCs w:val="22"/>
              </w:rPr>
            </w:pPr>
          </w:p>
          <w:p w14:paraId="643C6962" w14:textId="0A411753" w:rsidR="002703CA" w:rsidRDefault="00FB5A5B" w:rsidP="002703CA">
            <w:pPr>
              <w:rPr>
                <w:rFonts w:asciiTheme="minorHAnsi" w:hAnsiTheme="minorHAnsi" w:cstheme="minorHAnsi"/>
                <w:sz w:val="22"/>
                <w:szCs w:val="22"/>
              </w:rPr>
            </w:pPr>
            <w:r>
              <w:rPr>
                <w:rFonts w:asciiTheme="minorHAnsi" w:hAnsiTheme="minorHAnsi" w:cstheme="minorHAnsi"/>
                <w:sz w:val="22"/>
                <w:szCs w:val="22"/>
              </w:rPr>
              <w:t>“</w:t>
            </w:r>
            <w:r w:rsidR="002703CA" w:rsidRPr="001D3538">
              <w:rPr>
                <w:rFonts w:asciiTheme="minorHAnsi" w:hAnsiTheme="minorHAnsi" w:cstheme="minorHAnsi"/>
                <w:sz w:val="22"/>
                <w:szCs w:val="22"/>
              </w:rPr>
              <w:t>A high-risk chemical facility will have flexibility to tailor its implementation of the CFATS Personnel Surety Program to fit its individual circumstances and, in this regard, to best balance who qualifies as an affected individual, unique security issues, costs, and burden. For example</w:t>
            </w:r>
            <w:r>
              <w:rPr>
                <w:rFonts w:asciiTheme="minorHAnsi" w:hAnsiTheme="minorHAnsi" w:cstheme="minorHAnsi"/>
                <w:sz w:val="22"/>
                <w:szCs w:val="22"/>
              </w:rPr>
              <w:t>,</w:t>
            </w:r>
            <w:r w:rsidR="002703CA" w:rsidRPr="001D3538">
              <w:rPr>
                <w:rFonts w:asciiTheme="minorHAnsi" w:hAnsiTheme="minorHAnsi" w:cstheme="minorHAnsi"/>
                <w:sz w:val="22"/>
                <w:szCs w:val="22"/>
              </w:rPr>
              <w:t xml:space="preserve"> a high-risk chemical facility may, in its Site Security Plan:</w:t>
            </w:r>
          </w:p>
          <w:p w14:paraId="001FC4A4" w14:textId="77777777" w:rsidR="00FB5A5B" w:rsidRPr="001D3538" w:rsidRDefault="00FB5A5B" w:rsidP="002703CA">
            <w:pPr>
              <w:rPr>
                <w:rFonts w:asciiTheme="minorHAnsi" w:hAnsiTheme="minorHAnsi" w:cstheme="minorHAnsi"/>
                <w:sz w:val="22"/>
                <w:szCs w:val="22"/>
              </w:rPr>
            </w:pPr>
          </w:p>
          <w:p w14:paraId="5DC76D7E" w14:textId="71851780" w:rsidR="00FB5A5B" w:rsidRDefault="002703CA" w:rsidP="00FB5A5B">
            <w:pPr>
              <w:numPr>
                <w:ilvl w:val="0"/>
                <w:numId w:val="37"/>
              </w:numPr>
              <w:rPr>
                <w:rFonts w:asciiTheme="minorHAnsi" w:hAnsiTheme="minorHAnsi" w:cstheme="minorHAnsi"/>
                <w:sz w:val="22"/>
                <w:szCs w:val="22"/>
              </w:rPr>
            </w:pPr>
            <w:r w:rsidRPr="001D3538">
              <w:rPr>
                <w:rFonts w:asciiTheme="minorHAnsi" w:hAnsiTheme="minorHAnsi" w:cstheme="minorHAnsi"/>
                <w:sz w:val="22"/>
                <w:szCs w:val="22"/>
              </w:rPr>
              <w:t>Restrict the numbers and types of persons allowed to access its restricted areas and critical assets, thus limiting the number of persons who will need to be checked for terrorist ties.</w:t>
            </w:r>
          </w:p>
          <w:p w14:paraId="19E38283" w14:textId="77777777" w:rsidR="00FB5A5B" w:rsidRPr="00FB5A5B" w:rsidRDefault="00FB5A5B" w:rsidP="00FB5A5B">
            <w:pPr>
              <w:ind w:left="360"/>
              <w:rPr>
                <w:rFonts w:asciiTheme="minorHAnsi" w:hAnsiTheme="minorHAnsi" w:cstheme="minorHAnsi"/>
                <w:sz w:val="22"/>
                <w:szCs w:val="22"/>
              </w:rPr>
            </w:pPr>
          </w:p>
          <w:p w14:paraId="2FCC66B0" w14:textId="77777777" w:rsidR="002703CA" w:rsidRDefault="002703CA" w:rsidP="002703CA">
            <w:pPr>
              <w:numPr>
                <w:ilvl w:val="0"/>
                <w:numId w:val="37"/>
              </w:numPr>
              <w:rPr>
                <w:rFonts w:asciiTheme="minorHAnsi" w:hAnsiTheme="minorHAnsi" w:cstheme="minorHAnsi"/>
                <w:sz w:val="22"/>
                <w:szCs w:val="22"/>
              </w:rPr>
            </w:pPr>
            <w:r w:rsidRPr="001D3538">
              <w:rPr>
                <w:rFonts w:asciiTheme="minorHAnsi" w:hAnsiTheme="minorHAnsi" w:cstheme="minorHAnsi"/>
                <w:sz w:val="22"/>
                <w:szCs w:val="22"/>
              </w:rPr>
              <w:t>Define its restricted areas and critical assets, thus potentially limiting the number of persons who will need to be checked for terrorist ties.</w:t>
            </w:r>
          </w:p>
          <w:p w14:paraId="48129C8D" w14:textId="77777777" w:rsidR="00FB5A5B" w:rsidRPr="001D3538" w:rsidRDefault="00FB5A5B" w:rsidP="00FB5A5B">
            <w:pPr>
              <w:rPr>
                <w:rFonts w:asciiTheme="minorHAnsi" w:hAnsiTheme="minorHAnsi" w:cstheme="minorHAnsi"/>
                <w:sz w:val="22"/>
                <w:szCs w:val="22"/>
              </w:rPr>
            </w:pPr>
          </w:p>
          <w:p w14:paraId="0B158760" w14:textId="39C31766" w:rsidR="002703CA" w:rsidRPr="003069B3" w:rsidRDefault="002703CA" w:rsidP="00FB5A5B">
            <w:pPr>
              <w:numPr>
                <w:ilvl w:val="0"/>
                <w:numId w:val="37"/>
              </w:numPr>
              <w:rPr>
                <w:rFonts w:asciiTheme="minorHAnsi" w:hAnsiTheme="minorHAnsi" w:cstheme="minorHAnsi"/>
                <w:sz w:val="22"/>
                <w:szCs w:val="22"/>
              </w:rPr>
            </w:pPr>
            <w:r w:rsidRPr="001D3538">
              <w:rPr>
                <w:rFonts w:asciiTheme="minorHAnsi" w:hAnsiTheme="minorHAnsi" w:cstheme="minorHAnsi"/>
                <w:sz w:val="22"/>
                <w:szCs w:val="22"/>
              </w:rPr>
              <w:t xml:space="preserve">Choose to escort visitors accessing restricted areas and critical assets in lieu of performing terrorist ties background checks under the CFATS Personnel Surety Program. </w:t>
            </w:r>
            <w:r w:rsidRPr="00585698">
              <w:rPr>
                <w:rFonts w:asciiTheme="minorHAnsi" w:hAnsiTheme="minorHAnsi" w:cstheme="minorHAnsi"/>
                <w:sz w:val="22"/>
                <w:szCs w:val="22"/>
              </w:rPr>
              <w:t>The high-risk chemical facility may propose in its SSP traditional escorting solutions and/or innovative escorting alternatives such as video monitoring</w:t>
            </w:r>
            <w:r w:rsidRPr="001D3538">
              <w:rPr>
                <w:rFonts w:asciiTheme="minorHAnsi" w:hAnsiTheme="minorHAnsi" w:cstheme="minorHAnsi"/>
                <w:sz w:val="22"/>
                <w:szCs w:val="22"/>
              </w:rPr>
              <w:t xml:space="preserve"> (which may reduce facility security costs), as appropriate, to address the unique security risks present at the facility</w:t>
            </w:r>
            <w:r w:rsidR="00FB5A5B">
              <w:rPr>
                <w:rFonts w:asciiTheme="minorHAnsi" w:hAnsiTheme="minorHAnsi" w:cstheme="minorHAnsi"/>
                <w:sz w:val="22"/>
                <w:szCs w:val="22"/>
              </w:rPr>
              <w:t xml:space="preserve"> [emphasis added].”</w:t>
            </w:r>
          </w:p>
        </w:tc>
      </w:tr>
      <w:tr w:rsidR="002703CA" w:rsidRPr="00C51CDF" w14:paraId="21EFFE6A" w14:textId="77777777" w:rsidTr="007F47BF">
        <w:trPr>
          <w:trHeight w:val="1160"/>
          <w:jc w:val="center"/>
        </w:trPr>
        <w:tc>
          <w:tcPr>
            <w:tcW w:w="662" w:type="dxa"/>
          </w:tcPr>
          <w:p w14:paraId="4C53F985" w14:textId="7DD00ED6" w:rsidR="002703CA" w:rsidRPr="00C51CDF" w:rsidRDefault="002703CA" w:rsidP="002703CA">
            <w:pPr>
              <w:rPr>
                <w:rFonts w:asciiTheme="minorHAnsi" w:hAnsiTheme="minorHAnsi" w:cstheme="minorHAnsi"/>
                <w:sz w:val="22"/>
                <w:szCs w:val="22"/>
              </w:rPr>
            </w:pPr>
            <w:r>
              <w:rPr>
                <w:rFonts w:asciiTheme="minorHAnsi" w:hAnsiTheme="minorHAnsi" w:cstheme="minorHAnsi"/>
                <w:sz w:val="22"/>
                <w:szCs w:val="22"/>
              </w:rPr>
              <w:t>4.3.1</w:t>
            </w:r>
          </w:p>
        </w:tc>
        <w:tc>
          <w:tcPr>
            <w:tcW w:w="2234" w:type="dxa"/>
          </w:tcPr>
          <w:p w14:paraId="4C984373" w14:textId="539E0726" w:rsidR="002703CA" w:rsidRPr="00C51CDF" w:rsidRDefault="002703CA" w:rsidP="002703CA">
            <w:pPr>
              <w:rPr>
                <w:rFonts w:asciiTheme="minorHAnsi" w:hAnsiTheme="minorHAnsi" w:cstheme="minorHAnsi"/>
                <w:sz w:val="22"/>
                <w:szCs w:val="22"/>
              </w:rPr>
            </w:pPr>
            <w:r w:rsidRPr="001D3538">
              <w:rPr>
                <w:rFonts w:asciiTheme="minorHAnsi" w:hAnsiTheme="minorHAnsi" w:cstheme="minorHAnsi"/>
                <w:sz w:val="22"/>
                <w:szCs w:val="22"/>
              </w:rPr>
              <w:t>No additional preconditions</w:t>
            </w:r>
          </w:p>
        </w:tc>
        <w:tc>
          <w:tcPr>
            <w:tcW w:w="4333" w:type="dxa"/>
          </w:tcPr>
          <w:p w14:paraId="08606E58" w14:textId="17AA13E7" w:rsidR="002703CA" w:rsidRPr="00C51CDF" w:rsidRDefault="002703CA" w:rsidP="00585698">
            <w:pPr>
              <w:tabs>
                <w:tab w:val="left" w:pos="2954"/>
              </w:tabs>
              <w:rPr>
                <w:rFonts w:asciiTheme="minorHAnsi" w:hAnsiTheme="minorHAnsi" w:cstheme="minorHAnsi"/>
                <w:sz w:val="22"/>
              </w:rPr>
            </w:pPr>
            <w:r w:rsidRPr="001D3538">
              <w:rPr>
                <w:rFonts w:asciiTheme="minorHAnsi" w:hAnsiTheme="minorHAnsi" w:cstheme="minorHAnsi"/>
                <w:sz w:val="22"/>
              </w:rPr>
              <w:t>One commenter urged the Department to not includ</w:t>
            </w:r>
            <w:r w:rsidR="008861FB">
              <w:rPr>
                <w:rFonts w:asciiTheme="minorHAnsi" w:hAnsiTheme="minorHAnsi" w:cstheme="minorHAnsi"/>
                <w:sz w:val="22"/>
              </w:rPr>
              <w:t xml:space="preserve">e additional pre-conditions to </w:t>
            </w:r>
            <w:r w:rsidRPr="001D3538">
              <w:rPr>
                <w:rFonts w:asciiTheme="minorHAnsi" w:hAnsiTheme="minorHAnsi" w:cstheme="minorHAnsi"/>
                <w:sz w:val="22"/>
              </w:rPr>
              <w:t>the</w:t>
            </w:r>
            <w:r w:rsidR="008861FB">
              <w:rPr>
                <w:rFonts w:asciiTheme="minorHAnsi" w:hAnsiTheme="minorHAnsi" w:cstheme="minorHAnsi"/>
                <w:sz w:val="22"/>
              </w:rPr>
              <w:t xml:space="preserve"> CFATS Personnel Surety Program</w:t>
            </w:r>
            <w:r w:rsidRPr="001D3538">
              <w:rPr>
                <w:rFonts w:asciiTheme="minorHAnsi" w:hAnsiTheme="minorHAnsi" w:cstheme="minorHAnsi"/>
                <w:sz w:val="22"/>
              </w:rPr>
              <w:t xml:space="preserve"> that would preclude covered chemical facilities from leveraging the background checks performed in compliance with the Bureau of Alcohol, Tobacco, Firearms, and Explosives (ATF) Employee Possessor Program under Option 4.</w:t>
            </w:r>
          </w:p>
        </w:tc>
        <w:tc>
          <w:tcPr>
            <w:tcW w:w="4762" w:type="dxa"/>
          </w:tcPr>
          <w:p w14:paraId="7675D818" w14:textId="1928E45A" w:rsidR="002703CA" w:rsidRPr="00C51CDF" w:rsidRDefault="002703CA" w:rsidP="00266B9F">
            <w:pPr>
              <w:rPr>
                <w:rFonts w:asciiTheme="minorHAnsi" w:hAnsiTheme="minorHAnsi" w:cstheme="minorHAnsi"/>
                <w:sz w:val="22"/>
                <w:szCs w:val="22"/>
              </w:rPr>
            </w:pPr>
            <w:r w:rsidRPr="001D3538">
              <w:rPr>
                <w:rFonts w:asciiTheme="minorHAnsi" w:hAnsiTheme="minorHAnsi" w:cstheme="minorHAnsi"/>
                <w:sz w:val="22"/>
                <w:szCs w:val="22"/>
              </w:rPr>
              <w:t xml:space="preserve">The Department has not modified the CFATS Personnel Surety Program to preclude a covered chemical facility from the potential of leveraging the vetting conducted by ATF under Option 4 </w:t>
            </w:r>
            <w:r w:rsidR="00266B9F">
              <w:rPr>
                <w:rFonts w:asciiTheme="minorHAnsi" w:hAnsiTheme="minorHAnsi" w:cstheme="minorHAnsi"/>
                <w:sz w:val="22"/>
                <w:szCs w:val="22"/>
              </w:rPr>
              <w:t xml:space="preserve">for </w:t>
            </w:r>
            <w:r w:rsidRPr="001D3538">
              <w:rPr>
                <w:rFonts w:asciiTheme="minorHAnsi" w:hAnsiTheme="minorHAnsi" w:cstheme="minorHAnsi"/>
                <w:sz w:val="22"/>
                <w:szCs w:val="22"/>
              </w:rPr>
              <w:t xml:space="preserve">affected individuals who </w:t>
            </w:r>
            <w:r w:rsidR="00266B9F">
              <w:rPr>
                <w:rFonts w:asciiTheme="minorHAnsi" w:hAnsiTheme="minorHAnsi" w:cstheme="minorHAnsi"/>
                <w:sz w:val="22"/>
                <w:szCs w:val="22"/>
              </w:rPr>
              <w:t>possess</w:t>
            </w:r>
            <w:r w:rsidRPr="001D3538">
              <w:rPr>
                <w:rFonts w:asciiTheme="minorHAnsi" w:hAnsiTheme="minorHAnsi" w:cstheme="minorHAnsi"/>
                <w:sz w:val="22"/>
                <w:szCs w:val="22"/>
              </w:rPr>
              <w:t xml:space="preserve"> </w:t>
            </w:r>
            <w:r w:rsidR="00266B9F">
              <w:rPr>
                <w:rFonts w:asciiTheme="minorHAnsi" w:hAnsiTheme="minorHAnsi" w:cstheme="minorHAnsi"/>
                <w:sz w:val="22"/>
                <w:szCs w:val="22"/>
              </w:rPr>
              <w:t>a Federal explosives license/permit</w:t>
            </w:r>
            <w:r w:rsidRPr="001D3538">
              <w:rPr>
                <w:rFonts w:asciiTheme="minorHAnsi" w:hAnsiTheme="minorHAnsi" w:cstheme="minorHAnsi"/>
                <w:sz w:val="22"/>
                <w:szCs w:val="22"/>
              </w:rPr>
              <w:t>.</w:t>
            </w:r>
          </w:p>
        </w:tc>
      </w:tr>
      <w:tr w:rsidR="002703CA" w:rsidRPr="00C51CDF" w14:paraId="26C6619A" w14:textId="77777777" w:rsidTr="007F47BF">
        <w:trPr>
          <w:trHeight w:val="1160"/>
          <w:jc w:val="center"/>
        </w:trPr>
        <w:tc>
          <w:tcPr>
            <w:tcW w:w="662" w:type="dxa"/>
          </w:tcPr>
          <w:p w14:paraId="0EFFFF5A" w14:textId="7D5A5C98" w:rsidR="002703CA" w:rsidRPr="00C51CDF" w:rsidRDefault="002703CA" w:rsidP="002703CA">
            <w:pPr>
              <w:rPr>
                <w:rFonts w:asciiTheme="minorHAnsi" w:hAnsiTheme="minorHAnsi" w:cstheme="minorHAnsi"/>
                <w:sz w:val="22"/>
                <w:szCs w:val="22"/>
              </w:rPr>
            </w:pPr>
            <w:r>
              <w:rPr>
                <w:rFonts w:asciiTheme="minorHAnsi" w:hAnsiTheme="minorHAnsi" w:cstheme="minorHAnsi"/>
                <w:sz w:val="22"/>
                <w:szCs w:val="22"/>
              </w:rPr>
              <w:t>4.4.1</w:t>
            </w:r>
          </w:p>
        </w:tc>
        <w:tc>
          <w:tcPr>
            <w:tcW w:w="2234" w:type="dxa"/>
          </w:tcPr>
          <w:p w14:paraId="0DF3E72E" w14:textId="6B112A60" w:rsidR="002703CA" w:rsidRPr="00C51CDF" w:rsidRDefault="00C9769D" w:rsidP="002703CA">
            <w:pPr>
              <w:rPr>
                <w:rFonts w:asciiTheme="minorHAnsi" w:hAnsiTheme="minorHAnsi" w:cstheme="minorHAnsi"/>
                <w:sz w:val="22"/>
                <w:szCs w:val="22"/>
              </w:rPr>
            </w:pPr>
            <w:r>
              <w:rPr>
                <w:rFonts w:asciiTheme="minorHAnsi" w:hAnsiTheme="minorHAnsi" w:cstheme="minorHAnsi"/>
                <w:sz w:val="22"/>
                <w:szCs w:val="22"/>
              </w:rPr>
              <w:t>Restriction of CVI access</w:t>
            </w:r>
          </w:p>
        </w:tc>
        <w:tc>
          <w:tcPr>
            <w:tcW w:w="4333" w:type="dxa"/>
          </w:tcPr>
          <w:p w14:paraId="60F88E20" w14:textId="72CA33BF" w:rsidR="002703CA" w:rsidRPr="00C51CDF" w:rsidRDefault="002703CA" w:rsidP="00585698">
            <w:pPr>
              <w:tabs>
                <w:tab w:val="left" w:pos="2954"/>
              </w:tabs>
              <w:rPr>
                <w:rFonts w:asciiTheme="minorHAnsi" w:hAnsiTheme="minorHAnsi" w:cstheme="minorHAnsi"/>
                <w:sz w:val="22"/>
              </w:rPr>
            </w:pPr>
            <w:r w:rsidRPr="001D3538">
              <w:rPr>
                <w:rFonts w:asciiTheme="minorHAnsi" w:hAnsiTheme="minorHAnsi" w:cstheme="minorHAnsi"/>
                <w:sz w:val="22"/>
              </w:rPr>
              <w:t>One commenter requested that the Department modify CSAT to allow designated employees such as human resource professionals the ability to upload and edit information about affected individuals without having to access Chemical-terrorism Vulnerability Information (CVI).</w:t>
            </w:r>
          </w:p>
        </w:tc>
        <w:tc>
          <w:tcPr>
            <w:tcW w:w="4762" w:type="dxa"/>
          </w:tcPr>
          <w:p w14:paraId="3A71473A" w14:textId="30F114F8" w:rsidR="002703CA" w:rsidRPr="00C51CDF" w:rsidRDefault="00C9769D" w:rsidP="003069B3">
            <w:pPr>
              <w:rPr>
                <w:rFonts w:asciiTheme="minorHAnsi" w:hAnsiTheme="minorHAnsi" w:cstheme="minorHAnsi"/>
                <w:sz w:val="22"/>
                <w:szCs w:val="22"/>
              </w:rPr>
            </w:pPr>
            <w:r>
              <w:rPr>
                <w:rFonts w:asciiTheme="minorHAnsi" w:hAnsiTheme="minorHAnsi" w:cstheme="minorHAnsi"/>
                <w:sz w:val="22"/>
                <w:szCs w:val="22"/>
              </w:rPr>
              <w:t xml:space="preserve">The Department </w:t>
            </w:r>
            <w:r w:rsidR="003069B3">
              <w:rPr>
                <w:rFonts w:asciiTheme="minorHAnsi" w:hAnsiTheme="minorHAnsi" w:cstheme="minorHAnsi"/>
                <w:sz w:val="22"/>
                <w:szCs w:val="22"/>
              </w:rPr>
              <w:t>currently</w:t>
            </w:r>
            <w:r>
              <w:rPr>
                <w:rFonts w:asciiTheme="minorHAnsi" w:hAnsiTheme="minorHAnsi" w:cstheme="minorHAnsi"/>
                <w:sz w:val="22"/>
                <w:szCs w:val="22"/>
              </w:rPr>
              <w:t xml:space="preserve"> provides t</w:t>
            </w:r>
            <w:r w:rsidR="003F30DB">
              <w:rPr>
                <w:rFonts w:asciiTheme="minorHAnsi" w:hAnsiTheme="minorHAnsi" w:cstheme="minorHAnsi"/>
                <w:sz w:val="22"/>
                <w:szCs w:val="22"/>
              </w:rPr>
              <w:t>he ability to restrict human resource professionals from accessing CVI in CSAT.  If a user is designated as only a personnel surety submitter and is not assigned any other facility roles</w:t>
            </w:r>
            <w:r w:rsidR="003069B3">
              <w:rPr>
                <w:rFonts w:asciiTheme="minorHAnsi" w:hAnsiTheme="minorHAnsi" w:cstheme="minorHAnsi"/>
                <w:sz w:val="22"/>
                <w:szCs w:val="22"/>
              </w:rPr>
              <w:t>,</w:t>
            </w:r>
            <w:r w:rsidR="003F30DB">
              <w:rPr>
                <w:rFonts w:asciiTheme="minorHAnsi" w:hAnsiTheme="minorHAnsi" w:cstheme="minorHAnsi"/>
                <w:sz w:val="22"/>
                <w:szCs w:val="22"/>
              </w:rPr>
              <w:t xml:space="preserve"> they </w:t>
            </w:r>
            <w:r w:rsidR="003069B3">
              <w:rPr>
                <w:rFonts w:asciiTheme="minorHAnsi" w:hAnsiTheme="minorHAnsi" w:cstheme="minorHAnsi"/>
                <w:sz w:val="22"/>
                <w:szCs w:val="22"/>
              </w:rPr>
              <w:t>are not</w:t>
            </w:r>
            <w:r w:rsidR="003F30DB">
              <w:rPr>
                <w:rFonts w:asciiTheme="minorHAnsi" w:hAnsiTheme="minorHAnsi" w:cstheme="minorHAnsi"/>
                <w:sz w:val="22"/>
                <w:szCs w:val="22"/>
              </w:rPr>
              <w:t xml:space="preserve"> able to access the CVI documentation.</w:t>
            </w:r>
          </w:p>
        </w:tc>
      </w:tr>
    </w:tbl>
    <w:p w14:paraId="6B39B6AE" w14:textId="6BFABCBB" w:rsidR="001D0991" w:rsidRDefault="001D0991" w:rsidP="00315F54">
      <w:pPr>
        <w:ind w:left="-180"/>
        <w:rPr>
          <w:rFonts w:asciiTheme="minorHAnsi" w:hAnsiTheme="minorHAnsi" w:cstheme="minorHAnsi"/>
        </w:rPr>
      </w:pPr>
    </w:p>
    <w:p w14:paraId="0D274600" w14:textId="32B8DA5F" w:rsidR="001D0991" w:rsidRDefault="001D0991">
      <w:pPr>
        <w:rPr>
          <w:rFonts w:asciiTheme="minorHAnsi" w:hAnsiTheme="minorHAnsi" w:cstheme="minorHAnsi"/>
        </w:rPr>
      </w:pPr>
      <w:r>
        <w:rPr>
          <w:rFonts w:asciiTheme="minorHAnsi" w:hAnsiTheme="minorHAnsi" w:cstheme="minorHAnsi"/>
        </w:rPr>
        <w:br w:type="page"/>
      </w:r>
    </w:p>
    <w:tbl>
      <w:tblPr>
        <w:tblStyle w:val="TableGrid"/>
        <w:tblW w:w="0" w:type="auto"/>
        <w:jc w:val="center"/>
        <w:tblLook w:val="04A0" w:firstRow="1" w:lastRow="0" w:firstColumn="1" w:lastColumn="0" w:noHBand="0" w:noVBand="1"/>
      </w:tblPr>
      <w:tblGrid>
        <w:gridCol w:w="662"/>
        <w:gridCol w:w="2234"/>
        <w:gridCol w:w="4333"/>
        <w:gridCol w:w="4762"/>
      </w:tblGrid>
      <w:tr w:rsidR="001D0991" w:rsidRPr="00C51CDF" w14:paraId="5A650838" w14:textId="77777777" w:rsidTr="009C0EA5">
        <w:trPr>
          <w:trHeight w:val="224"/>
          <w:tblHeader/>
          <w:jc w:val="center"/>
        </w:trPr>
        <w:tc>
          <w:tcPr>
            <w:tcW w:w="11991" w:type="dxa"/>
            <w:gridSpan w:val="4"/>
            <w:shd w:val="clear" w:color="auto" w:fill="548DD4" w:themeFill="text2" w:themeFillTint="99"/>
          </w:tcPr>
          <w:p w14:paraId="3B8E3A72" w14:textId="77777777" w:rsidR="001D0991" w:rsidRPr="00C51CDF" w:rsidRDefault="001D0991" w:rsidP="00CA0552">
            <w:pPr>
              <w:jc w:val="center"/>
              <w:rPr>
                <w:rFonts w:asciiTheme="minorHAnsi" w:hAnsiTheme="minorHAnsi" w:cstheme="minorHAnsi"/>
                <w:b/>
                <w:sz w:val="28"/>
                <w:szCs w:val="28"/>
              </w:rPr>
            </w:pPr>
            <w:r>
              <w:rPr>
                <w:rFonts w:asciiTheme="minorHAnsi" w:hAnsiTheme="minorHAnsi" w:cstheme="minorHAnsi"/>
                <w:b/>
                <w:sz w:val="28"/>
                <w:szCs w:val="28"/>
              </w:rPr>
              <w:t>1670-0029 (CFATS Personnel Surety Program)</w:t>
            </w:r>
          </w:p>
        </w:tc>
      </w:tr>
      <w:tr w:rsidR="001D0991" w:rsidRPr="00C51CDF" w14:paraId="3EAAFC43" w14:textId="77777777" w:rsidTr="009C0EA5">
        <w:trPr>
          <w:trHeight w:val="183"/>
          <w:tblHeader/>
          <w:jc w:val="center"/>
        </w:trPr>
        <w:tc>
          <w:tcPr>
            <w:tcW w:w="662" w:type="dxa"/>
            <w:shd w:val="clear" w:color="auto" w:fill="C6D9F1" w:themeFill="text2" w:themeFillTint="33"/>
          </w:tcPr>
          <w:p w14:paraId="70F94041"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w:t>
            </w:r>
          </w:p>
        </w:tc>
        <w:tc>
          <w:tcPr>
            <w:tcW w:w="2234" w:type="dxa"/>
            <w:shd w:val="clear" w:color="auto" w:fill="C6D9F1" w:themeFill="text2" w:themeFillTint="33"/>
          </w:tcPr>
          <w:p w14:paraId="2522FDBE"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Category</w:t>
            </w:r>
          </w:p>
        </w:tc>
        <w:tc>
          <w:tcPr>
            <w:tcW w:w="4333" w:type="dxa"/>
            <w:shd w:val="clear" w:color="auto" w:fill="C6D9F1" w:themeFill="text2" w:themeFillTint="33"/>
          </w:tcPr>
          <w:p w14:paraId="4A6D2CE0"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Comment</w:t>
            </w:r>
          </w:p>
        </w:tc>
        <w:tc>
          <w:tcPr>
            <w:tcW w:w="4762" w:type="dxa"/>
            <w:shd w:val="clear" w:color="auto" w:fill="C6D9F1" w:themeFill="text2" w:themeFillTint="33"/>
          </w:tcPr>
          <w:p w14:paraId="595F78D2" w14:textId="77777777" w:rsidR="001D0991" w:rsidRPr="00C51CDF" w:rsidRDefault="001D0991" w:rsidP="00CA0552">
            <w:pPr>
              <w:rPr>
                <w:rFonts w:asciiTheme="minorHAnsi" w:hAnsiTheme="minorHAnsi" w:cstheme="minorHAnsi"/>
                <w:b/>
                <w:i/>
                <w:sz w:val="22"/>
                <w:szCs w:val="22"/>
                <w:u w:val="single"/>
              </w:rPr>
            </w:pPr>
            <w:r w:rsidRPr="00C51CDF">
              <w:rPr>
                <w:rFonts w:asciiTheme="minorHAnsi" w:hAnsiTheme="minorHAnsi" w:cstheme="minorHAnsi"/>
                <w:b/>
                <w:i/>
                <w:sz w:val="22"/>
                <w:szCs w:val="22"/>
                <w:u w:val="single"/>
              </w:rPr>
              <w:t>Response</w:t>
            </w:r>
          </w:p>
        </w:tc>
      </w:tr>
      <w:tr w:rsidR="001D0991" w:rsidRPr="00C51CDF" w14:paraId="4B0FD753" w14:textId="77777777" w:rsidTr="009C0EA5">
        <w:trPr>
          <w:trHeight w:val="378"/>
          <w:tblHeader/>
          <w:jc w:val="center"/>
        </w:trPr>
        <w:tc>
          <w:tcPr>
            <w:tcW w:w="11991" w:type="dxa"/>
            <w:gridSpan w:val="4"/>
            <w:shd w:val="clear" w:color="auto" w:fill="DBE5F1" w:themeFill="accent1" w:themeFillTint="33"/>
            <w:vAlign w:val="center"/>
          </w:tcPr>
          <w:p w14:paraId="409C665D" w14:textId="700AFBE5" w:rsidR="001D0991" w:rsidRPr="00136A15" w:rsidRDefault="001D0991" w:rsidP="000369AA">
            <w:pPr>
              <w:rPr>
                <w:rFonts w:asciiTheme="minorHAnsi" w:hAnsiTheme="minorHAnsi" w:cstheme="minorHAnsi"/>
                <w:b/>
                <w:sz w:val="22"/>
                <w:szCs w:val="22"/>
              </w:rPr>
            </w:pPr>
            <w:r>
              <w:rPr>
                <w:rFonts w:asciiTheme="minorHAnsi" w:hAnsiTheme="minorHAnsi" w:cstheme="minorHAnsi"/>
                <w:b/>
                <w:sz w:val="22"/>
                <w:szCs w:val="22"/>
              </w:rPr>
              <w:t xml:space="preserve">Comments on </w:t>
            </w:r>
            <w:r w:rsidR="000369AA">
              <w:rPr>
                <w:rFonts w:asciiTheme="minorHAnsi" w:hAnsiTheme="minorHAnsi" w:cstheme="minorHAnsi"/>
                <w:b/>
                <w:sz w:val="22"/>
                <w:szCs w:val="22"/>
              </w:rPr>
              <w:t>other topics</w:t>
            </w:r>
            <w:r w:rsidRPr="00136A15">
              <w:rPr>
                <w:rFonts w:asciiTheme="minorHAnsi" w:hAnsiTheme="minorHAnsi" w:cstheme="minorHAnsi"/>
                <w:b/>
                <w:sz w:val="22"/>
                <w:szCs w:val="22"/>
              </w:rPr>
              <w:t xml:space="preserve"> </w:t>
            </w:r>
          </w:p>
        </w:tc>
      </w:tr>
      <w:tr w:rsidR="001D0991" w:rsidRPr="00C51CDF" w14:paraId="0A870882" w14:textId="77777777" w:rsidTr="009C0EA5">
        <w:trPr>
          <w:trHeight w:val="1160"/>
          <w:jc w:val="center"/>
        </w:trPr>
        <w:tc>
          <w:tcPr>
            <w:tcW w:w="662" w:type="dxa"/>
          </w:tcPr>
          <w:p w14:paraId="39C46751" w14:textId="573A8581" w:rsidR="001D0991" w:rsidRPr="00C51CDF" w:rsidRDefault="000369AA" w:rsidP="00CA0552">
            <w:pPr>
              <w:rPr>
                <w:rFonts w:asciiTheme="minorHAnsi" w:hAnsiTheme="minorHAnsi" w:cstheme="minorHAnsi"/>
                <w:sz w:val="22"/>
                <w:szCs w:val="22"/>
              </w:rPr>
            </w:pPr>
            <w:r>
              <w:rPr>
                <w:rFonts w:asciiTheme="minorHAnsi" w:hAnsiTheme="minorHAnsi" w:cstheme="minorHAnsi"/>
                <w:sz w:val="22"/>
                <w:szCs w:val="22"/>
              </w:rPr>
              <w:t>5.1.1</w:t>
            </w:r>
          </w:p>
        </w:tc>
        <w:tc>
          <w:tcPr>
            <w:tcW w:w="2234" w:type="dxa"/>
          </w:tcPr>
          <w:p w14:paraId="3EBC51F0" w14:textId="6DF72D93" w:rsidR="001D0991" w:rsidRPr="00C51CDF" w:rsidRDefault="000369AA" w:rsidP="00CA0552">
            <w:pPr>
              <w:rPr>
                <w:rFonts w:asciiTheme="minorHAnsi" w:hAnsiTheme="minorHAnsi" w:cstheme="minorHAnsi"/>
                <w:sz w:val="22"/>
                <w:szCs w:val="22"/>
              </w:rPr>
            </w:pPr>
            <w:r w:rsidRPr="000369AA">
              <w:rPr>
                <w:rFonts w:asciiTheme="minorHAnsi" w:hAnsiTheme="minorHAnsi" w:cstheme="minorHAnsi"/>
                <w:sz w:val="22"/>
                <w:szCs w:val="22"/>
              </w:rPr>
              <w:t>Escalation of cyber risk</w:t>
            </w:r>
          </w:p>
        </w:tc>
        <w:tc>
          <w:tcPr>
            <w:tcW w:w="4333" w:type="dxa"/>
          </w:tcPr>
          <w:p w14:paraId="59A030EA" w14:textId="52301461" w:rsidR="001D0991" w:rsidRPr="000369AA" w:rsidRDefault="000369AA" w:rsidP="00585698">
            <w:pPr>
              <w:tabs>
                <w:tab w:val="left" w:pos="2954"/>
              </w:tabs>
              <w:rPr>
                <w:rFonts w:asciiTheme="minorHAnsi" w:hAnsiTheme="minorHAnsi" w:cstheme="minorHAnsi"/>
                <w:color w:val="FF0000"/>
                <w:sz w:val="22"/>
              </w:rPr>
            </w:pPr>
            <w:r w:rsidRPr="000369AA">
              <w:rPr>
                <w:rFonts w:asciiTheme="minorHAnsi" w:hAnsiTheme="minorHAnsi" w:cstheme="minorHAnsi"/>
                <w:sz w:val="22"/>
              </w:rPr>
              <w:t xml:space="preserve">One commenter suggested that compliance with the CFATS Personnel Surety Program exposes railroad employee </w:t>
            </w:r>
            <w:r w:rsidR="00266B9F">
              <w:rPr>
                <w:rFonts w:asciiTheme="minorHAnsi" w:hAnsiTheme="minorHAnsi" w:cstheme="minorHAnsi"/>
                <w:sz w:val="22"/>
              </w:rPr>
              <w:t>PII and exacerbates cyber-</w:t>
            </w:r>
            <w:r w:rsidRPr="000369AA">
              <w:rPr>
                <w:rFonts w:asciiTheme="minorHAnsi" w:hAnsiTheme="minorHAnsi" w:cstheme="minorHAnsi"/>
                <w:sz w:val="22"/>
              </w:rPr>
              <w:t>security risk.</w:t>
            </w:r>
          </w:p>
        </w:tc>
        <w:tc>
          <w:tcPr>
            <w:tcW w:w="4762" w:type="dxa"/>
          </w:tcPr>
          <w:p w14:paraId="2BBE3EB8" w14:textId="7B2CBA12" w:rsidR="001D0991" w:rsidRDefault="00EF48A4" w:rsidP="003F30DB">
            <w:pPr>
              <w:rPr>
                <w:rFonts w:asciiTheme="minorHAnsi" w:hAnsiTheme="minorHAnsi" w:cstheme="minorHAnsi"/>
                <w:sz w:val="22"/>
                <w:szCs w:val="22"/>
              </w:rPr>
            </w:pPr>
            <w:r w:rsidRPr="00EF48A4">
              <w:rPr>
                <w:rFonts w:asciiTheme="minorHAnsi" w:hAnsiTheme="minorHAnsi" w:cstheme="minorHAnsi"/>
                <w:sz w:val="22"/>
                <w:szCs w:val="22"/>
              </w:rPr>
              <w:t xml:space="preserve">The Department disagrees with the commenter that the CFATS Personnel Surety Program exposes PII and exacerbates cyber security risk. </w:t>
            </w:r>
            <w:r w:rsidR="003F30DB">
              <w:rPr>
                <w:rFonts w:asciiTheme="minorHAnsi" w:hAnsiTheme="minorHAnsi" w:cstheme="minorHAnsi"/>
                <w:sz w:val="22"/>
                <w:szCs w:val="22"/>
              </w:rPr>
              <w:t>I</w:t>
            </w:r>
            <w:r w:rsidRPr="00EF48A4">
              <w:rPr>
                <w:rFonts w:asciiTheme="minorHAnsi" w:hAnsiTheme="minorHAnsi" w:cstheme="minorHAnsi"/>
                <w:sz w:val="22"/>
                <w:szCs w:val="22"/>
              </w:rPr>
              <w:t>f (1) a covered chemical facility opts to i</w:t>
            </w:r>
            <w:r w:rsidR="00266B9F">
              <w:rPr>
                <w:rFonts w:asciiTheme="minorHAnsi" w:hAnsiTheme="minorHAnsi" w:cstheme="minorHAnsi"/>
                <w:sz w:val="22"/>
                <w:szCs w:val="22"/>
              </w:rPr>
              <w:t>dentify the employee of a third-</w:t>
            </w:r>
            <w:r w:rsidRPr="00EF48A4">
              <w:rPr>
                <w:rFonts w:asciiTheme="minorHAnsi" w:hAnsiTheme="minorHAnsi" w:cstheme="minorHAnsi"/>
                <w:sz w:val="22"/>
                <w:szCs w:val="22"/>
              </w:rPr>
              <w:t xml:space="preserve">party service provider as an affected individual, and (2) a covered chemical facility opts to implement Option 1 </w:t>
            </w:r>
            <w:r w:rsidR="00266B9F">
              <w:rPr>
                <w:rFonts w:asciiTheme="minorHAnsi" w:hAnsiTheme="minorHAnsi" w:cstheme="minorHAnsi"/>
                <w:sz w:val="22"/>
                <w:szCs w:val="22"/>
              </w:rPr>
              <w:t>or Option 2 in their SSP or ASP</w:t>
            </w:r>
            <w:r w:rsidRPr="00EF48A4">
              <w:rPr>
                <w:rFonts w:asciiTheme="minorHAnsi" w:hAnsiTheme="minorHAnsi" w:cstheme="minorHAnsi"/>
                <w:sz w:val="22"/>
                <w:szCs w:val="22"/>
              </w:rPr>
              <w:t xml:space="preserve"> then the Department has designed the CSAT Personnel Surety </w:t>
            </w:r>
            <w:r w:rsidR="00A54655">
              <w:rPr>
                <w:rFonts w:asciiTheme="minorHAnsi" w:hAnsiTheme="minorHAnsi" w:cstheme="minorHAnsi"/>
                <w:sz w:val="22"/>
                <w:szCs w:val="22"/>
              </w:rPr>
              <w:t xml:space="preserve">Program </w:t>
            </w:r>
            <w:r w:rsidR="00266B9F">
              <w:rPr>
                <w:rFonts w:asciiTheme="minorHAnsi" w:hAnsiTheme="minorHAnsi" w:cstheme="minorHAnsi"/>
                <w:sz w:val="22"/>
                <w:szCs w:val="22"/>
              </w:rPr>
              <w:t>Application to allow third-</w:t>
            </w:r>
            <w:r w:rsidRPr="00EF48A4">
              <w:rPr>
                <w:rFonts w:asciiTheme="minorHAnsi" w:hAnsiTheme="minorHAnsi" w:cstheme="minorHAnsi"/>
                <w:sz w:val="22"/>
                <w:szCs w:val="22"/>
              </w:rPr>
              <w:t>party companies, such as a railroad, to be granted access to the CSAT Personnel Surety Application for the express purpose of submitting information about affected individuals directly to the Department.</w:t>
            </w:r>
          </w:p>
          <w:p w14:paraId="7DEB4410" w14:textId="77777777" w:rsidR="00266B9F" w:rsidRDefault="00266B9F" w:rsidP="003F30DB">
            <w:pPr>
              <w:rPr>
                <w:rFonts w:asciiTheme="minorHAnsi" w:hAnsiTheme="minorHAnsi" w:cstheme="minorHAnsi"/>
                <w:sz w:val="22"/>
                <w:szCs w:val="22"/>
              </w:rPr>
            </w:pPr>
          </w:p>
          <w:p w14:paraId="71815AD8" w14:textId="70E5AB1B" w:rsidR="003069B3" w:rsidRPr="00716660" w:rsidRDefault="003F6983" w:rsidP="00266B9F">
            <w:pPr>
              <w:rPr>
                <w:rFonts w:asciiTheme="minorHAnsi" w:hAnsiTheme="minorHAnsi" w:cstheme="minorHAnsi"/>
                <w:sz w:val="22"/>
                <w:szCs w:val="22"/>
              </w:rPr>
            </w:pPr>
            <w:r>
              <w:rPr>
                <w:rFonts w:asciiTheme="minorHAnsi" w:hAnsiTheme="minorHAnsi" w:cstheme="minorHAnsi"/>
                <w:sz w:val="22"/>
                <w:szCs w:val="22"/>
              </w:rPr>
              <w:t xml:space="preserve">If a covered chemical facility opts to implement Option 3 or </w:t>
            </w:r>
            <w:r w:rsidR="00266B9F">
              <w:rPr>
                <w:rFonts w:asciiTheme="minorHAnsi" w:hAnsiTheme="minorHAnsi" w:cstheme="minorHAnsi"/>
                <w:sz w:val="22"/>
                <w:szCs w:val="22"/>
              </w:rPr>
              <w:t xml:space="preserve">Option </w:t>
            </w:r>
            <w:r>
              <w:rPr>
                <w:rFonts w:asciiTheme="minorHAnsi" w:hAnsiTheme="minorHAnsi" w:cstheme="minorHAnsi"/>
                <w:sz w:val="22"/>
                <w:szCs w:val="22"/>
              </w:rPr>
              <w:t xml:space="preserve">4, </w:t>
            </w:r>
            <w:r w:rsidR="003069B3">
              <w:rPr>
                <w:rFonts w:asciiTheme="minorHAnsi" w:hAnsiTheme="minorHAnsi" w:cstheme="minorHAnsi"/>
                <w:sz w:val="22"/>
                <w:szCs w:val="22"/>
              </w:rPr>
              <w:t xml:space="preserve">information </w:t>
            </w:r>
            <w:r>
              <w:rPr>
                <w:rFonts w:asciiTheme="minorHAnsi" w:hAnsiTheme="minorHAnsi" w:cstheme="minorHAnsi"/>
                <w:sz w:val="22"/>
                <w:szCs w:val="22"/>
              </w:rPr>
              <w:t xml:space="preserve">about affected individuals is not submitted to the Department. </w:t>
            </w:r>
            <w:r w:rsidR="003069B3">
              <w:rPr>
                <w:rFonts w:asciiTheme="minorHAnsi" w:hAnsiTheme="minorHAnsi" w:cstheme="minorHAnsi"/>
                <w:sz w:val="22"/>
                <w:szCs w:val="22"/>
              </w:rPr>
              <w:t xml:space="preserve">Option 3 </w:t>
            </w:r>
            <w:r w:rsidR="00266B9F">
              <w:rPr>
                <w:rFonts w:asciiTheme="minorHAnsi" w:hAnsiTheme="minorHAnsi" w:cstheme="minorHAnsi"/>
                <w:sz w:val="22"/>
                <w:szCs w:val="22"/>
              </w:rPr>
              <w:t>allows</w:t>
            </w:r>
            <w:r w:rsidR="003069B3">
              <w:rPr>
                <w:rFonts w:asciiTheme="minorHAnsi" w:hAnsiTheme="minorHAnsi" w:cstheme="minorHAnsi"/>
                <w:sz w:val="22"/>
                <w:szCs w:val="22"/>
              </w:rPr>
              <w:t xml:space="preserve"> </w:t>
            </w:r>
            <w:r w:rsidR="00266B9F">
              <w:rPr>
                <w:rFonts w:asciiTheme="minorHAnsi" w:hAnsiTheme="minorHAnsi" w:cstheme="minorHAnsi"/>
                <w:sz w:val="22"/>
                <w:szCs w:val="22"/>
              </w:rPr>
              <w:t>high-risk chemical</w:t>
            </w:r>
            <w:r w:rsidR="003069B3">
              <w:rPr>
                <w:rFonts w:asciiTheme="minorHAnsi" w:hAnsiTheme="minorHAnsi" w:cstheme="minorHAnsi"/>
                <w:sz w:val="22"/>
                <w:szCs w:val="22"/>
              </w:rPr>
              <w:t xml:space="preserve"> facilities to comply with the Personnel Surety Program </w:t>
            </w:r>
            <w:r w:rsidR="00266B9F">
              <w:rPr>
                <w:rFonts w:asciiTheme="minorHAnsi" w:hAnsiTheme="minorHAnsi" w:cstheme="minorHAnsi"/>
                <w:sz w:val="22"/>
                <w:szCs w:val="22"/>
              </w:rPr>
              <w:t>by electronically verifying</w:t>
            </w:r>
            <w:r w:rsidR="003069B3">
              <w:rPr>
                <w:rFonts w:asciiTheme="minorHAnsi" w:hAnsiTheme="minorHAnsi" w:cstheme="minorHAnsi"/>
                <w:sz w:val="22"/>
                <w:szCs w:val="22"/>
              </w:rPr>
              <w:t xml:space="preserve"> and </w:t>
            </w:r>
            <w:r w:rsidR="00266B9F">
              <w:rPr>
                <w:rFonts w:asciiTheme="minorHAnsi" w:hAnsiTheme="minorHAnsi" w:cstheme="minorHAnsi"/>
                <w:sz w:val="22"/>
                <w:szCs w:val="22"/>
              </w:rPr>
              <w:t>validating</w:t>
            </w:r>
            <w:r w:rsidR="003069B3">
              <w:rPr>
                <w:rFonts w:asciiTheme="minorHAnsi" w:hAnsiTheme="minorHAnsi" w:cstheme="minorHAnsi"/>
                <w:sz w:val="22"/>
                <w:szCs w:val="22"/>
              </w:rPr>
              <w:t xml:space="preserve"> the </w:t>
            </w:r>
            <w:r>
              <w:rPr>
                <w:rFonts w:asciiTheme="minorHAnsi" w:hAnsiTheme="minorHAnsi" w:cstheme="minorHAnsi"/>
                <w:sz w:val="22"/>
                <w:szCs w:val="22"/>
              </w:rPr>
              <w:t>affected</w:t>
            </w:r>
            <w:r w:rsidR="003069B3">
              <w:rPr>
                <w:rFonts w:asciiTheme="minorHAnsi" w:hAnsiTheme="minorHAnsi" w:cstheme="minorHAnsi"/>
                <w:sz w:val="22"/>
                <w:szCs w:val="22"/>
              </w:rPr>
              <w:t xml:space="preserve"> individual’s TWICs through the use of TWIC readers. Option 4 provides high-risk chemical </w:t>
            </w:r>
            <w:r>
              <w:rPr>
                <w:rFonts w:asciiTheme="minorHAnsi" w:hAnsiTheme="minorHAnsi" w:cstheme="minorHAnsi"/>
                <w:sz w:val="22"/>
                <w:szCs w:val="22"/>
              </w:rPr>
              <w:t xml:space="preserve">facilities </w:t>
            </w:r>
            <w:r w:rsidR="003069B3">
              <w:rPr>
                <w:rFonts w:asciiTheme="minorHAnsi" w:hAnsiTheme="minorHAnsi" w:cstheme="minorHAnsi"/>
                <w:sz w:val="22"/>
                <w:szCs w:val="22"/>
              </w:rPr>
              <w:t xml:space="preserve">with the option to visually verify certain </w:t>
            </w:r>
            <w:r>
              <w:rPr>
                <w:rFonts w:asciiTheme="minorHAnsi" w:hAnsiTheme="minorHAnsi" w:cstheme="minorHAnsi"/>
                <w:sz w:val="22"/>
                <w:szCs w:val="22"/>
              </w:rPr>
              <w:t>credential</w:t>
            </w:r>
            <w:r w:rsidR="00266B9F">
              <w:rPr>
                <w:rFonts w:asciiTheme="minorHAnsi" w:hAnsiTheme="minorHAnsi" w:cstheme="minorHAnsi"/>
                <w:sz w:val="22"/>
                <w:szCs w:val="22"/>
              </w:rPr>
              <w:t>s</w:t>
            </w:r>
            <w:r w:rsidR="003069B3">
              <w:rPr>
                <w:rFonts w:asciiTheme="minorHAnsi" w:hAnsiTheme="minorHAnsi" w:cstheme="minorHAnsi"/>
                <w:sz w:val="22"/>
                <w:szCs w:val="22"/>
              </w:rPr>
              <w:t xml:space="preserve"> or document</w:t>
            </w:r>
            <w:r w:rsidR="00266B9F">
              <w:rPr>
                <w:rFonts w:asciiTheme="minorHAnsi" w:hAnsiTheme="minorHAnsi" w:cstheme="minorHAnsi"/>
                <w:sz w:val="22"/>
                <w:szCs w:val="22"/>
              </w:rPr>
              <w:t>s</w:t>
            </w:r>
            <w:r w:rsidR="003069B3">
              <w:rPr>
                <w:rFonts w:asciiTheme="minorHAnsi" w:hAnsiTheme="minorHAnsi" w:cstheme="minorHAnsi"/>
                <w:sz w:val="22"/>
                <w:szCs w:val="22"/>
              </w:rPr>
              <w:t xml:space="preserve"> that are issue</w:t>
            </w:r>
            <w:r w:rsidR="00AA64B3">
              <w:rPr>
                <w:rFonts w:asciiTheme="minorHAnsi" w:hAnsiTheme="minorHAnsi" w:cstheme="minorHAnsi"/>
                <w:sz w:val="22"/>
                <w:szCs w:val="22"/>
              </w:rPr>
              <w:t>d</w:t>
            </w:r>
            <w:r w:rsidR="003069B3">
              <w:rPr>
                <w:rFonts w:asciiTheme="minorHAnsi" w:hAnsiTheme="minorHAnsi" w:cstheme="minorHAnsi"/>
                <w:sz w:val="22"/>
                <w:szCs w:val="22"/>
              </w:rPr>
              <w:t xml:space="preserve"> by a Federal screening program that periodically </w:t>
            </w:r>
            <w:r w:rsidR="00AA64B3">
              <w:rPr>
                <w:rFonts w:asciiTheme="minorHAnsi" w:hAnsiTheme="minorHAnsi" w:cstheme="minorHAnsi"/>
                <w:sz w:val="22"/>
                <w:szCs w:val="22"/>
              </w:rPr>
              <w:t>v</w:t>
            </w:r>
            <w:r w:rsidR="003069B3">
              <w:rPr>
                <w:rFonts w:asciiTheme="minorHAnsi" w:hAnsiTheme="minorHAnsi" w:cstheme="minorHAnsi"/>
                <w:sz w:val="22"/>
                <w:szCs w:val="22"/>
              </w:rPr>
              <w:t xml:space="preserve">ets enrolled </w:t>
            </w:r>
            <w:r>
              <w:rPr>
                <w:rFonts w:asciiTheme="minorHAnsi" w:hAnsiTheme="minorHAnsi" w:cstheme="minorHAnsi"/>
                <w:sz w:val="22"/>
                <w:szCs w:val="22"/>
              </w:rPr>
              <w:t>individuals</w:t>
            </w:r>
            <w:r w:rsidR="003069B3">
              <w:rPr>
                <w:rFonts w:asciiTheme="minorHAnsi" w:hAnsiTheme="minorHAnsi" w:cstheme="minorHAnsi"/>
                <w:sz w:val="22"/>
                <w:szCs w:val="22"/>
              </w:rPr>
              <w:t xml:space="preserve"> against the TSDB. </w:t>
            </w:r>
          </w:p>
        </w:tc>
      </w:tr>
      <w:tr w:rsidR="001D0991" w:rsidRPr="00C51CDF" w14:paraId="63D0B9F4" w14:textId="77777777" w:rsidTr="009C0EA5">
        <w:trPr>
          <w:trHeight w:val="1160"/>
          <w:jc w:val="center"/>
        </w:trPr>
        <w:tc>
          <w:tcPr>
            <w:tcW w:w="662" w:type="dxa"/>
          </w:tcPr>
          <w:p w14:paraId="795E1666" w14:textId="381032D7" w:rsidR="001D0991" w:rsidRPr="00C51CDF" w:rsidRDefault="009C0EA5" w:rsidP="00CA0552">
            <w:pPr>
              <w:rPr>
                <w:rFonts w:asciiTheme="minorHAnsi" w:hAnsiTheme="minorHAnsi" w:cstheme="minorHAnsi"/>
                <w:sz w:val="22"/>
                <w:szCs w:val="22"/>
              </w:rPr>
            </w:pPr>
            <w:r>
              <w:rPr>
                <w:rFonts w:asciiTheme="minorHAnsi" w:hAnsiTheme="minorHAnsi" w:cstheme="minorHAnsi"/>
                <w:sz w:val="22"/>
                <w:szCs w:val="22"/>
              </w:rPr>
              <w:t>5.2.1</w:t>
            </w:r>
          </w:p>
        </w:tc>
        <w:tc>
          <w:tcPr>
            <w:tcW w:w="2234" w:type="dxa"/>
          </w:tcPr>
          <w:p w14:paraId="66EEAA06" w14:textId="082A7B7F" w:rsidR="001D0991" w:rsidRPr="002703CA" w:rsidRDefault="002703CA" w:rsidP="002703CA">
            <w:pPr>
              <w:rPr>
                <w:rFonts w:asciiTheme="minorHAnsi" w:hAnsiTheme="minorHAnsi" w:cstheme="minorHAnsi"/>
                <w:sz w:val="22"/>
                <w:szCs w:val="22"/>
              </w:rPr>
            </w:pPr>
            <w:r w:rsidRPr="002703CA">
              <w:rPr>
                <w:rFonts w:asciiTheme="minorHAnsi" w:hAnsiTheme="minorHAnsi" w:cstheme="minorHAnsi"/>
                <w:sz w:val="22"/>
                <w:szCs w:val="22"/>
              </w:rPr>
              <w:t>Exceeds legal requirements</w:t>
            </w:r>
          </w:p>
        </w:tc>
        <w:tc>
          <w:tcPr>
            <w:tcW w:w="4333" w:type="dxa"/>
          </w:tcPr>
          <w:p w14:paraId="52A99CCA" w14:textId="198ABFF5" w:rsidR="001D0991" w:rsidRPr="00C51CDF" w:rsidRDefault="002703CA" w:rsidP="00585698">
            <w:pPr>
              <w:tabs>
                <w:tab w:val="left" w:pos="2954"/>
              </w:tabs>
              <w:rPr>
                <w:rFonts w:asciiTheme="minorHAnsi" w:hAnsiTheme="minorHAnsi" w:cstheme="minorHAnsi"/>
                <w:sz w:val="22"/>
              </w:rPr>
            </w:pPr>
            <w:r w:rsidRPr="002703CA">
              <w:rPr>
                <w:rFonts w:asciiTheme="minorHAnsi" w:hAnsiTheme="minorHAnsi" w:cstheme="minorHAnsi"/>
                <w:sz w:val="22"/>
              </w:rPr>
              <w:t>One commenter suggested that the Department “has encouraged covered chemical facilities to collect information that exceeds the legal requirements.”</w:t>
            </w:r>
          </w:p>
        </w:tc>
        <w:tc>
          <w:tcPr>
            <w:tcW w:w="4762" w:type="dxa"/>
          </w:tcPr>
          <w:p w14:paraId="4FF0CC0C" w14:textId="2E362009" w:rsidR="001D0991" w:rsidRPr="00C51CDF" w:rsidRDefault="009C0EA5" w:rsidP="002F409F">
            <w:pPr>
              <w:rPr>
                <w:rFonts w:asciiTheme="minorHAnsi" w:hAnsiTheme="minorHAnsi" w:cstheme="minorHAnsi"/>
                <w:sz w:val="22"/>
                <w:szCs w:val="22"/>
              </w:rPr>
            </w:pPr>
            <w:r w:rsidRPr="009C0EA5">
              <w:rPr>
                <w:rFonts w:asciiTheme="minorHAnsi" w:hAnsiTheme="minorHAnsi" w:cstheme="minorHAnsi"/>
                <w:sz w:val="22"/>
                <w:szCs w:val="22"/>
              </w:rPr>
              <w:t xml:space="preserve">The Department outlined </w:t>
            </w:r>
            <w:r w:rsidR="006C0E2E">
              <w:rPr>
                <w:rFonts w:asciiTheme="minorHAnsi" w:hAnsiTheme="minorHAnsi" w:cstheme="minorHAnsi"/>
                <w:sz w:val="22"/>
                <w:szCs w:val="22"/>
              </w:rPr>
              <w:t xml:space="preserve">in the ICR all data elements and identified </w:t>
            </w:r>
            <w:r w:rsidR="002F409F">
              <w:rPr>
                <w:rFonts w:asciiTheme="minorHAnsi" w:hAnsiTheme="minorHAnsi" w:cstheme="minorHAnsi"/>
                <w:sz w:val="22"/>
                <w:szCs w:val="22"/>
              </w:rPr>
              <w:t>the ones that</w:t>
            </w:r>
            <w:r w:rsidR="006C0E2E">
              <w:rPr>
                <w:rFonts w:asciiTheme="minorHAnsi" w:hAnsiTheme="minorHAnsi" w:cstheme="minorHAnsi"/>
                <w:sz w:val="22"/>
                <w:szCs w:val="22"/>
              </w:rPr>
              <w:t xml:space="preserve"> are required for a submission un</w:t>
            </w:r>
            <w:r w:rsidR="00A14E67">
              <w:rPr>
                <w:rFonts w:asciiTheme="minorHAnsi" w:hAnsiTheme="minorHAnsi" w:cstheme="minorHAnsi"/>
                <w:sz w:val="22"/>
                <w:szCs w:val="22"/>
              </w:rPr>
              <w:t>der Option 1 or O</w:t>
            </w:r>
            <w:r w:rsidR="006C0E2E">
              <w:rPr>
                <w:rFonts w:asciiTheme="minorHAnsi" w:hAnsiTheme="minorHAnsi" w:cstheme="minorHAnsi"/>
                <w:sz w:val="22"/>
                <w:szCs w:val="22"/>
              </w:rPr>
              <w:t>ption 2.</w:t>
            </w:r>
            <w:r w:rsidR="002F409F">
              <w:rPr>
                <w:rFonts w:asciiTheme="minorHAnsi" w:hAnsiTheme="minorHAnsi" w:cstheme="minorHAnsi"/>
                <w:sz w:val="22"/>
                <w:szCs w:val="22"/>
              </w:rPr>
              <w:t xml:space="preserve"> </w:t>
            </w:r>
            <w:r w:rsidRPr="009C0EA5">
              <w:rPr>
                <w:rFonts w:asciiTheme="minorHAnsi" w:hAnsiTheme="minorHAnsi" w:cstheme="minorHAnsi"/>
                <w:sz w:val="22"/>
                <w:szCs w:val="22"/>
              </w:rPr>
              <w:t xml:space="preserve">While the minimum data is sufficient, it is the considered judgement of the Department that additional information reduces the likelihood of false positives in matching against records in the federal government's consolidated and integrated terrorist watchlist. </w:t>
            </w:r>
            <w:r w:rsidR="00A14E67">
              <w:rPr>
                <w:rFonts w:asciiTheme="minorHAnsi" w:hAnsiTheme="minorHAnsi" w:cstheme="minorHAnsi"/>
                <w:sz w:val="22"/>
                <w:szCs w:val="22"/>
              </w:rPr>
              <w:t xml:space="preserve">Although helpful in reducing false positives, this additional information is optional. </w:t>
            </w:r>
          </w:p>
        </w:tc>
      </w:tr>
      <w:tr w:rsidR="001D0991" w:rsidRPr="00C51CDF" w14:paraId="69F67282" w14:textId="77777777" w:rsidTr="009C0EA5">
        <w:trPr>
          <w:trHeight w:val="1160"/>
          <w:jc w:val="center"/>
        </w:trPr>
        <w:tc>
          <w:tcPr>
            <w:tcW w:w="662" w:type="dxa"/>
          </w:tcPr>
          <w:p w14:paraId="597ABE6C" w14:textId="06DB5964" w:rsidR="001D0991" w:rsidRPr="00C51CDF" w:rsidRDefault="009C0EA5" w:rsidP="00CA0552">
            <w:pPr>
              <w:rPr>
                <w:rFonts w:asciiTheme="minorHAnsi" w:hAnsiTheme="minorHAnsi" w:cstheme="minorHAnsi"/>
                <w:sz w:val="22"/>
                <w:szCs w:val="22"/>
              </w:rPr>
            </w:pPr>
            <w:r>
              <w:rPr>
                <w:rFonts w:asciiTheme="minorHAnsi" w:hAnsiTheme="minorHAnsi" w:cstheme="minorHAnsi"/>
                <w:sz w:val="22"/>
                <w:szCs w:val="22"/>
              </w:rPr>
              <w:t>5.3.1</w:t>
            </w:r>
          </w:p>
        </w:tc>
        <w:tc>
          <w:tcPr>
            <w:tcW w:w="2234" w:type="dxa"/>
          </w:tcPr>
          <w:p w14:paraId="54E82DF1" w14:textId="7041C8A1" w:rsidR="001D0991" w:rsidRPr="00C51CDF" w:rsidRDefault="009C0EA5" w:rsidP="00CA0552">
            <w:pPr>
              <w:rPr>
                <w:rFonts w:asciiTheme="minorHAnsi" w:hAnsiTheme="minorHAnsi" w:cstheme="minorHAnsi"/>
                <w:sz w:val="22"/>
                <w:szCs w:val="22"/>
              </w:rPr>
            </w:pPr>
            <w:r w:rsidRPr="009C0EA5">
              <w:rPr>
                <w:rFonts w:asciiTheme="minorHAnsi" w:hAnsiTheme="minorHAnsi" w:cstheme="minorHAnsi"/>
                <w:sz w:val="22"/>
                <w:szCs w:val="22"/>
              </w:rPr>
              <w:t>Inspection Consistency</w:t>
            </w:r>
          </w:p>
        </w:tc>
        <w:tc>
          <w:tcPr>
            <w:tcW w:w="4333" w:type="dxa"/>
          </w:tcPr>
          <w:p w14:paraId="594903D3" w14:textId="6124A8E4" w:rsidR="00A8797F" w:rsidRDefault="00A8797F" w:rsidP="00CA0552">
            <w:pPr>
              <w:tabs>
                <w:tab w:val="left" w:pos="2954"/>
              </w:tabs>
              <w:rPr>
                <w:rFonts w:asciiTheme="minorHAnsi" w:hAnsiTheme="minorHAnsi"/>
                <w:sz w:val="22"/>
                <w:szCs w:val="22"/>
              </w:rPr>
            </w:pPr>
            <w:r>
              <w:rPr>
                <w:rFonts w:asciiTheme="minorHAnsi" w:hAnsiTheme="minorHAnsi"/>
                <w:sz w:val="22"/>
                <w:szCs w:val="22"/>
              </w:rPr>
              <w:t>Two</w:t>
            </w:r>
            <w:r w:rsidRPr="00716660">
              <w:rPr>
                <w:rFonts w:asciiTheme="minorHAnsi" w:hAnsiTheme="minorHAnsi"/>
                <w:sz w:val="22"/>
                <w:szCs w:val="22"/>
              </w:rPr>
              <w:t xml:space="preserve"> commenters</w:t>
            </w:r>
            <w:r>
              <w:rPr>
                <w:rFonts w:asciiTheme="minorHAnsi" w:hAnsiTheme="minorHAnsi"/>
                <w:sz w:val="22"/>
                <w:szCs w:val="22"/>
              </w:rPr>
              <w:t xml:space="preserve"> made suggestions as it relates to the consistency of inspections: </w:t>
            </w:r>
          </w:p>
          <w:p w14:paraId="56701A9A" w14:textId="77777777" w:rsidR="00A8797F" w:rsidRDefault="00A8797F" w:rsidP="00CA0552">
            <w:pPr>
              <w:tabs>
                <w:tab w:val="left" w:pos="2954"/>
              </w:tabs>
              <w:rPr>
                <w:rFonts w:asciiTheme="minorHAnsi" w:hAnsiTheme="minorHAnsi" w:cstheme="minorHAnsi"/>
                <w:sz w:val="22"/>
              </w:rPr>
            </w:pPr>
          </w:p>
          <w:p w14:paraId="2A8F3038" w14:textId="7AF2D0FF" w:rsidR="00A8797F" w:rsidRPr="00A8797F" w:rsidRDefault="009C0EA5" w:rsidP="00A8797F">
            <w:pPr>
              <w:pStyle w:val="ListParagraph"/>
              <w:tabs>
                <w:tab w:val="left" w:pos="2954"/>
              </w:tabs>
              <w:ind w:left="405"/>
            </w:pPr>
            <w:r w:rsidRPr="00A8797F">
              <w:t xml:space="preserve">One commenter requested that the Department “work with facilities that have already been inspected to make sure inspections are being handled in a consistent fashion.” </w:t>
            </w:r>
          </w:p>
          <w:p w14:paraId="097D3704" w14:textId="77777777" w:rsidR="00A8797F" w:rsidRPr="00A8797F" w:rsidRDefault="00A8797F" w:rsidP="00A8797F">
            <w:pPr>
              <w:pStyle w:val="ListParagraph"/>
              <w:tabs>
                <w:tab w:val="left" w:pos="2954"/>
              </w:tabs>
              <w:ind w:left="405"/>
            </w:pPr>
          </w:p>
          <w:p w14:paraId="6A37684A" w14:textId="5048D347" w:rsidR="001D0991" w:rsidRPr="00C51CDF" w:rsidRDefault="009C0EA5" w:rsidP="00585698">
            <w:pPr>
              <w:pStyle w:val="ListParagraph"/>
              <w:tabs>
                <w:tab w:val="left" w:pos="2954"/>
              </w:tabs>
              <w:ind w:left="405"/>
              <w:rPr>
                <w:rFonts w:asciiTheme="minorHAnsi" w:hAnsiTheme="minorHAnsi" w:cstheme="minorHAnsi"/>
              </w:rPr>
            </w:pPr>
            <w:r w:rsidRPr="00A8797F">
              <w:t xml:space="preserve">A second commenter reported that there </w:t>
            </w:r>
            <w:r w:rsidR="00266B9F" w:rsidRPr="00A8797F">
              <w:t xml:space="preserve">are </w:t>
            </w:r>
            <w:r w:rsidRPr="00A8797F">
              <w:t>“many regional inconsistencies in how inspectors conduct inspections within a region.”</w:t>
            </w:r>
          </w:p>
        </w:tc>
        <w:tc>
          <w:tcPr>
            <w:tcW w:w="4762" w:type="dxa"/>
          </w:tcPr>
          <w:p w14:paraId="6AA8D4BE" w14:textId="72742FBA" w:rsidR="001D0991" w:rsidRPr="00C51CDF" w:rsidRDefault="009C0EA5" w:rsidP="00CA0552">
            <w:pPr>
              <w:rPr>
                <w:rFonts w:asciiTheme="minorHAnsi" w:hAnsiTheme="minorHAnsi" w:cstheme="minorHAnsi"/>
                <w:sz w:val="22"/>
                <w:szCs w:val="22"/>
              </w:rPr>
            </w:pPr>
            <w:r w:rsidRPr="009C0EA5">
              <w:rPr>
                <w:rFonts w:asciiTheme="minorHAnsi" w:hAnsiTheme="minorHAnsi" w:cstheme="minorHAnsi"/>
                <w:sz w:val="22"/>
                <w:szCs w:val="22"/>
              </w:rPr>
              <w:t>Although this comment is outside the scope of the information collect request, DHS agrees and continues to work to ensure inspection consistency</w:t>
            </w:r>
            <w:r w:rsidR="00266B9F">
              <w:rPr>
                <w:rFonts w:asciiTheme="minorHAnsi" w:hAnsiTheme="minorHAnsi" w:cstheme="minorHAnsi"/>
                <w:sz w:val="22"/>
                <w:szCs w:val="22"/>
              </w:rPr>
              <w:t xml:space="preserve"> across the c</w:t>
            </w:r>
            <w:r w:rsidR="00A14E67">
              <w:rPr>
                <w:rFonts w:asciiTheme="minorHAnsi" w:hAnsiTheme="minorHAnsi" w:cstheme="minorHAnsi"/>
                <w:sz w:val="22"/>
                <w:szCs w:val="22"/>
              </w:rPr>
              <w:t>ountry</w:t>
            </w:r>
            <w:r w:rsidRPr="009C0EA5">
              <w:rPr>
                <w:rFonts w:asciiTheme="minorHAnsi" w:hAnsiTheme="minorHAnsi" w:cstheme="minorHAnsi"/>
                <w:sz w:val="22"/>
                <w:szCs w:val="22"/>
              </w:rPr>
              <w:t>.</w:t>
            </w:r>
          </w:p>
        </w:tc>
      </w:tr>
      <w:tr w:rsidR="001D0991" w:rsidRPr="00C51CDF" w14:paraId="60D3FBF3" w14:textId="77777777" w:rsidTr="009C0EA5">
        <w:trPr>
          <w:trHeight w:val="1160"/>
          <w:jc w:val="center"/>
        </w:trPr>
        <w:tc>
          <w:tcPr>
            <w:tcW w:w="662" w:type="dxa"/>
          </w:tcPr>
          <w:p w14:paraId="2E93DE3D" w14:textId="25B975BE" w:rsidR="001D0991" w:rsidRPr="00C51CDF" w:rsidRDefault="009C0EA5" w:rsidP="00CA0552">
            <w:pPr>
              <w:rPr>
                <w:rFonts w:asciiTheme="minorHAnsi" w:hAnsiTheme="minorHAnsi" w:cstheme="minorHAnsi"/>
                <w:sz w:val="22"/>
                <w:szCs w:val="22"/>
              </w:rPr>
            </w:pPr>
            <w:r>
              <w:rPr>
                <w:rFonts w:asciiTheme="minorHAnsi" w:hAnsiTheme="minorHAnsi" w:cstheme="minorHAnsi"/>
                <w:sz w:val="22"/>
                <w:szCs w:val="22"/>
              </w:rPr>
              <w:t>5.4.1</w:t>
            </w:r>
          </w:p>
        </w:tc>
        <w:tc>
          <w:tcPr>
            <w:tcW w:w="2234" w:type="dxa"/>
          </w:tcPr>
          <w:p w14:paraId="79C18B0B" w14:textId="62D850EE" w:rsidR="001D0991" w:rsidRPr="00C51CDF" w:rsidRDefault="009C0EA5" w:rsidP="00CA0552">
            <w:pPr>
              <w:rPr>
                <w:rFonts w:asciiTheme="minorHAnsi" w:hAnsiTheme="minorHAnsi" w:cstheme="minorHAnsi"/>
                <w:sz w:val="22"/>
                <w:szCs w:val="22"/>
              </w:rPr>
            </w:pPr>
            <w:r w:rsidRPr="009C0EA5">
              <w:rPr>
                <w:rFonts w:asciiTheme="minorHAnsi" w:hAnsiTheme="minorHAnsi" w:cstheme="minorHAnsi"/>
                <w:sz w:val="22"/>
                <w:szCs w:val="22"/>
              </w:rPr>
              <w:t>Regulatory fix</w:t>
            </w:r>
          </w:p>
        </w:tc>
        <w:tc>
          <w:tcPr>
            <w:tcW w:w="4333" w:type="dxa"/>
          </w:tcPr>
          <w:p w14:paraId="110030BE" w14:textId="14DE2263" w:rsidR="001D0991" w:rsidRPr="00C51CDF" w:rsidRDefault="009C0EA5" w:rsidP="00585698">
            <w:pPr>
              <w:tabs>
                <w:tab w:val="left" w:pos="2954"/>
              </w:tabs>
              <w:rPr>
                <w:rFonts w:asciiTheme="minorHAnsi" w:hAnsiTheme="minorHAnsi" w:cstheme="minorHAnsi"/>
                <w:sz w:val="22"/>
              </w:rPr>
            </w:pPr>
            <w:r w:rsidRPr="009C0EA5">
              <w:rPr>
                <w:rFonts w:asciiTheme="minorHAnsi" w:hAnsiTheme="minorHAnsi" w:cstheme="minorHAnsi"/>
                <w:sz w:val="22"/>
              </w:rPr>
              <w:t>One industry association commented that any updates to the CFATS regulation should be flexible and tangible for facility compliance.</w:t>
            </w:r>
          </w:p>
        </w:tc>
        <w:tc>
          <w:tcPr>
            <w:tcW w:w="4762" w:type="dxa"/>
          </w:tcPr>
          <w:p w14:paraId="4F5A935B" w14:textId="42908572" w:rsidR="001D0991" w:rsidRPr="00C51CDF" w:rsidRDefault="009C0EA5" w:rsidP="00CA0552">
            <w:pPr>
              <w:rPr>
                <w:rFonts w:asciiTheme="minorHAnsi" w:hAnsiTheme="minorHAnsi" w:cstheme="minorHAnsi"/>
                <w:sz w:val="22"/>
                <w:szCs w:val="22"/>
              </w:rPr>
            </w:pPr>
            <w:r w:rsidRPr="009C0EA5">
              <w:rPr>
                <w:rFonts w:asciiTheme="minorHAnsi" w:hAnsiTheme="minorHAnsi" w:cstheme="minorHAnsi"/>
                <w:sz w:val="22"/>
                <w:szCs w:val="22"/>
              </w:rPr>
              <w:t>This information collection request does not modify existing regulations.</w:t>
            </w:r>
          </w:p>
        </w:tc>
      </w:tr>
      <w:tr w:rsidR="001D0991" w:rsidRPr="00C51CDF" w14:paraId="3170BDE7" w14:textId="77777777" w:rsidTr="009C0EA5">
        <w:trPr>
          <w:trHeight w:val="1160"/>
          <w:jc w:val="center"/>
        </w:trPr>
        <w:tc>
          <w:tcPr>
            <w:tcW w:w="662" w:type="dxa"/>
          </w:tcPr>
          <w:p w14:paraId="3F7576B7" w14:textId="021F5A9E" w:rsidR="001D0991" w:rsidRPr="00C51CDF" w:rsidRDefault="009C0EA5" w:rsidP="00CA0552">
            <w:pPr>
              <w:rPr>
                <w:rFonts w:asciiTheme="minorHAnsi" w:hAnsiTheme="minorHAnsi" w:cstheme="minorHAnsi"/>
                <w:sz w:val="22"/>
                <w:szCs w:val="22"/>
              </w:rPr>
            </w:pPr>
            <w:r>
              <w:rPr>
                <w:rFonts w:asciiTheme="minorHAnsi" w:hAnsiTheme="minorHAnsi" w:cstheme="minorHAnsi"/>
                <w:sz w:val="22"/>
                <w:szCs w:val="22"/>
              </w:rPr>
              <w:t>5.</w:t>
            </w:r>
            <w:r w:rsidR="00C9437F">
              <w:rPr>
                <w:rFonts w:asciiTheme="minorHAnsi" w:hAnsiTheme="minorHAnsi" w:cstheme="minorHAnsi"/>
                <w:sz w:val="22"/>
                <w:szCs w:val="22"/>
              </w:rPr>
              <w:t>5</w:t>
            </w:r>
            <w:r>
              <w:rPr>
                <w:rFonts w:asciiTheme="minorHAnsi" w:hAnsiTheme="minorHAnsi" w:cstheme="minorHAnsi"/>
                <w:sz w:val="22"/>
                <w:szCs w:val="22"/>
              </w:rPr>
              <w:t>.1</w:t>
            </w:r>
          </w:p>
        </w:tc>
        <w:tc>
          <w:tcPr>
            <w:tcW w:w="2234" w:type="dxa"/>
          </w:tcPr>
          <w:p w14:paraId="1858115E" w14:textId="114435D6" w:rsidR="001D0991" w:rsidRPr="00C51CDF" w:rsidRDefault="009C0EA5" w:rsidP="00CA0552">
            <w:pPr>
              <w:rPr>
                <w:rFonts w:asciiTheme="minorHAnsi" w:hAnsiTheme="minorHAnsi" w:cstheme="minorHAnsi"/>
                <w:sz w:val="22"/>
                <w:szCs w:val="22"/>
              </w:rPr>
            </w:pPr>
            <w:r w:rsidRPr="009C0EA5">
              <w:rPr>
                <w:rFonts w:asciiTheme="minorHAnsi" w:hAnsiTheme="minorHAnsi" w:cstheme="minorHAnsi"/>
                <w:sz w:val="22"/>
                <w:szCs w:val="22"/>
              </w:rPr>
              <w:t>Contradiction with other regulations</w:t>
            </w:r>
          </w:p>
        </w:tc>
        <w:tc>
          <w:tcPr>
            <w:tcW w:w="4333" w:type="dxa"/>
          </w:tcPr>
          <w:p w14:paraId="059EF02F" w14:textId="28D9F068" w:rsidR="001D0991" w:rsidRPr="00C51CDF" w:rsidRDefault="009C0EA5" w:rsidP="00585698">
            <w:pPr>
              <w:tabs>
                <w:tab w:val="left" w:pos="2954"/>
              </w:tabs>
              <w:rPr>
                <w:rFonts w:asciiTheme="minorHAnsi" w:hAnsiTheme="minorHAnsi" w:cstheme="minorHAnsi"/>
                <w:sz w:val="22"/>
              </w:rPr>
            </w:pPr>
            <w:r w:rsidRPr="009C0EA5">
              <w:rPr>
                <w:rFonts w:asciiTheme="minorHAnsi" w:hAnsiTheme="minorHAnsi" w:cstheme="minorHAnsi"/>
                <w:sz w:val="22"/>
              </w:rPr>
              <w:t>One commenter suggested that a contradiction exists between the CFATS Personnel Surety Program and the railroads compliance with DOT regulations.</w:t>
            </w:r>
          </w:p>
        </w:tc>
        <w:tc>
          <w:tcPr>
            <w:tcW w:w="4762" w:type="dxa"/>
          </w:tcPr>
          <w:p w14:paraId="3D70F4EB" w14:textId="28EA700B" w:rsidR="001D0991" w:rsidRPr="00C51CDF" w:rsidRDefault="009C0EA5" w:rsidP="00266B9F">
            <w:pPr>
              <w:rPr>
                <w:rFonts w:asciiTheme="minorHAnsi" w:hAnsiTheme="minorHAnsi" w:cstheme="minorHAnsi"/>
                <w:sz w:val="22"/>
                <w:szCs w:val="22"/>
              </w:rPr>
            </w:pPr>
            <w:r w:rsidRPr="009C0EA5">
              <w:rPr>
                <w:rFonts w:asciiTheme="minorHAnsi" w:hAnsiTheme="minorHAnsi" w:cstheme="minorHAnsi"/>
                <w:sz w:val="22"/>
                <w:szCs w:val="22"/>
              </w:rPr>
              <w:t>The Departme</w:t>
            </w:r>
            <w:r w:rsidR="00266B9F">
              <w:rPr>
                <w:rFonts w:asciiTheme="minorHAnsi" w:hAnsiTheme="minorHAnsi" w:cstheme="minorHAnsi"/>
                <w:sz w:val="22"/>
                <w:szCs w:val="22"/>
              </w:rPr>
              <w:t>nt disagrees with the commenter. I</w:t>
            </w:r>
            <w:r w:rsidRPr="009C0EA5">
              <w:rPr>
                <w:rFonts w:asciiTheme="minorHAnsi" w:hAnsiTheme="minorHAnsi" w:cstheme="minorHAnsi"/>
                <w:sz w:val="22"/>
                <w:szCs w:val="22"/>
              </w:rPr>
              <w:t xml:space="preserve">f a covered chemical facility opts to identify a railroad employee </w:t>
            </w:r>
            <w:r w:rsidR="00A54655">
              <w:rPr>
                <w:rFonts w:asciiTheme="minorHAnsi" w:hAnsiTheme="minorHAnsi" w:cstheme="minorHAnsi"/>
                <w:sz w:val="22"/>
                <w:szCs w:val="22"/>
              </w:rPr>
              <w:t>as an affected individual, the</w:t>
            </w:r>
            <w:r w:rsidRPr="009C0EA5">
              <w:rPr>
                <w:rFonts w:asciiTheme="minorHAnsi" w:hAnsiTheme="minorHAnsi" w:cstheme="minorHAnsi"/>
                <w:sz w:val="22"/>
                <w:szCs w:val="22"/>
              </w:rPr>
              <w:t xml:space="preserve"> performance of railroads with respect to complying </w:t>
            </w:r>
            <w:r w:rsidR="002F409F">
              <w:rPr>
                <w:rFonts w:asciiTheme="minorHAnsi" w:hAnsiTheme="minorHAnsi" w:cstheme="minorHAnsi"/>
                <w:sz w:val="22"/>
                <w:szCs w:val="22"/>
              </w:rPr>
              <w:t xml:space="preserve">with </w:t>
            </w:r>
            <w:r w:rsidRPr="009C0EA5">
              <w:rPr>
                <w:rFonts w:asciiTheme="minorHAnsi" w:hAnsiTheme="minorHAnsi" w:cstheme="minorHAnsi"/>
                <w:sz w:val="22"/>
                <w:szCs w:val="22"/>
              </w:rPr>
              <w:t xml:space="preserve">DOT regulations, does not materially alter the fact that </w:t>
            </w:r>
            <w:r w:rsidR="002F409F">
              <w:rPr>
                <w:rFonts w:asciiTheme="minorHAnsi" w:hAnsiTheme="minorHAnsi" w:cstheme="minorHAnsi"/>
                <w:sz w:val="22"/>
                <w:szCs w:val="22"/>
              </w:rPr>
              <w:t xml:space="preserve">a </w:t>
            </w:r>
            <w:r w:rsidRPr="009C0EA5">
              <w:rPr>
                <w:rFonts w:asciiTheme="minorHAnsi" w:hAnsiTheme="minorHAnsi" w:cstheme="minorHAnsi"/>
                <w:sz w:val="22"/>
                <w:szCs w:val="22"/>
              </w:rPr>
              <w:t>railroad employee is an affected individual. Covered chemical facilities must ensure that affected individuals have appropriate background checks performed, to include a check for terrorist ties. This ICR allows covered chemical facilities, and their service providers that employ affected individuals, an opportunity to enable a check for terrorist ties to be performed against the TSDB.</w:t>
            </w:r>
          </w:p>
        </w:tc>
      </w:tr>
      <w:tr w:rsidR="002D794A" w:rsidRPr="00C51CDF" w14:paraId="3AE550B3" w14:textId="77777777" w:rsidTr="009C0EA5">
        <w:trPr>
          <w:trHeight w:val="1160"/>
          <w:jc w:val="center"/>
        </w:trPr>
        <w:tc>
          <w:tcPr>
            <w:tcW w:w="662" w:type="dxa"/>
          </w:tcPr>
          <w:p w14:paraId="5DF82600" w14:textId="0A55B215" w:rsidR="002D794A" w:rsidRDefault="002D794A" w:rsidP="002D794A">
            <w:pPr>
              <w:rPr>
                <w:rFonts w:asciiTheme="minorHAnsi" w:hAnsiTheme="minorHAnsi" w:cstheme="minorHAnsi"/>
                <w:sz w:val="22"/>
                <w:szCs w:val="22"/>
              </w:rPr>
            </w:pPr>
            <w:r>
              <w:rPr>
                <w:rFonts w:asciiTheme="minorHAnsi" w:hAnsiTheme="minorHAnsi" w:cstheme="minorHAnsi"/>
                <w:sz w:val="22"/>
                <w:szCs w:val="22"/>
              </w:rPr>
              <w:t>5.6.1</w:t>
            </w:r>
          </w:p>
        </w:tc>
        <w:tc>
          <w:tcPr>
            <w:tcW w:w="2234" w:type="dxa"/>
          </w:tcPr>
          <w:p w14:paraId="13D6AFEF" w14:textId="15987585" w:rsidR="002D794A" w:rsidRPr="009C0EA5" w:rsidRDefault="002D794A" w:rsidP="002D794A">
            <w:pPr>
              <w:rPr>
                <w:rFonts w:asciiTheme="minorHAnsi" w:hAnsiTheme="minorHAnsi" w:cstheme="minorHAnsi"/>
                <w:sz w:val="22"/>
                <w:szCs w:val="22"/>
              </w:rPr>
            </w:pPr>
            <w:r w:rsidRPr="00A15D49">
              <w:rPr>
                <w:rFonts w:asciiTheme="minorHAnsi" w:hAnsiTheme="minorHAnsi" w:cstheme="minorHAnsi"/>
                <w:sz w:val="22"/>
                <w:szCs w:val="22"/>
              </w:rPr>
              <w:t xml:space="preserve">Value of PSP </w:t>
            </w:r>
          </w:p>
        </w:tc>
        <w:tc>
          <w:tcPr>
            <w:tcW w:w="4333" w:type="dxa"/>
          </w:tcPr>
          <w:p w14:paraId="2E2826D0" w14:textId="4BE88159" w:rsidR="002D794A" w:rsidRPr="009C0EA5" w:rsidRDefault="002D794A" w:rsidP="00585698">
            <w:pPr>
              <w:tabs>
                <w:tab w:val="left" w:pos="2954"/>
              </w:tabs>
              <w:rPr>
                <w:rFonts w:asciiTheme="minorHAnsi" w:hAnsiTheme="minorHAnsi" w:cstheme="minorHAnsi"/>
                <w:sz w:val="22"/>
              </w:rPr>
            </w:pPr>
            <w:r w:rsidRPr="00757CB5">
              <w:rPr>
                <w:rFonts w:asciiTheme="minorHAnsi" w:hAnsiTheme="minorHAnsi" w:cstheme="minorHAnsi"/>
                <w:sz w:val="22"/>
              </w:rPr>
              <w:t>One commenter stated that the CFATS Personnel Surety Program, as currently designed</w:t>
            </w:r>
            <w:r w:rsidR="00266B9F">
              <w:rPr>
                <w:rFonts w:asciiTheme="minorHAnsi" w:hAnsiTheme="minorHAnsi" w:cstheme="minorHAnsi"/>
                <w:sz w:val="22"/>
              </w:rPr>
              <w:t>,</w:t>
            </w:r>
            <w:r w:rsidRPr="00757CB5">
              <w:rPr>
                <w:rFonts w:asciiTheme="minorHAnsi" w:hAnsiTheme="minorHAnsi" w:cstheme="minorHAnsi"/>
                <w:sz w:val="22"/>
              </w:rPr>
              <w:t xml:space="preserve"> “does not take into consideration that Tier 3 and 4 facilities present a comparatively lower risk profile than Tier 1 and 2 sites.” The commenter suggested that the Department acknowledge the lower risk profile of Tier 3 and Tier 4 covered chemical facilities and not require them to comply with 6 CFR 27.230(a)(12)(iv). The commenter requested that Tier 3 and Tier 4 covered chemical facilities still be allowed to voluntarily participate.</w:t>
            </w:r>
          </w:p>
        </w:tc>
        <w:tc>
          <w:tcPr>
            <w:tcW w:w="4762" w:type="dxa"/>
          </w:tcPr>
          <w:p w14:paraId="5565BBE0" w14:textId="7F7A497F" w:rsidR="002D794A" w:rsidRPr="009C0EA5" w:rsidRDefault="002D794A" w:rsidP="00266B9F">
            <w:pPr>
              <w:rPr>
                <w:rFonts w:asciiTheme="minorHAnsi" w:hAnsiTheme="minorHAnsi" w:cstheme="minorHAnsi"/>
                <w:sz w:val="22"/>
                <w:szCs w:val="22"/>
              </w:rPr>
            </w:pPr>
            <w:r w:rsidRPr="00757CB5">
              <w:rPr>
                <w:rFonts w:asciiTheme="minorHAnsi" w:hAnsiTheme="minorHAnsi" w:cstheme="minorHAnsi"/>
                <w:sz w:val="22"/>
                <w:szCs w:val="22"/>
              </w:rPr>
              <w:t xml:space="preserve">The Department believes that 6 CFR 27.230(a)(12)(iv) </w:t>
            </w:r>
            <w:r w:rsidR="00266B9F">
              <w:rPr>
                <w:rFonts w:asciiTheme="minorHAnsi" w:hAnsiTheme="minorHAnsi" w:cstheme="minorHAnsi"/>
                <w:sz w:val="22"/>
                <w:szCs w:val="22"/>
              </w:rPr>
              <w:t xml:space="preserve">mitigates the risk of </w:t>
            </w:r>
            <w:r w:rsidRPr="00757CB5">
              <w:rPr>
                <w:rFonts w:asciiTheme="minorHAnsi" w:hAnsiTheme="minorHAnsi" w:cstheme="minorHAnsi"/>
                <w:sz w:val="22"/>
                <w:szCs w:val="22"/>
              </w:rPr>
              <w:t>an in</w:t>
            </w:r>
            <w:r w:rsidR="00266B9F">
              <w:rPr>
                <w:rFonts w:asciiTheme="minorHAnsi" w:hAnsiTheme="minorHAnsi" w:cstheme="minorHAnsi"/>
                <w:sz w:val="22"/>
                <w:szCs w:val="22"/>
              </w:rPr>
              <w:t>dividual with terrorist ties having</w:t>
            </w:r>
            <w:r w:rsidRPr="00757CB5">
              <w:rPr>
                <w:rFonts w:asciiTheme="minorHAnsi" w:hAnsiTheme="minorHAnsi" w:cstheme="minorHAnsi"/>
                <w:sz w:val="22"/>
                <w:szCs w:val="22"/>
              </w:rPr>
              <w:t xml:space="preserve"> insider access. </w:t>
            </w:r>
            <w:r w:rsidR="004C05EE">
              <w:rPr>
                <w:rFonts w:asciiTheme="minorHAnsi" w:hAnsiTheme="minorHAnsi" w:cstheme="minorHAnsi"/>
                <w:sz w:val="22"/>
                <w:szCs w:val="22"/>
              </w:rPr>
              <w:t>Terrorist insiders could cause significant harm to the United States through access to any tiered chemical facility</w:t>
            </w:r>
            <w:r w:rsidR="00266B9F">
              <w:rPr>
                <w:rFonts w:asciiTheme="minorHAnsi" w:hAnsiTheme="minorHAnsi" w:cstheme="minorHAnsi"/>
                <w:sz w:val="22"/>
                <w:szCs w:val="22"/>
              </w:rPr>
              <w:t>. To</w:t>
            </w:r>
            <w:r w:rsidR="004C05EE">
              <w:rPr>
                <w:rFonts w:asciiTheme="minorHAnsi" w:hAnsiTheme="minorHAnsi" w:cstheme="minorHAnsi"/>
                <w:sz w:val="22"/>
                <w:szCs w:val="22"/>
              </w:rPr>
              <w:t xml:space="preserve"> achieve the anti-terrorism objective of CFATS</w:t>
            </w:r>
            <w:r w:rsidR="00266B9F">
              <w:rPr>
                <w:rFonts w:asciiTheme="minorHAnsi" w:hAnsiTheme="minorHAnsi" w:cstheme="minorHAnsi"/>
                <w:sz w:val="22"/>
                <w:szCs w:val="22"/>
              </w:rPr>
              <w:t>,</w:t>
            </w:r>
            <w:r w:rsidR="004C05EE">
              <w:rPr>
                <w:rFonts w:asciiTheme="minorHAnsi" w:hAnsiTheme="minorHAnsi" w:cstheme="minorHAnsi"/>
                <w:sz w:val="22"/>
                <w:szCs w:val="22"/>
              </w:rPr>
              <w:t xml:space="preserve"> it is necessary to mitigate this risk by conducting terrorist ties che</w:t>
            </w:r>
            <w:r w:rsidR="00266B9F">
              <w:rPr>
                <w:rFonts w:asciiTheme="minorHAnsi" w:hAnsiTheme="minorHAnsi" w:cstheme="minorHAnsi"/>
                <w:sz w:val="22"/>
                <w:szCs w:val="22"/>
              </w:rPr>
              <w:t xml:space="preserve">cks at all covered facilities. </w:t>
            </w:r>
            <w:r w:rsidR="004C05EE">
              <w:rPr>
                <w:rFonts w:asciiTheme="minorHAnsi" w:hAnsiTheme="minorHAnsi" w:cstheme="minorHAnsi"/>
                <w:sz w:val="22"/>
                <w:szCs w:val="22"/>
              </w:rPr>
              <w:t>RBPS 12 accordingly requires terrorist ties checks for facilities of all four tiers.</w:t>
            </w:r>
          </w:p>
        </w:tc>
      </w:tr>
      <w:tr w:rsidR="002D794A" w:rsidRPr="00C51CDF" w14:paraId="34BBAB67" w14:textId="77777777" w:rsidTr="009C0EA5">
        <w:trPr>
          <w:trHeight w:val="1160"/>
          <w:jc w:val="center"/>
        </w:trPr>
        <w:tc>
          <w:tcPr>
            <w:tcW w:w="662" w:type="dxa"/>
          </w:tcPr>
          <w:p w14:paraId="5931BB89" w14:textId="1EAB6C28" w:rsidR="002D794A" w:rsidRDefault="002D794A" w:rsidP="002D794A">
            <w:pPr>
              <w:rPr>
                <w:rFonts w:asciiTheme="minorHAnsi" w:hAnsiTheme="minorHAnsi" w:cstheme="minorHAnsi"/>
                <w:sz w:val="22"/>
                <w:szCs w:val="22"/>
              </w:rPr>
            </w:pPr>
            <w:r>
              <w:rPr>
                <w:rFonts w:asciiTheme="minorHAnsi" w:hAnsiTheme="minorHAnsi" w:cstheme="minorHAnsi"/>
                <w:sz w:val="22"/>
                <w:szCs w:val="22"/>
              </w:rPr>
              <w:t>5.6.2</w:t>
            </w:r>
          </w:p>
        </w:tc>
        <w:tc>
          <w:tcPr>
            <w:tcW w:w="2234" w:type="dxa"/>
          </w:tcPr>
          <w:p w14:paraId="63F44F68" w14:textId="01823EA2" w:rsidR="002D794A" w:rsidRPr="00A15D49" w:rsidRDefault="002D794A" w:rsidP="002D794A">
            <w:pPr>
              <w:rPr>
                <w:rFonts w:asciiTheme="minorHAnsi" w:hAnsiTheme="minorHAnsi" w:cstheme="minorHAnsi"/>
                <w:sz w:val="22"/>
                <w:szCs w:val="22"/>
              </w:rPr>
            </w:pPr>
            <w:r w:rsidRPr="00A15D49">
              <w:rPr>
                <w:rFonts w:asciiTheme="minorHAnsi" w:hAnsiTheme="minorHAnsi" w:cstheme="minorHAnsi"/>
                <w:sz w:val="22"/>
                <w:szCs w:val="22"/>
              </w:rPr>
              <w:t xml:space="preserve">Value of PSP </w:t>
            </w:r>
          </w:p>
        </w:tc>
        <w:tc>
          <w:tcPr>
            <w:tcW w:w="4333" w:type="dxa"/>
          </w:tcPr>
          <w:p w14:paraId="2E97446A" w14:textId="31B71CAF" w:rsidR="002D794A" w:rsidRPr="00757CB5" w:rsidRDefault="002D794A" w:rsidP="00585698">
            <w:pPr>
              <w:tabs>
                <w:tab w:val="left" w:pos="2954"/>
              </w:tabs>
              <w:rPr>
                <w:rFonts w:asciiTheme="minorHAnsi" w:hAnsiTheme="minorHAnsi" w:cstheme="minorHAnsi"/>
                <w:sz w:val="22"/>
              </w:rPr>
            </w:pPr>
            <w:r w:rsidRPr="00757CB5">
              <w:rPr>
                <w:rFonts w:asciiTheme="minorHAnsi" w:hAnsiTheme="minorHAnsi" w:cstheme="minorHAnsi"/>
                <w:sz w:val="22"/>
              </w:rPr>
              <w:t>One commenter questioned the effectiveness of the CF</w:t>
            </w:r>
            <w:r w:rsidR="00266B9F">
              <w:rPr>
                <w:rFonts w:asciiTheme="minorHAnsi" w:hAnsiTheme="minorHAnsi" w:cstheme="minorHAnsi"/>
                <w:sz w:val="22"/>
              </w:rPr>
              <w:t>ATS Personnel Surety Program if</w:t>
            </w:r>
            <w:r w:rsidRPr="00757CB5">
              <w:rPr>
                <w:rFonts w:asciiTheme="minorHAnsi" w:hAnsiTheme="minorHAnsi" w:cstheme="minorHAnsi"/>
                <w:sz w:val="22"/>
              </w:rPr>
              <w:t xml:space="preserve"> “absent a clear national security, homeland security, or law enforcement rationale … DHS does not follow-up with the company to alert it of the possible threat.” The commenter further stated that the “value of conducting TSDB screening is questionable if an identified bad actor is permitted continued access to [chemicals of interest] unbeknownst to the facility, which is in the best position to ensure that the person is not afforded that opportunity.”</w:t>
            </w:r>
          </w:p>
        </w:tc>
        <w:tc>
          <w:tcPr>
            <w:tcW w:w="4762" w:type="dxa"/>
          </w:tcPr>
          <w:p w14:paraId="7C28651B" w14:textId="24A3E540" w:rsidR="002D794A" w:rsidRPr="00757CB5" w:rsidRDefault="00BB7EC6" w:rsidP="00266B9F">
            <w:pPr>
              <w:rPr>
                <w:rFonts w:asciiTheme="minorHAnsi" w:hAnsiTheme="minorHAnsi" w:cstheme="minorHAnsi"/>
                <w:sz w:val="22"/>
                <w:szCs w:val="22"/>
              </w:rPr>
            </w:pPr>
            <w:r>
              <w:rPr>
                <w:rFonts w:asciiTheme="minorHAnsi" w:hAnsiTheme="minorHAnsi" w:cstheme="minorHAnsi"/>
                <w:sz w:val="22"/>
                <w:szCs w:val="22"/>
              </w:rPr>
              <w:t xml:space="preserve">The Department’s design of the CFATS Program is intended to promote and enhance the security of high-risk chemical facilities; the Personnel Surety Program is one element of the larger CFATS Program. To prevent a significant threat to a facility or loss of life, a high-risk chemical facility will be contacted where appropriate and in accordance with federal law and policy, </w:t>
            </w:r>
            <w:r w:rsidR="00266B9F">
              <w:rPr>
                <w:rFonts w:asciiTheme="minorHAnsi" w:hAnsiTheme="minorHAnsi" w:cstheme="minorHAnsi"/>
                <w:sz w:val="22"/>
                <w:szCs w:val="22"/>
              </w:rPr>
              <w:t>and per</w:t>
            </w:r>
            <w:r>
              <w:rPr>
                <w:rFonts w:asciiTheme="minorHAnsi" w:hAnsiTheme="minorHAnsi" w:cstheme="minorHAnsi"/>
                <w:sz w:val="22"/>
                <w:szCs w:val="22"/>
              </w:rPr>
              <w:t xml:space="preserve"> law enforcement and intelligence requirements. </w:t>
            </w:r>
          </w:p>
        </w:tc>
      </w:tr>
    </w:tbl>
    <w:p w14:paraId="789E39A9" w14:textId="77777777" w:rsidR="001D0991" w:rsidRPr="00C51CDF" w:rsidRDefault="001D0991" w:rsidP="00315F54">
      <w:pPr>
        <w:ind w:left="-180"/>
        <w:rPr>
          <w:rFonts w:asciiTheme="minorHAnsi" w:hAnsiTheme="minorHAnsi" w:cstheme="minorHAnsi"/>
        </w:rPr>
      </w:pPr>
    </w:p>
    <w:p w14:paraId="6D8DE687" w14:textId="77777777" w:rsidR="00E0647A" w:rsidRPr="00C51CDF" w:rsidRDefault="00E0647A" w:rsidP="00315F54">
      <w:pPr>
        <w:ind w:left="-180"/>
        <w:rPr>
          <w:rFonts w:asciiTheme="minorHAnsi" w:hAnsiTheme="minorHAnsi" w:cstheme="minorHAnsi"/>
        </w:rPr>
      </w:pPr>
    </w:p>
    <w:p w14:paraId="3995F46B" w14:textId="77777777" w:rsidR="00822945" w:rsidRPr="00C51CDF" w:rsidRDefault="00822945" w:rsidP="00315F54">
      <w:pPr>
        <w:ind w:left="-180"/>
        <w:rPr>
          <w:rFonts w:asciiTheme="minorHAnsi" w:hAnsiTheme="minorHAnsi" w:cstheme="minorHAnsi"/>
        </w:rPr>
      </w:pPr>
    </w:p>
    <w:p w14:paraId="09D325FE" w14:textId="0C7C5BB9" w:rsidR="00D54896" w:rsidRPr="00C51CDF" w:rsidRDefault="00D54896" w:rsidP="005E5098">
      <w:pPr>
        <w:ind w:left="-180"/>
        <w:jc w:val="center"/>
        <w:rPr>
          <w:rFonts w:asciiTheme="minorHAnsi" w:hAnsiTheme="minorHAnsi" w:cstheme="minorHAnsi"/>
        </w:rPr>
      </w:pPr>
    </w:p>
    <w:p w14:paraId="5CF3B53A" w14:textId="77777777" w:rsidR="00D54896" w:rsidRPr="00C51CDF" w:rsidRDefault="00D54896" w:rsidP="00315F54">
      <w:pPr>
        <w:ind w:left="-180"/>
        <w:rPr>
          <w:rFonts w:asciiTheme="minorHAnsi" w:hAnsiTheme="minorHAnsi" w:cstheme="minorHAnsi"/>
        </w:rPr>
      </w:pPr>
    </w:p>
    <w:p w14:paraId="148A89DB" w14:textId="77777777" w:rsidR="00D54896" w:rsidRPr="00C51CDF" w:rsidRDefault="00D54896" w:rsidP="00315F54">
      <w:pPr>
        <w:ind w:left="-180"/>
        <w:rPr>
          <w:rFonts w:asciiTheme="minorHAnsi" w:hAnsiTheme="minorHAnsi" w:cstheme="minorHAnsi"/>
        </w:rPr>
      </w:pPr>
    </w:p>
    <w:p w14:paraId="5F3D271A" w14:textId="77777777" w:rsidR="00E53783" w:rsidRPr="00C51CDF" w:rsidRDefault="00E53783" w:rsidP="00315F54">
      <w:pPr>
        <w:ind w:left="-180"/>
        <w:rPr>
          <w:rFonts w:asciiTheme="minorHAnsi" w:hAnsiTheme="minorHAnsi" w:cstheme="minorHAnsi"/>
        </w:rPr>
      </w:pPr>
    </w:p>
    <w:p w14:paraId="00B073E8" w14:textId="1BB0F88C" w:rsidR="00824002" w:rsidRPr="00C51CDF" w:rsidRDefault="00824002" w:rsidP="00B63FC4">
      <w:pPr>
        <w:rPr>
          <w:rFonts w:asciiTheme="minorHAnsi" w:hAnsiTheme="minorHAnsi" w:cstheme="minorHAnsi"/>
          <w:sz w:val="22"/>
          <w:szCs w:val="22"/>
        </w:rPr>
      </w:pPr>
    </w:p>
    <w:sectPr w:rsidR="00824002" w:rsidRPr="00C51CDF" w:rsidSect="00685147">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F9998" w14:textId="77777777" w:rsidR="007675D5" w:rsidRDefault="007675D5" w:rsidP="002B671B">
      <w:r>
        <w:separator/>
      </w:r>
    </w:p>
  </w:endnote>
  <w:endnote w:type="continuationSeparator" w:id="0">
    <w:p w14:paraId="4A034455" w14:textId="77777777" w:rsidR="007675D5" w:rsidRDefault="007675D5" w:rsidP="002B671B">
      <w:r>
        <w:continuationSeparator/>
      </w:r>
    </w:p>
  </w:endnote>
  <w:endnote w:type="continuationNotice" w:id="1">
    <w:p w14:paraId="7F37A0A3" w14:textId="77777777" w:rsidR="007675D5" w:rsidRDefault="00767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44675"/>
      <w:docPartObj>
        <w:docPartGallery w:val="Page Numbers (Bottom of Page)"/>
        <w:docPartUnique/>
      </w:docPartObj>
    </w:sdtPr>
    <w:sdtEndPr>
      <w:rPr>
        <w:noProof/>
      </w:rPr>
    </w:sdtEndPr>
    <w:sdtContent>
      <w:p w14:paraId="0AC3F004" w14:textId="55DE5D2B" w:rsidR="008B3545" w:rsidRDefault="00C75F87" w:rsidP="00453130">
        <w:pPr>
          <w:pStyle w:val="Footer"/>
        </w:pPr>
        <w:r>
          <w:tab/>
        </w:r>
        <w:r w:rsidR="008B3545">
          <w:tab/>
        </w:r>
        <w:r w:rsidR="008B3545">
          <w:tab/>
        </w:r>
        <w:r w:rsidR="008B3545">
          <w:tab/>
        </w:r>
        <w:r w:rsidR="008B3545">
          <w:tab/>
        </w:r>
        <w:r w:rsidR="008B3545">
          <w:fldChar w:fldCharType="begin"/>
        </w:r>
        <w:r w:rsidR="008B3545">
          <w:instrText xml:space="preserve"> PAGE   \* MERGEFORMAT </w:instrText>
        </w:r>
        <w:r w:rsidR="008B3545">
          <w:fldChar w:fldCharType="separate"/>
        </w:r>
        <w:r w:rsidR="00B83426">
          <w:rPr>
            <w:noProof/>
          </w:rPr>
          <w:t>1</w:t>
        </w:r>
        <w:r w:rsidR="008B3545">
          <w:rPr>
            <w:noProof/>
          </w:rPr>
          <w:fldChar w:fldCharType="end"/>
        </w:r>
      </w:p>
    </w:sdtContent>
  </w:sdt>
  <w:p w14:paraId="0AC3F005" w14:textId="77777777" w:rsidR="008B3545" w:rsidRDefault="008B3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914DF" w14:textId="77777777" w:rsidR="007675D5" w:rsidRDefault="007675D5" w:rsidP="002B671B">
      <w:r>
        <w:separator/>
      </w:r>
    </w:p>
  </w:footnote>
  <w:footnote w:type="continuationSeparator" w:id="0">
    <w:p w14:paraId="2B856DAA" w14:textId="77777777" w:rsidR="007675D5" w:rsidRDefault="007675D5" w:rsidP="002B671B">
      <w:r>
        <w:continuationSeparator/>
      </w:r>
    </w:p>
  </w:footnote>
  <w:footnote w:type="continuationNotice" w:id="1">
    <w:p w14:paraId="2492A9D0" w14:textId="77777777" w:rsidR="007675D5" w:rsidRDefault="007675D5"/>
  </w:footnote>
  <w:footnote w:id="2">
    <w:p w14:paraId="671FDA10" w14:textId="77777777" w:rsidR="005C6F4F" w:rsidRDefault="005C6F4F" w:rsidP="005C6F4F">
      <w:pPr>
        <w:pStyle w:val="FootnoteText"/>
      </w:pPr>
      <w:r>
        <w:rPr>
          <w:rStyle w:val="FootnoteReference"/>
        </w:rPr>
        <w:footnoteRef/>
      </w:r>
      <w:r>
        <w:t xml:space="preserve"> See Section 1(b)(3) of Public Law 114-278 which may be viewed at </w:t>
      </w:r>
      <w:hyperlink r:id="rId1" w:history="1">
        <w:r w:rsidRPr="002B754B">
          <w:rPr>
            <w:rStyle w:val="Hyperlink"/>
          </w:rPr>
          <w:t>https://www.congress.gov/bill/114th-congress/house-bill/710/text/pl?overview=closed</w:t>
        </w:r>
      </w:hyperlink>
      <w:r>
        <w:t>.</w:t>
      </w:r>
    </w:p>
    <w:p w14:paraId="4F230706" w14:textId="319F4BD5" w:rsidR="005C6F4F" w:rsidRDefault="005C6F4F">
      <w:pPr>
        <w:pStyle w:val="FootnoteText"/>
      </w:pPr>
    </w:p>
  </w:footnote>
  <w:footnote w:id="3">
    <w:p w14:paraId="7807C2A4" w14:textId="1EE7341E" w:rsidR="006D45CD" w:rsidRDefault="006D45CD" w:rsidP="006D45CD">
      <w:pPr>
        <w:pStyle w:val="FootnoteText"/>
      </w:pPr>
      <w:r>
        <w:rPr>
          <w:rStyle w:val="FootnoteReference"/>
        </w:rPr>
        <w:footnoteRef/>
      </w:r>
      <w:r>
        <w:t xml:space="preserve"> </w:t>
      </w:r>
      <w:r w:rsidRPr="002A2E6B">
        <w:t xml:space="preserve">The Department described </w:t>
      </w:r>
      <w:r>
        <w:t>the options for screening for terrorist ties on page 82 FR 61313</w:t>
      </w:r>
      <w:r w:rsidRPr="002A2E6B">
        <w:t xml:space="preserve"> </w:t>
      </w:r>
      <w:r>
        <w:t xml:space="preserve">of its 60-day notice </w:t>
      </w:r>
      <w:r w:rsidRPr="002A2E6B">
        <w:t xml:space="preserve">which may be viewed at </w:t>
      </w:r>
      <w:hyperlink r:id="rId2" w:history="1">
        <w:r w:rsidRPr="006D45CD">
          <w:rPr>
            <w:rStyle w:val="Hyperlink"/>
            <w:rFonts w:cs="Helvetica"/>
          </w:rPr>
          <w:t>https://www.federalregister.gov/d/2017-27519/page-61313</w:t>
        </w:r>
      </w:hyperlink>
      <w:r w:rsidRPr="002A2E6B">
        <w:rPr>
          <w:color w:val="333333"/>
        </w:rPr>
        <w:t>.</w:t>
      </w:r>
    </w:p>
  </w:footnote>
  <w:footnote w:id="4">
    <w:p w14:paraId="03D7D265" w14:textId="77777777" w:rsidR="00F66B8B" w:rsidRPr="00943FC7" w:rsidRDefault="00F66B8B" w:rsidP="00F66B8B">
      <w:pPr>
        <w:pStyle w:val="FootnoteText"/>
      </w:pPr>
      <w:r w:rsidRPr="003615C6">
        <w:footnoteRef/>
      </w:r>
      <w:r w:rsidRPr="003615C6">
        <w:t xml:space="preserve"> The term “groups” is a technical term used</w:t>
      </w:r>
      <w:r w:rsidRPr="00943FC7">
        <w:t xml:space="preserve"> by the Department to describe how a covered chemical facility may manage the access to records about affected individuals in the CSAT Personnel Surety application. The Department describes “groups” and provides additional information about how to create and manage “groups in section 9.5 of the CSAT User Manual which may be viewed at </w:t>
      </w:r>
      <w:hyperlink r:id="rId3" w:history="1">
        <w:r w:rsidRPr="00943FC7">
          <w:rPr>
            <w:rStyle w:val="Hyperlink"/>
          </w:rPr>
          <w:t>https://www.dhs.gov/sites/default/files/publications/csat-portal-user-manual-508-2.pdf</w:t>
        </w:r>
      </w:hyperlink>
      <w:r w:rsidRPr="00943FC7">
        <w:t>.</w:t>
      </w:r>
    </w:p>
  </w:footnote>
  <w:footnote w:id="5">
    <w:p w14:paraId="09AF0D37" w14:textId="77777777" w:rsidR="00F66B8B" w:rsidRDefault="00F66B8B" w:rsidP="00F66B8B">
      <w:pPr>
        <w:pStyle w:val="FootnoteText"/>
      </w:pPr>
      <w:r>
        <w:rPr>
          <w:rStyle w:val="FootnoteReference"/>
        </w:rPr>
        <w:footnoteRef/>
      </w:r>
      <w:r>
        <w:t xml:space="preserve"> Information Collection 1670-0007 was approved by OMB on July 14, 2016. The Notice of Action and Information Collection 1670-0007 may be viewed at </w:t>
      </w:r>
      <w:hyperlink r:id="rId4" w:history="1">
        <w:r w:rsidRPr="00BB1393">
          <w:rPr>
            <w:rStyle w:val="Hyperlink"/>
          </w:rPr>
          <w:t>https://www.reginfo.gov/public/do/PRAViewICR?ref_nbr=201604-1670-001</w:t>
        </w:r>
      </w:hyperlink>
      <w:r>
        <w:t>.</w:t>
      </w:r>
    </w:p>
  </w:footnote>
  <w:footnote w:id="6">
    <w:p w14:paraId="3AD9F09F" w14:textId="77777777" w:rsidR="00242BCC" w:rsidRDefault="00242BCC" w:rsidP="00242BCC">
      <w:pPr>
        <w:pStyle w:val="FootnoteText"/>
      </w:pPr>
      <w:r>
        <w:rPr>
          <w:rStyle w:val="FootnoteReference"/>
        </w:rPr>
        <w:footnoteRef/>
      </w:r>
      <w:r>
        <w:t xml:space="preserve"> </w:t>
      </w:r>
      <w:r w:rsidRPr="002A2E6B">
        <w:t>The Department described its assumptions</w:t>
      </w:r>
      <w:r>
        <w:t>, to include updates and corrections,</w:t>
      </w:r>
      <w:r w:rsidRPr="002A2E6B">
        <w:t xml:space="preserve"> about the estimated time per respondent on page 82 FR 61316 </w:t>
      </w:r>
      <w:r>
        <w:t xml:space="preserve">of its 60-day notice </w:t>
      </w:r>
      <w:r w:rsidRPr="002A2E6B">
        <w:t xml:space="preserve">which may be viewed at </w:t>
      </w:r>
      <w:hyperlink r:id="rId5" w:history="1">
        <w:r w:rsidRPr="002A2E6B">
          <w:rPr>
            <w:rStyle w:val="Hyperlink"/>
          </w:rPr>
          <w:t>https://www.federalregister.gov/d/2017-27519/page-61316</w:t>
        </w:r>
      </w:hyperlink>
      <w:r w:rsidRPr="002A2E6B">
        <w:rPr>
          <w:color w:val="333333"/>
        </w:rPr>
        <w:t>.</w:t>
      </w:r>
    </w:p>
  </w:footnote>
  <w:footnote w:id="7">
    <w:p w14:paraId="0AB1732D" w14:textId="51B23562" w:rsidR="00FB5A5B" w:rsidRPr="000C5361" w:rsidRDefault="00FB5A5B" w:rsidP="00FB5A5B">
      <w:pPr>
        <w:pStyle w:val="FootnoteText"/>
      </w:pPr>
      <w:r w:rsidRPr="000C5361">
        <w:rPr>
          <w:rStyle w:val="FootnoteReference"/>
        </w:rPr>
        <w:footnoteRef/>
      </w:r>
      <w:r w:rsidRPr="000C5361">
        <w:t xml:space="preserve"> The possibility of a company-wide approach is mentioned in: (1) the CFATS Personnel Surety Program 30-Day notice and request for comments published on February 3, 2014 at 79 FR 6422 </w:t>
      </w:r>
      <w:r>
        <w:t>that</w:t>
      </w:r>
      <w:r w:rsidRPr="000C5361">
        <w:t xml:space="preserve"> may be viewed at </w:t>
      </w:r>
      <w:hyperlink r:id="rId6" w:history="1">
        <w:r w:rsidRPr="000C5361">
          <w:rPr>
            <w:rStyle w:val="Hyperlink"/>
          </w:rPr>
          <w:t>https://www.federalregister.gov/d/2014-02082/page-6422</w:t>
        </w:r>
      </w:hyperlink>
      <w:r>
        <w:rPr>
          <w:rStyle w:val="Hyperlink"/>
        </w:rPr>
        <w:t>,</w:t>
      </w:r>
      <w:r w:rsidRPr="000C5361">
        <w:rPr>
          <w:color w:val="333333"/>
        </w:rPr>
        <w:t xml:space="preserve"> and (2) </w:t>
      </w:r>
      <w:r w:rsidRPr="000C5361">
        <w:t xml:space="preserve">the CFATS Personnel Surety Program 60-Day notice and request for comments published on March 22, 2013 at 78 FR 17684 </w:t>
      </w:r>
      <w:r>
        <w:t>that</w:t>
      </w:r>
      <w:r w:rsidRPr="000C5361">
        <w:t xml:space="preserve"> may be viewed at </w:t>
      </w:r>
      <w:hyperlink r:id="rId7" w:history="1">
        <w:r w:rsidRPr="000C5361">
          <w:rPr>
            <w:rStyle w:val="Hyperlink"/>
          </w:rPr>
          <w:t>https://www.federalregister.gov/d/2013-06184/page-17684</w:t>
        </w:r>
      </w:hyperlink>
    </w:p>
  </w:footnote>
  <w:footnote w:id="8">
    <w:p w14:paraId="70497662" w14:textId="46A5455A" w:rsidR="00F66B8B" w:rsidRPr="000C5361" w:rsidRDefault="00F66B8B" w:rsidP="00F66B8B">
      <w:pPr>
        <w:pStyle w:val="FootnoteText"/>
      </w:pPr>
      <w:r w:rsidRPr="000C5361">
        <w:rPr>
          <w:rStyle w:val="FootnoteReference"/>
        </w:rPr>
        <w:footnoteRef/>
      </w:r>
      <w:r w:rsidRPr="000C5361">
        <w:t xml:space="preserve"> The Department describes the potential for a company-wide approach in </w:t>
      </w:r>
      <w:r w:rsidR="000E1DB7">
        <w:t>CFATS Personnel Surety Program Implementation N</w:t>
      </w:r>
      <w:r w:rsidRPr="000C5361">
        <w:t xml:space="preserve">otice published on December 18, 2015 at 80 FR 79064 </w:t>
      </w:r>
      <w:r w:rsidR="00FB5A5B">
        <w:t>that</w:t>
      </w:r>
      <w:r w:rsidRPr="000C5361">
        <w:t xml:space="preserve"> may be viewed at </w:t>
      </w:r>
      <w:hyperlink r:id="rId8" w:history="1">
        <w:r w:rsidRPr="000C5361">
          <w:rPr>
            <w:rStyle w:val="Hyperlink"/>
          </w:rPr>
          <w:t>https://www.federalregister.gov/d/2015-31625/page-79064</w:t>
        </w:r>
      </w:hyperlink>
      <w:r w:rsidRPr="000C5361">
        <w:rPr>
          <w:color w:val="333333"/>
        </w:rPr>
        <w:t>.</w:t>
      </w:r>
    </w:p>
  </w:footnote>
  <w:footnote w:id="9">
    <w:p w14:paraId="7E17B5A4" w14:textId="77777777" w:rsidR="00D479FF" w:rsidRDefault="00D479FF" w:rsidP="00D479FF">
      <w:pPr>
        <w:pStyle w:val="FootnoteText"/>
      </w:pPr>
      <w:r>
        <w:rPr>
          <w:rStyle w:val="FootnoteReference"/>
        </w:rPr>
        <w:footnoteRef/>
      </w:r>
      <w:r>
        <w:t xml:space="preserve"> Information Collection 1670-0007 was approved by OMB on July 14, 2016. The Notice of Action and Information Collection 1670-0007 may be viewed at </w:t>
      </w:r>
      <w:hyperlink r:id="rId9" w:history="1">
        <w:r w:rsidRPr="00BB1393">
          <w:rPr>
            <w:rStyle w:val="Hyperlink"/>
          </w:rPr>
          <w:t>https://www.reginfo.gov/public/do/PRAViewICR?ref_nbr=201604-1670-001</w:t>
        </w:r>
      </w:hyperlink>
      <w:r>
        <w:t>.</w:t>
      </w:r>
    </w:p>
  </w:footnote>
  <w:footnote w:id="10">
    <w:p w14:paraId="325C0F51" w14:textId="1DC525BD" w:rsidR="00BB7EC6" w:rsidRDefault="00BB7EC6" w:rsidP="00BB7EC6">
      <w:pPr>
        <w:pStyle w:val="FootnoteText"/>
      </w:pPr>
      <w:r>
        <w:rPr>
          <w:rStyle w:val="FootnoteReference"/>
        </w:rPr>
        <w:footnoteRef/>
      </w:r>
      <w:r>
        <w:t xml:space="preserve"> This specific text from the CFATS Personnel Surety Program Implementation Notice may be found on </w:t>
      </w:r>
      <w:r w:rsidRPr="001D3538">
        <w:rPr>
          <w:rFonts w:asciiTheme="minorHAnsi" w:hAnsiTheme="minorHAnsi" w:cstheme="minorHAnsi"/>
          <w:sz w:val="22"/>
          <w:szCs w:val="22"/>
        </w:rPr>
        <w:t>80 FR 79060</w:t>
      </w:r>
      <w:r w:rsidR="00FB5A5B" w:rsidRPr="00FB5A5B">
        <w:t xml:space="preserve"> </w:t>
      </w:r>
      <w:r w:rsidR="00FB5A5B" w:rsidRPr="009A0D91">
        <w:t xml:space="preserve">and can be viewed at </w:t>
      </w:r>
      <w:hyperlink r:id="rId10" w:history="1">
        <w:r w:rsidR="00FB5A5B" w:rsidRPr="00FB5A5B">
          <w:rPr>
            <w:rStyle w:val="Hyperlink"/>
          </w:rPr>
          <w:t>https://www.federalregister.gov/d/2015-31625/page-79060</w:t>
        </w:r>
      </w:hyperlink>
      <w:r w:rsidR="00FB5A5B" w:rsidRPr="009A0D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8A127" w14:textId="6D2686D7" w:rsidR="00C75F87" w:rsidRDefault="008B3545" w:rsidP="00C75F87">
    <w:pPr>
      <w:pStyle w:val="Header"/>
      <w:tabs>
        <w:tab w:val="left" w:pos="900"/>
      </w:tabs>
      <w:jc w:val="center"/>
      <w:rPr>
        <w:b/>
        <w:sz w:val="24"/>
        <w:szCs w:val="24"/>
      </w:rPr>
    </w:pPr>
    <w:r>
      <w:rPr>
        <w:b/>
        <w:sz w:val="24"/>
        <w:szCs w:val="24"/>
      </w:rPr>
      <w:t>6</w:t>
    </w:r>
    <w:r w:rsidR="00C75F87">
      <w:rPr>
        <w:b/>
        <w:sz w:val="24"/>
        <w:szCs w:val="24"/>
      </w:rPr>
      <w:t xml:space="preserve">0-Day Federal Register Commenting Period </w:t>
    </w:r>
  </w:p>
  <w:p w14:paraId="0AC3F002" w14:textId="7A0FD260" w:rsidR="008B3545" w:rsidRPr="000C3AC4" w:rsidRDefault="008B3545" w:rsidP="00C75F87">
    <w:pPr>
      <w:pStyle w:val="Header"/>
      <w:tabs>
        <w:tab w:val="left" w:pos="900"/>
      </w:tabs>
      <w:jc w:val="center"/>
      <w:rPr>
        <w:b/>
        <w:sz w:val="24"/>
        <w:szCs w:val="24"/>
      </w:rPr>
    </w:pPr>
    <w:r>
      <w:rPr>
        <w:b/>
        <w:sz w:val="24"/>
        <w:szCs w:val="24"/>
      </w:rPr>
      <w:t xml:space="preserve">SUMMARY OF </w:t>
    </w:r>
    <w:r w:rsidR="00C75F87">
      <w:rPr>
        <w:b/>
        <w:sz w:val="24"/>
        <w:szCs w:val="24"/>
      </w:rPr>
      <w:t xml:space="preserve">COMMENTS and </w:t>
    </w:r>
    <w:r>
      <w:rPr>
        <w:b/>
        <w:sz w:val="24"/>
        <w:szCs w:val="24"/>
      </w:rPr>
      <w:t>RESPONSES</w:t>
    </w:r>
  </w:p>
  <w:p w14:paraId="0AC3F003" w14:textId="77777777" w:rsidR="008B3545" w:rsidRDefault="008B3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27F"/>
    <w:multiLevelType w:val="hybridMultilevel"/>
    <w:tmpl w:val="6F185B5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E79CE"/>
    <w:multiLevelType w:val="hybridMultilevel"/>
    <w:tmpl w:val="D0C80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439ED"/>
    <w:multiLevelType w:val="hybridMultilevel"/>
    <w:tmpl w:val="D5EE9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2B6257"/>
    <w:multiLevelType w:val="hybridMultilevel"/>
    <w:tmpl w:val="2C506EF0"/>
    <w:lvl w:ilvl="0" w:tplc="628282D8">
      <w:start w:val="1"/>
      <w:numFmt w:val="low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58759A"/>
    <w:multiLevelType w:val="hybridMultilevel"/>
    <w:tmpl w:val="EE40A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4486F"/>
    <w:multiLevelType w:val="hybridMultilevel"/>
    <w:tmpl w:val="F63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62013"/>
    <w:multiLevelType w:val="hybridMultilevel"/>
    <w:tmpl w:val="58AA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60344B"/>
    <w:multiLevelType w:val="hybridMultilevel"/>
    <w:tmpl w:val="6FCEBA28"/>
    <w:lvl w:ilvl="0" w:tplc="8962F3AA">
      <w:start w:val="1"/>
      <w:numFmt w:val="decimal"/>
      <w:lvlText w:val="(%1)"/>
      <w:lvlJc w:val="left"/>
      <w:pPr>
        <w:ind w:left="1540" w:hanging="360"/>
      </w:pPr>
      <w:rPr>
        <w:rFonts w:hint="default"/>
        <w:b/>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nsid w:val="1B053FA4"/>
    <w:multiLevelType w:val="hybridMultilevel"/>
    <w:tmpl w:val="59F2120E"/>
    <w:lvl w:ilvl="0" w:tplc="1082B5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F1995"/>
    <w:multiLevelType w:val="hybridMultilevel"/>
    <w:tmpl w:val="3458A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C26E89"/>
    <w:multiLevelType w:val="hybridMultilevel"/>
    <w:tmpl w:val="AE3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C74DB"/>
    <w:multiLevelType w:val="hybridMultilevel"/>
    <w:tmpl w:val="91C2510E"/>
    <w:lvl w:ilvl="0" w:tplc="D6A638EA">
      <w:start w:val="1"/>
      <w:numFmt w:val="decimal"/>
      <w:lvlText w:val="%1."/>
      <w:lvlJc w:val="left"/>
      <w:pPr>
        <w:ind w:left="1440" w:hanging="360"/>
      </w:pPr>
      <w:rPr>
        <w:rFonts w:ascii="Calibri" w:eastAsia="Calibri" w:hAnsi="Calibri" w:cs="Aria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226A72CB"/>
    <w:multiLevelType w:val="hybridMultilevel"/>
    <w:tmpl w:val="C838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B7421C"/>
    <w:multiLevelType w:val="hybridMultilevel"/>
    <w:tmpl w:val="122ECBF6"/>
    <w:lvl w:ilvl="0" w:tplc="8DC65598">
      <w:start w:val="1"/>
      <w:numFmt w:val="upperRoman"/>
      <w:lvlText w:val="%1."/>
      <w:lvlJc w:val="left"/>
      <w:pPr>
        <w:ind w:left="2520" w:hanging="72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8992F2A"/>
    <w:multiLevelType w:val="hybridMultilevel"/>
    <w:tmpl w:val="6B94658A"/>
    <w:lvl w:ilvl="0" w:tplc="3E0A93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AC1673"/>
    <w:multiLevelType w:val="hybridMultilevel"/>
    <w:tmpl w:val="A86004B4"/>
    <w:lvl w:ilvl="0" w:tplc="8590474C">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C216F3"/>
    <w:multiLevelType w:val="hybridMultilevel"/>
    <w:tmpl w:val="E10E5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07305"/>
    <w:multiLevelType w:val="hybridMultilevel"/>
    <w:tmpl w:val="A532E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675C9"/>
    <w:multiLevelType w:val="hybridMultilevel"/>
    <w:tmpl w:val="FA3A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5390C"/>
    <w:multiLevelType w:val="hybridMultilevel"/>
    <w:tmpl w:val="669E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030DF"/>
    <w:multiLevelType w:val="hybridMultilevel"/>
    <w:tmpl w:val="3E245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D05CF3"/>
    <w:multiLevelType w:val="hybridMultilevel"/>
    <w:tmpl w:val="65F6E9E6"/>
    <w:lvl w:ilvl="0" w:tplc="C924E95A">
      <w:start w:val="1"/>
      <w:numFmt w:val="decimal"/>
      <w:lvlText w:val="%1)"/>
      <w:lvlJc w:val="left"/>
      <w:pPr>
        <w:ind w:left="720" w:hanging="360"/>
      </w:pPr>
      <w:rPr>
        <w:rFonts w:ascii="Times New Roman" w:eastAsia="Times New Roman" w:hAnsi="Times New Roman"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B63B6"/>
    <w:multiLevelType w:val="hybridMultilevel"/>
    <w:tmpl w:val="26DC3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F215B"/>
    <w:multiLevelType w:val="hybridMultilevel"/>
    <w:tmpl w:val="FA3A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94204"/>
    <w:multiLevelType w:val="hybridMultilevel"/>
    <w:tmpl w:val="1AE8A768"/>
    <w:lvl w:ilvl="0" w:tplc="C172AC44">
      <w:start w:val="1"/>
      <w:numFmt w:val="upp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nsid w:val="4E597B3F"/>
    <w:multiLevelType w:val="hybridMultilevel"/>
    <w:tmpl w:val="C14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0B3519"/>
    <w:multiLevelType w:val="hybridMultilevel"/>
    <w:tmpl w:val="7F5A3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BB0488"/>
    <w:multiLevelType w:val="hybridMultilevel"/>
    <w:tmpl w:val="75D03A6A"/>
    <w:lvl w:ilvl="0" w:tplc="83EEE68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59834D82"/>
    <w:multiLevelType w:val="hybridMultilevel"/>
    <w:tmpl w:val="898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8E2F69"/>
    <w:multiLevelType w:val="hybridMultilevel"/>
    <w:tmpl w:val="8B188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374EC"/>
    <w:multiLevelType w:val="hybridMultilevel"/>
    <w:tmpl w:val="1DC8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9F6669"/>
    <w:multiLevelType w:val="hybridMultilevel"/>
    <w:tmpl w:val="64FA375A"/>
    <w:lvl w:ilvl="0" w:tplc="F30CC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C743D"/>
    <w:multiLevelType w:val="hybridMultilevel"/>
    <w:tmpl w:val="9A4A95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5A40BCD"/>
    <w:multiLevelType w:val="hybridMultilevel"/>
    <w:tmpl w:val="AC629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EE774E6"/>
    <w:multiLevelType w:val="hybridMultilevel"/>
    <w:tmpl w:val="A46083F6"/>
    <w:lvl w:ilvl="0" w:tplc="8BF826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E479B3"/>
    <w:multiLevelType w:val="hybridMultilevel"/>
    <w:tmpl w:val="11E82D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B6483B"/>
    <w:multiLevelType w:val="hybridMultilevel"/>
    <w:tmpl w:val="B1FC84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84FD3"/>
    <w:multiLevelType w:val="hybridMultilevel"/>
    <w:tmpl w:val="11983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3"/>
  </w:num>
  <w:num w:numId="4">
    <w:abstractNumId w:val="29"/>
  </w:num>
  <w:num w:numId="5">
    <w:abstractNumId w:val="18"/>
  </w:num>
  <w:num w:numId="6">
    <w:abstractNumId w:val="36"/>
  </w:num>
  <w:num w:numId="7">
    <w:abstractNumId w:val="2"/>
  </w:num>
  <w:num w:numId="8">
    <w:abstractNumId w:val="23"/>
  </w:num>
  <w:num w:numId="9">
    <w:abstractNumId w:val="22"/>
  </w:num>
  <w:num w:numId="10">
    <w:abstractNumId w:val="2"/>
  </w:num>
  <w:num w:numId="11">
    <w:abstractNumId w:val="10"/>
  </w:num>
  <w:num w:numId="12">
    <w:abstractNumId w:val="13"/>
  </w:num>
  <w:num w:numId="13">
    <w:abstractNumId w:val="24"/>
  </w:num>
  <w:num w:numId="14">
    <w:abstractNumId w:val="7"/>
  </w:num>
  <w:num w:numId="15">
    <w:abstractNumId w:val="20"/>
  </w:num>
  <w:num w:numId="16">
    <w:abstractNumId w:val="31"/>
  </w:num>
  <w:num w:numId="17">
    <w:abstractNumId w:val="33"/>
  </w:num>
  <w:num w:numId="18">
    <w:abstractNumId w:val="4"/>
  </w:num>
  <w:num w:numId="19">
    <w:abstractNumId w:val="19"/>
  </w:num>
  <w:num w:numId="20">
    <w:abstractNumId w:val="37"/>
  </w:num>
  <w:num w:numId="21">
    <w:abstractNumId w:val="21"/>
  </w:num>
  <w:num w:numId="22">
    <w:abstractNumId w:val="5"/>
  </w:num>
  <w:num w:numId="23">
    <w:abstractNumId w:val="9"/>
  </w:num>
  <w:num w:numId="24">
    <w:abstractNumId w:val="0"/>
  </w:num>
  <w:num w:numId="25">
    <w:abstractNumId w:val="16"/>
  </w:num>
  <w:num w:numId="26">
    <w:abstractNumId w:val="25"/>
  </w:num>
  <w:num w:numId="27">
    <w:abstractNumId w:val="12"/>
  </w:num>
  <w:num w:numId="28">
    <w:abstractNumId w:val="17"/>
  </w:num>
  <w:num w:numId="29">
    <w:abstractNumId w:val="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0"/>
  </w:num>
  <w:num w:numId="33">
    <w:abstractNumId w:val="28"/>
  </w:num>
  <w:num w:numId="34">
    <w:abstractNumId w:val="8"/>
  </w:num>
  <w:num w:numId="35">
    <w:abstractNumId w:val="27"/>
  </w:num>
  <w:num w:numId="36">
    <w:abstractNumId w:val="15"/>
  </w:num>
  <w:num w:numId="37">
    <w:abstractNumId w:val="26"/>
  </w:num>
  <w:num w:numId="38">
    <w:abstractNumId w:val="1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1B"/>
    <w:rsid w:val="00000C82"/>
    <w:rsid w:val="00000C8D"/>
    <w:rsid w:val="00000E90"/>
    <w:rsid w:val="00000F4C"/>
    <w:rsid w:val="0000114B"/>
    <w:rsid w:val="00001A6F"/>
    <w:rsid w:val="00001DA5"/>
    <w:rsid w:val="0000200B"/>
    <w:rsid w:val="000020D1"/>
    <w:rsid w:val="00002536"/>
    <w:rsid w:val="0000282A"/>
    <w:rsid w:val="00003040"/>
    <w:rsid w:val="000030D7"/>
    <w:rsid w:val="00003BDD"/>
    <w:rsid w:val="00003CAF"/>
    <w:rsid w:val="00004642"/>
    <w:rsid w:val="00004C55"/>
    <w:rsid w:val="00004D28"/>
    <w:rsid w:val="0000501E"/>
    <w:rsid w:val="000057FE"/>
    <w:rsid w:val="0000646D"/>
    <w:rsid w:val="000066F6"/>
    <w:rsid w:val="000072F4"/>
    <w:rsid w:val="00010385"/>
    <w:rsid w:val="0001055D"/>
    <w:rsid w:val="000105AB"/>
    <w:rsid w:val="00011193"/>
    <w:rsid w:val="000114D6"/>
    <w:rsid w:val="00011811"/>
    <w:rsid w:val="000119B0"/>
    <w:rsid w:val="00012474"/>
    <w:rsid w:val="00012760"/>
    <w:rsid w:val="00013141"/>
    <w:rsid w:val="0001371A"/>
    <w:rsid w:val="000138CA"/>
    <w:rsid w:val="00013B97"/>
    <w:rsid w:val="000141DF"/>
    <w:rsid w:val="000167F1"/>
    <w:rsid w:val="00016B98"/>
    <w:rsid w:val="00016C22"/>
    <w:rsid w:val="00016EC5"/>
    <w:rsid w:val="00017BD0"/>
    <w:rsid w:val="00017EF1"/>
    <w:rsid w:val="00017F71"/>
    <w:rsid w:val="00020AFC"/>
    <w:rsid w:val="0002131E"/>
    <w:rsid w:val="000223FD"/>
    <w:rsid w:val="000228FF"/>
    <w:rsid w:val="00023598"/>
    <w:rsid w:val="00023947"/>
    <w:rsid w:val="00024E08"/>
    <w:rsid w:val="00025261"/>
    <w:rsid w:val="000255E4"/>
    <w:rsid w:val="00025639"/>
    <w:rsid w:val="0002572B"/>
    <w:rsid w:val="000263E1"/>
    <w:rsid w:val="00027281"/>
    <w:rsid w:val="00027535"/>
    <w:rsid w:val="00027581"/>
    <w:rsid w:val="000308E7"/>
    <w:rsid w:val="0003128F"/>
    <w:rsid w:val="00032516"/>
    <w:rsid w:val="00032BC1"/>
    <w:rsid w:val="000340EB"/>
    <w:rsid w:val="000343AA"/>
    <w:rsid w:val="0003515F"/>
    <w:rsid w:val="000352EA"/>
    <w:rsid w:val="000354A3"/>
    <w:rsid w:val="000357F3"/>
    <w:rsid w:val="00035D61"/>
    <w:rsid w:val="000369AA"/>
    <w:rsid w:val="0003740B"/>
    <w:rsid w:val="000401A4"/>
    <w:rsid w:val="00040729"/>
    <w:rsid w:val="0004077B"/>
    <w:rsid w:val="000415D4"/>
    <w:rsid w:val="00041E0F"/>
    <w:rsid w:val="000430D2"/>
    <w:rsid w:val="00043330"/>
    <w:rsid w:val="0004443A"/>
    <w:rsid w:val="00044BE6"/>
    <w:rsid w:val="000464B1"/>
    <w:rsid w:val="00046DD2"/>
    <w:rsid w:val="00046DE2"/>
    <w:rsid w:val="0004723F"/>
    <w:rsid w:val="00047464"/>
    <w:rsid w:val="00047F47"/>
    <w:rsid w:val="000512D8"/>
    <w:rsid w:val="00051C25"/>
    <w:rsid w:val="000527EA"/>
    <w:rsid w:val="00052EBE"/>
    <w:rsid w:val="0005326E"/>
    <w:rsid w:val="00053C93"/>
    <w:rsid w:val="00053DFB"/>
    <w:rsid w:val="00054C27"/>
    <w:rsid w:val="00054C5E"/>
    <w:rsid w:val="00057665"/>
    <w:rsid w:val="000578C1"/>
    <w:rsid w:val="00060549"/>
    <w:rsid w:val="00060661"/>
    <w:rsid w:val="0006094D"/>
    <w:rsid w:val="00060F3B"/>
    <w:rsid w:val="000617BE"/>
    <w:rsid w:val="0006197A"/>
    <w:rsid w:val="0006198F"/>
    <w:rsid w:val="00061C69"/>
    <w:rsid w:val="00061D1A"/>
    <w:rsid w:val="00061D27"/>
    <w:rsid w:val="00061FCB"/>
    <w:rsid w:val="00063588"/>
    <w:rsid w:val="00064A22"/>
    <w:rsid w:val="00064C50"/>
    <w:rsid w:val="000657E9"/>
    <w:rsid w:val="000657F9"/>
    <w:rsid w:val="000659D4"/>
    <w:rsid w:val="0006726D"/>
    <w:rsid w:val="00067404"/>
    <w:rsid w:val="00067431"/>
    <w:rsid w:val="00067596"/>
    <w:rsid w:val="0007072D"/>
    <w:rsid w:val="000727F7"/>
    <w:rsid w:val="00074438"/>
    <w:rsid w:val="00074DE9"/>
    <w:rsid w:val="00074FCA"/>
    <w:rsid w:val="00075196"/>
    <w:rsid w:val="000758DD"/>
    <w:rsid w:val="00076B4F"/>
    <w:rsid w:val="00076EC6"/>
    <w:rsid w:val="00077177"/>
    <w:rsid w:val="00077731"/>
    <w:rsid w:val="00077BFA"/>
    <w:rsid w:val="0008039C"/>
    <w:rsid w:val="0008058E"/>
    <w:rsid w:val="00080680"/>
    <w:rsid w:val="0008107D"/>
    <w:rsid w:val="000820C5"/>
    <w:rsid w:val="00082E5A"/>
    <w:rsid w:val="00083AA2"/>
    <w:rsid w:val="0008415B"/>
    <w:rsid w:val="0008517F"/>
    <w:rsid w:val="0008608F"/>
    <w:rsid w:val="00086B1E"/>
    <w:rsid w:val="00086F08"/>
    <w:rsid w:val="00087614"/>
    <w:rsid w:val="00087923"/>
    <w:rsid w:val="00090D96"/>
    <w:rsid w:val="0009197B"/>
    <w:rsid w:val="00091D4A"/>
    <w:rsid w:val="00092065"/>
    <w:rsid w:val="00092E57"/>
    <w:rsid w:val="00093003"/>
    <w:rsid w:val="0009333C"/>
    <w:rsid w:val="000933BD"/>
    <w:rsid w:val="000941AB"/>
    <w:rsid w:val="000943AB"/>
    <w:rsid w:val="00094EAD"/>
    <w:rsid w:val="00094FAB"/>
    <w:rsid w:val="00095CE1"/>
    <w:rsid w:val="00096333"/>
    <w:rsid w:val="000A1D62"/>
    <w:rsid w:val="000A2C4C"/>
    <w:rsid w:val="000A3539"/>
    <w:rsid w:val="000A3635"/>
    <w:rsid w:val="000A4EB6"/>
    <w:rsid w:val="000A4FFF"/>
    <w:rsid w:val="000A655C"/>
    <w:rsid w:val="000A6A2C"/>
    <w:rsid w:val="000A6CD8"/>
    <w:rsid w:val="000A7B6C"/>
    <w:rsid w:val="000B0138"/>
    <w:rsid w:val="000B0FE7"/>
    <w:rsid w:val="000B1021"/>
    <w:rsid w:val="000B258F"/>
    <w:rsid w:val="000B2EB1"/>
    <w:rsid w:val="000B34A2"/>
    <w:rsid w:val="000B36DB"/>
    <w:rsid w:val="000B3AED"/>
    <w:rsid w:val="000B3D55"/>
    <w:rsid w:val="000B4012"/>
    <w:rsid w:val="000B4530"/>
    <w:rsid w:val="000B4792"/>
    <w:rsid w:val="000B5839"/>
    <w:rsid w:val="000B5A5E"/>
    <w:rsid w:val="000B5EC7"/>
    <w:rsid w:val="000B5FA0"/>
    <w:rsid w:val="000B6498"/>
    <w:rsid w:val="000B7CBD"/>
    <w:rsid w:val="000B7F05"/>
    <w:rsid w:val="000C0276"/>
    <w:rsid w:val="000C1DDD"/>
    <w:rsid w:val="000C23A1"/>
    <w:rsid w:val="000C277B"/>
    <w:rsid w:val="000C3400"/>
    <w:rsid w:val="000C3AC4"/>
    <w:rsid w:val="000C3D03"/>
    <w:rsid w:val="000C427F"/>
    <w:rsid w:val="000C449F"/>
    <w:rsid w:val="000C5382"/>
    <w:rsid w:val="000C5497"/>
    <w:rsid w:val="000C5885"/>
    <w:rsid w:val="000C5906"/>
    <w:rsid w:val="000C5A92"/>
    <w:rsid w:val="000C620E"/>
    <w:rsid w:val="000C6B75"/>
    <w:rsid w:val="000C6DFD"/>
    <w:rsid w:val="000C7251"/>
    <w:rsid w:val="000C72F8"/>
    <w:rsid w:val="000C7A8F"/>
    <w:rsid w:val="000C7CEE"/>
    <w:rsid w:val="000D0F98"/>
    <w:rsid w:val="000D1036"/>
    <w:rsid w:val="000D11E6"/>
    <w:rsid w:val="000D1540"/>
    <w:rsid w:val="000D2C9B"/>
    <w:rsid w:val="000D2FAD"/>
    <w:rsid w:val="000D3015"/>
    <w:rsid w:val="000D357C"/>
    <w:rsid w:val="000D42EC"/>
    <w:rsid w:val="000D48F2"/>
    <w:rsid w:val="000D4FC0"/>
    <w:rsid w:val="000D5004"/>
    <w:rsid w:val="000D5E0D"/>
    <w:rsid w:val="000D5F74"/>
    <w:rsid w:val="000D6128"/>
    <w:rsid w:val="000D6364"/>
    <w:rsid w:val="000D7A3C"/>
    <w:rsid w:val="000D7C47"/>
    <w:rsid w:val="000E0A1C"/>
    <w:rsid w:val="000E1309"/>
    <w:rsid w:val="000E1DB7"/>
    <w:rsid w:val="000E367A"/>
    <w:rsid w:val="000E3B31"/>
    <w:rsid w:val="000E3C02"/>
    <w:rsid w:val="000E3F57"/>
    <w:rsid w:val="000E430E"/>
    <w:rsid w:val="000E4684"/>
    <w:rsid w:val="000E4E4F"/>
    <w:rsid w:val="000E4F8A"/>
    <w:rsid w:val="000E5F13"/>
    <w:rsid w:val="000E60EF"/>
    <w:rsid w:val="000E652C"/>
    <w:rsid w:val="000E6751"/>
    <w:rsid w:val="000E6769"/>
    <w:rsid w:val="000E6797"/>
    <w:rsid w:val="000E7132"/>
    <w:rsid w:val="000E7733"/>
    <w:rsid w:val="000F01E9"/>
    <w:rsid w:val="000F0294"/>
    <w:rsid w:val="000F0AFD"/>
    <w:rsid w:val="000F0C9B"/>
    <w:rsid w:val="000F0CFD"/>
    <w:rsid w:val="000F184E"/>
    <w:rsid w:val="000F27D1"/>
    <w:rsid w:val="000F2AC3"/>
    <w:rsid w:val="000F4015"/>
    <w:rsid w:val="000F440C"/>
    <w:rsid w:val="000F4415"/>
    <w:rsid w:val="000F46A7"/>
    <w:rsid w:val="000F4CAC"/>
    <w:rsid w:val="000F568F"/>
    <w:rsid w:val="000F70C4"/>
    <w:rsid w:val="0010104D"/>
    <w:rsid w:val="00101805"/>
    <w:rsid w:val="00104406"/>
    <w:rsid w:val="001047BC"/>
    <w:rsid w:val="00104E33"/>
    <w:rsid w:val="00104F40"/>
    <w:rsid w:val="00105A94"/>
    <w:rsid w:val="00106226"/>
    <w:rsid w:val="00107AF3"/>
    <w:rsid w:val="00110062"/>
    <w:rsid w:val="00110701"/>
    <w:rsid w:val="0011114C"/>
    <w:rsid w:val="001115F3"/>
    <w:rsid w:val="001122D8"/>
    <w:rsid w:val="001124C9"/>
    <w:rsid w:val="001127AB"/>
    <w:rsid w:val="00112924"/>
    <w:rsid w:val="001129B4"/>
    <w:rsid w:val="001129D5"/>
    <w:rsid w:val="00112DDE"/>
    <w:rsid w:val="00114098"/>
    <w:rsid w:val="00115048"/>
    <w:rsid w:val="001153F6"/>
    <w:rsid w:val="001159FA"/>
    <w:rsid w:val="00116A23"/>
    <w:rsid w:val="00116D9D"/>
    <w:rsid w:val="00116F1E"/>
    <w:rsid w:val="00120253"/>
    <w:rsid w:val="00120C9F"/>
    <w:rsid w:val="00121188"/>
    <w:rsid w:val="0012152C"/>
    <w:rsid w:val="0012155C"/>
    <w:rsid w:val="00121611"/>
    <w:rsid w:val="00121C62"/>
    <w:rsid w:val="0012340B"/>
    <w:rsid w:val="00123559"/>
    <w:rsid w:val="00124BE3"/>
    <w:rsid w:val="00124FC4"/>
    <w:rsid w:val="00125297"/>
    <w:rsid w:val="00125671"/>
    <w:rsid w:val="0012595C"/>
    <w:rsid w:val="00126143"/>
    <w:rsid w:val="001264AE"/>
    <w:rsid w:val="00126512"/>
    <w:rsid w:val="00127538"/>
    <w:rsid w:val="00127776"/>
    <w:rsid w:val="001304B6"/>
    <w:rsid w:val="001305C2"/>
    <w:rsid w:val="00130C4A"/>
    <w:rsid w:val="00130E1D"/>
    <w:rsid w:val="001312F3"/>
    <w:rsid w:val="00131778"/>
    <w:rsid w:val="00133136"/>
    <w:rsid w:val="00133413"/>
    <w:rsid w:val="00133CF0"/>
    <w:rsid w:val="00133FBF"/>
    <w:rsid w:val="001340E1"/>
    <w:rsid w:val="00134102"/>
    <w:rsid w:val="00134132"/>
    <w:rsid w:val="00134739"/>
    <w:rsid w:val="00135051"/>
    <w:rsid w:val="00135181"/>
    <w:rsid w:val="00135C82"/>
    <w:rsid w:val="0013635D"/>
    <w:rsid w:val="001367F8"/>
    <w:rsid w:val="00136A15"/>
    <w:rsid w:val="00136FCB"/>
    <w:rsid w:val="00137C13"/>
    <w:rsid w:val="00137F70"/>
    <w:rsid w:val="00140325"/>
    <w:rsid w:val="0014080F"/>
    <w:rsid w:val="00140B4E"/>
    <w:rsid w:val="00140F98"/>
    <w:rsid w:val="00141E01"/>
    <w:rsid w:val="001422D1"/>
    <w:rsid w:val="0014235A"/>
    <w:rsid w:val="001426D8"/>
    <w:rsid w:val="00142786"/>
    <w:rsid w:val="001429D1"/>
    <w:rsid w:val="00143D5A"/>
    <w:rsid w:val="00144A33"/>
    <w:rsid w:val="00144BE7"/>
    <w:rsid w:val="00144D6E"/>
    <w:rsid w:val="001459C1"/>
    <w:rsid w:val="00145F22"/>
    <w:rsid w:val="001465FA"/>
    <w:rsid w:val="00146902"/>
    <w:rsid w:val="00150346"/>
    <w:rsid w:val="001508F7"/>
    <w:rsid w:val="001509E0"/>
    <w:rsid w:val="00151413"/>
    <w:rsid w:val="001515F8"/>
    <w:rsid w:val="0015195A"/>
    <w:rsid w:val="00152421"/>
    <w:rsid w:val="00152A85"/>
    <w:rsid w:val="001531D3"/>
    <w:rsid w:val="00153B23"/>
    <w:rsid w:val="001541DD"/>
    <w:rsid w:val="00154466"/>
    <w:rsid w:val="00154B98"/>
    <w:rsid w:val="001550B5"/>
    <w:rsid w:val="0015520E"/>
    <w:rsid w:val="001552B9"/>
    <w:rsid w:val="001561D2"/>
    <w:rsid w:val="001563FA"/>
    <w:rsid w:val="0015664C"/>
    <w:rsid w:val="00156890"/>
    <w:rsid w:val="00156E7B"/>
    <w:rsid w:val="00156F3C"/>
    <w:rsid w:val="00157719"/>
    <w:rsid w:val="001577DF"/>
    <w:rsid w:val="00157A83"/>
    <w:rsid w:val="00157B80"/>
    <w:rsid w:val="00157ED5"/>
    <w:rsid w:val="00160CAC"/>
    <w:rsid w:val="001625EE"/>
    <w:rsid w:val="00162F0A"/>
    <w:rsid w:val="001632BB"/>
    <w:rsid w:val="00163E15"/>
    <w:rsid w:val="001640E2"/>
    <w:rsid w:val="00164740"/>
    <w:rsid w:val="001647EB"/>
    <w:rsid w:val="00167425"/>
    <w:rsid w:val="001705C0"/>
    <w:rsid w:val="00170BE3"/>
    <w:rsid w:val="00170C43"/>
    <w:rsid w:val="00170D22"/>
    <w:rsid w:val="00171588"/>
    <w:rsid w:val="00172520"/>
    <w:rsid w:val="001730D9"/>
    <w:rsid w:val="0017352C"/>
    <w:rsid w:val="00174C4F"/>
    <w:rsid w:val="00174E54"/>
    <w:rsid w:val="0017547C"/>
    <w:rsid w:val="0017555A"/>
    <w:rsid w:val="00175694"/>
    <w:rsid w:val="00175DAF"/>
    <w:rsid w:val="00175E49"/>
    <w:rsid w:val="001764EF"/>
    <w:rsid w:val="001766D1"/>
    <w:rsid w:val="00177D66"/>
    <w:rsid w:val="00177FBF"/>
    <w:rsid w:val="0018004D"/>
    <w:rsid w:val="00180CD3"/>
    <w:rsid w:val="00180FD2"/>
    <w:rsid w:val="0018144C"/>
    <w:rsid w:val="001828C7"/>
    <w:rsid w:val="00182E22"/>
    <w:rsid w:val="001834E3"/>
    <w:rsid w:val="00184E37"/>
    <w:rsid w:val="00185009"/>
    <w:rsid w:val="001850F8"/>
    <w:rsid w:val="0018583E"/>
    <w:rsid w:val="00186C96"/>
    <w:rsid w:val="001870AA"/>
    <w:rsid w:val="001872D6"/>
    <w:rsid w:val="0018748D"/>
    <w:rsid w:val="001878E4"/>
    <w:rsid w:val="00187F19"/>
    <w:rsid w:val="00191B34"/>
    <w:rsid w:val="0019229C"/>
    <w:rsid w:val="0019269A"/>
    <w:rsid w:val="00192BE0"/>
    <w:rsid w:val="00193171"/>
    <w:rsid w:val="001931D9"/>
    <w:rsid w:val="00194F00"/>
    <w:rsid w:val="001950F1"/>
    <w:rsid w:val="00195CD4"/>
    <w:rsid w:val="001971E4"/>
    <w:rsid w:val="001973BE"/>
    <w:rsid w:val="001A1CBD"/>
    <w:rsid w:val="001A1E09"/>
    <w:rsid w:val="001A205B"/>
    <w:rsid w:val="001A2A9C"/>
    <w:rsid w:val="001A2DCD"/>
    <w:rsid w:val="001A3445"/>
    <w:rsid w:val="001A3E41"/>
    <w:rsid w:val="001A3EB1"/>
    <w:rsid w:val="001A4464"/>
    <w:rsid w:val="001A4600"/>
    <w:rsid w:val="001A6081"/>
    <w:rsid w:val="001A694C"/>
    <w:rsid w:val="001B07D7"/>
    <w:rsid w:val="001B0B8E"/>
    <w:rsid w:val="001B0FF7"/>
    <w:rsid w:val="001B1753"/>
    <w:rsid w:val="001B283E"/>
    <w:rsid w:val="001B2DBE"/>
    <w:rsid w:val="001B3426"/>
    <w:rsid w:val="001B35DD"/>
    <w:rsid w:val="001B35E7"/>
    <w:rsid w:val="001B3613"/>
    <w:rsid w:val="001B429D"/>
    <w:rsid w:val="001B5304"/>
    <w:rsid w:val="001B5372"/>
    <w:rsid w:val="001B74B0"/>
    <w:rsid w:val="001B7E4D"/>
    <w:rsid w:val="001C0D68"/>
    <w:rsid w:val="001C17B0"/>
    <w:rsid w:val="001C1B1A"/>
    <w:rsid w:val="001C20DD"/>
    <w:rsid w:val="001C22F1"/>
    <w:rsid w:val="001C3B33"/>
    <w:rsid w:val="001C4431"/>
    <w:rsid w:val="001C4567"/>
    <w:rsid w:val="001C5041"/>
    <w:rsid w:val="001C50A1"/>
    <w:rsid w:val="001C67BE"/>
    <w:rsid w:val="001C67E4"/>
    <w:rsid w:val="001D004B"/>
    <w:rsid w:val="001D012F"/>
    <w:rsid w:val="001D016F"/>
    <w:rsid w:val="001D0395"/>
    <w:rsid w:val="001D0867"/>
    <w:rsid w:val="001D0991"/>
    <w:rsid w:val="001D126E"/>
    <w:rsid w:val="001D169F"/>
    <w:rsid w:val="001D2417"/>
    <w:rsid w:val="001D2CB5"/>
    <w:rsid w:val="001D2E38"/>
    <w:rsid w:val="001D3197"/>
    <w:rsid w:val="001D3538"/>
    <w:rsid w:val="001D37E0"/>
    <w:rsid w:val="001D4271"/>
    <w:rsid w:val="001D457B"/>
    <w:rsid w:val="001D4974"/>
    <w:rsid w:val="001D4F92"/>
    <w:rsid w:val="001D5523"/>
    <w:rsid w:val="001D5A4A"/>
    <w:rsid w:val="001D6A50"/>
    <w:rsid w:val="001D6FE5"/>
    <w:rsid w:val="001D7559"/>
    <w:rsid w:val="001D7D39"/>
    <w:rsid w:val="001E1B05"/>
    <w:rsid w:val="001E1D3F"/>
    <w:rsid w:val="001E2275"/>
    <w:rsid w:val="001E3600"/>
    <w:rsid w:val="001E5022"/>
    <w:rsid w:val="001E5DC9"/>
    <w:rsid w:val="001E61BB"/>
    <w:rsid w:val="001E6985"/>
    <w:rsid w:val="001E6AA8"/>
    <w:rsid w:val="001E71CC"/>
    <w:rsid w:val="001E7322"/>
    <w:rsid w:val="001E798A"/>
    <w:rsid w:val="001E7C24"/>
    <w:rsid w:val="001E7F1F"/>
    <w:rsid w:val="001E7FC1"/>
    <w:rsid w:val="001E7FE7"/>
    <w:rsid w:val="001F1028"/>
    <w:rsid w:val="001F145E"/>
    <w:rsid w:val="001F1705"/>
    <w:rsid w:val="001F1DF4"/>
    <w:rsid w:val="001F1ECA"/>
    <w:rsid w:val="001F2276"/>
    <w:rsid w:val="001F2AE6"/>
    <w:rsid w:val="001F3DAB"/>
    <w:rsid w:val="001F42BC"/>
    <w:rsid w:val="001F43CF"/>
    <w:rsid w:val="001F43DD"/>
    <w:rsid w:val="001F4DD4"/>
    <w:rsid w:val="001F5EAD"/>
    <w:rsid w:val="001F779F"/>
    <w:rsid w:val="001F7BD7"/>
    <w:rsid w:val="0020032D"/>
    <w:rsid w:val="0020066F"/>
    <w:rsid w:val="002009D9"/>
    <w:rsid w:val="00200CD1"/>
    <w:rsid w:val="002024EC"/>
    <w:rsid w:val="00202E0E"/>
    <w:rsid w:val="00204D97"/>
    <w:rsid w:val="00204DE8"/>
    <w:rsid w:val="00204F0B"/>
    <w:rsid w:val="00206B23"/>
    <w:rsid w:val="00206FAA"/>
    <w:rsid w:val="00207733"/>
    <w:rsid w:val="00210573"/>
    <w:rsid w:val="00210E47"/>
    <w:rsid w:val="002114E1"/>
    <w:rsid w:val="00212E95"/>
    <w:rsid w:val="00213526"/>
    <w:rsid w:val="002137C3"/>
    <w:rsid w:val="00214C4F"/>
    <w:rsid w:val="00214DAB"/>
    <w:rsid w:val="00215155"/>
    <w:rsid w:val="00215A5E"/>
    <w:rsid w:val="00216DEA"/>
    <w:rsid w:val="00216E93"/>
    <w:rsid w:val="00216F1F"/>
    <w:rsid w:val="0021740D"/>
    <w:rsid w:val="002175D5"/>
    <w:rsid w:val="002210F7"/>
    <w:rsid w:val="002214D0"/>
    <w:rsid w:val="00222FDE"/>
    <w:rsid w:val="00223013"/>
    <w:rsid w:val="00223BB7"/>
    <w:rsid w:val="00224911"/>
    <w:rsid w:val="00225115"/>
    <w:rsid w:val="00225955"/>
    <w:rsid w:val="0022651A"/>
    <w:rsid w:val="002270E8"/>
    <w:rsid w:val="002271AC"/>
    <w:rsid w:val="00227511"/>
    <w:rsid w:val="00227783"/>
    <w:rsid w:val="002279A1"/>
    <w:rsid w:val="00230A0E"/>
    <w:rsid w:val="00231228"/>
    <w:rsid w:val="00232868"/>
    <w:rsid w:val="00234252"/>
    <w:rsid w:val="00234458"/>
    <w:rsid w:val="00234531"/>
    <w:rsid w:val="0023528C"/>
    <w:rsid w:val="002359E5"/>
    <w:rsid w:val="00235B7A"/>
    <w:rsid w:val="00235C49"/>
    <w:rsid w:val="00236710"/>
    <w:rsid w:val="002374BC"/>
    <w:rsid w:val="002379A1"/>
    <w:rsid w:val="00237C5B"/>
    <w:rsid w:val="00237C94"/>
    <w:rsid w:val="00240C27"/>
    <w:rsid w:val="00241209"/>
    <w:rsid w:val="002412C6"/>
    <w:rsid w:val="00241B51"/>
    <w:rsid w:val="00241C91"/>
    <w:rsid w:val="00242818"/>
    <w:rsid w:val="00242A71"/>
    <w:rsid w:val="00242B92"/>
    <w:rsid w:val="00242BCC"/>
    <w:rsid w:val="00242C69"/>
    <w:rsid w:val="00242CE7"/>
    <w:rsid w:val="00243DAD"/>
    <w:rsid w:val="002449C3"/>
    <w:rsid w:val="00244AB7"/>
    <w:rsid w:val="0024698D"/>
    <w:rsid w:val="00250713"/>
    <w:rsid w:val="00250F8C"/>
    <w:rsid w:val="00251567"/>
    <w:rsid w:val="00251B69"/>
    <w:rsid w:val="00252DDE"/>
    <w:rsid w:val="0025359A"/>
    <w:rsid w:val="00253981"/>
    <w:rsid w:val="00253A15"/>
    <w:rsid w:val="00254410"/>
    <w:rsid w:val="00254DFD"/>
    <w:rsid w:val="00255052"/>
    <w:rsid w:val="002555DD"/>
    <w:rsid w:val="0025580D"/>
    <w:rsid w:val="00256D66"/>
    <w:rsid w:val="00257E21"/>
    <w:rsid w:val="00261615"/>
    <w:rsid w:val="002618EE"/>
    <w:rsid w:val="00261CA3"/>
    <w:rsid w:val="002627DE"/>
    <w:rsid w:val="00262B9A"/>
    <w:rsid w:val="00262C47"/>
    <w:rsid w:val="00263615"/>
    <w:rsid w:val="0026402F"/>
    <w:rsid w:val="00265774"/>
    <w:rsid w:val="00265AC7"/>
    <w:rsid w:val="00266044"/>
    <w:rsid w:val="00266B9F"/>
    <w:rsid w:val="00267171"/>
    <w:rsid w:val="002678D6"/>
    <w:rsid w:val="00270005"/>
    <w:rsid w:val="002703CA"/>
    <w:rsid w:val="002706EC"/>
    <w:rsid w:val="002724B6"/>
    <w:rsid w:val="00272BE8"/>
    <w:rsid w:val="00272D50"/>
    <w:rsid w:val="0027301A"/>
    <w:rsid w:val="0027354C"/>
    <w:rsid w:val="00274CDA"/>
    <w:rsid w:val="00274D9F"/>
    <w:rsid w:val="00274FD5"/>
    <w:rsid w:val="00276A7D"/>
    <w:rsid w:val="00277ADF"/>
    <w:rsid w:val="00280F38"/>
    <w:rsid w:val="00281086"/>
    <w:rsid w:val="0028171E"/>
    <w:rsid w:val="00281952"/>
    <w:rsid w:val="00281C3F"/>
    <w:rsid w:val="00282023"/>
    <w:rsid w:val="00283C9B"/>
    <w:rsid w:val="00284C82"/>
    <w:rsid w:val="00285033"/>
    <w:rsid w:val="00285858"/>
    <w:rsid w:val="0028590B"/>
    <w:rsid w:val="002862D9"/>
    <w:rsid w:val="002864C7"/>
    <w:rsid w:val="002864ED"/>
    <w:rsid w:val="00290115"/>
    <w:rsid w:val="00290718"/>
    <w:rsid w:val="002908E9"/>
    <w:rsid w:val="00290F2E"/>
    <w:rsid w:val="002912F8"/>
    <w:rsid w:val="002924EF"/>
    <w:rsid w:val="00292E2B"/>
    <w:rsid w:val="00294242"/>
    <w:rsid w:val="002943E5"/>
    <w:rsid w:val="002948E6"/>
    <w:rsid w:val="00295236"/>
    <w:rsid w:val="00296ECE"/>
    <w:rsid w:val="002973B4"/>
    <w:rsid w:val="00297A32"/>
    <w:rsid w:val="002A0277"/>
    <w:rsid w:val="002A15A2"/>
    <w:rsid w:val="002A1A4F"/>
    <w:rsid w:val="002A1BB7"/>
    <w:rsid w:val="002A274B"/>
    <w:rsid w:val="002A2AC2"/>
    <w:rsid w:val="002A3479"/>
    <w:rsid w:val="002A3524"/>
    <w:rsid w:val="002A376D"/>
    <w:rsid w:val="002A380D"/>
    <w:rsid w:val="002A3BC2"/>
    <w:rsid w:val="002A3E1D"/>
    <w:rsid w:val="002A42BB"/>
    <w:rsid w:val="002A469C"/>
    <w:rsid w:val="002A4DD6"/>
    <w:rsid w:val="002A53FD"/>
    <w:rsid w:val="002A5413"/>
    <w:rsid w:val="002A56A5"/>
    <w:rsid w:val="002A5AE3"/>
    <w:rsid w:val="002A5CC9"/>
    <w:rsid w:val="002A5D44"/>
    <w:rsid w:val="002A64FC"/>
    <w:rsid w:val="002A67A4"/>
    <w:rsid w:val="002A6ACA"/>
    <w:rsid w:val="002B0B38"/>
    <w:rsid w:val="002B0EB3"/>
    <w:rsid w:val="002B0EC6"/>
    <w:rsid w:val="002B1163"/>
    <w:rsid w:val="002B1820"/>
    <w:rsid w:val="002B2633"/>
    <w:rsid w:val="002B33D7"/>
    <w:rsid w:val="002B3789"/>
    <w:rsid w:val="002B3FA3"/>
    <w:rsid w:val="002B400F"/>
    <w:rsid w:val="002B413E"/>
    <w:rsid w:val="002B45CA"/>
    <w:rsid w:val="002B4636"/>
    <w:rsid w:val="002B4AE2"/>
    <w:rsid w:val="002B5619"/>
    <w:rsid w:val="002B582F"/>
    <w:rsid w:val="002B5942"/>
    <w:rsid w:val="002B5FE8"/>
    <w:rsid w:val="002B671B"/>
    <w:rsid w:val="002B6806"/>
    <w:rsid w:val="002B6922"/>
    <w:rsid w:val="002B70C2"/>
    <w:rsid w:val="002C1F64"/>
    <w:rsid w:val="002C39BB"/>
    <w:rsid w:val="002C4003"/>
    <w:rsid w:val="002C4A87"/>
    <w:rsid w:val="002C4BFB"/>
    <w:rsid w:val="002C5ABE"/>
    <w:rsid w:val="002C5BE2"/>
    <w:rsid w:val="002C5D18"/>
    <w:rsid w:val="002C61B0"/>
    <w:rsid w:val="002C6AE8"/>
    <w:rsid w:val="002C6F53"/>
    <w:rsid w:val="002C73F4"/>
    <w:rsid w:val="002C74C0"/>
    <w:rsid w:val="002C7D5A"/>
    <w:rsid w:val="002D0291"/>
    <w:rsid w:val="002D08BB"/>
    <w:rsid w:val="002D0ADF"/>
    <w:rsid w:val="002D0C09"/>
    <w:rsid w:val="002D1337"/>
    <w:rsid w:val="002D155F"/>
    <w:rsid w:val="002D241C"/>
    <w:rsid w:val="002D24AE"/>
    <w:rsid w:val="002D2534"/>
    <w:rsid w:val="002D2F0B"/>
    <w:rsid w:val="002D361C"/>
    <w:rsid w:val="002D3811"/>
    <w:rsid w:val="002D3828"/>
    <w:rsid w:val="002D4CB2"/>
    <w:rsid w:val="002D4CF7"/>
    <w:rsid w:val="002D5F8F"/>
    <w:rsid w:val="002D6087"/>
    <w:rsid w:val="002D6481"/>
    <w:rsid w:val="002D6C32"/>
    <w:rsid w:val="002D7035"/>
    <w:rsid w:val="002D73E6"/>
    <w:rsid w:val="002D794A"/>
    <w:rsid w:val="002D7D96"/>
    <w:rsid w:val="002E03B5"/>
    <w:rsid w:val="002E0BC7"/>
    <w:rsid w:val="002E109E"/>
    <w:rsid w:val="002E10DE"/>
    <w:rsid w:val="002E1279"/>
    <w:rsid w:val="002E46F5"/>
    <w:rsid w:val="002E49E9"/>
    <w:rsid w:val="002E4A51"/>
    <w:rsid w:val="002E4BB9"/>
    <w:rsid w:val="002E5995"/>
    <w:rsid w:val="002E5BE5"/>
    <w:rsid w:val="002E60E7"/>
    <w:rsid w:val="002E6C3F"/>
    <w:rsid w:val="002E6E80"/>
    <w:rsid w:val="002E779B"/>
    <w:rsid w:val="002E788A"/>
    <w:rsid w:val="002E7BF2"/>
    <w:rsid w:val="002F06ED"/>
    <w:rsid w:val="002F0722"/>
    <w:rsid w:val="002F106D"/>
    <w:rsid w:val="002F1F99"/>
    <w:rsid w:val="002F2066"/>
    <w:rsid w:val="002F2909"/>
    <w:rsid w:val="002F2BA0"/>
    <w:rsid w:val="002F363C"/>
    <w:rsid w:val="002F409F"/>
    <w:rsid w:val="002F4A9A"/>
    <w:rsid w:val="002F588F"/>
    <w:rsid w:val="002F6526"/>
    <w:rsid w:val="003005AF"/>
    <w:rsid w:val="00300A36"/>
    <w:rsid w:val="00301106"/>
    <w:rsid w:val="00301737"/>
    <w:rsid w:val="00302173"/>
    <w:rsid w:val="00302486"/>
    <w:rsid w:val="003024E4"/>
    <w:rsid w:val="0030319A"/>
    <w:rsid w:val="0030359E"/>
    <w:rsid w:val="0030365C"/>
    <w:rsid w:val="00303C0A"/>
    <w:rsid w:val="00304328"/>
    <w:rsid w:val="003048D4"/>
    <w:rsid w:val="00304CAB"/>
    <w:rsid w:val="003055FF"/>
    <w:rsid w:val="0030586F"/>
    <w:rsid w:val="0030587A"/>
    <w:rsid w:val="0030588F"/>
    <w:rsid w:val="00305B20"/>
    <w:rsid w:val="00306412"/>
    <w:rsid w:val="00306494"/>
    <w:rsid w:val="003069B3"/>
    <w:rsid w:val="003074A7"/>
    <w:rsid w:val="00307E62"/>
    <w:rsid w:val="00307FF3"/>
    <w:rsid w:val="003102DF"/>
    <w:rsid w:val="00311602"/>
    <w:rsid w:val="003125E0"/>
    <w:rsid w:val="0031297B"/>
    <w:rsid w:val="00312BAC"/>
    <w:rsid w:val="00312FAD"/>
    <w:rsid w:val="00313513"/>
    <w:rsid w:val="003138D8"/>
    <w:rsid w:val="0031430D"/>
    <w:rsid w:val="00314EAF"/>
    <w:rsid w:val="00315D79"/>
    <w:rsid w:val="00315F54"/>
    <w:rsid w:val="003167DB"/>
    <w:rsid w:val="00316FBB"/>
    <w:rsid w:val="0031732C"/>
    <w:rsid w:val="0031769C"/>
    <w:rsid w:val="0031779C"/>
    <w:rsid w:val="00320F5D"/>
    <w:rsid w:val="003214A5"/>
    <w:rsid w:val="003218D2"/>
    <w:rsid w:val="003226EE"/>
    <w:rsid w:val="003233E4"/>
    <w:rsid w:val="003233FA"/>
    <w:rsid w:val="00324A98"/>
    <w:rsid w:val="003257B0"/>
    <w:rsid w:val="00325A1D"/>
    <w:rsid w:val="003261D7"/>
    <w:rsid w:val="003262D5"/>
    <w:rsid w:val="0032633F"/>
    <w:rsid w:val="00327F82"/>
    <w:rsid w:val="003302A8"/>
    <w:rsid w:val="00331012"/>
    <w:rsid w:val="003313CC"/>
    <w:rsid w:val="00331413"/>
    <w:rsid w:val="00331DF7"/>
    <w:rsid w:val="003326E9"/>
    <w:rsid w:val="00332A9F"/>
    <w:rsid w:val="00332B5A"/>
    <w:rsid w:val="003330F2"/>
    <w:rsid w:val="00333BD2"/>
    <w:rsid w:val="00333C71"/>
    <w:rsid w:val="00333F72"/>
    <w:rsid w:val="00334247"/>
    <w:rsid w:val="003342C3"/>
    <w:rsid w:val="003348A5"/>
    <w:rsid w:val="00334A05"/>
    <w:rsid w:val="00334ADF"/>
    <w:rsid w:val="00335828"/>
    <w:rsid w:val="00335A36"/>
    <w:rsid w:val="003363E7"/>
    <w:rsid w:val="00337487"/>
    <w:rsid w:val="00337A84"/>
    <w:rsid w:val="00337FF4"/>
    <w:rsid w:val="00340CAA"/>
    <w:rsid w:val="00340DBA"/>
    <w:rsid w:val="00340EF9"/>
    <w:rsid w:val="00341395"/>
    <w:rsid w:val="003414AC"/>
    <w:rsid w:val="00341A1D"/>
    <w:rsid w:val="00342763"/>
    <w:rsid w:val="003427DE"/>
    <w:rsid w:val="00342F5A"/>
    <w:rsid w:val="00342FE0"/>
    <w:rsid w:val="00344D72"/>
    <w:rsid w:val="0034545C"/>
    <w:rsid w:val="0034590C"/>
    <w:rsid w:val="00345C62"/>
    <w:rsid w:val="00346457"/>
    <w:rsid w:val="00347253"/>
    <w:rsid w:val="003473A0"/>
    <w:rsid w:val="003477AE"/>
    <w:rsid w:val="00347B39"/>
    <w:rsid w:val="00347CD3"/>
    <w:rsid w:val="00347E37"/>
    <w:rsid w:val="0035013F"/>
    <w:rsid w:val="00350EC1"/>
    <w:rsid w:val="00351DAA"/>
    <w:rsid w:val="0035230E"/>
    <w:rsid w:val="0035260B"/>
    <w:rsid w:val="0035260D"/>
    <w:rsid w:val="00352910"/>
    <w:rsid w:val="003532CB"/>
    <w:rsid w:val="0035590A"/>
    <w:rsid w:val="00356324"/>
    <w:rsid w:val="00356C00"/>
    <w:rsid w:val="00356D76"/>
    <w:rsid w:val="00357537"/>
    <w:rsid w:val="0036025B"/>
    <w:rsid w:val="00360856"/>
    <w:rsid w:val="00361EFD"/>
    <w:rsid w:val="00361F0F"/>
    <w:rsid w:val="00361F47"/>
    <w:rsid w:val="003620D9"/>
    <w:rsid w:val="00362797"/>
    <w:rsid w:val="0036316A"/>
    <w:rsid w:val="003643A4"/>
    <w:rsid w:val="003647F3"/>
    <w:rsid w:val="00364AA9"/>
    <w:rsid w:val="00365C3D"/>
    <w:rsid w:val="00365C65"/>
    <w:rsid w:val="00366975"/>
    <w:rsid w:val="0036698E"/>
    <w:rsid w:val="00366DC9"/>
    <w:rsid w:val="00367E47"/>
    <w:rsid w:val="0037062C"/>
    <w:rsid w:val="003706CD"/>
    <w:rsid w:val="00372F17"/>
    <w:rsid w:val="00373138"/>
    <w:rsid w:val="003736AD"/>
    <w:rsid w:val="0037374E"/>
    <w:rsid w:val="00373F21"/>
    <w:rsid w:val="00373F25"/>
    <w:rsid w:val="00374192"/>
    <w:rsid w:val="003748C7"/>
    <w:rsid w:val="00374AC1"/>
    <w:rsid w:val="00374C90"/>
    <w:rsid w:val="00375248"/>
    <w:rsid w:val="0037726F"/>
    <w:rsid w:val="00377EFD"/>
    <w:rsid w:val="003809BB"/>
    <w:rsid w:val="00380D7F"/>
    <w:rsid w:val="00380F6E"/>
    <w:rsid w:val="00382124"/>
    <w:rsid w:val="00382400"/>
    <w:rsid w:val="00382810"/>
    <w:rsid w:val="00383E1F"/>
    <w:rsid w:val="0038438A"/>
    <w:rsid w:val="00384508"/>
    <w:rsid w:val="0038484D"/>
    <w:rsid w:val="00384EFD"/>
    <w:rsid w:val="00385455"/>
    <w:rsid w:val="00385F22"/>
    <w:rsid w:val="00385F42"/>
    <w:rsid w:val="0038629B"/>
    <w:rsid w:val="003874A3"/>
    <w:rsid w:val="00390D73"/>
    <w:rsid w:val="00390E16"/>
    <w:rsid w:val="00391294"/>
    <w:rsid w:val="00391C1D"/>
    <w:rsid w:val="00391F93"/>
    <w:rsid w:val="00393802"/>
    <w:rsid w:val="00394297"/>
    <w:rsid w:val="0039439A"/>
    <w:rsid w:val="00394F5F"/>
    <w:rsid w:val="0039520A"/>
    <w:rsid w:val="003952E8"/>
    <w:rsid w:val="003958F4"/>
    <w:rsid w:val="00395A09"/>
    <w:rsid w:val="00395AEC"/>
    <w:rsid w:val="003960AC"/>
    <w:rsid w:val="00396C90"/>
    <w:rsid w:val="00397702"/>
    <w:rsid w:val="00397B4F"/>
    <w:rsid w:val="00397B66"/>
    <w:rsid w:val="003A0129"/>
    <w:rsid w:val="003A09B0"/>
    <w:rsid w:val="003A09D5"/>
    <w:rsid w:val="003A0C7F"/>
    <w:rsid w:val="003A0E50"/>
    <w:rsid w:val="003A21BA"/>
    <w:rsid w:val="003A2819"/>
    <w:rsid w:val="003A2D5C"/>
    <w:rsid w:val="003A36D4"/>
    <w:rsid w:val="003A3AEA"/>
    <w:rsid w:val="003A45B2"/>
    <w:rsid w:val="003A54DA"/>
    <w:rsid w:val="003A57CB"/>
    <w:rsid w:val="003A5D39"/>
    <w:rsid w:val="003A629F"/>
    <w:rsid w:val="003A7A6D"/>
    <w:rsid w:val="003B031E"/>
    <w:rsid w:val="003B133A"/>
    <w:rsid w:val="003B1482"/>
    <w:rsid w:val="003B1913"/>
    <w:rsid w:val="003B1919"/>
    <w:rsid w:val="003B1DC9"/>
    <w:rsid w:val="003B2A8C"/>
    <w:rsid w:val="003B2BC1"/>
    <w:rsid w:val="003B393D"/>
    <w:rsid w:val="003B3942"/>
    <w:rsid w:val="003B3AD3"/>
    <w:rsid w:val="003B3D52"/>
    <w:rsid w:val="003B3EE6"/>
    <w:rsid w:val="003B4397"/>
    <w:rsid w:val="003B4434"/>
    <w:rsid w:val="003B4768"/>
    <w:rsid w:val="003B4977"/>
    <w:rsid w:val="003B4D53"/>
    <w:rsid w:val="003B5154"/>
    <w:rsid w:val="003B52A5"/>
    <w:rsid w:val="003B54F8"/>
    <w:rsid w:val="003B602C"/>
    <w:rsid w:val="003B6B01"/>
    <w:rsid w:val="003B6D49"/>
    <w:rsid w:val="003B72F3"/>
    <w:rsid w:val="003C0151"/>
    <w:rsid w:val="003C0D4B"/>
    <w:rsid w:val="003C1541"/>
    <w:rsid w:val="003C1D0F"/>
    <w:rsid w:val="003C1F74"/>
    <w:rsid w:val="003C22B4"/>
    <w:rsid w:val="003C25AF"/>
    <w:rsid w:val="003C28C3"/>
    <w:rsid w:val="003C2A14"/>
    <w:rsid w:val="003C33CE"/>
    <w:rsid w:val="003C3640"/>
    <w:rsid w:val="003C4FAD"/>
    <w:rsid w:val="003C6A9C"/>
    <w:rsid w:val="003C6EAA"/>
    <w:rsid w:val="003C7848"/>
    <w:rsid w:val="003D06E0"/>
    <w:rsid w:val="003D0BE2"/>
    <w:rsid w:val="003D0FC6"/>
    <w:rsid w:val="003D131D"/>
    <w:rsid w:val="003D16F4"/>
    <w:rsid w:val="003D266C"/>
    <w:rsid w:val="003D2A30"/>
    <w:rsid w:val="003D2CF9"/>
    <w:rsid w:val="003D3A40"/>
    <w:rsid w:val="003D41C1"/>
    <w:rsid w:val="003D4A9F"/>
    <w:rsid w:val="003D5163"/>
    <w:rsid w:val="003D5A3B"/>
    <w:rsid w:val="003D6F76"/>
    <w:rsid w:val="003D7EAA"/>
    <w:rsid w:val="003E0464"/>
    <w:rsid w:val="003E191E"/>
    <w:rsid w:val="003E61E9"/>
    <w:rsid w:val="003E67EE"/>
    <w:rsid w:val="003E68FC"/>
    <w:rsid w:val="003E6A0F"/>
    <w:rsid w:val="003E7372"/>
    <w:rsid w:val="003E74B5"/>
    <w:rsid w:val="003E760E"/>
    <w:rsid w:val="003F0530"/>
    <w:rsid w:val="003F058D"/>
    <w:rsid w:val="003F0E65"/>
    <w:rsid w:val="003F15BD"/>
    <w:rsid w:val="003F1969"/>
    <w:rsid w:val="003F2037"/>
    <w:rsid w:val="003F2250"/>
    <w:rsid w:val="003F238C"/>
    <w:rsid w:val="003F30DB"/>
    <w:rsid w:val="003F3A3C"/>
    <w:rsid w:val="003F3AC3"/>
    <w:rsid w:val="003F3D60"/>
    <w:rsid w:val="003F4633"/>
    <w:rsid w:val="003F4857"/>
    <w:rsid w:val="003F49A5"/>
    <w:rsid w:val="003F4FEA"/>
    <w:rsid w:val="003F5C42"/>
    <w:rsid w:val="003F5F35"/>
    <w:rsid w:val="003F67C2"/>
    <w:rsid w:val="003F6983"/>
    <w:rsid w:val="003F6B80"/>
    <w:rsid w:val="003F6ED1"/>
    <w:rsid w:val="003F778E"/>
    <w:rsid w:val="003F783A"/>
    <w:rsid w:val="003F7F77"/>
    <w:rsid w:val="004009E3"/>
    <w:rsid w:val="0040179E"/>
    <w:rsid w:val="004026AB"/>
    <w:rsid w:val="00402EC7"/>
    <w:rsid w:val="00403F9A"/>
    <w:rsid w:val="00404825"/>
    <w:rsid w:val="00404993"/>
    <w:rsid w:val="00404E2D"/>
    <w:rsid w:val="00405677"/>
    <w:rsid w:val="00405DEA"/>
    <w:rsid w:val="0040658E"/>
    <w:rsid w:val="00406CB5"/>
    <w:rsid w:val="00406DFD"/>
    <w:rsid w:val="004070DD"/>
    <w:rsid w:val="00407390"/>
    <w:rsid w:val="004074C4"/>
    <w:rsid w:val="00407832"/>
    <w:rsid w:val="00407A12"/>
    <w:rsid w:val="00407FC5"/>
    <w:rsid w:val="00410523"/>
    <w:rsid w:val="00411F8E"/>
    <w:rsid w:val="004126E9"/>
    <w:rsid w:val="00412731"/>
    <w:rsid w:val="00412B8D"/>
    <w:rsid w:val="0041395F"/>
    <w:rsid w:val="00413A11"/>
    <w:rsid w:val="004143C0"/>
    <w:rsid w:val="00414448"/>
    <w:rsid w:val="004144C8"/>
    <w:rsid w:val="00414D3E"/>
    <w:rsid w:val="00414D4F"/>
    <w:rsid w:val="00415443"/>
    <w:rsid w:val="004156BE"/>
    <w:rsid w:val="00416731"/>
    <w:rsid w:val="00417C14"/>
    <w:rsid w:val="00417D56"/>
    <w:rsid w:val="00417D99"/>
    <w:rsid w:val="00420248"/>
    <w:rsid w:val="00420BAC"/>
    <w:rsid w:val="00420C79"/>
    <w:rsid w:val="0042136F"/>
    <w:rsid w:val="004227C1"/>
    <w:rsid w:val="00422E7E"/>
    <w:rsid w:val="00423364"/>
    <w:rsid w:val="004235A9"/>
    <w:rsid w:val="0042377A"/>
    <w:rsid w:val="00423CF3"/>
    <w:rsid w:val="00424394"/>
    <w:rsid w:val="0042454A"/>
    <w:rsid w:val="00424746"/>
    <w:rsid w:val="004249C3"/>
    <w:rsid w:val="00424B0C"/>
    <w:rsid w:val="004270AB"/>
    <w:rsid w:val="00430F77"/>
    <w:rsid w:val="0043327C"/>
    <w:rsid w:val="0043364F"/>
    <w:rsid w:val="0043386A"/>
    <w:rsid w:val="00435263"/>
    <w:rsid w:val="00436DC5"/>
    <w:rsid w:val="00436E97"/>
    <w:rsid w:val="00436EF1"/>
    <w:rsid w:val="0043777B"/>
    <w:rsid w:val="00440D2E"/>
    <w:rsid w:val="00441752"/>
    <w:rsid w:val="00441816"/>
    <w:rsid w:val="00441BD7"/>
    <w:rsid w:val="004430DB"/>
    <w:rsid w:val="00443908"/>
    <w:rsid w:val="004445A8"/>
    <w:rsid w:val="0044484F"/>
    <w:rsid w:val="0044551D"/>
    <w:rsid w:val="00445ED1"/>
    <w:rsid w:val="00446405"/>
    <w:rsid w:val="004501A4"/>
    <w:rsid w:val="004502B1"/>
    <w:rsid w:val="00450578"/>
    <w:rsid w:val="004514BB"/>
    <w:rsid w:val="00451B37"/>
    <w:rsid w:val="00451B76"/>
    <w:rsid w:val="00452401"/>
    <w:rsid w:val="004530A3"/>
    <w:rsid w:val="00453130"/>
    <w:rsid w:val="00453338"/>
    <w:rsid w:val="00453AE2"/>
    <w:rsid w:val="00453CC8"/>
    <w:rsid w:val="00454626"/>
    <w:rsid w:val="004547BD"/>
    <w:rsid w:val="00454BBB"/>
    <w:rsid w:val="00454EA3"/>
    <w:rsid w:val="004552FF"/>
    <w:rsid w:val="00456C93"/>
    <w:rsid w:val="00456E9A"/>
    <w:rsid w:val="004574E1"/>
    <w:rsid w:val="00460540"/>
    <w:rsid w:val="00460AE5"/>
    <w:rsid w:val="00460C98"/>
    <w:rsid w:val="00460CDF"/>
    <w:rsid w:val="00462221"/>
    <w:rsid w:val="00462B59"/>
    <w:rsid w:val="0046390F"/>
    <w:rsid w:val="00464948"/>
    <w:rsid w:val="00466093"/>
    <w:rsid w:val="00466A6E"/>
    <w:rsid w:val="0047013D"/>
    <w:rsid w:val="00470A6E"/>
    <w:rsid w:val="00470D01"/>
    <w:rsid w:val="004714D8"/>
    <w:rsid w:val="00471689"/>
    <w:rsid w:val="004718AD"/>
    <w:rsid w:val="00471E97"/>
    <w:rsid w:val="00472860"/>
    <w:rsid w:val="004728CF"/>
    <w:rsid w:val="00472C3B"/>
    <w:rsid w:val="004730F8"/>
    <w:rsid w:val="00473C95"/>
    <w:rsid w:val="00474064"/>
    <w:rsid w:val="0047510B"/>
    <w:rsid w:val="00475243"/>
    <w:rsid w:val="00475CAB"/>
    <w:rsid w:val="00475F66"/>
    <w:rsid w:val="0047622E"/>
    <w:rsid w:val="00476471"/>
    <w:rsid w:val="004778EE"/>
    <w:rsid w:val="00477E24"/>
    <w:rsid w:val="004804A7"/>
    <w:rsid w:val="0048050B"/>
    <w:rsid w:val="004812D9"/>
    <w:rsid w:val="004817E9"/>
    <w:rsid w:val="00481FEB"/>
    <w:rsid w:val="00482467"/>
    <w:rsid w:val="00482EE8"/>
    <w:rsid w:val="004834E1"/>
    <w:rsid w:val="00483D8C"/>
    <w:rsid w:val="00483DE7"/>
    <w:rsid w:val="00484128"/>
    <w:rsid w:val="00485482"/>
    <w:rsid w:val="00485A87"/>
    <w:rsid w:val="00486517"/>
    <w:rsid w:val="004876F0"/>
    <w:rsid w:val="00487713"/>
    <w:rsid w:val="00487F14"/>
    <w:rsid w:val="004912B4"/>
    <w:rsid w:val="0049317C"/>
    <w:rsid w:val="00493ABB"/>
    <w:rsid w:val="0049488A"/>
    <w:rsid w:val="004950E4"/>
    <w:rsid w:val="004958E9"/>
    <w:rsid w:val="004959AE"/>
    <w:rsid w:val="00495EA8"/>
    <w:rsid w:val="00495FF3"/>
    <w:rsid w:val="00496410"/>
    <w:rsid w:val="00496488"/>
    <w:rsid w:val="00496FA3"/>
    <w:rsid w:val="00497599"/>
    <w:rsid w:val="004A0716"/>
    <w:rsid w:val="004A0D83"/>
    <w:rsid w:val="004A1356"/>
    <w:rsid w:val="004A1817"/>
    <w:rsid w:val="004A2222"/>
    <w:rsid w:val="004A2754"/>
    <w:rsid w:val="004A2E8A"/>
    <w:rsid w:val="004A305C"/>
    <w:rsid w:val="004A3E6C"/>
    <w:rsid w:val="004A3EF5"/>
    <w:rsid w:val="004A4F82"/>
    <w:rsid w:val="004A5A9A"/>
    <w:rsid w:val="004A5B5B"/>
    <w:rsid w:val="004A5C5D"/>
    <w:rsid w:val="004A5DDC"/>
    <w:rsid w:val="004A69D8"/>
    <w:rsid w:val="004A6C9F"/>
    <w:rsid w:val="004A78AF"/>
    <w:rsid w:val="004A7F4B"/>
    <w:rsid w:val="004B0AC9"/>
    <w:rsid w:val="004B1174"/>
    <w:rsid w:val="004B15F9"/>
    <w:rsid w:val="004B246D"/>
    <w:rsid w:val="004B2837"/>
    <w:rsid w:val="004B2965"/>
    <w:rsid w:val="004B2AEC"/>
    <w:rsid w:val="004B3415"/>
    <w:rsid w:val="004B4410"/>
    <w:rsid w:val="004B5DD9"/>
    <w:rsid w:val="004B5F2E"/>
    <w:rsid w:val="004B66AE"/>
    <w:rsid w:val="004B66CF"/>
    <w:rsid w:val="004B7682"/>
    <w:rsid w:val="004B7FC9"/>
    <w:rsid w:val="004C05EE"/>
    <w:rsid w:val="004C0FE8"/>
    <w:rsid w:val="004C1268"/>
    <w:rsid w:val="004C166B"/>
    <w:rsid w:val="004C3047"/>
    <w:rsid w:val="004C3180"/>
    <w:rsid w:val="004C380A"/>
    <w:rsid w:val="004C3940"/>
    <w:rsid w:val="004C45AB"/>
    <w:rsid w:val="004C471B"/>
    <w:rsid w:val="004C49D2"/>
    <w:rsid w:val="004C4FB1"/>
    <w:rsid w:val="004C59D8"/>
    <w:rsid w:val="004C5B07"/>
    <w:rsid w:val="004C5C74"/>
    <w:rsid w:val="004C798B"/>
    <w:rsid w:val="004C7B7F"/>
    <w:rsid w:val="004C7D05"/>
    <w:rsid w:val="004C7DEA"/>
    <w:rsid w:val="004D092D"/>
    <w:rsid w:val="004D0C0D"/>
    <w:rsid w:val="004D1111"/>
    <w:rsid w:val="004D1170"/>
    <w:rsid w:val="004D1777"/>
    <w:rsid w:val="004D20CD"/>
    <w:rsid w:val="004D2354"/>
    <w:rsid w:val="004D2B14"/>
    <w:rsid w:val="004D2F9C"/>
    <w:rsid w:val="004D378E"/>
    <w:rsid w:val="004D38E0"/>
    <w:rsid w:val="004D3AEA"/>
    <w:rsid w:val="004D3EC3"/>
    <w:rsid w:val="004D475F"/>
    <w:rsid w:val="004D4D05"/>
    <w:rsid w:val="004D5114"/>
    <w:rsid w:val="004D562A"/>
    <w:rsid w:val="004D58EE"/>
    <w:rsid w:val="004D59AC"/>
    <w:rsid w:val="004D5D6D"/>
    <w:rsid w:val="004D602E"/>
    <w:rsid w:val="004D615B"/>
    <w:rsid w:val="004D6DF0"/>
    <w:rsid w:val="004D7661"/>
    <w:rsid w:val="004D7F81"/>
    <w:rsid w:val="004E01A7"/>
    <w:rsid w:val="004E028B"/>
    <w:rsid w:val="004E0F3E"/>
    <w:rsid w:val="004E1C25"/>
    <w:rsid w:val="004E282F"/>
    <w:rsid w:val="004E2B01"/>
    <w:rsid w:val="004E2CA8"/>
    <w:rsid w:val="004E3405"/>
    <w:rsid w:val="004E38DB"/>
    <w:rsid w:val="004E4349"/>
    <w:rsid w:val="004E43FF"/>
    <w:rsid w:val="004E469C"/>
    <w:rsid w:val="004E508F"/>
    <w:rsid w:val="004E5692"/>
    <w:rsid w:val="004E5709"/>
    <w:rsid w:val="004E5E20"/>
    <w:rsid w:val="004E6B57"/>
    <w:rsid w:val="004F074C"/>
    <w:rsid w:val="004F2EC4"/>
    <w:rsid w:val="004F479B"/>
    <w:rsid w:val="004F4E62"/>
    <w:rsid w:val="004F5409"/>
    <w:rsid w:val="004F5F92"/>
    <w:rsid w:val="004F6663"/>
    <w:rsid w:val="004F669F"/>
    <w:rsid w:val="004F7393"/>
    <w:rsid w:val="0050080D"/>
    <w:rsid w:val="00500A54"/>
    <w:rsid w:val="00501C7B"/>
    <w:rsid w:val="00501D0F"/>
    <w:rsid w:val="005024CA"/>
    <w:rsid w:val="00502F14"/>
    <w:rsid w:val="00502F65"/>
    <w:rsid w:val="00503B27"/>
    <w:rsid w:val="00503C0F"/>
    <w:rsid w:val="0050408A"/>
    <w:rsid w:val="005049D9"/>
    <w:rsid w:val="00505519"/>
    <w:rsid w:val="005057FC"/>
    <w:rsid w:val="00505872"/>
    <w:rsid w:val="00505D25"/>
    <w:rsid w:val="00506840"/>
    <w:rsid w:val="00507193"/>
    <w:rsid w:val="0050726F"/>
    <w:rsid w:val="0050762C"/>
    <w:rsid w:val="00507720"/>
    <w:rsid w:val="0050788A"/>
    <w:rsid w:val="005100F0"/>
    <w:rsid w:val="00510D3C"/>
    <w:rsid w:val="00511CCD"/>
    <w:rsid w:val="00511E07"/>
    <w:rsid w:val="00511F72"/>
    <w:rsid w:val="00512AC1"/>
    <w:rsid w:val="00514506"/>
    <w:rsid w:val="00514C00"/>
    <w:rsid w:val="005152D8"/>
    <w:rsid w:val="0051578B"/>
    <w:rsid w:val="0051640A"/>
    <w:rsid w:val="00517999"/>
    <w:rsid w:val="00517CFB"/>
    <w:rsid w:val="00517E02"/>
    <w:rsid w:val="0052037D"/>
    <w:rsid w:val="00520633"/>
    <w:rsid w:val="00520F35"/>
    <w:rsid w:val="00521109"/>
    <w:rsid w:val="00521177"/>
    <w:rsid w:val="0052145D"/>
    <w:rsid w:val="005214EA"/>
    <w:rsid w:val="00521883"/>
    <w:rsid w:val="00522A10"/>
    <w:rsid w:val="00523944"/>
    <w:rsid w:val="0052406C"/>
    <w:rsid w:val="0052417B"/>
    <w:rsid w:val="00524F58"/>
    <w:rsid w:val="00524F87"/>
    <w:rsid w:val="005252F4"/>
    <w:rsid w:val="00525505"/>
    <w:rsid w:val="00525656"/>
    <w:rsid w:val="005257E7"/>
    <w:rsid w:val="00525A8D"/>
    <w:rsid w:val="005272F4"/>
    <w:rsid w:val="005278BE"/>
    <w:rsid w:val="005308F5"/>
    <w:rsid w:val="0053151B"/>
    <w:rsid w:val="005316CD"/>
    <w:rsid w:val="0053326D"/>
    <w:rsid w:val="005337BD"/>
    <w:rsid w:val="00534476"/>
    <w:rsid w:val="00534746"/>
    <w:rsid w:val="005347A9"/>
    <w:rsid w:val="00534E47"/>
    <w:rsid w:val="00535DE4"/>
    <w:rsid w:val="005378B9"/>
    <w:rsid w:val="00537C95"/>
    <w:rsid w:val="00537E8D"/>
    <w:rsid w:val="00537F41"/>
    <w:rsid w:val="005404E7"/>
    <w:rsid w:val="00540585"/>
    <w:rsid w:val="00540C05"/>
    <w:rsid w:val="00541440"/>
    <w:rsid w:val="0054167A"/>
    <w:rsid w:val="00542134"/>
    <w:rsid w:val="00543260"/>
    <w:rsid w:val="00543785"/>
    <w:rsid w:val="005446B6"/>
    <w:rsid w:val="0054500C"/>
    <w:rsid w:val="00545260"/>
    <w:rsid w:val="00545575"/>
    <w:rsid w:val="0054581C"/>
    <w:rsid w:val="0054585C"/>
    <w:rsid w:val="0054608D"/>
    <w:rsid w:val="00547892"/>
    <w:rsid w:val="00547F2A"/>
    <w:rsid w:val="00550277"/>
    <w:rsid w:val="00550324"/>
    <w:rsid w:val="00550658"/>
    <w:rsid w:val="00551A1E"/>
    <w:rsid w:val="00553148"/>
    <w:rsid w:val="005531BE"/>
    <w:rsid w:val="00553F0A"/>
    <w:rsid w:val="005546E8"/>
    <w:rsid w:val="00554E1A"/>
    <w:rsid w:val="0055510A"/>
    <w:rsid w:val="00556273"/>
    <w:rsid w:val="005570FE"/>
    <w:rsid w:val="005573CE"/>
    <w:rsid w:val="005618C0"/>
    <w:rsid w:val="005618C7"/>
    <w:rsid w:val="00561C24"/>
    <w:rsid w:val="00561F98"/>
    <w:rsid w:val="005620DA"/>
    <w:rsid w:val="0056470A"/>
    <w:rsid w:val="0056514A"/>
    <w:rsid w:val="00565652"/>
    <w:rsid w:val="00566708"/>
    <w:rsid w:val="0056670B"/>
    <w:rsid w:val="00566819"/>
    <w:rsid w:val="00566AE7"/>
    <w:rsid w:val="00567276"/>
    <w:rsid w:val="00567304"/>
    <w:rsid w:val="005673CB"/>
    <w:rsid w:val="00567422"/>
    <w:rsid w:val="005722B8"/>
    <w:rsid w:val="0057247E"/>
    <w:rsid w:val="005725E6"/>
    <w:rsid w:val="00572866"/>
    <w:rsid w:val="00572C28"/>
    <w:rsid w:val="00572D06"/>
    <w:rsid w:val="00572EAB"/>
    <w:rsid w:val="0057305E"/>
    <w:rsid w:val="00573303"/>
    <w:rsid w:val="00574515"/>
    <w:rsid w:val="00574926"/>
    <w:rsid w:val="00574DE9"/>
    <w:rsid w:val="005750B3"/>
    <w:rsid w:val="00576491"/>
    <w:rsid w:val="005765B2"/>
    <w:rsid w:val="00577702"/>
    <w:rsid w:val="00577F3E"/>
    <w:rsid w:val="00581133"/>
    <w:rsid w:val="00581F42"/>
    <w:rsid w:val="005820E0"/>
    <w:rsid w:val="00582A50"/>
    <w:rsid w:val="00582A73"/>
    <w:rsid w:val="00583769"/>
    <w:rsid w:val="00583EC2"/>
    <w:rsid w:val="00584E69"/>
    <w:rsid w:val="00585394"/>
    <w:rsid w:val="00585698"/>
    <w:rsid w:val="00585787"/>
    <w:rsid w:val="0058632E"/>
    <w:rsid w:val="005864C2"/>
    <w:rsid w:val="00586737"/>
    <w:rsid w:val="00586CDE"/>
    <w:rsid w:val="00586DC2"/>
    <w:rsid w:val="0059082A"/>
    <w:rsid w:val="005909E0"/>
    <w:rsid w:val="00590A13"/>
    <w:rsid w:val="00591638"/>
    <w:rsid w:val="005929AB"/>
    <w:rsid w:val="00593030"/>
    <w:rsid w:val="005930DD"/>
    <w:rsid w:val="005934DE"/>
    <w:rsid w:val="00593DBF"/>
    <w:rsid w:val="00594065"/>
    <w:rsid w:val="00594311"/>
    <w:rsid w:val="005946E9"/>
    <w:rsid w:val="00595223"/>
    <w:rsid w:val="00595336"/>
    <w:rsid w:val="005957FE"/>
    <w:rsid w:val="00595885"/>
    <w:rsid w:val="00595CE9"/>
    <w:rsid w:val="00596948"/>
    <w:rsid w:val="00596B70"/>
    <w:rsid w:val="00597129"/>
    <w:rsid w:val="005A0593"/>
    <w:rsid w:val="005A1A0E"/>
    <w:rsid w:val="005A1FB3"/>
    <w:rsid w:val="005A26FA"/>
    <w:rsid w:val="005A288D"/>
    <w:rsid w:val="005A4B13"/>
    <w:rsid w:val="005A4D90"/>
    <w:rsid w:val="005A548A"/>
    <w:rsid w:val="005A6752"/>
    <w:rsid w:val="005A6B3C"/>
    <w:rsid w:val="005B1907"/>
    <w:rsid w:val="005B1F28"/>
    <w:rsid w:val="005B2ABC"/>
    <w:rsid w:val="005B2DFD"/>
    <w:rsid w:val="005B33A3"/>
    <w:rsid w:val="005B345A"/>
    <w:rsid w:val="005B3AB3"/>
    <w:rsid w:val="005B3F7F"/>
    <w:rsid w:val="005B4471"/>
    <w:rsid w:val="005B4532"/>
    <w:rsid w:val="005B4676"/>
    <w:rsid w:val="005B4787"/>
    <w:rsid w:val="005B54AB"/>
    <w:rsid w:val="005B5F28"/>
    <w:rsid w:val="005B60C4"/>
    <w:rsid w:val="005B7A35"/>
    <w:rsid w:val="005B7ED7"/>
    <w:rsid w:val="005C0A43"/>
    <w:rsid w:val="005C0BA0"/>
    <w:rsid w:val="005C0EA6"/>
    <w:rsid w:val="005C1123"/>
    <w:rsid w:val="005C146F"/>
    <w:rsid w:val="005C1674"/>
    <w:rsid w:val="005C1C8E"/>
    <w:rsid w:val="005C1D06"/>
    <w:rsid w:val="005C2867"/>
    <w:rsid w:val="005C3558"/>
    <w:rsid w:val="005C3A0F"/>
    <w:rsid w:val="005C5D6B"/>
    <w:rsid w:val="005C61FF"/>
    <w:rsid w:val="005C6749"/>
    <w:rsid w:val="005C6F4F"/>
    <w:rsid w:val="005C6F7C"/>
    <w:rsid w:val="005C71A4"/>
    <w:rsid w:val="005C7214"/>
    <w:rsid w:val="005C79DA"/>
    <w:rsid w:val="005C7E1B"/>
    <w:rsid w:val="005D10CE"/>
    <w:rsid w:val="005D1BBF"/>
    <w:rsid w:val="005D1CD9"/>
    <w:rsid w:val="005D1F75"/>
    <w:rsid w:val="005D2255"/>
    <w:rsid w:val="005D2C42"/>
    <w:rsid w:val="005D33A7"/>
    <w:rsid w:val="005D352E"/>
    <w:rsid w:val="005D4DD8"/>
    <w:rsid w:val="005D4DED"/>
    <w:rsid w:val="005D5158"/>
    <w:rsid w:val="005D5696"/>
    <w:rsid w:val="005D6495"/>
    <w:rsid w:val="005D66EF"/>
    <w:rsid w:val="005D6FF6"/>
    <w:rsid w:val="005D7400"/>
    <w:rsid w:val="005E030E"/>
    <w:rsid w:val="005E0D81"/>
    <w:rsid w:val="005E29D3"/>
    <w:rsid w:val="005E2A25"/>
    <w:rsid w:val="005E3073"/>
    <w:rsid w:val="005E39AE"/>
    <w:rsid w:val="005E3BC6"/>
    <w:rsid w:val="005E41A8"/>
    <w:rsid w:val="005E4261"/>
    <w:rsid w:val="005E42EB"/>
    <w:rsid w:val="005E4E11"/>
    <w:rsid w:val="005E5098"/>
    <w:rsid w:val="005E50F8"/>
    <w:rsid w:val="005E5886"/>
    <w:rsid w:val="005E5C5B"/>
    <w:rsid w:val="005E602E"/>
    <w:rsid w:val="005E679E"/>
    <w:rsid w:val="005E692E"/>
    <w:rsid w:val="005E73E3"/>
    <w:rsid w:val="005E743D"/>
    <w:rsid w:val="005F061E"/>
    <w:rsid w:val="005F1094"/>
    <w:rsid w:val="005F1156"/>
    <w:rsid w:val="005F186E"/>
    <w:rsid w:val="005F1AD8"/>
    <w:rsid w:val="005F1D8C"/>
    <w:rsid w:val="005F1E93"/>
    <w:rsid w:val="005F27C8"/>
    <w:rsid w:val="005F3369"/>
    <w:rsid w:val="005F33E1"/>
    <w:rsid w:val="005F35C7"/>
    <w:rsid w:val="005F4234"/>
    <w:rsid w:val="005F462C"/>
    <w:rsid w:val="005F4A66"/>
    <w:rsid w:val="005F4ECD"/>
    <w:rsid w:val="005F557C"/>
    <w:rsid w:val="005F6E96"/>
    <w:rsid w:val="006001EF"/>
    <w:rsid w:val="0060036F"/>
    <w:rsid w:val="00601802"/>
    <w:rsid w:val="00601D99"/>
    <w:rsid w:val="00602044"/>
    <w:rsid w:val="006027CE"/>
    <w:rsid w:val="00603F1D"/>
    <w:rsid w:val="006040DC"/>
    <w:rsid w:val="00605AAC"/>
    <w:rsid w:val="00605B6A"/>
    <w:rsid w:val="00605F8D"/>
    <w:rsid w:val="00605FB6"/>
    <w:rsid w:val="00606178"/>
    <w:rsid w:val="006070CA"/>
    <w:rsid w:val="00607758"/>
    <w:rsid w:val="00607CC3"/>
    <w:rsid w:val="006101F0"/>
    <w:rsid w:val="00610202"/>
    <w:rsid w:val="0061056A"/>
    <w:rsid w:val="00610A65"/>
    <w:rsid w:val="006110F4"/>
    <w:rsid w:val="0061185F"/>
    <w:rsid w:val="00611C60"/>
    <w:rsid w:val="00612611"/>
    <w:rsid w:val="006132B6"/>
    <w:rsid w:val="00613ACA"/>
    <w:rsid w:val="006143A6"/>
    <w:rsid w:val="00614468"/>
    <w:rsid w:val="00614A02"/>
    <w:rsid w:val="00614E2B"/>
    <w:rsid w:val="0061506B"/>
    <w:rsid w:val="00615BEE"/>
    <w:rsid w:val="00616409"/>
    <w:rsid w:val="00616BAD"/>
    <w:rsid w:val="00621161"/>
    <w:rsid w:val="00621438"/>
    <w:rsid w:val="006217CA"/>
    <w:rsid w:val="006219D4"/>
    <w:rsid w:val="00621A02"/>
    <w:rsid w:val="00621F3C"/>
    <w:rsid w:val="00622D5B"/>
    <w:rsid w:val="00622FD3"/>
    <w:rsid w:val="00624E3D"/>
    <w:rsid w:val="006256AB"/>
    <w:rsid w:val="00626BC7"/>
    <w:rsid w:val="00626EED"/>
    <w:rsid w:val="00627672"/>
    <w:rsid w:val="00627974"/>
    <w:rsid w:val="00627AAB"/>
    <w:rsid w:val="0063039F"/>
    <w:rsid w:val="00630A8A"/>
    <w:rsid w:val="00630C33"/>
    <w:rsid w:val="00630D7B"/>
    <w:rsid w:val="00630F18"/>
    <w:rsid w:val="0063133A"/>
    <w:rsid w:val="00631A71"/>
    <w:rsid w:val="006326F6"/>
    <w:rsid w:val="00632A4C"/>
    <w:rsid w:val="006330C6"/>
    <w:rsid w:val="0063371B"/>
    <w:rsid w:val="00633CAA"/>
    <w:rsid w:val="006343B5"/>
    <w:rsid w:val="0063463C"/>
    <w:rsid w:val="00634AD4"/>
    <w:rsid w:val="0063620E"/>
    <w:rsid w:val="00636412"/>
    <w:rsid w:val="00636E7D"/>
    <w:rsid w:val="00640365"/>
    <w:rsid w:val="006408EC"/>
    <w:rsid w:val="0064154B"/>
    <w:rsid w:val="00641C9D"/>
    <w:rsid w:val="006423F9"/>
    <w:rsid w:val="00642956"/>
    <w:rsid w:val="00642D67"/>
    <w:rsid w:val="006435A8"/>
    <w:rsid w:val="006446A5"/>
    <w:rsid w:val="00644AF1"/>
    <w:rsid w:val="00645372"/>
    <w:rsid w:val="00645596"/>
    <w:rsid w:val="00645B60"/>
    <w:rsid w:val="00645FD8"/>
    <w:rsid w:val="0064624D"/>
    <w:rsid w:val="006464DB"/>
    <w:rsid w:val="006469D9"/>
    <w:rsid w:val="00647183"/>
    <w:rsid w:val="00647AA4"/>
    <w:rsid w:val="006501FA"/>
    <w:rsid w:val="006504AF"/>
    <w:rsid w:val="00650A37"/>
    <w:rsid w:val="006518C6"/>
    <w:rsid w:val="00651BD4"/>
    <w:rsid w:val="00651C9B"/>
    <w:rsid w:val="00654889"/>
    <w:rsid w:val="00654A91"/>
    <w:rsid w:val="006556E5"/>
    <w:rsid w:val="00656384"/>
    <w:rsid w:val="00656855"/>
    <w:rsid w:val="006570CC"/>
    <w:rsid w:val="00657193"/>
    <w:rsid w:val="00660108"/>
    <w:rsid w:val="00661B0A"/>
    <w:rsid w:val="00661E20"/>
    <w:rsid w:val="006629C4"/>
    <w:rsid w:val="00662CE3"/>
    <w:rsid w:val="00663049"/>
    <w:rsid w:val="00663BD5"/>
    <w:rsid w:val="006643E9"/>
    <w:rsid w:val="00664EB8"/>
    <w:rsid w:val="00665848"/>
    <w:rsid w:val="00665EDE"/>
    <w:rsid w:val="00665F03"/>
    <w:rsid w:val="00666586"/>
    <w:rsid w:val="00666C5D"/>
    <w:rsid w:val="006672E2"/>
    <w:rsid w:val="00667B46"/>
    <w:rsid w:val="006703F2"/>
    <w:rsid w:val="00671332"/>
    <w:rsid w:val="006720B1"/>
    <w:rsid w:val="00672BBD"/>
    <w:rsid w:val="00673200"/>
    <w:rsid w:val="006734B2"/>
    <w:rsid w:val="00673E7E"/>
    <w:rsid w:val="00674463"/>
    <w:rsid w:val="00674BE2"/>
    <w:rsid w:val="00675886"/>
    <w:rsid w:val="00681145"/>
    <w:rsid w:val="00681160"/>
    <w:rsid w:val="0068174D"/>
    <w:rsid w:val="00681876"/>
    <w:rsid w:val="00682365"/>
    <w:rsid w:val="006829FF"/>
    <w:rsid w:val="00683446"/>
    <w:rsid w:val="00683584"/>
    <w:rsid w:val="00683AE3"/>
    <w:rsid w:val="00683D65"/>
    <w:rsid w:val="00683D79"/>
    <w:rsid w:val="00684725"/>
    <w:rsid w:val="00685147"/>
    <w:rsid w:val="00685283"/>
    <w:rsid w:val="006855CE"/>
    <w:rsid w:val="00685869"/>
    <w:rsid w:val="00685FAB"/>
    <w:rsid w:val="00686852"/>
    <w:rsid w:val="006868C2"/>
    <w:rsid w:val="00687AD5"/>
    <w:rsid w:val="00687D52"/>
    <w:rsid w:val="00690F78"/>
    <w:rsid w:val="00691CB5"/>
    <w:rsid w:val="00691F67"/>
    <w:rsid w:val="00692189"/>
    <w:rsid w:val="00692C00"/>
    <w:rsid w:val="00693345"/>
    <w:rsid w:val="00693446"/>
    <w:rsid w:val="006935EA"/>
    <w:rsid w:val="006938C0"/>
    <w:rsid w:val="006942F0"/>
    <w:rsid w:val="00695AFB"/>
    <w:rsid w:val="00696089"/>
    <w:rsid w:val="006968CB"/>
    <w:rsid w:val="00697534"/>
    <w:rsid w:val="00697638"/>
    <w:rsid w:val="006977A7"/>
    <w:rsid w:val="00697E24"/>
    <w:rsid w:val="006A134B"/>
    <w:rsid w:val="006A1607"/>
    <w:rsid w:val="006A1838"/>
    <w:rsid w:val="006A1A3D"/>
    <w:rsid w:val="006A3315"/>
    <w:rsid w:val="006A6092"/>
    <w:rsid w:val="006A6AD5"/>
    <w:rsid w:val="006A6AFB"/>
    <w:rsid w:val="006A7580"/>
    <w:rsid w:val="006B0DCB"/>
    <w:rsid w:val="006B105C"/>
    <w:rsid w:val="006B121A"/>
    <w:rsid w:val="006B19AA"/>
    <w:rsid w:val="006B222E"/>
    <w:rsid w:val="006B2327"/>
    <w:rsid w:val="006B297B"/>
    <w:rsid w:val="006B39D5"/>
    <w:rsid w:val="006B65F0"/>
    <w:rsid w:val="006B6E22"/>
    <w:rsid w:val="006B7E47"/>
    <w:rsid w:val="006C0C53"/>
    <w:rsid w:val="006C0E2E"/>
    <w:rsid w:val="006C0F16"/>
    <w:rsid w:val="006C15A6"/>
    <w:rsid w:val="006C1B97"/>
    <w:rsid w:val="006C2538"/>
    <w:rsid w:val="006C30B1"/>
    <w:rsid w:val="006C37D5"/>
    <w:rsid w:val="006C4778"/>
    <w:rsid w:val="006C4CDA"/>
    <w:rsid w:val="006C4D72"/>
    <w:rsid w:val="006C4EB5"/>
    <w:rsid w:val="006C4F74"/>
    <w:rsid w:val="006C5B31"/>
    <w:rsid w:val="006C5B71"/>
    <w:rsid w:val="006C66A8"/>
    <w:rsid w:val="006C6BA8"/>
    <w:rsid w:val="006D053B"/>
    <w:rsid w:val="006D0F73"/>
    <w:rsid w:val="006D131D"/>
    <w:rsid w:val="006D204F"/>
    <w:rsid w:val="006D25E2"/>
    <w:rsid w:val="006D3755"/>
    <w:rsid w:val="006D3D37"/>
    <w:rsid w:val="006D3FEF"/>
    <w:rsid w:val="006D45CD"/>
    <w:rsid w:val="006D48B8"/>
    <w:rsid w:val="006D4C61"/>
    <w:rsid w:val="006D6929"/>
    <w:rsid w:val="006E0DF4"/>
    <w:rsid w:val="006E1A4D"/>
    <w:rsid w:val="006E1D3B"/>
    <w:rsid w:val="006E1FC0"/>
    <w:rsid w:val="006E29D2"/>
    <w:rsid w:val="006E307C"/>
    <w:rsid w:val="006E3117"/>
    <w:rsid w:val="006E396F"/>
    <w:rsid w:val="006E3C3F"/>
    <w:rsid w:val="006E40CB"/>
    <w:rsid w:val="006E4402"/>
    <w:rsid w:val="006E5EDC"/>
    <w:rsid w:val="006E617D"/>
    <w:rsid w:val="006E6208"/>
    <w:rsid w:val="006E6626"/>
    <w:rsid w:val="006E6EFC"/>
    <w:rsid w:val="006E750A"/>
    <w:rsid w:val="006E7922"/>
    <w:rsid w:val="006F04EC"/>
    <w:rsid w:val="006F0E43"/>
    <w:rsid w:val="006F1638"/>
    <w:rsid w:val="006F1811"/>
    <w:rsid w:val="006F1AA0"/>
    <w:rsid w:val="006F1CE1"/>
    <w:rsid w:val="006F21B8"/>
    <w:rsid w:val="006F30E4"/>
    <w:rsid w:val="006F32F6"/>
    <w:rsid w:val="006F36D0"/>
    <w:rsid w:val="006F40DA"/>
    <w:rsid w:val="006F4736"/>
    <w:rsid w:val="006F480F"/>
    <w:rsid w:val="006F4DE0"/>
    <w:rsid w:val="006F57E9"/>
    <w:rsid w:val="006F5E70"/>
    <w:rsid w:val="007005D0"/>
    <w:rsid w:val="007008F9"/>
    <w:rsid w:val="0070091B"/>
    <w:rsid w:val="007009F7"/>
    <w:rsid w:val="00700EF0"/>
    <w:rsid w:val="00701805"/>
    <w:rsid w:val="00701E1B"/>
    <w:rsid w:val="007027F7"/>
    <w:rsid w:val="0070346C"/>
    <w:rsid w:val="0070377F"/>
    <w:rsid w:val="00703E18"/>
    <w:rsid w:val="00705B4C"/>
    <w:rsid w:val="0070623E"/>
    <w:rsid w:val="007068E9"/>
    <w:rsid w:val="00706B8E"/>
    <w:rsid w:val="00706E81"/>
    <w:rsid w:val="00707970"/>
    <w:rsid w:val="00707AE1"/>
    <w:rsid w:val="00707B63"/>
    <w:rsid w:val="00707E77"/>
    <w:rsid w:val="00710033"/>
    <w:rsid w:val="00710917"/>
    <w:rsid w:val="00710BDB"/>
    <w:rsid w:val="0071163A"/>
    <w:rsid w:val="0071173B"/>
    <w:rsid w:val="007126CB"/>
    <w:rsid w:val="00712974"/>
    <w:rsid w:val="007130A0"/>
    <w:rsid w:val="00713286"/>
    <w:rsid w:val="00714034"/>
    <w:rsid w:val="00714294"/>
    <w:rsid w:val="00714413"/>
    <w:rsid w:val="00714A9E"/>
    <w:rsid w:val="00714DE6"/>
    <w:rsid w:val="00716660"/>
    <w:rsid w:val="00716B04"/>
    <w:rsid w:val="0071724B"/>
    <w:rsid w:val="007178A9"/>
    <w:rsid w:val="0071790E"/>
    <w:rsid w:val="00717ABA"/>
    <w:rsid w:val="00717CCD"/>
    <w:rsid w:val="0072079D"/>
    <w:rsid w:val="00720931"/>
    <w:rsid w:val="007220D8"/>
    <w:rsid w:val="00722708"/>
    <w:rsid w:val="00722BBF"/>
    <w:rsid w:val="00723ADE"/>
    <w:rsid w:val="00723D9C"/>
    <w:rsid w:val="0072431F"/>
    <w:rsid w:val="00724602"/>
    <w:rsid w:val="00725CD3"/>
    <w:rsid w:val="007264A1"/>
    <w:rsid w:val="00726AE0"/>
    <w:rsid w:val="00726AE6"/>
    <w:rsid w:val="00726FB0"/>
    <w:rsid w:val="007274BC"/>
    <w:rsid w:val="0072756E"/>
    <w:rsid w:val="00727A5C"/>
    <w:rsid w:val="00727BCB"/>
    <w:rsid w:val="007305F6"/>
    <w:rsid w:val="00730B68"/>
    <w:rsid w:val="00732A4F"/>
    <w:rsid w:val="00732CA0"/>
    <w:rsid w:val="0073304A"/>
    <w:rsid w:val="00733131"/>
    <w:rsid w:val="00733523"/>
    <w:rsid w:val="0073458C"/>
    <w:rsid w:val="00734F9C"/>
    <w:rsid w:val="00734FA2"/>
    <w:rsid w:val="00735C7E"/>
    <w:rsid w:val="00736750"/>
    <w:rsid w:val="00736792"/>
    <w:rsid w:val="007367B7"/>
    <w:rsid w:val="00736C04"/>
    <w:rsid w:val="00736FE0"/>
    <w:rsid w:val="00737662"/>
    <w:rsid w:val="00737931"/>
    <w:rsid w:val="00737E4A"/>
    <w:rsid w:val="00741419"/>
    <w:rsid w:val="007428B6"/>
    <w:rsid w:val="007430B3"/>
    <w:rsid w:val="00744519"/>
    <w:rsid w:val="007448BA"/>
    <w:rsid w:val="007448DD"/>
    <w:rsid w:val="00744975"/>
    <w:rsid w:val="00745C76"/>
    <w:rsid w:val="00745D25"/>
    <w:rsid w:val="007461BF"/>
    <w:rsid w:val="007464F1"/>
    <w:rsid w:val="00746BE1"/>
    <w:rsid w:val="00747487"/>
    <w:rsid w:val="00747B2E"/>
    <w:rsid w:val="00747E01"/>
    <w:rsid w:val="00750A14"/>
    <w:rsid w:val="007510E3"/>
    <w:rsid w:val="00751BDD"/>
    <w:rsid w:val="00751BF1"/>
    <w:rsid w:val="00751D22"/>
    <w:rsid w:val="007535A1"/>
    <w:rsid w:val="0075554E"/>
    <w:rsid w:val="00755C4D"/>
    <w:rsid w:val="00755D26"/>
    <w:rsid w:val="00755E1F"/>
    <w:rsid w:val="0075601E"/>
    <w:rsid w:val="007563DD"/>
    <w:rsid w:val="00757CB5"/>
    <w:rsid w:val="0076087D"/>
    <w:rsid w:val="007609DE"/>
    <w:rsid w:val="007611B9"/>
    <w:rsid w:val="00761354"/>
    <w:rsid w:val="00761401"/>
    <w:rsid w:val="00761CA0"/>
    <w:rsid w:val="007622B6"/>
    <w:rsid w:val="00762557"/>
    <w:rsid w:val="007627A1"/>
    <w:rsid w:val="00763D48"/>
    <w:rsid w:val="00765012"/>
    <w:rsid w:val="00765833"/>
    <w:rsid w:val="0076660D"/>
    <w:rsid w:val="007675D5"/>
    <w:rsid w:val="00767619"/>
    <w:rsid w:val="00770238"/>
    <w:rsid w:val="00771EA2"/>
    <w:rsid w:val="00772231"/>
    <w:rsid w:val="00772410"/>
    <w:rsid w:val="007724B7"/>
    <w:rsid w:val="00775CBD"/>
    <w:rsid w:val="00775E2C"/>
    <w:rsid w:val="007767A6"/>
    <w:rsid w:val="0077789C"/>
    <w:rsid w:val="00777FDE"/>
    <w:rsid w:val="007801DE"/>
    <w:rsid w:val="00780A51"/>
    <w:rsid w:val="0078129E"/>
    <w:rsid w:val="00781F8B"/>
    <w:rsid w:val="0078319B"/>
    <w:rsid w:val="0078324B"/>
    <w:rsid w:val="007836DD"/>
    <w:rsid w:val="00783E20"/>
    <w:rsid w:val="00784531"/>
    <w:rsid w:val="0078453E"/>
    <w:rsid w:val="00784784"/>
    <w:rsid w:val="00784857"/>
    <w:rsid w:val="00784909"/>
    <w:rsid w:val="007854CA"/>
    <w:rsid w:val="0078784D"/>
    <w:rsid w:val="007901A4"/>
    <w:rsid w:val="00790D08"/>
    <w:rsid w:val="0079196F"/>
    <w:rsid w:val="00792394"/>
    <w:rsid w:val="007928E1"/>
    <w:rsid w:val="00793358"/>
    <w:rsid w:val="00793AA5"/>
    <w:rsid w:val="00793B1F"/>
    <w:rsid w:val="00794AEC"/>
    <w:rsid w:val="00794D95"/>
    <w:rsid w:val="0079535E"/>
    <w:rsid w:val="007953A2"/>
    <w:rsid w:val="0079597C"/>
    <w:rsid w:val="00795A4D"/>
    <w:rsid w:val="007962A7"/>
    <w:rsid w:val="00796384"/>
    <w:rsid w:val="00796E90"/>
    <w:rsid w:val="007972F7"/>
    <w:rsid w:val="007A02C3"/>
    <w:rsid w:val="007A07BF"/>
    <w:rsid w:val="007A08F3"/>
    <w:rsid w:val="007A0FFE"/>
    <w:rsid w:val="007A1389"/>
    <w:rsid w:val="007A2081"/>
    <w:rsid w:val="007A260D"/>
    <w:rsid w:val="007A3C7D"/>
    <w:rsid w:val="007A57F4"/>
    <w:rsid w:val="007A58BB"/>
    <w:rsid w:val="007A58D5"/>
    <w:rsid w:val="007A6085"/>
    <w:rsid w:val="007A77CD"/>
    <w:rsid w:val="007B00F9"/>
    <w:rsid w:val="007B0107"/>
    <w:rsid w:val="007B14E0"/>
    <w:rsid w:val="007B1FFB"/>
    <w:rsid w:val="007B2860"/>
    <w:rsid w:val="007B2E3E"/>
    <w:rsid w:val="007B326E"/>
    <w:rsid w:val="007B3B27"/>
    <w:rsid w:val="007B4E9E"/>
    <w:rsid w:val="007B66E8"/>
    <w:rsid w:val="007B6F70"/>
    <w:rsid w:val="007B71E2"/>
    <w:rsid w:val="007B7C07"/>
    <w:rsid w:val="007C0472"/>
    <w:rsid w:val="007C049D"/>
    <w:rsid w:val="007C076C"/>
    <w:rsid w:val="007C083F"/>
    <w:rsid w:val="007C0CC6"/>
    <w:rsid w:val="007C1558"/>
    <w:rsid w:val="007C200E"/>
    <w:rsid w:val="007C20BE"/>
    <w:rsid w:val="007C213F"/>
    <w:rsid w:val="007C2153"/>
    <w:rsid w:val="007C26BB"/>
    <w:rsid w:val="007C2BA3"/>
    <w:rsid w:val="007C2F9B"/>
    <w:rsid w:val="007C3799"/>
    <w:rsid w:val="007C4348"/>
    <w:rsid w:val="007C484E"/>
    <w:rsid w:val="007C5387"/>
    <w:rsid w:val="007C5C94"/>
    <w:rsid w:val="007C7EE1"/>
    <w:rsid w:val="007D0554"/>
    <w:rsid w:val="007D12EC"/>
    <w:rsid w:val="007D29B2"/>
    <w:rsid w:val="007D31B5"/>
    <w:rsid w:val="007D31CD"/>
    <w:rsid w:val="007D3373"/>
    <w:rsid w:val="007D346A"/>
    <w:rsid w:val="007D36C5"/>
    <w:rsid w:val="007D4306"/>
    <w:rsid w:val="007D4F86"/>
    <w:rsid w:val="007D5A21"/>
    <w:rsid w:val="007D5CA9"/>
    <w:rsid w:val="007D5F57"/>
    <w:rsid w:val="007D61F8"/>
    <w:rsid w:val="007D6877"/>
    <w:rsid w:val="007D694C"/>
    <w:rsid w:val="007D792C"/>
    <w:rsid w:val="007E0024"/>
    <w:rsid w:val="007E04B5"/>
    <w:rsid w:val="007E09C1"/>
    <w:rsid w:val="007E15CC"/>
    <w:rsid w:val="007E1D05"/>
    <w:rsid w:val="007E218A"/>
    <w:rsid w:val="007E225D"/>
    <w:rsid w:val="007E26EA"/>
    <w:rsid w:val="007E2FB3"/>
    <w:rsid w:val="007E36A6"/>
    <w:rsid w:val="007E4478"/>
    <w:rsid w:val="007E4696"/>
    <w:rsid w:val="007E4B05"/>
    <w:rsid w:val="007E4E65"/>
    <w:rsid w:val="007E592D"/>
    <w:rsid w:val="007E5AE4"/>
    <w:rsid w:val="007E5C79"/>
    <w:rsid w:val="007E5D41"/>
    <w:rsid w:val="007E7966"/>
    <w:rsid w:val="007E7A6B"/>
    <w:rsid w:val="007F0964"/>
    <w:rsid w:val="007F1792"/>
    <w:rsid w:val="007F205D"/>
    <w:rsid w:val="007F3084"/>
    <w:rsid w:val="007F33FB"/>
    <w:rsid w:val="007F47BF"/>
    <w:rsid w:val="007F4CBC"/>
    <w:rsid w:val="007F4D83"/>
    <w:rsid w:val="007F5140"/>
    <w:rsid w:val="007F53CA"/>
    <w:rsid w:val="007F5440"/>
    <w:rsid w:val="007F656A"/>
    <w:rsid w:val="007F6643"/>
    <w:rsid w:val="007F6A1B"/>
    <w:rsid w:val="007F7C30"/>
    <w:rsid w:val="007F7FD8"/>
    <w:rsid w:val="00800CA1"/>
    <w:rsid w:val="0080192C"/>
    <w:rsid w:val="00801D9E"/>
    <w:rsid w:val="00802246"/>
    <w:rsid w:val="0080294D"/>
    <w:rsid w:val="00802A6E"/>
    <w:rsid w:val="00802BA6"/>
    <w:rsid w:val="00802C24"/>
    <w:rsid w:val="00803087"/>
    <w:rsid w:val="00803376"/>
    <w:rsid w:val="00803880"/>
    <w:rsid w:val="00803A97"/>
    <w:rsid w:val="00803C10"/>
    <w:rsid w:val="00803CBA"/>
    <w:rsid w:val="00803F4F"/>
    <w:rsid w:val="008041A0"/>
    <w:rsid w:val="00805004"/>
    <w:rsid w:val="00805656"/>
    <w:rsid w:val="00806362"/>
    <w:rsid w:val="00806A11"/>
    <w:rsid w:val="00806AB6"/>
    <w:rsid w:val="00806C51"/>
    <w:rsid w:val="00807877"/>
    <w:rsid w:val="00807B2F"/>
    <w:rsid w:val="00810E73"/>
    <w:rsid w:val="008111AD"/>
    <w:rsid w:val="008111FB"/>
    <w:rsid w:val="00811C7B"/>
    <w:rsid w:val="008121F4"/>
    <w:rsid w:val="008126CA"/>
    <w:rsid w:val="00812A1B"/>
    <w:rsid w:val="00812B54"/>
    <w:rsid w:val="008130C1"/>
    <w:rsid w:val="008137E1"/>
    <w:rsid w:val="00813F15"/>
    <w:rsid w:val="00814CBE"/>
    <w:rsid w:val="00814ECB"/>
    <w:rsid w:val="00816811"/>
    <w:rsid w:val="00816B91"/>
    <w:rsid w:val="008171A3"/>
    <w:rsid w:val="00817441"/>
    <w:rsid w:val="0081755D"/>
    <w:rsid w:val="008178D7"/>
    <w:rsid w:val="00817D32"/>
    <w:rsid w:val="008202C5"/>
    <w:rsid w:val="00820781"/>
    <w:rsid w:val="00820BA2"/>
    <w:rsid w:val="00820DAD"/>
    <w:rsid w:val="00820FA8"/>
    <w:rsid w:val="008213A1"/>
    <w:rsid w:val="008215E9"/>
    <w:rsid w:val="008218D3"/>
    <w:rsid w:val="00821BB7"/>
    <w:rsid w:val="00822364"/>
    <w:rsid w:val="00822557"/>
    <w:rsid w:val="00822945"/>
    <w:rsid w:val="00823DA8"/>
    <w:rsid w:val="00824002"/>
    <w:rsid w:val="00824B1E"/>
    <w:rsid w:val="00825CD1"/>
    <w:rsid w:val="00825D4B"/>
    <w:rsid w:val="0082630E"/>
    <w:rsid w:val="00826385"/>
    <w:rsid w:val="008263A0"/>
    <w:rsid w:val="0082770D"/>
    <w:rsid w:val="00827D27"/>
    <w:rsid w:val="00830019"/>
    <w:rsid w:val="00831282"/>
    <w:rsid w:val="00831CE5"/>
    <w:rsid w:val="0083216E"/>
    <w:rsid w:val="008329A0"/>
    <w:rsid w:val="00833073"/>
    <w:rsid w:val="00833695"/>
    <w:rsid w:val="00833B53"/>
    <w:rsid w:val="0083555E"/>
    <w:rsid w:val="00835D54"/>
    <w:rsid w:val="008368A8"/>
    <w:rsid w:val="00837003"/>
    <w:rsid w:val="008374E0"/>
    <w:rsid w:val="00837C2E"/>
    <w:rsid w:val="00837D46"/>
    <w:rsid w:val="008406F6"/>
    <w:rsid w:val="00840B91"/>
    <w:rsid w:val="00841451"/>
    <w:rsid w:val="0084163A"/>
    <w:rsid w:val="0084281C"/>
    <w:rsid w:val="00843166"/>
    <w:rsid w:val="008441E6"/>
    <w:rsid w:val="00844299"/>
    <w:rsid w:val="00844BBD"/>
    <w:rsid w:val="00845CA6"/>
    <w:rsid w:val="00846697"/>
    <w:rsid w:val="008466C2"/>
    <w:rsid w:val="00846E8F"/>
    <w:rsid w:val="00847352"/>
    <w:rsid w:val="00847394"/>
    <w:rsid w:val="0084789B"/>
    <w:rsid w:val="00847CCB"/>
    <w:rsid w:val="00847CEC"/>
    <w:rsid w:val="0085051C"/>
    <w:rsid w:val="00850EE4"/>
    <w:rsid w:val="008512DE"/>
    <w:rsid w:val="00852D97"/>
    <w:rsid w:val="008538D8"/>
    <w:rsid w:val="00853DFA"/>
    <w:rsid w:val="008544C6"/>
    <w:rsid w:val="00854F2B"/>
    <w:rsid w:val="00855474"/>
    <w:rsid w:val="00855FBB"/>
    <w:rsid w:val="008561D8"/>
    <w:rsid w:val="00857091"/>
    <w:rsid w:val="00857347"/>
    <w:rsid w:val="008579D8"/>
    <w:rsid w:val="00857E85"/>
    <w:rsid w:val="008602C0"/>
    <w:rsid w:val="008606A4"/>
    <w:rsid w:val="00860F93"/>
    <w:rsid w:val="008613A8"/>
    <w:rsid w:val="008616DC"/>
    <w:rsid w:val="00864EE4"/>
    <w:rsid w:val="00864F16"/>
    <w:rsid w:val="00864F3C"/>
    <w:rsid w:val="0086522F"/>
    <w:rsid w:val="00865276"/>
    <w:rsid w:val="00865D2C"/>
    <w:rsid w:val="00865E4E"/>
    <w:rsid w:val="008662FB"/>
    <w:rsid w:val="008675C1"/>
    <w:rsid w:val="00867692"/>
    <w:rsid w:val="008676CC"/>
    <w:rsid w:val="008677E5"/>
    <w:rsid w:val="00867EF6"/>
    <w:rsid w:val="00871339"/>
    <w:rsid w:val="00871E0C"/>
    <w:rsid w:val="00871EE5"/>
    <w:rsid w:val="008721E4"/>
    <w:rsid w:val="008724C9"/>
    <w:rsid w:val="008724D3"/>
    <w:rsid w:val="00872F3D"/>
    <w:rsid w:val="00874062"/>
    <w:rsid w:val="00874449"/>
    <w:rsid w:val="0087475C"/>
    <w:rsid w:val="00875AA7"/>
    <w:rsid w:val="00875C1C"/>
    <w:rsid w:val="008763B4"/>
    <w:rsid w:val="00876DA2"/>
    <w:rsid w:val="008779D7"/>
    <w:rsid w:val="0088037C"/>
    <w:rsid w:val="00880977"/>
    <w:rsid w:val="00880C21"/>
    <w:rsid w:val="00880C8E"/>
    <w:rsid w:val="00881272"/>
    <w:rsid w:val="00881E5F"/>
    <w:rsid w:val="0088248D"/>
    <w:rsid w:val="008826DA"/>
    <w:rsid w:val="00882976"/>
    <w:rsid w:val="00882B7D"/>
    <w:rsid w:val="00882ED4"/>
    <w:rsid w:val="00882F96"/>
    <w:rsid w:val="008839BF"/>
    <w:rsid w:val="008843A9"/>
    <w:rsid w:val="008843F7"/>
    <w:rsid w:val="008861FB"/>
    <w:rsid w:val="00886FDC"/>
    <w:rsid w:val="0088789C"/>
    <w:rsid w:val="00887BD2"/>
    <w:rsid w:val="00887D95"/>
    <w:rsid w:val="00890339"/>
    <w:rsid w:val="00891484"/>
    <w:rsid w:val="008923D2"/>
    <w:rsid w:val="00892920"/>
    <w:rsid w:val="00893945"/>
    <w:rsid w:val="0089395D"/>
    <w:rsid w:val="00894074"/>
    <w:rsid w:val="0089420A"/>
    <w:rsid w:val="00894734"/>
    <w:rsid w:val="008950D9"/>
    <w:rsid w:val="0089543F"/>
    <w:rsid w:val="00896727"/>
    <w:rsid w:val="00896B15"/>
    <w:rsid w:val="0089736E"/>
    <w:rsid w:val="00897C89"/>
    <w:rsid w:val="008A0255"/>
    <w:rsid w:val="008A0628"/>
    <w:rsid w:val="008A07AC"/>
    <w:rsid w:val="008A23B5"/>
    <w:rsid w:val="008A2945"/>
    <w:rsid w:val="008A2B93"/>
    <w:rsid w:val="008A2E7C"/>
    <w:rsid w:val="008A36CB"/>
    <w:rsid w:val="008A36FD"/>
    <w:rsid w:val="008A3AA0"/>
    <w:rsid w:val="008A4360"/>
    <w:rsid w:val="008A4C3D"/>
    <w:rsid w:val="008A6629"/>
    <w:rsid w:val="008A681A"/>
    <w:rsid w:val="008A6DB5"/>
    <w:rsid w:val="008A6FC4"/>
    <w:rsid w:val="008A7207"/>
    <w:rsid w:val="008B03C0"/>
    <w:rsid w:val="008B0F3A"/>
    <w:rsid w:val="008B1029"/>
    <w:rsid w:val="008B174C"/>
    <w:rsid w:val="008B3545"/>
    <w:rsid w:val="008B3C7A"/>
    <w:rsid w:val="008B3E04"/>
    <w:rsid w:val="008B3F87"/>
    <w:rsid w:val="008B42BA"/>
    <w:rsid w:val="008B4602"/>
    <w:rsid w:val="008B5C7E"/>
    <w:rsid w:val="008B6254"/>
    <w:rsid w:val="008B7321"/>
    <w:rsid w:val="008B794D"/>
    <w:rsid w:val="008C01A1"/>
    <w:rsid w:val="008C0407"/>
    <w:rsid w:val="008C0539"/>
    <w:rsid w:val="008C0BE0"/>
    <w:rsid w:val="008C0DB1"/>
    <w:rsid w:val="008C0DEC"/>
    <w:rsid w:val="008C1030"/>
    <w:rsid w:val="008C1977"/>
    <w:rsid w:val="008C2BB2"/>
    <w:rsid w:val="008C2D04"/>
    <w:rsid w:val="008C3B6D"/>
    <w:rsid w:val="008C3ED7"/>
    <w:rsid w:val="008C42A3"/>
    <w:rsid w:val="008C4315"/>
    <w:rsid w:val="008C4AB0"/>
    <w:rsid w:val="008C55A1"/>
    <w:rsid w:val="008C5771"/>
    <w:rsid w:val="008C5FF1"/>
    <w:rsid w:val="008C632A"/>
    <w:rsid w:val="008C68D3"/>
    <w:rsid w:val="008C68D5"/>
    <w:rsid w:val="008C6E88"/>
    <w:rsid w:val="008C7CD9"/>
    <w:rsid w:val="008D0186"/>
    <w:rsid w:val="008D08E2"/>
    <w:rsid w:val="008D0A21"/>
    <w:rsid w:val="008D180B"/>
    <w:rsid w:val="008D1AF6"/>
    <w:rsid w:val="008D1BA0"/>
    <w:rsid w:val="008D225A"/>
    <w:rsid w:val="008D2E3D"/>
    <w:rsid w:val="008D32D2"/>
    <w:rsid w:val="008D338D"/>
    <w:rsid w:val="008D3669"/>
    <w:rsid w:val="008D3897"/>
    <w:rsid w:val="008D4BD3"/>
    <w:rsid w:val="008D5A95"/>
    <w:rsid w:val="008D5DF5"/>
    <w:rsid w:val="008D7841"/>
    <w:rsid w:val="008D7970"/>
    <w:rsid w:val="008E0AF3"/>
    <w:rsid w:val="008E1474"/>
    <w:rsid w:val="008E1666"/>
    <w:rsid w:val="008E1D12"/>
    <w:rsid w:val="008E26CC"/>
    <w:rsid w:val="008E3341"/>
    <w:rsid w:val="008E3881"/>
    <w:rsid w:val="008E4763"/>
    <w:rsid w:val="008E498C"/>
    <w:rsid w:val="008E4D39"/>
    <w:rsid w:val="008E52AE"/>
    <w:rsid w:val="008E52FC"/>
    <w:rsid w:val="008E58CC"/>
    <w:rsid w:val="008E59B6"/>
    <w:rsid w:val="008E5CB9"/>
    <w:rsid w:val="008E6FD1"/>
    <w:rsid w:val="008E765C"/>
    <w:rsid w:val="008E7892"/>
    <w:rsid w:val="008F0327"/>
    <w:rsid w:val="008F0479"/>
    <w:rsid w:val="008F05FD"/>
    <w:rsid w:val="008F0B59"/>
    <w:rsid w:val="008F0CA5"/>
    <w:rsid w:val="008F125B"/>
    <w:rsid w:val="008F28F7"/>
    <w:rsid w:val="008F3162"/>
    <w:rsid w:val="008F426E"/>
    <w:rsid w:val="008F43B1"/>
    <w:rsid w:val="008F4A2C"/>
    <w:rsid w:val="008F5272"/>
    <w:rsid w:val="008F5C56"/>
    <w:rsid w:val="008F5FDF"/>
    <w:rsid w:val="008F6FAB"/>
    <w:rsid w:val="008F7051"/>
    <w:rsid w:val="008F76A1"/>
    <w:rsid w:val="008F7832"/>
    <w:rsid w:val="008F7A43"/>
    <w:rsid w:val="00900ABA"/>
    <w:rsid w:val="00900AEC"/>
    <w:rsid w:val="00900B6C"/>
    <w:rsid w:val="00901F88"/>
    <w:rsid w:val="00902823"/>
    <w:rsid w:val="00902959"/>
    <w:rsid w:val="009029E1"/>
    <w:rsid w:val="00902B9B"/>
    <w:rsid w:val="00903F23"/>
    <w:rsid w:val="00904446"/>
    <w:rsid w:val="0090709A"/>
    <w:rsid w:val="00907756"/>
    <w:rsid w:val="00907BDC"/>
    <w:rsid w:val="009109F3"/>
    <w:rsid w:val="009109F4"/>
    <w:rsid w:val="00912139"/>
    <w:rsid w:val="00913550"/>
    <w:rsid w:val="00914889"/>
    <w:rsid w:val="00914E93"/>
    <w:rsid w:val="00915302"/>
    <w:rsid w:val="00915844"/>
    <w:rsid w:val="00915C69"/>
    <w:rsid w:val="00915E0A"/>
    <w:rsid w:val="00916157"/>
    <w:rsid w:val="00916AC9"/>
    <w:rsid w:val="00916B22"/>
    <w:rsid w:val="0091717C"/>
    <w:rsid w:val="009172FD"/>
    <w:rsid w:val="0091730D"/>
    <w:rsid w:val="00917408"/>
    <w:rsid w:val="009200A8"/>
    <w:rsid w:val="0092099C"/>
    <w:rsid w:val="00920B52"/>
    <w:rsid w:val="00920C7E"/>
    <w:rsid w:val="0092104E"/>
    <w:rsid w:val="00921BB2"/>
    <w:rsid w:val="00922B42"/>
    <w:rsid w:val="009248B0"/>
    <w:rsid w:val="00924F3C"/>
    <w:rsid w:val="00925050"/>
    <w:rsid w:val="009258CB"/>
    <w:rsid w:val="00925C6F"/>
    <w:rsid w:val="00927088"/>
    <w:rsid w:val="009274AD"/>
    <w:rsid w:val="00927849"/>
    <w:rsid w:val="00927DBC"/>
    <w:rsid w:val="00930492"/>
    <w:rsid w:val="009309EC"/>
    <w:rsid w:val="00931B53"/>
    <w:rsid w:val="00932218"/>
    <w:rsid w:val="00932289"/>
    <w:rsid w:val="009325AF"/>
    <w:rsid w:val="0093294C"/>
    <w:rsid w:val="009329A7"/>
    <w:rsid w:val="00933DB6"/>
    <w:rsid w:val="0093411D"/>
    <w:rsid w:val="0093446B"/>
    <w:rsid w:val="009345F7"/>
    <w:rsid w:val="00934C46"/>
    <w:rsid w:val="009351F8"/>
    <w:rsid w:val="00935455"/>
    <w:rsid w:val="00935A4C"/>
    <w:rsid w:val="00936241"/>
    <w:rsid w:val="009363D0"/>
    <w:rsid w:val="00936438"/>
    <w:rsid w:val="0093743E"/>
    <w:rsid w:val="00937784"/>
    <w:rsid w:val="00937A52"/>
    <w:rsid w:val="0094043D"/>
    <w:rsid w:val="00942404"/>
    <w:rsid w:val="009426E0"/>
    <w:rsid w:val="0094282D"/>
    <w:rsid w:val="00942AD0"/>
    <w:rsid w:val="00943473"/>
    <w:rsid w:val="00943B85"/>
    <w:rsid w:val="00943FEF"/>
    <w:rsid w:val="0094404B"/>
    <w:rsid w:val="00944C4B"/>
    <w:rsid w:val="009477F6"/>
    <w:rsid w:val="00947A3C"/>
    <w:rsid w:val="00950A72"/>
    <w:rsid w:val="00950DEE"/>
    <w:rsid w:val="00950EDD"/>
    <w:rsid w:val="00950F0D"/>
    <w:rsid w:val="009510C9"/>
    <w:rsid w:val="00951497"/>
    <w:rsid w:val="00951573"/>
    <w:rsid w:val="00951B5B"/>
    <w:rsid w:val="00951CF3"/>
    <w:rsid w:val="00951E40"/>
    <w:rsid w:val="00954545"/>
    <w:rsid w:val="00954F1E"/>
    <w:rsid w:val="009556D4"/>
    <w:rsid w:val="0095576E"/>
    <w:rsid w:val="00955AFB"/>
    <w:rsid w:val="009560AE"/>
    <w:rsid w:val="009565A5"/>
    <w:rsid w:val="00960001"/>
    <w:rsid w:val="00960B51"/>
    <w:rsid w:val="00962073"/>
    <w:rsid w:val="009621D0"/>
    <w:rsid w:val="009623AE"/>
    <w:rsid w:val="0096305E"/>
    <w:rsid w:val="00964030"/>
    <w:rsid w:val="009658E9"/>
    <w:rsid w:val="00965944"/>
    <w:rsid w:val="009663AA"/>
    <w:rsid w:val="00966453"/>
    <w:rsid w:val="009668F1"/>
    <w:rsid w:val="009672D9"/>
    <w:rsid w:val="009675AD"/>
    <w:rsid w:val="00967905"/>
    <w:rsid w:val="00970540"/>
    <w:rsid w:val="009719F5"/>
    <w:rsid w:val="00971EFE"/>
    <w:rsid w:val="00971F9F"/>
    <w:rsid w:val="00973299"/>
    <w:rsid w:val="00973DCE"/>
    <w:rsid w:val="0097405D"/>
    <w:rsid w:val="00974068"/>
    <w:rsid w:val="0097490D"/>
    <w:rsid w:val="00974AA1"/>
    <w:rsid w:val="00974E18"/>
    <w:rsid w:val="009756C9"/>
    <w:rsid w:val="00975CCF"/>
    <w:rsid w:val="00976372"/>
    <w:rsid w:val="00976472"/>
    <w:rsid w:val="009765B0"/>
    <w:rsid w:val="0097680E"/>
    <w:rsid w:val="0097711F"/>
    <w:rsid w:val="0097723F"/>
    <w:rsid w:val="00977282"/>
    <w:rsid w:val="00977614"/>
    <w:rsid w:val="00977AB9"/>
    <w:rsid w:val="00977C9F"/>
    <w:rsid w:val="00981282"/>
    <w:rsid w:val="00981593"/>
    <w:rsid w:val="0098182B"/>
    <w:rsid w:val="009819AD"/>
    <w:rsid w:val="00982289"/>
    <w:rsid w:val="00982E48"/>
    <w:rsid w:val="0098363D"/>
    <w:rsid w:val="00983655"/>
    <w:rsid w:val="009838C0"/>
    <w:rsid w:val="00984138"/>
    <w:rsid w:val="009849AF"/>
    <w:rsid w:val="00984B81"/>
    <w:rsid w:val="00985184"/>
    <w:rsid w:val="009851D4"/>
    <w:rsid w:val="0098588F"/>
    <w:rsid w:val="00985D94"/>
    <w:rsid w:val="00985E4E"/>
    <w:rsid w:val="0098653E"/>
    <w:rsid w:val="00986E87"/>
    <w:rsid w:val="00986F4E"/>
    <w:rsid w:val="0098708A"/>
    <w:rsid w:val="00987B6D"/>
    <w:rsid w:val="00990268"/>
    <w:rsid w:val="009907A5"/>
    <w:rsid w:val="00991953"/>
    <w:rsid w:val="00991A02"/>
    <w:rsid w:val="00991CF9"/>
    <w:rsid w:val="00992545"/>
    <w:rsid w:val="0099257C"/>
    <w:rsid w:val="00992BAE"/>
    <w:rsid w:val="00992F53"/>
    <w:rsid w:val="009933D0"/>
    <w:rsid w:val="009935CA"/>
    <w:rsid w:val="00993D6A"/>
    <w:rsid w:val="00993F60"/>
    <w:rsid w:val="00994B46"/>
    <w:rsid w:val="00995C8C"/>
    <w:rsid w:val="00996446"/>
    <w:rsid w:val="00996E88"/>
    <w:rsid w:val="00996E8C"/>
    <w:rsid w:val="0099712F"/>
    <w:rsid w:val="0099715E"/>
    <w:rsid w:val="00997343"/>
    <w:rsid w:val="009973F4"/>
    <w:rsid w:val="009A08BC"/>
    <w:rsid w:val="009A0F44"/>
    <w:rsid w:val="009A2F57"/>
    <w:rsid w:val="009A531C"/>
    <w:rsid w:val="009A5F61"/>
    <w:rsid w:val="009A6531"/>
    <w:rsid w:val="009A65A3"/>
    <w:rsid w:val="009A6E62"/>
    <w:rsid w:val="009A7077"/>
    <w:rsid w:val="009A7DBA"/>
    <w:rsid w:val="009B0D40"/>
    <w:rsid w:val="009B0F35"/>
    <w:rsid w:val="009B13F1"/>
    <w:rsid w:val="009B17A8"/>
    <w:rsid w:val="009B20B8"/>
    <w:rsid w:val="009B28E2"/>
    <w:rsid w:val="009B3D3F"/>
    <w:rsid w:val="009B3DB9"/>
    <w:rsid w:val="009B3E84"/>
    <w:rsid w:val="009B4B50"/>
    <w:rsid w:val="009B5473"/>
    <w:rsid w:val="009B5516"/>
    <w:rsid w:val="009B6019"/>
    <w:rsid w:val="009B642A"/>
    <w:rsid w:val="009B644C"/>
    <w:rsid w:val="009B676D"/>
    <w:rsid w:val="009B69BF"/>
    <w:rsid w:val="009B6F33"/>
    <w:rsid w:val="009B79B8"/>
    <w:rsid w:val="009B7A19"/>
    <w:rsid w:val="009B7B3A"/>
    <w:rsid w:val="009C038F"/>
    <w:rsid w:val="009C07F0"/>
    <w:rsid w:val="009C0D92"/>
    <w:rsid w:val="009C0EA5"/>
    <w:rsid w:val="009C125E"/>
    <w:rsid w:val="009C1B47"/>
    <w:rsid w:val="009C203D"/>
    <w:rsid w:val="009C26CF"/>
    <w:rsid w:val="009C315D"/>
    <w:rsid w:val="009C35EF"/>
    <w:rsid w:val="009C37FE"/>
    <w:rsid w:val="009C3EA2"/>
    <w:rsid w:val="009C3FB0"/>
    <w:rsid w:val="009C4FA7"/>
    <w:rsid w:val="009C51A1"/>
    <w:rsid w:val="009C5465"/>
    <w:rsid w:val="009C6056"/>
    <w:rsid w:val="009C7058"/>
    <w:rsid w:val="009C7866"/>
    <w:rsid w:val="009D02E2"/>
    <w:rsid w:val="009D06F2"/>
    <w:rsid w:val="009D10C0"/>
    <w:rsid w:val="009D126B"/>
    <w:rsid w:val="009D1457"/>
    <w:rsid w:val="009D1910"/>
    <w:rsid w:val="009D1A97"/>
    <w:rsid w:val="009D20AF"/>
    <w:rsid w:val="009D23C9"/>
    <w:rsid w:val="009D2787"/>
    <w:rsid w:val="009D2CFA"/>
    <w:rsid w:val="009D40E7"/>
    <w:rsid w:val="009D458F"/>
    <w:rsid w:val="009D4FE9"/>
    <w:rsid w:val="009D5F40"/>
    <w:rsid w:val="009D6F9A"/>
    <w:rsid w:val="009D72BB"/>
    <w:rsid w:val="009D7C8D"/>
    <w:rsid w:val="009E04EE"/>
    <w:rsid w:val="009E15E2"/>
    <w:rsid w:val="009E1F75"/>
    <w:rsid w:val="009E2A28"/>
    <w:rsid w:val="009E2A36"/>
    <w:rsid w:val="009E2A8C"/>
    <w:rsid w:val="009E2C60"/>
    <w:rsid w:val="009E3013"/>
    <w:rsid w:val="009E3457"/>
    <w:rsid w:val="009E4202"/>
    <w:rsid w:val="009E4D82"/>
    <w:rsid w:val="009E4E39"/>
    <w:rsid w:val="009E507D"/>
    <w:rsid w:val="009E5287"/>
    <w:rsid w:val="009E5ADF"/>
    <w:rsid w:val="009E6707"/>
    <w:rsid w:val="009E695F"/>
    <w:rsid w:val="009E6C40"/>
    <w:rsid w:val="009E71FF"/>
    <w:rsid w:val="009E78FC"/>
    <w:rsid w:val="009E7C3A"/>
    <w:rsid w:val="009F0C9E"/>
    <w:rsid w:val="009F103D"/>
    <w:rsid w:val="009F1DBD"/>
    <w:rsid w:val="009F2498"/>
    <w:rsid w:val="009F276E"/>
    <w:rsid w:val="009F2B81"/>
    <w:rsid w:val="009F39C4"/>
    <w:rsid w:val="009F3B7B"/>
    <w:rsid w:val="009F3C8B"/>
    <w:rsid w:val="009F4802"/>
    <w:rsid w:val="009F5CCC"/>
    <w:rsid w:val="009F5D31"/>
    <w:rsid w:val="009F623E"/>
    <w:rsid w:val="009F639A"/>
    <w:rsid w:val="009F63A2"/>
    <w:rsid w:val="009F6647"/>
    <w:rsid w:val="009F668B"/>
    <w:rsid w:val="009F66B9"/>
    <w:rsid w:val="009F6B57"/>
    <w:rsid w:val="009F6EA0"/>
    <w:rsid w:val="009F7083"/>
    <w:rsid w:val="009F7213"/>
    <w:rsid w:val="009F7393"/>
    <w:rsid w:val="00A00722"/>
    <w:rsid w:val="00A00D72"/>
    <w:rsid w:val="00A0122E"/>
    <w:rsid w:val="00A01C16"/>
    <w:rsid w:val="00A02266"/>
    <w:rsid w:val="00A02D9E"/>
    <w:rsid w:val="00A04251"/>
    <w:rsid w:val="00A04945"/>
    <w:rsid w:val="00A04E99"/>
    <w:rsid w:val="00A0528F"/>
    <w:rsid w:val="00A06560"/>
    <w:rsid w:val="00A06D24"/>
    <w:rsid w:val="00A07232"/>
    <w:rsid w:val="00A07863"/>
    <w:rsid w:val="00A078C0"/>
    <w:rsid w:val="00A07BB7"/>
    <w:rsid w:val="00A07D96"/>
    <w:rsid w:val="00A10B20"/>
    <w:rsid w:val="00A10B3B"/>
    <w:rsid w:val="00A10E26"/>
    <w:rsid w:val="00A11E7B"/>
    <w:rsid w:val="00A12018"/>
    <w:rsid w:val="00A12644"/>
    <w:rsid w:val="00A12A57"/>
    <w:rsid w:val="00A12B14"/>
    <w:rsid w:val="00A12D75"/>
    <w:rsid w:val="00A12E77"/>
    <w:rsid w:val="00A13300"/>
    <w:rsid w:val="00A138C5"/>
    <w:rsid w:val="00A13FF1"/>
    <w:rsid w:val="00A141A9"/>
    <w:rsid w:val="00A14C3B"/>
    <w:rsid w:val="00A14E3C"/>
    <w:rsid w:val="00A14E67"/>
    <w:rsid w:val="00A14EBB"/>
    <w:rsid w:val="00A15667"/>
    <w:rsid w:val="00A15A71"/>
    <w:rsid w:val="00A15CC6"/>
    <w:rsid w:val="00A174D4"/>
    <w:rsid w:val="00A175E8"/>
    <w:rsid w:val="00A17D95"/>
    <w:rsid w:val="00A2192E"/>
    <w:rsid w:val="00A21935"/>
    <w:rsid w:val="00A21C26"/>
    <w:rsid w:val="00A21CC6"/>
    <w:rsid w:val="00A22D5D"/>
    <w:rsid w:val="00A2467F"/>
    <w:rsid w:val="00A252DC"/>
    <w:rsid w:val="00A257C2"/>
    <w:rsid w:val="00A3123E"/>
    <w:rsid w:val="00A31AF8"/>
    <w:rsid w:val="00A31B72"/>
    <w:rsid w:val="00A32319"/>
    <w:rsid w:val="00A32673"/>
    <w:rsid w:val="00A3287A"/>
    <w:rsid w:val="00A33643"/>
    <w:rsid w:val="00A3366B"/>
    <w:rsid w:val="00A33780"/>
    <w:rsid w:val="00A33EFF"/>
    <w:rsid w:val="00A3404F"/>
    <w:rsid w:val="00A35CBE"/>
    <w:rsid w:val="00A3628C"/>
    <w:rsid w:val="00A370D2"/>
    <w:rsid w:val="00A37650"/>
    <w:rsid w:val="00A3794C"/>
    <w:rsid w:val="00A405F0"/>
    <w:rsid w:val="00A40F4D"/>
    <w:rsid w:val="00A410F9"/>
    <w:rsid w:val="00A4193D"/>
    <w:rsid w:val="00A427B8"/>
    <w:rsid w:val="00A43B5D"/>
    <w:rsid w:val="00A44C32"/>
    <w:rsid w:val="00A44DB1"/>
    <w:rsid w:val="00A45802"/>
    <w:rsid w:val="00A45C85"/>
    <w:rsid w:val="00A46683"/>
    <w:rsid w:val="00A46B45"/>
    <w:rsid w:val="00A4712A"/>
    <w:rsid w:val="00A47387"/>
    <w:rsid w:val="00A4743D"/>
    <w:rsid w:val="00A47AF6"/>
    <w:rsid w:val="00A50D83"/>
    <w:rsid w:val="00A50E4C"/>
    <w:rsid w:val="00A51633"/>
    <w:rsid w:val="00A51711"/>
    <w:rsid w:val="00A5188E"/>
    <w:rsid w:val="00A51A5F"/>
    <w:rsid w:val="00A51BCE"/>
    <w:rsid w:val="00A51DEF"/>
    <w:rsid w:val="00A51F6D"/>
    <w:rsid w:val="00A52E13"/>
    <w:rsid w:val="00A5412A"/>
    <w:rsid w:val="00A542B3"/>
    <w:rsid w:val="00A54655"/>
    <w:rsid w:val="00A559CE"/>
    <w:rsid w:val="00A560B7"/>
    <w:rsid w:val="00A56D90"/>
    <w:rsid w:val="00A56DE7"/>
    <w:rsid w:val="00A57570"/>
    <w:rsid w:val="00A57C8C"/>
    <w:rsid w:val="00A60C1B"/>
    <w:rsid w:val="00A615D5"/>
    <w:rsid w:val="00A61E63"/>
    <w:rsid w:val="00A62DB9"/>
    <w:rsid w:val="00A63877"/>
    <w:rsid w:val="00A64986"/>
    <w:rsid w:val="00A65B64"/>
    <w:rsid w:val="00A65BCE"/>
    <w:rsid w:val="00A66A4A"/>
    <w:rsid w:val="00A670E0"/>
    <w:rsid w:val="00A6778B"/>
    <w:rsid w:val="00A701AB"/>
    <w:rsid w:val="00A709F6"/>
    <w:rsid w:val="00A70B90"/>
    <w:rsid w:val="00A718DC"/>
    <w:rsid w:val="00A720F4"/>
    <w:rsid w:val="00A724C0"/>
    <w:rsid w:val="00A726CD"/>
    <w:rsid w:val="00A72A6E"/>
    <w:rsid w:val="00A72A78"/>
    <w:rsid w:val="00A72B84"/>
    <w:rsid w:val="00A73543"/>
    <w:rsid w:val="00A74B9D"/>
    <w:rsid w:val="00A74E50"/>
    <w:rsid w:val="00A74E91"/>
    <w:rsid w:val="00A75292"/>
    <w:rsid w:val="00A764FB"/>
    <w:rsid w:val="00A7697B"/>
    <w:rsid w:val="00A801B8"/>
    <w:rsid w:val="00A802BE"/>
    <w:rsid w:val="00A81448"/>
    <w:rsid w:val="00A81B74"/>
    <w:rsid w:val="00A81BAE"/>
    <w:rsid w:val="00A82BD1"/>
    <w:rsid w:val="00A83271"/>
    <w:rsid w:val="00A8371C"/>
    <w:rsid w:val="00A83814"/>
    <w:rsid w:val="00A83892"/>
    <w:rsid w:val="00A839E4"/>
    <w:rsid w:val="00A83C13"/>
    <w:rsid w:val="00A83D8A"/>
    <w:rsid w:val="00A83EE4"/>
    <w:rsid w:val="00A84359"/>
    <w:rsid w:val="00A84478"/>
    <w:rsid w:val="00A845C0"/>
    <w:rsid w:val="00A85649"/>
    <w:rsid w:val="00A857D8"/>
    <w:rsid w:val="00A85807"/>
    <w:rsid w:val="00A85B7C"/>
    <w:rsid w:val="00A85C65"/>
    <w:rsid w:val="00A85EE0"/>
    <w:rsid w:val="00A867F9"/>
    <w:rsid w:val="00A870D8"/>
    <w:rsid w:val="00A87141"/>
    <w:rsid w:val="00A8797F"/>
    <w:rsid w:val="00A9003C"/>
    <w:rsid w:val="00A9032F"/>
    <w:rsid w:val="00A903E8"/>
    <w:rsid w:val="00A9047F"/>
    <w:rsid w:val="00A90B49"/>
    <w:rsid w:val="00A90B79"/>
    <w:rsid w:val="00A90D64"/>
    <w:rsid w:val="00A91023"/>
    <w:rsid w:val="00A91D00"/>
    <w:rsid w:val="00A91F92"/>
    <w:rsid w:val="00A92287"/>
    <w:rsid w:val="00A922E4"/>
    <w:rsid w:val="00A926BB"/>
    <w:rsid w:val="00A927D2"/>
    <w:rsid w:val="00A92978"/>
    <w:rsid w:val="00A93E04"/>
    <w:rsid w:val="00A94779"/>
    <w:rsid w:val="00A94929"/>
    <w:rsid w:val="00A94B02"/>
    <w:rsid w:val="00A954CD"/>
    <w:rsid w:val="00A954F8"/>
    <w:rsid w:val="00A95794"/>
    <w:rsid w:val="00A95E50"/>
    <w:rsid w:val="00A96135"/>
    <w:rsid w:val="00A96628"/>
    <w:rsid w:val="00A97139"/>
    <w:rsid w:val="00A979B0"/>
    <w:rsid w:val="00A97DC3"/>
    <w:rsid w:val="00A97FE0"/>
    <w:rsid w:val="00AA0636"/>
    <w:rsid w:val="00AA1F3B"/>
    <w:rsid w:val="00AA2B98"/>
    <w:rsid w:val="00AA31E8"/>
    <w:rsid w:val="00AA3A20"/>
    <w:rsid w:val="00AA482F"/>
    <w:rsid w:val="00AA6466"/>
    <w:rsid w:val="00AA64B3"/>
    <w:rsid w:val="00AA6B8C"/>
    <w:rsid w:val="00AA6D9E"/>
    <w:rsid w:val="00AB00A1"/>
    <w:rsid w:val="00AB17DE"/>
    <w:rsid w:val="00AB1B5C"/>
    <w:rsid w:val="00AB215E"/>
    <w:rsid w:val="00AB28B4"/>
    <w:rsid w:val="00AB3A0A"/>
    <w:rsid w:val="00AB3EE2"/>
    <w:rsid w:val="00AB4A7E"/>
    <w:rsid w:val="00AB5962"/>
    <w:rsid w:val="00AB6508"/>
    <w:rsid w:val="00AB69C0"/>
    <w:rsid w:val="00AB7120"/>
    <w:rsid w:val="00AC0AAA"/>
    <w:rsid w:val="00AC10A6"/>
    <w:rsid w:val="00AC193B"/>
    <w:rsid w:val="00AC1961"/>
    <w:rsid w:val="00AC1E21"/>
    <w:rsid w:val="00AC21DD"/>
    <w:rsid w:val="00AC2742"/>
    <w:rsid w:val="00AC290A"/>
    <w:rsid w:val="00AC2C9A"/>
    <w:rsid w:val="00AC3775"/>
    <w:rsid w:val="00AC39B8"/>
    <w:rsid w:val="00AC3B5D"/>
    <w:rsid w:val="00AC4B51"/>
    <w:rsid w:val="00AC4BC2"/>
    <w:rsid w:val="00AC4F3C"/>
    <w:rsid w:val="00AC512C"/>
    <w:rsid w:val="00AC595E"/>
    <w:rsid w:val="00AC59FB"/>
    <w:rsid w:val="00AC6666"/>
    <w:rsid w:val="00AC6B07"/>
    <w:rsid w:val="00AC7422"/>
    <w:rsid w:val="00AD0976"/>
    <w:rsid w:val="00AD0F00"/>
    <w:rsid w:val="00AD219E"/>
    <w:rsid w:val="00AD2403"/>
    <w:rsid w:val="00AD34F7"/>
    <w:rsid w:val="00AD40E8"/>
    <w:rsid w:val="00AD4D81"/>
    <w:rsid w:val="00AD5C4D"/>
    <w:rsid w:val="00AD5C5F"/>
    <w:rsid w:val="00AD5F7D"/>
    <w:rsid w:val="00AD6532"/>
    <w:rsid w:val="00AD6548"/>
    <w:rsid w:val="00AD79D5"/>
    <w:rsid w:val="00AD7F9C"/>
    <w:rsid w:val="00AE1204"/>
    <w:rsid w:val="00AE145F"/>
    <w:rsid w:val="00AE235A"/>
    <w:rsid w:val="00AE2990"/>
    <w:rsid w:val="00AE2B5D"/>
    <w:rsid w:val="00AE3260"/>
    <w:rsid w:val="00AE34FE"/>
    <w:rsid w:val="00AE3603"/>
    <w:rsid w:val="00AE47F1"/>
    <w:rsid w:val="00AE48AD"/>
    <w:rsid w:val="00AE4D06"/>
    <w:rsid w:val="00AE5109"/>
    <w:rsid w:val="00AE59A3"/>
    <w:rsid w:val="00AE59C9"/>
    <w:rsid w:val="00AE59F8"/>
    <w:rsid w:val="00AE5E2F"/>
    <w:rsid w:val="00AE7CF5"/>
    <w:rsid w:val="00AF05E4"/>
    <w:rsid w:val="00AF0D62"/>
    <w:rsid w:val="00AF15BA"/>
    <w:rsid w:val="00AF22C8"/>
    <w:rsid w:val="00AF2C82"/>
    <w:rsid w:val="00AF2C8D"/>
    <w:rsid w:val="00AF2FE9"/>
    <w:rsid w:val="00AF336D"/>
    <w:rsid w:val="00AF3604"/>
    <w:rsid w:val="00AF36EA"/>
    <w:rsid w:val="00AF5B64"/>
    <w:rsid w:val="00AF5FD5"/>
    <w:rsid w:val="00AF7251"/>
    <w:rsid w:val="00AF753D"/>
    <w:rsid w:val="00AF7C9D"/>
    <w:rsid w:val="00AF7F0A"/>
    <w:rsid w:val="00B0058A"/>
    <w:rsid w:val="00B00C62"/>
    <w:rsid w:val="00B00E17"/>
    <w:rsid w:val="00B00E82"/>
    <w:rsid w:val="00B010ED"/>
    <w:rsid w:val="00B01279"/>
    <w:rsid w:val="00B014F9"/>
    <w:rsid w:val="00B0193C"/>
    <w:rsid w:val="00B019F3"/>
    <w:rsid w:val="00B01B6F"/>
    <w:rsid w:val="00B01C9D"/>
    <w:rsid w:val="00B0203F"/>
    <w:rsid w:val="00B033E0"/>
    <w:rsid w:val="00B03563"/>
    <w:rsid w:val="00B03BD7"/>
    <w:rsid w:val="00B04242"/>
    <w:rsid w:val="00B049CF"/>
    <w:rsid w:val="00B05B5C"/>
    <w:rsid w:val="00B0646F"/>
    <w:rsid w:val="00B06C2B"/>
    <w:rsid w:val="00B07A11"/>
    <w:rsid w:val="00B07B54"/>
    <w:rsid w:val="00B10BBD"/>
    <w:rsid w:val="00B115E7"/>
    <w:rsid w:val="00B1173A"/>
    <w:rsid w:val="00B11772"/>
    <w:rsid w:val="00B11F97"/>
    <w:rsid w:val="00B12E7E"/>
    <w:rsid w:val="00B13689"/>
    <w:rsid w:val="00B13AF5"/>
    <w:rsid w:val="00B13AFD"/>
    <w:rsid w:val="00B13F0F"/>
    <w:rsid w:val="00B147E1"/>
    <w:rsid w:val="00B153D0"/>
    <w:rsid w:val="00B15703"/>
    <w:rsid w:val="00B1670D"/>
    <w:rsid w:val="00B168BD"/>
    <w:rsid w:val="00B1705B"/>
    <w:rsid w:val="00B176B4"/>
    <w:rsid w:val="00B17F7E"/>
    <w:rsid w:val="00B20D3F"/>
    <w:rsid w:val="00B21141"/>
    <w:rsid w:val="00B21456"/>
    <w:rsid w:val="00B21527"/>
    <w:rsid w:val="00B21C45"/>
    <w:rsid w:val="00B21FDE"/>
    <w:rsid w:val="00B22912"/>
    <w:rsid w:val="00B233ED"/>
    <w:rsid w:val="00B23C86"/>
    <w:rsid w:val="00B24684"/>
    <w:rsid w:val="00B24C46"/>
    <w:rsid w:val="00B25546"/>
    <w:rsid w:val="00B25CE9"/>
    <w:rsid w:val="00B26320"/>
    <w:rsid w:val="00B2656E"/>
    <w:rsid w:val="00B27019"/>
    <w:rsid w:val="00B27E7A"/>
    <w:rsid w:val="00B30EC1"/>
    <w:rsid w:val="00B3257D"/>
    <w:rsid w:val="00B335AC"/>
    <w:rsid w:val="00B33954"/>
    <w:rsid w:val="00B33E81"/>
    <w:rsid w:val="00B34021"/>
    <w:rsid w:val="00B34041"/>
    <w:rsid w:val="00B34821"/>
    <w:rsid w:val="00B3524C"/>
    <w:rsid w:val="00B360C5"/>
    <w:rsid w:val="00B36A5F"/>
    <w:rsid w:val="00B36F2F"/>
    <w:rsid w:val="00B37AF9"/>
    <w:rsid w:val="00B417A7"/>
    <w:rsid w:val="00B419CA"/>
    <w:rsid w:val="00B419EA"/>
    <w:rsid w:val="00B422D2"/>
    <w:rsid w:val="00B43829"/>
    <w:rsid w:val="00B43B35"/>
    <w:rsid w:val="00B44342"/>
    <w:rsid w:val="00B44418"/>
    <w:rsid w:val="00B4540B"/>
    <w:rsid w:val="00B454C1"/>
    <w:rsid w:val="00B459D3"/>
    <w:rsid w:val="00B4659C"/>
    <w:rsid w:val="00B465FF"/>
    <w:rsid w:val="00B46E61"/>
    <w:rsid w:val="00B47488"/>
    <w:rsid w:val="00B47C51"/>
    <w:rsid w:val="00B47D4B"/>
    <w:rsid w:val="00B47ED2"/>
    <w:rsid w:val="00B50033"/>
    <w:rsid w:val="00B50F66"/>
    <w:rsid w:val="00B513D1"/>
    <w:rsid w:val="00B52004"/>
    <w:rsid w:val="00B522F5"/>
    <w:rsid w:val="00B52B6A"/>
    <w:rsid w:val="00B52F75"/>
    <w:rsid w:val="00B53EC0"/>
    <w:rsid w:val="00B5490B"/>
    <w:rsid w:val="00B55C90"/>
    <w:rsid w:val="00B55EF2"/>
    <w:rsid w:val="00B56564"/>
    <w:rsid w:val="00B56645"/>
    <w:rsid w:val="00B56DBA"/>
    <w:rsid w:val="00B56EAE"/>
    <w:rsid w:val="00B57DEF"/>
    <w:rsid w:val="00B6028A"/>
    <w:rsid w:val="00B60F57"/>
    <w:rsid w:val="00B623BC"/>
    <w:rsid w:val="00B62B15"/>
    <w:rsid w:val="00B62CEB"/>
    <w:rsid w:val="00B6330D"/>
    <w:rsid w:val="00B6342C"/>
    <w:rsid w:val="00B63553"/>
    <w:rsid w:val="00B6374D"/>
    <w:rsid w:val="00B63FC4"/>
    <w:rsid w:val="00B64044"/>
    <w:rsid w:val="00B64186"/>
    <w:rsid w:val="00B64AD0"/>
    <w:rsid w:val="00B64EE3"/>
    <w:rsid w:val="00B6551D"/>
    <w:rsid w:val="00B6591C"/>
    <w:rsid w:val="00B65E1F"/>
    <w:rsid w:val="00B65E52"/>
    <w:rsid w:val="00B668D2"/>
    <w:rsid w:val="00B67037"/>
    <w:rsid w:val="00B67DA7"/>
    <w:rsid w:val="00B70BA1"/>
    <w:rsid w:val="00B70D84"/>
    <w:rsid w:val="00B72696"/>
    <w:rsid w:val="00B72B5D"/>
    <w:rsid w:val="00B735EA"/>
    <w:rsid w:val="00B738F9"/>
    <w:rsid w:val="00B73ADB"/>
    <w:rsid w:val="00B73C75"/>
    <w:rsid w:val="00B73CF4"/>
    <w:rsid w:val="00B73E44"/>
    <w:rsid w:val="00B749B3"/>
    <w:rsid w:val="00B757C1"/>
    <w:rsid w:val="00B75A8C"/>
    <w:rsid w:val="00B75EB3"/>
    <w:rsid w:val="00B761CA"/>
    <w:rsid w:val="00B76487"/>
    <w:rsid w:val="00B765BA"/>
    <w:rsid w:val="00B7704F"/>
    <w:rsid w:val="00B7727F"/>
    <w:rsid w:val="00B77B5A"/>
    <w:rsid w:val="00B801C4"/>
    <w:rsid w:val="00B805DF"/>
    <w:rsid w:val="00B8077C"/>
    <w:rsid w:val="00B80E82"/>
    <w:rsid w:val="00B816CB"/>
    <w:rsid w:val="00B82A49"/>
    <w:rsid w:val="00B83426"/>
    <w:rsid w:val="00B834AA"/>
    <w:rsid w:val="00B84436"/>
    <w:rsid w:val="00B84560"/>
    <w:rsid w:val="00B84E91"/>
    <w:rsid w:val="00B855D8"/>
    <w:rsid w:val="00B85A82"/>
    <w:rsid w:val="00B86486"/>
    <w:rsid w:val="00B867D2"/>
    <w:rsid w:val="00B86F2C"/>
    <w:rsid w:val="00B87099"/>
    <w:rsid w:val="00B872CE"/>
    <w:rsid w:val="00B87B01"/>
    <w:rsid w:val="00B87D8E"/>
    <w:rsid w:val="00B907C5"/>
    <w:rsid w:val="00B9098E"/>
    <w:rsid w:val="00B91A61"/>
    <w:rsid w:val="00B92B38"/>
    <w:rsid w:val="00B937FD"/>
    <w:rsid w:val="00B938FE"/>
    <w:rsid w:val="00B94247"/>
    <w:rsid w:val="00B96151"/>
    <w:rsid w:val="00B96DE4"/>
    <w:rsid w:val="00B971A9"/>
    <w:rsid w:val="00B972A9"/>
    <w:rsid w:val="00B97486"/>
    <w:rsid w:val="00BA0798"/>
    <w:rsid w:val="00BA0D1B"/>
    <w:rsid w:val="00BA0FA4"/>
    <w:rsid w:val="00BA1813"/>
    <w:rsid w:val="00BA1BA5"/>
    <w:rsid w:val="00BA1FEA"/>
    <w:rsid w:val="00BA20C1"/>
    <w:rsid w:val="00BA27D5"/>
    <w:rsid w:val="00BA2881"/>
    <w:rsid w:val="00BA2D9D"/>
    <w:rsid w:val="00BA330F"/>
    <w:rsid w:val="00BA33E5"/>
    <w:rsid w:val="00BA34E5"/>
    <w:rsid w:val="00BA3EA9"/>
    <w:rsid w:val="00BA433D"/>
    <w:rsid w:val="00BA472F"/>
    <w:rsid w:val="00BA50FD"/>
    <w:rsid w:val="00BA552D"/>
    <w:rsid w:val="00BA5610"/>
    <w:rsid w:val="00BA5BF0"/>
    <w:rsid w:val="00BA5C4C"/>
    <w:rsid w:val="00BA5DBC"/>
    <w:rsid w:val="00BA60DD"/>
    <w:rsid w:val="00BA7714"/>
    <w:rsid w:val="00BA7973"/>
    <w:rsid w:val="00BB0001"/>
    <w:rsid w:val="00BB0ACA"/>
    <w:rsid w:val="00BB0D47"/>
    <w:rsid w:val="00BB1685"/>
    <w:rsid w:val="00BB1F1C"/>
    <w:rsid w:val="00BB2212"/>
    <w:rsid w:val="00BB2BF2"/>
    <w:rsid w:val="00BB35FB"/>
    <w:rsid w:val="00BB36E0"/>
    <w:rsid w:val="00BB3DE5"/>
    <w:rsid w:val="00BB569F"/>
    <w:rsid w:val="00BB63A2"/>
    <w:rsid w:val="00BB6742"/>
    <w:rsid w:val="00BB7964"/>
    <w:rsid w:val="00BB7EC6"/>
    <w:rsid w:val="00BC0532"/>
    <w:rsid w:val="00BC09E3"/>
    <w:rsid w:val="00BC1B46"/>
    <w:rsid w:val="00BC1C5E"/>
    <w:rsid w:val="00BC1D37"/>
    <w:rsid w:val="00BC2E67"/>
    <w:rsid w:val="00BC314D"/>
    <w:rsid w:val="00BC364E"/>
    <w:rsid w:val="00BC3B36"/>
    <w:rsid w:val="00BC40B3"/>
    <w:rsid w:val="00BC489D"/>
    <w:rsid w:val="00BC5140"/>
    <w:rsid w:val="00BC5659"/>
    <w:rsid w:val="00BC5755"/>
    <w:rsid w:val="00BC6FD5"/>
    <w:rsid w:val="00BC7108"/>
    <w:rsid w:val="00BC7832"/>
    <w:rsid w:val="00BC7907"/>
    <w:rsid w:val="00BD0741"/>
    <w:rsid w:val="00BD09F1"/>
    <w:rsid w:val="00BD0EB6"/>
    <w:rsid w:val="00BD0F93"/>
    <w:rsid w:val="00BD113F"/>
    <w:rsid w:val="00BD1226"/>
    <w:rsid w:val="00BD1932"/>
    <w:rsid w:val="00BD2B97"/>
    <w:rsid w:val="00BD3EF9"/>
    <w:rsid w:val="00BD450D"/>
    <w:rsid w:val="00BD4EF9"/>
    <w:rsid w:val="00BD5B0E"/>
    <w:rsid w:val="00BD5C37"/>
    <w:rsid w:val="00BD60CF"/>
    <w:rsid w:val="00BD6D2F"/>
    <w:rsid w:val="00BD7927"/>
    <w:rsid w:val="00BD7B18"/>
    <w:rsid w:val="00BE07C6"/>
    <w:rsid w:val="00BE0876"/>
    <w:rsid w:val="00BE21D5"/>
    <w:rsid w:val="00BE249B"/>
    <w:rsid w:val="00BE261D"/>
    <w:rsid w:val="00BE5B93"/>
    <w:rsid w:val="00BE5D99"/>
    <w:rsid w:val="00BE6E09"/>
    <w:rsid w:val="00BE74F9"/>
    <w:rsid w:val="00BF02D2"/>
    <w:rsid w:val="00BF0341"/>
    <w:rsid w:val="00BF0B2C"/>
    <w:rsid w:val="00BF0D96"/>
    <w:rsid w:val="00BF1E73"/>
    <w:rsid w:val="00BF27EF"/>
    <w:rsid w:val="00BF2991"/>
    <w:rsid w:val="00BF30B8"/>
    <w:rsid w:val="00BF352A"/>
    <w:rsid w:val="00BF3E25"/>
    <w:rsid w:val="00BF481C"/>
    <w:rsid w:val="00BF4987"/>
    <w:rsid w:val="00BF4DF1"/>
    <w:rsid w:val="00BF4F4F"/>
    <w:rsid w:val="00BF5985"/>
    <w:rsid w:val="00BF6E85"/>
    <w:rsid w:val="00BF709D"/>
    <w:rsid w:val="00BF70D0"/>
    <w:rsid w:val="00BF7AD1"/>
    <w:rsid w:val="00BF7FA3"/>
    <w:rsid w:val="00C02950"/>
    <w:rsid w:val="00C02973"/>
    <w:rsid w:val="00C02BA4"/>
    <w:rsid w:val="00C0394A"/>
    <w:rsid w:val="00C04403"/>
    <w:rsid w:val="00C05C0B"/>
    <w:rsid w:val="00C06793"/>
    <w:rsid w:val="00C06DA2"/>
    <w:rsid w:val="00C06DE8"/>
    <w:rsid w:val="00C07044"/>
    <w:rsid w:val="00C07AC2"/>
    <w:rsid w:val="00C07C49"/>
    <w:rsid w:val="00C10133"/>
    <w:rsid w:val="00C102B4"/>
    <w:rsid w:val="00C1096A"/>
    <w:rsid w:val="00C10FCE"/>
    <w:rsid w:val="00C119E5"/>
    <w:rsid w:val="00C120CF"/>
    <w:rsid w:val="00C12665"/>
    <w:rsid w:val="00C12C0E"/>
    <w:rsid w:val="00C134D0"/>
    <w:rsid w:val="00C135D2"/>
    <w:rsid w:val="00C13682"/>
    <w:rsid w:val="00C15223"/>
    <w:rsid w:val="00C152BD"/>
    <w:rsid w:val="00C158CF"/>
    <w:rsid w:val="00C158D6"/>
    <w:rsid w:val="00C16086"/>
    <w:rsid w:val="00C1720A"/>
    <w:rsid w:val="00C173BF"/>
    <w:rsid w:val="00C175EE"/>
    <w:rsid w:val="00C205C2"/>
    <w:rsid w:val="00C20B49"/>
    <w:rsid w:val="00C2238E"/>
    <w:rsid w:val="00C22BE6"/>
    <w:rsid w:val="00C22D09"/>
    <w:rsid w:val="00C25543"/>
    <w:rsid w:val="00C25A80"/>
    <w:rsid w:val="00C25F34"/>
    <w:rsid w:val="00C263E5"/>
    <w:rsid w:val="00C2691F"/>
    <w:rsid w:val="00C26A22"/>
    <w:rsid w:val="00C26D75"/>
    <w:rsid w:val="00C26FE3"/>
    <w:rsid w:val="00C27669"/>
    <w:rsid w:val="00C279C7"/>
    <w:rsid w:val="00C27F03"/>
    <w:rsid w:val="00C312A5"/>
    <w:rsid w:val="00C318D7"/>
    <w:rsid w:val="00C321A1"/>
    <w:rsid w:val="00C3244A"/>
    <w:rsid w:val="00C3349C"/>
    <w:rsid w:val="00C34365"/>
    <w:rsid w:val="00C346DE"/>
    <w:rsid w:val="00C348DC"/>
    <w:rsid w:val="00C354BC"/>
    <w:rsid w:val="00C358A5"/>
    <w:rsid w:val="00C35C08"/>
    <w:rsid w:val="00C370C2"/>
    <w:rsid w:val="00C40020"/>
    <w:rsid w:val="00C40392"/>
    <w:rsid w:val="00C4057A"/>
    <w:rsid w:val="00C408C5"/>
    <w:rsid w:val="00C40D1C"/>
    <w:rsid w:val="00C41284"/>
    <w:rsid w:val="00C41868"/>
    <w:rsid w:val="00C4222C"/>
    <w:rsid w:val="00C4286E"/>
    <w:rsid w:val="00C43417"/>
    <w:rsid w:val="00C435B4"/>
    <w:rsid w:val="00C43654"/>
    <w:rsid w:val="00C43735"/>
    <w:rsid w:val="00C43E15"/>
    <w:rsid w:val="00C44E30"/>
    <w:rsid w:val="00C45289"/>
    <w:rsid w:val="00C45FDB"/>
    <w:rsid w:val="00C46892"/>
    <w:rsid w:val="00C46A74"/>
    <w:rsid w:val="00C5004B"/>
    <w:rsid w:val="00C500E3"/>
    <w:rsid w:val="00C50886"/>
    <w:rsid w:val="00C509A7"/>
    <w:rsid w:val="00C50B0B"/>
    <w:rsid w:val="00C50D89"/>
    <w:rsid w:val="00C511B7"/>
    <w:rsid w:val="00C51569"/>
    <w:rsid w:val="00C51CDF"/>
    <w:rsid w:val="00C52031"/>
    <w:rsid w:val="00C52101"/>
    <w:rsid w:val="00C521CC"/>
    <w:rsid w:val="00C52FD3"/>
    <w:rsid w:val="00C538DE"/>
    <w:rsid w:val="00C53E0C"/>
    <w:rsid w:val="00C53E56"/>
    <w:rsid w:val="00C53FB3"/>
    <w:rsid w:val="00C54D2D"/>
    <w:rsid w:val="00C56E3C"/>
    <w:rsid w:val="00C579FB"/>
    <w:rsid w:val="00C57E62"/>
    <w:rsid w:val="00C57F85"/>
    <w:rsid w:val="00C60271"/>
    <w:rsid w:val="00C60DFC"/>
    <w:rsid w:val="00C6165E"/>
    <w:rsid w:val="00C61B6D"/>
    <w:rsid w:val="00C61C41"/>
    <w:rsid w:val="00C62130"/>
    <w:rsid w:val="00C640B1"/>
    <w:rsid w:val="00C652A7"/>
    <w:rsid w:val="00C65331"/>
    <w:rsid w:val="00C65589"/>
    <w:rsid w:val="00C65CB9"/>
    <w:rsid w:val="00C6615A"/>
    <w:rsid w:val="00C664E1"/>
    <w:rsid w:val="00C66655"/>
    <w:rsid w:val="00C7064E"/>
    <w:rsid w:val="00C70D56"/>
    <w:rsid w:val="00C70E49"/>
    <w:rsid w:val="00C71159"/>
    <w:rsid w:val="00C7285E"/>
    <w:rsid w:val="00C730D2"/>
    <w:rsid w:val="00C73795"/>
    <w:rsid w:val="00C747A6"/>
    <w:rsid w:val="00C74834"/>
    <w:rsid w:val="00C755BB"/>
    <w:rsid w:val="00C75AD6"/>
    <w:rsid w:val="00C75AF6"/>
    <w:rsid w:val="00C75F87"/>
    <w:rsid w:val="00C763B7"/>
    <w:rsid w:val="00C7640F"/>
    <w:rsid w:val="00C7652E"/>
    <w:rsid w:val="00C77016"/>
    <w:rsid w:val="00C7707D"/>
    <w:rsid w:val="00C80569"/>
    <w:rsid w:val="00C80E48"/>
    <w:rsid w:val="00C81660"/>
    <w:rsid w:val="00C81D58"/>
    <w:rsid w:val="00C82C5F"/>
    <w:rsid w:val="00C832B7"/>
    <w:rsid w:val="00C837EF"/>
    <w:rsid w:val="00C83AE1"/>
    <w:rsid w:val="00C83B9B"/>
    <w:rsid w:val="00C846DC"/>
    <w:rsid w:val="00C84776"/>
    <w:rsid w:val="00C84CCD"/>
    <w:rsid w:val="00C851C8"/>
    <w:rsid w:val="00C8525B"/>
    <w:rsid w:val="00C85F1C"/>
    <w:rsid w:val="00C86AC5"/>
    <w:rsid w:val="00C876AB"/>
    <w:rsid w:val="00C87922"/>
    <w:rsid w:val="00C90C08"/>
    <w:rsid w:val="00C90F32"/>
    <w:rsid w:val="00C91F1C"/>
    <w:rsid w:val="00C9239F"/>
    <w:rsid w:val="00C92496"/>
    <w:rsid w:val="00C929CE"/>
    <w:rsid w:val="00C9364D"/>
    <w:rsid w:val="00C93CC6"/>
    <w:rsid w:val="00C9403E"/>
    <w:rsid w:val="00C94135"/>
    <w:rsid w:val="00C9437F"/>
    <w:rsid w:val="00C94CE1"/>
    <w:rsid w:val="00C95346"/>
    <w:rsid w:val="00C95F2C"/>
    <w:rsid w:val="00C963E0"/>
    <w:rsid w:val="00C9769D"/>
    <w:rsid w:val="00C97A6F"/>
    <w:rsid w:val="00CA0842"/>
    <w:rsid w:val="00CA1991"/>
    <w:rsid w:val="00CA1D81"/>
    <w:rsid w:val="00CA25D9"/>
    <w:rsid w:val="00CA25E9"/>
    <w:rsid w:val="00CA2A4D"/>
    <w:rsid w:val="00CA3329"/>
    <w:rsid w:val="00CA37DA"/>
    <w:rsid w:val="00CA3885"/>
    <w:rsid w:val="00CA3E3C"/>
    <w:rsid w:val="00CA4874"/>
    <w:rsid w:val="00CA4F16"/>
    <w:rsid w:val="00CA5041"/>
    <w:rsid w:val="00CA6044"/>
    <w:rsid w:val="00CA63F2"/>
    <w:rsid w:val="00CA6B2E"/>
    <w:rsid w:val="00CA6EB7"/>
    <w:rsid w:val="00CA747D"/>
    <w:rsid w:val="00CA7822"/>
    <w:rsid w:val="00CA789B"/>
    <w:rsid w:val="00CA7C53"/>
    <w:rsid w:val="00CB1202"/>
    <w:rsid w:val="00CB2725"/>
    <w:rsid w:val="00CB3844"/>
    <w:rsid w:val="00CB389B"/>
    <w:rsid w:val="00CB3D50"/>
    <w:rsid w:val="00CB3FB4"/>
    <w:rsid w:val="00CB499D"/>
    <w:rsid w:val="00CB4DE1"/>
    <w:rsid w:val="00CB51FE"/>
    <w:rsid w:val="00CB5642"/>
    <w:rsid w:val="00CB5714"/>
    <w:rsid w:val="00CB5850"/>
    <w:rsid w:val="00CB76C6"/>
    <w:rsid w:val="00CC02B6"/>
    <w:rsid w:val="00CC076D"/>
    <w:rsid w:val="00CC0B5B"/>
    <w:rsid w:val="00CC176B"/>
    <w:rsid w:val="00CC1A5A"/>
    <w:rsid w:val="00CC1B6A"/>
    <w:rsid w:val="00CC20A8"/>
    <w:rsid w:val="00CC2295"/>
    <w:rsid w:val="00CC287D"/>
    <w:rsid w:val="00CC2DF7"/>
    <w:rsid w:val="00CC31B6"/>
    <w:rsid w:val="00CC3337"/>
    <w:rsid w:val="00CC3D9C"/>
    <w:rsid w:val="00CC4CDF"/>
    <w:rsid w:val="00CC5DF3"/>
    <w:rsid w:val="00CC61CF"/>
    <w:rsid w:val="00CC7660"/>
    <w:rsid w:val="00CC7EB0"/>
    <w:rsid w:val="00CD0A2F"/>
    <w:rsid w:val="00CD0A98"/>
    <w:rsid w:val="00CD0F68"/>
    <w:rsid w:val="00CD149B"/>
    <w:rsid w:val="00CD15FF"/>
    <w:rsid w:val="00CD1979"/>
    <w:rsid w:val="00CD2800"/>
    <w:rsid w:val="00CD2DF6"/>
    <w:rsid w:val="00CD3035"/>
    <w:rsid w:val="00CD3140"/>
    <w:rsid w:val="00CD32D2"/>
    <w:rsid w:val="00CD3CF8"/>
    <w:rsid w:val="00CD4346"/>
    <w:rsid w:val="00CD49F6"/>
    <w:rsid w:val="00CD4B27"/>
    <w:rsid w:val="00CD4D2E"/>
    <w:rsid w:val="00CD62CD"/>
    <w:rsid w:val="00CD6B7D"/>
    <w:rsid w:val="00CD742A"/>
    <w:rsid w:val="00CD7534"/>
    <w:rsid w:val="00CE0484"/>
    <w:rsid w:val="00CE0732"/>
    <w:rsid w:val="00CE1AFE"/>
    <w:rsid w:val="00CE1BA9"/>
    <w:rsid w:val="00CE24C6"/>
    <w:rsid w:val="00CE2587"/>
    <w:rsid w:val="00CE2A24"/>
    <w:rsid w:val="00CE2C34"/>
    <w:rsid w:val="00CE3A59"/>
    <w:rsid w:val="00CE48B5"/>
    <w:rsid w:val="00CE4BE5"/>
    <w:rsid w:val="00CE4D0A"/>
    <w:rsid w:val="00CE5748"/>
    <w:rsid w:val="00CE5EE5"/>
    <w:rsid w:val="00CE6E69"/>
    <w:rsid w:val="00CE70B8"/>
    <w:rsid w:val="00CE7B10"/>
    <w:rsid w:val="00CF1E4E"/>
    <w:rsid w:val="00CF4CE8"/>
    <w:rsid w:val="00CF511C"/>
    <w:rsid w:val="00CF5346"/>
    <w:rsid w:val="00CF5D3A"/>
    <w:rsid w:val="00CF61FA"/>
    <w:rsid w:val="00CF6261"/>
    <w:rsid w:val="00CF6A67"/>
    <w:rsid w:val="00CF7082"/>
    <w:rsid w:val="00CF7D09"/>
    <w:rsid w:val="00D0013D"/>
    <w:rsid w:val="00D0106A"/>
    <w:rsid w:val="00D01ACA"/>
    <w:rsid w:val="00D01BED"/>
    <w:rsid w:val="00D03440"/>
    <w:rsid w:val="00D0456C"/>
    <w:rsid w:val="00D0477B"/>
    <w:rsid w:val="00D049ED"/>
    <w:rsid w:val="00D04B06"/>
    <w:rsid w:val="00D0513D"/>
    <w:rsid w:val="00D05E5A"/>
    <w:rsid w:val="00D06023"/>
    <w:rsid w:val="00D0638B"/>
    <w:rsid w:val="00D067D9"/>
    <w:rsid w:val="00D07677"/>
    <w:rsid w:val="00D101C9"/>
    <w:rsid w:val="00D10C4C"/>
    <w:rsid w:val="00D11601"/>
    <w:rsid w:val="00D11842"/>
    <w:rsid w:val="00D119B5"/>
    <w:rsid w:val="00D1239D"/>
    <w:rsid w:val="00D130F3"/>
    <w:rsid w:val="00D136CE"/>
    <w:rsid w:val="00D14970"/>
    <w:rsid w:val="00D15019"/>
    <w:rsid w:val="00D15148"/>
    <w:rsid w:val="00D15686"/>
    <w:rsid w:val="00D15DB3"/>
    <w:rsid w:val="00D16065"/>
    <w:rsid w:val="00D16CCE"/>
    <w:rsid w:val="00D17A44"/>
    <w:rsid w:val="00D20484"/>
    <w:rsid w:val="00D213CB"/>
    <w:rsid w:val="00D22469"/>
    <w:rsid w:val="00D22F36"/>
    <w:rsid w:val="00D22F8B"/>
    <w:rsid w:val="00D23113"/>
    <w:rsid w:val="00D23856"/>
    <w:rsid w:val="00D244A2"/>
    <w:rsid w:val="00D25C97"/>
    <w:rsid w:val="00D25E60"/>
    <w:rsid w:val="00D2725A"/>
    <w:rsid w:val="00D274E9"/>
    <w:rsid w:val="00D276B4"/>
    <w:rsid w:val="00D27C6B"/>
    <w:rsid w:val="00D30394"/>
    <w:rsid w:val="00D3100B"/>
    <w:rsid w:val="00D31948"/>
    <w:rsid w:val="00D31FB3"/>
    <w:rsid w:val="00D323B7"/>
    <w:rsid w:val="00D32999"/>
    <w:rsid w:val="00D329F6"/>
    <w:rsid w:val="00D33317"/>
    <w:rsid w:val="00D33395"/>
    <w:rsid w:val="00D33946"/>
    <w:rsid w:val="00D341B0"/>
    <w:rsid w:val="00D34447"/>
    <w:rsid w:val="00D34681"/>
    <w:rsid w:val="00D3682C"/>
    <w:rsid w:val="00D370CF"/>
    <w:rsid w:val="00D378A4"/>
    <w:rsid w:val="00D37A12"/>
    <w:rsid w:val="00D37F8F"/>
    <w:rsid w:val="00D41693"/>
    <w:rsid w:val="00D42F06"/>
    <w:rsid w:val="00D4343A"/>
    <w:rsid w:val="00D43679"/>
    <w:rsid w:val="00D4372B"/>
    <w:rsid w:val="00D439C9"/>
    <w:rsid w:val="00D43B1D"/>
    <w:rsid w:val="00D448A3"/>
    <w:rsid w:val="00D45070"/>
    <w:rsid w:val="00D45472"/>
    <w:rsid w:val="00D46067"/>
    <w:rsid w:val="00D46587"/>
    <w:rsid w:val="00D479FF"/>
    <w:rsid w:val="00D47EB5"/>
    <w:rsid w:val="00D50DA4"/>
    <w:rsid w:val="00D515C7"/>
    <w:rsid w:val="00D51680"/>
    <w:rsid w:val="00D51952"/>
    <w:rsid w:val="00D51BD4"/>
    <w:rsid w:val="00D51FED"/>
    <w:rsid w:val="00D52289"/>
    <w:rsid w:val="00D528DB"/>
    <w:rsid w:val="00D533B4"/>
    <w:rsid w:val="00D535B1"/>
    <w:rsid w:val="00D541C5"/>
    <w:rsid w:val="00D54896"/>
    <w:rsid w:val="00D55082"/>
    <w:rsid w:val="00D557A5"/>
    <w:rsid w:val="00D55941"/>
    <w:rsid w:val="00D56438"/>
    <w:rsid w:val="00D56697"/>
    <w:rsid w:val="00D5693F"/>
    <w:rsid w:val="00D56B7F"/>
    <w:rsid w:val="00D5747A"/>
    <w:rsid w:val="00D60383"/>
    <w:rsid w:val="00D60A07"/>
    <w:rsid w:val="00D60BE9"/>
    <w:rsid w:val="00D613F7"/>
    <w:rsid w:val="00D61B2B"/>
    <w:rsid w:val="00D621EF"/>
    <w:rsid w:val="00D6233C"/>
    <w:rsid w:val="00D623D9"/>
    <w:rsid w:val="00D628CF"/>
    <w:rsid w:val="00D62ADB"/>
    <w:rsid w:val="00D62C82"/>
    <w:rsid w:val="00D63386"/>
    <w:rsid w:val="00D63A79"/>
    <w:rsid w:val="00D6518A"/>
    <w:rsid w:val="00D6562F"/>
    <w:rsid w:val="00D656CA"/>
    <w:rsid w:val="00D66435"/>
    <w:rsid w:val="00D66703"/>
    <w:rsid w:val="00D67750"/>
    <w:rsid w:val="00D700B8"/>
    <w:rsid w:val="00D706C2"/>
    <w:rsid w:val="00D70CB5"/>
    <w:rsid w:val="00D7175A"/>
    <w:rsid w:val="00D719AD"/>
    <w:rsid w:val="00D71AC6"/>
    <w:rsid w:val="00D71F69"/>
    <w:rsid w:val="00D72995"/>
    <w:rsid w:val="00D740D7"/>
    <w:rsid w:val="00D74BE8"/>
    <w:rsid w:val="00D74D05"/>
    <w:rsid w:val="00D75101"/>
    <w:rsid w:val="00D756ED"/>
    <w:rsid w:val="00D75751"/>
    <w:rsid w:val="00D75A00"/>
    <w:rsid w:val="00D75BA3"/>
    <w:rsid w:val="00D75D3F"/>
    <w:rsid w:val="00D76501"/>
    <w:rsid w:val="00D76826"/>
    <w:rsid w:val="00D774C1"/>
    <w:rsid w:val="00D816BF"/>
    <w:rsid w:val="00D818F7"/>
    <w:rsid w:val="00D8312A"/>
    <w:rsid w:val="00D8341F"/>
    <w:rsid w:val="00D84411"/>
    <w:rsid w:val="00D84B26"/>
    <w:rsid w:val="00D85159"/>
    <w:rsid w:val="00D8619C"/>
    <w:rsid w:val="00D862E0"/>
    <w:rsid w:val="00D865B5"/>
    <w:rsid w:val="00D8666A"/>
    <w:rsid w:val="00D86A8E"/>
    <w:rsid w:val="00D86D46"/>
    <w:rsid w:val="00D86E98"/>
    <w:rsid w:val="00D87FB9"/>
    <w:rsid w:val="00D90642"/>
    <w:rsid w:val="00D9073B"/>
    <w:rsid w:val="00D90BB7"/>
    <w:rsid w:val="00D91046"/>
    <w:rsid w:val="00D91E59"/>
    <w:rsid w:val="00D926D1"/>
    <w:rsid w:val="00D93188"/>
    <w:rsid w:val="00D93E1D"/>
    <w:rsid w:val="00D94C88"/>
    <w:rsid w:val="00D94D20"/>
    <w:rsid w:val="00D95A38"/>
    <w:rsid w:val="00D960A6"/>
    <w:rsid w:val="00D963B9"/>
    <w:rsid w:val="00D96B60"/>
    <w:rsid w:val="00D96D89"/>
    <w:rsid w:val="00D9718F"/>
    <w:rsid w:val="00D97518"/>
    <w:rsid w:val="00D97DCC"/>
    <w:rsid w:val="00DA0A52"/>
    <w:rsid w:val="00DA122C"/>
    <w:rsid w:val="00DA15DF"/>
    <w:rsid w:val="00DA18AB"/>
    <w:rsid w:val="00DA19A1"/>
    <w:rsid w:val="00DA2C68"/>
    <w:rsid w:val="00DA3124"/>
    <w:rsid w:val="00DA317C"/>
    <w:rsid w:val="00DA41C8"/>
    <w:rsid w:val="00DA4CB1"/>
    <w:rsid w:val="00DA53AA"/>
    <w:rsid w:val="00DA5F85"/>
    <w:rsid w:val="00DA7361"/>
    <w:rsid w:val="00DA7F42"/>
    <w:rsid w:val="00DA7F98"/>
    <w:rsid w:val="00DB009E"/>
    <w:rsid w:val="00DB0749"/>
    <w:rsid w:val="00DB0D12"/>
    <w:rsid w:val="00DB1D10"/>
    <w:rsid w:val="00DB2D15"/>
    <w:rsid w:val="00DB2DD7"/>
    <w:rsid w:val="00DB2E56"/>
    <w:rsid w:val="00DB3B16"/>
    <w:rsid w:val="00DB3CF0"/>
    <w:rsid w:val="00DB3DD3"/>
    <w:rsid w:val="00DB3FC0"/>
    <w:rsid w:val="00DB5521"/>
    <w:rsid w:val="00DB56CC"/>
    <w:rsid w:val="00DB5799"/>
    <w:rsid w:val="00DB680A"/>
    <w:rsid w:val="00DB70B2"/>
    <w:rsid w:val="00DB75D3"/>
    <w:rsid w:val="00DB765C"/>
    <w:rsid w:val="00DB7C84"/>
    <w:rsid w:val="00DB7FDC"/>
    <w:rsid w:val="00DC056F"/>
    <w:rsid w:val="00DC0AAF"/>
    <w:rsid w:val="00DC2A11"/>
    <w:rsid w:val="00DC2A77"/>
    <w:rsid w:val="00DC2E7B"/>
    <w:rsid w:val="00DC2E8B"/>
    <w:rsid w:val="00DC390A"/>
    <w:rsid w:val="00DC39D5"/>
    <w:rsid w:val="00DC42B1"/>
    <w:rsid w:val="00DC4DAD"/>
    <w:rsid w:val="00DC540B"/>
    <w:rsid w:val="00DC54EE"/>
    <w:rsid w:val="00DC57AE"/>
    <w:rsid w:val="00DC5B5D"/>
    <w:rsid w:val="00DC75BA"/>
    <w:rsid w:val="00DC7E42"/>
    <w:rsid w:val="00DD031A"/>
    <w:rsid w:val="00DD0648"/>
    <w:rsid w:val="00DD09C7"/>
    <w:rsid w:val="00DD0C69"/>
    <w:rsid w:val="00DD199B"/>
    <w:rsid w:val="00DD1F0F"/>
    <w:rsid w:val="00DD1F38"/>
    <w:rsid w:val="00DD1F48"/>
    <w:rsid w:val="00DD235D"/>
    <w:rsid w:val="00DD24CA"/>
    <w:rsid w:val="00DD27FE"/>
    <w:rsid w:val="00DD2899"/>
    <w:rsid w:val="00DD29C0"/>
    <w:rsid w:val="00DD306A"/>
    <w:rsid w:val="00DD3659"/>
    <w:rsid w:val="00DD3C19"/>
    <w:rsid w:val="00DD41E2"/>
    <w:rsid w:val="00DD58D7"/>
    <w:rsid w:val="00DD5C96"/>
    <w:rsid w:val="00DD60C7"/>
    <w:rsid w:val="00DD6FFE"/>
    <w:rsid w:val="00DD7E35"/>
    <w:rsid w:val="00DE07E5"/>
    <w:rsid w:val="00DE0D78"/>
    <w:rsid w:val="00DE17BE"/>
    <w:rsid w:val="00DE193A"/>
    <w:rsid w:val="00DE1A03"/>
    <w:rsid w:val="00DE2592"/>
    <w:rsid w:val="00DE26BA"/>
    <w:rsid w:val="00DE3324"/>
    <w:rsid w:val="00DE3458"/>
    <w:rsid w:val="00DE3511"/>
    <w:rsid w:val="00DE4055"/>
    <w:rsid w:val="00DE459D"/>
    <w:rsid w:val="00DE4F1E"/>
    <w:rsid w:val="00DE59C0"/>
    <w:rsid w:val="00DE6384"/>
    <w:rsid w:val="00DF0AD4"/>
    <w:rsid w:val="00DF1C1C"/>
    <w:rsid w:val="00DF1D06"/>
    <w:rsid w:val="00DF21E9"/>
    <w:rsid w:val="00DF2E1A"/>
    <w:rsid w:val="00DF2FDF"/>
    <w:rsid w:val="00DF35B1"/>
    <w:rsid w:val="00DF385E"/>
    <w:rsid w:val="00DF38E5"/>
    <w:rsid w:val="00DF405C"/>
    <w:rsid w:val="00DF41B6"/>
    <w:rsid w:val="00DF4818"/>
    <w:rsid w:val="00DF508A"/>
    <w:rsid w:val="00DF55A4"/>
    <w:rsid w:val="00DF65C7"/>
    <w:rsid w:val="00DF6A54"/>
    <w:rsid w:val="00DF6E73"/>
    <w:rsid w:val="00DF74AE"/>
    <w:rsid w:val="00DF7CFB"/>
    <w:rsid w:val="00E000A2"/>
    <w:rsid w:val="00E0045A"/>
    <w:rsid w:val="00E01773"/>
    <w:rsid w:val="00E017AD"/>
    <w:rsid w:val="00E01C57"/>
    <w:rsid w:val="00E029B4"/>
    <w:rsid w:val="00E02C04"/>
    <w:rsid w:val="00E02F7C"/>
    <w:rsid w:val="00E032EE"/>
    <w:rsid w:val="00E033B5"/>
    <w:rsid w:val="00E03685"/>
    <w:rsid w:val="00E03B7E"/>
    <w:rsid w:val="00E03EF4"/>
    <w:rsid w:val="00E03F83"/>
    <w:rsid w:val="00E048C5"/>
    <w:rsid w:val="00E04C4D"/>
    <w:rsid w:val="00E05767"/>
    <w:rsid w:val="00E05E20"/>
    <w:rsid w:val="00E060DB"/>
    <w:rsid w:val="00E0647A"/>
    <w:rsid w:val="00E065E3"/>
    <w:rsid w:val="00E06C2E"/>
    <w:rsid w:val="00E06F1F"/>
    <w:rsid w:val="00E06F96"/>
    <w:rsid w:val="00E077F7"/>
    <w:rsid w:val="00E101C7"/>
    <w:rsid w:val="00E103CC"/>
    <w:rsid w:val="00E10901"/>
    <w:rsid w:val="00E10D47"/>
    <w:rsid w:val="00E10F6D"/>
    <w:rsid w:val="00E11421"/>
    <w:rsid w:val="00E115EA"/>
    <w:rsid w:val="00E11A31"/>
    <w:rsid w:val="00E11BBE"/>
    <w:rsid w:val="00E11D7C"/>
    <w:rsid w:val="00E11FBE"/>
    <w:rsid w:val="00E12634"/>
    <w:rsid w:val="00E129C5"/>
    <w:rsid w:val="00E12CB3"/>
    <w:rsid w:val="00E14E49"/>
    <w:rsid w:val="00E150DB"/>
    <w:rsid w:val="00E154E5"/>
    <w:rsid w:val="00E15A50"/>
    <w:rsid w:val="00E15AE4"/>
    <w:rsid w:val="00E16070"/>
    <w:rsid w:val="00E161D5"/>
    <w:rsid w:val="00E162DB"/>
    <w:rsid w:val="00E16605"/>
    <w:rsid w:val="00E1660E"/>
    <w:rsid w:val="00E16EE6"/>
    <w:rsid w:val="00E1710B"/>
    <w:rsid w:val="00E17A68"/>
    <w:rsid w:val="00E20174"/>
    <w:rsid w:val="00E2103B"/>
    <w:rsid w:val="00E211D6"/>
    <w:rsid w:val="00E217FE"/>
    <w:rsid w:val="00E2280E"/>
    <w:rsid w:val="00E229E0"/>
    <w:rsid w:val="00E22C81"/>
    <w:rsid w:val="00E245A6"/>
    <w:rsid w:val="00E24D51"/>
    <w:rsid w:val="00E2612B"/>
    <w:rsid w:val="00E262F0"/>
    <w:rsid w:val="00E26509"/>
    <w:rsid w:val="00E26635"/>
    <w:rsid w:val="00E27168"/>
    <w:rsid w:val="00E27478"/>
    <w:rsid w:val="00E2786A"/>
    <w:rsid w:val="00E27992"/>
    <w:rsid w:val="00E27B11"/>
    <w:rsid w:val="00E27E50"/>
    <w:rsid w:val="00E300E4"/>
    <w:rsid w:val="00E31208"/>
    <w:rsid w:val="00E325D9"/>
    <w:rsid w:val="00E331D6"/>
    <w:rsid w:val="00E33B99"/>
    <w:rsid w:val="00E35B23"/>
    <w:rsid w:val="00E35F35"/>
    <w:rsid w:val="00E37BB7"/>
    <w:rsid w:val="00E40235"/>
    <w:rsid w:val="00E40853"/>
    <w:rsid w:val="00E40C3B"/>
    <w:rsid w:val="00E40E5A"/>
    <w:rsid w:val="00E41C40"/>
    <w:rsid w:val="00E42725"/>
    <w:rsid w:val="00E42904"/>
    <w:rsid w:val="00E4291B"/>
    <w:rsid w:val="00E42C6A"/>
    <w:rsid w:val="00E42DA2"/>
    <w:rsid w:val="00E43988"/>
    <w:rsid w:val="00E444E0"/>
    <w:rsid w:val="00E44B0A"/>
    <w:rsid w:val="00E44B78"/>
    <w:rsid w:val="00E4543A"/>
    <w:rsid w:val="00E464AF"/>
    <w:rsid w:val="00E468A3"/>
    <w:rsid w:val="00E46ADF"/>
    <w:rsid w:val="00E46D47"/>
    <w:rsid w:val="00E473A8"/>
    <w:rsid w:val="00E47794"/>
    <w:rsid w:val="00E5093F"/>
    <w:rsid w:val="00E5138D"/>
    <w:rsid w:val="00E518DD"/>
    <w:rsid w:val="00E533A9"/>
    <w:rsid w:val="00E53783"/>
    <w:rsid w:val="00E53E89"/>
    <w:rsid w:val="00E5405F"/>
    <w:rsid w:val="00E5466B"/>
    <w:rsid w:val="00E546D7"/>
    <w:rsid w:val="00E547C2"/>
    <w:rsid w:val="00E551D1"/>
    <w:rsid w:val="00E55246"/>
    <w:rsid w:val="00E55754"/>
    <w:rsid w:val="00E55D61"/>
    <w:rsid w:val="00E55E14"/>
    <w:rsid w:val="00E562B2"/>
    <w:rsid w:val="00E56BE3"/>
    <w:rsid w:val="00E56EC4"/>
    <w:rsid w:val="00E57096"/>
    <w:rsid w:val="00E57098"/>
    <w:rsid w:val="00E60C06"/>
    <w:rsid w:val="00E61625"/>
    <w:rsid w:val="00E626AE"/>
    <w:rsid w:val="00E626D0"/>
    <w:rsid w:val="00E63299"/>
    <w:rsid w:val="00E63AE3"/>
    <w:rsid w:val="00E63B38"/>
    <w:rsid w:val="00E64796"/>
    <w:rsid w:val="00E6486A"/>
    <w:rsid w:val="00E64B7D"/>
    <w:rsid w:val="00E64EC5"/>
    <w:rsid w:val="00E655F2"/>
    <w:rsid w:val="00E65818"/>
    <w:rsid w:val="00E6592C"/>
    <w:rsid w:val="00E66AF4"/>
    <w:rsid w:val="00E66FF3"/>
    <w:rsid w:val="00E67273"/>
    <w:rsid w:val="00E672A0"/>
    <w:rsid w:val="00E70ED1"/>
    <w:rsid w:val="00E7142A"/>
    <w:rsid w:val="00E71552"/>
    <w:rsid w:val="00E72228"/>
    <w:rsid w:val="00E724AB"/>
    <w:rsid w:val="00E732F1"/>
    <w:rsid w:val="00E733B3"/>
    <w:rsid w:val="00E73C6F"/>
    <w:rsid w:val="00E7565D"/>
    <w:rsid w:val="00E75678"/>
    <w:rsid w:val="00E7594C"/>
    <w:rsid w:val="00E75E74"/>
    <w:rsid w:val="00E766DC"/>
    <w:rsid w:val="00E777E2"/>
    <w:rsid w:val="00E80039"/>
    <w:rsid w:val="00E80202"/>
    <w:rsid w:val="00E80629"/>
    <w:rsid w:val="00E80DA1"/>
    <w:rsid w:val="00E8207A"/>
    <w:rsid w:val="00E8224C"/>
    <w:rsid w:val="00E822FE"/>
    <w:rsid w:val="00E82601"/>
    <w:rsid w:val="00E82932"/>
    <w:rsid w:val="00E82B58"/>
    <w:rsid w:val="00E8301F"/>
    <w:rsid w:val="00E83FFC"/>
    <w:rsid w:val="00E84388"/>
    <w:rsid w:val="00E848A4"/>
    <w:rsid w:val="00E84C75"/>
    <w:rsid w:val="00E84EDC"/>
    <w:rsid w:val="00E85311"/>
    <w:rsid w:val="00E85B0B"/>
    <w:rsid w:val="00E85DC0"/>
    <w:rsid w:val="00E85FFA"/>
    <w:rsid w:val="00E865F6"/>
    <w:rsid w:val="00E86BD2"/>
    <w:rsid w:val="00E86D74"/>
    <w:rsid w:val="00E86E77"/>
    <w:rsid w:val="00E87AD7"/>
    <w:rsid w:val="00E9091E"/>
    <w:rsid w:val="00E90952"/>
    <w:rsid w:val="00E91FB3"/>
    <w:rsid w:val="00E929F6"/>
    <w:rsid w:val="00E92C74"/>
    <w:rsid w:val="00E92D26"/>
    <w:rsid w:val="00E92E80"/>
    <w:rsid w:val="00E93588"/>
    <w:rsid w:val="00E938D7"/>
    <w:rsid w:val="00E951BD"/>
    <w:rsid w:val="00E955E2"/>
    <w:rsid w:val="00E957E4"/>
    <w:rsid w:val="00E959D7"/>
    <w:rsid w:val="00E95D0C"/>
    <w:rsid w:val="00E96465"/>
    <w:rsid w:val="00E96879"/>
    <w:rsid w:val="00EA02B8"/>
    <w:rsid w:val="00EA0644"/>
    <w:rsid w:val="00EA0B85"/>
    <w:rsid w:val="00EA0BDA"/>
    <w:rsid w:val="00EA0E09"/>
    <w:rsid w:val="00EA1275"/>
    <w:rsid w:val="00EA14D0"/>
    <w:rsid w:val="00EA1A7A"/>
    <w:rsid w:val="00EA237C"/>
    <w:rsid w:val="00EA28D0"/>
    <w:rsid w:val="00EA2FAB"/>
    <w:rsid w:val="00EA3EF2"/>
    <w:rsid w:val="00EA3F9D"/>
    <w:rsid w:val="00EA46E5"/>
    <w:rsid w:val="00EA514E"/>
    <w:rsid w:val="00EA551A"/>
    <w:rsid w:val="00EA5AFC"/>
    <w:rsid w:val="00EA61C3"/>
    <w:rsid w:val="00EA6B59"/>
    <w:rsid w:val="00EA7562"/>
    <w:rsid w:val="00EA7D27"/>
    <w:rsid w:val="00EB025E"/>
    <w:rsid w:val="00EB0730"/>
    <w:rsid w:val="00EB0782"/>
    <w:rsid w:val="00EB0811"/>
    <w:rsid w:val="00EB0B5E"/>
    <w:rsid w:val="00EB0C5A"/>
    <w:rsid w:val="00EB0EAF"/>
    <w:rsid w:val="00EB12D3"/>
    <w:rsid w:val="00EB2018"/>
    <w:rsid w:val="00EB294F"/>
    <w:rsid w:val="00EB2CC3"/>
    <w:rsid w:val="00EB3683"/>
    <w:rsid w:val="00EB3962"/>
    <w:rsid w:val="00EB3969"/>
    <w:rsid w:val="00EB3C5E"/>
    <w:rsid w:val="00EB3E33"/>
    <w:rsid w:val="00EB50CD"/>
    <w:rsid w:val="00EB6446"/>
    <w:rsid w:val="00EB6C58"/>
    <w:rsid w:val="00EB72EE"/>
    <w:rsid w:val="00EB7D1D"/>
    <w:rsid w:val="00EB7D4D"/>
    <w:rsid w:val="00EC05CF"/>
    <w:rsid w:val="00EC0F28"/>
    <w:rsid w:val="00EC10A5"/>
    <w:rsid w:val="00EC229F"/>
    <w:rsid w:val="00EC31C2"/>
    <w:rsid w:val="00EC365C"/>
    <w:rsid w:val="00EC37AB"/>
    <w:rsid w:val="00EC47CA"/>
    <w:rsid w:val="00EC50A1"/>
    <w:rsid w:val="00EC55EA"/>
    <w:rsid w:val="00EC5757"/>
    <w:rsid w:val="00EC5792"/>
    <w:rsid w:val="00EC579F"/>
    <w:rsid w:val="00EC680B"/>
    <w:rsid w:val="00ED0222"/>
    <w:rsid w:val="00ED0308"/>
    <w:rsid w:val="00ED17EB"/>
    <w:rsid w:val="00ED1A83"/>
    <w:rsid w:val="00ED1C1D"/>
    <w:rsid w:val="00ED334A"/>
    <w:rsid w:val="00ED3784"/>
    <w:rsid w:val="00ED3D39"/>
    <w:rsid w:val="00ED3F64"/>
    <w:rsid w:val="00ED4489"/>
    <w:rsid w:val="00ED4EDD"/>
    <w:rsid w:val="00ED5363"/>
    <w:rsid w:val="00ED53BC"/>
    <w:rsid w:val="00ED5F6A"/>
    <w:rsid w:val="00ED71E4"/>
    <w:rsid w:val="00ED733A"/>
    <w:rsid w:val="00ED7E7E"/>
    <w:rsid w:val="00ED7F0E"/>
    <w:rsid w:val="00EE19BD"/>
    <w:rsid w:val="00EE1D3B"/>
    <w:rsid w:val="00EE1D84"/>
    <w:rsid w:val="00EE2801"/>
    <w:rsid w:val="00EE2DF3"/>
    <w:rsid w:val="00EE39B5"/>
    <w:rsid w:val="00EE3FA8"/>
    <w:rsid w:val="00EE4A7D"/>
    <w:rsid w:val="00EE4C8B"/>
    <w:rsid w:val="00EE661D"/>
    <w:rsid w:val="00EE6A44"/>
    <w:rsid w:val="00EE7739"/>
    <w:rsid w:val="00EF00E4"/>
    <w:rsid w:val="00EF0537"/>
    <w:rsid w:val="00EF17CE"/>
    <w:rsid w:val="00EF2927"/>
    <w:rsid w:val="00EF335D"/>
    <w:rsid w:val="00EF3995"/>
    <w:rsid w:val="00EF3E00"/>
    <w:rsid w:val="00EF48A4"/>
    <w:rsid w:val="00EF4B4F"/>
    <w:rsid w:val="00EF50FF"/>
    <w:rsid w:val="00EF65CA"/>
    <w:rsid w:val="00EF6C56"/>
    <w:rsid w:val="00EF6F37"/>
    <w:rsid w:val="00EF7209"/>
    <w:rsid w:val="00F007E8"/>
    <w:rsid w:val="00F02170"/>
    <w:rsid w:val="00F02360"/>
    <w:rsid w:val="00F03EAE"/>
    <w:rsid w:val="00F040F8"/>
    <w:rsid w:val="00F043E8"/>
    <w:rsid w:val="00F0474F"/>
    <w:rsid w:val="00F05432"/>
    <w:rsid w:val="00F0561C"/>
    <w:rsid w:val="00F05E5C"/>
    <w:rsid w:val="00F05F6A"/>
    <w:rsid w:val="00F060BD"/>
    <w:rsid w:val="00F0687F"/>
    <w:rsid w:val="00F07755"/>
    <w:rsid w:val="00F07758"/>
    <w:rsid w:val="00F1017A"/>
    <w:rsid w:val="00F11042"/>
    <w:rsid w:val="00F117B7"/>
    <w:rsid w:val="00F117C1"/>
    <w:rsid w:val="00F11C50"/>
    <w:rsid w:val="00F11D58"/>
    <w:rsid w:val="00F12582"/>
    <w:rsid w:val="00F12C04"/>
    <w:rsid w:val="00F12F1A"/>
    <w:rsid w:val="00F13375"/>
    <w:rsid w:val="00F13EF5"/>
    <w:rsid w:val="00F1491A"/>
    <w:rsid w:val="00F14D6F"/>
    <w:rsid w:val="00F15413"/>
    <w:rsid w:val="00F15574"/>
    <w:rsid w:val="00F15891"/>
    <w:rsid w:val="00F15F16"/>
    <w:rsid w:val="00F165A7"/>
    <w:rsid w:val="00F165AB"/>
    <w:rsid w:val="00F177DC"/>
    <w:rsid w:val="00F2035C"/>
    <w:rsid w:val="00F20821"/>
    <w:rsid w:val="00F210E1"/>
    <w:rsid w:val="00F23AE5"/>
    <w:rsid w:val="00F23DCF"/>
    <w:rsid w:val="00F248F5"/>
    <w:rsid w:val="00F24DD8"/>
    <w:rsid w:val="00F2554C"/>
    <w:rsid w:val="00F25F73"/>
    <w:rsid w:val="00F261B6"/>
    <w:rsid w:val="00F2646F"/>
    <w:rsid w:val="00F26F12"/>
    <w:rsid w:val="00F2716E"/>
    <w:rsid w:val="00F2721B"/>
    <w:rsid w:val="00F27353"/>
    <w:rsid w:val="00F2744E"/>
    <w:rsid w:val="00F27A5A"/>
    <w:rsid w:val="00F27AF8"/>
    <w:rsid w:val="00F27C17"/>
    <w:rsid w:val="00F3010C"/>
    <w:rsid w:val="00F302CC"/>
    <w:rsid w:val="00F30834"/>
    <w:rsid w:val="00F3094A"/>
    <w:rsid w:val="00F3141C"/>
    <w:rsid w:val="00F31980"/>
    <w:rsid w:val="00F31E42"/>
    <w:rsid w:val="00F3262F"/>
    <w:rsid w:val="00F32722"/>
    <w:rsid w:val="00F32EC2"/>
    <w:rsid w:val="00F33ACD"/>
    <w:rsid w:val="00F3421A"/>
    <w:rsid w:val="00F344A7"/>
    <w:rsid w:val="00F34A3C"/>
    <w:rsid w:val="00F3577C"/>
    <w:rsid w:val="00F35A11"/>
    <w:rsid w:val="00F35DCA"/>
    <w:rsid w:val="00F363B5"/>
    <w:rsid w:val="00F368DA"/>
    <w:rsid w:val="00F37129"/>
    <w:rsid w:val="00F37B6A"/>
    <w:rsid w:val="00F37D85"/>
    <w:rsid w:val="00F40042"/>
    <w:rsid w:val="00F42ED2"/>
    <w:rsid w:val="00F42FEB"/>
    <w:rsid w:val="00F4411D"/>
    <w:rsid w:val="00F44351"/>
    <w:rsid w:val="00F44599"/>
    <w:rsid w:val="00F44F51"/>
    <w:rsid w:val="00F4581C"/>
    <w:rsid w:val="00F45CC6"/>
    <w:rsid w:val="00F47AEF"/>
    <w:rsid w:val="00F47B13"/>
    <w:rsid w:val="00F51D19"/>
    <w:rsid w:val="00F5238F"/>
    <w:rsid w:val="00F52A42"/>
    <w:rsid w:val="00F52AEE"/>
    <w:rsid w:val="00F52AF9"/>
    <w:rsid w:val="00F52BC4"/>
    <w:rsid w:val="00F52C73"/>
    <w:rsid w:val="00F52E11"/>
    <w:rsid w:val="00F53802"/>
    <w:rsid w:val="00F53D3B"/>
    <w:rsid w:val="00F53D97"/>
    <w:rsid w:val="00F53F72"/>
    <w:rsid w:val="00F53F7D"/>
    <w:rsid w:val="00F53FA3"/>
    <w:rsid w:val="00F541CD"/>
    <w:rsid w:val="00F54BA8"/>
    <w:rsid w:val="00F55160"/>
    <w:rsid w:val="00F55621"/>
    <w:rsid w:val="00F55BFB"/>
    <w:rsid w:val="00F56183"/>
    <w:rsid w:val="00F56D54"/>
    <w:rsid w:val="00F578AB"/>
    <w:rsid w:val="00F57B95"/>
    <w:rsid w:val="00F57F77"/>
    <w:rsid w:val="00F6034C"/>
    <w:rsid w:val="00F607EA"/>
    <w:rsid w:val="00F60E29"/>
    <w:rsid w:val="00F61AA9"/>
    <w:rsid w:val="00F61B56"/>
    <w:rsid w:val="00F62353"/>
    <w:rsid w:val="00F62BDE"/>
    <w:rsid w:val="00F635AB"/>
    <w:rsid w:val="00F63F48"/>
    <w:rsid w:val="00F6437E"/>
    <w:rsid w:val="00F647F7"/>
    <w:rsid w:val="00F64A62"/>
    <w:rsid w:val="00F64BA2"/>
    <w:rsid w:val="00F64ED0"/>
    <w:rsid w:val="00F65A31"/>
    <w:rsid w:val="00F65E59"/>
    <w:rsid w:val="00F6625C"/>
    <w:rsid w:val="00F66B60"/>
    <w:rsid w:val="00F66B8B"/>
    <w:rsid w:val="00F67589"/>
    <w:rsid w:val="00F675C6"/>
    <w:rsid w:val="00F675FE"/>
    <w:rsid w:val="00F67CC1"/>
    <w:rsid w:val="00F67E39"/>
    <w:rsid w:val="00F70573"/>
    <w:rsid w:val="00F70C1C"/>
    <w:rsid w:val="00F71506"/>
    <w:rsid w:val="00F716B7"/>
    <w:rsid w:val="00F718DC"/>
    <w:rsid w:val="00F71B42"/>
    <w:rsid w:val="00F71C04"/>
    <w:rsid w:val="00F72740"/>
    <w:rsid w:val="00F72DBD"/>
    <w:rsid w:val="00F72DD0"/>
    <w:rsid w:val="00F73630"/>
    <w:rsid w:val="00F73A51"/>
    <w:rsid w:val="00F73CB0"/>
    <w:rsid w:val="00F75BCF"/>
    <w:rsid w:val="00F75E1F"/>
    <w:rsid w:val="00F76F3A"/>
    <w:rsid w:val="00F771F8"/>
    <w:rsid w:val="00F779B7"/>
    <w:rsid w:val="00F77C96"/>
    <w:rsid w:val="00F77FA3"/>
    <w:rsid w:val="00F80341"/>
    <w:rsid w:val="00F803E6"/>
    <w:rsid w:val="00F804F7"/>
    <w:rsid w:val="00F8059B"/>
    <w:rsid w:val="00F80C9F"/>
    <w:rsid w:val="00F8107D"/>
    <w:rsid w:val="00F812B9"/>
    <w:rsid w:val="00F8270C"/>
    <w:rsid w:val="00F82D08"/>
    <w:rsid w:val="00F84151"/>
    <w:rsid w:val="00F84631"/>
    <w:rsid w:val="00F84A10"/>
    <w:rsid w:val="00F84F47"/>
    <w:rsid w:val="00F86075"/>
    <w:rsid w:val="00F86198"/>
    <w:rsid w:val="00F861F9"/>
    <w:rsid w:val="00F87A75"/>
    <w:rsid w:val="00F87C75"/>
    <w:rsid w:val="00F90CC3"/>
    <w:rsid w:val="00F91708"/>
    <w:rsid w:val="00F91937"/>
    <w:rsid w:val="00F921E5"/>
    <w:rsid w:val="00F92318"/>
    <w:rsid w:val="00F9295A"/>
    <w:rsid w:val="00F92C67"/>
    <w:rsid w:val="00F951B1"/>
    <w:rsid w:val="00F96944"/>
    <w:rsid w:val="00F97644"/>
    <w:rsid w:val="00F97660"/>
    <w:rsid w:val="00F97B57"/>
    <w:rsid w:val="00FA0503"/>
    <w:rsid w:val="00FA10B7"/>
    <w:rsid w:val="00FA13CF"/>
    <w:rsid w:val="00FA1B76"/>
    <w:rsid w:val="00FA22FE"/>
    <w:rsid w:val="00FA24B5"/>
    <w:rsid w:val="00FA2A2A"/>
    <w:rsid w:val="00FA2A61"/>
    <w:rsid w:val="00FA3236"/>
    <w:rsid w:val="00FA3D67"/>
    <w:rsid w:val="00FA40AD"/>
    <w:rsid w:val="00FA530C"/>
    <w:rsid w:val="00FA70A4"/>
    <w:rsid w:val="00FA7CEA"/>
    <w:rsid w:val="00FA7D68"/>
    <w:rsid w:val="00FB01A7"/>
    <w:rsid w:val="00FB07F3"/>
    <w:rsid w:val="00FB1B4E"/>
    <w:rsid w:val="00FB1F50"/>
    <w:rsid w:val="00FB1FCA"/>
    <w:rsid w:val="00FB201C"/>
    <w:rsid w:val="00FB2377"/>
    <w:rsid w:val="00FB294C"/>
    <w:rsid w:val="00FB29B5"/>
    <w:rsid w:val="00FB2A09"/>
    <w:rsid w:val="00FB333E"/>
    <w:rsid w:val="00FB4FFE"/>
    <w:rsid w:val="00FB5238"/>
    <w:rsid w:val="00FB5A5B"/>
    <w:rsid w:val="00FB5E1D"/>
    <w:rsid w:val="00FB5EDA"/>
    <w:rsid w:val="00FB67D0"/>
    <w:rsid w:val="00FB6A75"/>
    <w:rsid w:val="00FB72E5"/>
    <w:rsid w:val="00FB7A69"/>
    <w:rsid w:val="00FB7F34"/>
    <w:rsid w:val="00FC044C"/>
    <w:rsid w:val="00FC0845"/>
    <w:rsid w:val="00FC0985"/>
    <w:rsid w:val="00FC0DEF"/>
    <w:rsid w:val="00FC0E5B"/>
    <w:rsid w:val="00FC2317"/>
    <w:rsid w:val="00FC253F"/>
    <w:rsid w:val="00FC2820"/>
    <w:rsid w:val="00FC2C01"/>
    <w:rsid w:val="00FC2DC8"/>
    <w:rsid w:val="00FC3954"/>
    <w:rsid w:val="00FC3D51"/>
    <w:rsid w:val="00FC3D6F"/>
    <w:rsid w:val="00FC4D5A"/>
    <w:rsid w:val="00FC4F86"/>
    <w:rsid w:val="00FC5457"/>
    <w:rsid w:val="00FC5BF6"/>
    <w:rsid w:val="00FC6120"/>
    <w:rsid w:val="00FC634E"/>
    <w:rsid w:val="00FC7462"/>
    <w:rsid w:val="00FD0660"/>
    <w:rsid w:val="00FD0E82"/>
    <w:rsid w:val="00FD132A"/>
    <w:rsid w:val="00FD1880"/>
    <w:rsid w:val="00FD20DF"/>
    <w:rsid w:val="00FD2A66"/>
    <w:rsid w:val="00FD3146"/>
    <w:rsid w:val="00FD3231"/>
    <w:rsid w:val="00FD3A37"/>
    <w:rsid w:val="00FD3DD7"/>
    <w:rsid w:val="00FD4341"/>
    <w:rsid w:val="00FD48DD"/>
    <w:rsid w:val="00FD5FEA"/>
    <w:rsid w:val="00FD6353"/>
    <w:rsid w:val="00FD6DB8"/>
    <w:rsid w:val="00FD7A74"/>
    <w:rsid w:val="00FE0913"/>
    <w:rsid w:val="00FE0BC9"/>
    <w:rsid w:val="00FE1110"/>
    <w:rsid w:val="00FE140F"/>
    <w:rsid w:val="00FE412D"/>
    <w:rsid w:val="00FE4489"/>
    <w:rsid w:val="00FE4A08"/>
    <w:rsid w:val="00FE5367"/>
    <w:rsid w:val="00FE579B"/>
    <w:rsid w:val="00FE5CCD"/>
    <w:rsid w:val="00FE66B0"/>
    <w:rsid w:val="00FE680D"/>
    <w:rsid w:val="00FE78F6"/>
    <w:rsid w:val="00FE7E61"/>
    <w:rsid w:val="00FF03FA"/>
    <w:rsid w:val="00FF053E"/>
    <w:rsid w:val="00FF05EC"/>
    <w:rsid w:val="00FF083F"/>
    <w:rsid w:val="00FF0C93"/>
    <w:rsid w:val="00FF25BE"/>
    <w:rsid w:val="00FF2725"/>
    <w:rsid w:val="00FF2849"/>
    <w:rsid w:val="00FF32B0"/>
    <w:rsid w:val="00FF3E1D"/>
    <w:rsid w:val="00FF4AED"/>
    <w:rsid w:val="00FF50B0"/>
    <w:rsid w:val="00FF513F"/>
    <w:rsid w:val="00FF6000"/>
    <w:rsid w:val="00FF63E7"/>
    <w:rsid w:val="00FF6B23"/>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C3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uiPriority w:val="99"/>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iPriority w:val="99"/>
    <w:unhideWhenUsed/>
    <w:rsid w:val="0076087D"/>
    <w:rPr>
      <w:sz w:val="16"/>
      <w:szCs w:val="16"/>
    </w:rPr>
  </w:style>
  <w:style w:type="paragraph" w:styleId="CommentText">
    <w:name w:val="annotation text"/>
    <w:basedOn w:val="Normal"/>
    <w:link w:val="CommentTextChar"/>
    <w:uiPriority w:val="99"/>
    <w:unhideWhenUsed/>
    <w:rsid w:val="0076087D"/>
    <w:rPr>
      <w:sz w:val="20"/>
      <w:szCs w:val="20"/>
    </w:rPr>
  </w:style>
  <w:style w:type="character" w:customStyle="1" w:styleId="CommentTextChar">
    <w:name w:val="Comment Text Char"/>
    <w:basedOn w:val="DefaultParagraphFont"/>
    <w:link w:val="CommentText"/>
    <w:uiPriority w:val="99"/>
    <w:rsid w:val="0076087D"/>
    <w:rPr>
      <w:sz w:val="20"/>
      <w:szCs w:val="20"/>
    </w:rPr>
  </w:style>
  <w:style w:type="paragraph" w:styleId="CommentSubject">
    <w:name w:val="annotation subject"/>
    <w:basedOn w:val="CommentText"/>
    <w:next w:val="CommentText"/>
    <w:link w:val="CommentSubjectChar"/>
    <w:uiPriority w:val="99"/>
    <w:semiHidden/>
    <w:unhideWhenUsed/>
    <w:rsid w:val="0076087D"/>
    <w:rPr>
      <w:b/>
      <w:bCs/>
    </w:rPr>
  </w:style>
  <w:style w:type="character" w:customStyle="1" w:styleId="CommentSubjectChar">
    <w:name w:val="Comment Subject Char"/>
    <w:basedOn w:val="CommentTextChar"/>
    <w:link w:val="CommentSubject"/>
    <w:uiPriority w:val="99"/>
    <w:semiHidden/>
    <w:rsid w:val="0076087D"/>
    <w:rPr>
      <w:b/>
      <w:bCs/>
      <w:sz w:val="20"/>
      <w:szCs w:val="20"/>
    </w:rPr>
  </w:style>
  <w:style w:type="paragraph" w:styleId="PlainText">
    <w:name w:val="Plain Text"/>
    <w:basedOn w:val="Normal"/>
    <w:link w:val="PlainTextChar"/>
    <w:uiPriority w:val="99"/>
    <w:unhideWhenUsed/>
    <w:rsid w:val="00927DB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27DBC"/>
    <w:rPr>
      <w:rFonts w:ascii="Calibri" w:eastAsiaTheme="minorHAnsi" w:hAnsi="Calibri" w:cs="Calibri"/>
    </w:rPr>
  </w:style>
  <w:style w:type="paragraph" w:styleId="FootnoteText">
    <w:name w:val="footnote text"/>
    <w:basedOn w:val="Normal"/>
    <w:link w:val="FootnoteTextChar"/>
    <w:uiPriority w:val="99"/>
    <w:unhideWhenUsed/>
    <w:rsid w:val="00E80DA1"/>
    <w:pPr>
      <w:widowControl w:val="0"/>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uiPriority w:val="99"/>
    <w:rsid w:val="00E80DA1"/>
    <w:rPr>
      <w:rFonts w:ascii="Garamond" w:eastAsia="ヒラギノ角ゴ Pro W3" w:hAnsi="Garamond"/>
      <w:color w:val="000000"/>
      <w:sz w:val="20"/>
      <w:szCs w:val="20"/>
    </w:rPr>
  </w:style>
  <w:style w:type="character" w:styleId="FootnoteReference">
    <w:name w:val="footnote reference"/>
    <w:basedOn w:val="DefaultParagraphFont"/>
    <w:uiPriority w:val="99"/>
    <w:semiHidden/>
    <w:unhideWhenUsed/>
    <w:rsid w:val="00E80DA1"/>
    <w:rPr>
      <w:vertAlign w:val="superscript"/>
    </w:rPr>
  </w:style>
  <w:style w:type="paragraph" w:customStyle="1" w:styleId="HTMLPreformatted1">
    <w:name w:val="HTML Preformatted1"/>
    <w:uiPriority w:val="99"/>
    <w:rsid w:val="007E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sz w:val="20"/>
      <w:szCs w:val="20"/>
    </w:rPr>
  </w:style>
  <w:style w:type="paragraph" w:customStyle="1" w:styleId="Normal1">
    <w:name w:val="Normal1"/>
    <w:uiPriority w:val="99"/>
    <w:rsid w:val="00E672A0"/>
    <w:pPr>
      <w:spacing w:line="276" w:lineRule="auto"/>
    </w:pPr>
    <w:rPr>
      <w:rFonts w:ascii="Arial" w:eastAsia="Arial" w:hAnsi="Arial" w:cs="Arial"/>
      <w:color w:val="000000"/>
      <w:szCs w:val="24"/>
      <w:lang w:eastAsia="ja-JP"/>
    </w:rPr>
  </w:style>
  <w:style w:type="character" w:styleId="Strong">
    <w:name w:val="Strong"/>
    <w:basedOn w:val="DefaultParagraphFont"/>
    <w:uiPriority w:val="22"/>
    <w:qFormat/>
    <w:locked/>
    <w:rsid w:val="00B01B6F"/>
    <w:rPr>
      <w:b/>
      <w:bCs/>
    </w:rPr>
  </w:style>
  <w:style w:type="paragraph" w:styleId="Revision">
    <w:name w:val="Revision"/>
    <w:hidden/>
    <w:uiPriority w:val="99"/>
    <w:semiHidden/>
    <w:rsid w:val="00307E62"/>
    <w:rPr>
      <w:sz w:val="24"/>
      <w:szCs w:val="24"/>
    </w:rPr>
  </w:style>
  <w:style w:type="paragraph" w:styleId="NormalWeb">
    <w:name w:val="Normal (Web)"/>
    <w:basedOn w:val="Normal"/>
    <w:uiPriority w:val="99"/>
    <w:unhideWhenUsed/>
    <w:rsid w:val="009A65A3"/>
    <w:pPr>
      <w:spacing w:before="100" w:beforeAutospacing="1" w:after="100" w:afterAutospacing="1"/>
    </w:pPr>
  </w:style>
  <w:style w:type="paragraph" w:styleId="NoSpacing">
    <w:name w:val="No Spacing"/>
    <w:uiPriority w:val="1"/>
    <w:qFormat/>
    <w:rsid w:val="008E4D39"/>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5326E"/>
    <w:rPr>
      <w:color w:val="800080" w:themeColor="followedHyperlink"/>
      <w:u w:val="single"/>
    </w:rPr>
  </w:style>
  <w:style w:type="paragraph" w:customStyle="1" w:styleId="Default">
    <w:name w:val="Default"/>
    <w:basedOn w:val="Normal"/>
    <w:rsid w:val="007008F9"/>
    <w:pPr>
      <w:autoSpaceDE w:val="0"/>
      <w:autoSpaceDN w:val="0"/>
    </w:pPr>
    <w:rPr>
      <w:rFonts w:eastAsiaTheme="minorHAnsi"/>
      <w:color w:val="000000"/>
    </w:rPr>
  </w:style>
  <w:style w:type="table" w:styleId="TableGrid">
    <w:name w:val="Table Grid"/>
    <w:basedOn w:val="TableNormal"/>
    <w:locked/>
    <w:rsid w:val="004C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99"/>
    <w:rsid w:val="00C56E3C"/>
    <w:rPr>
      <w:b/>
      <w:bCs/>
    </w:rPr>
  </w:style>
  <w:style w:type="character" w:customStyle="1" w:styleId="Hyperlink-1">
    <w:name w:val="Hyperlink-1"/>
    <w:uiPriority w:val="99"/>
    <w:rsid w:val="009F103D"/>
    <w:rPr>
      <w:b/>
      <w:bCs/>
      <w:color w:val="0000FF"/>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uiPriority w:val="99"/>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iPriority w:val="99"/>
    <w:unhideWhenUsed/>
    <w:rsid w:val="0076087D"/>
    <w:rPr>
      <w:sz w:val="16"/>
      <w:szCs w:val="16"/>
    </w:rPr>
  </w:style>
  <w:style w:type="paragraph" w:styleId="CommentText">
    <w:name w:val="annotation text"/>
    <w:basedOn w:val="Normal"/>
    <w:link w:val="CommentTextChar"/>
    <w:uiPriority w:val="99"/>
    <w:unhideWhenUsed/>
    <w:rsid w:val="0076087D"/>
    <w:rPr>
      <w:sz w:val="20"/>
      <w:szCs w:val="20"/>
    </w:rPr>
  </w:style>
  <w:style w:type="character" w:customStyle="1" w:styleId="CommentTextChar">
    <w:name w:val="Comment Text Char"/>
    <w:basedOn w:val="DefaultParagraphFont"/>
    <w:link w:val="CommentText"/>
    <w:uiPriority w:val="99"/>
    <w:rsid w:val="0076087D"/>
    <w:rPr>
      <w:sz w:val="20"/>
      <w:szCs w:val="20"/>
    </w:rPr>
  </w:style>
  <w:style w:type="paragraph" w:styleId="CommentSubject">
    <w:name w:val="annotation subject"/>
    <w:basedOn w:val="CommentText"/>
    <w:next w:val="CommentText"/>
    <w:link w:val="CommentSubjectChar"/>
    <w:uiPriority w:val="99"/>
    <w:semiHidden/>
    <w:unhideWhenUsed/>
    <w:rsid w:val="0076087D"/>
    <w:rPr>
      <w:b/>
      <w:bCs/>
    </w:rPr>
  </w:style>
  <w:style w:type="character" w:customStyle="1" w:styleId="CommentSubjectChar">
    <w:name w:val="Comment Subject Char"/>
    <w:basedOn w:val="CommentTextChar"/>
    <w:link w:val="CommentSubject"/>
    <w:uiPriority w:val="99"/>
    <w:semiHidden/>
    <w:rsid w:val="0076087D"/>
    <w:rPr>
      <w:b/>
      <w:bCs/>
      <w:sz w:val="20"/>
      <w:szCs w:val="20"/>
    </w:rPr>
  </w:style>
  <w:style w:type="paragraph" w:styleId="PlainText">
    <w:name w:val="Plain Text"/>
    <w:basedOn w:val="Normal"/>
    <w:link w:val="PlainTextChar"/>
    <w:uiPriority w:val="99"/>
    <w:unhideWhenUsed/>
    <w:rsid w:val="00927DB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27DBC"/>
    <w:rPr>
      <w:rFonts w:ascii="Calibri" w:eastAsiaTheme="minorHAnsi" w:hAnsi="Calibri" w:cs="Calibri"/>
    </w:rPr>
  </w:style>
  <w:style w:type="paragraph" w:styleId="FootnoteText">
    <w:name w:val="footnote text"/>
    <w:basedOn w:val="Normal"/>
    <w:link w:val="FootnoteTextChar"/>
    <w:uiPriority w:val="99"/>
    <w:unhideWhenUsed/>
    <w:rsid w:val="00E80DA1"/>
    <w:pPr>
      <w:widowControl w:val="0"/>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uiPriority w:val="99"/>
    <w:rsid w:val="00E80DA1"/>
    <w:rPr>
      <w:rFonts w:ascii="Garamond" w:eastAsia="ヒラギノ角ゴ Pro W3" w:hAnsi="Garamond"/>
      <w:color w:val="000000"/>
      <w:sz w:val="20"/>
      <w:szCs w:val="20"/>
    </w:rPr>
  </w:style>
  <w:style w:type="character" w:styleId="FootnoteReference">
    <w:name w:val="footnote reference"/>
    <w:basedOn w:val="DefaultParagraphFont"/>
    <w:uiPriority w:val="99"/>
    <w:semiHidden/>
    <w:unhideWhenUsed/>
    <w:rsid w:val="00E80DA1"/>
    <w:rPr>
      <w:vertAlign w:val="superscript"/>
    </w:rPr>
  </w:style>
  <w:style w:type="paragraph" w:customStyle="1" w:styleId="HTMLPreformatted1">
    <w:name w:val="HTML Preformatted1"/>
    <w:uiPriority w:val="99"/>
    <w:rsid w:val="007E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sz w:val="20"/>
      <w:szCs w:val="20"/>
    </w:rPr>
  </w:style>
  <w:style w:type="paragraph" w:customStyle="1" w:styleId="Normal1">
    <w:name w:val="Normal1"/>
    <w:uiPriority w:val="99"/>
    <w:rsid w:val="00E672A0"/>
    <w:pPr>
      <w:spacing w:line="276" w:lineRule="auto"/>
    </w:pPr>
    <w:rPr>
      <w:rFonts w:ascii="Arial" w:eastAsia="Arial" w:hAnsi="Arial" w:cs="Arial"/>
      <w:color w:val="000000"/>
      <w:szCs w:val="24"/>
      <w:lang w:eastAsia="ja-JP"/>
    </w:rPr>
  </w:style>
  <w:style w:type="character" w:styleId="Strong">
    <w:name w:val="Strong"/>
    <w:basedOn w:val="DefaultParagraphFont"/>
    <w:uiPriority w:val="22"/>
    <w:qFormat/>
    <w:locked/>
    <w:rsid w:val="00B01B6F"/>
    <w:rPr>
      <w:b/>
      <w:bCs/>
    </w:rPr>
  </w:style>
  <w:style w:type="paragraph" w:styleId="Revision">
    <w:name w:val="Revision"/>
    <w:hidden/>
    <w:uiPriority w:val="99"/>
    <w:semiHidden/>
    <w:rsid w:val="00307E62"/>
    <w:rPr>
      <w:sz w:val="24"/>
      <w:szCs w:val="24"/>
    </w:rPr>
  </w:style>
  <w:style w:type="paragraph" w:styleId="NormalWeb">
    <w:name w:val="Normal (Web)"/>
    <w:basedOn w:val="Normal"/>
    <w:uiPriority w:val="99"/>
    <w:unhideWhenUsed/>
    <w:rsid w:val="009A65A3"/>
    <w:pPr>
      <w:spacing w:before="100" w:beforeAutospacing="1" w:after="100" w:afterAutospacing="1"/>
    </w:pPr>
  </w:style>
  <w:style w:type="paragraph" w:styleId="NoSpacing">
    <w:name w:val="No Spacing"/>
    <w:uiPriority w:val="1"/>
    <w:qFormat/>
    <w:rsid w:val="008E4D39"/>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5326E"/>
    <w:rPr>
      <w:color w:val="800080" w:themeColor="followedHyperlink"/>
      <w:u w:val="single"/>
    </w:rPr>
  </w:style>
  <w:style w:type="paragraph" w:customStyle="1" w:styleId="Default">
    <w:name w:val="Default"/>
    <w:basedOn w:val="Normal"/>
    <w:rsid w:val="007008F9"/>
    <w:pPr>
      <w:autoSpaceDE w:val="0"/>
      <w:autoSpaceDN w:val="0"/>
    </w:pPr>
    <w:rPr>
      <w:rFonts w:eastAsiaTheme="minorHAnsi"/>
      <w:color w:val="000000"/>
    </w:rPr>
  </w:style>
  <w:style w:type="table" w:styleId="TableGrid">
    <w:name w:val="Table Grid"/>
    <w:basedOn w:val="TableNormal"/>
    <w:locked/>
    <w:rsid w:val="004C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99"/>
    <w:rsid w:val="00C56E3C"/>
    <w:rPr>
      <w:b/>
      <w:bCs/>
    </w:rPr>
  </w:style>
  <w:style w:type="character" w:customStyle="1" w:styleId="Hyperlink-1">
    <w:name w:val="Hyperlink-1"/>
    <w:uiPriority w:val="99"/>
    <w:rsid w:val="009F103D"/>
    <w:rPr>
      <w:b/>
      <w:bCs/>
      <w:color w:val="0000FF"/>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01">
      <w:bodyDiv w:val="1"/>
      <w:marLeft w:val="0"/>
      <w:marRight w:val="0"/>
      <w:marTop w:val="0"/>
      <w:marBottom w:val="0"/>
      <w:divBdr>
        <w:top w:val="none" w:sz="0" w:space="0" w:color="auto"/>
        <w:left w:val="none" w:sz="0" w:space="0" w:color="auto"/>
        <w:bottom w:val="none" w:sz="0" w:space="0" w:color="auto"/>
        <w:right w:val="none" w:sz="0" w:space="0" w:color="auto"/>
      </w:divBdr>
    </w:div>
    <w:div w:id="15160267">
      <w:bodyDiv w:val="1"/>
      <w:marLeft w:val="0"/>
      <w:marRight w:val="0"/>
      <w:marTop w:val="0"/>
      <w:marBottom w:val="0"/>
      <w:divBdr>
        <w:top w:val="none" w:sz="0" w:space="0" w:color="auto"/>
        <w:left w:val="none" w:sz="0" w:space="0" w:color="auto"/>
        <w:bottom w:val="none" w:sz="0" w:space="0" w:color="auto"/>
        <w:right w:val="none" w:sz="0" w:space="0" w:color="auto"/>
      </w:divBdr>
    </w:div>
    <w:div w:id="27607888">
      <w:bodyDiv w:val="1"/>
      <w:marLeft w:val="0"/>
      <w:marRight w:val="0"/>
      <w:marTop w:val="0"/>
      <w:marBottom w:val="0"/>
      <w:divBdr>
        <w:top w:val="none" w:sz="0" w:space="0" w:color="auto"/>
        <w:left w:val="none" w:sz="0" w:space="0" w:color="auto"/>
        <w:bottom w:val="none" w:sz="0" w:space="0" w:color="auto"/>
        <w:right w:val="none" w:sz="0" w:space="0" w:color="auto"/>
      </w:divBdr>
    </w:div>
    <w:div w:id="29111655">
      <w:bodyDiv w:val="1"/>
      <w:marLeft w:val="0"/>
      <w:marRight w:val="0"/>
      <w:marTop w:val="0"/>
      <w:marBottom w:val="0"/>
      <w:divBdr>
        <w:top w:val="none" w:sz="0" w:space="0" w:color="auto"/>
        <w:left w:val="none" w:sz="0" w:space="0" w:color="auto"/>
        <w:bottom w:val="none" w:sz="0" w:space="0" w:color="auto"/>
        <w:right w:val="none" w:sz="0" w:space="0" w:color="auto"/>
      </w:divBdr>
    </w:div>
    <w:div w:id="32462595">
      <w:bodyDiv w:val="1"/>
      <w:marLeft w:val="0"/>
      <w:marRight w:val="0"/>
      <w:marTop w:val="0"/>
      <w:marBottom w:val="0"/>
      <w:divBdr>
        <w:top w:val="none" w:sz="0" w:space="0" w:color="auto"/>
        <w:left w:val="none" w:sz="0" w:space="0" w:color="auto"/>
        <w:bottom w:val="none" w:sz="0" w:space="0" w:color="auto"/>
        <w:right w:val="none" w:sz="0" w:space="0" w:color="auto"/>
      </w:divBdr>
    </w:div>
    <w:div w:id="71120700">
      <w:bodyDiv w:val="1"/>
      <w:marLeft w:val="0"/>
      <w:marRight w:val="0"/>
      <w:marTop w:val="0"/>
      <w:marBottom w:val="0"/>
      <w:divBdr>
        <w:top w:val="none" w:sz="0" w:space="0" w:color="auto"/>
        <w:left w:val="none" w:sz="0" w:space="0" w:color="auto"/>
        <w:bottom w:val="none" w:sz="0" w:space="0" w:color="auto"/>
        <w:right w:val="none" w:sz="0" w:space="0" w:color="auto"/>
      </w:divBdr>
    </w:div>
    <w:div w:id="81723830">
      <w:bodyDiv w:val="1"/>
      <w:marLeft w:val="0"/>
      <w:marRight w:val="0"/>
      <w:marTop w:val="0"/>
      <w:marBottom w:val="0"/>
      <w:divBdr>
        <w:top w:val="none" w:sz="0" w:space="0" w:color="auto"/>
        <w:left w:val="none" w:sz="0" w:space="0" w:color="auto"/>
        <w:bottom w:val="none" w:sz="0" w:space="0" w:color="auto"/>
        <w:right w:val="none" w:sz="0" w:space="0" w:color="auto"/>
      </w:divBdr>
    </w:div>
    <w:div w:id="91702439">
      <w:bodyDiv w:val="1"/>
      <w:marLeft w:val="0"/>
      <w:marRight w:val="0"/>
      <w:marTop w:val="0"/>
      <w:marBottom w:val="0"/>
      <w:divBdr>
        <w:top w:val="none" w:sz="0" w:space="0" w:color="auto"/>
        <w:left w:val="none" w:sz="0" w:space="0" w:color="auto"/>
        <w:bottom w:val="none" w:sz="0" w:space="0" w:color="auto"/>
        <w:right w:val="none" w:sz="0" w:space="0" w:color="auto"/>
      </w:divBdr>
    </w:div>
    <w:div w:id="107285317">
      <w:bodyDiv w:val="1"/>
      <w:marLeft w:val="0"/>
      <w:marRight w:val="0"/>
      <w:marTop w:val="0"/>
      <w:marBottom w:val="0"/>
      <w:divBdr>
        <w:top w:val="none" w:sz="0" w:space="0" w:color="auto"/>
        <w:left w:val="none" w:sz="0" w:space="0" w:color="auto"/>
        <w:bottom w:val="none" w:sz="0" w:space="0" w:color="auto"/>
        <w:right w:val="none" w:sz="0" w:space="0" w:color="auto"/>
      </w:divBdr>
    </w:div>
    <w:div w:id="119036936">
      <w:bodyDiv w:val="1"/>
      <w:marLeft w:val="0"/>
      <w:marRight w:val="0"/>
      <w:marTop w:val="0"/>
      <w:marBottom w:val="0"/>
      <w:divBdr>
        <w:top w:val="none" w:sz="0" w:space="0" w:color="auto"/>
        <w:left w:val="none" w:sz="0" w:space="0" w:color="auto"/>
        <w:bottom w:val="none" w:sz="0" w:space="0" w:color="auto"/>
        <w:right w:val="none" w:sz="0" w:space="0" w:color="auto"/>
      </w:divBdr>
    </w:div>
    <w:div w:id="128476059">
      <w:bodyDiv w:val="1"/>
      <w:marLeft w:val="0"/>
      <w:marRight w:val="0"/>
      <w:marTop w:val="0"/>
      <w:marBottom w:val="0"/>
      <w:divBdr>
        <w:top w:val="none" w:sz="0" w:space="0" w:color="auto"/>
        <w:left w:val="none" w:sz="0" w:space="0" w:color="auto"/>
        <w:bottom w:val="none" w:sz="0" w:space="0" w:color="auto"/>
        <w:right w:val="none" w:sz="0" w:space="0" w:color="auto"/>
      </w:divBdr>
    </w:div>
    <w:div w:id="144126623">
      <w:bodyDiv w:val="1"/>
      <w:marLeft w:val="0"/>
      <w:marRight w:val="0"/>
      <w:marTop w:val="0"/>
      <w:marBottom w:val="0"/>
      <w:divBdr>
        <w:top w:val="none" w:sz="0" w:space="0" w:color="auto"/>
        <w:left w:val="none" w:sz="0" w:space="0" w:color="auto"/>
        <w:bottom w:val="none" w:sz="0" w:space="0" w:color="auto"/>
        <w:right w:val="none" w:sz="0" w:space="0" w:color="auto"/>
      </w:divBdr>
    </w:div>
    <w:div w:id="160892794">
      <w:bodyDiv w:val="1"/>
      <w:marLeft w:val="0"/>
      <w:marRight w:val="0"/>
      <w:marTop w:val="0"/>
      <w:marBottom w:val="0"/>
      <w:divBdr>
        <w:top w:val="none" w:sz="0" w:space="0" w:color="auto"/>
        <w:left w:val="none" w:sz="0" w:space="0" w:color="auto"/>
        <w:bottom w:val="none" w:sz="0" w:space="0" w:color="auto"/>
        <w:right w:val="none" w:sz="0" w:space="0" w:color="auto"/>
      </w:divBdr>
    </w:div>
    <w:div w:id="179778833">
      <w:bodyDiv w:val="1"/>
      <w:marLeft w:val="0"/>
      <w:marRight w:val="0"/>
      <w:marTop w:val="0"/>
      <w:marBottom w:val="0"/>
      <w:divBdr>
        <w:top w:val="none" w:sz="0" w:space="0" w:color="auto"/>
        <w:left w:val="none" w:sz="0" w:space="0" w:color="auto"/>
        <w:bottom w:val="none" w:sz="0" w:space="0" w:color="auto"/>
        <w:right w:val="none" w:sz="0" w:space="0" w:color="auto"/>
      </w:divBdr>
    </w:div>
    <w:div w:id="185413778">
      <w:bodyDiv w:val="1"/>
      <w:marLeft w:val="0"/>
      <w:marRight w:val="0"/>
      <w:marTop w:val="0"/>
      <w:marBottom w:val="0"/>
      <w:divBdr>
        <w:top w:val="none" w:sz="0" w:space="0" w:color="auto"/>
        <w:left w:val="none" w:sz="0" w:space="0" w:color="auto"/>
        <w:bottom w:val="none" w:sz="0" w:space="0" w:color="auto"/>
        <w:right w:val="none" w:sz="0" w:space="0" w:color="auto"/>
      </w:divBdr>
    </w:div>
    <w:div w:id="189144728">
      <w:bodyDiv w:val="1"/>
      <w:marLeft w:val="0"/>
      <w:marRight w:val="0"/>
      <w:marTop w:val="0"/>
      <w:marBottom w:val="0"/>
      <w:divBdr>
        <w:top w:val="none" w:sz="0" w:space="0" w:color="auto"/>
        <w:left w:val="none" w:sz="0" w:space="0" w:color="auto"/>
        <w:bottom w:val="none" w:sz="0" w:space="0" w:color="auto"/>
        <w:right w:val="none" w:sz="0" w:space="0" w:color="auto"/>
      </w:divBdr>
    </w:div>
    <w:div w:id="191235667">
      <w:bodyDiv w:val="1"/>
      <w:marLeft w:val="0"/>
      <w:marRight w:val="0"/>
      <w:marTop w:val="0"/>
      <w:marBottom w:val="0"/>
      <w:divBdr>
        <w:top w:val="none" w:sz="0" w:space="0" w:color="auto"/>
        <w:left w:val="none" w:sz="0" w:space="0" w:color="auto"/>
        <w:bottom w:val="none" w:sz="0" w:space="0" w:color="auto"/>
        <w:right w:val="none" w:sz="0" w:space="0" w:color="auto"/>
      </w:divBdr>
    </w:div>
    <w:div w:id="202715438">
      <w:bodyDiv w:val="1"/>
      <w:marLeft w:val="0"/>
      <w:marRight w:val="0"/>
      <w:marTop w:val="0"/>
      <w:marBottom w:val="0"/>
      <w:divBdr>
        <w:top w:val="none" w:sz="0" w:space="0" w:color="auto"/>
        <w:left w:val="none" w:sz="0" w:space="0" w:color="auto"/>
        <w:bottom w:val="none" w:sz="0" w:space="0" w:color="auto"/>
        <w:right w:val="none" w:sz="0" w:space="0" w:color="auto"/>
      </w:divBdr>
    </w:div>
    <w:div w:id="205484335">
      <w:bodyDiv w:val="1"/>
      <w:marLeft w:val="0"/>
      <w:marRight w:val="0"/>
      <w:marTop w:val="0"/>
      <w:marBottom w:val="0"/>
      <w:divBdr>
        <w:top w:val="none" w:sz="0" w:space="0" w:color="auto"/>
        <w:left w:val="none" w:sz="0" w:space="0" w:color="auto"/>
        <w:bottom w:val="none" w:sz="0" w:space="0" w:color="auto"/>
        <w:right w:val="none" w:sz="0" w:space="0" w:color="auto"/>
      </w:divBdr>
    </w:div>
    <w:div w:id="288974882">
      <w:bodyDiv w:val="1"/>
      <w:marLeft w:val="0"/>
      <w:marRight w:val="0"/>
      <w:marTop w:val="0"/>
      <w:marBottom w:val="0"/>
      <w:divBdr>
        <w:top w:val="none" w:sz="0" w:space="0" w:color="auto"/>
        <w:left w:val="none" w:sz="0" w:space="0" w:color="auto"/>
        <w:bottom w:val="none" w:sz="0" w:space="0" w:color="auto"/>
        <w:right w:val="none" w:sz="0" w:space="0" w:color="auto"/>
      </w:divBdr>
    </w:div>
    <w:div w:id="323818308">
      <w:bodyDiv w:val="1"/>
      <w:marLeft w:val="0"/>
      <w:marRight w:val="0"/>
      <w:marTop w:val="0"/>
      <w:marBottom w:val="0"/>
      <w:divBdr>
        <w:top w:val="none" w:sz="0" w:space="0" w:color="auto"/>
        <w:left w:val="none" w:sz="0" w:space="0" w:color="auto"/>
        <w:bottom w:val="none" w:sz="0" w:space="0" w:color="auto"/>
        <w:right w:val="none" w:sz="0" w:space="0" w:color="auto"/>
      </w:divBdr>
    </w:div>
    <w:div w:id="327097174">
      <w:bodyDiv w:val="1"/>
      <w:marLeft w:val="0"/>
      <w:marRight w:val="0"/>
      <w:marTop w:val="0"/>
      <w:marBottom w:val="0"/>
      <w:divBdr>
        <w:top w:val="none" w:sz="0" w:space="0" w:color="auto"/>
        <w:left w:val="none" w:sz="0" w:space="0" w:color="auto"/>
        <w:bottom w:val="none" w:sz="0" w:space="0" w:color="auto"/>
        <w:right w:val="none" w:sz="0" w:space="0" w:color="auto"/>
      </w:divBdr>
    </w:div>
    <w:div w:id="334846814">
      <w:bodyDiv w:val="1"/>
      <w:marLeft w:val="0"/>
      <w:marRight w:val="0"/>
      <w:marTop w:val="0"/>
      <w:marBottom w:val="0"/>
      <w:divBdr>
        <w:top w:val="none" w:sz="0" w:space="0" w:color="auto"/>
        <w:left w:val="none" w:sz="0" w:space="0" w:color="auto"/>
        <w:bottom w:val="none" w:sz="0" w:space="0" w:color="auto"/>
        <w:right w:val="none" w:sz="0" w:space="0" w:color="auto"/>
      </w:divBdr>
    </w:div>
    <w:div w:id="378280853">
      <w:bodyDiv w:val="1"/>
      <w:marLeft w:val="0"/>
      <w:marRight w:val="0"/>
      <w:marTop w:val="0"/>
      <w:marBottom w:val="0"/>
      <w:divBdr>
        <w:top w:val="none" w:sz="0" w:space="0" w:color="auto"/>
        <w:left w:val="none" w:sz="0" w:space="0" w:color="auto"/>
        <w:bottom w:val="none" w:sz="0" w:space="0" w:color="auto"/>
        <w:right w:val="none" w:sz="0" w:space="0" w:color="auto"/>
      </w:divBdr>
    </w:div>
    <w:div w:id="387806277">
      <w:bodyDiv w:val="1"/>
      <w:marLeft w:val="0"/>
      <w:marRight w:val="0"/>
      <w:marTop w:val="0"/>
      <w:marBottom w:val="0"/>
      <w:divBdr>
        <w:top w:val="none" w:sz="0" w:space="0" w:color="auto"/>
        <w:left w:val="none" w:sz="0" w:space="0" w:color="auto"/>
        <w:bottom w:val="none" w:sz="0" w:space="0" w:color="auto"/>
        <w:right w:val="none" w:sz="0" w:space="0" w:color="auto"/>
      </w:divBdr>
    </w:div>
    <w:div w:id="393938725">
      <w:bodyDiv w:val="1"/>
      <w:marLeft w:val="0"/>
      <w:marRight w:val="0"/>
      <w:marTop w:val="0"/>
      <w:marBottom w:val="0"/>
      <w:divBdr>
        <w:top w:val="none" w:sz="0" w:space="0" w:color="auto"/>
        <w:left w:val="none" w:sz="0" w:space="0" w:color="auto"/>
        <w:bottom w:val="none" w:sz="0" w:space="0" w:color="auto"/>
        <w:right w:val="none" w:sz="0" w:space="0" w:color="auto"/>
      </w:divBdr>
    </w:div>
    <w:div w:id="400713678">
      <w:bodyDiv w:val="1"/>
      <w:marLeft w:val="0"/>
      <w:marRight w:val="0"/>
      <w:marTop w:val="0"/>
      <w:marBottom w:val="0"/>
      <w:divBdr>
        <w:top w:val="none" w:sz="0" w:space="0" w:color="auto"/>
        <w:left w:val="none" w:sz="0" w:space="0" w:color="auto"/>
        <w:bottom w:val="none" w:sz="0" w:space="0" w:color="auto"/>
        <w:right w:val="none" w:sz="0" w:space="0" w:color="auto"/>
      </w:divBdr>
    </w:div>
    <w:div w:id="413405683">
      <w:bodyDiv w:val="1"/>
      <w:marLeft w:val="0"/>
      <w:marRight w:val="0"/>
      <w:marTop w:val="0"/>
      <w:marBottom w:val="0"/>
      <w:divBdr>
        <w:top w:val="none" w:sz="0" w:space="0" w:color="auto"/>
        <w:left w:val="none" w:sz="0" w:space="0" w:color="auto"/>
        <w:bottom w:val="none" w:sz="0" w:space="0" w:color="auto"/>
        <w:right w:val="none" w:sz="0" w:space="0" w:color="auto"/>
      </w:divBdr>
    </w:div>
    <w:div w:id="419374285">
      <w:bodyDiv w:val="1"/>
      <w:marLeft w:val="0"/>
      <w:marRight w:val="0"/>
      <w:marTop w:val="0"/>
      <w:marBottom w:val="0"/>
      <w:divBdr>
        <w:top w:val="none" w:sz="0" w:space="0" w:color="auto"/>
        <w:left w:val="none" w:sz="0" w:space="0" w:color="auto"/>
        <w:bottom w:val="none" w:sz="0" w:space="0" w:color="auto"/>
        <w:right w:val="none" w:sz="0" w:space="0" w:color="auto"/>
      </w:divBdr>
    </w:div>
    <w:div w:id="436995285">
      <w:bodyDiv w:val="1"/>
      <w:marLeft w:val="0"/>
      <w:marRight w:val="0"/>
      <w:marTop w:val="0"/>
      <w:marBottom w:val="0"/>
      <w:divBdr>
        <w:top w:val="none" w:sz="0" w:space="0" w:color="auto"/>
        <w:left w:val="none" w:sz="0" w:space="0" w:color="auto"/>
        <w:bottom w:val="none" w:sz="0" w:space="0" w:color="auto"/>
        <w:right w:val="none" w:sz="0" w:space="0" w:color="auto"/>
      </w:divBdr>
    </w:div>
    <w:div w:id="437261392">
      <w:bodyDiv w:val="1"/>
      <w:marLeft w:val="0"/>
      <w:marRight w:val="0"/>
      <w:marTop w:val="0"/>
      <w:marBottom w:val="0"/>
      <w:divBdr>
        <w:top w:val="none" w:sz="0" w:space="0" w:color="auto"/>
        <w:left w:val="none" w:sz="0" w:space="0" w:color="auto"/>
        <w:bottom w:val="none" w:sz="0" w:space="0" w:color="auto"/>
        <w:right w:val="none" w:sz="0" w:space="0" w:color="auto"/>
      </w:divBdr>
    </w:div>
    <w:div w:id="447042327">
      <w:bodyDiv w:val="1"/>
      <w:marLeft w:val="0"/>
      <w:marRight w:val="0"/>
      <w:marTop w:val="0"/>
      <w:marBottom w:val="0"/>
      <w:divBdr>
        <w:top w:val="none" w:sz="0" w:space="0" w:color="auto"/>
        <w:left w:val="none" w:sz="0" w:space="0" w:color="auto"/>
        <w:bottom w:val="none" w:sz="0" w:space="0" w:color="auto"/>
        <w:right w:val="none" w:sz="0" w:space="0" w:color="auto"/>
      </w:divBdr>
    </w:div>
    <w:div w:id="455221134">
      <w:bodyDiv w:val="1"/>
      <w:marLeft w:val="0"/>
      <w:marRight w:val="0"/>
      <w:marTop w:val="0"/>
      <w:marBottom w:val="0"/>
      <w:divBdr>
        <w:top w:val="none" w:sz="0" w:space="0" w:color="auto"/>
        <w:left w:val="none" w:sz="0" w:space="0" w:color="auto"/>
        <w:bottom w:val="none" w:sz="0" w:space="0" w:color="auto"/>
        <w:right w:val="none" w:sz="0" w:space="0" w:color="auto"/>
      </w:divBdr>
    </w:div>
    <w:div w:id="457530786">
      <w:bodyDiv w:val="1"/>
      <w:marLeft w:val="0"/>
      <w:marRight w:val="0"/>
      <w:marTop w:val="0"/>
      <w:marBottom w:val="0"/>
      <w:divBdr>
        <w:top w:val="none" w:sz="0" w:space="0" w:color="auto"/>
        <w:left w:val="none" w:sz="0" w:space="0" w:color="auto"/>
        <w:bottom w:val="none" w:sz="0" w:space="0" w:color="auto"/>
        <w:right w:val="none" w:sz="0" w:space="0" w:color="auto"/>
      </w:divBdr>
    </w:div>
    <w:div w:id="460998632">
      <w:bodyDiv w:val="1"/>
      <w:marLeft w:val="0"/>
      <w:marRight w:val="0"/>
      <w:marTop w:val="0"/>
      <w:marBottom w:val="0"/>
      <w:divBdr>
        <w:top w:val="none" w:sz="0" w:space="0" w:color="auto"/>
        <w:left w:val="none" w:sz="0" w:space="0" w:color="auto"/>
        <w:bottom w:val="none" w:sz="0" w:space="0" w:color="auto"/>
        <w:right w:val="none" w:sz="0" w:space="0" w:color="auto"/>
      </w:divBdr>
    </w:div>
    <w:div w:id="540292246">
      <w:bodyDiv w:val="1"/>
      <w:marLeft w:val="0"/>
      <w:marRight w:val="0"/>
      <w:marTop w:val="0"/>
      <w:marBottom w:val="0"/>
      <w:divBdr>
        <w:top w:val="none" w:sz="0" w:space="0" w:color="auto"/>
        <w:left w:val="none" w:sz="0" w:space="0" w:color="auto"/>
        <w:bottom w:val="none" w:sz="0" w:space="0" w:color="auto"/>
        <w:right w:val="none" w:sz="0" w:space="0" w:color="auto"/>
      </w:divBdr>
    </w:div>
    <w:div w:id="592009439">
      <w:bodyDiv w:val="1"/>
      <w:marLeft w:val="0"/>
      <w:marRight w:val="0"/>
      <w:marTop w:val="0"/>
      <w:marBottom w:val="0"/>
      <w:divBdr>
        <w:top w:val="none" w:sz="0" w:space="0" w:color="auto"/>
        <w:left w:val="none" w:sz="0" w:space="0" w:color="auto"/>
        <w:bottom w:val="none" w:sz="0" w:space="0" w:color="auto"/>
        <w:right w:val="none" w:sz="0" w:space="0" w:color="auto"/>
      </w:divBdr>
    </w:div>
    <w:div w:id="595675773">
      <w:bodyDiv w:val="1"/>
      <w:marLeft w:val="0"/>
      <w:marRight w:val="0"/>
      <w:marTop w:val="0"/>
      <w:marBottom w:val="0"/>
      <w:divBdr>
        <w:top w:val="none" w:sz="0" w:space="0" w:color="auto"/>
        <w:left w:val="none" w:sz="0" w:space="0" w:color="auto"/>
        <w:bottom w:val="none" w:sz="0" w:space="0" w:color="auto"/>
        <w:right w:val="none" w:sz="0" w:space="0" w:color="auto"/>
      </w:divBdr>
    </w:div>
    <w:div w:id="618610504">
      <w:bodyDiv w:val="1"/>
      <w:marLeft w:val="0"/>
      <w:marRight w:val="0"/>
      <w:marTop w:val="0"/>
      <w:marBottom w:val="0"/>
      <w:divBdr>
        <w:top w:val="none" w:sz="0" w:space="0" w:color="auto"/>
        <w:left w:val="none" w:sz="0" w:space="0" w:color="auto"/>
        <w:bottom w:val="none" w:sz="0" w:space="0" w:color="auto"/>
        <w:right w:val="none" w:sz="0" w:space="0" w:color="auto"/>
      </w:divBdr>
    </w:div>
    <w:div w:id="635528322">
      <w:bodyDiv w:val="1"/>
      <w:marLeft w:val="0"/>
      <w:marRight w:val="0"/>
      <w:marTop w:val="0"/>
      <w:marBottom w:val="0"/>
      <w:divBdr>
        <w:top w:val="none" w:sz="0" w:space="0" w:color="auto"/>
        <w:left w:val="none" w:sz="0" w:space="0" w:color="auto"/>
        <w:bottom w:val="none" w:sz="0" w:space="0" w:color="auto"/>
        <w:right w:val="none" w:sz="0" w:space="0" w:color="auto"/>
      </w:divBdr>
    </w:div>
    <w:div w:id="653678607">
      <w:bodyDiv w:val="1"/>
      <w:marLeft w:val="0"/>
      <w:marRight w:val="0"/>
      <w:marTop w:val="0"/>
      <w:marBottom w:val="0"/>
      <w:divBdr>
        <w:top w:val="none" w:sz="0" w:space="0" w:color="auto"/>
        <w:left w:val="none" w:sz="0" w:space="0" w:color="auto"/>
        <w:bottom w:val="none" w:sz="0" w:space="0" w:color="auto"/>
        <w:right w:val="none" w:sz="0" w:space="0" w:color="auto"/>
      </w:divBdr>
    </w:div>
    <w:div w:id="667026020">
      <w:bodyDiv w:val="1"/>
      <w:marLeft w:val="0"/>
      <w:marRight w:val="0"/>
      <w:marTop w:val="0"/>
      <w:marBottom w:val="0"/>
      <w:divBdr>
        <w:top w:val="none" w:sz="0" w:space="0" w:color="auto"/>
        <w:left w:val="none" w:sz="0" w:space="0" w:color="auto"/>
        <w:bottom w:val="none" w:sz="0" w:space="0" w:color="auto"/>
        <w:right w:val="none" w:sz="0" w:space="0" w:color="auto"/>
      </w:divBdr>
    </w:div>
    <w:div w:id="703751473">
      <w:bodyDiv w:val="1"/>
      <w:marLeft w:val="0"/>
      <w:marRight w:val="0"/>
      <w:marTop w:val="0"/>
      <w:marBottom w:val="0"/>
      <w:divBdr>
        <w:top w:val="none" w:sz="0" w:space="0" w:color="auto"/>
        <w:left w:val="none" w:sz="0" w:space="0" w:color="auto"/>
        <w:bottom w:val="none" w:sz="0" w:space="0" w:color="auto"/>
        <w:right w:val="none" w:sz="0" w:space="0" w:color="auto"/>
      </w:divBdr>
    </w:div>
    <w:div w:id="765424552">
      <w:bodyDiv w:val="1"/>
      <w:marLeft w:val="0"/>
      <w:marRight w:val="0"/>
      <w:marTop w:val="0"/>
      <w:marBottom w:val="0"/>
      <w:divBdr>
        <w:top w:val="none" w:sz="0" w:space="0" w:color="auto"/>
        <w:left w:val="none" w:sz="0" w:space="0" w:color="auto"/>
        <w:bottom w:val="none" w:sz="0" w:space="0" w:color="auto"/>
        <w:right w:val="none" w:sz="0" w:space="0" w:color="auto"/>
      </w:divBdr>
    </w:div>
    <w:div w:id="766731730">
      <w:bodyDiv w:val="1"/>
      <w:marLeft w:val="0"/>
      <w:marRight w:val="0"/>
      <w:marTop w:val="0"/>
      <w:marBottom w:val="0"/>
      <w:divBdr>
        <w:top w:val="none" w:sz="0" w:space="0" w:color="auto"/>
        <w:left w:val="none" w:sz="0" w:space="0" w:color="auto"/>
        <w:bottom w:val="none" w:sz="0" w:space="0" w:color="auto"/>
        <w:right w:val="none" w:sz="0" w:space="0" w:color="auto"/>
      </w:divBdr>
    </w:div>
    <w:div w:id="769544838">
      <w:bodyDiv w:val="1"/>
      <w:marLeft w:val="0"/>
      <w:marRight w:val="0"/>
      <w:marTop w:val="0"/>
      <w:marBottom w:val="0"/>
      <w:divBdr>
        <w:top w:val="none" w:sz="0" w:space="0" w:color="auto"/>
        <w:left w:val="none" w:sz="0" w:space="0" w:color="auto"/>
        <w:bottom w:val="none" w:sz="0" w:space="0" w:color="auto"/>
        <w:right w:val="none" w:sz="0" w:space="0" w:color="auto"/>
      </w:divBdr>
    </w:div>
    <w:div w:id="774137336">
      <w:bodyDiv w:val="1"/>
      <w:marLeft w:val="0"/>
      <w:marRight w:val="0"/>
      <w:marTop w:val="0"/>
      <w:marBottom w:val="0"/>
      <w:divBdr>
        <w:top w:val="none" w:sz="0" w:space="0" w:color="auto"/>
        <w:left w:val="none" w:sz="0" w:space="0" w:color="auto"/>
        <w:bottom w:val="none" w:sz="0" w:space="0" w:color="auto"/>
        <w:right w:val="none" w:sz="0" w:space="0" w:color="auto"/>
      </w:divBdr>
    </w:div>
    <w:div w:id="880476923">
      <w:bodyDiv w:val="1"/>
      <w:marLeft w:val="0"/>
      <w:marRight w:val="0"/>
      <w:marTop w:val="0"/>
      <w:marBottom w:val="0"/>
      <w:divBdr>
        <w:top w:val="none" w:sz="0" w:space="0" w:color="auto"/>
        <w:left w:val="none" w:sz="0" w:space="0" w:color="auto"/>
        <w:bottom w:val="none" w:sz="0" w:space="0" w:color="auto"/>
        <w:right w:val="none" w:sz="0" w:space="0" w:color="auto"/>
      </w:divBdr>
    </w:div>
    <w:div w:id="880939965">
      <w:bodyDiv w:val="1"/>
      <w:marLeft w:val="0"/>
      <w:marRight w:val="0"/>
      <w:marTop w:val="0"/>
      <w:marBottom w:val="0"/>
      <w:divBdr>
        <w:top w:val="none" w:sz="0" w:space="0" w:color="auto"/>
        <w:left w:val="none" w:sz="0" w:space="0" w:color="auto"/>
        <w:bottom w:val="none" w:sz="0" w:space="0" w:color="auto"/>
        <w:right w:val="none" w:sz="0" w:space="0" w:color="auto"/>
      </w:divBdr>
    </w:div>
    <w:div w:id="912935549">
      <w:bodyDiv w:val="1"/>
      <w:marLeft w:val="0"/>
      <w:marRight w:val="0"/>
      <w:marTop w:val="0"/>
      <w:marBottom w:val="0"/>
      <w:divBdr>
        <w:top w:val="none" w:sz="0" w:space="0" w:color="auto"/>
        <w:left w:val="none" w:sz="0" w:space="0" w:color="auto"/>
        <w:bottom w:val="none" w:sz="0" w:space="0" w:color="auto"/>
        <w:right w:val="none" w:sz="0" w:space="0" w:color="auto"/>
      </w:divBdr>
    </w:div>
    <w:div w:id="944270564">
      <w:bodyDiv w:val="1"/>
      <w:marLeft w:val="0"/>
      <w:marRight w:val="0"/>
      <w:marTop w:val="0"/>
      <w:marBottom w:val="0"/>
      <w:divBdr>
        <w:top w:val="none" w:sz="0" w:space="0" w:color="auto"/>
        <w:left w:val="none" w:sz="0" w:space="0" w:color="auto"/>
        <w:bottom w:val="none" w:sz="0" w:space="0" w:color="auto"/>
        <w:right w:val="none" w:sz="0" w:space="0" w:color="auto"/>
      </w:divBdr>
    </w:div>
    <w:div w:id="956520822">
      <w:bodyDiv w:val="1"/>
      <w:marLeft w:val="0"/>
      <w:marRight w:val="0"/>
      <w:marTop w:val="0"/>
      <w:marBottom w:val="0"/>
      <w:divBdr>
        <w:top w:val="none" w:sz="0" w:space="0" w:color="auto"/>
        <w:left w:val="none" w:sz="0" w:space="0" w:color="auto"/>
        <w:bottom w:val="none" w:sz="0" w:space="0" w:color="auto"/>
        <w:right w:val="none" w:sz="0" w:space="0" w:color="auto"/>
      </w:divBdr>
    </w:div>
    <w:div w:id="976028745">
      <w:bodyDiv w:val="1"/>
      <w:marLeft w:val="0"/>
      <w:marRight w:val="0"/>
      <w:marTop w:val="0"/>
      <w:marBottom w:val="0"/>
      <w:divBdr>
        <w:top w:val="none" w:sz="0" w:space="0" w:color="auto"/>
        <w:left w:val="none" w:sz="0" w:space="0" w:color="auto"/>
        <w:bottom w:val="none" w:sz="0" w:space="0" w:color="auto"/>
        <w:right w:val="none" w:sz="0" w:space="0" w:color="auto"/>
      </w:divBdr>
    </w:div>
    <w:div w:id="984361804">
      <w:bodyDiv w:val="1"/>
      <w:marLeft w:val="0"/>
      <w:marRight w:val="0"/>
      <w:marTop w:val="0"/>
      <w:marBottom w:val="0"/>
      <w:divBdr>
        <w:top w:val="none" w:sz="0" w:space="0" w:color="auto"/>
        <w:left w:val="none" w:sz="0" w:space="0" w:color="auto"/>
        <w:bottom w:val="none" w:sz="0" w:space="0" w:color="auto"/>
        <w:right w:val="none" w:sz="0" w:space="0" w:color="auto"/>
      </w:divBdr>
    </w:div>
    <w:div w:id="984967115">
      <w:bodyDiv w:val="1"/>
      <w:marLeft w:val="0"/>
      <w:marRight w:val="0"/>
      <w:marTop w:val="0"/>
      <w:marBottom w:val="0"/>
      <w:divBdr>
        <w:top w:val="none" w:sz="0" w:space="0" w:color="auto"/>
        <w:left w:val="none" w:sz="0" w:space="0" w:color="auto"/>
        <w:bottom w:val="none" w:sz="0" w:space="0" w:color="auto"/>
        <w:right w:val="none" w:sz="0" w:space="0" w:color="auto"/>
      </w:divBdr>
    </w:div>
    <w:div w:id="1037509337">
      <w:bodyDiv w:val="1"/>
      <w:marLeft w:val="0"/>
      <w:marRight w:val="0"/>
      <w:marTop w:val="0"/>
      <w:marBottom w:val="0"/>
      <w:divBdr>
        <w:top w:val="none" w:sz="0" w:space="0" w:color="auto"/>
        <w:left w:val="none" w:sz="0" w:space="0" w:color="auto"/>
        <w:bottom w:val="none" w:sz="0" w:space="0" w:color="auto"/>
        <w:right w:val="none" w:sz="0" w:space="0" w:color="auto"/>
      </w:divBdr>
    </w:div>
    <w:div w:id="1079908814">
      <w:bodyDiv w:val="1"/>
      <w:marLeft w:val="0"/>
      <w:marRight w:val="0"/>
      <w:marTop w:val="0"/>
      <w:marBottom w:val="0"/>
      <w:divBdr>
        <w:top w:val="none" w:sz="0" w:space="0" w:color="auto"/>
        <w:left w:val="none" w:sz="0" w:space="0" w:color="auto"/>
        <w:bottom w:val="none" w:sz="0" w:space="0" w:color="auto"/>
        <w:right w:val="none" w:sz="0" w:space="0" w:color="auto"/>
      </w:divBdr>
    </w:div>
    <w:div w:id="1083066798">
      <w:bodyDiv w:val="1"/>
      <w:marLeft w:val="0"/>
      <w:marRight w:val="0"/>
      <w:marTop w:val="0"/>
      <w:marBottom w:val="0"/>
      <w:divBdr>
        <w:top w:val="none" w:sz="0" w:space="0" w:color="auto"/>
        <w:left w:val="none" w:sz="0" w:space="0" w:color="auto"/>
        <w:bottom w:val="none" w:sz="0" w:space="0" w:color="auto"/>
        <w:right w:val="none" w:sz="0" w:space="0" w:color="auto"/>
      </w:divBdr>
    </w:div>
    <w:div w:id="1098139328">
      <w:bodyDiv w:val="1"/>
      <w:marLeft w:val="0"/>
      <w:marRight w:val="0"/>
      <w:marTop w:val="0"/>
      <w:marBottom w:val="0"/>
      <w:divBdr>
        <w:top w:val="none" w:sz="0" w:space="0" w:color="auto"/>
        <w:left w:val="none" w:sz="0" w:space="0" w:color="auto"/>
        <w:bottom w:val="none" w:sz="0" w:space="0" w:color="auto"/>
        <w:right w:val="none" w:sz="0" w:space="0" w:color="auto"/>
      </w:divBdr>
    </w:div>
    <w:div w:id="1138841348">
      <w:bodyDiv w:val="1"/>
      <w:marLeft w:val="0"/>
      <w:marRight w:val="0"/>
      <w:marTop w:val="0"/>
      <w:marBottom w:val="0"/>
      <w:divBdr>
        <w:top w:val="none" w:sz="0" w:space="0" w:color="auto"/>
        <w:left w:val="none" w:sz="0" w:space="0" w:color="auto"/>
        <w:bottom w:val="none" w:sz="0" w:space="0" w:color="auto"/>
        <w:right w:val="none" w:sz="0" w:space="0" w:color="auto"/>
      </w:divBdr>
    </w:div>
    <w:div w:id="1149127777">
      <w:bodyDiv w:val="1"/>
      <w:marLeft w:val="0"/>
      <w:marRight w:val="0"/>
      <w:marTop w:val="0"/>
      <w:marBottom w:val="0"/>
      <w:divBdr>
        <w:top w:val="none" w:sz="0" w:space="0" w:color="auto"/>
        <w:left w:val="none" w:sz="0" w:space="0" w:color="auto"/>
        <w:bottom w:val="none" w:sz="0" w:space="0" w:color="auto"/>
        <w:right w:val="none" w:sz="0" w:space="0" w:color="auto"/>
      </w:divBdr>
    </w:div>
    <w:div w:id="1152916291">
      <w:bodyDiv w:val="1"/>
      <w:marLeft w:val="0"/>
      <w:marRight w:val="0"/>
      <w:marTop w:val="0"/>
      <w:marBottom w:val="0"/>
      <w:divBdr>
        <w:top w:val="none" w:sz="0" w:space="0" w:color="auto"/>
        <w:left w:val="none" w:sz="0" w:space="0" w:color="auto"/>
        <w:bottom w:val="none" w:sz="0" w:space="0" w:color="auto"/>
        <w:right w:val="none" w:sz="0" w:space="0" w:color="auto"/>
      </w:divBdr>
    </w:div>
    <w:div w:id="1226143962">
      <w:bodyDiv w:val="1"/>
      <w:marLeft w:val="0"/>
      <w:marRight w:val="0"/>
      <w:marTop w:val="0"/>
      <w:marBottom w:val="0"/>
      <w:divBdr>
        <w:top w:val="none" w:sz="0" w:space="0" w:color="auto"/>
        <w:left w:val="none" w:sz="0" w:space="0" w:color="auto"/>
        <w:bottom w:val="none" w:sz="0" w:space="0" w:color="auto"/>
        <w:right w:val="none" w:sz="0" w:space="0" w:color="auto"/>
      </w:divBdr>
    </w:div>
    <w:div w:id="1282029756">
      <w:bodyDiv w:val="1"/>
      <w:marLeft w:val="0"/>
      <w:marRight w:val="0"/>
      <w:marTop w:val="0"/>
      <w:marBottom w:val="0"/>
      <w:divBdr>
        <w:top w:val="none" w:sz="0" w:space="0" w:color="auto"/>
        <w:left w:val="none" w:sz="0" w:space="0" w:color="auto"/>
        <w:bottom w:val="none" w:sz="0" w:space="0" w:color="auto"/>
        <w:right w:val="none" w:sz="0" w:space="0" w:color="auto"/>
      </w:divBdr>
    </w:div>
    <w:div w:id="1328361447">
      <w:bodyDiv w:val="1"/>
      <w:marLeft w:val="0"/>
      <w:marRight w:val="0"/>
      <w:marTop w:val="0"/>
      <w:marBottom w:val="0"/>
      <w:divBdr>
        <w:top w:val="none" w:sz="0" w:space="0" w:color="auto"/>
        <w:left w:val="none" w:sz="0" w:space="0" w:color="auto"/>
        <w:bottom w:val="none" w:sz="0" w:space="0" w:color="auto"/>
        <w:right w:val="none" w:sz="0" w:space="0" w:color="auto"/>
      </w:divBdr>
    </w:div>
    <w:div w:id="1356803678">
      <w:bodyDiv w:val="1"/>
      <w:marLeft w:val="0"/>
      <w:marRight w:val="0"/>
      <w:marTop w:val="0"/>
      <w:marBottom w:val="0"/>
      <w:divBdr>
        <w:top w:val="none" w:sz="0" w:space="0" w:color="auto"/>
        <w:left w:val="none" w:sz="0" w:space="0" w:color="auto"/>
        <w:bottom w:val="none" w:sz="0" w:space="0" w:color="auto"/>
        <w:right w:val="none" w:sz="0" w:space="0" w:color="auto"/>
      </w:divBdr>
    </w:div>
    <w:div w:id="1385639047">
      <w:bodyDiv w:val="1"/>
      <w:marLeft w:val="0"/>
      <w:marRight w:val="0"/>
      <w:marTop w:val="0"/>
      <w:marBottom w:val="0"/>
      <w:divBdr>
        <w:top w:val="none" w:sz="0" w:space="0" w:color="auto"/>
        <w:left w:val="none" w:sz="0" w:space="0" w:color="auto"/>
        <w:bottom w:val="none" w:sz="0" w:space="0" w:color="auto"/>
        <w:right w:val="none" w:sz="0" w:space="0" w:color="auto"/>
      </w:divBdr>
    </w:div>
    <w:div w:id="1388407664">
      <w:bodyDiv w:val="1"/>
      <w:marLeft w:val="0"/>
      <w:marRight w:val="0"/>
      <w:marTop w:val="0"/>
      <w:marBottom w:val="0"/>
      <w:divBdr>
        <w:top w:val="none" w:sz="0" w:space="0" w:color="auto"/>
        <w:left w:val="none" w:sz="0" w:space="0" w:color="auto"/>
        <w:bottom w:val="none" w:sz="0" w:space="0" w:color="auto"/>
        <w:right w:val="none" w:sz="0" w:space="0" w:color="auto"/>
      </w:divBdr>
    </w:div>
    <w:div w:id="1391995186">
      <w:bodyDiv w:val="1"/>
      <w:marLeft w:val="0"/>
      <w:marRight w:val="0"/>
      <w:marTop w:val="0"/>
      <w:marBottom w:val="0"/>
      <w:divBdr>
        <w:top w:val="none" w:sz="0" w:space="0" w:color="auto"/>
        <w:left w:val="none" w:sz="0" w:space="0" w:color="auto"/>
        <w:bottom w:val="none" w:sz="0" w:space="0" w:color="auto"/>
        <w:right w:val="none" w:sz="0" w:space="0" w:color="auto"/>
      </w:divBdr>
    </w:div>
    <w:div w:id="1394044700">
      <w:bodyDiv w:val="1"/>
      <w:marLeft w:val="0"/>
      <w:marRight w:val="0"/>
      <w:marTop w:val="0"/>
      <w:marBottom w:val="0"/>
      <w:divBdr>
        <w:top w:val="none" w:sz="0" w:space="0" w:color="auto"/>
        <w:left w:val="none" w:sz="0" w:space="0" w:color="auto"/>
        <w:bottom w:val="none" w:sz="0" w:space="0" w:color="auto"/>
        <w:right w:val="none" w:sz="0" w:space="0" w:color="auto"/>
      </w:divBdr>
    </w:div>
    <w:div w:id="1423720475">
      <w:bodyDiv w:val="1"/>
      <w:marLeft w:val="0"/>
      <w:marRight w:val="0"/>
      <w:marTop w:val="0"/>
      <w:marBottom w:val="0"/>
      <w:divBdr>
        <w:top w:val="none" w:sz="0" w:space="0" w:color="auto"/>
        <w:left w:val="none" w:sz="0" w:space="0" w:color="auto"/>
        <w:bottom w:val="none" w:sz="0" w:space="0" w:color="auto"/>
        <w:right w:val="none" w:sz="0" w:space="0" w:color="auto"/>
      </w:divBdr>
    </w:div>
    <w:div w:id="1439254010">
      <w:bodyDiv w:val="1"/>
      <w:marLeft w:val="0"/>
      <w:marRight w:val="0"/>
      <w:marTop w:val="0"/>
      <w:marBottom w:val="0"/>
      <w:divBdr>
        <w:top w:val="none" w:sz="0" w:space="0" w:color="auto"/>
        <w:left w:val="none" w:sz="0" w:space="0" w:color="auto"/>
        <w:bottom w:val="none" w:sz="0" w:space="0" w:color="auto"/>
        <w:right w:val="none" w:sz="0" w:space="0" w:color="auto"/>
      </w:divBdr>
      <w:divsChild>
        <w:div w:id="91247671">
          <w:marLeft w:val="0"/>
          <w:marRight w:val="0"/>
          <w:marTop w:val="0"/>
          <w:marBottom w:val="0"/>
          <w:divBdr>
            <w:top w:val="none" w:sz="0" w:space="0" w:color="auto"/>
            <w:left w:val="none" w:sz="0" w:space="0" w:color="auto"/>
            <w:bottom w:val="none" w:sz="0" w:space="0" w:color="auto"/>
            <w:right w:val="none" w:sz="0" w:space="0" w:color="auto"/>
          </w:divBdr>
          <w:divsChild>
            <w:div w:id="916017224">
              <w:marLeft w:val="0"/>
              <w:marRight w:val="0"/>
              <w:marTop w:val="0"/>
              <w:marBottom w:val="0"/>
              <w:divBdr>
                <w:top w:val="none" w:sz="0" w:space="0" w:color="auto"/>
                <w:left w:val="none" w:sz="0" w:space="0" w:color="auto"/>
                <w:bottom w:val="none" w:sz="0" w:space="0" w:color="auto"/>
                <w:right w:val="none" w:sz="0" w:space="0" w:color="auto"/>
              </w:divBdr>
            </w:div>
          </w:divsChild>
        </w:div>
        <w:div w:id="974143597">
          <w:marLeft w:val="0"/>
          <w:marRight w:val="0"/>
          <w:marTop w:val="0"/>
          <w:marBottom w:val="0"/>
          <w:divBdr>
            <w:top w:val="none" w:sz="0" w:space="0" w:color="auto"/>
            <w:left w:val="none" w:sz="0" w:space="0" w:color="auto"/>
            <w:bottom w:val="none" w:sz="0" w:space="0" w:color="auto"/>
            <w:right w:val="none" w:sz="0" w:space="0" w:color="auto"/>
          </w:divBdr>
          <w:divsChild>
            <w:div w:id="4836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6985">
      <w:bodyDiv w:val="1"/>
      <w:marLeft w:val="0"/>
      <w:marRight w:val="0"/>
      <w:marTop w:val="0"/>
      <w:marBottom w:val="0"/>
      <w:divBdr>
        <w:top w:val="none" w:sz="0" w:space="0" w:color="auto"/>
        <w:left w:val="none" w:sz="0" w:space="0" w:color="auto"/>
        <w:bottom w:val="none" w:sz="0" w:space="0" w:color="auto"/>
        <w:right w:val="none" w:sz="0" w:space="0" w:color="auto"/>
      </w:divBdr>
    </w:div>
    <w:div w:id="1455100955">
      <w:bodyDiv w:val="1"/>
      <w:marLeft w:val="0"/>
      <w:marRight w:val="0"/>
      <w:marTop w:val="0"/>
      <w:marBottom w:val="0"/>
      <w:divBdr>
        <w:top w:val="none" w:sz="0" w:space="0" w:color="auto"/>
        <w:left w:val="none" w:sz="0" w:space="0" w:color="auto"/>
        <w:bottom w:val="none" w:sz="0" w:space="0" w:color="auto"/>
        <w:right w:val="none" w:sz="0" w:space="0" w:color="auto"/>
      </w:divBdr>
    </w:div>
    <w:div w:id="1460297260">
      <w:bodyDiv w:val="1"/>
      <w:marLeft w:val="0"/>
      <w:marRight w:val="0"/>
      <w:marTop w:val="0"/>
      <w:marBottom w:val="0"/>
      <w:divBdr>
        <w:top w:val="none" w:sz="0" w:space="0" w:color="auto"/>
        <w:left w:val="none" w:sz="0" w:space="0" w:color="auto"/>
        <w:bottom w:val="none" w:sz="0" w:space="0" w:color="auto"/>
        <w:right w:val="none" w:sz="0" w:space="0" w:color="auto"/>
      </w:divBdr>
    </w:div>
    <w:div w:id="1484660164">
      <w:bodyDiv w:val="1"/>
      <w:marLeft w:val="0"/>
      <w:marRight w:val="0"/>
      <w:marTop w:val="0"/>
      <w:marBottom w:val="0"/>
      <w:divBdr>
        <w:top w:val="none" w:sz="0" w:space="0" w:color="auto"/>
        <w:left w:val="none" w:sz="0" w:space="0" w:color="auto"/>
        <w:bottom w:val="none" w:sz="0" w:space="0" w:color="auto"/>
        <w:right w:val="none" w:sz="0" w:space="0" w:color="auto"/>
      </w:divBdr>
    </w:div>
    <w:div w:id="1536114427">
      <w:bodyDiv w:val="1"/>
      <w:marLeft w:val="0"/>
      <w:marRight w:val="0"/>
      <w:marTop w:val="0"/>
      <w:marBottom w:val="0"/>
      <w:divBdr>
        <w:top w:val="none" w:sz="0" w:space="0" w:color="auto"/>
        <w:left w:val="none" w:sz="0" w:space="0" w:color="auto"/>
        <w:bottom w:val="none" w:sz="0" w:space="0" w:color="auto"/>
        <w:right w:val="none" w:sz="0" w:space="0" w:color="auto"/>
      </w:divBdr>
    </w:div>
    <w:div w:id="1551724224">
      <w:bodyDiv w:val="1"/>
      <w:marLeft w:val="0"/>
      <w:marRight w:val="0"/>
      <w:marTop w:val="0"/>
      <w:marBottom w:val="0"/>
      <w:divBdr>
        <w:top w:val="none" w:sz="0" w:space="0" w:color="auto"/>
        <w:left w:val="none" w:sz="0" w:space="0" w:color="auto"/>
        <w:bottom w:val="none" w:sz="0" w:space="0" w:color="auto"/>
        <w:right w:val="none" w:sz="0" w:space="0" w:color="auto"/>
      </w:divBdr>
    </w:div>
    <w:div w:id="1559125920">
      <w:bodyDiv w:val="1"/>
      <w:marLeft w:val="0"/>
      <w:marRight w:val="0"/>
      <w:marTop w:val="0"/>
      <w:marBottom w:val="0"/>
      <w:divBdr>
        <w:top w:val="none" w:sz="0" w:space="0" w:color="auto"/>
        <w:left w:val="none" w:sz="0" w:space="0" w:color="auto"/>
        <w:bottom w:val="none" w:sz="0" w:space="0" w:color="auto"/>
        <w:right w:val="none" w:sz="0" w:space="0" w:color="auto"/>
      </w:divBdr>
    </w:div>
    <w:div w:id="1618834724">
      <w:bodyDiv w:val="1"/>
      <w:marLeft w:val="0"/>
      <w:marRight w:val="0"/>
      <w:marTop w:val="0"/>
      <w:marBottom w:val="0"/>
      <w:divBdr>
        <w:top w:val="none" w:sz="0" w:space="0" w:color="auto"/>
        <w:left w:val="none" w:sz="0" w:space="0" w:color="auto"/>
        <w:bottom w:val="none" w:sz="0" w:space="0" w:color="auto"/>
        <w:right w:val="none" w:sz="0" w:space="0" w:color="auto"/>
      </w:divBdr>
    </w:div>
    <w:div w:id="1633709339">
      <w:bodyDiv w:val="1"/>
      <w:marLeft w:val="0"/>
      <w:marRight w:val="0"/>
      <w:marTop w:val="0"/>
      <w:marBottom w:val="0"/>
      <w:divBdr>
        <w:top w:val="none" w:sz="0" w:space="0" w:color="auto"/>
        <w:left w:val="none" w:sz="0" w:space="0" w:color="auto"/>
        <w:bottom w:val="none" w:sz="0" w:space="0" w:color="auto"/>
        <w:right w:val="none" w:sz="0" w:space="0" w:color="auto"/>
      </w:divBdr>
    </w:div>
    <w:div w:id="1677994039">
      <w:bodyDiv w:val="1"/>
      <w:marLeft w:val="0"/>
      <w:marRight w:val="0"/>
      <w:marTop w:val="0"/>
      <w:marBottom w:val="0"/>
      <w:divBdr>
        <w:top w:val="none" w:sz="0" w:space="0" w:color="auto"/>
        <w:left w:val="none" w:sz="0" w:space="0" w:color="auto"/>
        <w:bottom w:val="none" w:sz="0" w:space="0" w:color="auto"/>
        <w:right w:val="none" w:sz="0" w:space="0" w:color="auto"/>
      </w:divBdr>
    </w:div>
    <w:div w:id="1711493418">
      <w:bodyDiv w:val="1"/>
      <w:marLeft w:val="0"/>
      <w:marRight w:val="0"/>
      <w:marTop w:val="0"/>
      <w:marBottom w:val="0"/>
      <w:divBdr>
        <w:top w:val="none" w:sz="0" w:space="0" w:color="auto"/>
        <w:left w:val="none" w:sz="0" w:space="0" w:color="auto"/>
        <w:bottom w:val="none" w:sz="0" w:space="0" w:color="auto"/>
        <w:right w:val="none" w:sz="0" w:space="0" w:color="auto"/>
      </w:divBdr>
    </w:div>
    <w:div w:id="1748916455">
      <w:bodyDiv w:val="1"/>
      <w:marLeft w:val="0"/>
      <w:marRight w:val="0"/>
      <w:marTop w:val="0"/>
      <w:marBottom w:val="0"/>
      <w:divBdr>
        <w:top w:val="none" w:sz="0" w:space="0" w:color="auto"/>
        <w:left w:val="none" w:sz="0" w:space="0" w:color="auto"/>
        <w:bottom w:val="none" w:sz="0" w:space="0" w:color="auto"/>
        <w:right w:val="none" w:sz="0" w:space="0" w:color="auto"/>
      </w:divBdr>
    </w:div>
    <w:div w:id="1758481369">
      <w:bodyDiv w:val="1"/>
      <w:marLeft w:val="0"/>
      <w:marRight w:val="0"/>
      <w:marTop w:val="0"/>
      <w:marBottom w:val="0"/>
      <w:divBdr>
        <w:top w:val="none" w:sz="0" w:space="0" w:color="auto"/>
        <w:left w:val="none" w:sz="0" w:space="0" w:color="auto"/>
        <w:bottom w:val="none" w:sz="0" w:space="0" w:color="auto"/>
        <w:right w:val="none" w:sz="0" w:space="0" w:color="auto"/>
      </w:divBdr>
    </w:div>
    <w:div w:id="1759523272">
      <w:bodyDiv w:val="1"/>
      <w:marLeft w:val="0"/>
      <w:marRight w:val="0"/>
      <w:marTop w:val="0"/>
      <w:marBottom w:val="0"/>
      <w:divBdr>
        <w:top w:val="none" w:sz="0" w:space="0" w:color="auto"/>
        <w:left w:val="none" w:sz="0" w:space="0" w:color="auto"/>
        <w:bottom w:val="none" w:sz="0" w:space="0" w:color="auto"/>
        <w:right w:val="none" w:sz="0" w:space="0" w:color="auto"/>
      </w:divBdr>
    </w:div>
    <w:div w:id="1762213004">
      <w:bodyDiv w:val="1"/>
      <w:marLeft w:val="0"/>
      <w:marRight w:val="0"/>
      <w:marTop w:val="0"/>
      <w:marBottom w:val="0"/>
      <w:divBdr>
        <w:top w:val="none" w:sz="0" w:space="0" w:color="auto"/>
        <w:left w:val="none" w:sz="0" w:space="0" w:color="auto"/>
        <w:bottom w:val="none" w:sz="0" w:space="0" w:color="auto"/>
        <w:right w:val="none" w:sz="0" w:space="0" w:color="auto"/>
      </w:divBdr>
    </w:div>
    <w:div w:id="1767261608">
      <w:bodyDiv w:val="1"/>
      <w:marLeft w:val="0"/>
      <w:marRight w:val="0"/>
      <w:marTop w:val="0"/>
      <w:marBottom w:val="0"/>
      <w:divBdr>
        <w:top w:val="none" w:sz="0" w:space="0" w:color="auto"/>
        <w:left w:val="none" w:sz="0" w:space="0" w:color="auto"/>
        <w:bottom w:val="none" w:sz="0" w:space="0" w:color="auto"/>
        <w:right w:val="none" w:sz="0" w:space="0" w:color="auto"/>
      </w:divBdr>
    </w:div>
    <w:div w:id="1796025998">
      <w:bodyDiv w:val="1"/>
      <w:marLeft w:val="0"/>
      <w:marRight w:val="0"/>
      <w:marTop w:val="0"/>
      <w:marBottom w:val="0"/>
      <w:divBdr>
        <w:top w:val="none" w:sz="0" w:space="0" w:color="auto"/>
        <w:left w:val="none" w:sz="0" w:space="0" w:color="auto"/>
        <w:bottom w:val="none" w:sz="0" w:space="0" w:color="auto"/>
        <w:right w:val="none" w:sz="0" w:space="0" w:color="auto"/>
      </w:divBdr>
    </w:div>
    <w:div w:id="1825505976">
      <w:bodyDiv w:val="1"/>
      <w:marLeft w:val="0"/>
      <w:marRight w:val="0"/>
      <w:marTop w:val="0"/>
      <w:marBottom w:val="0"/>
      <w:divBdr>
        <w:top w:val="none" w:sz="0" w:space="0" w:color="auto"/>
        <w:left w:val="none" w:sz="0" w:space="0" w:color="auto"/>
        <w:bottom w:val="none" w:sz="0" w:space="0" w:color="auto"/>
        <w:right w:val="none" w:sz="0" w:space="0" w:color="auto"/>
      </w:divBdr>
    </w:div>
    <w:div w:id="1842742762">
      <w:bodyDiv w:val="1"/>
      <w:marLeft w:val="0"/>
      <w:marRight w:val="0"/>
      <w:marTop w:val="0"/>
      <w:marBottom w:val="0"/>
      <w:divBdr>
        <w:top w:val="none" w:sz="0" w:space="0" w:color="auto"/>
        <w:left w:val="none" w:sz="0" w:space="0" w:color="auto"/>
        <w:bottom w:val="none" w:sz="0" w:space="0" w:color="auto"/>
        <w:right w:val="none" w:sz="0" w:space="0" w:color="auto"/>
      </w:divBdr>
    </w:div>
    <w:div w:id="1853379326">
      <w:bodyDiv w:val="1"/>
      <w:marLeft w:val="0"/>
      <w:marRight w:val="0"/>
      <w:marTop w:val="0"/>
      <w:marBottom w:val="0"/>
      <w:divBdr>
        <w:top w:val="none" w:sz="0" w:space="0" w:color="auto"/>
        <w:left w:val="none" w:sz="0" w:space="0" w:color="auto"/>
        <w:bottom w:val="none" w:sz="0" w:space="0" w:color="auto"/>
        <w:right w:val="none" w:sz="0" w:space="0" w:color="auto"/>
      </w:divBdr>
    </w:div>
    <w:div w:id="1934391795">
      <w:bodyDiv w:val="1"/>
      <w:marLeft w:val="0"/>
      <w:marRight w:val="0"/>
      <w:marTop w:val="0"/>
      <w:marBottom w:val="0"/>
      <w:divBdr>
        <w:top w:val="none" w:sz="0" w:space="0" w:color="auto"/>
        <w:left w:val="none" w:sz="0" w:space="0" w:color="auto"/>
        <w:bottom w:val="none" w:sz="0" w:space="0" w:color="auto"/>
        <w:right w:val="none" w:sz="0" w:space="0" w:color="auto"/>
      </w:divBdr>
    </w:div>
    <w:div w:id="194754051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 w:id="2000234556">
      <w:bodyDiv w:val="1"/>
      <w:marLeft w:val="0"/>
      <w:marRight w:val="0"/>
      <w:marTop w:val="0"/>
      <w:marBottom w:val="0"/>
      <w:divBdr>
        <w:top w:val="none" w:sz="0" w:space="0" w:color="auto"/>
        <w:left w:val="none" w:sz="0" w:space="0" w:color="auto"/>
        <w:bottom w:val="none" w:sz="0" w:space="0" w:color="auto"/>
        <w:right w:val="none" w:sz="0" w:space="0" w:color="auto"/>
      </w:divBdr>
    </w:div>
    <w:div w:id="2069451486">
      <w:bodyDiv w:val="1"/>
      <w:marLeft w:val="0"/>
      <w:marRight w:val="0"/>
      <w:marTop w:val="0"/>
      <w:marBottom w:val="0"/>
      <w:divBdr>
        <w:top w:val="none" w:sz="0" w:space="0" w:color="auto"/>
        <w:left w:val="none" w:sz="0" w:space="0" w:color="auto"/>
        <w:bottom w:val="none" w:sz="0" w:space="0" w:color="auto"/>
        <w:right w:val="none" w:sz="0" w:space="0" w:color="auto"/>
      </w:divBdr>
    </w:div>
    <w:div w:id="2071996878">
      <w:bodyDiv w:val="1"/>
      <w:marLeft w:val="0"/>
      <w:marRight w:val="0"/>
      <w:marTop w:val="0"/>
      <w:marBottom w:val="0"/>
      <w:divBdr>
        <w:top w:val="none" w:sz="0" w:space="0" w:color="auto"/>
        <w:left w:val="none" w:sz="0" w:space="0" w:color="auto"/>
        <w:bottom w:val="none" w:sz="0" w:space="0" w:color="auto"/>
        <w:right w:val="none" w:sz="0" w:space="0" w:color="auto"/>
      </w:divBdr>
    </w:div>
    <w:div w:id="2100445053">
      <w:bodyDiv w:val="1"/>
      <w:marLeft w:val="0"/>
      <w:marRight w:val="0"/>
      <w:marTop w:val="0"/>
      <w:marBottom w:val="0"/>
      <w:divBdr>
        <w:top w:val="none" w:sz="0" w:space="0" w:color="auto"/>
        <w:left w:val="none" w:sz="0" w:space="0" w:color="auto"/>
        <w:bottom w:val="none" w:sz="0" w:space="0" w:color="auto"/>
        <w:right w:val="none" w:sz="0" w:space="0" w:color="auto"/>
      </w:divBdr>
    </w:div>
    <w:div w:id="2128549229">
      <w:bodyDiv w:val="1"/>
      <w:marLeft w:val="0"/>
      <w:marRight w:val="0"/>
      <w:marTop w:val="0"/>
      <w:marBottom w:val="0"/>
      <w:divBdr>
        <w:top w:val="none" w:sz="0" w:space="0" w:color="auto"/>
        <w:left w:val="none" w:sz="0" w:space="0" w:color="auto"/>
        <w:bottom w:val="none" w:sz="0" w:space="0" w:color="auto"/>
        <w:right w:val="none" w:sz="0" w:space="0" w:color="auto"/>
      </w:divBdr>
    </w:div>
    <w:div w:id="21369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ederalregister.gov/d/2015-31625/page-79064" TargetMode="External"/><Relationship Id="rId3" Type="http://schemas.openxmlformats.org/officeDocument/2006/relationships/hyperlink" Target="https://www.dhs.gov/sites/default/files/publications/csat-portal-user-manual-508-2.pdf" TargetMode="External"/><Relationship Id="rId7" Type="http://schemas.openxmlformats.org/officeDocument/2006/relationships/hyperlink" Target="https://www.federalregister.gov/d/2013-06184/page-17684" TargetMode="External"/><Relationship Id="rId2" Type="http://schemas.openxmlformats.org/officeDocument/2006/relationships/hyperlink" Target="https://www.federalregister.gov/d/2017-27519/page-61313" TargetMode="External"/><Relationship Id="rId1" Type="http://schemas.openxmlformats.org/officeDocument/2006/relationships/hyperlink" Target="https://www.congress.gov/bill/114th-congress/house-bill/710/text/pl?overview=closed" TargetMode="External"/><Relationship Id="rId6" Type="http://schemas.openxmlformats.org/officeDocument/2006/relationships/hyperlink" Target="https://www.federalregister.gov/d/2014-02082/page-6422" TargetMode="External"/><Relationship Id="rId5" Type="http://schemas.openxmlformats.org/officeDocument/2006/relationships/hyperlink" Target="https://www.federalregister.gov/d/2017-27519/page-61316" TargetMode="External"/><Relationship Id="rId10" Type="http://schemas.openxmlformats.org/officeDocument/2006/relationships/hyperlink" Target="https://www.federalregister.gov/d/2015-31625/page-79060" TargetMode="External"/><Relationship Id="rId4" Type="http://schemas.openxmlformats.org/officeDocument/2006/relationships/hyperlink" Target="https://www.reginfo.gov/public/do/PRAViewICR?ref_nbr=201604-1670-001" TargetMode="External"/><Relationship Id="rId9" Type="http://schemas.openxmlformats.org/officeDocument/2006/relationships/hyperlink" Target="https://www.reginfo.gov/public/do/PRAViewICR?ref_nbr=201604-167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 ma:contentTypeDescription="Create a new document." ma:contentTypeScope="" ma:versionID="2540b0a8de74d0c8515bb0108ccbfb0e">
  <xsd:schema xmlns:xsd="http://www.w3.org/2001/XMLSchema" xmlns:xs="http://www.w3.org/2001/XMLSchema" xmlns:p="http://schemas.microsoft.com/office/2006/metadata/properties" xmlns:ns2="2589310c-5316-40b3-b68d-4735ac72f265" targetNamespace="http://schemas.microsoft.com/office/2006/metadata/properties" ma:root="true" ma:fieldsID="09354dbb7f930fb8ff2062e29426287f"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_x0020_History xmlns="2589310c-5316-40b3-b68d-4735ac72f265" xsi:nil="true"/>
    <IC_x0020_Update xmlns="2589310c-5316-40b3-b68d-4735ac72f265" xsi:nil="true"/>
    <Phase_x0020_Start_x0020_Date xmlns="2589310c-5316-40b3-b68d-4735ac72f265" xsi:nil="true"/>
    <Active xmlns="2589310c-5316-40b3-b68d-4735ac72f265">false</Active>
    <Rulemaking xmlns="2589310c-5316-40b3-b68d-4735ac72f265" xsi:nil="true"/>
    <Associated_x0020_Forms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0A1F-14E5-44EF-BD50-0FACFF3DB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BF44F-1AA3-4421-B5D8-628BC2D41AF4}">
  <ds:schemaRefs>
    <ds:schemaRef ds:uri="http://schemas.microsoft.com/office/2006/metadata/properties"/>
    <ds:schemaRef ds:uri="http://schemas.microsoft.com/office/infopath/2007/PartnerControls"/>
    <ds:schemaRef ds:uri="2589310c-5316-40b3-b68d-4735ac72f265"/>
  </ds:schemaRefs>
</ds:datastoreItem>
</file>

<file path=customXml/itemProps3.xml><?xml version="1.0" encoding="utf-8"?>
<ds:datastoreItem xmlns:ds="http://schemas.openxmlformats.org/officeDocument/2006/customXml" ds:itemID="{0520EF73-0CA1-4150-A17F-3863FC496A1E}">
  <ds:schemaRefs>
    <ds:schemaRef ds:uri="http://schemas.microsoft.com/sharepoint/v3/contenttype/forms"/>
  </ds:schemaRefs>
</ds:datastoreItem>
</file>

<file path=customXml/itemProps4.xml><?xml version="1.0" encoding="utf-8"?>
<ds:datastoreItem xmlns:ds="http://schemas.openxmlformats.org/officeDocument/2006/customXml" ds:itemID="{BF40CE3C-346D-4816-9FBD-7B7B4993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Mumper, Matthew P</dc:creator>
  <cp:lastModifiedBy>SYSTEM</cp:lastModifiedBy>
  <cp:revision>2</cp:revision>
  <cp:lastPrinted>2014-05-27T21:34:00Z</cp:lastPrinted>
  <dcterms:created xsi:type="dcterms:W3CDTF">2018-06-27T19:28:00Z</dcterms:created>
  <dcterms:modified xsi:type="dcterms:W3CDTF">2018-06-27T19:28:00Z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