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6135B" w14:textId="77777777" w:rsidR="00EB5E96" w:rsidRPr="00596A43" w:rsidRDefault="00FC4AAA" w:rsidP="0007373B">
      <w:pPr>
        <w:pStyle w:val="Title"/>
        <w:jc w:val="both"/>
        <w:rPr>
          <w:sz w:val="24"/>
          <w:szCs w:val="24"/>
        </w:rPr>
      </w:pPr>
      <w:bookmarkStart w:id="0" w:name="_GoBack"/>
      <w:bookmarkEnd w:id="0"/>
      <w:r>
        <w:rPr>
          <w:sz w:val="24"/>
          <w:szCs w:val="24"/>
        </w:rPr>
        <w:tab/>
      </w:r>
    </w:p>
    <w:p w14:paraId="33619354" w14:textId="77777777" w:rsidR="00EB5E96" w:rsidRPr="00596A43" w:rsidRDefault="00EB5E96" w:rsidP="0007373B">
      <w:pPr>
        <w:pStyle w:val="Title"/>
        <w:rPr>
          <w:sz w:val="24"/>
          <w:szCs w:val="24"/>
        </w:rPr>
      </w:pPr>
      <w:r w:rsidRPr="00596A43">
        <w:rPr>
          <w:sz w:val="24"/>
          <w:szCs w:val="24"/>
        </w:rPr>
        <w:t>Supporting Statement for Paperwork Reduction Act Submissions</w:t>
      </w:r>
    </w:p>
    <w:p w14:paraId="415DCE5D" w14:textId="77777777" w:rsidR="00EB5E96" w:rsidRPr="00596A43" w:rsidRDefault="00EB5E96" w:rsidP="0007373B">
      <w:pPr>
        <w:tabs>
          <w:tab w:val="left" w:pos="-720"/>
        </w:tabs>
        <w:suppressAutoHyphens/>
        <w:ind w:right="-720"/>
        <w:jc w:val="both"/>
        <w:rPr>
          <w:b/>
        </w:rPr>
      </w:pPr>
    </w:p>
    <w:p w14:paraId="46C29F40" w14:textId="77777777" w:rsidR="00EB5E96" w:rsidRPr="00596A43" w:rsidRDefault="00EB5E96" w:rsidP="0007373B">
      <w:pPr>
        <w:tabs>
          <w:tab w:val="left" w:pos="-720"/>
        </w:tabs>
        <w:suppressAutoHyphens/>
        <w:jc w:val="center"/>
        <w:rPr>
          <w:b/>
        </w:rPr>
      </w:pPr>
      <w:r w:rsidRPr="00596A43">
        <w:rPr>
          <w:b/>
        </w:rPr>
        <w:t>Title:</w:t>
      </w:r>
    </w:p>
    <w:p w14:paraId="33642F72" w14:textId="77777777" w:rsidR="00EB5E96" w:rsidRPr="00596A43" w:rsidRDefault="00EB5E96" w:rsidP="0007373B">
      <w:pPr>
        <w:tabs>
          <w:tab w:val="left" w:pos="-720"/>
        </w:tabs>
        <w:suppressAutoHyphens/>
        <w:jc w:val="center"/>
        <w:rPr>
          <w:b/>
        </w:rPr>
      </w:pPr>
    </w:p>
    <w:p w14:paraId="257CF00C" w14:textId="77777777" w:rsidR="00EB5E96" w:rsidRPr="00596A43" w:rsidRDefault="00EB5E96" w:rsidP="0007373B">
      <w:pPr>
        <w:tabs>
          <w:tab w:val="left" w:pos="-720"/>
        </w:tabs>
        <w:suppressAutoHyphens/>
        <w:jc w:val="center"/>
        <w:rPr>
          <w:b/>
        </w:rPr>
      </w:pPr>
      <w:r w:rsidRPr="00596A43">
        <w:rPr>
          <w:b/>
        </w:rPr>
        <w:t xml:space="preserve">OMB Control Number:  </w:t>
      </w:r>
      <w:r w:rsidR="000A6FC5" w:rsidRPr="00596A43">
        <w:rPr>
          <w:b/>
        </w:rPr>
        <w:t>1670-</w:t>
      </w:r>
      <w:r w:rsidR="00A231BF">
        <w:rPr>
          <w:b/>
        </w:rPr>
        <w:t>0029</w:t>
      </w:r>
    </w:p>
    <w:p w14:paraId="4511C8B6" w14:textId="77777777" w:rsidR="00EB5E96" w:rsidRDefault="00EB5E96" w:rsidP="0007373B">
      <w:pPr>
        <w:tabs>
          <w:tab w:val="left" w:pos="-720"/>
        </w:tabs>
        <w:suppressAutoHyphens/>
        <w:jc w:val="center"/>
      </w:pPr>
    </w:p>
    <w:p w14:paraId="564DCB7A" w14:textId="77777777" w:rsidR="00E57C22" w:rsidRDefault="00E57C22" w:rsidP="0007373B">
      <w:pPr>
        <w:pStyle w:val="Title1"/>
        <w:suppressAutoHyphens/>
      </w:pPr>
      <w:r>
        <w:t xml:space="preserve">Chemical </w:t>
      </w:r>
      <w:r w:rsidR="00A231BF">
        <w:t>Facility Anti-Terrorism Standards Personnel Surety Program</w:t>
      </w:r>
    </w:p>
    <w:p w14:paraId="0183ED9A" w14:textId="77777777" w:rsidR="00E57C22" w:rsidRPr="008F1669" w:rsidRDefault="00E57C22" w:rsidP="0007373B">
      <w:pPr>
        <w:pStyle w:val="Title1"/>
        <w:suppressAutoHyphens/>
      </w:pPr>
    </w:p>
    <w:p w14:paraId="3D3EDE19" w14:textId="77777777" w:rsidR="009F06EB" w:rsidRPr="00CB393B" w:rsidRDefault="009F06EB" w:rsidP="0007373B">
      <w:pPr>
        <w:tabs>
          <w:tab w:val="left" w:pos="-720"/>
        </w:tabs>
        <w:suppressAutoHyphens/>
        <w:jc w:val="center"/>
        <w:rPr>
          <w:b/>
        </w:rPr>
      </w:pPr>
      <w:r w:rsidRPr="00CB393B">
        <w:rPr>
          <w:b/>
        </w:rPr>
        <w:t>Supporting Statement A</w:t>
      </w:r>
    </w:p>
    <w:p w14:paraId="2FDB44EB" w14:textId="77777777" w:rsidR="009F06EB" w:rsidRPr="00596A43" w:rsidRDefault="009F06EB" w:rsidP="0007373B">
      <w:pPr>
        <w:tabs>
          <w:tab w:val="left" w:pos="-720"/>
        </w:tabs>
        <w:suppressAutoHyphens/>
        <w:jc w:val="both"/>
      </w:pPr>
    </w:p>
    <w:p w14:paraId="09EFB687" w14:textId="77777777" w:rsidR="00EB5E96" w:rsidRPr="00596A43" w:rsidRDefault="00EB5E96" w:rsidP="0007373B">
      <w:pPr>
        <w:pStyle w:val="Heading1"/>
        <w:jc w:val="both"/>
        <w:rPr>
          <w:sz w:val="24"/>
          <w:szCs w:val="24"/>
        </w:rPr>
      </w:pPr>
      <w:r w:rsidRPr="00596A43">
        <w:rPr>
          <w:sz w:val="24"/>
          <w:szCs w:val="24"/>
        </w:rPr>
        <w:t>A.  Justification</w:t>
      </w:r>
    </w:p>
    <w:p w14:paraId="4C3A13A3" w14:textId="77777777" w:rsidR="00EB5E96" w:rsidRPr="00596A43" w:rsidRDefault="00EB5E96" w:rsidP="0007373B">
      <w:pPr>
        <w:tabs>
          <w:tab w:val="left" w:pos="-720"/>
        </w:tabs>
        <w:suppressAutoHyphens/>
        <w:jc w:val="both"/>
      </w:pPr>
    </w:p>
    <w:p w14:paraId="6B102FB3"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702DDE9" w14:textId="77777777" w:rsidR="000E7B5C" w:rsidRPr="00596A43" w:rsidRDefault="000E7B5C" w:rsidP="0007373B">
      <w:pPr>
        <w:tabs>
          <w:tab w:val="left" w:pos="-720"/>
        </w:tabs>
        <w:suppressAutoHyphens/>
        <w:jc w:val="both"/>
      </w:pPr>
    </w:p>
    <w:p w14:paraId="74082575" w14:textId="171D6806" w:rsidR="005643B2" w:rsidRDefault="005A51CC" w:rsidP="004108E8">
      <w:r w:rsidRPr="005A51CC">
        <w:t>On December 18, 2014, the President signed into law the Protecting and Securing Chemical F</w:t>
      </w:r>
      <w:r w:rsidRPr="005A51CC">
        <w:t>a</w:t>
      </w:r>
      <w:r w:rsidRPr="005A51CC">
        <w:t>cilities from Terrorist Attacks Act of 2014 (“CFATS Act of 2014”) providing long</w:t>
      </w:r>
      <w:r w:rsidR="0007373B">
        <w:t>-</w:t>
      </w:r>
      <w:r w:rsidRPr="005A51CC">
        <w:t>term author</w:t>
      </w:r>
      <w:r w:rsidRPr="005A51CC">
        <w:t>i</w:t>
      </w:r>
      <w:r w:rsidRPr="005A51CC">
        <w:t xml:space="preserve">zation for the </w:t>
      </w:r>
      <w:r w:rsidR="0007373B">
        <w:t>Chemical Facility Anti-Terrorism Standards (</w:t>
      </w:r>
      <w:r w:rsidRPr="005A51CC">
        <w:t>CFATS</w:t>
      </w:r>
      <w:r w:rsidR="0007373B">
        <w:t>)</w:t>
      </w:r>
      <w:r w:rsidRPr="005A51CC">
        <w:t xml:space="preserve"> program.  The CFATS Act of 2014 codified the Department’s authority to implement the CFATS program into the Hom</w:t>
      </w:r>
      <w:r w:rsidRPr="005A51CC">
        <w:t>e</w:t>
      </w:r>
      <w:r w:rsidRPr="005A51CC">
        <w:t xml:space="preserve">land Security Act of 2002.  See 6 U.S.C. 621 </w:t>
      </w:r>
      <w:r w:rsidRPr="00285B87">
        <w:rPr>
          <w:i/>
        </w:rPr>
        <w:t>et. seq</w:t>
      </w:r>
      <w:r w:rsidRPr="005A51CC">
        <w:t>.</w:t>
      </w:r>
    </w:p>
    <w:p w14:paraId="7791F655" w14:textId="77777777" w:rsidR="005A51CC" w:rsidRDefault="005A51CC" w:rsidP="004108E8"/>
    <w:p w14:paraId="35A40C65" w14:textId="4E688B4C" w:rsidR="00691132" w:rsidRDefault="005A51CC" w:rsidP="004108E8">
      <w:r w:rsidRPr="005A51CC">
        <w:t>Section 550 of the Department of Homeland Security Appropriations Act of 2007</w:t>
      </w:r>
      <w:r w:rsidR="00A74AA0">
        <w:t>,</w:t>
      </w:r>
      <w:r w:rsidRPr="005A51CC">
        <w:t xml:space="preserve"> Pub</w:t>
      </w:r>
      <w:r w:rsidR="008E62FE">
        <w:t>.</w:t>
      </w:r>
      <w:r w:rsidRPr="005A51CC">
        <w:t xml:space="preserve"> L</w:t>
      </w:r>
      <w:r w:rsidR="008E62FE">
        <w:t>.</w:t>
      </w:r>
      <w:r w:rsidRPr="005A51CC">
        <w:t xml:space="preserve"> 109-295 (2006) (“Section 550”)</w:t>
      </w:r>
      <w:r w:rsidR="00A74AA0">
        <w:t>,</w:t>
      </w:r>
      <w:r w:rsidRPr="005A51CC">
        <w:t xml:space="preserve"> provided (and the CFATS Act of 2014 continues to provide) the Department with the authority to identify and regulate the security of high-risk chemical facil</w:t>
      </w:r>
      <w:r w:rsidRPr="005A51CC">
        <w:t>i</w:t>
      </w:r>
      <w:r w:rsidRPr="005A51CC">
        <w:t>ties using a risk-based approach.  On April 9, 2007, the Department issued the CFATS Interim Final Rule (IFR), implementing this statutory mandate.  See 72 FR 17688.</w:t>
      </w:r>
    </w:p>
    <w:p w14:paraId="717C5FB9" w14:textId="77777777" w:rsidR="005643B2" w:rsidRDefault="005643B2" w:rsidP="004108E8"/>
    <w:p w14:paraId="4B711EAA" w14:textId="69042C2F" w:rsidR="00691132" w:rsidRDefault="005A51CC" w:rsidP="004108E8">
      <w:r w:rsidRPr="005A51CC">
        <w:t>Section 550 required (and the CFATS Act of 2014 continues to require) that the Department e</w:t>
      </w:r>
      <w:r w:rsidRPr="005A51CC">
        <w:t>s</w:t>
      </w:r>
      <w:r w:rsidRPr="005A51CC">
        <w:t xml:space="preserve">tablish risk-based performance standards (RBPS) for high-risk chemical facilities. </w:t>
      </w:r>
      <w:r w:rsidR="00805B8A">
        <w:t xml:space="preserve"> </w:t>
      </w:r>
      <w:r w:rsidRPr="005A51CC">
        <w:t xml:space="preserve">Through the CFATS regulations, the Department promulgated 18 RBPS.  Each chemical facility that has been finally determined by the Department to be high-risk must submit, for Department approval, a Site Security Plan (SSP) or an Alternative Security Program (ASP), </w:t>
      </w:r>
      <w:r w:rsidR="00805B8A">
        <w:t>whichever</w:t>
      </w:r>
      <w:r w:rsidR="00805B8A" w:rsidRPr="005A51CC">
        <w:t xml:space="preserve"> </w:t>
      </w:r>
      <w:r w:rsidRPr="005A51CC">
        <w:t>the high-risk chemical facility so chooses, that satisfies each applicable RBPS.  RBPS 12 requires high-risk chemical facilities to perform appropriate background checks on and ensure appropriate crede</w:t>
      </w:r>
      <w:r w:rsidRPr="005A51CC">
        <w:t>n</w:t>
      </w:r>
      <w:r w:rsidRPr="005A51CC">
        <w:t>tials for facility personnel, and</w:t>
      </w:r>
      <w:r w:rsidR="00BD25F8">
        <w:t>,</w:t>
      </w:r>
      <w:r w:rsidRPr="005A51CC">
        <w:t xml:space="preserve"> as appropriate, unescorted visitors with access to restricted areas or critical assets.  RBPS 12(iv) specifically requires high-risk chemical facility to implement measures designed to identify people with terrorist ties.  For the purposes of the CFATS Perso</w:t>
      </w:r>
      <w:r w:rsidRPr="005A51CC">
        <w:t>n</w:t>
      </w:r>
      <w:r w:rsidRPr="005A51CC">
        <w:t>nel Surety Program, ‘people’ in RBPS 12(iv) is in reference to affected individuals (i.e., facility personnel or unescorted visitors with or seeking access to restricted areas or critical assets at high-risk chemical facilities).</w:t>
      </w:r>
    </w:p>
    <w:p w14:paraId="4DB22D4F" w14:textId="77777777" w:rsidR="005643B2" w:rsidRDefault="005643B2" w:rsidP="004108E8"/>
    <w:p w14:paraId="47810977" w14:textId="4293FC37" w:rsidR="00691132" w:rsidRDefault="005A51CC" w:rsidP="004108E8">
      <w:r w:rsidRPr="005A51CC">
        <w:t xml:space="preserve">Identifying affected individuals who have terrorist ties is an inherently governmental function and requires the use of information held in government-maintained databases </w:t>
      </w:r>
      <w:r w:rsidR="00BD25F8">
        <w:t>that</w:t>
      </w:r>
      <w:r w:rsidR="00BD25F8" w:rsidRPr="005A51CC">
        <w:t xml:space="preserve"> </w:t>
      </w:r>
      <w:r w:rsidRPr="005A51CC">
        <w:t xml:space="preserve">are unavailable </w:t>
      </w:r>
      <w:r w:rsidRPr="005A51CC">
        <w:lastRenderedPageBreak/>
        <w:t>to high-risk chemical facilities.  See 72 FR 17688, 17709 (April 9, 2007).  Thus, under RBPS 12(iv), the Department and high-risk chemical facilities must work together to satisfy the “terro</w:t>
      </w:r>
      <w:r w:rsidRPr="005A51CC">
        <w:t>r</w:t>
      </w:r>
      <w:r w:rsidRPr="005A51CC">
        <w:t>ist ties” aspect of the Personnel Surety performance standard.</w:t>
      </w:r>
    </w:p>
    <w:p w14:paraId="3C54E4EF" w14:textId="77777777" w:rsidR="005A51CC" w:rsidRDefault="005A51CC" w:rsidP="004108E8"/>
    <w:p w14:paraId="3AE9E508" w14:textId="77777777" w:rsidR="00B83285" w:rsidRDefault="00B83285" w:rsidP="00CF0658">
      <w:pPr>
        <w:suppressAutoHyphens/>
      </w:pPr>
    </w:p>
    <w:p w14:paraId="5931FEF5" w14:textId="3A0D5779" w:rsidR="00E57C22" w:rsidRPr="00B83285" w:rsidRDefault="00E57C22" w:rsidP="00285B87">
      <w:pPr>
        <w:pStyle w:val="Heading1"/>
      </w:pPr>
      <w:r w:rsidRPr="00B83285">
        <w:t>History of Collection</w:t>
      </w:r>
    </w:p>
    <w:p w14:paraId="6E0ED33E" w14:textId="200258B7" w:rsidR="00E57C22" w:rsidRDefault="00E57C22" w:rsidP="00CF0658">
      <w:pPr>
        <w:suppressAutoHyphens/>
      </w:pPr>
      <w:r w:rsidRPr="00252EDB">
        <w:t>In</w:t>
      </w:r>
      <w:r w:rsidR="00D076CC">
        <w:t xml:space="preserve"> </w:t>
      </w:r>
      <w:r w:rsidR="00D5593D">
        <w:t>February 2014</w:t>
      </w:r>
      <w:r w:rsidR="00B83285">
        <w:t>,</w:t>
      </w:r>
      <w:r w:rsidR="00D5593D">
        <w:t xml:space="preserve"> </w:t>
      </w:r>
      <w:r w:rsidR="00D076CC">
        <w:t xml:space="preserve">the Department submitted a request for CFATS Personnel Surety Program to OMB, which was approved </w:t>
      </w:r>
      <w:r w:rsidR="001A143A">
        <w:t xml:space="preserve">in </w:t>
      </w:r>
      <w:r w:rsidR="00D076CC">
        <w:t xml:space="preserve">August 2015.  </w:t>
      </w:r>
    </w:p>
    <w:p w14:paraId="49CAF459" w14:textId="77777777" w:rsidR="00E57C22" w:rsidRDefault="00E57C22" w:rsidP="00CF0658">
      <w:pPr>
        <w:suppressAutoHyphens/>
      </w:pPr>
      <w:r>
        <w:t xml:space="preserve"> </w:t>
      </w:r>
    </w:p>
    <w:p w14:paraId="0A0CD9DF" w14:textId="77777777" w:rsidR="001A143A" w:rsidRDefault="001A143A" w:rsidP="00CF0658">
      <w:pPr>
        <w:suppressAutoHyphens/>
      </w:pPr>
      <w:r w:rsidRPr="001A143A">
        <w:t>This information collection request requests a revision to the current information collection and was submitted for review to OMB prior to the expiration date of the current information collection.</w:t>
      </w:r>
    </w:p>
    <w:p w14:paraId="0257052D" w14:textId="77777777" w:rsidR="008710AD" w:rsidRDefault="008710AD" w:rsidP="00CF0658">
      <w:pPr>
        <w:suppressAutoHyphens/>
      </w:pPr>
    </w:p>
    <w:p w14:paraId="2A0EE3D4" w14:textId="77777777" w:rsidR="00E57C22" w:rsidRPr="00B83285" w:rsidRDefault="00E57C22" w:rsidP="00285B87">
      <w:pPr>
        <w:pStyle w:val="Heading1"/>
      </w:pPr>
      <w:r w:rsidRPr="00B83285">
        <w:t xml:space="preserve">Reason for </w:t>
      </w:r>
      <w:r w:rsidRPr="00E76662">
        <w:t>Revision</w:t>
      </w:r>
      <w:r w:rsidRPr="00B83285">
        <w:t xml:space="preserve"> </w:t>
      </w:r>
    </w:p>
    <w:p w14:paraId="18470F1D" w14:textId="3E2037D8" w:rsidR="00E57C22" w:rsidRDefault="001A143A" w:rsidP="00CF0658">
      <w:pPr>
        <w:suppressAutoHyphens/>
      </w:pPr>
      <w:r w:rsidRPr="001A143A">
        <w:t xml:space="preserve">This request seeks to: (1) obtain approval to collect information about affected individuals from all </w:t>
      </w:r>
      <w:r>
        <w:t>high-risk</w:t>
      </w:r>
      <w:r w:rsidRPr="001A143A">
        <w:t xml:space="preserve"> chemical facilities rather than only Tier 1 and Tier 2 facilities; (2) </w:t>
      </w:r>
      <w:r w:rsidR="00C77DC2" w:rsidRPr="00C77DC2">
        <w:t>update the estimated number of annual respondents from 195,000 to 7</w:t>
      </w:r>
      <w:r w:rsidR="00040904">
        <w:t>2</w:t>
      </w:r>
      <w:r w:rsidR="00C77DC2" w:rsidRPr="00C77DC2">
        <w:t>,</w:t>
      </w:r>
      <w:r w:rsidR="00040904">
        <w:t>607</w:t>
      </w:r>
      <w:r w:rsidR="00C77DC2" w:rsidRPr="00C77DC2">
        <w:t xml:space="preserve"> based on historical information collected since the Department implemented the CFATS Personnel Surety Program; and (3) update the estimated time per respondent from 0.58 hours to 0.1667 hours based upon historical data collected by the Department since the implantation of the CFATS Personnel Surety Program.</w:t>
      </w:r>
    </w:p>
    <w:p w14:paraId="791B8FDE" w14:textId="77777777" w:rsidR="00DE157A" w:rsidRPr="00596A43" w:rsidRDefault="00DE157A" w:rsidP="0007373B">
      <w:pPr>
        <w:tabs>
          <w:tab w:val="left" w:pos="-720"/>
        </w:tabs>
        <w:suppressAutoHyphens/>
        <w:jc w:val="both"/>
        <w:rPr>
          <w:b/>
          <w:spacing w:val="-3"/>
          <w:u w:val="single"/>
        </w:rPr>
      </w:pPr>
    </w:p>
    <w:p w14:paraId="316B2AAA"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77508EB3" w14:textId="77777777" w:rsidR="00D73BBC" w:rsidRDefault="00D73BBC" w:rsidP="0007373B">
      <w:pPr>
        <w:tabs>
          <w:tab w:val="left" w:pos="-720"/>
        </w:tabs>
        <w:suppressAutoHyphens/>
        <w:jc w:val="both"/>
        <w:rPr>
          <w:i/>
          <w:spacing w:val="-3"/>
          <w:sz w:val="20"/>
        </w:rPr>
      </w:pPr>
    </w:p>
    <w:p w14:paraId="5F539622" w14:textId="77777777" w:rsidR="008123EC" w:rsidRPr="005643B2" w:rsidRDefault="008123EC" w:rsidP="008123EC">
      <w:bookmarkStart w:id="1" w:name="OLE_LINK1"/>
      <w:bookmarkStart w:id="2" w:name="OLE_LINK2"/>
      <w:bookmarkEnd w:id="1"/>
      <w:bookmarkEnd w:id="2"/>
      <w:r w:rsidRPr="005A51CC">
        <w:t>In accordance with the Homeland Security Act as amended by the Protecting and Securing Chemical Facilities from Terrorist Attacks Act of 2014, Pub. L. No. 113-254, the following o</w:t>
      </w:r>
      <w:r w:rsidRPr="005A51CC">
        <w:t>p</w:t>
      </w:r>
      <w:r w:rsidRPr="005A51CC">
        <w:t xml:space="preserve">tions are available to enable high-risk chemical facilities to facilitate </w:t>
      </w:r>
      <w:r>
        <w:t xml:space="preserve">the </w:t>
      </w:r>
      <w:r w:rsidRPr="005A51CC">
        <w:t>vetting of affected ind</w:t>
      </w:r>
      <w:r w:rsidRPr="005A51CC">
        <w:t>i</w:t>
      </w:r>
      <w:r w:rsidRPr="005A51CC">
        <w:t>viduals</w:t>
      </w:r>
      <w:r>
        <w:t xml:space="preserve"> for</w:t>
      </w:r>
      <w:r w:rsidRPr="00E7573C">
        <w:t xml:space="preserve"> </w:t>
      </w:r>
      <w:r>
        <w:t xml:space="preserve">terrorist </w:t>
      </w:r>
      <w:r w:rsidRPr="005A51CC">
        <w:t>ties.</w:t>
      </w:r>
    </w:p>
    <w:p w14:paraId="24B39009" w14:textId="77777777" w:rsidR="008123EC" w:rsidRPr="005643B2" w:rsidRDefault="008123EC" w:rsidP="008123EC">
      <w:pPr>
        <w:pStyle w:val="Firstline05"/>
        <w:spacing w:line="240" w:lineRule="auto"/>
        <w:rPr>
          <w:szCs w:val="24"/>
        </w:rPr>
      </w:pPr>
    </w:p>
    <w:p w14:paraId="17A98283" w14:textId="77777777" w:rsidR="008123EC" w:rsidRPr="005A51CC" w:rsidRDefault="008123EC" w:rsidP="008123EC">
      <w:pPr>
        <w:pStyle w:val="Firstline05"/>
        <w:spacing w:line="240" w:lineRule="auto"/>
      </w:pPr>
      <w:r w:rsidRPr="005A51CC">
        <w:t xml:space="preserve">Option 1. </w:t>
      </w:r>
      <w:r>
        <w:t xml:space="preserve"> </w:t>
      </w:r>
      <w:r w:rsidRPr="005A51CC">
        <w:t>High-risk chemical facilities may submit certain information about affected individ</w:t>
      </w:r>
      <w:r w:rsidRPr="005A51CC">
        <w:t>u</w:t>
      </w:r>
      <w:r w:rsidRPr="005A51CC">
        <w:t>als, which the Department will use to vet those individuals for terrorist ties.  Specifically, the identifying information about affected individuals will be compared against identifying info</w:t>
      </w:r>
      <w:r w:rsidRPr="005A51CC">
        <w:t>r</w:t>
      </w:r>
      <w:r w:rsidRPr="005A51CC">
        <w:t xml:space="preserve">mation of known or suspected terrorists contained in the </w:t>
      </w:r>
      <w:r>
        <w:t>F</w:t>
      </w:r>
      <w:r w:rsidRPr="005A51CC">
        <w:t xml:space="preserve">ederal </w:t>
      </w:r>
      <w:r>
        <w:t>G</w:t>
      </w:r>
      <w:r w:rsidRPr="005A51CC">
        <w:t>overnment’s consolidated and integrated terrorist watch list, the Terrorist Screening Database (TSDB), which is maintained by the Department of Justice (DOJ) Federal Bureau of Investigation (FBI) in the Terrorist Screening Center (TSC).</w:t>
      </w:r>
      <w:r w:rsidRPr="005A51CC">
        <w:rPr>
          <w:vertAlign w:val="superscript"/>
        </w:rPr>
        <w:footnoteReference w:id="2"/>
      </w:r>
    </w:p>
    <w:p w14:paraId="5D009BE0" w14:textId="77777777" w:rsidR="008123EC" w:rsidRDefault="008123EC" w:rsidP="008123EC">
      <w:pPr>
        <w:pStyle w:val="Firstline05"/>
        <w:spacing w:line="240" w:lineRule="auto"/>
      </w:pPr>
    </w:p>
    <w:p w14:paraId="7B68DABB" w14:textId="77777777" w:rsidR="008123EC" w:rsidRDefault="008123EC" w:rsidP="008123EC">
      <w:pPr>
        <w:pStyle w:val="Firstline05"/>
        <w:spacing w:line="240" w:lineRule="auto"/>
      </w:pPr>
      <w:r w:rsidRPr="005A51CC">
        <w:t xml:space="preserve">Option 2.  High-risk chemical facilities may submit information about affected individuals who already possess certain credentials </w:t>
      </w:r>
      <w:r>
        <w:t xml:space="preserve">or documentation </w:t>
      </w:r>
      <w:r w:rsidRPr="005A51CC">
        <w:t>that rely on security threat assessments conducted by the Department.  This will enable the Department to verify the continuing validity of these credentials.</w:t>
      </w:r>
    </w:p>
    <w:p w14:paraId="009C2987" w14:textId="77777777" w:rsidR="008123EC" w:rsidRDefault="008123EC" w:rsidP="008123EC">
      <w:pPr>
        <w:pStyle w:val="Firstline05"/>
        <w:spacing w:line="240" w:lineRule="auto"/>
      </w:pPr>
    </w:p>
    <w:p w14:paraId="01F1E19C" w14:textId="77777777" w:rsidR="008123EC" w:rsidRDefault="008123EC" w:rsidP="008123EC">
      <w:pPr>
        <w:pStyle w:val="Firstline05"/>
        <w:spacing w:line="240" w:lineRule="auto"/>
      </w:pPr>
      <w:r w:rsidRPr="005A51CC">
        <w:t>Option 3.  High-risk chemical facilities may comply with RBPS 12(iv) without submitting to the Department information about affected individuals who possess Transportation Worker Identif</w:t>
      </w:r>
      <w:r w:rsidRPr="005A51CC">
        <w:t>i</w:t>
      </w:r>
      <w:r w:rsidRPr="005A51CC">
        <w:t>cation Credentials (TWICs), if a high-risk chemical facility electronically verifies and validates the affected individual’s TWICs through the use of TWIC readers (or other technology that is periodically updated using the Canceled Card List).</w:t>
      </w:r>
    </w:p>
    <w:p w14:paraId="3768CEAD" w14:textId="77777777" w:rsidR="008123EC" w:rsidRDefault="008123EC" w:rsidP="008123EC">
      <w:pPr>
        <w:rPr>
          <w:bCs/>
        </w:rPr>
      </w:pPr>
    </w:p>
    <w:p w14:paraId="4ACDA03E" w14:textId="77777777" w:rsidR="008123EC" w:rsidRDefault="008123EC" w:rsidP="008123EC">
      <w:r w:rsidRPr="005A51CC">
        <w:rPr>
          <w:bCs/>
        </w:rPr>
        <w:t xml:space="preserve">Option 4.  High-risk chemical facilities may visually verify certain credentials or documents that are issued by a Federal screening program that periodically vets enrolled individuals against the TSDB. </w:t>
      </w:r>
      <w:r>
        <w:rPr>
          <w:bCs/>
        </w:rPr>
        <w:t xml:space="preserve"> </w:t>
      </w:r>
      <w:r w:rsidRPr="005A51CC">
        <w:rPr>
          <w:bCs/>
        </w:rPr>
        <w:t>The Department continues to believe that visual verification has significant security limitations and, accordingly, encourages high-risk chemical facilities choosing this option to identify in their Site Security Plans the means by which they plan to address these limitations.</w:t>
      </w:r>
    </w:p>
    <w:p w14:paraId="4D895080" w14:textId="77777777" w:rsidR="008123EC" w:rsidRDefault="008123EC" w:rsidP="008123EC">
      <w:pPr>
        <w:ind w:firstLine="720"/>
      </w:pPr>
      <w:r>
        <w:t xml:space="preserve"> </w:t>
      </w:r>
    </w:p>
    <w:p w14:paraId="27E22082" w14:textId="77777777" w:rsidR="008123EC" w:rsidRPr="005A51CC" w:rsidRDefault="008123EC" w:rsidP="008123EC">
      <w:r w:rsidRPr="005A51CC">
        <w:t xml:space="preserve">In addition to the options described above for satisfying RBPS 12(iv), a high-risk chemical facility is welcome to propose alternative or supplemental options in its SSP that are not described in this document.  The Department will </w:t>
      </w:r>
      <w:r>
        <w:t>assess</w:t>
      </w:r>
      <w:r w:rsidRPr="005A51CC">
        <w:t xml:space="preserve"> the adequacy of such alternative or supplemental options on a facility-by-facility basis in the course of evaluating each facility’s SSP.  </w:t>
      </w:r>
    </w:p>
    <w:p w14:paraId="2905E52F" w14:textId="77777777" w:rsidR="008123EC" w:rsidRDefault="008123EC" w:rsidP="008123EC"/>
    <w:p w14:paraId="6235FA43" w14:textId="77777777" w:rsidR="008123EC" w:rsidRDefault="008123EC" w:rsidP="008123EC">
      <w:r w:rsidRPr="005A51CC">
        <w:t>Under Option 3 and Option 4, a high-risk chemical facility would not need to submit information about an affected individual to the Department.  These Options are only mentioned in this notice for informational purposes</w:t>
      </w:r>
      <w:r>
        <w:t>,</w:t>
      </w:r>
      <w:r w:rsidRPr="005A51CC">
        <w:t xml:space="preserve"> and there will be no analysis of Option 3 and Option 4</w:t>
      </w:r>
      <w:r>
        <w:t xml:space="preserve"> in this information collect request</w:t>
      </w:r>
      <w:r w:rsidRPr="005A51CC">
        <w:t>.</w:t>
      </w:r>
    </w:p>
    <w:p w14:paraId="5F6E2F91" w14:textId="77777777" w:rsidR="008710AD" w:rsidRPr="005A51CC" w:rsidRDefault="008710AD" w:rsidP="008123EC"/>
    <w:p w14:paraId="4BCED367" w14:textId="77777777" w:rsidR="008123EC" w:rsidRDefault="008123EC" w:rsidP="008123EC">
      <w:r w:rsidRPr="005A51CC">
        <w:t>This information collection request does not propose changes to who qualifies as an affected individual.  There are certain groups of persons that the Department does not consider to be affected individuals, such as (1) Federal officials that gain unescorted access to restricted areas or critical assets as part of their official duties; (2) state and local law enforcement officials that gain unescorted access to restricted areas or critical assets as part of their official duties; and (3) emergency responders at the state or local level that gain unescorted access to restricted areas or critical assets during emergency situations.</w:t>
      </w:r>
    </w:p>
    <w:p w14:paraId="5890E1F2" w14:textId="77777777" w:rsidR="008123EC" w:rsidRDefault="008123EC" w:rsidP="008123EC">
      <w:r>
        <w:t xml:space="preserve">  </w:t>
      </w:r>
    </w:p>
    <w:p w14:paraId="4938DE59" w14:textId="77777777" w:rsidR="008123EC" w:rsidRPr="00AD3FC5" w:rsidRDefault="008123EC" w:rsidP="008123EC">
      <w:pPr>
        <w:pStyle w:val="Heading1"/>
        <w:rPr>
          <w:szCs w:val="28"/>
        </w:rPr>
      </w:pPr>
      <w:r w:rsidRPr="00AD3FC5">
        <w:rPr>
          <w:szCs w:val="28"/>
        </w:rPr>
        <w:t>Information Collected About Affected Individuals</w:t>
      </w:r>
    </w:p>
    <w:p w14:paraId="25B6E994" w14:textId="77777777" w:rsidR="008123EC" w:rsidRPr="00AD3FC5" w:rsidRDefault="008123EC" w:rsidP="008123EC">
      <w:pPr>
        <w:pStyle w:val="Heading2"/>
        <w:suppressAutoHyphens/>
        <w:rPr>
          <w:rFonts w:ascii="Times New Roman" w:hAnsi="Times New Roman"/>
          <w:sz w:val="24"/>
          <w:szCs w:val="24"/>
        </w:rPr>
      </w:pPr>
      <w:r w:rsidRPr="00AD3FC5">
        <w:rPr>
          <w:rFonts w:ascii="Times New Roman" w:hAnsi="Times New Roman"/>
          <w:sz w:val="24"/>
          <w:szCs w:val="24"/>
        </w:rPr>
        <w:t xml:space="preserve">Option 1: Collecting Information </w:t>
      </w:r>
      <w:r>
        <w:rPr>
          <w:rFonts w:ascii="Times New Roman" w:hAnsi="Times New Roman"/>
          <w:sz w:val="24"/>
          <w:szCs w:val="24"/>
        </w:rPr>
        <w:t>T</w:t>
      </w:r>
      <w:r w:rsidRPr="00AD3FC5">
        <w:rPr>
          <w:rFonts w:ascii="Times New Roman" w:hAnsi="Times New Roman"/>
          <w:sz w:val="24"/>
          <w:szCs w:val="24"/>
        </w:rPr>
        <w:t xml:space="preserve">o Conduct Direct </w:t>
      </w:r>
      <w:r>
        <w:rPr>
          <w:rFonts w:ascii="Times New Roman" w:hAnsi="Times New Roman"/>
          <w:sz w:val="24"/>
          <w:szCs w:val="24"/>
        </w:rPr>
        <w:t>V</w:t>
      </w:r>
      <w:r w:rsidRPr="00AD3FC5">
        <w:rPr>
          <w:rFonts w:ascii="Times New Roman" w:hAnsi="Times New Roman"/>
          <w:sz w:val="24"/>
          <w:szCs w:val="24"/>
        </w:rPr>
        <w:t>etting</w:t>
      </w:r>
    </w:p>
    <w:p w14:paraId="752BA628" w14:textId="77777777" w:rsidR="008123EC" w:rsidRDefault="008123EC" w:rsidP="008123EC">
      <w:pPr>
        <w:suppressAutoHyphens/>
      </w:pPr>
      <w:r w:rsidRPr="005A51CC">
        <w:t>If high-risk chemical facilities select Option 1 to satisfy RBPS 12(iv) for an affected individual, the following information about the affected individual would be submitted to the Department:</w:t>
      </w:r>
    </w:p>
    <w:p w14:paraId="2692531B"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For U.S. Persons (U.S. citizens and nationals</w:t>
      </w:r>
      <w:r>
        <w:rPr>
          <w:rFonts w:ascii="Times New Roman" w:hAnsi="Times New Roman"/>
        </w:rPr>
        <w:t>,</w:t>
      </w:r>
      <w:r w:rsidRPr="007628D9">
        <w:rPr>
          <w:rFonts w:ascii="Times New Roman" w:hAnsi="Times New Roman"/>
        </w:rPr>
        <w:t xml:space="preserve"> as well as U.S. lawful permanent residents):</w:t>
      </w:r>
    </w:p>
    <w:p w14:paraId="568AEEFA"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Full Name</w:t>
      </w:r>
      <w:r>
        <w:rPr>
          <w:rFonts w:ascii="Times New Roman" w:hAnsi="Times New Roman"/>
        </w:rPr>
        <w:t>;</w:t>
      </w:r>
    </w:p>
    <w:p w14:paraId="2AFEC131"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Date of Birth</w:t>
      </w:r>
      <w:r>
        <w:rPr>
          <w:rFonts w:ascii="Times New Roman" w:hAnsi="Times New Roman"/>
        </w:rPr>
        <w:t xml:space="preserve">; and </w:t>
      </w:r>
    </w:p>
    <w:p w14:paraId="0A463C83"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Citizenship or Gender</w:t>
      </w:r>
      <w:r>
        <w:rPr>
          <w:rFonts w:ascii="Times New Roman" w:hAnsi="Times New Roman"/>
        </w:rPr>
        <w:t>.</w:t>
      </w:r>
    </w:p>
    <w:p w14:paraId="438C1A8C"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For Non-U.S. Persons:</w:t>
      </w:r>
    </w:p>
    <w:p w14:paraId="70E34619"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Full Name</w:t>
      </w:r>
      <w:r>
        <w:rPr>
          <w:rFonts w:ascii="Times New Roman" w:hAnsi="Times New Roman"/>
        </w:rPr>
        <w:t xml:space="preserve">; </w:t>
      </w:r>
    </w:p>
    <w:p w14:paraId="5A0513BC"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Date of Birth</w:t>
      </w:r>
      <w:r>
        <w:rPr>
          <w:rFonts w:ascii="Times New Roman" w:hAnsi="Times New Roman"/>
        </w:rPr>
        <w:t xml:space="preserve">; </w:t>
      </w:r>
    </w:p>
    <w:p w14:paraId="0FD2E74B"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Citizenship</w:t>
      </w:r>
      <w:r>
        <w:rPr>
          <w:rFonts w:ascii="Times New Roman" w:hAnsi="Times New Roman"/>
        </w:rPr>
        <w:t>; and</w:t>
      </w:r>
    </w:p>
    <w:p w14:paraId="28FFF37A" w14:textId="77777777" w:rsidR="008123EC" w:rsidRPr="007628D9" w:rsidRDefault="008123EC" w:rsidP="008123EC">
      <w:pPr>
        <w:pStyle w:val="ListParagraph"/>
        <w:numPr>
          <w:ilvl w:val="0"/>
          <w:numId w:val="37"/>
        </w:numPr>
        <w:suppressAutoHyphens/>
        <w:ind w:left="1440"/>
        <w:rPr>
          <w:rFonts w:ascii="Times New Roman" w:hAnsi="Times New Roman"/>
        </w:rPr>
      </w:pPr>
      <w:r w:rsidRPr="007628D9">
        <w:rPr>
          <w:rFonts w:ascii="Times New Roman" w:hAnsi="Times New Roman"/>
        </w:rPr>
        <w:t>Passport information and/or alien registration number</w:t>
      </w:r>
      <w:r>
        <w:rPr>
          <w:rFonts w:ascii="Times New Roman" w:hAnsi="Times New Roman"/>
        </w:rPr>
        <w:t>.</w:t>
      </w:r>
    </w:p>
    <w:p w14:paraId="7E2C50E1" w14:textId="77777777" w:rsidR="008123EC" w:rsidRDefault="008123EC" w:rsidP="008123EC">
      <w:pPr>
        <w:suppressAutoHyphens/>
      </w:pPr>
    </w:p>
    <w:p w14:paraId="0527C579" w14:textId="77777777" w:rsidR="008123EC" w:rsidRPr="002B7B59" w:rsidRDefault="008123EC" w:rsidP="008123EC">
      <w:pPr>
        <w:suppressAutoHyphens/>
      </w:pPr>
      <w:r w:rsidRPr="005A51CC">
        <w:t>To reduce the likelihood of false positives in matching against records in the Federal Government’s consolidated and integrated terrorist watch list, high-risk chemical facilities would also be able to submit the following optional information about an affected individual to the Department:</w:t>
      </w:r>
    </w:p>
    <w:p w14:paraId="61CF5E7D"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Aliases</w:t>
      </w:r>
      <w:r>
        <w:rPr>
          <w:rFonts w:ascii="Times New Roman" w:hAnsi="Times New Roman"/>
        </w:rPr>
        <w:t>;</w:t>
      </w:r>
    </w:p>
    <w:p w14:paraId="6B68CFB4"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Gender (for Non-U.S. Persons)</w:t>
      </w:r>
      <w:r>
        <w:rPr>
          <w:rFonts w:ascii="Times New Roman" w:hAnsi="Times New Roman"/>
        </w:rPr>
        <w:t>;</w:t>
      </w:r>
    </w:p>
    <w:p w14:paraId="2EF5149E"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Place of Birth</w:t>
      </w:r>
      <w:r>
        <w:rPr>
          <w:rFonts w:ascii="Times New Roman" w:hAnsi="Times New Roman"/>
        </w:rPr>
        <w:t>; and/or</w:t>
      </w:r>
    </w:p>
    <w:p w14:paraId="0B24BE5A" w14:textId="77777777" w:rsidR="008123EC" w:rsidRPr="005A51CC" w:rsidRDefault="008123EC" w:rsidP="008123EC">
      <w:pPr>
        <w:pStyle w:val="ListParagraph"/>
        <w:numPr>
          <w:ilvl w:val="0"/>
          <w:numId w:val="35"/>
        </w:numPr>
        <w:suppressAutoHyphens/>
      </w:pPr>
      <w:r w:rsidRPr="007628D9">
        <w:rPr>
          <w:rFonts w:ascii="Times New Roman" w:hAnsi="Times New Roman"/>
        </w:rPr>
        <w:t>Redress Number</w:t>
      </w:r>
      <w:r>
        <w:rPr>
          <w:rFonts w:ascii="Times New Roman" w:hAnsi="Times New Roman"/>
        </w:rPr>
        <w:t>.</w:t>
      </w:r>
      <w:r w:rsidRPr="007628D9">
        <w:rPr>
          <w:rStyle w:val="FootnoteReference"/>
          <w:rFonts w:ascii="Times New Roman" w:hAnsi="Times New Roman"/>
        </w:rPr>
        <w:footnoteReference w:id="3"/>
      </w:r>
    </w:p>
    <w:p w14:paraId="1BA74B14" w14:textId="77777777" w:rsidR="008123EC" w:rsidRDefault="008123EC" w:rsidP="008123EC">
      <w:pPr>
        <w:pStyle w:val="ListParagraph"/>
        <w:suppressAutoHyphens/>
        <w:ind w:left="0"/>
      </w:pPr>
    </w:p>
    <w:p w14:paraId="7BF80392" w14:textId="77777777" w:rsidR="008123EC" w:rsidRPr="007628D9" w:rsidRDefault="008123EC" w:rsidP="008123EC">
      <w:r w:rsidRPr="005A51CC">
        <w:t>High-risk chemical facilities have the option to create and use the following field</w:t>
      </w:r>
      <w:r>
        <w:t>(s)</w:t>
      </w:r>
      <w:r w:rsidRPr="005A51CC">
        <w:t xml:space="preserve"> to collect and store additional information to assist with the management of an affected individual’s records.  Any information collected in this field will not be used to support vetting activities.</w:t>
      </w:r>
    </w:p>
    <w:p w14:paraId="74ADF8EA" w14:textId="77777777" w:rsidR="008123EC" w:rsidRDefault="008123EC" w:rsidP="008123EC">
      <w:pPr>
        <w:pStyle w:val="ListParagraph"/>
        <w:numPr>
          <w:ilvl w:val="0"/>
          <w:numId w:val="35"/>
        </w:numPr>
        <w:suppressAutoHyphens/>
      </w:pPr>
      <w:r>
        <w:rPr>
          <w:rFonts w:ascii="Times New Roman" w:hAnsi="Times New Roman"/>
        </w:rPr>
        <w:t>User Defined Field(s)</w:t>
      </w:r>
    </w:p>
    <w:p w14:paraId="51331308" w14:textId="77777777" w:rsidR="008123EC" w:rsidRDefault="008123EC" w:rsidP="008123EC">
      <w:pPr>
        <w:pStyle w:val="Firstline05"/>
        <w:suppressAutoHyphens/>
        <w:spacing w:line="240" w:lineRule="auto"/>
      </w:pPr>
    </w:p>
    <w:p w14:paraId="2F6DF4A5" w14:textId="77777777" w:rsidR="008123EC" w:rsidRDefault="008123EC" w:rsidP="008123EC">
      <w:pPr>
        <w:pStyle w:val="Firstline05"/>
        <w:suppressAutoHyphens/>
        <w:spacing w:line="240" w:lineRule="auto"/>
      </w:pPr>
      <w:r>
        <w:t>T</w:t>
      </w:r>
      <w:r w:rsidRPr="00AD3FC5">
        <w:t>able</w:t>
      </w:r>
      <w:r>
        <w:t xml:space="preserve"> 1</w:t>
      </w:r>
      <w:r w:rsidRPr="00AD3FC5">
        <w:t xml:space="preserve"> summarizes the biographic data that would be submitted to the Department under Option 1.</w:t>
      </w:r>
    </w:p>
    <w:p w14:paraId="284F3682" w14:textId="77777777" w:rsidR="008123EC" w:rsidRDefault="008123EC" w:rsidP="008123EC">
      <w:pPr>
        <w:pStyle w:val="Firstline05"/>
        <w:suppressAutoHyphens/>
        <w:spacing w:line="240" w:lineRule="auto"/>
      </w:pPr>
    </w:p>
    <w:p w14:paraId="01EAE788" w14:textId="77777777" w:rsidR="008123EC" w:rsidRPr="008B5271" w:rsidRDefault="008123EC" w:rsidP="008123EC">
      <w:pPr>
        <w:pStyle w:val="TableHeader"/>
        <w:suppressAutoHyphens/>
        <w:spacing w:line="240" w:lineRule="auto"/>
      </w:pPr>
      <w:r w:rsidRPr="008B5271">
        <w:t>Table 1</w:t>
      </w:r>
      <w:r>
        <w:t>.</w:t>
      </w:r>
      <w:r w:rsidRPr="008B5271">
        <w:t xml:space="preserve"> </w:t>
      </w:r>
      <w:r>
        <w:t xml:space="preserve">Required and Optional </w:t>
      </w:r>
      <w:r w:rsidRPr="008B5271">
        <w:t xml:space="preserve">Data </w:t>
      </w:r>
      <w:r>
        <w:t xml:space="preserve">for an </w:t>
      </w:r>
      <w:r w:rsidRPr="008B5271">
        <w:t>Affected Individual Under Option 1</w:t>
      </w:r>
    </w:p>
    <w:tbl>
      <w:tblPr>
        <w:tblW w:w="6720" w:type="dxa"/>
        <w:jc w:val="center"/>
        <w:tblCellMar>
          <w:left w:w="115" w:type="dxa"/>
          <w:right w:w="115" w:type="dxa"/>
        </w:tblCellMar>
        <w:tblLook w:val="00A0" w:firstRow="1" w:lastRow="0" w:firstColumn="1" w:lastColumn="0" w:noHBand="0" w:noVBand="0"/>
      </w:tblPr>
      <w:tblGrid>
        <w:gridCol w:w="2960"/>
        <w:gridCol w:w="2060"/>
        <w:gridCol w:w="1700"/>
      </w:tblGrid>
      <w:tr w:rsidR="008123EC" w:rsidRPr="008B5271" w14:paraId="7F202B5D" w14:textId="77777777" w:rsidTr="00585594">
        <w:trPr>
          <w:cantSplit/>
          <w:trHeight w:val="315"/>
          <w:tblHeader/>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BC0F8C4" w14:textId="77777777" w:rsidR="008123EC" w:rsidRPr="00AD3FC5" w:rsidRDefault="008123EC" w:rsidP="00585594">
            <w:pPr>
              <w:pStyle w:val="TableTopRow"/>
              <w:suppressAutoHyphens/>
            </w:pPr>
            <w:r w:rsidRPr="00AD3FC5">
              <w:t>Data Elements Submitted to the Department</w:t>
            </w:r>
          </w:p>
        </w:tc>
        <w:tc>
          <w:tcPr>
            <w:tcW w:w="2060" w:type="dxa"/>
            <w:tcBorders>
              <w:top w:val="single" w:sz="4" w:space="0" w:color="auto"/>
              <w:left w:val="nil"/>
              <w:bottom w:val="single" w:sz="4" w:space="0" w:color="auto"/>
              <w:right w:val="single" w:sz="4" w:space="0" w:color="auto"/>
            </w:tcBorders>
            <w:shd w:val="clear" w:color="auto" w:fill="auto"/>
            <w:vAlign w:val="center"/>
          </w:tcPr>
          <w:p w14:paraId="25143F10" w14:textId="77777777" w:rsidR="008123EC" w:rsidRPr="00AD3FC5" w:rsidRDefault="008123EC" w:rsidP="00585594">
            <w:pPr>
              <w:pStyle w:val="TableTopRow"/>
              <w:suppressAutoHyphens/>
            </w:pPr>
            <w:r w:rsidRPr="00AD3FC5">
              <w:t xml:space="preserve">For A </w:t>
            </w:r>
          </w:p>
          <w:p w14:paraId="14C41AB6" w14:textId="77777777" w:rsidR="008123EC" w:rsidRPr="00AD3FC5" w:rsidRDefault="008123EC" w:rsidP="00585594">
            <w:pPr>
              <w:pStyle w:val="TableTopRow"/>
              <w:suppressAutoHyphens/>
            </w:pPr>
            <w:r w:rsidRPr="00AD3FC5">
              <w:t>U.S. Person</w:t>
            </w:r>
          </w:p>
        </w:tc>
        <w:tc>
          <w:tcPr>
            <w:tcW w:w="1700" w:type="dxa"/>
            <w:tcBorders>
              <w:top w:val="single" w:sz="4" w:space="0" w:color="auto"/>
              <w:left w:val="nil"/>
              <w:bottom w:val="single" w:sz="4" w:space="0" w:color="auto"/>
              <w:right w:val="single" w:sz="4" w:space="0" w:color="auto"/>
            </w:tcBorders>
            <w:shd w:val="clear" w:color="auto" w:fill="auto"/>
            <w:vAlign w:val="center"/>
          </w:tcPr>
          <w:p w14:paraId="4241800C" w14:textId="77777777" w:rsidR="008123EC" w:rsidRPr="00AD3FC5" w:rsidRDefault="008123EC" w:rsidP="00585594">
            <w:pPr>
              <w:pStyle w:val="TableTopRow"/>
              <w:suppressAutoHyphens/>
            </w:pPr>
            <w:r w:rsidRPr="00AD3FC5">
              <w:t xml:space="preserve">For A </w:t>
            </w:r>
          </w:p>
          <w:p w14:paraId="65DA3495" w14:textId="77777777" w:rsidR="008123EC" w:rsidRPr="00AD3FC5" w:rsidRDefault="008123EC" w:rsidP="00585594">
            <w:pPr>
              <w:pStyle w:val="TableTopRow"/>
              <w:suppressAutoHyphens/>
            </w:pPr>
            <w:r w:rsidRPr="00AD3FC5">
              <w:t>Non-U.S. Person</w:t>
            </w:r>
          </w:p>
        </w:tc>
      </w:tr>
      <w:tr w:rsidR="008123EC" w:rsidRPr="008B5271" w14:paraId="2D506A0E" w14:textId="77777777" w:rsidTr="00585594">
        <w:trPr>
          <w:cantSplit/>
          <w:trHeight w:val="315"/>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102C9CED" w14:textId="77777777" w:rsidR="008123EC" w:rsidRPr="00AD3FC5" w:rsidRDefault="008123EC" w:rsidP="00585594">
            <w:pPr>
              <w:pStyle w:val="TableContentLeft"/>
              <w:suppressAutoHyphens/>
            </w:pPr>
            <w:r w:rsidRPr="00AD3FC5">
              <w:t>Full Name</w:t>
            </w:r>
          </w:p>
        </w:tc>
        <w:tc>
          <w:tcPr>
            <w:tcW w:w="3760" w:type="dxa"/>
            <w:gridSpan w:val="2"/>
            <w:tcBorders>
              <w:top w:val="nil"/>
              <w:left w:val="nil"/>
              <w:bottom w:val="single" w:sz="4" w:space="0" w:color="auto"/>
              <w:right w:val="single" w:sz="4" w:space="0" w:color="auto"/>
            </w:tcBorders>
            <w:shd w:val="clear" w:color="auto" w:fill="auto"/>
            <w:vAlign w:val="center"/>
          </w:tcPr>
          <w:p w14:paraId="1A8CF99B" w14:textId="77777777" w:rsidR="008123EC" w:rsidRPr="00AD3FC5" w:rsidRDefault="008123EC" w:rsidP="00585594">
            <w:pPr>
              <w:pStyle w:val="TableContentLeft"/>
              <w:suppressAutoHyphens/>
            </w:pPr>
            <w:r w:rsidRPr="00AD3FC5">
              <w:t>Required</w:t>
            </w:r>
          </w:p>
        </w:tc>
      </w:tr>
      <w:tr w:rsidR="008123EC" w:rsidRPr="008B5271" w14:paraId="1D819533" w14:textId="77777777" w:rsidTr="00585594">
        <w:trPr>
          <w:cantSplit/>
          <w:trHeight w:val="315"/>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01015E27" w14:textId="77777777" w:rsidR="008123EC" w:rsidRPr="00AD3FC5" w:rsidRDefault="008123EC" w:rsidP="00585594">
            <w:pPr>
              <w:pStyle w:val="TableContentLeft"/>
              <w:suppressAutoHyphens/>
            </w:pPr>
            <w:r w:rsidRPr="00AD3FC5">
              <w:t>Date of Birth</w:t>
            </w:r>
          </w:p>
        </w:tc>
        <w:tc>
          <w:tcPr>
            <w:tcW w:w="3760" w:type="dxa"/>
            <w:gridSpan w:val="2"/>
            <w:tcBorders>
              <w:top w:val="nil"/>
              <w:left w:val="nil"/>
              <w:bottom w:val="single" w:sz="4" w:space="0" w:color="auto"/>
              <w:right w:val="single" w:sz="4" w:space="0" w:color="auto"/>
            </w:tcBorders>
            <w:shd w:val="clear" w:color="auto" w:fill="auto"/>
            <w:vAlign w:val="center"/>
          </w:tcPr>
          <w:p w14:paraId="2C85A116" w14:textId="77777777" w:rsidR="008123EC" w:rsidRPr="00AD3FC5" w:rsidRDefault="008123EC" w:rsidP="00585594">
            <w:pPr>
              <w:pStyle w:val="TableContentLeft"/>
              <w:suppressAutoHyphens/>
            </w:pPr>
            <w:r w:rsidRPr="00AD3FC5">
              <w:t>Required</w:t>
            </w:r>
          </w:p>
        </w:tc>
      </w:tr>
      <w:tr w:rsidR="008123EC" w:rsidRPr="008B5271" w14:paraId="20B6EB99" w14:textId="77777777" w:rsidTr="00585594">
        <w:trPr>
          <w:cantSplit/>
          <w:trHeight w:val="317"/>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0F457A18" w14:textId="77777777" w:rsidR="008123EC" w:rsidRPr="00AD3FC5" w:rsidRDefault="008123EC" w:rsidP="00585594">
            <w:pPr>
              <w:pStyle w:val="TableContentLeft"/>
              <w:suppressAutoHyphens/>
            </w:pPr>
            <w:r w:rsidRPr="00AD3FC5">
              <w:t>Gender</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tcPr>
          <w:p w14:paraId="77699B28" w14:textId="77777777" w:rsidR="008123EC" w:rsidRPr="00AD3FC5" w:rsidRDefault="008123EC" w:rsidP="00585594">
            <w:pPr>
              <w:pStyle w:val="TableContentLeft"/>
              <w:suppressAutoHyphens/>
            </w:pPr>
            <w:r w:rsidRPr="00AD3FC5">
              <w:t>Must provide Citizenship or Gender</w:t>
            </w:r>
          </w:p>
        </w:tc>
        <w:tc>
          <w:tcPr>
            <w:tcW w:w="1700" w:type="dxa"/>
            <w:tcBorders>
              <w:top w:val="nil"/>
              <w:left w:val="nil"/>
              <w:bottom w:val="single" w:sz="4" w:space="0" w:color="auto"/>
              <w:right w:val="single" w:sz="4" w:space="0" w:color="auto"/>
            </w:tcBorders>
            <w:shd w:val="clear" w:color="auto" w:fill="auto"/>
            <w:vAlign w:val="center"/>
          </w:tcPr>
          <w:p w14:paraId="29724B13" w14:textId="77777777" w:rsidR="008123EC" w:rsidRPr="00AD3FC5" w:rsidRDefault="008123EC" w:rsidP="00585594">
            <w:pPr>
              <w:pStyle w:val="TableContentLeft"/>
              <w:suppressAutoHyphens/>
            </w:pPr>
            <w:r w:rsidRPr="00AD3FC5">
              <w:t xml:space="preserve">Optional </w:t>
            </w:r>
          </w:p>
        </w:tc>
      </w:tr>
      <w:tr w:rsidR="008123EC" w:rsidRPr="008B5271" w14:paraId="382E208F" w14:textId="77777777" w:rsidTr="00585594">
        <w:trPr>
          <w:cantSplit/>
          <w:trHeight w:val="317"/>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2479224D" w14:textId="77777777" w:rsidR="008123EC" w:rsidRPr="00AD3FC5" w:rsidRDefault="008123EC" w:rsidP="00585594">
            <w:pPr>
              <w:pStyle w:val="TableContentLeft"/>
              <w:suppressAutoHyphens/>
            </w:pPr>
            <w:r w:rsidRPr="00AD3FC5">
              <w:t>Citizenship</w:t>
            </w:r>
          </w:p>
        </w:tc>
        <w:tc>
          <w:tcPr>
            <w:tcW w:w="2060" w:type="dxa"/>
            <w:vMerge/>
            <w:tcBorders>
              <w:top w:val="nil"/>
              <w:left w:val="single" w:sz="4" w:space="0" w:color="auto"/>
              <w:bottom w:val="single" w:sz="4" w:space="0" w:color="000000"/>
              <w:right w:val="single" w:sz="4" w:space="0" w:color="auto"/>
            </w:tcBorders>
            <w:shd w:val="clear" w:color="auto" w:fill="auto"/>
            <w:vAlign w:val="center"/>
          </w:tcPr>
          <w:p w14:paraId="5625B605" w14:textId="77777777" w:rsidR="008123EC" w:rsidRPr="00AD3FC5" w:rsidRDefault="008123EC" w:rsidP="00585594">
            <w:pPr>
              <w:suppressAutoHyphens/>
              <w:rPr>
                <w:color w:val="000000"/>
                <w:sz w:val="20"/>
              </w:rPr>
            </w:pPr>
          </w:p>
        </w:tc>
        <w:tc>
          <w:tcPr>
            <w:tcW w:w="1700" w:type="dxa"/>
            <w:tcBorders>
              <w:top w:val="nil"/>
              <w:left w:val="nil"/>
              <w:bottom w:val="single" w:sz="4" w:space="0" w:color="auto"/>
              <w:right w:val="single" w:sz="4" w:space="0" w:color="auto"/>
            </w:tcBorders>
            <w:shd w:val="clear" w:color="auto" w:fill="auto"/>
            <w:vAlign w:val="center"/>
          </w:tcPr>
          <w:p w14:paraId="7FC4B3AE" w14:textId="77777777" w:rsidR="008123EC" w:rsidRPr="00AD3FC5" w:rsidRDefault="008123EC" w:rsidP="00585594">
            <w:pPr>
              <w:pStyle w:val="TableContentLeft"/>
              <w:suppressAutoHyphens/>
            </w:pPr>
            <w:r w:rsidRPr="00AD3FC5">
              <w:t xml:space="preserve">Required </w:t>
            </w:r>
          </w:p>
        </w:tc>
      </w:tr>
      <w:tr w:rsidR="008123EC" w:rsidRPr="008B5271" w14:paraId="1FA9D1B3" w14:textId="77777777" w:rsidTr="00585594">
        <w:trPr>
          <w:cantSplit/>
          <w:trHeight w:val="630"/>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5CA3DBA6" w14:textId="77777777" w:rsidR="008123EC" w:rsidRPr="00AD3FC5" w:rsidRDefault="008123EC" w:rsidP="00585594">
            <w:pPr>
              <w:pStyle w:val="TableContentLeft"/>
              <w:suppressAutoHyphens/>
            </w:pPr>
            <w:r w:rsidRPr="00AD3FC5">
              <w:t>Passport Information and /or Alien Registration Number</w:t>
            </w:r>
          </w:p>
        </w:tc>
        <w:tc>
          <w:tcPr>
            <w:tcW w:w="2060" w:type="dxa"/>
            <w:tcBorders>
              <w:top w:val="nil"/>
              <w:left w:val="nil"/>
              <w:bottom w:val="single" w:sz="4" w:space="0" w:color="auto"/>
              <w:right w:val="single" w:sz="4" w:space="0" w:color="auto"/>
            </w:tcBorders>
            <w:shd w:val="clear" w:color="auto" w:fill="auto"/>
            <w:vAlign w:val="center"/>
          </w:tcPr>
          <w:p w14:paraId="152E5702" w14:textId="77777777" w:rsidR="008123EC" w:rsidRPr="00AD3FC5" w:rsidRDefault="008123EC" w:rsidP="00585594">
            <w:pPr>
              <w:pStyle w:val="TableContentLeft"/>
              <w:suppressAutoHyphens/>
            </w:pPr>
            <w:r w:rsidRPr="00AD3FC5">
              <w:t>N/A</w:t>
            </w:r>
          </w:p>
        </w:tc>
        <w:tc>
          <w:tcPr>
            <w:tcW w:w="1700" w:type="dxa"/>
            <w:tcBorders>
              <w:top w:val="nil"/>
              <w:left w:val="nil"/>
              <w:bottom w:val="single" w:sz="4" w:space="0" w:color="auto"/>
              <w:right w:val="single" w:sz="4" w:space="0" w:color="auto"/>
            </w:tcBorders>
            <w:shd w:val="clear" w:color="auto" w:fill="auto"/>
            <w:vAlign w:val="center"/>
          </w:tcPr>
          <w:p w14:paraId="2DCCAA30" w14:textId="77777777" w:rsidR="008123EC" w:rsidRPr="00AD3FC5" w:rsidRDefault="008123EC" w:rsidP="00585594">
            <w:pPr>
              <w:pStyle w:val="TableContentLeft"/>
              <w:suppressAutoHyphens/>
            </w:pPr>
            <w:r w:rsidRPr="00AD3FC5">
              <w:t>Required</w:t>
            </w:r>
          </w:p>
        </w:tc>
      </w:tr>
      <w:tr w:rsidR="008123EC" w:rsidRPr="008B5271" w14:paraId="64F931F3" w14:textId="77777777" w:rsidTr="00585594">
        <w:trPr>
          <w:cantSplit/>
          <w:trHeight w:val="315"/>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50DE86D5" w14:textId="77777777" w:rsidR="008123EC" w:rsidRPr="00AD3FC5" w:rsidRDefault="008123EC" w:rsidP="00585594">
            <w:pPr>
              <w:pStyle w:val="TableContentLeft"/>
              <w:suppressAutoHyphens/>
            </w:pPr>
            <w:r w:rsidRPr="00AD3FC5">
              <w:t>Aliases</w:t>
            </w:r>
          </w:p>
        </w:tc>
        <w:tc>
          <w:tcPr>
            <w:tcW w:w="3760" w:type="dxa"/>
            <w:gridSpan w:val="2"/>
            <w:tcBorders>
              <w:top w:val="nil"/>
              <w:left w:val="nil"/>
              <w:bottom w:val="single" w:sz="4" w:space="0" w:color="auto"/>
              <w:right w:val="single" w:sz="4" w:space="0" w:color="auto"/>
            </w:tcBorders>
            <w:shd w:val="clear" w:color="auto" w:fill="auto"/>
            <w:vAlign w:val="center"/>
          </w:tcPr>
          <w:p w14:paraId="03E78C2C" w14:textId="77777777" w:rsidR="008123EC" w:rsidRPr="00AD3FC5" w:rsidRDefault="008123EC" w:rsidP="00585594">
            <w:pPr>
              <w:pStyle w:val="TableContentLeft"/>
              <w:suppressAutoHyphens/>
            </w:pPr>
            <w:r w:rsidRPr="00AD3FC5">
              <w:t>Optional</w:t>
            </w:r>
          </w:p>
        </w:tc>
      </w:tr>
      <w:tr w:rsidR="008123EC" w:rsidRPr="008B5271" w14:paraId="51DD0D4B" w14:textId="77777777" w:rsidTr="00585594">
        <w:trPr>
          <w:cantSplit/>
          <w:trHeight w:val="315"/>
          <w:tblHeader/>
          <w:jc w:val="center"/>
        </w:trPr>
        <w:tc>
          <w:tcPr>
            <w:tcW w:w="2960" w:type="dxa"/>
            <w:tcBorders>
              <w:top w:val="nil"/>
              <w:left w:val="single" w:sz="4" w:space="0" w:color="auto"/>
              <w:bottom w:val="single" w:sz="4" w:space="0" w:color="auto"/>
              <w:right w:val="single" w:sz="4" w:space="0" w:color="auto"/>
            </w:tcBorders>
            <w:shd w:val="clear" w:color="auto" w:fill="auto"/>
            <w:vAlign w:val="center"/>
          </w:tcPr>
          <w:p w14:paraId="46FE196F" w14:textId="77777777" w:rsidR="008123EC" w:rsidRPr="00AD3FC5" w:rsidRDefault="008123EC" w:rsidP="00585594">
            <w:pPr>
              <w:pStyle w:val="TableContentLeft"/>
              <w:suppressAutoHyphens/>
            </w:pPr>
            <w:r w:rsidRPr="00AD3FC5">
              <w:t>Place of Birth</w:t>
            </w:r>
          </w:p>
        </w:tc>
        <w:tc>
          <w:tcPr>
            <w:tcW w:w="3760" w:type="dxa"/>
            <w:gridSpan w:val="2"/>
            <w:tcBorders>
              <w:top w:val="nil"/>
              <w:left w:val="nil"/>
              <w:bottom w:val="single" w:sz="4" w:space="0" w:color="auto"/>
              <w:right w:val="single" w:sz="4" w:space="0" w:color="auto"/>
            </w:tcBorders>
            <w:shd w:val="clear" w:color="auto" w:fill="auto"/>
            <w:vAlign w:val="center"/>
          </w:tcPr>
          <w:p w14:paraId="1D228F38" w14:textId="77777777" w:rsidR="008123EC" w:rsidRPr="00AD3FC5" w:rsidRDefault="008123EC" w:rsidP="00585594">
            <w:pPr>
              <w:pStyle w:val="TableContentLeft"/>
              <w:suppressAutoHyphens/>
            </w:pPr>
            <w:r w:rsidRPr="00AD3FC5">
              <w:t>Optional</w:t>
            </w:r>
          </w:p>
        </w:tc>
      </w:tr>
      <w:tr w:rsidR="008123EC" w:rsidRPr="008B5271" w14:paraId="4FDED864" w14:textId="77777777" w:rsidTr="00585594">
        <w:trPr>
          <w:cantSplit/>
          <w:trHeight w:val="315"/>
          <w:tblHeader/>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853C7B2" w14:textId="77777777" w:rsidR="008123EC" w:rsidRPr="00AD3FC5" w:rsidRDefault="008123EC" w:rsidP="00585594">
            <w:pPr>
              <w:pStyle w:val="TableContentLeft"/>
              <w:suppressAutoHyphens/>
            </w:pPr>
            <w:r w:rsidRPr="00AD3FC5">
              <w:t>Redress number</w:t>
            </w:r>
          </w:p>
        </w:tc>
        <w:tc>
          <w:tcPr>
            <w:tcW w:w="3760" w:type="dxa"/>
            <w:gridSpan w:val="2"/>
            <w:tcBorders>
              <w:top w:val="single" w:sz="4" w:space="0" w:color="auto"/>
              <w:left w:val="nil"/>
              <w:bottom w:val="single" w:sz="4" w:space="0" w:color="auto"/>
              <w:right w:val="single" w:sz="4" w:space="0" w:color="auto"/>
            </w:tcBorders>
            <w:shd w:val="clear" w:color="auto" w:fill="auto"/>
            <w:vAlign w:val="center"/>
          </w:tcPr>
          <w:p w14:paraId="3120BC26" w14:textId="77777777" w:rsidR="008123EC" w:rsidRPr="00AD3FC5" w:rsidRDefault="008123EC" w:rsidP="00585594">
            <w:pPr>
              <w:pStyle w:val="TableContentLeft"/>
              <w:suppressAutoHyphens/>
            </w:pPr>
            <w:r w:rsidRPr="00AD3FC5">
              <w:t>Optional</w:t>
            </w:r>
          </w:p>
        </w:tc>
      </w:tr>
      <w:tr w:rsidR="008123EC" w:rsidRPr="008B5271" w14:paraId="17FA7BDA" w14:textId="77777777" w:rsidTr="00585594">
        <w:trPr>
          <w:cantSplit/>
          <w:trHeight w:val="315"/>
          <w:tblHeader/>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3206552" w14:textId="77777777" w:rsidR="008123EC" w:rsidRPr="00AD3FC5" w:rsidRDefault="008123EC" w:rsidP="00585594">
            <w:pPr>
              <w:pStyle w:val="TableContentLeft"/>
              <w:suppressAutoHyphens/>
            </w:pPr>
            <w:r w:rsidRPr="00AD3FC5">
              <w:t>User Defined Field(s)</w:t>
            </w:r>
          </w:p>
        </w:tc>
        <w:tc>
          <w:tcPr>
            <w:tcW w:w="3760" w:type="dxa"/>
            <w:gridSpan w:val="2"/>
            <w:tcBorders>
              <w:top w:val="single" w:sz="4" w:space="0" w:color="auto"/>
              <w:left w:val="nil"/>
              <w:bottom w:val="single" w:sz="4" w:space="0" w:color="auto"/>
              <w:right w:val="single" w:sz="4" w:space="0" w:color="auto"/>
            </w:tcBorders>
            <w:shd w:val="clear" w:color="auto" w:fill="auto"/>
            <w:vAlign w:val="center"/>
          </w:tcPr>
          <w:p w14:paraId="7CDBD154" w14:textId="77777777" w:rsidR="008123EC" w:rsidRPr="00AD3FC5" w:rsidRDefault="008123EC" w:rsidP="00585594">
            <w:pPr>
              <w:pStyle w:val="TableContentLeft"/>
              <w:suppressAutoHyphens/>
            </w:pPr>
            <w:r w:rsidRPr="00AD3FC5">
              <w:t>Optional (Not used for vetting purposes)</w:t>
            </w:r>
          </w:p>
        </w:tc>
      </w:tr>
    </w:tbl>
    <w:p w14:paraId="7F6E2917" w14:textId="77777777" w:rsidR="008123EC" w:rsidRDefault="008123EC" w:rsidP="008123EC">
      <w:pPr>
        <w:suppressAutoHyphens/>
      </w:pPr>
    </w:p>
    <w:p w14:paraId="402B61D3" w14:textId="77777777" w:rsidR="008123EC" w:rsidRPr="00AD3FC5" w:rsidRDefault="008123EC" w:rsidP="008123EC">
      <w:pPr>
        <w:pStyle w:val="Heading2"/>
        <w:suppressAutoHyphens/>
        <w:rPr>
          <w:rFonts w:ascii="Times New Roman" w:hAnsi="Times New Roman"/>
          <w:sz w:val="24"/>
          <w:szCs w:val="24"/>
        </w:rPr>
      </w:pPr>
      <w:r w:rsidRPr="00AD3FC5">
        <w:rPr>
          <w:rFonts w:ascii="Times New Roman" w:hAnsi="Times New Roman"/>
          <w:sz w:val="24"/>
          <w:szCs w:val="24"/>
        </w:rPr>
        <w:t>Option 2: Collecting Information To Use Vetting Conducted Under Other DHS Programs</w:t>
      </w:r>
    </w:p>
    <w:p w14:paraId="5B54A8E7" w14:textId="77777777" w:rsidR="008123EC" w:rsidRPr="008B5271" w:rsidRDefault="008123EC" w:rsidP="008123EC">
      <w:pPr>
        <w:suppressAutoHyphens/>
      </w:pPr>
      <w:r w:rsidRPr="00AD3FC5">
        <w:t xml:space="preserve">In lieu of submitting information to the Department under Option 1 for </w:t>
      </w:r>
      <w:r>
        <w:t xml:space="preserve">vetting of </w:t>
      </w:r>
      <w:r w:rsidRPr="00AD3FC5">
        <w:t>terrorist ties, high-risk chemical facilities also have the option, where appropriate, to submit information to the Department to electronically verify that an affected individual is currently enrolled in another DHS program that vets for terrorist ties.</w:t>
      </w:r>
    </w:p>
    <w:p w14:paraId="59E08A2C" w14:textId="77777777" w:rsidR="008123EC" w:rsidRDefault="008123EC" w:rsidP="008123EC">
      <w:pPr>
        <w:suppressAutoHyphens/>
      </w:pPr>
    </w:p>
    <w:p w14:paraId="1621952D" w14:textId="77777777" w:rsidR="008123EC" w:rsidRDefault="008123EC" w:rsidP="008123EC">
      <w:pPr>
        <w:suppressAutoHyphens/>
      </w:pPr>
      <w:r w:rsidRPr="008B5271">
        <w:t>To verify an affected individual’s enrollment</w:t>
      </w:r>
      <w:r>
        <w:t xml:space="preserve"> in one of these programs under Option 2</w:t>
      </w:r>
      <w:r w:rsidRPr="008B5271">
        <w:t xml:space="preserve">, </w:t>
      </w:r>
      <w:r>
        <w:t>the Department</w:t>
      </w:r>
      <w:r w:rsidRPr="008B5271">
        <w:t xml:space="preserve"> </w:t>
      </w:r>
      <w:r>
        <w:t>would</w:t>
      </w:r>
      <w:r w:rsidRPr="008B5271">
        <w:t xml:space="preserve"> collect the following information about the affected individual:</w:t>
      </w:r>
    </w:p>
    <w:p w14:paraId="21649500"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Full Name</w:t>
      </w:r>
      <w:r>
        <w:rPr>
          <w:rFonts w:ascii="Times New Roman" w:hAnsi="Times New Roman"/>
        </w:rPr>
        <w:t>;</w:t>
      </w:r>
    </w:p>
    <w:p w14:paraId="2AB4D693"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Date of Birth</w:t>
      </w:r>
      <w:r>
        <w:rPr>
          <w:rFonts w:ascii="Times New Roman" w:hAnsi="Times New Roman"/>
        </w:rPr>
        <w:t>;</w:t>
      </w:r>
      <w:r w:rsidRPr="007628D9">
        <w:rPr>
          <w:rFonts w:ascii="Times New Roman" w:hAnsi="Times New Roman"/>
        </w:rPr>
        <w:t xml:space="preserve"> and</w:t>
      </w:r>
    </w:p>
    <w:p w14:paraId="76989A5E" w14:textId="1D75462B"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 xml:space="preserve">Program-specific information or credential information, such as </w:t>
      </w:r>
      <w:r w:rsidR="00A77A12">
        <w:rPr>
          <w:rFonts w:ascii="Times New Roman" w:hAnsi="Times New Roman"/>
        </w:rPr>
        <w:t xml:space="preserve">expiration date, </w:t>
      </w:r>
      <w:r w:rsidRPr="007628D9">
        <w:rPr>
          <w:rFonts w:ascii="Times New Roman" w:hAnsi="Times New Roman"/>
        </w:rPr>
        <w:t>unique number</w:t>
      </w:r>
      <w:r w:rsidR="00A77A12">
        <w:rPr>
          <w:rFonts w:ascii="Times New Roman" w:hAnsi="Times New Roman"/>
        </w:rPr>
        <w:t>,</w:t>
      </w:r>
      <w:r w:rsidRPr="007628D9">
        <w:rPr>
          <w:rFonts w:ascii="Times New Roman" w:hAnsi="Times New Roman"/>
        </w:rPr>
        <w:t xml:space="preserve"> or issuing entity (e.g., </w:t>
      </w:r>
      <w:r>
        <w:rPr>
          <w:rFonts w:ascii="Times New Roman" w:hAnsi="Times New Roman"/>
        </w:rPr>
        <w:t>s</w:t>
      </w:r>
      <w:r w:rsidRPr="007628D9">
        <w:rPr>
          <w:rFonts w:ascii="Times New Roman" w:hAnsi="Times New Roman"/>
        </w:rPr>
        <w:t xml:space="preserve">tate for Commercial Driver’s License </w:t>
      </w:r>
      <w:r>
        <w:rPr>
          <w:rFonts w:ascii="Times New Roman" w:hAnsi="Times New Roman"/>
        </w:rPr>
        <w:t>[</w:t>
      </w:r>
      <w:r w:rsidRPr="007628D9">
        <w:rPr>
          <w:rFonts w:ascii="Times New Roman" w:hAnsi="Times New Roman"/>
        </w:rPr>
        <w:t>CDL</w:t>
      </w:r>
      <w:r>
        <w:rPr>
          <w:rFonts w:ascii="Times New Roman" w:hAnsi="Times New Roman"/>
        </w:rPr>
        <w:t>]</w:t>
      </w:r>
      <w:r w:rsidRPr="007628D9">
        <w:rPr>
          <w:rFonts w:ascii="Times New Roman" w:hAnsi="Times New Roman"/>
        </w:rPr>
        <w:t xml:space="preserve"> associated with an </w:t>
      </w:r>
      <w:r>
        <w:rPr>
          <w:rFonts w:ascii="Times New Roman" w:hAnsi="Times New Roman"/>
        </w:rPr>
        <w:t>Hazardous Materials Endorsement [</w:t>
      </w:r>
      <w:r w:rsidRPr="007628D9">
        <w:rPr>
          <w:rFonts w:ascii="Times New Roman" w:hAnsi="Times New Roman"/>
        </w:rPr>
        <w:t>HME</w:t>
      </w:r>
      <w:r>
        <w:rPr>
          <w:rFonts w:ascii="Times New Roman" w:hAnsi="Times New Roman"/>
        </w:rPr>
        <w:t>]</w:t>
      </w:r>
      <w:r w:rsidRPr="007628D9">
        <w:rPr>
          <w:rFonts w:ascii="Times New Roman" w:hAnsi="Times New Roman"/>
        </w:rPr>
        <w:t>).</w:t>
      </w:r>
    </w:p>
    <w:p w14:paraId="5767079A" w14:textId="77777777" w:rsidR="008123EC" w:rsidRDefault="008123EC" w:rsidP="008123EC">
      <w:pPr>
        <w:suppressAutoHyphens/>
      </w:pPr>
    </w:p>
    <w:p w14:paraId="269B77BD" w14:textId="77777777" w:rsidR="008123EC" w:rsidRPr="0032333D" w:rsidRDefault="008123EC" w:rsidP="008123EC">
      <w:pPr>
        <w:suppressAutoHyphens/>
      </w:pPr>
      <w:r w:rsidRPr="003C11FF">
        <w:t xml:space="preserve">To </w:t>
      </w:r>
      <w:r w:rsidRPr="008B5271">
        <w:t>reduce the likelihood of false positives</w:t>
      </w:r>
      <w:r w:rsidRPr="003C11FF">
        <w:t>, high-risk chemical facilities may also submit the following optional in</w:t>
      </w:r>
      <w:r w:rsidRPr="000421D3">
        <w:t xml:space="preserve">formation about affected individuals to </w:t>
      </w:r>
      <w:r w:rsidRPr="00B71309">
        <w:t>the Department</w:t>
      </w:r>
      <w:r w:rsidRPr="0032333D">
        <w:t>:</w:t>
      </w:r>
    </w:p>
    <w:p w14:paraId="354D4A81"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Aliases</w:t>
      </w:r>
      <w:r>
        <w:rPr>
          <w:rFonts w:ascii="Times New Roman" w:hAnsi="Times New Roman"/>
        </w:rPr>
        <w:t>;</w:t>
      </w:r>
    </w:p>
    <w:p w14:paraId="712FFD38"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Gender</w:t>
      </w:r>
      <w:r>
        <w:rPr>
          <w:rFonts w:ascii="Times New Roman" w:hAnsi="Times New Roman"/>
        </w:rPr>
        <w:t>;</w:t>
      </w:r>
    </w:p>
    <w:p w14:paraId="59123CB0" w14:textId="77777777" w:rsidR="008123EC" w:rsidRPr="007628D9"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Place of Birth</w:t>
      </w:r>
      <w:r>
        <w:rPr>
          <w:rFonts w:ascii="Times New Roman" w:hAnsi="Times New Roman"/>
        </w:rPr>
        <w:t>; and/or</w:t>
      </w:r>
    </w:p>
    <w:p w14:paraId="2BAF02A2" w14:textId="77777777" w:rsidR="008123EC" w:rsidRDefault="008123EC" w:rsidP="008123EC">
      <w:pPr>
        <w:pStyle w:val="ListParagraph"/>
        <w:numPr>
          <w:ilvl w:val="0"/>
          <w:numId w:val="35"/>
        </w:numPr>
        <w:suppressAutoHyphens/>
        <w:rPr>
          <w:rFonts w:ascii="Times New Roman" w:hAnsi="Times New Roman"/>
        </w:rPr>
      </w:pPr>
      <w:r w:rsidRPr="007628D9">
        <w:rPr>
          <w:rFonts w:ascii="Times New Roman" w:hAnsi="Times New Roman"/>
        </w:rPr>
        <w:t>Citizenship</w:t>
      </w:r>
      <w:r>
        <w:rPr>
          <w:rFonts w:ascii="Times New Roman" w:hAnsi="Times New Roman"/>
        </w:rPr>
        <w:t xml:space="preserve">. </w:t>
      </w:r>
    </w:p>
    <w:p w14:paraId="7404BA65" w14:textId="77777777" w:rsidR="008123EC" w:rsidRDefault="008123EC" w:rsidP="008123EC">
      <w:pPr>
        <w:pStyle w:val="ListParagraph"/>
        <w:suppressAutoHyphens/>
        <w:ind w:left="0"/>
        <w:rPr>
          <w:rFonts w:ascii="Times New Roman" w:hAnsi="Times New Roman"/>
        </w:rPr>
      </w:pPr>
    </w:p>
    <w:p w14:paraId="746FA1B6" w14:textId="77777777" w:rsidR="008123EC" w:rsidRDefault="008123EC" w:rsidP="008123EC">
      <w:pPr>
        <w:pStyle w:val="ListParagraph"/>
        <w:suppressAutoHyphens/>
        <w:ind w:left="0"/>
        <w:rPr>
          <w:rFonts w:ascii="Times New Roman" w:hAnsi="Times New Roman"/>
        </w:rPr>
      </w:pPr>
      <w:r w:rsidRPr="00AD3FC5">
        <w:rPr>
          <w:rFonts w:ascii="Times New Roman" w:hAnsi="Times New Roman"/>
        </w:rPr>
        <w:t>High-risk chemical facilities have the option to create and use the following field</w:t>
      </w:r>
      <w:r>
        <w:rPr>
          <w:rFonts w:ascii="Times New Roman" w:hAnsi="Times New Roman"/>
        </w:rPr>
        <w:t>(s)</w:t>
      </w:r>
      <w:r w:rsidRPr="00AD3FC5">
        <w:rPr>
          <w:rFonts w:ascii="Times New Roman" w:hAnsi="Times New Roman"/>
        </w:rPr>
        <w:t xml:space="preserve"> to collect and store additional information to assist with the management of an affected individual’s records.  Any information collected in this field will not be used to support vetting activities.</w:t>
      </w:r>
    </w:p>
    <w:p w14:paraId="799BA80B" w14:textId="77777777" w:rsidR="008123EC" w:rsidRPr="007628D9" w:rsidRDefault="008123EC" w:rsidP="008123EC">
      <w:pPr>
        <w:pStyle w:val="ListParagraph"/>
        <w:numPr>
          <w:ilvl w:val="0"/>
          <w:numId w:val="35"/>
        </w:numPr>
        <w:suppressAutoHyphens/>
        <w:rPr>
          <w:rFonts w:ascii="Times New Roman" w:hAnsi="Times New Roman"/>
        </w:rPr>
      </w:pPr>
      <w:r>
        <w:rPr>
          <w:rFonts w:ascii="Times New Roman" w:hAnsi="Times New Roman"/>
        </w:rPr>
        <w:t>User Defined Field(s)</w:t>
      </w:r>
    </w:p>
    <w:p w14:paraId="638AA19C" w14:textId="77777777" w:rsidR="008123EC" w:rsidRDefault="008123EC" w:rsidP="008123EC">
      <w:pPr>
        <w:pStyle w:val="Firstline05"/>
        <w:suppressAutoHyphens/>
        <w:spacing w:line="240" w:lineRule="auto"/>
      </w:pPr>
    </w:p>
    <w:p w14:paraId="5866C200" w14:textId="77777777" w:rsidR="008123EC" w:rsidRDefault="008123EC" w:rsidP="008123EC">
      <w:pPr>
        <w:pStyle w:val="Firstline05"/>
        <w:suppressAutoHyphens/>
        <w:spacing w:line="240" w:lineRule="auto"/>
      </w:pPr>
      <w:r>
        <w:t>T</w:t>
      </w:r>
      <w:r w:rsidRPr="00AD3FC5">
        <w:t>able</w:t>
      </w:r>
      <w:r>
        <w:t xml:space="preserve"> 2</w:t>
      </w:r>
      <w:r w:rsidRPr="00AD3FC5">
        <w:t xml:space="preserve"> summarizes the biographic data that would be submitted to the Department under </w:t>
      </w:r>
      <w:r>
        <w:t>O</w:t>
      </w:r>
      <w:r w:rsidRPr="00AD3FC5">
        <w:t>ption 2.</w:t>
      </w:r>
    </w:p>
    <w:p w14:paraId="792D5C27" w14:textId="77777777" w:rsidR="008123EC" w:rsidRPr="00AE659F" w:rsidRDefault="008123EC" w:rsidP="008123EC">
      <w:pPr>
        <w:pStyle w:val="Firstline05"/>
        <w:suppressAutoHyphens/>
        <w:spacing w:line="240" w:lineRule="auto"/>
        <w:rPr>
          <w:bCs/>
        </w:rPr>
      </w:pPr>
    </w:p>
    <w:p w14:paraId="5C35426C" w14:textId="77777777" w:rsidR="008123EC" w:rsidRPr="00AE659F" w:rsidRDefault="008123EC" w:rsidP="008123EC">
      <w:pPr>
        <w:pStyle w:val="TableHeader"/>
        <w:suppressAutoHyphens/>
        <w:spacing w:line="240" w:lineRule="auto"/>
      </w:pPr>
      <w:r w:rsidRPr="00AE659F">
        <w:t>Table 2</w:t>
      </w:r>
      <w:r>
        <w:t>.</w:t>
      </w:r>
      <w:r w:rsidRPr="00AE659F">
        <w:t xml:space="preserve"> </w:t>
      </w:r>
      <w:r>
        <w:t xml:space="preserve">Required and Optional </w:t>
      </w:r>
      <w:r w:rsidRPr="00AE659F">
        <w:t xml:space="preserve">Data </w:t>
      </w:r>
      <w:r>
        <w:t xml:space="preserve">for an </w:t>
      </w:r>
      <w:r w:rsidRPr="00AE659F">
        <w:t>Affected Individual Under Option 2</w:t>
      </w:r>
    </w:p>
    <w:tbl>
      <w:tblPr>
        <w:tblW w:w="8856" w:type="dxa"/>
        <w:jc w:val="center"/>
        <w:tblLook w:val="00A0" w:firstRow="1" w:lastRow="0" w:firstColumn="1" w:lastColumn="0" w:noHBand="0" w:noVBand="0"/>
      </w:tblPr>
      <w:tblGrid>
        <w:gridCol w:w="1987"/>
        <w:gridCol w:w="6869"/>
      </w:tblGrid>
      <w:tr w:rsidR="008123EC" w:rsidRPr="008B5271" w14:paraId="39DE7D2E" w14:textId="77777777" w:rsidTr="00585594">
        <w:trPr>
          <w:cantSplit/>
          <w:trHeight w:val="315"/>
          <w:tblHeader/>
          <w:jc w:val="center"/>
        </w:trPr>
        <w:tc>
          <w:tcPr>
            <w:tcW w:w="8856" w:type="dxa"/>
            <w:gridSpan w:val="2"/>
            <w:tcBorders>
              <w:top w:val="single" w:sz="8" w:space="0" w:color="auto"/>
              <w:left w:val="single" w:sz="8" w:space="0" w:color="auto"/>
              <w:bottom w:val="nil"/>
              <w:right w:val="single" w:sz="8" w:space="0" w:color="auto"/>
            </w:tcBorders>
            <w:shd w:val="clear" w:color="auto" w:fill="auto"/>
            <w:vAlign w:val="center"/>
          </w:tcPr>
          <w:p w14:paraId="024205A0" w14:textId="77777777" w:rsidR="008123EC" w:rsidRPr="00AE659F" w:rsidRDefault="008123EC" w:rsidP="00585594">
            <w:pPr>
              <w:pStyle w:val="TableTopRow"/>
              <w:suppressAutoHyphens/>
            </w:pPr>
            <w:r w:rsidRPr="00AE659F">
              <w:t xml:space="preserve">Data Elements </w:t>
            </w:r>
            <w:r>
              <w:t>Submitted to the Department</w:t>
            </w:r>
          </w:p>
        </w:tc>
      </w:tr>
      <w:tr w:rsidR="008123EC" w:rsidRPr="008B5271" w14:paraId="2024890E" w14:textId="77777777" w:rsidTr="00585594">
        <w:trPr>
          <w:trHeight w:val="315"/>
          <w:jc w:val="center"/>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27750E14" w14:textId="77777777" w:rsidR="008123EC" w:rsidRPr="008B5271" w:rsidRDefault="008123EC" w:rsidP="00585594">
            <w:pPr>
              <w:pStyle w:val="TableContentLeft"/>
              <w:suppressAutoHyphens/>
            </w:pPr>
            <w:r w:rsidRPr="008B5271">
              <w:t>Full Name</w:t>
            </w:r>
          </w:p>
        </w:tc>
        <w:tc>
          <w:tcPr>
            <w:tcW w:w="6869" w:type="dxa"/>
            <w:tcBorders>
              <w:top w:val="single" w:sz="4" w:space="0" w:color="auto"/>
              <w:left w:val="nil"/>
              <w:bottom w:val="single" w:sz="4" w:space="0" w:color="auto"/>
              <w:right w:val="single" w:sz="4" w:space="0" w:color="auto"/>
            </w:tcBorders>
            <w:shd w:val="clear" w:color="auto" w:fill="auto"/>
            <w:vAlign w:val="center"/>
          </w:tcPr>
          <w:p w14:paraId="50A9E0DE" w14:textId="77777777" w:rsidR="008123EC" w:rsidRPr="008B5271" w:rsidRDefault="008123EC" w:rsidP="00585594">
            <w:pPr>
              <w:pStyle w:val="TableContentLeft"/>
              <w:suppressAutoHyphens/>
            </w:pPr>
            <w:r w:rsidRPr="008B5271">
              <w:t>Required</w:t>
            </w:r>
          </w:p>
        </w:tc>
      </w:tr>
      <w:tr w:rsidR="008123EC" w:rsidRPr="008B5271" w14:paraId="67C488A1" w14:textId="77777777" w:rsidTr="00585594">
        <w:trPr>
          <w:trHeight w:val="315"/>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34AAA0D9" w14:textId="77777777" w:rsidR="008123EC" w:rsidRPr="008B5271" w:rsidRDefault="008123EC" w:rsidP="00585594">
            <w:pPr>
              <w:pStyle w:val="TableContentLeft"/>
              <w:suppressAutoHyphens/>
            </w:pPr>
            <w:r w:rsidRPr="008B5271">
              <w:t>Date of Birth</w:t>
            </w:r>
          </w:p>
        </w:tc>
        <w:tc>
          <w:tcPr>
            <w:tcW w:w="6869" w:type="dxa"/>
            <w:tcBorders>
              <w:top w:val="nil"/>
              <w:left w:val="nil"/>
              <w:bottom w:val="single" w:sz="4" w:space="0" w:color="auto"/>
              <w:right w:val="single" w:sz="4" w:space="0" w:color="auto"/>
            </w:tcBorders>
            <w:shd w:val="clear" w:color="auto" w:fill="auto"/>
            <w:vAlign w:val="center"/>
          </w:tcPr>
          <w:p w14:paraId="10E9789B" w14:textId="77777777" w:rsidR="008123EC" w:rsidRPr="008B5271" w:rsidRDefault="008123EC" w:rsidP="00585594">
            <w:pPr>
              <w:pStyle w:val="TableContentLeft"/>
              <w:suppressAutoHyphens/>
            </w:pPr>
            <w:r w:rsidRPr="008B5271">
              <w:t>Required</w:t>
            </w:r>
          </w:p>
        </w:tc>
      </w:tr>
      <w:tr w:rsidR="008123EC" w:rsidRPr="008B5271" w14:paraId="73F7B73E" w14:textId="77777777" w:rsidTr="00585594">
        <w:trPr>
          <w:trHeight w:val="630"/>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5B1C3EB0" w14:textId="385BF6B8" w:rsidR="008123EC" w:rsidRPr="008B5271" w:rsidRDefault="008123EC" w:rsidP="00585594">
            <w:pPr>
              <w:pStyle w:val="TableContentLeft"/>
              <w:suppressAutoHyphens/>
            </w:pPr>
            <w:r w:rsidRPr="00D961D8">
              <w:t xml:space="preserve">Program-specific information or credential information, such as </w:t>
            </w:r>
            <w:r w:rsidR="00A77A12">
              <w:t xml:space="preserve">expiration date, </w:t>
            </w:r>
            <w:r w:rsidRPr="00D961D8">
              <w:t>unique number</w:t>
            </w:r>
            <w:r w:rsidR="00A77A12">
              <w:t>,</w:t>
            </w:r>
            <w:r w:rsidRPr="00D961D8">
              <w:t xml:space="preserve"> or issuing entity</w:t>
            </w:r>
          </w:p>
        </w:tc>
        <w:tc>
          <w:tcPr>
            <w:tcW w:w="6869" w:type="dxa"/>
            <w:tcBorders>
              <w:top w:val="nil"/>
              <w:left w:val="nil"/>
              <w:bottom w:val="single" w:sz="4" w:space="0" w:color="auto"/>
              <w:right w:val="single" w:sz="4" w:space="0" w:color="auto"/>
            </w:tcBorders>
            <w:shd w:val="clear" w:color="auto" w:fill="auto"/>
            <w:vAlign w:val="center"/>
          </w:tcPr>
          <w:p w14:paraId="659DDB6C" w14:textId="77777777" w:rsidR="008123EC" w:rsidRPr="008B5271" w:rsidRDefault="008123EC" w:rsidP="00585594">
            <w:pPr>
              <w:pStyle w:val="TableContentLeft"/>
              <w:suppressAutoHyphens/>
            </w:pPr>
            <w:r w:rsidRPr="008B5271">
              <w:t>Required</w:t>
            </w:r>
          </w:p>
        </w:tc>
      </w:tr>
      <w:tr w:rsidR="008123EC" w:rsidRPr="008B5271" w14:paraId="207D6053" w14:textId="77777777" w:rsidTr="00585594">
        <w:trPr>
          <w:trHeight w:val="315"/>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013DACC7" w14:textId="77777777" w:rsidR="008123EC" w:rsidRPr="008B5271" w:rsidRDefault="008123EC" w:rsidP="00585594">
            <w:pPr>
              <w:pStyle w:val="TableContentLeft"/>
              <w:suppressAutoHyphens/>
            </w:pPr>
            <w:r w:rsidRPr="008B5271">
              <w:t>Aliases</w:t>
            </w:r>
          </w:p>
        </w:tc>
        <w:tc>
          <w:tcPr>
            <w:tcW w:w="6869" w:type="dxa"/>
            <w:tcBorders>
              <w:top w:val="nil"/>
              <w:left w:val="nil"/>
              <w:bottom w:val="single" w:sz="4" w:space="0" w:color="auto"/>
              <w:right w:val="single" w:sz="4" w:space="0" w:color="auto"/>
            </w:tcBorders>
            <w:shd w:val="clear" w:color="auto" w:fill="auto"/>
            <w:vAlign w:val="center"/>
          </w:tcPr>
          <w:p w14:paraId="361A0D4F" w14:textId="77777777" w:rsidR="008123EC" w:rsidRPr="008B5271" w:rsidRDefault="008123EC" w:rsidP="00585594">
            <w:pPr>
              <w:pStyle w:val="TableContentLeft"/>
              <w:suppressAutoHyphens/>
            </w:pPr>
            <w:r w:rsidRPr="008B5271">
              <w:t>Optional</w:t>
            </w:r>
          </w:p>
        </w:tc>
      </w:tr>
      <w:tr w:rsidR="008123EC" w:rsidRPr="008B5271" w14:paraId="3A3CDBA1" w14:textId="77777777" w:rsidTr="00585594">
        <w:trPr>
          <w:trHeight w:val="315"/>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04E5202E" w14:textId="77777777" w:rsidR="008123EC" w:rsidRPr="008B5271" w:rsidRDefault="008123EC" w:rsidP="00585594">
            <w:pPr>
              <w:pStyle w:val="TableContentLeft"/>
              <w:suppressAutoHyphens/>
            </w:pPr>
            <w:r w:rsidRPr="008B5271">
              <w:t>Gender</w:t>
            </w:r>
          </w:p>
        </w:tc>
        <w:tc>
          <w:tcPr>
            <w:tcW w:w="6869" w:type="dxa"/>
            <w:tcBorders>
              <w:top w:val="nil"/>
              <w:left w:val="nil"/>
              <w:bottom w:val="single" w:sz="4" w:space="0" w:color="auto"/>
              <w:right w:val="single" w:sz="4" w:space="0" w:color="auto"/>
            </w:tcBorders>
            <w:shd w:val="clear" w:color="auto" w:fill="auto"/>
            <w:vAlign w:val="center"/>
          </w:tcPr>
          <w:p w14:paraId="651037E3" w14:textId="77777777" w:rsidR="008123EC" w:rsidRPr="008B5271" w:rsidRDefault="008123EC" w:rsidP="00585594">
            <w:pPr>
              <w:pStyle w:val="TableContentLeft"/>
              <w:suppressAutoHyphens/>
            </w:pPr>
            <w:r w:rsidRPr="008B5271">
              <w:t>Optional</w:t>
            </w:r>
          </w:p>
        </w:tc>
      </w:tr>
      <w:tr w:rsidR="008123EC" w:rsidRPr="008B5271" w14:paraId="2CAA2069" w14:textId="77777777" w:rsidTr="00585594">
        <w:trPr>
          <w:trHeight w:val="315"/>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4BC27300" w14:textId="77777777" w:rsidR="008123EC" w:rsidRPr="008B5271" w:rsidRDefault="008123EC" w:rsidP="00585594">
            <w:pPr>
              <w:pStyle w:val="TableContentLeft"/>
              <w:suppressAutoHyphens/>
            </w:pPr>
            <w:r w:rsidRPr="008B5271">
              <w:t>Place of Birth</w:t>
            </w:r>
          </w:p>
        </w:tc>
        <w:tc>
          <w:tcPr>
            <w:tcW w:w="6869" w:type="dxa"/>
            <w:tcBorders>
              <w:top w:val="nil"/>
              <w:left w:val="nil"/>
              <w:bottom w:val="single" w:sz="4" w:space="0" w:color="auto"/>
              <w:right w:val="single" w:sz="4" w:space="0" w:color="auto"/>
            </w:tcBorders>
            <w:shd w:val="clear" w:color="auto" w:fill="auto"/>
            <w:vAlign w:val="center"/>
          </w:tcPr>
          <w:p w14:paraId="7DC293B9" w14:textId="77777777" w:rsidR="008123EC" w:rsidRPr="008B5271" w:rsidRDefault="008123EC" w:rsidP="00585594">
            <w:pPr>
              <w:pStyle w:val="TableContentLeft"/>
              <w:suppressAutoHyphens/>
            </w:pPr>
            <w:r w:rsidRPr="008B5271">
              <w:t>Optional</w:t>
            </w:r>
          </w:p>
        </w:tc>
      </w:tr>
      <w:tr w:rsidR="008123EC" w:rsidRPr="008B5271" w14:paraId="2FA34F8B" w14:textId="77777777" w:rsidTr="00585594">
        <w:trPr>
          <w:trHeight w:val="315"/>
          <w:jc w:val="center"/>
        </w:trPr>
        <w:tc>
          <w:tcPr>
            <w:tcW w:w="1987" w:type="dxa"/>
            <w:tcBorders>
              <w:top w:val="nil"/>
              <w:left w:val="single" w:sz="4" w:space="0" w:color="auto"/>
              <w:bottom w:val="single" w:sz="4" w:space="0" w:color="auto"/>
              <w:right w:val="single" w:sz="4" w:space="0" w:color="auto"/>
            </w:tcBorders>
            <w:shd w:val="clear" w:color="auto" w:fill="auto"/>
            <w:vAlign w:val="center"/>
          </w:tcPr>
          <w:p w14:paraId="15AA2DE5" w14:textId="77777777" w:rsidR="008123EC" w:rsidRPr="008B5271" w:rsidRDefault="008123EC" w:rsidP="00585594">
            <w:pPr>
              <w:pStyle w:val="TableContentLeft"/>
              <w:suppressAutoHyphens/>
            </w:pPr>
            <w:r w:rsidRPr="008B5271">
              <w:t>Citizenship</w:t>
            </w:r>
          </w:p>
        </w:tc>
        <w:tc>
          <w:tcPr>
            <w:tcW w:w="6869" w:type="dxa"/>
            <w:tcBorders>
              <w:top w:val="nil"/>
              <w:left w:val="nil"/>
              <w:bottom w:val="single" w:sz="4" w:space="0" w:color="auto"/>
              <w:right w:val="single" w:sz="4" w:space="0" w:color="auto"/>
            </w:tcBorders>
            <w:shd w:val="clear" w:color="auto" w:fill="auto"/>
            <w:vAlign w:val="center"/>
          </w:tcPr>
          <w:p w14:paraId="3CAF6430" w14:textId="77777777" w:rsidR="008123EC" w:rsidRPr="008B5271" w:rsidRDefault="008123EC" w:rsidP="00585594">
            <w:pPr>
              <w:pStyle w:val="TableContentLeft"/>
              <w:suppressAutoHyphens/>
            </w:pPr>
            <w:r w:rsidRPr="008B5271">
              <w:t>Optional</w:t>
            </w:r>
          </w:p>
        </w:tc>
      </w:tr>
      <w:tr w:rsidR="008123EC" w:rsidRPr="008B5271" w14:paraId="0DB8C569" w14:textId="77777777" w:rsidTr="00585594">
        <w:trPr>
          <w:trHeight w:val="315"/>
          <w:jc w:val="center"/>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272F53A0" w14:textId="77777777" w:rsidR="008123EC" w:rsidRPr="008B5271" w:rsidRDefault="008123EC" w:rsidP="00585594">
            <w:pPr>
              <w:pStyle w:val="TableContentLeft"/>
              <w:suppressAutoHyphens/>
            </w:pPr>
            <w:r w:rsidRPr="008B5D9C">
              <w:t>User Defined Field(s)</w:t>
            </w:r>
          </w:p>
        </w:tc>
        <w:tc>
          <w:tcPr>
            <w:tcW w:w="6869" w:type="dxa"/>
            <w:tcBorders>
              <w:top w:val="single" w:sz="4" w:space="0" w:color="auto"/>
              <w:left w:val="nil"/>
              <w:bottom w:val="single" w:sz="4" w:space="0" w:color="auto"/>
              <w:right w:val="single" w:sz="4" w:space="0" w:color="auto"/>
            </w:tcBorders>
            <w:shd w:val="clear" w:color="auto" w:fill="auto"/>
            <w:vAlign w:val="center"/>
          </w:tcPr>
          <w:p w14:paraId="5DA7E994" w14:textId="77777777" w:rsidR="008123EC" w:rsidRPr="008B5271" w:rsidRDefault="008123EC" w:rsidP="00585594">
            <w:pPr>
              <w:pStyle w:val="TableContentLeft"/>
              <w:suppressAutoHyphens/>
            </w:pPr>
            <w:r w:rsidRPr="00AD3FC5">
              <w:t>Optional (Not used for vetting purposes)</w:t>
            </w:r>
          </w:p>
        </w:tc>
      </w:tr>
    </w:tbl>
    <w:p w14:paraId="0479FD2D" w14:textId="77777777" w:rsidR="008123EC" w:rsidRPr="00285B87" w:rsidRDefault="008123EC" w:rsidP="008123EC">
      <w:pPr>
        <w:pStyle w:val="Heading2"/>
        <w:suppressAutoHyphens/>
        <w:rPr>
          <w:rFonts w:ascii="Times New Roman" w:hAnsi="Times New Roman"/>
          <w:i w:val="0"/>
          <w:iCs w:val="0"/>
        </w:rPr>
      </w:pPr>
      <w:r w:rsidRPr="00285B87">
        <w:rPr>
          <w:rFonts w:ascii="Times New Roman" w:hAnsi="Times New Roman"/>
          <w:sz w:val="24"/>
          <w:szCs w:val="24"/>
        </w:rPr>
        <w:t>Other Information Collected</w:t>
      </w:r>
    </w:p>
    <w:p w14:paraId="56F26B62" w14:textId="77777777" w:rsidR="008123EC" w:rsidRPr="001A143A" w:rsidRDefault="008123EC" w:rsidP="008123EC">
      <w:pPr>
        <w:suppressAutoHyphens/>
      </w:pPr>
      <w:r w:rsidRPr="001A143A">
        <w:t xml:space="preserve">The Department may also contact a high-risk chemical facility or its designees to request additional information (e.g., visa information) pertaining to an affected individual in order to clarify suspected data errors or resolve potential matches (e.g., an affected individual has a common name). </w:t>
      </w:r>
      <w:r>
        <w:t xml:space="preserve"> </w:t>
      </w:r>
      <w:r w:rsidRPr="001A143A">
        <w:t>Such requests will not imply, and should not be construed to indicate, that an affected individual’s information has been confirmed as a match to a record of an individual with terrorist ties.</w:t>
      </w:r>
    </w:p>
    <w:p w14:paraId="2D0E65BF" w14:textId="77777777" w:rsidR="008123EC" w:rsidRDefault="008123EC" w:rsidP="008123EC">
      <w:pPr>
        <w:suppressAutoHyphens/>
      </w:pPr>
    </w:p>
    <w:p w14:paraId="10A68546" w14:textId="1C620D61" w:rsidR="008123EC" w:rsidRDefault="008123EC" w:rsidP="008123EC">
      <w:pPr>
        <w:suppressAutoHyphens/>
      </w:pPr>
      <w:r w:rsidRPr="001A143A">
        <w:t>The Department may also collect information provided by individuals or high-risk chemical facilities in support of any adjudication requests under Subpart C of the CFATS regulation,</w:t>
      </w:r>
      <w:r w:rsidRPr="001A143A">
        <w:rPr>
          <w:vertAlign w:val="superscript"/>
        </w:rPr>
        <w:footnoteReference w:id="4"/>
      </w:r>
      <w:r w:rsidRPr="001A143A">
        <w:t xml:space="preserve"> or in support of any other redress requests.</w:t>
      </w:r>
      <w:r w:rsidRPr="001A143A">
        <w:rPr>
          <w:vertAlign w:val="superscript"/>
        </w:rPr>
        <w:footnoteReference w:id="5"/>
      </w:r>
    </w:p>
    <w:p w14:paraId="6DB490D4" w14:textId="77777777" w:rsidR="008123EC" w:rsidRDefault="008123EC" w:rsidP="008123EC">
      <w:pPr>
        <w:suppressAutoHyphens/>
      </w:pPr>
    </w:p>
    <w:p w14:paraId="687F6C26" w14:textId="406BC7F9" w:rsidR="00794439" w:rsidRDefault="002A443E" w:rsidP="00285B87">
      <w:pPr>
        <w:suppressAutoHyphens/>
      </w:pPr>
      <w:r>
        <w:t>The information that is collected is used by the Department (1) to compare affected individuals information to known and suspected terrorist</w:t>
      </w:r>
      <w:r w:rsidR="00E76662">
        <w:t>s,</w:t>
      </w:r>
      <w:r>
        <w:t xml:space="preserve"> </w:t>
      </w:r>
      <w:r w:rsidR="00CC1C0D">
        <w:t>or</w:t>
      </w:r>
      <w:r>
        <w:t xml:space="preserve"> (2) to electronically verify and validate that the affected individual is enroll</w:t>
      </w:r>
      <w:r w:rsidR="00794439">
        <w:t>ed</w:t>
      </w:r>
      <w:r>
        <w:t xml:space="preserve"> in another DHS program</w:t>
      </w:r>
      <w:r w:rsidR="00794439">
        <w:t xml:space="preserve"> that compares an affected individual</w:t>
      </w:r>
      <w:r w:rsidR="00F81BA3">
        <w:t>’</w:t>
      </w:r>
      <w:r w:rsidR="00794439">
        <w:t>s information to known and suspected terrorist</w:t>
      </w:r>
      <w:r w:rsidR="00E76662">
        <w:t>s</w:t>
      </w:r>
      <w:r w:rsidR="00794439">
        <w:t xml:space="preserve">.  </w:t>
      </w:r>
    </w:p>
    <w:p w14:paraId="7B64E935" w14:textId="77777777" w:rsidR="00794439" w:rsidRDefault="00794439" w:rsidP="00285B87">
      <w:pPr>
        <w:suppressAutoHyphens/>
      </w:pPr>
    </w:p>
    <w:p w14:paraId="69539CAC" w14:textId="77777777" w:rsidR="00E7377C" w:rsidRDefault="00AA30EE" w:rsidP="00285B87">
      <w:pPr>
        <w:suppressAutoHyphens/>
      </w:pPr>
      <w:r w:rsidRPr="00156AFB">
        <w:t>The purpose of the CFATS Personnel Surety Program is to identify individuals with terrorist ties that have or are seeking access to the restricted areas and/or critical assets at the nation’s high-risk chemical facilities.</w:t>
      </w:r>
    </w:p>
    <w:p w14:paraId="47AE6D97" w14:textId="77777777" w:rsidR="00AA3F82" w:rsidRPr="00596A43" w:rsidRDefault="00AA3F82" w:rsidP="0007373B">
      <w:pPr>
        <w:tabs>
          <w:tab w:val="left" w:pos="-720"/>
        </w:tabs>
        <w:suppressAutoHyphens/>
        <w:jc w:val="both"/>
      </w:pPr>
    </w:p>
    <w:p w14:paraId="09AF2468"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1F146880" w14:textId="77777777" w:rsidR="00EB5E96" w:rsidRPr="00596A43" w:rsidRDefault="00EB5E96" w:rsidP="0007373B">
      <w:pPr>
        <w:tabs>
          <w:tab w:val="left" w:pos="-720"/>
        </w:tabs>
        <w:suppressAutoHyphens/>
        <w:jc w:val="both"/>
      </w:pPr>
    </w:p>
    <w:p w14:paraId="6CF9AB3F" w14:textId="77777777" w:rsidR="00E57C22" w:rsidRDefault="00794439" w:rsidP="00285B87">
      <w:pPr>
        <w:suppressAutoHyphens/>
      </w:pPr>
      <w:r>
        <w:t>The CFATS Personnel Surety Program</w:t>
      </w:r>
      <w:r w:rsidR="00E57C22">
        <w:t xml:space="preserve"> </w:t>
      </w:r>
      <w:r w:rsidR="00E57C22" w:rsidRPr="00102513">
        <w:t>use</w:t>
      </w:r>
      <w:r>
        <w:t>s</w:t>
      </w:r>
      <w:r w:rsidR="00E57C22">
        <w:t xml:space="preserve"> the Chemical Security Assessment Tool (CSAT)</w:t>
      </w:r>
      <w:r>
        <w:t xml:space="preserve">, which is available to high-risk chemical facilities and to their designees free of charge.  Using CSAT </w:t>
      </w:r>
      <w:r w:rsidR="00F81BA3">
        <w:t xml:space="preserve">allows the Department to </w:t>
      </w:r>
      <w:r w:rsidR="00E57C22" w:rsidRPr="00102513">
        <w:t>streamlin</w:t>
      </w:r>
      <w:r w:rsidR="00F81BA3">
        <w:t>e</w:t>
      </w:r>
      <w:r w:rsidR="00E57C22" w:rsidRPr="00102513">
        <w:t xml:space="preserve"> the </w:t>
      </w:r>
      <w:r w:rsidR="00E57C22">
        <w:t xml:space="preserve">data collection </w:t>
      </w:r>
      <w:r w:rsidR="00E57C22" w:rsidRPr="00102513">
        <w:t xml:space="preserve">process to meet CFATS regulatory obligations.  </w:t>
      </w:r>
    </w:p>
    <w:p w14:paraId="412B8B4B" w14:textId="77777777" w:rsidR="00AA3F82" w:rsidRPr="00596A43" w:rsidRDefault="00AA3F82" w:rsidP="0007373B">
      <w:pPr>
        <w:tabs>
          <w:tab w:val="left" w:pos="-720"/>
        </w:tabs>
        <w:suppressAutoHyphens/>
        <w:jc w:val="both"/>
      </w:pPr>
    </w:p>
    <w:p w14:paraId="3E8B9C61"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0CFB10CE" w14:textId="77777777" w:rsidR="00EB5E96" w:rsidRPr="00596A43" w:rsidRDefault="00EB5E96" w:rsidP="0007373B">
      <w:pPr>
        <w:tabs>
          <w:tab w:val="left" w:pos="-720"/>
        </w:tabs>
        <w:suppressAutoHyphens/>
        <w:jc w:val="both"/>
      </w:pPr>
      <w:r w:rsidRPr="00596A43">
        <w:fldChar w:fldCharType="begin"/>
      </w:r>
      <w:r w:rsidRPr="00596A43">
        <w:instrText>ADVANCE \R 0.95</w:instrText>
      </w:r>
      <w:r w:rsidRPr="00596A43">
        <w:fldChar w:fldCharType="end"/>
      </w:r>
    </w:p>
    <w:p w14:paraId="16C060F7" w14:textId="0D937C3C" w:rsidR="000137B0" w:rsidRDefault="00F81BA3" w:rsidP="00285B87">
      <w:pPr>
        <w:suppressAutoHyphens/>
        <w:spacing w:before="120" w:after="120" w:line="259" w:lineRule="auto"/>
      </w:pPr>
      <w:r w:rsidRPr="00F81BA3">
        <w:t xml:space="preserve">The Department has provided </w:t>
      </w:r>
      <w:r>
        <w:t>high-risk</w:t>
      </w:r>
      <w:r w:rsidRPr="00F81BA3">
        <w:t xml:space="preserve"> chemical facilities and affected individuals alternative options to avoid duplicate vetting when an affected individual is enrolled in another DHS </w:t>
      </w:r>
      <w:r w:rsidR="00E76662">
        <w:t>p</w:t>
      </w:r>
      <w:r w:rsidRPr="00F81BA3">
        <w:t>rogram that performs equivalent vetting for terrorist ties.  Specifically</w:t>
      </w:r>
      <w:r>
        <w:t>,</w:t>
      </w:r>
      <w:r w:rsidR="000137B0">
        <w:t xml:space="preserve"> </w:t>
      </w:r>
      <w:r>
        <w:t>a</w:t>
      </w:r>
      <w:r w:rsidR="000137B0">
        <w:t xml:space="preserve">vailable information is considered in the following ways: </w:t>
      </w:r>
    </w:p>
    <w:p w14:paraId="6D54AB0F" w14:textId="392F93C3" w:rsidR="00794439" w:rsidRPr="00576519" w:rsidRDefault="00794439" w:rsidP="00285B87">
      <w:pPr>
        <w:suppressAutoHyphens/>
        <w:spacing w:before="120" w:after="120" w:line="259" w:lineRule="auto"/>
      </w:pPr>
      <w:r w:rsidRPr="00576519">
        <w:t xml:space="preserve">Under Option 2, </w:t>
      </w:r>
      <w:r>
        <w:t>the Department</w:t>
      </w:r>
      <w:r w:rsidRPr="00576519">
        <w:t xml:space="preserve"> will not duplicate the vetting of affected individuals against the T</w:t>
      </w:r>
      <w:r w:rsidR="00DF0F37">
        <w:t xml:space="preserve">errorist </w:t>
      </w:r>
      <w:r w:rsidRPr="00576519">
        <w:t>S</w:t>
      </w:r>
      <w:r w:rsidR="00DF0F37">
        <w:t xml:space="preserve">creening </w:t>
      </w:r>
      <w:r w:rsidRPr="00576519">
        <w:t>D</w:t>
      </w:r>
      <w:r w:rsidR="00DF0F37">
        <w:t>atabase</w:t>
      </w:r>
      <w:r w:rsidRPr="00576519">
        <w:t xml:space="preserve"> under the CFATS Personnel Surety Program if </w:t>
      </w:r>
      <w:r>
        <w:t>the Department</w:t>
      </w:r>
      <w:r w:rsidRPr="00576519">
        <w:t xml:space="preserve"> can verify the affected individual’s enrollment in </w:t>
      </w:r>
      <w:r w:rsidR="00DF0F37">
        <w:t>another DHS</w:t>
      </w:r>
      <w:r w:rsidRPr="00576519">
        <w:t xml:space="preserve"> </w:t>
      </w:r>
      <w:r w:rsidR="00E76662">
        <w:t>p</w:t>
      </w:r>
      <w:r w:rsidRPr="00576519">
        <w:t>rogram.</w:t>
      </w:r>
    </w:p>
    <w:p w14:paraId="64335BA7" w14:textId="7C1FB26E" w:rsidR="00794439" w:rsidRDefault="00794439" w:rsidP="00285B87">
      <w:pPr>
        <w:suppressAutoHyphens/>
        <w:spacing w:before="120" w:after="120" w:line="259" w:lineRule="auto"/>
      </w:pPr>
      <w:r w:rsidRPr="00576519">
        <w:t xml:space="preserve">Under Option 3, </w:t>
      </w:r>
      <w:r w:rsidRPr="00576519">
        <w:rPr>
          <w:color w:val="000000"/>
        </w:rPr>
        <w:t xml:space="preserve">high-risk chemical facilities </w:t>
      </w:r>
      <w:r w:rsidRPr="00576519">
        <w:t xml:space="preserve">do </w:t>
      </w:r>
      <w:r w:rsidRPr="00576519">
        <w:rPr>
          <w:color w:val="000000"/>
        </w:rPr>
        <w:t>not need to submit information about affected individuals enrolled in the TWIC Program, if the facility opts to e</w:t>
      </w:r>
      <w:r w:rsidRPr="00576519">
        <w:t>lectronically verify and</w:t>
      </w:r>
      <w:r>
        <w:t xml:space="preserve"> validate TWICs through the use of</w:t>
      </w:r>
      <w:r w:rsidR="00E76662">
        <w:t xml:space="preserve"> a</w:t>
      </w:r>
      <w:r>
        <w:t xml:space="preserve"> TWIC</w:t>
      </w:r>
      <w:r w:rsidR="00E76662">
        <w:t xml:space="preserve"> reader</w:t>
      </w:r>
      <w:r>
        <w:t>.</w:t>
      </w:r>
    </w:p>
    <w:p w14:paraId="15A67D3E" w14:textId="670D1E38" w:rsidR="00EB5E96" w:rsidRDefault="00794439" w:rsidP="00E76662">
      <w:pPr>
        <w:suppressAutoHyphens/>
      </w:pPr>
      <w:r w:rsidRPr="00576519">
        <w:t>Under Option</w:t>
      </w:r>
      <w:r>
        <w:t xml:space="preserve"> 4</w:t>
      </w:r>
      <w:r w:rsidRPr="00576519">
        <w:t xml:space="preserve">, </w:t>
      </w:r>
      <w:r w:rsidRPr="00576519">
        <w:rPr>
          <w:color w:val="000000"/>
        </w:rPr>
        <w:t xml:space="preserve">high-risk chemical facilities </w:t>
      </w:r>
      <w:r>
        <w:rPr>
          <w:color w:val="000000"/>
        </w:rPr>
        <w:t>will</w:t>
      </w:r>
      <w:r w:rsidRPr="00576519">
        <w:t xml:space="preserve"> </w:t>
      </w:r>
      <w:r w:rsidRPr="00576519">
        <w:rPr>
          <w:color w:val="000000"/>
        </w:rPr>
        <w:t xml:space="preserve">not </w:t>
      </w:r>
      <w:r>
        <w:rPr>
          <w:color w:val="000000"/>
        </w:rPr>
        <w:t xml:space="preserve">be required </w:t>
      </w:r>
      <w:r w:rsidRPr="00576519">
        <w:rPr>
          <w:color w:val="000000"/>
        </w:rPr>
        <w:t xml:space="preserve">to submit information about affected individuals </w:t>
      </w:r>
      <w:r>
        <w:rPr>
          <w:color w:val="000000"/>
        </w:rPr>
        <w:t xml:space="preserve">when they choose to utilize </w:t>
      </w:r>
      <w:r>
        <w:t>Visual Verification of Credentials Conducting Periodic Vetting, in accordance with section 2102(d)(2)(B) of the Homeland Security Act.</w:t>
      </w:r>
    </w:p>
    <w:p w14:paraId="2F1F6EA5" w14:textId="77777777" w:rsidR="00AA3F82" w:rsidRPr="00596A43" w:rsidRDefault="00AA3F82" w:rsidP="0007373B">
      <w:pPr>
        <w:tabs>
          <w:tab w:val="left" w:pos="-720"/>
        </w:tabs>
        <w:suppressAutoHyphens/>
        <w:jc w:val="both"/>
      </w:pPr>
    </w:p>
    <w:p w14:paraId="63E46F7B"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7D4D38B6" w14:textId="77777777" w:rsidR="00E76662" w:rsidRDefault="00E76662" w:rsidP="00E76662">
      <w:pPr>
        <w:suppressAutoHyphens/>
      </w:pPr>
    </w:p>
    <w:p w14:paraId="4D959CB9" w14:textId="77777777" w:rsidR="0006796B" w:rsidRDefault="0006796B" w:rsidP="00285B87">
      <w:pPr>
        <w:suppressAutoHyphens/>
      </w:pPr>
      <w:r w:rsidRPr="0006796B">
        <w:t>While no unique methods will be used to minimize the burden to small businesses, small businesses have flexibility in their SSPs or ASPs to choose which security measures they will implement in order to comply with CFATS.</w:t>
      </w:r>
    </w:p>
    <w:p w14:paraId="7FAA3347" w14:textId="77777777" w:rsidR="0006796B" w:rsidRDefault="0006796B" w:rsidP="00285B87">
      <w:pPr>
        <w:suppressAutoHyphens/>
      </w:pPr>
    </w:p>
    <w:p w14:paraId="3F7E3556" w14:textId="77777777" w:rsidR="003C4DD7" w:rsidRDefault="0006796B" w:rsidP="00285B87">
      <w:pPr>
        <w:suppressAutoHyphens/>
      </w:pPr>
      <w:r w:rsidRPr="0006796B">
        <w:t>The Department also minimizes the data collected under Option 1 and Option 2 to ensure that it is the minimum necessary to conduct terrorist ties vetting/enrollment verification.  DHS minimizes the data collected from all entities, including small entities.</w:t>
      </w:r>
    </w:p>
    <w:p w14:paraId="67D0F889" w14:textId="77777777" w:rsidR="00AA3F82" w:rsidRPr="00596A43" w:rsidRDefault="00AA3F82" w:rsidP="0007373B">
      <w:pPr>
        <w:tabs>
          <w:tab w:val="left" w:pos="-720"/>
        </w:tabs>
        <w:suppressAutoHyphens/>
        <w:jc w:val="both"/>
        <w:rPr>
          <w:spacing w:val="-3"/>
        </w:rPr>
      </w:pPr>
    </w:p>
    <w:p w14:paraId="56DB86DF"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3ED1F074" w14:textId="77777777" w:rsidR="00EB5E96" w:rsidRPr="00596A43" w:rsidRDefault="00EB5E96" w:rsidP="0007373B">
      <w:pPr>
        <w:tabs>
          <w:tab w:val="left" w:pos="-720"/>
        </w:tabs>
        <w:suppressAutoHyphens/>
        <w:jc w:val="both"/>
        <w:rPr>
          <w:spacing w:val="-3"/>
        </w:rPr>
      </w:pPr>
    </w:p>
    <w:p w14:paraId="17026B02" w14:textId="77777777" w:rsidR="00E57C22" w:rsidRDefault="00DF0F37" w:rsidP="00285B87">
      <w:pPr>
        <w:suppressAutoHyphens/>
      </w:pPr>
      <w:r>
        <w:t>Reducing the frequency of information collection would prevent the Department from acquiring up-to-date information about who has or is seeking access to restricted areas and critical assets at high-risk chemical facilities.  This could prevent an adequate government response in the event that an affected individual with terrorist ties has or seeks to obtain such access.</w:t>
      </w:r>
      <w:r w:rsidR="00E57C22">
        <w:t xml:space="preserve"> </w:t>
      </w:r>
    </w:p>
    <w:p w14:paraId="52CFEF89" w14:textId="77777777" w:rsidR="00AA3F82" w:rsidRPr="00596A43" w:rsidRDefault="00AA3F82" w:rsidP="0007373B">
      <w:pPr>
        <w:tabs>
          <w:tab w:val="left" w:pos="-720"/>
        </w:tabs>
        <w:suppressAutoHyphens/>
        <w:jc w:val="both"/>
        <w:rPr>
          <w:spacing w:val="-3"/>
        </w:rPr>
      </w:pPr>
    </w:p>
    <w:p w14:paraId="0E25435F"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46965CDE" w14:textId="77777777" w:rsidR="00EB5E96" w:rsidRPr="00596A43" w:rsidRDefault="00EB5E96" w:rsidP="0007373B">
      <w:pPr>
        <w:shd w:val="pct25" w:color="auto" w:fill="FFFFFF"/>
        <w:tabs>
          <w:tab w:val="left" w:pos="-720"/>
        </w:tabs>
        <w:suppressAutoHyphens/>
        <w:jc w:val="both"/>
      </w:pPr>
    </w:p>
    <w:p w14:paraId="117583D2" w14:textId="77777777" w:rsidR="00EB5E96" w:rsidRPr="00596A43" w:rsidRDefault="00EB5E96" w:rsidP="0007373B">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644EDA97" w14:textId="77777777" w:rsidR="00EB5E96" w:rsidRPr="00596A43" w:rsidRDefault="00EB5E96" w:rsidP="00285B87">
      <w:pPr>
        <w:shd w:val="clear" w:color="auto" w:fill="C0C0C0"/>
        <w:suppressAutoHyphens/>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4024C1C0"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5D29B5FE" w14:textId="77777777" w:rsidR="00EB5E96" w:rsidRPr="00596A43" w:rsidRDefault="00EB5E96" w:rsidP="0007373B">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2437C9E9" w14:textId="77777777" w:rsidR="00EB5E96" w:rsidRPr="00596A43" w:rsidRDefault="00EB5E96" w:rsidP="0007373B">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0B49B40F" w14:textId="77777777" w:rsidR="00EB5E96" w:rsidRPr="00596A43" w:rsidRDefault="00EB5E96" w:rsidP="0007373B">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258D50B5" w14:textId="77777777" w:rsidR="00EB5E96" w:rsidRPr="00596A43" w:rsidRDefault="00EB5E96" w:rsidP="008E62FE">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395DFE81" w14:textId="77777777" w:rsidR="00EB5E96" w:rsidRPr="00596A43" w:rsidRDefault="00EB5E96" w:rsidP="008E62FE">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65F97107" w14:textId="77777777" w:rsidR="002B0649" w:rsidRPr="00596A43" w:rsidRDefault="00EB5E96" w:rsidP="008E62FE">
      <w:pPr>
        <w:tabs>
          <w:tab w:val="left" w:pos="-720"/>
        </w:tabs>
        <w:suppressAutoHyphens/>
        <w:ind w:left="144"/>
        <w:jc w:val="both"/>
      </w:pPr>
      <w:r w:rsidRPr="00596A43">
        <w:fldChar w:fldCharType="begin"/>
      </w:r>
      <w:r w:rsidRPr="00596A43">
        <w:instrText>ADVANCE \R 0.95</w:instrText>
      </w:r>
      <w:r w:rsidRPr="00596A43">
        <w:fldChar w:fldCharType="end"/>
      </w:r>
    </w:p>
    <w:p w14:paraId="2D721567" w14:textId="0CA7044B" w:rsidR="00AE41B7" w:rsidRDefault="0006796B" w:rsidP="00A74AA0">
      <w:pPr>
        <w:tabs>
          <w:tab w:val="left" w:pos="-720"/>
        </w:tabs>
        <w:suppressAutoHyphens/>
        <w:jc w:val="both"/>
      </w:pPr>
      <w:r>
        <w:t>The Department</w:t>
      </w:r>
      <w:r w:rsidRPr="0006796B">
        <w:t xml:space="preserve"> needs to know when new people gain access to restricted areas/critical assets so </w:t>
      </w:r>
      <w:r w:rsidR="00CF3345">
        <w:t>that the F</w:t>
      </w:r>
      <w:r w:rsidR="00871434" w:rsidRPr="0006796B">
        <w:t xml:space="preserve">ederal </w:t>
      </w:r>
      <w:r w:rsidR="00CF3345">
        <w:t>G</w:t>
      </w:r>
      <w:r w:rsidR="00871434" w:rsidRPr="0006796B">
        <w:t>overnment</w:t>
      </w:r>
      <w:r w:rsidRPr="0006796B">
        <w:t xml:space="preserve"> can check to see if they are terrorists</w:t>
      </w:r>
      <w:r w:rsidR="00CF3345">
        <w:t xml:space="preserve"> and, if so,</w:t>
      </w:r>
      <w:r w:rsidRPr="0006796B">
        <w:t xml:space="preserve"> the </w:t>
      </w:r>
      <w:r w:rsidR="008932AC">
        <w:t>F</w:t>
      </w:r>
      <w:r w:rsidRPr="0006796B">
        <w:t xml:space="preserve">ederal </w:t>
      </w:r>
      <w:r w:rsidR="008932AC">
        <w:t>G</w:t>
      </w:r>
      <w:r w:rsidRPr="0006796B">
        <w:t>overnment can take appropriate action.  It is important for the government to acquire this information on a rolling basis as new individuals gain access, rather than at fixed (quarterly) intervals, because risks of terrorist attacks materialize as soon as terrorists gain access</w:t>
      </w:r>
      <w:r w:rsidR="008932AC">
        <w:t>—</w:t>
      </w:r>
      <w:r w:rsidRPr="0006796B">
        <w:t>these risks cannot be effectively addressed at quarterly intervals.</w:t>
      </w:r>
    </w:p>
    <w:p w14:paraId="0CABCD90" w14:textId="77777777" w:rsidR="0006796B" w:rsidRPr="00596A43" w:rsidRDefault="0006796B" w:rsidP="00A74AA0">
      <w:pPr>
        <w:tabs>
          <w:tab w:val="left" w:pos="-720"/>
        </w:tabs>
        <w:suppressAutoHyphens/>
        <w:jc w:val="both"/>
      </w:pPr>
    </w:p>
    <w:p w14:paraId="35F9C92E" w14:textId="77777777" w:rsidR="00EB5E96" w:rsidRPr="00596A43" w:rsidRDefault="00EB5E96" w:rsidP="00BD25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4AA7C892" w14:textId="77777777" w:rsidR="00EB5E96" w:rsidRPr="00596A43" w:rsidRDefault="00EB5E96" w:rsidP="00BD25F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1C6613B" w14:textId="77777777" w:rsidR="00EB5E96" w:rsidRPr="00596A43" w:rsidRDefault="00EB5E96" w:rsidP="00BD25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28CE641" w14:textId="77777777" w:rsidR="00EB5E96" w:rsidRPr="00596A43" w:rsidRDefault="00EB5E96" w:rsidP="002535DA">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026A32F2" w14:textId="77777777" w:rsidR="00EB5E96" w:rsidRDefault="00EB5E96" w:rsidP="002535DA">
      <w:pPr>
        <w:tabs>
          <w:tab w:val="left" w:pos="-720"/>
        </w:tabs>
        <w:suppressAutoHyphens/>
        <w:jc w:val="both"/>
      </w:pPr>
      <w:r w:rsidRPr="00596A43">
        <w:fldChar w:fldCharType="begin"/>
      </w:r>
      <w:r w:rsidRPr="00596A43">
        <w:instrText>ADVANCE \R 0.95</w:instrText>
      </w:r>
      <w:r w:rsidRPr="00596A43">
        <w:fldChar w:fldCharType="end"/>
      </w:r>
    </w:p>
    <w:p w14:paraId="7DD16805" w14:textId="7EBCADA0" w:rsidR="00C76017" w:rsidRPr="00521672" w:rsidRDefault="00C76017" w:rsidP="00C76017">
      <w:pPr>
        <w:suppressAutoHyphens/>
        <w:jc w:val="center"/>
        <w:rPr>
          <w:b/>
        </w:rPr>
      </w:pPr>
      <w:r w:rsidRPr="00521672">
        <w:rPr>
          <w:b/>
        </w:rPr>
        <w:t xml:space="preserve">Table </w:t>
      </w:r>
      <w:r>
        <w:rPr>
          <w:b/>
        </w:rPr>
        <w:t>3.</w:t>
      </w:r>
      <w:r w:rsidRPr="00521672">
        <w:rPr>
          <w:b/>
        </w:rPr>
        <w:t xml:space="preserve"> </w:t>
      </w:r>
      <w:r>
        <w:rPr>
          <w:b/>
        </w:rPr>
        <w:t xml:space="preserve">Federal Register Notice Citations </w:t>
      </w:r>
    </w:p>
    <w:p w14:paraId="382BA7CE" w14:textId="77777777" w:rsidR="00C76017" w:rsidRPr="00596A43" w:rsidRDefault="00C76017" w:rsidP="002535DA">
      <w:pPr>
        <w:tabs>
          <w:tab w:val="left" w:pos="-720"/>
        </w:tab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14:paraId="32A8BC25" w14:textId="77777777" w:rsidTr="00D3411B">
        <w:tc>
          <w:tcPr>
            <w:tcW w:w="2268" w:type="dxa"/>
            <w:shd w:val="clear" w:color="auto" w:fill="000000"/>
          </w:tcPr>
          <w:p w14:paraId="3F310D89" w14:textId="77777777" w:rsidR="00B67664" w:rsidRDefault="00B67664" w:rsidP="00F622A2">
            <w:pPr>
              <w:tabs>
                <w:tab w:val="left" w:pos="-720"/>
              </w:tabs>
              <w:suppressAutoHyphens/>
              <w:jc w:val="both"/>
            </w:pPr>
          </w:p>
        </w:tc>
        <w:tc>
          <w:tcPr>
            <w:tcW w:w="1530" w:type="dxa"/>
            <w:shd w:val="clear" w:color="auto" w:fill="BFBFBF"/>
          </w:tcPr>
          <w:p w14:paraId="57E10D46" w14:textId="77777777" w:rsidR="00B67664" w:rsidRPr="00D3411B" w:rsidRDefault="00B67664" w:rsidP="00F622A2">
            <w:pPr>
              <w:tabs>
                <w:tab w:val="left" w:pos="-720"/>
              </w:tabs>
              <w:suppressAutoHyphens/>
              <w:jc w:val="center"/>
              <w:rPr>
                <w:b/>
              </w:rPr>
            </w:pPr>
            <w:r w:rsidRPr="00D3411B">
              <w:rPr>
                <w:b/>
              </w:rPr>
              <w:t>Date of Publication</w:t>
            </w:r>
          </w:p>
        </w:tc>
        <w:tc>
          <w:tcPr>
            <w:tcW w:w="1226" w:type="dxa"/>
            <w:shd w:val="clear" w:color="auto" w:fill="BFBFBF"/>
            <w:vAlign w:val="center"/>
          </w:tcPr>
          <w:p w14:paraId="6FC7125D" w14:textId="77777777" w:rsidR="00B67664" w:rsidRPr="00D3411B" w:rsidRDefault="00B67664" w:rsidP="00E7573C">
            <w:pPr>
              <w:tabs>
                <w:tab w:val="left" w:pos="-720"/>
              </w:tabs>
              <w:suppressAutoHyphens/>
              <w:jc w:val="center"/>
              <w:rPr>
                <w:b/>
              </w:rPr>
            </w:pPr>
            <w:r w:rsidRPr="00D3411B">
              <w:rPr>
                <w:b/>
              </w:rPr>
              <w:t>Volume #</w:t>
            </w:r>
          </w:p>
        </w:tc>
        <w:tc>
          <w:tcPr>
            <w:tcW w:w="1924" w:type="dxa"/>
            <w:shd w:val="clear" w:color="auto" w:fill="BFBFBF"/>
            <w:vAlign w:val="center"/>
          </w:tcPr>
          <w:p w14:paraId="4318751E" w14:textId="77777777" w:rsidR="00B67664" w:rsidRPr="00D3411B" w:rsidRDefault="00B67664" w:rsidP="00E7573C">
            <w:pPr>
              <w:tabs>
                <w:tab w:val="left" w:pos="-720"/>
              </w:tabs>
              <w:suppressAutoHyphens/>
              <w:jc w:val="center"/>
              <w:rPr>
                <w:b/>
              </w:rPr>
            </w:pPr>
            <w:r w:rsidRPr="00D3411B">
              <w:rPr>
                <w:b/>
              </w:rPr>
              <w:t>Number #</w:t>
            </w:r>
          </w:p>
        </w:tc>
        <w:tc>
          <w:tcPr>
            <w:tcW w:w="1216" w:type="dxa"/>
            <w:shd w:val="clear" w:color="auto" w:fill="BFBFBF"/>
            <w:vAlign w:val="center"/>
          </w:tcPr>
          <w:p w14:paraId="1C51D924" w14:textId="77777777" w:rsidR="00B67664" w:rsidRPr="00D3411B" w:rsidRDefault="00B67664" w:rsidP="00E52614">
            <w:pPr>
              <w:tabs>
                <w:tab w:val="left" w:pos="-720"/>
              </w:tabs>
              <w:suppressAutoHyphens/>
              <w:jc w:val="center"/>
              <w:rPr>
                <w:b/>
              </w:rPr>
            </w:pPr>
            <w:r w:rsidRPr="00D3411B">
              <w:rPr>
                <w:b/>
              </w:rPr>
              <w:t>Page #</w:t>
            </w:r>
          </w:p>
        </w:tc>
        <w:tc>
          <w:tcPr>
            <w:tcW w:w="1396" w:type="dxa"/>
            <w:shd w:val="clear" w:color="auto" w:fill="BFBFBF"/>
          </w:tcPr>
          <w:p w14:paraId="0B03FA5F" w14:textId="77777777" w:rsidR="00B67664" w:rsidRPr="00D3411B" w:rsidRDefault="00B67664" w:rsidP="008E2190">
            <w:pPr>
              <w:tabs>
                <w:tab w:val="left" w:pos="-720"/>
              </w:tabs>
              <w:suppressAutoHyphens/>
              <w:jc w:val="center"/>
              <w:rPr>
                <w:b/>
              </w:rPr>
            </w:pPr>
            <w:r w:rsidRPr="00D3411B">
              <w:rPr>
                <w:b/>
              </w:rPr>
              <w:t>Comments Addressed</w:t>
            </w:r>
          </w:p>
        </w:tc>
      </w:tr>
      <w:tr w:rsidR="00B67664" w14:paraId="3A5E7A29" w14:textId="77777777" w:rsidTr="006F3A0C">
        <w:tc>
          <w:tcPr>
            <w:tcW w:w="2268" w:type="dxa"/>
          </w:tcPr>
          <w:p w14:paraId="0E46A2AC" w14:textId="77777777" w:rsidR="00B67664" w:rsidRPr="00D3411B" w:rsidRDefault="00B67664" w:rsidP="0007373B">
            <w:pPr>
              <w:tabs>
                <w:tab w:val="left" w:pos="-720"/>
              </w:tabs>
              <w:suppressAutoHyphens/>
              <w:rPr>
                <w:i/>
              </w:rPr>
            </w:pPr>
            <w:r w:rsidRPr="00D3411B">
              <w:rPr>
                <w:i/>
              </w:rPr>
              <w:t>60Day Federal Register Notice:</w:t>
            </w:r>
          </w:p>
        </w:tc>
        <w:tc>
          <w:tcPr>
            <w:tcW w:w="1530" w:type="dxa"/>
            <w:vAlign w:val="center"/>
          </w:tcPr>
          <w:p w14:paraId="46DB620C" w14:textId="0B73A7CD" w:rsidR="00B67664" w:rsidRDefault="00801C4A" w:rsidP="006F3A0C">
            <w:pPr>
              <w:tabs>
                <w:tab w:val="left" w:pos="-720"/>
              </w:tabs>
              <w:suppressAutoHyphens/>
              <w:jc w:val="center"/>
            </w:pPr>
            <w:r>
              <w:t>December 27, 2017</w:t>
            </w:r>
          </w:p>
        </w:tc>
        <w:tc>
          <w:tcPr>
            <w:tcW w:w="1226" w:type="dxa"/>
            <w:vAlign w:val="center"/>
          </w:tcPr>
          <w:p w14:paraId="694D3DB9" w14:textId="161F0FC2" w:rsidR="00B67664" w:rsidRDefault="00801C4A" w:rsidP="006F3A0C">
            <w:pPr>
              <w:tabs>
                <w:tab w:val="left" w:pos="-720"/>
              </w:tabs>
              <w:suppressAutoHyphens/>
              <w:jc w:val="center"/>
            </w:pPr>
            <w:r>
              <w:t>82</w:t>
            </w:r>
          </w:p>
        </w:tc>
        <w:tc>
          <w:tcPr>
            <w:tcW w:w="1924" w:type="dxa"/>
            <w:vAlign w:val="center"/>
          </w:tcPr>
          <w:p w14:paraId="5345DA77" w14:textId="31027F2D" w:rsidR="00B67664" w:rsidRDefault="00801C4A" w:rsidP="006F3A0C">
            <w:pPr>
              <w:tabs>
                <w:tab w:val="left" w:pos="-720"/>
              </w:tabs>
              <w:suppressAutoHyphens/>
              <w:jc w:val="center"/>
            </w:pPr>
            <w:r>
              <w:t>247</w:t>
            </w:r>
          </w:p>
        </w:tc>
        <w:tc>
          <w:tcPr>
            <w:tcW w:w="1216" w:type="dxa"/>
            <w:vAlign w:val="center"/>
          </w:tcPr>
          <w:p w14:paraId="39DAF587" w14:textId="23CC9917" w:rsidR="00B67664" w:rsidRDefault="00653708" w:rsidP="00653708">
            <w:pPr>
              <w:tabs>
                <w:tab w:val="left" w:pos="-720"/>
              </w:tabs>
              <w:suppressAutoHyphens/>
              <w:jc w:val="center"/>
            </w:pPr>
            <w:r>
              <w:t>61312</w:t>
            </w:r>
            <w:r w:rsidR="000B1A14">
              <w:t xml:space="preserve"> </w:t>
            </w:r>
            <w:r w:rsidR="00801C4A">
              <w:t>-61317</w:t>
            </w:r>
          </w:p>
        </w:tc>
        <w:tc>
          <w:tcPr>
            <w:tcW w:w="1396" w:type="dxa"/>
            <w:vAlign w:val="center"/>
          </w:tcPr>
          <w:p w14:paraId="2009FDE8" w14:textId="7B19D953" w:rsidR="00B67664" w:rsidRDefault="00B7475F" w:rsidP="00B7475F">
            <w:pPr>
              <w:tabs>
                <w:tab w:val="left" w:pos="-720"/>
              </w:tabs>
              <w:suppressAutoHyphens/>
              <w:jc w:val="center"/>
            </w:pPr>
            <w:r>
              <w:t>28</w:t>
            </w:r>
          </w:p>
        </w:tc>
      </w:tr>
      <w:tr w:rsidR="00B67664" w14:paraId="78D8CC08" w14:textId="77777777" w:rsidTr="006F3A0C">
        <w:tc>
          <w:tcPr>
            <w:tcW w:w="2268" w:type="dxa"/>
            <w:vAlign w:val="center"/>
          </w:tcPr>
          <w:p w14:paraId="5581384E" w14:textId="77777777" w:rsidR="00B67664" w:rsidRPr="006F3A0C" w:rsidRDefault="00B67664" w:rsidP="006F3A0C">
            <w:pPr>
              <w:tabs>
                <w:tab w:val="left" w:pos="-720"/>
              </w:tabs>
              <w:suppressAutoHyphens/>
              <w:jc w:val="center"/>
            </w:pPr>
            <w:r w:rsidRPr="006F3A0C">
              <w:rPr>
                <w:i/>
              </w:rPr>
              <w:t>30-Day Federal Register Notice</w:t>
            </w:r>
          </w:p>
        </w:tc>
        <w:tc>
          <w:tcPr>
            <w:tcW w:w="1530" w:type="dxa"/>
            <w:vAlign w:val="center"/>
          </w:tcPr>
          <w:p w14:paraId="5959F821" w14:textId="18342A4C" w:rsidR="00B67664" w:rsidRPr="006F3A0C" w:rsidRDefault="006F3A0C" w:rsidP="006F3A0C">
            <w:pPr>
              <w:tabs>
                <w:tab w:val="left" w:pos="-720"/>
              </w:tabs>
              <w:suppressAutoHyphens/>
              <w:jc w:val="center"/>
            </w:pPr>
            <w:r w:rsidRPr="006F3A0C">
              <w:t>June 18, 2018</w:t>
            </w:r>
          </w:p>
        </w:tc>
        <w:tc>
          <w:tcPr>
            <w:tcW w:w="1226" w:type="dxa"/>
            <w:vAlign w:val="center"/>
          </w:tcPr>
          <w:p w14:paraId="6B90E420" w14:textId="244756D7" w:rsidR="00B67664" w:rsidRPr="006F3A0C" w:rsidRDefault="006F3A0C" w:rsidP="006F3A0C">
            <w:pPr>
              <w:tabs>
                <w:tab w:val="left" w:pos="-720"/>
              </w:tabs>
              <w:suppressAutoHyphens/>
              <w:jc w:val="center"/>
            </w:pPr>
            <w:r w:rsidRPr="006F3A0C">
              <w:t>83</w:t>
            </w:r>
          </w:p>
        </w:tc>
        <w:tc>
          <w:tcPr>
            <w:tcW w:w="1924" w:type="dxa"/>
            <w:vAlign w:val="center"/>
          </w:tcPr>
          <w:p w14:paraId="308C8D2C" w14:textId="5FDB368B" w:rsidR="00B67664" w:rsidRPr="006F3A0C" w:rsidRDefault="006F3A0C" w:rsidP="006F3A0C">
            <w:pPr>
              <w:tabs>
                <w:tab w:val="left" w:pos="-720"/>
              </w:tabs>
              <w:suppressAutoHyphens/>
              <w:jc w:val="center"/>
            </w:pPr>
            <w:r w:rsidRPr="006F3A0C">
              <w:t>117</w:t>
            </w:r>
          </w:p>
        </w:tc>
        <w:tc>
          <w:tcPr>
            <w:tcW w:w="1216" w:type="dxa"/>
            <w:vAlign w:val="center"/>
          </w:tcPr>
          <w:p w14:paraId="1B109A0B" w14:textId="5B5BC2F2" w:rsidR="00B67664" w:rsidRPr="006F3A0C" w:rsidRDefault="006F3A0C" w:rsidP="006F3A0C">
            <w:pPr>
              <w:tabs>
                <w:tab w:val="left" w:pos="-720"/>
              </w:tabs>
              <w:suppressAutoHyphens/>
              <w:jc w:val="center"/>
            </w:pPr>
            <w:r w:rsidRPr="006F3A0C">
              <w:t>28244 - 28251</w:t>
            </w:r>
          </w:p>
        </w:tc>
        <w:tc>
          <w:tcPr>
            <w:tcW w:w="1396" w:type="dxa"/>
            <w:vAlign w:val="center"/>
          </w:tcPr>
          <w:p w14:paraId="66F24F4B" w14:textId="16CA1E4F" w:rsidR="00B67664" w:rsidRPr="006F3A0C" w:rsidRDefault="006F3A0C" w:rsidP="006F3A0C">
            <w:pPr>
              <w:tabs>
                <w:tab w:val="left" w:pos="-720"/>
              </w:tabs>
              <w:suppressAutoHyphens/>
              <w:jc w:val="center"/>
            </w:pPr>
            <w:r w:rsidRPr="006F3A0C">
              <w:t>0</w:t>
            </w:r>
          </w:p>
        </w:tc>
      </w:tr>
    </w:tbl>
    <w:p w14:paraId="30183C4E" w14:textId="77777777" w:rsidR="00B67664" w:rsidRDefault="00B67664" w:rsidP="0007373B">
      <w:pPr>
        <w:tabs>
          <w:tab w:val="left" w:pos="-720"/>
        </w:tabs>
        <w:suppressAutoHyphens/>
        <w:jc w:val="both"/>
      </w:pPr>
    </w:p>
    <w:p w14:paraId="2CCE374E" w14:textId="6BD585B8" w:rsidR="001B06B5" w:rsidRDefault="001B06B5" w:rsidP="00285B87">
      <w:pPr>
        <w:suppressAutoHyphens/>
      </w:pPr>
      <w:r w:rsidRPr="007C0C35">
        <w:t>A 60-day public notice for comments was publi</w:t>
      </w:r>
      <w:r>
        <w:t xml:space="preserve">shed in the Federal Register on </w:t>
      </w:r>
      <w:r w:rsidR="00801C4A">
        <w:t>December</w:t>
      </w:r>
      <w:r w:rsidR="00DF0F37">
        <w:t xml:space="preserve"> </w:t>
      </w:r>
      <w:r w:rsidR="00801C4A">
        <w:t>27</w:t>
      </w:r>
      <w:r w:rsidRPr="007C0C35">
        <w:t>, 20</w:t>
      </w:r>
      <w:r>
        <w:t>1</w:t>
      </w:r>
      <w:r w:rsidR="00DF0F37">
        <w:t>7</w:t>
      </w:r>
      <w:r>
        <w:t>,</w:t>
      </w:r>
      <w:r w:rsidRPr="007C0C35">
        <w:t xml:space="preserve"> at </w:t>
      </w:r>
      <w:r w:rsidR="00801C4A" w:rsidRPr="00801C4A">
        <w:t>82</w:t>
      </w:r>
      <w:r w:rsidR="00BA706B" w:rsidRPr="00801C4A">
        <w:t xml:space="preserve"> </w:t>
      </w:r>
      <w:r w:rsidRPr="00801C4A">
        <w:t xml:space="preserve">FR </w:t>
      </w:r>
      <w:r w:rsidR="00801C4A" w:rsidRPr="00801C4A">
        <w:t>61312</w:t>
      </w:r>
      <w:r w:rsidR="00BA706B">
        <w:t xml:space="preserve"> </w:t>
      </w:r>
      <w:r>
        <w:t>and specifically solicited comments on four standard questions.  The D</w:t>
      </w:r>
      <w:r w:rsidR="002B3D0A">
        <w:t>e</w:t>
      </w:r>
      <w:r>
        <w:t xml:space="preserve">partment received </w:t>
      </w:r>
      <w:r w:rsidR="00801C4A">
        <w:t>2</w:t>
      </w:r>
      <w:r w:rsidR="00FB4A8B">
        <w:t>8</w:t>
      </w:r>
      <w:r w:rsidR="00DF0F37">
        <w:t xml:space="preserve"> </w:t>
      </w:r>
      <w:r>
        <w:t xml:space="preserve">comments submitted by </w:t>
      </w:r>
      <w:r w:rsidR="00801C4A">
        <w:t>seven</w:t>
      </w:r>
      <w:r w:rsidR="00DF0F37" w:rsidRPr="00E52FD8">
        <w:t xml:space="preserve"> </w:t>
      </w:r>
      <w:r w:rsidRPr="00E52FD8">
        <w:t>commenters</w:t>
      </w:r>
      <w:r>
        <w:t xml:space="preserve">, which may be found on </w:t>
      </w:r>
      <w:hyperlink r:id="rId14" w:history="1">
        <w:r w:rsidRPr="00ED76C0">
          <w:rPr>
            <w:rStyle w:val="Hyperlink"/>
          </w:rPr>
          <w:t>www.regulations.gov</w:t>
        </w:r>
      </w:hyperlink>
      <w:r>
        <w:t xml:space="preserve"> under Docket ID </w:t>
      </w:r>
      <w:r w:rsidRPr="00801C4A">
        <w:t>DHS-201</w:t>
      </w:r>
      <w:r w:rsidR="00BA706B" w:rsidRPr="00801C4A">
        <w:t>7</w:t>
      </w:r>
      <w:r w:rsidRPr="00801C4A">
        <w:t>-</w:t>
      </w:r>
      <w:r w:rsidR="005643B2">
        <w:t>0037</w:t>
      </w:r>
      <w:r>
        <w:t xml:space="preserve">.  The </w:t>
      </w:r>
      <w:r w:rsidR="00801C4A">
        <w:t>seven</w:t>
      </w:r>
      <w:r w:rsidR="00DF0F37">
        <w:t xml:space="preserve"> </w:t>
      </w:r>
      <w:r>
        <w:t xml:space="preserve">commenters were </w:t>
      </w:r>
      <w:r w:rsidR="00801C4A" w:rsidRPr="00801C4A">
        <w:t>all</w:t>
      </w:r>
      <w:r w:rsidRPr="00801C4A">
        <w:t xml:space="preserve"> industry association.</w:t>
      </w:r>
      <w:r>
        <w:t xml:space="preserve"> </w:t>
      </w:r>
      <w:r w:rsidRPr="00D523A7">
        <w:t>The Department’s responses were included in a Paperwork Reduction Act (PRA) 30-day Federal Register notice and are briefly summarized below:</w:t>
      </w:r>
      <w:r>
        <w:t xml:space="preserve">  </w:t>
      </w:r>
    </w:p>
    <w:p w14:paraId="41B38353" w14:textId="0F9B5A0C" w:rsidR="00D523A7" w:rsidRPr="00ED2740" w:rsidRDefault="00D523A7" w:rsidP="006B35FE">
      <w:pPr>
        <w:pStyle w:val="ListParagraph"/>
        <w:numPr>
          <w:ilvl w:val="0"/>
          <w:numId w:val="35"/>
        </w:numPr>
        <w:suppressAutoHyphens/>
        <w:spacing w:before="120" w:after="120" w:line="259" w:lineRule="auto"/>
        <w:rPr>
          <w:rFonts w:ascii="Times New Roman" w:hAnsi="Times New Roman"/>
          <w:color w:val="000000" w:themeColor="text1"/>
        </w:rPr>
      </w:pPr>
      <w:r w:rsidRPr="00ED2740">
        <w:rPr>
          <w:rFonts w:ascii="Times New Roman" w:hAnsi="Times New Roman"/>
          <w:color w:val="000000" w:themeColor="text1"/>
        </w:rPr>
        <w:t>The Department received six comments related to whether the proposed collection is necessary for the proper performance of the functions of the agency.</w:t>
      </w:r>
      <w:r w:rsidR="00666B35" w:rsidRPr="00ED2740">
        <w:rPr>
          <w:rFonts w:ascii="Times New Roman" w:hAnsi="Times New Roman"/>
          <w:color w:val="000000" w:themeColor="text1"/>
        </w:rPr>
        <w:t xml:space="preserve"> Among the comments were comments/suggestions</w:t>
      </w:r>
      <w:r w:rsidR="007E7793" w:rsidRPr="00ED2740">
        <w:rPr>
          <w:rFonts w:ascii="Times New Roman" w:hAnsi="Times New Roman"/>
          <w:color w:val="000000" w:themeColor="text1"/>
        </w:rPr>
        <w:t>,</w:t>
      </w:r>
      <w:r w:rsidR="00666B35" w:rsidRPr="00ED2740">
        <w:rPr>
          <w:rFonts w:ascii="Times New Roman" w:hAnsi="Times New Roman"/>
          <w:color w:val="000000" w:themeColor="text1"/>
        </w:rPr>
        <w:t xml:space="preserve"> </w:t>
      </w:r>
      <w:r w:rsidR="004C7732" w:rsidRPr="00ED2740">
        <w:rPr>
          <w:rFonts w:ascii="Times New Roman" w:hAnsi="Times New Roman"/>
          <w:color w:val="000000" w:themeColor="text1"/>
        </w:rPr>
        <w:t>from five industry associations</w:t>
      </w:r>
      <w:r w:rsidR="007E7793" w:rsidRPr="00ED2740">
        <w:rPr>
          <w:rFonts w:ascii="Times New Roman" w:hAnsi="Times New Roman"/>
          <w:color w:val="000000" w:themeColor="text1"/>
        </w:rPr>
        <w:t>,</w:t>
      </w:r>
      <w:r w:rsidR="004C7732" w:rsidRPr="00ED2740">
        <w:rPr>
          <w:rFonts w:ascii="Times New Roman" w:hAnsi="Times New Roman"/>
          <w:color w:val="000000" w:themeColor="text1"/>
        </w:rPr>
        <w:t xml:space="preserve"> </w:t>
      </w:r>
      <w:r w:rsidR="00666B35" w:rsidRPr="00ED2740">
        <w:rPr>
          <w:rFonts w:ascii="Times New Roman" w:hAnsi="Times New Roman"/>
          <w:color w:val="000000" w:themeColor="text1"/>
        </w:rPr>
        <w:t xml:space="preserve">that (1) the Department should conduct additional analysis on the Personnel Surety Program (PSP) prior to expanding the collection to Tier 3 and 4 facilities; and (2) that certain groups, specifically railroad employees, are not within the scope of CFATS or the collection. The Department responded that the Department has reviewed how Tier 1 and Tier 2 covered chemical facilities have implemented checks for terrorist ties and used this information to inform this collection. The Department also responded that </w:t>
      </w:r>
      <w:r w:rsidR="00F44CCA" w:rsidRPr="00ED2740">
        <w:rPr>
          <w:rFonts w:ascii="Times New Roman" w:hAnsi="Times New Roman"/>
          <w:color w:val="000000" w:themeColor="text1"/>
        </w:rPr>
        <w:t xml:space="preserve">DHS considered all public comments in 2007 in coming to the reasoned decision to vet affected individuals for terrorist ties at all tiered facilities as part of the CFATS’s program. Lastly, the Department responded that railroad employees would fall within the scope of the Personnel Surety Program if a high-risk chemical facility defines railroad employees as affected individuals. The Department did not adjust the ICR as a result of these comments. </w:t>
      </w:r>
    </w:p>
    <w:p w14:paraId="11EB4258" w14:textId="6932795E" w:rsidR="00D523A7" w:rsidRPr="00ED2740" w:rsidRDefault="00D523A7" w:rsidP="006B35FE">
      <w:pPr>
        <w:pStyle w:val="ListParagraph"/>
        <w:numPr>
          <w:ilvl w:val="0"/>
          <w:numId w:val="35"/>
        </w:numPr>
        <w:suppressAutoHyphens/>
        <w:spacing w:before="120" w:after="120" w:line="259" w:lineRule="auto"/>
        <w:rPr>
          <w:rFonts w:ascii="Times New Roman" w:hAnsi="Times New Roman"/>
          <w:color w:val="000000" w:themeColor="text1"/>
        </w:rPr>
      </w:pPr>
      <w:r w:rsidRPr="00ED2740">
        <w:rPr>
          <w:rFonts w:ascii="Times New Roman" w:hAnsi="Times New Roman"/>
          <w:color w:val="000000" w:themeColor="text1"/>
        </w:rPr>
        <w:t xml:space="preserve">The Department received nine comments related to the accuracy of the agency’s estimate of the burden of the proposed collection of </w:t>
      </w:r>
      <w:r w:rsidR="00CC79E5" w:rsidRPr="00ED2740">
        <w:rPr>
          <w:rFonts w:ascii="Times New Roman" w:hAnsi="Times New Roman"/>
          <w:color w:val="000000" w:themeColor="text1"/>
        </w:rPr>
        <w:t>information. Among the comments were comments/suggestions</w:t>
      </w:r>
      <w:r w:rsidR="007E7793" w:rsidRPr="00ED2740">
        <w:rPr>
          <w:rFonts w:ascii="Times New Roman" w:hAnsi="Times New Roman"/>
          <w:color w:val="000000" w:themeColor="text1"/>
        </w:rPr>
        <w:t>,</w:t>
      </w:r>
      <w:r w:rsidR="00CC79E5" w:rsidRPr="00ED2740">
        <w:rPr>
          <w:rFonts w:ascii="Times New Roman" w:hAnsi="Times New Roman"/>
          <w:color w:val="000000" w:themeColor="text1"/>
        </w:rPr>
        <w:t xml:space="preserve"> from four industry associations</w:t>
      </w:r>
      <w:r w:rsidR="007E7793" w:rsidRPr="00ED2740">
        <w:rPr>
          <w:rFonts w:ascii="Times New Roman" w:hAnsi="Times New Roman"/>
          <w:color w:val="000000" w:themeColor="text1"/>
        </w:rPr>
        <w:t>,</w:t>
      </w:r>
      <w:r w:rsidR="00CC79E5" w:rsidRPr="00ED2740">
        <w:rPr>
          <w:rFonts w:ascii="Times New Roman" w:hAnsi="Times New Roman"/>
          <w:color w:val="000000" w:themeColor="text1"/>
        </w:rPr>
        <w:t xml:space="preserve"> that</w:t>
      </w:r>
      <w:r w:rsidR="007E7793" w:rsidRPr="00ED2740">
        <w:rPr>
          <w:rFonts w:ascii="Times New Roman" w:hAnsi="Times New Roman"/>
          <w:color w:val="000000" w:themeColor="text1"/>
        </w:rPr>
        <w:t xml:space="preserve"> (1) it is not clear upon what information the assumptions for burden were based; (2</w:t>
      </w:r>
      <w:r w:rsidR="00CC79E5" w:rsidRPr="00ED2740">
        <w:rPr>
          <w:rFonts w:ascii="Times New Roman" w:hAnsi="Times New Roman"/>
          <w:color w:val="000000" w:themeColor="text1"/>
        </w:rPr>
        <w:t>) the Department underestimated the burden as it relates to season</w:t>
      </w:r>
      <w:r w:rsidR="007E7793" w:rsidRPr="00ED2740">
        <w:rPr>
          <w:rFonts w:ascii="Times New Roman" w:hAnsi="Times New Roman"/>
          <w:color w:val="000000" w:themeColor="text1"/>
        </w:rPr>
        <w:t>al and contract employees; (3) the time per respondent does not account for acquiring the necessary personal identifiable information to compare against the Terrorist Screening Database (TSDB)</w:t>
      </w:r>
      <w:r w:rsidR="00B10A3D" w:rsidRPr="00ED2740">
        <w:rPr>
          <w:rFonts w:ascii="Times New Roman" w:hAnsi="Times New Roman"/>
          <w:color w:val="000000" w:themeColor="text1"/>
        </w:rPr>
        <w:t xml:space="preserve"> or creating a Chemical Security Assessment Tool (CSAT) account</w:t>
      </w:r>
      <w:r w:rsidR="007E7793" w:rsidRPr="00ED2740">
        <w:rPr>
          <w:rFonts w:ascii="Times New Roman" w:hAnsi="Times New Roman"/>
          <w:color w:val="000000" w:themeColor="text1"/>
        </w:rPr>
        <w:t xml:space="preserve">; (4) the Personnel Surety Program is being implemented on a facility-by-facility basis rather than a company-wide basis; </w:t>
      </w:r>
      <w:r w:rsidR="00B10A3D" w:rsidRPr="00ED2740">
        <w:rPr>
          <w:rFonts w:ascii="Times New Roman" w:hAnsi="Times New Roman"/>
          <w:color w:val="000000" w:themeColor="text1"/>
        </w:rPr>
        <w:t xml:space="preserve">and </w:t>
      </w:r>
      <w:r w:rsidR="007E7793" w:rsidRPr="00ED2740">
        <w:rPr>
          <w:rFonts w:ascii="Times New Roman" w:hAnsi="Times New Roman"/>
          <w:color w:val="000000" w:themeColor="text1"/>
        </w:rPr>
        <w:t xml:space="preserve">(5) the estimated time per respondent does not include time necessary to notify employees about the PSP requirement. The Department responded that the assumptions </w:t>
      </w:r>
      <w:r w:rsidR="004365BB" w:rsidRPr="00ED2740">
        <w:rPr>
          <w:rFonts w:ascii="Times New Roman" w:hAnsi="Times New Roman"/>
          <w:color w:val="000000" w:themeColor="text1"/>
        </w:rPr>
        <w:t>are based on historical data collected by the Department since the implementation of the CFATS Personnel Surety Program</w:t>
      </w:r>
      <w:r w:rsidR="009254B0" w:rsidRPr="00ED2740">
        <w:rPr>
          <w:rFonts w:ascii="Times New Roman" w:hAnsi="Times New Roman"/>
          <w:color w:val="000000" w:themeColor="text1"/>
        </w:rPr>
        <w:t>. This historical data c</w:t>
      </w:r>
      <w:r w:rsidR="004365BB" w:rsidRPr="00ED2740">
        <w:rPr>
          <w:rFonts w:ascii="Times New Roman" w:hAnsi="Times New Roman"/>
          <w:color w:val="000000" w:themeColor="text1"/>
        </w:rPr>
        <w:t xml:space="preserve">onsidered seasonal and part-time employees (to include contractors) as affected individuals. </w:t>
      </w:r>
      <w:r w:rsidR="009254B0" w:rsidRPr="00ED2740">
        <w:rPr>
          <w:rFonts w:ascii="Times New Roman" w:hAnsi="Times New Roman"/>
          <w:color w:val="000000" w:themeColor="text1"/>
        </w:rPr>
        <w:t>The Department also responded that acquiring necessary personal identifiable information</w:t>
      </w:r>
      <w:r w:rsidR="00B10A3D" w:rsidRPr="00ED2740">
        <w:rPr>
          <w:rFonts w:ascii="Times New Roman" w:hAnsi="Times New Roman"/>
          <w:color w:val="000000" w:themeColor="text1"/>
        </w:rPr>
        <w:t xml:space="preserve"> and creating CSAT accounts for contractors</w:t>
      </w:r>
      <w:r w:rsidR="009254B0" w:rsidRPr="00ED2740">
        <w:rPr>
          <w:rFonts w:ascii="Times New Roman" w:hAnsi="Times New Roman"/>
          <w:color w:val="000000" w:themeColor="text1"/>
        </w:rPr>
        <w:t xml:space="preserve"> is covered under Information Collections 1670-0007 and that data from affected individuals by a covered chemical facility or its desi</w:t>
      </w:r>
      <w:r w:rsidR="00B83E3E" w:rsidRPr="00ED2740">
        <w:rPr>
          <w:rFonts w:ascii="Times New Roman" w:hAnsi="Times New Roman"/>
          <w:color w:val="000000" w:themeColor="text1"/>
        </w:rPr>
        <w:t>gnees is excluded under 5 CFR 13</w:t>
      </w:r>
      <w:r w:rsidR="009254B0" w:rsidRPr="00ED2740">
        <w:rPr>
          <w:rFonts w:ascii="Times New Roman" w:hAnsi="Times New Roman"/>
          <w:color w:val="000000" w:themeColor="text1"/>
        </w:rPr>
        <w:t xml:space="preserve">20.3(b)(2). The Department responded that the CFATS Personnel Surety Program allows for a company-wide approach verse a </w:t>
      </w:r>
      <w:r w:rsidR="00B10A3D" w:rsidRPr="00ED2740">
        <w:rPr>
          <w:rFonts w:ascii="Times New Roman" w:hAnsi="Times New Roman"/>
          <w:color w:val="000000" w:themeColor="text1"/>
        </w:rPr>
        <w:t>facility</w:t>
      </w:r>
      <w:r w:rsidR="009254B0" w:rsidRPr="00ED2740">
        <w:rPr>
          <w:rFonts w:ascii="Times New Roman" w:hAnsi="Times New Roman"/>
          <w:color w:val="000000" w:themeColor="text1"/>
        </w:rPr>
        <w:t xml:space="preserve">-by-facility approach. </w:t>
      </w:r>
      <w:r w:rsidR="00B10A3D" w:rsidRPr="00ED2740">
        <w:rPr>
          <w:rFonts w:ascii="Times New Roman" w:hAnsi="Times New Roman"/>
          <w:color w:val="000000" w:themeColor="text1"/>
        </w:rPr>
        <w:t xml:space="preserve">Lastly, </w:t>
      </w:r>
      <w:r w:rsidR="00E0043E" w:rsidRPr="00ED2740">
        <w:rPr>
          <w:rFonts w:ascii="Times New Roman" w:hAnsi="Times New Roman"/>
          <w:color w:val="000000" w:themeColor="text1"/>
        </w:rPr>
        <w:t xml:space="preserve">the Department responded that </w:t>
      </w:r>
      <w:r w:rsidR="00B10A3D" w:rsidRPr="00ED2740">
        <w:rPr>
          <w:rFonts w:ascii="Times New Roman" w:hAnsi="Times New Roman"/>
          <w:color w:val="000000" w:themeColor="text1"/>
        </w:rPr>
        <w:t xml:space="preserve">the time to notify employees about PSP requirements is accounted for in this </w:t>
      </w:r>
      <w:r w:rsidR="00DB7417" w:rsidRPr="00ED2740">
        <w:rPr>
          <w:rFonts w:ascii="Times New Roman" w:hAnsi="Times New Roman"/>
          <w:color w:val="000000" w:themeColor="text1"/>
        </w:rPr>
        <w:t xml:space="preserve">ICR in the 10 minutes per respondent burden estimate. The Department did not adjust the ICR as a result of these comments. </w:t>
      </w:r>
    </w:p>
    <w:p w14:paraId="0CF30054" w14:textId="73EA8062" w:rsidR="00D523A7" w:rsidRPr="00ED2740" w:rsidRDefault="00D523A7" w:rsidP="00D523A7">
      <w:pPr>
        <w:pStyle w:val="ListParagraph"/>
        <w:numPr>
          <w:ilvl w:val="0"/>
          <w:numId w:val="35"/>
        </w:numPr>
        <w:suppressAutoHyphens/>
        <w:spacing w:before="120" w:after="120" w:line="259" w:lineRule="auto"/>
        <w:rPr>
          <w:rFonts w:ascii="Times New Roman" w:hAnsi="Times New Roman"/>
          <w:color w:val="000000" w:themeColor="text1"/>
        </w:rPr>
      </w:pPr>
      <w:r w:rsidRPr="00ED2740">
        <w:rPr>
          <w:rFonts w:ascii="Times New Roman" w:hAnsi="Times New Roman"/>
          <w:color w:val="000000" w:themeColor="text1"/>
        </w:rPr>
        <w:t xml:space="preserve">The Department did not receive comments related to the quality, utility, and clarity of information to be collected. </w:t>
      </w:r>
    </w:p>
    <w:p w14:paraId="3A7A626F" w14:textId="7DC40B30" w:rsidR="00D523A7" w:rsidRPr="00ED2740" w:rsidRDefault="00D523A7" w:rsidP="00D11B01">
      <w:pPr>
        <w:pStyle w:val="ListParagraph"/>
        <w:numPr>
          <w:ilvl w:val="0"/>
          <w:numId w:val="35"/>
        </w:numPr>
        <w:suppressAutoHyphens/>
        <w:spacing w:before="120" w:after="120" w:line="259" w:lineRule="auto"/>
        <w:rPr>
          <w:rFonts w:ascii="Times New Roman" w:hAnsi="Times New Roman"/>
          <w:color w:val="000000" w:themeColor="text1"/>
        </w:rPr>
      </w:pPr>
      <w:r w:rsidRPr="00ED2740">
        <w:rPr>
          <w:rFonts w:ascii="Times New Roman" w:hAnsi="Times New Roman"/>
          <w:color w:val="000000" w:themeColor="text1"/>
        </w:rPr>
        <w:t>The Department received five comments related to minimizing the burden of the collection of information on those who are to respond</w:t>
      </w:r>
      <w:r w:rsidR="00DB7417" w:rsidRPr="00ED2740">
        <w:rPr>
          <w:rFonts w:ascii="Times New Roman" w:hAnsi="Times New Roman"/>
          <w:color w:val="000000" w:themeColor="text1"/>
        </w:rPr>
        <w:t xml:space="preserve">. Among the comments were comments/suggestions, from </w:t>
      </w:r>
      <w:r w:rsidR="007522B5" w:rsidRPr="00ED2740">
        <w:rPr>
          <w:rFonts w:ascii="Times New Roman" w:hAnsi="Times New Roman"/>
          <w:color w:val="000000" w:themeColor="text1"/>
        </w:rPr>
        <w:t>four industry associations, that (1)</w:t>
      </w:r>
      <w:r w:rsidR="00585594" w:rsidRPr="00ED2740">
        <w:rPr>
          <w:rFonts w:ascii="Times New Roman" w:hAnsi="Times New Roman"/>
          <w:color w:val="000000" w:themeColor="text1"/>
        </w:rPr>
        <w:t xml:space="preserve"> the Department should use a flexible approach in the rollout of PSP to Tier 3 and Tier 4 facilities; (2) the Department downplayed the use of options that can lessen the burden on third-party service providers; (3) the Department should not include additional pre-conditions to the CFATS PSP that would preclude leveraging the background checks performed for compliance with Bureau of Alcohol, Tobacco, Firearms, and Explosives (ATF) Employee Possessor Program; </w:t>
      </w:r>
      <w:r w:rsidR="00E0043E" w:rsidRPr="00ED2740">
        <w:rPr>
          <w:rFonts w:ascii="Times New Roman" w:hAnsi="Times New Roman"/>
          <w:color w:val="000000" w:themeColor="text1"/>
        </w:rPr>
        <w:t xml:space="preserve">and </w:t>
      </w:r>
      <w:r w:rsidR="00585594" w:rsidRPr="00ED2740">
        <w:rPr>
          <w:rFonts w:ascii="Times New Roman" w:hAnsi="Times New Roman"/>
          <w:color w:val="000000" w:themeColor="text1"/>
        </w:rPr>
        <w:t xml:space="preserve">(4) CSAT should be modified to provide the ability to upload and edit information about affected individuals without having to access Chemical-terrorism Vulnerability Information (CVI). The Department responded that it agrees a flexible approach is appropriate for the rollout of PSP to Tier 3 and Tier </w:t>
      </w:r>
      <w:r w:rsidR="00FB4A8B" w:rsidRPr="00ED2740">
        <w:rPr>
          <w:rFonts w:ascii="Times New Roman" w:hAnsi="Times New Roman"/>
          <w:color w:val="000000" w:themeColor="text1"/>
        </w:rPr>
        <w:t xml:space="preserve">4 </w:t>
      </w:r>
      <w:r w:rsidR="00585594" w:rsidRPr="00ED2740">
        <w:rPr>
          <w:rFonts w:ascii="Times New Roman" w:hAnsi="Times New Roman"/>
          <w:color w:val="000000" w:themeColor="text1"/>
        </w:rPr>
        <w:t xml:space="preserve">covered chemical facilities and that a high-risk chemical facility has the flexibility to tailor its implementation of CFATS </w:t>
      </w:r>
      <w:r w:rsidR="00FB4A8B" w:rsidRPr="00ED2740">
        <w:rPr>
          <w:rFonts w:ascii="Times New Roman" w:hAnsi="Times New Roman"/>
          <w:color w:val="000000" w:themeColor="text1"/>
        </w:rPr>
        <w:t>PSP</w:t>
      </w:r>
      <w:r w:rsidR="00585594" w:rsidRPr="00ED2740">
        <w:rPr>
          <w:rFonts w:ascii="Times New Roman" w:hAnsi="Times New Roman"/>
          <w:color w:val="000000" w:themeColor="text1"/>
        </w:rPr>
        <w:t xml:space="preserve"> to fit its individual circumstances and best balance who qualifies as an affected individual. The Department also commented that it did not modify CFATS PSP to preclude a covered chemical facility from the potential of leveraging the vetting </w:t>
      </w:r>
      <w:r w:rsidR="00E93F16" w:rsidRPr="00ED2740">
        <w:rPr>
          <w:rFonts w:ascii="Times New Roman" w:hAnsi="Times New Roman"/>
          <w:color w:val="000000" w:themeColor="text1"/>
        </w:rPr>
        <w:t xml:space="preserve">conducted by AFT under Option 4. Lastly, the Department responded </w:t>
      </w:r>
      <w:r w:rsidR="00585594" w:rsidRPr="00ED2740">
        <w:rPr>
          <w:rFonts w:ascii="Times New Roman" w:hAnsi="Times New Roman"/>
          <w:color w:val="000000" w:themeColor="text1"/>
        </w:rPr>
        <w:t xml:space="preserve">that </w:t>
      </w:r>
      <w:r w:rsidR="00E93F16" w:rsidRPr="00ED2740">
        <w:rPr>
          <w:rFonts w:ascii="Times New Roman" w:hAnsi="Times New Roman"/>
          <w:color w:val="000000" w:themeColor="text1"/>
        </w:rPr>
        <w:t>it</w:t>
      </w:r>
      <w:r w:rsidR="00585594" w:rsidRPr="00ED2740">
        <w:rPr>
          <w:rFonts w:ascii="Times New Roman" w:hAnsi="Times New Roman"/>
          <w:color w:val="000000" w:themeColor="text1"/>
        </w:rPr>
        <w:t xml:space="preserve"> currently provides the ability to</w:t>
      </w:r>
      <w:r w:rsidR="00FB4A8B" w:rsidRPr="00ED2740">
        <w:rPr>
          <w:rFonts w:ascii="Times New Roman" w:hAnsi="Times New Roman"/>
          <w:color w:val="000000" w:themeColor="text1"/>
        </w:rPr>
        <w:t xml:space="preserve"> restrict</w:t>
      </w:r>
      <w:r w:rsidR="00585594" w:rsidRPr="00ED2740">
        <w:rPr>
          <w:rFonts w:ascii="Times New Roman" w:hAnsi="Times New Roman"/>
          <w:color w:val="000000" w:themeColor="text1"/>
        </w:rPr>
        <w:t xml:space="preserve"> </w:t>
      </w:r>
      <w:r w:rsidR="00D17DEB" w:rsidRPr="00ED2740">
        <w:rPr>
          <w:rFonts w:ascii="Times New Roman" w:hAnsi="Times New Roman"/>
          <w:color w:val="000000" w:themeColor="text1"/>
        </w:rPr>
        <w:t>personnel surety users</w:t>
      </w:r>
      <w:r w:rsidR="00585594" w:rsidRPr="00ED2740">
        <w:rPr>
          <w:rFonts w:ascii="Times New Roman" w:hAnsi="Times New Roman"/>
          <w:color w:val="000000" w:themeColor="text1"/>
        </w:rPr>
        <w:t xml:space="preserve"> from accessing CVI in CSAT. </w:t>
      </w:r>
      <w:r w:rsidR="00D11B01" w:rsidRPr="00ED2740">
        <w:rPr>
          <w:rFonts w:ascii="Times New Roman" w:hAnsi="Times New Roman"/>
          <w:color w:val="000000" w:themeColor="text1"/>
        </w:rPr>
        <w:t xml:space="preserve">The Department did not adjust the ICR as a result of these comments. </w:t>
      </w:r>
    </w:p>
    <w:p w14:paraId="3B710654" w14:textId="6C458E84" w:rsidR="00D523A7" w:rsidRPr="00ED2740" w:rsidRDefault="00D523A7" w:rsidP="00D11B01">
      <w:pPr>
        <w:pStyle w:val="ListParagraph"/>
        <w:numPr>
          <w:ilvl w:val="0"/>
          <w:numId w:val="35"/>
        </w:numPr>
        <w:suppressAutoHyphens/>
        <w:spacing w:before="120" w:after="120" w:line="259" w:lineRule="auto"/>
        <w:rPr>
          <w:rFonts w:ascii="Times New Roman" w:hAnsi="Times New Roman"/>
          <w:color w:val="000000" w:themeColor="text1"/>
        </w:rPr>
      </w:pPr>
      <w:r w:rsidRPr="00ED2740">
        <w:rPr>
          <w:rFonts w:ascii="Times New Roman" w:hAnsi="Times New Roman"/>
          <w:color w:val="000000" w:themeColor="text1"/>
        </w:rPr>
        <w:t xml:space="preserve">The Department received </w:t>
      </w:r>
      <w:r w:rsidR="00FB4A8B" w:rsidRPr="00ED2740">
        <w:rPr>
          <w:rFonts w:ascii="Times New Roman" w:hAnsi="Times New Roman"/>
          <w:color w:val="000000" w:themeColor="text1"/>
        </w:rPr>
        <w:t>eight</w:t>
      </w:r>
      <w:r w:rsidRPr="00ED2740">
        <w:rPr>
          <w:rFonts w:ascii="Times New Roman" w:hAnsi="Times New Roman"/>
          <w:color w:val="000000" w:themeColor="text1"/>
        </w:rPr>
        <w:t xml:space="preserve"> </w:t>
      </w:r>
      <w:r w:rsidR="00E93F16" w:rsidRPr="00ED2740">
        <w:rPr>
          <w:rFonts w:ascii="Times New Roman" w:hAnsi="Times New Roman"/>
          <w:color w:val="000000" w:themeColor="text1"/>
        </w:rPr>
        <w:t xml:space="preserve">other </w:t>
      </w:r>
      <w:r w:rsidRPr="00ED2740">
        <w:rPr>
          <w:rFonts w:ascii="Times New Roman" w:hAnsi="Times New Roman"/>
          <w:color w:val="000000" w:themeColor="text1"/>
        </w:rPr>
        <w:t>comments.</w:t>
      </w:r>
      <w:r w:rsidR="008F0994" w:rsidRPr="00ED2740">
        <w:rPr>
          <w:rFonts w:ascii="Times New Roman" w:hAnsi="Times New Roman"/>
          <w:color w:val="000000" w:themeColor="text1"/>
        </w:rPr>
        <w:t xml:space="preserve"> Among the comments were suggestions, from three industry associations, that (1) CFATS PSP exposes railroad employee PII and exacerbates cyber-security risk; (2) the Department </w:t>
      </w:r>
      <w:r w:rsidR="002545ED" w:rsidRPr="00ED2740">
        <w:rPr>
          <w:rFonts w:ascii="Times New Roman" w:hAnsi="Times New Roman"/>
          <w:color w:val="000000" w:themeColor="text1"/>
        </w:rPr>
        <w:t>has encouraged the collection of information that exceeds legal requirements; (3) the Department should make sure inspections are conducted consistently; (4) updates to the Regulation should be flexible and tangible for facility compliance; (5) there is a contradiction between CFATS PSP and the railroads compliance with Department of Transportation (DOT) regulations; (6) Tier 3 and Tier 4 covered chemical facilities should be allowed to voluntarily participate in CFATS PSP</w:t>
      </w:r>
      <w:r w:rsidR="003418AC" w:rsidRPr="00ED2740">
        <w:rPr>
          <w:rFonts w:ascii="Times New Roman" w:hAnsi="Times New Roman"/>
          <w:color w:val="000000" w:themeColor="text1"/>
        </w:rPr>
        <w:t xml:space="preserve">; </w:t>
      </w:r>
      <w:r w:rsidR="00FB4A8B" w:rsidRPr="00ED2740">
        <w:rPr>
          <w:rFonts w:ascii="Times New Roman" w:hAnsi="Times New Roman"/>
          <w:color w:val="000000" w:themeColor="text1"/>
        </w:rPr>
        <w:t xml:space="preserve">and </w:t>
      </w:r>
      <w:r w:rsidR="003418AC" w:rsidRPr="00ED2740">
        <w:rPr>
          <w:rFonts w:ascii="Times New Roman" w:hAnsi="Times New Roman"/>
          <w:color w:val="000000" w:themeColor="text1"/>
        </w:rPr>
        <w:t>(7)</w:t>
      </w:r>
      <w:r w:rsidR="007E6546" w:rsidRPr="00ED2740">
        <w:rPr>
          <w:rFonts w:ascii="Times New Roman" w:hAnsi="Times New Roman"/>
          <w:color w:val="000000" w:themeColor="text1"/>
        </w:rPr>
        <w:t xml:space="preserve"> the Department does not follow-up with companies to alert a company of a positive match and the possible threat. </w:t>
      </w:r>
      <w:r w:rsidR="00C03685" w:rsidRPr="00ED2740">
        <w:rPr>
          <w:rFonts w:ascii="Times New Roman" w:hAnsi="Times New Roman"/>
          <w:color w:val="000000" w:themeColor="text1"/>
        </w:rPr>
        <w:t xml:space="preserve">The Department responded that it disagrees that CFATS PSP exposes PII and exacerbates cyber-security risk because the Department provides the ability to directly submit </w:t>
      </w:r>
      <w:r w:rsidR="00E93F16" w:rsidRPr="00ED2740">
        <w:rPr>
          <w:rFonts w:ascii="Times New Roman" w:hAnsi="Times New Roman"/>
          <w:color w:val="000000" w:themeColor="text1"/>
        </w:rPr>
        <w:t xml:space="preserve">PII </w:t>
      </w:r>
      <w:r w:rsidR="00C03685" w:rsidRPr="00ED2740">
        <w:rPr>
          <w:rFonts w:ascii="Times New Roman" w:hAnsi="Times New Roman"/>
          <w:color w:val="000000" w:themeColor="text1"/>
        </w:rPr>
        <w:t xml:space="preserve">to the Department under Option 1 and Option 2 and does not require the submission of PII to the Department under Option 3 and Option 4. The Department also responded that the ICR identifies the information that is required for submission under Option 1 and Option 2 for CFATS PSP and that this information is sufficient. The Department responded that it agrees </w:t>
      </w:r>
      <w:r w:rsidR="00D11B01" w:rsidRPr="00ED2740">
        <w:rPr>
          <w:rFonts w:ascii="Times New Roman" w:hAnsi="Times New Roman"/>
          <w:color w:val="000000" w:themeColor="text1"/>
        </w:rPr>
        <w:t>and continues to ensure inspection consistency across the country and that the information collection request does not modify existing regulations. Risk Based Performance Standard (RBPS) 12(iv) requires terrorist ties checks for facilities of all four tiers and the design of the CFATS program is intended to promote and enhance the security of high-risk chemical facilities. A high-risk chemical facility will be contacted w</w:t>
      </w:r>
      <w:r w:rsidR="00E93F16" w:rsidRPr="00ED2740">
        <w:rPr>
          <w:rFonts w:ascii="Times New Roman" w:hAnsi="Times New Roman"/>
          <w:color w:val="000000" w:themeColor="text1"/>
        </w:rPr>
        <w:t>hen</w:t>
      </w:r>
      <w:r w:rsidR="00D11B01" w:rsidRPr="00ED2740">
        <w:rPr>
          <w:rFonts w:ascii="Times New Roman" w:hAnsi="Times New Roman"/>
          <w:color w:val="000000" w:themeColor="text1"/>
        </w:rPr>
        <w:t xml:space="preserve"> appropriate and in accordance with federal law and policy, and per law enforcement and intelligence requirements. The Department did not adjust the ICR as a result of these comments. </w:t>
      </w:r>
    </w:p>
    <w:p w14:paraId="41461335" w14:textId="557C7695" w:rsidR="002B3D0A" w:rsidRDefault="002B3D0A" w:rsidP="00E55539">
      <w:pPr>
        <w:suppressAutoHyphens/>
        <w:spacing w:before="120" w:after="120" w:line="259" w:lineRule="auto"/>
      </w:pPr>
      <w:r w:rsidRPr="00BD3D06">
        <w:t xml:space="preserve">A 30-day public notice for comments was published in the Federal </w:t>
      </w:r>
      <w:r w:rsidRPr="005D472D">
        <w:t xml:space="preserve">Register on </w:t>
      </w:r>
      <w:r w:rsidR="006F3A0C" w:rsidRPr="005D472D">
        <w:t>June 18</w:t>
      </w:r>
      <w:r w:rsidRPr="005D472D">
        <w:t>, 201</w:t>
      </w:r>
      <w:r w:rsidR="00776B17" w:rsidRPr="005D472D">
        <w:t>8</w:t>
      </w:r>
      <w:r w:rsidRPr="005D472D">
        <w:t xml:space="preserve">, at </w:t>
      </w:r>
      <w:r w:rsidR="006F3A0C" w:rsidRPr="005D472D">
        <w:t>83</w:t>
      </w:r>
      <w:r w:rsidR="00BA706B" w:rsidRPr="005D472D">
        <w:t xml:space="preserve"> </w:t>
      </w:r>
      <w:r w:rsidRPr="005D472D">
        <w:t xml:space="preserve">FR </w:t>
      </w:r>
      <w:r w:rsidR="006F3A0C" w:rsidRPr="005D472D">
        <w:t>28244</w:t>
      </w:r>
      <w:r w:rsidRPr="00BD3D06">
        <w:t xml:space="preserve">.  The Department received </w:t>
      </w:r>
      <w:r w:rsidR="006F3A0C">
        <w:t>0</w:t>
      </w:r>
      <w:r w:rsidR="00776B17" w:rsidRPr="00BD3D06">
        <w:t xml:space="preserve"> </w:t>
      </w:r>
      <w:r w:rsidRPr="00BD3D06">
        <w:t xml:space="preserve">comments submitted by </w:t>
      </w:r>
      <w:r w:rsidR="006F3A0C">
        <w:t>0</w:t>
      </w:r>
      <w:r w:rsidR="00776B17" w:rsidRPr="00BD3D06">
        <w:t xml:space="preserve"> </w:t>
      </w:r>
      <w:r w:rsidRPr="00BD3D06">
        <w:t xml:space="preserve">commenters, which may be found on </w:t>
      </w:r>
      <w:hyperlink r:id="rId15" w:history="1">
        <w:r w:rsidRPr="00BD3D06">
          <w:rPr>
            <w:rStyle w:val="Hyperlink"/>
          </w:rPr>
          <w:t>www.regulations.gov</w:t>
        </w:r>
      </w:hyperlink>
      <w:r w:rsidRPr="00BD3D06">
        <w:t xml:space="preserve"> under Docket </w:t>
      </w:r>
      <w:r w:rsidRPr="005643B2">
        <w:t>ID DHS-</w:t>
      </w:r>
      <w:r w:rsidR="00BA706B" w:rsidRPr="005643B2">
        <w:t>2017</w:t>
      </w:r>
      <w:r w:rsidRPr="005643B2">
        <w:t>-</w:t>
      </w:r>
      <w:r w:rsidR="005643B2" w:rsidRPr="005643B2">
        <w:t>0037</w:t>
      </w:r>
      <w:r w:rsidRPr="00BD3D06">
        <w:t xml:space="preserve">.  </w:t>
      </w:r>
    </w:p>
    <w:p w14:paraId="385BAD26" w14:textId="77777777" w:rsidR="001B06B5" w:rsidRPr="00596A43" w:rsidRDefault="001B06B5" w:rsidP="0007373B">
      <w:pPr>
        <w:tabs>
          <w:tab w:val="left" w:pos="-720"/>
        </w:tabs>
        <w:suppressAutoHyphens/>
        <w:jc w:val="both"/>
      </w:pPr>
    </w:p>
    <w:p w14:paraId="300E5CED"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320FCCEF" w14:textId="77777777" w:rsidR="00EB5E96" w:rsidRPr="00596A43" w:rsidRDefault="00EB5E96" w:rsidP="0007373B">
      <w:pPr>
        <w:tabs>
          <w:tab w:val="left" w:pos="-720"/>
        </w:tabs>
        <w:suppressAutoHyphens/>
        <w:jc w:val="both"/>
      </w:pPr>
    </w:p>
    <w:p w14:paraId="6160D5F0" w14:textId="77CDAAC1" w:rsidR="000A4447" w:rsidRPr="00596A43" w:rsidRDefault="00E57C22" w:rsidP="00051A81">
      <w:pPr>
        <w:suppressAutoHyphens/>
      </w:pPr>
      <w:r w:rsidRPr="007A31A3">
        <w:t>No</w:t>
      </w:r>
      <w:r>
        <w:t xml:space="preserve"> payment or gift of any kind is provided to any respondents.</w:t>
      </w:r>
    </w:p>
    <w:p w14:paraId="5AFC3566" w14:textId="77777777" w:rsidR="00EB5E96" w:rsidRPr="00596A43" w:rsidRDefault="00EB5E96" w:rsidP="0007373B">
      <w:pPr>
        <w:tabs>
          <w:tab w:val="left" w:pos="-720"/>
        </w:tabs>
        <w:suppressAutoHyphens/>
        <w:jc w:val="both"/>
      </w:pPr>
    </w:p>
    <w:p w14:paraId="18996266"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4F609C73" w14:textId="77777777" w:rsidR="00EB5E96" w:rsidRDefault="00EB5E96" w:rsidP="0007373B">
      <w:pPr>
        <w:tabs>
          <w:tab w:val="left" w:pos="-720"/>
        </w:tabs>
        <w:suppressAutoHyphens/>
        <w:jc w:val="both"/>
      </w:pPr>
      <w:r w:rsidRPr="00596A43">
        <w:fldChar w:fldCharType="begin"/>
      </w:r>
      <w:r w:rsidRPr="00596A43">
        <w:instrText>ADVANCE \R 0.95</w:instrText>
      </w:r>
      <w:r w:rsidRPr="00596A43">
        <w:fldChar w:fldCharType="end"/>
      </w:r>
    </w:p>
    <w:p w14:paraId="485EC6DC" w14:textId="316D8536" w:rsidR="003C4DD7" w:rsidRPr="007A31A3" w:rsidRDefault="0006796B" w:rsidP="00285B87">
      <w:pPr>
        <w:suppressAutoHyphens/>
      </w:pPr>
      <w:r w:rsidRPr="0006796B">
        <w:t xml:space="preserve">There is no assurance </w:t>
      </w:r>
      <w:r w:rsidR="00051A81">
        <w:t xml:space="preserve">of </w:t>
      </w:r>
      <w:r w:rsidRPr="0006796B">
        <w:t>confidentiality provided to the respondents.  However, t</w:t>
      </w:r>
      <w:r w:rsidR="003C4DD7" w:rsidRPr="007A31A3">
        <w:t xml:space="preserve">he </w:t>
      </w:r>
      <w:r w:rsidR="00BA706B">
        <w:t xml:space="preserve">Department has published the following to give respondents assurance of </w:t>
      </w:r>
      <w:r w:rsidR="003C4DD7" w:rsidRPr="007A31A3">
        <w:t>confidentiality</w:t>
      </w:r>
      <w:r w:rsidR="00FF410F">
        <w:t xml:space="preserve"> </w:t>
      </w:r>
      <w:r w:rsidR="00051A81">
        <w:t xml:space="preserve">regarding the </w:t>
      </w:r>
      <w:r w:rsidR="003C4DD7" w:rsidRPr="007A31A3">
        <w:t xml:space="preserve">information </w:t>
      </w:r>
      <w:r w:rsidR="00FF410F">
        <w:t>received:</w:t>
      </w:r>
    </w:p>
    <w:p w14:paraId="76FFD304" w14:textId="77777777" w:rsidR="00865E03" w:rsidRPr="00596A43" w:rsidRDefault="00865E03" w:rsidP="0007373B">
      <w:pPr>
        <w:tabs>
          <w:tab w:val="left" w:pos="-720"/>
        </w:tabs>
        <w:suppressAutoHyphens/>
        <w:jc w:val="both"/>
      </w:pPr>
    </w:p>
    <w:p w14:paraId="4F4F2C46" w14:textId="7ABB5A9C" w:rsidR="00865E03" w:rsidRDefault="00FF410F" w:rsidP="00285B87">
      <w:pPr>
        <w:widowControl w:val="0"/>
        <w:numPr>
          <w:ilvl w:val="0"/>
          <w:numId w:val="27"/>
        </w:numPr>
        <w:tabs>
          <w:tab w:val="right" w:pos="9360"/>
        </w:tabs>
        <w:suppressAutoHyphens/>
      </w:pPr>
      <w:r>
        <w:t>Privacy Impact Assessment (PIA)</w:t>
      </w:r>
      <w:r w:rsidR="00F15FF2">
        <w:t xml:space="preserve">, Chemical Facility Anti-Terrorism Standards (CFATS) Personnel Surety Program (DHS/NPPD/PIA-018) </w:t>
      </w:r>
      <w:r w:rsidR="0006796B" w:rsidRPr="0006796B">
        <w:t xml:space="preserve">was published on the DHS.gov </w:t>
      </w:r>
      <w:r w:rsidR="00051A81">
        <w:t>w</w:t>
      </w:r>
      <w:r w:rsidR="0006796B" w:rsidRPr="0006796B">
        <w:t xml:space="preserve">ebsite, along with updates at </w:t>
      </w:r>
      <w:hyperlink r:id="rId16" w:history="1">
        <w:r w:rsidR="00051A81" w:rsidRPr="00ED4144">
          <w:rPr>
            <w:rStyle w:val="Hyperlink"/>
          </w:rPr>
          <w:t>https://www.dhs.gov/publication/dhs-nppd-pia-018a-chemical-facilities-anti-terrorism-standards-personnel-surety</w:t>
        </w:r>
      </w:hyperlink>
      <w:r w:rsidRPr="00F5137F">
        <w:t>;</w:t>
      </w:r>
      <w:r w:rsidR="00865E03">
        <w:t xml:space="preserve">  </w:t>
      </w:r>
    </w:p>
    <w:p w14:paraId="2B6261F5" w14:textId="77777777" w:rsidR="00865E03" w:rsidRPr="007A31A3" w:rsidRDefault="00865E03" w:rsidP="00285B87">
      <w:pPr>
        <w:suppressAutoHyphens/>
      </w:pPr>
    </w:p>
    <w:p w14:paraId="7854B663" w14:textId="00901128" w:rsidR="00865E03" w:rsidRDefault="00865E03" w:rsidP="00285B87">
      <w:pPr>
        <w:widowControl w:val="0"/>
        <w:numPr>
          <w:ilvl w:val="0"/>
          <w:numId w:val="27"/>
        </w:numPr>
        <w:tabs>
          <w:tab w:val="right" w:pos="9360"/>
        </w:tabs>
        <w:suppressAutoHyphens/>
      </w:pPr>
      <w:r w:rsidRPr="006E1193">
        <w:t>System of Records Notice</w:t>
      </w:r>
      <w:r>
        <w:t xml:space="preserve"> </w:t>
      </w:r>
      <w:r w:rsidR="00FF410F">
        <w:t xml:space="preserve">that covers the CFATS Personnel Surety Program on </w:t>
      </w:r>
      <w:r w:rsidR="0006796B" w:rsidRPr="0006796B">
        <w:t xml:space="preserve">May </w:t>
      </w:r>
      <w:r w:rsidR="00F15FF2">
        <w:t>19</w:t>
      </w:r>
      <w:r w:rsidR="0006796B" w:rsidRPr="0006796B">
        <w:t>, 2014</w:t>
      </w:r>
      <w:r w:rsidR="00051A81">
        <w:t>,</w:t>
      </w:r>
      <w:r w:rsidR="0006796B" w:rsidRPr="0006796B">
        <w:t xml:space="preserve"> in the Federal Register at 79 FR 28752, </w:t>
      </w:r>
      <w:hyperlink r:id="rId17" w:history="1">
        <w:r w:rsidR="0006796B" w:rsidRPr="0006796B">
          <w:rPr>
            <w:rStyle w:val="Hyperlink"/>
          </w:rPr>
          <w:t>https://federalregister.gov/a/2014-11431</w:t>
        </w:r>
      </w:hyperlink>
      <w:r w:rsidR="00FF410F">
        <w:t>; and</w:t>
      </w:r>
      <w:r w:rsidRPr="006E1193">
        <w:t xml:space="preserve">  </w:t>
      </w:r>
    </w:p>
    <w:p w14:paraId="64E5F19E" w14:textId="77777777" w:rsidR="00865E03" w:rsidRDefault="00865E03" w:rsidP="00285B87">
      <w:pPr>
        <w:pStyle w:val="ListParagraph"/>
        <w:suppressAutoHyphens/>
      </w:pPr>
    </w:p>
    <w:p w14:paraId="64732BC3" w14:textId="57B57E36" w:rsidR="00865E03" w:rsidRDefault="00FF410F" w:rsidP="00285B87">
      <w:pPr>
        <w:widowControl w:val="0"/>
        <w:numPr>
          <w:ilvl w:val="0"/>
          <w:numId w:val="27"/>
        </w:numPr>
        <w:tabs>
          <w:tab w:val="right" w:pos="9360"/>
        </w:tabs>
        <w:suppressAutoHyphens/>
      </w:pPr>
      <w:r>
        <w:t>A Final Rule that exempts portions of the CFATS Personnel Surety Program system of record from certain provisions of the Privacy Act on May 21, 2014</w:t>
      </w:r>
      <w:r w:rsidR="00051A81">
        <w:t>,</w:t>
      </w:r>
      <w:r>
        <w:t xml:space="preserve"> in the Federal Register </w:t>
      </w:r>
      <w:r w:rsidR="0006796B" w:rsidRPr="0006796B">
        <w:t>at 79 FR 29072</w:t>
      </w:r>
      <w:r w:rsidR="00051A81">
        <w:t>,</w:t>
      </w:r>
      <w:r w:rsidR="0006796B" w:rsidRPr="0006796B">
        <w:t xml:space="preserve"> </w:t>
      </w:r>
      <w:hyperlink w:history="1"/>
      <w:hyperlink r:id="rId18" w:history="1">
        <w:r w:rsidR="0006796B" w:rsidRPr="0006796B">
          <w:rPr>
            <w:rStyle w:val="Hyperlink"/>
          </w:rPr>
          <w:t>https://federalregister.gov/a/2014-11433</w:t>
        </w:r>
      </w:hyperlink>
      <w:r w:rsidRPr="006E1193">
        <w:t>.</w:t>
      </w:r>
    </w:p>
    <w:p w14:paraId="3162D13A" w14:textId="77777777" w:rsidR="00865E03" w:rsidRDefault="00865E03" w:rsidP="00285B87">
      <w:pPr>
        <w:pStyle w:val="ListParagraph"/>
        <w:suppressAutoHyphens/>
      </w:pPr>
    </w:p>
    <w:p w14:paraId="37015B70" w14:textId="571FAFEC" w:rsidR="00FF410F" w:rsidRDefault="00FF410F" w:rsidP="00285B87">
      <w:r w:rsidRPr="00F5137F">
        <w:t xml:space="preserve">These publications discuss the confidentiality of information submitted to </w:t>
      </w:r>
      <w:r>
        <w:t>the Department</w:t>
      </w:r>
      <w:r w:rsidRPr="00F5137F">
        <w:t xml:space="preserve"> as part of the CFATS Personnel Surety Program</w:t>
      </w:r>
      <w:r>
        <w:t xml:space="preserve">.  Additionally, ensuring </w:t>
      </w:r>
      <w:r w:rsidRPr="009B1C7F">
        <w:t>data security</w:t>
      </w:r>
      <w:r>
        <w:t xml:space="preserve"> is</w:t>
      </w:r>
      <w:r w:rsidRPr="00F5137F">
        <w:t xml:space="preserve"> </w:t>
      </w:r>
      <w:r>
        <w:t>the Department</w:t>
      </w:r>
      <w:r w:rsidRPr="006E1193">
        <w:t>’s primary IT design requirement</w:t>
      </w:r>
      <w:r>
        <w:t>.  The Department</w:t>
      </w:r>
      <w:r w:rsidRPr="006E1193">
        <w:t xml:space="preserve"> acknowledges that there is a non-zero risk</w:t>
      </w:r>
      <w:r w:rsidRPr="00F5137F">
        <w:t xml:space="preserve"> when requesting data over the </w:t>
      </w:r>
      <w:r w:rsidR="000F40FE">
        <w:t>i</w:t>
      </w:r>
      <w:r w:rsidRPr="00F5137F">
        <w:t>nternet</w:t>
      </w:r>
      <w:r w:rsidRPr="006E1193">
        <w:t>, both to the original transmission and the receiving transmission</w:t>
      </w:r>
      <w:r>
        <w:t>.  The Department</w:t>
      </w:r>
      <w:r w:rsidRPr="006E1193">
        <w:t xml:space="preserve"> has weighed the risk to the data collection approach against the risk to collecting the data through paper submissions and concluded that the </w:t>
      </w:r>
      <w:r w:rsidR="00C41055">
        <w:t>w</w:t>
      </w:r>
      <w:r w:rsidRPr="00F5137F">
        <w:t>eb</w:t>
      </w:r>
      <w:r w:rsidRPr="006E1193">
        <w:t>-based approach was the best approach given the risk and benefits.</w:t>
      </w:r>
    </w:p>
    <w:p w14:paraId="4A1DA876" w14:textId="77777777" w:rsidR="00FF410F" w:rsidRDefault="00FF410F" w:rsidP="00285B87">
      <w:pPr>
        <w:suppressAutoHyphens/>
      </w:pPr>
    </w:p>
    <w:p w14:paraId="6ED4895C" w14:textId="17CF0721" w:rsidR="004F7F4F" w:rsidRDefault="00E57C22" w:rsidP="00285B87">
      <w:pPr>
        <w:suppressAutoHyphens/>
      </w:pPr>
      <w:r w:rsidRPr="006E1193">
        <w:t xml:space="preserve">DHS has taken a number of steps to protect both the data that will be collected through the CSAT program and the process of collection.  The security of the data has been the number one priority of the system design. </w:t>
      </w:r>
      <w:r w:rsidR="00A35C1C" w:rsidRPr="006E1193">
        <w:t>The site that the Department use</w:t>
      </w:r>
      <w:r w:rsidR="00A35C1C">
        <w:t>s</w:t>
      </w:r>
      <w:r w:rsidR="00A35C1C" w:rsidRPr="006E1193">
        <w:t xml:space="preserve">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w:t>
      </w:r>
      <w:r w:rsidR="00C41055">
        <w:t xml:space="preserve"> (NSA)</w:t>
      </w:r>
      <w:r w:rsidR="00A35C1C" w:rsidRPr="006E1193">
        <w:t xml:space="preserve"> and the National Institute of Standards</w:t>
      </w:r>
      <w:r w:rsidR="00C41055">
        <w:t xml:space="preserve"> and Technology</w:t>
      </w:r>
      <w:r w:rsidR="00A35C1C" w:rsidRPr="006E1193">
        <w:t xml:space="preserve"> (NIST) to certify security hardware and software.</w:t>
      </w:r>
    </w:p>
    <w:p w14:paraId="6AA68E19" w14:textId="77777777" w:rsidR="004F7F4F" w:rsidRDefault="004F7F4F" w:rsidP="00285B87">
      <w:pPr>
        <w:suppressAutoHyphens/>
      </w:pPr>
    </w:p>
    <w:p w14:paraId="12A642B5" w14:textId="23225360" w:rsidR="00E57C22" w:rsidRDefault="004F7F4F" w:rsidP="00285B87">
      <w:pPr>
        <w:suppressAutoHyphens/>
      </w:pPr>
      <w:r w:rsidRPr="004F7F4F">
        <w:t xml:space="preserve">Finally, </w:t>
      </w:r>
      <w:r w:rsidR="00C41055">
        <w:t>Chemical-terrorism Vulnerability Information (</w:t>
      </w:r>
      <w:r w:rsidRPr="004F7F4F">
        <w:t>CVI</w:t>
      </w:r>
      <w:r w:rsidR="00C41055">
        <w:t>)</w:t>
      </w:r>
      <w:r w:rsidRPr="004F7F4F">
        <w:t xml:space="preserve"> is a sensitive but unclassified information protection designation established in 6 CFR § 27.400.  Some, but not all, of the information that is generated as part of the CFATS Personnel Surety Program will be CVI.  The information protection and handling requirements contained in 6 CFR § 27.400 will help to ensure the confidentiality of this information.</w:t>
      </w:r>
    </w:p>
    <w:p w14:paraId="0F59C344" w14:textId="77777777" w:rsidR="00AA3F82" w:rsidRPr="00596A43" w:rsidRDefault="00AA3F82" w:rsidP="0007373B">
      <w:pPr>
        <w:tabs>
          <w:tab w:val="left" w:pos="-720"/>
        </w:tabs>
        <w:suppressAutoHyphens/>
        <w:jc w:val="both"/>
      </w:pPr>
    </w:p>
    <w:p w14:paraId="01A4D34F" w14:textId="77777777" w:rsidR="00EB5E96" w:rsidRPr="00596A43" w:rsidRDefault="00EB5E96" w:rsidP="0007373B">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B4B3BBE" w14:textId="77777777" w:rsidR="00EB5E96" w:rsidRPr="00596A43" w:rsidRDefault="00EB5E96" w:rsidP="0007373B">
      <w:pPr>
        <w:shd w:val="clear" w:color="auto" w:fill="FFFFFF"/>
        <w:tabs>
          <w:tab w:val="left" w:pos="-720"/>
        </w:tabs>
        <w:suppressAutoHyphens/>
        <w:jc w:val="both"/>
      </w:pPr>
    </w:p>
    <w:p w14:paraId="003FAACA" w14:textId="77777777" w:rsidR="00EB5E96" w:rsidRDefault="0081324C" w:rsidP="00285B87">
      <w:pPr>
        <w:suppressAutoHyphens/>
      </w:pPr>
      <w:r>
        <w:t xml:space="preserve">There are no standard questions of a sensitive nature.  However, the Department may ask questions of a sensitive nature to </w:t>
      </w:r>
      <w:r w:rsidRPr="00C940E4">
        <w:t xml:space="preserve">confirm </w:t>
      </w:r>
      <w:r>
        <w:t>that</w:t>
      </w:r>
      <w:r w:rsidRPr="00C940E4">
        <w:t xml:space="preserve"> </w:t>
      </w:r>
      <w:r>
        <w:t xml:space="preserve">an affected individual is or is not </w:t>
      </w:r>
      <w:r w:rsidRPr="00C940E4">
        <w:t>a match to a known or suspected terrorist in the T</w:t>
      </w:r>
      <w:r>
        <w:t>errorist Screening Database (T</w:t>
      </w:r>
      <w:r w:rsidRPr="00C940E4">
        <w:t>SDB</w:t>
      </w:r>
      <w:r>
        <w:t>).</w:t>
      </w:r>
    </w:p>
    <w:p w14:paraId="2587C04B" w14:textId="77777777" w:rsidR="00AA3F82" w:rsidRPr="00596A43" w:rsidRDefault="00AA3F82" w:rsidP="0007373B">
      <w:pPr>
        <w:shd w:val="clear" w:color="auto" w:fill="FFFFFF"/>
        <w:tabs>
          <w:tab w:val="left" w:pos="-720"/>
        </w:tabs>
        <w:suppressAutoHyphens/>
        <w:jc w:val="both"/>
      </w:pPr>
    </w:p>
    <w:p w14:paraId="63E8C238" w14:textId="77777777" w:rsidR="00EB5E96" w:rsidRPr="00596A43" w:rsidRDefault="00EB5E96" w:rsidP="0007373B">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736FBB11" w14:textId="77777777" w:rsidR="00EB5E96" w:rsidRPr="00596A43" w:rsidRDefault="00EB5E96" w:rsidP="0007373B">
      <w:pPr>
        <w:tabs>
          <w:tab w:val="left" w:pos="-720"/>
        </w:tabs>
        <w:suppressAutoHyphens/>
        <w:jc w:val="both"/>
      </w:pPr>
      <w:r w:rsidRPr="00596A43">
        <w:fldChar w:fldCharType="begin"/>
      </w:r>
      <w:r w:rsidRPr="00596A43">
        <w:instrText>ADVANCE \R 0.95</w:instrText>
      </w:r>
      <w:r w:rsidRPr="00596A43">
        <w:fldChar w:fldCharType="end"/>
      </w:r>
    </w:p>
    <w:p w14:paraId="20685FBB"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F2D59C8" w14:textId="77777777" w:rsidR="00EB5E96" w:rsidRPr="00596A43" w:rsidRDefault="00EB5E96" w:rsidP="008E62FE">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69DA271E" w14:textId="77777777" w:rsidR="00EB5E96" w:rsidRPr="00596A43" w:rsidRDefault="00EB5E96" w:rsidP="008E62FE">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11BA574" w14:textId="77777777" w:rsidR="003B68FA" w:rsidRPr="00596A43" w:rsidRDefault="003B68FA" w:rsidP="00A74AA0">
      <w:pPr>
        <w:tabs>
          <w:tab w:val="left" w:pos="-720"/>
        </w:tabs>
        <w:suppressAutoHyphens/>
        <w:jc w:val="both"/>
      </w:pPr>
    </w:p>
    <w:p w14:paraId="4CA74123" w14:textId="765E136C" w:rsidR="00521672" w:rsidRPr="00521672" w:rsidRDefault="00521672" w:rsidP="00285B87">
      <w:pPr>
        <w:suppressAutoHyphens/>
      </w:pPr>
      <w:r w:rsidRPr="00521672">
        <w:t xml:space="preserve">This information collection request estimates the total annual burden to be </w:t>
      </w:r>
      <w:r w:rsidR="00D170F7">
        <w:t>12,101</w:t>
      </w:r>
      <w:r w:rsidRPr="00521672">
        <w:t xml:space="preserve"> hours for 7</w:t>
      </w:r>
      <w:r w:rsidR="00040904">
        <w:t>2</w:t>
      </w:r>
      <w:r w:rsidRPr="00521672">
        <w:t>,</w:t>
      </w:r>
      <w:r w:rsidR="00040904">
        <w:t>607</w:t>
      </w:r>
      <w:r w:rsidRPr="00521672">
        <w:t xml:space="preserve"> respondents.  As described in the associated Federal Register notices, the respondents for this collection are divided into two categories: initial respondents and annual respondents.  The initial respondents are those affected individuals with existing access at a high-risk chemical facility and will be submitted by the facility after receiving authorization or approval of an SSP requiring the facility to implement measures to comply with RBPS 12(iv).  For the purposes of this collection, the initial respondents are those submitted by the 3,700 Tier 3 and Tier 4 facilities that will be submitting information about affected individuals for the first time under this collection, with approximately one-third of the 3,700 facilities submitting each year (1,233 facilities per year).</w:t>
      </w:r>
      <w:r w:rsidR="00C41055">
        <w:t xml:space="preserve">  </w:t>
      </w:r>
      <w:r w:rsidRPr="00521672">
        <w:t xml:space="preserve">Based on data collected under the current collection, the Department estimates that each facility will submit 106 affected individuals as initial respondents for a total of 130,698 initial respondents (106 per facility </w:t>
      </w:r>
      <w:r w:rsidR="00871434">
        <w:t>multiplied by</w:t>
      </w:r>
      <w:r w:rsidRPr="00521672">
        <w:t xml:space="preserve"> 1,233 facilities) per year.</w:t>
      </w:r>
    </w:p>
    <w:p w14:paraId="477AA811" w14:textId="77777777" w:rsidR="00521672" w:rsidRPr="00521672" w:rsidRDefault="00521672" w:rsidP="00285B87">
      <w:pPr>
        <w:suppressAutoHyphens/>
      </w:pPr>
    </w:p>
    <w:p w14:paraId="478E7189" w14:textId="58B22098" w:rsidR="00521672" w:rsidRDefault="00521672" w:rsidP="00285B87">
      <w:pPr>
        <w:suppressAutoHyphens/>
      </w:pPr>
      <w:r w:rsidRPr="00521672">
        <w:t>Additionally, this collection accounts for annual respondents, which are the number of respondents the Department estimates will be submitted each year by high-risk chemical facilities that have completed the initial respondent’s submission and are now in the maintenance phase (e.g.</w:t>
      </w:r>
      <w:r w:rsidR="00C41055">
        <w:t>,</w:t>
      </w:r>
      <w:r w:rsidRPr="00521672">
        <w:t xml:space="preserve"> adding new affected individuals due to employee </w:t>
      </w:r>
      <w:r w:rsidR="00CD4E69">
        <w:t>hires</w:t>
      </w:r>
      <w:r w:rsidRPr="00521672">
        <w:t xml:space="preserve">).  The Department estimates the annual respondents through the average employee </w:t>
      </w:r>
      <w:r w:rsidR="00CD4E69">
        <w:t>hires</w:t>
      </w:r>
      <w:r w:rsidRPr="00521672">
        <w:t xml:space="preserve"> for private industry jobs over the past five years, as estimated from the Bureau of Labor Statistics (BLS)</w:t>
      </w:r>
      <w:r w:rsidR="00C41055">
        <w:t>,</w:t>
      </w:r>
      <w:r w:rsidRPr="00521672">
        <w:rPr>
          <w:vertAlign w:val="superscript"/>
        </w:rPr>
        <w:footnoteReference w:id="6"/>
      </w:r>
      <w:r w:rsidRPr="00521672">
        <w:t xml:space="preserve"> multiplied by the existing population of submitted initial respondents.  This results in an average of 7</w:t>
      </w:r>
      <w:r w:rsidR="00D170F7">
        <w:t>2</w:t>
      </w:r>
      <w:r w:rsidRPr="00521672">
        <w:t>,</w:t>
      </w:r>
      <w:r w:rsidR="00D170F7">
        <w:t>607</w:t>
      </w:r>
      <w:r w:rsidRPr="00521672">
        <w:t xml:space="preserve"> annual respondents per year.  Table </w:t>
      </w:r>
      <w:r w:rsidR="00C76017">
        <w:t>4</w:t>
      </w:r>
      <w:r w:rsidR="00C76017" w:rsidRPr="00521672">
        <w:t xml:space="preserve"> </w:t>
      </w:r>
      <w:r w:rsidRPr="00521672">
        <w:t>presents the annual submissions for the three years.</w:t>
      </w:r>
    </w:p>
    <w:p w14:paraId="3EA67B0C" w14:textId="77777777" w:rsidR="00521672" w:rsidRPr="00521672" w:rsidRDefault="00521672" w:rsidP="00285B87">
      <w:pPr>
        <w:suppressAutoHyphens/>
      </w:pPr>
    </w:p>
    <w:p w14:paraId="13CB52E1" w14:textId="44995909" w:rsidR="00521672" w:rsidRPr="00521672" w:rsidRDefault="00521672" w:rsidP="00285B87">
      <w:pPr>
        <w:suppressAutoHyphens/>
        <w:jc w:val="center"/>
        <w:rPr>
          <w:b/>
        </w:rPr>
      </w:pPr>
      <w:r w:rsidRPr="00521672">
        <w:rPr>
          <w:b/>
        </w:rPr>
        <w:t xml:space="preserve">Table </w:t>
      </w:r>
      <w:r w:rsidR="00C76017">
        <w:rPr>
          <w:b/>
        </w:rPr>
        <w:t>4</w:t>
      </w:r>
      <w:r w:rsidR="00C41055">
        <w:rPr>
          <w:b/>
        </w:rPr>
        <w:t>.</w:t>
      </w:r>
      <w:r w:rsidRPr="00521672">
        <w:rPr>
          <w:b/>
        </w:rPr>
        <w:t xml:space="preserve"> Annual Submissions for Three Years</w:t>
      </w:r>
    </w:p>
    <w:tbl>
      <w:tblPr>
        <w:tblW w:w="8112" w:type="dxa"/>
        <w:tblInd w:w="118" w:type="dxa"/>
        <w:tblLook w:val="04A0" w:firstRow="1" w:lastRow="0" w:firstColumn="1" w:lastColumn="0" w:noHBand="0" w:noVBand="1"/>
      </w:tblPr>
      <w:tblGrid>
        <w:gridCol w:w="1029"/>
        <w:gridCol w:w="1789"/>
        <w:gridCol w:w="2908"/>
        <w:gridCol w:w="2386"/>
      </w:tblGrid>
      <w:tr w:rsidR="00040904" w:rsidRPr="00521672" w14:paraId="567C25D8" w14:textId="77777777" w:rsidTr="00C878F8">
        <w:trPr>
          <w:trHeight w:val="780"/>
        </w:trPr>
        <w:tc>
          <w:tcPr>
            <w:tcW w:w="10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373B34" w14:textId="5CAF48F1" w:rsidR="00040904" w:rsidRPr="00285B87" w:rsidRDefault="00040904" w:rsidP="00285B87">
            <w:pPr>
              <w:suppressAutoHyphens/>
              <w:rPr>
                <w:b/>
              </w:rPr>
            </w:pPr>
            <w:r w:rsidRPr="00285B87">
              <w:rPr>
                <w:b/>
              </w:rPr>
              <w:t> Year</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14:paraId="33E7464F" w14:textId="77777777" w:rsidR="00040904" w:rsidRPr="00521672" w:rsidRDefault="00040904" w:rsidP="00285B87">
            <w:pPr>
              <w:suppressAutoHyphens/>
              <w:rPr>
                <w:b/>
                <w:bCs/>
              </w:rPr>
            </w:pPr>
            <w:r w:rsidRPr="00521672">
              <w:rPr>
                <w:b/>
                <w:bCs/>
              </w:rPr>
              <w:t>Initial Respondents (Tier 3 and Tier 4)</w:t>
            </w:r>
          </w:p>
        </w:tc>
        <w:tc>
          <w:tcPr>
            <w:tcW w:w="2908" w:type="dxa"/>
            <w:tcBorders>
              <w:top w:val="single" w:sz="8" w:space="0" w:color="auto"/>
              <w:left w:val="nil"/>
              <w:bottom w:val="single" w:sz="8" w:space="0" w:color="auto"/>
              <w:right w:val="single" w:sz="8" w:space="0" w:color="auto"/>
            </w:tcBorders>
            <w:shd w:val="clear" w:color="auto" w:fill="auto"/>
            <w:vAlign w:val="center"/>
            <w:hideMark/>
          </w:tcPr>
          <w:p w14:paraId="4A810776" w14:textId="77777777" w:rsidR="00040904" w:rsidRPr="00521672" w:rsidRDefault="00040904" w:rsidP="00285B87">
            <w:pPr>
              <w:suppressAutoHyphens/>
              <w:rPr>
                <w:b/>
                <w:bCs/>
              </w:rPr>
            </w:pPr>
            <w:r w:rsidRPr="00521672">
              <w:rPr>
                <w:b/>
                <w:bCs/>
              </w:rPr>
              <w:t>Existing Population</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53080DA3" w14:textId="36E5250E" w:rsidR="00040904" w:rsidRPr="00521672" w:rsidRDefault="00040904" w:rsidP="00D170F7">
            <w:pPr>
              <w:suppressAutoHyphens/>
              <w:rPr>
                <w:b/>
                <w:bCs/>
              </w:rPr>
            </w:pPr>
            <w:r w:rsidRPr="00521672">
              <w:rPr>
                <w:b/>
                <w:bCs/>
              </w:rPr>
              <w:t xml:space="preserve"> </w:t>
            </w:r>
            <w:r w:rsidR="00D170F7">
              <w:rPr>
                <w:b/>
                <w:bCs/>
              </w:rPr>
              <w:t>Hires</w:t>
            </w:r>
            <w:r w:rsidRPr="00521672">
              <w:rPr>
                <w:b/>
                <w:bCs/>
              </w:rPr>
              <w:br/>
              <w:t xml:space="preserve">(Existing Population </w:t>
            </w:r>
            <w:r>
              <w:rPr>
                <w:b/>
                <w:bCs/>
              </w:rPr>
              <w:t>multiplied by</w:t>
            </w:r>
            <w:r w:rsidRPr="00521672">
              <w:rPr>
                <w:b/>
                <w:bCs/>
              </w:rPr>
              <w:t xml:space="preserve"> 4</w:t>
            </w:r>
            <w:r>
              <w:rPr>
                <w:b/>
                <w:bCs/>
              </w:rPr>
              <w:t>7</w:t>
            </w:r>
            <w:r w:rsidRPr="00521672">
              <w:rPr>
                <w:b/>
                <w:bCs/>
              </w:rPr>
              <w:t>.</w:t>
            </w:r>
            <w:r>
              <w:rPr>
                <w:b/>
                <w:bCs/>
              </w:rPr>
              <w:t>8</w:t>
            </w:r>
            <w:r w:rsidRPr="00521672">
              <w:rPr>
                <w:b/>
                <w:bCs/>
              </w:rPr>
              <w:t>%)</w:t>
            </w:r>
          </w:p>
        </w:tc>
      </w:tr>
      <w:tr w:rsidR="00040904" w:rsidRPr="00521672" w14:paraId="0CE0CC0B" w14:textId="77777777" w:rsidTr="00C878F8">
        <w:trPr>
          <w:trHeight w:val="300"/>
        </w:trPr>
        <w:tc>
          <w:tcPr>
            <w:tcW w:w="10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C4A5B5" w14:textId="77777777" w:rsidR="00040904" w:rsidRPr="00521672" w:rsidRDefault="00040904" w:rsidP="00B355C1">
            <w:pPr>
              <w:suppressAutoHyphens/>
            </w:pPr>
            <w:r w:rsidRPr="00521672">
              <w:t>Year 1</w:t>
            </w:r>
          </w:p>
        </w:tc>
        <w:tc>
          <w:tcPr>
            <w:tcW w:w="1789" w:type="dxa"/>
            <w:vMerge w:val="restart"/>
            <w:tcBorders>
              <w:top w:val="nil"/>
              <w:left w:val="single" w:sz="8" w:space="0" w:color="auto"/>
              <w:bottom w:val="single" w:sz="8" w:space="0" w:color="000000"/>
              <w:right w:val="single" w:sz="8" w:space="0" w:color="auto"/>
            </w:tcBorders>
            <w:shd w:val="clear" w:color="auto" w:fill="auto"/>
            <w:vAlign w:val="center"/>
            <w:hideMark/>
          </w:tcPr>
          <w:p w14:paraId="5A161394" w14:textId="77777777" w:rsidR="00040904" w:rsidRPr="00521672" w:rsidRDefault="00040904" w:rsidP="00B355C1">
            <w:pPr>
              <w:suppressAutoHyphens/>
            </w:pPr>
            <w:r w:rsidRPr="00521672">
              <w:t>130,698</w:t>
            </w:r>
          </w:p>
        </w:tc>
        <w:tc>
          <w:tcPr>
            <w:tcW w:w="2908" w:type="dxa"/>
            <w:tcBorders>
              <w:top w:val="nil"/>
              <w:left w:val="nil"/>
              <w:bottom w:val="nil"/>
              <w:right w:val="single" w:sz="8" w:space="0" w:color="auto"/>
            </w:tcBorders>
            <w:shd w:val="clear" w:color="auto" w:fill="auto"/>
            <w:vAlign w:val="center"/>
            <w:hideMark/>
          </w:tcPr>
          <w:p w14:paraId="1BF9F44D" w14:textId="77777777" w:rsidR="00040904" w:rsidRPr="00521672" w:rsidRDefault="00040904" w:rsidP="00B355C1">
            <w:pPr>
              <w:suppressAutoHyphens/>
            </w:pPr>
            <w:r w:rsidRPr="00521672">
              <w:t>21,200</w:t>
            </w:r>
          </w:p>
        </w:tc>
        <w:tc>
          <w:tcPr>
            <w:tcW w:w="2386" w:type="dxa"/>
            <w:vMerge w:val="restart"/>
            <w:tcBorders>
              <w:top w:val="nil"/>
              <w:left w:val="single" w:sz="8" w:space="0" w:color="auto"/>
              <w:bottom w:val="single" w:sz="8" w:space="0" w:color="000000"/>
              <w:right w:val="single" w:sz="8" w:space="0" w:color="auto"/>
            </w:tcBorders>
            <w:shd w:val="clear" w:color="auto" w:fill="auto"/>
            <w:vAlign w:val="center"/>
            <w:hideMark/>
          </w:tcPr>
          <w:p w14:paraId="5F1DF826" w14:textId="0FCB6640" w:rsidR="00040904" w:rsidRPr="00521672" w:rsidRDefault="00040904" w:rsidP="00040904">
            <w:pPr>
              <w:suppressAutoHyphens/>
            </w:pPr>
            <w:r w:rsidRPr="00521672">
              <w:t>1</w:t>
            </w:r>
            <w:r>
              <w:t>0</w:t>
            </w:r>
            <w:r w:rsidRPr="00521672">
              <w:t>,</w:t>
            </w:r>
            <w:r>
              <w:t>134</w:t>
            </w:r>
          </w:p>
        </w:tc>
      </w:tr>
      <w:tr w:rsidR="00040904" w:rsidRPr="00521672" w14:paraId="19FD927E" w14:textId="77777777" w:rsidTr="00C878F8">
        <w:trPr>
          <w:trHeight w:val="525"/>
        </w:trPr>
        <w:tc>
          <w:tcPr>
            <w:tcW w:w="1029" w:type="dxa"/>
            <w:vMerge/>
            <w:tcBorders>
              <w:top w:val="nil"/>
              <w:left w:val="single" w:sz="8" w:space="0" w:color="auto"/>
              <w:bottom w:val="single" w:sz="8" w:space="0" w:color="000000"/>
              <w:right w:val="single" w:sz="8" w:space="0" w:color="auto"/>
            </w:tcBorders>
            <w:vAlign w:val="center"/>
            <w:hideMark/>
          </w:tcPr>
          <w:p w14:paraId="27006849" w14:textId="77777777" w:rsidR="00040904" w:rsidRPr="00521672" w:rsidRDefault="00040904" w:rsidP="00285B87">
            <w:pPr>
              <w:suppressAutoHyphens/>
            </w:pPr>
          </w:p>
        </w:tc>
        <w:tc>
          <w:tcPr>
            <w:tcW w:w="1789" w:type="dxa"/>
            <w:vMerge/>
            <w:tcBorders>
              <w:top w:val="nil"/>
              <w:left w:val="single" w:sz="8" w:space="0" w:color="auto"/>
              <w:bottom w:val="single" w:sz="8" w:space="0" w:color="000000"/>
              <w:right w:val="single" w:sz="8" w:space="0" w:color="auto"/>
            </w:tcBorders>
            <w:vAlign w:val="center"/>
            <w:hideMark/>
          </w:tcPr>
          <w:p w14:paraId="55AD8B64" w14:textId="77777777" w:rsidR="00040904" w:rsidRPr="00521672" w:rsidRDefault="00040904" w:rsidP="00285B87">
            <w:pPr>
              <w:suppressAutoHyphens/>
            </w:pPr>
          </w:p>
        </w:tc>
        <w:tc>
          <w:tcPr>
            <w:tcW w:w="2908" w:type="dxa"/>
            <w:tcBorders>
              <w:top w:val="nil"/>
              <w:left w:val="nil"/>
              <w:bottom w:val="single" w:sz="8" w:space="0" w:color="auto"/>
              <w:right w:val="single" w:sz="8" w:space="0" w:color="auto"/>
            </w:tcBorders>
            <w:shd w:val="clear" w:color="auto" w:fill="auto"/>
            <w:vAlign w:val="center"/>
            <w:hideMark/>
          </w:tcPr>
          <w:p w14:paraId="7DC9511E" w14:textId="77777777" w:rsidR="00040904" w:rsidRPr="00521672" w:rsidRDefault="00040904" w:rsidP="00285B87">
            <w:pPr>
              <w:suppressAutoHyphens/>
            </w:pPr>
            <w:r w:rsidRPr="00521672">
              <w:t>(Initial Respondents Tier 1 and Tier 2 from previous collection)</w:t>
            </w:r>
          </w:p>
        </w:tc>
        <w:tc>
          <w:tcPr>
            <w:tcW w:w="2386" w:type="dxa"/>
            <w:vMerge/>
            <w:tcBorders>
              <w:top w:val="nil"/>
              <w:left w:val="single" w:sz="8" w:space="0" w:color="auto"/>
              <w:bottom w:val="single" w:sz="8" w:space="0" w:color="000000"/>
              <w:right w:val="single" w:sz="8" w:space="0" w:color="auto"/>
            </w:tcBorders>
            <w:vAlign w:val="center"/>
            <w:hideMark/>
          </w:tcPr>
          <w:p w14:paraId="2F39EB47" w14:textId="77777777" w:rsidR="00040904" w:rsidRPr="00521672" w:rsidRDefault="00040904" w:rsidP="00285B87">
            <w:pPr>
              <w:suppressAutoHyphens/>
            </w:pPr>
          </w:p>
        </w:tc>
      </w:tr>
      <w:tr w:rsidR="00040904" w:rsidRPr="00521672" w14:paraId="2FBA5113" w14:textId="77777777" w:rsidTr="00C878F8">
        <w:trPr>
          <w:trHeight w:val="300"/>
        </w:trPr>
        <w:tc>
          <w:tcPr>
            <w:tcW w:w="10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E9B5E1" w14:textId="77777777" w:rsidR="00040904" w:rsidRPr="00521672" w:rsidRDefault="00040904" w:rsidP="00B355C1">
            <w:pPr>
              <w:suppressAutoHyphens/>
            </w:pPr>
            <w:r w:rsidRPr="00521672">
              <w:t>Year 2</w:t>
            </w:r>
          </w:p>
        </w:tc>
        <w:tc>
          <w:tcPr>
            <w:tcW w:w="1789" w:type="dxa"/>
            <w:vMerge w:val="restart"/>
            <w:tcBorders>
              <w:top w:val="nil"/>
              <w:left w:val="single" w:sz="8" w:space="0" w:color="auto"/>
              <w:bottom w:val="single" w:sz="8" w:space="0" w:color="000000"/>
              <w:right w:val="single" w:sz="8" w:space="0" w:color="auto"/>
            </w:tcBorders>
            <w:shd w:val="clear" w:color="auto" w:fill="auto"/>
            <w:vAlign w:val="center"/>
            <w:hideMark/>
          </w:tcPr>
          <w:p w14:paraId="33F344DE" w14:textId="77777777" w:rsidR="00040904" w:rsidRPr="00521672" w:rsidRDefault="00040904" w:rsidP="00B355C1">
            <w:pPr>
              <w:suppressAutoHyphens/>
            </w:pPr>
            <w:r w:rsidRPr="00521672">
              <w:t>130,698</w:t>
            </w:r>
          </w:p>
        </w:tc>
        <w:tc>
          <w:tcPr>
            <w:tcW w:w="2908" w:type="dxa"/>
            <w:tcBorders>
              <w:top w:val="nil"/>
              <w:left w:val="nil"/>
              <w:bottom w:val="nil"/>
              <w:right w:val="single" w:sz="8" w:space="0" w:color="auto"/>
            </w:tcBorders>
            <w:shd w:val="clear" w:color="auto" w:fill="auto"/>
            <w:vAlign w:val="center"/>
            <w:hideMark/>
          </w:tcPr>
          <w:p w14:paraId="16A5C11B" w14:textId="77777777" w:rsidR="00040904" w:rsidRPr="00521672" w:rsidRDefault="00040904" w:rsidP="00B355C1">
            <w:pPr>
              <w:suppressAutoHyphens/>
            </w:pPr>
            <w:r w:rsidRPr="00521672">
              <w:t>151,898</w:t>
            </w:r>
          </w:p>
        </w:tc>
        <w:tc>
          <w:tcPr>
            <w:tcW w:w="2386" w:type="dxa"/>
            <w:vMerge w:val="restart"/>
            <w:tcBorders>
              <w:top w:val="nil"/>
              <w:left w:val="single" w:sz="8" w:space="0" w:color="auto"/>
              <w:bottom w:val="single" w:sz="8" w:space="0" w:color="000000"/>
              <w:right w:val="single" w:sz="8" w:space="0" w:color="auto"/>
            </w:tcBorders>
            <w:shd w:val="clear" w:color="auto" w:fill="auto"/>
            <w:vAlign w:val="center"/>
            <w:hideMark/>
          </w:tcPr>
          <w:p w14:paraId="6FEDF515" w14:textId="091E68C4" w:rsidR="00040904" w:rsidRPr="00521672" w:rsidRDefault="00040904" w:rsidP="00040904">
            <w:pPr>
              <w:suppressAutoHyphens/>
            </w:pPr>
            <w:r w:rsidRPr="00521672">
              <w:t>7</w:t>
            </w:r>
            <w:r>
              <w:t>2</w:t>
            </w:r>
            <w:r w:rsidRPr="00521672">
              <w:t>,</w:t>
            </w:r>
            <w:r>
              <w:t>607</w:t>
            </w:r>
          </w:p>
        </w:tc>
      </w:tr>
      <w:tr w:rsidR="00040904" w:rsidRPr="00521672" w14:paraId="6C12C591" w14:textId="77777777" w:rsidTr="00C878F8">
        <w:trPr>
          <w:trHeight w:val="780"/>
        </w:trPr>
        <w:tc>
          <w:tcPr>
            <w:tcW w:w="1029" w:type="dxa"/>
            <w:vMerge/>
            <w:tcBorders>
              <w:top w:val="nil"/>
              <w:left w:val="single" w:sz="8" w:space="0" w:color="auto"/>
              <w:bottom w:val="single" w:sz="8" w:space="0" w:color="000000"/>
              <w:right w:val="single" w:sz="8" w:space="0" w:color="auto"/>
            </w:tcBorders>
            <w:vAlign w:val="center"/>
            <w:hideMark/>
          </w:tcPr>
          <w:p w14:paraId="19C52404" w14:textId="77777777" w:rsidR="00040904" w:rsidRPr="00521672" w:rsidRDefault="00040904" w:rsidP="00285B87">
            <w:pPr>
              <w:suppressAutoHyphens/>
            </w:pPr>
          </w:p>
        </w:tc>
        <w:tc>
          <w:tcPr>
            <w:tcW w:w="1789" w:type="dxa"/>
            <w:vMerge/>
            <w:tcBorders>
              <w:top w:val="nil"/>
              <w:left w:val="single" w:sz="8" w:space="0" w:color="auto"/>
              <w:bottom w:val="single" w:sz="8" w:space="0" w:color="000000"/>
              <w:right w:val="single" w:sz="8" w:space="0" w:color="auto"/>
            </w:tcBorders>
            <w:vAlign w:val="center"/>
            <w:hideMark/>
          </w:tcPr>
          <w:p w14:paraId="3B036653" w14:textId="77777777" w:rsidR="00040904" w:rsidRPr="00521672" w:rsidRDefault="00040904" w:rsidP="00285B87">
            <w:pPr>
              <w:suppressAutoHyphens/>
            </w:pPr>
          </w:p>
        </w:tc>
        <w:tc>
          <w:tcPr>
            <w:tcW w:w="2908" w:type="dxa"/>
            <w:tcBorders>
              <w:top w:val="nil"/>
              <w:left w:val="nil"/>
              <w:bottom w:val="single" w:sz="8" w:space="0" w:color="auto"/>
              <w:right w:val="single" w:sz="8" w:space="0" w:color="auto"/>
            </w:tcBorders>
            <w:shd w:val="clear" w:color="auto" w:fill="auto"/>
            <w:vAlign w:val="center"/>
            <w:hideMark/>
          </w:tcPr>
          <w:p w14:paraId="0C7952D3" w14:textId="77777777" w:rsidR="00040904" w:rsidRPr="00521672" w:rsidRDefault="00040904" w:rsidP="00285B87">
            <w:pPr>
              <w:suppressAutoHyphens/>
            </w:pPr>
            <w:r w:rsidRPr="00521672">
              <w:t>(Tier 1 and Tier 2 initial respondents plus year 1 Tier 3 and Tier 4 initial respondents)</w:t>
            </w:r>
          </w:p>
        </w:tc>
        <w:tc>
          <w:tcPr>
            <w:tcW w:w="2386" w:type="dxa"/>
            <w:vMerge/>
            <w:tcBorders>
              <w:top w:val="nil"/>
              <w:left w:val="single" w:sz="8" w:space="0" w:color="auto"/>
              <w:bottom w:val="single" w:sz="8" w:space="0" w:color="000000"/>
              <w:right w:val="single" w:sz="8" w:space="0" w:color="auto"/>
            </w:tcBorders>
            <w:vAlign w:val="center"/>
            <w:hideMark/>
          </w:tcPr>
          <w:p w14:paraId="256B25DF" w14:textId="77777777" w:rsidR="00040904" w:rsidRPr="00521672" w:rsidRDefault="00040904" w:rsidP="00285B87">
            <w:pPr>
              <w:suppressAutoHyphens/>
            </w:pPr>
          </w:p>
        </w:tc>
      </w:tr>
      <w:tr w:rsidR="00040904" w:rsidRPr="00521672" w14:paraId="090D8D82" w14:textId="77777777" w:rsidTr="00C878F8">
        <w:trPr>
          <w:trHeight w:val="300"/>
        </w:trPr>
        <w:tc>
          <w:tcPr>
            <w:tcW w:w="10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324A9B" w14:textId="77777777" w:rsidR="00040904" w:rsidRPr="00521672" w:rsidRDefault="00040904" w:rsidP="00B355C1">
            <w:pPr>
              <w:suppressAutoHyphens/>
            </w:pPr>
            <w:r w:rsidRPr="00521672">
              <w:t>Year 3</w:t>
            </w:r>
          </w:p>
        </w:tc>
        <w:tc>
          <w:tcPr>
            <w:tcW w:w="1789" w:type="dxa"/>
            <w:vMerge w:val="restart"/>
            <w:tcBorders>
              <w:top w:val="nil"/>
              <w:left w:val="single" w:sz="8" w:space="0" w:color="auto"/>
              <w:bottom w:val="single" w:sz="8" w:space="0" w:color="000000"/>
              <w:right w:val="single" w:sz="8" w:space="0" w:color="auto"/>
            </w:tcBorders>
            <w:shd w:val="clear" w:color="auto" w:fill="auto"/>
            <w:vAlign w:val="center"/>
            <w:hideMark/>
          </w:tcPr>
          <w:p w14:paraId="4F64EAC2" w14:textId="77777777" w:rsidR="00040904" w:rsidRPr="00521672" w:rsidRDefault="00040904" w:rsidP="00B355C1">
            <w:pPr>
              <w:suppressAutoHyphens/>
            </w:pPr>
            <w:r w:rsidRPr="00521672">
              <w:t>130,698</w:t>
            </w:r>
          </w:p>
        </w:tc>
        <w:tc>
          <w:tcPr>
            <w:tcW w:w="2908" w:type="dxa"/>
            <w:tcBorders>
              <w:top w:val="nil"/>
              <w:left w:val="nil"/>
              <w:bottom w:val="nil"/>
              <w:right w:val="single" w:sz="8" w:space="0" w:color="auto"/>
            </w:tcBorders>
            <w:shd w:val="clear" w:color="auto" w:fill="auto"/>
            <w:vAlign w:val="center"/>
            <w:hideMark/>
          </w:tcPr>
          <w:p w14:paraId="6D8EF522" w14:textId="77777777" w:rsidR="00040904" w:rsidRPr="00521672" w:rsidRDefault="00040904" w:rsidP="00B355C1">
            <w:pPr>
              <w:suppressAutoHyphens/>
            </w:pPr>
            <w:r w:rsidRPr="00521672">
              <w:t>282,596</w:t>
            </w:r>
          </w:p>
        </w:tc>
        <w:tc>
          <w:tcPr>
            <w:tcW w:w="2386" w:type="dxa"/>
            <w:vMerge w:val="restart"/>
            <w:tcBorders>
              <w:top w:val="nil"/>
              <w:left w:val="single" w:sz="8" w:space="0" w:color="auto"/>
              <w:bottom w:val="single" w:sz="8" w:space="0" w:color="000000"/>
              <w:right w:val="single" w:sz="8" w:space="0" w:color="auto"/>
            </w:tcBorders>
            <w:shd w:val="clear" w:color="auto" w:fill="auto"/>
            <w:vAlign w:val="center"/>
            <w:hideMark/>
          </w:tcPr>
          <w:p w14:paraId="205EFF55" w14:textId="6EA5CD90" w:rsidR="00040904" w:rsidRPr="00521672" w:rsidRDefault="00040904" w:rsidP="00040904">
            <w:pPr>
              <w:suppressAutoHyphens/>
            </w:pPr>
            <w:r w:rsidRPr="00521672">
              <w:t>13</w:t>
            </w:r>
            <w:r>
              <w:t>5</w:t>
            </w:r>
            <w:r w:rsidRPr="00521672">
              <w:t>,</w:t>
            </w:r>
            <w:r>
              <w:t>081</w:t>
            </w:r>
          </w:p>
        </w:tc>
      </w:tr>
      <w:tr w:rsidR="00040904" w:rsidRPr="00521672" w14:paraId="17D5266A" w14:textId="77777777" w:rsidTr="00C878F8">
        <w:trPr>
          <w:trHeight w:val="780"/>
        </w:trPr>
        <w:tc>
          <w:tcPr>
            <w:tcW w:w="1029" w:type="dxa"/>
            <w:vMerge/>
            <w:tcBorders>
              <w:top w:val="nil"/>
              <w:left w:val="single" w:sz="8" w:space="0" w:color="auto"/>
              <w:bottom w:val="single" w:sz="8" w:space="0" w:color="000000"/>
              <w:right w:val="single" w:sz="8" w:space="0" w:color="auto"/>
            </w:tcBorders>
            <w:vAlign w:val="center"/>
            <w:hideMark/>
          </w:tcPr>
          <w:p w14:paraId="67FA6E4B" w14:textId="77777777" w:rsidR="00040904" w:rsidRPr="00521672" w:rsidRDefault="00040904" w:rsidP="00285B87">
            <w:pPr>
              <w:suppressAutoHyphens/>
            </w:pPr>
          </w:p>
        </w:tc>
        <w:tc>
          <w:tcPr>
            <w:tcW w:w="1789" w:type="dxa"/>
            <w:vMerge/>
            <w:tcBorders>
              <w:top w:val="nil"/>
              <w:left w:val="single" w:sz="8" w:space="0" w:color="auto"/>
              <w:bottom w:val="single" w:sz="8" w:space="0" w:color="000000"/>
              <w:right w:val="single" w:sz="8" w:space="0" w:color="auto"/>
            </w:tcBorders>
            <w:vAlign w:val="center"/>
            <w:hideMark/>
          </w:tcPr>
          <w:p w14:paraId="0D662AAF" w14:textId="77777777" w:rsidR="00040904" w:rsidRPr="00521672" w:rsidRDefault="00040904" w:rsidP="00285B87">
            <w:pPr>
              <w:suppressAutoHyphens/>
            </w:pPr>
          </w:p>
        </w:tc>
        <w:tc>
          <w:tcPr>
            <w:tcW w:w="2908" w:type="dxa"/>
            <w:tcBorders>
              <w:top w:val="nil"/>
              <w:left w:val="nil"/>
              <w:bottom w:val="single" w:sz="8" w:space="0" w:color="auto"/>
              <w:right w:val="single" w:sz="8" w:space="0" w:color="auto"/>
            </w:tcBorders>
            <w:shd w:val="clear" w:color="auto" w:fill="auto"/>
            <w:vAlign w:val="center"/>
            <w:hideMark/>
          </w:tcPr>
          <w:p w14:paraId="23804395" w14:textId="77777777" w:rsidR="00040904" w:rsidRPr="00521672" w:rsidRDefault="00040904" w:rsidP="00285B87">
            <w:pPr>
              <w:suppressAutoHyphens/>
            </w:pPr>
            <w:r w:rsidRPr="00521672">
              <w:t>(Year two total affected individual plus year three initial submission Tier 3 and Tier 4)</w:t>
            </w:r>
          </w:p>
        </w:tc>
        <w:tc>
          <w:tcPr>
            <w:tcW w:w="2386" w:type="dxa"/>
            <w:vMerge/>
            <w:tcBorders>
              <w:top w:val="nil"/>
              <w:left w:val="single" w:sz="8" w:space="0" w:color="auto"/>
              <w:bottom w:val="single" w:sz="8" w:space="0" w:color="000000"/>
              <w:right w:val="single" w:sz="8" w:space="0" w:color="auto"/>
            </w:tcBorders>
            <w:vAlign w:val="center"/>
            <w:hideMark/>
          </w:tcPr>
          <w:p w14:paraId="0AAD73F6" w14:textId="77777777" w:rsidR="00040904" w:rsidRPr="00521672" w:rsidRDefault="00040904" w:rsidP="00285B87">
            <w:pPr>
              <w:suppressAutoHyphens/>
            </w:pPr>
          </w:p>
        </w:tc>
      </w:tr>
      <w:tr w:rsidR="00040904" w:rsidRPr="00521672" w14:paraId="3534E049" w14:textId="77777777" w:rsidTr="00C878F8">
        <w:trPr>
          <w:trHeight w:val="315"/>
        </w:trPr>
        <w:tc>
          <w:tcPr>
            <w:tcW w:w="1029" w:type="dxa"/>
            <w:tcBorders>
              <w:top w:val="nil"/>
              <w:left w:val="single" w:sz="8" w:space="0" w:color="auto"/>
              <w:bottom w:val="single" w:sz="8" w:space="0" w:color="auto"/>
              <w:right w:val="single" w:sz="8" w:space="0" w:color="auto"/>
            </w:tcBorders>
            <w:shd w:val="clear" w:color="auto" w:fill="auto"/>
            <w:noWrap/>
            <w:vAlign w:val="center"/>
            <w:hideMark/>
          </w:tcPr>
          <w:p w14:paraId="672F766A" w14:textId="77777777" w:rsidR="00040904" w:rsidRPr="00521672" w:rsidRDefault="00040904" w:rsidP="00B355C1">
            <w:pPr>
              <w:suppressAutoHyphens/>
            </w:pPr>
            <w:r w:rsidRPr="00521672">
              <w:t>Average</w:t>
            </w:r>
          </w:p>
        </w:tc>
        <w:tc>
          <w:tcPr>
            <w:tcW w:w="1789" w:type="dxa"/>
            <w:tcBorders>
              <w:top w:val="nil"/>
              <w:left w:val="nil"/>
              <w:bottom w:val="single" w:sz="8" w:space="0" w:color="auto"/>
              <w:right w:val="single" w:sz="8" w:space="0" w:color="auto"/>
            </w:tcBorders>
            <w:shd w:val="clear" w:color="auto" w:fill="auto"/>
            <w:vAlign w:val="center"/>
            <w:hideMark/>
          </w:tcPr>
          <w:p w14:paraId="22DEAC68" w14:textId="77777777" w:rsidR="00040904" w:rsidRPr="00521672" w:rsidRDefault="00040904" w:rsidP="00B355C1">
            <w:pPr>
              <w:suppressAutoHyphens/>
            </w:pPr>
            <w:r w:rsidRPr="00521672">
              <w:t>130,698</w:t>
            </w:r>
          </w:p>
        </w:tc>
        <w:tc>
          <w:tcPr>
            <w:tcW w:w="2908" w:type="dxa"/>
            <w:tcBorders>
              <w:top w:val="nil"/>
              <w:left w:val="nil"/>
              <w:bottom w:val="single" w:sz="8" w:space="0" w:color="auto"/>
              <w:right w:val="single" w:sz="8" w:space="0" w:color="auto"/>
            </w:tcBorders>
            <w:shd w:val="clear" w:color="auto" w:fill="auto"/>
            <w:vAlign w:val="center"/>
            <w:hideMark/>
          </w:tcPr>
          <w:p w14:paraId="5388DAD6" w14:textId="77777777" w:rsidR="00040904" w:rsidRPr="00521672" w:rsidRDefault="00040904" w:rsidP="00B355C1">
            <w:pPr>
              <w:suppressAutoHyphens/>
            </w:pPr>
            <w:r w:rsidRPr="00521672">
              <w:t> </w:t>
            </w:r>
          </w:p>
        </w:tc>
        <w:tc>
          <w:tcPr>
            <w:tcW w:w="2386" w:type="dxa"/>
            <w:tcBorders>
              <w:top w:val="nil"/>
              <w:left w:val="nil"/>
              <w:bottom w:val="single" w:sz="8" w:space="0" w:color="auto"/>
              <w:right w:val="single" w:sz="8" w:space="0" w:color="auto"/>
            </w:tcBorders>
            <w:shd w:val="clear" w:color="auto" w:fill="auto"/>
            <w:vAlign w:val="center"/>
            <w:hideMark/>
          </w:tcPr>
          <w:p w14:paraId="44402167" w14:textId="69CC0D83" w:rsidR="00040904" w:rsidRPr="00521672" w:rsidRDefault="00040904" w:rsidP="00040904">
            <w:pPr>
              <w:suppressAutoHyphens/>
            </w:pPr>
            <w:r w:rsidRPr="00521672">
              <w:t>7</w:t>
            </w:r>
            <w:r>
              <w:t>2</w:t>
            </w:r>
            <w:r w:rsidRPr="00521672">
              <w:t>,</w:t>
            </w:r>
            <w:r>
              <w:t>607</w:t>
            </w:r>
          </w:p>
        </w:tc>
      </w:tr>
    </w:tbl>
    <w:p w14:paraId="488D31DA" w14:textId="77777777" w:rsidR="00521672" w:rsidRPr="00521672" w:rsidRDefault="00521672" w:rsidP="00285B87">
      <w:pPr>
        <w:suppressAutoHyphens/>
      </w:pPr>
    </w:p>
    <w:p w14:paraId="7F16182C" w14:textId="49F984BD" w:rsidR="00521672" w:rsidRDefault="00521672" w:rsidP="00285B87">
      <w:pPr>
        <w:suppressAutoHyphens/>
      </w:pPr>
      <w:r w:rsidRPr="00521672">
        <w:t>To determine the burden for the respondents discussed above, the Department assumes that each respondent will submit one response that will take approximately 10 minutes (0.1667 hours) to</w:t>
      </w:r>
      <w:r w:rsidR="001C4EF1">
        <w:t xml:space="preserve"> notify and</w:t>
      </w:r>
      <w:r w:rsidRPr="00521672">
        <w:t xml:space="preserve"> submit. </w:t>
      </w:r>
      <w:r w:rsidR="00B355C1">
        <w:t xml:space="preserve"> </w:t>
      </w:r>
      <w:r w:rsidRPr="00521672">
        <w:t xml:space="preserve">Multiplying the number of respondents per year by the time burden of 0.1667 hours results in an estimated </w:t>
      </w:r>
      <w:r w:rsidR="000134D5">
        <w:t>12</w:t>
      </w:r>
      <w:r w:rsidRPr="00521672">
        <w:t>,</w:t>
      </w:r>
      <w:r w:rsidR="000134D5">
        <w:t>101</w:t>
      </w:r>
      <w:r w:rsidRPr="00521672">
        <w:t xml:space="preserve"> annual burden</w:t>
      </w:r>
      <w:r>
        <w:t xml:space="preserve"> hours</w:t>
      </w:r>
      <w:r w:rsidRPr="00521672">
        <w:t xml:space="preserve">.  To estimate the cost, we multiply the estimated hour burden by the fully loaded annual wage of a site security office (SSO). </w:t>
      </w:r>
      <w:r w:rsidR="007C4C4D">
        <w:t xml:space="preserve"> </w:t>
      </w:r>
      <w:r w:rsidRPr="00521672">
        <w:t>The SSO’s average hourly wage rate of $78.93 was based on an average hourly wage rate of $53.92</w:t>
      </w:r>
      <w:r w:rsidRPr="00285B87">
        <w:rPr>
          <w:vertAlign w:val="superscript"/>
        </w:rPr>
        <w:footnoteReference w:id="7"/>
      </w:r>
      <w:r w:rsidRPr="00521672">
        <w:t xml:space="preserve"> with a benefits multiplier of 1.4639</w:t>
      </w:r>
      <w:r w:rsidR="007C4C4D">
        <w:t>.</w:t>
      </w:r>
      <w:r w:rsidRPr="00285B87">
        <w:rPr>
          <w:vertAlign w:val="superscript"/>
        </w:rPr>
        <w:footnoteReference w:id="8"/>
      </w:r>
      <w:r w:rsidRPr="00521672">
        <w:t xml:space="preserve">  Therefore</w:t>
      </w:r>
      <w:r w:rsidR="007C4C4D">
        <w:t>,</w:t>
      </w:r>
      <w:r w:rsidRPr="00521672">
        <w:t xml:space="preserve"> the Department estimates the annual cost of this information request to be $</w:t>
      </w:r>
      <w:r w:rsidR="0053100C">
        <w:t>2,674,600</w:t>
      </w:r>
      <w:r w:rsidRPr="00521672">
        <w:t xml:space="preserve"> (i.e., </w:t>
      </w:r>
      <w:r w:rsidR="0053100C">
        <w:t>33,884</w:t>
      </w:r>
      <w:r w:rsidRPr="00521672">
        <w:t xml:space="preserve"> hours multiplied by $78.93 per hour).  This </w:t>
      </w:r>
      <w:r w:rsidR="005F1279">
        <w:t xml:space="preserve">information </w:t>
      </w:r>
      <w:r w:rsidRPr="00521672">
        <w:t xml:space="preserve">is presented in Table </w:t>
      </w:r>
      <w:r w:rsidR="00C76017">
        <w:t>5</w:t>
      </w:r>
      <w:r w:rsidRPr="00521672">
        <w:t>.</w:t>
      </w:r>
    </w:p>
    <w:p w14:paraId="0DAA43C1" w14:textId="77777777" w:rsidR="00521672" w:rsidRPr="00521672" w:rsidRDefault="00521672" w:rsidP="00285B87">
      <w:pPr>
        <w:suppressAutoHyphens/>
      </w:pPr>
    </w:p>
    <w:p w14:paraId="57F5E8A7" w14:textId="046611AB" w:rsidR="00521672" w:rsidRPr="00521672" w:rsidRDefault="00521672" w:rsidP="00285B87">
      <w:pPr>
        <w:suppressAutoHyphens/>
        <w:jc w:val="center"/>
        <w:rPr>
          <w:b/>
        </w:rPr>
      </w:pPr>
      <w:r w:rsidRPr="00521672">
        <w:rPr>
          <w:b/>
        </w:rPr>
        <w:t xml:space="preserve">Table </w:t>
      </w:r>
      <w:r w:rsidR="00C76017">
        <w:rPr>
          <w:b/>
        </w:rPr>
        <w:t>5</w:t>
      </w:r>
      <w:r w:rsidR="005F1279">
        <w:rPr>
          <w:b/>
        </w:rPr>
        <w:t>.</w:t>
      </w:r>
      <w:r w:rsidRPr="00521672">
        <w:rPr>
          <w:b/>
        </w:rPr>
        <w:t xml:space="preserve"> Instrument Burden Estimate</w:t>
      </w:r>
      <w:r w:rsidR="005F1279" w:rsidRPr="001455D5">
        <w:rPr>
          <w:vertAlign w:val="superscript"/>
        </w:rPr>
        <w:footnoteReference w:id="9"/>
      </w:r>
    </w:p>
    <w:tbl>
      <w:tblPr>
        <w:tblW w:w="11719" w:type="dxa"/>
        <w:tblInd w:w="-1090" w:type="dxa"/>
        <w:tblLayout w:type="fixed"/>
        <w:tblLook w:val="04A0" w:firstRow="1" w:lastRow="0" w:firstColumn="1" w:lastColumn="0" w:noHBand="0" w:noVBand="1"/>
      </w:tblPr>
      <w:tblGrid>
        <w:gridCol w:w="1530"/>
        <w:gridCol w:w="1530"/>
        <w:gridCol w:w="1440"/>
        <w:gridCol w:w="1350"/>
        <w:gridCol w:w="1260"/>
        <w:gridCol w:w="1260"/>
        <w:gridCol w:w="1800"/>
        <w:gridCol w:w="1549"/>
      </w:tblGrid>
      <w:tr w:rsidR="006F5BE0" w:rsidRPr="005F1279" w14:paraId="46ABD3FB" w14:textId="77777777" w:rsidTr="00A964E3">
        <w:trPr>
          <w:trHeight w:val="1718"/>
        </w:trPr>
        <w:tc>
          <w:tcPr>
            <w:tcW w:w="153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FEB2896" w14:textId="77777777" w:rsidR="005F1279" w:rsidRPr="00285B87" w:rsidRDefault="005F1279" w:rsidP="00285B87">
            <w:pPr>
              <w:suppressAutoHyphens/>
              <w:rPr>
                <w:b/>
              </w:rPr>
            </w:pPr>
            <w:r w:rsidRPr="00285B87">
              <w:rPr>
                <w:b/>
              </w:rPr>
              <w:t>Respondent Type</w:t>
            </w:r>
          </w:p>
        </w:tc>
        <w:tc>
          <w:tcPr>
            <w:tcW w:w="153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03C0B0C" w14:textId="77777777" w:rsidR="005F1279" w:rsidRDefault="005F1279" w:rsidP="00285B87">
            <w:pPr>
              <w:suppressAutoHyphens/>
              <w:rPr>
                <w:b/>
              </w:rPr>
            </w:pPr>
            <w:r w:rsidRPr="00285B87">
              <w:rPr>
                <w:b/>
              </w:rPr>
              <w:t># of Respondents</w:t>
            </w:r>
          </w:p>
          <w:p w14:paraId="4B80B4C5" w14:textId="173F7796" w:rsidR="006A1CB6" w:rsidRPr="00285B87" w:rsidRDefault="006A1CB6" w:rsidP="00285B87">
            <w:pPr>
              <w:suppressAutoHyphens/>
              <w:rPr>
                <w:b/>
              </w:rPr>
            </w:pPr>
            <w:r>
              <w:rPr>
                <w:b/>
              </w:rPr>
              <w:t>(per year)</w:t>
            </w:r>
          </w:p>
        </w:tc>
        <w:tc>
          <w:tcPr>
            <w:tcW w:w="144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3A3BED6" w14:textId="77777777" w:rsidR="005F1279" w:rsidRPr="00285B87" w:rsidRDefault="005F1279" w:rsidP="00285B87">
            <w:pPr>
              <w:suppressAutoHyphens/>
              <w:rPr>
                <w:b/>
              </w:rPr>
            </w:pPr>
            <w:r w:rsidRPr="00285B87">
              <w:rPr>
                <w:b/>
              </w:rPr>
              <w:t>Responses per Respondent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55D28362" w14:textId="77777777" w:rsidR="005F1279" w:rsidRPr="00285B87" w:rsidRDefault="005F1279" w:rsidP="0007373B">
            <w:pPr>
              <w:suppressAutoHyphens/>
              <w:rPr>
                <w:b/>
              </w:rPr>
            </w:pPr>
            <w:r w:rsidRPr="00285B87">
              <w:rPr>
                <w:b/>
              </w:rPr>
              <w:t xml:space="preserve">Total </w:t>
            </w:r>
          </w:p>
          <w:p w14:paraId="3B5B5750" w14:textId="77777777" w:rsidR="005F1279" w:rsidRDefault="005F1279" w:rsidP="00285B87">
            <w:pPr>
              <w:suppressAutoHyphens/>
              <w:rPr>
                <w:b/>
              </w:rPr>
            </w:pPr>
            <w:r w:rsidRPr="00285B87">
              <w:rPr>
                <w:b/>
              </w:rPr>
              <w:t>Responses</w:t>
            </w:r>
          </w:p>
          <w:p w14:paraId="5BDCE657" w14:textId="56E2F4FE" w:rsidR="006A1CB6" w:rsidRPr="00285B87" w:rsidRDefault="006A1CB6" w:rsidP="00285B87">
            <w:pPr>
              <w:suppressAutoHyphens/>
              <w:rPr>
                <w:b/>
              </w:rPr>
            </w:pPr>
            <w:r>
              <w:rPr>
                <w:b/>
              </w:rPr>
              <w:t>(per year)</w:t>
            </w:r>
          </w:p>
        </w:tc>
        <w:tc>
          <w:tcPr>
            <w:tcW w:w="126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47D8633" w14:textId="77777777" w:rsidR="005F1279" w:rsidRPr="00285B87" w:rsidRDefault="005F1279" w:rsidP="00285B87">
            <w:pPr>
              <w:suppressAutoHyphens/>
              <w:rPr>
                <w:b/>
              </w:rPr>
            </w:pPr>
            <w:r w:rsidRPr="00285B87">
              <w:rPr>
                <w:b/>
              </w:rPr>
              <w:t>Average Burden per Response (in hours)</w:t>
            </w:r>
          </w:p>
        </w:tc>
        <w:tc>
          <w:tcPr>
            <w:tcW w:w="126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184D22A" w14:textId="77777777" w:rsidR="006F5BE0" w:rsidRDefault="005F1279" w:rsidP="00285B87">
            <w:pPr>
              <w:suppressAutoHyphens/>
              <w:rPr>
                <w:b/>
              </w:rPr>
            </w:pPr>
            <w:r w:rsidRPr="00285B87">
              <w:rPr>
                <w:b/>
              </w:rPr>
              <w:t xml:space="preserve">Total Annual Burden </w:t>
            </w:r>
          </w:p>
          <w:p w14:paraId="1E923044" w14:textId="4104001B" w:rsidR="005F1279" w:rsidRPr="00285B87" w:rsidRDefault="005F1279" w:rsidP="00285B87">
            <w:pPr>
              <w:suppressAutoHyphens/>
              <w:rPr>
                <w:b/>
              </w:rPr>
            </w:pPr>
            <w:r w:rsidRPr="00285B87">
              <w:rPr>
                <w:b/>
              </w:rPr>
              <w:t>(in hours)</w:t>
            </w:r>
          </w:p>
        </w:tc>
        <w:tc>
          <w:tcPr>
            <w:tcW w:w="180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9525D18" w14:textId="167C6AF9" w:rsidR="005F1279" w:rsidRPr="00285B87" w:rsidRDefault="00824223" w:rsidP="00285B87">
            <w:pPr>
              <w:suppressAutoHyphens/>
              <w:rPr>
                <w:b/>
              </w:rPr>
            </w:pPr>
            <w:r>
              <w:rPr>
                <w:b/>
              </w:rPr>
              <w:t>S</w:t>
            </w:r>
            <w:r w:rsidRPr="00824223">
              <w:rPr>
                <w:b/>
              </w:rPr>
              <w:t>ite security officer’s average hourly wage rate</w:t>
            </w:r>
          </w:p>
        </w:tc>
        <w:tc>
          <w:tcPr>
            <w:tcW w:w="154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D978F70" w14:textId="77777777" w:rsidR="006F5BE0" w:rsidRDefault="005F1279" w:rsidP="00285B87">
            <w:pPr>
              <w:suppressAutoHyphens/>
              <w:rPr>
                <w:b/>
              </w:rPr>
            </w:pPr>
            <w:r w:rsidRPr="00285B87">
              <w:rPr>
                <w:b/>
              </w:rPr>
              <w:t xml:space="preserve">Total Burden Cost </w:t>
            </w:r>
          </w:p>
          <w:p w14:paraId="17CA4AFF" w14:textId="46120D5D" w:rsidR="005F1279" w:rsidRPr="00285B87" w:rsidRDefault="005F1279" w:rsidP="00285B87">
            <w:pPr>
              <w:suppressAutoHyphens/>
              <w:rPr>
                <w:b/>
              </w:rPr>
            </w:pPr>
            <w:r w:rsidRPr="00285B87">
              <w:rPr>
                <w:b/>
              </w:rPr>
              <w:t>(in dollars)</w:t>
            </w:r>
          </w:p>
        </w:tc>
      </w:tr>
      <w:tr w:rsidR="006F5BE0" w:rsidRPr="00521672" w14:paraId="46BE0CEB" w14:textId="77777777" w:rsidTr="00A964E3">
        <w:trPr>
          <w:trHeight w:val="544"/>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72C1E2BE" w14:textId="77777777" w:rsidR="00521672" w:rsidRPr="00521672" w:rsidRDefault="00521672" w:rsidP="00285B87">
            <w:pPr>
              <w:suppressAutoHyphens/>
            </w:pPr>
            <w:r w:rsidRPr="00521672">
              <w:t>Initial Respondents</w:t>
            </w:r>
          </w:p>
        </w:tc>
        <w:tc>
          <w:tcPr>
            <w:tcW w:w="1530" w:type="dxa"/>
            <w:tcBorders>
              <w:top w:val="nil"/>
              <w:left w:val="nil"/>
              <w:bottom w:val="single" w:sz="8" w:space="0" w:color="auto"/>
              <w:right w:val="single" w:sz="8" w:space="0" w:color="auto"/>
            </w:tcBorders>
            <w:shd w:val="clear" w:color="auto" w:fill="auto"/>
            <w:vAlign w:val="center"/>
            <w:hideMark/>
          </w:tcPr>
          <w:p w14:paraId="132487C4" w14:textId="77777777" w:rsidR="00521672" w:rsidRPr="00521672" w:rsidRDefault="00521672" w:rsidP="00285B87">
            <w:pPr>
              <w:suppressAutoHyphens/>
            </w:pPr>
            <w:r w:rsidRPr="00521672">
              <w:t>130,698</w:t>
            </w:r>
          </w:p>
        </w:tc>
        <w:tc>
          <w:tcPr>
            <w:tcW w:w="1440" w:type="dxa"/>
            <w:tcBorders>
              <w:top w:val="nil"/>
              <w:left w:val="nil"/>
              <w:bottom w:val="single" w:sz="8" w:space="0" w:color="auto"/>
              <w:right w:val="single" w:sz="8" w:space="0" w:color="auto"/>
            </w:tcBorders>
            <w:shd w:val="clear" w:color="auto" w:fill="auto"/>
            <w:vAlign w:val="center"/>
            <w:hideMark/>
          </w:tcPr>
          <w:p w14:paraId="7B791DAD" w14:textId="77777777" w:rsidR="00521672" w:rsidRPr="00521672" w:rsidRDefault="00521672" w:rsidP="00285B87">
            <w:pPr>
              <w:suppressAutoHyphens/>
            </w:pPr>
            <w:r w:rsidRPr="00521672">
              <w:t>1</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70746DE1" w14:textId="77777777" w:rsidR="00521672" w:rsidRPr="00521672" w:rsidRDefault="00521672" w:rsidP="00285B87">
            <w:pPr>
              <w:suppressAutoHyphens/>
            </w:pPr>
            <w:r w:rsidRPr="00521672">
              <w:t>130,698</w:t>
            </w:r>
          </w:p>
        </w:tc>
        <w:tc>
          <w:tcPr>
            <w:tcW w:w="1260" w:type="dxa"/>
            <w:tcBorders>
              <w:top w:val="nil"/>
              <w:left w:val="nil"/>
              <w:bottom w:val="single" w:sz="8" w:space="0" w:color="auto"/>
              <w:right w:val="single" w:sz="8" w:space="0" w:color="auto"/>
            </w:tcBorders>
            <w:shd w:val="clear" w:color="auto" w:fill="auto"/>
            <w:vAlign w:val="center"/>
            <w:hideMark/>
          </w:tcPr>
          <w:p w14:paraId="3DA850A4" w14:textId="77777777" w:rsidR="00521672" w:rsidRPr="00521672" w:rsidRDefault="00521672" w:rsidP="00285B87">
            <w:pPr>
              <w:suppressAutoHyphens/>
            </w:pPr>
            <w:r w:rsidRPr="00521672">
              <w:t>0.1667</w:t>
            </w:r>
          </w:p>
        </w:tc>
        <w:tc>
          <w:tcPr>
            <w:tcW w:w="1260" w:type="dxa"/>
            <w:tcBorders>
              <w:top w:val="nil"/>
              <w:left w:val="nil"/>
              <w:bottom w:val="single" w:sz="8" w:space="0" w:color="auto"/>
              <w:right w:val="single" w:sz="8" w:space="0" w:color="auto"/>
            </w:tcBorders>
            <w:shd w:val="clear" w:color="auto" w:fill="auto"/>
            <w:vAlign w:val="center"/>
            <w:hideMark/>
          </w:tcPr>
          <w:p w14:paraId="7D2A7FD0" w14:textId="77777777" w:rsidR="00521672" w:rsidRPr="00521672" w:rsidRDefault="00521672" w:rsidP="00285B87">
            <w:pPr>
              <w:suppressAutoHyphens/>
            </w:pPr>
            <w:r w:rsidRPr="00521672">
              <w:t>21,783</w:t>
            </w:r>
          </w:p>
        </w:tc>
        <w:tc>
          <w:tcPr>
            <w:tcW w:w="1800" w:type="dxa"/>
            <w:tcBorders>
              <w:top w:val="nil"/>
              <w:left w:val="nil"/>
              <w:bottom w:val="single" w:sz="8" w:space="0" w:color="auto"/>
              <w:right w:val="single" w:sz="8" w:space="0" w:color="auto"/>
            </w:tcBorders>
            <w:shd w:val="clear" w:color="auto" w:fill="auto"/>
            <w:vAlign w:val="center"/>
            <w:hideMark/>
          </w:tcPr>
          <w:p w14:paraId="62763F67" w14:textId="77777777" w:rsidR="00521672" w:rsidRPr="00521672" w:rsidRDefault="00521672" w:rsidP="00285B87">
            <w:pPr>
              <w:suppressAutoHyphens/>
            </w:pPr>
            <w:r w:rsidRPr="00521672">
              <w:t>$78.93</w:t>
            </w:r>
          </w:p>
        </w:tc>
        <w:tc>
          <w:tcPr>
            <w:tcW w:w="1549" w:type="dxa"/>
            <w:tcBorders>
              <w:top w:val="nil"/>
              <w:left w:val="nil"/>
              <w:bottom w:val="single" w:sz="8" w:space="0" w:color="auto"/>
              <w:right w:val="single" w:sz="8" w:space="0" w:color="auto"/>
            </w:tcBorders>
            <w:shd w:val="clear" w:color="auto" w:fill="auto"/>
            <w:vAlign w:val="center"/>
            <w:hideMark/>
          </w:tcPr>
          <w:p w14:paraId="6D6B4189" w14:textId="77777777" w:rsidR="00521672" w:rsidRPr="00521672" w:rsidRDefault="00521672" w:rsidP="00285B87">
            <w:pPr>
              <w:suppressAutoHyphens/>
            </w:pPr>
            <w:r w:rsidRPr="00521672">
              <w:t>$1,719,409</w:t>
            </w:r>
          </w:p>
        </w:tc>
      </w:tr>
      <w:tr w:rsidR="006F5BE0" w:rsidRPr="00521672" w14:paraId="63E1E427" w14:textId="77777777" w:rsidTr="00A964E3">
        <w:trPr>
          <w:trHeight w:val="544"/>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04027FCC" w14:textId="77777777" w:rsidR="00521672" w:rsidRPr="00521672" w:rsidRDefault="00521672" w:rsidP="00285B87">
            <w:pPr>
              <w:suppressAutoHyphens/>
            </w:pPr>
            <w:r w:rsidRPr="00521672">
              <w:t>Annual Respondents</w:t>
            </w:r>
          </w:p>
        </w:tc>
        <w:tc>
          <w:tcPr>
            <w:tcW w:w="1530" w:type="dxa"/>
            <w:tcBorders>
              <w:top w:val="nil"/>
              <w:left w:val="nil"/>
              <w:bottom w:val="single" w:sz="8" w:space="0" w:color="auto"/>
              <w:right w:val="single" w:sz="8" w:space="0" w:color="auto"/>
            </w:tcBorders>
            <w:shd w:val="clear" w:color="auto" w:fill="auto"/>
            <w:vAlign w:val="center"/>
            <w:hideMark/>
          </w:tcPr>
          <w:p w14:paraId="6EED6237" w14:textId="638A3F93" w:rsidR="00521672" w:rsidRPr="00521672" w:rsidRDefault="00521672" w:rsidP="00D170F7">
            <w:pPr>
              <w:suppressAutoHyphens/>
            </w:pPr>
            <w:r w:rsidRPr="00521672">
              <w:t>7</w:t>
            </w:r>
            <w:r w:rsidR="00D170F7">
              <w:t>2</w:t>
            </w:r>
            <w:r w:rsidRPr="00521672">
              <w:t>,</w:t>
            </w:r>
            <w:r w:rsidR="00D170F7">
              <w:t>607</w:t>
            </w:r>
          </w:p>
        </w:tc>
        <w:tc>
          <w:tcPr>
            <w:tcW w:w="1440" w:type="dxa"/>
            <w:tcBorders>
              <w:top w:val="nil"/>
              <w:left w:val="nil"/>
              <w:bottom w:val="single" w:sz="8" w:space="0" w:color="auto"/>
              <w:right w:val="single" w:sz="8" w:space="0" w:color="auto"/>
            </w:tcBorders>
            <w:shd w:val="clear" w:color="auto" w:fill="auto"/>
            <w:vAlign w:val="center"/>
            <w:hideMark/>
          </w:tcPr>
          <w:p w14:paraId="23DDBF29" w14:textId="77777777" w:rsidR="00521672" w:rsidRPr="00521672" w:rsidRDefault="00521672" w:rsidP="00285B87">
            <w:pPr>
              <w:suppressAutoHyphens/>
            </w:pPr>
            <w:r w:rsidRPr="00521672">
              <w:t>1</w:t>
            </w:r>
          </w:p>
        </w:tc>
        <w:tc>
          <w:tcPr>
            <w:tcW w:w="1350" w:type="dxa"/>
            <w:tcBorders>
              <w:top w:val="nil"/>
              <w:left w:val="nil"/>
              <w:bottom w:val="single" w:sz="8" w:space="0" w:color="auto"/>
              <w:right w:val="single" w:sz="8" w:space="0" w:color="auto"/>
            </w:tcBorders>
            <w:shd w:val="clear" w:color="auto" w:fill="auto"/>
            <w:vAlign w:val="center"/>
            <w:hideMark/>
          </w:tcPr>
          <w:p w14:paraId="0CFB4005" w14:textId="49B5DD1E" w:rsidR="00521672" w:rsidRPr="00521672" w:rsidRDefault="00D170F7" w:rsidP="00285B87">
            <w:pPr>
              <w:suppressAutoHyphens/>
            </w:pPr>
            <w:r w:rsidRPr="00521672">
              <w:t>7</w:t>
            </w:r>
            <w:r>
              <w:t>2</w:t>
            </w:r>
            <w:r w:rsidRPr="00521672">
              <w:t>,</w:t>
            </w:r>
            <w:r>
              <w:t>607</w:t>
            </w:r>
          </w:p>
        </w:tc>
        <w:tc>
          <w:tcPr>
            <w:tcW w:w="1260" w:type="dxa"/>
            <w:tcBorders>
              <w:top w:val="nil"/>
              <w:left w:val="nil"/>
              <w:bottom w:val="single" w:sz="8" w:space="0" w:color="auto"/>
              <w:right w:val="single" w:sz="8" w:space="0" w:color="auto"/>
            </w:tcBorders>
            <w:shd w:val="clear" w:color="auto" w:fill="auto"/>
            <w:vAlign w:val="center"/>
            <w:hideMark/>
          </w:tcPr>
          <w:p w14:paraId="1DD3B52B" w14:textId="77777777" w:rsidR="00521672" w:rsidRPr="00521672" w:rsidRDefault="00521672" w:rsidP="00285B87">
            <w:pPr>
              <w:suppressAutoHyphens/>
            </w:pPr>
            <w:r w:rsidRPr="00521672">
              <w:t>0.1667</w:t>
            </w:r>
          </w:p>
        </w:tc>
        <w:tc>
          <w:tcPr>
            <w:tcW w:w="1260" w:type="dxa"/>
            <w:tcBorders>
              <w:top w:val="nil"/>
              <w:left w:val="nil"/>
              <w:bottom w:val="single" w:sz="8" w:space="0" w:color="auto"/>
              <w:right w:val="single" w:sz="8" w:space="0" w:color="auto"/>
            </w:tcBorders>
            <w:shd w:val="clear" w:color="auto" w:fill="auto"/>
            <w:vAlign w:val="center"/>
            <w:hideMark/>
          </w:tcPr>
          <w:p w14:paraId="5DD9F2AF" w14:textId="60F0A542" w:rsidR="00521672" w:rsidRPr="00521672" w:rsidRDefault="00D170F7" w:rsidP="00285B87">
            <w:pPr>
              <w:suppressAutoHyphens/>
            </w:pPr>
            <w:r>
              <w:t>12,101</w:t>
            </w:r>
          </w:p>
        </w:tc>
        <w:tc>
          <w:tcPr>
            <w:tcW w:w="1800" w:type="dxa"/>
            <w:tcBorders>
              <w:top w:val="nil"/>
              <w:left w:val="nil"/>
              <w:bottom w:val="single" w:sz="8" w:space="0" w:color="auto"/>
              <w:right w:val="single" w:sz="8" w:space="0" w:color="auto"/>
            </w:tcBorders>
            <w:shd w:val="clear" w:color="auto" w:fill="auto"/>
            <w:vAlign w:val="center"/>
            <w:hideMark/>
          </w:tcPr>
          <w:p w14:paraId="0D400908" w14:textId="77777777" w:rsidR="00521672" w:rsidRPr="00521672" w:rsidRDefault="00521672" w:rsidP="00285B87">
            <w:pPr>
              <w:suppressAutoHyphens/>
            </w:pPr>
            <w:r w:rsidRPr="00521672">
              <w:t>$78.93</w:t>
            </w:r>
          </w:p>
        </w:tc>
        <w:tc>
          <w:tcPr>
            <w:tcW w:w="1549" w:type="dxa"/>
            <w:tcBorders>
              <w:top w:val="nil"/>
              <w:left w:val="nil"/>
              <w:bottom w:val="single" w:sz="8" w:space="0" w:color="auto"/>
              <w:right w:val="single" w:sz="8" w:space="0" w:color="auto"/>
            </w:tcBorders>
            <w:shd w:val="clear" w:color="auto" w:fill="auto"/>
            <w:vAlign w:val="center"/>
            <w:hideMark/>
          </w:tcPr>
          <w:p w14:paraId="6CA72922" w14:textId="0B00BB42" w:rsidR="00521672" w:rsidRPr="00521672" w:rsidRDefault="00521672" w:rsidP="00824223">
            <w:pPr>
              <w:suppressAutoHyphens/>
            </w:pPr>
            <w:r w:rsidRPr="00521672">
              <w:t>$</w:t>
            </w:r>
            <w:r w:rsidR="00824223">
              <w:t>955,191</w:t>
            </w:r>
          </w:p>
        </w:tc>
      </w:tr>
      <w:tr w:rsidR="006F5BE0" w:rsidRPr="00521672" w14:paraId="49BA0E1A" w14:textId="77777777" w:rsidTr="00A964E3">
        <w:trPr>
          <w:trHeight w:val="326"/>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6BFA8E19" w14:textId="77777777" w:rsidR="00521672" w:rsidRPr="00521672" w:rsidRDefault="00521672" w:rsidP="00285B87">
            <w:pPr>
              <w:suppressAutoHyphens/>
            </w:pPr>
            <w:r w:rsidRPr="00521672">
              <w:t>Totals</w:t>
            </w:r>
          </w:p>
        </w:tc>
        <w:tc>
          <w:tcPr>
            <w:tcW w:w="1530" w:type="dxa"/>
            <w:tcBorders>
              <w:top w:val="nil"/>
              <w:left w:val="nil"/>
              <w:bottom w:val="single" w:sz="8" w:space="0" w:color="auto"/>
              <w:right w:val="single" w:sz="8" w:space="0" w:color="auto"/>
            </w:tcBorders>
            <w:shd w:val="clear" w:color="auto" w:fill="auto"/>
            <w:vAlign w:val="center"/>
            <w:hideMark/>
          </w:tcPr>
          <w:p w14:paraId="062A3E6F" w14:textId="361C8421" w:rsidR="00521672" w:rsidRPr="00521672" w:rsidRDefault="00D170F7" w:rsidP="00285B87">
            <w:pPr>
              <w:suppressAutoHyphens/>
            </w:pPr>
            <w:r>
              <w:t>203,305</w:t>
            </w:r>
          </w:p>
        </w:tc>
        <w:tc>
          <w:tcPr>
            <w:tcW w:w="1440" w:type="dxa"/>
            <w:tcBorders>
              <w:top w:val="nil"/>
              <w:left w:val="nil"/>
              <w:bottom w:val="single" w:sz="8" w:space="0" w:color="auto"/>
              <w:right w:val="single" w:sz="8" w:space="0" w:color="auto"/>
            </w:tcBorders>
            <w:shd w:val="clear" w:color="auto" w:fill="auto"/>
            <w:vAlign w:val="center"/>
            <w:hideMark/>
          </w:tcPr>
          <w:p w14:paraId="1DA9EACA" w14:textId="77777777" w:rsidR="00521672" w:rsidRPr="00521672" w:rsidRDefault="00521672" w:rsidP="00285B87">
            <w:pPr>
              <w:suppressAutoHyphens/>
            </w:pPr>
            <w:r w:rsidRPr="00521672">
              <w:t> </w:t>
            </w:r>
          </w:p>
        </w:tc>
        <w:tc>
          <w:tcPr>
            <w:tcW w:w="1350" w:type="dxa"/>
            <w:tcBorders>
              <w:top w:val="nil"/>
              <w:left w:val="nil"/>
              <w:bottom w:val="single" w:sz="8" w:space="0" w:color="auto"/>
              <w:right w:val="single" w:sz="8" w:space="0" w:color="auto"/>
            </w:tcBorders>
            <w:shd w:val="clear" w:color="auto" w:fill="auto"/>
            <w:vAlign w:val="center"/>
            <w:hideMark/>
          </w:tcPr>
          <w:p w14:paraId="1AA0FF48" w14:textId="7F05C5D1" w:rsidR="00521672" w:rsidRPr="00521672" w:rsidRDefault="00D170F7" w:rsidP="00285B87">
            <w:pPr>
              <w:suppressAutoHyphens/>
            </w:pPr>
            <w:r>
              <w:t>203,305</w:t>
            </w:r>
          </w:p>
        </w:tc>
        <w:tc>
          <w:tcPr>
            <w:tcW w:w="1260" w:type="dxa"/>
            <w:tcBorders>
              <w:top w:val="nil"/>
              <w:left w:val="nil"/>
              <w:bottom w:val="single" w:sz="8" w:space="0" w:color="auto"/>
              <w:right w:val="single" w:sz="8" w:space="0" w:color="auto"/>
            </w:tcBorders>
            <w:shd w:val="clear" w:color="auto" w:fill="auto"/>
            <w:vAlign w:val="center"/>
            <w:hideMark/>
          </w:tcPr>
          <w:p w14:paraId="2D6E33F7" w14:textId="77777777" w:rsidR="00521672" w:rsidRPr="00521672" w:rsidRDefault="00521672" w:rsidP="00285B87">
            <w:pPr>
              <w:suppressAutoHyphens/>
            </w:pPr>
            <w:r w:rsidRPr="00521672">
              <w:t> </w:t>
            </w:r>
          </w:p>
        </w:tc>
        <w:tc>
          <w:tcPr>
            <w:tcW w:w="1260" w:type="dxa"/>
            <w:tcBorders>
              <w:top w:val="nil"/>
              <w:left w:val="nil"/>
              <w:bottom w:val="single" w:sz="8" w:space="0" w:color="auto"/>
              <w:right w:val="single" w:sz="8" w:space="0" w:color="auto"/>
            </w:tcBorders>
            <w:shd w:val="clear" w:color="auto" w:fill="auto"/>
            <w:vAlign w:val="center"/>
            <w:hideMark/>
          </w:tcPr>
          <w:p w14:paraId="77CC5727" w14:textId="1B82EF58" w:rsidR="00521672" w:rsidRPr="00521672" w:rsidRDefault="00D170F7" w:rsidP="00285B87">
            <w:pPr>
              <w:suppressAutoHyphens/>
            </w:pPr>
            <w:r>
              <w:t>33,884</w:t>
            </w:r>
          </w:p>
        </w:tc>
        <w:tc>
          <w:tcPr>
            <w:tcW w:w="1800" w:type="dxa"/>
            <w:tcBorders>
              <w:top w:val="nil"/>
              <w:left w:val="nil"/>
              <w:bottom w:val="single" w:sz="8" w:space="0" w:color="auto"/>
              <w:right w:val="single" w:sz="8" w:space="0" w:color="auto"/>
            </w:tcBorders>
            <w:shd w:val="clear" w:color="auto" w:fill="auto"/>
            <w:vAlign w:val="center"/>
            <w:hideMark/>
          </w:tcPr>
          <w:p w14:paraId="75387DDB" w14:textId="77777777" w:rsidR="00521672" w:rsidRPr="00521672" w:rsidRDefault="00521672" w:rsidP="00285B87">
            <w:pPr>
              <w:suppressAutoHyphens/>
            </w:pPr>
            <w:r w:rsidRPr="00521672">
              <w:t> </w:t>
            </w:r>
          </w:p>
        </w:tc>
        <w:tc>
          <w:tcPr>
            <w:tcW w:w="1549" w:type="dxa"/>
            <w:tcBorders>
              <w:top w:val="nil"/>
              <w:left w:val="nil"/>
              <w:bottom w:val="single" w:sz="8" w:space="0" w:color="auto"/>
              <w:right w:val="single" w:sz="8" w:space="0" w:color="auto"/>
            </w:tcBorders>
            <w:shd w:val="clear" w:color="auto" w:fill="auto"/>
            <w:vAlign w:val="center"/>
            <w:hideMark/>
          </w:tcPr>
          <w:p w14:paraId="13414328" w14:textId="0924C595" w:rsidR="00521672" w:rsidRPr="00521672" w:rsidRDefault="00521672" w:rsidP="00824223">
            <w:pPr>
              <w:suppressAutoHyphens/>
            </w:pPr>
            <w:r w:rsidRPr="00521672">
              <w:t>$</w:t>
            </w:r>
            <w:r w:rsidR="00824223">
              <w:t>2,674,599</w:t>
            </w:r>
          </w:p>
        </w:tc>
      </w:tr>
    </w:tbl>
    <w:p w14:paraId="01BBDA9C" w14:textId="77777777" w:rsidR="00521672" w:rsidRPr="00521672" w:rsidRDefault="00521672" w:rsidP="00285B87">
      <w:pPr>
        <w:suppressAutoHyphens/>
      </w:pPr>
    </w:p>
    <w:p w14:paraId="02C4466F" w14:textId="77777777" w:rsidR="003B68FA" w:rsidRPr="00596A43" w:rsidRDefault="003B68FA" w:rsidP="0007373B">
      <w:pPr>
        <w:tabs>
          <w:tab w:val="left" w:pos="-720"/>
        </w:tabs>
        <w:suppressAutoHyphens/>
        <w:jc w:val="both"/>
      </w:pPr>
    </w:p>
    <w:p w14:paraId="3ECEC36D"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1D2C01CC" w14:textId="77777777" w:rsidR="00EB5E96" w:rsidRPr="00596A43" w:rsidRDefault="00EB5E96" w:rsidP="0007373B">
      <w:pPr>
        <w:shd w:val="pct25" w:color="auto" w:fill="auto"/>
        <w:tabs>
          <w:tab w:val="left" w:pos="-720"/>
        </w:tabs>
        <w:suppressAutoHyphens/>
        <w:jc w:val="both"/>
      </w:pPr>
    </w:p>
    <w:p w14:paraId="3C4DA762" w14:textId="77777777" w:rsidR="00EB5E96" w:rsidRPr="00596A43" w:rsidRDefault="00EB5E96" w:rsidP="0007373B">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A1B1DE4" w14:textId="77777777" w:rsidR="00EB5E96" w:rsidRPr="00596A43" w:rsidRDefault="00EB5E96" w:rsidP="008E62FE">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4D566BA6" w14:textId="77777777" w:rsidR="00EB5E96" w:rsidRPr="00596A43" w:rsidRDefault="00EB5E96" w:rsidP="008E62FE">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76CA583" w14:textId="77777777" w:rsidR="00EB5E96" w:rsidRPr="00596A43" w:rsidRDefault="00EB5E96" w:rsidP="00A74AA0">
      <w:pPr>
        <w:shd w:val="pct25" w:color="auto" w:fill="FFFFFF"/>
        <w:tabs>
          <w:tab w:val="left" w:pos="-720"/>
        </w:tabs>
        <w:suppressAutoHyphens/>
        <w:jc w:val="both"/>
      </w:pPr>
    </w:p>
    <w:p w14:paraId="6E163CC6" w14:textId="77777777" w:rsidR="00EB5E96" w:rsidRPr="00596A43" w:rsidRDefault="00EB5E96" w:rsidP="00A74AA0">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66265BE2" w14:textId="77777777" w:rsidR="00EB5E96" w:rsidRPr="00596A43" w:rsidRDefault="00EB5E96" w:rsidP="00BD25F8">
      <w:pPr>
        <w:shd w:val="clear" w:color="auto" w:fill="FFFFFF"/>
        <w:tabs>
          <w:tab w:val="left" w:pos="-720"/>
        </w:tabs>
        <w:suppressAutoHyphens/>
        <w:jc w:val="both"/>
      </w:pPr>
    </w:p>
    <w:p w14:paraId="689FD2ED" w14:textId="5C05FADD" w:rsidR="00521672" w:rsidRPr="00521672" w:rsidRDefault="00521672" w:rsidP="00285B87">
      <w:pPr>
        <w:shd w:val="clear" w:color="auto" w:fill="FFFFFF"/>
        <w:tabs>
          <w:tab w:val="left" w:pos="-720"/>
        </w:tabs>
        <w:suppressAutoHyphens/>
      </w:pPr>
      <w:r w:rsidRPr="00521672">
        <w:t>All startup cost are associated with the burden hours to submit the initial responses which are calculated in the response to question 12.  There is no additional capital or startup cost associated with this collection.  To provide greater transparency</w:t>
      </w:r>
      <w:r w:rsidR="000F40FE">
        <w:t>,</w:t>
      </w:r>
      <w:r w:rsidRPr="00521672">
        <w:t xml:space="preserve"> the Department is presenting the calculation for the initial respondents (startup cost) burden in this section.</w:t>
      </w:r>
    </w:p>
    <w:p w14:paraId="566BC888" w14:textId="77777777" w:rsidR="00521672" w:rsidRPr="00521672" w:rsidRDefault="00521672" w:rsidP="00285B87">
      <w:pPr>
        <w:shd w:val="clear" w:color="auto" w:fill="FFFFFF"/>
        <w:tabs>
          <w:tab w:val="left" w:pos="-720"/>
        </w:tabs>
        <w:suppressAutoHyphens/>
      </w:pPr>
      <w:r w:rsidRPr="00521672">
        <w:t xml:space="preserve">  </w:t>
      </w:r>
    </w:p>
    <w:p w14:paraId="7FF8DB99" w14:textId="5AC079C7" w:rsidR="00521672" w:rsidRPr="00521672" w:rsidRDefault="00521672" w:rsidP="00285B87">
      <w:pPr>
        <w:shd w:val="clear" w:color="auto" w:fill="FFFFFF"/>
        <w:tabs>
          <w:tab w:val="left" w:pos="-720"/>
        </w:tabs>
        <w:suppressAutoHyphens/>
      </w:pPr>
      <w:r w:rsidRPr="00521672">
        <w:t>The Department expects to expand this information collection to Tier 3 and Tier 4 high-risk facilities (approximately 3,700 facilities); therefore</w:t>
      </w:r>
      <w:r w:rsidR="000F40FE">
        <w:t>,</w:t>
      </w:r>
      <w:r w:rsidRPr="00521672">
        <w:t xml:space="preserve"> the Department estimates that there will be a</w:t>
      </w:r>
      <w:r w:rsidR="006A1CB6">
        <w:t xml:space="preserve"> total</w:t>
      </w:r>
      <w:r w:rsidRPr="00521672">
        <w:t xml:space="preserve"> one-time capital/startup cost of $5,158,226 </w:t>
      </w:r>
      <w:r w:rsidR="000F40FE">
        <w:t>(</w:t>
      </w:r>
      <w:r w:rsidRPr="00521672">
        <w:t xml:space="preserve">3,700 facilities </w:t>
      </w:r>
      <w:r w:rsidR="00A4271C">
        <w:t>multiplied by</w:t>
      </w:r>
      <w:r w:rsidRPr="00521672">
        <w:t xml:space="preserve"> 106 average startup submission</w:t>
      </w:r>
      <w:r w:rsidR="000F40FE">
        <w:t>s</w:t>
      </w:r>
      <w:r w:rsidRPr="00521672">
        <w:t xml:space="preserve"> per facility </w:t>
      </w:r>
      <w:r w:rsidR="00A4271C">
        <w:t>multiplied by</w:t>
      </w:r>
      <w:r w:rsidRPr="00521672">
        <w:t xml:space="preserve"> 0.1667 hours </w:t>
      </w:r>
      <w:r w:rsidR="00A4271C">
        <w:t>multiplied by</w:t>
      </w:r>
      <w:r w:rsidRPr="00521672">
        <w:t xml:space="preserve"> $78.93 </w:t>
      </w:r>
      <w:r w:rsidR="000F40FE">
        <w:t>[</w:t>
      </w:r>
      <w:r w:rsidRPr="00521672">
        <w:t>average hourly wage rate for Site Security Officers</w:t>
      </w:r>
      <w:r w:rsidR="000F40FE">
        <w:t>]</w:t>
      </w:r>
      <w:r w:rsidRPr="00521672">
        <w:t>).</w:t>
      </w:r>
      <w:r w:rsidRPr="00521672">
        <w:rPr>
          <w:vertAlign w:val="superscript"/>
        </w:rPr>
        <w:footnoteReference w:id="10"/>
      </w:r>
      <w:r w:rsidRPr="00521672">
        <w:t xml:space="preserve">  </w:t>
      </w:r>
      <w:r w:rsidR="006A1CB6">
        <w:t>As discussed in question 12 above, the Department assumes a three year implementation period for the 3,700 Tier 3 and Tier 4 facilities to submit to the personnel surety program, with one-third of the facilities submitting each year, for an average annual startup cost of $1,719,409, as presented in Table 5.</w:t>
      </w:r>
    </w:p>
    <w:p w14:paraId="090D86C1" w14:textId="77777777" w:rsidR="00521672" w:rsidRPr="00521672" w:rsidRDefault="00521672" w:rsidP="00285B87">
      <w:pPr>
        <w:shd w:val="clear" w:color="auto" w:fill="FFFFFF"/>
        <w:tabs>
          <w:tab w:val="left" w:pos="-720"/>
        </w:tabs>
        <w:suppressAutoHyphens/>
      </w:pPr>
    </w:p>
    <w:p w14:paraId="66F74B7D" w14:textId="03FB0C47" w:rsidR="00521672" w:rsidRPr="00521672" w:rsidRDefault="00521672" w:rsidP="00285B87">
      <w:pPr>
        <w:shd w:val="clear" w:color="auto" w:fill="FFFFFF"/>
        <w:tabs>
          <w:tab w:val="left" w:pos="-720"/>
        </w:tabs>
        <w:suppressAutoHyphens/>
      </w:pPr>
      <w:r w:rsidRPr="00521672">
        <w:t>There are no other annualized capital or startup costs incurred by high-risk chemical facilities for this information collection.  It is assumed that all high-risk chemical facilities have the necessary computer hardware and internet connection.</w:t>
      </w:r>
    </w:p>
    <w:p w14:paraId="3817EF26" w14:textId="77777777" w:rsidR="00521672" w:rsidRPr="00521672" w:rsidRDefault="00521672" w:rsidP="00285B87">
      <w:pPr>
        <w:shd w:val="clear" w:color="auto" w:fill="FFFFFF"/>
        <w:tabs>
          <w:tab w:val="left" w:pos="-720"/>
        </w:tabs>
        <w:suppressAutoHyphens/>
      </w:pPr>
    </w:p>
    <w:p w14:paraId="38BBF1DF" w14:textId="77777777" w:rsidR="00B6435C" w:rsidRPr="00596A43" w:rsidRDefault="00B6435C" w:rsidP="00E7573C">
      <w:pPr>
        <w:shd w:val="clear" w:color="auto" w:fill="FFFFFF"/>
        <w:tabs>
          <w:tab w:val="left" w:pos="-720"/>
        </w:tabs>
        <w:suppressAutoHyphens/>
        <w:jc w:val="both"/>
      </w:pPr>
    </w:p>
    <w:p w14:paraId="1D3AD9A5" w14:textId="77777777" w:rsidR="00EB5E96" w:rsidRPr="00596A43" w:rsidRDefault="00EB5E96" w:rsidP="00E52614">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75BC5C6A" w14:textId="77777777" w:rsidR="00EB5E96" w:rsidRPr="00596A43" w:rsidRDefault="00EB5E96" w:rsidP="008E2190">
      <w:pPr>
        <w:suppressAutoHyphens/>
        <w:jc w:val="both"/>
      </w:pPr>
      <w:r w:rsidRPr="00596A43">
        <w:fldChar w:fldCharType="begin"/>
      </w:r>
      <w:r w:rsidRPr="00596A43">
        <w:instrText>ADVANCE \R 0.95</w:instrText>
      </w:r>
      <w:r w:rsidRPr="00596A43">
        <w:fldChar w:fldCharType="end"/>
      </w:r>
    </w:p>
    <w:p w14:paraId="563247AA" w14:textId="4E0531EA" w:rsidR="00E4592E" w:rsidRDefault="00AC50A2" w:rsidP="00285B87">
      <w:pPr>
        <w:suppressAutoHyphens/>
      </w:pPr>
      <w:r w:rsidRPr="006E1193">
        <w:t>The</w:t>
      </w:r>
      <w:r>
        <w:t xml:space="preserve"> annual</w:t>
      </w:r>
      <w:r w:rsidR="00C7201B">
        <w:t>ized</w:t>
      </w:r>
      <w:r>
        <w:t xml:space="preserve"> cost of this collection </w:t>
      </w:r>
      <w:r w:rsidR="00A4271C">
        <w:t xml:space="preserve">to the Federal Government </w:t>
      </w:r>
      <w:r>
        <w:t>is estimated to be $</w:t>
      </w:r>
      <w:r w:rsidR="0053100C">
        <w:t>674,972</w:t>
      </w:r>
      <w:r w:rsidR="001D636F">
        <w:t xml:space="preserve">.  </w:t>
      </w:r>
      <w:r w:rsidR="00C65903" w:rsidRPr="00C65903">
        <w:t>The annual</w:t>
      </w:r>
      <w:r w:rsidR="00C7201B">
        <w:t>ized</w:t>
      </w:r>
      <w:r w:rsidR="00C65903" w:rsidRPr="00C65903">
        <w:t xml:space="preserve"> cost of this collection </w:t>
      </w:r>
      <w:r w:rsidR="00F303E1">
        <w:t xml:space="preserve">to the Federal Government </w:t>
      </w:r>
      <w:r w:rsidR="00C65903" w:rsidRPr="00C65903">
        <w:t xml:space="preserve">is based on the </w:t>
      </w:r>
      <w:r w:rsidR="00940F74">
        <w:t>annual</w:t>
      </w:r>
      <w:r w:rsidR="00E573C1">
        <w:t xml:space="preserve"> capital/startup cost of $</w:t>
      </w:r>
      <w:r w:rsidR="008E7EE7">
        <w:t>433,917</w:t>
      </w:r>
      <w:r w:rsidR="00E573C1">
        <w:t xml:space="preserve"> </w:t>
      </w:r>
      <w:r w:rsidR="000F40FE">
        <w:t>(</w:t>
      </w:r>
      <w:r w:rsidR="008E7EE7">
        <w:t>1,233</w:t>
      </w:r>
      <w:r w:rsidR="00E573C1">
        <w:t xml:space="preserve"> facilities </w:t>
      </w:r>
      <w:r w:rsidR="00A4271C">
        <w:t>multiplied by</w:t>
      </w:r>
      <w:r w:rsidR="00E573C1">
        <w:t xml:space="preserve"> 106 average startup submissions per facility </w:t>
      </w:r>
      <w:r w:rsidR="00A4271C">
        <w:t>multiplied by</w:t>
      </w:r>
      <w:r w:rsidR="00E573C1">
        <w:t xml:space="preserve"> $3.32</w:t>
      </w:r>
      <w:r w:rsidR="000F40FE">
        <w:t>)</w:t>
      </w:r>
      <w:r w:rsidR="00E573C1">
        <w:t xml:space="preserve"> and annual submission cost of $</w:t>
      </w:r>
      <w:r w:rsidR="0053100C">
        <w:t>241,055.24</w:t>
      </w:r>
      <w:r w:rsidR="00E573C1">
        <w:t xml:space="preserve"> </w:t>
      </w:r>
      <w:r w:rsidR="000F40FE">
        <w:t>(</w:t>
      </w:r>
      <w:r w:rsidR="00F303E1">
        <w:t>7</w:t>
      </w:r>
      <w:r w:rsidR="0053100C">
        <w:t>2,607</w:t>
      </w:r>
      <w:r w:rsidR="00E573C1">
        <w:t xml:space="preserve"> average annual submission </w:t>
      </w:r>
      <w:r w:rsidR="00A4271C">
        <w:t>multiplied by</w:t>
      </w:r>
      <w:r w:rsidR="00E573C1">
        <w:t xml:space="preserve"> $3.32</w:t>
      </w:r>
      <w:r w:rsidR="000F40FE">
        <w:t>)</w:t>
      </w:r>
      <w:r w:rsidR="00E573C1">
        <w:t xml:space="preserve">.  The $3.32 is the government cost to vet the records </w:t>
      </w:r>
      <w:r w:rsidR="00D10061">
        <w:t xml:space="preserve">for Option 1 or verify the records for Option 2.  </w:t>
      </w:r>
      <w:r w:rsidR="00940F74">
        <w:t xml:space="preserve">The three year government cost, which accounts for the full startup cost, as well as the annual cost, would be </w:t>
      </w:r>
      <w:r w:rsidR="008E7EE7" w:rsidRPr="008E7EE7">
        <w:t>$</w:t>
      </w:r>
      <w:r w:rsidR="0053100C">
        <w:t>2,024,916</w:t>
      </w:r>
      <w:r w:rsidR="008E7EE7" w:rsidRPr="008E7EE7">
        <w:t xml:space="preserve"> ($</w:t>
      </w:r>
      <w:r w:rsidR="0053100C">
        <w:t>674,972</w:t>
      </w:r>
      <w:r w:rsidR="008E7EE7" w:rsidRPr="008E7EE7">
        <w:t xml:space="preserve"> x 3 years)</w:t>
      </w:r>
      <w:r w:rsidR="00F303E1">
        <w:t>.</w:t>
      </w:r>
    </w:p>
    <w:p w14:paraId="61F43A05" w14:textId="77777777" w:rsidR="00EB5E96" w:rsidRPr="00596A43" w:rsidRDefault="00333D1E" w:rsidP="0007373B">
      <w:pPr>
        <w:suppressAutoHyphens/>
        <w:jc w:val="both"/>
      </w:pPr>
      <w:r w:rsidRPr="00596A43">
        <w:t xml:space="preserve"> </w:t>
      </w:r>
    </w:p>
    <w:p w14:paraId="7162B5EB"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72E9EBFC" w14:textId="77777777" w:rsidR="00EB5E96" w:rsidRDefault="00EB5E96" w:rsidP="0007373B">
      <w:pPr>
        <w:tabs>
          <w:tab w:val="left" w:pos="-720"/>
        </w:tabs>
        <w:suppressAutoHyphens/>
        <w:jc w:val="both"/>
      </w:pPr>
      <w:r w:rsidRPr="00596A43">
        <w:fldChar w:fldCharType="begin"/>
      </w:r>
      <w:r w:rsidRPr="00596A43">
        <w:instrText>ADVANCE \R 0.95</w:instrText>
      </w:r>
      <w:r w:rsidRPr="00596A43">
        <w:fldChar w:fldCharType="end"/>
      </w:r>
    </w:p>
    <w:p w14:paraId="3946EC98" w14:textId="1A29ED8E" w:rsidR="001E4A0C" w:rsidRDefault="001E4A0C" w:rsidP="00285B87">
      <w:pPr>
        <w:pStyle w:val="ListParagraph"/>
        <w:suppressAutoHyphens/>
        <w:ind w:left="0"/>
        <w:rPr>
          <w:rFonts w:ascii="Times New Roman" w:hAnsi="Times New Roman"/>
          <w:szCs w:val="24"/>
        </w:rPr>
      </w:pPr>
      <w:r>
        <w:rPr>
          <w:rFonts w:ascii="Times New Roman" w:hAnsi="Times New Roman"/>
          <w:szCs w:val="24"/>
        </w:rPr>
        <w:t xml:space="preserve">The revisions to the collection are outlined in an Appendix (“Narrative of Revisions”) to the supporting statement. </w:t>
      </w:r>
    </w:p>
    <w:p w14:paraId="526D411D" w14:textId="77777777" w:rsidR="001E4A0C" w:rsidRDefault="001E4A0C" w:rsidP="00285B87">
      <w:pPr>
        <w:pStyle w:val="ListParagraph"/>
        <w:suppressAutoHyphens/>
        <w:ind w:left="0"/>
        <w:rPr>
          <w:rFonts w:ascii="Times New Roman" w:hAnsi="Times New Roman"/>
          <w:szCs w:val="24"/>
        </w:rPr>
      </w:pPr>
    </w:p>
    <w:p w14:paraId="5D99C6E6" w14:textId="6F7050B3" w:rsidR="001E4A0C" w:rsidRDefault="001E4A0C" w:rsidP="00285B87">
      <w:pPr>
        <w:pStyle w:val="ListParagraph"/>
        <w:suppressAutoHyphens/>
        <w:ind w:left="0"/>
        <w:rPr>
          <w:rFonts w:ascii="Times New Roman" w:hAnsi="Times New Roman"/>
          <w:szCs w:val="24"/>
        </w:rPr>
      </w:pPr>
      <w:r>
        <w:rPr>
          <w:rFonts w:ascii="Times New Roman" w:hAnsi="Times New Roman"/>
          <w:szCs w:val="24"/>
        </w:rPr>
        <w:t>The changes to the burden include:</w:t>
      </w:r>
    </w:p>
    <w:p w14:paraId="70EF5350" w14:textId="77777777" w:rsidR="001E4A0C" w:rsidRDefault="001E4A0C" w:rsidP="00285B87">
      <w:pPr>
        <w:pStyle w:val="ListParagraph"/>
        <w:suppressAutoHyphens/>
        <w:ind w:left="0"/>
        <w:rPr>
          <w:rFonts w:ascii="Times New Roman" w:hAnsi="Times New Roman"/>
          <w:szCs w:val="24"/>
        </w:rPr>
      </w:pPr>
    </w:p>
    <w:p w14:paraId="130F06E1" w14:textId="2CB34D72" w:rsidR="00D10061" w:rsidRDefault="00FF6A47" w:rsidP="003B43D7">
      <w:pPr>
        <w:pStyle w:val="ListParagraph"/>
        <w:numPr>
          <w:ilvl w:val="0"/>
          <w:numId w:val="35"/>
        </w:numPr>
        <w:suppressAutoHyphens/>
        <w:rPr>
          <w:rFonts w:ascii="Times New Roman" w:hAnsi="Times New Roman"/>
          <w:szCs w:val="24"/>
        </w:rPr>
      </w:pPr>
      <w:r w:rsidRPr="00F55FF0">
        <w:rPr>
          <w:rFonts w:ascii="Times New Roman" w:hAnsi="Times New Roman"/>
          <w:szCs w:val="24"/>
        </w:rPr>
        <w:t>Adjustment</w:t>
      </w:r>
      <w:r w:rsidR="00C87B6F">
        <w:rPr>
          <w:rFonts w:ascii="Times New Roman" w:hAnsi="Times New Roman"/>
          <w:szCs w:val="24"/>
        </w:rPr>
        <w:t>:</w:t>
      </w:r>
      <w:r w:rsidRPr="00F55FF0">
        <w:rPr>
          <w:rFonts w:ascii="Times New Roman" w:hAnsi="Times New Roman"/>
          <w:szCs w:val="24"/>
        </w:rPr>
        <w:t xml:space="preserve"> Decrease in the average annual burden </w:t>
      </w:r>
      <w:r w:rsidR="000F40FE">
        <w:rPr>
          <w:rFonts w:ascii="Times New Roman" w:hAnsi="Times New Roman"/>
          <w:szCs w:val="24"/>
        </w:rPr>
        <w:t>i</w:t>
      </w:r>
      <w:r w:rsidRPr="00F55FF0">
        <w:rPr>
          <w:rFonts w:ascii="Times New Roman" w:hAnsi="Times New Roman"/>
          <w:szCs w:val="24"/>
        </w:rPr>
        <w:t xml:space="preserve">s a result of a change in the agency estimates after a review of the historical data collected </w:t>
      </w:r>
      <w:r w:rsidR="001F25B3" w:rsidRPr="001F25B3">
        <w:rPr>
          <w:rFonts w:ascii="Times New Roman" w:hAnsi="Times New Roman"/>
          <w:szCs w:val="24"/>
        </w:rPr>
        <w:t>since the Department implemented the CFATS Personnel Surety Program</w:t>
      </w:r>
      <w:r w:rsidRPr="00F55FF0">
        <w:rPr>
          <w:rFonts w:ascii="Times New Roman" w:hAnsi="Times New Roman"/>
          <w:szCs w:val="24"/>
        </w:rPr>
        <w:t>.</w:t>
      </w:r>
      <w:r w:rsidR="00F55FF0">
        <w:rPr>
          <w:rFonts w:ascii="Times New Roman" w:hAnsi="Times New Roman"/>
          <w:szCs w:val="24"/>
        </w:rPr>
        <w:t xml:space="preserve">  </w:t>
      </w:r>
    </w:p>
    <w:p w14:paraId="4287A19B" w14:textId="77777777" w:rsidR="00A40F68" w:rsidRDefault="00A40F68" w:rsidP="00285B87">
      <w:pPr>
        <w:pStyle w:val="ListParagraph"/>
        <w:suppressAutoHyphens/>
        <w:ind w:left="0"/>
        <w:rPr>
          <w:rFonts w:ascii="Times New Roman" w:hAnsi="Times New Roman"/>
          <w:szCs w:val="24"/>
        </w:rPr>
      </w:pPr>
    </w:p>
    <w:p w14:paraId="13B5AE84" w14:textId="652AE41B" w:rsidR="001E4A0C" w:rsidRPr="00F55FF0" w:rsidRDefault="00A619E0" w:rsidP="003B43D7">
      <w:pPr>
        <w:pStyle w:val="ListParagraph"/>
        <w:numPr>
          <w:ilvl w:val="0"/>
          <w:numId w:val="35"/>
        </w:numPr>
        <w:suppressAutoHyphens/>
        <w:rPr>
          <w:rFonts w:ascii="Times New Roman" w:hAnsi="Times New Roman"/>
          <w:szCs w:val="24"/>
        </w:rPr>
      </w:pPr>
      <w:r w:rsidRPr="00F55FF0">
        <w:rPr>
          <w:rFonts w:ascii="Times New Roman" w:hAnsi="Times New Roman"/>
          <w:szCs w:val="24"/>
        </w:rPr>
        <w:t>Program Change</w:t>
      </w:r>
      <w:r w:rsidR="00C87B6F">
        <w:rPr>
          <w:rFonts w:ascii="Times New Roman" w:hAnsi="Times New Roman"/>
          <w:szCs w:val="24"/>
        </w:rPr>
        <w:t>:</w:t>
      </w:r>
      <w:r w:rsidRPr="00F55FF0">
        <w:rPr>
          <w:rFonts w:ascii="Times New Roman" w:hAnsi="Times New Roman"/>
          <w:szCs w:val="24"/>
        </w:rPr>
        <w:t xml:space="preserve"> Increase in the startup cost</w:t>
      </w:r>
      <w:r w:rsidR="00C87B6F">
        <w:rPr>
          <w:rFonts w:ascii="Times New Roman" w:hAnsi="Times New Roman"/>
          <w:szCs w:val="24"/>
        </w:rPr>
        <w:t xml:space="preserve"> as</w:t>
      </w:r>
      <w:r w:rsidRPr="00F55FF0">
        <w:rPr>
          <w:rFonts w:ascii="Times New Roman" w:hAnsi="Times New Roman"/>
          <w:szCs w:val="24"/>
        </w:rPr>
        <w:t xml:space="preserve"> </w:t>
      </w:r>
      <w:r w:rsidR="00C87B6F">
        <w:rPr>
          <w:rFonts w:ascii="Times New Roman" w:hAnsi="Times New Roman"/>
          <w:szCs w:val="24"/>
        </w:rPr>
        <w:t>t</w:t>
      </w:r>
      <w:r w:rsidRPr="00F55FF0">
        <w:rPr>
          <w:rFonts w:ascii="Times New Roman" w:hAnsi="Times New Roman"/>
          <w:szCs w:val="24"/>
        </w:rPr>
        <w:t xml:space="preserve">he Department expects a one-time burden for </w:t>
      </w:r>
      <w:r w:rsidR="00A40F68">
        <w:rPr>
          <w:rFonts w:ascii="Times New Roman" w:hAnsi="Times New Roman"/>
          <w:szCs w:val="24"/>
        </w:rPr>
        <w:t xml:space="preserve">the expansion of the program to </w:t>
      </w:r>
      <w:r w:rsidR="00D10061">
        <w:rPr>
          <w:rFonts w:ascii="Times New Roman" w:hAnsi="Times New Roman"/>
          <w:szCs w:val="24"/>
        </w:rPr>
        <w:t>Tier 3 and Tier 4 facilities</w:t>
      </w:r>
      <w:r w:rsidR="00A40F68">
        <w:rPr>
          <w:rFonts w:ascii="Times New Roman" w:hAnsi="Times New Roman"/>
          <w:szCs w:val="24"/>
        </w:rPr>
        <w:t xml:space="preserve">.  </w:t>
      </w:r>
      <w:r w:rsidR="00C95FE0">
        <w:rPr>
          <w:rFonts w:ascii="Times New Roman" w:hAnsi="Times New Roman"/>
          <w:szCs w:val="24"/>
        </w:rPr>
        <w:t xml:space="preserve">Increase in the number of responses and total burden time for the Tier 3 and Tier 4 facilities. </w:t>
      </w:r>
    </w:p>
    <w:p w14:paraId="5040C7D0" w14:textId="77777777" w:rsidR="00EB5E96" w:rsidRPr="00596A43" w:rsidRDefault="00EB5E96" w:rsidP="0007373B">
      <w:pPr>
        <w:tabs>
          <w:tab w:val="left" w:pos="-720"/>
        </w:tabs>
        <w:suppressAutoHyphens/>
        <w:jc w:val="both"/>
      </w:pPr>
    </w:p>
    <w:p w14:paraId="603E4862"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06BBEED" w14:textId="77777777" w:rsidR="00EB5E96" w:rsidRPr="00596A43" w:rsidRDefault="00EB5E96" w:rsidP="0007373B">
      <w:pPr>
        <w:suppressAutoHyphens/>
        <w:jc w:val="both"/>
      </w:pPr>
      <w:r w:rsidRPr="00596A43">
        <w:fldChar w:fldCharType="begin"/>
      </w:r>
      <w:r w:rsidRPr="00596A43">
        <w:instrText>ADVANCE \R 0.95</w:instrText>
      </w:r>
      <w:r w:rsidRPr="00596A43">
        <w:fldChar w:fldCharType="end"/>
      </w:r>
    </w:p>
    <w:p w14:paraId="50887671" w14:textId="77777777" w:rsidR="00AC50A2" w:rsidRDefault="00AC50A2" w:rsidP="00285B87">
      <w:pPr>
        <w:suppressAutoHyphens/>
      </w:pPr>
      <w:r>
        <w:t>No plans exist for the use of statistical analysis or to publish this information.</w:t>
      </w:r>
    </w:p>
    <w:p w14:paraId="1E34BFEB" w14:textId="77777777" w:rsidR="00EB5E96" w:rsidRPr="00596A43" w:rsidRDefault="00EB5E96" w:rsidP="0007373B">
      <w:pPr>
        <w:suppressAutoHyphens/>
        <w:jc w:val="both"/>
      </w:pPr>
    </w:p>
    <w:p w14:paraId="68B35F4E" w14:textId="77777777" w:rsidR="00EB5E96"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445C115F" w14:textId="77777777" w:rsidR="00EB5E96" w:rsidRPr="00596A43" w:rsidRDefault="00EB5E96" w:rsidP="0007373B">
      <w:pPr>
        <w:tabs>
          <w:tab w:val="left" w:pos="-720"/>
        </w:tabs>
        <w:suppressAutoHyphens/>
        <w:jc w:val="both"/>
      </w:pPr>
      <w:r w:rsidRPr="00596A43">
        <w:fldChar w:fldCharType="begin"/>
      </w:r>
      <w:r w:rsidRPr="00596A43">
        <w:instrText>ADVANCE \R 0.95</w:instrText>
      </w:r>
      <w:r w:rsidRPr="00596A43">
        <w:fldChar w:fldCharType="end"/>
      </w:r>
    </w:p>
    <w:p w14:paraId="1B1341C8" w14:textId="77777777" w:rsidR="00AC50A2" w:rsidRPr="0078506C" w:rsidRDefault="00AC50A2" w:rsidP="00285B87">
      <w:pPr>
        <w:suppressAutoHyphens/>
      </w:pPr>
      <w:r w:rsidRPr="0078506C">
        <w:t xml:space="preserve">The expiration date will be displayed in the </w:t>
      </w:r>
      <w:r>
        <w:t>instrument</w:t>
      </w:r>
      <w:r w:rsidRPr="0078506C">
        <w:t>.</w:t>
      </w:r>
    </w:p>
    <w:p w14:paraId="4CCF4815" w14:textId="77777777" w:rsidR="00447C3A" w:rsidRPr="00596A43" w:rsidRDefault="00447C3A" w:rsidP="0007373B">
      <w:pPr>
        <w:tabs>
          <w:tab w:val="left" w:pos="-720"/>
        </w:tabs>
        <w:suppressAutoHyphens/>
        <w:jc w:val="both"/>
      </w:pPr>
    </w:p>
    <w:p w14:paraId="470D30D5" w14:textId="77777777" w:rsidR="0077056F" w:rsidRPr="00596A43" w:rsidRDefault="00EB5E96" w:rsidP="0007373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60174819" w14:textId="77777777" w:rsidR="0077056F" w:rsidRDefault="0077056F" w:rsidP="0007373B">
      <w:pPr>
        <w:tabs>
          <w:tab w:val="left" w:pos="-720"/>
        </w:tabs>
        <w:suppressAutoHyphens/>
        <w:jc w:val="both"/>
      </w:pPr>
    </w:p>
    <w:p w14:paraId="7835D66C" w14:textId="77777777" w:rsidR="001F25B3" w:rsidRDefault="001F25B3" w:rsidP="00285B87">
      <w:pPr>
        <w:suppressAutoHyphens/>
      </w:pPr>
      <w:r>
        <w:t>No exceptions have been requested.</w:t>
      </w:r>
    </w:p>
    <w:p w14:paraId="446FEA4A" w14:textId="77777777" w:rsidR="001F25B3" w:rsidRPr="00596A43" w:rsidRDefault="001F25B3" w:rsidP="0007373B">
      <w:pPr>
        <w:tabs>
          <w:tab w:val="left" w:pos="-720"/>
        </w:tabs>
        <w:suppressAutoHyphens/>
        <w:jc w:val="both"/>
      </w:pPr>
    </w:p>
    <w:sectPr w:rsidR="001F25B3" w:rsidRPr="00596A43" w:rsidSect="00AD3FC5">
      <w:footerReference w:type="even" r:id="rId19"/>
      <w:footerReference w:type="defaul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1EE1F" w14:textId="77777777" w:rsidR="00CE4619" w:rsidRDefault="00CE4619">
      <w:r>
        <w:separator/>
      </w:r>
    </w:p>
  </w:endnote>
  <w:endnote w:type="continuationSeparator" w:id="0">
    <w:p w14:paraId="7FEFC284" w14:textId="77777777" w:rsidR="00CE4619" w:rsidRDefault="00CE4619">
      <w:r>
        <w:continuationSeparator/>
      </w:r>
    </w:p>
  </w:endnote>
  <w:endnote w:type="continuationNotice" w:id="1">
    <w:p w14:paraId="076CA6F9" w14:textId="77777777" w:rsidR="00CE4619" w:rsidRDefault="00CE4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D6B5" w14:textId="77777777" w:rsidR="002939A4" w:rsidRDefault="002939A4"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983AB" w14:textId="77777777" w:rsidR="002939A4" w:rsidRDefault="002939A4"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C44FC" w14:textId="511F21C9" w:rsidR="002939A4" w:rsidRDefault="002939A4"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A40">
      <w:rPr>
        <w:rStyle w:val="PageNumber"/>
        <w:noProof/>
      </w:rPr>
      <w:t>2</w:t>
    </w:r>
    <w:r>
      <w:rPr>
        <w:rStyle w:val="PageNumber"/>
      </w:rPr>
      <w:fldChar w:fldCharType="end"/>
    </w:r>
  </w:p>
  <w:p w14:paraId="7BCF750C" w14:textId="77777777" w:rsidR="002939A4" w:rsidRDefault="002939A4"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71D17" w14:textId="77777777" w:rsidR="00CE4619" w:rsidRDefault="00CE4619">
      <w:r>
        <w:separator/>
      </w:r>
    </w:p>
  </w:footnote>
  <w:footnote w:type="continuationSeparator" w:id="0">
    <w:p w14:paraId="25B2F77E" w14:textId="77777777" w:rsidR="00CE4619" w:rsidRDefault="00CE4619">
      <w:r>
        <w:continuationSeparator/>
      </w:r>
    </w:p>
  </w:footnote>
  <w:footnote w:type="continuationNotice" w:id="1">
    <w:p w14:paraId="2B46F97F" w14:textId="77777777" w:rsidR="00CE4619" w:rsidRDefault="00CE4619"/>
  </w:footnote>
  <w:footnote w:id="2">
    <w:p w14:paraId="41A54C72" w14:textId="77777777" w:rsidR="002939A4" w:rsidRPr="00285B87" w:rsidRDefault="002939A4" w:rsidP="008123EC">
      <w:pPr>
        <w:pStyle w:val="FootnoteText"/>
        <w:rPr>
          <w:rFonts w:ascii="Times New Roman" w:hAnsi="Times New Roman"/>
          <w:sz w:val="20"/>
        </w:rPr>
      </w:pPr>
      <w:r w:rsidRPr="00285B87">
        <w:rPr>
          <w:rStyle w:val="FootnoteReference"/>
          <w:rFonts w:ascii="Times New Roman" w:hAnsi="Times New Roman"/>
          <w:sz w:val="20"/>
        </w:rPr>
        <w:footnoteRef/>
      </w:r>
      <w:r w:rsidRPr="00285B87">
        <w:rPr>
          <w:rFonts w:ascii="Times New Roman" w:hAnsi="Times New Roman"/>
          <w:sz w:val="20"/>
        </w:rPr>
        <w:t xml:space="preserve"> For more information about the TSDB, see DOJ/FBI – 019 Terrorist Screening Records System, last published in full as 77 FR 26580 (May 25, 2017).</w:t>
      </w:r>
    </w:p>
  </w:footnote>
  <w:footnote w:id="3">
    <w:p w14:paraId="7D727AC4" w14:textId="77777777" w:rsidR="002939A4" w:rsidRPr="00321373" w:rsidRDefault="002939A4" w:rsidP="008123EC">
      <w:pPr>
        <w:keepLines/>
        <w:rPr>
          <w:sz w:val="20"/>
          <w:szCs w:val="20"/>
        </w:rPr>
      </w:pPr>
      <w:r w:rsidRPr="00321373">
        <w:rPr>
          <w:rStyle w:val="FootnoteReference"/>
          <w:szCs w:val="20"/>
        </w:rPr>
        <w:footnoteRef/>
      </w:r>
      <w:r w:rsidRPr="00321373">
        <w:rPr>
          <w:sz w:val="20"/>
          <w:szCs w:val="20"/>
        </w:rPr>
        <w:t xml:space="preserve"> For more information about Redress Numbers, please go to </w:t>
      </w:r>
      <w:hyperlink r:id="rId1" w:anchor="1" w:history="1">
        <w:r w:rsidRPr="00321373">
          <w:rPr>
            <w:rStyle w:val="Hyperlink"/>
            <w:sz w:val="20"/>
            <w:szCs w:val="20"/>
          </w:rPr>
          <w:t>http://www.dhs.gov/one-stop-travelers-redress-process#1</w:t>
        </w:r>
      </w:hyperlink>
      <w:r w:rsidRPr="00321373">
        <w:rPr>
          <w:sz w:val="20"/>
          <w:szCs w:val="20"/>
        </w:rPr>
        <w:t>.</w:t>
      </w:r>
    </w:p>
  </w:footnote>
  <w:footnote w:id="4">
    <w:p w14:paraId="2BDCAABD" w14:textId="77777777" w:rsidR="002939A4" w:rsidRPr="00321373" w:rsidRDefault="002939A4" w:rsidP="008123EC">
      <w:pPr>
        <w:keepLines/>
        <w:rPr>
          <w:sz w:val="20"/>
          <w:szCs w:val="20"/>
        </w:rPr>
      </w:pPr>
      <w:r w:rsidRPr="00321373">
        <w:rPr>
          <w:rStyle w:val="FootnoteReference"/>
          <w:szCs w:val="20"/>
        </w:rPr>
        <w:footnoteRef/>
      </w:r>
      <w:r w:rsidRPr="00321373">
        <w:rPr>
          <w:sz w:val="20"/>
          <w:szCs w:val="20"/>
        </w:rPr>
        <w:t xml:space="preserve"> </w:t>
      </w:r>
      <w:r w:rsidRPr="00321373">
        <w:rPr>
          <w:i/>
          <w:sz w:val="20"/>
          <w:szCs w:val="20"/>
        </w:rPr>
        <w:t>See</w:t>
      </w:r>
      <w:r w:rsidRPr="00321373">
        <w:rPr>
          <w:sz w:val="20"/>
          <w:szCs w:val="20"/>
        </w:rPr>
        <w:t xml:space="preserve"> 6 CFR 27.300–345.</w:t>
      </w:r>
    </w:p>
  </w:footnote>
  <w:footnote w:id="5">
    <w:p w14:paraId="4B8EDFF6" w14:textId="77777777" w:rsidR="002939A4" w:rsidRPr="00321373" w:rsidRDefault="002939A4" w:rsidP="008123EC">
      <w:pPr>
        <w:keepLines/>
        <w:suppressAutoHyphens/>
        <w:rPr>
          <w:sz w:val="20"/>
          <w:szCs w:val="20"/>
        </w:rPr>
      </w:pPr>
      <w:r w:rsidRPr="00321373">
        <w:rPr>
          <w:rStyle w:val="FootnoteReference"/>
          <w:szCs w:val="20"/>
        </w:rPr>
        <w:footnoteRef/>
      </w:r>
      <w:r w:rsidRPr="00321373">
        <w:rPr>
          <w:sz w:val="20"/>
          <w:szCs w:val="20"/>
        </w:rPr>
        <w:t xml:space="preserve"> More information about access, correction, and redress requests under the Freedom of Information Act and the Privacy Act can be found in Section 7.0 of the Privacy Impact Assessment for the CFATS Personnel Surety Program</w:t>
      </w:r>
      <w:r>
        <w:rPr>
          <w:sz w:val="20"/>
          <w:szCs w:val="20"/>
        </w:rPr>
        <w:t>, dated</w:t>
      </w:r>
      <w:r w:rsidRPr="00321373">
        <w:rPr>
          <w:sz w:val="20"/>
          <w:szCs w:val="20"/>
        </w:rPr>
        <w:t xml:space="preserve"> May 4, 2011, and available at </w:t>
      </w:r>
      <w:hyperlink r:id="rId2" w:history="1">
        <w:r w:rsidRPr="00943086">
          <w:rPr>
            <w:rStyle w:val="Hyperlink"/>
            <w:sz w:val="20"/>
            <w:szCs w:val="20"/>
          </w:rPr>
          <w:t>http://www.dhs.gov/privacy-documents-national-protection-and-programs-directorate-nppd</w:t>
        </w:r>
      </w:hyperlink>
      <w:r w:rsidRPr="00321373">
        <w:rPr>
          <w:sz w:val="20"/>
          <w:szCs w:val="20"/>
        </w:rPr>
        <w:t>.</w:t>
      </w:r>
    </w:p>
  </w:footnote>
  <w:footnote w:id="6">
    <w:p w14:paraId="5EE92E2B" w14:textId="5AF105CB" w:rsidR="002939A4" w:rsidRPr="00B355C1" w:rsidRDefault="002939A4" w:rsidP="00521672">
      <w:pPr>
        <w:pStyle w:val="FootnoteText"/>
        <w:rPr>
          <w:rFonts w:ascii="Times New Roman" w:hAnsi="Times New Roman"/>
          <w:sz w:val="20"/>
        </w:rPr>
      </w:pPr>
      <w:r w:rsidRPr="00285B87">
        <w:rPr>
          <w:rStyle w:val="FootnoteReference"/>
          <w:rFonts w:ascii="Times New Roman" w:hAnsi="Times New Roman"/>
          <w:sz w:val="20"/>
        </w:rPr>
        <w:footnoteRef/>
      </w:r>
      <w:r w:rsidRPr="00285B87">
        <w:rPr>
          <w:rFonts w:ascii="Times New Roman" w:hAnsi="Times New Roman"/>
          <w:sz w:val="20"/>
        </w:rPr>
        <w:t xml:space="preserve"> </w:t>
      </w:r>
      <w:r w:rsidRPr="00B355C1">
        <w:rPr>
          <w:rFonts w:ascii="Times New Roman" w:hAnsi="Times New Roman"/>
          <w:sz w:val="20"/>
        </w:rPr>
        <w:t xml:space="preserve">These calculations are based on a </w:t>
      </w:r>
      <w:r>
        <w:rPr>
          <w:rFonts w:ascii="Times New Roman" w:hAnsi="Times New Roman"/>
          <w:sz w:val="20"/>
        </w:rPr>
        <w:t>hires</w:t>
      </w:r>
      <w:r w:rsidRPr="00B355C1">
        <w:rPr>
          <w:rFonts w:ascii="Times New Roman" w:hAnsi="Times New Roman"/>
          <w:sz w:val="20"/>
        </w:rPr>
        <w:t xml:space="preserve"> rate of 4</w:t>
      </w:r>
      <w:r>
        <w:rPr>
          <w:rFonts w:ascii="Times New Roman" w:hAnsi="Times New Roman"/>
          <w:sz w:val="20"/>
        </w:rPr>
        <w:t>7</w:t>
      </w:r>
      <w:r w:rsidRPr="00B355C1">
        <w:rPr>
          <w:rFonts w:ascii="Times New Roman" w:hAnsi="Times New Roman"/>
          <w:sz w:val="20"/>
        </w:rPr>
        <w:t>.</w:t>
      </w:r>
      <w:r>
        <w:rPr>
          <w:rFonts w:ascii="Times New Roman" w:hAnsi="Times New Roman"/>
          <w:sz w:val="20"/>
        </w:rPr>
        <w:t>8</w:t>
      </w:r>
      <w:r w:rsidRPr="00B355C1">
        <w:rPr>
          <w:rFonts w:ascii="Times New Roman" w:hAnsi="Times New Roman"/>
          <w:sz w:val="20"/>
        </w:rPr>
        <w:t>%, which is the five year average number of hires divided by the five year average number of separations.  Five year averages based on data reported for 2012-2016 from the Job Openings and Labor Turnover Survey, total private industry for the United States.  Hires (Series ID JTU10000000HIL) divided by Total Separations (Series ID JTU10000000TSL)</w:t>
      </w:r>
      <w:r>
        <w:rPr>
          <w:rFonts w:ascii="Times New Roman" w:hAnsi="Times New Roman"/>
          <w:sz w:val="20"/>
        </w:rPr>
        <w:t xml:space="preserve"> as found on</w:t>
      </w:r>
      <w:r w:rsidRPr="00B355C1">
        <w:rPr>
          <w:rFonts w:ascii="Times New Roman" w:hAnsi="Times New Roman"/>
          <w:sz w:val="20"/>
        </w:rPr>
        <w:t xml:space="preserve"> </w:t>
      </w:r>
      <w:hyperlink r:id="rId3" w:history="1">
        <w:r w:rsidRPr="00B355C1">
          <w:rPr>
            <w:rStyle w:val="Hyperlink"/>
            <w:rFonts w:ascii="Times New Roman" w:hAnsi="Times New Roman"/>
            <w:sz w:val="20"/>
          </w:rPr>
          <w:t>https://www.bls.gov/jlt/</w:t>
        </w:r>
      </w:hyperlink>
      <w:r>
        <w:rPr>
          <w:rStyle w:val="Hyperlink"/>
          <w:rFonts w:ascii="Times New Roman" w:hAnsi="Times New Roman"/>
          <w:sz w:val="20"/>
        </w:rPr>
        <w:t>.</w:t>
      </w:r>
    </w:p>
  </w:footnote>
  <w:footnote w:id="7">
    <w:p w14:paraId="329D1EAF" w14:textId="77777777" w:rsidR="002939A4" w:rsidRDefault="002939A4" w:rsidP="00521672">
      <w:pPr>
        <w:pStyle w:val="FootnoteText"/>
      </w:pPr>
      <w:r w:rsidRPr="00372B4A">
        <w:rPr>
          <w:rStyle w:val="FootnoteReference"/>
          <w:rFonts w:ascii="Times New Roman" w:hAnsi="Times New Roman"/>
          <w:sz w:val="20"/>
        </w:rPr>
        <w:footnoteRef/>
      </w:r>
      <w:r w:rsidRPr="00372B4A">
        <w:rPr>
          <w:rFonts w:ascii="Times New Roman" w:hAnsi="Times New Roman"/>
          <w:sz w:val="20"/>
        </w:rPr>
        <w:t xml:space="preserve"> The wage used for an SSO equals that of Managers, All (11-9199), with a load factor of 1.4639 to account for benefits in addition to wages  </w:t>
      </w:r>
      <w:hyperlink r:id="rId4" w:history="1">
        <w:r w:rsidRPr="00372B4A">
          <w:rPr>
            <w:rStyle w:val="Hyperlink"/>
            <w:rFonts w:ascii="Times New Roman" w:hAnsi="Times New Roman"/>
            <w:sz w:val="20"/>
          </w:rPr>
          <w:t>https://www.bls.gov/oes/2016/may/oes119199.htm</w:t>
        </w:r>
      </w:hyperlink>
    </w:p>
  </w:footnote>
  <w:footnote w:id="8">
    <w:p w14:paraId="50AEEB1A" w14:textId="77777777" w:rsidR="002939A4" w:rsidRPr="00372B4A" w:rsidRDefault="002939A4" w:rsidP="00521672">
      <w:pPr>
        <w:pStyle w:val="FootnoteText"/>
        <w:rPr>
          <w:rFonts w:ascii="Times New Roman" w:hAnsi="Times New Roman"/>
          <w:sz w:val="20"/>
        </w:rPr>
      </w:pPr>
      <w:r>
        <w:rPr>
          <w:rStyle w:val="FootnoteReference"/>
        </w:rPr>
        <w:footnoteRef/>
      </w:r>
      <w:r>
        <w:t xml:space="preserve"> </w:t>
      </w:r>
      <w:r w:rsidRPr="00372B4A">
        <w:rPr>
          <w:rFonts w:ascii="Times New Roman" w:hAnsi="Times New Roman"/>
          <w:sz w:val="20"/>
        </w:rPr>
        <w:t xml:space="preserve">Load factor based on BLS Employer Cost for Employee Compensation, as of June 9, 2017.  Load factor = Employer cost for employee compensation ($35.28) / wages and salaries ($24.10) = 1.4639 </w:t>
      </w:r>
      <w:hyperlink r:id="rId5" w:history="1">
        <w:r w:rsidRPr="00372B4A">
          <w:rPr>
            <w:rStyle w:val="Hyperlink"/>
            <w:rFonts w:ascii="Times New Roman" w:hAnsi="Times New Roman"/>
            <w:sz w:val="20"/>
          </w:rPr>
          <w:t>https://www.bls.gov/news.release/ecec.nr0.htm</w:t>
        </w:r>
      </w:hyperlink>
    </w:p>
  </w:footnote>
  <w:footnote w:id="9">
    <w:p w14:paraId="48ACD37A" w14:textId="67FF21F8" w:rsidR="002939A4" w:rsidRDefault="002939A4" w:rsidP="005F1279">
      <w:pPr>
        <w:pStyle w:val="FootnoteText"/>
      </w:pPr>
      <w:r w:rsidRPr="00372B4A">
        <w:rPr>
          <w:rStyle w:val="FootnoteReference"/>
          <w:rFonts w:ascii="Times New Roman" w:hAnsi="Times New Roman"/>
          <w:sz w:val="20"/>
        </w:rPr>
        <w:footnoteRef/>
      </w:r>
      <w:r w:rsidRPr="00372B4A">
        <w:rPr>
          <w:rFonts w:ascii="Times New Roman" w:hAnsi="Times New Roman"/>
          <w:sz w:val="20"/>
        </w:rPr>
        <w:t xml:space="preserve"> Numbers may not total due to rounding</w:t>
      </w:r>
      <w:r>
        <w:rPr>
          <w:rFonts w:ascii="Times New Roman" w:hAnsi="Times New Roman"/>
          <w:sz w:val="20"/>
        </w:rPr>
        <w:t>.</w:t>
      </w:r>
    </w:p>
  </w:footnote>
  <w:footnote w:id="10">
    <w:p w14:paraId="3EE6A1FC" w14:textId="0E2CCE9D" w:rsidR="002939A4" w:rsidRPr="00484B37" w:rsidRDefault="002939A4" w:rsidP="00521672">
      <w:pPr>
        <w:pStyle w:val="FootnoteText"/>
        <w:rPr>
          <w:rFonts w:ascii="Times New Roman" w:hAnsi="Times New Roman"/>
          <w:sz w:val="20"/>
        </w:rPr>
      </w:pPr>
      <w:r w:rsidRPr="00484B37">
        <w:rPr>
          <w:rStyle w:val="FootnoteReference"/>
          <w:rFonts w:ascii="Times New Roman" w:hAnsi="Times New Roman"/>
          <w:sz w:val="20"/>
        </w:rPr>
        <w:footnoteRef/>
      </w:r>
      <w:r w:rsidRPr="00484B37">
        <w:rPr>
          <w:rFonts w:ascii="Times New Roman" w:hAnsi="Times New Roman"/>
          <w:sz w:val="20"/>
        </w:rPr>
        <w:t xml:space="preserve"> Values may not total due to rounding</w:t>
      </w:r>
      <w:r>
        <w:rPr>
          <w:rFonts w:ascii="Times New Roman" w:hAnsi="Times New Roman"/>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974F4"/>
    <w:multiLevelType w:val="hybridMultilevel"/>
    <w:tmpl w:val="7CD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9F6A44"/>
    <w:multiLevelType w:val="hybridMultilevel"/>
    <w:tmpl w:val="3F90C9A4"/>
    <w:lvl w:ilvl="0" w:tplc="9FE0BA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E5E51"/>
    <w:multiLevelType w:val="hybridMultilevel"/>
    <w:tmpl w:val="00C2711E"/>
    <w:lvl w:ilvl="0" w:tplc="01126C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040952"/>
    <w:multiLevelType w:val="hybridMultilevel"/>
    <w:tmpl w:val="74DCA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0">
    <w:nsid w:val="21CD701B"/>
    <w:multiLevelType w:val="hybridMultilevel"/>
    <w:tmpl w:val="171A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87A66"/>
    <w:multiLevelType w:val="hybridMultilevel"/>
    <w:tmpl w:val="C45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28C707A7"/>
    <w:multiLevelType w:val="hybridMultilevel"/>
    <w:tmpl w:val="7CC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9">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FC372C"/>
    <w:multiLevelType w:val="hybridMultilevel"/>
    <w:tmpl w:val="866C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8">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1">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2">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3">
    <w:nsid w:val="60167311"/>
    <w:multiLevelType w:val="hybridMultilevel"/>
    <w:tmpl w:val="1A0A6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5">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28"/>
  </w:num>
  <w:num w:numId="3">
    <w:abstractNumId w:val="31"/>
  </w:num>
  <w:num w:numId="4">
    <w:abstractNumId w:val="18"/>
  </w:num>
  <w:num w:numId="5">
    <w:abstractNumId w:val="22"/>
  </w:num>
  <w:num w:numId="6">
    <w:abstractNumId w:val="29"/>
  </w:num>
  <w:num w:numId="7">
    <w:abstractNumId w:val="30"/>
  </w:num>
  <w:num w:numId="8">
    <w:abstractNumId w:val="24"/>
  </w:num>
  <w:num w:numId="9">
    <w:abstractNumId w:val="15"/>
  </w:num>
  <w:num w:numId="10">
    <w:abstractNumId w:val="36"/>
  </w:num>
  <w:num w:numId="11">
    <w:abstractNumId w:val="21"/>
  </w:num>
  <w:num w:numId="12">
    <w:abstractNumId w:val="13"/>
  </w:num>
  <w:num w:numId="13">
    <w:abstractNumId w:val="37"/>
  </w:num>
  <w:num w:numId="14">
    <w:abstractNumId w:val="8"/>
  </w:num>
  <w:num w:numId="15">
    <w:abstractNumId w:val="23"/>
  </w:num>
  <w:num w:numId="16">
    <w:abstractNumId w:val="17"/>
  </w:num>
  <w:num w:numId="17">
    <w:abstractNumId w:val="3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7"/>
  </w:num>
  <w:num w:numId="20">
    <w:abstractNumId w:val="32"/>
  </w:num>
  <w:num w:numId="21">
    <w:abstractNumId w:val="25"/>
  </w:num>
  <w:num w:numId="22">
    <w:abstractNumId w:val="19"/>
  </w:num>
  <w:num w:numId="23">
    <w:abstractNumId w:val="6"/>
  </w:num>
  <w:num w:numId="24">
    <w:abstractNumId w:val="3"/>
  </w:num>
  <w:num w:numId="25">
    <w:abstractNumId w:val="1"/>
  </w:num>
  <w:num w:numId="26">
    <w:abstractNumId w:val="16"/>
  </w:num>
  <w:num w:numId="27">
    <w:abstractNumId w:val="12"/>
  </w:num>
  <w:num w:numId="28">
    <w:abstractNumId w:val="26"/>
  </w:num>
  <w:num w:numId="29">
    <w:abstractNumId w:val="11"/>
  </w:num>
  <w:num w:numId="30">
    <w:abstractNumId w:val="5"/>
  </w:num>
  <w:num w:numId="31">
    <w:abstractNumId w:val="35"/>
  </w:num>
  <w:num w:numId="32">
    <w:abstractNumId w:val="14"/>
  </w:num>
  <w:num w:numId="33">
    <w:abstractNumId w:val="2"/>
  </w:num>
  <w:num w:numId="34">
    <w:abstractNumId w:val="10"/>
  </w:num>
  <w:num w:numId="35">
    <w:abstractNumId w:val="20"/>
  </w:num>
  <w:num w:numId="36">
    <w:abstractNumId w:val="4"/>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2FBC"/>
    <w:rsid w:val="000134D5"/>
    <w:rsid w:val="000137B0"/>
    <w:rsid w:val="000152E2"/>
    <w:rsid w:val="000319C5"/>
    <w:rsid w:val="000335C8"/>
    <w:rsid w:val="00034394"/>
    <w:rsid w:val="00040904"/>
    <w:rsid w:val="00040E90"/>
    <w:rsid w:val="0004261A"/>
    <w:rsid w:val="00042924"/>
    <w:rsid w:val="000443B2"/>
    <w:rsid w:val="00047173"/>
    <w:rsid w:val="00051A81"/>
    <w:rsid w:val="00051FDA"/>
    <w:rsid w:val="00053802"/>
    <w:rsid w:val="0006796B"/>
    <w:rsid w:val="0007004D"/>
    <w:rsid w:val="0007373B"/>
    <w:rsid w:val="00075D99"/>
    <w:rsid w:val="00076EF2"/>
    <w:rsid w:val="000812FB"/>
    <w:rsid w:val="000A1E17"/>
    <w:rsid w:val="000A4447"/>
    <w:rsid w:val="000A6FC5"/>
    <w:rsid w:val="000B0A4B"/>
    <w:rsid w:val="000B1A14"/>
    <w:rsid w:val="000B2C01"/>
    <w:rsid w:val="000C4293"/>
    <w:rsid w:val="000C62FA"/>
    <w:rsid w:val="000D26F2"/>
    <w:rsid w:val="000D614F"/>
    <w:rsid w:val="000E06D9"/>
    <w:rsid w:val="000E6213"/>
    <w:rsid w:val="000E7B5C"/>
    <w:rsid w:val="000F40FE"/>
    <w:rsid w:val="0010385A"/>
    <w:rsid w:val="00103975"/>
    <w:rsid w:val="00112489"/>
    <w:rsid w:val="001131AC"/>
    <w:rsid w:val="001137C6"/>
    <w:rsid w:val="001167FF"/>
    <w:rsid w:val="00124B6C"/>
    <w:rsid w:val="001408DE"/>
    <w:rsid w:val="00141549"/>
    <w:rsid w:val="00141C5C"/>
    <w:rsid w:val="00144B5B"/>
    <w:rsid w:val="0017602C"/>
    <w:rsid w:val="00177DC8"/>
    <w:rsid w:val="00180D39"/>
    <w:rsid w:val="00184E5B"/>
    <w:rsid w:val="001905B2"/>
    <w:rsid w:val="00191158"/>
    <w:rsid w:val="001924B2"/>
    <w:rsid w:val="00194A62"/>
    <w:rsid w:val="001A06CB"/>
    <w:rsid w:val="001A143A"/>
    <w:rsid w:val="001A199D"/>
    <w:rsid w:val="001A2C95"/>
    <w:rsid w:val="001A36E2"/>
    <w:rsid w:val="001B06B5"/>
    <w:rsid w:val="001B6DF0"/>
    <w:rsid w:val="001C18B1"/>
    <w:rsid w:val="001C4B22"/>
    <w:rsid w:val="001C4CC1"/>
    <w:rsid w:val="001C4EF1"/>
    <w:rsid w:val="001C64C0"/>
    <w:rsid w:val="001D08BC"/>
    <w:rsid w:val="001D636F"/>
    <w:rsid w:val="001D6FBC"/>
    <w:rsid w:val="001D7429"/>
    <w:rsid w:val="001E2724"/>
    <w:rsid w:val="001E4A0C"/>
    <w:rsid w:val="001F25B3"/>
    <w:rsid w:val="00201BFB"/>
    <w:rsid w:val="002030D4"/>
    <w:rsid w:val="00214F23"/>
    <w:rsid w:val="00221653"/>
    <w:rsid w:val="00222489"/>
    <w:rsid w:val="0022399E"/>
    <w:rsid w:val="00224C87"/>
    <w:rsid w:val="00225BAD"/>
    <w:rsid w:val="0023320C"/>
    <w:rsid w:val="00235123"/>
    <w:rsid w:val="002366B4"/>
    <w:rsid w:val="00237711"/>
    <w:rsid w:val="00251725"/>
    <w:rsid w:val="00252EDB"/>
    <w:rsid w:val="002535DA"/>
    <w:rsid w:val="002545ED"/>
    <w:rsid w:val="00262CEF"/>
    <w:rsid w:val="00264251"/>
    <w:rsid w:val="00264743"/>
    <w:rsid w:val="0026636C"/>
    <w:rsid w:val="00272CF0"/>
    <w:rsid w:val="00274234"/>
    <w:rsid w:val="002763E4"/>
    <w:rsid w:val="00281A40"/>
    <w:rsid w:val="00284993"/>
    <w:rsid w:val="00285B87"/>
    <w:rsid w:val="00286C9B"/>
    <w:rsid w:val="00290AAB"/>
    <w:rsid w:val="00292EB0"/>
    <w:rsid w:val="002939A4"/>
    <w:rsid w:val="00295BF4"/>
    <w:rsid w:val="00297C37"/>
    <w:rsid w:val="002A443E"/>
    <w:rsid w:val="002A4CAE"/>
    <w:rsid w:val="002A5180"/>
    <w:rsid w:val="002A7031"/>
    <w:rsid w:val="002B0649"/>
    <w:rsid w:val="002B3D0A"/>
    <w:rsid w:val="002B4BF6"/>
    <w:rsid w:val="002C05B0"/>
    <w:rsid w:val="002C35AF"/>
    <w:rsid w:val="002C4512"/>
    <w:rsid w:val="002C58F3"/>
    <w:rsid w:val="002D6219"/>
    <w:rsid w:val="002E49C3"/>
    <w:rsid w:val="002F2A01"/>
    <w:rsid w:val="00300503"/>
    <w:rsid w:val="003012DB"/>
    <w:rsid w:val="003056D8"/>
    <w:rsid w:val="00307E90"/>
    <w:rsid w:val="00324A99"/>
    <w:rsid w:val="00325546"/>
    <w:rsid w:val="00325CD7"/>
    <w:rsid w:val="00331A0E"/>
    <w:rsid w:val="00333D1E"/>
    <w:rsid w:val="00341049"/>
    <w:rsid w:val="0034148A"/>
    <w:rsid w:val="003418AC"/>
    <w:rsid w:val="00344408"/>
    <w:rsid w:val="0034700E"/>
    <w:rsid w:val="00362DAB"/>
    <w:rsid w:val="00363A50"/>
    <w:rsid w:val="00364074"/>
    <w:rsid w:val="00364EE8"/>
    <w:rsid w:val="00365DC0"/>
    <w:rsid w:val="00377D10"/>
    <w:rsid w:val="00381F93"/>
    <w:rsid w:val="00383A50"/>
    <w:rsid w:val="003870DF"/>
    <w:rsid w:val="0039325E"/>
    <w:rsid w:val="00394081"/>
    <w:rsid w:val="00397076"/>
    <w:rsid w:val="003A034B"/>
    <w:rsid w:val="003A3B94"/>
    <w:rsid w:val="003A4655"/>
    <w:rsid w:val="003B43D7"/>
    <w:rsid w:val="003B5E20"/>
    <w:rsid w:val="003B68FA"/>
    <w:rsid w:val="003B7F47"/>
    <w:rsid w:val="003C4DD7"/>
    <w:rsid w:val="003C4DEC"/>
    <w:rsid w:val="003C600B"/>
    <w:rsid w:val="003C75AB"/>
    <w:rsid w:val="003D64C9"/>
    <w:rsid w:val="003E0D23"/>
    <w:rsid w:val="003E24E0"/>
    <w:rsid w:val="003E2CC1"/>
    <w:rsid w:val="003E4418"/>
    <w:rsid w:val="003E4924"/>
    <w:rsid w:val="003E6DD8"/>
    <w:rsid w:val="003F0021"/>
    <w:rsid w:val="003F0B0F"/>
    <w:rsid w:val="00405659"/>
    <w:rsid w:val="004076BD"/>
    <w:rsid w:val="004108E8"/>
    <w:rsid w:val="00413E8E"/>
    <w:rsid w:val="004365BB"/>
    <w:rsid w:val="004451B2"/>
    <w:rsid w:val="00447C3A"/>
    <w:rsid w:val="004557C9"/>
    <w:rsid w:val="0045673C"/>
    <w:rsid w:val="00460234"/>
    <w:rsid w:val="00461943"/>
    <w:rsid w:val="00462C47"/>
    <w:rsid w:val="004634FF"/>
    <w:rsid w:val="00475A4A"/>
    <w:rsid w:val="00476772"/>
    <w:rsid w:val="00482F9B"/>
    <w:rsid w:val="00484A08"/>
    <w:rsid w:val="00484B37"/>
    <w:rsid w:val="00487952"/>
    <w:rsid w:val="0049579B"/>
    <w:rsid w:val="004959F3"/>
    <w:rsid w:val="004A0DE6"/>
    <w:rsid w:val="004A42B4"/>
    <w:rsid w:val="004A6726"/>
    <w:rsid w:val="004B337D"/>
    <w:rsid w:val="004B62D9"/>
    <w:rsid w:val="004C21F8"/>
    <w:rsid w:val="004C7732"/>
    <w:rsid w:val="004D2650"/>
    <w:rsid w:val="004E3986"/>
    <w:rsid w:val="004E40D9"/>
    <w:rsid w:val="004F18F8"/>
    <w:rsid w:val="004F19C6"/>
    <w:rsid w:val="004F7509"/>
    <w:rsid w:val="004F7F4F"/>
    <w:rsid w:val="0051005D"/>
    <w:rsid w:val="005129EC"/>
    <w:rsid w:val="005202D4"/>
    <w:rsid w:val="00521672"/>
    <w:rsid w:val="0052705D"/>
    <w:rsid w:val="0053100C"/>
    <w:rsid w:val="005420D3"/>
    <w:rsid w:val="005501EF"/>
    <w:rsid w:val="00550B78"/>
    <w:rsid w:val="00550F04"/>
    <w:rsid w:val="00552202"/>
    <w:rsid w:val="00561E25"/>
    <w:rsid w:val="005643B2"/>
    <w:rsid w:val="00564F96"/>
    <w:rsid w:val="00573B59"/>
    <w:rsid w:val="005765FA"/>
    <w:rsid w:val="00580711"/>
    <w:rsid w:val="005817B5"/>
    <w:rsid w:val="00585594"/>
    <w:rsid w:val="005924FE"/>
    <w:rsid w:val="00596A43"/>
    <w:rsid w:val="005A0C14"/>
    <w:rsid w:val="005A4406"/>
    <w:rsid w:val="005A51CC"/>
    <w:rsid w:val="005A6729"/>
    <w:rsid w:val="005A6F0F"/>
    <w:rsid w:val="005B5DC6"/>
    <w:rsid w:val="005B66C6"/>
    <w:rsid w:val="005C3DCA"/>
    <w:rsid w:val="005C7058"/>
    <w:rsid w:val="005C7E14"/>
    <w:rsid w:val="005D0717"/>
    <w:rsid w:val="005D0E41"/>
    <w:rsid w:val="005D1303"/>
    <w:rsid w:val="005D182B"/>
    <w:rsid w:val="005D472D"/>
    <w:rsid w:val="005D6EC2"/>
    <w:rsid w:val="005D7769"/>
    <w:rsid w:val="005D781B"/>
    <w:rsid w:val="005E701A"/>
    <w:rsid w:val="005F0C1E"/>
    <w:rsid w:val="005F1279"/>
    <w:rsid w:val="005F42CD"/>
    <w:rsid w:val="006026DF"/>
    <w:rsid w:val="00612464"/>
    <w:rsid w:val="006145D1"/>
    <w:rsid w:val="00615DFD"/>
    <w:rsid w:val="00621857"/>
    <w:rsid w:val="00622034"/>
    <w:rsid w:val="006236CF"/>
    <w:rsid w:val="00625391"/>
    <w:rsid w:val="0062628B"/>
    <w:rsid w:val="00633BEC"/>
    <w:rsid w:val="00635885"/>
    <w:rsid w:val="0064028B"/>
    <w:rsid w:val="00642A4D"/>
    <w:rsid w:val="0064432D"/>
    <w:rsid w:val="00653708"/>
    <w:rsid w:val="00656063"/>
    <w:rsid w:val="00657687"/>
    <w:rsid w:val="006651B2"/>
    <w:rsid w:val="00666B35"/>
    <w:rsid w:val="006749D4"/>
    <w:rsid w:val="00680F19"/>
    <w:rsid w:val="0068160F"/>
    <w:rsid w:val="0068258B"/>
    <w:rsid w:val="00691132"/>
    <w:rsid w:val="006949E9"/>
    <w:rsid w:val="006A0B1C"/>
    <w:rsid w:val="006A1CB6"/>
    <w:rsid w:val="006A7FF1"/>
    <w:rsid w:val="006B35FE"/>
    <w:rsid w:val="006B4994"/>
    <w:rsid w:val="006C01DC"/>
    <w:rsid w:val="006C61E2"/>
    <w:rsid w:val="006D0E62"/>
    <w:rsid w:val="006D23AF"/>
    <w:rsid w:val="006D5286"/>
    <w:rsid w:val="006D5CCE"/>
    <w:rsid w:val="006D759C"/>
    <w:rsid w:val="006D785E"/>
    <w:rsid w:val="006E32D9"/>
    <w:rsid w:val="006F3A0C"/>
    <w:rsid w:val="006F3FDD"/>
    <w:rsid w:val="006F5BE0"/>
    <w:rsid w:val="006F5E17"/>
    <w:rsid w:val="00706208"/>
    <w:rsid w:val="00707254"/>
    <w:rsid w:val="00710FD4"/>
    <w:rsid w:val="007277A8"/>
    <w:rsid w:val="007277F0"/>
    <w:rsid w:val="00741B83"/>
    <w:rsid w:val="00742F2D"/>
    <w:rsid w:val="007443F3"/>
    <w:rsid w:val="007522B5"/>
    <w:rsid w:val="00752D76"/>
    <w:rsid w:val="00754FA1"/>
    <w:rsid w:val="007650F1"/>
    <w:rsid w:val="0077056F"/>
    <w:rsid w:val="0077544B"/>
    <w:rsid w:val="00776B17"/>
    <w:rsid w:val="00781A41"/>
    <w:rsid w:val="00782C76"/>
    <w:rsid w:val="007840BD"/>
    <w:rsid w:val="007877F1"/>
    <w:rsid w:val="00792C74"/>
    <w:rsid w:val="00794439"/>
    <w:rsid w:val="007A2650"/>
    <w:rsid w:val="007A6F1F"/>
    <w:rsid w:val="007A751E"/>
    <w:rsid w:val="007B0EFB"/>
    <w:rsid w:val="007B469E"/>
    <w:rsid w:val="007C4C4D"/>
    <w:rsid w:val="007C7E60"/>
    <w:rsid w:val="007D0399"/>
    <w:rsid w:val="007D41F7"/>
    <w:rsid w:val="007E5414"/>
    <w:rsid w:val="007E6546"/>
    <w:rsid w:val="007E7793"/>
    <w:rsid w:val="007F0ED7"/>
    <w:rsid w:val="007F43FD"/>
    <w:rsid w:val="007F618A"/>
    <w:rsid w:val="007F61EC"/>
    <w:rsid w:val="007F79EE"/>
    <w:rsid w:val="00801C4A"/>
    <w:rsid w:val="008038CC"/>
    <w:rsid w:val="00805B8A"/>
    <w:rsid w:val="00810AC5"/>
    <w:rsid w:val="008123EC"/>
    <w:rsid w:val="0081324C"/>
    <w:rsid w:val="00824223"/>
    <w:rsid w:val="00827D60"/>
    <w:rsid w:val="00840338"/>
    <w:rsid w:val="008419A6"/>
    <w:rsid w:val="00845364"/>
    <w:rsid w:val="008500FB"/>
    <w:rsid w:val="00851950"/>
    <w:rsid w:val="00851BF1"/>
    <w:rsid w:val="00865E03"/>
    <w:rsid w:val="008710AD"/>
    <w:rsid w:val="00871434"/>
    <w:rsid w:val="008719E8"/>
    <w:rsid w:val="00875586"/>
    <w:rsid w:val="008804CB"/>
    <w:rsid w:val="00887178"/>
    <w:rsid w:val="008877E7"/>
    <w:rsid w:val="008924F0"/>
    <w:rsid w:val="00893285"/>
    <w:rsid w:val="008932AC"/>
    <w:rsid w:val="0089702F"/>
    <w:rsid w:val="008A07EE"/>
    <w:rsid w:val="008A165F"/>
    <w:rsid w:val="008A221D"/>
    <w:rsid w:val="008A698A"/>
    <w:rsid w:val="008B7403"/>
    <w:rsid w:val="008C27C3"/>
    <w:rsid w:val="008C3EEB"/>
    <w:rsid w:val="008D61ED"/>
    <w:rsid w:val="008D67A1"/>
    <w:rsid w:val="008D744F"/>
    <w:rsid w:val="008D7D1D"/>
    <w:rsid w:val="008E0177"/>
    <w:rsid w:val="008E2190"/>
    <w:rsid w:val="008E4152"/>
    <w:rsid w:val="008E62FE"/>
    <w:rsid w:val="008E7EE7"/>
    <w:rsid w:val="008F0994"/>
    <w:rsid w:val="008F2F44"/>
    <w:rsid w:val="008F6BDE"/>
    <w:rsid w:val="00901413"/>
    <w:rsid w:val="00902E4B"/>
    <w:rsid w:val="00903907"/>
    <w:rsid w:val="00904847"/>
    <w:rsid w:val="00913A27"/>
    <w:rsid w:val="0091586A"/>
    <w:rsid w:val="00922690"/>
    <w:rsid w:val="00922B4B"/>
    <w:rsid w:val="00923AD6"/>
    <w:rsid w:val="00924C84"/>
    <w:rsid w:val="009254B0"/>
    <w:rsid w:val="00927ABE"/>
    <w:rsid w:val="0093542A"/>
    <w:rsid w:val="00940CA8"/>
    <w:rsid w:val="00940F74"/>
    <w:rsid w:val="00942617"/>
    <w:rsid w:val="00943218"/>
    <w:rsid w:val="0094389A"/>
    <w:rsid w:val="00944494"/>
    <w:rsid w:val="00944960"/>
    <w:rsid w:val="009501B2"/>
    <w:rsid w:val="009539A8"/>
    <w:rsid w:val="00955CEC"/>
    <w:rsid w:val="00956B05"/>
    <w:rsid w:val="009608E5"/>
    <w:rsid w:val="00961FD6"/>
    <w:rsid w:val="0096453F"/>
    <w:rsid w:val="00964B42"/>
    <w:rsid w:val="00966A9D"/>
    <w:rsid w:val="0096736F"/>
    <w:rsid w:val="00972525"/>
    <w:rsid w:val="00975222"/>
    <w:rsid w:val="0098674F"/>
    <w:rsid w:val="00993F06"/>
    <w:rsid w:val="00995211"/>
    <w:rsid w:val="00997916"/>
    <w:rsid w:val="009A326B"/>
    <w:rsid w:val="009A4707"/>
    <w:rsid w:val="009A7B24"/>
    <w:rsid w:val="009B4A68"/>
    <w:rsid w:val="009B56E4"/>
    <w:rsid w:val="009C4719"/>
    <w:rsid w:val="009C4B11"/>
    <w:rsid w:val="009D0EDC"/>
    <w:rsid w:val="009D2F0F"/>
    <w:rsid w:val="009D43FC"/>
    <w:rsid w:val="009D774A"/>
    <w:rsid w:val="009E6B0A"/>
    <w:rsid w:val="009F06EB"/>
    <w:rsid w:val="009F5E5D"/>
    <w:rsid w:val="00A00007"/>
    <w:rsid w:val="00A031F6"/>
    <w:rsid w:val="00A0781B"/>
    <w:rsid w:val="00A13472"/>
    <w:rsid w:val="00A214B5"/>
    <w:rsid w:val="00A21CBD"/>
    <w:rsid w:val="00A231BF"/>
    <w:rsid w:val="00A31513"/>
    <w:rsid w:val="00A35C1C"/>
    <w:rsid w:val="00A36CA8"/>
    <w:rsid w:val="00A40F68"/>
    <w:rsid w:val="00A4271C"/>
    <w:rsid w:val="00A42A18"/>
    <w:rsid w:val="00A476E8"/>
    <w:rsid w:val="00A50B93"/>
    <w:rsid w:val="00A519AD"/>
    <w:rsid w:val="00A5727B"/>
    <w:rsid w:val="00A60B8F"/>
    <w:rsid w:val="00A619E0"/>
    <w:rsid w:val="00A74AA0"/>
    <w:rsid w:val="00A74E92"/>
    <w:rsid w:val="00A7697B"/>
    <w:rsid w:val="00A77A12"/>
    <w:rsid w:val="00A95256"/>
    <w:rsid w:val="00A964E3"/>
    <w:rsid w:val="00A97598"/>
    <w:rsid w:val="00AA30EE"/>
    <w:rsid w:val="00AA3F82"/>
    <w:rsid w:val="00AA5E85"/>
    <w:rsid w:val="00AA6813"/>
    <w:rsid w:val="00AB046A"/>
    <w:rsid w:val="00AB4B2B"/>
    <w:rsid w:val="00AC50A2"/>
    <w:rsid w:val="00AC539C"/>
    <w:rsid w:val="00AD28A3"/>
    <w:rsid w:val="00AD3FC5"/>
    <w:rsid w:val="00AE03A7"/>
    <w:rsid w:val="00AE0D1F"/>
    <w:rsid w:val="00AE41B7"/>
    <w:rsid w:val="00AF4918"/>
    <w:rsid w:val="00B00142"/>
    <w:rsid w:val="00B02152"/>
    <w:rsid w:val="00B10543"/>
    <w:rsid w:val="00B10A3D"/>
    <w:rsid w:val="00B139CF"/>
    <w:rsid w:val="00B17D05"/>
    <w:rsid w:val="00B335B2"/>
    <w:rsid w:val="00B355C1"/>
    <w:rsid w:val="00B35A9A"/>
    <w:rsid w:val="00B409A9"/>
    <w:rsid w:val="00B410FE"/>
    <w:rsid w:val="00B462CC"/>
    <w:rsid w:val="00B57157"/>
    <w:rsid w:val="00B6435C"/>
    <w:rsid w:val="00B67664"/>
    <w:rsid w:val="00B7475F"/>
    <w:rsid w:val="00B83285"/>
    <w:rsid w:val="00B83E3E"/>
    <w:rsid w:val="00B91395"/>
    <w:rsid w:val="00B92268"/>
    <w:rsid w:val="00BA11D1"/>
    <w:rsid w:val="00BA2768"/>
    <w:rsid w:val="00BA5E0A"/>
    <w:rsid w:val="00BA706B"/>
    <w:rsid w:val="00BB0387"/>
    <w:rsid w:val="00BB4B67"/>
    <w:rsid w:val="00BB6625"/>
    <w:rsid w:val="00BB7C97"/>
    <w:rsid w:val="00BC0228"/>
    <w:rsid w:val="00BC4542"/>
    <w:rsid w:val="00BD25F8"/>
    <w:rsid w:val="00BD3D06"/>
    <w:rsid w:val="00BE3FBE"/>
    <w:rsid w:val="00BE4B9B"/>
    <w:rsid w:val="00BE7394"/>
    <w:rsid w:val="00BF1853"/>
    <w:rsid w:val="00C03685"/>
    <w:rsid w:val="00C04168"/>
    <w:rsid w:val="00C10ACB"/>
    <w:rsid w:val="00C206DD"/>
    <w:rsid w:val="00C234A4"/>
    <w:rsid w:val="00C23510"/>
    <w:rsid w:val="00C3419E"/>
    <w:rsid w:val="00C41055"/>
    <w:rsid w:val="00C443A2"/>
    <w:rsid w:val="00C45C31"/>
    <w:rsid w:val="00C520DC"/>
    <w:rsid w:val="00C54977"/>
    <w:rsid w:val="00C54C7E"/>
    <w:rsid w:val="00C62231"/>
    <w:rsid w:val="00C65903"/>
    <w:rsid w:val="00C678E0"/>
    <w:rsid w:val="00C7201B"/>
    <w:rsid w:val="00C75797"/>
    <w:rsid w:val="00C76017"/>
    <w:rsid w:val="00C7699C"/>
    <w:rsid w:val="00C77539"/>
    <w:rsid w:val="00C77DC2"/>
    <w:rsid w:val="00C831D5"/>
    <w:rsid w:val="00C878F8"/>
    <w:rsid w:val="00C87B6F"/>
    <w:rsid w:val="00C95FE0"/>
    <w:rsid w:val="00CA0C09"/>
    <w:rsid w:val="00CA51E1"/>
    <w:rsid w:val="00CA7AF8"/>
    <w:rsid w:val="00CB168E"/>
    <w:rsid w:val="00CB6507"/>
    <w:rsid w:val="00CB7D71"/>
    <w:rsid w:val="00CC1283"/>
    <w:rsid w:val="00CC1C0D"/>
    <w:rsid w:val="00CC79E5"/>
    <w:rsid w:val="00CD2DFE"/>
    <w:rsid w:val="00CD4E69"/>
    <w:rsid w:val="00CD6A8F"/>
    <w:rsid w:val="00CE3D0D"/>
    <w:rsid w:val="00CE4619"/>
    <w:rsid w:val="00CF0658"/>
    <w:rsid w:val="00CF3345"/>
    <w:rsid w:val="00CF45CF"/>
    <w:rsid w:val="00CF4958"/>
    <w:rsid w:val="00CF6775"/>
    <w:rsid w:val="00D02DD1"/>
    <w:rsid w:val="00D046A7"/>
    <w:rsid w:val="00D04C05"/>
    <w:rsid w:val="00D076CC"/>
    <w:rsid w:val="00D10061"/>
    <w:rsid w:val="00D10E10"/>
    <w:rsid w:val="00D11B01"/>
    <w:rsid w:val="00D170F7"/>
    <w:rsid w:val="00D17DEB"/>
    <w:rsid w:val="00D25CCE"/>
    <w:rsid w:val="00D32670"/>
    <w:rsid w:val="00D32EA8"/>
    <w:rsid w:val="00D3411B"/>
    <w:rsid w:val="00D40405"/>
    <w:rsid w:val="00D424D4"/>
    <w:rsid w:val="00D43015"/>
    <w:rsid w:val="00D523A7"/>
    <w:rsid w:val="00D5593D"/>
    <w:rsid w:val="00D6164D"/>
    <w:rsid w:val="00D735EE"/>
    <w:rsid w:val="00D73BBC"/>
    <w:rsid w:val="00D73FFC"/>
    <w:rsid w:val="00D82A65"/>
    <w:rsid w:val="00D84155"/>
    <w:rsid w:val="00D93841"/>
    <w:rsid w:val="00DA0968"/>
    <w:rsid w:val="00DA7978"/>
    <w:rsid w:val="00DB0532"/>
    <w:rsid w:val="00DB6962"/>
    <w:rsid w:val="00DB6BCE"/>
    <w:rsid w:val="00DB7417"/>
    <w:rsid w:val="00DC19A2"/>
    <w:rsid w:val="00DC3A27"/>
    <w:rsid w:val="00DC6AFC"/>
    <w:rsid w:val="00DC6E79"/>
    <w:rsid w:val="00DD300E"/>
    <w:rsid w:val="00DD4865"/>
    <w:rsid w:val="00DD5EA0"/>
    <w:rsid w:val="00DD6682"/>
    <w:rsid w:val="00DE157A"/>
    <w:rsid w:val="00DE477B"/>
    <w:rsid w:val="00DE56AF"/>
    <w:rsid w:val="00DF0F37"/>
    <w:rsid w:val="00DF62FF"/>
    <w:rsid w:val="00E0043E"/>
    <w:rsid w:val="00E04095"/>
    <w:rsid w:val="00E12104"/>
    <w:rsid w:val="00E176E9"/>
    <w:rsid w:val="00E17A04"/>
    <w:rsid w:val="00E2481E"/>
    <w:rsid w:val="00E25F04"/>
    <w:rsid w:val="00E27AB0"/>
    <w:rsid w:val="00E40066"/>
    <w:rsid w:val="00E4308A"/>
    <w:rsid w:val="00E43C5E"/>
    <w:rsid w:val="00E4592E"/>
    <w:rsid w:val="00E476EF"/>
    <w:rsid w:val="00E47C45"/>
    <w:rsid w:val="00E52614"/>
    <w:rsid w:val="00E54806"/>
    <w:rsid w:val="00E55539"/>
    <w:rsid w:val="00E573C1"/>
    <w:rsid w:val="00E57C22"/>
    <w:rsid w:val="00E7329F"/>
    <w:rsid w:val="00E7377C"/>
    <w:rsid w:val="00E7573C"/>
    <w:rsid w:val="00E76612"/>
    <w:rsid w:val="00E76662"/>
    <w:rsid w:val="00E9062F"/>
    <w:rsid w:val="00E9372C"/>
    <w:rsid w:val="00E93CBB"/>
    <w:rsid w:val="00E93F16"/>
    <w:rsid w:val="00E953CA"/>
    <w:rsid w:val="00E95985"/>
    <w:rsid w:val="00EA0F59"/>
    <w:rsid w:val="00EA1FED"/>
    <w:rsid w:val="00EA658A"/>
    <w:rsid w:val="00EA76B3"/>
    <w:rsid w:val="00EB08CD"/>
    <w:rsid w:val="00EB2374"/>
    <w:rsid w:val="00EB5E96"/>
    <w:rsid w:val="00EC0905"/>
    <w:rsid w:val="00EC7748"/>
    <w:rsid w:val="00EC7CCF"/>
    <w:rsid w:val="00ED0547"/>
    <w:rsid w:val="00ED2740"/>
    <w:rsid w:val="00ED2941"/>
    <w:rsid w:val="00ED4321"/>
    <w:rsid w:val="00EE4009"/>
    <w:rsid w:val="00EE53BE"/>
    <w:rsid w:val="00EE5DB2"/>
    <w:rsid w:val="00EF105B"/>
    <w:rsid w:val="00EF1A44"/>
    <w:rsid w:val="00EF2B4F"/>
    <w:rsid w:val="00EF73D7"/>
    <w:rsid w:val="00F02679"/>
    <w:rsid w:val="00F049F5"/>
    <w:rsid w:val="00F04FB5"/>
    <w:rsid w:val="00F15FF2"/>
    <w:rsid w:val="00F303E1"/>
    <w:rsid w:val="00F3212F"/>
    <w:rsid w:val="00F33B1A"/>
    <w:rsid w:val="00F37F32"/>
    <w:rsid w:val="00F415B7"/>
    <w:rsid w:val="00F43F2B"/>
    <w:rsid w:val="00F4411A"/>
    <w:rsid w:val="00F44CCA"/>
    <w:rsid w:val="00F532E3"/>
    <w:rsid w:val="00F53A66"/>
    <w:rsid w:val="00F53BC3"/>
    <w:rsid w:val="00F55FF0"/>
    <w:rsid w:val="00F622A2"/>
    <w:rsid w:val="00F81BA3"/>
    <w:rsid w:val="00F86BF6"/>
    <w:rsid w:val="00F930EE"/>
    <w:rsid w:val="00FB2A0F"/>
    <w:rsid w:val="00FB4A8B"/>
    <w:rsid w:val="00FC4AAA"/>
    <w:rsid w:val="00FC7D99"/>
    <w:rsid w:val="00FD19A8"/>
    <w:rsid w:val="00FD232E"/>
    <w:rsid w:val="00FD2846"/>
    <w:rsid w:val="00FE5940"/>
    <w:rsid w:val="00FF1073"/>
    <w:rsid w:val="00FF39AE"/>
    <w:rsid w:val="00FF410F"/>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3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76662"/>
    <w:pPr>
      <w:keepNext/>
      <w:tabs>
        <w:tab w:val="left" w:pos="-720"/>
      </w:tabs>
      <w:suppressAutoHyphens/>
      <w:outlineLvl w:val="0"/>
    </w:pPr>
    <w:rPr>
      <w:b/>
      <w:sz w:val="28"/>
      <w:szCs w:val="20"/>
    </w:rPr>
  </w:style>
  <w:style w:type="paragraph" w:styleId="Heading2">
    <w:name w:val="heading 2"/>
    <w:basedOn w:val="Normal"/>
    <w:next w:val="Normal"/>
    <w:link w:val="Heading2Char"/>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paragraph" w:customStyle="1" w:styleId="Firstline05">
    <w:name w:val="First line:  0.5"/>
    <w:basedOn w:val="Normal"/>
    <w:autoRedefine/>
    <w:rsid w:val="00E27AB0"/>
    <w:pPr>
      <w:widowControl w:val="0"/>
      <w:autoSpaceDE w:val="0"/>
      <w:autoSpaceDN w:val="0"/>
      <w:adjustRightInd w:val="0"/>
      <w:spacing w:line="480" w:lineRule="auto"/>
    </w:pPr>
    <w:rPr>
      <w:szCs w:val="20"/>
    </w:rPr>
  </w:style>
  <w:style w:type="paragraph" w:customStyle="1" w:styleId="TableHeader">
    <w:name w:val="Table Header"/>
    <w:basedOn w:val="Normal"/>
    <w:autoRedefine/>
    <w:qFormat/>
    <w:rsid w:val="00691132"/>
    <w:pPr>
      <w:keepNext/>
      <w:keepLines/>
      <w:autoSpaceDE w:val="0"/>
      <w:autoSpaceDN w:val="0"/>
      <w:adjustRightInd w:val="0"/>
      <w:spacing w:line="480" w:lineRule="auto"/>
      <w:ind w:firstLine="720"/>
    </w:pPr>
    <w:rPr>
      <w:b/>
      <w:bCs/>
      <w:szCs w:val="20"/>
    </w:rPr>
  </w:style>
  <w:style w:type="paragraph" w:customStyle="1" w:styleId="TableTopRow">
    <w:name w:val="Table Top Row"/>
    <w:basedOn w:val="Normal"/>
    <w:autoRedefine/>
    <w:rsid w:val="00691132"/>
    <w:pPr>
      <w:keepNext/>
      <w:keepLines/>
      <w:widowControl w:val="0"/>
      <w:tabs>
        <w:tab w:val="left" w:pos="5040"/>
      </w:tabs>
      <w:autoSpaceDE w:val="0"/>
      <w:autoSpaceDN w:val="0"/>
      <w:adjustRightInd w:val="0"/>
      <w:jc w:val="center"/>
    </w:pPr>
    <w:rPr>
      <w:b/>
      <w:bCs/>
      <w:sz w:val="20"/>
    </w:rPr>
  </w:style>
  <w:style w:type="paragraph" w:customStyle="1" w:styleId="TableContentLeft">
    <w:name w:val="Table Content (Left)"/>
    <w:basedOn w:val="Normal"/>
    <w:autoRedefine/>
    <w:rsid w:val="00691132"/>
    <w:pPr>
      <w:widowControl w:val="0"/>
      <w:autoSpaceDE w:val="0"/>
      <w:autoSpaceDN w:val="0"/>
      <w:adjustRightInd w:val="0"/>
    </w:pPr>
    <w:rPr>
      <w:color w:val="000000"/>
      <w:sz w:val="20"/>
      <w:szCs w:val="20"/>
    </w:rPr>
  </w:style>
  <w:style w:type="character" w:customStyle="1" w:styleId="CommentTextChar">
    <w:name w:val="Comment Text Char"/>
    <w:basedOn w:val="DefaultParagraphFont"/>
    <w:link w:val="CommentText"/>
    <w:rsid w:val="0080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76662"/>
    <w:pPr>
      <w:keepNext/>
      <w:tabs>
        <w:tab w:val="left" w:pos="-720"/>
      </w:tabs>
      <w:suppressAutoHyphens/>
      <w:outlineLvl w:val="0"/>
    </w:pPr>
    <w:rPr>
      <w:b/>
      <w:sz w:val="28"/>
      <w:szCs w:val="20"/>
    </w:rPr>
  </w:style>
  <w:style w:type="paragraph" w:styleId="Heading2">
    <w:name w:val="heading 2"/>
    <w:basedOn w:val="Normal"/>
    <w:next w:val="Normal"/>
    <w:link w:val="Heading2Char"/>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paragraph" w:customStyle="1" w:styleId="Firstline05">
    <w:name w:val="First line:  0.5"/>
    <w:basedOn w:val="Normal"/>
    <w:autoRedefine/>
    <w:rsid w:val="00E27AB0"/>
    <w:pPr>
      <w:widowControl w:val="0"/>
      <w:autoSpaceDE w:val="0"/>
      <w:autoSpaceDN w:val="0"/>
      <w:adjustRightInd w:val="0"/>
      <w:spacing w:line="480" w:lineRule="auto"/>
    </w:pPr>
    <w:rPr>
      <w:szCs w:val="20"/>
    </w:rPr>
  </w:style>
  <w:style w:type="paragraph" w:customStyle="1" w:styleId="TableHeader">
    <w:name w:val="Table Header"/>
    <w:basedOn w:val="Normal"/>
    <w:autoRedefine/>
    <w:qFormat/>
    <w:rsid w:val="00691132"/>
    <w:pPr>
      <w:keepNext/>
      <w:keepLines/>
      <w:autoSpaceDE w:val="0"/>
      <w:autoSpaceDN w:val="0"/>
      <w:adjustRightInd w:val="0"/>
      <w:spacing w:line="480" w:lineRule="auto"/>
      <w:ind w:firstLine="720"/>
    </w:pPr>
    <w:rPr>
      <w:b/>
      <w:bCs/>
      <w:szCs w:val="20"/>
    </w:rPr>
  </w:style>
  <w:style w:type="paragraph" w:customStyle="1" w:styleId="TableTopRow">
    <w:name w:val="Table Top Row"/>
    <w:basedOn w:val="Normal"/>
    <w:autoRedefine/>
    <w:rsid w:val="00691132"/>
    <w:pPr>
      <w:keepNext/>
      <w:keepLines/>
      <w:widowControl w:val="0"/>
      <w:tabs>
        <w:tab w:val="left" w:pos="5040"/>
      </w:tabs>
      <w:autoSpaceDE w:val="0"/>
      <w:autoSpaceDN w:val="0"/>
      <w:adjustRightInd w:val="0"/>
      <w:jc w:val="center"/>
    </w:pPr>
    <w:rPr>
      <w:b/>
      <w:bCs/>
      <w:sz w:val="20"/>
    </w:rPr>
  </w:style>
  <w:style w:type="paragraph" w:customStyle="1" w:styleId="TableContentLeft">
    <w:name w:val="Table Content (Left)"/>
    <w:basedOn w:val="Normal"/>
    <w:autoRedefine/>
    <w:rsid w:val="00691132"/>
    <w:pPr>
      <w:widowControl w:val="0"/>
      <w:autoSpaceDE w:val="0"/>
      <w:autoSpaceDN w:val="0"/>
      <w:adjustRightInd w:val="0"/>
    </w:pPr>
    <w:rPr>
      <w:color w:val="000000"/>
      <w:sz w:val="20"/>
      <w:szCs w:val="20"/>
    </w:rPr>
  </w:style>
  <w:style w:type="character" w:customStyle="1" w:styleId="CommentTextChar">
    <w:name w:val="Comment Text Char"/>
    <w:basedOn w:val="DefaultParagraphFont"/>
    <w:link w:val="CommentText"/>
    <w:rsid w:val="0080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804200504">
      <w:bodyDiv w:val="1"/>
      <w:marLeft w:val="0"/>
      <w:marRight w:val="0"/>
      <w:marTop w:val="0"/>
      <w:marBottom w:val="0"/>
      <w:divBdr>
        <w:top w:val="none" w:sz="0" w:space="0" w:color="auto"/>
        <w:left w:val="none" w:sz="0" w:space="0" w:color="auto"/>
        <w:bottom w:val="none" w:sz="0" w:space="0" w:color="auto"/>
        <w:right w:val="none" w:sz="0" w:space="0" w:color="auto"/>
      </w:divBdr>
    </w:div>
    <w:div w:id="820465992">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federalregister.gov/a/2014-114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federalregister.gov/a/2014-11431" TargetMode="External"/><Relationship Id="rId2" Type="http://schemas.openxmlformats.org/officeDocument/2006/relationships/customXml" Target="../customXml/item2.xml"/><Relationship Id="rId16" Type="http://schemas.openxmlformats.org/officeDocument/2006/relationships/hyperlink" Target="https://www.dhs.gov/publication/dhs-nppd-pia-018a-chemical-facilities-anti-terrorism-standards-personnel-sure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regulation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jlt/" TargetMode="External"/><Relationship Id="rId2" Type="http://schemas.openxmlformats.org/officeDocument/2006/relationships/hyperlink" Target="http://www.dhs.gov/privacy-documents-national-protection-and-programs-directorate-nppd" TargetMode="External"/><Relationship Id="rId1" Type="http://schemas.openxmlformats.org/officeDocument/2006/relationships/hyperlink" Target="http://www.dhs.gov/one-stop-travelers-redress-process" TargetMode="External"/><Relationship Id="rId5" Type="http://schemas.openxmlformats.org/officeDocument/2006/relationships/hyperlink" Target="https://www.bls.gov/news.release/ecec.nr0.htm" TargetMode="External"/><Relationship Id="rId4" Type="http://schemas.openxmlformats.org/officeDocument/2006/relationships/hyperlink" Target="https://www.bls.gov/oes/2016/may/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62482be-791f-46d4-86b5-fac5be26931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25CCFD688F2F4DA5FAB6FEA2BBB986" ma:contentTypeVersion="0" ma:contentTypeDescription="Create a new document." ma:contentTypeScope="" ma:versionID="f1931383ec69efb206a0828d0ad7d6b1">
  <xsd:schema xmlns:xsd="http://www.w3.org/2001/XMLSchema" xmlns:xs="http://www.w3.org/2001/XMLSchema" xmlns:p="http://schemas.microsoft.com/office/2006/metadata/properties" xmlns:ns2="c0a539e5-cd07-4dc1-ab3b-82065fc22058" targetNamespace="http://schemas.microsoft.com/office/2006/metadata/properties" ma:root="true" ma:fieldsID="7b834ae31744390120243278b846c836"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396C9586-59CF-40A0-BA4C-6AEAAEA1C155}">
  <ds:schemaRefs>
    <ds:schemaRef ds:uri="Microsoft.SharePoint.Taxonomy.ContentTypeSync"/>
  </ds:schemaRefs>
</ds:datastoreItem>
</file>

<file path=customXml/itemProps3.xml><?xml version="1.0" encoding="utf-8"?>
<ds:datastoreItem xmlns:ds="http://schemas.openxmlformats.org/officeDocument/2006/customXml" ds:itemID="{33F1FA61-FA4D-4008-A6E5-16C23693B2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06B10-B797-4FBB-B359-017B2C062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6.xml><?xml version="1.0" encoding="utf-8"?>
<ds:datastoreItem xmlns:ds="http://schemas.openxmlformats.org/officeDocument/2006/customXml" ds:itemID="{A994F384-ABC5-476C-BD6E-36ADEF2C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43092</CharactersWithSpaces>
  <SharedDoc>false</SharedDoc>
  <HLinks>
    <vt:vector size="54" baseType="variant">
      <vt:variant>
        <vt:i4>10</vt:i4>
      </vt:variant>
      <vt:variant>
        <vt:i4>70</vt:i4>
      </vt:variant>
      <vt:variant>
        <vt:i4>0</vt:i4>
      </vt:variant>
      <vt:variant>
        <vt:i4>5</vt:i4>
      </vt:variant>
      <vt:variant>
        <vt:lpwstr>https://federalregister.gov/a/2014-11433</vt:lpwstr>
      </vt:variant>
      <vt:variant>
        <vt:lpwstr/>
      </vt:variant>
      <vt:variant>
        <vt:i4>131082</vt:i4>
      </vt:variant>
      <vt:variant>
        <vt:i4>64</vt:i4>
      </vt:variant>
      <vt:variant>
        <vt:i4>0</vt:i4>
      </vt:variant>
      <vt:variant>
        <vt:i4>5</vt:i4>
      </vt:variant>
      <vt:variant>
        <vt:lpwstr>https://federalregister.gov/a/2014-11431</vt:lpwstr>
      </vt:variant>
      <vt:variant>
        <vt:lpwstr/>
      </vt:variant>
      <vt:variant>
        <vt:i4>2818151</vt:i4>
      </vt:variant>
      <vt:variant>
        <vt:i4>55</vt:i4>
      </vt:variant>
      <vt:variant>
        <vt:i4>0</vt:i4>
      </vt:variant>
      <vt:variant>
        <vt:i4>5</vt:i4>
      </vt:variant>
      <vt:variant>
        <vt:lpwstr>http://www.regulations.gov/</vt:lpwstr>
      </vt:variant>
      <vt:variant>
        <vt:lpwstr/>
      </vt:variant>
      <vt:variant>
        <vt:i4>2818151</vt:i4>
      </vt:variant>
      <vt:variant>
        <vt:i4>52</vt:i4>
      </vt:variant>
      <vt:variant>
        <vt:i4>0</vt:i4>
      </vt:variant>
      <vt:variant>
        <vt:i4>5</vt:i4>
      </vt:variant>
      <vt:variant>
        <vt:lpwstr>http://www.regulations.gov/</vt:lpwstr>
      </vt:variant>
      <vt:variant>
        <vt:lpwstr/>
      </vt:variant>
      <vt:variant>
        <vt:i4>4194333</vt:i4>
      </vt:variant>
      <vt:variant>
        <vt:i4>12</vt:i4>
      </vt:variant>
      <vt:variant>
        <vt:i4>0</vt:i4>
      </vt:variant>
      <vt:variant>
        <vt:i4>5</vt:i4>
      </vt:variant>
      <vt:variant>
        <vt:lpwstr>https://www.bls.gov/news.release/ecec.nr0.htm</vt:lpwstr>
      </vt:variant>
      <vt:variant>
        <vt:lpwstr/>
      </vt:variant>
      <vt:variant>
        <vt:i4>3276848</vt:i4>
      </vt:variant>
      <vt:variant>
        <vt:i4>9</vt:i4>
      </vt:variant>
      <vt:variant>
        <vt:i4>0</vt:i4>
      </vt:variant>
      <vt:variant>
        <vt:i4>5</vt:i4>
      </vt:variant>
      <vt:variant>
        <vt:lpwstr>https://www.bls.gov/oes/2016/may/oes119199.htm</vt:lpwstr>
      </vt:variant>
      <vt:variant>
        <vt:lpwstr/>
      </vt:variant>
      <vt:variant>
        <vt:i4>589918</vt:i4>
      </vt:variant>
      <vt:variant>
        <vt:i4>6</vt:i4>
      </vt:variant>
      <vt:variant>
        <vt:i4>0</vt:i4>
      </vt:variant>
      <vt:variant>
        <vt:i4>5</vt:i4>
      </vt:variant>
      <vt:variant>
        <vt:lpwstr>https://www.bls.gov/jlt/</vt:lpwstr>
      </vt:variant>
      <vt:variant>
        <vt:lpwstr/>
      </vt:variant>
      <vt:variant>
        <vt:i4>7274552</vt:i4>
      </vt:variant>
      <vt:variant>
        <vt:i4>3</vt:i4>
      </vt:variant>
      <vt:variant>
        <vt:i4>0</vt:i4>
      </vt:variant>
      <vt:variant>
        <vt:i4>5</vt:i4>
      </vt:variant>
      <vt:variant>
        <vt:lpwstr>http://www.dhs.gov/privacy-documents-national-protection-and-programs-directorate-nppd</vt:lpwstr>
      </vt:variant>
      <vt:variant>
        <vt:lpwstr/>
      </vt:variant>
      <vt:variant>
        <vt:i4>655420</vt:i4>
      </vt:variant>
      <vt:variant>
        <vt:i4>0</vt:i4>
      </vt:variant>
      <vt:variant>
        <vt:i4>0</vt:i4>
      </vt:variant>
      <vt:variant>
        <vt:i4>5</vt:i4>
      </vt:variant>
      <vt:variant>
        <vt:lpwstr>http://www.dhs.gov/one-stop-travelers-redress-process</vt:lpwstr>
      </vt:variant>
      <vt:variant>
        <vt:lpwst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SYSTEM</cp:lastModifiedBy>
  <cp:revision>2</cp:revision>
  <cp:lastPrinted>2008-09-19T16:45:00Z</cp:lastPrinted>
  <dcterms:created xsi:type="dcterms:W3CDTF">2018-07-11T14:12:00Z</dcterms:created>
  <dcterms:modified xsi:type="dcterms:W3CDTF">2018-07-11T14:12:00Z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ies>
</file>