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55934" w14:textId="77777777" w:rsidR="00EE07DD" w:rsidRPr="001A153B" w:rsidRDefault="00EE07DD" w:rsidP="001A153B">
      <w:pPr>
        <w:spacing w:after="0" w:line="240" w:lineRule="auto"/>
        <w:jc w:val="center"/>
        <w:rPr>
          <w:rFonts w:ascii="Times New Roman" w:hAnsi="Times New Roman" w:cs="Times New Roman"/>
          <w:sz w:val="26"/>
          <w:szCs w:val="26"/>
        </w:rPr>
      </w:pPr>
      <w:bookmarkStart w:id="0" w:name="_GoBack"/>
      <w:bookmarkEnd w:id="0"/>
      <w:r w:rsidRPr="001A153B">
        <w:rPr>
          <w:rFonts w:ascii="Times New Roman" w:hAnsi="Times New Roman" w:cs="Times New Roman"/>
          <w:sz w:val="26"/>
          <w:szCs w:val="26"/>
        </w:rPr>
        <w:t>Supporting Statement for</w:t>
      </w:r>
    </w:p>
    <w:p w14:paraId="227C11B5" w14:textId="2DCCA60F" w:rsidR="00A56BAC" w:rsidRPr="001A153B" w:rsidRDefault="00A56BAC" w:rsidP="001A153B">
      <w:pPr>
        <w:spacing w:after="0" w:line="240" w:lineRule="auto"/>
        <w:jc w:val="center"/>
        <w:rPr>
          <w:rFonts w:ascii="Times New Roman" w:hAnsi="Times New Roman" w:cs="Times New Roman"/>
          <w:b/>
          <w:sz w:val="26"/>
          <w:szCs w:val="26"/>
        </w:rPr>
      </w:pPr>
      <w:r w:rsidRPr="001A153B">
        <w:rPr>
          <w:rFonts w:ascii="Times New Roman" w:hAnsi="Times New Roman" w:cs="Times New Roman"/>
          <w:b/>
          <w:sz w:val="26"/>
          <w:szCs w:val="26"/>
        </w:rPr>
        <w:t>FERC-725A,</w:t>
      </w:r>
      <w:r w:rsidR="000B196E" w:rsidRPr="001A153B">
        <w:rPr>
          <w:rFonts w:ascii="Times New Roman" w:hAnsi="Times New Roman" w:cs="Times New Roman"/>
          <w:b/>
          <w:sz w:val="26"/>
          <w:szCs w:val="26"/>
        </w:rPr>
        <w:t xml:space="preserve"> </w:t>
      </w:r>
      <w:r w:rsidR="00232F79">
        <w:rPr>
          <w:rFonts w:ascii="Times New Roman" w:hAnsi="Times New Roman" w:cs="Times New Roman"/>
          <w:b/>
          <w:sz w:val="26"/>
          <w:szCs w:val="26"/>
        </w:rPr>
        <w:t>725G</w:t>
      </w:r>
      <w:r w:rsidR="003706A1">
        <w:rPr>
          <w:rFonts w:ascii="Times New Roman" w:hAnsi="Times New Roman" w:cs="Times New Roman"/>
          <w:b/>
          <w:sz w:val="26"/>
          <w:szCs w:val="26"/>
        </w:rPr>
        <w:t xml:space="preserve">, </w:t>
      </w:r>
      <w:r w:rsidR="00EE07DD" w:rsidRPr="001A153B">
        <w:rPr>
          <w:rFonts w:ascii="Times New Roman" w:hAnsi="Times New Roman" w:cs="Times New Roman"/>
          <w:b/>
          <w:sz w:val="26"/>
          <w:szCs w:val="26"/>
        </w:rPr>
        <w:t>and FERC-725Y</w:t>
      </w:r>
      <w:r w:rsidR="003706A1">
        <w:rPr>
          <w:rFonts w:ascii="Times New Roman" w:hAnsi="Times New Roman" w:cs="Times New Roman"/>
          <w:b/>
          <w:sz w:val="26"/>
          <w:szCs w:val="26"/>
        </w:rPr>
        <w:t>,</w:t>
      </w:r>
      <w:r w:rsidR="0024377F">
        <w:rPr>
          <w:rStyle w:val="FootnoteReference"/>
          <w:rFonts w:ascii="Times New Roman" w:hAnsi="Times New Roman" w:cs="Times New Roman"/>
          <w:b/>
          <w:sz w:val="26"/>
          <w:szCs w:val="26"/>
        </w:rPr>
        <w:footnoteReference w:id="1"/>
      </w:r>
    </w:p>
    <w:p w14:paraId="0CC0234D" w14:textId="1D3886B3" w:rsidR="00EE07DD" w:rsidRPr="001A153B" w:rsidRDefault="00EE07DD" w:rsidP="001A153B">
      <w:pPr>
        <w:spacing w:after="0" w:line="240" w:lineRule="auto"/>
        <w:jc w:val="center"/>
        <w:rPr>
          <w:rFonts w:ascii="Times New Roman" w:hAnsi="Times New Roman" w:cs="Times New Roman"/>
          <w:b/>
          <w:sz w:val="26"/>
          <w:szCs w:val="26"/>
        </w:rPr>
      </w:pPr>
      <w:r w:rsidRPr="001A153B">
        <w:rPr>
          <w:rFonts w:ascii="Times New Roman" w:hAnsi="Times New Roman" w:cs="Times New Roman"/>
          <w:b/>
          <w:sz w:val="26"/>
          <w:szCs w:val="26"/>
        </w:rPr>
        <w:t xml:space="preserve">in the </w:t>
      </w:r>
      <w:r w:rsidR="00460C6A" w:rsidRPr="001A153B">
        <w:rPr>
          <w:rFonts w:ascii="Times New Roman" w:hAnsi="Times New Roman" w:cs="Times New Roman"/>
          <w:b/>
          <w:sz w:val="26"/>
          <w:szCs w:val="26"/>
        </w:rPr>
        <w:t>Final</w:t>
      </w:r>
      <w:r w:rsidRPr="001A153B">
        <w:rPr>
          <w:rFonts w:ascii="Times New Roman" w:hAnsi="Times New Roman" w:cs="Times New Roman"/>
          <w:b/>
          <w:sz w:val="26"/>
          <w:szCs w:val="26"/>
        </w:rPr>
        <w:t xml:space="preserve"> Rule in Docket No. RM16-22</w:t>
      </w:r>
    </w:p>
    <w:p w14:paraId="4216EC95" w14:textId="77777777" w:rsidR="00EE07DD" w:rsidRPr="001A153B" w:rsidRDefault="00EE07DD" w:rsidP="009B3AA9">
      <w:pPr>
        <w:spacing w:after="0" w:line="240" w:lineRule="auto"/>
        <w:rPr>
          <w:rFonts w:ascii="Times New Roman" w:hAnsi="Times New Roman" w:cs="Times New Roman"/>
          <w:sz w:val="26"/>
          <w:szCs w:val="26"/>
        </w:rPr>
      </w:pPr>
    </w:p>
    <w:p w14:paraId="047EDF08" w14:textId="77777777" w:rsidR="00EE07DD"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Federal Energy Regulatory Commission (Commission or FERC) requests OMB review and approval of the changes to reporting and recordkeeping requirements, as </w:t>
      </w:r>
      <w:r w:rsidR="00644588" w:rsidRPr="001A153B">
        <w:rPr>
          <w:rFonts w:ascii="Times New Roman" w:hAnsi="Times New Roman" w:cs="Times New Roman"/>
          <w:sz w:val="26"/>
          <w:szCs w:val="26"/>
        </w:rPr>
        <w:t xml:space="preserve">noted in the Final Rule </w:t>
      </w:r>
      <w:r w:rsidRPr="001A153B">
        <w:rPr>
          <w:rFonts w:ascii="Times New Roman" w:hAnsi="Times New Roman" w:cs="Times New Roman"/>
          <w:sz w:val="26"/>
          <w:szCs w:val="26"/>
        </w:rPr>
        <w:t>(Coordination of Protection Systems for Performance during Faults and Specific Training for Personnel Reliability Standards) in Docket No. RM16-22.</w:t>
      </w:r>
    </w:p>
    <w:p w14:paraId="123EF3A6" w14:textId="77777777" w:rsidR="00B77B3D" w:rsidRPr="001A153B" w:rsidRDefault="00B77B3D" w:rsidP="009B3AA9">
      <w:pPr>
        <w:spacing w:after="0" w:line="240" w:lineRule="auto"/>
        <w:rPr>
          <w:rFonts w:ascii="Times New Roman" w:hAnsi="Times New Roman" w:cs="Times New Roman"/>
          <w:sz w:val="26"/>
          <w:szCs w:val="26"/>
        </w:rPr>
      </w:pPr>
    </w:p>
    <w:p w14:paraId="1415F48F" w14:textId="7D83C0F6"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This consolidated supporting statement for </w:t>
      </w:r>
      <w:r w:rsidR="00A56BAC" w:rsidRPr="001A153B">
        <w:rPr>
          <w:rFonts w:ascii="Times New Roman" w:hAnsi="Times New Roman" w:cs="Times New Roman"/>
          <w:sz w:val="26"/>
          <w:szCs w:val="26"/>
        </w:rPr>
        <w:t>FERC-725A</w:t>
      </w:r>
      <w:r w:rsidR="00A56BAC" w:rsidRPr="001A153B">
        <w:rPr>
          <w:rStyle w:val="FootnoteReference"/>
          <w:rFonts w:ascii="Times New Roman" w:hAnsi="Times New Roman" w:cs="Times New Roman"/>
          <w:sz w:val="26"/>
          <w:szCs w:val="26"/>
        </w:rPr>
        <w:footnoteReference w:id="2"/>
      </w:r>
      <w:r w:rsidR="00231271" w:rsidRPr="001A153B">
        <w:rPr>
          <w:rFonts w:ascii="Times New Roman" w:hAnsi="Times New Roman" w:cs="Times New Roman"/>
          <w:sz w:val="26"/>
          <w:szCs w:val="26"/>
        </w:rPr>
        <w:t>(Mandatory Reliability Standards for the Bulk-Power System),</w:t>
      </w:r>
      <w:r w:rsidR="000B196E" w:rsidRPr="001A153B">
        <w:rPr>
          <w:rFonts w:ascii="Times New Roman" w:hAnsi="Times New Roman" w:cs="Times New Roman"/>
          <w:sz w:val="26"/>
          <w:szCs w:val="26"/>
        </w:rPr>
        <w:t xml:space="preserve"> </w:t>
      </w:r>
      <w:r w:rsidR="00232F79">
        <w:rPr>
          <w:rFonts w:ascii="Times New Roman" w:hAnsi="Times New Roman" w:cs="Times New Roman"/>
          <w:sz w:val="26"/>
          <w:szCs w:val="26"/>
        </w:rPr>
        <w:t>FERC-725G</w:t>
      </w:r>
      <w:r w:rsidRPr="001A153B">
        <w:rPr>
          <w:rFonts w:ascii="Times New Roman" w:hAnsi="Times New Roman" w:cs="Times New Roman"/>
          <w:sz w:val="26"/>
          <w:szCs w:val="26"/>
        </w:rPr>
        <w:t xml:space="preserve"> (</w:t>
      </w:r>
      <w:r w:rsidR="003706A1" w:rsidRPr="003706A1">
        <w:rPr>
          <w:rFonts w:ascii="Times New Roman" w:hAnsi="Times New Roman" w:cs="Times New Roman"/>
          <w:sz w:val="26"/>
          <w:szCs w:val="26"/>
        </w:rPr>
        <w:t>Reliability Standards for the Bulk Power System: PRC Reliability Standards</w:t>
      </w:r>
      <w:r w:rsidRPr="001A153B">
        <w:rPr>
          <w:rFonts w:ascii="Times New Roman" w:hAnsi="Times New Roman" w:cs="Times New Roman"/>
          <w:sz w:val="26"/>
          <w:szCs w:val="26"/>
        </w:rPr>
        <w:t>) and FERC-725Y</w:t>
      </w:r>
      <w:bookmarkStart w:id="1" w:name="_Ref492372409"/>
      <w:r w:rsidRPr="001A153B">
        <w:rPr>
          <w:rFonts w:ascii="Times New Roman" w:hAnsi="Times New Roman" w:cs="Times New Roman"/>
          <w:sz w:val="26"/>
          <w:szCs w:val="26"/>
        </w:rPr>
        <w:t xml:space="preserve"> (Mandatory Reliability Standards: Personnel Performance, Training, and Qualifications) </w:t>
      </w:r>
      <w:r w:rsidR="003706A1">
        <w:rPr>
          <w:rFonts w:ascii="Times New Roman" w:hAnsi="Times New Roman" w:cs="Times New Roman"/>
          <w:sz w:val="26"/>
          <w:szCs w:val="26"/>
        </w:rPr>
        <w:t xml:space="preserve">is </w:t>
      </w:r>
      <w:r w:rsidRPr="001A153B">
        <w:rPr>
          <w:rFonts w:ascii="Times New Roman" w:hAnsi="Times New Roman" w:cs="Times New Roman"/>
          <w:sz w:val="26"/>
          <w:szCs w:val="26"/>
        </w:rPr>
        <w:t xml:space="preserve">being submitted, to reflect the changes in the </w:t>
      </w:r>
      <w:r w:rsidR="00460C6A" w:rsidRPr="001A153B">
        <w:rPr>
          <w:rFonts w:ascii="Times New Roman" w:hAnsi="Times New Roman" w:cs="Times New Roman"/>
          <w:sz w:val="26"/>
          <w:szCs w:val="26"/>
        </w:rPr>
        <w:t>Final Rule</w:t>
      </w:r>
      <w:r w:rsidRPr="001A153B">
        <w:rPr>
          <w:rFonts w:ascii="Times New Roman" w:hAnsi="Times New Roman" w:cs="Times New Roman"/>
          <w:sz w:val="26"/>
          <w:szCs w:val="26"/>
        </w:rPr>
        <w:t xml:space="preserve"> in RM16-22 (Coordination of Protection Systems for </w:t>
      </w:r>
      <w:r w:rsidRPr="001A153B">
        <w:rPr>
          <w:rFonts w:ascii="Times New Roman" w:hAnsi="Times New Roman" w:cs="Times New Roman"/>
          <w:sz w:val="26"/>
          <w:szCs w:val="26"/>
        </w:rPr>
        <w:lastRenderedPageBreak/>
        <w:t>Performance during Faults and Specific Training for Personnel Reliability Standards)</w:t>
      </w:r>
      <w:bookmarkEnd w:id="1"/>
      <w:r w:rsidRPr="001A153B">
        <w:rPr>
          <w:rFonts w:ascii="Times New Roman" w:hAnsi="Times New Roman" w:cs="Times New Roman"/>
          <w:sz w:val="26"/>
          <w:szCs w:val="26"/>
          <w:vertAlign w:val="superscript"/>
        </w:rPr>
        <w:footnoteReference w:id="3"/>
      </w:r>
      <w:r w:rsidR="003463E6">
        <w:rPr>
          <w:rFonts w:ascii="Times New Roman" w:hAnsi="Times New Roman" w:cs="Times New Roman"/>
          <w:sz w:val="26"/>
          <w:szCs w:val="26"/>
        </w:rPr>
        <w:t>.</w:t>
      </w:r>
      <w:r w:rsidRPr="001A153B">
        <w:rPr>
          <w:rFonts w:ascii="Times New Roman" w:hAnsi="Times New Roman" w:cs="Times New Roman"/>
          <w:sz w:val="26"/>
          <w:szCs w:val="26"/>
        </w:rPr>
        <w:t xml:space="preserve">  The changes include: </w:t>
      </w:r>
    </w:p>
    <w:p w14:paraId="2953CFD7" w14:textId="77777777" w:rsidR="00EE07DD" w:rsidRPr="001A153B" w:rsidRDefault="00EE07DD" w:rsidP="009B3AA9">
      <w:pPr>
        <w:numPr>
          <w:ilvl w:val="0"/>
          <w:numId w:val="3"/>
        </w:num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implementation of Reliability Standards PRC-027</w:t>
      </w:r>
      <w:r w:rsidR="00232F79">
        <w:rPr>
          <w:rFonts w:ascii="Times New Roman" w:hAnsi="Times New Roman" w:cs="Times New Roman"/>
          <w:sz w:val="26"/>
          <w:szCs w:val="26"/>
        </w:rPr>
        <w:t>-1 (to be included in FERC-725G</w:t>
      </w:r>
      <w:r w:rsidRPr="001A153B">
        <w:rPr>
          <w:rFonts w:ascii="Times New Roman" w:hAnsi="Times New Roman" w:cs="Times New Roman"/>
          <w:sz w:val="26"/>
          <w:szCs w:val="26"/>
        </w:rPr>
        <w:t>) and PER-006-1 (to be included in FERC-725Y)</w:t>
      </w:r>
    </w:p>
    <w:p w14:paraId="6EEA8741" w14:textId="73912555" w:rsidR="003C187C" w:rsidRDefault="00EE07DD" w:rsidP="007B29B4">
      <w:pPr>
        <w:numPr>
          <w:ilvl w:val="0"/>
          <w:numId w:val="3"/>
        </w:num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retirement of Reliability Standard PRC-001-1.1(ii) (currently included in FERC-725A).</w:t>
      </w:r>
    </w:p>
    <w:p w14:paraId="77A79878" w14:textId="0DAE9976" w:rsidR="007B29B4" w:rsidRPr="007B29B4" w:rsidRDefault="003706A1" w:rsidP="00F81B09">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 </w:t>
      </w:r>
    </w:p>
    <w:p w14:paraId="3653CAEA" w14:textId="77777777" w:rsidR="00EE07DD" w:rsidRPr="001A153B" w:rsidRDefault="00EE07DD" w:rsidP="009B3AA9">
      <w:pPr>
        <w:numPr>
          <w:ilvl w:val="0"/>
          <w:numId w:val="2"/>
        </w:num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CIRCUMSTANCES THAT MAKE THE COLLECTION OF INFORMATION NECESSARY</w:t>
      </w:r>
    </w:p>
    <w:p w14:paraId="479C480D" w14:textId="77777777" w:rsidR="003D34F1" w:rsidRDefault="003D34F1" w:rsidP="009B3AA9">
      <w:pPr>
        <w:spacing w:after="0" w:line="240" w:lineRule="auto"/>
        <w:rPr>
          <w:rFonts w:ascii="Times New Roman" w:hAnsi="Times New Roman" w:cs="Times New Roman"/>
          <w:b/>
          <w:sz w:val="26"/>
          <w:szCs w:val="26"/>
        </w:rPr>
      </w:pPr>
    </w:p>
    <w:p w14:paraId="5184FAC8" w14:textId="77777777" w:rsidR="00EE07DD" w:rsidRPr="001A153B" w:rsidRDefault="00EE07DD" w:rsidP="009B3AA9">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Background.</w:t>
      </w:r>
    </w:p>
    <w:p w14:paraId="75959F3F"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On August 8, 2005, The Electricity Modernization Act of 2005, which is Title XII of the Energy Policy Act of 2005 (EPAct 2005), was enacted into law</w:t>
      </w:r>
      <w:r w:rsidRPr="001A153B">
        <w:rPr>
          <w:rFonts w:ascii="Times New Roman" w:hAnsi="Times New Roman" w:cs="Times New Roman"/>
          <w:sz w:val="26"/>
          <w:szCs w:val="26"/>
          <w:vertAlign w:val="superscript"/>
        </w:rPr>
        <w:footnoteReference w:id="4"/>
      </w:r>
      <w:r w:rsidR="003463E6">
        <w:rPr>
          <w:rFonts w:ascii="Times New Roman" w:hAnsi="Times New Roman" w:cs="Times New Roman"/>
          <w:sz w:val="26"/>
          <w:szCs w:val="26"/>
        </w:rPr>
        <w:t>.</w:t>
      </w:r>
      <w:r w:rsidRPr="001A153B">
        <w:rPr>
          <w:rFonts w:ascii="Times New Roman" w:hAnsi="Times New Roman" w:cs="Times New Roman"/>
          <w:sz w:val="26"/>
          <w:szCs w:val="26"/>
        </w:rPr>
        <w:t xml:space="preserve">  EPAct 2005 added a new section 215 to the Federal Power Act (FPA), which requires a Commission-certified Electric Reliability Organization (ERO) to develop mandatory and enforceable Reliability Standards, subject to Commission review and approval</w:t>
      </w:r>
      <w:r w:rsidR="00043630">
        <w:rPr>
          <w:rFonts w:ascii="Times New Roman" w:hAnsi="Times New Roman" w:cs="Times New Roman"/>
          <w:sz w:val="26"/>
          <w:szCs w:val="26"/>
        </w:rPr>
        <w:t>.</w:t>
      </w:r>
    </w:p>
    <w:p w14:paraId="080B36DD"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Section 215 of the FPA requires a Commission-certified ERO to develop mandatory and enforceable Reliability Standards, subject to Commission review and approval.</w:t>
      </w:r>
      <w:r w:rsidRPr="001A153B">
        <w:rPr>
          <w:rFonts w:ascii="Times New Roman" w:hAnsi="Times New Roman" w:cs="Times New Roman"/>
          <w:b/>
          <w:sz w:val="26"/>
          <w:szCs w:val="26"/>
          <w:vertAlign w:val="superscript"/>
        </w:rPr>
        <w:footnoteReference w:id="5"/>
      </w:r>
      <w:r w:rsidRPr="001A153B">
        <w:rPr>
          <w:rFonts w:ascii="Times New Roman" w:hAnsi="Times New Roman" w:cs="Times New Roman"/>
          <w:sz w:val="26"/>
          <w:szCs w:val="26"/>
        </w:rPr>
        <w:t xml:space="preserve">  Once approved, the Reliability Standards may be enforced by the ERO subject to Commission oversight or by the Commission independently.</w:t>
      </w:r>
      <w:r w:rsidRPr="001A153B">
        <w:rPr>
          <w:rFonts w:ascii="Times New Roman" w:hAnsi="Times New Roman" w:cs="Times New Roman"/>
          <w:b/>
          <w:sz w:val="26"/>
          <w:szCs w:val="26"/>
          <w:vertAlign w:val="superscript"/>
        </w:rPr>
        <w:footnoteReference w:id="6"/>
      </w:r>
      <w:r w:rsidRPr="001A153B">
        <w:rPr>
          <w:rFonts w:ascii="Times New Roman" w:hAnsi="Times New Roman" w:cs="Times New Roman"/>
          <w:sz w:val="26"/>
          <w:szCs w:val="26"/>
        </w:rPr>
        <w:t xml:space="preserve">  In 2006, the Commission certified NERC (North American Electric Reliability Corporation) as the ERO</w:t>
      </w:r>
      <w:r w:rsidR="00B77B3D">
        <w:rPr>
          <w:rStyle w:val="FootnoteReference"/>
          <w:rFonts w:ascii="Times New Roman" w:hAnsi="Times New Roman" w:cs="Times New Roman"/>
          <w:sz w:val="26"/>
          <w:szCs w:val="26"/>
        </w:rPr>
        <w:footnoteReference w:id="7"/>
      </w:r>
      <w:r w:rsidRPr="001A153B">
        <w:rPr>
          <w:rFonts w:ascii="Times New Roman" w:hAnsi="Times New Roman" w:cs="Times New Roman"/>
          <w:sz w:val="26"/>
          <w:szCs w:val="26"/>
        </w:rPr>
        <w:t xml:space="preserve"> pursuant to section 215 of the FPA.</w:t>
      </w:r>
      <w:r w:rsidRPr="001A153B">
        <w:rPr>
          <w:rFonts w:ascii="Times New Roman" w:hAnsi="Times New Roman" w:cs="Times New Roman"/>
          <w:b/>
          <w:sz w:val="26"/>
          <w:szCs w:val="26"/>
          <w:vertAlign w:val="superscript"/>
        </w:rPr>
        <w:footnoteReference w:id="8"/>
      </w:r>
    </w:p>
    <w:p w14:paraId="3144833E" w14:textId="77777777" w:rsidR="00EE07DD" w:rsidRPr="001A153B" w:rsidRDefault="00EE07DD" w:rsidP="009B3AA9">
      <w:pPr>
        <w:spacing w:after="0" w:line="240" w:lineRule="auto"/>
        <w:rPr>
          <w:rFonts w:ascii="Times New Roman" w:hAnsi="Times New Roman" w:cs="Times New Roman"/>
          <w:sz w:val="26"/>
          <w:szCs w:val="26"/>
        </w:rPr>
      </w:pPr>
    </w:p>
    <w:p w14:paraId="2C6BBBE3" w14:textId="77777777" w:rsidR="00EE07DD"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On March 16, 2007 (pursuant to section 215(d) of the FPA), the Commission issued Order No. 693, approving 83 of the 107 initial Reliability Standards filed by NERC.  Order 693 addressed several PER and PRC Reliability Standards.  Some of them were approved but others were approved with a Commission directive for NERC to make modifications.  In the intervening years, numerous changes have been made to update, eliminate, or establish various Reliability Standards </w:t>
      </w:r>
    </w:p>
    <w:p w14:paraId="3C13CF8D" w14:textId="77777777" w:rsidR="00B77B3D" w:rsidRPr="001A153B" w:rsidRDefault="00B77B3D" w:rsidP="009B3AA9">
      <w:pPr>
        <w:spacing w:after="0" w:line="240" w:lineRule="auto"/>
        <w:rPr>
          <w:rFonts w:ascii="Times New Roman" w:hAnsi="Times New Roman" w:cs="Times New Roman"/>
          <w:sz w:val="26"/>
          <w:szCs w:val="26"/>
        </w:rPr>
      </w:pPr>
    </w:p>
    <w:p w14:paraId="5F0E3720" w14:textId="77777777" w:rsidR="009A0BF6" w:rsidRDefault="00231271" w:rsidP="009A0BF6">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Background on 725A.</w:t>
      </w:r>
      <w:r w:rsidR="009A0BF6" w:rsidRPr="009A0BF6">
        <w:rPr>
          <w:rFonts w:ascii="Times New Roman" w:hAnsi="Times New Roman" w:cs="Times New Roman"/>
          <w:sz w:val="26"/>
          <w:szCs w:val="26"/>
        </w:rPr>
        <w:t xml:space="preserve"> </w:t>
      </w:r>
      <w:r w:rsidR="009A0BF6" w:rsidRPr="0055235D">
        <w:rPr>
          <w:rFonts w:ascii="Times New Roman" w:hAnsi="Times New Roman" w:cs="Times New Roman"/>
          <w:sz w:val="26"/>
          <w:szCs w:val="26"/>
        </w:rPr>
        <w:t>On March 16, 2007, the Commission issued Order No. 693, approving 83 of the 107 Reliability Standards filed by NERC, including Reliability Standard PRC-001-1.</w:t>
      </w:r>
      <w:r w:rsidR="009A0BF6" w:rsidRPr="0055235D">
        <w:rPr>
          <w:rFonts w:ascii="Times New Roman" w:hAnsi="Times New Roman" w:cs="Times New Roman"/>
          <w:b/>
          <w:sz w:val="26"/>
          <w:szCs w:val="26"/>
          <w:vertAlign w:val="superscript"/>
        </w:rPr>
        <w:footnoteReference w:id="9"/>
      </w:r>
      <w:r w:rsidR="009A0BF6" w:rsidRPr="0055235D">
        <w:rPr>
          <w:rFonts w:ascii="Times New Roman" w:hAnsi="Times New Roman" w:cs="Times New Roman"/>
          <w:sz w:val="26"/>
          <w:szCs w:val="26"/>
        </w:rPr>
        <w:t xml:space="preserve"> In addition, the Commission directed NERC to develop modifications to Reliability Standard PRC-001-1 that:</w:t>
      </w:r>
    </w:p>
    <w:p w14:paraId="3F65BDD6" w14:textId="77777777" w:rsidR="009A0BF6" w:rsidRPr="0055235D" w:rsidRDefault="009A0BF6" w:rsidP="009A0BF6">
      <w:pPr>
        <w:spacing w:after="0" w:line="240" w:lineRule="auto"/>
        <w:rPr>
          <w:rFonts w:ascii="Times New Roman" w:hAnsi="Times New Roman" w:cs="Times New Roman"/>
          <w:sz w:val="26"/>
          <w:szCs w:val="26"/>
        </w:rPr>
      </w:pPr>
    </w:p>
    <w:p w14:paraId="3D309435" w14:textId="77777777" w:rsidR="009A0BF6" w:rsidRPr="0055235D" w:rsidRDefault="009A0BF6" w:rsidP="009A0BF6">
      <w:pPr>
        <w:spacing w:after="0" w:line="240" w:lineRule="auto"/>
        <w:rPr>
          <w:rFonts w:ascii="Times New Roman" w:hAnsi="Times New Roman" w:cs="Times New Roman"/>
          <w:sz w:val="26"/>
          <w:szCs w:val="26"/>
        </w:rPr>
      </w:pPr>
      <w:r w:rsidRPr="0055235D">
        <w:rPr>
          <w:rFonts w:ascii="Times New Roman" w:hAnsi="Times New Roman" w:cs="Times New Roman"/>
          <w:sz w:val="26"/>
          <w:szCs w:val="26"/>
        </w:rPr>
        <w:t>(1) correct the references for Requirements, and (2) include a requirement that upon the detection of failures in relays or protection system elements on the Bulk-Power System that threaten reliable operation, relevant transmission operators must be informed promptly, but within a specified period of time that is developed in the Reliability Standards development process, whereas generator operators must also promptly inform their transmission operators; and (3) clarifies that, after being informed of failures in relays or protection system elements that threaten reliability of the Bulk-Power System, transmission operators must carry out corrective control actions, i.e., return a system to a stable state that respects system requirements as soon as possible and no longer than 30 minutes after they receive notice of the failure.</w:t>
      </w:r>
      <w:r w:rsidRPr="0055235D">
        <w:rPr>
          <w:rFonts w:ascii="Times New Roman" w:hAnsi="Times New Roman" w:cs="Times New Roman"/>
          <w:b/>
          <w:sz w:val="26"/>
          <w:szCs w:val="26"/>
          <w:vertAlign w:val="superscript"/>
        </w:rPr>
        <w:footnoteReference w:id="10"/>
      </w:r>
    </w:p>
    <w:p w14:paraId="0BB28A73" w14:textId="77777777" w:rsidR="00B77B3D" w:rsidRPr="001A153B" w:rsidRDefault="00B77B3D" w:rsidP="009B3AA9">
      <w:pPr>
        <w:spacing w:after="0" w:line="240" w:lineRule="auto"/>
        <w:rPr>
          <w:rFonts w:ascii="Times New Roman" w:hAnsi="Times New Roman" w:cs="Times New Roman"/>
          <w:b/>
          <w:sz w:val="26"/>
          <w:szCs w:val="26"/>
        </w:rPr>
      </w:pPr>
    </w:p>
    <w:p w14:paraId="5B762568"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Background on FERC-725Y.</w:t>
      </w:r>
      <w:r w:rsidRPr="001A153B">
        <w:rPr>
          <w:rFonts w:ascii="Times New Roman" w:hAnsi="Times New Roman" w:cs="Times New Roman"/>
          <w:sz w:val="26"/>
          <w:szCs w:val="26"/>
        </w:rPr>
        <w:t xml:space="preserve">  Order No. 693 included approval of four PER Reliability Standards governing certain areas of personnel staffing and training.  In addition, under section 215(d)(5) of the FPA, the Commission directed NERC to develop several modifications to the approved PER standards.</w:t>
      </w:r>
      <w:r w:rsidR="004232B1">
        <w:rPr>
          <w:rFonts w:ascii="Times New Roman" w:hAnsi="Times New Roman" w:cs="Times New Roman"/>
          <w:sz w:val="26"/>
          <w:szCs w:val="26"/>
        </w:rPr>
        <w:t xml:space="preserve"> </w:t>
      </w:r>
      <w:r w:rsidRPr="001A153B">
        <w:rPr>
          <w:rFonts w:ascii="Times New Roman" w:hAnsi="Times New Roman" w:cs="Times New Roman"/>
          <w:sz w:val="26"/>
          <w:szCs w:val="26"/>
        </w:rPr>
        <w:t xml:space="preserve">NERC addressed a portion of the Order No. 693 directives in a September 30, 2009 filing; FERC approved those Reliability Standards in Order No. 742.   However, the Commission noted that the standards did not fully satisfy the directives issued in Order No. 693, and issued additional directives to NERC. </w:t>
      </w:r>
    </w:p>
    <w:p w14:paraId="5E85F97F" w14:textId="77777777" w:rsidR="00EE07DD" w:rsidRPr="001A153B" w:rsidRDefault="00EE07DD" w:rsidP="009B3AA9">
      <w:pPr>
        <w:spacing w:after="0" w:line="240" w:lineRule="auto"/>
        <w:rPr>
          <w:rFonts w:ascii="Times New Roman" w:hAnsi="Times New Roman" w:cs="Times New Roman"/>
          <w:sz w:val="26"/>
          <w:szCs w:val="26"/>
        </w:rPr>
      </w:pPr>
    </w:p>
    <w:p w14:paraId="54C15A7F"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On March 7, 2014, NERC filed a Petition seeking approval of PER-005-2, explaining that the purpose of the revisions is to “improve upon PER-005-1 by expanding the scope of the Reliability Standard” consistent with the Commission’s directives in Order Nos. 693 and 742.  The FERC Order in Docket No. RD14-7 addressed the NERC Petition and approved Reliability Standard PER-005-2; the related reporting and recordkeeping requirements were approved by OMB under FERC-725Y on 4/23/2015. </w:t>
      </w:r>
    </w:p>
    <w:p w14:paraId="18B9A06B" w14:textId="77777777" w:rsidR="00EE07DD" w:rsidRPr="001A153B" w:rsidRDefault="00EE07DD" w:rsidP="009B3AA9">
      <w:pPr>
        <w:spacing w:after="0" w:line="240" w:lineRule="auto"/>
        <w:rPr>
          <w:rFonts w:ascii="Times New Roman" w:hAnsi="Times New Roman" w:cs="Times New Roman"/>
          <w:sz w:val="26"/>
          <w:szCs w:val="26"/>
        </w:rPr>
      </w:pPr>
    </w:p>
    <w:p w14:paraId="244BDA07"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Background on FERC-725G</w:t>
      </w:r>
      <w:r w:rsidR="00232F79">
        <w:rPr>
          <w:rFonts w:ascii="Times New Roman" w:hAnsi="Times New Roman" w:cs="Times New Roman"/>
          <w:b/>
          <w:sz w:val="26"/>
          <w:szCs w:val="26"/>
        </w:rPr>
        <w:t xml:space="preserve">. </w:t>
      </w:r>
      <w:r w:rsidRPr="001A153B">
        <w:rPr>
          <w:rFonts w:ascii="Times New Roman" w:hAnsi="Times New Roman" w:cs="Times New Roman"/>
          <w:sz w:val="26"/>
          <w:szCs w:val="26"/>
        </w:rPr>
        <w:t>On March 18, 2010, in Order No. 733, the Commission approved Reliability Standard PRC-023-1 (Transmission Relay Loadability)</w:t>
      </w:r>
      <w:r w:rsidRPr="001A153B">
        <w:rPr>
          <w:rFonts w:ascii="Times New Roman" w:hAnsi="Times New Roman" w:cs="Times New Roman"/>
          <w:sz w:val="26"/>
          <w:szCs w:val="26"/>
          <w:vertAlign w:val="superscript"/>
        </w:rPr>
        <w:footnoteReference w:id="11"/>
      </w:r>
      <w:r w:rsidRPr="001A153B">
        <w:rPr>
          <w:rFonts w:ascii="Times New Roman" w:hAnsi="Times New Roman" w:cs="Times New Roman"/>
          <w:sz w:val="26"/>
          <w:szCs w:val="26"/>
        </w:rPr>
        <w:t xml:space="preserve"> and directed NERC to develop a new Reliability Standard that requires the use of protective relay systems that can differentiate between faults and stable power swings and, when necessary, retirement of protective relay systems that cannot meet this requirement.</w:t>
      </w:r>
      <w:r w:rsidRPr="001A153B">
        <w:rPr>
          <w:rFonts w:ascii="Times New Roman" w:hAnsi="Times New Roman" w:cs="Times New Roman"/>
          <w:b/>
          <w:sz w:val="26"/>
          <w:szCs w:val="26"/>
          <w:vertAlign w:val="superscript"/>
        </w:rPr>
        <w:footnoteReference w:id="12"/>
      </w:r>
      <w:r w:rsidRPr="001A153B">
        <w:rPr>
          <w:rFonts w:ascii="Times New Roman" w:hAnsi="Times New Roman" w:cs="Times New Roman"/>
          <w:sz w:val="26"/>
          <w:szCs w:val="26"/>
        </w:rPr>
        <w:t xml:space="preserve">  In Order No. 733, the Commission cited the findings of both NERC and the U.S.-Canada Power System Outage Task Force on the causes of the 2003 Northeast Blackout, explaining that the cascade during this event was accelerated by zone 2 and zone 3 relays that continued to operate because these devices could not distinguish between a dynamic, but stable, power swing and an actual fault.</w:t>
      </w:r>
      <w:r w:rsidRPr="001A153B">
        <w:rPr>
          <w:rFonts w:ascii="Times New Roman" w:hAnsi="Times New Roman" w:cs="Times New Roman"/>
          <w:b/>
          <w:sz w:val="26"/>
          <w:szCs w:val="26"/>
          <w:vertAlign w:val="superscript"/>
        </w:rPr>
        <w:footnoteReference w:id="13"/>
      </w:r>
      <w:r w:rsidRPr="001A153B">
        <w:rPr>
          <w:rFonts w:ascii="Times New Roman" w:hAnsi="Times New Roman" w:cs="Times New Roman"/>
          <w:sz w:val="26"/>
          <w:szCs w:val="26"/>
        </w:rPr>
        <w:t xml:space="preserve">  The Commission recognized that addressing stable power swings is a complex issue which impacted the 2003 Blackout, and yet there was no Reliability Standard that addresses the issue; therefore, the Commission directed NERC to develop a Reliability Standard to address undesirable relay operation due to stable power swings.</w:t>
      </w:r>
      <w:r w:rsidRPr="001A153B">
        <w:rPr>
          <w:rFonts w:ascii="Times New Roman" w:hAnsi="Times New Roman" w:cs="Times New Roman"/>
          <w:b/>
          <w:sz w:val="26"/>
          <w:szCs w:val="26"/>
          <w:vertAlign w:val="superscript"/>
        </w:rPr>
        <w:footnoteReference w:id="14"/>
      </w:r>
    </w:p>
    <w:p w14:paraId="0CF7F804" w14:textId="77777777" w:rsidR="004232B1" w:rsidRDefault="004232B1" w:rsidP="009B3AA9">
      <w:pPr>
        <w:spacing w:after="0" w:line="240" w:lineRule="auto"/>
        <w:rPr>
          <w:rFonts w:ascii="Times New Roman" w:hAnsi="Times New Roman" w:cs="Times New Roman"/>
          <w:sz w:val="26"/>
          <w:szCs w:val="26"/>
        </w:rPr>
      </w:pPr>
    </w:p>
    <w:p w14:paraId="1FF27125" w14:textId="77777777" w:rsidR="00EE07DD" w:rsidRDefault="001B178A" w:rsidP="009B3AA9">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 xml:space="preserve">FERC-725A, </w:t>
      </w:r>
      <w:r w:rsidR="006D6BF7" w:rsidRPr="001A153B">
        <w:rPr>
          <w:rFonts w:ascii="Times New Roman" w:hAnsi="Times New Roman" w:cs="Times New Roman"/>
          <w:b/>
          <w:bCs/>
          <w:iCs/>
          <w:sz w:val="26"/>
          <w:szCs w:val="26"/>
        </w:rPr>
        <w:t xml:space="preserve">FERC-725Y </w:t>
      </w:r>
      <w:r w:rsidR="00EE07DD" w:rsidRPr="001A153B">
        <w:rPr>
          <w:rFonts w:ascii="Times New Roman" w:hAnsi="Times New Roman" w:cs="Times New Roman"/>
          <w:b/>
          <w:bCs/>
          <w:iCs/>
          <w:sz w:val="26"/>
          <w:szCs w:val="26"/>
        </w:rPr>
        <w:t>and FERC-725G</w:t>
      </w:r>
      <w:r w:rsidR="00232F79">
        <w:rPr>
          <w:rFonts w:ascii="Times New Roman" w:hAnsi="Times New Roman" w:cs="Times New Roman"/>
          <w:b/>
          <w:bCs/>
          <w:iCs/>
          <w:sz w:val="26"/>
          <w:szCs w:val="26"/>
        </w:rPr>
        <w:t xml:space="preserve">, </w:t>
      </w:r>
      <w:r w:rsidR="00EE07DD" w:rsidRPr="001A153B">
        <w:rPr>
          <w:rFonts w:ascii="Times New Roman" w:hAnsi="Times New Roman" w:cs="Times New Roman"/>
          <w:b/>
          <w:bCs/>
          <w:iCs/>
          <w:sz w:val="26"/>
          <w:szCs w:val="26"/>
        </w:rPr>
        <w:t xml:space="preserve">as affected by </w:t>
      </w:r>
      <w:r w:rsidR="00460C6A" w:rsidRPr="001A153B">
        <w:rPr>
          <w:rFonts w:ascii="Times New Roman" w:hAnsi="Times New Roman" w:cs="Times New Roman"/>
          <w:b/>
          <w:bCs/>
          <w:iCs/>
          <w:sz w:val="26"/>
          <w:szCs w:val="26"/>
        </w:rPr>
        <w:t>F</w:t>
      </w:r>
      <w:r w:rsidR="006D6BF7" w:rsidRPr="001A153B">
        <w:rPr>
          <w:rFonts w:ascii="Times New Roman" w:hAnsi="Times New Roman" w:cs="Times New Roman"/>
          <w:b/>
          <w:bCs/>
          <w:iCs/>
          <w:sz w:val="26"/>
          <w:szCs w:val="26"/>
        </w:rPr>
        <w:t>inal</w:t>
      </w:r>
      <w:r w:rsidR="00460C6A" w:rsidRPr="001A153B">
        <w:rPr>
          <w:rFonts w:ascii="Times New Roman" w:hAnsi="Times New Roman" w:cs="Times New Roman"/>
          <w:b/>
          <w:bCs/>
          <w:iCs/>
          <w:sz w:val="26"/>
          <w:szCs w:val="26"/>
        </w:rPr>
        <w:t xml:space="preserve"> R</w:t>
      </w:r>
      <w:r w:rsidR="006D6BF7" w:rsidRPr="001A153B">
        <w:rPr>
          <w:rFonts w:ascii="Times New Roman" w:hAnsi="Times New Roman" w:cs="Times New Roman"/>
          <w:b/>
          <w:bCs/>
          <w:iCs/>
          <w:sz w:val="26"/>
          <w:szCs w:val="26"/>
        </w:rPr>
        <w:t>ule</w:t>
      </w:r>
      <w:r w:rsidR="00EE07DD" w:rsidRPr="001A153B">
        <w:rPr>
          <w:rFonts w:ascii="Times New Roman" w:hAnsi="Times New Roman" w:cs="Times New Roman"/>
          <w:b/>
          <w:bCs/>
          <w:iCs/>
          <w:sz w:val="26"/>
          <w:szCs w:val="26"/>
        </w:rPr>
        <w:t xml:space="preserve"> in Docket RM16-22.</w:t>
      </w:r>
    </w:p>
    <w:p w14:paraId="20635C52" w14:textId="77777777" w:rsidR="00065504" w:rsidRPr="001A153B" w:rsidRDefault="00065504" w:rsidP="009B3AA9">
      <w:pPr>
        <w:spacing w:after="0" w:line="240" w:lineRule="auto"/>
        <w:rPr>
          <w:rFonts w:ascii="Times New Roman" w:hAnsi="Times New Roman" w:cs="Times New Roman"/>
          <w:b/>
          <w:bCs/>
          <w:iCs/>
          <w:sz w:val="26"/>
          <w:szCs w:val="26"/>
        </w:rPr>
      </w:pPr>
    </w:p>
    <w:p w14:paraId="32EB5B0E" w14:textId="42D719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On September 2, 2016, NERC submitted a petition seeking Commission approval of Reliability Standards PRC-027-1 and PER-006-1.</w:t>
      </w:r>
      <w:r w:rsidRPr="001A153B">
        <w:rPr>
          <w:rFonts w:ascii="Times New Roman" w:hAnsi="Times New Roman" w:cs="Times New Roman"/>
          <w:b/>
          <w:sz w:val="26"/>
          <w:szCs w:val="26"/>
          <w:vertAlign w:val="superscript"/>
        </w:rPr>
        <w:footnoteReference w:id="15"/>
      </w:r>
      <w:r w:rsidRPr="001A153B">
        <w:rPr>
          <w:rFonts w:ascii="Times New Roman" w:hAnsi="Times New Roman" w:cs="Times New Roman"/>
          <w:sz w:val="26"/>
          <w:szCs w:val="26"/>
        </w:rPr>
        <w:t xml:space="preserve">  NERC states that the Reliability Standards, new and revised NERC Glossary terms, and the retirement of Reliability Standard PRC-001-1.1(ii) satisfy the Commission’s criteria in Order No. 672 and are just, reasonable, not unduly discriminatory or preferential, and in the public interest.</w:t>
      </w:r>
      <w:r w:rsidRPr="001A153B">
        <w:rPr>
          <w:rFonts w:ascii="Times New Roman" w:hAnsi="Times New Roman" w:cs="Times New Roman"/>
          <w:b/>
          <w:sz w:val="26"/>
          <w:szCs w:val="26"/>
          <w:vertAlign w:val="superscript"/>
        </w:rPr>
        <w:footnoteReference w:id="16"/>
      </w:r>
      <w:r w:rsidRPr="001A153B">
        <w:rPr>
          <w:rFonts w:ascii="Times New Roman" w:hAnsi="Times New Roman" w:cs="Times New Roman"/>
          <w:sz w:val="26"/>
          <w:szCs w:val="26"/>
        </w:rPr>
        <w:t xml:space="preserve">  NERC explains that the intent of the Reliability Standards and changes to the NERC Glossary are to maintain the coordination of protection systems installed to detect and isolate faults on bulk electric system elements and require registered entities to provide training to their relevant personnel on protection systems and remedial action schemes.  NERC asserts that the Reliability Standards are an improvement over currently-effective Reliability Standard PRC-001-1.1(ii)</w:t>
      </w:r>
      <w:r w:rsidR="00065504">
        <w:rPr>
          <w:rStyle w:val="FootnoteReference"/>
          <w:rFonts w:ascii="Times New Roman" w:hAnsi="Times New Roman" w:cs="Times New Roman"/>
          <w:sz w:val="26"/>
          <w:szCs w:val="26"/>
        </w:rPr>
        <w:footnoteReference w:id="17"/>
      </w:r>
      <w:r w:rsidRPr="001A153B">
        <w:rPr>
          <w:rFonts w:ascii="Times New Roman" w:hAnsi="Times New Roman" w:cs="Times New Roman"/>
          <w:sz w:val="26"/>
          <w:szCs w:val="26"/>
        </w:rPr>
        <w:t xml:space="preserve"> and will ensure that appropriate personnel are trained on protection systems and that protection systems are appropriately studied, coordinated, and monitored.</w:t>
      </w:r>
    </w:p>
    <w:p w14:paraId="0A10EDEC" w14:textId="77777777" w:rsidR="00EE07DD" w:rsidRPr="001A153B" w:rsidRDefault="00EE07DD" w:rsidP="009B3AA9">
      <w:pPr>
        <w:spacing w:after="0" w:line="240" w:lineRule="auto"/>
        <w:rPr>
          <w:rFonts w:ascii="Times New Roman" w:hAnsi="Times New Roman" w:cs="Times New Roman"/>
          <w:sz w:val="26"/>
          <w:szCs w:val="26"/>
        </w:rPr>
      </w:pPr>
    </w:p>
    <w:p w14:paraId="4684354D"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HOW, BY WHOM, AND FOR WHAT PURPOSE THE INFORMATION IS TO BE USED AND THE CONSEQUENCES OF NOT COLLECTING THE INFORMATION</w:t>
      </w:r>
    </w:p>
    <w:p w14:paraId="58FD9826" w14:textId="77777777" w:rsidR="00EE07DD" w:rsidRPr="001A153B" w:rsidRDefault="00EE07DD" w:rsidP="009B3AA9">
      <w:pPr>
        <w:spacing w:after="0" w:line="240" w:lineRule="auto"/>
        <w:rPr>
          <w:rFonts w:ascii="Times New Roman" w:hAnsi="Times New Roman" w:cs="Times New Roman"/>
          <w:sz w:val="26"/>
          <w:szCs w:val="26"/>
        </w:rPr>
      </w:pPr>
    </w:p>
    <w:p w14:paraId="13C2C718" w14:textId="77777777" w:rsidR="00EE07DD" w:rsidRPr="001A153B" w:rsidRDefault="003E4D3C"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 xml:space="preserve">FERC-725A, </w:t>
      </w:r>
      <w:r w:rsidR="00EE07DD" w:rsidRPr="001A153B">
        <w:rPr>
          <w:rFonts w:ascii="Times New Roman" w:hAnsi="Times New Roman" w:cs="Times New Roman"/>
          <w:b/>
          <w:sz w:val="26"/>
          <w:szCs w:val="26"/>
        </w:rPr>
        <w:t>FERC-725Y</w:t>
      </w:r>
      <w:r w:rsidR="008E15F4">
        <w:rPr>
          <w:rFonts w:ascii="Times New Roman" w:hAnsi="Times New Roman" w:cs="Times New Roman"/>
          <w:b/>
          <w:sz w:val="26"/>
          <w:szCs w:val="26"/>
        </w:rPr>
        <w:t xml:space="preserve"> </w:t>
      </w:r>
      <w:r w:rsidR="00EE07DD" w:rsidRPr="001A153B">
        <w:rPr>
          <w:rFonts w:ascii="Times New Roman" w:hAnsi="Times New Roman" w:cs="Times New Roman"/>
          <w:b/>
          <w:sz w:val="26"/>
          <w:szCs w:val="26"/>
        </w:rPr>
        <w:t xml:space="preserve">and FERC-725G, as affected by </w:t>
      </w:r>
      <w:r w:rsidR="00460C6A" w:rsidRPr="001A153B">
        <w:rPr>
          <w:rFonts w:ascii="Times New Roman" w:hAnsi="Times New Roman" w:cs="Times New Roman"/>
          <w:b/>
          <w:sz w:val="26"/>
          <w:szCs w:val="26"/>
        </w:rPr>
        <w:t>Final Rule</w:t>
      </w:r>
      <w:r w:rsidRPr="001A153B">
        <w:rPr>
          <w:rFonts w:ascii="Times New Roman" w:hAnsi="Times New Roman" w:cs="Times New Roman"/>
          <w:b/>
          <w:sz w:val="26"/>
          <w:szCs w:val="26"/>
        </w:rPr>
        <w:t xml:space="preserve"> </w:t>
      </w:r>
      <w:r w:rsidR="00EE07DD" w:rsidRPr="001A153B">
        <w:rPr>
          <w:rFonts w:ascii="Times New Roman" w:hAnsi="Times New Roman" w:cs="Times New Roman"/>
          <w:b/>
          <w:sz w:val="26"/>
          <w:szCs w:val="26"/>
        </w:rPr>
        <w:t>in RM16-22.</w:t>
      </w:r>
    </w:p>
    <w:p w14:paraId="325C9CAA" w14:textId="5A0B35C2"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As stated in NERC’s Petition</w:t>
      </w:r>
      <w:r w:rsidRPr="001A153B">
        <w:rPr>
          <w:rFonts w:ascii="Times New Roman" w:hAnsi="Times New Roman" w:cs="Times New Roman"/>
          <w:sz w:val="26"/>
          <w:szCs w:val="26"/>
          <w:vertAlign w:val="superscript"/>
        </w:rPr>
        <w:footnoteReference w:id="18"/>
      </w:r>
      <w:r w:rsidRPr="001A153B">
        <w:rPr>
          <w:rFonts w:ascii="Times New Roman" w:hAnsi="Times New Roman" w:cs="Times New Roman"/>
          <w:sz w:val="26"/>
          <w:szCs w:val="26"/>
        </w:rPr>
        <w:t xml:space="preserve"> [footnotes omitted]</w:t>
      </w:r>
      <w:r w:rsidR="00971D82">
        <w:rPr>
          <w:rFonts w:ascii="Times New Roman" w:hAnsi="Times New Roman" w:cs="Times New Roman"/>
          <w:sz w:val="26"/>
          <w:szCs w:val="26"/>
        </w:rPr>
        <w:t>:</w:t>
      </w:r>
      <w:r w:rsidRPr="001A153B">
        <w:rPr>
          <w:rFonts w:ascii="Times New Roman" w:hAnsi="Times New Roman" w:cs="Times New Roman"/>
          <w:sz w:val="26"/>
          <w:szCs w:val="26"/>
        </w:rPr>
        <w:t xml:space="preserve"> </w:t>
      </w:r>
    </w:p>
    <w:p w14:paraId="45B58AE7" w14:textId="77777777" w:rsidR="005F2368" w:rsidRDefault="005F2368" w:rsidP="009B3AA9">
      <w:pPr>
        <w:spacing w:after="0" w:line="240" w:lineRule="auto"/>
        <w:rPr>
          <w:rFonts w:ascii="Times New Roman" w:hAnsi="Times New Roman" w:cs="Times New Roman"/>
          <w:sz w:val="26"/>
          <w:szCs w:val="26"/>
        </w:rPr>
      </w:pPr>
    </w:p>
    <w:p w14:paraId="76895F26" w14:textId="609EA97E" w:rsidR="00EE07DD" w:rsidRPr="001A153B" w:rsidRDefault="00EE07DD" w:rsidP="00F81B09">
      <w:pPr>
        <w:spacing w:after="0" w:line="240" w:lineRule="auto"/>
        <w:ind w:left="720"/>
        <w:rPr>
          <w:rFonts w:ascii="Times New Roman" w:hAnsi="Times New Roman" w:cs="Times New Roman"/>
          <w:sz w:val="26"/>
          <w:szCs w:val="26"/>
        </w:rPr>
      </w:pPr>
      <w:r w:rsidRPr="001A153B">
        <w:rPr>
          <w:rFonts w:ascii="Times New Roman" w:hAnsi="Times New Roman" w:cs="Times New Roman"/>
          <w:sz w:val="26"/>
          <w:szCs w:val="26"/>
        </w:rPr>
        <w:t>“[t]he purpose of the Reliability Standards and the NERC Glossary definitions is to: (1) maintain the coordination of Protection Systems installed to detect and isolate Faults on Bulk Electric System (“BES”) Elements, such that those Protection Systems operate in the intended sequence during Faults; and (2) require registered entities to provide training to their relevant personnel on Protection Systems and Remedial Action Schemes (“RAS”) to help ensure that the BES is reliably operated. The reliable and coordinated operation of Protection Systems is essential to Bulk Power System (“BPS”) reliability for the following reasons. Protection Systems help maintain reliability by isolating faulted equipment, thereby reducing the risk of instability or Cascading, and leaving the remainder of the BPS operational and more capable of withstanding a future Contingency. In the event of a Fault, properly coordinated Protection Systems minimize the number of BES Elements that are removed from service and protect equipment from damage.  System reliability is reduced or threatened if a Protection System can no longer perform as designed because of a failure of its relays. Further, the functions, settings, and limitations of Protection Systems are recognized and integrated in deriving System Operating Limits (“SOLs”) and Interconnection Reliability Operating Limits (“IROLs”).”</w:t>
      </w:r>
    </w:p>
    <w:p w14:paraId="0F141E62" w14:textId="77777777" w:rsidR="00EE07DD" w:rsidRPr="001A153B" w:rsidRDefault="00EE07DD" w:rsidP="009B3AA9">
      <w:pPr>
        <w:spacing w:after="0" w:line="240" w:lineRule="auto"/>
        <w:rPr>
          <w:rFonts w:ascii="Times New Roman" w:hAnsi="Times New Roman" w:cs="Times New Roman"/>
          <w:b/>
          <w:sz w:val="26"/>
          <w:szCs w:val="26"/>
        </w:rPr>
      </w:pPr>
    </w:p>
    <w:p w14:paraId="11DE4688" w14:textId="7B1A42BE" w:rsidR="007002ED" w:rsidRDefault="007002ED"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 xml:space="preserve">FERC-725A. </w:t>
      </w:r>
      <w:r w:rsidRPr="001A153B">
        <w:rPr>
          <w:rFonts w:ascii="Times New Roman" w:hAnsi="Times New Roman" w:cs="Times New Roman"/>
          <w:sz w:val="26"/>
          <w:szCs w:val="26"/>
        </w:rPr>
        <w:t xml:space="preserve">Currently-effective Reliability Standard PRC-001-1.1(ii) System Protection Coordination) is being retired and all associated burden and cost will be removed. </w:t>
      </w:r>
      <w:r w:rsidR="004232B1">
        <w:rPr>
          <w:rFonts w:ascii="Times New Roman" w:hAnsi="Times New Roman" w:cs="Times New Roman"/>
          <w:sz w:val="26"/>
          <w:szCs w:val="26"/>
        </w:rPr>
        <w:t xml:space="preserve"> FERC-725Y (rather than FERC-725A) will c</w:t>
      </w:r>
      <w:r w:rsidR="00831BE0">
        <w:rPr>
          <w:rFonts w:ascii="Times New Roman" w:hAnsi="Times New Roman" w:cs="Times New Roman"/>
          <w:sz w:val="26"/>
          <w:szCs w:val="26"/>
        </w:rPr>
        <w:t xml:space="preserve">ontain </w:t>
      </w:r>
      <w:r w:rsidR="004232B1">
        <w:rPr>
          <w:rFonts w:ascii="Times New Roman" w:hAnsi="Times New Roman" w:cs="Times New Roman"/>
          <w:sz w:val="26"/>
          <w:szCs w:val="26"/>
        </w:rPr>
        <w:t>the burden required by PER-006-1.</w:t>
      </w:r>
    </w:p>
    <w:p w14:paraId="17449A56" w14:textId="77777777" w:rsidR="004232B1" w:rsidRPr="001A153B" w:rsidRDefault="004232B1" w:rsidP="009B3AA9">
      <w:pPr>
        <w:spacing w:after="0" w:line="240" w:lineRule="auto"/>
        <w:rPr>
          <w:rFonts w:ascii="Times New Roman" w:hAnsi="Times New Roman" w:cs="Times New Roman"/>
          <w:sz w:val="26"/>
          <w:szCs w:val="26"/>
        </w:rPr>
      </w:pPr>
    </w:p>
    <w:p w14:paraId="3DE1A14B" w14:textId="77777777" w:rsidR="009A0BF6" w:rsidRDefault="00EE07DD" w:rsidP="009A0BF6">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 xml:space="preserve">FERC-725G. </w:t>
      </w:r>
      <w:r w:rsidRPr="001A153B">
        <w:rPr>
          <w:rFonts w:ascii="Times New Roman" w:hAnsi="Times New Roman" w:cs="Times New Roman"/>
          <w:sz w:val="26"/>
          <w:szCs w:val="26"/>
        </w:rPr>
        <w:t xml:space="preserve"> </w:t>
      </w:r>
      <w:r w:rsidR="004232B1" w:rsidRPr="004232B1">
        <w:rPr>
          <w:rFonts w:ascii="Times New Roman" w:hAnsi="Times New Roman" w:cs="Times New Roman"/>
          <w:sz w:val="26"/>
          <w:szCs w:val="26"/>
        </w:rPr>
        <w:t xml:space="preserve">The purpose of Reliability Standard PRC-027-1 is to maintain the coordination of protection systems installed to detect and isolate faults on bulk electric system elements, such that those protection systems operate in the intended sequence during faults.  </w:t>
      </w:r>
      <w:r w:rsidR="009A0BF6" w:rsidRPr="000F20B1">
        <w:rPr>
          <w:rFonts w:ascii="Times New Roman" w:hAnsi="Times New Roman" w:cs="Times New Roman"/>
          <w:sz w:val="26"/>
          <w:szCs w:val="26"/>
        </w:rPr>
        <w:t>Reliability Standard PRC 027-1 improves on currently-effective Reliability Standard PRC 001-1.1(ii) by:  (1) modifying the applicability section to include the appropriate functional entity types with the responsibilities, resources, and skill sets to conduct the studies required to coordinate protection systems, and (2) listing the protection system functions on all bulk electric system elements that require coordination.</w:t>
      </w:r>
    </w:p>
    <w:p w14:paraId="13F5A21A" w14:textId="77777777" w:rsidR="004232B1" w:rsidRPr="001A153B" w:rsidRDefault="004232B1" w:rsidP="009B3AA9">
      <w:pPr>
        <w:spacing w:after="0" w:line="240" w:lineRule="auto"/>
        <w:rPr>
          <w:rFonts w:ascii="Times New Roman" w:hAnsi="Times New Roman" w:cs="Times New Roman"/>
          <w:b/>
          <w:sz w:val="26"/>
          <w:szCs w:val="26"/>
        </w:rPr>
      </w:pPr>
    </w:p>
    <w:p w14:paraId="5158697B"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FERC-725Y</w:t>
      </w:r>
      <w:r w:rsidRPr="001A153B">
        <w:rPr>
          <w:rFonts w:ascii="Times New Roman" w:hAnsi="Times New Roman" w:cs="Times New Roman"/>
          <w:sz w:val="26"/>
          <w:szCs w:val="26"/>
        </w:rPr>
        <w:t xml:space="preserve">. </w:t>
      </w:r>
      <w:r w:rsidR="009A0BF6">
        <w:rPr>
          <w:rFonts w:ascii="Times New Roman" w:hAnsi="Times New Roman" w:cs="Times New Roman"/>
          <w:sz w:val="26"/>
          <w:szCs w:val="26"/>
        </w:rPr>
        <w:t xml:space="preserve">The purpose of Reliability Standard PER-006-1 is to </w:t>
      </w:r>
      <w:r w:rsidR="009A0BF6" w:rsidRPr="000F20B1">
        <w:rPr>
          <w:rFonts w:ascii="Times New Roman" w:hAnsi="Times New Roman" w:cs="Times New Roman"/>
          <w:sz w:val="26"/>
          <w:szCs w:val="26"/>
        </w:rPr>
        <w:t>ensure that personnel are trained on specific topics essential to</w:t>
      </w:r>
      <w:r w:rsidR="009A0BF6">
        <w:rPr>
          <w:rFonts w:ascii="Times New Roman" w:hAnsi="Times New Roman" w:cs="Times New Roman"/>
          <w:sz w:val="26"/>
          <w:szCs w:val="26"/>
        </w:rPr>
        <w:t xml:space="preserve"> </w:t>
      </w:r>
      <w:r w:rsidR="009A0BF6" w:rsidRPr="000F20B1">
        <w:rPr>
          <w:rFonts w:ascii="Times New Roman" w:hAnsi="Times New Roman" w:cs="Times New Roman"/>
          <w:sz w:val="26"/>
          <w:szCs w:val="26"/>
        </w:rPr>
        <w:t>reliability to perform or support Real-time operations of the Bulk Electric System.</w:t>
      </w:r>
      <w:r w:rsidR="009A0BF6">
        <w:rPr>
          <w:rFonts w:ascii="Times New Roman" w:hAnsi="Times New Roman" w:cs="Times New Roman"/>
          <w:sz w:val="26"/>
          <w:szCs w:val="26"/>
        </w:rPr>
        <w:t xml:space="preserve">  </w:t>
      </w:r>
      <w:r w:rsidR="009A0BF6" w:rsidRPr="000F20B1">
        <w:rPr>
          <w:rFonts w:ascii="Times New Roman" w:hAnsi="Times New Roman" w:cs="Times New Roman"/>
          <w:sz w:val="26"/>
          <w:szCs w:val="26"/>
        </w:rPr>
        <w:t>Reliability Standard PER-006-1, along with existing formal training requirements in the Personnel Performance, Training, and Qualifications (PER) group of Reliability Standards, also improves upon Reliability Standard PRC 001 1.1(ii), Requirement R1 by ensuring that the necessary personnel are familiar with and understand the purpose and limitations of protection systems schemes while providing more precise and auditable requirements.</w:t>
      </w:r>
      <w:r w:rsidRPr="001A153B">
        <w:rPr>
          <w:rFonts w:ascii="Times New Roman" w:hAnsi="Times New Roman" w:cs="Times New Roman"/>
          <w:sz w:val="26"/>
          <w:szCs w:val="26"/>
        </w:rPr>
        <w:t xml:space="preserve"> </w:t>
      </w:r>
    </w:p>
    <w:p w14:paraId="47D369B3" w14:textId="77777777" w:rsidR="00EE07DD" w:rsidRPr="001A153B" w:rsidRDefault="00EE07DD" w:rsidP="009B3AA9">
      <w:pPr>
        <w:spacing w:after="0" w:line="240" w:lineRule="auto"/>
        <w:rPr>
          <w:rFonts w:ascii="Times New Roman" w:hAnsi="Times New Roman" w:cs="Times New Roman"/>
          <w:sz w:val="26"/>
          <w:szCs w:val="26"/>
        </w:rPr>
      </w:pPr>
    </w:p>
    <w:p w14:paraId="148AE5F3" w14:textId="77777777" w:rsidR="009A0BF6" w:rsidRPr="001A153B" w:rsidRDefault="009A0BF6" w:rsidP="009A0BF6">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consequences of failing to collect information would have an adverse impact as </w:t>
      </w:r>
      <w:r w:rsidRPr="00B816B9">
        <w:rPr>
          <w:rFonts w:ascii="Times New Roman" w:hAnsi="Times New Roman" w:cs="Times New Roman"/>
          <w:sz w:val="26"/>
          <w:szCs w:val="26"/>
        </w:rPr>
        <w:t>Protection Systems help maintain reliability by isolating faulted equipment, thereby reducing the risk of instability or Cascading, and leaving the remainder of the BPS operational and more capable of withstanding a future Contingency</w:t>
      </w:r>
      <w:r>
        <w:rPr>
          <w:rFonts w:ascii="Times New Roman" w:hAnsi="Times New Roman" w:cs="Times New Roman"/>
          <w:sz w:val="26"/>
          <w:szCs w:val="26"/>
        </w:rPr>
        <w:t xml:space="preserve">.  If those </w:t>
      </w:r>
      <w:r w:rsidRPr="001A153B">
        <w:rPr>
          <w:rFonts w:ascii="Times New Roman" w:hAnsi="Times New Roman" w:cs="Times New Roman"/>
          <w:sz w:val="26"/>
          <w:szCs w:val="26"/>
        </w:rPr>
        <w:t xml:space="preserve">relay protection systems </w:t>
      </w:r>
      <w:r>
        <w:rPr>
          <w:rFonts w:ascii="Times New Roman" w:hAnsi="Times New Roman" w:cs="Times New Roman"/>
          <w:sz w:val="26"/>
          <w:szCs w:val="26"/>
        </w:rPr>
        <w:t xml:space="preserve">are not properly coordinated can result in an increase to the cascading risk of </w:t>
      </w:r>
      <w:r w:rsidR="00831BE0">
        <w:rPr>
          <w:rFonts w:ascii="Times New Roman" w:hAnsi="Times New Roman" w:cs="Times New Roman"/>
          <w:sz w:val="26"/>
          <w:szCs w:val="26"/>
        </w:rPr>
        <w:t xml:space="preserve">the </w:t>
      </w:r>
      <w:r>
        <w:rPr>
          <w:rFonts w:ascii="Times New Roman" w:hAnsi="Times New Roman" w:cs="Times New Roman"/>
          <w:sz w:val="26"/>
          <w:szCs w:val="26"/>
        </w:rPr>
        <w:t>BPS</w:t>
      </w:r>
      <w:r w:rsidR="00831BE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A153B">
        <w:rPr>
          <w:rFonts w:ascii="Times New Roman" w:hAnsi="Times New Roman" w:cs="Times New Roman"/>
          <w:sz w:val="26"/>
          <w:szCs w:val="26"/>
        </w:rPr>
        <w:t>Also, not providing training to appropriate generator operator personnel who should be familiar with protection systems and remedial actions schemes could lead to failure to act properly during system events.</w:t>
      </w:r>
    </w:p>
    <w:p w14:paraId="2FA460AA" w14:textId="77777777" w:rsidR="00EE07DD" w:rsidRPr="001A153B" w:rsidRDefault="00EE07DD" w:rsidP="009B3AA9">
      <w:pPr>
        <w:spacing w:after="0" w:line="240" w:lineRule="auto"/>
        <w:rPr>
          <w:rFonts w:ascii="Times New Roman" w:hAnsi="Times New Roman" w:cs="Times New Roman"/>
          <w:sz w:val="26"/>
          <w:szCs w:val="26"/>
        </w:rPr>
      </w:pPr>
    </w:p>
    <w:p w14:paraId="501D14E0"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sidDel="0068040C">
        <w:rPr>
          <w:rFonts w:ascii="Times New Roman" w:hAnsi="Times New Roman" w:cs="Times New Roman"/>
          <w:sz w:val="26"/>
          <w:szCs w:val="26"/>
        </w:rPr>
        <w:t xml:space="preserve"> </w:t>
      </w:r>
      <w:r w:rsidRPr="001A153B">
        <w:rPr>
          <w:rFonts w:ascii="Times New Roman" w:hAnsi="Times New Roman" w:cs="Times New Roman"/>
          <w:b/>
          <w:sz w:val="26"/>
          <w:szCs w:val="26"/>
        </w:rPr>
        <w:t>DESCRIBE ANY CONSIDERATION OF THE USE OF IMPROVED INFORMATION TECHNOLOGY TO REDUCE THE BURDEN AND TECHNICAL OR LEGAL OBSTACLES TO REDUCING BURDEN</w:t>
      </w:r>
    </w:p>
    <w:p w14:paraId="06B6BB48" w14:textId="77777777" w:rsidR="004232B1" w:rsidRDefault="004232B1" w:rsidP="009B3AA9">
      <w:pPr>
        <w:spacing w:after="0" w:line="240" w:lineRule="auto"/>
        <w:rPr>
          <w:rFonts w:ascii="Times New Roman" w:hAnsi="Times New Roman" w:cs="Times New Roman"/>
          <w:sz w:val="26"/>
          <w:szCs w:val="26"/>
        </w:rPr>
      </w:pPr>
    </w:p>
    <w:p w14:paraId="2B3B6DD5" w14:textId="397F691C"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use of current or improved technology is not covered in Reliability Standards, and is therefore left to the discretion of each reporting entity. </w:t>
      </w:r>
      <w:r w:rsidR="00831BE0">
        <w:rPr>
          <w:rFonts w:ascii="Times New Roman" w:hAnsi="Times New Roman" w:cs="Times New Roman"/>
          <w:sz w:val="26"/>
          <w:szCs w:val="26"/>
        </w:rPr>
        <w:t>Commission staff</w:t>
      </w:r>
      <w:r w:rsidR="00065504">
        <w:rPr>
          <w:rFonts w:ascii="Times New Roman" w:hAnsi="Times New Roman" w:cs="Times New Roman"/>
          <w:sz w:val="26"/>
          <w:szCs w:val="26"/>
        </w:rPr>
        <w:t xml:space="preserve"> estimates</w:t>
      </w:r>
      <w:r w:rsidRPr="001A153B">
        <w:rPr>
          <w:rFonts w:ascii="Times New Roman" w:hAnsi="Times New Roman" w:cs="Times New Roman"/>
          <w:sz w:val="26"/>
          <w:szCs w:val="26"/>
        </w:rPr>
        <w:t xml:space="preserve">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p>
    <w:p w14:paraId="21F15275" w14:textId="77777777" w:rsidR="004232B1" w:rsidRDefault="004232B1" w:rsidP="009B3AA9">
      <w:pPr>
        <w:spacing w:after="0" w:line="240" w:lineRule="auto"/>
        <w:rPr>
          <w:rFonts w:ascii="Times New Roman" w:hAnsi="Times New Roman" w:cs="Times New Roman"/>
          <w:b/>
          <w:sz w:val="26"/>
          <w:szCs w:val="26"/>
        </w:rPr>
      </w:pPr>
    </w:p>
    <w:p w14:paraId="41F51052"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717FEE01" w14:textId="77777777" w:rsidR="00EE07DD" w:rsidRPr="001A153B" w:rsidRDefault="00EE07DD" w:rsidP="009B3AA9">
      <w:pPr>
        <w:spacing w:after="0" w:line="240" w:lineRule="auto"/>
        <w:rPr>
          <w:rFonts w:ascii="Times New Roman" w:hAnsi="Times New Roman" w:cs="Times New Roman"/>
          <w:sz w:val="26"/>
          <w:szCs w:val="26"/>
        </w:rPr>
      </w:pPr>
    </w:p>
    <w:p w14:paraId="53DAA2DC" w14:textId="67F03B33" w:rsidR="00EE07DD" w:rsidRPr="001A153B" w:rsidRDefault="003009CB"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This </w:t>
      </w:r>
      <w:r w:rsidR="00EE07DD" w:rsidRPr="001A153B">
        <w:rPr>
          <w:rFonts w:ascii="Times New Roman" w:hAnsi="Times New Roman" w:cs="Times New Roman"/>
          <w:sz w:val="26"/>
          <w:szCs w:val="26"/>
        </w:rPr>
        <w:t>information is not available elsewhere.  The standard-developing group (the ERO and various stakeholders) think these areas need to be addressed and documented as indicated in the NERC Petition.</w:t>
      </w:r>
    </w:p>
    <w:p w14:paraId="05A6AD90" w14:textId="77777777" w:rsidR="00EE07DD" w:rsidRPr="001A153B" w:rsidRDefault="00EE07DD" w:rsidP="009B3AA9">
      <w:pPr>
        <w:spacing w:after="0" w:line="240" w:lineRule="auto"/>
        <w:rPr>
          <w:rFonts w:ascii="Times New Roman" w:hAnsi="Times New Roman" w:cs="Times New Roman"/>
          <w:sz w:val="26"/>
          <w:szCs w:val="26"/>
        </w:rPr>
      </w:pPr>
    </w:p>
    <w:p w14:paraId="665D2668"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METHODS USED TO MINIMIZE THE BURDEN IN COLLECTION OF INFORMATION INVOLVING SMALL ENTITIES</w:t>
      </w:r>
    </w:p>
    <w:p w14:paraId="1E974D5C" w14:textId="77777777" w:rsidR="00EE07DD" w:rsidRPr="001A153B" w:rsidRDefault="00EE07DD" w:rsidP="009B3AA9">
      <w:pPr>
        <w:spacing w:after="0" w:line="240" w:lineRule="auto"/>
        <w:rPr>
          <w:rFonts w:ascii="Times New Roman" w:hAnsi="Times New Roman" w:cs="Times New Roman"/>
          <w:sz w:val="26"/>
          <w:szCs w:val="26"/>
        </w:rPr>
      </w:pPr>
    </w:p>
    <w:p w14:paraId="2D7F7347"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Small entities generally can reduce their burden by taking part in a joint registration organization or a coordinated function registration.  These options allow an entity the ability to share its compliance burden with other similar entities. </w:t>
      </w:r>
    </w:p>
    <w:p w14:paraId="0D762EC2" w14:textId="77777777" w:rsidR="00EE07DD" w:rsidRPr="001A153B" w:rsidRDefault="00EE07DD" w:rsidP="009B3AA9">
      <w:pPr>
        <w:spacing w:after="0" w:line="240" w:lineRule="auto"/>
        <w:rPr>
          <w:rFonts w:ascii="Times New Roman" w:hAnsi="Times New Roman" w:cs="Times New Roman"/>
          <w:sz w:val="26"/>
          <w:szCs w:val="26"/>
        </w:rPr>
      </w:pPr>
    </w:p>
    <w:p w14:paraId="09EC724A" w14:textId="061C002D"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Detailed information regarding these options is available in NERC’s Rules of Procedure at sections 507 and 508.</w:t>
      </w:r>
      <w:r w:rsidRPr="001A153B">
        <w:rPr>
          <w:rFonts w:ascii="Times New Roman" w:hAnsi="Times New Roman" w:cs="Times New Roman"/>
          <w:sz w:val="26"/>
          <w:szCs w:val="26"/>
          <w:vertAlign w:val="superscript"/>
        </w:rPr>
        <w:footnoteReference w:id="19"/>
      </w:r>
      <w:r w:rsidRPr="001A153B">
        <w:rPr>
          <w:rFonts w:ascii="Times New Roman" w:hAnsi="Times New Roman" w:cs="Times New Roman"/>
          <w:sz w:val="26"/>
          <w:szCs w:val="26"/>
          <w:vertAlign w:val="superscript"/>
        </w:rPr>
        <w:t xml:space="preserve"> </w:t>
      </w:r>
    </w:p>
    <w:p w14:paraId="4EE941FF" w14:textId="77777777" w:rsidR="00EE07DD" w:rsidRPr="001A153B" w:rsidRDefault="00EE07DD" w:rsidP="009B3AA9">
      <w:pPr>
        <w:spacing w:after="0" w:line="240" w:lineRule="auto"/>
        <w:rPr>
          <w:rFonts w:ascii="Times New Roman" w:hAnsi="Times New Roman" w:cs="Times New Roman"/>
          <w:sz w:val="26"/>
          <w:szCs w:val="26"/>
        </w:rPr>
      </w:pPr>
    </w:p>
    <w:p w14:paraId="6595A78E"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CONSEQUENCE TO FEDERAL PROGRAM IF COLLECTION WERE CONDUCTED LESS FREQUENTLY</w:t>
      </w:r>
    </w:p>
    <w:p w14:paraId="3949DD36" w14:textId="77777777" w:rsidR="00F46F6D" w:rsidRDefault="00F46F6D" w:rsidP="009B3AA9">
      <w:pPr>
        <w:spacing w:after="0" w:line="240" w:lineRule="auto"/>
        <w:rPr>
          <w:rFonts w:ascii="Times New Roman" w:hAnsi="Times New Roman" w:cs="Times New Roman"/>
          <w:b/>
          <w:sz w:val="26"/>
          <w:szCs w:val="26"/>
        </w:rPr>
      </w:pPr>
    </w:p>
    <w:p w14:paraId="61B8264C" w14:textId="7B3F805B" w:rsidR="003009CB" w:rsidRPr="001A153B" w:rsidRDefault="003009CB"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 xml:space="preserve">FERC-725A. </w:t>
      </w:r>
      <w:r w:rsidRPr="001A153B">
        <w:rPr>
          <w:rFonts w:ascii="Times New Roman" w:hAnsi="Times New Roman" w:cs="Times New Roman"/>
          <w:sz w:val="26"/>
          <w:szCs w:val="26"/>
        </w:rPr>
        <w:t xml:space="preserve"> </w:t>
      </w:r>
      <w:r w:rsidR="00F46F6D">
        <w:rPr>
          <w:rFonts w:ascii="Times New Roman" w:hAnsi="Times New Roman" w:cs="Times New Roman"/>
          <w:sz w:val="26"/>
          <w:szCs w:val="26"/>
        </w:rPr>
        <w:t xml:space="preserve">FERC-725Y (rather than FERC-725A) will </w:t>
      </w:r>
      <w:r w:rsidR="00831BE0">
        <w:rPr>
          <w:rFonts w:ascii="Times New Roman" w:hAnsi="Times New Roman" w:cs="Times New Roman"/>
          <w:sz w:val="26"/>
          <w:szCs w:val="26"/>
        </w:rPr>
        <w:t>contain</w:t>
      </w:r>
      <w:r w:rsidR="00F46F6D">
        <w:rPr>
          <w:rFonts w:ascii="Times New Roman" w:hAnsi="Times New Roman" w:cs="Times New Roman"/>
          <w:sz w:val="26"/>
          <w:szCs w:val="26"/>
        </w:rPr>
        <w:t xml:space="preserve"> the burden required by PER-006-1.</w:t>
      </w:r>
    </w:p>
    <w:p w14:paraId="70A22EF6" w14:textId="77777777" w:rsidR="00F46F6D" w:rsidRDefault="00F46F6D" w:rsidP="009B3AA9">
      <w:pPr>
        <w:spacing w:after="0" w:line="240" w:lineRule="auto"/>
        <w:rPr>
          <w:rFonts w:ascii="Times New Roman" w:hAnsi="Times New Roman" w:cs="Times New Roman"/>
          <w:b/>
          <w:sz w:val="26"/>
          <w:szCs w:val="26"/>
        </w:rPr>
      </w:pPr>
    </w:p>
    <w:p w14:paraId="18F08F27" w14:textId="04151410" w:rsidR="009A0BF6" w:rsidRPr="001A153B" w:rsidRDefault="00EE07DD" w:rsidP="009A0BF6">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FERC-725Y.</w:t>
      </w:r>
      <w:r w:rsidRPr="001A153B">
        <w:rPr>
          <w:rFonts w:ascii="Times New Roman" w:hAnsi="Times New Roman" w:cs="Times New Roman"/>
          <w:sz w:val="26"/>
          <w:szCs w:val="26"/>
        </w:rPr>
        <w:t xml:space="preserve">  </w:t>
      </w:r>
      <w:r w:rsidR="009A0BF6">
        <w:rPr>
          <w:rFonts w:ascii="Times New Roman" w:hAnsi="Times New Roman" w:cs="Times New Roman"/>
          <w:sz w:val="26"/>
          <w:szCs w:val="26"/>
        </w:rPr>
        <w:t xml:space="preserve">The purpose of Reliability Standard PER-006-1 is to </w:t>
      </w:r>
      <w:r w:rsidR="009A0BF6" w:rsidRPr="000F20B1">
        <w:rPr>
          <w:rFonts w:ascii="Times New Roman" w:hAnsi="Times New Roman" w:cs="Times New Roman"/>
          <w:sz w:val="26"/>
          <w:szCs w:val="26"/>
        </w:rPr>
        <w:t>ensure that personnel are trained on specific topics essential to</w:t>
      </w:r>
      <w:r w:rsidR="009A0BF6">
        <w:rPr>
          <w:rFonts w:ascii="Times New Roman" w:hAnsi="Times New Roman" w:cs="Times New Roman"/>
          <w:sz w:val="26"/>
          <w:szCs w:val="26"/>
        </w:rPr>
        <w:t xml:space="preserve"> </w:t>
      </w:r>
      <w:r w:rsidR="009A0BF6" w:rsidRPr="000F20B1">
        <w:rPr>
          <w:rFonts w:ascii="Times New Roman" w:hAnsi="Times New Roman" w:cs="Times New Roman"/>
          <w:sz w:val="26"/>
          <w:szCs w:val="26"/>
        </w:rPr>
        <w:t xml:space="preserve">reliability to perform or support Real-time operations of the </w:t>
      </w:r>
      <w:r w:rsidR="00831BE0">
        <w:rPr>
          <w:rFonts w:ascii="Times New Roman" w:hAnsi="Times New Roman" w:cs="Times New Roman"/>
          <w:sz w:val="26"/>
          <w:szCs w:val="26"/>
        </w:rPr>
        <w:t>BPS</w:t>
      </w:r>
      <w:r w:rsidR="009A0BF6" w:rsidRPr="000F20B1">
        <w:rPr>
          <w:rFonts w:ascii="Times New Roman" w:hAnsi="Times New Roman" w:cs="Times New Roman"/>
          <w:sz w:val="26"/>
          <w:szCs w:val="26"/>
        </w:rPr>
        <w:t>.</w:t>
      </w:r>
      <w:r w:rsidR="009A0BF6">
        <w:rPr>
          <w:rFonts w:ascii="Times New Roman" w:hAnsi="Times New Roman" w:cs="Times New Roman"/>
          <w:sz w:val="26"/>
          <w:szCs w:val="26"/>
        </w:rPr>
        <w:t xml:space="preserve">  </w:t>
      </w:r>
      <w:r w:rsidR="009A0BF6" w:rsidRPr="001A153B">
        <w:rPr>
          <w:rFonts w:ascii="Times New Roman" w:hAnsi="Times New Roman" w:cs="Times New Roman"/>
          <w:sz w:val="26"/>
          <w:szCs w:val="26"/>
        </w:rPr>
        <w:t xml:space="preserve">There would be greater risk and vulnerability to the safe and reliable operation of the Nation’s </w:t>
      </w:r>
      <w:r w:rsidR="00831BE0">
        <w:rPr>
          <w:rFonts w:ascii="Times New Roman" w:hAnsi="Times New Roman" w:cs="Times New Roman"/>
          <w:sz w:val="26"/>
          <w:szCs w:val="26"/>
        </w:rPr>
        <w:t>BPS</w:t>
      </w:r>
      <w:r w:rsidR="009A0BF6" w:rsidRPr="001A153B">
        <w:rPr>
          <w:rFonts w:ascii="Times New Roman" w:hAnsi="Times New Roman" w:cs="Times New Roman"/>
          <w:sz w:val="26"/>
          <w:szCs w:val="26"/>
        </w:rPr>
        <w:t xml:space="preserve"> if suitably trained and qualified personnel were not retained and their training not provided, refreshed, and updated, and documented.  </w:t>
      </w:r>
    </w:p>
    <w:p w14:paraId="5FB08157" w14:textId="77777777" w:rsidR="00EE07DD" w:rsidRPr="001A153B" w:rsidRDefault="00EE07DD" w:rsidP="009B3AA9">
      <w:pPr>
        <w:spacing w:after="0" w:line="240" w:lineRule="auto"/>
        <w:rPr>
          <w:rFonts w:ascii="Times New Roman" w:hAnsi="Times New Roman" w:cs="Times New Roman"/>
          <w:sz w:val="26"/>
          <w:szCs w:val="26"/>
        </w:rPr>
      </w:pPr>
    </w:p>
    <w:p w14:paraId="115ECCF6" w14:textId="4DD933D1"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 xml:space="preserve">FERC-725G.  </w:t>
      </w:r>
      <w:r w:rsidR="009A0BF6" w:rsidRPr="004232B1">
        <w:rPr>
          <w:rFonts w:ascii="Times New Roman" w:hAnsi="Times New Roman" w:cs="Times New Roman"/>
          <w:sz w:val="26"/>
          <w:szCs w:val="26"/>
        </w:rPr>
        <w:t>The purpose of Reliability Standard PRC-027-1 is to maintain the coordination of protection systems installed to detect and isolate faults on bulk electric system elements, such that those protection systems operate in the intended sequence during faults</w:t>
      </w:r>
      <w:r w:rsidR="009A0BF6">
        <w:rPr>
          <w:rFonts w:ascii="Times New Roman" w:hAnsi="Times New Roman" w:cs="Times New Roman"/>
          <w:sz w:val="26"/>
          <w:szCs w:val="26"/>
        </w:rPr>
        <w:t xml:space="preserve">.  If protection systems are not coordinated then it cannot </w:t>
      </w:r>
      <w:r w:rsidR="009A0BF6" w:rsidRPr="00053F64">
        <w:rPr>
          <w:rFonts w:ascii="Times New Roman" w:hAnsi="Times New Roman" w:cs="Times New Roman"/>
          <w:sz w:val="26"/>
          <w:szCs w:val="26"/>
        </w:rPr>
        <w:t>operate in the intended sequence during Faults</w:t>
      </w:r>
      <w:r w:rsidR="009A0BF6">
        <w:rPr>
          <w:rFonts w:ascii="Times New Roman" w:hAnsi="Times New Roman" w:cs="Times New Roman"/>
          <w:sz w:val="26"/>
          <w:szCs w:val="26"/>
        </w:rPr>
        <w:t xml:space="preserve">.  </w:t>
      </w:r>
      <w:r w:rsidRPr="001A153B">
        <w:rPr>
          <w:rFonts w:ascii="Times New Roman" w:hAnsi="Times New Roman" w:cs="Times New Roman"/>
          <w:sz w:val="26"/>
          <w:szCs w:val="26"/>
        </w:rPr>
        <w:t xml:space="preserve">Without updating the Protection and Control (PRC) standards, the reliability and security of the Nation’s </w:t>
      </w:r>
      <w:r w:rsidR="00831BE0">
        <w:rPr>
          <w:rFonts w:ascii="Times New Roman" w:hAnsi="Times New Roman" w:cs="Times New Roman"/>
          <w:sz w:val="26"/>
          <w:szCs w:val="26"/>
        </w:rPr>
        <w:t>BPS</w:t>
      </w:r>
      <w:r w:rsidRPr="001A153B">
        <w:rPr>
          <w:rFonts w:ascii="Times New Roman" w:hAnsi="Times New Roman" w:cs="Times New Roman"/>
          <w:sz w:val="26"/>
          <w:szCs w:val="26"/>
        </w:rPr>
        <w:t xml:space="preserve"> would be at greater risk.  Additionally, failure to adequately update/review the PRC standards may cause a simple fault condition to expand or cascade outside of a zone of protection affecting more equipment and greater impact on load (customers).</w:t>
      </w:r>
    </w:p>
    <w:p w14:paraId="7CE9B17C" w14:textId="77777777" w:rsidR="00EE07DD" w:rsidRPr="001A153B" w:rsidRDefault="00EE07DD" w:rsidP="009B3AA9">
      <w:pPr>
        <w:spacing w:after="0" w:line="240" w:lineRule="auto"/>
        <w:rPr>
          <w:rFonts w:ascii="Times New Roman" w:hAnsi="Times New Roman" w:cs="Times New Roman"/>
          <w:sz w:val="26"/>
          <w:szCs w:val="26"/>
        </w:rPr>
      </w:pPr>
    </w:p>
    <w:p w14:paraId="2C4AE420"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EXPLAIN ANY SPECIAL CIRCUMSTANCES RELATING TO THE INFORMATION COLLECTION</w:t>
      </w:r>
    </w:p>
    <w:p w14:paraId="501E5FB0" w14:textId="77777777" w:rsidR="00EE07DD" w:rsidRPr="001A153B" w:rsidRDefault="00EE07DD" w:rsidP="009B3AA9">
      <w:pPr>
        <w:spacing w:after="0" w:line="240" w:lineRule="auto"/>
        <w:rPr>
          <w:rFonts w:ascii="Times New Roman" w:hAnsi="Times New Roman" w:cs="Times New Roman"/>
          <w:sz w:val="26"/>
          <w:szCs w:val="26"/>
        </w:rPr>
      </w:pPr>
    </w:p>
    <w:p w14:paraId="3849C864" w14:textId="77777777" w:rsidR="00EE07DD" w:rsidRPr="001A153B" w:rsidRDefault="003009CB"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FERC-725A, FERC-725G</w:t>
      </w:r>
      <w:r w:rsidR="00831BE0">
        <w:rPr>
          <w:rFonts w:ascii="Times New Roman" w:hAnsi="Times New Roman" w:cs="Times New Roman"/>
          <w:b/>
          <w:sz w:val="26"/>
          <w:szCs w:val="26"/>
        </w:rPr>
        <w:t>,</w:t>
      </w:r>
      <w:r w:rsidRPr="001A153B">
        <w:rPr>
          <w:rFonts w:ascii="Times New Roman" w:hAnsi="Times New Roman" w:cs="Times New Roman"/>
          <w:b/>
          <w:sz w:val="26"/>
          <w:szCs w:val="26"/>
        </w:rPr>
        <w:t xml:space="preserve"> and FERC-725Y.</w:t>
      </w:r>
      <w:r w:rsidRPr="001A153B">
        <w:rPr>
          <w:rFonts w:ascii="Times New Roman" w:hAnsi="Times New Roman" w:cs="Times New Roman"/>
          <w:sz w:val="26"/>
          <w:szCs w:val="26"/>
        </w:rPr>
        <w:t xml:space="preserve">  </w:t>
      </w:r>
      <w:r w:rsidR="00EE07DD" w:rsidRPr="001A153B">
        <w:rPr>
          <w:rFonts w:ascii="Times New Roman" w:hAnsi="Times New Roman" w:cs="Times New Roman"/>
          <w:sz w:val="26"/>
          <w:szCs w:val="26"/>
        </w:rPr>
        <w:t>There are no special circumstances as described in 5 CFR 1320.5(d)(2).</w:t>
      </w:r>
    </w:p>
    <w:p w14:paraId="01997BEC" w14:textId="77777777" w:rsidR="00EE07DD" w:rsidRPr="001A153B" w:rsidRDefault="00EE07DD" w:rsidP="009B3AA9">
      <w:pPr>
        <w:spacing w:after="0" w:line="240" w:lineRule="auto"/>
        <w:rPr>
          <w:rFonts w:ascii="Times New Roman" w:hAnsi="Times New Roman" w:cs="Times New Roman"/>
          <w:sz w:val="26"/>
          <w:szCs w:val="26"/>
        </w:rPr>
      </w:pPr>
    </w:p>
    <w:p w14:paraId="7833CD2B"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DESCRIBE EFFORTS TO CONSULT OUTSIDE THE AGENCY: SUMMARIZE PUBLIC COMMENTS AND THE AGENCY’S RESPONSE</w:t>
      </w:r>
      <w:r w:rsidR="003009CB" w:rsidRPr="001A153B">
        <w:rPr>
          <w:rFonts w:ascii="Times New Roman" w:hAnsi="Times New Roman" w:cs="Times New Roman"/>
          <w:b/>
          <w:sz w:val="26"/>
          <w:szCs w:val="26"/>
        </w:rPr>
        <w:t xml:space="preserve"> TO THESE COMMENTS</w:t>
      </w:r>
    </w:p>
    <w:p w14:paraId="7652F2EA" w14:textId="77777777" w:rsidR="00EE07DD" w:rsidRPr="001A153B" w:rsidRDefault="00EE07DD" w:rsidP="009B3AA9">
      <w:pPr>
        <w:spacing w:after="0" w:line="240" w:lineRule="auto"/>
        <w:rPr>
          <w:rFonts w:ascii="Times New Roman" w:hAnsi="Times New Roman" w:cs="Times New Roman"/>
          <w:sz w:val="26"/>
          <w:szCs w:val="26"/>
        </w:rPr>
      </w:pPr>
    </w:p>
    <w:p w14:paraId="673DEFF8" w14:textId="77777777" w:rsidR="00F46F6D" w:rsidRDefault="003009CB" w:rsidP="009B3AA9">
      <w:pPr>
        <w:spacing w:after="0" w:line="240" w:lineRule="auto"/>
        <w:rPr>
          <w:rFonts w:ascii="Times New Roman" w:hAnsi="Times New Roman" w:cs="Times New Roman"/>
          <w:bCs/>
          <w:sz w:val="26"/>
          <w:szCs w:val="26"/>
        </w:rPr>
      </w:pPr>
      <w:r w:rsidRPr="001A153B">
        <w:rPr>
          <w:rFonts w:ascii="Times New Roman" w:hAnsi="Times New Roman" w:cs="Times New Roman"/>
          <w:bCs/>
          <w:sz w:val="26"/>
          <w:szCs w:val="26"/>
        </w:rPr>
        <w:t xml:space="preserve">Each FERC rulemaking is published in the Federal Register thereby providing public utilities and licensees, state commissions, Federal agencies, and other interested parties an opportunity to submit data, views, comments or suggestions concerning the collections of data. </w:t>
      </w:r>
    </w:p>
    <w:p w14:paraId="4E2BEBC3" w14:textId="77777777" w:rsidR="00F46F6D" w:rsidRDefault="00F46F6D" w:rsidP="009B3AA9">
      <w:pPr>
        <w:spacing w:after="0" w:line="240" w:lineRule="auto"/>
        <w:rPr>
          <w:rFonts w:ascii="Times New Roman" w:hAnsi="Times New Roman" w:cs="Times New Roman"/>
          <w:bCs/>
          <w:sz w:val="26"/>
          <w:szCs w:val="26"/>
        </w:rPr>
      </w:pPr>
    </w:p>
    <w:p w14:paraId="06007C8C" w14:textId="77777777" w:rsidR="00F46F6D" w:rsidRPr="00F46F6D" w:rsidRDefault="00F46F6D" w:rsidP="00F46F6D">
      <w:pPr>
        <w:spacing w:after="0" w:line="240" w:lineRule="auto"/>
        <w:rPr>
          <w:rFonts w:ascii="Times New Roman" w:hAnsi="Times New Roman" w:cs="Times New Roman"/>
          <w:bCs/>
          <w:sz w:val="26"/>
          <w:szCs w:val="26"/>
        </w:rPr>
      </w:pPr>
      <w:r w:rsidRPr="00F46F6D">
        <w:rPr>
          <w:rFonts w:ascii="Times New Roman" w:hAnsi="Times New Roman" w:cs="Times New Roman"/>
          <w:bCs/>
          <w:sz w:val="26"/>
          <w:szCs w:val="26"/>
        </w:rPr>
        <w:t>The ERO process to develop Reliability Standards is a collaborative process involving the ERO, Regional Entities and other stakeholders developing and reviewing drafts, and providing comments, vetting and voting (possibly multiple rounds) on the standards, with the final proposed standard submitted to the FERC for review and approval.</w:t>
      </w:r>
      <w:r w:rsidRPr="00F46F6D">
        <w:rPr>
          <w:rFonts w:ascii="Times New Roman" w:hAnsi="Times New Roman" w:cs="Times New Roman"/>
          <w:b/>
          <w:bCs/>
          <w:sz w:val="26"/>
          <w:szCs w:val="26"/>
          <w:vertAlign w:val="superscript"/>
        </w:rPr>
        <w:footnoteReference w:id="20"/>
      </w:r>
      <w:r w:rsidRPr="00F46F6D">
        <w:rPr>
          <w:rFonts w:ascii="Times New Roman" w:hAnsi="Times New Roman" w:cs="Times New Roman"/>
          <w:bCs/>
          <w:sz w:val="26"/>
          <w:szCs w:val="26"/>
        </w:rPr>
        <w:t xml:space="preserve">  </w:t>
      </w:r>
    </w:p>
    <w:p w14:paraId="5BB6BF21" w14:textId="77777777" w:rsidR="00F46F6D" w:rsidRDefault="00F46F6D" w:rsidP="009B3AA9">
      <w:pPr>
        <w:spacing w:after="0" w:line="240" w:lineRule="auto"/>
        <w:rPr>
          <w:rFonts w:ascii="Times New Roman" w:hAnsi="Times New Roman" w:cs="Times New Roman"/>
          <w:bCs/>
          <w:sz w:val="26"/>
          <w:szCs w:val="26"/>
        </w:rPr>
      </w:pPr>
    </w:p>
    <w:p w14:paraId="0CCF3EA4" w14:textId="77777777" w:rsidR="003009CB" w:rsidRPr="001A153B" w:rsidRDefault="00D21DD1" w:rsidP="009B3AA9">
      <w:pPr>
        <w:spacing w:after="0" w:line="240" w:lineRule="auto"/>
        <w:rPr>
          <w:rFonts w:ascii="Times New Roman" w:hAnsi="Times New Roman" w:cs="Times New Roman"/>
          <w:bCs/>
          <w:sz w:val="26"/>
          <w:szCs w:val="26"/>
        </w:rPr>
      </w:pPr>
      <w:r w:rsidRPr="001A153B">
        <w:rPr>
          <w:rFonts w:ascii="Times New Roman" w:hAnsi="Times New Roman" w:cs="Times New Roman"/>
          <w:bCs/>
          <w:sz w:val="26"/>
          <w:szCs w:val="26"/>
        </w:rPr>
        <w:t xml:space="preserve">The Final </w:t>
      </w:r>
      <w:r w:rsidR="00F46F6D">
        <w:rPr>
          <w:rFonts w:ascii="Times New Roman" w:hAnsi="Times New Roman" w:cs="Times New Roman"/>
          <w:bCs/>
          <w:sz w:val="26"/>
          <w:szCs w:val="26"/>
        </w:rPr>
        <w:t>R</w:t>
      </w:r>
      <w:r w:rsidRPr="001A153B">
        <w:rPr>
          <w:rFonts w:ascii="Times New Roman" w:hAnsi="Times New Roman" w:cs="Times New Roman"/>
          <w:bCs/>
          <w:sz w:val="26"/>
          <w:szCs w:val="26"/>
        </w:rPr>
        <w:t>ule</w:t>
      </w:r>
      <w:r w:rsidR="00F46F6D">
        <w:rPr>
          <w:rFonts w:ascii="Times New Roman" w:hAnsi="Times New Roman" w:cs="Times New Roman"/>
          <w:bCs/>
          <w:sz w:val="26"/>
          <w:szCs w:val="26"/>
        </w:rPr>
        <w:t xml:space="preserve"> is posted on FERC’s eLibrary</w:t>
      </w:r>
      <w:r w:rsidR="00E8521E" w:rsidRPr="001A153B">
        <w:rPr>
          <w:rStyle w:val="FootnoteReference"/>
          <w:rFonts w:ascii="Times New Roman" w:hAnsi="Times New Roman" w:cs="Times New Roman"/>
          <w:bCs/>
          <w:sz w:val="26"/>
          <w:szCs w:val="26"/>
        </w:rPr>
        <w:footnoteReference w:id="21"/>
      </w:r>
      <w:r w:rsidRPr="001A153B">
        <w:rPr>
          <w:rFonts w:ascii="Times New Roman" w:hAnsi="Times New Roman" w:cs="Times New Roman"/>
          <w:bCs/>
          <w:sz w:val="26"/>
          <w:szCs w:val="26"/>
        </w:rPr>
        <w:t xml:space="preserve"> </w:t>
      </w:r>
      <w:r w:rsidR="00F46F6D">
        <w:rPr>
          <w:rFonts w:ascii="Times New Roman" w:hAnsi="Times New Roman" w:cs="Times New Roman"/>
          <w:bCs/>
          <w:sz w:val="26"/>
          <w:szCs w:val="26"/>
        </w:rPr>
        <w:t>and published on 6/13/2018 in the Federal Register to give the public and other entities an opportunity to comment.</w:t>
      </w:r>
    </w:p>
    <w:p w14:paraId="05A2D167" w14:textId="77777777" w:rsidR="003009CB" w:rsidRPr="001A153B" w:rsidRDefault="003009CB" w:rsidP="009B3AA9">
      <w:pPr>
        <w:spacing w:after="0" w:line="240" w:lineRule="auto"/>
        <w:rPr>
          <w:rFonts w:ascii="Times New Roman" w:hAnsi="Times New Roman" w:cs="Times New Roman"/>
          <w:bCs/>
          <w:sz w:val="26"/>
          <w:szCs w:val="26"/>
        </w:rPr>
      </w:pPr>
    </w:p>
    <w:p w14:paraId="52481C42"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EXPLAIN ANY PAYMENT OR GIFTS TO RESPONDENTS</w:t>
      </w:r>
    </w:p>
    <w:p w14:paraId="3370E087" w14:textId="77777777" w:rsidR="00EE07DD" w:rsidRPr="001A153B" w:rsidRDefault="00EE07DD" w:rsidP="009B3AA9">
      <w:pPr>
        <w:spacing w:after="0" w:line="240" w:lineRule="auto"/>
        <w:rPr>
          <w:rFonts w:ascii="Times New Roman" w:hAnsi="Times New Roman" w:cs="Times New Roman"/>
          <w:sz w:val="26"/>
          <w:szCs w:val="26"/>
        </w:rPr>
      </w:pPr>
    </w:p>
    <w:p w14:paraId="0C6258A3" w14:textId="77777777" w:rsidR="00EE07DD" w:rsidRPr="001A153B" w:rsidRDefault="00EE07DD"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Commission does not make payments or provide gifts for respondents related to </w:t>
      </w:r>
      <w:r w:rsidR="003009CB" w:rsidRPr="001A153B">
        <w:rPr>
          <w:rFonts w:ascii="Times New Roman" w:hAnsi="Times New Roman" w:cs="Times New Roman"/>
          <w:sz w:val="26"/>
          <w:szCs w:val="26"/>
        </w:rPr>
        <w:t xml:space="preserve">these </w:t>
      </w:r>
      <w:r w:rsidRPr="001A153B">
        <w:rPr>
          <w:rFonts w:ascii="Times New Roman" w:hAnsi="Times New Roman" w:cs="Times New Roman"/>
          <w:sz w:val="26"/>
          <w:szCs w:val="26"/>
        </w:rPr>
        <w:t>collection</w:t>
      </w:r>
      <w:r w:rsidR="003009CB" w:rsidRPr="001A153B">
        <w:rPr>
          <w:rFonts w:ascii="Times New Roman" w:hAnsi="Times New Roman" w:cs="Times New Roman"/>
          <w:sz w:val="26"/>
          <w:szCs w:val="26"/>
        </w:rPr>
        <w:t>s</w:t>
      </w:r>
      <w:r w:rsidRPr="001A153B">
        <w:rPr>
          <w:rFonts w:ascii="Times New Roman" w:hAnsi="Times New Roman" w:cs="Times New Roman"/>
          <w:sz w:val="26"/>
          <w:szCs w:val="26"/>
        </w:rPr>
        <w:t>.</w:t>
      </w:r>
    </w:p>
    <w:p w14:paraId="33EF2488" w14:textId="77777777" w:rsidR="00EE07DD" w:rsidRPr="001A153B" w:rsidRDefault="00EE07DD" w:rsidP="009B3AA9">
      <w:pPr>
        <w:spacing w:after="0" w:line="240" w:lineRule="auto"/>
        <w:rPr>
          <w:rFonts w:ascii="Times New Roman" w:hAnsi="Times New Roman" w:cs="Times New Roman"/>
          <w:sz w:val="26"/>
          <w:szCs w:val="26"/>
        </w:rPr>
      </w:pPr>
    </w:p>
    <w:p w14:paraId="78593B89"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DESCRIBE ANY ASSURANCE OF CONFIDENTIALITY PROVIDED TO RESPONDENTS</w:t>
      </w:r>
    </w:p>
    <w:p w14:paraId="124DF793" w14:textId="77777777" w:rsidR="009B3AA9" w:rsidRDefault="009B3AA9" w:rsidP="009B3AA9">
      <w:pPr>
        <w:spacing w:after="0" w:line="240" w:lineRule="auto"/>
        <w:rPr>
          <w:rFonts w:ascii="Times New Roman" w:hAnsi="Times New Roman" w:cs="Times New Roman"/>
          <w:sz w:val="26"/>
          <w:szCs w:val="26"/>
        </w:rPr>
      </w:pPr>
    </w:p>
    <w:p w14:paraId="541F7F2B" w14:textId="77777777" w:rsidR="003009CB" w:rsidRDefault="003009CB"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According to the NERC Rules of Procedure ,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575E7A5F" w14:textId="77777777" w:rsidR="00F46F6D" w:rsidRPr="001A153B" w:rsidRDefault="00F46F6D" w:rsidP="009B3AA9">
      <w:pPr>
        <w:spacing w:after="0" w:line="240" w:lineRule="auto"/>
        <w:rPr>
          <w:rFonts w:ascii="Times New Roman" w:hAnsi="Times New Roman" w:cs="Times New Roman"/>
          <w:sz w:val="26"/>
          <w:szCs w:val="26"/>
        </w:rPr>
      </w:pPr>
    </w:p>
    <w:p w14:paraId="5E8981FA" w14:textId="77777777" w:rsidR="00EE07DD" w:rsidRDefault="003009CB" w:rsidP="009B3AA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Responding entities do not submit the information collected </w:t>
      </w:r>
      <w:r w:rsidR="00F46F6D">
        <w:rPr>
          <w:rFonts w:ascii="Times New Roman" w:hAnsi="Times New Roman" w:cs="Times New Roman"/>
          <w:sz w:val="26"/>
          <w:szCs w:val="26"/>
        </w:rPr>
        <w:t xml:space="preserve">for </w:t>
      </w:r>
      <w:r w:rsidRPr="001A153B">
        <w:rPr>
          <w:rFonts w:ascii="Times New Roman" w:hAnsi="Times New Roman" w:cs="Times New Roman"/>
          <w:sz w:val="26"/>
          <w:szCs w:val="26"/>
        </w:rPr>
        <w:t>Reliability Standards to FERC.  Rather, they submit the information to NERC, the regional entities, or maintain it internally.  Since there are no submissions made to FERC, FERC provides no specific provisions in order to protect confidentiality.</w:t>
      </w:r>
    </w:p>
    <w:p w14:paraId="5C4C2A23" w14:textId="77777777" w:rsidR="00F46F6D" w:rsidRPr="001A153B" w:rsidRDefault="00F46F6D" w:rsidP="009B3AA9">
      <w:pPr>
        <w:spacing w:after="0" w:line="240" w:lineRule="auto"/>
        <w:rPr>
          <w:rFonts w:ascii="Times New Roman" w:hAnsi="Times New Roman" w:cs="Times New Roman"/>
          <w:sz w:val="26"/>
          <w:szCs w:val="26"/>
        </w:rPr>
      </w:pPr>
    </w:p>
    <w:p w14:paraId="70F96424" w14:textId="77777777" w:rsidR="00EE07DD" w:rsidRPr="001A153B" w:rsidRDefault="00EE07DD" w:rsidP="009B3AA9">
      <w:pPr>
        <w:numPr>
          <w:ilvl w:val="0"/>
          <w:numId w:val="2"/>
        </w:numPr>
        <w:spacing w:after="0" w:line="240" w:lineRule="auto"/>
        <w:rPr>
          <w:rFonts w:ascii="Times New Roman" w:hAnsi="Times New Roman" w:cs="Times New Roman"/>
          <w:b/>
          <w:bCs/>
          <w:sz w:val="26"/>
          <w:szCs w:val="26"/>
        </w:rPr>
      </w:pPr>
      <w:r w:rsidRPr="001A153B">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14:paraId="2A83BAB5" w14:textId="77777777" w:rsidR="00EE07DD" w:rsidRPr="001A153B" w:rsidRDefault="00EE07DD" w:rsidP="009B3AA9">
      <w:pPr>
        <w:spacing w:after="0" w:line="240" w:lineRule="auto"/>
        <w:rPr>
          <w:rFonts w:ascii="Times New Roman" w:hAnsi="Times New Roman" w:cs="Times New Roman"/>
          <w:b/>
          <w:bCs/>
          <w:sz w:val="26"/>
          <w:szCs w:val="26"/>
        </w:rPr>
      </w:pPr>
    </w:p>
    <w:p w14:paraId="1A9E6E86" w14:textId="77777777" w:rsidR="00EE07DD" w:rsidRPr="001A153B" w:rsidRDefault="003009CB"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FERC-725A, FERC-725G and FERC-725Y.</w:t>
      </w:r>
      <w:r w:rsidRPr="001A153B">
        <w:rPr>
          <w:rFonts w:ascii="Times New Roman" w:hAnsi="Times New Roman" w:cs="Times New Roman"/>
          <w:sz w:val="26"/>
          <w:szCs w:val="26"/>
        </w:rPr>
        <w:t xml:space="preserve"> These</w:t>
      </w:r>
      <w:r w:rsidR="00EE07DD" w:rsidRPr="001A153B">
        <w:rPr>
          <w:rFonts w:ascii="Times New Roman" w:hAnsi="Times New Roman" w:cs="Times New Roman"/>
          <w:sz w:val="26"/>
          <w:szCs w:val="26"/>
        </w:rPr>
        <w:t xml:space="preserve"> collection</w:t>
      </w:r>
      <w:r w:rsidRPr="001A153B">
        <w:rPr>
          <w:rFonts w:ascii="Times New Roman" w:hAnsi="Times New Roman" w:cs="Times New Roman"/>
          <w:sz w:val="26"/>
          <w:szCs w:val="26"/>
        </w:rPr>
        <w:t>s</w:t>
      </w:r>
      <w:r w:rsidR="00EE07DD" w:rsidRPr="001A153B">
        <w:rPr>
          <w:rFonts w:ascii="Times New Roman" w:hAnsi="Times New Roman" w:cs="Times New Roman"/>
          <w:sz w:val="26"/>
          <w:szCs w:val="26"/>
        </w:rPr>
        <w:t xml:space="preserve"> do not contain any questions of a sensitive nature.  </w:t>
      </w:r>
    </w:p>
    <w:p w14:paraId="4B02CA12" w14:textId="77777777" w:rsidR="00EE07DD" w:rsidRPr="001A153B" w:rsidRDefault="00EE07DD" w:rsidP="009B3AA9">
      <w:pPr>
        <w:spacing w:after="0" w:line="240" w:lineRule="auto"/>
        <w:rPr>
          <w:rFonts w:ascii="Times New Roman" w:hAnsi="Times New Roman" w:cs="Times New Roman"/>
          <w:sz w:val="26"/>
          <w:szCs w:val="26"/>
        </w:rPr>
      </w:pPr>
    </w:p>
    <w:p w14:paraId="450EE1A4" w14:textId="77777777" w:rsidR="00EE07DD" w:rsidRPr="001A153B" w:rsidRDefault="00EE07DD" w:rsidP="009B3AA9">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ESTIMATED BURDEN OF COLLECTION OF INFORMATION</w:t>
      </w:r>
    </w:p>
    <w:p w14:paraId="66F326E5" w14:textId="77777777" w:rsidR="00EE07DD" w:rsidRPr="001A153B" w:rsidRDefault="00EE07DD" w:rsidP="009B3AA9">
      <w:pPr>
        <w:spacing w:after="0" w:line="240" w:lineRule="auto"/>
        <w:rPr>
          <w:rFonts w:ascii="Times New Roman" w:hAnsi="Times New Roman" w:cs="Times New Roman"/>
          <w:sz w:val="26"/>
          <w:szCs w:val="26"/>
        </w:rPr>
      </w:pPr>
    </w:p>
    <w:p w14:paraId="192802A0" w14:textId="77777777" w:rsidR="00EE07DD" w:rsidRPr="001A153B" w:rsidRDefault="006D6BF7" w:rsidP="009B3AA9">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 xml:space="preserve">Final Rule </w:t>
      </w:r>
      <w:r w:rsidR="00EE07DD" w:rsidRPr="001A153B">
        <w:rPr>
          <w:rFonts w:ascii="Times New Roman" w:hAnsi="Times New Roman" w:cs="Times New Roman"/>
          <w:b/>
          <w:sz w:val="26"/>
          <w:szCs w:val="26"/>
        </w:rPr>
        <w:t>in RM16-22.</w:t>
      </w:r>
      <w:r w:rsidR="00EE07DD" w:rsidRPr="001A153B">
        <w:rPr>
          <w:rFonts w:ascii="Times New Roman" w:hAnsi="Times New Roman" w:cs="Times New Roman"/>
          <w:sz w:val="26"/>
          <w:szCs w:val="26"/>
        </w:rPr>
        <w:t xml:space="preserve">  The number of respondents below is based on an examination of the NERC compliance registry on</w:t>
      </w:r>
      <w:r w:rsidR="009A0BF6">
        <w:rPr>
          <w:rFonts w:ascii="Times New Roman" w:hAnsi="Times New Roman" w:cs="Times New Roman"/>
          <w:sz w:val="26"/>
          <w:szCs w:val="26"/>
        </w:rPr>
        <w:t xml:space="preserve"> December 1</w:t>
      </w:r>
      <w:r w:rsidR="00EE07DD" w:rsidRPr="001A153B">
        <w:rPr>
          <w:rFonts w:ascii="Times New Roman" w:hAnsi="Times New Roman" w:cs="Times New Roman"/>
          <w:sz w:val="26"/>
          <w:szCs w:val="26"/>
        </w:rPr>
        <w:t>, 2017, for transmission owners, generator owners, generator operators, and distribution providers within the United States and an estimate of how many entities from that registry will be affected by the Reliability Standards for adoption and implementation.  At the time of Commission review of Reliability Standards PRC</w:t>
      </w:r>
      <w:r w:rsidR="00EE07DD" w:rsidRPr="001A153B">
        <w:rPr>
          <w:rFonts w:ascii="Times New Roman" w:hAnsi="Times New Roman" w:cs="Times New Roman"/>
          <w:sz w:val="26"/>
          <w:szCs w:val="26"/>
        </w:rPr>
        <w:noBreakHyphen/>
        <w:t>027</w:t>
      </w:r>
      <w:r w:rsidR="00EE07DD" w:rsidRPr="001A153B">
        <w:rPr>
          <w:rFonts w:ascii="Times New Roman" w:hAnsi="Times New Roman" w:cs="Times New Roman"/>
          <w:sz w:val="26"/>
          <w:szCs w:val="26"/>
        </w:rPr>
        <w:noBreakHyphen/>
        <w:t>1 and PER-006-1, 33</w:t>
      </w:r>
      <w:r w:rsidR="009A0BF6">
        <w:rPr>
          <w:rFonts w:ascii="Times New Roman" w:hAnsi="Times New Roman" w:cs="Times New Roman"/>
          <w:sz w:val="26"/>
          <w:szCs w:val="26"/>
        </w:rPr>
        <w:t>7</w:t>
      </w:r>
      <w:r w:rsidR="00EE07DD" w:rsidRPr="001A153B">
        <w:rPr>
          <w:rFonts w:ascii="Times New Roman" w:hAnsi="Times New Roman" w:cs="Times New Roman"/>
          <w:sz w:val="26"/>
          <w:szCs w:val="26"/>
        </w:rPr>
        <w:t>4 transmission owners, 9</w:t>
      </w:r>
      <w:r w:rsidR="009A0BF6">
        <w:rPr>
          <w:rFonts w:ascii="Times New Roman" w:hAnsi="Times New Roman" w:cs="Times New Roman"/>
          <w:sz w:val="26"/>
          <w:szCs w:val="26"/>
        </w:rPr>
        <w:t>71</w:t>
      </w:r>
      <w:r w:rsidR="00EE07DD" w:rsidRPr="001A153B">
        <w:rPr>
          <w:rFonts w:ascii="Times New Roman" w:hAnsi="Times New Roman" w:cs="Times New Roman"/>
          <w:sz w:val="26"/>
          <w:szCs w:val="26"/>
        </w:rPr>
        <w:t xml:space="preserve"> generator owners, </w:t>
      </w:r>
      <w:r w:rsidR="009A0BF6">
        <w:rPr>
          <w:rFonts w:ascii="Times New Roman" w:hAnsi="Times New Roman" w:cs="Times New Roman"/>
          <w:sz w:val="26"/>
          <w:szCs w:val="26"/>
        </w:rPr>
        <w:t>944</w:t>
      </w:r>
      <w:r w:rsidR="00EE07DD" w:rsidRPr="001A153B">
        <w:rPr>
          <w:rFonts w:ascii="Times New Roman" w:hAnsi="Times New Roman" w:cs="Times New Roman"/>
          <w:sz w:val="26"/>
          <w:szCs w:val="26"/>
        </w:rPr>
        <w:t xml:space="preserve"> generator operators, and </w:t>
      </w:r>
      <w:r w:rsidR="009A0BF6">
        <w:rPr>
          <w:rFonts w:ascii="Times New Roman" w:hAnsi="Times New Roman" w:cs="Times New Roman"/>
          <w:sz w:val="26"/>
          <w:szCs w:val="26"/>
        </w:rPr>
        <w:t>419</w:t>
      </w:r>
      <w:r w:rsidR="00EE07DD" w:rsidRPr="001A153B">
        <w:rPr>
          <w:rFonts w:ascii="Times New Roman" w:hAnsi="Times New Roman" w:cs="Times New Roman"/>
          <w:sz w:val="26"/>
          <w:szCs w:val="26"/>
        </w:rPr>
        <w:t xml:space="preserve"> distribution providers in the United States were registered in the NERC compliance registry.  However, under NERC’s compliance registration program, entities may be registered for multiple functions, so these numbers incorporate some double counting.  We note that many generation sites share a common generator owner or generator operator.  </w:t>
      </w:r>
    </w:p>
    <w:p w14:paraId="2EF96907" w14:textId="77777777" w:rsidR="00EE07DD" w:rsidRPr="001A153B" w:rsidRDefault="00EE07DD" w:rsidP="009B3AA9">
      <w:pPr>
        <w:spacing w:after="0" w:line="240" w:lineRule="auto"/>
        <w:rPr>
          <w:rFonts w:ascii="Times New Roman" w:hAnsi="Times New Roman" w:cs="Times New Roman"/>
          <w:sz w:val="26"/>
          <w:szCs w:val="26"/>
        </w:rPr>
      </w:pPr>
    </w:p>
    <w:p w14:paraId="313EEE29" w14:textId="57289EE7" w:rsidR="00EE07DD" w:rsidRDefault="00EE07DD" w:rsidP="009B3AA9">
      <w:pPr>
        <w:spacing w:after="0" w:line="240" w:lineRule="auto"/>
        <w:rPr>
          <w:rFonts w:ascii="Times New Roman" w:hAnsi="Times New Roman" w:cs="Times New Roman"/>
          <w:sz w:val="26"/>
          <w:szCs w:val="26"/>
          <w:vertAlign w:val="superscript"/>
        </w:rPr>
      </w:pPr>
      <w:r w:rsidRPr="001A153B">
        <w:rPr>
          <w:rFonts w:ascii="Times New Roman" w:hAnsi="Times New Roman" w:cs="Times New Roman"/>
          <w:sz w:val="26"/>
          <w:szCs w:val="26"/>
        </w:rPr>
        <w:t xml:space="preserve">The following table provides the estimated annual burden and cost related to information collection requirements in the </w:t>
      </w:r>
      <w:r w:rsidR="00B608A6" w:rsidRPr="001A153B">
        <w:rPr>
          <w:rFonts w:ascii="Times New Roman" w:hAnsi="Times New Roman" w:cs="Times New Roman"/>
          <w:sz w:val="26"/>
          <w:szCs w:val="26"/>
        </w:rPr>
        <w:t xml:space="preserve">Final Rule </w:t>
      </w:r>
      <w:r w:rsidRPr="001A153B">
        <w:rPr>
          <w:rFonts w:ascii="Times New Roman" w:hAnsi="Times New Roman" w:cs="Times New Roman"/>
          <w:sz w:val="26"/>
          <w:szCs w:val="26"/>
        </w:rPr>
        <w:t>in Docket No. RM16-22.</w:t>
      </w:r>
      <w:r w:rsidRPr="001A153B">
        <w:rPr>
          <w:rFonts w:ascii="Times New Roman" w:hAnsi="Times New Roman" w:cs="Times New Roman"/>
          <w:sz w:val="26"/>
          <w:szCs w:val="26"/>
          <w:vertAlign w:val="superscript"/>
        </w:rPr>
        <w:footnoteReference w:id="22"/>
      </w:r>
      <w:r w:rsidR="00FB148F">
        <w:rPr>
          <w:rFonts w:ascii="Times New Roman" w:hAnsi="Times New Roman" w:cs="Times New Roman"/>
          <w:sz w:val="26"/>
          <w:szCs w:val="26"/>
          <w:vertAlign w:val="superscript"/>
        </w:rPr>
        <w:t xml:space="preserve">, </w:t>
      </w:r>
      <w:r w:rsidR="00FB148F">
        <w:rPr>
          <w:rStyle w:val="FootnoteReference"/>
          <w:rFonts w:ascii="Times New Roman" w:hAnsi="Times New Roman" w:cs="Times New Roman"/>
          <w:sz w:val="26"/>
          <w:szCs w:val="26"/>
        </w:rPr>
        <w:footnoteReference w:id="23"/>
      </w:r>
      <w:r w:rsidRPr="001A153B">
        <w:rPr>
          <w:rFonts w:ascii="Times New Roman" w:hAnsi="Times New Roman" w:cs="Times New Roman"/>
          <w:sz w:val="26"/>
          <w:szCs w:val="26"/>
          <w:vertAlign w:val="superscript"/>
        </w:rPr>
        <w:t xml:space="preserve">  </w:t>
      </w:r>
    </w:p>
    <w:p w14:paraId="7D559456" w14:textId="77777777" w:rsidR="00FB148F" w:rsidRPr="001A153B" w:rsidRDefault="00FB148F" w:rsidP="009B3AA9">
      <w:pPr>
        <w:spacing w:after="0" w:line="240" w:lineRule="auto"/>
        <w:rPr>
          <w:rFonts w:ascii="Times New Roman" w:hAnsi="Times New Roman" w:cs="Times New Roman"/>
          <w:sz w:val="26"/>
          <w:szCs w:val="26"/>
        </w:rPr>
      </w:pPr>
    </w:p>
    <w:tbl>
      <w:tblPr>
        <w:tblW w:w="486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15"/>
        <w:gridCol w:w="1431"/>
        <w:gridCol w:w="1446"/>
        <w:gridCol w:w="1444"/>
        <w:gridCol w:w="1530"/>
        <w:gridCol w:w="2014"/>
      </w:tblGrid>
      <w:tr w:rsidR="00EE07DD" w:rsidRPr="001A153B" w14:paraId="74948575" w14:textId="77777777" w:rsidTr="00022939">
        <w:trPr>
          <w:cantSplit/>
          <w:trHeight w:val="143"/>
        </w:trPr>
        <w:tc>
          <w:tcPr>
            <w:tcW w:w="5000" w:type="pct"/>
            <w:gridSpan w:val="7"/>
            <w:shd w:val="clear" w:color="auto" w:fill="D9D9D9"/>
            <w:vAlign w:val="bottom"/>
          </w:tcPr>
          <w:p w14:paraId="564372B6"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 xml:space="preserve">Changes due to the </w:t>
            </w:r>
            <w:r w:rsidR="00460C6A" w:rsidRPr="001A153B">
              <w:rPr>
                <w:rFonts w:ascii="Times New Roman" w:hAnsi="Times New Roman" w:cs="Times New Roman"/>
                <w:b/>
                <w:sz w:val="26"/>
                <w:szCs w:val="26"/>
              </w:rPr>
              <w:t>Final Rule</w:t>
            </w:r>
            <w:r w:rsidRPr="001A153B">
              <w:rPr>
                <w:rFonts w:ascii="Times New Roman" w:hAnsi="Times New Roman" w:cs="Times New Roman"/>
                <w:b/>
                <w:sz w:val="26"/>
                <w:szCs w:val="26"/>
              </w:rPr>
              <w:t xml:space="preserve"> in Docket No. RM16-22-000 </w:t>
            </w:r>
          </w:p>
        </w:tc>
      </w:tr>
      <w:tr w:rsidR="00EE07DD" w:rsidRPr="001A153B" w14:paraId="2CEE8166" w14:textId="77777777" w:rsidTr="00EE07DD">
        <w:trPr>
          <w:cantSplit/>
          <w:trHeight w:val="1224"/>
        </w:trPr>
        <w:tc>
          <w:tcPr>
            <w:tcW w:w="771" w:type="pct"/>
            <w:shd w:val="clear" w:color="auto" w:fill="D9D9D9"/>
            <w:vAlign w:val="bottom"/>
          </w:tcPr>
          <w:p w14:paraId="00D0D571"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Respondent Category and Requirement</w:t>
            </w:r>
            <w:r w:rsidRPr="001A153B">
              <w:rPr>
                <w:rFonts w:ascii="Times New Roman" w:hAnsi="Times New Roman" w:cs="Times New Roman"/>
                <w:sz w:val="26"/>
                <w:szCs w:val="26"/>
                <w:vertAlign w:val="superscript"/>
              </w:rPr>
              <w:footnoteReference w:id="24"/>
            </w:r>
            <w:r w:rsidRPr="001A153B">
              <w:rPr>
                <w:rFonts w:ascii="Times New Roman" w:hAnsi="Times New Roman" w:cs="Times New Roman"/>
                <w:b/>
                <w:sz w:val="26"/>
                <w:szCs w:val="26"/>
              </w:rPr>
              <w:t xml:space="preserve"> </w:t>
            </w:r>
          </w:p>
        </w:tc>
        <w:tc>
          <w:tcPr>
            <w:tcW w:w="776" w:type="pct"/>
            <w:gridSpan w:val="2"/>
            <w:shd w:val="clear" w:color="auto" w:fill="D9D9D9"/>
            <w:vAlign w:val="bottom"/>
          </w:tcPr>
          <w:p w14:paraId="6698EDF2"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Number of Respondents</w:t>
            </w:r>
          </w:p>
          <w:p w14:paraId="13ED48F7"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(1)</w:t>
            </w:r>
          </w:p>
        </w:tc>
        <w:tc>
          <w:tcPr>
            <w:tcW w:w="776" w:type="pct"/>
            <w:shd w:val="clear" w:color="auto" w:fill="D9D9D9"/>
            <w:vAlign w:val="bottom"/>
          </w:tcPr>
          <w:p w14:paraId="1114E7D3"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Annual Number of Responses per Respondent</w:t>
            </w:r>
          </w:p>
          <w:p w14:paraId="6A0E570D"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(2)</w:t>
            </w:r>
          </w:p>
        </w:tc>
        <w:tc>
          <w:tcPr>
            <w:tcW w:w="775" w:type="pct"/>
            <w:shd w:val="clear" w:color="auto" w:fill="D9D9D9"/>
            <w:vAlign w:val="bottom"/>
          </w:tcPr>
          <w:p w14:paraId="432E7FEA"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 xml:space="preserve">Total Number of Annual Responses </w:t>
            </w:r>
          </w:p>
          <w:p w14:paraId="69EE06F4"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(1)*(2)=(3)</w:t>
            </w:r>
          </w:p>
        </w:tc>
        <w:tc>
          <w:tcPr>
            <w:tcW w:w="821" w:type="pct"/>
            <w:shd w:val="clear" w:color="auto" w:fill="D9D9D9"/>
            <w:vAlign w:val="bottom"/>
          </w:tcPr>
          <w:p w14:paraId="6B8D9B66"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Average Burden Hours &amp; Cost per Response</w:t>
            </w:r>
            <w:r w:rsidRPr="001A153B">
              <w:rPr>
                <w:rFonts w:ascii="Times New Roman" w:hAnsi="Times New Roman" w:cs="Times New Roman"/>
                <w:sz w:val="26"/>
                <w:szCs w:val="26"/>
                <w:vertAlign w:val="superscript"/>
              </w:rPr>
              <w:footnoteReference w:id="25"/>
            </w:r>
          </w:p>
          <w:p w14:paraId="328F9350"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(4)</w:t>
            </w:r>
          </w:p>
        </w:tc>
        <w:tc>
          <w:tcPr>
            <w:tcW w:w="1081" w:type="pct"/>
            <w:shd w:val="clear" w:color="auto" w:fill="D9D9D9"/>
            <w:vAlign w:val="bottom"/>
          </w:tcPr>
          <w:p w14:paraId="49133642"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Annual Burden Hours &amp; Total Annual Cost (rounded)</w:t>
            </w:r>
            <w:r w:rsidRPr="001A153B">
              <w:rPr>
                <w:rFonts w:ascii="Times New Roman" w:hAnsi="Times New Roman" w:cs="Times New Roman"/>
                <w:sz w:val="26"/>
                <w:szCs w:val="26"/>
                <w:vertAlign w:val="superscript"/>
              </w:rPr>
              <w:footnoteReference w:id="26"/>
            </w:r>
          </w:p>
          <w:p w14:paraId="011565C9"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(3)*(4)=(5)</w:t>
            </w:r>
          </w:p>
        </w:tc>
      </w:tr>
      <w:tr w:rsidR="00EE07DD" w:rsidRPr="001A153B" w14:paraId="089E7B98" w14:textId="77777777" w:rsidTr="00022939">
        <w:trPr>
          <w:cantSplit/>
          <w:trHeight w:val="469"/>
        </w:trPr>
        <w:tc>
          <w:tcPr>
            <w:tcW w:w="5000" w:type="pct"/>
            <w:gridSpan w:val="7"/>
            <w:vAlign w:val="bottom"/>
          </w:tcPr>
          <w:p w14:paraId="54E6F46E" w14:textId="77777777" w:rsidR="00EE07DD" w:rsidRPr="001A153B" w:rsidRDefault="00EE07DD" w:rsidP="001A153B">
            <w:pPr>
              <w:spacing w:after="0" w:line="240" w:lineRule="auto"/>
              <w:rPr>
                <w:rFonts w:ascii="Times New Roman" w:hAnsi="Times New Roman" w:cs="Times New Roman"/>
                <w:b/>
                <w:sz w:val="26"/>
                <w:szCs w:val="26"/>
              </w:rPr>
            </w:pPr>
          </w:p>
          <w:p w14:paraId="3B3C0527" w14:textId="77777777" w:rsidR="00EE07DD" w:rsidRPr="001A153B" w:rsidRDefault="00EE07DD" w:rsidP="001A153B">
            <w:pPr>
              <w:spacing w:after="0" w:line="240" w:lineRule="auto"/>
              <w:jc w:val="center"/>
              <w:rPr>
                <w:rFonts w:ascii="Times New Roman" w:hAnsi="Times New Roman" w:cs="Times New Roman"/>
                <w:sz w:val="26"/>
                <w:szCs w:val="26"/>
              </w:rPr>
            </w:pPr>
            <w:r w:rsidRPr="001A153B">
              <w:rPr>
                <w:rFonts w:ascii="Times New Roman" w:hAnsi="Times New Roman" w:cs="Times New Roman"/>
                <w:b/>
                <w:sz w:val="26"/>
                <w:szCs w:val="26"/>
              </w:rPr>
              <w:t>FERC-725G (Reliability Standard PRC-027-1)</w:t>
            </w:r>
            <w:r w:rsidRPr="001A153B">
              <w:rPr>
                <w:rFonts w:ascii="Times New Roman" w:hAnsi="Times New Roman" w:cs="Times New Roman"/>
                <w:sz w:val="26"/>
                <w:szCs w:val="26"/>
                <w:vertAlign w:val="superscript"/>
              </w:rPr>
              <w:footnoteReference w:id="27"/>
            </w:r>
          </w:p>
        </w:tc>
      </w:tr>
      <w:tr w:rsidR="00EE07DD" w:rsidRPr="001A153B" w14:paraId="7B2FB9C9" w14:textId="77777777" w:rsidTr="001A153B">
        <w:trPr>
          <w:cantSplit/>
          <w:trHeight w:val="469"/>
        </w:trPr>
        <w:tc>
          <w:tcPr>
            <w:tcW w:w="779" w:type="pct"/>
            <w:gridSpan w:val="2"/>
            <w:vAlign w:val="bottom"/>
          </w:tcPr>
          <w:p w14:paraId="42F82234" w14:textId="77777777" w:rsidR="00EE07DD" w:rsidRPr="001A153B" w:rsidRDefault="00EE07DD" w:rsidP="0001436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TO; Reporting Reqs. R1, R2, &amp; R3 </w:t>
            </w:r>
          </w:p>
        </w:tc>
        <w:tc>
          <w:tcPr>
            <w:tcW w:w="767" w:type="pct"/>
            <w:vAlign w:val="bottom"/>
          </w:tcPr>
          <w:p w14:paraId="4444F045"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337</w:t>
            </w:r>
          </w:p>
        </w:tc>
        <w:tc>
          <w:tcPr>
            <w:tcW w:w="776" w:type="pct"/>
            <w:vAlign w:val="bottom"/>
          </w:tcPr>
          <w:p w14:paraId="23C2569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717FC7C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337</w:t>
            </w:r>
          </w:p>
        </w:tc>
        <w:tc>
          <w:tcPr>
            <w:tcW w:w="821" w:type="pct"/>
            <w:vAlign w:val="bottom"/>
          </w:tcPr>
          <w:p w14:paraId="4E20D61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60 hrs.;</w:t>
            </w:r>
          </w:p>
          <w:p w14:paraId="5CC3243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$3,941.40</w:t>
            </w:r>
          </w:p>
        </w:tc>
        <w:tc>
          <w:tcPr>
            <w:tcW w:w="1081" w:type="pct"/>
            <w:vAlign w:val="bottom"/>
          </w:tcPr>
          <w:p w14:paraId="45518B0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20,220 hrs.;</w:t>
            </w:r>
          </w:p>
          <w:p w14:paraId="6450649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$1,328,252</w:t>
            </w:r>
          </w:p>
        </w:tc>
      </w:tr>
      <w:tr w:rsidR="00EE07DD" w:rsidRPr="001A153B" w14:paraId="305F8276" w14:textId="77777777" w:rsidTr="001A153B">
        <w:trPr>
          <w:cantSplit/>
          <w:trHeight w:val="469"/>
        </w:trPr>
        <w:tc>
          <w:tcPr>
            <w:tcW w:w="779" w:type="pct"/>
            <w:gridSpan w:val="2"/>
            <w:vAlign w:val="bottom"/>
          </w:tcPr>
          <w:p w14:paraId="70F7586A" w14:textId="77777777" w:rsidR="00EE07DD" w:rsidRPr="001A153B" w:rsidRDefault="00EE07DD" w:rsidP="0001436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TO; Recordkeeping Reqs.</w:t>
            </w:r>
          </w:p>
        </w:tc>
        <w:tc>
          <w:tcPr>
            <w:tcW w:w="767" w:type="pct"/>
            <w:vAlign w:val="bottom"/>
          </w:tcPr>
          <w:p w14:paraId="5C07D93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337</w:t>
            </w:r>
          </w:p>
        </w:tc>
        <w:tc>
          <w:tcPr>
            <w:tcW w:w="776" w:type="pct"/>
            <w:vAlign w:val="bottom"/>
          </w:tcPr>
          <w:p w14:paraId="3424CC74"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02C43DD5"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337</w:t>
            </w:r>
          </w:p>
        </w:tc>
        <w:tc>
          <w:tcPr>
            <w:tcW w:w="821" w:type="pct"/>
            <w:vAlign w:val="bottom"/>
          </w:tcPr>
          <w:p w14:paraId="3D84D6F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40 hrs.;</w:t>
            </w:r>
          </w:p>
          <w:p w14:paraId="2C38941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$1,565.60</w:t>
            </w:r>
          </w:p>
        </w:tc>
        <w:tc>
          <w:tcPr>
            <w:tcW w:w="1081" w:type="pct"/>
            <w:vAlign w:val="bottom"/>
          </w:tcPr>
          <w:p w14:paraId="1196CBB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13,480 hrs.;</w:t>
            </w:r>
          </w:p>
          <w:p w14:paraId="6112FC2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$527,607</w:t>
            </w:r>
          </w:p>
        </w:tc>
      </w:tr>
      <w:tr w:rsidR="00EE07DD" w:rsidRPr="001A153B" w14:paraId="47CAFC2E" w14:textId="77777777" w:rsidTr="001A153B">
        <w:trPr>
          <w:cantSplit/>
          <w:trHeight w:val="469"/>
        </w:trPr>
        <w:tc>
          <w:tcPr>
            <w:tcW w:w="779" w:type="pct"/>
            <w:gridSpan w:val="2"/>
            <w:vAlign w:val="bottom"/>
          </w:tcPr>
          <w:p w14:paraId="5B1CC81A" w14:textId="77777777" w:rsidR="00EE07DD" w:rsidRPr="001A153B" w:rsidRDefault="00EE07DD" w:rsidP="0001436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GO; Reporting Reqs. R1, R2, &amp; R3</w:t>
            </w:r>
          </w:p>
        </w:tc>
        <w:tc>
          <w:tcPr>
            <w:tcW w:w="767" w:type="pct"/>
            <w:vAlign w:val="bottom"/>
          </w:tcPr>
          <w:p w14:paraId="7A35621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971</w:t>
            </w:r>
          </w:p>
        </w:tc>
        <w:tc>
          <w:tcPr>
            <w:tcW w:w="776" w:type="pct"/>
            <w:vAlign w:val="bottom"/>
          </w:tcPr>
          <w:p w14:paraId="6D01D61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7A7FFFC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971</w:t>
            </w:r>
          </w:p>
        </w:tc>
        <w:tc>
          <w:tcPr>
            <w:tcW w:w="821" w:type="pct"/>
            <w:vAlign w:val="bottom"/>
          </w:tcPr>
          <w:p w14:paraId="1B8589F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 hrs.;</w:t>
            </w:r>
          </w:p>
          <w:p w14:paraId="6D0B3DA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$656.90</w:t>
            </w:r>
          </w:p>
        </w:tc>
        <w:tc>
          <w:tcPr>
            <w:tcW w:w="1081" w:type="pct"/>
            <w:vAlign w:val="bottom"/>
          </w:tcPr>
          <w:p w14:paraId="6349C10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9,710 hrs.;</w:t>
            </w:r>
          </w:p>
          <w:p w14:paraId="1F7E352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$637,830</w:t>
            </w:r>
          </w:p>
        </w:tc>
      </w:tr>
      <w:tr w:rsidR="00EE07DD" w:rsidRPr="001A153B" w14:paraId="0D6691DF" w14:textId="77777777" w:rsidTr="001A153B">
        <w:trPr>
          <w:cantSplit/>
          <w:trHeight w:val="469"/>
        </w:trPr>
        <w:tc>
          <w:tcPr>
            <w:tcW w:w="779" w:type="pct"/>
            <w:gridSpan w:val="2"/>
            <w:vAlign w:val="bottom"/>
          </w:tcPr>
          <w:p w14:paraId="51393BB7" w14:textId="77777777" w:rsidR="00EE07DD" w:rsidRPr="001A153B" w:rsidRDefault="00EE07DD" w:rsidP="0001436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GO; Recordkeeping Reqs.</w:t>
            </w:r>
          </w:p>
        </w:tc>
        <w:tc>
          <w:tcPr>
            <w:tcW w:w="767" w:type="pct"/>
            <w:vAlign w:val="bottom"/>
          </w:tcPr>
          <w:p w14:paraId="1BB4AE8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971</w:t>
            </w:r>
          </w:p>
        </w:tc>
        <w:tc>
          <w:tcPr>
            <w:tcW w:w="776" w:type="pct"/>
            <w:vAlign w:val="bottom"/>
          </w:tcPr>
          <w:p w14:paraId="7D97483A"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2FBAD035"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971</w:t>
            </w:r>
          </w:p>
        </w:tc>
        <w:tc>
          <w:tcPr>
            <w:tcW w:w="821" w:type="pct"/>
            <w:vAlign w:val="bottom"/>
          </w:tcPr>
          <w:p w14:paraId="2CD253E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 hrs.;</w:t>
            </w:r>
          </w:p>
          <w:p w14:paraId="1BE985C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$391.40</w:t>
            </w:r>
          </w:p>
        </w:tc>
        <w:tc>
          <w:tcPr>
            <w:tcW w:w="1081" w:type="pct"/>
            <w:vAlign w:val="bottom"/>
          </w:tcPr>
          <w:p w14:paraId="68BF153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9,710 hrs.;</w:t>
            </w:r>
          </w:p>
          <w:p w14:paraId="059DAF9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$380,049</w:t>
            </w:r>
          </w:p>
        </w:tc>
      </w:tr>
      <w:tr w:rsidR="00EE07DD" w:rsidRPr="001A153B" w14:paraId="65C7AB36" w14:textId="77777777" w:rsidTr="001A153B">
        <w:trPr>
          <w:cantSplit/>
          <w:trHeight w:val="469"/>
        </w:trPr>
        <w:tc>
          <w:tcPr>
            <w:tcW w:w="779" w:type="pct"/>
            <w:gridSpan w:val="2"/>
            <w:vAlign w:val="bottom"/>
          </w:tcPr>
          <w:p w14:paraId="32F6D335" w14:textId="77777777" w:rsidR="00EE07DD" w:rsidRPr="001A153B" w:rsidRDefault="00EE07DD" w:rsidP="0001436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DP; Reporting Reqs R1, R2, &amp; R3</w:t>
            </w:r>
          </w:p>
        </w:tc>
        <w:tc>
          <w:tcPr>
            <w:tcW w:w="767" w:type="pct"/>
            <w:vAlign w:val="bottom"/>
          </w:tcPr>
          <w:p w14:paraId="42115EC3"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419</w:t>
            </w:r>
          </w:p>
        </w:tc>
        <w:tc>
          <w:tcPr>
            <w:tcW w:w="776" w:type="pct"/>
            <w:vAlign w:val="bottom"/>
          </w:tcPr>
          <w:p w14:paraId="2F6D35C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0BB421E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419</w:t>
            </w:r>
          </w:p>
        </w:tc>
        <w:tc>
          <w:tcPr>
            <w:tcW w:w="821" w:type="pct"/>
            <w:vAlign w:val="bottom"/>
          </w:tcPr>
          <w:p w14:paraId="188661C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 hrs.;</w:t>
            </w:r>
          </w:p>
          <w:p w14:paraId="76610F1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$656.90</w:t>
            </w:r>
          </w:p>
        </w:tc>
        <w:tc>
          <w:tcPr>
            <w:tcW w:w="1081" w:type="pct"/>
            <w:vAlign w:val="bottom"/>
          </w:tcPr>
          <w:p w14:paraId="048CC75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4,190 hrs.;</w:t>
            </w:r>
          </w:p>
          <w:p w14:paraId="27C904B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$275,241</w:t>
            </w:r>
          </w:p>
        </w:tc>
      </w:tr>
      <w:tr w:rsidR="00EE07DD" w:rsidRPr="001A153B" w14:paraId="7D912E23" w14:textId="77777777" w:rsidTr="001A153B">
        <w:trPr>
          <w:cantSplit/>
          <w:trHeight w:val="469"/>
        </w:trPr>
        <w:tc>
          <w:tcPr>
            <w:tcW w:w="779" w:type="pct"/>
            <w:gridSpan w:val="2"/>
            <w:vAlign w:val="bottom"/>
          </w:tcPr>
          <w:p w14:paraId="38002DAE" w14:textId="77777777" w:rsidR="00EE07DD" w:rsidRPr="001A153B" w:rsidRDefault="00EE07DD" w:rsidP="00014369">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DP; Recordkeeping Reqs. </w:t>
            </w:r>
          </w:p>
        </w:tc>
        <w:tc>
          <w:tcPr>
            <w:tcW w:w="767" w:type="pct"/>
            <w:vAlign w:val="bottom"/>
          </w:tcPr>
          <w:p w14:paraId="79E537B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419</w:t>
            </w:r>
          </w:p>
        </w:tc>
        <w:tc>
          <w:tcPr>
            <w:tcW w:w="776" w:type="pct"/>
            <w:vAlign w:val="bottom"/>
          </w:tcPr>
          <w:p w14:paraId="69982B18"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0DBA250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419</w:t>
            </w:r>
          </w:p>
        </w:tc>
        <w:tc>
          <w:tcPr>
            <w:tcW w:w="821" w:type="pct"/>
            <w:vAlign w:val="bottom"/>
          </w:tcPr>
          <w:p w14:paraId="392BCAF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 hrs.;</w:t>
            </w:r>
          </w:p>
          <w:p w14:paraId="601774B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$391.40</w:t>
            </w:r>
          </w:p>
        </w:tc>
        <w:tc>
          <w:tcPr>
            <w:tcW w:w="1081" w:type="pct"/>
            <w:vAlign w:val="bottom"/>
          </w:tcPr>
          <w:p w14:paraId="7EE5C01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4,190 hrs.;</w:t>
            </w:r>
          </w:p>
          <w:p w14:paraId="4F07E96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$163,997</w:t>
            </w:r>
          </w:p>
        </w:tc>
      </w:tr>
      <w:tr w:rsidR="00EE07DD" w:rsidRPr="001A153B" w14:paraId="4E873A9C" w14:textId="77777777" w:rsidTr="001A153B">
        <w:trPr>
          <w:cantSplit/>
          <w:trHeight w:val="469"/>
        </w:trPr>
        <w:tc>
          <w:tcPr>
            <w:tcW w:w="779" w:type="pct"/>
            <w:gridSpan w:val="2"/>
            <w:vAlign w:val="bottom"/>
          </w:tcPr>
          <w:p w14:paraId="45A3F73D" w14:textId="77777777" w:rsidR="00EE07DD" w:rsidRPr="001A153B" w:rsidRDefault="00EE07DD" w:rsidP="00014369">
            <w:pPr>
              <w:spacing w:after="0" w:line="240" w:lineRule="auto"/>
              <w:rPr>
                <w:rFonts w:ascii="Times New Roman" w:hAnsi="Times New Roman" w:cs="Times New Roman"/>
                <w:i/>
                <w:sz w:val="26"/>
                <w:szCs w:val="26"/>
              </w:rPr>
            </w:pPr>
            <w:r w:rsidRPr="001A153B">
              <w:rPr>
                <w:rFonts w:ascii="Times New Roman" w:hAnsi="Times New Roman" w:cs="Times New Roman"/>
                <w:i/>
                <w:sz w:val="26"/>
                <w:szCs w:val="26"/>
              </w:rPr>
              <w:t>Sub-Total for Reporting Reqs. for FERC-725G</w:t>
            </w:r>
          </w:p>
        </w:tc>
        <w:tc>
          <w:tcPr>
            <w:tcW w:w="767" w:type="pct"/>
            <w:vAlign w:val="bottom"/>
          </w:tcPr>
          <w:p w14:paraId="3E50C92F"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3C42EABD"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6E342641"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61AC8465"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32600F6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34,120 hrs.;</w:t>
            </w:r>
          </w:p>
          <w:p w14:paraId="2A3BADC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$2,241,323</w:t>
            </w:r>
          </w:p>
        </w:tc>
      </w:tr>
      <w:tr w:rsidR="00EE07DD" w:rsidRPr="001A153B" w14:paraId="2846E31D" w14:textId="77777777" w:rsidTr="001A153B">
        <w:trPr>
          <w:cantSplit/>
          <w:trHeight w:val="469"/>
        </w:trPr>
        <w:tc>
          <w:tcPr>
            <w:tcW w:w="779" w:type="pct"/>
            <w:gridSpan w:val="2"/>
            <w:vAlign w:val="bottom"/>
          </w:tcPr>
          <w:p w14:paraId="34E041CC" w14:textId="77777777" w:rsidR="00EE07DD" w:rsidRPr="001A153B" w:rsidRDefault="00EE07DD" w:rsidP="00014369">
            <w:pPr>
              <w:spacing w:after="0" w:line="240" w:lineRule="auto"/>
              <w:rPr>
                <w:rFonts w:ascii="Times New Roman" w:hAnsi="Times New Roman" w:cs="Times New Roman"/>
                <w:i/>
                <w:sz w:val="26"/>
                <w:szCs w:val="26"/>
              </w:rPr>
            </w:pPr>
            <w:r w:rsidRPr="001A153B">
              <w:rPr>
                <w:rFonts w:ascii="Times New Roman" w:hAnsi="Times New Roman" w:cs="Times New Roman"/>
                <w:i/>
                <w:sz w:val="26"/>
                <w:szCs w:val="26"/>
              </w:rPr>
              <w:t>Sub-Total for Recordkeeping Reqs. for FERC-725G</w:t>
            </w:r>
          </w:p>
        </w:tc>
        <w:tc>
          <w:tcPr>
            <w:tcW w:w="767" w:type="pct"/>
            <w:vAlign w:val="bottom"/>
          </w:tcPr>
          <w:p w14:paraId="1A4901C2"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7DD5305C"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76AD4529"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70432CF4"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5C207E9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27,380 hrs.;</w:t>
            </w:r>
          </w:p>
          <w:p w14:paraId="65A5E4C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$1,072,653</w:t>
            </w:r>
          </w:p>
        </w:tc>
      </w:tr>
      <w:tr w:rsidR="00EE07DD" w:rsidRPr="001A153B" w14:paraId="1FADD4BE" w14:textId="77777777" w:rsidTr="001A153B">
        <w:trPr>
          <w:cantSplit/>
          <w:trHeight w:val="469"/>
        </w:trPr>
        <w:tc>
          <w:tcPr>
            <w:tcW w:w="779" w:type="pct"/>
            <w:gridSpan w:val="2"/>
            <w:vAlign w:val="bottom"/>
          </w:tcPr>
          <w:p w14:paraId="42839F2F" w14:textId="77777777" w:rsidR="00EE07DD" w:rsidRPr="001A153B" w:rsidRDefault="00EE07DD" w:rsidP="00014369">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Total Increase for FERC-725G</w:t>
            </w:r>
          </w:p>
        </w:tc>
        <w:tc>
          <w:tcPr>
            <w:tcW w:w="767" w:type="pct"/>
            <w:vAlign w:val="bottom"/>
          </w:tcPr>
          <w:p w14:paraId="4E7EAB22"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6C78281E"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58A7EEE6"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3D84CBE4"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2A8EB79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61,500 hrs.;</w:t>
            </w:r>
          </w:p>
          <w:p w14:paraId="40267D9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$3,313,976</w:t>
            </w:r>
          </w:p>
        </w:tc>
      </w:tr>
      <w:tr w:rsidR="00EE07DD" w:rsidRPr="001A153B" w14:paraId="7C229A86" w14:textId="77777777" w:rsidTr="00022939">
        <w:trPr>
          <w:cantSplit/>
          <w:trHeight w:val="469"/>
        </w:trPr>
        <w:tc>
          <w:tcPr>
            <w:tcW w:w="5000" w:type="pct"/>
            <w:gridSpan w:val="7"/>
            <w:vAlign w:val="bottom"/>
          </w:tcPr>
          <w:p w14:paraId="6AC7354B" w14:textId="77777777" w:rsidR="00EE07DD" w:rsidRPr="001A153B" w:rsidRDefault="00EE07DD" w:rsidP="00BB214B">
            <w:pPr>
              <w:spacing w:after="0" w:line="240" w:lineRule="auto"/>
              <w:rPr>
                <w:rFonts w:ascii="Times New Roman" w:hAnsi="Times New Roman" w:cs="Times New Roman"/>
                <w:sz w:val="26"/>
                <w:szCs w:val="26"/>
              </w:rPr>
            </w:pPr>
          </w:p>
          <w:p w14:paraId="775467E4" w14:textId="77777777" w:rsidR="00EE07DD" w:rsidRPr="001A153B" w:rsidRDefault="00EE07DD" w:rsidP="00BB214B">
            <w:pPr>
              <w:spacing w:after="0" w:line="240" w:lineRule="auto"/>
              <w:jc w:val="center"/>
              <w:rPr>
                <w:rFonts w:ascii="Times New Roman" w:hAnsi="Times New Roman" w:cs="Times New Roman"/>
                <w:b/>
                <w:sz w:val="26"/>
                <w:szCs w:val="26"/>
              </w:rPr>
            </w:pPr>
            <w:r w:rsidRPr="001A153B">
              <w:rPr>
                <w:rFonts w:ascii="Times New Roman" w:hAnsi="Times New Roman" w:cs="Times New Roman"/>
                <w:b/>
                <w:sz w:val="26"/>
                <w:szCs w:val="26"/>
              </w:rPr>
              <w:t>FERC-725Y (Reliability Standard PER-006-1)</w:t>
            </w:r>
            <w:r w:rsidRPr="001A153B">
              <w:rPr>
                <w:rFonts w:ascii="Times New Roman" w:hAnsi="Times New Roman" w:cs="Times New Roman"/>
                <w:b/>
                <w:sz w:val="26"/>
                <w:szCs w:val="26"/>
                <w:vertAlign w:val="superscript"/>
              </w:rPr>
              <w:footnoteReference w:id="28"/>
            </w:r>
          </w:p>
        </w:tc>
      </w:tr>
      <w:tr w:rsidR="00EE07DD" w:rsidRPr="001A153B" w14:paraId="5F5ED5D3" w14:textId="77777777" w:rsidTr="00EE07DD">
        <w:trPr>
          <w:cantSplit/>
          <w:trHeight w:val="469"/>
        </w:trPr>
        <w:tc>
          <w:tcPr>
            <w:tcW w:w="771" w:type="pct"/>
            <w:vAlign w:val="bottom"/>
          </w:tcPr>
          <w:p w14:paraId="568EFAE4"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GOP; Reporting Req. R1</w:t>
            </w:r>
          </w:p>
        </w:tc>
        <w:tc>
          <w:tcPr>
            <w:tcW w:w="776" w:type="pct"/>
            <w:gridSpan w:val="2"/>
            <w:vAlign w:val="bottom"/>
          </w:tcPr>
          <w:p w14:paraId="463BF28A"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776" w:type="pct"/>
            <w:vAlign w:val="bottom"/>
          </w:tcPr>
          <w:p w14:paraId="04D47FB0"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6733377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821" w:type="pct"/>
            <w:vAlign w:val="bottom"/>
          </w:tcPr>
          <w:p w14:paraId="32E3905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5 hrs.;</w:t>
            </w:r>
          </w:p>
          <w:p w14:paraId="5F26529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$328.45</w:t>
            </w:r>
          </w:p>
        </w:tc>
        <w:tc>
          <w:tcPr>
            <w:tcW w:w="1081" w:type="pct"/>
            <w:vAlign w:val="bottom"/>
          </w:tcPr>
          <w:p w14:paraId="5C3A7E8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4,720 hrs.;</w:t>
            </w:r>
          </w:p>
          <w:p w14:paraId="4B14286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$310,057</w:t>
            </w:r>
          </w:p>
        </w:tc>
      </w:tr>
      <w:tr w:rsidR="00EE07DD" w:rsidRPr="001A153B" w14:paraId="385F6AE7" w14:textId="77777777" w:rsidTr="00EE07DD">
        <w:trPr>
          <w:cantSplit/>
          <w:trHeight w:val="469"/>
        </w:trPr>
        <w:tc>
          <w:tcPr>
            <w:tcW w:w="771" w:type="pct"/>
            <w:vAlign w:val="bottom"/>
          </w:tcPr>
          <w:p w14:paraId="543DFAC2"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GOP; Recordkeeping Req.</w:t>
            </w:r>
          </w:p>
        </w:tc>
        <w:tc>
          <w:tcPr>
            <w:tcW w:w="776" w:type="pct"/>
            <w:gridSpan w:val="2"/>
            <w:vAlign w:val="bottom"/>
          </w:tcPr>
          <w:p w14:paraId="68C9CF0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776" w:type="pct"/>
            <w:vAlign w:val="bottom"/>
          </w:tcPr>
          <w:p w14:paraId="2117FE43"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3082051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821" w:type="pct"/>
            <w:vAlign w:val="bottom"/>
          </w:tcPr>
          <w:p w14:paraId="070A186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 hrs.;</w:t>
            </w:r>
          </w:p>
          <w:p w14:paraId="2956E11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$391.40</w:t>
            </w:r>
          </w:p>
        </w:tc>
        <w:tc>
          <w:tcPr>
            <w:tcW w:w="1081" w:type="pct"/>
            <w:vAlign w:val="bottom"/>
          </w:tcPr>
          <w:p w14:paraId="0506EA2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9,440 hrs.;</w:t>
            </w:r>
          </w:p>
          <w:p w14:paraId="7550D09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$369,482</w:t>
            </w:r>
          </w:p>
        </w:tc>
      </w:tr>
      <w:tr w:rsidR="00EE07DD" w:rsidRPr="001A153B" w14:paraId="55BEAF72" w14:textId="77777777" w:rsidTr="00EE07DD">
        <w:trPr>
          <w:cantSplit/>
          <w:trHeight w:val="469"/>
        </w:trPr>
        <w:tc>
          <w:tcPr>
            <w:tcW w:w="771" w:type="pct"/>
            <w:vAlign w:val="bottom"/>
          </w:tcPr>
          <w:p w14:paraId="3F94FA5B"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b/>
                <w:sz w:val="26"/>
                <w:szCs w:val="26"/>
              </w:rPr>
              <w:t>Total Increase for FERC-725Y</w:t>
            </w:r>
          </w:p>
        </w:tc>
        <w:tc>
          <w:tcPr>
            <w:tcW w:w="776" w:type="pct"/>
            <w:gridSpan w:val="2"/>
            <w:vAlign w:val="bottom"/>
          </w:tcPr>
          <w:p w14:paraId="5155581D"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52222F52"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047E2E04"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77B7FF08"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68BFBCD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14,160 hrs.;</w:t>
            </w:r>
          </w:p>
          <w:p w14:paraId="1EBD0D94"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$679,539</w:t>
            </w:r>
          </w:p>
        </w:tc>
      </w:tr>
      <w:tr w:rsidR="00EE07DD" w:rsidRPr="001A153B" w14:paraId="12747C9D" w14:textId="77777777" w:rsidTr="00022939">
        <w:trPr>
          <w:cantSplit/>
          <w:trHeight w:val="469"/>
        </w:trPr>
        <w:tc>
          <w:tcPr>
            <w:tcW w:w="5000" w:type="pct"/>
            <w:gridSpan w:val="7"/>
            <w:vAlign w:val="bottom"/>
          </w:tcPr>
          <w:p w14:paraId="0F5D8999" w14:textId="77777777" w:rsidR="00EE07DD" w:rsidRPr="001A153B" w:rsidRDefault="00EE07DD" w:rsidP="001A153B">
            <w:pPr>
              <w:spacing w:after="0" w:line="240" w:lineRule="auto"/>
              <w:jc w:val="center"/>
              <w:rPr>
                <w:rFonts w:ascii="Times New Roman" w:hAnsi="Times New Roman" w:cs="Times New Roman"/>
                <w:b/>
                <w:sz w:val="26"/>
                <w:szCs w:val="26"/>
              </w:rPr>
            </w:pPr>
            <w:r w:rsidRPr="001A153B">
              <w:rPr>
                <w:rFonts w:ascii="Times New Roman" w:hAnsi="Times New Roman" w:cs="Times New Roman"/>
                <w:b/>
                <w:sz w:val="26"/>
                <w:szCs w:val="26"/>
              </w:rPr>
              <w:t>Reductions to FERC-725A (retirement of Reliability Standard PRC-001-1.1</w:t>
            </w:r>
            <w:r w:rsidR="001B2950">
              <w:rPr>
                <w:rFonts w:ascii="Times New Roman" w:hAnsi="Times New Roman" w:cs="Times New Roman"/>
                <w:b/>
                <w:sz w:val="26"/>
                <w:szCs w:val="26"/>
              </w:rPr>
              <w:t>(ii)</w:t>
            </w:r>
            <w:r w:rsidRPr="001A153B">
              <w:rPr>
                <w:rFonts w:ascii="Times New Roman" w:hAnsi="Times New Roman" w:cs="Times New Roman"/>
                <w:b/>
                <w:sz w:val="26"/>
                <w:szCs w:val="26"/>
              </w:rPr>
              <w:t>)</w:t>
            </w:r>
            <w:r w:rsidRPr="001A153B">
              <w:rPr>
                <w:rFonts w:ascii="Times New Roman" w:hAnsi="Times New Roman" w:cs="Times New Roman"/>
                <w:sz w:val="26"/>
                <w:szCs w:val="26"/>
                <w:vertAlign w:val="superscript"/>
              </w:rPr>
              <w:footnoteReference w:id="29"/>
            </w:r>
          </w:p>
        </w:tc>
      </w:tr>
      <w:tr w:rsidR="00EE07DD" w:rsidRPr="001A153B" w14:paraId="7A52799B" w14:textId="77777777" w:rsidTr="00EE07DD">
        <w:trPr>
          <w:cantSplit/>
          <w:trHeight w:val="469"/>
        </w:trPr>
        <w:tc>
          <w:tcPr>
            <w:tcW w:w="771" w:type="pct"/>
            <w:vAlign w:val="bottom"/>
          </w:tcPr>
          <w:p w14:paraId="19DD5832"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GOP; Reporting Req. </w:t>
            </w:r>
          </w:p>
        </w:tc>
        <w:tc>
          <w:tcPr>
            <w:tcW w:w="776" w:type="pct"/>
            <w:gridSpan w:val="2"/>
            <w:vAlign w:val="bottom"/>
          </w:tcPr>
          <w:p w14:paraId="5B8D42B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776" w:type="pct"/>
            <w:vAlign w:val="bottom"/>
          </w:tcPr>
          <w:p w14:paraId="55463EE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02E8E404"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821" w:type="pct"/>
            <w:vAlign w:val="bottom"/>
          </w:tcPr>
          <w:p w14:paraId="3B801FB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40 hrs.;</w:t>
            </w:r>
          </w:p>
          <w:p w14:paraId="3D4E1E34"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$2,627.60</w:t>
            </w:r>
          </w:p>
        </w:tc>
        <w:tc>
          <w:tcPr>
            <w:tcW w:w="1081" w:type="pct"/>
            <w:vAlign w:val="bottom"/>
          </w:tcPr>
          <w:p w14:paraId="78E9967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37,760 hrs.;</w:t>
            </w:r>
          </w:p>
          <w:p w14:paraId="343F454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$2,480,454</w:t>
            </w:r>
          </w:p>
        </w:tc>
      </w:tr>
      <w:tr w:rsidR="00EE07DD" w:rsidRPr="001A153B" w14:paraId="62602DE1" w14:textId="77777777" w:rsidTr="00EE07DD">
        <w:trPr>
          <w:cantSplit/>
          <w:trHeight w:val="469"/>
        </w:trPr>
        <w:tc>
          <w:tcPr>
            <w:tcW w:w="771" w:type="pct"/>
            <w:vAlign w:val="bottom"/>
          </w:tcPr>
          <w:p w14:paraId="491018F5"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GOP; Recordkeeping Req. </w:t>
            </w:r>
          </w:p>
        </w:tc>
        <w:tc>
          <w:tcPr>
            <w:tcW w:w="776" w:type="pct"/>
            <w:gridSpan w:val="2"/>
            <w:vAlign w:val="bottom"/>
          </w:tcPr>
          <w:p w14:paraId="099A4D58"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776" w:type="pct"/>
            <w:vAlign w:val="bottom"/>
          </w:tcPr>
          <w:p w14:paraId="7F95D06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316807E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944</w:t>
            </w:r>
          </w:p>
        </w:tc>
        <w:tc>
          <w:tcPr>
            <w:tcW w:w="821" w:type="pct"/>
            <w:vAlign w:val="bottom"/>
          </w:tcPr>
          <w:p w14:paraId="7F04340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50 hrs.;</w:t>
            </w:r>
          </w:p>
          <w:p w14:paraId="5F4E090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 xml:space="preserve"> $1,957.00</w:t>
            </w:r>
          </w:p>
        </w:tc>
        <w:tc>
          <w:tcPr>
            <w:tcW w:w="1081" w:type="pct"/>
            <w:vAlign w:val="bottom"/>
          </w:tcPr>
          <w:p w14:paraId="4FBE1D40"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47,200 hrs.;</w:t>
            </w:r>
          </w:p>
          <w:p w14:paraId="4B74FEC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$1,847,408</w:t>
            </w:r>
          </w:p>
        </w:tc>
      </w:tr>
      <w:tr w:rsidR="00EE07DD" w:rsidRPr="001A153B" w14:paraId="6D4C9AA8" w14:textId="77777777" w:rsidTr="00EE07DD">
        <w:trPr>
          <w:cantSplit/>
          <w:trHeight w:val="469"/>
        </w:trPr>
        <w:tc>
          <w:tcPr>
            <w:tcW w:w="771" w:type="pct"/>
            <w:vAlign w:val="bottom"/>
          </w:tcPr>
          <w:p w14:paraId="1ECCF30C"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TOP; Reporting Req. </w:t>
            </w:r>
          </w:p>
        </w:tc>
        <w:tc>
          <w:tcPr>
            <w:tcW w:w="776" w:type="pct"/>
            <w:gridSpan w:val="2"/>
            <w:vAlign w:val="bottom"/>
          </w:tcPr>
          <w:p w14:paraId="3794D2D3"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176</w:t>
            </w:r>
          </w:p>
        </w:tc>
        <w:tc>
          <w:tcPr>
            <w:tcW w:w="776" w:type="pct"/>
            <w:vAlign w:val="bottom"/>
          </w:tcPr>
          <w:p w14:paraId="6368BCB8"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441CD76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176</w:t>
            </w:r>
          </w:p>
        </w:tc>
        <w:tc>
          <w:tcPr>
            <w:tcW w:w="821" w:type="pct"/>
            <w:vAlign w:val="bottom"/>
          </w:tcPr>
          <w:p w14:paraId="21806E3A"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60 hrs.;</w:t>
            </w:r>
          </w:p>
          <w:p w14:paraId="5711587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$3,941.40</w:t>
            </w:r>
          </w:p>
        </w:tc>
        <w:tc>
          <w:tcPr>
            <w:tcW w:w="1081" w:type="pct"/>
            <w:vAlign w:val="bottom"/>
          </w:tcPr>
          <w:p w14:paraId="4F7B022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10,560 hrs.;</w:t>
            </w:r>
          </w:p>
          <w:p w14:paraId="3D0E6BD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$693,686</w:t>
            </w:r>
          </w:p>
        </w:tc>
      </w:tr>
      <w:tr w:rsidR="00EE07DD" w:rsidRPr="001A153B" w14:paraId="23EC7892" w14:textId="77777777" w:rsidTr="00EE07DD">
        <w:trPr>
          <w:cantSplit/>
          <w:trHeight w:val="469"/>
        </w:trPr>
        <w:tc>
          <w:tcPr>
            <w:tcW w:w="771" w:type="pct"/>
            <w:vAlign w:val="bottom"/>
          </w:tcPr>
          <w:p w14:paraId="2ED600AA"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TOP; Recordkeeping Req. </w:t>
            </w:r>
          </w:p>
        </w:tc>
        <w:tc>
          <w:tcPr>
            <w:tcW w:w="776" w:type="pct"/>
            <w:gridSpan w:val="2"/>
            <w:vAlign w:val="bottom"/>
          </w:tcPr>
          <w:p w14:paraId="62E4474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176</w:t>
            </w:r>
          </w:p>
        </w:tc>
        <w:tc>
          <w:tcPr>
            <w:tcW w:w="776" w:type="pct"/>
            <w:vAlign w:val="bottom"/>
          </w:tcPr>
          <w:p w14:paraId="6A907B7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43DD4EE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176</w:t>
            </w:r>
          </w:p>
        </w:tc>
        <w:tc>
          <w:tcPr>
            <w:tcW w:w="821" w:type="pct"/>
            <w:vAlign w:val="bottom"/>
          </w:tcPr>
          <w:p w14:paraId="1C2A045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70 hrs.;</w:t>
            </w:r>
          </w:p>
          <w:p w14:paraId="12F5251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$2,739.80</w:t>
            </w:r>
          </w:p>
        </w:tc>
        <w:tc>
          <w:tcPr>
            <w:tcW w:w="1081" w:type="pct"/>
            <w:vAlign w:val="bottom"/>
          </w:tcPr>
          <w:p w14:paraId="619CD8F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12,320 hrs.;</w:t>
            </w:r>
          </w:p>
          <w:p w14:paraId="593D68D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$482,205</w:t>
            </w:r>
          </w:p>
        </w:tc>
      </w:tr>
      <w:tr w:rsidR="00EE07DD" w:rsidRPr="001A153B" w14:paraId="479D9D31" w14:textId="77777777" w:rsidTr="00EE07DD">
        <w:trPr>
          <w:cantSplit/>
          <w:trHeight w:val="469"/>
        </w:trPr>
        <w:tc>
          <w:tcPr>
            <w:tcW w:w="771" w:type="pct"/>
            <w:vAlign w:val="bottom"/>
          </w:tcPr>
          <w:p w14:paraId="41DA38CE"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BA; Reporting Req. </w:t>
            </w:r>
          </w:p>
        </w:tc>
        <w:tc>
          <w:tcPr>
            <w:tcW w:w="776" w:type="pct"/>
            <w:gridSpan w:val="2"/>
            <w:vAlign w:val="bottom"/>
          </w:tcPr>
          <w:p w14:paraId="6BC2006A"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99</w:t>
            </w:r>
          </w:p>
        </w:tc>
        <w:tc>
          <w:tcPr>
            <w:tcW w:w="776" w:type="pct"/>
            <w:vAlign w:val="bottom"/>
          </w:tcPr>
          <w:p w14:paraId="0C96CA96"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0FE69B83"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99</w:t>
            </w:r>
          </w:p>
        </w:tc>
        <w:tc>
          <w:tcPr>
            <w:tcW w:w="821" w:type="pct"/>
            <w:vAlign w:val="bottom"/>
          </w:tcPr>
          <w:p w14:paraId="1CE89ADA"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32 hrs.;</w:t>
            </w:r>
          </w:p>
          <w:p w14:paraId="228961C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$2,102.08</w:t>
            </w:r>
          </w:p>
        </w:tc>
        <w:tc>
          <w:tcPr>
            <w:tcW w:w="1081" w:type="pct"/>
            <w:vAlign w:val="bottom"/>
          </w:tcPr>
          <w:p w14:paraId="0B780AAC"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3,168 hrs.;</w:t>
            </w:r>
          </w:p>
          <w:p w14:paraId="173E2EF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$208,106</w:t>
            </w:r>
          </w:p>
        </w:tc>
      </w:tr>
      <w:tr w:rsidR="00EE07DD" w:rsidRPr="001A153B" w14:paraId="32A9944C" w14:textId="77777777" w:rsidTr="00EE07DD">
        <w:trPr>
          <w:cantSplit/>
          <w:trHeight w:val="469"/>
        </w:trPr>
        <w:tc>
          <w:tcPr>
            <w:tcW w:w="771" w:type="pct"/>
            <w:vAlign w:val="bottom"/>
          </w:tcPr>
          <w:p w14:paraId="04A42F41"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BA; Recordkeeping Req. </w:t>
            </w:r>
          </w:p>
        </w:tc>
        <w:tc>
          <w:tcPr>
            <w:tcW w:w="776" w:type="pct"/>
            <w:gridSpan w:val="2"/>
            <w:vAlign w:val="bottom"/>
          </w:tcPr>
          <w:p w14:paraId="29B58AE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99</w:t>
            </w:r>
          </w:p>
        </w:tc>
        <w:tc>
          <w:tcPr>
            <w:tcW w:w="776" w:type="pct"/>
            <w:vAlign w:val="bottom"/>
          </w:tcPr>
          <w:p w14:paraId="349ECC42"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w:t>
            </w:r>
          </w:p>
        </w:tc>
        <w:tc>
          <w:tcPr>
            <w:tcW w:w="775" w:type="pct"/>
            <w:vAlign w:val="bottom"/>
          </w:tcPr>
          <w:p w14:paraId="4B0EE1F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99</w:t>
            </w:r>
          </w:p>
        </w:tc>
        <w:tc>
          <w:tcPr>
            <w:tcW w:w="821" w:type="pct"/>
            <w:vAlign w:val="bottom"/>
          </w:tcPr>
          <w:p w14:paraId="15004A8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20 hrs.;</w:t>
            </w:r>
          </w:p>
          <w:p w14:paraId="4736F50E"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$782.80</w:t>
            </w:r>
          </w:p>
        </w:tc>
        <w:tc>
          <w:tcPr>
            <w:tcW w:w="1081" w:type="pct"/>
            <w:vAlign w:val="bottom"/>
          </w:tcPr>
          <w:p w14:paraId="2263EAC9"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1,980 hrs.;</w:t>
            </w:r>
          </w:p>
          <w:p w14:paraId="6E32EC8B"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$77,497</w:t>
            </w:r>
          </w:p>
        </w:tc>
      </w:tr>
      <w:tr w:rsidR="00EE07DD" w:rsidRPr="001A153B" w14:paraId="5A54E5D7" w14:textId="77777777" w:rsidTr="00EE07DD">
        <w:trPr>
          <w:cantSplit/>
          <w:trHeight w:val="469"/>
        </w:trPr>
        <w:tc>
          <w:tcPr>
            <w:tcW w:w="771" w:type="pct"/>
            <w:vAlign w:val="bottom"/>
          </w:tcPr>
          <w:p w14:paraId="2EAAEE91"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i/>
                <w:sz w:val="26"/>
                <w:szCs w:val="26"/>
              </w:rPr>
              <w:t>Reduction Sub-Total Reporting Reqs. for FERC-725A</w:t>
            </w:r>
          </w:p>
        </w:tc>
        <w:tc>
          <w:tcPr>
            <w:tcW w:w="776" w:type="pct"/>
            <w:gridSpan w:val="2"/>
            <w:vAlign w:val="bottom"/>
          </w:tcPr>
          <w:p w14:paraId="6E8F0B09"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00A75AB9"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2F5027D3"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3114A179"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7F83596F"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51,484 hrs.;</w:t>
            </w:r>
          </w:p>
          <w:p w14:paraId="6D0B01E7"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$3,382,246</w:t>
            </w:r>
          </w:p>
        </w:tc>
      </w:tr>
      <w:tr w:rsidR="00EE07DD" w:rsidRPr="001A153B" w14:paraId="44269956" w14:textId="77777777" w:rsidTr="00EE07DD">
        <w:trPr>
          <w:cantSplit/>
          <w:trHeight w:val="469"/>
        </w:trPr>
        <w:tc>
          <w:tcPr>
            <w:tcW w:w="771" w:type="pct"/>
            <w:vAlign w:val="bottom"/>
          </w:tcPr>
          <w:p w14:paraId="06024ABE"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i/>
                <w:sz w:val="26"/>
                <w:szCs w:val="26"/>
              </w:rPr>
              <w:t>Reduction Sub-Total Recordkeeping Reqs. for FERC-725A</w:t>
            </w:r>
          </w:p>
        </w:tc>
        <w:tc>
          <w:tcPr>
            <w:tcW w:w="776" w:type="pct"/>
            <w:gridSpan w:val="2"/>
            <w:vAlign w:val="bottom"/>
          </w:tcPr>
          <w:p w14:paraId="20FA0223"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3230CB83"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14FC2F6B"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29B3D2A5"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72A4D550"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61,500 hrs.;</w:t>
            </w:r>
          </w:p>
          <w:p w14:paraId="389841F1"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$2,407,110</w:t>
            </w:r>
          </w:p>
        </w:tc>
      </w:tr>
      <w:tr w:rsidR="00EE07DD" w:rsidRPr="001A153B" w14:paraId="1BD366C5" w14:textId="77777777" w:rsidTr="00EE07DD">
        <w:trPr>
          <w:cantSplit/>
          <w:trHeight w:val="469"/>
        </w:trPr>
        <w:tc>
          <w:tcPr>
            <w:tcW w:w="771" w:type="pct"/>
            <w:vAlign w:val="bottom"/>
          </w:tcPr>
          <w:p w14:paraId="17D54978" w14:textId="77777777" w:rsidR="00EE07DD" w:rsidRPr="001A153B" w:rsidRDefault="00EE07DD" w:rsidP="001A153B">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ReductionSub-Total for FERC-725A</w:t>
            </w:r>
          </w:p>
        </w:tc>
        <w:tc>
          <w:tcPr>
            <w:tcW w:w="776" w:type="pct"/>
            <w:gridSpan w:val="2"/>
            <w:vAlign w:val="bottom"/>
          </w:tcPr>
          <w:p w14:paraId="6C70302C"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6" w:type="pct"/>
            <w:vAlign w:val="bottom"/>
          </w:tcPr>
          <w:p w14:paraId="26F4EEF0"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775" w:type="pct"/>
            <w:vAlign w:val="bottom"/>
          </w:tcPr>
          <w:p w14:paraId="1D7F36D8"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821" w:type="pct"/>
            <w:vAlign w:val="bottom"/>
          </w:tcPr>
          <w:p w14:paraId="3467C526" w14:textId="77777777" w:rsidR="00EE07DD" w:rsidRPr="001A153B" w:rsidRDefault="00EE07DD" w:rsidP="001A153B">
            <w:pPr>
              <w:spacing w:after="0" w:line="240" w:lineRule="auto"/>
              <w:jc w:val="right"/>
              <w:rPr>
                <w:rFonts w:ascii="Times New Roman" w:hAnsi="Times New Roman" w:cs="Times New Roman"/>
                <w:sz w:val="26"/>
                <w:szCs w:val="26"/>
              </w:rPr>
            </w:pPr>
          </w:p>
        </w:tc>
        <w:tc>
          <w:tcPr>
            <w:tcW w:w="1081" w:type="pct"/>
            <w:vAlign w:val="bottom"/>
          </w:tcPr>
          <w:p w14:paraId="0C0323FD"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112,984 hrs.;</w:t>
            </w:r>
          </w:p>
          <w:p w14:paraId="6F886AF0"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$5,789,356</w:t>
            </w:r>
          </w:p>
          <w:p w14:paraId="5F7B64B5" w14:textId="77777777" w:rsidR="00EE07DD" w:rsidRPr="001A153B" w:rsidRDefault="00EE07DD" w:rsidP="001A153B">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(reduction)</w:t>
            </w:r>
          </w:p>
        </w:tc>
      </w:tr>
      <w:tr w:rsidR="00EE07DD" w:rsidRPr="001A153B" w14:paraId="2A61D7B6" w14:textId="77777777" w:rsidTr="00EE07DD">
        <w:trPr>
          <w:cantSplit/>
          <w:trHeight w:val="469"/>
        </w:trPr>
        <w:tc>
          <w:tcPr>
            <w:tcW w:w="771" w:type="pct"/>
            <w:vAlign w:val="bottom"/>
          </w:tcPr>
          <w:p w14:paraId="181A6671" w14:textId="77777777" w:rsidR="00EE07DD" w:rsidRPr="001A153B" w:rsidRDefault="00EE07DD" w:rsidP="001A153B">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NET TOTAL REDUCTION FOR CHANGES IN RM16-22-000</w:t>
            </w:r>
          </w:p>
        </w:tc>
        <w:tc>
          <w:tcPr>
            <w:tcW w:w="776" w:type="pct"/>
            <w:gridSpan w:val="2"/>
            <w:shd w:val="clear" w:color="auto" w:fill="BFBFBF"/>
            <w:vAlign w:val="bottom"/>
          </w:tcPr>
          <w:p w14:paraId="47D8AC7B" w14:textId="77777777" w:rsidR="00EE07DD" w:rsidRPr="001A153B" w:rsidRDefault="00EE07DD" w:rsidP="001A153B">
            <w:pPr>
              <w:spacing w:after="0" w:line="240" w:lineRule="auto"/>
              <w:jc w:val="right"/>
              <w:rPr>
                <w:rFonts w:ascii="Times New Roman" w:hAnsi="Times New Roman" w:cs="Times New Roman"/>
                <w:b/>
                <w:sz w:val="26"/>
                <w:szCs w:val="26"/>
              </w:rPr>
            </w:pPr>
          </w:p>
        </w:tc>
        <w:tc>
          <w:tcPr>
            <w:tcW w:w="776" w:type="pct"/>
            <w:shd w:val="clear" w:color="auto" w:fill="BFBFBF"/>
            <w:vAlign w:val="bottom"/>
          </w:tcPr>
          <w:p w14:paraId="5E5DC3B2" w14:textId="77777777" w:rsidR="00EE07DD" w:rsidRPr="001A153B" w:rsidRDefault="00EE07DD" w:rsidP="001A153B">
            <w:pPr>
              <w:spacing w:after="0" w:line="240" w:lineRule="auto"/>
              <w:jc w:val="right"/>
              <w:rPr>
                <w:rFonts w:ascii="Times New Roman" w:hAnsi="Times New Roman" w:cs="Times New Roman"/>
                <w:b/>
                <w:sz w:val="26"/>
                <w:szCs w:val="26"/>
              </w:rPr>
            </w:pPr>
          </w:p>
        </w:tc>
        <w:tc>
          <w:tcPr>
            <w:tcW w:w="775" w:type="pct"/>
            <w:shd w:val="clear" w:color="auto" w:fill="D9D9D9"/>
            <w:vAlign w:val="bottom"/>
          </w:tcPr>
          <w:p w14:paraId="4E297BC6" w14:textId="77777777" w:rsidR="00EE07DD" w:rsidRPr="001A153B" w:rsidRDefault="00EE07DD" w:rsidP="001A153B">
            <w:pPr>
              <w:spacing w:after="0" w:line="240" w:lineRule="auto"/>
              <w:jc w:val="right"/>
              <w:rPr>
                <w:rFonts w:ascii="Times New Roman" w:hAnsi="Times New Roman" w:cs="Times New Roman"/>
                <w:b/>
                <w:sz w:val="26"/>
                <w:szCs w:val="26"/>
              </w:rPr>
            </w:pPr>
          </w:p>
        </w:tc>
        <w:tc>
          <w:tcPr>
            <w:tcW w:w="821" w:type="pct"/>
            <w:shd w:val="clear" w:color="auto" w:fill="BFBFBF"/>
            <w:vAlign w:val="bottom"/>
          </w:tcPr>
          <w:p w14:paraId="287E3B4A" w14:textId="77777777" w:rsidR="00EE07DD" w:rsidRPr="001A153B" w:rsidRDefault="00EE07DD" w:rsidP="001A153B">
            <w:pPr>
              <w:spacing w:after="0" w:line="240" w:lineRule="auto"/>
              <w:jc w:val="right"/>
              <w:rPr>
                <w:rFonts w:ascii="Times New Roman" w:hAnsi="Times New Roman" w:cs="Times New Roman"/>
                <w:b/>
                <w:sz w:val="26"/>
                <w:szCs w:val="26"/>
              </w:rPr>
            </w:pPr>
          </w:p>
        </w:tc>
        <w:tc>
          <w:tcPr>
            <w:tcW w:w="1081" w:type="pct"/>
            <w:vAlign w:val="bottom"/>
          </w:tcPr>
          <w:p w14:paraId="0DB54FFE" w14:textId="77777777" w:rsidR="00EE07DD" w:rsidRPr="001A153B" w:rsidRDefault="00EE07DD" w:rsidP="001A153B">
            <w:pPr>
              <w:spacing w:after="0" w:line="240" w:lineRule="auto"/>
              <w:jc w:val="right"/>
              <w:rPr>
                <w:rFonts w:ascii="Times New Roman" w:hAnsi="Times New Roman" w:cs="Times New Roman"/>
                <w:b/>
                <w:sz w:val="26"/>
                <w:szCs w:val="26"/>
              </w:rPr>
            </w:pPr>
            <w:r w:rsidRPr="001A153B">
              <w:rPr>
                <w:rFonts w:ascii="Times New Roman" w:hAnsi="Times New Roman" w:cs="Times New Roman"/>
                <w:b/>
                <w:sz w:val="26"/>
                <w:szCs w:val="26"/>
              </w:rPr>
              <w:t>37,324 hrs.;</w:t>
            </w:r>
          </w:p>
          <w:p w14:paraId="7FCA6909" w14:textId="77777777" w:rsidR="00EE07DD" w:rsidRPr="001A153B" w:rsidRDefault="00EE07DD" w:rsidP="001A153B">
            <w:pPr>
              <w:spacing w:after="0" w:line="240" w:lineRule="auto"/>
              <w:jc w:val="right"/>
              <w:rPr>
                <w:rFonts w:ascii="Times New Roman" w:hAnsi="Times New Roman" w:cs="Times New Roman"/>
                <w:b/>
                <w:sz w:val="26"/>
                <w:szCs w:val="26"/>
              </w:rPr>
            </w:pPr>
            <w:r w:rsidRPr="001A153B">
              <w:rPr>
                <w:rFonts w:ascii="Times New Roman" w:hAnsi="Times New Roman" w:cs="Times New Roman"/>
                <w:b/>
                <w:sz w:val="26"/>
                <w:szCs w:val="26"/>
              </w:rPr>
              <w:t>$1,795,841</w:t>
            </w:r>
          </w:p>
          <w:p w14:paraId="132C6D17" w14:textId="77777777" w:rsidR="00EE07DD" w:rsidRPr="001A153B" w:rsidRDefault="00EE07DD" w:rsidP="001A153B">
            <w:pPr>
              <w:spacing w:after="0" w:line="240" w:lineRule="auto"/>
              <w:jc w:val="right"/>
              <w:rPr>
                <w:rFonts w:ascii="Times New Roman" w:hAnsi="Times New Roman" w:cs="Times New Roman"/>
                <w:b/>
                <w:sz w:val="26"/>
                <w:szCs w:val="26"/>
              </w:rPr>
            </w:pPr>
            <w:r w:rsidRPr="001A153B">
              <w:rPr>
                <w:rFonts w:ascii="Times New Roman" w:hAnsi="Times New Roman" w:cs="Times New Roman"/>
                <w:b/>
                <w:sz w:val="26"/>
                <w:szCs w:val="26"/>
              </w:rPr>
              <w:t>(reduction)</w:t>
            </w:r>
          </w:p>
        </w:tc>
      </w:tr>
    </w:tbl>
    <w:p w14:paraId="3BCFCE9C" w14:textId="77777777" w:rsidR="00E829BB" w:rsidRDefault="00E829BB" w:rsidP="00F81B09">
      <w:pPr>
        <w:spacing w:after="0" w:line="240" w:lineRule="auto"/>
        <w:ind w:left="360"/>
        <w:rPr>
          <w:rFonts w:ascii="Times New Roman" w:hAnsi="Times New Roman" w:cs="Times New Roman"/>
          <w:b/>
          <w:sz w:val="26"/>
          <w:szCs w:val="26"/>
        </w:rPr>
      </w:pPr>
    </w:p>
    <w:p w14:paraId="069D181E" w14:textId="719024EE" w:rsidR="00EE07DD" w:rsidRPr="00FB148F" w:rsidRDefault="00EE07DD" w:rsidP="00FB148F">
      <w:pPr>
        <w:numPr>
          <w:ilvl w:val="0"/>
          <w:numId w:val="2"/>
        </w:numPr>
        <w:spacing w:after="0" w:line="240" w:lineRule="auto"/>
        <w:rPr>
          <w:rFonts w:ascii="Times New Roman" w:hAnsi="Times New Roman" w:cs="Times New Roman"/>
          <w:b/>
          <w:sz w:val="26"/>
          <w:szCs w:val="26"/>
        </w:rPr>
      </w:pPr>
      <w:r w:rsidRPr="00FB148F">
        <w:rPr>
          <w:rFonts w:ascii="Times New Roman" w:hAnsi="Times New Roman" w:cs="Times New Roman"/>
          <w:b/>
          <w:sz w:val="26"/>
          <w:szCs w:val="26"/>
        </w:rPr>
        <w:t>ESTIMATE OF THE TOTAL ANNUAL COST BURDEN TO RESPONDENTS</w:t>
      </w:r>
    </w:p>
    <w:p w14:paraId="53B2F6D0" w14:textId="77777777" w:rsidR="00EE07DD" w:rsidRPr="00FB148F" w:rsidRDefault="00EE07DD" w:rsidP="00F81B09">
      <w:pPr>
        <w:spacing w:after="0" w:line="240" w:lineRule="auto"/>
        <w:ind w:left="360"/>
        <w:rPr>
          <w:rFonts w:ascii="Times New Roman" w:hAnsi="Times New Roman" w:cs="Times New Roman"/>
          <w:sz w:val="26"/>
          <w:szCs w:val="26"/>
        </w:rPr>
      </w:pPr>
    </w:p>
    <w:p w14:paraId="13B36115" w14:textId="3E1EF608"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There is no start-up, capital, or other non-labor hour cost associated with the PRA aspects of this </w:t>
      </w:r>
      <w:r w:rsidR="00460C6A" w:rsidRPr="001A153B">
        <w:rPr>
          <w:rFonts w:ascii="Times New Roman" w:hAnsi="Times New Roman" w:cs="Times New Roman"/>
          <w:sz w:val="26"/>
          <w:szCs w:val="26"/>
        </w:rPr>
        <w:t>F</w:t>
      </w:r>
      <w:r w:rsidR="006D6BF7" w:rsidRPr="001A153B">
        <w:rPr>
          <w:rFonts w:ascii="Times New Roman" w:hAnsi="Times New Roman" w:cs="Times New Roman"/>
          <w:sz w:val="26"/>
          <w:szCs w:val="26"/>
        </w:rPr>
        <w:t>inal Rule</w:t>
      </w:r>
      <w:r w:rsidRPr="001A153B">
        <w:rPr>
          <w:rFonts w:ascii="Times New Roman" w:hAnsi="Times New Roman" w:cs="Times New Roman"/>
          <w:sz w:val="26"/>
          <w:szCs w:val="26"/>
        </w:rPr>
        <w:t xml:space="preserve"> in RM16-22</w:t>
      </w:r>
      <w:r w:rsidR="00022939">
        <w:rPr>
          <w:rFonts w:ascii="Times New Roman" w:hAnsi="Times New Roman" w:cs="Times New Roman"/>
          <w:sz w:val="26"/>
          <w:szCs w:val="26"/>
        </w:rPr>
        <w:t>. A</w:t>
      </w:r>
      <w:r w:rsidRPr="001A153B">
        <w:rPr>
          <w:rFonts w:ascii="Times New Roman" w:hAnsi="Times New Roman" w:cs="Times New Roman"/>
          <w:sz w:val="26"/>
          <w:szCs w:val="26"/>
        </w:rPr>
        <w:t xml:space="preserve">ll costs are associated with burden hours and are addressed in Questions 12 and 15.  </w:t>
      </w:r>
    </w:p>
    <w:p w14:paraId="63A01C19" w14:textId="77777777" w:rsidR="00EE07DD" w:rsidRPr="001A153B" w:rsidRDefault="00EE07DD" w:rsidP="001A153B">
      <w:pPr>
        <w:spacing w:after="0" w:line="240" w:lineRule="auto"/>
        <w:rPr>
          <w:rFonts w:ascii="Times New Roman" w:hAnsi="Times New Roman" w:cs="Times New Roman"/>
          <w:sz w:val="26"/>
          <w:szCs w:val="26"/>
        </w:rPr>
      </w:pPr>
    </w:p>
    <w:p w14:paraId="1062D123" w14:textId="77777777" w:rsidR="00EE07DD" w:rsidRPr="001A153B" w:rsidRDefault="00EE07DD" w:rsidP="001A153B">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ESTIMATED ANNUALIZED COST TO FEDERAL GOVERNMENT</w:t>
      </w:r>
    </w:p>
    <w:p w14:paraId="39FDEE54" w14:textId="77777777" w:rsidR="00EE07DD" w:rsidRPr="001A153B" w:rsidRDefault="00EE07DD" w:rsidP="001A153B">
      <w:pPr>
        <w:spacing w:after="0" w:line="240" w:lineRule="auto"/>
        <w:rPr>
          <w:rFonts w:ascii="Times New Roman" w:hAnsi="Times New Roman" w:cs="Times New Roman"/>
          <w:sz w:val="26"/>
          <w:szCs w:val="26"/>
        </w:rPr>
      </w:pPr>
    </w:p>
    <w:p w14:paraId="5DACD259"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14:paraId="4A0E8543" w14:textId="77777777" w:rsidR="00EE07DD" w:rsidRPr="001A153B" w:rsidRDefault="00EE07DD" w:rsidP="001A153B">
      <w:pPr>
        <w:spacing w:after="0" w:line="240" w:lineRule="auto"/>
        <w:rPr>
          <w:rFonts w:ascii="Times New Roman" w:hAnsi="Times New Roman" w:cs="Times New Roman"/>
          <w:sz w:val="26"/>
          <w:szCs w:val="26"/>
        </w:rPr>
      </w:pPr>
    </w:p>
    <w:p w14:paraId="2A1B2885" w14:textId="143487DE"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The PRA Administrative  Cost (estimate of $5,723 per collection annually) is a Federal Cost associated with preparing, issuing, and submitting materials necessary to comply with the Paperwork Reduction Act of 1995 (PRA) for rulemakings, orders, or any other vehicle used to create, modify, extend, or discontinue an information collection.  This average annual cost includes requests for extensions, all associated rulemakings or orders, and other changes to the collection</w:t>
      </w:r>
      <w:r w:rsidR="003706A1">
        <w:rPr>
          <w:rFonts w:ascii="Times New Roman" w:hAnsi="Times New Roman" w:cs="Times New Roman"/>
          <w:sz w:val="26"/>
          <w:szCs w:val="26"/>
        </w:rPr>
        <w:t>, as well as necessary publications in the Federal Register</w:t>
      </w:r>
      <w:r w:rsidRPr="001A153B">
        <w:rPr>
          <w:rFonts w:ascii="Times New Roman" w:hAnsi="Times New Roman" w:cs="Times New Roman"/>
          <w:sz w:val="26"/>
          <w:szCs w:val="26"/>
        </w:rPr>
        <w:t xml:space="preserve">. </w:t>
      </w:r>
    </w:p>
    <w:p w14:paraId="6EEE2D3C" w14:textId="77777777" w:rsidR="00EE07DD" w:rsidRPr="001A153B" w:rsidRDefault="00EE07DD" w:rsidP="001A153B">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EE07DD" w:rsidRPr="001A153B" w14:paraId="5B5BCD67" w14:textId="77777777" w:rsidTr="00022939">
        <w:tc>
          <w:tcPr>
            <w:tcW w:w="3182" w:type="dxa"/>
            <w:tcBorders>
              <w:top w:val="single" w:sz="4" w:space="0" w:color="auto"/>
              <w:left w:val="single" w:sz="4" w:space="0" w:color="auto"/>
              <w:bottom w:val="single" w:sz="4" w:space="0" w:color="auto"/>
              <w:right w:val="single" w:sz="4" w:space="0" w:color="auto"/>
            </w:tcBorders>
            <w:shd w:val="clear" w:color="auto" w:fill="CCCCCC"/>
          </w:tcPr>
          <w:p w14:paraId="424A5C78" w14:textId="77777777" w:rsidR="00EE07DD" w:rsidRPr="001A153B" w:rsidRDefault="00EE07DD" w:rsidP="001A153B">
            <w:pPr>
              <w:spacing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9CA433B"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F820DE5"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Estimated Annual Federal Cost</w:t>
            </w:r>
          </w:p>
        </w:tc>
      </w:tr>
      <w:tr w:rsidR="00EE07DD" w:rsidRPr="001A153B" w14:paraId="225D7FAA" w14:textId="77777777" w:rsidTr="00022939">
        <w:tc>
          <w:tcPr>
            <w:tcW w:w="3182" w:type="dxa"/>
            <w:tcBorders>
              <w:top w:val="single" w:sz="4" w:space="0" w:color="auto"/>
              <w:left w:val="single" w:sz="4" w:space="0" w:color="auto"/>
              <w:bottom w:val="single" w:sz="4" w:space="0" w:color="auto"/>
              <w:right w:val="single" w:sz="4" w:space="0" w:color="auto"/>
            </w:tcBorders>
            <w:hideMark/>
          </w:tcPr>
          <w:p w14:paraId="6BE3BFA2" w14:textId="77777777" w:rsidR="00EE07DD" w:rsidRPr="001A153B" w:rsidRDefault="00EE07DD" w:rsidP="001A153B">
            <w:pPr>
              <w:spacing w:line="240" w:lineRule="auto"/>
              <w:rPr>
                <w:rFonts w:ascii="Times New Roman" w:hAnsi="Times New Roman" w:cs="Times New Roman"/>
                <w:sz w:val="26"/>
                <w:szCs w:val="26"/>
              </w:rPr>
            </w:pPr>
            <w:r w:rsidRPr="001A153B">
              <w:rPr>
                <w:rFonts w:ascii="Times New Roman" w:hAnsi="Times New Roman" w:cs="Times New Roman"/>
                <w:sz w:val="26"/>
                <w:szCs w:val="26"/>
              </w:rPr>
              <w:t>Analysis and Processing of filings</w:t>
            </w:r>
            <w:r w:rsidRPr="001A153B">
              <w:rPr>
                <w:rFonts w:ascii="Times New Roman" w:hAnsi="Times New Roman" w:cs="Times New Roman"/>
                <w:sz w:val="26"/>
                <w:szCs w:val="26"/>
                <w:vertAlign w:val="superscript"/>
              </w:rPr>
              <w:footnoteReference w:id="30"/>
            </w:r>
          </w:p>
        </w:tc>
        <w:tc>
          <w:tcPr>
            <w:tcW w:w="3201" w:type="dxa"/>
            <w:tcBorders>
              <w:top w:val="single" w:sz="4" w:space="0" w:color="auto"/>
              <w:left w:val="single" w:sz="4" w:space="0" w:color="auto"/>
              <w:bottom w:val="single" w:sz="4" w:space="0" w:color="auto"/>
              <w:right w:val="single" w:sz="4" w:space="0" w:color="auto"/>
            </w:tcBorders>
            <w:vAlign w:val="bottom"/>
            <w:hideMark/>
          </w:tcPr>
          <w:p w14:paraId="1B3B942D"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57B05298"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 xml:space="preserve">0  </w:t>
            </w:r>
          </w:p>
        </w:tc>
      </w:tr>
      <w:tr w:rsidR="00EE07DD" w:rsidRPr="001A153B" w14:paraId="34D3196B" w14:textId="77777777" w:rsidTr="00022939">
        <w:tc>
          <w:tcPr>
            <w:tcW w:w="3182" w:type="dxa"/>
            <w:tcBorders>
              <w:top w:val="single" w:sz="4" w:space="0" w:color="auto"/>
              <w:left w:val="single" w:sz="4" w:space="0" w:color="auto"/>
              <w:bottom w:val="single" w:sz="4" w:space="0" w:color="auto"/>
              <w:right w:val="single" w:sz="4" w:space="0" w:color="auto"/>
            </w:tcBorders>
            <w:hideMark/>
          </w:tcPr>
          <w:p w14:paraId="77F76C8E" w14:textId="464DA1B9" w:rsidR="00EE07DD" w:rsidRPr="001A153B" w:rsidRDefault="00EE07DD" w:rsidP="00232F79">
            <w:pPr>
              <w:spacing w:line="240" w:lineRule="auto"/>
              <w:rPr>
                <w:rFonts w:ascii="Times New Roman" w:hAnsi="Times New Roman" w:cs="Times New Roman"/>
                <w:sz w:val="26"/>
                <w:szCs w:val="26"/>
              </w:rPr>
            </w:pPr>
            <w:r w:rsidRPr="001A153B">
              <w:rPr>
                <w:rFonts w:ascii="Times New Roman" w:hAnsi="Times New Roman" w:cs="Times New Roman"/>
                <w:sz w:val="26"/>
                <w:szCs w:val="26"/>
              </w:rPr>
              <w:t>PRA Administrative Cost ($5,723 each for FERC-725G</w:t>
            </w:r>
            <w:r w:rsidR="00FB148F">
              <w:rPr>
                <w:rFonts w:ascii="Times New Roman" w:hAnsi="Times New Roman" w:cs="Times New Roman"/>
                <w:sz w:val="26"/>
                <w:szCs w:val="26"/>
              </w:rPr>
              <w:t>, FERC-725A,</w:t>
            </w:r>
            <w:r w:rsidRPr="001A153B">
              <w:rPr>
                <w:rFonts w:ascii="Times New Roman" w:hAnsi="Times New Roman" w:cs="Times New Roman"/>
                <w:sz w:val="26"/>
                <w:szCs w:val="26"/>
              </w:rPr>
              <w:t xml:space="preserve"> and FERC-725Y)</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6A0C6E95" w14:textId="77777777" w:rsidR="00EE07DD" w:rsidRPr="001A153B" w:rsidRDefault="00EE07DD" w:rsidP="0076658D">
            <w:pPr>
              <w:spacing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hideMark/>
          </w:tcPr>
          <w:p w14:paraId="79FB32A7" w14:textId="2E4CD1D7" w:rsidR="00EE07DD" w:rsidRPr="001A153B" w:rsidRDefault="00EE07DD" w:rsidP="00FB148F">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w:t>
            </w:r>
            <w:r w:rsidR="00FB148F">
              <w:rPr>
                <w:rFonts w:ascii="Times New Roman" w:hAnsi="Times New Roman" w:cs="Times New Roman"/>
                <w:sz w:val="26"/>
                <w:szCs w:val="26"/>
              </w:rPr>
              <w:t>17,169</w:t>
            </w:r>
          </w:p>
        </w:tc>
      </w:tr>
      <w:tr w:rsidR="00EE07DD" w:rsidRPr="001A153B" w14:paraId="18BA3BAB" w14:textId="77777777" w:rsidTr="00022939">
        <w:tc>
          <w:tcPr>
            <w:tcW w:w="3182" w:type="dxa"/>
            <w:tcBorders>
              <w:top w:val="single" w:sz="4" w:space="0" w:color="auto"/>
              <w:left w:val="single" w:sz="4" w:space="0" w:color="auto"/>
              <w:bottom w:val="single" w:sz="4" w:space="0" w:color="auto"/>
              <w:right w:val="single" w:sz="4" w:space="0" w:color="auto"/>
            </w:tcBorders>
            <w:hideMark/>
          </w:tcPr>
          <w:p w14:paraId="2182F551"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FERC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14:paraId="3809D6EE" w14:textId="77777777" w:rsidR="00EE07DD" w:rsidRPr="001A153B" w:rsidRDefault="00EE07DD" w:rsidP="0076658D">
            <w:pPr>
              <w:spacing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hideMark/>
          </w:tcPr>
          <w:p w14:paraId="6C872C45" w14:textId="4DA930B3"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$11,446</w:t>
            </w:r>
          </w:p>
        </w:tc>
      </w:tr>
    </w:tbl>
    <w:p w14:paraId="3B8FD87A" w14:textId="77777777" w:rsidR="00EE07DD" w:rsidRPr="001A153B" w:rsidRDefault="00EE07DD" w:rsidP="001A153B">
      <w:pPr>
        <w:spacing w:after="0" w:line="240" w:lineRule="auto"/>
        <w:rPr>
          <w:rFonts w:ascii="Times New Roman" w:hAnsi="Times New Roman" w:cs="Times New Roman"/>
          <w:sz w:val="26"/>
          <w:szCs w:val="26"/>
        </w:rPr>
      </w:pPr>
    </w:p>
    <w:p w14:paraId="1870937E" w14:textId="77777777" w:rsidR="00EE07DD" w:rsidRPr="001A153B" w:rsidRDefault="00EE07DD" w:rsidP="001A153B">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REASONS FOR CHANGES IN BURDEN INCLUDING THE NEED FOR ANY INCREASE</w:t>
      </w:r>
    </w:p>
    <w:p w14:paraId="31D71414" w14:textId="77777777" w:rsidR="00EE07DD" w:rsidRPr="001A153B" w:rsidRDefault="00EE07DD" w:rsidP="001A153B">
      <w:pPr>
        <w:spacing w:after="0" w:line="240" w:lineRule="auto"/>
        <w:rPr>
          <w:rFonts w:ascii="Times New Roman" w:hAnsi="Times New Roman" w:cs="Times New Roman"/>
          <w:b/>
          <w:sz w:val="26"/>
          <w:szCs w:val="26"/>
        </w:rPr>
      </w:pPr>
    </w:p>
    <w:p w14:paraId="232A0BCC" w14:textId="071713D0"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purpose of </w:t>
      </w:r>
      <w:r w:rsidR="00D21DD1" w:rsidRPr="001A153B">
        <w:rPr>
          <w:rFonts w:ascii="Times New Roman" w:hAnsi="Times New Roman" w:cs="Times New Roman"/>
          <w:sz w:val="26"/>
          <w:szCs w:val="26"/>
        </w:rPr>
        <w:t xml:space="preserve"> </w:t>
      </w:r>
      <w:r w:rsidRPr="001A153B">
        <w:rPr>
          <w:rFonts w:ascii="Times New Roman" w:hAnsi="Times New Roman" w:cs="Times New Roman"/>
          <w:sz w:val="26"/>
          <w:szCs w:val="26"/>
        </w:rPr>
        <w:t>Reliability Standard PRC-027-1 (</w:t>
      </w:r>
      <w:r w:rsidR="009E03C9">
        <w:rPr>
          <w:rFonts w:ascii="Times New Roman" w:hAnsi="Times New Roman" w:cs="Times New Roman"/>
          <w:sz w:val="26"/>
          <w:szCs w:val="26"/>
        </w:rPr>
        <w:t>contained within</w:t>
      </w:r>
      <w:r w:rsidRPr="001A153B">
        <w:rPr>
          <w:rFonts w:ascii="Times New Roman" w:hAnsi="Times New Roman" w:cs="Times New Roman"/>
          <w:sz w:val="26"/>
          <w:szCs w:val="26"/>
        </w:rPr>
        <w:t xml:space="preserve"> FERC-725G) is to maintain the coordination of protection systems installed to detect and isolate faults on bulk electric system elements, such that those protection systems operate in the intended sequence during faults.  The purpose of Reliability Standard PER-006-1 (</w:t>
      </w:r>
      <w:r w:rsidR="009E03C9">
        <w:rPr>
          <w:rFonts w:ascii="Times New Roman" w:hAnsi="Times New Roman" w:cs="Times New Roman"/>
          <w:sz w:val="26"/>
          <w:szCs w:val="26"/>
        </w:rPr>
        <w:t>contained within</w:t>
      </w:r>
      <w:r w:rsidRPr="001A153B">
        <w:rPr>
          <w:rFonts w:ascii="Times New Roman" w:hAnsi="Times New Roman" w:cs="Times New Roman"/>
          <w:sz w:val="26"/>
          <w:szCs w:val="26"/>
        </w:rPr>
        <w:t xml:space="preserve"> FERC-725Y) is to ensure that personnel are trained on specific topics essential to reliability to perform or support real-time operations of the bulk electric system.  The Commission also </w:t>
      </w:r>
      <w:r w:rsidR="002E0CF6">
        <w:rPr>
          <w:rFonts w:ascii="Times New Roman" w:hAnsi="Times New Roman" w:cs="Times New Roman"/>
          <w:sz w:val="26"/>
          <w:szCs w:val="26"/>
        </w:rPr>
        <w:t>seeks</w:t>
      </w:r>
      <w:r w:rsidR="002E0CF6" w:rsidRPr="001A153B">
        <w:rPr>
          <w:rFonts w:ascii="Times New Roman" w:hAnsi="Times New Roman" w:cs="Times New Roman"/>
          <w:sz w:val="26"/>
          <w:szCs w:val="26"/>
        </w:rPr>
        <w:t xml:space="preserve"> </w:t>
      </w:r>
      <w:r w:rsidRPr="001A153B">
        <w:rPr>
          <w:rFonts w:ascii="Times New Roman" w:hAnsi="Times New Roman" w:cs="Times New Roman"/>
          <w:sz w:val="26"/>
          <w:szCs w:val="26"/>
        </w:rPr>
        <w:t>to approve the associated violation risk factors, violation severity levels, implementation plans, and effective dates by NERC for Reliability Standards PRC-027-1 and PER-006-1.  The Commission approve</w:t>
      </w:r>
      <w:r w:rsidR="00D21DD1" w:rsidRPr="001A153B">
        <w:rPr>
          <w:rFonts w:ascii="Times New Roman" w:hAnsi="Times New Roman" w:cs="Times New Roman"/>
          <w:sz w:val="26"/>
          <w:szCs w:val="26"/>
        </w:rPr>
        <w:t>d</w:t>
      </w:r>
      <w:r w:rsidRPr="001A153B">
        <w:rPr>
          <w:rFonts w:ascii="Times New Roman" w:hAnsi="Times New Roman" w:cs="Times New Roman"/>
          <w:sz w:val="26"/>
          <w:szCs w:val="26"/>
        </w:rPr>
        <w:t xml:space="preserve"> the retirement of currently-effective Reliability Standard PRC 001 1.1(ii) (System Protection Coordination) (currently covered by FERC-725A). </w:t>
      </w:r>
    </w:p>
    <w:p w14:paraId="1F13645B" w14:textId="77777777" w:rsidR="00EE07DD" w:rsidRPr="001A153B" w:rsidRDefault="00EE07DD" w:rsidP="001A153B">
      <w:pPr>
        <w:spacing w:after="0" w:line="240" w:lineRule="auto"/>
        <w:rPr>
          <w:rFonts w:ascii="Times New Roman" w:hAnsi="Times New Roman" w:cs="Times New Roman"/>
          <w:sz w:val="26"/>
          <w:szCs w:val="26"/>
        </w:rPr>
      </w:pPr>
    </w:p>
    <w:p w14:paraId="45FDC954" w14:textId="77777777" w:rsidR="00965E15"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The following tables summarize the changes in burden and responses to FERC-725Y and FERC-725G</w:t>
      </w:r>
      <w:r w:rsidR="00965E15">
        <w:rPr>
          <w:rFonts w:ascii="Times New Roman" w:hAnsi="Times New Roman" w:cs="Times New Roman"/>
          <w:sz w:val="26"/>
          <w:szCs w:val="26"/>
        </w:rPr>
        <w:t xml:space="preserve"> and FERC-725A </w:t>
      </w:r>
      <w:r w:rsidRPr="001A153B">
        <w:rPr>
          <w:rFonts w:ascii="Times New Roman" w:hAnsi="Times New Roman" w:cs="Times New Roman"/>
          <w:sz w:val="26"/>
          <w:szCs w:val="26"/>
        </w:rPr>
        <w:t xml:space="preserve">due to the </w:t>
      </w:r>
      <w:r w:rsidR="00460C6A" w:rsidRPr="001A153B">
        <w:rPr>
          <w:rFonts w:ascii="Times New Roman" w:hAnsi="Times New Roman" w:cs="Times New Roman"/>
          <w:sz w:val="26"/>
          <w:szCs w:val="26"/>
        </w:rPr>
        <w:t>F</w:t>
      </w:r>
      <w:r w:rsidR="006D6BF7" w:rsidRPr="001A153B">
        <w:rPr>
          <w:rFonts w:ascii="Times New Roman" w:hAnsi="Times New Roman" w:cs="Times New Roman"/>
          <w:sz w:val="26"/>
          <w:szCs w:val="26"/>
        </w:rPr>
        <w:t>inal Rule</w:t>
      </w:r>
      <w:r w:rsidRPr="001A153B">
        <w:rPr>
          <w:rFonts w:ascii="Times New Roman" w:hAnsi="Times New Roman" w:cs="Times New Roman"/>
          <w:sz w:val="26"/>
          <w:szCs w:val="26"/>
        </w:rPr>
        <w:t xml:space="preserve"> in RM16-22 (with each respondent having a recordkeeping and reporting requirement). </w:t>
      </w:r>
    </w:p>
    <w:p w14:paraId="3421864A" w14:textId="77777777" w:rsidR="00965E15" w:rsidRDefault="00965E15" w:rsidP="001A153B">
      <w:pPr>
        <w:spacing w:after="0" w:line="240" w:lineRule="auto"/>
        <w:rPr>
          <w:rFonts w:ascii="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EE07DD" w:rsidRPr="001A153B" w14:paraId="170A110B" w14:textId="77777777" w:rsidTr="00022939">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5299882" w14:textId="77777777" w:rsidR="00EE07DD" w:rsidRPr="001A153B" w:rsidRDefault="00EE07DD" w:rsidP="00232F79">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FERC-725G</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7CC5B9D"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E36C33"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0BADC62"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BA57F1A" w14:textId="77777777" w:rsidR="00EE07DD" w:rsidRPr="001A153B" w:rsidRDefault="00EE07DD" w:rsidP="001A153B">
            <w:pPr>
              <w:spacing w:line="240" w:lineRule="auto"/>
              <w:rPr>
                <w:rFonts w:ascii="Times New Roman" w:hAnsi="Times New Roman" w:cs="Times New Roman"/>
                <w:b/>
                <w:sz w:val="26"/>
                <w:szCs w:val="26"/>
              </w:rPr>
            </w:pPr>
            <w:r w:rsidRPr="001A153B">
              <w:rPr>
                <w:rFonts w:ascii="Times New Roman" w:hAnsi="Times New Roman" w:cs="Times New Roman"/>
                <w:b/>
                <w:sz w:val="26"/>
                <w:szCs w:val="26"/>
              </w:rPr>
              <w:t>Change Due to Agency Discretion</w:t>
            </w:r>
          </w:p>
        </w:tc>
      </w:tr>
      <w:tr w:rsidR="00EE07DD" w:rsidRPr="001A153B" w14:paraId="0125B512" w14:textId="77777777" w:rsidTr="00022939">
        <w:trPr>
          <w:trHeight w:val="591"/>
        </w:trPr>
        <w:tc>
          <w:tcPr>
            <w:tcW w:w="2679" w:type="dxa"/>
            <w:tcBorders>
              <w:top w:val="single" w:sz="4" w:space="0" w:color="auto"/>
              <w:left w:val="single" w:sz="4" w:space="0" w:color="auto"/>
              <w:bottom w:val="single" w:sz="4" w:space="0" w:color="auto"/>
              <w:right w:val="single" w:sz="4" w:space="0" w:color="auto"/>
            </w:tcBorders>
            <w:vAlign w:val="bottom"/>
            <w:hideMark/>
          </w:tcPr>
          <w:p w14:paraId="783C8B90" w14:textId="77777777" w:rsidR="00EE07DD" w:rsidRPr="001A153B" w:rsidRDefault="00EE07DD" w:rsidP="001A153B">
            <w:pPr>
              <w:spacing w:line="240" w:lineRule="auto"/>
              <w:rPr>
                <w:rFonts w:ascii="Times New Roman" w:hAnsi="Times New Roman" w:cs="Times New Roman"/>
                <w:sz w:val="26"/>
                <w:szCs w:val="26"/>
              </w:rPr>
            </w:pPr>
            <w:r w:rsidRPr="001A153B">
              <w:rPr>
                <w:rFonts w:ascii="Times New Roman" w:hAnsi="Times New Roman" w:cs="Times New Roman"/>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hideMark/>
          </w:tcPr>
          <w:p w14:paraId="45C318D6" w14:textId="77777777" w:rsidR="00EE07DD" w:rsidRPr="001A153B" w:rsidRDefault="00EF775D" w:rsidP="0076658D">
            <w:pPr>
              <w:spacing w:line="240" w:lineRule="auto"/>
              <w:jc w:val="right"/>
              <w:rPr>
                <w:rFonts w:ascii="Times New Roman" w:hAnsi="Times New Roman" w:cs="Times New Roman"/>
                <w:sz w:val="26"/>
                <w:szCs w:val="26"/>
              </w:rPr>
            </w:pPr>
            <w:r>
              <w:rPr>
                <w:rFonts w:ascii="Times New Roman" w:hAnsi="Times New Roman" w:cs="Times New Roman"/>
                <w:sz w:val="26"/>
                <w:szCs w:val="26"/>
              </w:rPr>
              <w:t>12,497</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89C9797" w14:textId="77777777" w:rsidR="00EE07DD" w:rsidRPr="001A153B" w:rsidRDefault="00232F79" w:rsidP="0076658D">
            <w:pPr>
              <w:spacing w:line="240" w:lineRule="auto"/>
              <w:jc w:val="right"/>
              <w:rPr>
                <w:rFonts w:ascii="Times New Roman" w:hAnsi="Times New Roman" w:cs="Times New Roman"/>
                <w:sz w:val="26"/>
                <w:szCs w:val="26"/>
              </w:rPr>
            </w:pPr>
            <w:r>
              <w:rPr>
                <w:rFonts w:ascii="Times New Roman" w:hAnsi="Times New Roman" w:cs="Times New Roman"/>
                <w:sz w:val="26"/>
                <w:szCs w:val="26"/>
              </w:rPr>
              <w:t>10,770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A70717E"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6BECF5C" w14:textId="77777777" w:rsidR="00EE07DD" w:rsidRPr="001A153B" w:rsidRDefault="00EF775D" w:rsidP="0076658D">
            <w:pPr>
              <w:spacing w:line="240" w:lineRule="auto"/>
              <w:jc w:val="right"/>
              <w:rPr>
                <w:rFonts w:ascii="Times New Roman" w:hAnsi="Times New Roman" w:cs="Times New Roman"/>
                <w:sz w:val="26"/>
                <w:szCs w:val="26"/>
              </w:rPr>
            </w:pPr>
            <w:r>
              <w:rPr>
                <w:rFonts w:ascii="Times New Roman" w:hAnsi="Times New Roman" w:cs="Times New Roman"/>
                <w:sz w:val="26"/>
                <w:szCs w:val="26"/>
              </w:rPr>
              <w:t>1,727</w:t>
            </w:r>
          </w:p>
        </w:tc>
      </w:tr>
      <w:tr w:rsidR="00EE07DD" w:rsidRPr="001A153B" w14:paraId="7C3ABF97" w14:textId="77777777" w:rsidTr="00022939">
        <w:trPr>
          <w:trHeight w:val="674"/>
        </w:trPr>
        <w:tc>
          <w:tcPr>
            <w:tcW w:w="2679" w:type="dxa"/>
            <w:tcBorders>
              <w:top w:val="single" w:sz="4" w:space="0" w:color="auto"/>
              <w:left w:val="single" w:sz="4" w:space="0" w:color="auto"/>
              <w:bottom w:val="single" w:sz="4" w:space="0" w:color="auto"/>
              <w:right w:val="single" w:sz="4" w:space="0" w:color="auto"/>
            </w:tcBorders>
            <w:vAlign w:val="bottom"/>
            <w:hideMark/>
          </w:tcPr>
          <w:p w14:paraId="1EA0334E" w14:textId="77777777" w:rsidR="00EE07DD" w:rsidRPr="001A153B" w:rsidRDefault="00EE07DD" w:rsidP="001A153B">
            <w:pPr>
              <w:spacing w:line="240" w:lineRule="auto"/>
              <w:rPr>
                <w:rFonts w:ascii="Times New Roman" w:hAnsi="Times New Roman" w:cs="Times New Roman"/>
                <w:sz w:val="26"/>
                <w:szCs w:val="26"/>
              </w:rPr>
            </w:pPr>
            <w:r w:rsidRPr="001A153B">
              <w:rPr>
                <w:rFonts w:ascii="Times New Roman" w:hAnsi="Times New Roman" w:cs="Times New Roman"/>
                <w:sz w:val="26"/>
                <w:szCs w:val="26"/>
              </w:rPr>
              <w:t>Annual Time Burden (Hr.)</w:t>
            </w:r>
          </w:p>
        </w:tc>
        <w:tc>
          <w:tcPr>
            <w:tcW w:w="1461" w:type="dxa"/>
            <w:tcBorders>
              <w:top w:val="single" w:sz="4" w:space="0" w:color="auto"/>
              <w:left w:val="single" w:sz="4" w:space="0" w:color="auto"/>
              <w:bottom w:val="single" w:sz="4" w:space="0" w:color="auto"/>
              <w:right w:val="single" w:sz="4" w:space="0" w:color="auto"/>
            </w:tcBorders>
            <w:vAlign w:val="bottom"/>
            <w:hideMark/>
          </w:tcPr>
          <w:p w14:paraId="02DD00EC" w14:textId="77777777" w:rsidR="00EE07DD" w:rsidRPr="001A153B" w:rsidRDefault="00EF775D" w:rsidP="0076658D">
            <w:pPr>
              <w:spacing w:line="240" w:lineRule="auto"/>
              <w:jc w:val="right"/>
              <w:rPr>
                <w:rFonts w:ascii="Times New Roman" w:hAnsi="Times New Roman" w:cs="Times New Roman"/>
                <w:sz w:val="26"/>
                <w:szCs w:val="26"/>
              </w:rPr>
            </w:pPr>
            <w:r>
              <w:rPr>
                <w:rFonts w:ascii="Times New Roman" w:hAnsi="Times New Roman" w:cs="Times New Roman"/>
                <w:sz w:val="26"/>
                <w:szCs w:val="26"/>
              </w:rPr>
              <w:t>705,147</w:t>
            </w:r>
          </w:p>
        </w:tc>
        <w:tc>
          <w:tcPr>
            <w:tcW w:w="1620" w:type="dxa"/>
            <w:tcBorders>
              <w:top w:val="single" w:sz="4" w:space="0" w:color="auto"/>
              <w:left w:val="single" w:sz="4" w:space="0" w:color="auto"/>
              <w:bottom w:val="single" w:sz="4" w:space="0" w:color="auto"/>
              <w:right w:val="single" w:sz="4" w:space="0" w:color="auto"/>
            </w:tcBorders>
            <w:vAlign w:val="bottom"/>
          </w:tcPr>
          <w:p w14:paraId="73790495" w14:textId="77777777" w:rsidR="00EE07DD" w:rsidRPr="001A153B" w:rsidRDefault="00232F79" w:rsidP="0076658D">
            <w:pPr>
              <w:spacing w:line="240" w:lineRule="auto"/>
              <w:jc w:val="right"/>
              <w:rPr>
                <w:rFonts w:ascii="Times New Roman" w:hAnsi="Times New Roman" w:cs="Times New Roman"/>
                <w:sz w:val="26"/>
                <w:szCs w:val="26"/>
              </w:rPr>
            </w:pPr>
            <w:r>
              <w:rPr>
                <w:rFonts w:ascii="Times New Roman" w:hAnsi="Times New Roman" w:cs="Times New Roman"/>
                <w:sz w:val="26"/>
                <w:szCs w:val="26"/>
              </w:rPr>
              <w:t>643,647</w:t>
            </w:r>
          </w:p>
        </w:tc>
        <w:tc>
          <w:tcPr>
            <w:tcW w:w="1800" w:type="dxa"/>
            <w:tcBorders>
              <w:top w:val="single" w:sz="4" w:space="0" w:color="auto"/>
              <w:left w:val="single" w:sz="4" w:space="0" w:color="auto"/>
              <w:bottom w:val="single" w:sz="4" w:space="0" w:color="auto"/>
              <w:right w:val="single" w:sz="4" w:space="0" w:color="auto"/>
            </w:tcBorders>
            <w:vAlign w:val="bottom"/>
          </w:tcPr>
          <w:p w14:paraId="04B1BC16"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18952D0" w14:textId="77777777" w:rsidR="00EE07DD" w:rsidRPr="001A153B" w:rsidRDefault="00EF775D" w:rsidP="0076658D">
            <w:pPr>
              <w:spacing w:line="240" w:lineRule="auto"/>
              <w:jc w:val="right"/>
              <w:rPr>
                <w:rFonts w:ascii="Times New Roman" w:hAnsi="Times New Roman" w:cs="Times New Roman"/>
                <w:sz w:val="26"/>
                <w:szCs w:val="26"/>
              </w:rPr>
            </w:pPr>
            <w:r>
              <w:rPr>
                <w:rFonts w:ascii="Times New Roman" w:hAnsi="Times New Roman" w:cs="Times New Roman"/>
                <w:sz w:val="26"/>
                <w:szCs w:val="26"/>
              </w:rPr>
              <w:t>61,500</w:t>
            </w:r>
          </w:p>
        </w:tc>
      </w:tr>
      <w:tr w:rsidR="00EE07DD" w:rsidRPr="001A153B" w14:paraId="026AC05D" w14:textId="77777777" w:rsidTr="00022939">
        <w:trPr>
          <w:trHeight w:val="295"/>
        </w:trPr>
        <w:tc>
          <w:tcPr>
            <w:tcW w:w="2679" w:type="dxa"/>
            <w:tcBorders>
              <w:top w:val="single" w:sz="4" w:space="0" w:color="auto"/>
              <w:left w:val="single" w:sz="4" w:space="0" w:color="auto"/>
              <w:bottom w:val="single" w:sz="4" w:space="0" w:color="auto"/>
              <w:right w:val="single" w:sz="4" w:space="0" w:color="auto"/>
            </w:tcBorders>
            <w:vAlign w:val="bottom"/>
            <w:hideMark/>
          </w:tcPr>
          <w:p w14:paraId="74D4EF60" w14:textId="77777777" w:rsidR="00EE07DD" w:rsidRPr="001A153B" w:rsidRDefault="00EE07DD" w:rsidP="001A153B">
            <w:pPr>
              <w:spacing w:line="240" w:lineRule="auto"/>
              <w:rPr>
                <w:rFonts w:ascii="Times New Roman" w:hAnsi="Times New Roman" w:cs="Times New Roman"/>
                <w:sz w:val="26"/>
                <w:szCs w:val="26"/>
              </w:rPr>
            </w:pPr>
            <w:r w:rsidRPr="001A153B">
              <w:rPr>
                <w:rFonts w:ascii="Times New Roman" w:hAnsi="Times New Roman" w:cs="Times New Roman"/>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bottom"/>
            <w:hideMark/>
          </w:tcPr>
          <w:p w14:paraId="27F028E4"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35D85C6"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5E1D9B0"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4693031" w14:textId="77777777" w:rsidR="00EE07DD" w:rsidRPr="001A153B" w:rsidRDefault="00EE07DD" w:rsidP="0076658D">
            <w:pPr>
              <w:spacing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r>
    </w:tbl>
    <w:p w14:paraId="54626D4D" w14:textId="77777777" w:rsidR="00EE07DD" w:rsidRDefault="00EE07DD" w:rsidP="001A153B">
      <w:pPr>
        <w:spacing w:after="0" w:line="240" w:lineRule="auto"/>
        <w:rPr>
          <w:rFonts w:ascii="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BF6782" w:rsidRPr="00BF6782" w14:paraId="2FA304C5" w14:textId="77777777" w:rsidTr="00022939">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F0801AF" w14:textId="77777777" w:rsidR="00BF6782" w:rsidRPr="00BF6782" w:rsidRDefault="00BF6782" w:rsidP="00BF6782">
            <w:pPr>
              <w:spacing w:after="0" w:line="240" w:lineRule="auto"/>
              <w:rPr>
                <w:rFonts w:ascii="Times New Roman" w:hAnsi="Times New Roman" w:cs="Times New Roman"/>
                <w:b/>
                <w:sz w:val="26"/>
                <w:szCs w:val="26"/>
              </w:rPr>
            </w:pPr>
            <w:r w:rsidRPr="00BF6782">
              <w:rPr>
                <w:rFonts w:ascii="Times New Roman" w:hAnsi="Times New Roman" w:cs="Times New Roman"/>
                <w:b/>
                <w:sz w:val="26"/>
                <w:szCs w:val="26"/>
              </w:rPr>
              <w:t>FERC-725Y</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3577D5" w14:textId="77777777" w:rsidR="00BF6782" w:rsidRPr="00BF6782" w:rsidRDefault="00BF6782" w:rsidP="00BF6782">
            <w:pPr>
              <w:spacing w:after="0" w:line="240" w:lineRule="auto"/>
              <w:rPr>
                <w:rFonts w:ascii="Times New Roman" w:hAnsi="Times New Roman" w:cs="Times New Roman"/>
                <w:b/>
                <w:sz w:val="26"/>
                <w:szCs w:val="26"/>
              </w:rPr>
            </w:pPr>
            <w:r w:rsidRPr="00BF6782">
              <w:rPr>
                <w:rFonts w:ascii="Times New Roman" w:hAnsi="Times New Roman" w:cs="Times New Roman"/>
                <w:b/>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B42F761" w14:textId="77777777" w:rsidR="00BF6782" w:rsidRPr="00BF6782" w:rsidRDefault="00BF6782" w:rsidP="00BF6782">
            <w:pPr>
              <w:spacing w:after="0" w:line="240" w:lineRule="auto"/>
              <w:rPr>
                <w:rFonts w:ascii="Times New Roman" w:hAnsi="Times New Roman" w:cs="Times New Roman"/>
                <w:b/>
                <w:sz w:val="26"/>
                <w:szCs w:val="26"/>
              </w:rPr>
            </w:pPr>
            <w:r w:rsidRPr="00BF6782">
              <w:rPr>
                <w:rFonts w:ascii="Times New Roman" w:hAnsi="Times New Roman" w:cs="Times New Roman"/>
                <w:b/>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190547" w14:textId="77777777" w:rsidR="00BF6782" w:rsidRPr="00BF6782" w:rsidRDefault="00BF6782" w:rsidP="00BF6782">
            <w:pPr>
              <w:spacing w:after="0" w:line="240" w:lineRule="auto"/>
              <w:rPr>
                <w:rFonts w:ascii="Times New Roman" w:hAnsi="Times New Roman" w:cs="Times New Roman"/>
                <w:b/>
                <w:sz w:val="26"/>
                <w:szCs w:val="26"/>
              </w:rPr>
            </w:pPr>
            <w:r w:rsidRPr="00BF6782">
              <w:rPr>
                <w:rFonts w:ascii="Times New Roman" w:hAnsi="Times New Roman" w:cs="Times New Roman"/>
                <w:b/>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1EC41BF" w14:textId="77777777" w:rsidR="00BF6782" w:rsidRPr="00BF6782" w:rsidRDefault="00BF6782" w:rsidP="00BF6782">
            <w:pPr>
              <w:spacing w:after="0" w:line="240" w:lineRule="auto"/>
              <w:rPr>
                <w:rFonts w:ascii="Times New Roman" w:hAnsi="Times New Roman" w:cs="Times New Roman"/>
                <w:b/>
                <w:sz w:val="26"/>
                <w:szCs w:val="26"/>
              </w:rPr>
            </w:pPr>
            <w:r w:rsidRPr="00BF6782">
              <w:rPr>
                <w:rFonts w:ascii="Times New Roman" w:hAnsi="Times New Roman" w:cs="Times New Roman"/>
                <w:b/>
                <w:sz w:val="26"/>
                <w:szCs w:val="26"/>
              </w:rPr>
              <w:t>Change Due to Agency Discretion</w:t>
            </w:r>
          </w:p>
        </w:tc>
      </w:tr>
      <w:tr w:rsidR="00BF6782" w:rsidRPr="00BF6782" w14:paraId="0154D9F7" w14:textId="77777777" w:rsidTr="00022939">
        <w:trPr>
          <w:trHeight w:val="591"/>
        </w:trPr>
        <w:tc>
          <w:tcPr>
            <w:tcW w:w="2679" w:type="dxa"/>
            <w:tcBorders>
              <w:top w:val="single" w:sz="4" w:space="0" w:color="auto"/>
              <w:left w:val="single" w:sz="4" w:space="0" w:color="auto"/>
              <w:bottom w:val="single" w:sz="4" w:space="0" w:color="auto"/>
              <w:right w:val="single" w:sz="4" w:space="0" w:color="auto"/>
            </w:tcBorders>
            <w:vAlign w:val="bottom"/>
            <w:hideMark/>
          </w:tcPr>
          <w:p w14:paraId="1BFABEE1" w14:textId="77777777" w:rsidR="00BF6782" w:rsidRPr="00BF6782" w:rsidRDefault="00BF6782" w:rsidP="00BF6782">
            <w:pPr>
              <w:spacing w:after="0" w:line="240" w:lineRule="auto"/>
              <w:rPr>
                <w:rFonts w:ascii="Times New Roman" w:hAnsi="Times New Roman" w:cs="Times New Roman"/>
                <w:sz w:val="26"/>
                <w:szCs w:val="26"/>
              </w:rPr>
            </w:pPr>
            <w:r w:rsidRPr="00BF6782">
              <w:rPr>
                <w:rFonts w:ascii="Times New Roman" w:hAnsi="Times New Roman" w:cs="Times New Roman"/>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hideMark/>
          </w:tcPr>
          <w:p w14:paraId="7D7971E3" w14:textId="77777777" w:rsidR="00BF6782" w:rsidRPr="00BF6782" w:rsidRDefault="00EF775D" w:rsidP="00EF77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3,403</w:t>
            </w:r>
          </w:p>
        </w:tc>
        <w:tc>
          <w:tcPr>
            <w:tcW w:w="1620" w:type="dxa"/>
            <w:tcBorders>
              <w:top w:val="single" w:sz="4" w:space="0" w:color="auto"/>
              <w:left w:val="single" w:sz="4" w:space="0" w:color="auto"/>
              <w:bottom w:val="single" w:sz="4" w:space="0" w:color="auto"/>
              <w:right w:val="single" w:sz="4" w:space="0" w:color="auto"/>
            </w:tcBorders>
            <w:vAlign w:val="bottom"/>
            <w:hideMark/>
          </w:tcPr>
          <w:p w14:paraId="3712FB7D"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2,459</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E46C525" w14:textId="77777777" w:rsidR="00BF6782" w:rsidRPr="00BF6782" w:rsidRDefault="00BF6782" w:rsidP="00EF775D">
            <w:pPr>
              <w:spacing w:after="0" w:line="240" w:lineRule="auto"/>
              <w:jc w:val="right"/>
              <w:rPr>
                <w:rFonts w:ascii="Times New Roman" w:hAnsi="Times New Roman" w:cs="Times New Roman"/>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2C061B5F" w14:textId="77777777" w:rsidR="00BF6782" w:rsidRPr="00BF6782" w:rsidRDefault="00EF775D" w:rsidP="00EF77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944</w:t>
            </w:r>
          </w:p>
        </w:tc>
      </w:tr>
      <w:tr w:rsidR="00BF6782" w:rsidRPr="00BF6782" w14:paraId="044EA280" w14:textId="77777777" w:rsidTr="00022939">
        <w:trPr>
          <w:trHeight w:val="674"/>
        </w:trPr>
        <w:tc>
          <w:tcPr>
            <w:tcW w:w="2679" w:type="dxa"/>
            <w:tcBorders>
              <w:top w:val="single" w:sz="4" w:space="0" w:color="auto"/>
              <w:left w:val="single" w:sz="4" w:space="0" w:color="auto"/>
              <w:bottom w:val="single" w:sz="4" w:space="0" w:color="auto"/>
              <w:right w:val="single" w:sz="4" w:space="0" w:color="auto"/>
            </w:tcBorders>
            <w:vAlign w:val="bottom"/>
            <w:hideMark/>
          </w:tcPr>
          <w:p w14:paraId="2F3A9307" w14:textId="77777777" w:rsidR="00BF6782" w:rsidRPr="00BF6782" w:rsidRDefault="00BF6782" w:rsidP="00BF6782">
            <w:pPr>
              <w:spacing w:after="0" w:line="240" w:lineRule="auto"/>
              <w:rPr>
                <w:rFonts w:ascii="Times New Roman" w:hAnsi="Times New Roman" w:cs="Times New Roman"/>
                <w:sz w:val="26"/>
                <w:szCs w:val="26"/>
              </w:rPr>
            </w:pPr>
            <w:r w:rsidRPr="00BF6782">
              <w:rPr>
                <w:rFonts w:ascii="Times New Roman" w:hAnsi="Times New Roman" w:cs="Times New Roman"/>
                <w:sz w:val="26"/>
                <w:szCs w:val="26"/>
              </w:rPr>
              <w:t>Annual Time Burden (Hr.)</w:t>
            </w:r>
          </w:p>
        </w:tc>
        <w:tc>
          <w:tcPr>
            <w:tcW w:w="1461" w:type="dxa"/>
            <w:tcBorders>
              <w:top w:val="single" w:sz="4" w:space="0" w:color="auto"/>
              <w:left w:val="single" w:sz="4" w:space="0" w:color="auto"/>
              <w:bottom w:val="single" w:sz="4" w:space="0" w:color="auto"/>
              <w:right w:val="single" w:sz="4" w:space="0" w:color="auto"/>
            </w:tcBorders>
            <w:vAlign w:val="bottom"/>
            <w:hideMark/>
          </w:tcPr>
          <w:p w14:paraId="75273328"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33,</w:t>
            </w:r>
            <w:r w:rsidR="00EF775D">
              <w:rPr>
                <w:rFonts w:ascii="Times New Roman" w:hAnsi="Times New Roman" w:cs="Times New Roman"/>
                <w:sz w:val="26"/>
                <w:szCs w:val="26"/>
              </w:rPr>
              <w:t>494</w:t>
            </w:r>
          </w:p>
        </w:tc>
        <w:tc>
          <w:tcPr>
            <w:tcW w:w="1620" w:type="dxa"/>
            <w:tcBorders>
              <w:top w:val="single" w:sz="4" w:space="0" w:color="auto"/>
              <w:left w:val="single" w:sz="4" w:space="0" w:color="auto"/>
              <w:bottom w:val="single" w:sz="4" w:space="0" w:color="auto"/>
              <w:right w:val="single" w:sz="4" w:space="0" w:color="auto"/>
            </w:tcBorders>
            <w:vAlign w:val="bottom"/>
          </w:tcPr>
          <w:p w14:paraId="7BE27309"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20,334</w:t>
            </w:r>
          </w:p>
        </w:tc>
        <w:tc>
          <w:tcPr>
            <w:tcW w:w="1800" w:type="dxa"/>
            <w:tcBorders>
              <w:top w:val="single" w:sz="4" w:space="0" w:color="auto"/>
              <w:left w:val="single" w:sz="4" w:space="0" w:color="auto"/>
              <w:bottom w:val="single" w:sz="4" w:space="0" w:color="auto"/>
              <w:right w:val="single" w:sz="4" w:space="0" w:color="auto"/>
            </w:tcBorders>
            <w:vAlign w:val="bottom"/>
          </w:tcPr>
          <w:p w14:paraId="39641F46" w14:textId="77777777" w:rsidR="00BF6782" w:rsidRPr="00BF6782" w:rsidRDefault="00BF6782" w:rsidP="00EF775D">
            <w:pPr>
              <w:spacing w:after="0" w:line="240" w:lineRule="auto"/>
              <w:jc w:val="right"/>
              <w:rPr>
                <w:rFonts w:ascii="Times New Roman" w:hAnsi="Times New Roman" w:cs="Times New Roman"/>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511095C6" w14:textId="77777777" w:rsidR="00BF6782" w:rsidRPr="00BF6782" w:rsidRDefault="00EF775D" w:rsidP="00EF77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14,160</w:t>
            </w:r>
          </w:p>
        </w:tc>
      </w:tr>
      <w:tr w:rsidR="00BF6782" w:rsidRPr="00BF6782" w14:paraId="397364E5" w14:textId="77777777" w:rsidTr="00022939">
        <w:trPr>
          <w:trHeight w:val="295"/>
        </w:trPr>
        <w:tc>
          <w:tcPr>
            <w:tcW w:w="2679" w:type="dxa"/>
            <w:tcBorders>
              <w:top w:val="single" w:sz="4" w:space="0" w:color="auto"/>
              <w:left w:val="single" w:sz="4" w:space="0" w:color="auto"/>
              <w:bottom w:val="single" w:sz="4" w:space="0" w:color="auto"/>
              <w:right w:val="single" w:sz="4" w:space="0" w:color="auto"/>
            </w:tcBorders>
            <w:vAlign w:val="bottom"/>
            <w:hideMark/>
          </w:tcPr>
          <w:p w14:paraId="57BCCC9C" w14:textId="77777777" w:rsidR="00BF6782" w:rsidRPr="00BF6782" w:rsidRDefault="00BF6782" w:rsidP="00BF6782">
            <w:pPr>
              <w:spacing w:after="0" w:line="240" w:lineRule="auto"/>
              <w:rPr>
                <w:rFonts w:ascii="Times New Roman" w:hAnsi="Times New Roman" w:cs="Times New Roman"/>
                <w:sz w:val="26"/>
                <w:szCs w:val="26"/>
              </w:rPr>
            </w:pPr>
            <w:r w:rsidRPr="00BF6782">
              <w:rPr>
                <w:rFonts w:ascii="Times New Roman" w:hAnsi="Times New Roman" w:cs="Times New Roman"/>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bottom"/>
            <w:hideMark/>
          </w:tcPr>
          <w:p w14:paraId="01025AC9"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14:paraId="526189E4"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2F3C481"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CC62B2E" w14:textId="77777777" w:rsidR="00BF6782" w:rsidRPr="00BF6782" w:rsidRDefault="00BF6782" w:rsidP="00EF775D">
            <w:pPr>
              <w:spacing w:after="0" w:line="240" w:lineRule="auto"/>
              <w:jc w:val="right"/>
              <w:rPr>
                <w:rFonts w:ascii="Times New Roman" w:hAnsi="Times New Roman" w:cs="Times New Roman"/>
                <w:sz w:val="26"/>
                <w:szCs w:val="26"/>
              </w:rPr>
            </w:pPr>
            <w:r w:rsidRPr="00BF6782">
              <w:rPr>
                <w:rFonts w:ascii="Times New Roman" w:hAnsi="Times New Roman" w:cs="Times New Roman"/>
                <w:sz w:val="26"/>
                <w:szCs w:val="26"/>
              </w:rPr>
              <w:t>0</w:t>
            </w:r>
          </w:p>
        </w:tc>
      </w:tr>
    </w:tbl>
    <w:p w14:paraId="1AF2863A" w14:textId="77777777" w:rsidR="00BF6782" w:rsidRDefault="00BF6782" w:rsidP="001A153B">
      <w:pPr>
        <w:spacing w:after="0" w:line="240" w:lineRule="auto"/>
        <w:rPr>
          <w:rFonts w:ascii="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140AE" w:rsidRPr="0076658D" w14:paraId="5BA7FEDA" w14:textId="77777777" w:rsidTr="00022939">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141B29" w14:textId="77777777" w:rsidR="0076658D" w:rsidRPr="0076658D" w:rsidRDefault="0076658D" w:rsidP="0076658D">
            <w:pPr>
              <w:spacing w:after="0" w:line="240" w:lineRule="auto"/>
              <w:rPr>
                <w:rFonts w:ascii="Times New Roman" w:hAnsi="Times New Roman" w:cs="Times New Roman"/>
                <w:b/>
                <w:sz w:val="26"/>
                <w:szCs w:val="26"/>
              </w:rPr>
            </w:pPr>
            <w:r w:rsidRPr="0076658D">
              <w:rPr>
                <w:rFonts w:ascii="Times New Roman" w:hAnsi="Times New Roman" w:cs="Times New Roman"/>
                <w:b/>
                <w:sz w:val="26"/>
                <w:szCs w:val="26"/>
              </w:rPr>
              <w:t>FERC-725</w:t>
            </w:r>
            <w:r>
              <w:rPr>
                <w:rFonts w:ascii="Times New Roman" w:hAnsi="Times New Roman" w:cs="Times New Roman"/>
                <w:b/>
                <w:sz w:val="26"/>
                <w:szCs w:val="26"/>
              </w:rPr>
              <w:t>A</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F62E7A8" w14:textId="77777777" w:rsidR="0076658D" w:rsidRPr="0076658D" w:rsidRDefault="0076658D" w:rsidP="0076658D">
            <w:pPr>
              <w:spacing w:after="0" w:line="240" w:lineRule="auto"/>
              <w:rPr>
                <w:rFonts w:ascii="Times New Roman" w:hAnsi="Times New Roman" w:cs="Times New Roman"/>
                <w:b/>
                <w:sz w:val="26"/>
                <w:szCs w:val="26"/>
              </w:rPr>
            </w:pPr>
            <w:r w:rsidRPr="0076658D">
              <w:rPr>
                <w:rFonts w:ascii="Times New Roman" w:hAnsi="Times New Roman" w:cs="Times New Roman"/>
                <w:b/>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05E0A39" w14:textId="77777777" w:rsidR="0076658D" w:rsidRPr="0076658D" w:rsidRDefault="0076658D" w:rsidP="0076658D">
            <w:pPr>
              <w:spacing w:after="0" w:line="240" w:lineRule="auto"/>
              <w:rPr>
                <w:rFonts w:ascii="Times New Roman" w:hAnsi="Times New Roman" w:cs="Times New Roman"/>
                <w:b/>
                <w:sz w:val="26"/>
                <w:szCs w:val="26"/>
              </w:rPr>
            </w:pPr>
            <w:r w:rsidRPr="0076658D">
              <w:rPr>
                <w:rFonts w:ascii="Times New Roman" w:hAnsi="Times New Roman" w:cs="Times New Roman"/>
                <w:b/>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2BAFFA7" w14:textId="77777777" w:rsidR="0076658D" w:rsidRPr="0076658D" w:rsidRDefault="0076658D" w:rsidP="0076658D">
            <w:pPr>
              <w:spacing w:after="0" w:line="240" w:lineRule="auto"/>
              <w:rPr>
                <w:rFonts w:ascii="Times New Roman" w:hAnsi="Times New Roman" w:cs="Times New Roman"/>
                <w:b/>
                <w:sz w:val="26"/>
                <w:szCs w:val="26"/>
              </w:rPr>
            </w:pPr>
            <w:r w:rsidRPr="0076658D">
              <w:rPr>
                <w:rFonts w:ascii="Times New Roman" w:hAnsi="Times New Roman" w:cs="Times New Roman"/>
                <w:b/>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AEE866D" w14:textId="77777777" w:rsidR="0076658D" w:rsidRPr="0076658D" w:rsidRDefault="0076658D" w:rsidP="0076658D">
            <w:pPr>
              <w:spacing w:after="0" w:line="240" w:lineRule="auto"/>
              <w:rPr>
                <w:rFonts w:ascii="Times New Roman" w:hAnsi="Times New Roman" w:cs="Times New Roman"/>
                <w:b/>
                <w:sz w:val="26"/>
                <w:szCs w:val="26"/>
              </w:rPr>
            </w:pPr>
            <w:r w:rsidRPr="0076658D">
              <w:rPr>
                <w:rFonts w:ascii="Times New Roman" w:hAnsi="Times New Roman" w:cs="Times New Roman"/>
                <w:b/>
                <w:sz w:val="26"/>
                <w:szCs w:val="26"/>
              </w:rPr>
              <w:t>Change Due to Agency Discretion</w:t>
            </w:r>
          </w:p>
        </w:tc>
      </w:tr>
      <w:tr w:rsidR="006140AE" w:rsidRPr="0076658D" w14:paraId="04DFB00E" w14:textId="77777777" w:rsidTr="0076658D">
        <w:trPr>
          <w:trHeight w:val="591"/>
        </w:trPr>
        <w:tc>
          <w:tcPr>
            <w:tcW w:w="2679" w:type="dxa"/>
            <w:tcBorders>
              <w:top w:val="single" w:sz="4" w:space="0" w:color="auto"/>
              <w:left w:val="single" w:sz="4" w:space="0" w:color="auto"/>
              <w:bottom w:val="single" w:sz="4" w:space="0" w:color="auto"/>
              <w:right w:val="single" w:sz="4" w:space="0" w:color="auto"/>
            </w:tcBorders>
            <w:vAlign w:val="bottom"/>
            <w:hideMark/>
          </w:tcPr>
          <w:p w14:paraId="56E8E9C1" w14:textId="77777777" w:rsidR="0076658D" w:rsidRPr="0076658D" w:rsidRDefault="0076658D" w:rsidP="0076658D">
            <w:pPr>
              <w:spacing w:after="0" w:line="240" w:lineRule="auto"/>
              <w:rPr>
                <w:rFonts w:ascii="Times New Roman" w:hAnsi="Times New Roman" w:cs="Times New Roman"/>
                <w:sz w:val="26"/>
                <w:szCs w:val="26"/>
              </w:rPr>
            </w:pPr>
            <w:r w:rsidRPr="0076658D">
              <w:rPr>
                <w:rFonts w:ascii="Times New Roman" w:hAnsi="Times New Roman" w:cs="Times New Roman"/>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405C74EB" w14:textId="46F20023" w:rsidR="0076658D" w:rsidRPr="0076658D" w:rsidRDefault="006140AE"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2,566</w:t>
            </w:r>
          </w:p>
        </w:tc>
        <w:tc>
          <w:tcPr>
            <w:tcW w:w="1620" w:type="dxa"/>
            <w:tcBorders>
              <w:top w:val="single" w:sz="4" w:space="0" w:color="auto"/>
              <w:left w:val="single" w:sz="4" w:space="0" w:color="auto"/>
              <w:bottom w:val="single" w:sz="4" w:space="0" w:color="auto"/>
              <w:right w:val="single" w:sz="4" w:space="0" w:color="auto"/>
            </w:tcBorders>
            <w:vAlign w:val="bottom"/>
          </w:tcPr>
          <w:p w14:paraId="35FE331D" w14:textId="77777777" w:rsidR="0076658D" w:rsidRPr="0076658D" w:rsidRDefault="0076658D"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2,566</w:t>
            </w:r>
          </w:p>
        </w:tc>
        <w:tc>
          <w:tcPr>
            <w:tcW w:w="1800" w:type="dxa"/>
            <w:tcBorders>
              <w:top w:val="single" w:sz="4" w:space="0" w:color="auto"/>
              <w:left w:val="single" w:sz="4" w:space="0" w:color="auto"/>
              <w:bottom w:val="single" w:sz="4" w:space="0" w:color="auto"/>
              <w:right w:val="single" w:sz="4" w:space="0" w:color="auto"/>
            </w:tcBorders>
            <w:vAlign w:val="bottom"/>
          </w:tcPr>
          <w:p w14:paraId="73FBADE8" w14:textId="77777777" w:rsidR="0076658D" w:rsidRPr="0076658D" w:rsidRDefault="0076658D" w:rsidP="0076658D">
            <w:pPr>
              <w:spacing w:after="0" w:line="240" w:lineRule="auto"/>
              <w:jc w:val="right"/>
              <w:rPr>
                <w:rFonts w:ascii="Times New Roman" w:hAnsi="Times New Roman" w:cs="Times New Roman"/>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tcPr>
          <w:p w14:paraId="194B9D56" w14:textId="7ED96AA9" w:rsidR="0076658D" w:rsidRPr="0076658D" w:rsidRDefault="006140AE"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rsidR="006140AE" w:rsidRPr="0076658D" w14:paraId="1E3F96AB" w14:textId="77777777" w:rsidTr="0076658D">
        <w:trPr>
          <w:trHeight w:val="674"/>
        </w:trPr>
        <w:tc>
          <w:tcPr>
            <w:tcW w:w="2679" w:type="dxa"/>
            <w:tcBorders>
              <w:top w:val="single" w:sz="4" w:space="0" w:color="auto"/>
              <w:left w:val="single" w:sz="4" w:space="0" w:color="auto"/>
              <w:bottom w:val="single" w:sz="4" w:space="0" w:color="auto"/>
              <w:right w:val="single" w:sz="4" w:space="0" w:color="auto"/>
            </w:tcBorders>
            <w:vAlign w:val="bottom"/>
            <w:hideMark/>
          </w:tcPr>
          <w:p w14:paraId="1471CB53" w14:textId="77777777" w:rsidR="0076658D" w:rsidRPr="0076658D" w:rsidRDefault="0076658D" w:rsidP="0076658D">
            <w:pPr>
              <w:spacing w:after="0" w:line="240" w:lineRule="auto"/>
              <w:rPr>
                <w:rFonts w:ascii="Times New Roman" w:hAnsi="Times New Roman" w:cs="Times New Roman"/>
                <w:sz w:val="26"/>
                <w:szCs w:val="26"/>
              </w:rPr>
            </w:pPr>
            <w:r w:rsidRPr="0076658D">
              <w:rPr>
                <w:rFonts w:ascii="Times New Roman" w:hAnsi="Times New Roman" w:cs="Times New Roman"/>
                <w:sz w:val="26"/>
                <w:szCs w:val="26"/>
              </w:rPr>
              <w:t>Annual Time Burden (Hr.)</w:t>
            </w:r>
          </w:p>
        </w:tc>
        <w:tc>
          <w:tcPr>
            <w:tcW w:w="1461" w:type="dxa"/>
            <w:tcBorders>
              <w:top w:val="single" w:sz="4" w:space="0" w:color="auto"/>
              <w:left w:val="single" w:sz="4" w:space="0" w:color="auto"/>
              <w:bottom w:val="single" w:sz="4" w:space="0" w:color="auto"/>
              <w:right w:val="single" w:sz="4" w:space="0" w:color="auto"/>
            </w:tcBorders>
            <w:vAlign w:val="bottom"/>
          </w:tcPr>
          <w:p w14:paraId="6C91F881" w14:textId="75DDC2C9" w:rsidR="0076658D" w:rsidRPr="0076658D" w:rsidRDefault="006140AE"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1,469,721</w:t>
            </w:r>
          </w:p>
        </w:tc>
        <w:tc>
          <w:tcPr>
            <w:tcW w:w="1620" w:type="dxa"/>
            <w:tcBorders>
              <w:top w:val="single" w:sz="4" w:space="0" w:color="auto"/>
              <w:left w:val="single" w:sz="4" w:space="0" w:color="auto"/>
              <w:bottom w:val="single" w:sz="4" w:space="0" w:color="auto"/>
              <w:right w:val="single" w:sz="4" w:space="0" w:color="auto"/>
            </w:tcBorders>
            <w:vAlign w:val="bottom"/>
          </w:tcPr>
          <w:p w14:paraId="36F76666" w14:textId="77777777" w:rsidR="0076658D" w:rsidRPr="0076658D" w:rsidRDefault="0076658D"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1,582,705</w:t>
            </w:r>
          </w:p>
        </w:tc>
        <w:tc>
          <w:tcPr>
            <w:tcW w:w="1800" w:type="dxa"/>
            <w:tcBorders>
              <w:top w:val="single" w:sz="4" w:space="0" w:color="auto"/>
              <w:left w:val="single" w:sz="4" w:space="0" w:color="auto"/>
              <w:bottom w:val="single" w:sz="4" w:space="0" w:color="auto"/>
              <w:right w:val="single" w:sz="4" w:space="0" w:color="auto"/>
            </w:tcBorders>
            <w:vAlign w:val="bottom"/>
          </w:tcPr>
          <w:p w14:paraId="4C202282" w14:textId="77777777" w:rsidR="0076658D" w:rsidRPr="0076658D" w:rsidRDefault="0076658D" w:rsidP="0076658D">
            <w:pPr>
              <w:spacing w:after="0" w:line="240" w:lineRule="auto"/>
              <w:jc w:val="right"/>
              <w:rPr>
                <w:rFonts w:ascii="Times New Roman" w:hAnsi="Times New Roman" w:cs="Times New Roman"/>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tcPr>
          <w:p w14:paraId="07D8ABB3" w14:textId="5786A0B7" w:rsidR="0076658D" w:rsidRPr="0076658D" w:rsidRDefault="006140AE"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-112,984</w:t>
            </w:r>
          </w:p>
        </w:tc>
      </w:tr>
      <w:tr w:rsidR="006140AE" w:rsidRPr="0076658D" w14:paraId="6C7B6342" w14:textId="77777777" w:rsidTr="00022939">
        <w:trPr>
          <w:trHeight w:val="295"/>
        </w:trPr>
        <w:tc>
          <w:tcPr>
            <w:tcW w:w="2679" w:type="dxa"/>
            <w:tcBorders>
              <w:top w:val="single" w:sz="4" w:space="0" w:color="auto"/>
              <w:left w:val="single" w:sz="4" w:space="0" w:color="auto"/>
              <w:bottom w:val="single" w:sz="4" w:space="0" w:color="auto"/>
              <w:right w:val="single" w:sz="4" w:space="0" w:color="auto"/>
            </w:tcBorders>
            <w:vAlign w:val="bottom"/>
            <w:hideMark/>
          </w:tcPr>
          <w:p w14:paraId="0883F125" w14:textId="77777777" w:rsidR="0076658D" w:rsidRPr="0076658D" w:rsidRDefault="0076658D" w:rsidP="0076658D">
            <w:pPr>
              <w:spacing w:after="0" w:line="240" w:lineRule="auto"/>
              <w:rPr>
                <w:rFonts w:ascii="Times New Roman" w:hAnsi="Times New Roman" w:cs="Times New Roman"/>
                <w:sz w:val="26"/>
                <w:szCs w:val="26"/>
              </w:rPr>
            </w:pPr>
            <w:r w:rsidRPr="0076658D">
              <w:rPr>
                <w:rFonts w:ascii="Times New Roman" w:hAnsi="Times New Roman" w:cs="Times New Roman"/>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bottom"/>
            <w:hideMark/>
          </w:tcPr>
          <w:p w14:paraId="48C6D5CF" w14:textId="77777777" w:rsidR="0076658D" w:rsidRPr="0076658D" w:rsidRDefault="0076658D" w:rsidP="0076658D">
            <w:pPr>
              <w:spacing w:after="0" w:line="240" w:lineRule="auto"/>
              <w:jc w:val="right"/>
              <w:rPr>
                <w:rFonts w:ascii="Times New Roman" w:hAnsi="Times New Roman" w:cs="Times New Roman"/>
                <w:sz w:val="26"/>
                <w:szCs w:val="26"/>
              </w:rPr>
            </w:pPr>
            <w:r w:rsidRPr="0076658D">
              <w:rPr>
                <w:rFonts w:ascii="Times New Roman" w:hAnsi="Times New Roman" w:cs="Times New Roman"/>
                <w:sz w:val="26"/>
                <w:szCs w:val="26"/>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F0536FA" w14:textId="77777777" w:rsidR="0076658D" w:rsidRPr="0076658D" w:rsidRDefault="0076658D" w:rsidP="007665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126,725</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61AC0F4" w14:textId="77777777" w:rsidR="0076658D" w:rsidRPr="0076658D" w:rsidRDefault="0076658D" w:rsidP="0076658D">
            <w:pPr>
              <w:spacing w:after="0" w:line="240" w:lineRule="auto"/>
              <w:jc w:val="right"/>
              <w:rPr>
                <w:rFonts w:ascii="Times New Roman" w:hAnsi="Times New Roman" w:cs="Times New Roman"/>
                <w:sz w:val="26"/>
                <w:szCs w:val="26"/>
              </w:rPr>
            </w:pPr>
            <w:r w:rsidRPr="0076658D">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B6929F4" w14:textId="77777777" w:rsidR="0076658D" w:rsidRPr="0076658D" w:rsidRDefault="0076658D" w:rsidP="0076658D">
            <w:pPr>
              <w:spacing w:after="0" w:line="240" w:lineRule="auto"/>
              <w:jc w:val="right"/>
              <w:rPr>
                <w:rFonts w:ascii="Times New Roman" w:hAnsi="Times New Roman" w:cs="Times New Roman"/>
                <w:sz w:val="26"/>
                <w:szCs w:val="26"/>
              </w:rPr>
            </w:pPr>
          </w:p>
        </w:tc>
      </w:tr>
    </w:tbl>
    <w:p w14:paraId="549BD136" w14:textId="77777777" w:rsidR="0076658D" w:rsidRDefault="0076658D" w:rsidP="001A153B">
      <w:pPr>
        <w:spacing w:after="0" w:line="240" w:lineRule="auto"/>
        <w:rPr>
          <w:rFonts w:ascii="Times New Roman" w:hAnsi="Times New Roman" w:cs="Times New Roman"/>
          <w:sz w:val="26"/>
          <w:szCs w:val="26"/>
        </w:rPr>
      </w:pPr>
    </w:p>
    <w:p w14:paraId="78B5F6BB" w14:textId="77777777" w:rsidR="00EE07DD" w:rsidRPr="001A153B" w:rsidRDefault="00EE07DD" w:rsidP="001A153B">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TIME SCHEDULE FOR PUBLICATION OF DATA</w:t>
      </w:r>
    </w:p>
    <w:p w14:paraId="77C75645" w14:textId="77777777" w:rsidR="00EE07DD" w:rsidRPr="001A153B" w:rsidRDefault="00EE07DD" w:rsidP="001A153B">
      <w:pPr>
        <w:spacing w:after="0" w:line="240" w:lineRule="auto"/>
        <w:rPr>
          <w:rFonts w:ascii="Times New Roman" w:hAnsi="Times New Roman" w:cs="Times New Roman"/>
          <w:sz w:val="26"/>
          <w:szCs w:val="26"/>
        </w:rPr>
      </w:pPr>
    </w:p>
    <w:p w14:paraId="35459C76"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There are no data publications.</w:t>
      </w:r>
    </w:p>
    <w:p w14:paraId="4A903D66" w14:textId="77777777" w:rsidR="00EE07DD" w:rsidRPr="001A153B" w:rsidRDefault="00EE07DD" w:rsidP="001A153B">
      <w:pPr>
        <w:spacing w:after="0" w:line="240" w:lineRule="auto"/>
        <w:rPr>
          <w:rFonts w:ascii="Times New Roman" w:hAnsi="Times New Roman" w:cs="Times New Roman"/>
          <w:sz w:val="26"/>
          <w:szCs w:val="26"/>
        </w:rPr>
      </w:pPr>
    </w:p>
    <w:p w14:paraId="1A90466D" w14:textId="77777777" w:rsidR="00EE07DD" w:rsidRPr="001A153B" w:rsidRDefault="00EE07DD" w:rsidP="001A153B">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DISPLAY OF EXPIRATION DATE</w:t>
      </w:r>
    </w:p>
    <w:p w14:paraId="2BEA8B4E" w14:textId="77777777" w:rsidR="00EE07DD" w:rsidRPr="001A153B" w:rsidRDefault="00EE07DD" w:rsidP="001A153B">
      <w:pPr>
        <w:spacing w:after="0" w:line="240" w:lineRule="auto"/>
        <w:rPr>
          <w:rFonts w:ascii="Times New Roman" w:hAnsi="Times New Roman" w:cs="Times New Roman"/>
          <w:sz w:val="26"/>
          <w:szCs w:val="26"/>
        </w:rPr>
      </w:pPr>
    </w:p>
    <w:p w14:paraId="5FEF02A8" w14:textId="77777777"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The PRA information (including expiration dates and OMB Control Nos.) is posted at http://www.ferc.gov/docs-filing/info-collections.asp.</w:t>
      </w:r>
    </w:p>
    <w:p w14:paraId="6F45C045" w14:textId="77777777" w:rsidR="00EE07DD" w:rsidRPr="001A153B" w:rsidRDefault="00EE07DD" w:rsidP="001A153B">
      <w:pPr>
        <w:spacing w:after="0" w:line="240" w:lineRule="auto"/>
        <w:rPr>
          <w:rFonts w:ascii="Times New Roman" w:hAnsi="Times New Roman" w:cs="Times New Roman"/>
          <w:sz w:val="26"/>
          <w:szCs w:val="26"/>
        </w:rPr>
      </w:pPr>
    </w:p>
    <w:p w14:paraId="61EDFDB7" w14:textId="77777777" w:rsidR="00EE07DD" w:rsidRPr="001A153B" w:rsidRDefault="00EE07DD" w:rsidP="001A153B">
      <w:pPr>
        <w:numPr>
          <w:ilvl w:val="0"/>
          <w:numId w:val="2"/>
        </w:num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EXCEPTIONS TO THE CERTIFICATION STATEMENT</w:t>
      </w:r>
    </w:p>
    <w:p w14:paraId="022B4FFE" w14:textId="77777777" w:rsidR="00EE07DD" w:rsidRPr="001A153B" w:rsidRDefault="00EE07DD" w:rsidP="001A153B">
      <w:pPr>
        <w:spacing w:after="0" w:line="240" w:lineRule="auto"/>
        <w:rPr>
          <w:rFonts w:ascii="Times New Roman" w:hAnsi="Times New Roman" w:cs="Times New Roman"/>
          <w:b/>
          <w:sz w:val="26"/>
          <w:szCs w:val="26"/>
        </w:rPr>
      </w:pPr>
    </w:p>
    <w:p w14:paraId="148BE79D" w14:textId="3B0203B1" w:rsidR="00EE07DD" w:rsidRPr="001A153B" w:rsidRDefault="00EE07DD" w:rsidP="001A153B">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 xml:space="preserve">The Commission does not use statistical methods for these collections.  </w:t>
      </w:r>
    </w:p>
    <w:sectPr w:rsidR="00EE07DD" w:rsidRPr="001A153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BEC9D" w14:textId="77777777" w:rsidR="00022939" w:rsidRDefault="00022939" w:rsidP="00EE07DD">
      <w:pPr>
        <w:spacing w:after="0" w:line="240" w:lineRule="auto"/>
      </w:pPr>
      <w:r>
        <w:separator/>
      </w:r>
    </w:p>
  </w:endnote>
  <w:endnote w:type="continuationSeparator" w:id="0">
    <w:p w14:paraId="40DB914E" w14:textId="77777777" w:rsidR="00022939" w:rsidRDefault="00022939" w:rsidP="00EE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52269"/>
      <w:docPartObj>
        <w:docPartGallery w:val="Page Numbers (Bottom of Page)"/>
        <w:docPartUnique/>
      </w:docPartObj>
    </w:sdtPr>
    <w:sdtEndPr>
      <w:rPr>
        <w:noProof/>
      </w:rPr>
    </w:sdtEndPr>
    <w:sdtContent>
      <w:p w14:paraId="33524FE4" w14:textId="76EE2AFB" w:rsidR="003706A1" w:rsidRDefault="003706A1">
        <w:pPr>
          <w:pStyle w:val="Footer"/>
          <w:jc w:val="right"/>
        </w:pPr>
        <w:r>
          <w:fldChar w:fldCharType="begin"/>
        </w:r>
        <w:r>
          <w:instrText xml:space="preserve"> PAGE   \* MERGEFORMAT </w:instrText>
        </w:r>
        <w:r>
          <w:fldChar w:fldCharType="separate"/>
        </w:r>
        <w:r w:rsidR="00450F42">
          <w:rPr>
            <w:noProof/>
          </w:rPr>
          <w:t>1</w:t>
        </w:r>
        <w:r>
          <w:rPr>
            <w:noProof/>
          </w:rPr>
          <w:fldChar w:fldCharType="end"/>
        </w:r>
      </w:p>
    </w:sdtContent>
  </w:sdt>
  <w:p w14:paraId="72A34CF4" w14:textId="77777777" w:rsidR="003706A1" w:rsidRDefault="00370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E923F" w14:textId="77777777" w:rsidR="00022939" w:rsidRDefault="00022939" w:rsidP="00EE07DD">
      <w:pPr>
        <w:spacing w:after="0" w:line="240" w:lineRule="auto"/>
      </w:pPr>
      <w:r>
        <w:separator/>
      </w:r>
    </w:p>
  </w:footnote>
  <w:footnote w:type="continuationSeparator" w:id="0">
    <w:p w14:paraId="02A6A0E7" w14:textId="77777777" w:rsidR="00022939" w:rsidRDefault="00022939" w:rsidP="00EE07DD">
      <w:pPr>
        <w:spacing w:after="0" w:line="240" w:lineRule="auto"/>
      </w:pPr>
      <w:r>
        <w:continuationSeparator/>
      </w:r>
    </w:p>
  </w:footnote>
  <w:footnote w:id="1">
    <w:p w14:paraId="353A5503" w14:textId="77777777" w:rsidR="0024377F" w:rsidRDefault="0024377F" w:rsidP="0024377F">
      <w:pPr>
        <w:pStyle w:val="FootnoteText"/>
        <w:rPr>
          <w:rFonts w:ascii="Times New Roman" w:hAnsi="Times New Roman" w:cs="Times New Roman"/>
          <w:sz w:val="26"/>
          <w:szCs w:val="26"/>
        </w:rPr>
      </w:pPr>
      <w:r w:rsidRPr="0024377F">
        <w:rPr>
          <w:rStyle w:val="FootnoteReference"/>
          <w:rFonts w:ascii="Times New Roman" w:hAnsi="Times New Roman" w:cs="Times New Roman"/>
          <w:sz w:val="26"/>
          <w:szCs w:val="26"/>
        </w:rPr>
        <w:footnoteRef/>
      </w:r>
      <w:r w:rsidRPr="0024377F">
        <w:rPr>
          <w:rFonts w:ascii="Times New Roman" w:hAnsi="Times New Roman" w:cs="Times New Roman"/>
          <w:sz w:val="26"/>
          <w:szCs w:val="26"/>
        </w:rPr>
        <w:t xml:space="preserve"> As noted in the supporting statement, Footnote 1, for the Notice of Proposed Rulemaking in Docket RM16-22: </w:t>
      </w:r>
    </w:p>
    <w:p w14:paraId="714DCC59" w14:textId="19DC161B" w:rsidR="0024377F" w:rsidRDefault="0024377F" w:rsidP="0024377F">
      <w:pPr>
        <w:pStyle w:val="FootnoteText"/>
        <w:ind w:left="360"/>
        <w:rPr>
          <w:rFonts w:ascii="Times New Roman" w:hAnsi="Times New Roman" w:cs="Times New Roman"/>
          <w:sz w:val="26"/>
          <w:szCs w:val="26"/>
        </w:rPr>
      </w:pPr>
      <w:r>
        <w:rPr>
          <w:rFonts w:ascii="Times New Roman" w:hAnsi="Times New Roman" w:cs="Times New Roman"/>
          <w:sz w:val="26"/>
          <w:szCs w:val="26"/>
        </w:rPr>
        <w:t xml:space="preserve">“On an administrative note, this consolidated supporting statement should be submitted in FERC-725A (OMB Control No. 1902-0244), FERC-725G (OMB Control No. 1902-0252), and FERC-725Y.  However, there are other unrelated items pending at OMB in FERC-725A and FERC-725G, and only one item per OMB Control No. can be pending OMB review at a time.  As a result, we are having to make two adjustments in order to submit timely, to OMB, the NOPR in Docket No. RM16-22 with the related Paperwork Reduction Act materials.  </w:t>
      </w:r>
    </w:p>
    <w:p w14:paraId="50A5742F" w14:textId="77777777" w:rsidR="0024377F" w:rsidRDefault="0024377F" w:rsidP="0024377F">
      <w:pPr>
        <w:numPr>
          <w:ilvl w:val="0"/>
          <w:numId w:val="6"/>
        </w:num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The NOPR proposes to retire Reliability Standard PRC-001-1.1 and to reduce burden (in FERC-725A).  FERC is </w:t>
      </w:r>
      <w:r>
        <w:rPr>
          <w:rFonts w:ascii="Times New Roman" w:hAnsi="Times New Roman" w:cs="Times New Roman"/>
          <w:i/>
          <w:sz w:val="26"/>
          <w:szCs w:val="26"/>
        </w:rPr>
        <w:t xml:space="preserve">not </w:t>
      </w:r>
      <w:r>
        <w:rPr>
          <w:rFonts w:ascii="Times New Roman" w:hAnsi="Times New Roman" w:cs="Times New Roman"/>
          <w:sz w:val="26"/>
          <w:szCs w:val="26"/>
        </w:rPr>
        <w:t xml:space="preserve">taking the reduction to FERC-725A at this time.  Estimates for the burden reduction are included in the NOPR and this supporting statement in #12, in order to solicit public comments, although an ICR cannot be submitted at this time for FERC-725A.  </w:t>
      </w:r>
    </w:p>
    <w:p w14:paraId="100D55B6" w14:textId="1F3714E8" w:rsidR="0024377F" w:rsidRDefault="0024377F" w:rsidP="0024377F">
      <w:pPr>
        <w:pStyle w:val="FootnoteText"/>
        <w:numPr>
          <w:ilvl w:val="0"/>
          <w:numId w:val="6"/>
        </w:numPr>
        <w:rPr>
          <w:rFonts w:ascii="Times New Roman" w:hAnsi="Times New Roman" w:cs="Times New Roman"/>
          <w:sz w:val="26"/>
          <w:szCs w:val="26"/>
        </w:rPr>
      </w:pPr>
      <w:r>
        <w:rPr>
          <w:rFonts w:ascii="Times New Roman" w:hAnsi="Times New Roman" w:cs="Times New Roman"/>
          <w:sz w:val="26"/>
          <w:szCs w:val="26"/>
        </w:rPr>
        <w:t>We are using FERC-725G6, a temporary ‘placeholder’ information collection number (rather than FERC-725G) for the NOPR.”</w:t>
      </w:r>
    </w:p>
    <w:p w14:paraId="1F29BC0F" w14:textId="2A5C6521" w:rsidR="0024377F" w:rsidRPr="0024377F" w:rsidRDefault="0024377F" w:rsidP="0024377F">
      <w:pPr>
        <w:pStyle w:val="FootnoteText"/>
        <w:rPr>
          <w:i/>
        </w:rPr>
      </w:pPr>
      <w:r w:rsidRPr="0024377F">
        <w:rPr>
          <w:rFonts w:ascii="Times New Roman" w:hAnsi="Times New Roman" w:cs="Times New Roman"/>
          <w:i/>
          <w:sz w:val="26"/>
          <w:szCs w:val="26"/>
        </w:rPr>
        <w:t>Due to th</w:t>
      </w:r>
      <w:r>
        <w:rPr>
          <w:rFonts w:ascii="Times New Roman" w:hAnsi="Times New Roman" w:cs="Times New Roman"/>
          <w:i/>
          <w:sz w:val="26"/>
          <w:szCs w:val="26"/>
        </w:rPr>
        <w:t>o</w:t>
      </w:r>
      <w:r w:rsidRPr="0024377F">
        <w:rPr>
          <w:rFonts w:ascii="Times New Roman" w:hAnsi="Times New Roman" w:cs="Times New Roman"/>
          <w:i/>
          <w:sz w:val="26"/>
          <w:szCs w:val="26"/>
        </w:rPr>
        <w:t xml:space="preserve">se </w:t>
      </w:r>
      <w:r>
        <w:rPr>
          <w:rFonts w:ascii="Times New Roman" w:hAnsi="Times New Roman" w:cs="Times New Roman"/>
          <w:i/>
          <w:sz w:val="26"/>
          <w:szCs w:val="26"/>
        </w:rPr>
        <w:t xml:space="preserve">necessary </w:t>
      </w:r>
      <w:r w:rsidRPr="0024377F">
        <w:rPr>
          <w:rFonts w:ascii="Times New Roman" w:hAnsi="Times New Roman" w:cs="Times New Roman"/>
          <w:i/>
          <w:sz w:val="26"/>
          <w:szCs w:val="26"/>
        </w:rPr>
        <w:t xml:space="preserve">administrative </w:t>
      </w:r>
      <w:r>
        <w:rPr>
          <w:rFonts w:ascii="Times New Roman" w:hAnsi="Times New Roman" w:cs="Times New Roman"/>
          <w:i/>
          <w:sz w:val="26"/>
          <w:szCs w:val="26"/>
        </w:rPr>
        <w:t>adjustments in ROCIS at the NOPR stage</w:t>
      </w:r>
      <w:r w:rsidRPr="0024377F">
        <w:rPr>
          <w:rFonts w:ascii="Times New Roman" w:hAnsi="Times New Roman" w:cs="Times New Roman"/>
          <w:i/>
          <w:sz w:val="26"/>
          <w:szCs w:val="26"/>
        </w:rPr>
        <w:t xml:space="preserve">, </w:t>
      </w:r>
      <w:r>
        <w:rPr>
          <w:rFonts w:ascii="Times New Roman" w:hAnsi="Times New Roman" w:cs="Times New Roman"/>
          <w:i/>
          <w:sz w:val="26"/>
          <w:szCs w:val="26"/>
        </w:rPr>
        <w:t xml:space="preserve">the meta-data in </w:t>
      </w:r>
      <w:r w:rsidRPr="0024377F">
        <w:rPr>
          <w:rFonts w:ascii="Times New Roman" w:hAnsi="Times New Roman" w:cs="Times New Roman"/>
          <w:i/>
          <w:sz w:val="26"/>
          <w:szCs w:val="26"/>
        </w:rPr>
        <w:t xml:space="preserve">OMB’s ROCIS system </w:t>
      </w:r>
      <w:r>
        <w:rPr>
          <w:rFonts w:ascii="Times New Roman" w:hAnsi="Times New Roman" w:cs="Times New Roman"/>
          <w:i/>
          <w:sz w:val="26"/>
          <w:szCs w:val="26"/>
        </w:rPr>
        <w:t xml:space="preserve">for </w:t>
      </w:r>
      <w:r w:rsidRPr="0024377F">
        <w:rPr>
          <w:rFonts w:ascii="Times New Roman" w:hAnsi="Times New Roman" w:cs="Times New Roman"/>
          <w:i/>
          <w:sz w:val="26"/>
          <w:szCs w:val="26"/>
        </w:rPr>
        <w:t>th</w:t>
      </w:r>
      <w:r>
        <w:rPr>
          <w:rFonts w:ascii="Times New Roman" w:hAnsi="Times New Roman" w:cs="Times New Roman"/>
          <w:i/>
          <w:sz w:val="26"/>
          <w:szCs w:val="26"/>
        </w:rPr>
        <w:t>os</w:t>
      </w:r>
      <w:r w:rsidRPr="0024377F">
        <w:rPr>
          <w:rFonts w:ascii="Times New Roman" w:hAnsi="Times New Roman" w:cs="Times New Roman"/>
          <w:i/>
          <w:sz w:val="26"/>
          <w:szCs w:val="26"/>
        </w:rPr>
        <w:t xml:space="preserve">e associated ICRs for the Final Rule in RM16-22 will </w:t>
      </w:r>
      <w:r>
        <w:rPr>
          <w:rFonts w:ascii="Times New Roman" w:hAnsi="Times New Roman" w:cs="Times New Roman"/>
          <w:i/>
          <w:sz w:val="26"/>
          <w:szCs w:val="26"/>
        </w:rPr>
        <w:t>have</w:t>
      </w:r>
      <w:r w:rsidRPr="0024377F">
        <w:rPr>
          <w:rFonts w:ascii="Times New Roman" w:hAnsi="Times New Roman" w:cs="Times New Roman"/>
          <w:i/>
          <w:sz w:val="26"/>
          <w:szCs w:val="26"/>
        </w:rPr>
        <w:t xml:space="preserve"> the NOPR data for the 60-day notice </w:t>
      </w:r>
      <w:r>
        <w:rPr>
          <w:rFonts w:ascii="Times New Roman" w:hAnsi="Times New Roman" w:cs="Times New Roman"/>
          <w:i/>
          <w:sz w:val="26"/>
          <w:szCs w:val="26"/>
        </w:rPr>
        <w:t xml:space="preserve">fields </w:t>
      </w:r>
      <w:r w:rsidRPr="0024377F">
        <w:rPr>
          <w:rFonts w:ascii="Times New Roman" w:hAnsi="Times New Roman" w:cs="Times New Roman"/>
          <w:i/>
          <w:sz w:val="26"/>
          <w:szCs w:val="26"/>
        </w:rPr>
        <w:t xml:space="preserve">and the Final Rule data </w:t>
      </w:r>
      <w:r>
        <w:rPr>
          <w:rFonts w:ascii="Times New Roman" w:hAnsi="Times New Roman" w:cs="Times New Roman"/>
          <w:i/>
          <w:sz w:val="26"/>
          <w:szCs w:val="26"/>
        </w:rPr>
        <w:t xml:space="preserve">for </w:t>
      </w:r>
      <w:r w:rsidRPr="0024377F">
        <w:rPr>
          <w:rFonts w:ascii="Times New Roman" w:hAnsi="Times New Roman" w:cs="Times New Roman"/>
          <w:i/>
          <w:sz w:val="26"/>
          <w:szCs w:val="26"/>
        </w:rPr>
        <w:t>the 30-day notice</w:t>
      </w:r>
      <w:r>
        <w:rPr>
          <w:rFonts w:ascii="Times New Roman" w:hAnsi="Times New Roman" w:cs="Times New Roman"/>
          <w:i/>
          <w:sz w:val="26"/>
          <w:szCs w:val="26"/>
        </w:rPr>
        <w:t xml:space="preserve"> fields</w:t>
      </w:r>
      <w:r w:rsidRPr="0024377F">
        <w:rPr>
          <w:rFonts w:ascii="Times New Roman" w:hAnsi="Times New Roman" w:cs="Times New Roman"/>
          <w:i/>
          <w:sz w:val="26"/>
          <w:szCs w:val="26"/>
        </w:rPr>
        <w:t>.</w:t>
      </w:r>
      <w:r w:rsidR="008E4006">
        <w:rPr>
          <w:rFonts w:ascii="Times New Roman" w:hAnsi="Times New Roman" w:cs="Times New Roman"/>
          <w:i/>
          <w:sz w:val="26"/>
          <w:szCs w:val="26"/>
        </w:rPr>
        <w:t xml:space="preserve"> FERC is taking the reduction to FERC-725A at this Final Rule stage.</w:t>
      </w:r>
      <w:r>
        <w:rPr>
          <w:rFonts w:ascii="Times New Roman" w:hAnsi="Times New Roman" w:cs="Times New Roman"/>
          <w:i/>
          <w:sz w:val="26"/>
          <w:szCs w:val="26"/>
        </w:rPr>
        <w:t xml:space="preserve"> </w:t>
      </w:r>
    </w:p>
  </w:footnote>
  <w:footnote w:id="2">
    <w:p w14:paraId="0302CC19" w14:textId="77777777" w:rsidR="00022939" w:rsidRDefault="00022939">
      <w:pPr>
        <w:pStyle w:val="FootnoteText"/>
      </w:pPr>
      <w:r w:rsidRPr="0024377F">
        <w:rPr>
          <w:rStyle w:val="FootnoteReference"/>
          <w:rFonts w:ascii="Times New Roman" w:hAnsi="Times New Roman" w:cs="Times New Roman"/>
          <w:sz w:val="26"/>
          <w:szCs w:val="26"/>
        </w:rPr>
        <w:footnoteRef/>
      </w:r>
      <w:r w:rsidRPr="0024377F">
        <w:rPr>
          <w:rFonts w:ascii="Times New Roman" w:hAnsi="Times New Roman" w:cs="Times New Roman"/>
          <w:sz w:val="26"/>
          <w:szCs w:val="26"/>
        </w:rPr>
        <w:t xml:space="preserve"> </w:t>
      </w:r>
      <w:r w:rsidRPr="00A56BAC">
        <w:rPr>
          <w:rFonts w:ascii="Times New Roman" w:hAnsi="Times New Roman" w:cs="Times New Roman"/>
          <w:sz w:val="26"/>
          <w:szCs w:val="26"/>
        </w:rPr>
        <w:t>FERC-725A (OMB Control No. 1902-0244) currently includes the information collection requirements associated with Reliability Standard PRC-001-1.1(ii), which is retir</w:t>
      </w:r>
      <w:r>
        <w:rPr>
          <w:rFonts w:ascii="Times New Roman" w:hAnsi="Times New Roman" w:cs="Times New Roman"/>
          <w:sz w:val="26"/>
          <w:szCs w:val="26"/>
        </w:rPr>
        <w:t>ing</w:t>
      </w:r>
      <w:r w:rsidRPr="00A56BAC">
        <w:rPr>
          <w:rFonts w:ascii="Times New Roman" w:hAnsi="Times New Roman" w:cs="Times New Roman"/>
          <w:sz w:val="26"/>
          <w:szCs w:val="26"/>
        </w:rPr>
        <w:t xml:space="preserve">.  </w:t>
      </w:r>
      <w:r>
        <w:rPr>
          <w:rFonts w:ascii="Times New Roman" w:hAnsi="Times New Roman" w:cs="Times New Roman"/>
          <w:sz w:val="26"/>
          <w:szCs w:val="26"/>
        </w:rPr>
        <w:t>T</w:t>
      </w:r>
      <w:r w:rsidRPr="00A56BAC">
        <w:rPr>
          <w:rFonts w:ascii="Times New Roman" w:hAnsi="Times New Roman" w:cs="Times New Roman"/>
          <w:sz w:val="26"/>
          <w:szCs w:val="26"/>
        </w:rPr>
        <w:t xml:space="preserve">he Commission is reducing the burden estimates associated with FERC-725A </w:t>
      </w:r>
      <w:r>
        <w:rPr>
          <w:rFonts w:ascii="Times New Roman" w:hAnsi="Times New Roman" w:cs="Times New Roman"/>
          <w:sz w:val="26"/>
          <w:szCs w:val="26"/>
        </w:rPr>
        <w:t>in this final rule</w:t>
      </w:r>
      <w:r w:rsidRPr="00A56BAC">
        <w:rPr>
          <w:rFonts w:ascii="Times New Roman" w:hAnsi="Times New Roman" w:cs="Times New Roman"/>
          <w:sz w:val="26"/>
          <w:szCs w:val="26"/>
        </w:rPr>
        <w:t>.</w:t>
      </w:r>
    </w:p>
  </w:footnote>
  <w:footnote w:id="3">
    <w:p w14:paraId="1D5C85CB" w14:textId="07579701" w:rsidR="00022939" w:rsidRPr="008A757A" w:rsidRDefault="00022939" w:rsidP="00EE07DD">
      <w:pPr>
        <w:pStyle w:val="FootnoteText"/>
        <w:rPr>
          <w:rFonts w:ascii="Times New Roman" w:hAnsi="Times New Roman" w:cs="Times New Roman"/>
          <w:sz w:val="26"/>
          <w:szCs w:val="26"/>
        </w:rPr>
      </w:pPr>
      <w:r w:rsidRPr="00174FB5">
        <w:rPr>
          <w:rStyle w:val="FootnoteReference"/>
          <w:rFonts w:ascii="Times New Roman" w:hAnsi="Times New Roman" w:cs="Times New Roman"/>
          <w:sz w:val="26"/>
          <w:szCs w:val="26"/>
        </w:rPr>
        <w:footnoteRef/>
      </w:r>
      <w:r w:rsidRPr="00174FB5">
        <w:rPr>
          <w:rFonts w:ascii="Times New Roman" w:hAnsi="Times New Roman" w:cs="Times New Roman"/>
          <w:sz w:val="26"/>
          <w:szCs w:val="26"/>
        </w:rPr>
        <w:t xml:space="preserve"> The</w:t>
      </w:r>
      <w:r>
        <w:rPr>
          <w:rFonts w:ascii="Times New Roman" w:hAnsi="Times New Roman" w:cs="Times New Roman"/>
          <w:sz w:val="26"/>
          <w:szCs w:val="26"/>
        </w:rPr>
        <w:t>se</w:t>
      </w:r>
      <w:r w:rsidRPr="00174FB5">
        <w:rPr>
          <w:rFonts w:ascii="Times New Roman" w:hAnsi="Times New Roman" w:cs="Times New Roman"/>
          <w:sz w:val="26"/>
          <w:szCs w:val="26"/>
        </w:rPr>
        <w:t xml:space="preserve"> standards </w:t>
      </w:r>
      <w:r>
        <w:rPr>
          <w:rFonts w:ascii="Times New Roman" w:hAnsi="Times New Roman" w:cs="Times New Roman"/>
          <w:sz w:val="26"/>
          <w:szCs w:val="26"/>
        </w:rPr>
        <w:t>are</w:t>
      </w:r>
      <w:r w:rsidRPr="00174FB5">
        <w:rPr>
          <w:rFonts w:ascii="Times New Roman" w:hAnsi="Times New Roman" w:cs="Times New Roman"/>
          <w:sz w:val="26"/>
          <w:szCs w:val="26"/>
        </w:rPr>
        <w:t xml:space="preserve"> included in two ‘families’ of NERC Reliability standards: a)</w:t>
      </w:r>
      <w:r>
        <w:rPr>
          <w:rFonts w:ascii="Times New Roman" w:hAnsi="Times New Roman" w:cs="Times New Roman"/>
          <w:sz w:val="26"/>
          <w:szCs w:val="26"/>
        </w:rPr>
        <w:t xml:space="preserve"> </w:t>
      </w:r>
      <w:r w:rsidRPr="00174FB5">
        <w:rPr>
          <w:rFonts w:ascii="Times New Roman" w:hAnsi="Times New Roman" w:cs="Times New Roman"/>
          <w:sz w:val="26"/>
          <w:szCs w:val="26"/>
        </w:rPr>
        <w:t>Personnel Performance, Tr</w:t>
      </w:r>
      <w:r>
        <w:rPr>
          <w:rFonts w:ascii="Times New Roman" w:hAnsi="Times New Roman" w:cs="Times New Roman"/>
          <w:sz w:val="26"/>
          <w:szCs w:val="26"/>
        </w:rPr>
        <w:t>aining, and Qualifications (PER</w:t>
      </w:r>
      <w:r w:rsidRPr="00174FB5">
        <w:rPr>
          <w:rFonts w:ascii="Times New Roman" w:hAnsi="Times New Roman" w:cs="Times New Roman"/>
          <w:sz w:val="26"/>
          <w:szCs w:val="26"/>
        </w:rPr>
        <w:t>), and b)</w:t>
      </w:r>
      <w:r>
        <w:rPr>
          <w:rFonts w:ascii="Times New Roman" w:hAnsi="Times New Roman" w:cs="Times New Roman"/>
          <w:sz w:val="26"/>
          <w:szCs w:val="26"/>
        </w:rPr>
        <w:t xml:space="preserve"> </w:t>
      </w:r>
      <w:r w:rsidRPr="00174FB5">
        <w:rPr>
          <w:rFonts w:ascii="Times New Roman" w:hAnsi="Times New Roman" w:cs="Times New Roman"/>
          <w:sz w:val="26"/>
          <w:szCs w:val="26"/>
        </w:rPr>
        <w:t>Protection and Control (PRC)</w:t>
      </w:r>
      <w:r>
        <w:rPr>
          <w:rFonts w:ascii="Times New Roman" w:hAnsi="Times New Roman" w:cs="Times New Roman"/>
          <w:sz w:val="26"/>
          <w:szCs w:val="26"/>
        </w:rPr>
        <w:t xml:space="preserve">. </w:t>
      </w:r>
      <w:r w:rsidRPr="00174FB5">
        <w:rPr>
          <w:rFonts w:ascii="Times New Roman" w:hAnsi="Times New Roman" w:cs="Times New Roman"/>
          <w:sz w:val="26"/>
          <w:szCs w:val="26"/>
        </w:rPr>
        <w:t xml:space="preserve">The standards are available </w:t>
      </w:r>
      <w:r w:rsidR="007B29B4">
        <w:rPr>
          <w:rFonts w:ascii="Times New Roman" w:hAnsi="Times New Roman" w:cs="Times New Roman"/>
          <w:sz w:val="26"/>
          <w:szCs w:val="26"/>
        </w:rPr>
        <w:t>on NERC’s website</w:t>
      </w:r>
      <w:r>
        <w:rPr>
          <w:rFonts w:ascii="Times New Roman" w:hAnsi="Times New Roman" w:cs="Times New Roman"/>
          <w:sz w:val="26"/>
          <w:szCs w:val="26"/>
        </w:rPr>
        <w:t xml:space="preserve"> at </w:t>
      </w:r>
      <w:hyperlink r:id="rId1" w:history="1">
        <w:r w:rsidR="007B29B4" w:rsidRPr="00FA7594">
          <w:rPr>
            <w:rStyle w:val="Hyperlink"/>
            <w:sz w:val="26"/>
            <w:szCs w:val="26"/>
          </w:rPr>
          <w:t>https://www.nerc.com/pa/Stand/Reliability%20Standards/PRC-027-1.pdf</w:t>
        </w:r>
      </w:hyperlink>
      <w:r w:rsidR="007B29B4">
        <w:rPr>
          <w:rFonts w:ascii="Times New Roman" w:hAnsi="Times New Roman" w:cs="Times New Roman"/>
          <w:sz w:val="26"/>
          <w:szCs w:val="26"/>
        </w:rPr>
        <w:t xml:space="preserve"> (Reliability Standard PRC-027-1 and </w:t>
      </w:r>
      <w:r>
        <w:rPr>
          <w:rFonts w:ascii="Times New Roman" w:hAnsi="Times New Roman" w:cs="Times New Roman"/>
          <w:sz w:val="26"/>
          <w:szCs w:val="26"/>
        </w:rPr>
        <w:t xml:space="preserve"> </w:t>
      </w:r>
      <w:hyperlink r:id="rId2" w:history="1">
        <w:r w:rsidR="007B29B4" w:rsidRPr="007B29B4">
          <w:rPr>
            <w:rStyle w:val="Hyperlink"/>
            <w:sz w:val="26"/>
            <w:szCs w:val="26"/>
          </w:rPr>
          <w:t>https://www.nerc.com/pa/Stand/Reliability%20Standards/PER-006-1.pdf</w:t>
        </w:r>
      </w:hyperlink>
      <w:r w:rsidR="007B29B4">
        <w:rPr>
          <w:rFonts w:ascii="Times New Roman" w:hAnsi="Times New Roman" w:cs="Times New Roman"/>
          <w:sz w:val="26"/>
          <w:szCs w:val="26"/>
        </w:rPr>
        <w:t xml:space="preserve"> ( Reliability Standard PER-006-1).  The NERC Petition for these standards is available </w:t>
      </w:r>
      <w:hyperlink r:id="rId3" w:history="1">
        <w:r w:rsidR="007B29B4" w:rsidRPr="007B29B4">
          <w:rPr>
            <w:rStyle w:val="Hyperlink"/>
            <w:sz w:val="26"/>
            <w:szCs w:val="26"/>
          </w:rPr>
          <w:t>here</w:t>
        </w:r>
      </w:hyperlink>
      <w:r w:rsidR="007B29B4">
        <w:rPr>
          <w:rFonts w:ascii="Times New Roman" w:hAnsi="Times New Roman" w:cs="Times New Roman"/>
          <w:sz w:val="26"/>
          <w:szCs w:val="26"/>
        </w:rPr>
        <w:t>.</w:t>
      </w:r>
    </w:p>
  </w:footnote>
  <w:footnote w:id="4">
    <w:p w14:paraId="018584C2" w14:textId="77777777" w:rsidR="00022939" w:rsidRDefault="00022939" w:rsidP="00EE07DD">
      <w:pPr>
        <w:pStyle w:val="FootnoteText"/>
        <w:rPr>
          <w:rFonts w:ascii="Times New Roman" w:hAnsi="Times New Roman"/>
          <w:sz w:val="22"/>
          <w:szCs w:val="22"/>
        </w:rPr>
      </w:pPr>
      <w:r w:rsidRPr="00D534A0">
        <w:rPr>
          <w:rStyle w:val="FootnoteReference"/>
          <w:rFonts w:ascii="Times New Roman" w:hAnsi="Times New Roman" w:cs="Times New Roman"/>
          <w:sz w:val="26"/>
          <w:szCs w:val="26"/>
        </w:rPr>
        <w:footnoteRef/>
      </w:r>
      <w:r w:rsidRPr="00D534A0">
        <w:rPr>
          <w:rFonts w:ascii="Times New Roman" w:hAnsi="Times New Roman" w:cs="Times New Roman"/>
          <w:sz w:val="26"/>
          <w:szCs w:val="26"/>
          <w:vertAlign w:val="superscript"/>
        </w:rPr>
        <w:t xml:space="preserve"> </w:t>
      </w:r>
      <w:r w:rsidRPr="00D534A0">
        <w:rPr>
          <w:rFonts w:ascii="Times New Roman" w:hAnsi="Times New Roman" w:cs="Times New Roman"/>
          <w:sz w:val="26"/>
          <w:szCs w:val="26"/>
        </w:rPr>
        <w:t>The Energy Policy Act of 2005, Pub. L. No 109-58, Title XII, Subtitle A, 119 Stat. 594, 941 (2005), codified at 16 U.S.C. 824o (2006).</w:t>
      </w:r>
    </w:p>
  </w:footnote>
  <w:footnote w:id="5">
    <w:p w14:paraId="7A42BFF1" w14:textId="77777777" w:rsidR="00022939" w:rsidRPr="000F0D91" w:rsidRDefault="00022939" w:rsidP="00EE07DD">
      <w:pPr>
        <w:pStyle w:val="FootnoteText"/>
        <w:rPr>
          <w:rFonts w:ascii="Times New Roman" w:hAnsi="Times New Roman" w:cs="Times New Roman"/>
          <w:sz w:val="26"/>
          <w:szCs w:val="26"/>
        </w:rPr>
      </w:pPr>
      <w:r w:rsidRPr="000F0D91">
        <w:rPr>
          <w:rStyle w:val="FootnoteReference"/>
          <w:rFonts w:ascii="Times New Roman" w:hAnsi="Times New Roman" w:cs="Times New Roman"/>
          <w:sz w:val="26"/>
          <w:szCs w:val="26"/>
        </w:rPr>
        <w:footnoteRef/>
      </w:r>
      <w:r w:rsidRPr="000F0D91">
        <w:rPr>
          <w:rFonts w:ascii="Times New Roman" w:hAnsi="Times New Roman" w:cs="Times New Roman"/>
          <w:sz w:val="26"/>
          <w:szCs w:val="26"/>
        </w:rPr>
        <w:t xml:space="preserve"> </w:t>
      </w:r>
      <w:r w:rsidRPr="000F0D91">
        <w:rPr>
          <w:rFonts w:ascii="Times New Roman" w:hAnsi="Times New Roman" w:cs="Times New Roman"/>
          <w:i/>
          <w:iCs/>
          <w:sz w:val="26"/>
          <w:szCs w:val="26"/>
        </w:rPr>
        <w:t xml:space="preserve">Id. </w:t>
      </w:r>
      <w:r w:rsidRPr="000F0D91">
        <w:rPr>
          <w:rFonts w:ascii="Times New Roman" w:hAnsi="Times New Roman" w:cs="Times New Roman"/>
          <w:sz w:val="26"/>
          <w:szCs w:val="26"/>
        </w:rPr>
        <w:t>824o(c), (d).</w:t>
      </w:r>
    </w:p>
  </w:footnote>
  <w:footnote w:id="6">
    <w:p w14:paraId="6DCA8CF7" w14:textId="77777777" w:rsidR="00022939" w:rsidRPr="000F0D91" w:rsidRDefault="00022939" w:rsidP="00EE07DD">
      <w:pPr>
        <w:pStyle w:val="FootnoteText"/>
        <w:rPr>
          <w:rFonts w:ascii="Times New Roman" w:hAnsi="Times New Roman" w:cs="Times New Roman"/>
          <w:sz w:val="26"/>
          <w:szCs w:val="26"/>
        </w:rPr>
      </w:pPr>
      <w:r w:rsidRPr="000F0D91">
        <w:rPr>
          <w:rStyle w:val="FootnoteReference"/>
          <w:rFonts w:ascii="Times New Roman" w:hAnsi="Times New Roman" w:cs="Times New Roman"/>
          <w:sz w:val="26"/>
          <w:szCs w:val="26"/>
        </w:rPr>
        <w:footnoteRef/>
      </w:r>
      <w:r w:rsidRPr="000F0D91">
        <w:rPr>
          <w:rFonts w:ascii="Times New Roman" w:hAnsi="Times New Roman" w:cs="Times New Roman"/>
          <w:sz w:val="26"/>
          <w:szCs w:val="26"/>
        </w:rPr>
        <w:t xml:space="preserve"> </w:t>
      </w:r>
      <w:r w:rsidRPr="000F0D91">
        <w:rPr>
          <w:rFonts w:ascii="Times New Roman" w:hAnsi="Times New Roman" w:cs="Times New Roman"/>
          <w:i/>
          <w:iCs/>
          <w:sz w:val="26"/>
          <w:szCs w:val="26"/>
        </w:rPr>
        <w:t xml:space="preserve">Id. </w:t>
      </w:r>
      <w:r w:rsidRPr="000F0D91">
        <w:rPr>
          <w:rFonts w:ascii="Times New Roman" w:hAnsi="Times New Roman" w:cs="Times New Roman"/>
          <w:sz w:val="26"/>
          <w:szCs w:val="26"/>
        </w:rPr>
        <w:t>824o(e).</w:t>
      </w:r>
    </w:p>
  </w:footnote>
  <w:footnote w:id="7">
    <w:p w14:paraId="0E8ED43F" w14:textId="77777777" w:rsidR="00022939" w:rsidRDefault="00022939">
      <w:pPr>
        <w:pStyle w:val="FootnoteText"/>
      </w:pPr>
      <w:r>
        <w:rPr>
          <w:rStyle w:val="FootnoteReference"/>
        </w:rPr>
        <w:footnoteRef/>
      </w:r>
      <w:r>
        <w:t xml:space="preserve"> </w:t>
      </w:r>
      <w:r w:rsidRPr="00B77B3D">
        <w:rPr>
          <w:rFonts w:ascii="Times New Roman" w:hAnsi="Times New Roman" w:cs="Times New Roman"/>
          <w:sz w:val="26"/>
          <w:szCs w:val="26"/>
        </w:rPr>
        <w:t>“</w:t>
      </w:r>
      <w:r>
        <w:rPr>
          <w:rFonts w:ascii="Times New Roman" w:hAnsi="Times New Roman" w:cs="Times New Roman"/>
          <w:sz w:val="26"/>
          <w:szCs w:val="26"/>
        </w:rPr>
        <w:t>E</w:t>
      </w:r>
      <w:r w:rsidRPr="00B77B3D">
        <w:rPr>
          <w:rFonts w:ascii="Times New Roman" w:hAnsi="Times New Roman" w:cs="Times New Roman"/>
          <w:sz w:val="26"/>
          <w:szCs w:val="26"/>
        </w:rPr>
        <w:t>lectric Reliability Organization” or “ERO” means the organization certified by the Commission the purpose of which is to establish and enforce Reliability Standards for the Bulk-Power System, subject to Commission review.</w:t>
      </w:r>
    </w:p>
  </w:footnote>
  <w:footnote w:id="8">
    <w:p w14:paraId="187139C0" w14:textId="77777777" w:rsidR="00022939" w:rsidRDefault="00022939" w:rsidP="00EE07DD">
      <w:pPr>
        <w:pStyle w:val="FootnoteText"/>
      </w:pPr>
      <w:r w:rsidRPr="000F0D91">
        <w:rPr>
          <w:rStyle w:val="FootnoteReference"/>
          <w:rFonts w:ascii="Times New Roman" w:hAnsi="Times New Roman" w:cs="Times New Roman"/>
          <w:sz w:val="26"/>
          <w:szCs w:val="26"/>
        </w:rPr>
        <w:footnoteRef/>
      </w:r>
      <w:r w:rsidRPr="000F0D91">
        <w:rPr>
          <w:rFonts w:ascii="Times New Roman" w:hAnsi="Times New Roman" w:cs="Times New Roman"/>
          <w:sz w:val="26"/>
          <w:szCs w:val="26"/>
        </w:rPr>
        <w:t xml:space="preserve"> </w:t>
      </w:r>
      <w:r w:rsidRPr="000F0D91">
        <w:rPr>
          <w:rFonts w:ascii="Times New Roman" w:hAnsi="Times New Roman" w:cs="Times New Roman"/>
          <w:i/>
          <w:sz w:val="26"/>
          <w:szCs w:val="26"/>
        </w:rPr>
        <w:t>North American Electric Reliability Corp.</w:t>
      </w:r>
      <w:r w:rsidRPr="000F0D91">
        <w:rPr>
          <w:rFonts w:ascii="Times New Roman" w:hAnsi="Times New Roman" w:cs="Times New Roman"/>
          <w:sz w:val="26"/>
          <w:szCs w:val="26"/>
        </w:rPr>
        <w:t xml:space="preserve">, 116 FERC ¶ 61,062, </w:t>
      </w:r>
      <w:r w:rsidRPr="000F0D91">
        <w:rPr>
          <w:rFonts w:ascii="Times New Roman" w:hAnsi="Times New Roman" w:cs="Times New Roman"/>
          <w:i/>
          <w:sz w:val="26"/>
          <w:szCs w:val="26"/>
        </w:rPr>
        <w:t>order on reh’g and compliance</w:t>
      </w:r>
      <w:r w:rsidRPr="000F0D91">
        <w:rPr>
          <w:rFonts w:ascii="Times New Roman" w:hAnsi="Times New Roman" w:cs="Times New Roman"/>
          <w:sz w:val="26"/>
          <w:szCs w:val="26"/>
        </w:rPr>
        <w:t xml:space="preserve">, 117 FERC ¶ 61,126 (2006), </w:t>
      </w:r>
      <w:r w:rsidRPr="000F0D91">
        <w:rPr>
          <w:rFonts w:ascii="Times New Roman" w:hAnsi="Times New Roman" w:cs="Times New Roman"/>
          <w:i/>
          <w:sz w:val="26"/>
          <w:szCs w:val="26"/>
        </w:rPr>
        <w:t>order on compliance</w:t>
      </w:r>
      <w:r w:rsidRPr="000F0D91">
        <w:rPr>
          <w:rFonts w:ascii="Times New Roman" w:hAnsi="Times New Roman" w:cs="Times New Roman"/>
          <w:sz w:val="26"/>
          <w:szCs w:val="26"/>
        </w:rPr>
        <w:t xml:space="preserve">, 118 FERC ¶ 61,190, </w:t>
      </w:r>
      <w:r w:rsidRPr="000F0D91">
        <w:rPr>
          <w:rFonts w:ascii="Times New Roman" w:hAnsi="Times New Roman" w:cs="Times New Roman"/>
          <w:i/>
          <w:sz w:val="26"/>
          <w:szCs w:val="26"/>
        </w:rPr>
        <w:t>order on reh’g</w:t>
      </w:r>
      <w:r w:rsidRPr="000F0D91">
        <w:rPr>
          <w:rFonts w:ascii="Times New Roman" w:hAnsi="Times New Roman" w:cs="Times New Roman"/>
          <w:sz w:val="26"/>
          <w:szCs w:val="26"/>
        </w:rPr>
        <w:t xml:space="preserve">, 119 FERC ¶ 61,046 (2007), </w:t>
      </w:r>
      <w:r w:rsidRPr="000F0D91">
        <w:rPr>
          <w:rFonts w:ascii="Times New Roman" w:hAnsi="Times New Roman" w:cs="Times New Roman"/>
          <w:i/>
          <w:sz w:val="26"/>
          <w:szCs w:val="26"/>
        </w:rPr>
        <w:t>aff’d sub nom. Alcoa Inc. v. FERC</w:t>
      </w:r>
      <w:r w:rsidRPr="000F0D91">
        <w:rPr>
          <w:rFonts w:ascii="Times New Roman" w:hAnsi="Times New Roman" w:cs="Times New Roman"/>
          <w:sz w:val="26"/>
          <w:szCs w:val="26"/>
        </w:rPr>
        <w:t>, 564 F.3d 1342 (D.C. Cir. 2009).</w:t>
      </w:r>
    </w:p>
  </w:footnote>
  <w:footnote w:id="9">
    <w:p w14:paraId="4AC12B74" w14:textId="77777777" w:rsidR="00022939" w:rsidRDefault="00022939" w:rsidP="009A0BF6">
      <w:pPr>
        <w:pStyle w:val="FootnoteText"/>
      </w:pPr>
      <w:r>
        <w:rPr>
          <w:rStyle w:val="FootnoteReference"/>
        </w:rPr>
        <w:footnoteRef/>
      </w:r>
      <w:r>
        <w:t xml:space="preserve"> </w:t>
      </w:r>
      <w:r w:rsidRPr="009A0BF6">
        <w:rPr>
          <w:rFonts w:ascii="Times New Roman" w:hAnsi="Times New Roman" w:cs="Times New Roman"/>
          <w:i/>
          <w:iCs/>
          <w:sz w:val="26"/>
          <w:szCs w:val="26"/>
        </w:rPr>
        <w:t>Mandatory Reliability Standards for the Bulk-Power System</w:t>
      </w:r>
      <w:r w:rsidRPr="009A0BF6">
        <w:rPr>
          <w:rFonts w:ascii="Times New Roman" w:hAnsi="Times New Roman" w:cs="Times New Roman"/>
          <w:sz w:val="26"/>
          <w:szCs w:val="26"/>
        </w:rPr>
        <w:t xml:space="preserve">, Order No. 693, FERC Stats. &amp; Regs. ¶ 31,242 at PP 1433-1449, </w:t>
      </w:r>
      <w:r w:rsidRPr="009A0BF6">
        <w:rPr>
          <w:rFonts w:ascii="Times New Roman" w:hAnsi="Times New Roman" w:cs="Times New Roman"/>
          <w:i/>
          <w:iCs/>
          <w:sz w:val="26"/>
          <w:szCs w:val="26"/>
        </w:rPr>
        <w:t>order on reh’g</w:t>
      </w:r>
      <w:r w:rsidRPr="009A0BF6">
        <w:rPr>
          <w:rFonts w:ascii="Times New Roman" w:hAnsi="Times New Roman" w:cs="Times New Roman"/>
          <w:sz w:val="26"/>
          <w:szCs w:val="26"/>
        </w:rPr>
        <w:t>, Order No. 693-A, 120 FERC ¶ 61,053 (2007).</w:t>
      </w:r>
    </w:p>
  </w:footnote>
  <w:footnote w:id="10">
    <w:p w14:paraId="6FACDD86" w14:textId="77777777" w:rsidR="00022939" w:rsidRDefault="00022939" w:rsidP="009A0BF6">
      <w:pPr>
        <w:pStyle w:val="FootnoteText"/>
      </w:pPr>
      <w:r>
        <w:rPr>
          <w:rStyle w:val="FootnoteReference"/>
        </w:rPr>
        <w:footnoteRef/>
      </w:r>
      <w:r>
        <w:t xml:space="preserve"> </w:t>
      </w:r>
      <w:r w:rsidRPr="009A0BF6">
        <w:rPr>
          <w:rFonts w:ascii="Times New Roman" w:hAnsi="Times New Roman" w:cs="Times New Roman"/>
          <w:sz w:val="26"/>
          <w:szCs w:val="26"/>
        </w:rPr>
        <w:t>Order No. 693, FERC Stats. &amp; Regs. ¶ 31,242 at P 1449</w:t>
      </w:r>
      <w:r>
        <w:t>.</w:t>
      </w:r>
    </w:p>
  </w:footnote>
  <w:footnote w:id="11">
    <w:p w14:paraId="55BB5C75" w14:textId="77777777" w:rsidR="00022939" w:rsidRPr="00C86D10" w:rsidRDefault="00022939" w:rsidP="00EE07DD">
      <w:pPr>
        <w:pStyle w:val="FootnoteText"/>
        <w:rPr>
          <w:rFonts w:ascii="Times New Roman" w:hAnsi="Times New Roman" w:cs="Times New Roman"/>
          <w:sz w:val="26"/>
          <w:szCs w:val="26"/>
        </w:rPr>
      </w:pPr>
      <w:r w:rsidRPr="00C86D10">
        <w:rPr>
          <w:rStyle w:val="FootnoteReference"/>
          <w:rFonts w:ascii="Times New Roman" w:hAnsi="Times New Roman" w:cs="Times New Roman"/>
          <w:sz w:val="26"/>
          <w:szCs w:val="26"/>
        </w:rPr>
        <w:footnoteRef/>
      </w:r>
      <w:r w:rsidRPr="00C86D10">
        <w:rPr>
          <w:rFonts w:ascii="Times New Roman" w:hAnsi="Times New Roman" w:cs="Times New Roman"/>
          <w:sz w:val="26"/>
          <w:szCs w:val="26"/>
        </w:rPr>
        <w:t xml:space="preserve"> </w:t>
      </w:r>
      <w:r>
        <w:rPr>
          <w:rFonts w:ascii="Times New Roman" w:hAnsi="Times New Roman" w:cs="Times New Roman"/>
          <w:sz w:val="26"/>
          <w:szCs w:val="26"/>
        </w:rPr>
        <w:t xml:space="preserve">The reporting and recordkeeping requirements of </w:t>
      </w:r>
      <w:r w:rsidRPr="00C86D10">
        <w:rPr>
          <w:rFonts w:ascii="Times New Roman" w:hAnsi="Times New Roman" w:cs="Times New Roman"/>
          <w:sz w:val="26"/>
          <w:szCs w:val="26"/>
        </w:rPr>
        <w:t xml:space="preserve">Reliability Standard PRC-023-1 </w:t>
      </w:r>
      <w:r>
        <w:rPr>
          <w:rFonts w:ascii="Times New Roman" w:hAnsi="Times New Roman" w:cs="Times New Roman"/>
          <w:sz w:val="26"/>
          <w:szCs w:val="26"/>
        </w:rPr>
        <w:t xml:space="preserve">are included </w:t>
      </w:r>
      <w:r w:rsidRPr="00C86D10">
        <w:rPr>
          <w:rFonts w:ascii="Times New Roman" w:hAnsi="Times New Roman" w:cs="Times New Roman"/>
          <w:sz w:val="26"/>
          <w:szCs w:val="26"/>
        </w:rPr>
        <w:t xml:space="preserve">under FERC-725G </w:t>
      </w:r>
      <w:r>
        <w:rPr>
          <w:rFonts w:ascii="Times New Roman" w:hAnsi="Times New Roman" w:cs="Times New Roman"/>
          <w:sz w:val="26"/>
          <w:szCs w:val="26"/>
        </w:rPr>
        <w:t xml:space="preserve">and were approved by OMB in </w:t>
      </w:r>
      <w:r w:rsidRPr="00C86D10">
        <w:rPr>
          <w:rFonts w:ascii="Times New Roman" w:hAnsi="Times New Roman" w:cs="Times New Roman"/>
          <w:sz w:val="26"/>
          <w:szCs w:val="26"/>
        </w:rPr>
        <w:t xml:space="preserve">ICR 201004-1902-003. </w:t>
      </w:r>
    </w:p>
  </w:footnote>
  <w:footnote w:id="12">
    <w:p w14:paraId="0FD6DB3C" w14:textId="77777777"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Order No. 733, 130 FERC ¶ 61,221 at P 150.</w:t>
      </w:r>
    </w:p>
  </w:footnote>
  <w:footnote w:id="13">
    <w:p w14:paraId="40A54166" w14:textId="77777777" w:rsidR="00022939" w:rsidRDefault="00022939" w:rsidP="00EE07DD">
      <w:pPr>
        <w:pStyle w:val="FootnoteText"/>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vertAlign w:val="superscript"/>
        </w:rPr>
        <w:t xml:space="preserve"> </w:t>
      </w:r>
      <w:r w:rsidRPr="008A757A">
        <w:rPr>
          <w:rFonts w:ascii="Times New Roman" w:hAnsi="Times New Roman" w:cs="Times New Roman"/>
          <w:i/>
          <w:sz w:val="26"/>
          <w:szCs w:val="26"/>
        </w:rPr>
        <w:t>Id.</w:t>
      </w:r>
      <w:r w:rsidRPr="008A757A">
        <w:rPr>
          <w:rFonts w:ascii="Times New Roman" w:hAnsi="Times New Roman" w:cs="Times New Roman"/>
          <w:sz w:val="26"/>
          <w:szCs w:val="26"/>
        </w:rPr>
        <w:t xml:space="preserve"> PP 3-4, 130 (</w:t>
      </w:r>
      <w:r w:rsidRPr="008A757A">
        <w:rPr>
          <w:rFonts w:ascii="Times New Roman" w:hAnsi="Times New Roman" w:cs="Times New Roman"/>
          <w:i/>
          <w:sz w:val="26"/>
          <w:szCs w:val="26"/>
        </w:rPr>
        <w:t>citing</w:t>
      </w:r>
      <w:r w:rsidRPr="008A757A">
        <w:rPr>
          <w:rFonts w:ascii="Times New Roman" w:hAnsi="Times New Roman" w:cs="Times New Roman"/>
          <w:sz w:val="26"/>
          <w:szCs w:val="26"/>
        </w:rPr>
        <w:t xml:space="preserve"> U.S.-Canada Power System Outage Task Force, Final Report on the August 14, 2003 Blackout in the United States and Canada: Causes and Recommendations, at 80 (2004); and August 14, 2003 Blackout: NERC Actions to Prevent and Mitigate the Impacts of Future Cascading Blackouts, at 13 (2004)).</w:t>
      </w:r>
    </w:p>
  </w:footnote>
  <w:footnote w:id="14">
    <w:p w14:paraId="1ECAAD2A" w14:textId="77777777"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w:t>
      </w:r>
      <w:r w:rsidRPr="008A757A">
        <w:rPr>
          <w:rFonts w:ascii="Times New Roman" w:hAnsi="Times New Roman" w:cs="Times New Roman"/>
          <w:i/>
          <w:sz w:val="26"/>
          <w:szCs w:val="26"/>
        </w:rPr>
        <w:t>Id.</w:t>
      </w:r>
      <w:r w:rsidRPr="008A757A">
        <w:rPr>
          <w:rFonts w:ascii="Times New Roman" w:hAnsi="Times New Roman" w:cs="Times New Roman"/>
          <w:sz w:val="26"/>
          <w:szCs w:val="26"/>
        </w:rPr>
        <w:t xml:space="preserve"> P 153.</w:t>
      </w:r>
    </w:p>
  </w:footnote>
  <w:footnote w:id="15">
    <w:p w14:paraId="6061E631" w14:textId="77777777"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The Reliability Standards are available on the Commission’s eLibrary document retrieval system in Docket No. RM16-22-000 and are posted on the NERC website, </w:t>
      </w:r>
      <w:hyperlink r:id="rId4" w:history="1">
        <w:r w:rsidRPr="009A291D">
          <w:rPr>
            <w:rStyle w:val="Hyperlink"/>
            <w:sz w:val="26"/>
            <w:szCs w:val="26"/>
          </w:rPr>
          <w:t>http://www.nerc.com</w:t>
        </w:r>
      </w:hyperlink>
      <w:r>
        <w:rPr>
          <w:rFonts w:ascii="Times New Roman" w:hAnsi="Times New Roman" w:cs="Times New Roman"/>
          <w:sz w:val="26"/>
          <w:szCs w:val="26"/>
        </w:rPr>
        <w:t xml:space="preserve"> </w:t>
      </w:r>
      <w:r w:rsidRPr="008A757A">
        <w:rPr>
          <w:rFonts w:ascii="Times New Roman" w:hAnsi="Times New Roman" w:cs="Times New Roman"/>
          <w:sz w:val="26"/>
          <w:szCs w:val="26"/>
        </w:rPr>
        <w:t>.</w:t>
      </w:r>
    </w:p>
  </w:footnote>
  <w:footnote w:id="16">
    <w:p w14:paraId="26C8E003" w14:textId="77777777"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NERC Petition at 10.</w:t>
      </w:r>
    </w:p>
  </w:footnote>
  <w:footnote w:id="17">
    <w:p w14:paraId="50F8C352" w14:textId="742A7E7E" w:rsidR="00065504" w:rsidRDefault="00065504">
      <w:pPr>
        <w:pStyle w:val="FootnoteText"/>
      </w:pPr>
      <w:r w:rsidRPr="00F81B09">
        <w:rPr>
          <w:rStyle w:val="FootnoteReference"/>
          <w:rFonts w:ascii="Times New Roman" w:hAnsi="Times New Roman" w:cs="Times New Roman"/>
          <w:sz w:val="26"/>
          <w:szCs w:val="26"/>
        </w:rPr>
        <w:footnoteRef/>
      </w:r>
      <w:r w:rsidRPr="00F81B09">
        <w:rPr>
          <w:rFonts w:ascii="Times New Roman" w:hAnsi="Times New Roman" w:cs="Times New Roman"/>
          <w:sz w:val="26"/>
          <w:szCs w:val="26"/>
        </w:rPr>
        <w:t xml:space="preserve"> </w:t>
      </w:r>
      <w:r w:rsidRPr="001A153B">
        <w:rPr>
          <w:rFonts w:ascii="Times New Roman" w:hAnsi="Times New Roman" w:cs="Times New Roman"/>
          <w:sz w:val="26"/>
          <w:szCs w:val="26"/>
        </w:rPr>
        <w:t>Reliability Standard PRC-001-1.1(ii)</w:t>
      </w:r>
      <w:r>
        <w:rPr>
          <w:rFonts w:ascii="Times New Roman" w:hAnsi="Times New Roman" w:cs="Times New Roman"/>
          <w:sz w:val="26"/>
          <w:szCs w:val="26"/>
        </w:rPr>
        <w:t xml:space="preserve"> will be retired as a result of the RM16-22 Final Rule.</w:t>
      </w:r>
    </w:p>
  </w:footnote>
  <w:footnote w:id="18">
    <w:p w14:paraId="03469063" w14:textId="77777777" w:rsidR="00022939" w:rsidRDefault="00022939" w:rsidP="00EE07DD">
      <w:pPr>
        <w:pStyle w:val="FootnoteText"/>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w:t>
      </w:r>
      <w:hyperlink r:id="rId5" w:history="1">
        <w:r w:rsidRPr="008A757A">
          <w:rPr>
            <w:rStyle w:val="Hyperlink"/>
            <w:sz w:val="26"/>
            <w:szCs w:val="26"/>
          </w:rPr>
          <w:t>https://elibrary.ferc.gov/idmws/common/opennat.asp?fileID=14345793</w:t>
        </w:r>
      </w:hyperlink>
      <w:r>
        <w:t xml:space="preserve"> </w:t>
      </w:r>
    </w:p>
  </w:footnote>
  <w:footnote w:id="19">
    <w:p w14:paraId="451DC968" w14:textId="4648C240"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vertAlign w:val="superscript"/>
        </w:rPr>
        <w:t xml:space="preserve"> </w:t>
      </w:r>
      <w:r w:rsidRPr="008A757A">
        <w:rPr>
          <w:rFonts w:ascii="Times New Roman" w:hAnsi="Times New Roman" w:cs="Times New Roman"/>
          <w:sz w:val="26"/>
          <w:szCs w:val="26"/>
        </w:rPr>
        <w:t>Details of the current ERO Reliability Standard processes are available on the NERC website</w:t>
      </w:r>
      <w:r w:rsidR="00065504">
        <w:rPr>
          <w:rFonts w:ascii="Times New Roman" w:hAnsi="Times New Roman" w:cs="Times New Roman"/>
          <w:sz w:val="26"/>
          <w:szCs w:val="26"/>
        </w:rPr>
        <w:t xml:space="preserve"> at </w:t>
      </w:r>
      <w:hyperlink r:id="rId6" w:history="1">
        <w:r w:rsidR="00065504" w:rsidRPr="008A757A">
          <w:rPr>
            <w:rStyle w:val="Hyperlink"/>
            <w:sz w:val="26"/>
            <w:szCs w:val="26"/>
          </w:rPr>
          <w:t>http://www.nerc.com/FilingsOrders/us/RuleOfProcedureDL/Appendix_3A_StandardProcessesManual_20130626.pdf</w:t>
        </w:r>
      </w:hyperlink>
      <w:r w:rsidR="00065504" w:rsidRPr="008A757A">
        <w:rPr>
          <w:rFonts w:ascii="Times New Roman" w:hAnsi="Times New Roman" w:cs="Times New Roman"/>
          <w:sz w:val="26"/>
          <w:szCs w:val="26"/>
        </w:rPr>
        <w:t>.</w:t>
      </w:r>
    </w:p>
  </w:footnote>
  <w:footnote w:id="20">
    <w:p w14:paraId="22C47167" w14:textId="77777777" w:rsidR="00022939" w:rsidRPr="008A757A" w:rsidRDefault="00022939" w:rsidP="00F46F6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Details of the current ERO Reliability Standard processes are available on the NERC website at </w:t>
      </w:r>
      <w:hyperlink r:id="rId7" w:history="1">
        <w:r w:rsidRPr="008A757A">
          <w:rPr>
            <w:rStyle w:val="Hyperlink"/>
            <w:sz w:val="26"/>
            <w:szCs w:val="26"/>
          </w:rPr>
          <w:t>http://www.nerc.com/FilingsOrders/us/RuleOfProcedureDL/Appendix_3A_StandardProcessesManual_20130626.pdf</w:t>
        </w:r>
      </w:hyperlink>
      <w:r w:rsidRPr="008A757A">
        <w:rPr>
          <w:rFonts w:ascii="Times New Roman" w:hAnsi="Times New Roman" w:cs="Times New Roman"/>
          <w:sz w:val="26"/>
          <w:szCs w:val="26"/>
        </w:rPr>
        <w:t xml:space="preserve">. </w:t>
      </w:r>
    </w:p>
  </w:footnote>
  <w:footnote w:id="21">
    <w:p w14:paraId="653F45FF" w14:textId="77777777" w:rsidR="00022939" w:rsidRDefault="00022939">
      <w:pPr>
        <w:pStyle w:val="FootnoteText"/>
      </w:pPr>
      <w:r>
        <w:rPr>
          <w:rStyle w:val="FootnoteReference"/>
        </w:rPr>
        <w:footnoteRef/>
      </w:r>
      <w:r>
        <w:t xml:space="preserve"> </w:t>
      </w:r>
      <w:hyperlink r:id="rId8" w:history="1">
        <w:r w:rsidRPr="009A291D">
          <w:rPr>
            <w:rStyle w:val="Hyperlink"/>
            <w:sz w:val="26"/>
            <w:szCs w:val="26"/>
          </w:rPr>
          <w:t>https://elibrary.ferc.gov/idmws/common/OpenNat.asp?fileID=14940363</w:t>
        </w:r>
      </w:hyperlink>
      <w:r>
        <w:rPr>
          <w:rFonts w:ascii="Times New Roman" w:hAnsi="Times New Roman" w:cs="Times New Roman"/>
          <w:sz w:val="26"/>
          <w:szCs w:val="26"/>
        </w:rPr>
        <w:t xml:space="preserve"> </w:t>
      </w:r>
    </w:p>
  </w:footnote>
  <w:footnote w:id="22">
    <w:p w14:paraId="476D2FB6" w14:textId="77777777"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TO</w:t>
      </w:r>
      <w:r>
        <w:rPr>
          <w:rFonts w:ascii="Times New Roman" w:hAnsi="Times New Roman" w:cs="Times New Roman"/>
          <w:sz w:val="26"/>
          <w:szCs w:val="26"/>
        </w:rPr>
        <w:t xml:space="preserve"> </w:t>
      </w:r>
      <w:r w:rsidRPr="008A757A">
        <w:rPr>
          <w:rFonts w:ascii="Times New Roman" w:hAnsi="Times New Roman" w:cs="Times New Roman"/>
          <w:sz w:val="26"/>
          <w:szCs w:val="26"/>
        </w:rPr>
        <w:t>=</w:t>
      </w:r>
      <w:r>
        <w:rPr>
          <w:rFonts w:ascii="Times New Roman" w:hAnsi="Times New Roman" w:cs="Times New Roman"/>
          <w:sz w:val="26"/>
          <w:szCs w:val="26"/>
        </w:rPr>
        <w:t xml:space="preserve"> </w:t>
      </w:r>
      <w:r w:rsidRPr="008A757A">
        <w:rPr>
          <w:rFonts w:ascii="Times New Roman" w:hAnsi="Times New Roman" w:cs="Times New Roman"/>
          <w:sz w:val="26"/>
          <w:szCs w:val="26"/>
        </w:rPr>
        <w:t>transmission owner; TOP</w:t>
      </w:r>
      <w:r>
        <w:rPr>
          <w:rFonts w:ascii="Times New Roman" w:hAnsi="Times New Roman" w:cs="Times New Roman"/>
          <w:sz w:val="26"/>
          <w:szCs w:val="26"/>
        </w:rPr>
        <w:t xml:space="preserve"> </w:t>
      </w:r>
      <w:r w:rsidRPr="008A757A">
        <w:rPr>
          <w:rFonts w:ascii="Times New Roman" w:hAnsi="Times New Roman" w:cs="Times New Roman"/>
          <w:sz w:val="26"/>
          <w:szCs w:val="26"/>
        </w:rPr>
        <w:t>=</w:t>
      </w:r>
      <w:r>
        <w:rPr>
          <w:rFonts w:ascii="Times New Roman" w:hAnsi="Times New Roman" w:cs="Times New Roman"/>
          <w:sz w:val="26"/>
          <w:szCs w:val="26"/>
        </w:rPr>
        <w:t xml:space="preserve"> </w:t>
      </w:r>
      <w:r w:rsidRPr="008A757A">
        <w:rPr>
          <w:rFonts w:ascii="Times New Roman" w:hAnsi="Times New Roman" w:cs="Times New Roman"/>
          <w:sz w:val="26"/>
          <w:szCs w:val="26"/>
        </w:rPr>
        <w:t>transmission operator; GO</w:t>
      </w:r>
      <w:r>
        <w:rPr>
          <w:rFonts w:ascii="Times New Roman" w:hAnsi="Times New Roman" w:cs="Times New Roman"/>
          <w:sz w:val="26"/>
          <w:szCs w:val="26"/>
        </w:rPr>
        <w:t xml:space="preserve"> </w:t>
      </w:r>
      <w:r w:rsidRPr="008A757A">
        <w:rPr>
          <w:rFonts w:ascii="Times New Roman" w:hAnsi="Times New Roman" w:cs="Times New Roman"/>
          <w:sz w:val="26"/>
          <w:szCs w:val="26"/>
        </w:rPr>
        <w:t>=</w:t>
      </w:r>
      <w:r>
        <w:rPr>
          <w:rFonts w:ascii="Times New Roman" w:hAnsi="Times New Roman" w:cs="Times New Roman"/>
          <w:sz w:val="26"/>
          <w:szCs w:val="26"/>
        </w:rPr>
        <w:t xml:space="preserve"> </w:t>
      </w:r>
      <w:r w:rsidRPr="008A757A">
        <w:rPr>
          <w:rFonts w:ascii="Times New Roman" w:hAnsi="Times New Roman" w:cs="Times New Roman"/>
          <w:sz w:val="26"/>
          <w:szCs w:val="26"/>
        </w:rPr>
        <w:t>generator owner; GOP</w:t>
      </w:r>
      <w:r>
        <w:rPr>
          <w:rFonts w:ascii="Times New Roman" w:hAnsi="Times New Roman" w:cs="Times New Roman"/>
          <w:sz w:val="26"/>
          <w:szCs w:val="26"/>
        </w:rPr>
        <w:t xml:space="preserve"> </w:t>
      </w:r>
      <w:r w:rsidRPr="008A757A">
        <w:rPr>
          <w:rFonts w:ascii="Times New Roman" w:hAnsi="Times New Roman" w:cs="Times New Roman"/>
          <w:sz w:val="26"/>
          <w:szCs w:val="26"/>
        </w:rPr>
        <w:t>=</w:t>
      </w:r>
      <w:r>
        <w:rPr>
          <w:rFonts w:ascii="Times New Roman" w:hAnsi="Times New Roman" w:cs="Times New Roman"/>
          <w:sz w:val="26"/>
          <w:szCs w:val="26"/>
        </w:rPr>
        <w:t xml:space="preserve"> </w:t>
      </w:r>
      <w:r w:rsidRPr="008A757A">
        <w:rPr>
          <w:rFonts w:ascii="Times New Roman" w:hAnsi="Times New Roman" w:cs="Times New Roman"/>
          <w:sz w:val="26"/>
          <w:szCs w:val="26"/>
        </w:rPr>
        <w:t>generator operator; DP</w:t>
      </w:r>
      <w:r>
        <w:rPr>
          <w:rFonts w:ascii="Times New Roman" w:hAnsi="Times New Roman" w:cs="Times New Roman"/>
          <w:sz w:val="26"/>
          <w:szCs w:val="26"/>
        </w:rPr>
        <w:t xml:space="preserve"> </w:t>
      </w:r>
      <w:r w:rsidRPr="008A757A">
        <w:rPr>
          <w:rFonts w:ascii="Times New Roman" w:hAnsi="Times New Roman" w:cs="Times New Roman"/>
          <w:sz w:val="26"/>
          <w:szCs w:val="26"/>
        </w:rPr>
        <w:t>=</w:t>
      </w:r>
      <w:r>
        <w:rPr>
          <w:rFonts w:ascii="Times New Roman" w:hAnsi="Times New Roman" w:cs="Times New Roman"/>
          <w:sz w:val="26"/>
          <w:szCs w:val="26"/>
        </w:rPr>
        <w:t xml:space="preserve"> </w:t>
      </w:r>
      <w:r w:rsidRPr="008A757A">
        <w:rPr>
          <w:rFonts w:ascii="Times New Roman" w:hAnsi="Times New Roman" w:cs="Times New Roman"/>
          <w:sz w:val="26"/>
          <w:szCs w:val="26"/>
        </w:rPr>
        <w:t>distribution provider; and BA</w:t>
      </w:r>
      <w:r>
        <w:rPr>
          <w:rFonts w:ascii="Times New Roman" w:hAnsi="Times New Roman" w:cs="Times New Roman"/>
          <w:sz w:val="26"/>
          <w:szCs w:val="26"/>
        </w:rPr>
        <w:t xml:space="preserve"> </w:t>
      </w:r>
      <w:r w:rsidRPr="008A757A">
        <w:rPr>
          <w:rFonts w:ascii="Times New Roman" w:hAnsi="Times New Roman" w:cs="Times New Roman"/>
          <w:sz w:val="26"/>
          <w:szCs w:val="26"/>
        </w:rPr>
        <w:t>=</w:t>
      </w:r>
      <w:r>
        <w:rPr>
          <w:rFonts w:ascii="Times New Roman" w:hAnsi="Times New Roman" w:cs="Times New Roman"/>
          <w:sz w:val="26"/>
          <w:szCs w:val="26"/>
        </w:rPr>
        <w:t xml:space="preserve"> </w:t>
      </w:r>
      <w:r w:rsidRPr="008A757A">
        <w:rPr>
          <w:rFonts w:ascii="Times New Roman" w:hAnsi="Times New Roman" w:cs="Times New Roman"/>
          <w:sz w:val="26"/>
          <w:szCs w:val="26"/>
        </w:rPr>
        <w:t>balancing authority.</w:t>
      </w:r>
    </w:p>
  </w:footnote>
  <w:footnote w:id="23">
    <w:p w14:paraId="1C195E71" w14:textId="44BB4C0B" w:rsidR="00FB148F" w:rsidRPr="00F81B09" w:rsidRDefault="00FB148F">
      <w:pPr>
        <w:pStyle w:val="FootnoteText"/>
        <w:rPr>
          <w:rFonts w:ascii="Times New Roman" w:hAnsi="Times New Roman" w:cs="Times New Roman"/>
          <w:sz w:val="26"/>
          <w:szCs w:val="26"/>
        </w:rPr>
      </w:pPr>
      <w:r w:rsidRPr="00F81B09">
        <w:rPr>
          <w:rStyle w:val="FootnoteReference"/>
          <w:rFonts w:ascii="Times New Roman" w:hAnsi="Times New Roman" w:cs="Times New Roman"/>
          <w:sz w:val="26"/>
          <w:szCs w:val="26"/>
        </w:rPr>
        <w:footnoteRef/>
      </w:r>
      <w:r w:rsidRPr="00F81B09">
        <w:rPr>
          <w:rFonts w:ascii="Times New Roman" w:hAnsi="Times New Roman" w:cs="Times New Roman"/>
          <w:sz w:val="26"/>
          <w:szCs w:val="26"/>
        </w:rPr>
        <w:t xml:space="preserve"> Under NERC’s compliance registration program, entities may be registered for multiple functions, so the numbers incorporate some double counting.  </w:t>
      </w:r>
    </w:p>
  </w:footnote>
  <w:footnote w:id="24">
    <w:p w14:paraId="42CC3E6C" w14:textId="77777777" w:rsidR="00022939" w:rsidRPr="00ED5F9E" w:rsidRDefault="00022939" w:rsidP="00EE07DD">
      <w:pPr>
        <w:pStyle w:val="FootnoteText"/>
        <w:rPr>
          <w:rFonts w:ascii="Times New Roman" w:hAnsi="Times New Roman" w:cs="Times New Roman"/>
          <w:sz w:val="26"/>
          <w:szCs w:val="26"/>
        </w:rPr>
      </w:pPr>
      <w:r w:rsidRPr="00F81B09">
        <w:rPr>
          <w:rStyle w:val="FootnoteReference"/>
          <w:rFonts w:ascii="Times New Roman" w:hAnsi="Times New Roman" w:cs="Times New Roman"/>
          <w:sz w:val="26"/>
          <w:szCs w:val="26"/>
        </w:rPr>
        <w:footnoteRef/>
      </w:r>
      <w:r w:rsidRPr="00F81B09">
        <w:rPr>
          <w:rFonts w:ascii="Times New Roman" w:hAnsi="Times New Roman" w:cs="Times New Roman"/>
          <w:sz w:val="26"/>
          <w:szCs w:val="26"/>
        </w:rPr>
        <w:t xml:space="preserve"> </w:t>
      </w:r>
      <w:r w:rsidRPr="00ED5F9E">
        <w:rPr>
          <w:rFonts w:ascii="Times New Roman" w:hAnsi="Times New Roman" w:cs="Times New Roman"/>
          <w:sz w:val="26"/>
          <w:szCs w:val="26"/>
        </w:rPr>
        <w:t>For each Reliability Standard, the Measure shows the acceptable evidence for the associated Reporting Requirement, and the Compliance section details the related Recordkeeping Requirement.</w:t>
      </w:r>
    </w:p>
  </w:footnote>
  <w:footnote w:id="25">
    <w:p w14:paraId="30837EE4" w14:textId="77777777" w:rsidR="00022939" w:rsidRDefault="00022939" w:rsidP="00EE07DD">
      <w:pPr>
        <w:pStyle w:val="FootnoteText"/>
        <w:rPr>
          <w:rFonts w:ascii="Times New Roman" w:eastAsia="Calibri" w:hAnsi="Times New Roman" w:cs="Times New Roman"/>
          <w:sz w:val="26"/>
          <w:szCs w:val="26"/>
        </w:rPr>
      </w:pPr>
      <w:r w:rsidRPr="00ED5F9E">
        <w:rPr>
          <w:rStyle w:val="FootnoteReference"/>
          <w:rFonts w:ascii="Times New Roman" w:hAnsi="Times New Roman" w:cs="Times New Roman"/>
          <w:sz w:val="26"/>
          <w:szCs w:val="26"/>
        </w:rPr>
        <w:footnoteRef/>
      </w:r>
      <w:r w:rsidRPr="00ED5F9E">
        <w:rPr>
          <w:rFonts w:ascii="Times New Roman" w:hAnsi="Times New Roman" w:cs="Times New Roman"/>
          <w:sz w:val="26"/>
          <w:szCs w:val="26"/>
        </w:rPr>
        <w:t xml:space="preserve"> </w:t>
      </w:r>
      <w:r w:rsidRPr="00ED5F9E">
        <w:rPr>
          <w:rFonts w:ascii="Times New Roman" w:eastAsia="Calibri" w:hAnsi="Times New Roman" w:cs="Times New Roman"/>
          <w:sz w:val="26"/>
          <w:szCs w:val="26"/>
        </w:rPr>
        <w:t xml:space="preserve">The estimates for cost per hour are based on May 2016 wage figures from the Bureau of Labor Statistics (BLS, at </w:t>
      </w:r>
      <w:hyperlink r:id="rId9" w:history="1">
        <w:r w:rsidRPr="00ED5F9E">
          <w:rPr>
            <w:rStyle w:val="Hyperlink"/>
            <w:rFonts w:eastAsia="Calibri"/>
            <w:sz w:val="26"/>
            <w:szCs w:val="26"/>
          </w:rPr>
          <w:t>https://www.bls.gov/oes/current/naics2_22.htm</w:t>
        </w:r>
      </w:hyperlink>
      <w:r w:rsidRPr="00ED5F9E">
        <w:rPr>
          <w:rFonts w:ascii="Times New Roman" w:eastAsia="Calibri" w:hAnsi="Times New Roman" w:cs="Times New Roman"/>
          <w:sz w:val="26"/>
          <w:szCs w:val="26"/>
        </w:rPr>
        <w:t xml:space="preserve">) and BLS benefits information from March 20, 2018 (for December 2017, posted at https://www.bls.gov/news.release/ecec.nr0.htm).   The estimated hourly cost, for wages plus benefits, are:  </w:t>
      </w:r>
    </w:p>
    <w:p w14:paraId="3FA7B982" w14:textId="77777777" w:rsidR="00022939" w:rsidRDefault="00022939" w:rsidP="00F12A94">
      <w:pPr>
        <w:pStyle w:val="FootnoteText"/>
        <w:ind w:firstLine="720"/>
        <w:rPr>
          <w:rFonts w:ascii="Times New Roman" w:eastAsia="Calibri" w:hAnsi="Times New Roman" w:cs="Times New Roman"/>
          <w:sz w:val="26"/>
          <w:szCs w:val="26"/>
        </w:rPr>
      </w:pPr>
      <w:r w:rsidRPr="00ED5F9E">
        <w:rPr>
          <w:rFonts w:ascii="Times New Roman" w:eastAsia="Calibri" w:hAnsi="Times New Roman" w:cs="Times New Roman"/>
          <w:sz w:val="26"/>
          <w:szCs w:val="26"/>
        </w:rPr>
        <w:t xml:space="preserve">(a)$68.12/hour, for electrical engineer, Occupation Code 17-2071, and </w:t>
      </w:r>
    </w:p>
    <w:p w14:paraId="20849169" w14:textId="77777777" w:rsidR="00022939" w:rsidRPr="00ED5F9E" w:rsidRDefault="00022939" w:rsidP="00F12A94">
      <w:pPr>
        <w:pStyle w:val="FootnoteText"/>
        <w:ind w:firstLine="720"/>
        <w:rPr>
          <w:rFonts w:ascii="Times New Roman" w:eastAsia="Calibri" w:hAnsi="Times New Roman" w:cs="Times New Roman"/>
          <w:sz w:val="26"/>
          <w:szCs w:val="26"/>
        </w:rPr>
      </w:pPr>
      <w:r w:rsidRPr="00ED5F9E">
        <w:rPr>
          <w:rFonts w:ascii="Times New Roman" w:eastAsia="Calibri" w:hAnsi="Times New Roman" w:cs="Times New Roman"/>
          <w:sz w:val="26"/>
          <w:szCs w:val="26"/>
        </w:rPr>
        <w:t xml:space="preserve">(b) $39.14/hour, for information and record clerk, Occupation Code 43-4199. </w:t>
      </w:r>
    </w:p>
    <w:p w14:paraId="18CB332D" w14:textId="77777777" w:rsidR="00022939" w:rsidRPr="00ED5F9E" w:rsidRDefault="00022939" w:rsidP="00EE07DD">
      <w:pPr>
        <w:pStyle w:val="FootnoteText"/>
        <w:rPr>
          <w:rFonts w:ascii="Times New Roman" w:hAnsi="Times New Roman" w:cs="Times New Roman"/>
          <w:sz w:val="26"/>
          <w:szCs w:val="26"/>
        </w:rPr>
      </w:pPr>
      <w:r w:rsidRPr="00ED5F9E">
        <w:rPr>
          <w:rFonts w:ascii="Times New Roman" w:hAnsi="Times New Roman" w:cs="Times New Roman"/>
          <w:sz w:val="26"/>
          <w:szCs w:val="26"/>
        </w:rPr>
        <w:t>The hourly cost for an electrical engineer is used for the reporting requirements; the hourly cost for a record clerk is used for the recordkeeping requirements.</w:t>
      </w:r>
    </w:p>
  </w:footnote>
  <w:footnote w:id="26">
    <w:p w14:paraId="46770A82" w14:textId="77777777" w:rsidR="00022939" w:rsidRPr="00ED5F9E" w:rsidRDefault="00022939" w:rsidP="00EE07DD">
      <w:pPr>
        <w:pStyle w:val="FootnoteText"/>
        <w:rPr>
          <w:rFonts w:ascii="Times New Roman" w:hAnsi="Times New Roman" w:cs="Times New Roman"/>
          <w:sz w:val="26"/>
          <w:szCs w:val="26"/>
        </w:rPr>
      </w:pPr>
      <w:r w:rsidRPr="00ED5F9E">
        <w:rPr>
          <w:rStyle w:val="FootnoteReference"/>
          <w:rFonts w:ascii="Times New Roman" w:hAnsi="Times New Roman" w:cs="Times New Roman"/>
          <w:sz w:val="26"/>
          <w:szCs w:val="26"/>
        </w:rPr>
        <w:footnoteRef/>
      </w:r>
      <w:r w:rsidRPr="00ED5F9E">
        <w:rPr>
          <w:rFonts w:ascii="Times New Roman" w:hAnsi="Times New Roman" w:cs="Times New Roman"/>
          <w:sz w:val="26"/>
          <w:szCs w:val="26"/>
        </w:rPr>
        <w:t xml:space="preserve"> For display purposes, the cost figures in column 5 have been rounded.</w:t>
      </w:r>
    </w:p>
  </w:footnote>
  <w:footnote w:id="27">
    <w:p w14:paraId="5FDAE9CD" w14:textId="77777777" w:rsidR="00022939" w:rsidRPr="00ED5F9E" w:rsidRDefault="00022939" w:rsidP="00EE07DD">
      <w:pPr>
        <w:pStyle w:val="FootnoteText"/>
        <w:rPr>
          <w:rFonts w:ascii="Times New Roman" w:hAnsi="Times New Roman" w:cs="Times New Roman"/>
          <w:sz w:val="26"/>
          <w:szCs w:val="26"/>
        </w:rPr>
      </w:pPr>
      <w:r w:rsidRPr="00F81B09">
        <w:rPr>
          <w:rStyle w:val="FootnoteReference"/>
          <w:rFonts w:ascii="Times New Roman" w:hAnsi="Times New Roman" w:cs="Times New Roman"/>
          <w:sz w:val="26"/>
          <w:szCs w:val="26"/>
        </w:rPr>
        <w:footnoteRef/>
      </w:r>
      <w:r w:rsidRPr="00F81B09">
        <w:rPr>
          <w:rFonts w:ascii="Times New Roman" w:hAnsi="Times New Roman" w:cs="Times New Roman"/>
          <w:sz w:val="26"/>
          <w:szCs w:val="26"/>
        </w:rPr>
        <w:t xml:space="preserve"> </w:t>
      </w:r>
      <w:r w:rsidRPr="00ED5F9E">
        <w:rPr>
          <w:rFonts w:ascii="Times New Roman" w:hAnsi="Times New Roman" w:cs="Times New Roman"/>
          <w:sz w:val="26"/>
          <w:szCs w:val="26"/>
        </w:rPr>
        <w:t>Some of the reporting requirements are required at least every six calendar years.  In this table, the Commission assumes that respondents might work on some of their elements each year; the annual burden estimate shown is one sixth of the burden associated with one complete six-year cycle.  For example, for each transmission owner:  (a) the annual reporting burden associated with Requirements R1, R2, and R3 is shown as 60 hours per year, and (b) the burden for the six-year cycle would be six times that, or a total of 360 hours.</w:t>
      </w:r>
    </w:p>
  </w:footnote>
  <w:footnote w:id="28">
    <w:p w14:paraId="6C484FBC" w14:textId="77777777" w:rsidR="00022939" w:rsidRPr="00ED5F9E" w:rsidRDefault="00022939" w:rsidP="00EE07DD">
      <w:pPr>
        <w:pStyle w:val="FootnoteText"/>
        <w:rPr>
          <w:rFonts w:ascii="Times New Roman" w:hAnsi="Times New Roman" w:cs="Times New Roman"/>
          <w:sz w:val="26"/>
          <w:szCs w:val="26"/>
        </w:rPr>
      </w:pPr>
      <w:r w:rsidRPr="00F81B09">
        <w:rPr>
          <w:rStyle w:val="FootnoteReference"/>
          <w:rFonts w:ascii="Times New Roman" w:hAnsi="Times New Roman" w:cs="Times New Roman"/>
          <w:sz w:val="26"/>
          <w:szCs w:val="26"/>
        </w:rPr>
        <w:footnoteRef/>
      </w:r>
      <w:r w:rsidRPr="00F81B09">
        <w:rPr>
          <w:rFonts w:ascii="Times New Roman" w:hAnsi="Times New Roman" w:cs="Times New Roman"/>
          <w:sz w:val="26"/>
          <w:szCs w:val="26"/>
        </w:rPr>
        <w:t xml:space="preserve"> </w:t>
      </w:r>
      <w:r w:rsidRPr="00ED5F9E">
        <w:rPr>
          <w:rFonts w:ascii="Times New Roman" w:hAnsi="Times New Roman" w:cs="Times New Roman"/>
          <w:sz w:val="26"/>
          <w:szCs w:val="26"/>
        </w:rPr>
        <w:t>In order to provide improved information on the standard and associated burden, FERC-725Y (rather than FERC-725A) will cover the additional burden required by PER-006-1.</w:t>
      </w:r>
    </w:p>
  </w:footnote>
  <w:footnote w:id="29">
    <w:p w14:paraId="2D27DF93" w14:textId="77777777" w:rsidR="00022939" w:rsidRPr="00ED5F9E" w:rsidRDefault="00022939" w:rsidP="00EE07DD">
      <w:pPr>
        <w:pStyle w:val="FootnoteText"/>
        <w:rPr>
          <w:rFonts w:ascii="Times New Roman" w:hAnsi="Times New Roman" w:cs="Times New Roman"/>
          <w:sz w:val="26"/>
          <w:szCs w:val="26"/>
        </w:rPr>
      </w:pPr>
      <w:r w:rsidRPr="00F81B09">
        <w:rPr>
          <w:rStyle w:val="FootnoteReference"/>
          <w:rFonts w:ascii="Times New Roman" w:hAnsi="Times New Roman" w:cs="Times New Roman"/>
          <w:sz w:val="26"/>
          <w:szCs w:val="26"/>
        </w:rPr>
        <w:footnoteRef/>
      </w:r>
      <w:r w:rsidRPr="00F81B09">
        <w:rPr>
          <w:rFonts w:ascii="Times New Roman" w:hAnsi="Times New Roman" w:cs="Times New Roman"/>
          <w:sz w:val="26"/>
          <w:szCs w:val="26"/>
        </w:rPr>
        <w:t xml:space="preserve"> </w:t>
      </w:r>
      <w:r w:rsidRPr="00ED5F9E">
        <w:rPr>
          <w:rFonts w:ascii="Times New Roman" w:hAnsi="Times New Roman" w:cs="Times New Roman"/>
          <w:sz w:val="26"/>
          <w:szCs w:val="26"/>
        </w:rPr>
        <w:t>The estimates for average annual burden hours per response are based on Order No. 693.  The numbers of respondents and estimated hourly costs are based on current figures.</w:t>
      </w:r>
    </w:p>
  </w:footnote>
  <w:footnote w:id="30">
    <w:p w14:paraId="68EAF243" w14:textId="77777777" w:rsidR="00022939" w:rsidRPr="008A757A" w:rsidRDefault="00022939" w:rsidP="00EE07DD">
      <w:pPr>
        <w:pStyle w:val="FootnoteText"/>
        <w:rPr>
          <w:rFonts w:ascii="Times New Roman" w:hAnsi="Times New Roman" w:cs="Times New Roman"/>
          <w:sz w:val="26"/>
          <w:szCs w:val="26"/>
        </w:rPr>
      </w:pPr>
      <w:r w:rsidRPr="008A757A">
        <w:rPr>
          <w:rStyle w:val="FootnoteReference"/>
          <w:rFonts w:ascii="Times New Roman" w:hAnsi="Times New Roman" w:cs="Times New Roman"/>
          <w:sz w:val="26"/>
          <w:szCs w:val="26"/>
        </w:rPr>
        <w:footnoteRef/>
      </w:r>
      <w:r w:rsidRPr="008A757A">
        <w:rPr>
          <w:rFonts w:ascii="Times New Roman" w:hAnsi="Times New Roman" w:cs="Times New Roman"/>
          <w:sz w:val="26"/>
          <w:szCs w:val="26"/>
        </w:rPr>
        <w:t xml:space="preserve"> Based upon </w:t>
      </w:r>
      <w:r>
        <w:rPr>
          <w:rFonts w:ascii="Times New Roman" w:hAnsi="Times New Roman" w:cs="Times New Roman"/>
          <w:sz w:val="26"/>
          <w:szCs w:val="26"/>
        </w:rPr>
        <w:t xml:space="preserve">FERC’s </w:t>
      </w:r>
      <w:r w:rsidRPr="008A757A">
        <w:rPr>
          <w:rFonts w:ascii="Times New Roman" w:hAnsi="Times New Roman" w:cs="Times New Roman"/>
          <w:sz w:val="26"/>
          <w:szCs w:val="26"/>
        </w:rPr>
        <w:t>2017 FTE average salary plus benefits ($158,754)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D6A9" w14:textId="1C5729ED" w:rsidR="00022939" w:rsidRDefault="00022939">
    <w:pPr>
      <w:pStyle w:val="Header"/>
    </w:pPr>
    <w:r>
      <w:t>FERC-725A, FERC-725G</w:t>
    </w:r>
    <w:r w:rsidR="0062150E">
      <w:t>,</w:t>
    </w:r>
    <w:r>
      <w:t xml:space="preserve"> and FERC-725Y (OMB Control Nos. 1902-0244, 1902-0252 and 1902-0279)</w:t>
    </w:r>
  </w:p>
  <w:p w14:paraId="3E7FDE0C" w14:textId="77777777" w:rsidR="00022939" w:rsidRDefault="00022939">
    <w:pPr>
      <w:pStyle w:val="Header"/>
    </w:pPr>
    <w:r>
      <w:t>Final Rule (issued 6/13/18) in Docket No. RM16-22</w:t>
    </w:r>
  </w:p>
  <w:p w14:paraId="4A76453B" w14:textId="62D06485" w:rsidR="00022939" w:rsidRDefault="00022939">
    <w:pPr>
      <w:pStyle w:val="Header"/>
    </w:pPr>
    <w:r>
      <w:t>RIN</w:t>
    </w:r>
    <w:r w:rsidR="006140AE">
      <w:t xml:space="preserve">: </w:t>
    </w:r>
    <w:r>
      <w:t>1902-AF45</w:t>
    </w:r>
  </w:p>
  <w:p w14:paraId="364ABE3A" w14:textId="77777777" w:rsidR="00022939" w:rsidRDefault="00022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C41"/>
    <w:multiLevelType w:val="hybridMultilevel"/>
    <w:tmpl w:val="ED0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76466"/>
    <w:multiLevelType w:val="hybridMultilevel"/>
    <w:tmpl w:val="78E68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C1895"/>
    <w:multiLevelType w:val="hybridMultilevel"/>
    <w:tmpl w:val="E52203D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FD5BCC"/>
    <w:multiLevelType w:val="hybridMultilevel"/>
    <w:tmpl w:val="D10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42BFA"/>
    <w:multiLevelType w:val="hybridMultilevel"/>
    <w:tmpl w:val="84E0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DD"/>
    <w:rsid w:val="00014369"/>
    <w:rsid w:val="00022939"/>
    <w:rsid w:val="00043630"/>
    <w:rsid w:val="00065504"/>
    <w:rsid w:val="000B196E"/>
    <w:rsid w:val="000D2AEC"/>
    <w:rsid w:val="001A153B"/>
    <w:rsid w:val="001B178A"/>
    <w:rsid w:val="001B2950"/>
    <w:rsid w:val="00231271"/>
    <w:rsid w:val="00232F79"/>
    <w:rsid w:val="0024377F"/>
    <w:rsid w:val="0025702F"/>
    <w:rsid w:val="00261928"/>
    <w:rsid w:val="002E0CF6"/>
    <w:rsid w:val="003009CB"/>
    <w:rsid w:val="003463E6"/>
    <w:rsid w:val="003706A1"/>
    <w:rsid w:val="003C187C"/>
    <w:rsid w:val="003D34F1"/>
    <w:rsid w:val="003E4D3C"/>
    <w:rsid w:val="004232B1"/>
    <w:rsid w:val="00450F42"/>
    <w:rsid w:val="00460C6A"/>
    <w:rsid w:val="00587C53"/>
    <w:rsid w:val="00595138"/>
    <w:rsid w:val="005F2368"/>
    <w:rsid w:val="006140AE"/>
    <w:rsid w:val="0062150E"/>
    <w:rsid w:val="00632813"/>
    <w:rsid w:val="0064201D"/>
    <w:rsid w:val="00644588"/>
    <w:rsid w:val="006D6BF7"/>
    <w:rsid w:val="007002ED"/>
    <w:rsid w:val="0076658D"/>
    <w:rsid w:val="007B29B4"/>
    <w:rsid w:val="007C76D7"/>
    <w:rsid w:val="00807167"/>
    <w:rsid w:val="00831BE0"/>
    <w:rsid w:val="00872BDC"/>
    <w:rsid w:val="008A1D23"/>
    <w:rsid w:val="008E15F4"/>
    <w:rsid w:val="008E4006"/>
    <w:rsid w:val="00947EBE"/>
    <w:rsid w:val="00965E15"/>
    <w:rsid w:val="00971D82"/>
    <w:rsid w:val="009766BA"/>
    <w:rsid w:val="00991159"/>
    <w:rsid w:val="00995314"/>
    <w:rsid w:val="009A0BF6"/>
    <w:rsid w:val="009B3AA9"/>
    <w:rsid w:val="009B6241"/>
    <w:rsid w:val="009E03C9"/>
    <w:rsid w:val="00A56BAC"/>
    <w:rsid w:val="00B063B8"/>
    <w:rsid w:val="00B608A6"/>
    <w:rsid w:val="00B77B3D"/>
    <w:rsid w:val="00BA1856"/>
    <w:rsid w:val="00BB214B"/>
    <w:rsid w:val="00BF49A0"/>
    <w:rsid w:val="00BF6782"/>
    <w:rsid w:val="00C002C5"/>
    <w:rsid w:val="00C3740A"/>
    <w:rsid w:val="00D06456"/>
    <w:rsid w:val="00D21DD1"/>
    <w:rsid w:val="00D455B5"/>
    <w:rsid w:val="00D46460"/>
    <w:rsid w:val="00D8690C"/>
    <w:rsid w:val="00DB56DF"/>
    <w:rsid w:val="00E477E5"/>
    <w:rsid w:val="00E829BB"/>
    <w:rsid w:val="00E8521E"/>
    <w:rsid w:val="00EA32D8"/>
    <w:rsid w:val="00EB3B0A"/>
    <w:rsid w:val="00ED5F9E"/>
    <w:rsid w:val="00EE07DD"/>
    <w:rsid w:val="00EF4A10"/>
    <w:rsid w:val="00EF775D"/>
    <w:rsid w:val="00F0276C"/>
    <w:rsid w:val="00F12A94"/>
    <w:rsid w:val="00F304C0"/>
    <w:rsid w:val="00F46F6D"/>
    <w:rsid w:val="00F81B09"/>
    <w:rsid w:val="00FB148F"/>
    <w:rsid w:val="00FE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unhideWhenUsed/>
    <w:qFormat/>
    <w:rsid w:val="00EE07DD"/>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rsid w:val="00EE07DD"/>
    <w:rPr>
      <w:sz w:val="20"/>
      <w:szCs w:val="20"/>
    </w:rPr>
  </w:style>
  <w:style w:type="character" w:styleId="FootnoteReference">
    <w:name w:val="footnote reference"/>
    <w:basedOn w:val="DefaultParagraphFont"/>
    <w:semiHidden/>
    <w:unhideWhenUsed/>
    <w:qFormat/>
    <w:rsid w:val="00EE07DD"/>
    <w:rPr>
      <w:vertAlign w:val="superscript"/>
    </w:rPr>
  </w:style>
  <w:style w:type="character" w:styleId="Hyperlink">
    <w:name w:val="Hyperlink"/>
    <w:basedOn w:val="DefaultParagraphFont"/>
    <w:uiPriority w:val="99"/>
    <w:unhideWhenUsed/>
    <w:rsid w:val="00EE07DD"/>
    <w:rPr>
      <w:rFonts w:ascii="Times New Roman" w:hAnsi="Times New Roman" w:cs="Times New Roman" w:hint="default"/>
      <w:color w:val="0000FF"/>
      <w:u w:val="single"/>
    </w:rPr>
  </w:style>
  <w:style w:type="paragraph" w:styleId="Header">
    <w:name w:val="header"/>
    <w:basedOn w:val="Normal"/>
    <w:link w:val="HeaderChar"/>
    <w:uiPriority w:val="99"/>
    <w:unhideWhenUsed/>
    <w:rsid w:val="0064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88"/>
  </w:style>
  <w:style w:type="paragraph" w:styleId="Footer">
    <w:name w:val="footer"/>
    <w:basedOn w:val="Normal"/>
    <w:link w:val="FooterChar"/>
    <w:uiPriority w:val="99"/>
    <w:unhideWhenUsed/>
    <w:rsid w:val="0064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88"/>
  </w:style>
  <w:style w:type="character" w:styleId="FollowedHyperlink">
    <w:name w:val="FollowedHyperlink"/>
    <w:basedOn w:val="DefaultParagraphFont"/>
    <w:uiPriority w:val="99"/>
    <w:semiHidden/>
    <w:unhideWhenUsed/>
    <w:rsid w:val="00E8521E"/>
    <w:rPr>
      <w:color w:val="954F72" w:themeColor="followedHyperlink"/>
      <w:u w:val="single"/>
    </w:rPr>
  </w:style>
  <w:style w:type="paragraph" w:styleId="BalloonText">
    <w:name w:val="Balloon Text"/>
    <w:basedOn w:val="Normal"/>
    <w:link w:val="BalloonTextChar"/>
    <w:uiPriority w:val="99"/>
    <w:semiHidden/>
    <w:unhideWhenUsed/>
    <w:rsid w:val="0087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DC"/>
    <w:rPr>
      <w:rFonts w:ascii="Segoe UI" w:hAnsi="Segoe UI" w:cs="Segoe UI"/>
      <w:sz w:val="18"/>
      <w:szCs w:val="18"/>
    </w:rPr>
  </w:style>
  <w:style w:type="paragraph" w:styleId="ListParagraph">
    <w:name w:val="List Paragraph"/>
    <w:basedOn w:val="Normal"/>
    <w:uiPriority w:val="34"/>
    <w:qFormat/>
    <w:rsid w:val="00232F79"/>
    <w:pPr>
      <w:ind w:left="720"/>
      <w:contextualSpacing/>
    </w:pPr>
  </w:style>
  <w:style w:type="character" w:styleId="CommentReference">
    <w:name w:val="annotation reference"/>
    <w:basedOn w:val="DefaultParagraphFont"/>
    <w:uiPriority w:val="99"/>
    <w:semiHidden/>
    <w:unhideWhenUsed/>
    <w:rsid w:val="00261928"/>
    <w:rPr>
      <w:sz w:val="16"/>
      <w:szCs w:val="16"/>
    </w:rPr>
  </w:style>
  <w:style w:type="paragraph" w:styleId="CommentText">
    <w:name w:val="annotation text"/>
    <w:basedOn w:val="Normal"/>
    <w:link w:val="CommentTextChar"/>
    <w:uiPriority w:val="99"/>
    <w:semiHidden/>
    <w:unhideWhenUsed/>
    <w:rsid w:val="00261928"/>
    <w:pPr>
      <w:spacing w:line="240" w:lineRule="auto"/>
    </w:pPr>
    <w:rPr>
      <w:sz w:val="20"/>
      <w:szCs w:val="20"/>
    </w:rPr>
  </w:style>
  <w:style w:type="character" w:customStyle="1" w:styleId="CommentTextChar">
    <w:name w:val="Comment Text Char"/>
    <w:basedOn w:val="DefaultParagraphFont"/>
    <w:link w:val="CommentText"/>
    <w:uiPriority w:val="99"/>
    <w:semiHidden/>
    <w:rsid w:val="00261928"/>
    <w:rPr>
      <w:sz w:val="20"/>
      <w:szCs w:val="20"/>
    </w:rPr>
  </w:style>
  <w:style w:type="paragraph" w:styleId="CommentSubject">
    <w:name w:val="annotation subject"/>
    <w:basedOn w:val="CommentText"/>
    <w:next w:val="CommentText"/>
    <w:link w:val="CommentSubjectChar"/>
    <w:uiPriority w:val="99"/>
    <w:semiHidden/>
    <w:unhideWhenUsed/>
    <w:rsid w:val="00261928"/>
    <w:rPr>
      <w:b/>
      <w:bCs/>
    </w:rPr>
  </w:style>
  <w:style w:type="character" w:customStyle="1" w:styleId="CommentSubjectChar">
    <w:name w:val="Comment Subject Char"/>
    <w:basedOn w:val="CommentTextChar"/>
    <w:link w:val="CommentSubject"/>
    <w:uiPriority w:val="99"/>
    <w:semiHidden/>
    <w:rsid w:val="002619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unhideWhenUsed/>
    <w:qFormat/>
    <w:rsid w:val="00EE07DD"/>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rsid w:val="00EE07DD"/>
    <w:rPr>
      <w:sz w:val="20"/>
      <w:szCs w:val="20"/>
    </w:rPr>
  </w:style>
  <w:style w:type="character" w:styleId="FootnoteReference">
    <w:name w:val="footnote reference"/>
    <w:basedOn w:val="DefaultParagraphFont"/>
    <w:semiHidden/>
    <w:unhideWhenUsed/>
    <w:qFormat/>
    <w:rsid w:val="00EE07DD"/>
    <w:rPr>
      <w:vertAlign w:val="superscript"/>
    </w:rPr>
  </w:style>
  <w:style w:type="character" w:styleId="Hyperlink">
    <w:name w:val="Hyperlink"/>
    <w:basedOn w:val="DefaultParagraphFont"/>
    <w:uiPriority w:val="99"/>
    <w:unhideWhenUsed/>
    <w:rsid w:val="00EE07DD"/>
    <w:rPr>
      <w:rFonts w:ascii="Times New Roman" w:hAnsi="Times New Roman" w:cs="Times New Roman" w:hint="default"/>
      <w:color w:val="0000FF"/>
      <w:u w:val="single"/>
    </w:rPr>
  </w:style>
  <w:style w:type="paragraph" w:styleId="Header">
    <w:name w:val="header"/>
    <w:basedOn w:val="Normal"/>
    <w:link w:val="HeaderChar"/>
    <w:uiPriority w:val="99"/>
    <w:unhideWhenUsed/>
    <w:rsid w:val="0064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88"/>
  </w:style>
  <w:style w:type="paragraph" w:styleId="Footer">
    <w:name w:val="footer"/>
    <w:basedOn w:val="Normal"/>
    <w:link w:val="FooterChar"/>
    <w:uiPriority w:val="99"/>
    <w:unhideWhenUsed/>
    <w:rsid w:val="0064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88"/>
  </w:style>
  <w:style w:type="character" w:styleId="FollowedHyperlink">
    <w:name w:val="FollowedHyperlink"/>
    <w:basedOn w:val="DefaultParagraphFont"/>
    <w:uiPriority w:val="99"/>
    <w:semiHidden/>
    <w:unhideWhenUsed/>
    <w:rsid w:val="00E8521E"/>
    <w:rPr>
      <w:color w:val="954F72" w:themeColor="followedHyperlink"/>
      <w:u w:val="single"/>
    </w:rPr>
  </w:style>
  <w:style w:type="paragraph" w:styleId="BalloonText">
    <w:name w:val="Balloon Text"/>
    <w:basedOn w:val="Normal"/>
    <w:link w:val="BalloonTextChar"/>
    <w:uiPriority w:val="99"/>
    <w:semiHidden/>
    <w:unhideWhenUsed/>
    <w:rsid w:val="0087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DC"/>
    <w:rPr>
      <w:rFonts w:ascii="Segoe UI" w:hAnsi="Segoe UI" w:cs="Segoe UI"/>
      <w:sz w:val="18"/>
      <w:szCs w:val="18"/>
    </w:rPr>
  </w:style>
  <w:style w:type="paragraph" w:styleId="ListParagraph">
    <w:name w:val="List Paragraph"/>
    <w:basedOn w:val="Normal"/>
    <w:uiPriority w:val="34"/>
    <w:qFormat/>
    <w:rsid w:val="00232F79"/>
    <w:pPr>
      <w:ind w:left="720"/>
      <w:contextualSpacing/>
    </w:pPr>
  </w:style>
  <w:style w:type="character" w:styleId="CommentReference">
    <w:name w:val="annotation reference"/>
    <w:basedOn w:val="DefaultParagraphFont"/>
    <w:uiPriority w:val="99"/>
    <w:semiHidden/>
    <w:unhideWhenUsed/>
    <w:rsid w:val="00261928"/>
    <w:rPr>
      <w:sz w:val="16"/>
      <w:szCs w:val="16"/>
    </w:rPr>
  </w:style>
  <w:style w:type="paragraph" w:styleId="CommentText">
    <w:name w:val="annotation text"/>
    <w:basedOn w:val="Normal"/>
    <w:link w:val="CommentTextChar"/>
    <w:uiPriority w:val="99"/>
    <w:semiHidden/>
    <w:unhideWhenUsed/>
    <w:rsid w:val="00261928"/>
    <w:pPr>
      <w:spacing w:line="240" w:lineRule="auto"/>
    </w:pPr>
    <w:rPr>
      <w:sz w:val="20"/>
      <w:szCs w:val="20"/>
    </w:rPr>
  </w:style>
  <w:style w:type="character" w:customStyle="1" w:styleId="CommentTextChar">
    <w:name w:val="Comment Text Char"/>
    <w:basedOn w:val="DefaultParagraphFont"/>
    <w:link w:val="CommentText"/>
    <w:uiPriority w:val="99"/>
    <w:semiHidden/>
    <w:rsid w:val="00261928"/>
    <w:rPr>
      <w:sz w:val="20"/>
      <w:szCs w:val="20"/>
    </w:rPr>
  </w:style>
  <w:style w:type="paragraph" w:styleId="CommentSubject">
    <w:name w:val="annotation subject"/>
    <w:basedOn w:val="CommentText"/>
    <w:next w:val="CommentText"/>
    <w:link w:val="CommentSubjectChar"/>
    <w:uiPriority w:val="99"/>
    <w:semiHidden/>
    <w:unhideWhenUsed/>
    <w:rsid w:val="00261928"/>
    <w:rPr>
      <w:b/>
      <w:bCs/>
    </w:rPr>
  </w:style>
  <w:style w:type="character" w:customStyle="1" w:styleId="CommentSubjectChar">
    <w:name w:val="Comment Subject Char"/>
    <w:basedOn w:val="CommentTextChar"/>
    <w:link w:val="CommentSubject"/>
    <w:uiPriority w:val="99"/>
    <w:semiHidden/>
    <w:rsid w:val="00261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ferc.gov/idmws/common/OpenNat.asp?fileID=14940363" TargetMode="External"/><Relationship Id="rId3" Type="http://schemas.openxmlformats.org/officeDocument/2006/relationships/hyperlink" Target="https://www.nerc.com/FilingsOrders/us/NERC%20Filings%20to%20FERC%20DL/Petition_Approval%20of%20PRC-027%20and%20PER-006.pdf" TargetMode="External"/><Relationship Id="rId7" Type="http://schemas.openxmlformats.org/officeDocument/2006/relationships/hyperlink" Target="http://www.nerc.com/FilingsOrders/us/RuleOfProcedureDL/Appendix_3A_StandardProcessesManual_20130626.pdf" TargetMode="External"/><Relationship Id="rId2" Type="http://schemas.openxmlformats.org/officeDocument/2006/relationships/hyperlink" Target="https://www.nerc.com/pa/Stand/Reliability%20Standards/PER-006-1.pdf" TargetMode="External"/><Relationship Id="rId1" Type="http://schemas.openxmlformats.org/officeDocument/2006/relationships/hyperlink" Target="https://www.nerc.com/pa/Stand/Reliability%20Standards/PRC-027-1.pdf" TargetMode="External"/><Relationship Id="rId6" Type="http://schemas.openxmlformats.org/officeDocument/2006/relationships/hyperlink" Target="http://www.nerc.com/FilingsOrders/us/RuleOfProcedureDL/Appendix_3A_StandardProcessesManual_20130626.pdf" TargetMode="External"/><Relationship Id="rId5" Type="http://schemas.openxmlformats.org/officeDocument/2006/relationships/hyperlink" Target="https://elibrary.ferc.gov/idmws/common/opennat.asp?fileID=14345793" TargetMode="External"/><Relationship Id="rId4" Type="http://schemas.openxmlformats.org/officeDocument/2006/relationships/hyperlink" Target="http://www.nerc.com" TargetMode="External"/><Relationship Id="rId9"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2018-06-25T04:00:00+00:00</Date>
    <Status xmlns="d6eefc7d-9817-4fa6-84d5-3bc009be21b8">Final</Status>
    <_x0032__x002e__x0020_Docket_x0020_Number xmlns="d6eefc7d-9817-4fa6-84d5-3bc009be21b8" xsi:nil="true"/>
    <_x0032__x002e__x0020_Collection_x0020_Number xmlns="d6eefc7d-9817-4fa6-84d5-3bc009be21b8">725G</_x0032__x002e__x0020_Collection_x0020_Number>
    <_x0031__x002e__x0020_Docket_x0020_Number xmlns="d6eefc7d-9817-4fa6-84d5-3bc009be21b8">RM16-22</_x0031__x002e__x0020_Docket_x0020_Number>
    <_x0033__x002e__x0020_Collection_x0020_Number xmlns="d6eefc7d-9817-4fa6-84d5-3bc009be21b8">725Y</_x0033__x002e__x0020_Collection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995B-DA6B-4E16-A395-CABD895ECCE6}">
  <ds:schemaRefs>
    <ds:schemaRef ds:uri="http://purl.org/dc/elements/1.1/"/>
    <ds:schemaRef ds:uri="d6eefc7d-9817-4fa6-84d5-3bc009be21b8"/>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D10264-80D8-49AA-8E31-48725C1D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6099D-82FD-476B-B199-9626F5C7DC55}">
  <ds:schemaRefs>
    <ds:schemaRef ds:uri="http://schemas.microsoft.com/office/2006/metadata/customXsn"/>
  </ds:schemaRefs>
</ds:datastoreItem>
</file>

<file path=customXml/itemProps4.xml><?xml version="1.0" encoding="utf-8"?>
<ds:datastoreItem xmlns:ds="http://schemas.openxmlformats.org/officeDocument/2006/customXml" ds:itemID="{FDC8F956-2222-4F37-BEF9-3D2CA4E67A3B}">
  <ds:schemaRefs>
    <ds:schemaRef ds:uri="Microsoft.SharePoint.Taxonomy.ContentTypeSync"/>
  </ds:schemaRefs>
</ds:datastoreItem>
</file>

<file path=customXml/itemProps5.xml><?xml version="1.0" encoding="utf-8"?>
<ds:datastoreItem xmlns:ds="http://schemas.openxmlformats.org/officeDocument/2006/customXml" ds:itemID="{87D1D8D9-7D66-4B82-8F84-7C686D50719E}">
  <ds:schemaRefs>
    <ds:schemaRef ds:uri="http://schemas.microsoft.com/sharepoint/v3/contenttype/forms"/>
  </ds:schemaRefs>
</ds:datastoreItem>
</file>

<file path=customXml/itemProps6.xml><?xml version="1.0" encoding="utf-8"?>
<ds:datastoreItem xmlns:ds="http://schemas.openxmlformats.org/officeDocument/2006/customXml" ds:itemID="{F300F776-B5F3-412A-AEBE-C5EB8A0B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RM16-22 Supporting Statement</vt:lpstr>
    </vt:vector>
  </TitlesOfParts>
  <Company>FERC</Company>
  <LinksUpToDate>false</LinksUpToDate>
  <CharactersWithSpaces>23275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RM16-22 Supporting Statement</dc:title>
  <dc:subject/>
  <dc:creator>Michele Chambers</dc:creator>
  <cp:keywords/>
  <dc:description/>
  <cp:lastModifiedBy>SYSTEM</cp:lastModifiedBy>
  <cp:revision>2</cp:revision>
  <cp:lastPrinted>2018-06-21T12:21:00Z</cp:lastPrinted>
  <dcterms:created xsi:type="dcterms:W3CDTF">2018-06-25T20:19:00Z</dcterms:created>
  <dcterms:modified xsi:type="dcterms:W3CDTF">2018-06-25T20:19:00Z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