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CC01876" w14:textId="77777777" w:rsidR="00526126" w:rsidRPr="00341D82" w:rsidRDefault="00526126" w:rsidP="00526126">
      <w:pPr>
        <w:jc w:val="center"/>
        <w:rPr>
          <w:b/>
          <w:bCs/>
        </w:rPr>
      </w:pPr>
      <w:r w:rsidRPr="00341D82">
        <w:rPr>
          <w:lang w:val="en-CA"/>
        </w:rPr>
        <w:fldChar w:fldCharType="begin"/>
      </w:r>
      <w:r w:rsidRPr="00341D82">
        <w:rPr>
          <w:lang w:val="en-CA"/>
        </w:rPr>
        <w:instrText xml:space="preserve"> SEQ CHAPTER \h \r 1</w:instrText>
      </w:r>
      <w:r w:rsidRPr="00341D82">
        <w:rPr>
          <w:lang w:val="en-CA"/>
        </w:rPr>
        <w:fldChar w:fldCharType="end"/>
      </w:r>
      <w:r w:rsidRPr="00341D82">
        <w:rPr>
          <w:b/>
          <w:bCs/>
        </w:rPr>
        <w:t>Supporting Statement for a Request for OMB Review under</w:t>
      </w:r>
    </w:p>
    <w:p w14:paraId="10771E2B" w14:textId="77777777" w:rsidR="00526126" w:rsidRDefault="00526126" w:rsidP="00526126">
      <w:pPr>
        <w:jc w:val="center"/>
        <w:rPr>
          <w:b/>
          <w:bCs/>
        </w:rPr>
      </w:pPr>
      <w:r w:rsidRPr="00341D82">
        <w:rPr>
          <w:b/>
          <w:bCs/>
        </w:rPr>
        <w:t>The Paperwork Reduction Act</w:t>
      </w:r>
    </w:p>
    <w:p w14:paraId="097A4C65" w14:textId="77777777" w:rsidR="00526126" w:rsidRDefault="00526126" w:rsidP="00526126">
      <w:pPr>
        <w:jc w:val="center"/>
        <w:rPr>
          <w:b/>
          <w:bCs/>
        </w:rPr>
      </w:pPr>
    </w:p>
    <w:p w14:paraId="33D179A9" w14:textId="77777777" w:rsidR="00526126" w:rsidRPr="00341D82" w:rsidRDefault="00526126" w:rsidP="00526126">
      <w:pPr>
        <w:rPr>
          <w:b/>
          <w:bCs/>
        </w:rPr>
      </w:pPr>
      <w:r>
        <w:rPr>
          <w:b/>
          <w:bCs/>
        </w:rPr>
        <w:t>1.</w:t>
      </w:r>
      <w:r>
        <w:rPr>
          <w:b/>
          <w:bCs/>
        </w:rPr>
        <w:tab/>
        <w:t>IDENTIFICATION OF THE INFORMATION COLLECTION</w:t>
      </w:r>
    </w:p>
    <w:p w14:paraId="0635205D" w14:textId="77777777" w:rsidR="00526126" w:rsidRPr="00341D82" w:rsidRDefault="00526126" w:rsidP="00526126">
      <w:pPr>
        <w:jc w:val="center"/>
        <w:rPr>
          <w:b/>
          <w:bCs/>
        </w:rPr>
      </w:pPr>
    </w:p>
    <w:p w14:paraId="3F274CB4" w14:textId="77777777" w:rsidR="00526126" w:rsidRPr="00341D82" w:rsidRDefault="00526126" w:rsidP="00526126">
      <w:pPr>
        <w:tabs>
          <w:tab w:val="left" w:pos="720"/>
        </w:tabs>
        <w:ind w:left="360"/>
        <w:rPr>
          <w:b/>
          <w:bCs/>
        </w:rPr>
      </w:pPr>
      <w:r w:rsidRPr="00341D82">
        <w:rPr>
          <w:b/>
          <w:bCs/>
        </w:rPr>
        <w:tab/>
      </w:r>
      <w:r>
        <w:rPr>
          <w:b/>
          <w:bCs/>
        </w:rPr>
        <w:t>1(a)</w:t>
      </w:r>
      <w:r>
        <w:rPr>
          <w:b/>
          <w:bCs/>
        </w:rPr>
        <w:tab/>
      </w:r>
      <w:r w:rsidRPr="00341D82">
        <w:rPr>
          <w:b/>
          <w:bCs/>
        </w:rPr>
        <w:t>Title and Number of the Information Collection</w:t>
      </w:r>
    </w:p>
    <w:p w14:paraId="61B662B7" w14:textId="77777777" w:rsidR="00526126" w:rsidRPr="00341D82" w:rsidRDefault="00526126" w:rsidP="00526126">
      <w:pPr>
        <w:tabs>
          <w:tab w:val="left" w:pos="720"/>
        </w:tabs>
        <w:ind w:left="360"/>
        <w:rPr>
          <w:b/>
          <w:bCs/>
        </w:rPr>
      </w:pPr>
    </w:p>
    <w:p w14:paraId="2CF5F1B4" w14:textId="77777777" w:rsidR="00526126" w:rsidRPr="00341D82" w:rsidRDefault="00526126" w:rsidP="002D177F">
      <w:pPr>
        <w:tabs>
          <w:tab w:val="left" w:pos="720"/>
        </w:tabs>
        <w:ind w:left="1440" w:hanging="720"/>
        <w:rPr>
          <w:b/>
          <w:bCs/>
        </w:rPr>
      </w:pPr>
      <w:r w:rsidRPr="00341D82">
        <w:rPr>
          <w:b/>
          <w:bCs/>
        </w:rPr>
        <w:t xml:space="preserve">Title: </w:t>
      </w:r>
      <w:r w:rsidR="002D177F">
        <w:rPr>
          <w:b/>
          <w:bCs/>
        </w:rPr>
        <w:tab/>
      </w:r>
      <w:r w:rsidR="00D972D3" w:rsidRPr="00D972D3">
        <w:rPr>
          <w:b/>
          <w:bCs/>
        </w:rPr>
        <w:t>Revision to Premanufacture Review Reporting and Exemption Requirements for New Chemical Substances and Significant New Use Reporting Requirements for Chemical Substances [Direct Final Rul</w:t>
      </w:r>
      <w:r w:rsidR="00D972D3">
        <w:rPr>
          <w:b/>
          <w:bCs/>
        </w:rPr>
        <w:t>e; RIN 2070-AJ98</w:t>
      </w:r>
      <w:r w:rsidR="002D177F">
        <w:rPr>
          <w:b/>
          <w:bCs/>
        </w:rPr>
        <w:t>]</w:t>
      </w:r>
    </w:p>
    <w:p w14:paraId="72465D74" w14:textId="77777777" w:rsidR="00526126" w:rsidRPr="00341D82" w:rsidRDefault="00526126" w:rsidP="00526126">
      <w:pPr>
        <w:tabs>
          <w:tab w:val="left" w:pos="720"/>
        </w:tabs>
      </w:pPr>
    </w:p>
    <w:p w14:paraId="107C2DE5" w14:textId="77777777" w:rsidR="00526126" w:rsidRPr="00341D82" w:rsidRDefault="00526126" w:rsidP="00526126">
      <w:pPr>
        <w:tabs>
          <w:tab w:val="left" w:pos="720"/>
        </w:tabs>
        <w:rPr>
          <w:b/>
          <w:bCs/>
        </w:rPr>
      </w:pPr>
      <w:r w:rsidRPr="00341D82">
        <w:rPr>
          <w:b/>
          <w:bCs/>
        </w:rPr>
        <w:tab/>
        <w:t xml:space="preserve">EPA ICR No.:  </w:t>
      </w:r>
      <w:r w:rsidR="00D972D3">
        <w:rPr>
          <w:b/>
          <w:bCs/>
        </w:rPr>
        <w:t>0574.1</w:t>
      </w:r>
      <w:r w:rsidR="00A12773">
        <w:rPr>
          <w:b/>
          <w:bCs/>
        </w:rPr>
        <w:t>6</w:t>
      </w:r>
      <w:r>
        <w:rPr>
          <w:b/>
          <w:bCs/>
        </w:rPr>
        <w:tab/>
        <w:t>OMB Control No:  2070-</w:t>
      </w:r>
      <w:r w:rsidR="00D972D3">
        <w:rPr>
          <w:b/>
          <w:bCs/>
        </w:rPr>
        <w:t>0012</w:t>
      </w:r>
    </w:p>
    <w:p w14:paraId="06F95C52" w14:textId="77777777" w:rsidR="00526126" w:rsidRPr="00341D82" w:rsidRDefault="00526126" w:rsidP="00526126">
      <w:pPr>
        <w:tabs>
          <w:tab w:val="left" w:pos="720"/>
        </w:tabs>
        <w:rPr>
          <w:b/>
          <w:bCs/>
        </w:rPr>
      </w:pPr>
    </w:p>
    <w:p w14:paraId="27577D1F" w14:textId="77777777" w:rsidR="00526126" w:rsidRPr="00341D82" w:rsidRDefault="00526126" w:rsidP="00526126">
      <w:pPr>
        <w:tabs>
          <w:tab w:val="left" w:pos="720"/>
        </w:tabs>
      </w:pPr>
      <w:r w:rsidRPr="00341D82">
        <w:rPr>
          <w:b/>
          <w:bCs/>
        </w:rPr>
        <w:tab/>
        <w:t>1(b)</w:t>
      </w:r>
      <w:r w:rsidRPr="00341D82">
        <w:rPr>
          <w:b/>
          <w:bCs/>
        </w:rPr>
        <w:tab/>
        <w:t>Short Characterization</w:t>
      </w:r>
    </w:p>
    <w:p w14:paraId="6267E51A" w14:textId="77777777" w:rsidR="00526126" w:rsidRPr="00341D82" w:rsidRDefault="00526126" w:rsidP="00526126">
      <w:pPr>
        <w:ind w:firstLine="720"/>
      </w:pPr>
    </w:p>
    <w:p w14:paraId="46CD044A" w14:textId="21B5C85C" w:rsidR="006836AA" w:rsidRDefault="00526126" w:rsidP="006836AA">
      <w:pPr>
        <w:ind w:firstLine="720"/>
      </w:pPr>
      <w:r w:rsidRPr="00E17D6B">
        <w:t xml:space="preserve">This </w:t>
      </w:r>
      <w:r w:rsidR="00D972D3">
        <w:t xml:space="preserve">is a request for a revision to an existing </w:t>
      </w:r>
      <w:r w:rsidRPr="00341D82">
        <w:t xml:space="preserve">information collection request </w:t>
      </w:r>
      <w:r>
        <w:t>(</w:t>
      </w:r>
      <w:r w:rsidRPr="00E17D6B">
        <w:t>ICR</w:t>
      </w:r>
      <w:r>
        <w:t>)</w:t>
      </w:r>
      <w:r w:rsidRPr="00E17D6B">
        <w:t xml:space="preserve"> </w:t>
      </w:r>
      <w:r w:rsidR="00D972D3">
        <w:t xml:space="preserve">that is currently </w:t>
      </w:r>
      <w:r w:rsidR="002D177F" w:rsidRPr="009A26FC">
        <w:t xml:space="preserve">approved </w:t>
      </w:r>
      <w:r w:rsidR="00D972D3">
        <w:t xml:space="preserve">under OMB Control No. 2070-0012 </w:t>
      </w:r>
      <w:r w:rsidR="002D177F" w:rsidRPr="009A26FC">
        <w:t xml:space="preserve">(EPA ICR No. </w:t>
      </w:r>
      <w:r w:rsidR="00D972D3">
        <w:t>0574.1</w:t>
      </w:r>
      <w:r w:rsidR="00560C49">
        <w:t>5</w:t>
      </w:r>
      <w:r w:rsidR="005A1080">
        <w:rPr>
          <w:rStyle w:val="FootnoteReference"/>
        </w:rPr>
        <w:footnoteReference w:id="1"/>
      </w:r>
      <w:r w:rsidR="00D972D3">
        <w:t xml:space="preserve">). The existing ICR </w:t>
      </w:r>
      <w:r w:rsidR="00D972D3" w:rsidRPr="00D972D3">
        <w:t>addresses the reporting and recordkeeping requirements associated with section 5</w:t>
      </w:r>
      <w:r w:rsidR="00A66937">
        <w:rPr>
          <w:rStyle w:val="FootnoteReference"/>
        </w:rPr>
        <w:footnoteReference w:id="2"/>
      </w:r>
      <w:r w:rsidR="00D972D3">
        <w:t xml:space="preserve"> of the </w:t>
      </w:r>
      <w:r w:rsidR="00D972D3" w:rsidRPr="00D972D3">
        <w:t>Toxic Substances Control Act (TSCA)</w:t>
      </w:r>
      <w:r w:rsidR="00A66937">
        <w:t xml:space="preserve"> (15 U.S.C. 2604)</w:t>
      </w:r>
      <w:r w:rsidR="00D972D3">
        <w:t>, including electronic reporting requirements</w:t>
      </w:r>
      <w:r w:rsidR="00D972D3" w:rsidRPr="00D972D3">
        <w:t>.</w:t>
      </w:r>
      <w:r w:rsidR="002D177F">
        <w:t xml:space="preserve"> </w:t>
      </w:r>
      <w:r w:rsidR="00D972D3" w:rsidRPr="00D972D3">
        <w:t xml:space="preserve">EPA is taking direct final action </w:t>
      </w:r>
      <w:r w:rsidR="006836AA" w:rsidRPr="00D972D3">
        <w:t>further streamline and reduce the administrative costs and burdens of TSCA section 5 notifications for both industry and EPA.</w:t>
      </w:r>
      <w:r w:rsidR="006836AA">
        <w:t xml:space="preserve"> The direct final rule </w:t>
      </w:r>
      <w:r w:rsidR="002765EC">
        <w:t xml:space="preserve">(Attachment 1) </w:t>
      </w:r>
      <w:r w:rsidR="00D972D3" w:rsidRPr="00D972D3">
        <w:t>amend</w:t>
      </w:r>
      <w:r w:rsidR="006836AA">
        <w:t>s</w:t>
      </w:r>
      <w:r w:rsidR="00D972D3" w:rsidRPr="00D972D3">
        <w:t xml:space="preserve"> the TSCA section 5 electronic reporting regulations at 40 </w:t>
      </w:r>
      <w:r w:rsidR="006836AA">
        <w:t>CFR Parts 720</w:t>
      </w:r>
      <w:r w:rsidR="00884C1C">
        <w:rPr>
          <w:rStyle w:val="FootnoteReference"/>
        </w:rPr>
        <w:footnoteReference w:id="3"/>
      </w:r>
      <w:r w:rsidR="006836AA">
        <w:t>, 721</w:t>
      </w:r>
      <w:r w:rsidR="00884C1C">
        <w:rPr>
          <w:rStyle w:val="FootnoteReference"/>
        </w:rPr>
        <w:footnoteReference w:id="4"/>
      </w:r>
      <w:r w:rsidR="006836AA">
        <w:t>, 723</w:t>
      </w:r>
      <w:r w:rsidR="00884C1C">
        <w:rPr>
          <w:rStyle w:val="FootnoteReference"/>
        </w:rPr>
        <w:footnoteReference w:id="5"/>
      </w:r>
      <w:r w:rsidR="006836AA">
        <w:t xml:space="preserve"> and 725</w:t>
      </w:r>
      <w:r w:rsidR="00884C1C">
        <w:rPr>
          <w:rStyle w:val="FootnoteReference"/>
        </w:rPr>
        <w:footnoteReference w:id="6"/>
      </w:r>
      <w:r w:rsidR="006836AA">
        <w:t xml:space="preserve"> by</w:t>
      </w:r>
      <w:r w:rsidR="00D972D3" w:rsidRPr="00D972D3">
        <w:t xml:space="preserve"> </w:t>
      </w:r>
      <w:r w:rsidR="00D972D3">
        <w:t>imple</w:t>
      </w:r>
      <w:r w:rsidR="006836AA">
        <w:t>menting:</w:t>
      </w:r>
    </w:p>
    <w:p w14:paraId="422A6FA9" w14:textId="77777777" w:rsidR="006836AA" w:rsidRDefault="006836AA" w:rsidP="006836AA">
      <w:pPr>
        <w:ind w:firstLine="720"/>
      </w:pPr>
    </w:p>
    <w:p w14:paraId="710A8BFF" w14:textId="77777777" w:rsidR="006836AA" w:rsidRDefault="006836AA" w:rsidP="006836AA">
      <w:pPr>
        <w:pStyle w:val="ListParagraph"/>
        <w:numPr>
          <w:ilvl w:val="0"/>
          <w:numId w:val="7"/>
        </w:numPr>
      </w:pPr>
      <w:r>
        <w:t>N</w:t>
      </w:r>
      <w:r w:rsidR="00D972D3" w:rsidRPr="00D972D3">
        <w:t xml:space="preserve">ew methods for </w:t>
      </w:r>
      <w:r w:rsidR="00D972D3">
        <w:t xml:space="preserve">respondent </w:t>
      </w:r>
      <w:r w:rsidR="00D972D3" w:rsidRPr="00D972D3">
        <w:t xml:space="preserve">access </w:t>
      </w:r>
      <w:r w:rsidR="00D972D3">
        <w:t xml:space="preserve">to </w:t>
      </w:r>
      <w:r w:rsidR="00D972D3" w:rsidRPr="00D972D3">
        <w:t>the electronic</w:t>
      </w:r>
      <w:r>
        <w:t xml:space="preserve"> premanufacture notice (e-PMN) software.</w:t>
      </w:r>
    </w:p>
    <w:p w14:paraId="3CA99B2A" w14:textId="77777777" w:rsidR="006836AA" w:rsidRDefault="006836AA" w:rsidP="006836AA">
      <w:pPr>
        <w:pStyle w:val="ListParagraph"/>
        <w:numPr>
          <w:ilvl w:val="0"/>
          <w:numId w:val="7"/>
        </w:numPr>
      </w:pPr>
      <w:r>
        <w:t>N</w:t>
      </w:r>
      <w:r w:rsidR="00D972D3" w:rsidRPr="00D972D3">
        <w:t xml:space="preserve">ew procedures for completing the </w:t>
      </w:r>
      <w:r w:rsidR="00D972D3">
        <w:t>e-PMN</w:t>
      </w:r>
      <w:r>
        <w:t xml:space="preserve"> form.</w:t>
      </w:r>
    </w:p>
    <w:p w14:paraId="51B278E4" w14:textId="77777777" w:rsidR="006836AA" w:rsidRDefault="006836AA" w:rsidP="006836AA">
      <w:pPr>
        <w:pStyle w:val="ListParagraph"/>
        <w:numPr>
          <w:ilvl w:val="0"/>
          <w:numId w:val="7"/>
        </w:numPr>
      </w:pPr>
      <w:r>
        <w:t>C</w:t>
      </w:r>
      <w:r w:rsidR="00D972D3" w:rsidRPr="00D972D3">
        <w:t>hanges to the CDX registration process</w:t>
      </w:r>
      <w:r>
        <w:t xml:space="preserve"> for e-PMN submitters.</w:t>
      </w:r>
    </w:p>
    <w:p w14:paraId="46D4AC7A" w14:textId="77777777" w:rsidR="006836AA" w:rsidRDefault="006836AA" w:rsidP="006836AA">
      <w:pPr>
        <w:pStyle w:val="ListParagraph"/>
        <w:numPr>
          <w:ilvl w:val="0"/>
          <w:numId w:val="7"/>
        </w:numPr>
      </w:pPr>
      <w:r>
        <w:t>A</w:t>
      </w:r>
      <w:r w:rsidR="00D972D3" w:rsidRPr="00D972D3">
        <w:t xml:space="preserve"> requirement to submit “bona fide intents to manufacture” electronically</w:t>
      </w:r>
      <w:r>
        <w:t xml:space="preserve"> to EPA.</w:t>
      </w:r>
    </w:p>
    <w:p w14:paraId="67E9A281" w14:textId="3167DF1C" w:rsidR="00D972D3" w:rsidRDefault="006836AA" w:rsidP="006836AA">
      <w:pPr>
        <w:pStyle w:val="ListParagraph"/>
        <w:numPr>
          <w:ilvl w:val="0"/>
          <w:numId w:val="7"/>
        </w:numPr>
      </w:pPr>
      <w:r>
        <w:t>A</w:t>
      </w:r>
      <w:r w:rsidRPr="00D972D3">
        <w:t xml:space="preserve"> requirement to submit</w:t>
      </w:r>
      <w:r w:rsidR="00D972D3" w:rsidRPr="00D972D3">
        <w:t xml:space="preserve"> </w:t>
      </w:r>
      <w:r w:rsidR="004F3AF5">
        <w:t xml:space="preserve">electronically </w:t>
      </w:r>
      <w:r>
        <w:t xml:space="preserve">to EPA </w:t>
      </w:r>
      <w:r w:rsidR="00D972D3" w:rsidRPr="00D972D3">
        <w:t>notif</w:t>
      </w:r>
      <w:r>
        <w:t xml:space="preserve">ications of </w:t>
      </w:r>
      <w:r w:rsidR="00D972D3" w:rsidRPr="00D972D3">
        <w:t xml:space="preserve">any new manufacturing site of a chemical substance for which an exemption was granted by EPA under 723.50. </w:t>
      </w:r>
    </w:p>
    <w:p w14:paraId="090C1512" w14:textId="77777777" w:rsidR="00D972D3" w:rsidRDefault="00D972D3" w:rsidP="00526126">
      <w:pPr>
        <w:ind w:firstLine="720"/>
      </w:pPr>
    </w:p>
    <w:p w14:paraId="2F90FDBA" w14:textId="77777777" w:rsidR="00526126" w:rsidRDefault="00526126" w:rsidP="00526126">
      <w:pPr>
        <w:ind w:firstLine="720"/>
      </w:pPr>
      <w:r>
        <w:t xml:space="preserve">This </w:t>
      </w:r>
      <w:r w:rsidR="006836AA">
        <w:t>ICR revision</w:t>
      </w:r>
      <w:r w:rsidRPr="00E17D6B">
        <w:t xml:space="preserve"> </w:t>
      </w:r>
      <w:r w:rsidR="000A1F79">
        <w:t>addresses</w:t>
      </w:r>
      <w:r w:rsidRPr="00E17D6B">
        <w:t xml:space="preserve"> </w:t>
      </w:r>
      <w:r w:rsidR="000A1F79">
        <w:t xml:space="preserve">only the incremental changes to the existing information collection as a result of </w:t>
      </w:r>
      <w:r w:rsidR="006836AA">
        <w:t>the direct final rule</w:t>
      </w:r>
      <w:r w:rsidR="000A1F79">
        <w:t>.</w:t>
      </w:r>
      <w:r>
        <w:t xml:space="preserve"> Portions of the existing ICR that are not affected by the rule are not </w:t>
      </w:r>
      <w:r w:rsidR="00560C49">
        <w:t>addressed</w:t>
      </w:r>
      <w:r>
        <w:t xml:space="preserve"> in this document. </w:t>
      </w:r>
    </w:p>
    <w:p w14:paraId="68628629" w14:textId="77777777" w:rsidR="00526126" w:rsidRPr="00E17D6B" w:rsidRDefault="00526126" w:rsidP="00526126">
      <w:pPr>
        <w:ind w:firstLine="720"/>
      </w:pPr>
    </w:p>
    <w:p w14:paraId="26C1B893" w14:textId="77777777" w:rsidR="00526126" w:rsidRPr="00341D82" w:rsidRDefault="00526126" w:rsidP="00526126"/>
    <w:p w14:paraId="70D2A588" w14:textId="77777777" w:rsidR="00526126" w:rsidRPr="005D22DD" w:rsidRDefault="00526126" w:rsidP="00526126">
      <w:pPr>
        <w:rPr>
          <w:b/>
        </w:rPr>
      </w:pPr>
      <w:r>
        <w:rPr>
          <w:b/>
        </w:rPr>
        <w:t>2.</w:t>
      </w:r>
      <w:r>
        <w:rPr>
          <w:b/>
        </w:rPr>
        <w:tab/>
        <w:t>NEED FOR AND USE OF THE COLLECTION</w:t>
      </w:r>
    </w:p>
    <w:p w14:paraId="5C255335" w14:textId="77777777" w:rsidR="00526126" w:rsidRPr="00341D82" w:rsidRDefault="00526126" w:rsidP="00526126"/>
    <w:p w14:paraId="1EF5FB63" w14:textId="77777777" w:rsidR="00526126" w:rsidRPr="00341D82" w:rsidRDefault="00526126" w:rsidP="00526126">
      <w:pPr>
        <w:rPr>
          <w:b/>
        </w:rPr>
      </w:pPr>
      <w:r w:rsidRPr="00341D82">
        <w:t xml:space="preserve">            </w:t>
      </w:r>
      <w:r>
        <w:rPr>
          <w:b/>
        </w:rPr>
        <w:t>2(a)</w:t>
      </w:r>
      <w:r>
        <w:rPr>
          <w:b/>
        </w:rPr>
        <w:tab/>
        <w:t>Need/Authority for the C</w:t>
      </w:r>
      <w:r w:rsidRPr="00341D82">
        <w:rPr>
          <w:b/>
        </w:rPr>
        <w:t>ollection</w:t>
      </w:r>
    </w:p>
    <w:p w14:paraId="5DB9C45A" w14:textId="77777777" w:rsidR="00526126" w:rsidRPr="00341D82" w:rsidRDefault="00526126" w:rsidP="00526126">
      <w:pPr>
        <w:rPr>
          <w:b/>
        </w:rPr>
      </w:pPr>
    </w:p>
    <w:p w14:paraId="3AAEA429" w14:textId="77777777" w:rsidR="00526126" w:rsidRPr="00341D82" w:rsidRDefault="00526126" w:rsidP="00526126">
      <w:r w:rsidRPr="00341D82">
        <w:rPr>
          <w:b/>
        </w:rPr>
        <w:tab/>
      </w:r>
      <w:r>
        <w:t>No Change</w:t>
      </w:r>
    </w:p>
    <w:p w14:paraId="58DC8F36" w14:textId="77777777" w:rsidR="00526126" w:rsidRPr="00341D82" w:rsidRDefault="00526126" w:rsidP="00526126"/>
    <w:p w14:paraId="206EEE0D" w14:textId="77777777" w:rsidR="00526126" w:rsidRPr="00341D82" w:rsidRDefault="00526126" w:rsidP="00225892">
      <w:pPr>
        <w:keepNext/>
        <w:tabs>
          <w:tab w:val="left" w:pos="720"/>
          <w:tab w:val="left" w:pos="1440"/>
        </w:tabs>
        <w:ind w:left="1440" w:hanging="1440"/>
        <w:rPr>
          <w:b/>
        </w:rPr>
      </w:pPr>
      <w:r w:rsidRPr="00341D82">
        <w:lastRenderedPageBreak/>
        <w:tab/>
      </w:r>
      <w:r>
        <w:rPr>
          <w:b/>
        </w:rPr>
        <w:t>2(b)</w:t>
      </w:r>
      <w:r>
        <w:rPr>
          <w:b/>
        </w:rPr>
        <w:tab/>
      </w:r>
      <w:r w:rsidRPr="00341D82">
        <w:rPr>
          <w:b/>
        </w:rPr>
        <w:t xml:space="preserve">Practical </w:t>
      </w:r>
      <w:r>
        <w:rPr>
          <w:b/>
        </w:rPr>
        <w:t>Utility/Users of the D</w:t>
      </w:r>
      <w:r w:rsidRPr="00341D82">
        <w:rPr>
          <w:b/>
        </w:rPr>
        <w:t>ata</w:t>
      </w:r>
    </w:p>
    <w:p w14:paraId="5AAF1D9F" w14:textId="77777777" w:rsidR="00526126" w:rsidRPr="00341D82" w:rsidRDefault="00526126" w:rsidP="00225892">
      <w:pPr>
        <w:keepNext/>
        <w:rPr>
          <w:b/>
        </w:rPr>
      </w:pPr>
    </w:p>
    <w:p w14:paraId="0B103FBF" w14:textId="4B386084" w:rsidR="00AB409E" w:rsidRDefault="00AB409E" w:rsidP="00225892">
      <w:pPr>
        <w:keepNext/>
        <w:ind w:firstLine="720"/>
        <w:rPr>
          <w:rFonts w:ascii="TimesNewRoman" w:hAnsi="TimesNewRoman" w:cs="TimesNewRoman"/>
        </w:rPr>
      </w:pPr>
      <w:r w:rsidRPr="00AB409E">
        <w:rPr>
          <w:rFonts w:ascii="TimesNewRoman" w:hAnsi="TimesNewRoman" w:cs="TimesNewRoman"/>
        </w:rPr>
        <w:t>EPA’s electronic reporting program has evolved significantly following the promulgation of the e-PMN final rule in 2010</w:t>
      </w:r>
      <w:r w:rsidR="00884C1C">
        <w:rPr>
          <w:rStyle w:val="FootnoteReference"/>
          <w:rFonts w:ascii="TimesNewRoman" w:hAnsi="TimesNewRoman" w:cs="TimesNewRoman"/>
        </w:rPr>
        <w:footnoteReference w:id="7"/>
      </w:r>
      <w:r w:rsidRPr="00AB409E">
        <w:rPr>
          <w:rFonts w:ascii="TimesNewRoman" w:hAnsi="TimesNewRoman" w:cs="TimesNewRoman"/>
        </w:rPr>
        <w:t xml:space="preserve">. Following promulgation of that rule, EPA announced web-based electronic reporting workflows for TSCA Chemical Data Reporting, TSCA section 4 test data submissions, TSCA section 8(a) preliminary assessment information rules, TSCA section 8(d) health and safety data reporting rules, and mandatory notifications of substantial risk under TSCA section 8(e) along with related, voluntary “For Your Information” submissions. </w:t>
      </w:r>
    </w:p>
    <w:p w14:paraId="096A33D8" w14:textId="77777777" w:rsidR="00AB409E" w:rsidRPr="00AB409E" w:rsidRDefault="00AB409E" w:rsidP="00AB409E">
      <w:pPr>
        <w:ind w:firstLine="720"/>
        <w:rPr>
          <w:rFonts w:ascii="TimesNewRoman" w:hAnsi="TimesNewRoman" w:cs="TimesNewRoman"/>
        </w:rPr>
      </w:pPr>
    </w:p>
    <w:p w14:paraId="4A539473" w14:textId="5267788A" w:rsidR="00AB409E" w:rsidRDefault="00AB409E" w:rsidP="00AB409E">
      <w:pPr>
        <w:ind w:firstLine="720"/>
        <w:rPr>
          <w:rFonts w:ascii="TimesNewRoman" w:hAnsi="TimesNewRoman" w:cs="TimesNewRoman"/>
        </w:rPr>
      </w:pPr>
      <w:r w:rsidRPr="00AB409E">
        <w:rPr>
          <w:rFonts w:ascii="TimesNewRoman" w:hAnsi="TimesNewRoman" w:cs="TimesNewRoman"/>
        </w:rPr>
        <w:t xml:space="preserve">Under the current e-PMN rule requirements, TSCA section 5 submitters already must register in CDX and complete an electronic signature agreement before submitting any information to EPA electronically via CDX using the e-PMN software. This direct final rule requires all persons who will be working online on a submission to register with EPA’s CDX and to use the e-PMN module within </w:t>
      </w:r>
      <w:r w:rsidR="00BA4899" w:rsidRPr="00B57486">
        <w:t>Chemical Information Submission System</w:t>
      </w:r>
      <w:r w:rsidR="00BA4899" w:rsidRPr="00AB409E">
        <w:rPr>
          <w:rFonts w:ascii="TimesNewRoman" w:hAnsi="TimesNewRoman" w:cs="TimesNewRoman"/>
        </w:rPr>
        <w:t xml:space="preserve"> </w:t>
      </w:r>
      <w:r w:rsidR="00BA4899">
        <w:rPr>
          <w:rFonts w:ascii="TimesNewRoman" w:hAnsi="TimesNewRoman" w:cs="TimesNewRoman"/>
        </w:rPr>
        <w:t xml:space="preserve">(CISS) </w:t>
      </w:r>
      <w:r w:rsidRPr="00AB409E">
        <w:rPr>
          <w:rFonts w:ascii="TimesNewRoman" w:hAnsi="TimesNewRoman" w:cs="TimesNewRoman"/>
        </w:rPr>
        <w:t xml:space="preserve">to prepare data for submission. EPA expects that most TSCA section 5 submitters are already registered in CDX. Those users do not need to re-register with CDX, nor will they need to re-verify their identities. In order to use the Thin Client Version of the e-PMN software required under this direct final rule, users who have previously registered with CDX under the TSCA workflow to submit TSCA section 5 submissions, or other CDX workflows such as the Toxics Release Inventory TRI-ME web reporting, will only need to add the “Submission for Chemical Safety and Pesticide Program (CSPP)” CDX workflow to their user profiles. </w:t>
      </w:r>
      <w:r w:rsidR="001B72F1">
        <w:rPr>
          <w:rFonts w:ascii="TimesNewRoman" w:hAnsi="TimesNewRoman" w:cs="TimesNewRoman"/>
        </w:rPr>
        <w:t xml:space="preserve">TSCA section 5 submitters who will be new CDX users </w:t>
      </w:r>
      <w:r w:rsidR="004F3AF5">
        <w:rPr>
          <w:rFonts w:ascii="TimesNewRoman" w:hAnsi="TimesNewRoman" w:cs="TimesNewRoman"/>
        </w:rPr>
        <w:t xml:space="preserve">will now </w:t>
      </w:r>
      <w:r w:rsidR="001B72F1">
        <w:rPr>
          <w:rFonts w:ascii="TimesNewRoman" w:hAnsi="TimesNewRoman" w:cs="TimesNewRoman"/>
        </w:rPr>
        <w:t>be able to take advantage of a more streamlined CDX registration process that does not involve the submission of signed forms to EPA. In addition, the expansion of electronic reporting requirements to submission of bona fides and new manufacturing site notifications eliminates the need for respondents to maintain multiple systems for providing information to EPA under TSCA as well as the need for EPA to maintain multiple systems for the receipt, processing, and maintenance of those submissions.</w:t>
      </w:r>
    </w:p>
    <w:p w14:paraId="0372D559" w14:textId="77777777" w:rsidR="00AB409E" w:rsidRDefault="00AB409E" w:rsidP="00AB409E">
      <w:pPr>
        <w:ind w:firstLine="720"/>
        <w:rPr>
          <w:rFonts w:ascii="TimesNewRoman" w:hAnsi="TimesNewRoman" w:cs="TimesNewRoman"/>
        </w:rPr>
      </w:pPr>
    </w:p>
    <w:p w14:paraId="676F7B71" w14:textId="77777777" w:rsidR="00526126" w:rsidRDefault="00526126" w:rsidP="00526126"/>
    <w:p w14:paraId="3ADF7C29" w14:textId="77777777" w:rsidR="00526126" w:rsidRPr="00AF0965" w:rsidRDefault="00526126" w:rsidP="00526126">
      <w:pPr>
        <w:ind w:left="720" w:hanging="720"/>
        <w:rPr>
          <w:b/>
        </w:rPr>
      </w:pPr>
      <w:r>
        <w:rPr>
          <w:b/>
        </w:rPr>
        <w:t>3.</w:t>
      </w:r>
      <w:r>
        <w:rPr>
          <w:b/>
        </w:rPr>
        <w:tab/>
        <w:t>NON-DUPLICATION, CONSULTATIONS, AND OTHER COLLECTION CRITERIA</w:t>
      </w:r>
    </w:p>
    <w:p w14:paraId="2AAB1021" w14:textId="77777777" w:rsidR="00526126" w:rsidRPr="00341D82" w:rsidRDefault="00526126" w:rsidP="00526126">
      <w:pPr>
        <w:ind w:left="720"/>
        <w:rPr>
          <w:b/>
        </w:rPr>
      </w:pPr>
    </w:p>
    <w:p w14:paraId="7F9696A7" w14:textId="77777777" w:rsidR="00526126" w:rsidRPr="00341D82" w:rsidRDefault="00526126" w:rsidP="00526126">
      <w:pPr>
        <w:ind w:left="720"/>
        <w:rPr>
          <w:b/>
        </w:rPr>
      </w:pPr>
      <w:r w:rsidRPr="00341D82">
        <w:rPr>
          <w:b/>
        </w:rPr>
        <w:t>3(a)</w:t>
      </w:r>
      <w:r>
        <w:rPr>
          <w:b/>
        </w:rPr>
        <w:tab/>
      </w:r>
      <w:r w:rsidRPr="00341D82">
        <w:rPr>
          <w:b/>
        </w:rPr>
        <w:t>Non-Duplication</w:t>
      </w:r>
    </w:p>
    <w:p w14:paraId="4F1E8E9C" w14:textId="77777777" w:rsidR="00526126" w:rsidRPr="00341D82" w:rsidRDefault="00526126" w:rsidP="00526126">
      <w:pPr>
        <w:ind w:left="720"/>
        <w:rPr>
          <w:b/>
        </w:rPr>
      </w:pPr>
    </w:p>
    <w:p w14:paraId="6251DFF2" w14:textId="77777777" w:rsidR="00526126" w:rsidRDefault="00526126" w:rsidP="00526126">
      <w:pPr>
        <w:ind w:firstLine="720"/>
      </w:pPr>
      <w:r>
        <w:t>No Change</w:t>
      </w:r>
    </w:p>
    <w:p w14:paraId="7A09289E" w14:textId="77777777" w:rsidR="00526126" w:rsidRPr="00341D82" w:rsidRDefault="00526126" w:rsidP="00526126">
      <w:pPr>
        <w:ind w:firstLine="720"/>
      </w:pPr>
    </w:p>
    <w:p w14:paraId="4C683035" w14:textId="77777777" w:rsidR="00526126" w:rsidRPr="00341D82" w:rsidRDefault="00526126" w:rsidP="00526126">
      <w:pPr>
        <w:ind w:firstLine="720"/>
        <w:rPr>
          <w:b/>
        </w:rPr>
      </w:pPr>
      <w:r>
        <w:rPr>
          <w:b/>
        </w:rPr>
        <w:t>3(b)</w:t>
      </w:r>
      <w:r>
        <w:rPr>
          <w:b/>
        </w:rPr>
        <w:tab/>
      </w:r>
      <w:r w:rsidRPr="00341D82">
        <w:rPr>
          <w:b/>
        </w:rPr>
        <w:t>Public Notice Required Prior to ICR Submission to OMB</w:t>
      </w:r>
    </w:p>
    <w:p w14:paraId="540E3001" w14:textId="77777777" w:rsidR="00526126" w:rsidRPr="00341D82" w:rsidRDefault="00526126" w:rsidP="00526126">
      <w:pPr>
        <w:ind w:firstLine="720"/>
        <w:rPr>
          <w:b/>
        </w:rPr>
      </w:pPr>
    </w:p>
    <w:p w14:paraId="3F546C88" w14:textId="77777777" w:rsidR="00526126" w:rsidRDefault="00526126" w:rsidP="00526126">
      <w:r w:rsidRPr="00341D82">
        <w:rPr>
          <w:b/>
        </w:rPr>
        <w:tab/>
      </w:r>
      <w:r w:rsidR="000A1F79">
        <w:t xml:space="preserve">Pursuant to the procedures at 5 CFR 1320.5(c)(1) and 1320.10(a), the direct final rule </w:t>
      </w:r>
      <w:r w:rsidRPr="006D605B">
        <w:t xml:space="preserve">serves as the public notice for this ICR </w:t>
      </w:r>
      <w:r w:rsidR="000A1F79">
        <w:t>revision</w:t>
      </w:r>
      <w:r w:rsidRPr="006D605B">
        <w:t>.</w:t>
      </w:r>
    </w:p>
    <w:p w14:paraId="24D472E7" w14:textId="77777777" w:rsidR="00526126" w:rsidRPr="00341D82" w:rsidRDefault="00526126" w:rsidP="00526126">
      <w:pPr>
        <w:rPr>
          <w:color w:val="FF0000"/>
        </w:rPr>
      </w:pPr>
      <w:r>
        <w:tab/>
      </w:r>
      <w:r>
        <w:tab/>
      </w:r>
    </w:p>
    <w:p w14:paraId="0548C510" w14:textId="77777777" w:rsidR="00526126" w:rsidRPr="00341D82" w:rsidRDefault="00526126" w:rsidP="00526126">
      <w:pPr>
        <w:rPr>
          <w:b/>
        </w:rPr>
      </w:pPr>
      <w:r w:rsidRPr="00341D82">
        <w:rPr>
          <w:color w:val="FF0000"/>
        </w:rPr>
        <w:tab/>
      </w:r>
      <w:r>
        <w:rPr>
          <w:b/>
        </w:rPr>
        <w:t>3(c)</w:t>
      </w:r>
      <w:r>
        <w:rPr>
          <w:b/>
        </w:rPr>
        <w:tab/>
      </w:r>
      <w:r w:rsidRPr="00341D82">
        <w:rPr>
          <w:b/>
        </w:rPr>
        <w:t>Consultations and Public Comments</w:t>
      </w:r>
    </w:p>
    <w:p w14:paraId="53BCB2AE" w14:textId="77777777" w:rsidR="00526126" w:rsidRPr="00341D82" w:rsidRDefault="00526126" w:rsidP="00526126">
      <w:pPr>
        <w:rPr>
          <w:b/>
        </w:rPr>
      </w:pPr>
    </w:p>
    <w:p w14:paraId="1CB336BB" w14:textId="4C09BC36" w:rsidR="00225892" w:rsidRDefault="009216C2" w:rsidP="000A1F79">
      <w:pPr>
        <w:ind w:firstLine="720"/>
      </w:pPr>
      <w:r w:rsidRPr="00071DA8">
        <w:t>The Agency has established a public docket for th</w:t>
      </w:r>
      <w:r>
        <w:t>e</w:t>
      </w:r>
      <w:r w:rsidRPr="00071DA8">
        <w:t xml:space="preserve"> </w:t>
      </w:r>
      <w:r>
        <w:t>direct final rule</w:t>
      </w:r>
      <w:r w:rsidRPr="00071DA8">
        <w:t xml:space="preserve"> under </w:t>
      </w:r>
      <w:r w:rsidRPr="002366BB">
        <w:t>Docket ID No. EPA-HQ-OPPT-</w:t>
      </w:r>
      <w:r w:rsidR="002A053E">
        <w:t>2013-0385</w:t>
      </w:r>
      <w:r w:rsidRPr="00071DA8">
        <w:t>, which is available for online viewin</w:t>
      </w:r>
      <w:r>
        <w:t xml:space="preserve">g at </w:t>
      </w:r>
      <w:hyperlink r:id="rId9" w:history="1">
        <w:r w:rsidRPr="00560C49">
          <w:rPr>
            <w:rStyle w:val="Hyperlink"/>
            <w:i/>
          </w:rPr>
          <w:t>www.regulations.gov</w:t>
        </w:r>
      </w:hyperlink>
      <w:r>
        <w:t>, or in-</w:t>
      </w:r>
      <w:r w:rsidRPr="00071DA8">
        <w:t xml:space="preserve">person viewing at the EPA Docket Center (EPA/DC), EPA </w:t>
      </w:r>
      <w:r>
        <w:rPr>
          <w:color w:val="000000"/>
        </w:rPr>
        <w:t>William Jefferson Clinton</w:t>
      </w:r>
      <w:r w:rsidRPr="00071DA8">
        <w:t xml:space="preserve"> West, Room 3334, 1301 Constitution Ave., NW, Washington, DC.  The EPA Docket Center Public Reading Room is open from 8:30 a.m. to 4:30 p.m., Monday through Friday, excluding legal holidays.  The telephone number for the </w:t>
      </w:r>
      <w:r w:rsidRPr="00071DA8">
        <w:lastRenderedPageBreak/>
        <w:t>Reading Room is (202) 566-1744, and the telephone number for the Pollution Prevention and Toxics Docket is (202) 566-0280</w:t>
      </w:r>
      <w:r>
        <w:t>.</w:t>
      </w:r>
    </w:p>
    <w:p w14:paraId="4919488D" w14:textId="77777777" w:rsidR="002421C1" w:rsidRDefault="002421C1" w:rsidP="000A1F79">
      <w:pPr>
        <w:ind w:firstLine="720"/>
      </w:pPr>
    </w:p>
    <w:p w14:paraId="224775C2" w14:textId="0379E3A5" w:rsidR="000A1F79" w:rsidRDefault="009216C2" w:rsidP="009216C2">
      <w:pPr>
        <w:ind w:firstLine="720"/>
      </w:pPr>
      <w:r>
        <w:t xml:space="preserve">Any </w:t>
      </w:r>
      <w:r w:rsidRPr="00370413">
        <w:t xml:space="preserve">comments on the Agency’s need for this information, the accuracy of the provided burden estimates and any suggested methods for minimizing respondent burden </w:t>
      </w:r>
      <w:r>
        <w:t xml:space="preserve">must be submitted within 30 days of the publication of the direct final rule in the </w:t>
      </w:r>
      <w:r w:rsidRPr="009216C2">
        <w:rPr>
          <w:i/>
        </w:rPr>
        <w:t>Federal Register</w:t>
      </w:r>
      <w:r>
        <w:t>.</w:t>
      </w:r>
      <w:r w:rsidRPr="009216C2">
        <w:t xml:space="preserve"> Submit </w:t>
      </w:r>
      <w:r>
        <w:t>any</w:t>
      </w:r>
      <w:r w:rsidRPr="009216C2">
        <w:t xml:space="preserve"> comments, referencing Docket ID No. EPA-HQ-OPPT-</w:t>
      </w:r>
      <w:r w:rsidR="002A053E">
        <w:t>2013-0385</w:t>
      </w:r>
      <w:r w:rsidRPr="009216C2">
        <w:t xml:space="preserve"> and OMB Control No. 2070-</w:t>
      </w:r>
      <w:r>
        <w:t>0012</w:t>
      </w:r>
      <w:r w:rsidRPr="009216C2">
        <w:t xml:space="preserve">, to (1) EPA online using </w:t>
      </w:r>
      <w:hyperlink r:id="rId10" w:history="1">
        <w:r w:rsidR="00B47768" w:rsidRPr="00560C49">
          <w:rPr>
            <w:rStyle w:val="Hyperlink"/>
            <w:i/>
          </w:rPr>
          <w:t>www.regulations.gov</w:t>
        </w:r>
      </w:hyperlink>
      <w:r w:rsidRPr="009216C2">
        <w:t xml:space="preserve"> (our preferred method), or by mail to: Document Control Office (DCO), Office of Pollution Prevention and Toxics (OPPT), Environmental Protection Agency, Mail Code: 7407M, 1200 Pennsylvania Ave., NW,  Washington, D.C. 20460, and (2) </w:t>
      </w:r>
      <w:r w:rsidRPr="00370413">
        <w:t xml:space="preserve">OMB’s Office of Information and Regulatory Affairs via email to </w:t>
      </w:r>
      <w:hyperlink r:id="rId11" w:history="1">
        <w:r w:rsidRPr="00370413">
          <w:rPr>
            <w:rStyle w:val="Hyperlink"/>
            <w:i/>
          </w:rPr>
          <w:t>oria_submissions@omb.eop.gov</w:t>
        </w:r>
      </w:hyperlink>
      <w:r w:rsidRPr="00370413">
        <w:t>, Attention: Desk Officer for the EPA.</w:t>
      </w:r>
    </w:p>
    <w:p w14:paraId="2A7D5471" w14:textId="77777777" w:rsidR="009216C2" w:rsidRPr="00341D82" w:rsidRDefault="009216C2" w:rsidP="009216C2">
      <w:pPr>
        <w:ind w:firstLine="720"/>
      </w:pPr>
    </w:p>
    <w:p w14:paraId="251D3909" w14:textId="77777777" w:rsidR="00526126" w:rsidRPr="00341D82" w:rsidRDefault="00526126" w:rsidP="00526126">
      <w:pPr>
        <w:rPr>
          <w:color w:val="FF0000"/>
        </w:rPr>
      </w:pPr>
      <w:r w:rsidRPr="00341D82">
        <w:t> </w:t>
      </w:r>
      <w:r w:rsidRPr="00341D82">
        <w:tab/>
      </w:r>
      <w:r>
        <w:rPr>
          <w:b/>
        </w:rPr>
        <w:t>3(d)</w:t>
      </w:r>
      <w:r>
        <w:rPr>
          <w:b/>
        </w:rPr>
        <w:tab/>
      </w:r>
      <w:r w:rsidRPr="00341D82">
        <w:rPr>
          <w:b/>
        </w:rPr>
        <w:t>Effects of Less Frequent Collection</w:t>
      </w:r>
    </w:p>
    <w:p w14:paraId="6D21DAC5" w14:textId="77777777" w:rsidR="00526126" w:rsidRPr="00341D82" w:rsidRDefault="00526126" w:rsidP="00526126">
      <w:pPr>
        <w:rPr>
          <w:b/>
        </w:rPr>
      </w:pPr>
    </w:p>
    <w:p w14:paraId="46D2A2DD" w14:textId="77777777" w:rsidR="00526126" w:rsidRPr="00341D82" w:rsidRDefault="00526126" w:rsidP="00526126">
      <w:pPr>
        <w:ind w:firstLine="720"/>
      </w:pPr>
      <w:r>
        <w:t>No Change</w:t>
      </w:r>
      <w:r w:rsidRPr="00341D82">
        <w:t>.</w:t>
      </w:r>
    </w:p>
    <w:p w14:paraId="19BED653" w14:textId="77777777" w:rsidR="00526126" w:rsidRDefault="00526126" w:rsidP="00526126">
      <w:pPr>
        <w:ind w:firstLine="720"/>
        <w:rPr>
          <w:b/>
        </w:rPr>
      </w:pPr>
    </w:p>
    <w:p w14:paraId="4930E00E" w14:textId="77777777" w:rsidR="00526126" w:rsidRPr="00341D82" w:rsidRDefault="00526126" w:rsidP="00526126">
      <w:pPr>
        <w:ind w:firstLine="720"/>
        <w:rPr>
          <w:b/>
        </w:rPr>
      </w:pPr>
      <w:r>
        <w:rPr>
          <w:b/>
        </w:rPr>
        <w:t>3(e)</w:t>
      </w:r>
      <w:r>
        <w:rPr>
          <w:b/>
        </w:rPr>
        <w:tab/>
      </w:r>
      <w:r w:rsidRPr="00341D82">
        <w:rPr>
          <w:b/>
        </w:rPr>
        <w:t>General Guidelines</w:t>
      </w:r>
    </w:p>
    <w:p w14:paraId="731051E0" w14:textId="77777777" w:rsidR="00526126" w:rsidRPr="00341D82" w:rsidRDefault="00526126" w:rsidP="00526126">
      <w:pPr>
        <w:ind w:firstLine="720"/>
        <w:rPr>
          <w:b/>
        </w:rPr>
      </w:pPr>
    </w:p>
    <w:p w14:paraId="5421E194" w14:textId="77777777" w:rsidR="00526126" w:rsidRPr="00341D82" w:rsidRDefault="00526126" w:rsidP="00526126">
      <w:pPr>
        <w:ind w:firstLine="720"/>
      </w:pPr>
      <w:r>
        <w:t>No Change</w:t>
      </w:r>
    </w:p>
    <w:p w14:paraId="32D7D77D" w14:textId="77777777" w:rsidR="00526126" w:rsidRPr="00341D82" w:rsidRDefault="00526126" w:rsidP="00526126">
      <w:pPr>
        <w:ind w:firstLine="720"/>
      </w:pPr>
    </w:p>
    <w:p w14:paraId="1D729F65" w14:textId="77777777" w:rsidR="00526126" w:rsidRPr="00341D82" w:rsidRDefault="00526126" w:rsidP="00526126">
      <w:pPr>
        <w:ind w:firstLine="720"/>
        <w:rPr>
          <w:b/>
        </w:rPr>
      </w:pPr>
      <w:r>
        <w:rPr>
          <w:b/>
        </w:rPr>
        <w:t>3(f)</w:t>
      </w:r>
      <w:r>
        <w:rPr>
          <w:b/>
        </w:rPr>
        <w:tab/>
      </w:r>
      <w:r w:rsidRPr="00341D82">
        <w:rPr>
          <w:b/>
        </w:rPr>
        <w:t>Confidentiality</w:t>
      </w:r>
    </w:p>
    <w:p w14:paraId="51599605" w14:textId="77777777" w:rsidR="00526126" w:rsidRPr="00341D82" w:rsidRDefault="00526126" w:rsidP="00526126">
      <w:pPr>
        <w:ind w:firstLine="720"/>
        <w:rPr>
          <w:b/>
        </w:rPr>
      </w:pPr>
    </w:p>
    <w:p w14:paraId="74DD1DB9" w14:textId="77777777" w:rsidR="00526126" w:rsidRPr="00341D82" w:rsidRDefault="00526126" w:rsidP="00526126">
      <w:r w:rsidRPr="00341D82">
        <w:tab/>
      </w:r>
      <w:r>
        <w:t>No Change</w:t>
      </w:r>
    </w:p>
    <w:p w14:paraId="61CA2F3A" w14:textId="77777777" w:rsidR="00526126" w:rsidRPr="00341D82" w:rsidRDefault="00526126" w:rsidP="00526126"/>
    <w:p w14:paraId="2482A900" w14:textId="77777777" w:rsidR="00526126" w:rsidRPr="00341D82" w:rsidRDefault="00526126" w:rsidP="00526126">
      <w:pPr>
        <w:rPr>
          <w:b/>
        </w:rPr>
      </w:pPr>
      <w:r w:rsidRPr="00341D82">
        <w:tab/>
      </w:r>
      <w:r>
        <w:rPr>
          <w:b/>
        </w:rPr>
        <w:t>3(g)</w:t>
      </w:r>
      <w:r>
        <w:rPr>
          <w:b/>
        </w:rPr>
        <w:tab/>
      </w:r>
      <w:r w:rsidRPr="00341D82">
        <w:rPr>
          <w:b/>
        </w:rPr>
        <w:t>Sensitive Questions</w:t>
      </w:r>
    </w:p>
    <w:p w14:paraId="439A322D" w14:textId="77777777" w:rsidR="00526126" w:rsidRPr="00341D82" w:rsidRDefault="00526126" w:rsidP="00526126">
      <w:pPr>
        <w:rPr>
          <w:b/>
        </w:rPr>
      </w:pPr>
    </w:p>
    <w:p w14:paraId="0D83C5A3" w14:textId="77777777" w:rsidR="00526126" w:rsidRDefault="00526126" w:rsidP="00526126">
      <w:r w:rsidRPr="00341D82">
        <w:tab/>
      </w:r>
      <w:r>
        <w:t>No Change</w:t>
      </w:r>
    </w:p>
    <w:p w14:paraId="1341B72A" w14:textId="77777777" w:rsidR="00526126" w:rsidRDefault="00526126" w:rsidP="00526126"/>
    <w:p w14:paraId="5B1C7B88" w14:textId="77777777" w:rsidR="00526126" w:rsidRDefault="00526126" w:rsidP="00526126"/>
    <w:p w14:paraId="6EBBEFDD" w14:textId="77777777" w:rsidR="00526126" w:rsidRPr="004642AB" w:rsidRDefault="00526126" w:rsidP="00526126">
      <w:pPr>
        <w:rPr>
          <w:b/>
        </w:rPr>
      </w:pPr>
      <w:r>
        <w:rPr>
          <w:b/>
        </w:rPr>
        <w:t>4.</w:t>
      </w:r>
      <w:r>
        <w:rPr>
          <w:b/>
        </w:rPr>
        <w:tab/>
        <w:t>THE RESPONDENTS AND INFORMATION REQUESTED</w:t>
      </w:r>
    </w:p>
    <w:p w14:paraId="3AEDDADC" w14:textId="77777777" w:rsidR="00526126" w:rsidRPr="00341D82" w:rsidRDefault="00526126" w:rsidP="00526126">
      <w:pPr>
        <w:rPr>
          <w:b/>
        </w:rPr>
      </w:pPr>
    </w:p>
    <w:p w14:paraId="51F20136" w14:textId="77777777" w:rsidR="00526126" w:rsidRPr="00341D82" w:rsidRDefault="00526126" w:rsidP="00526126">
      <w:pPr>
        <w:ind w:left="720"/>
        <w:rPr>
          <w:b/>
          <w:bCs/>
        </w:rPr>
      </w:pPr>
      <w:r>
        <w:rPr>
          <w:b/>
        </w:rPr>
        <w:t>4(a)</w:t>
      </w:r>
      <w:r>
        <w:rPr>
          <w:b/>
        </w:rPr>
        <w:tab/>
      </w:r>
      <w:r w:rsidRPr="00341D82">
        <w:rPr>
          <w:b/>
          <w:bCs/>
        </w:rPr>
        <w:t>Respondents/NAICS Codes</w:t>
      </w:r>
    </w:p>
    <w:p w14:paraId="4C2565E9" w14:textId="77777777" w:rsidR="00526126" w:rsidRPr="00341D82" w:rsidRDefault="00526126" w:rsidP="00526126">
      <w:pPr>
        <w:ind w:left="720"/>
        <w:rPr>
          <w:b/>
          <w:bCs/>
        </w:rPr>
      </w:pPr>
    </w:p>
    <w:p w14:paraId="51C367B2" w14:textId="77777777" w:rsidR="00526126" w:rsidRDefault="00526126" w:rsidP="00526126">
      <w:r w:rsidRPr="00341D82">
        <w:tab/>
      </w:r>
      <w:r>
        <w:t>No Change</w:t>
      </w:r>
    </w:p>
    <w:p w14:paraId="506DFF84" w14:textId="77777777" w:rsidR="00526126" w:rsidRDefault="00526126" w:rsidP="00526126"/>
    <w:p w14:paraId="26F03B5A" w14:textId="77777777" w:rsidR="00526126" w:rsidRPr="00341D82" w:rsidRDefault="00526126" w:rsidP="00526126">
      <w:pPr>
        <w:rPr>
          <w:b/>
        </w:rPr>
      </w:pPr>
      <w:r>
        <w:rPr>
          <w:b/>
        </w:rPr>
        <w:tab/>
        <w:t>4(b)</w:t>
      </w:r>
      <w:r>
        <w:rPr>
          <w:b/>
        </w:rPr>
        <w:tab/>
      </w:r>
      <w:r w:rsidRPr="00341D82">
        <w:rPr>
          <w:b/>
        </w:rPr>
        <w:t>Information Requested</w:t>
      </w:r>
    </w:p>
    <w:p w14:paraId="6921C1B6" w14:textId="77777777" w:rsidR="00526126" w:rsidRPr="00341D82" w:rsidRDefault="00526126" w:rsidP="00526126">
      <w:r w:rsidRPr="00341D82">
        <w:tab/>
      </w:r>
    </w:p>
    <w:p w14:paraId="4F115109" w14:textId="77777777" w:rsidR="00526126" w:rsidRDefault="00526126" w:rsidP="00526126">
      <w:r w:rsidRPr="00341D82">
        <w:tab/>
      </w:r>
      <w:r>
        <w:t>No Change</w:t>
      </w:r>
    </w:p>
    <w:p w14:paraId="665EB204" w14:textId="77777777" w:rsidR="00526126" w:rsidRPr="00341D82" w:rsidRDefault="00526126" w:rsidP="00526126"/>
    <w:p w14:paraId="59E024EF" w14:textId="77777777" w:rsidR="00526126" w:rsidRDefault="00526126" w:rsidP="00526126">
      <w:pPr>
        <w:rPr>
          <w:b/>
        </w:rPr>
      </w:pPr>
      <w:r>
        <w:tab/>
      </w:r>
      <w:r>
        <w:rPr>
          <w:b/>
        </w:rPr>
        <w:t>(i)</w:t>
      </w:r>
      <w:r>
        <w:rPr>
          <w:b/>
        </w:rPr>
        <w:tab/>
      </w:r>
      <w:r w:rsidRPr="00341D82">
        <w:rPr>
          <w:b/>
        </w:rPr>
        <w:t>Data Items</w:t>
      </w:r>
    </w:p>
    <w:p w14:paraId="06F5CABB" w14:textId="77777777" w:rsidR="00526126" w:rsidRPr="00341D82" w:rsidRDefault="00526126" w:rsidP="00526126">
      <w:r w:rsidRPr="00341D82">
        <w:tab/>
      </w:r>
    </w:p>
    <w:p w14:paraId="1E6F1C9C" w14:textId="4E511C8F" w:rsidR="00526126" w:rsidRDefault="005B18FB" w:rsidP="005B18FB">
      <w:pPr>
        <w:ind w:firstLine="720"/>
      </w:pPr>
      <w:r>
        <w:t xml:space="preserve">The underlying requirements for </w:t>
      </w:r>
      <w:r w:rsidRPr="00D972D3">
        <w:t>“bona fide intents to manufacture”</w:t>
      </w:r>
      <w:r>
        <w:t xml:space="preserve"> and for </w:t>
      </w:r>
      <w:r w:rsidRPr="00D972D3">
        <w:t>notif</w:t>
      </w:r>
      <w:r>
        <w:t xml:space="preserve">ications to EPA of </w:t>
      </w:r>
      <w:r w:rsidRPr="00D972D3">
        <w:t>any new manufacturing site of a chemical substance for which an exemption was granted by EPA under 723.50</w:t>
      </w:r>
      <w:r>
        <w:t xml:space="preserve"> are unchanged</w:t>
      </w:r>
      <w:r w:rsidRPr="00D972D3">
        <w:t xml:space="preserve">. </w:t>
      </w:r>
      <w:r>
        <w:t xml:space="preserve">However, they </w:t>
      </w:r>
      <w:r w:rsidR="00F95EC7">
        <w:t xml:space="preserve">will now need to </w:t>
      </w:r>
      <w:r>
        <w:t xml:space="preserve">be submitted to EPA electronically via CDX using the Thin Client e-PMN software system. Bona fides were previously not subject to the electronic reporting requirements of the e-PMN final rule. Also, EPA previously permitted respondents to submit new manufacturing site notifications under 723.50 using the Notice of Commencement (NOC) form. Now that all NOC forms must be submitted to EPA electronically, it is no longer feasible to use that form for the purpose of manufacturing site change notifications. </w:t>
      </w:r>
      <w:r w:rsidR="00A12773">
        <w:t xml:space="preserve">These </w:t>
      </w:r>
      <w:r w:rsidR="00C64AE2">
        <w:t xml:space="preserve">new manufacturing site </w:t>
      </w:r>
      <w:r w:rsidR="00A12773">
        <w:t>notifications must now be submitted electronically via CDX as a “support document”</w:t>
      </w:r>
      <w:r>
        <w:t xml:space="preserve"> </w:t>
      </w:r>
      <w:r w:rsidR="00A12773">
        <w:t>using</w:t>
      </w:r>
      <w:r>
        <w:t xml:space="preserve"> the Thin Client version of the e-PMN software.</w:t>
      </w:r>
    </w:p>
    <w:p w14:paraId="27A95AC0" w14:textId="77777777" w:rsidR="005B18FB" w:rsidRDefault="005B18FB" w:rsidP="005B18FB"/>
    <w:p w14:paraId="270B3591" w14:textId="77777777" w:rsidR="00526126" w:rsidRPr="00341D82" w:rsidRDefault="00526126" w:rsidP="00526126">
      <w:pPr>
        <w:ind w:left="720"/>
        <w:rPr>
          <w:b/>
        </w:rPr>
      </w:pPr>
      <w:r>
        <w:rPr>
          <w:b/>
        </w:rPr>
        <w:t>(ii)</w:t>
      </w:r>
      <w:r>
        <w:rPr>
          <w:b/>
        </w:rPr>
        <w:tab/>
      </w:r>
      <w:r w:rsidRPr="00341D82">
        <w:rPr>
          <w:b/>
        </w:rPr>
        <w:t>Respondent Activities</w:t>
      </w:r>
    </w:p>
    <w:p w14:paraId="7412CFE4" w14:textId="77777777" w:rsidR="00DE7E2F" w:rsidRDefault="00DE7E2F" w:rsidP="00526126">
      <w:pPr>
        <w:tabs>
          <w:tab w:val="left" w:pos="720"/>
          <w:tab w:val="left" w:pos="1080"/>
        </w:tabs>
        <w:ind w:left="1080"/>
      </w:pPr>
    </w:p>
    <w:p w14:paraId="10BE6454" w14:textId="26EB3DD6" w:rsidR="00010C0B" w:rsidRDefault="00DE7E2F" w:rsidP="00DE7E2F">
      <w:pPr>
        <w:tabs>
          <w:tab w:val="left" w:pos="720"/>
          <w:tab w:val="left" w:pos="1080"/>
        </w:tabs>
        <w:rPr>
          <w:rFonts w:ascii="TimesNewRoman" w:hAnsi="TimesNewRoman" w:cs="TimesNewRoman"/>
        </w:rPr>
      </w:pPr>
      <w:r>
        <w:tab/>
      </w:r>
      <w:r w:rsidR="00D45EA9">
        <w:t>Within 6 months of the direct final rule, a</w:t>
      </w:r>
      <w:r w:rsidRPr="00AB409E">
        <w:rPr>
          <w:rFonts w:ascii="TimesNewRoman" w:hAnsi="TimesNewRoman" w:cs="TimesNewRoman"/>
        </w:rPr>
        <w:t xml:space="preserve">ll persons who will be working online on a submission </w:t>
      </w:r>
      <w:r w:rsidR="009B69B8">
        <w:rPr>
          <w:rFonts w:ascii="TimesNewRoman" w:hAnsi="TimesNewRoman" w:cs="TimesNewRoman"/>
        </w:rPr>
        <w:t>must</w:t>
      </w:r>
      <w:r w:rsidRPr="00AB409E">
        <w:rPr>
          <w:rFonts w:ascii="TimesNewRoman" w:hAnsi="TimesNewRoman" w:cs="TimesNewRoman"/>
        </w:rPr>
        <w:t xml:space="preserve"> register with EPA’s CDX and use the e-PMN module within CISS to </w:t>
      </w:r>
      <w:r w:rsidR="00D45EA9">
        <w:rPr>
          <w:rFonts w:ascii="TimesNewRoman" w:hAnsi="TimesNewRoman" w:cs="TimesNewRoman"/>
        </w:rPr>
        <w:t>complete their</w:t>
      </w:r>
      <w:r w:rsidRPr="00AB409E">
        <w:rPr>
          <w:rFonts w:ascii="TimesNewRoman" w:hAnsi="TimesNewRoman" w:cs="TimesNewRoman"/>
        </w:rPr>
        <w:t xml:space="preserve"> submission</w:t>
      </w:r>
      <w:r w:rsidR="00D45EA9">
        <w:rPr>
          <w:rFonts w:ascii="TimesNewRoman" w:hAnsi="TimesNewRoman" w:cs="TimesNewRoman"/>
        </w:rPr>
        <w:t>s electronicall</w:t>
      </w:r>
      <w:r w:rsidR="00EE6478">
        <w:rPr>
          <w:rFonts w:ascii="TimesNewRoman" w:hAnsi="TimesNewRoman" w:cs="TimesNewRoman"/>
        </w:rPr>
        <w:t>y</w:t>
      </w:r>
      <w:r w:rsidRPr="00AB409E">
        <w:rPr>
          <w:rFonts w:ascii="TimesNewRoman" w:hAnsi="TimesNewRoman" w:cs="TimesNewRoman"/>
        </w:rPr>
        <w:t xml:space="preserve">. </w:t>
      </w:r>
      <w:r w:rsidR="00AF6489" w:rsidRPr="00AF6489">
        <w:rPr>
          <w:rFonts w:ascii="TimesNewRoman" w:hAnsi="TimesNewRoman" w:cs="TimesNewRoman"/>
        </w:rPr>
        <w:t xml:space="preserve">EPA has prepared a comprehensive user guide for CISS users </w:t>
      </w:r>
      <w:r w:rsidR="00AF6489" w:rsidRPr="008B6224">
        <w:rPr>
          <w:rFonts w:ascii="TimesNewRoman" w:hAnsi="TimesNewRoman" w:cs="TimesNewRoman"/>
        </w:rPr>
        <w:t xml:space="preserve">(Attachment </w:t>
      </w:r>
      <w:r w:rsidR="002765EC" w:rsidRPr="008B6224">
        <w:rPr>
          <w:rFonts w:ascii="TimesNewRoman" w:hAnsi="TimesNewRoman" w:cs="TimesNewRoman"/>
        </w:rPr>
        <w:t>2</w:t>
      </w:r>
      <w:r w:rsidR="00AF6489" w:rsidRPr="008B6224">
        <w:rPr>
          <w:rFonts w:ascii="TimesNewRoman" w:hAnsi="TimesNewRoman" w:cs="TimesNewRoman"/>
        </w:rPr>
        <w:t>)</w:t>
      </w:r>
      <w:r w:rsidR="00AF6489">
        <w:rPr>
          <w:rFonts w:ascii="TimesNewRoman" w:hAnsi="TimesNewRoman" w:cs="TimesNewRoman"/>
        </w:rPr>
        <w:t xml:space="preserve"> </w:t>
      </w:r>
      <w:r w:rsidR="00AF6489" w:rsidRPr="00AF6489">
        <w:rPr>
          <w:rFonts w:ascii="TimesNewRoman" w:hAnsi="TimesNewRoman" w:cs="TimesNewRoman"/>
        </w:rPr>
        <w:t xml:space="preserve">that addresses CDX registration and electronic signatures, general submission preparation and completion, and submission status tracking notifications. This user guide is available at </w:t>
      </w:r>
      <w:hyperlink r:id="rId12" w:history="1">
        <w:r w:rsidR="00AF6489" w:rsidRPr="00AF6489">
          <w:rPr>
            <w:rStyle w:val="Hyperlink"/>
            <w:rFonts w:ascii="TimesNewRoman" w:hAnsi="TimesNewRoman" w:cs="TimesNewRoman"/>
            <w:i/>
          </w:rPr>
          <w:t>http://www.epa.gov/oppt/chemtest/ereporting</w:t>
        </w:r>
      </w:hyperlink>
      <w:r w:rsidR="00AF6489" w:rsidRPr="00AF6489">
        <w:rPr>
          <w:rFonts w:ascii="TimesNewRoman" w:hAnsi="TimesNewRoman" w:cs="TimesNewRoman"/>
        </w:rPr>
        <w:t>. EPA has also prepared separate</w:t>
      </w:r>
      <w:r w:rsidR="00A66937">
        <w:rPr>
          <w:rFonts w:ascii="TimesNewRoman" w:hAnsi="TimesNewRoman" w:cs="TimesNewRoman"/>
        </w:rPr>
        <w:t>, role-specific</w:t>
      </w:r>
      <w:r w:rsidR="00AF6489" w:rsidRPr="00AF6489">
        <w:rPr>
          <w:rFonts w:ascii="TimesNewRoman" w:hAnsi="TimesNewRoman" w:cs="TimesNewRoman"/>
        </w:rPr>
        <w:t xml:space="preserve"> user guide</w:t>
      </w:r>
      <w:r w:rsidR="00A66937">
        <w:rPr>
          <w:rFonts w:ascii="TimesNewRoman" w:hAnsi="TimesNewRoman" w:cs="TimesNewRoman"/>
        </w:rPr>
        <w:t>s</w:t>
      </w:r>
      <w:r w:rsidR="00AF6489" w:rsidRPr="00AF6489">
        <w:rPr>
          <w:rFonts w:ascii="TimesNewRoman" w:hAnsi="TimesNewRoman" w:cs="TimesNewRoman"/>
        </w:rPr>
        <w:t xml:space="preserve"> for the e-PMN software module in CISS (i.e., the Thin Client Version) </w:t>
      </w:r>
      <w:r w:rsidR="00AF6489" w:rsidRPr="008B6224">
        <w:rPr>
          <w:rFonts w:ascii="TimesNewRoman" w:hAnsi="TimesNewRoman" w:cs="TimesNewRoman"/>
        </w:rPr>
        <w:t>(Attachment</w:t>
      </w:r>
      <w:r w:rsidR="00A66937" w:rsidRPr="008B6224">
        <w:rPr>
          <w:rFonts w:ascii="TimesNewRoman" w:hAnsi="TimesNewRoman" w:cs="TimesNewRoman"/>
        </w:rPr>
        <w:t>s</w:t>
      </w:r>
      <w:r w:rsidR="00AF6489" w:rsidRPr="008B6224">
        <w:rPr>
          <w:rFonts w:ascii="TimesNewRoman" w:hAnsi="TimesNewRoman" w:cs="TimesNewRoman"/>
        </w:rPr>
        <w:t xml:space="preserve"> </w:t>
      </w:r>
      <w:r w:rsidR="00A66937" w:rsidRPr="008B6224">
        <w:rPr>
          <w:rFonts w:ascii="TimesNewRoman" w:hAnsi="TimesNewRoman" w:cs="TimesNewRoman"/>
        </w:rPr>
        <w:t>3-</w:t>
      </w:r>
      <w:r w:rsidR="008B6224" w:rsidRPr="008B6224">
        <w:rPr>
          <w:rFonts w:ascii="TimesNewRoman" w:hAnsi="TimesNewRoman" w:cs="TimesNewRoman"/>
        </w:rPr>
        <w:t>8</w:t>
      </w:r>
      <w:r w:rsidR="00AF6489" w:rsidRPr="008B6224">
        <w:rPr>
          <w:rFonts w:ascii="TimesNewRoman" w:hAnsi="TimesNewRoman" w:cs="TimesNewRoman"/>
        </w:rPr>
        <w:t>)</w:t>
      </w:r>
      <w:r w:rsidR="00AF6489" w:rsidRPr="00AF6489">
        <w:rPr>
          <w:rFonts w:ascii="TimesNewRoman" w:hAnsi="TimesNewRoman" w:cs="TimesNewRoman"/>
        </w:rPr>
        <w:t xml:space="preserve">, which is available at </w:t>
      </w:r>
      <w:hyperlink r:id="rId13" w:history="1">
        <w:r w:rsidR="00AF6489" w:rsidRPr="00AF6489">
          <w:rPr>
            <w:rStyle w:val="Hyperlink"/>
            <w:rFonts w:ascii="TimesNewRoman" w:hAnsi="TimesNewRoman" w:cs="TimesNewRoman"/>
            <w:i/>
          </w:rPr>
          <w:t>http://epa.gov/oppt/newchems/epmn/epmn-index.htm</w:t>
        </w:r>
      </w:hyperlink>
      <w:r w:rsidR="00AF6489" w:rsidRPr="00AF6489">
        <w:rPr>
          <w:rFonts w:ascii="TimesNewRoman" w:hAnsi="TimesNewRoman" w:cs="TimesNewRoman"/>
        </w:rPr>
        <w:t>.</w:t>
      </w:r>
      <w:r w:rsidR="00C64AE2">
        <w:rPr>
          <w:rFonts w:ascii="TimesNewRoman" w:hAnsi="TimesNewRoman" w:cs="TimesNewRoman"/>
        </w:rPr>
        <w:t xml:space="preserve"> </w:t>
      </w:r>
      <w:r w:rsidR="00C64AE2" w:rsidRPr="00C64AE2">
        <w:rPr>
          <w:rFonts w:ascii="TimesNewRoman" w:hAnsi="TimesNewRoman" w:cs="TimesNewRoman"/>
        </w:rPr>
        <w:t xml:space="preserve">An electronic signature is required for TSCA section 5 notices submitted to the Agency via CDX.  Electronic signatures are obtained as part of the </w:t>
      </w:r>
      <w:r w:rsidR="002F0C14">
        <w:rPr>
          <w:rFonts w:ascii="TimesNewRoman" w:hAnsi="TimesNewRoman" w:cs="TimesNewRoman"/>
        </w:rPr>
        <w:t xml:space="preserve">existing </w:t>
      </w:r>
      <w:r w:rsidR="00C64AE2" w:rsidRPr="00C64AE2">
        <w:rPr>
          <w:rFonts w:ascii="TimesNewRoman" w:hAnsi="TimesNewRoman" w:cs="TimesNewRoman"/>
        </w:rPr>
        <w:t xml:space="preserve">CDX user-registration process.  </w:t>
      </w:r>
    </w:p>
    <w:p w14:paraId="731B9FC9" w14:textId="77777777" w:rsidR="00010C0B" w:rsidRDefault="00010C0B" w:rsidP="00DE7E2F">
      <w:pPr>
        <w:tabs>
          <w:tab w:val="left" w:pos="720"/>
          <w:tab w:val="left" w:pos="1080"/>
        </w:tabs>
        <w:rPr>
          <w:rFonts w:ascii="TimesNewRoman" w:hAnsi="TimesNewRoman" w:cs="TimesNewRoman"/>
        </w:rPr>
      </w:pPr>
    </w:p>
    <w:p w14:paraId="05CDE7D8" w14:textId="77777777" w:rsidR="00010C0B" w:rsidRDefault="00010C0B" w:rsidP="00DE7E2F">
      <w:pPr>
        <w:tabs>
          <w:tab w:val="left" w:pos="720"/>
          <w:tab w:val="left" w:pos="1080"/>
        </w:tabs>
        <w:rPr>
          <w:rFonts w:ascii="TimesNewRoman" w:hAnsi="TimesNewRoman" w:cs="TimesNewRoman"/>
          <w:u w:val="single"/>
        </w:rPr>
      </w:pPr>
      <w:r>
        <w:rPr>
          <w:rFonts w:ascii="TimesNewRoman" w:hAnsi="TimesNewRoman" w:cs="TimesNewRoman"/>
        </w:rPr>
        <w:tab/>
      </w:r>
      <w:r>
        <w:rPr>
          <w:rFonts w:ascii="TimesNewRoman" w:hAnsi="TimesNewRoman" w:cs="TimesNewRoman"/>
          <w:u w:val="single"/>
        </w:rPr>
        <w:t>CDX Registration</w:t>
      </w:r>
    </w:p>
    <w:p w14:paraId="47440CD4" w14:textId="77777777" w:rsidR="00010C0B" w:rsidRDefault="00010C0B" w:rsidP="00DE7E2F">
      <w:pPr>
        <w:tabs>
          <w:tab w:val="left" w:pos="720"/>
          <w:tab w:val="left" w:pos="1080"/>
        </w:tabs>
        <w:rPr>
          <w:rFonts w:ascii="TimesNewRoman" w:hAnsi="TimesNewRoman" w:cs="TimesNewRoman"/>
          <w:u w:val="single"/>
        </w:rPr>
      </w:pPr>
    </w:p>
    <w:p w14:paraId="18AD062C" w14:textId="66882045" w:rsidR="00526126" w:rsidRDefault="00010C0B" w:rsidP="00DE7E2F">
      <w:pPr>
        <w:tabs>
          <w:tab w:val="left" w:pos="720"/>
          <w:tab w:val="left" w:pos="1080"/>
        </w:tabs>
      </w:pPr>
      <w:r w:rsidRPr="00010C0B">
        <w:rPr>
          <w:rFonts w:ascii="TimesNewRoman" w:hAnsi="TimesNewRoman" w:cs="TimesNewRoman"/>
        </w:rPr>
        <w:tab/>
      </w:r>
      <w:r w:rsidR="00DE7E2F" w:rsidRPr="00AB409E">
        <w:rPr>
          <w:rFonts w:ascii="TimesNewRoman" w:hAnsi="TimesNewRoman" w:cs="TimesNewRoman"/>
        </w:rPr>
        <w:t xml:space="preserve">EPA expects that most TSCA section 5 submitters are already registered in CDX. Those users do not need to re-register with CDX, nor will they need to re-verify their identities. In order to use the Thin Client Version of the e-PMN software required under this direct final rule, users who have previously registered with CDX under the TSCA workflow to submit TSCA section 5 submissions, or other CDX workflows such as the Toxics Release Inventory TRI-ME web reporting, will only need to add the “Submission for Chemical Safety and Pesticide Program (CSPP)” CDX workflow to their user profiles. </w:t>
      </w:r>
      <w:r w:rsidR="00DE7E2F">
        <w:rPr>
          <w:rFonts w:ascii="TimesNewRoman" w:hAnsi="TimesNewRoman" w:cs="TimesNewRoman"/>
        </w:rPr>
        <w:t xml:space="preserve">TSCA section 5 submitters who will be new CDX users </w:t>
      </w:r>
      <w:r w:rsidR="004F3AF5">
        <w:rPr>
          <w:rFonts w:ascii="TimesNewRoman" w:hAnsi="TimesNewRoman" w:cs="TimesNewRoman"/>
        </w:rPr>
        <w:t xml:space="preserve">will now </w:t>
      </w:r>
      <w:r w:rsidR="00DE7E2F">
        <w:rPr>
          <w:rFonts w:ascii="TimesNewRoman" w:hAnsi="TimesNewRoman" w:cs="TimesNewRoman"/>
        </w:rPr>
        <w:t>be able to take advantage of a more streamlined CDX registration process that does not involve the submission of signed forms to EPA.</w:t>
      </w:r>
    </w:p>
    <w:p w14:paraId="40D281B4" w14:textId="77777777" w:rsidR="00526126" w:rsidRDefault="00526126" w:rsidP="00526126">
      <w:pPr>
        <w:tabs>
          <w:tab w:val="left" w:pos="720"/>
          <w:tab w:val="left" w:pos="1440"/>
        </w:tabs>
      </w:pPr>
    </w:p>
    <w:p w14:paraId="66C6A750" w14:textId="77777777" w:rsidR="00010C0B" w:rsidRDefault="00010C0B" w:rsidP="00526126">
      <w:pPr>
        <w:tabs>
          <w:tab w:val="left" w:pos="720"/>
          <w:tab w:val="left" w:pos="1440"/>
        </w:tabs>
        <w:rPr>
          <w:rFonts w:eastAsiaTheme="minorHAnsi"/>
          <w:color w:val="000000"/>
        </w:rPr>
      </w:pPr>
      <w:r>
        <w:rPr>
          <w:rFonts w:eastAsiaTheme="minorHAnsi"/>
          <w:color w:val="000000"/>
        </w:rPr>
        <w:tab/>
        <w:t xml:space="preserve">As with other electronic TSCA submissions, </w:t>
      </w:r>
      <w:r>
        <w:rPr>
          <w:rFonts w:ascii="TimesNewRoman" w:hAnsi="TimesNewRoman" w:cs="TimesNewRoman"/>
        </w:rPr>
        <w:t xml:space="preserve">TSCA section 5 submitters who register with </w:t>
      </w:r>
      <w:r w:rsidRPr="00010C0B">
        <w:rPr>
          <w:rFonts w:eastAsiaTheme="minorHAnsi"/>
          <w:color w:val="000000"/>
        </w:rPr>
        <w:t xml:space="preserve">CDX </w:t>
      </w:r>
      <w:r>
        <w:rPr>
          <w:rFonts w:eastAsiaTheme="minorHAnsi"/>
          <w:color w:val="000000"/>
        </w:rPr>
        <w:t xml:space="preserve">for the first time will be </w:t>
      </w:r>
      <w:r w:rsidRPr="00010C0B">
        <w:rPr>
          <w:rFonts w:eastAsiaTheme="minorHAnsi"/>
          <w:color w:val="000000"/>
        </w:rPr>
        <w:t>prompted to choose 5 out of 20 offered questions and provide answers to each of those 5 questions. In order to electronically sign and submit data to the EPA or to download the Copy of Record in CDX, a user must correctly answer 1 randomly selected question of the 5 questions chosen by that user (i.e., a “20-5-1” security question) before the transaction can be completed. When the 20-5-1 security question is answered correctly, the thin client version of the software then encrypts the information and transaction is completed.</w:t>
      </w:r>
    </w:p>
    <w:p w14:paraId="6E0D887E" w14:textId="77777777" w:rsidR="00010C0B" w:rsidRDefault="00010C0B" w:rsidP="00526126">
      <w:pPr>
        <w:tabs>
          <w:tab w:val="left" w:pos="720"/>
          <w:tab w:val="left" w:pos="1440"/>
        </w:tabs>
        <w:rPr>
          <w:rFonts w:eastAsiaTheme="minorHAnsi"/>
          <w:color w:val="000000"/>
        </w:rPr>
      </w:pPr>
    </w:p>
    <w:p w14:paraId="183A4136" w14:textId="77777777" w:rsidR="00010C0B" w:rsidRDefault="00010C0B" w:rsidP="00526126">
      <w:pPr>
        <w:tabs>
          <w:tab w:val="left" w:pos="720"/>
          <w:tab w:val="left" w:pos="1440"/>
        </w:tabs>
        <w:rPr>
          <w:rFonts w:eastAsiaTheme="minorHAnsi"/>
          <w:color w:val="000000"/>
        </w:rPr>
      </w:pPr>
      <w:r>
        <w:rPr>
          <w:rFonts w:eastAsiaTheme="minorHAnsi"/>
          <w:color w:val="000000"/>
        </w:rPr>
        <w:tab/>
        <w:t xml:space="preserve">As with other electronic TSCA submissions, the thin client version of the e-PMN software enables electronic submitters who are newly applying for </w:t>
      </w:r>
      <w:r w:rsidRPr="00216AF2">
        <w:rPr>
          <w:rFonts w:eastAsiaTheme="minorHAnsi"/>
          <w:color w:val="000000"/>
        </w:rPr>
        <w:t xml:space="preserve">the Authorized Official </w:t>
      </w:r>
      <w:r>
        <w:rPr>
          <w:rFonts w:eastAsiaTheme="minorHAnsi"/>
          <w:color w:val="000000"/>
        </w:rPr>
        <w:t xml:space="preserve">(AO) </w:t>
      </w:r>
      <w:r w:rsidRPr="00216AF2">
        <w:rPr>
          <w:rFonts w:eastAsiaTheme="minorHAnsi"/>
          <w:color w:val="000000"/>
        </w:rPr>
        <w:t>role</w:t>
      </w:r>
      <w:r>
        <w:rPr>
          <w:rFonts w:eastAsiaTheme="minorHAnsi"/>
          <w:color w:val="000000"/>
        </w:rPr>
        <w:t xml:space="preserve"> in CDX to validate their </w:t>
      </w:r>
      <w:r w:rsidRPr="00216AF2">
        <w:rPr>
          <w:rFonts w:eastAsiaTheme="minorHAnsi"/>
          <w:color w:val="000000"/>
        </w:rPr>
        <w:t>personal identit</w:t>
      </w:r>
      <w:r>
        <w:rPr>
          <w:rFonts w:eastAsiaTheme="minorHAnsi"/>
          <w:color w:val="000000"/>
        </w:rPr>
        <w:t xml:space="preserve">ies electronically via </w:t>
      </w:r>
      <w:r w:rsidRPr="00216AF2">
        <w:rPr>
          <w:rFonts w:eastAsiaTheme="minorHAnsi"/>
          <w:color w:val="000000"/>
        </w:rPr>
        <w:t>LexisNexis</w:t>
      </w:r>
      <w:r>
        <w:rPr>
          <w:rFonts w:eastAsiaTheme="minorHAnsi"/>
          <w:color w:val="000000"/>
        </w:rPr>
        <w:t>.</w:t>
      </w:r>
      <w:r w:rsidRPr="00216AF2">
        <w:rPr>
          <w:rFonts w:eastAsiaTheme="minorHAnsi"/>
          <w:color w:val="000000"/>
        </w:rPr>
        <w:t xml:space="preserve"> Those </w:t>
      </w:r>
      <w:r>
        <w:rPr>
          <w:rFonts w:eastAsiaTheme="minorHAnsi"/>
          <w:color w:val="000000"/>
        </w:rPr>
        <w:t xml:space="preserve">submitters applying for the AO role </w:t>
      </w:r>
      <w:r w:rsidRPr="00216AF2">
        <w:rPr>
          <w:rFonts w:eastAsiaTheme="minorHAnsi"/>
          <w:color w:val="000000"/>
        </w:rPr>
        <w:t>who choose to not use LexisNexis</w:t>
      </w:r>
      <w:r>
        <w:rPr>
          <w:rFonts w:eastAsiaTheme="minorHAnsi"/>
          <w:color w:val="000000"/>
        </w:rPr>
        <w:t>,</w:t>
      </w:r>
      <w:r w:rsidRPr="00216AF2">
        <w:rPr>
          <w:rFonts w:eastAsiaTheme="minorHAnsi"/>
          <w:color w:val="000000"/>
        </w:rPr>
        <w:t xml:space="preserve"> or </w:t>
      </w:r>
      <w:r>
        <w:rPr>
          <w:rFonts w:eastAsiaTheme="minorHAnsi"/>
          <w:color w:val="000000"/>
        </w:rPr>
        <w:t xml:space="preserve">for whom </w:t>
      </w:r>
      <w:r w:rsidRPr="00216AF2">
        <w:rPr>
          <w:rFonts w:eastAsiaTheme="minorHAnsi"/>
          <w:color w:val="000000"/>
        </w:rPr>
        <w:t>LexisNexis</w:t>
      </w:r>
      <w:r>
        <w:rPr>
          <w:rFonts w:eastAsiaTheme="minorHAnsi"/>
          <w:color w:val="000000"/>
        </w:rPr>
        <w:t xml:space="preserve"> could not validate their identities, will need to follow the current, paper-based</w:t>
      </w:r>
      <w:r w:rsidRPr="00216AF2">
        <w:rPr>
          <w:rFonts w:eastAsiaTheme="minorHAnsi"/>
          <w:color w:val="000000"/>
        </w:rPr>
        <w:t xml:space="preserve"> </w:t>
      </w:r>
      <w:r>
        <w:rPr>
          <w:rFonts w:eastAsiaTheme="minorHAnsi"/>
          <w:color w:val="000000"/>
        </w:rPr>
        <w:t xml:space="preserve">e-PMN identity </w:t>
      </w:r>
      <w:r w:rsidRPr="00216AF2">
        <w:rPr>
          <w:rFonts w:eastAsiaTheme="minorHAnsi"/>
          <w:color w:val="000000"/>
        </w:rPr>
        <w:t xml:space="preserve">validation process. </w:t>
      </w:r>
      <w:r>
        <w:rPr>
          <w:rFonts w:eastAsiaTheme="minorHAnsi"/>
          <w:color w:val="000000"/>
        </w:rPr>
        <w:t xml:space="preserve">In CDX, </w:t>
      </w:r>
      <w:r>
        <w:rPr>
          <w:rFonts w:eastAsiaTheme="minorHAnsi"/>
        </w:rPr>
        <w:t xml:space="preserve">these submitters will instead select the “Sign Paper Form” option. CDX will then instruct the user to print, sign, and mail the ESA (ESA processing by EPA may take up to 10 business days from the date of receipt). Since </w:t>
      </w:r>
      <w:r>
        <w:rPr>
          <w:rFonts w:eastAsiaTheme="minorHAnsi"/>
          <w:color w:val="000000"/>
        </w:rPr>
        <w:t>s</w:t>
      </w:r>
      <w:r w:rsidRPr="00216AF2">
        <w:rPr>
          <w:rFonts w:eastAsiaTheme="minorHAnsi"/>
          <w:color w:val="000000"/>
        </w:rPr>
        <w:t xml:space="preserve">upport persons </w:t>
      </w:r>
      <w:r>
        <w:rPr>
          <w:rFonts w:eastAsiaTheme="minorHAnsi"/>
          <w:color w:val="000000"/>
        </w:rPr>
        <w:t xml:space="preserve">are not able to sign and complete submissions or download the Copy of Record for a submission, they </w:t>
      </w:r>
      <w:r w:rsidRPr="00216AF2">
        <w:rPr>
          <w:rFonts w:eastAsiaTheme="minorHAnsi"/>
          <w:color w:val="000000"/>
        </w:rPr>
        <w:t>will be able to register with CDX without authentication of identity</w:t>
      </w:r>
      <w:r>
        <w:rPr>
          <w:rFonts w:eastAsiaTheme="minorHAnsi"/>
          <w:color w:val="000000"/>
        </w:rPr>
        <w:t>.</w:t>
      </w:r>
    </w:p>
    <w:p w14:paraId="11938EB3" w14:textId="77777777" w:rsidR="00526126" w:rsidRPr="004642AB" w:rsidRDefault="00526126" w:rsidP="00C4598F">
      <w:pPr>
        <w:keepNext/>
        <w:ind w:left="720" w:hanging="720"/>
        <w:rPr>
          <w:b/>
        </w:rPr>
      </w:pPr>
      <w:r>
        <w:rPr>
          <w:b/>
        </w:rPr>
        <w:t>5.</w:t>
      </w:r>
      <w:r>
        <w:rPr>
          <w:b/>
        </w:rPr>
        <w:tab/>
        <w:t>AGENCY ACTIVITIES, COLLECTION METHODOLOGY, AND INFORMATION MANAGEMENT</w:t>
      </w:r>
    </w:p>
    <w:p w14:paraId="64D6298A" w14:textId="77777777" w:rsidR="00526126" w:rsidRPr="00341D82" w:rsidRDefault="00526126" w:rsidP="00C4598F">
      <w:pPr>
        <w:keepNext/>
      </w:pPr>
    </w:p>
    <w:p w14:paraId="07047C09" w14:textId="77777777" w:rsidR="00526126" w:rsidRPr="00341D82" w:rsidRDefault="00526126" w:rsidP="00C4598F">
      <w:pPr>
        <w:keepNext/>
        <w:ind w:left="360" w:firstLine="360"/>
        <w:rPr>
          <w:b/>
        </w:rPr>
      </w:pPr>
      <w:r>
        <w:rPr>
          <w:b/>
        </w:rPr>
        <w:t>5(a)</w:t>
      </w:r>
      <w:r>
        <w:rPr>
          <w:b/>
        </w:rPr>
        <w:tab/>
      </w:r>
      <w:r w:rsidRPr="00341D82">
        <w:rPr>
          <w:b/>
        </w:rPr>
        <w:t>Agency Activities</w:t>
      </w:r>
    </w:p>
    <w:p w14:paraId="52172422" w14:textId="77777777" w:rsidR="00526126" w:rsidRPr="00341D82" w:rsidRDefault="00526126" w:rsidP="00526126">
      <w:pPr>
        <w:ind w:left="360"/>
        <w:rPr>
          <w:b/>
        </w:rPr>
      </w:pPr>
    </w:p>
    <w:p w14:paraId="5CD21566" w14:textId="77777777" w:rsidR="00526126" w:rsidRDefault="00D45EA9" w:rsidP="00D45EA9">
      <w:pPr>
        <w:ind w:firstLine="720"/>
      </w:pPr>
      <w:r w:rsidRPr="00D45EA9">
        <w:t>EPA</w:t>
      </w:r>
      <w:r>
        <w:t xml:space="preserve"> is offering </w:t>
      </w:r>
      <w:r w:rsidRPr="00D45EA9">
        <w:t xml:space="preserve">an XML schema to those submitters who choose to work on their submissions offline rather than online, which allows them to later upload their information to the Thin Client Version of the e-PMN software for submission using CDX. </w:t>
      </w:r>
    </w:p>
    <w:p w14:paraId="028BDD39" w14:textId="77777777" w:rsidR="00D45EA9" w:rsidRPr="00341D82" w:rsidRDefault="00D45EA9" w:rsidP="00D45EA9">
      <w:pPr>
        <w:ind w:firstLine="720"/>
      </w:pPr>
    </w:p>
    <w:p w14:paraId="4AB28E27" w14:textId="77777777" w:rsidR="00526126" w:rsidRPr="00341D82" w:rsidRDefault="00526126" w:rsidP="00526126">
      <w:pPr>
        <w:ind w:left="720"/>
        <w:rPr>
          <w:b/>
        </w:rPr>
      </w:pPr>
      <w:r>
        <w:rPr>
          <w:b/>
        </w:rPr>
        <w:t>5(b)</w:t>
      </w:r>
      <w:r>
        <w:rPr>
          <w:b/>
        </w:rPr>
        <w:tab/>
      </w:r>
      <w:r w:rsidRPr="00341D82">
        <w:rPr>
          <w:b/>
        </w:rPr>
        <w:t>Collection Methodology and Management</w:t>
      </w:r>
    </w:p>
    <w:p w14:paraId="3F043BB9" w14:textId="77777777" w:rsidR="00526126" w:rsidRPr="00341D82" w:rsidRDefault="00526126" w:rsidP="00526126">
      <w:pPr>
        <w:ind w:left="720" w:hanging="360"/>
        <w:rPr>
          <w:b/>
        </w:rPr>
      </w:pPr>
    </w:p>
    <w:p w14:paraId="2073F29D" w14:textId="678070E0" w:rsidR="00560C49" w:rsidRDefault="00560C49" w:rsidP="00C64AE2">
      <w:pPr>
        <w:ind w:firstLine="720"/>
      </w:pPr>
      <w:r>
        <w:t>Data systems that were populated manually are now populated electronically, reducing the potential for human error that exists when data are entered by hand. Electronically submitted information enables EPA to enhance document management efforts and associate related information (e.g., original submissions, amend</w:t>
      </w:r>
      <w:r w:rsidR="00C64AE2">
        <w:t xml:space="preserve">ments, support documents, etc.). In addition, </w:t>
      </w:r>
      <w:r>
        <w:t xml:space="preserve">Agency personnel are also able to communicate more efficiently with submitters electronically, compared to using U.S. mail.  Because companies register with EPA to submit their data electronically to the Agency via CDX, the Agency in turn will be able </w:t>
      </w:r>
      <w:r w:rsidR="004F3AF5">
        <w:t xml:space="preserve">in the future </w:t>
      </w:r>
      <w:r>
        <w:t xml:space="preserve">to communicate electronically with submitters via CDX.  Some examples of routine communications from EPA that could go through CDX include the Acknowledgment Letter (acknowledging receipt of a submission), and the Incomplete Letter (stating why a submission has been declared incomplete).  </w:t>
      </w:r>
      <w:r w:rsidR="004F3AF5">
        <w:t xml:space="preserve">Currently, </w:t>
      </w:r>
      <w:r>
        <w:t>these communications are sent through the mail.  An electronic means of communication provides significant time and res</w:t>
      </w:r>
      <w:r w:rsidR="00C64AE2">
        <w:t>ource savings for both parties.</w:t>
      </w:r>
    </w:p>
    <w:p w14:paraId="1B2F32AD" w14:textId="77777777" w:rsidR="00EF24DD" w:rsidRDefault="00EF24DD" w:rsidP="00EF24DD">
      <w:pPr>
        <w:ind w:firstLine="720"/>
      </w:pPr>
    </w:p>
    <w:p w14:paraId="7CB7CED1" w14:textId="73C9F088" w:rsidR="00772BBE" w:rsidRDefault="00DC2005" w:rsidP="00EF24DD">
      <w:pPr>
        <w:ind w:firstLine="720"/>
      </w:pPr>
      <w:r>
        <w:t>EPA will no longer accept paper submissions of bona fides and manufacturing site change notifications. They must be submitted to EPA electronically using the e-PMN software. Otherwise, t</w:t>
      </w:r>
      <w:r w:rsidR="00EF24DD">
        <w:t xml:space="preserve">he major difference between the old and new methods of data entry is the </w:t>
      </w:r>
      <w:r>
        <w:t xml:space="preserve">electronic </w:t>
      </w:r>
      <w:r w:rsidR="005E766F">
        <w:t xml:space="preserve">reporting tool itself. </w:t>
      </w:r>
      <w:r w:rsidR="00BA4899">
        <w:t xml:space="preserve">EPA will no longer make a Thick Client desktop version of the e-PMN software available to TSCA section 5 respondents by a way of a software download from EPA’s website or through a compact disc. </w:t>
      </w:r>
      <w:r>
        <w:t xml:space="preserve">Submitters of TSCA section 5 notices subject to electronic reporting requirements are now required to use </w:t>
      </w:r>
      <w:r w:rsidR="00BA4899">
        <w:t xml:space="preserve">a cloud-based Thin Client version e-PMN software </w:t>
      </w:r>
      <w:r>
        <w:t>that</w:t>
      </w:r>
      <w:r w:rsidR="00BA4899">
        <w:t xml:space="preserve"> reside</w:t>
      </w:r>
      <w:r>
        <w:t>s</w:t>
      </w:r>
      <w:r w:rsidR="00BA4899">
        <w:t xml:space="preserve"> online as part of the CSPP workflow in CDX</w:t>
      </w:r>
      <w:r>
        <w:t xml:space="preserve"> to complete their submissions. </w:t>
      </w:r>
      <w:r w:rsidR="00EF24DD">
        <w:t xml:space="preserve">Data now will be entered through a series of pages or screens on the computer. A submission sent to the Agency over the Internet will necessitate an electronic signature. Respondents submitting notices will only need to register once per user for all future </w:t>
      </w:r>
      <w:r>
        <w:t xml:space="preserve">electronic </w:t>
      </w:r>
      <w:r w:rsidR="00EF24DD">
        <w:t xml:space="preserve">submissions. </w:t>
      </w:r>
      <w:r w:rsidR="00772BBE">
        <w:t>All section 5 notices must be submitted to EPA electronica</w:t>
      </w:r>
      <w:r w:rsidR="005E766F">
        <w:t>lly</w:t>
      </w:r>
      <w:r w:rsidR="00772BBE">
        <w:t xml:space="preserve"> via CDX using the Thin Client version e-PMN software.  The data being transmitted electronically via CDX are encrypted to protect CBI. The software works with Windows, Macs, Linux, and UNIX-based computers, using XML for more efficient data transmittal to Agency data systems that once was performed manually.</w:t>
      </w:r>
    </w:p>
    <w:p w14:paraId="32861C11" w14:textId="77777777" w:rsidR="00DE7E2F" w:rsidRDefault="00DE7E2F" w:rsidP="00DE7E2F">
      <w:pPr>
        <w:ind w:firstLine="720"/>
      </w:pPr>
    </w:p>
    <w:p w14:paraId="5DEF80A1" w14:textId="77777777" w:rsidR="00526126" w:rsidRPr="00341D82" w:rsidRDefault="00526126" w:rsidP="00526126">
      <w:pPr>
        <w:numPr>
          <w:ilvl w:val="12"/>
          <w:numId w:val="0"/>
        </w:numPr>
        <w:rPr>
          <w:b/>
        </w:rPr>
      </w:pPr>
      <w:r w:rsidRPr="00341D82">
        <w:tab/>
      </w:r>
      <w:r>
        <w:rPr>
          <w:b/>
        </w:rPr>
        <w:t>5(c)</w:t>
      </w:r>
      <w:r>
        <w:rPr>
          <w:b/>
        </w:rPr>
        <w:tab/>
      </w:r>
      <w:r w:rsidRPr="00341D82">
        <w:rPr>
          <w:b/>
        </w:rPr>
        <w:t>Small Entity Flexibility</w:t>
      </w:r>
    </w:p>
    <w:p w14:paraId="48269321" w14:textId="77777777" w:rsidR="00526126" w:rsidRPr="00341D82" w:rsidRDefault="00526126" w:rsidP="00526126">
      <w:pPr>
        <w:numPr>
          <w:ilvl w:val="12"/>
          <w:numId w:val="0"/>
        </w:numPr>
        <w:rPr>
          <w:b/>
        </w:rPr>
      </w:pPr>
    </w:p>
    <w:p w14:paraId="0AE72F62" w14:textId="77777777" w:rsidR="00526126" w:rsidRPr="00341D82" w:rsidRDefault="00526126" w:rsidP="00526126">
      <w:pPr>
        <w:numPr>
          <w:ilvl w:val="12"/>
          <w:numId w:val="0"/>
        </w:numPr>
      </w:pPr>
      <w:r w:rsidRPr="00341D82">
        <w:tab/>
      </w:r>
      <w:r>
        <w:t>No Change</w:t>
      </w:r>
      <w:r w:rsidRPr="00341D82">
        <w:t xml:space="preserve">     </w:t>
      </w:r>
    </w:p>
    <w:p w14:paraId="621186A2" w14:textId="77777777" w:rsidR="00526126" w:rsidRPr="00341D82" w:rsidRDefault="00526126" w:rsidP="00526126">
      <w:pPr>
        <w:tabs>
          <w:tab w:val="left" w:pos="1080"/>
        </w:tabs>
      </w:pPr>
    </w:p>
    <w:p w14:paraId="5566F25B" w14:textId="77777777" w:rsidR="00526126" w:rsidRPr="00341D82" w:rsidRDefault="00526126" w:rsidP="00526126">
      <w:pPr>
        <w:tabs>
          <w:tab w:val="left" w:pos="0"/>
        </w:tabs>
        <w:rPr>
          <w:b/>
        </w:rPr>
      </w:pPr>
      <w:r w:rsidRPr="00341D82">
        <w:tab/>
      </w:r>
      <w:r>
        <w:rPr>
          <w:b/>
        </w:rPr>
        <w:t>5(d)</w:t>
      </w:r>
      <w:r>
        <w:rPr>
          <w:b/>
        </w:rPr>
        <w:tab/>
      </w:r>
      <w:r w:rsidRPr="00341D82">
        <w:rPr>
          <w:b/>
        </w:rPr>
        <w:t>Collection Schedule</w:t>
      </w:r>
    </w:p>
    <w:p w14:paraId="696C7069" w14:textId="77777777" w:rsidR="00526126" w:rsidRPr="00341D82" w:rsidRDefault="00526126" w:rsidP="00526126">
      <w:pPr>
        <w:tabs>
          <w:tab w:val="left" w:pos="0"/>
        </w:tabs>
        <w:rPr>
          <w:b/>
        </w:rPr>
      </w:pPr>
    </w:p>
    <w:p w14:paraId="002166CE" w14:textId="77777777" w:rsidR="00526126" w:rsidRDefault="00526126" w:rsidP="00526126">
      <w:pPr>
        <w:tabs>
          <w:tab w:val="left" w:pos="0"/>
        </w:tabs>
      </w:pPr>
      <w:r w:rsidRPr="00341D82">
        <w:tab/>
      </w:r>
      <w:r>
        <w:t>No Change</w:t>
      </w:r>
      <w:r w:rsidRPr="00341D82">
        <w:t xml:space="preserve">     </w:t>
      </w:r>
    </w:p>
    <w:p w14:paraId="78C5C0B7" w14:textId="77777777" w:rsidR="0037123C" w:rsidRDefault="0057364F" w:rsidP="00C4598F">
      <w:pPr>
        <w:pStyle w:val="Heading1"/>
        <w:widowControl/>
        <w:tabs>
          <w:tab w:val="clear" w:pos="432"/>
          <w:tab w:val="num" w:pos="720"/>
        </w:tabs>
        <w:ind w:left="720" w:hanging="720"/>
        <w:jc w:val="left"/>
      </w:pPr>
      <w:r w:rsidRPr="00B577EA">
        <w:rPr>
          <w:sz w:val="24"/>
        </w:rPr>
        <w:t>ESTIMATING THE BURDEN AND COST</w:t>
      </w:r>
    </w:p>
    <w:p w14:paraId="557F3839" w14:textId="77777777" w:rsidR="00B577EA" w:rsidRPr="00B577EA" w:rsidRDefault="00B577EA" w:rsidP="00C4598F">
      <w:pPr>
        <w:keepNext/>
        <w:keepLines/>
      </w:pPr>
    </w:p>
    <w:p w14:paraId="4EFD7C22" w14:textId="0C9D43DA" w:rsidR="009A26FC" w:rsidRPr="009A26FC" w:rsidRDefault="00AF00F1" w:rsidP="00C4598F">
      <w:pPr>
        <w:keepNext/>
        <w:keepLines/>
        <w:tabs>
          <w:tab w:val="left" w:pos="720"/>
        </w:tabs>
      </w:pPr>
      <w:r>
        <w:tab/>
      </w:r>
      <w:r w:rsidR="009A26FC" w:rsidRPr="009A26FC">
        <w:t xml:space="preserve">This section estimates the burden </w:t>
      </w:r>
      <w:r w:rsidR="00DE1C4B">
        <w:t xml:space="preserve">changes </w:t>
      </w:r>
      <w:r w:rsidR="009A26FC" w:rsidRPr="009A26FC">
        <w:t xml:space="preserve">for </w:t>
      </w:r>
      <w:r w:rsidR="00DE1C4B">
        <w:t>submitters of TSCA section 5 notices</w:t>
      </w:r>
      <w:r w:rsidR="00D6051F">
        <w:t xml:space="preserve"> that </w:t>
      </w:r>
      <w:r w:rsidR="00DE1C4B">
        <w:t>is expected to</w:t>
      </w:r>
      <w:r w:rsidR="00D6051F">
        <w:t xml:space="preserve"> result from </w:t>
      </w:r>
      <w:r w:rsidR="009A26FC" w:rsidRPr="009A26FC">
        <w:t xml:space="preserve">the </w:t>
      </w:r>
      <w:r w:rsidR="00DE1C4B">
        <w:t xml:space="preserve">direct final rule over the annual burden that </w:t>
      </w:r>
      <w:r w:rsidR="00EF3DDD">
        <w:t xml:space="preserve">has </w:t>
      </w:r>
      <w:r w:rsidR="009A26FC" w:rsidRPr="009A26FC">
        <w:t xml:space="preserve">already </w:t>
      </w:r>
      <w:r w:rsidR="00EF3DDD">
        <w:t xml:space="preserve">been </w:t>
      </w:r>
      <w:r w:rsidR="009A26FC" w:rsidRPr="009A26FC">
        <w:t xml:space="preserve">accounted for in </w:t>
      </w:r>
      <w:r w:rsidR="00DE1C4B">
        <w:t xml:space="preserve">the </w:t>
      </w:r>
      <w:r w:rsidR="00DE1C4B" w:rsidRPr="009A26FC">
        <w:t>ICR</w:t>
      </w:r>
      <w:r w:rsidR="00DE1C4B">
        <w:t xml:space="preserve"> that </w:t>
      </w:r>
      <w:r w:rsidR="00F95BD0">
        <w:t xml:space="preserve">is </w:t>
      </w:r>
      <w:r w:rsidR="00DE1C4B">
        <w:t>currently approved</w:t>
      </w:r>
      <w:r w:rsidR="009A26FC" w:rsidRPr="009A26FC">
        <w:t xml:space="preserve"> </w:t>
      </w:r>
      <w:r w:rsidR="00B1017E">
        <w:t xml:space="preserve">OMB Control No. </w:t>
      </w:r>
      <w:r w:rsidR="00B1017E" w:rsidRPr="00B1017E">
        <w:t>2070-0</w:t>
      </w:r>
      <w:r w:rsidR="00DE1C4B">
        <w:t>012</w:t>
      </w:r>
      <w:r w:rsidR="009A26FC" w:rsidRPr="009A26FC">
        <w:t xml:space="preserve">. Sections </w:t>
      </w:r>
      <w:r w:rsidR="004D3963">
        <w:fldChar w:fldCharType="begin"/>
      </w:r>
      <w:r w:rsidR="004D3963">
        <w:instrText xml:space="preserve"> REF _Ref384980675 \r \h </w:instrText>
      </w:r>
      <w:r w:rsidR="004D3963">
        <w:fldChar w:fldCharType="separate"/>
      </w:r>
      <w:r w:rsidR="009C0B67">
        <w:t>6(a)</w:t>
      </w:r>
      <w:r w:rsidR="004D3963">
        <w:fldChar w:fldCharType="end"/>
      </w:r>
      <w:r w:rsidR="009A26FC" w:rsidRPr="009A26FC">
        <w:t xml:space="preserve"> and </w:t>
      </w:r>
      <w:r w:rsidR="004D3963">
        <w:fldChar w:fldCharType="begin"/>
      </w:r>
      <w:r w:rsidR="004D3963">
        <w:instrText xml:space="preserve"> REF _Ref384980690 \r \h </w:instrText>
      </w:r>
      <w:r w:rsidR="004D3963">
        <w:fldChar w:fldCharType="separate"/>
      </w:r>
      <w:r w:rsidR="009C0B67">
        <w:t>6(b)</w:t>
      </w:r>
      <w:r w:rsidR="004D3963">
        <w:fldChar w:fldCharType="end"/>
      </w:r>
      <w:r w:rsidR="009A26FC" w:rsidRPr="009A26FC">
        <w:t xml:space="preserve"> estimate the respondents’ paperwork burdens and costs, respectively.  Section </w:t>
      </w:r>
      <w:r w:rsidR="004D3963">
        <w:fldChar w:fldCharType="begin"/>
      </w:r>
      <w:r w:rsidR="004D3963">
        <w:instrText xml:space="preserve"> REF _Ref384980698 \r \h </w:instrText>
      </w:r>
      <w:r w:rsidR="004D3963">
        <w:fldChar w:fldCharType="separate"/>
      </w:r>
      <w:r w:rsidR="009C0B67">
        <w:t>6(c)</w:t>
      </w:r>
      <w:r w:rsidR="004D3963">
        <w:fldChar w:fldCharType="end"/>
      </w:r>
      <w:r w:rsidR="009A26FC" w:rsidRPr="009A26FC">
        <w:t xml:space="preserve"> estimates EPA costs, section </w:t>
      </w:r>
      <w:r w:rsidR="004D3963">
        <w:fldChar w:fldCharType="begin"/>
      </w:r>
      <w:r w:rsidR="004D3963">
        <w:instrText xml:space="preserve"> REF _Ref384980708 \r \h </w:instrText>
      </w:r>
      <w:r w:rsidR="004D3963">
        <w:fldChar w:fldCharType="separate"/>
      </w:r>
      <w:r w:rsidR="009C0B67">
        <w:t>6(d)</w:t>
      </w:r>
      <w:r w:rsidR="004D3963">
        <w:fldChar w:fldCharType="end"/>
      </w:r>
      <w:r w:rsidR="009A26FC" w:rsidRPr="009A26FC">
        <w:t xml:space="preserve"> summarizes the bottom line burden and costs, section </w:t>
      </w:r>
      <w:r w:rsidR="004D3963">
        <w:fldChar w:fldCharType="begin"/>
      </w:r>
      <w:r w:rsidR="004D3963">
        <w:instrText xml:space="preserve"> REF _Ref384980719 \r \h </w:instrText>
      </w:r>
      <w:r w:rsidR="004D3963">
        <w:fldChar w:fldCharType="separate"/>
      </w:r>
      <w:r w:rsidR="009C0B67">
        <w:t>6(e)</w:t>
      </w:r>
      <w:r w:rsidR="004D3963">
        <w:fldChar w:fldCharType="end"/>
      </w:r>
      <w:r w:rsidR="009A26FC" w:rsidRPr="009A26FC">
        <w:t xml:space="preserve"> describes the reasons for changes in burden from the previous ICR, and section </w:t>
      </w:r>
      <w:r w:rsidR="004D3963">
        <w:fldChar w:fldCharType="begin"/>
      </w:r>
      <w:r w:rsidR="004D3963">
        <w:instrText xml:space="preserve"> REF _Ref384980730 \r \h </w:instrText>
      </w:r>
      <w:r w:rsidR="004D3963">
        <w:fldChar w:fldCharType="separate"/>
      </w:r>
      <w:r w:rsidR="009C0B67">
        <w:t>6(f)</w:t>
      </w:r>
      <w:r w:rsidR="004D3963">
        <w:fldChar w:fldCharType="end"/>
      </w:r>
      <w:r w:rsidR="009A26FC" w:rsidRPr="009A26FC">
        <w:t xml:space="preserve"> presents the burden statement.</w:t>
      </w:r>
      <w:r w:rsidR="002F119E">
        <w:t xml:space="preserve"> The economic analysis for the direct final rule</w:t>
      </w:r>
      <w:r w:rsidR="002F119E">
        <w:rPr>
          <w:rStyle w:val="FootnoteReference"/>
        </w:rPr>
        <w:footnoteReference w:id="8"/>
      </w:r>
      <w:r w:rsidR="002F119E">
        <w:t xml:space="preserve"> provides additional details about the estimated costs and burdens.</w:t>
      </w:r>
    </w:p>
    <w:p w14:paraId="459FDA12" w14:textId="77777777" w:rsidR="001F61CB" w:rsidRDefault="001F61CB" w:rsidP="0037123C"/>
    <w:p w14:paraId="207DAF05" w14:textId="77777777" w:rsidR="0037123C" w:rsidRPr="00B577EA" w:rsidRDefault="00B577EA" w:rsidP="00B577EA">
      <w:pPr>
        <w:pStyle w:val="Heading2"/>
        <w:tabs>
          <w:tab w:val="clear" w:pos="720"/>
          <w:tab w:val="num" w:pos="1440"/>
        </w:tabs>
        <w:ind w:firstLine="0"/>
        <w:rPr>
          <w:i w:val="0"/>
          <w:sz w:val="24"/>
        </w:rPr>
      </w:pPr>
      <w:bookmarkStart w:id="1" w:name="_Ref384980675"/>
      <w:r w:rsidRPr="00B577EA">
        <w:rPr>
          <w:b/>
          <w:bCs/>
          <w:i w:val="0"/>
          <w:sz w:val="24"/>
        </w:rPr>
        <w:t>Estimating Respondent Burden</w:t>
      </w:r>
      <w:bookmarkEnd w:id="1"/>
    </w:p>
    <w:p w14:paraId="10B01B6D" w14:textId="77777777" w:rsidR="0057364F" w:rsidRPr="00341D82" w:rsidRDefault="0057364F" w:rsidP="0037123C">
      <w:pPr>
        <w:rPr>
          <w:b/>
          <w:bCs/>
        </w:rPr>
      </w:pPr>
      <w:r>
        <w:rPr>
          <w:b/>
          <w:bCs/>
        </w:rPr>
        <w:tab/>
      </w:r>
    </w:p>
    <w:p w14:paraId="4F18D873" w14:textId="77777777" w:rsidR="002C5F1E" w:rsidRPr="002C5F1E" w:rsidRDefault="0057364F" w:rsidP="002C5F1E">
      <w:pPr>
        <w:keepNext/>
        <w:outlineLvl w:val="2"/>
        <w:rPr>
          <w:b/>
          <w:u w:val="single"/>
        </w:rPr>
      </w:pPr>
      <w:r w:rsidRPr="00341D82">
        <w:tab/>
      </w:r>
      <w:r w:rsidR="002C5F1E" w:rsidRPr="002C5F1E">
        <w:rPr>
          <w:b/>
        </w:rPr>
        <w:t xml:space="preserve">(i) </w:t>
      </w:r>
      <w:r w:rsidR="002C5F1E" w:rsidRPr="002C5F1E">
        <w:rPr>
          <w:b/>
        </w:rPr>
        <w:tab/>
        <w:t>Baseline Adjustments</w:t>
      </w:r>
      <w:r w:rsidR="002C5F1E" w:rsidRPr="002C5F1E">
        <w:rPr>
          <w:b/>
          <w:u w:val="single"/>
        </w:rPr>
        <w:t xml:space="preserve"> </w:t>
      </w:r>
    </w:p>
    <w:p w14:paraId="073481EE" w14:textId="77777777" w:rsidR="002C5F1E" w:rsidRDefault="002C5F1E" w:rsidP="002C5F1E">
      <w:pPr>
        <w:keepNext/>
      </w:pPr>
    </w:p>
    <w:p w14:paraId="04694C40" w14:textId="77122F2D" w:rsidR="0004285A" w:rsidRPr="0004285A" w:rsidRDefault="002C5F1E" w:rsidP="002C5F1E">
      <w:pPr>
        <w:keepNext/>
        <w:ind w:firstLine="720"/>
      </w:pPr>
      <w:r w:rsidRPr="0004285A">
        <w:t xml:space="preserve">When EPA last renewed the ICR under OMB Control No. 2070-0012, the Agency </w:t>
      </w:r>
      <w:r w:rsidR="001D6004">
        <w:t>erroneously omitted</w:t>
      </w:r>
      <w:r w:rsidRPr="0004285A">
        <w:t xml:space="preserve"> </w:t>
      </w:r>
      <w:r w:rsidR="001D6004">
        <w:t xml:space="preserve">burden calculations for </w:t>
      </w:r>
      <w:r w:rsidRPr="0004285A">
        <w:t>CDX registration activities</w:t>
      </w:r>
      <w:r w:rsidR="0004285A">
        <w:t xml:space="preserve">. </w:t>
      </w:r>
      <w:r w:rsidR="001D6004">
        <w:t>While an individual</w:t>
      </w:r>
      <w:r w:rsidR="0004285A">
        <w:t xml:space="preserve"> CDX user needs to complete the registration activities only once, companies may continue to designate personnel as CDX users on an ongoing basis. I</w:t>
      </w:r>
      <w:r w:rsidR="00961B0B" w:rsidRPr="0004285A">
        <w:t xml:space="preserve">n Fiscal Year 2013, a total of 392 new registrants were approved via CDX for all TSCA section 5 activities (303 TSCA-Authorized Officials (AO) and 89 TSCA-Support Registrants (SR)). </w:t>
      </w:r>
      <w:r w:rsidR="0004285A" w:rsidRPr="0004285A">
        <w:t xml:space="preserve">EPA estimates that about 10 percent of new CDX registrations will be a result of employee turnover, based on data provided in the </w:t>
      </w:r>
      <w:r w:rsidR="00F95BD0" w:rsidRPr="0004285A">
        <w:t>ICR</w:t>
      </w:r>
      <w:r w:rsidR="00F95BD0">
        <w:t xml:space="preserve"> for EPA’s</w:t>
      </w:r>
      <w:r w:rsidR="00F95BD0" w:rsidRPr="0004285A">
        <w:t xml:space="preserve"> </w:t>
      </w:r>
      <w:r w:rsidR="0004285A" w:rsidRPr="0004285A">
        <w:t>Cross-Media Electronic Reporting Rule (CROMERR)</w:t>
      </w:r>
      <w:r w:rsidR="00F95BD0">
        <w:t xml:space="preserve"> that is currently approved under </w:t>
      </w:r>
      <w:r w:rsidR="00F95BD0" w:rsidRPr="00962CEB">
        <w:t xml:space="preserve">OMB Control </w:t>
      </w:r>
      <w:r w:rsidR="00F95BD0">
        <w:t>No</w:t>
      </w:r>
      <w:r w:rsidR="00F95BD0" w:rsidRPr="00962CEB">
        <w:t xml:space="preserve"> 2025-0003</w:t>
      </w:r>
      <w:r w:rsidR="00F95BD0">
        <w:rPr>
          <w:rStyle w:val="FootnoteReference"/>
        </w:rPr>
        <w:footnoteReference w:id="9"/>
      </w:r>
      <w:r w:rsidR="0004285A" w:rsidRPr="0004285A">
        <w:t xml:space="preserve">. Therefore, approximately 30 new Authorized Officials and 9 new Support Registrants will replace previously registered CDX users </w:t>
      </w:r>
      <w:r w:rsidR="0004285A">
        <w:t xml:space="preserve">for TSCA section 5 activities </w:t>
      </w:r>
      <w:r w:rsidR="0004285A" w:rsidRPr="0004285A">
        <w:t xml:space="preserve">each year. </w:t>
      </w:r>
    </w:p>
    <w:p w14:paraId="569EDCFC" w14:textId="77777777" w:rsidR="0004285A" w:rsidRPr="00203EC6" w:rsidRDefault="0004285A" w:rsidP="007F392E">
      <w:pPr>
        <w:ind w:firstLine="720"/>
      </w:pPr>
    </w:p>
    <w:p w14:paraId="6A012E86" w14:textId="4A62BAB2" w:rsidR="002421C1" w:rsidRDefault="00023E6E" w:rsidP="007F392E">
      <w:pPr>
        <w:ind w:firstLine="720"/>
        <w:rPr>
          <w:szCs w:val="22"/>
        </w:rPr>
      </w:pPr>
      <w:r w:rsidRPr="00203EC6">
        <w:t>EPA assumes that each company will register five employees</w:t>
      </w:r>
      <w:r w:rsidR="00961B0B" w:rsidRPr="00203EC6">
        <w:t>,</w:t>
      </w:r>
      <w:r w:rsidRPr="00203EC6">
        <w:t xml:space="preserve"> and that the burden associated with new CDX user registration activities is the same regardless of whether the registrant is a new employee or is replacing an existing employee</w:t>
      </w:r>
      <w:r w:rsidR="00E96A79" w:rsidRPr="00203EC6">
        <w:t>. EPA estimates the CDX user registrat</w:t>
      </w:r>
      <w:r w:rsidR="00761200" w:rsidRPr="00203EC6">
        <w:t xml:space="preserve">ion activities </w:t>
      </w:r>
      <w:r w:rsidR="00E96A79" w:rsidRPr="00203EC6">
        <w:t xml:space="preserve">burden </w:t>
      </w:r>
      <w:r w:rsidR="00761200" w:rsidRPr="00203EC6">
        <w:t xml:space="preserve">to be </w:t>
      </w:r>
      <w:r w:rsidR="00EE6478" w:rsidRPr="00203EC6">
        <w:t>0.66</w:t>
      </w:r>
      <w:r w:rsidR="00761200" w:rsidRPr="00203EC6">
        <w:t xml:space="preserve"> hours per </w:t>
      </w:r>
      <w:r w:rsidR="00EE6478" w:rsidRPr="00203EC6">
        <w:t>employee</w:t>
      </w:r>
      <w:r w:rsidR="00761200" w:rsidRPr="00203EC6">
        <w:t xml:space="preserve"> (</w:t>
      </w:r>
      <w:r w:rsidR="00761200" w:rsidRPr="00203EC6">
        <w:rPr>
          <w:szCs w:val="22"/>
        </w:rPr>
        <w:t>0.18 hours for CDX registration, 0.35 hours for submitting and then verifying electronic signature agreemen</w:t>
      </w:r>
      <w:r w:rsidR="007E6562" w:rsidRPr="00203EC6">
        <w:rPr>
          <w:b/>
          <w:szCs w:val="22"/>
        </w:rPr>
        <w:t>t</w:t>
      </w:r>
      <w:r w:rsidR="00761200" w:rsidRPr="00203EC6">
        <w:rPr>
          <w:szCs w:val="22"/>
        </w:rPr>
        <w:t xml:space="preserve">s, </w:t>
      </w:r>
      <w:r w:rsidR="00EE6478" w:rsidRPr="00203EC6">
        <w:rPr>
          <w:szCs w:val="22"/>
        </w:rPr>
        <w:t xml:space="preserve">and 0.13 hours to establish </w:t>
      </w:r>
      <w:r w:rsidR="00761200" w:rsidRPr="00203EC6">
        <w:rPr>
          <w:szCs w:val="22"/>
        </w:rPr>
        <w:t xml:space="preserve">a Pay.gov account </w:t>
      </w:r>
      <w:r w:rsidR="00EE6478" w:rsidRPr="00203EC6">
        <w:rPr>
          <w:szCs w:val="22"/>
        </w:rPr>
        <w:t xml:space="preserve">related to the adoption of an </w:t>
      </w:r>
      <w:r w:rsidR="00761200" w:rsidRPr="00203EC6">
        <w:rPr>
          <w:szCs w:val="22"/>
        </w:rPr>
        <w:t xml:space="preserve">electronic payment </w:t>
      </w:r>
      <w:r w:rsidR="00EE6478" w:rsidRPr="00203EC6">
        <w:rPr>
          <w:szCs w:val="22"/>
        </w:rPr>
        <w:t>option for mandatory</w:t>
      </w:r>
      <w:r w:rsidR="00761200" w:rsidRPr="00203EC6">
        <w:rPr>
          <w:szCs w:val="22"/>
        </w:rPr>
        <w:t xml:space="preserve"> TSCA fees).</w:t>
      </w:r>
      <w:r w:rsidR="00EE6478" w:rsidRPr="00203EC6">
        <w:t xml:space="preserve"> With 392 employee registrations per year</w:t>
      </w:r>
      <w:r w:rsidR="00203EC6" w:rsidRPr="00203EC6">
        <w:t xml:space="preserve"> for TSCA section 5 activities</w:t>
      </w:r>
      <w:r w:rsidR="00EE6478" w:rsidRPr="00203EC6">
        <w:t xml:space="preserve">, EPA estimates the </w:t>
      </w:r>
      <w:r w:rsidR="00961B0B" w:rsidRPr="00203EC6">
        <w:t xml:space="preserve">annual </w:t>
      </w:r>
      <w:r w:rsidR="00EE6478" w:rsidRPr="00203EC6">
        <w:t xml:space="preserve">CDX registration </w:t>
      </w:r>
      <w:r w:rsidR="00961B0B" w:rsidRPr="00203EC6">
        <w:t xml:space="preserve">burden </w:t>
      </w:r>
      <w:r w:rsidR="00EE6478" w:rsidRPr="00203EC6">
        <w:t xml:space="preserve">to be </w:t>
      </w:r>
      <w:r w:rsidR="00961B0B" w:rsidRPr="00203EC6">
        <w:t>258.72 hours</w:t>
      </w:r>
      <w:r w:rsidR="00203EC6">
        <w:t xml:space="preserve"> </w:t>
      </w:r>
      <w:r w:rsidR="00203EC6" w:rsidRPr="008302F6">
        <w:rPr>
          <w:szCs w:val="22"/>
        </w:rPr>
        <w:t>(</w:t>
      </w:r>
      <w:r w:rsidR="00203EC6" w:rsidRPr="008B6224">
        <w:rPr>
          <w:szCs w:val="22"/>
        </w:rPr>
        <w:t xml:space="preserve">Table </w:t>
      </w:r>
      <w:r w:rsidR="00C4598F">
        <w:rPr>
          <w:szCs w:val="22"/>
        </w:rPr>
        <w:t>1</w:t>
      </w:r>
      <w:r w:rsidR="00203EC6" w:rsidRPr="00EC1732">
        <w:rPr>
          <w:szCs w:val="22"/>
        </w:rPr>
        <w:t>).</w:t>
      </w:r>
    </w:p>
    <w:p w14:paraId="5E2A8D88" w14:textId="77777777" w:rsidR="002421C1" w:rsidRDefault="002421C1" w:rsidP="007F392E">
      <w:pPr>
        <w:ind w:firstLine="720"/>
        <w:rPr>
          <w:b/>
        </w:rPr>
      </w:pPr>
    </w:p>
    <w:p w14:paraId="0DCF5112" w14:textId="4A62BAB2" w:rsidR="002C5F1E" w:rsidRPr="005E77AC" w:rsidRDefault="002C5F1E" w:rsidP="002C5F1E">
      <w:pPr>
        <w:keepNext/>
        <w:widowControl w:val="0"/>
        <w:rPr>
          <w:b/>
        </w:rPr>
      </w:pPr>
      <w:r w:rsidRPr="008B6224">
        <w:rPr>
          <w:b/>
        </w:rPr>
        <w:t xml:space="preserve">Table </w:t>
      </w:r>
      <w:r w:rsidR="00C4598F">
        <w:rPr>
          <w:b/>
        </w:rPr>
        <w:t>1</w:t>
      </w:r>
      <w:r w:rsidRPr="005E77AC">
        <w:rPr>
          <w:b/>
        </w:rPr>
        <w:t xml:space="preserve">. </w:t>
      </w:r>
      <w:r>
        <w:rPr>
          <w:b/>
        </w:rPr>
        <w:t>Baseline Adjustments</w:t>
      </w:r>
      <w:r w:rsidRPr="005E77AC">
        <w:rPr>
          <w:b/>
        </w:rPr>
        <w:t xml:space="preserve"> </w:t>
      </w:r>
      <w:r w:rsidRPr="005E77AC">
        <w:rPr>
          <w:b/>
          <w:szCs w:val="22"/>
        </w:rPr>
        <w:t>Associated with New CDX Registration Activities</w:t>
      </w:r>
    </w:p>
    <w:tbl>
      <w:tblPr>
        <w:tblW w:w="9025" w:type="dxa"/>
        <w:tblLayout w:type="fixed"/>
        <w:tblCellMar>
          <w:left w:w="115" w:type="dxa"/>
          <w:right w:w="115" w:type="dxa"/>
        </w:tblCellMar>
        <w:tblLook w:val="04A0" w:firstRow="1" w:lastRow="0" w:firstColumn="1" w:lastColumn="0" w:noHBand="0" w:noVBand="1"/>
      </w:tblPr>
      <w:tblGrid>
        <w:gridCol w:w="1539"/>
        <w:gridCol w:w="1366"/>
        <w:gridCol w:w="1173"/>
        <w:gridCol w:w="948"/>
        <w:gridCol w:w="1373"/>
        <w:gridCol w:w="1366"/>
        <w:gridCol w:w="1260"/>
      </w:tblGrid>
      <w:tr w:rsidR="002C5F1E" w:rsidRPr="005E77AC" w14:paraId="476FEACF" w14:textId="77777777" w:rsidTr="00F26FD0">
        <w:trPr>
          <w:trHeight w:val="1294"/>
        </w:trPr>
        <w:tc>
          <w:tcPr>
            <w:tcW w:w="153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565CC6B" w14:textId="77777777" w:rsidR="002C5F1E" w:rsidRPr="005E77AC" w:rsidRDefault="002C5F1E" w:rsidP="00F26FD0">
            <w:pPr>
              <w:keepNext/>
              <w:widowControl w:val="0"/>
              <w:jc w:val="center"/>
              <w:rPr>
                <w:b/>
                <w:bCs/>
                <w:color w:val="000000"/>
                <w:sz w:val="18"/>
                <w:szCs w:val="18"/>
              </w:rPr>
            </w:pPr>
            <w:r w:rsidRPr="005E77AC">
              <w:rPr>
                <w:b/>
                <w:bCs/>
                <w:color w:val="000000"/>
                <w:sz w:val="18"/>
                <w:szCs w:val="18"/>
              </w:rPr>
              <w:t>Title</w:t>
            </w:r>
          </w:p>
        </w:tc>
        <w:tc>
          <w:tcPr>
            <w:tcW w:w="1366" w:type="dxa"/>
            <w:tcBorders>
              <w:top w:val="single" w:sz="8" w:space="0" w:color="auto"/>
              <w:left w:val="nil"/>
              <w:bottom w:val="single" w:sz="8" w:space="0" w:color="auto"/>
              <w:right w:val="single" w:sz="4" w:space="0" w:color="auto"/>
            </w:tcBorders>
            <w:shd w:val="clear" w:color="auto" w:fill="auto"/>
            <w:vAlign w:val="center"/>
            <w:hideMark/>
          </w:tcPr>
          <w:p w14:paraId="0D601D82" w14:textId="77777777" w:rsidR="002C5F1E" w:rsidRPr="005E77AC" w:rsidRDefault="002C5F1E" w:rsidP="00F26FD0">
            <w:pPr>
              <w:keepNext/>
              <w:widowControl w:val="0"/>
              <w:jc w:val="center"/>
              <w:rPr>
                <w:b/>
                <w:sz w:val="18"/>
                <w:szCs w:val="18"/>
              </w:rPr>
            </w:pPr>
            <w:r w:rsidRPr="005E77AC">
              <w:rPr>
                <w:b/>
                <w:sz w:val="18"/>
                <w:szCs w:val="18"/>
              </w:rPr>
              <w:t>CDX Registration Burden</w:t>
            </w:r>
            <w:r>
              <w:rPr>
                <w:b/>
                <w:sz w:val="18"/>
                <w:szCs w:val="18"/>
              </w:rPr>
              <w:t xml:space="preserve"> </w:t>
            </w:r>
            <w:r w:rsidRPr="005E77AC">
              <w:rPr>
                <w:b/>
                <w:sz w:val="18"/>
                <w:szCs w:val="18"/>
              </w:rPr>
              <w:t>(Hours)</w:t>
            </w:r>
          </w:p>
        </w:tc>
        <w:tc>
          <w:tcPr>
            <w:tcW w:w="1173"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3B58C8A3" w14:textId="77777777" w:rsidR="002C5F1E" w:rsidRPr="005E77AC" w:rsidRDefault="002C5F1E" w:rsidP="00F26FD0">
            <w:pPr>
              <w:keepNext/>
              <w:widowControl w:val="0"/>
              <w:jc w:val="center"/>
              <w:rPr>
                <w:b/>
                <w:bCs/>
                <w:color w:val="000000"/>
                <w:sz w:val="18"/>
                <w:szCs w:val="18"/>
              </w:rPr>
            </w:pPr>
            <w:r w:rsidRPr="005E77AC">
              <w:rPr>
                <w:b/>
                <w:sz w:val="18"/>
                <w:szCs w:val="18"/>
              </w:rPr>
              <w:t>CDX E-Signature Burden (Hours)</w:t>
            </w:r>
          </w:p>
        </w:tc>
        <w:tc>
          <w:tcPr>
            <w:tcW w:w="948" w:type="dxa"/>
            <w:tcBorders>
              <w:top w:val="single" w:sz="8" w:space="0" w:color="auto"/>
              <w:left w:val="nil"/>
              <w:bottom w:val="single" w:sz="4" w:space="0" w:color="auto"/>
              <w:right w:val="single" w:sz="4" w:space="0" w:color="auto"/>
            </w:tcBorders>
            <w:vAlign w:val="center"/>
          </w:tcPr>
          <w:p w14:paraId="5815E8D5" w14:textId="77777777" w:rsidR="002C5F1E" w:rsidRPr="005E77AC" w:rsidRDefault="002C5F1E" w:rsidP="00F26FD0">
            <w:pPr>
              <w:keepNext/>
              <w:widowControl w:val="0"/>
              <w:jc w:val="center"/>
              <w:rPr>
                <w:b/>
                <w:bCs/>
                <w:color w:val="000000"/>
                <w:sz w:val="18"/>
                <w:szCs w:val="18"/>
              </w:rPr>
            </w:pPr>
            <w:r w:rsidRPr="005E77AC">
              <w:rPr>
                <w:b/>
                <w:bCs/>
                <w:color w:val="000000"/>
                <w:sz w:val="18"/>
                <w:szCs w:val="18"/>
              </w:rPr>
              <w:t>E-Payment (Pay.gov ID account)</w:t>
            </w:r>
          </w:p>
          <w:p w14:paraId="5B92287E" w14:textId="77777777" w:rsidR="002C5F1E" w:rsidRPr="005E77AC" w:rsidRDefault="002C5F1E" w:rsidP="00F26FD0">
            <w:pPr>
              <w:keepNext/>
              <w:widowControl w:val="0"/>
              <w:jc w:val="center"/>
              <w:rPr>
                <w:b/>
                <w:bCs/>
                <w:color w:val="000000"/>
                <w:sz w:val="18"/>
                <w:szCs w:val="18"/>
              </w:rPr>
            </w:pPr>
            <w:r w:rsidRPr="005E77AC">
              <w:rPr>
                <w:b/>
                <w:bCs/>
                <w:color w:val="000000"/>
                <w:sz w:val="18"/>
                <w:szCs w:val="18"/>
              </w:rPr>
              <w:t>(Hours)</w:t>
            </w:r>
          </w:p>
        </w:tc>
        <w:tc>
          <w:tcPr>
            <w:tcW w:w="1373"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1283FF2" w14:textId="77777777" w:rsidR="002C5F1E" w:rsidRPr="005E77AC" w:rsidRDefault="002C5F1E" w:rsidP="00F26FD0">
            <w:pPr>
              <w:keepNext/>
              <w:widowControl w:val="0"/>
              <w:jc w:val="center"/>
              <w:rPr>
                <w:b/>
                <w:bCs/>
                <w:color w:val="000000"/>
                <w:sz w:val="18"/>
                <w:szCs w:val="18"/>
              </w:rPr>
            </w:pPr>
            <w:r w:rsidRPr="005E77AC">
              <w:rPr>
                <w:b/>
                <w:bCs/>
                <w:color w:val="000000"/>
                <w:sz w:val="18"/>
                <w:szCs w:val="18"/>
              </w:rPr>
              <w:t>Total Burden for CDX Registration Activities</w:t>
            </w:r>
            <w:r>
              <w:rPr>
                <w:b/>
                <w:bCs/>
                <w:color w:val="000000"/>
                <w:sz w:val="18"/>
                <w:szCs w:val="18"/>
              </w:rPr>
              <w:t xml:space="preserve">, </w:t>
            </w:r>
          </w:p>
          <w:p w14:paraId="5029D60B" w14:textId="77777777" w:rsidR="002C5F1E" w:rsidRPr="005E77AC" w:rsidRDefault="002C5F1E" w:rsidP="00F26FD0">
            <w:pPr>
              <w:keepNext/>
              <w:widowControl w:val="0"/>
              <w:jc w:val="center"/>
              <w:rPr>
                <w:b/>
                <w:bCs/>
                <w:color w:val="000000"/>
                <w:sz w:val="18"/>
                <w:szCs w:val="18"/>
              </w:rPr>
            </w:pPr>
            <w:r w:rsidRPr="005E77AC">
              <w:rPr>
                <w:b/>
                <w:bCs/>
                <w:color w:val="000000"/>
                <w:sz w:val="18"/>
                <w:szCs w:val="18"/>
              </w:rPr>
              <w:t>(Hours)</w:t>
            </w:r>
          </w:p>
        </w:tc>
        <w:tc>
          <w:tcPr>
            <w:tcW w:w="1366" w:type="dxa"/>
            <w:tcBorders>
              <w:top w:val="single" w:sz="8" w:space="0" w:color="auto"/>
              <w:left w:val="single" w:sz="4" w:space="0" w:color="auto"/>
              <w:bottom w:val="single" w:sz="8" w:space="0" w:color="auto"/>
              <w:right w:val="single" w:sz="4" w:space="0" w:color="auto"/>
            </w:tcBorders>
            <w:vAlign w:val="center"/>
          </w:tcPr>
          <w:p w14:paraId="70054780" w14:textId="77777777" w:rsidR="002C5F1E" w:rsidRPr="005E77AC" w:rsidRDefault="002C5F1E" w:rsidP="00F26FD0">
            <w:pPr>
              <w:keepNext/>
              <w:widowControl w:val="0"/>
              <w:jc w:val="center"/>
              <w:rPr>
                <w:b/>
                <w:bCs/>
                <w:color w:val="000000"/>
                <w:sz w:val="18"/>
                <w:szCs w:val="18"/>
              </w:rPr>
            </w:pPr>
            <w:r w:rsidRPr="005E77AC">
              <w:rPr>
                <w:b/>
                <w:bCs/>
                <w:color w:val="000000"/>
                <w:sz w:val="18"/>
                <w:szCs w:val="18"/>
              </w:rPr>
              <w:t xml:space="preserve">Annual Number of </w:t>
            </w:r>
            <w:r>
              <w:rPr>
                <w:b/>
                <w:bCs/>
                <w:color w:val="000000"/>
                <w:sz w:val="18"/>
                <w:szCs w:val="18"/>
              </w:rPr>
              <w:t>New CDX Registrants</w:t>
            </w:r>
          </w:p>
        </w:tc>
        <w:tc>
          <w:tcPr>
            <w:tcW w:w="1260" w:type="dxa"/>
            <w:tcBorders>
              <w:top w:val="single" w:sz="8" w:space="0" w:color="auto"/>
              <w:left w:val="single" w:sz="4" w:space="0" w:color="auto"/>
              <w:bottom w:val="single" w:sz="4" w:space="0" w:color="auto"/>
              <w:right w:val="single" w:sz="4" w:space="0" w:color="auto"/>
            </w:tcBorders>
            <w:vAlign w:val="center"/>
          </w:tcPr>
          <w:p w14:paraId="1594DBBC" w14:textId="77777777" w:rsidR="002C5F1E" w:rsidRPr="005E77AC" w:rsidRDefault="002C5F1E" w:rsidP="00F26FD0">
            <w:pPr>
              <w:keepNext/>
              <w:widowControl w:val="0"/>
              <w:jc w:val="center"/>
              <w:rPr>
                <w:b/>
                <w:bCs/>
                <w:color w:val="000000"/>
                <w:sz w:val="18"/>
                <w:szCs w:val="18"/>
              </w:rPr>
            </w:pPr>
            <w:r w:rsidRPr="005E77AC">
              <w:rPr>
                <w:b/>
                <w:bCs/>
                <w:color w:val="000000"/>
                <w:sz w:val="18"/>
                <w:szCs w:val="18"/>
              </w:rPr>
              <w:t>Total Annual Burden for CDX Registration</w:t>
            </w:r>
          </w:p>
          <w:p w14:paraId="0ABE73DF" w14:textId="77777777" w:rsidR="002C5F1E" w:rsidRPr="005E77AC" w:rsidRDefault="002C5F1E" w:rsidP="00F26FD0">
            <w:pPr>
              <w:keepNext/>
              <w:widowControl w:val="0"/>
              <w:jc w:val="center"/>
              <w:rPr>
                <w:b/>
                <w:bCs/>
                <w:color w:val="000000"/>
                <w:sz w:val="18"/>
                <w:szCs w:val="18"/>
              </w:rPr>
            </w:pPr>
            <w:r w:rsidRPr="005E77AC">
              <w:rPr>
                <w:b/>
                <w:bCs/>
                <w:color w:val="000000"/>
                <w:sz w:val="18"/>
                <w:szCs w:val="18"/>
              </w:rPr>
              <w:t>(Hours)</w:t>
            </w:r>
          </w:p>
        </w:tc>
      </w:tr>
      <w:tr w:rsidR="002C5F1E" w:rsidRPr="005E77AC" w14:paraId="608D9571" w14:textId="77777777" w:rsidTr="00F26FD0">
        <w:trPr>
          <w:trHeight w:val="349"/>
        </w:trPr>
        <w:tc>
          <w:tcPr>
            <w:tcW w:w="153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B8FD4E7" w14:textId="77777777" w:rsidR="002C5F1E" w:rsidRPr="005E77AC" w:rsidRDefault="002C5F1E" w:rsidP="00F26FD0">
            <w:pPr>
              <w:keepNext/>
              <w:jc w:val="center"/>
              <w:rPr>
                <w:color w:val="000000"/>
                <w:sz w:val="18"/>
                <w:szCs w:val="18"/>
              </w:rPr>
            </w:pPr>
            <w:r w:rsidRPr="005E77AC">
              <w:rPr>
                <w:b/>
                <w:sz w:val="18"/>
                <w:szCs w:val="18"/>
              </w:rPr>
              <w:t>Currently Approved</w:t>
            </w:r>
          </w:p>
        </w:tc>
        <w:tc>
          <w:tcPr>
            <w:tcW w:w="1366" w:type="dxa"/>
            <w:tcBorders>
              <w:top w:val="nil"/>
              <w:left w:val="nil"/>
              <w:bottom w:val="single" w:sz="8" w:space="0" w:color="auto"/>
              <w:right w:val="single" w:sz="4" w:space="0" w:color="auto"/>
            </w:tcBorders>
            <w:shd w:val="clear" w:color="auto" w:fill="auto"/>
            <w:vAlign w:val="center"/>
            <w:hideMark/>
          </w:tcPr>
          <w:p w14:paraId="47E76341" w14:textId="77777777" w:rsidR="002C5F1E" w:rsidRPr="005E77AC" w:rsidRDefault="002C5F1E" w:rsidP="00F26FD0">
            <w:pPr>
              <w:jc w:val="center"/>
              <w:rPr>
                <w:color w:val="000000"/>
                <w:sz w:val="18"/>
                <w:szCs w:val="18"/>
              </w:rPr>
            </w:pPr>
            <w:r w:rsidRPr="005E77AC">
              <w:rPr>
                <w:color w:val="000000"/>
                <w:sz w:val="18"/>
                <w:szCs w:val="18"/>
              </w:rPr>
              <w:t>0</w:t>
            </w:r>
          </w:p>
        </w:tc>
        <w:tc>
          <w:tcPr>
            <w:tcW w:w="1173"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12D79D71" w14:textId="77777777" w:rsidR="002C5F1E" w:rsidRPr="005E77AC" w:rsidRDefault="002C5F1E" w:rsidP="00F26FD0">
            <w:pPr>
              <w:jc w:val="center"/>
              <w:rPr>
                <w:color w:val="000000"/>
                <w:sz w:val="18"/>
                <w:szCs w:val="18"/>
              </w:rPr>
            </w:pPr>
            <w:r w:rsidRPr="005E77AC">
              <w:rPr>
                <w:color w:val="000000"/>
                <w:sz w:val="18"/>
                <w:szCs w:val="18"/>
              </w:rPr>
              <w:t>0</w:t>
            </w:r>
          </w:p>
        </w:tc>
        <w:tc>
          <w:tcPr>
            <w:tcW w:w="948" w:type="dxa"/>
            <w:tcBorders>
              <w:top w:val="single" w:sz="4" w:space="0" w:color="auto"/>
              <w:left w:val="nil"/>
              <w:bottom w:val="single" w:sz="8" w:space="0" w:color="auto"/>
              <w:right w:val="single" w:sz="4" w:space="0" w:color="auto"/>
            </w:tcBorders>
            <w:vAlign w:val="center"/>
          </w:tcPr>
          <w:p w14:paraId="74BFAFF2" w14:textId="77777777" w:rsidR="002C5F1E" w:rsidRPr="005E77AC" w:rsidRDefault="002C5F1E" w:rsidP="00F26FD0">
            <w:pPr>
              <w:jc w:val="center"/>
              <w:rPr>
                <w:color w:val="000000"/>
                <w:sz w:val="18"/>
                <w:szCs w:val="18"/>
              </w:rPr>
            </w:pPr>
            <w:r w:rsidRPr="005E77AC">
              <w:rPr>
                <w:color w:val="000000"/>
                <w:sz w:val="18"/>
                <w:szCs w:val="18"/>
              </w:rPr>
              <w:t>0</w:t>
            </w:r>
          </w:p>
        </w:tc>
        <w:tc>
          <w:tcPr>
            <w:tcW w:w="1373" w:type="dxa"/>
            <w:tcBorders>
              <w:top w:val="nil"/>
              <w:left w:val="single" w:sz="4" w:space="0" w:color="auto"/>
              <w:bottom w:val="single" w:sz="8" w:space="0" w:color="auto"/>
              <w:right w:val="single" w:sz="4" w:space="0" w:color="auto"/>
            </w:tcBorders>
            <w:shd w:val="clear" w:color="auto" w:fill="auto"/>
            <w:vAlign w:val="center"/>
            <w:hideMark/>
          </w:tcPr>
          <w:p w14:paraId="78CDC415" w14:textId="77777777" w:rsidR="002C5F1E" w:rsidRPr="005E77AC" w:rsidRDefault="002C5F1E" w:rsidP="00F26FD0">
            <w:pPr>
              <w:jc w:val="center"/>
              <w:rPr>
                <w:iCs/>
                <w:color w:val="000000"/>
                <w:sz w:val="18"/>
                <w:szCs w:val="18"/>
              </w:rPr>
            </w:pPr>
            <w:r w:rsidRPr="005E77AC">
              <w:rPr>
                <w:color w:val="000000"/>
                <w:sz w:val="18"/>
                <w:szCs w:val="18"/>
              </w:rPr>
              <w:t>0</w:t>
            </w:r>
          </w:p>
        </w:tc>
        <w:tc>
          <w:tcPr>
            <w:tcW w:w="1366" w:type="dxa"/>
            <w:tcBorders>
              <w:top w:val="nil"/>
              <w:left w:val="single" w:sz="4" w:space="0" w:color="auto"/>
              <w:bottom w:val="single" w:sz="8" w:space="0" w:color="auto"/>
              <w:right w:val="single" w:sz="4" w:space="0" w:color="auto"/>
            </w:tcBorders>
            <w:vAlign w:val="center"/>
          </w:tcPr>
          <w:p w14:paraId="08E84C7F" w14:textId="77777777" w:rsidR="002C5F1E" w:rsidRPr="005E77AC" w:rsidRDefault="002C5F1E" w:rsidP="00F26FD0">
            <w:pPr>
              <w:jc w:val="center"/>
              <w:rPr>
                <w:color w:val="000000"/>
                <w:sz w:val="18"/>
                <w:szCs w:val="18"/>
              </w:rPr>
            </w:pPr>
            <w:r w:rsidRPr="005E77AC">
              <w:rPr>
                <w:iCs/>
                <w:color w:val="000000"/>
                <w:sz w:val="18"/>
                <w:szCs w:val="18"/>
              </w:rPr>
              <w:t>0</w:t>
            </w:r>
          </w:p>
        </w:tc>
        <w:tc>
          <w:tcPr>
            <w:tcW w:w="1260" w:type="dxa"/>
            <w:tcBorders>
              <w:top w:val="single" w:sz="4" w:space="0" w:color="auto"/>
              <w:left w:val="single" w:sz="4" w:space="0" w:color="auto"/>
              <w:bottom w:val="single" w:sz="8" w:space="0" w:color="auto"/>
              <w:right w:val="single" w:sz="4" w:space="0" w:color="auto"/>
            </w:tcBorders>
            <w:vAlign w:val="center"/>
          </w:tcPr>
          <w:p w14:paraId="52CB6925" w14:textId="77777777" w:rsidR="002C5F1E" w:rsidRPr="005E77AC" w:rsidRDefault="002C5F1E" w:rsidP="00F26FD0">
            <w:pPr>
              <w:jc w:val="center"/>
              <w:rPr>
                <w:color w:val="000000"/>
                <w:sz w:val="18"/>
                <w:szCs w:val="18"/>
              </w:rPr>
            </w:pPr>
            <w:r w:rsidRPr="005E77AC">
              <w:rPr>
                <w:color w:val="000000"/>
                <w:sz w:val="18"/>
                <w:szCs w:val="18"/>
              </w:rPr>
              <w:t>0</w:t>
            </w:r>
          </w:p>
        </w:tc>
      </w:tr>
      <w:tr w:rsidR="002C5F1E" w:rsidRPr="00F95186" w14:paraId="7B1BA59F" w14:textId="77777777" w:rsidTr="00F26FD0">
        <w:trPr>
          <w:trHeight w:val="315"/>
        </w:trPr>
        <w:tc>
          <w:tcPr>
            <w:tcW w:w="1539" w:type="dxa"/>
            <w:tcBorders>
              <w:top w:val="nil"/>
              <w:left w:val="single" w:sz="8" w:space="0" w:color="auto"/>
              <w:bottom w:val="single" w:sz="4" w:space="0" w:color="auto"/>
              <w:right w:val="single" w:sz="8" w:space="0" w:color="auto"/>
            </w:tcBorders>
            <w:shd w:val="clear" w:color="auto" w:fill="auto"/>
            <w:vAlign w:val="center"/>
            <w:hideMark/>
          </w:tcPr>
          <w:p w14:paraId="32AB0A8F" w14:textId="77777777" w:rsidR="002C5F1E" w:rsidRPr="005E77AC" w:rsidRDefault="002C5F1E" w:rsidP="00F26FD0">
            <w:pPr>
              <w:keepNext/>
              <w:jc w:val="center"/>
              <w:rPr>
                <w:color w:val="000000"/>
                <w:sz w:val="18"/>
                <w:szCs w:val="18"/>
              </w:rPr>
            </w:pPr>
            <w:r w:rsidRPr="005E77AC">
              <w:rPr>
                <w:b/>
                <w:sz w:val="18"/>
                <w:szCs w:val="18"/>
              </w:rPr>
              <w:t>Updated Estimate</w:t>
            </w:r>
          </w:p>
        </w:tc>
        <w:tc>
          <w:tcPr>
            <w:tcW w:w="1366" w:type="dxa"/>
            <w:tcBorders>
              <w:top w:val="nil"/>
              <w:left w:val="nil"/>
              <w:bottom w:val="single" w:sz="4" w:space="0" w:color="auto"/>
              <w:right w:val="single" w:sz="4" w:space="0" w:color="auto"/>
            </w:tcBorders>
            <w:shd w:val="clear" w:color="auto" w:fill="auto"/>
            <w:vAlign w:val="center"/>
            <w:hideMark/>
          </w:tcPr>
          <w:p w14:paraId="66C0E91D" w14:textId="77777777" w:rsidR="002C5F1E" w:rsidRPr="005E77AC" w:rsidRDefault="002C5F1E" w:rsidP="00F26FD0">
            <w:pPr>
              <w:jc w:val="center"/>
              <w:rPr>
                <w:color w:val="000000"/>
                <w:sz w:val="18"/>
                <w:szCs w:val="18"/>
              </w:rPr>
            </w:pPr>
            <w:r w:rsidRPr="005E77AC">
              <w:rPr>
                <w:color w:val="000000"/>
                <w:sz w:val="18"/>
                <w:szCs w:val="18"/>
              </w:rPr>
              <w:t>0.18</w:t>
            </w:r>
          </w:p>
        </w:tc>
        <w:tc>
          <w:tcPr>
            <w:tcW w:w="1173" w:type="dxa"/>
            <w:tcBorders>
              <w:top w:val="nil"/>
              <w:left w:val="single" w:sz="4" w:space="0" w:color="auto"/>
              <w:bottom w:val="single" w:sz="4" w:space="0" w:color="auto"/>
              <w:right w:val="single" w:sz="8" w:space="0" w:color="auto"/>
            </w:tcBorders>
            <w:shd w:val="clear" w:color="auto" w:fill="auto"/>
            <w:vAlign w:val="center"/>
            <w:hideMark/>
          </w:tcPr>
          <w:p w14:paraId="11BBDD39" w14:textId="77777777" w:rsidR="002C5F1E" w:rsidRPr="005E77AC" w:rsidRDefault="002C5F1E" w:rsidP="00F26FD0">
            <w:pPr>
              <w:jc w:val="center"/>
              <w:rPr>
                <w:color w:val="000000"/>
                <w:sz w:val="18"/>
                <w:szCs w:val="18"/>
              </w:rPr>
            </w:pPr>
            <w:r w:rsidRPr="005E77AC">
              <w:rPr>
                <w:color w:val="000000"/>
                <w:sz w:val="18"/>
                <w:szCs w:val="18"/>
              </w:rPr>
              <w:t>0.35</w:t>
            </w:r>
          </w:p>
        </w:tc>
        <w:tc>
          <w:tcPr>
            <w:tcW w:w="948" w:type="dxa"/>
            <w:tcBorders>
              <w:top w:val="nil"/>
              <w:left w:val="nil"/>
              <w:bottom w:val="single" w:sz="4" w:space="0" w:color="auto"/>
              <w:right w:val="single" w:sz="4" w:space="0" w:color="auto"/>
            </w:tcBorders>
            <w:vAlign w:val="center"/>
          </w:tcPr>
          <w:p w14:paraId="6F228575" w14:textId="77777777" w:rsidR="002C5F1E" w:rsidRPr="005E77AC" w:rsidRDefault="002C5F1E" w:rsidP="00F26FD0">
            <w:pPr>
              <w:jc w:val="center"/>
              <w:rPr>
                <w:color w:val="000000"/>
                <w:sz w:val="18"/>
                <w:szCs w:val="18"/>
              </w:rPr>
            </w:pPr>
            <w:r w:rsidRPr="005E77AC">
              <w:rPr>
                <w:color w:val="000000"/>
                <w:sz w:val="18"/>
                <w:szCs w:val="18"/>
              </w:rPr>
              <w:t>0.</w:t>
            </w:r>
            <w:r w:rsidRPr="00856AF7">
              <w:rPr>
                <w:color w:val="000000"/>
                <w:sz w:val="18"/>
                <w:szCs w:val="18"/>
              </w:rPr>
              <w:t>1</w:t>
            </w:r>
            <w:r w:rsidRPr="005E77AC">
              <w:rPr>
                <w:color w:val="000000"/>
                <w:sz w:val="18"/>
                <w:szCs w:val="18"/>
              </w:rPr>
              <w:t>3</w:t>
            </w:r>
          </w:p>
        </w:tc>
        <w:tc>
          <w:tcPr>
            <w:tcW w:w="1373" w:type="dxa"/>
            <w:tcBorders>
              <w:top w:val="nil"/>
              <w:left w:val="single" w:sz="4" w:space="0" w:color="auto"/>
              <w:bottom w:val="single" w:sz="4" w:space="0" w:color="auto"/>
              <w:right w:val="single" w:sz="4" w:space="0" w:color="auto"/>
            </w:tcBorders>
            <w:shd w:val="clear" w:color="auto" w:fill="auto"/>
            <w:vAlign w:val="center"/>
            <w:hideMark/>
          </w:tcPr>
          <w:p w14:paraId="1A66CAB9" w14:textId="77777777" w:rsidR="002C5F1E" w:rsidRPr="006A6ABE" w:rsidDel="00A54B70" w:rsidRDefault="002C5F1E" w:rsidP="00F26FD0">
            <w:pPr>
              <w:jc w:val="center"/>
              <w:rPr>
                <w:iCs/>
                <w:color w:val="000000"/>
                <w:sz w:val="18"/>
                <w:szCs w:val="18"/>
                <w:highlight w:val="yellow"/>
              </w:rPr>
            </w:pPr>
            <w:r w:rsidRPr="005E77AC">
              <w:rPr>
                <w:color w:val="000000"/>
                <w:sz w:val="18"/>
                <w:szCs w:val="18"/>
              </w:rPr>
              <w:t>0.</w:t>
            </w:r>
            <w:r>
              <w:rPr>
                <w:color w:val="000000"/>
                <w:sz w:val="18"/>
                <w:szCs w:val="18"/>
              </w:rPr>
              <w:t>6</w:t>
            </w:r>
            <w:r w:rsidRPr="005E77AC">
              <w:rPr>
                <w:color w:val="000000"/>
                <w:sz w:val="18"/>
                <w:szCs w:val="18"/>
              </w:rPr>
              <w:t>6</w:t>
            </w:r>
          </w:p>
        </w:tc>
        <w:tc>
          <w:tcPr>
            <w:tcW w:w="1366" w:type="dxa"/>
            <w:tcBorders>
              <w:top w:val="nil"/>
              <w:left w:val="single" w:sz="4" w:space="0" w:color="auto"/>
              <w:bottom w:val="single" w:sz="4" w:space="0" w:color="auto"/>
              <w:right w:val="single" w:sz="4" w:space="0" w:color="auto"/>
            </w:tcBorders>
            <w:vAlign w:val="center"/>
          </w:tcPr>
          <w:p w14:paraId="747BE05D" w14:textId="77777777" w:rsidR="002C5F1E" w:rsidRPr="00856AF7" w:rsidRDefault="002C5F1E" w:rsidP="00F26FD0">
            <w:pPr>
              <w:jc w:val="center"/>
              <w:rPr>
                <w:color w:val="000000"/>
                <w:sz w:val="18"/>
                <w:szCs w:val="18"/>
              </w:rPr>
            </w:pPr>
            <w:r w:rsidRPr="00856AF7">
              <w:rPr>
                <w:iCs/>
                <w:color w:val="000000"/>
                <w:sz w:val="18"/>
                <w:szCs w:val="18"/>
              </w:rPr>
              <w:t>392</w:t>
            </w:r>
          </w:p>
        </w:tc>
        <w:tc>
          <w:tcPr>
            <w:tcW w:w="1260" w:type="dxa"/>
            <w:tcBorders>
              <w:top w:val="nil"/>
              <w:left w:val="single" w:sz="4" w:space="0" w:color="auto"/>
              <w:bottom w:val="single" w:sz="4" w:space="0" w:color="auto"/>
              <w:right w:val="single" w:sz="4" w:space="0" w:color="auto"/>
            </w:tcBorders>
            <w:vAlign w:val="center"/>
          </w:tcPr>
          <w:p w14:paraId="4F5B42B9" w14:textId="77777777" w:rsidR="002C5F1E" w:rsidRPr="008302F6" w:rsidRDefault="002C5F1E" w:rsidP="00F26FD0">
            <w:pPr>
              <w:jc w:val="center"/>
              <w:rPr>
                <w:color w:val="000000"/>
                <w:sz w:val="18"/>
                <w:szCs w:val="18"/>
              </w:rPr>
            </w:pPr>
            <w:r w:rsidRPr="008302F6">
              <w:rPr>
                <w:color w:val="000000"/>
                <w:sz w:val="18"/>
                <w:szCs w:val="18"/>
              </w:rPr>
              <w:t>258.72</w:t>
            </w:r>
          </w:p>
        </w:tc>
      </w:tr>
      <w:tr w:rsidR="002C5F1E" w14:paraId="0C22C9E1" w14:textId="77777777" w:rsidTr="00F26FD0">
        <w:trPr>
          <w:trHeight w:val="315"/>
        </w:trPr>
        <w:tc>
          <w:tcPr>
            <w:tcW w:w="1539" w:type="dxa"/>
            <w:tcBorders>
              <w:top w:val="single" w:sz="4" w:space="0" w:color="auto"/>
              <w:left w:val="single" w:sz="8" w:space="0" w:color="auto"/>
              <w:bottom w:val="single" w:sz="8" w:space="0" w:color="auto"/>
              <w:right w:val="single" w:sz="8" w:space="0" w:color="auto"/>
            </w:tcBorders>
            <w:shd w:val="clear" w:color="auto" w:fill="auto"/>
            <w:vAlign w:val="center"/>
          </w:tcPr>
          <w:p w14:paraId="6EADAC9C" w14:textId="77777777" w:rsidR="002C5F1E" w:rsidRPr="005E77AC" w:rsidRDefault="002C5F1E" w:rsidP="00F26FD0">
            <w:pPr>
              <w:keepNext/>
              <w:jc w:val="center"/>
              <w:rPr>
                <w:b/>
                <w:sz w:val="18"/>
                <w:szCs w:val="18"/>
              </w:rPr>
            </w:pPr>
            <w:r w:rsidRPr="005E77AC">
              <w:rPr>
                <w:b/>
                <w:sz w:val="18"/>
                <w:szCs w:val="18"/>
              </w:rPr>
              <w:t>Change</w:t>
            </w:r>
          </w:p>
        </w:tc>
        <w:tc>
          <w:tcPr>
            <w:tcW w:w="1366" w:type="dxa"/>
            <w:tcBorders>
              <w:top w:val="single" w:sz="4" w:space="0" w:color="auto"/>
              <w:left w:val="nil"/>
              <w:bottom w:val="single" w:sz="8" w:space="0" w:color="auto"/>
              <w:right w:val="single" w:sz="4" w:space="0" w:color="auto"/>
            </w:tcBorders>
            <w:shd w:val="clear" w:color="auto" w:fill="auto"/>
            <w:vAlign w:val="center"/>
          </w:tcPr>
          <w:p w14:paraId="17C3D396" w14:textId="77777777" w:rsidR="002C5F1E" w:rsidRPr="005E77AC" w:rsidRDefault="002C5F1E" w:rsidP="00F26FD0">
            <w:pPr>
              <w:jc w:val="center"/>
              <w:rPr>
                <w:b/>
                <w:color w:val="000000"/>
                <w:sz w:val="18"/>
                <w:szCs w:val="18"/>
              </w:rPr>
            </w:pPr>
            <w:r w:rsidRPr="005E77AC">
              <w:rPr>
                <w:b/>
                <w:color w:val="000000"/>
                <w:sz w:val="18"/>
                <w:szCs w:val="18"/>
              </w:rPr>
              <w:t>0.18</w:t>
            </w:r>
          </w:p>
        </w:tc>
        <w:tc>
          <w:tcPr>
            <w:tcW w:w="1173" w:type="dxa"/>
            <w:tcBorders>
              <w:top w:val="single" w:sz="4" w:space="0" w:color="auto"/>
              <w:left w:val="single" w:sz="4" w:space="0" w:color="auto"/>
              <w:bottom w:val="single" w:sz="8" w:space="0" w:color="auto"/>
              <w:right w:val="single" w:sz="8" w:space="0" w:color="auto"/>
            </w:tcBorders>
            <w:shd w:val="clear" w:color="auto" w:fill="auto"/>
            <w:vAlign w:val="center"/>
          </w:tcPr>
          <w:p w14:paraId="4E98DF28" w14:textId="77777777" w:rsidR="002C5F1E" w:rsidRPr="005E77AC" w:rsidRDefault="002C5F1E" w:rsidP="00F26FD0">
            <w:pPr>
              <w:jc w:val="center"/>
              <w:rPr>
                <w:b/>
                <w:bCs/>
                <w:color w:val="000000"/>
                <w:sz w:val="18"/>
                <w:szCs w:val="18"/>
              </w:rPr>
            </w:pPr>
            <w:r w:rsidRPr="005E77AC">
              <w:rPr>
                <w:b/>
                <w:color w:val="000000"/>
                <w:sz w:val="18"/>
                <w:szCs w:val="18"/>
              </w:rPr>
              <w:t>0.35</w:t>
            </w:r>
          </w:p>
        </w:tc>
        <w:tc>
          <w:tcPr>
            <w:tcW w:w="948" w:type="dxa"/>
            <w:tcBorders>
              <w:top w:val="single" w:sz="4" w:space="0" w:color="auto"/>
              <w:left w:val="nil"/>
              <w:bottom w:val="single" w:sz="8" w:space="0" w:color="auto"/>
              <w:right w:val="single" w:sz="4" w:space="0" w:color="auto"/>
            </w:tcBorders>
            <w:vAlign w:val="center"/>
          </w:tcPr>
          <w:p w14:paraId="59B5EE2D" w14:textId="77777777" w:rsidR="002C5F1E" w:rsidRPr="005E77AC" w:rsidRDefault="002C5F1E" w:rsidP="00F26FD0">
            <w:pPr>
              <w:jc w:val="center"/>
              <w:rPr>
                <w:b/>
                <w:color w:val="000000"/>
                <w:sz w:val="18"/>
                <w:szCs w:val="18"/>
              </w:rPr>
            </w:pPr>
            <w:r w:rsidRPr="005E77AC">
              <w:rPr>
                <w:b/>
                <w:color w:val="000000"/>
                <w:sz w:val="18"/>
                <w:szCs w:val="18"/>
              </w:rPr>
              <w:t>0.</w:t>
            </w:r>
            <w:r w:rsidRPr="00856AF7">
              <w:rPr>
                <w:b/>
                <w:color w:val="000000"/>
                <w:sz w:val="18"/>
                <w:szCs w:val="18"/>
              </w:rPr>
              <w:t>1</w:t>
            </w:r>
            <w:r w:rsidRPr="005E77AC">
              <w:rPr>
                <w:b/>
                <w:color w:val="000000"/>
                <w:sz w:val="18"/>
                <w:szCs w:val="18"/>
              </w:rPr>
              <w:t>3</w:t>
            </w:r>
          </w:p>
        </w:tc>
        <w:tc>
          <w:tcPr>
            <w:tcW w:w="1373" w:type="dxa"/>
            <w:tcBorders>
              <w:top w:val="single" w:sz="4" w:space="0" w:color="auto"/>
              <w:left w:val="single" w:sz="4" w:space="0" w:color="auto"/>
              <w:bottom w:val="single" w:sz="8" w:space="0" w:color="auto"/>
              <w:right w:val="single" w:sz="4" w:space="0" w:color="auto"/>
            </w:tcBorders>
            <w:shd w:val="clear" w:color="auto" w:fill="auto"/>
            <w:vAlign w:val="center"/>
          </w:tcPr>
          <w:p w14:paraId="337F1CB9" w14:textId="77777777" w:rsidR="002C5F1E" w:rsidRPr="006A6ABE" w:rsidRDefault="002C5F1E" w:rsidP="00F26FD0">
            <w:pPr>
              <w:jc w:val="center"/>
              <w:rPr>
                <w:b/>
                <w:iCs/>
                <w:color w:val="000000"/>
                <w:sz w:val="18"/>
                <w:szCs w:val="18"/>
                <w:highlight w:val="yellow"/>
              </w:rPr>
            </w:pPr>
            <w:r w:rsidRPr="005E77AC">
              <w:rPr>
                <w:b/>
                <w:color w:val="000000"/>
                <w:sz w:val="18"/>
                <w:szCs w:val="18"/>
              </w:rPr>
              <w:t>0.</w:t>
            </w:r>
            <w:r>
              <w:rPr>
                <w:b/>
                <w:color w:val="000000"/>
                <w:sz w:val="18"/>
                <w:szCs w:val="18"/>
              </w:rPr>
              <w:t>6</w:t>
            </w:r>
            <w:r w:rsidRPr="005E77AC">
              <w:rPr>
                <w:b/>
                <w:color w:val="000000"/>
                <w:sz w:val="18"/>
                <w:szCs w:val="18"/>
              </w:rPr>
              <w:t>6</w:t>
            </w:r>
          </w:p>
        </w:tc>
        <w:tc>
          <w:tcPr>
            <w:tcW w:w="1366" w:type="dxa"/>
            <w:tcBorders>
              <w:top w:val="single" w:sz="4" w:space="0" w:color="auto"/>
              <w:left w:val="single" w:sz="4" w:space="0" w:color="auto"/>
              <w:bottom w:val="single" w:sz="8" w:space="0" w:color="auto"/>
              <w:right w:val="single" w:sz="4" w:space="0" w:color="auto"/>
            </w:tcBorders>
            <w:vAlign w:val="center"/>
          </w:tcPr>
          <w:p w14:paraId="2E7DC006" w14:textId="77777777" w:rsidR="002C5F1E" w:rsidRPr="00856AF7" w:rsidRDefault="002C5F1E" w:rsidP="00F26FD0">
            <w:pPr>
              <w:jc w:val="center"/>
              <w:rPr>
                <w:b/>
                <w:color w:val="000000"/>
                <w:sz w:val="18"/>
                <w:szCs w:val="18"/>
              </w:rPr>
            </w:pPr>
            <w:r w:rsidRPr="00856AF7">
              <w:rPr>
                <w:b/>
                <w:iCs/>
                <w:color w:val="000000"/>
                <w:sz w:val="18"/>
                <w:szCs w:val="18"/>
              </w:rPr>
              <w:t>392</w:t>
            </w:r>
          </w:p>
        </w:tc>
        <w:tc>
          <w:tcPr>
            <w:tcW w:w="1260" w:type="dxa"/>
            <w:tcBorders>
              <w:top w:val="single" w:sz="4" w:space="0" w:color="auto"/>
              <w:left w:val="single" w:sz="4" w:space="0" w:color="auto"/>
              <w:bottom w:val="single" w:sz="8" w:space="0" w:color="auto"/>
              <w:right w:val="single" w:sz="4" w:space="0" w:color="auto"/>
            </w:tcBorders>
            <w:vAlign w:val="center"/>
          </w:tcPr>
          <w:p w14:paraId="293C5F5A" w14:textId="77777777" w:rsidR="002C5F1E" w:rsidRPr="008302F6" w:rsidRDefault="002C5F1E" w:rsidP="00F26FD0">
            <w:pPr>
              <w:jc w:val="center"/>
              <w:rPr>
                <w:b/>
                <w:bCs/>
                <w:color w:val="000000"/>
                <w:sz w:val="18"/>
                <w:szCs w:val="18"/>
              </w:rPr>
            </w:pPr>
            <w:r w:rsidRPr="008302F6">
              <w:rPr>
                <w:b/>
                <w:bCs/>
                <w:color w:val="000000"/>
                <w:sz w:val="18"/>
                <w:szCs w:val="18"/>
              </w:rPr>
              <w:t>258.72</w:t>
            </w:r>
          </w:p>
        </w:tc>
      </w:tr>
    </w:tbl>
    <w:p w14:paraId="78C868E9" w14:textId="77777777" w:rsidR="00192503" w:rsidRDefault="00192503" w:rsidP="0037123C"/>
    <w:p w14:paraId="3B6DA06A" w14:textId="77777777" w:rsidR="00192503" w:rsidRDefault="00192503" w:rsidP="0037123C"/>
    <w:p w14:paraId="0D3A0A72" w14:textId="5D7EB905" w:rsidR="00F95BD0" w:rsidRDefault="00F95BD0" w:rsidP="00203EC6">
      <w:pPr>
        <w:outlineLvl w:val="2"/>
        <w:rPr>
          <w:b/>
          <w:u w:val="single"/>
        </w:rPr>
      </w:pPr>
      <w:r w:rsidRPr="00341D82">
        <w:tab/>
      </w:r>
      <w:r w:rsidRPr="002C5F1E">
        <w:rPr>
          <w:b/>
        </w:rPr>
        <w:t>(</w:t>
      </w:r>
      <w:r>
        <w:rPr>
          <w:b/>
        </w:rPr>
        <w:t>i</w:t>
      </w:r>
      <w:r w:rsidRPr="002C5F1E">
        <w:rPr>
          <w:b/>
        </w:rPr>
        <w:t xml:space="preserve">i) </w:t>
      </w:r>
      <w:r w:rsidRPr="002C5F1E">
        <w:rPr>
          <w:b/>
        </w:rPr>
        <w:tab/>
      </w:r>
      <w:r>
        <w:rPr>
          <w:b/>
        </w:rPr>
        <w:t>Program Changes</w:t>
      </w:r>
      <w:r w:rsidRPr="002C5F1E">
        <w:rPr>
          <w:b/>
          <w:u w:val="single"/>
        </w:rPr>
        <w:t xml:space="preserve"> </w:t>
      </w:r>
    </w:p>
    <w:p w14:paraId="142B6CEA" w14:textId="77777777" w:rsidR="00F95BD0" w:rsidRDefault="00F95BD0" w:rsidP="00203EC6">
      <w:pPr>
        <w:outlineLvl w:val="2"/>
        <w:rPr>
          <w:b/>
          <w:u w:val="single"/>
        </w:rPr>
      </w:pPr>
    </w:p>
    <w:p w14:paraId="4CDD3BF5" w14:textId="3931486A" w:rsidR="00203EC6" w:rsidRPr="00551896" w:rsidRDefault="00551896" w:rsidP="00551896">
      <w:pPr>
        <w:tabs>
          <w:tab w:val="left" w:pos="720"/>
          <w:tab w:val="left" w:pos="1080"/>
        </w:tabs>
        <w:rPr>
          <w:rFonts w:ascii="TimesNewRoman" w:hAnsi="TimesNewRoman" w:cs="TimesNewRoman"/>
          <w:u w:val="single"/>
        </w:rPr>
      </w:pPr>
      <w:r w:rsidRPr="00551896">
        <w:rPr>
          <w:rFonts w:ascii="TimesNewRoman" w:hAnsi="TimesNewRoman" w:cs="TimesNewRoman"/>
        </w:rPr>
        <w:tab/>
      </w:r>
      <w:r w:rsidR="00203EC6" w:rsidRPr="00551896">
        <w:rPr>
          <w:rFonts w:ascii="TimesNewRoman" w:hAnsi="TimesNewRoman" w:cs="TimesNewRoman"/>
          <w:u w:val="single"/>
        </w:rPr>
        <w:t>Rule Familiarization</w:t>
      </w:r>
    </w:p>
    <w:p w14:paraId="5E5203D0" w14:textId="77777777" w:rsidR="00203EC6" w:rsidRDefault="00203EC6" w:rsidP="00203EC6"/>
    <w:p w14:paraId="0B692C4A" w14:textId="457729C0" w:rsidR="00203EC6" w:rsidRDefault="00203EC6" w:rsidP="00551896">
      <w:pPr>
        <w:ind w:firstLine="720"/>
      </w:pPr>
      <w:r w:rsidRPr="00657828">
        <w:t xml:space="preserve">The </w:t>
      </w:r>
      <w:r w:rsidR="00175BFE">
        <w:t xml:space="preserve">direct final </w:t>
      </w:r>
      <w:r w:rsidRPr="00657828">
        <w:t>rule require</w:t>
      </w:r>
      <w:r w:rsidR="00175BFE">
        <w:t>s</w:t>
      </w:r>
      <w:r w:rsidRPr="00657828">
        <w:t xml:space="preserve"> </w:t>
      </w:r>
      <w:r>
        <w:t xml:space="preserve">TSCA Section 5 </w:t>
      </w:r>
      <w:r w:rsidRPr="00657828">
        <w:t>submitters and their staff to become familiar with the requirements for electronic reporting. Rule familiarization is estimated to require 0.55 hours of technical labor and 0.27 hours of managerial labor, as described in the Economic Analysis of the Premanufacture Notification Electronic Reporting Final Rule, which measures the costs of mandatory electronic reporting of TSCA section 5 notices.</w:t>
      </w:r>
    </w:p>
    <w:p w14:paraId="5CD4D1AC" w14:textId="77777777" w:rsidR="00203EC6" w:rsidRDefault="00203EC6" w:rsidP="00203EC6"/>
    <w:p w14:paraId="6B7C9590" w14:textId="41D5C4D9" w:rsidR="00203EC6" w:rsidRDefault="00203EC6" w:rsidP="00203EC6">
      <w:pPr>
        <w:keepNext/>
        <w:rPr>
          <w:b/>
        </w:rPr>
      </w:pPr>
      <w:r w:rsidRPr="002D3B86">
        <w:rPr>
          <w:b/>
        </w:rPr>
        <w:t>Table</w:t>
      </w:r>
      <w:r w:rsidR="00A66937">
        <w:rPr>
          <w:b/>
        </w:rPr>
        <w:t xml:space="preserve"> 2</w:t>
      </w:r>
      <w:r w:rsidRPr="002D3B86">
        <w:rPr>
          <w:b/>
        </w:rPr>
        <w:t xml:space="preserve">. </w:t>
      </w:r>
      <w:r>
        <w:rPr>
          <w:b/>
        </w:rPr>
        <w:t>Rule Familiarization Burden for TSCA Section 5 Submitters</w:t>
      </w:r>
    </w:p>
    <w:tbl>
      <w:tblPr>
        <w:tblW w:w="5286" w:type="dxa"/>
        <w:tblInd w:w="93" w:type="dxa"/>
        <w:tblLook w:val="04A0" w:firstRow="1" w:lastRow="0" w:firstColumn="1" w:lastColumn="0" w:noHBand="0" w:noVBand="1"/>
      </w:tblPr>
      <w:tblGrid>
        <w:gridCol w:w="1043"/>
        <w:gridCol w:w="1406"/>
        <w:gridCol w:w="1431"/>
        <w:gridCol w:w="1406"/>
      </w:tblGrid>
      <w:tr w:rsidR="00203EC6" w14:paraId="50D9D657" w14:textId="77777777" w:rsidTr="002F119E">
        <w:trPr>
          <w:trHeight w:val="495"/>
        </w:trPr>
        <w:tc>
          <w:tcPr>
            <w:tcW w:w="104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582AC9A" w14:textId="77777777" w:rsidR="00203EC6" w:rsidRDefault="00203EC6" w:rsidP="002F119E">
            <w:pPr>
              <w:keepNext/>
              <w:jc w:val="center"/>
              <w:rPr>
                <w:b/>
                <w:bCs/>
                <w:color w:val="000000"/>
                <w:sz w:val="18"/>
                <w:szCs w:val="18"/>
              </w:rPr>
            </w:pPr>
            <w:r>
              <w:rPr>
                <w:b/>
                <w:bCs/>
                <w:color w:val="000000"/>
                <w:sz w:val="18"/>
                <w:szCs w:val="18"/>
              </w:rPr>
              <w:t>Title</w:t>
            </w:r>
          </w:p>
        </w:tc>
        <w:tc>
          <w:tcPr>
            <w:tcW w:w="1406" w:type="dxa"/>
            <w:tcBorders>
              <w:top w:val="single" w:sz="8" w:space="0" w:color="auto"/>
              <w:left w:val="nil"/>
              <w:bottom w:val="single" w:sz="4" w:space="0" w:color="auto"/>
              <w:right w:val="single" w:sz="8" w:space="0" w:color="auto"/>
            </w:tcBorders>
            <w:shd w:val="clear" w:color="auto" w:fill="auto"/>
            <w:vAlign w:val="center"/>
          </w:tcPr>
          <w:p w14:paraId="21244A04" w14:textId="77777777" w:rsidR="00203EC6" w:rsidRDefault="00203EC6" w:rsidP="002F119E">
            <w:pPr>
              <w:keepNext/>
              <w:jc w:val="center"/>
              <w:rPr>
                <w:b/>
                <w:bCs/>
                <w:color w:val="000000"/>
                <w:sz w:val="18"/>
                <w:szCs w:val="18"/>
              </w:rPr>
            </w:pPr>
            <w:r>
              <w:rPr>
                <w:b/>
                <w:bCs/>
                <w:color w:val="000000"/>
                <w:sz w:val="18"/>
                <w:szCs w:val="18"/>
              </w:rPr>
              <w:t>Rule Familiarization Burden</w:t>
            </w:r>
          </w:p>
          <w:p w14:paraId="08384C87" w14:textId="77777777" w:rsidR="00203EC6" w:rsidRDefault="00203EC6" w:rsidP="002F119E">
            <w:pPr>
              <w:keepNext/>
              <w:jc w:val="center"/>
              <w:rPr>
                <w:b/>
                <w:bCs/>
                <w:color w:val="000000"/>
                <w:sz w:val="18"/>
                <w:szCs w:val="18"/>
              </w:rPr>
            </w:pPr>
            <w:r>
              <w:rPr>
                <w:b/>
                <w:bCs/>
                <w:color w:val="000000"/>
                <w:sz w:val="18"/>
                <w:szCs w:val="18"/>
              </w:rPr>
              <w:t>(Hours)</w:t>
            </w:r>
          </w:p>
        </w:tc>
        <w:tc>
          <w:tcPr>
            <w:tcW w:w="1431" w:type="dxa"/>
            <w:tcBorders>
              <w:top w:val="single" w:sz="8" w:space="0" w:color="auto"/>
              <w:left w:val="nil"/>
              <w:bottom w:val="single" w:sz="8" w:space="0" w:color="auto"/>
              <w:right w:val="single" w:sz="8" w:space="0" w:color="auto"/>
            </w:tcBorders>
            <w:shd w:val="clear" w:color="auto" w:fill="auto"/>
            <w:vAlign w:val="center"/>
          </w:tcPr>
          <w:p w14:paraId="72DC9F0C" w14:textId="77777777" w:rsidR="00203EC6" w:rsidRDefault="00203EC6" w:rsidP="002F119E">
            <w:pPr>
              <w:keepNext/>
              <w:jc w:val="center"/>
              <w:rPr>
                <w:b/>
                <w:bCs/>
                <w:color w:val="000000"/>
                <w:sz w:val="18"/>
                <w:szCs w:val="18"/>
              </w:rPr>
            </w:pPr>
            <w:r>
              <w:rPr>
                <w:b/>
                <w:bCs/>
                <w:color w:val="000000"/>
                <w:sz w:val="18"/>
                <w:szCs w:val="18"/>
              </w:rPr>
              <w:t>Annual Number of TSCA Section 5 Submitters</w:t>
            </w:r>
          </w:p>
        </w:tc>
        <w:tc>
          <w:tcPr>
            <w:tcW w:w="1406" w:type="dxa"/>
            <w:tcBorders>
              <w:top w:val="single" w:sz="8" w:space="0" w:color="auto"/>
              <w:left w:val="nil"/>
              <w:bottom w:val="single" w:sz="8" w:space="0" w:color="auto"/>
              <w:right w:val="single" w:sz="8" w:space="0" w:color="auto"/>
            </w:tcBorders>
            <w:shd w:val="clear" w:color="auto" w:fill="auto"/>
            <w:vAlign w:val="center"/>
          </w:tcPr>
          <w:p w14:paraId="14CE7E8E" w14:textId="77777777" w:rsidR="00203EC6" w:rsidRDefault="00203EC6" w:rsidP="002F119E">
            <w:pPr>
              <w:keepNext/>
              <w:jc w:val="center"/>
              <w:rPr>
                <w:b/>
                <w:bCs/>
                <w:color w:val="000000"/>
                <w:sz w:val="18"/>
                <w:szCs w:val="18"/>
              </w:rPr>
            </w:pPr>
            <w:r>
              <w:rPr>
                <w:b/>
                <w:bCs/>
                <w:color w:val="000000"/>
                <w:sz w:val="18"/>
                <w:szCs w:val="18"/>
              </w:rPr>
              <w:t xml:space="preserve">Total Annual Burden for Rule Familiarization </w:t>
            </w:r>
          </w:p>
        </w:tc>
      </w:tr>
      <w:tr w:rsidR="00203EC6" w14:paraId="3B0DAA3F" w14:textId="77777777" w:rsidTr="002F119E">
        <w:trPr>
          <w:trHeight w:val="349"/>
        </w:trPr>
        <w:tc>
          <w:tcPr>
            <w:tcW w:w="1043" w:type="dxa"/>
            <w:tcBorders>
              <w:top w:val="nil"/>
              <w:left w:val="single" w:sz="8" w:space="0" w:color="auto"/>
              <w:bottom w:val="single" w:sz="8" w:space="0" w:color="auto"/>
              <w:right w:val="single" w:sz="8" w:space="0" w:color="auto"/>
            </w:tcBorders>
            <w:shd w:val="clear" w:color="auto" w:fill="auto"/>
            <w:vAlign w:val="center"/>
            <w:hideMark/>
          </w:tcPr>
          <w:p w14:paraId="5000AFC1" w14:textId="77777777" w:rsidR="00203EC6" w:rsidRDefault="00203EC6" w:rsidP="002F119E">
            <w:pPr>
              <w:keepNext/>
              <w:jc w:val="center"/>
              <w:rPr>
                <w:color w:val="000000"/>
                <w:sz w:val="18"/>
                <w:szCs w:val="18"/>
              </w:rPr>
            </w:pPr>
            <w:r>
              <w:rPr>
                <w:b/>
                <w:sz w:val="18"/>
                <w:szCs w:val="18"/>
              </w:rPr>
              <w:t>Currently Approved</w:t>
            </w:r>
          </w:p>
        </w:tc>
        <w:tc>
          <w:tcPr>
            <w:tcW w:w="1406" w:type="dxa"/>
            <w:tcBorders>
              <w:top w:val="nil"/>
              <w:left w:val="nil"/>
              <w:bottom w:val="single" w:sz="8" w:space="0" w:color="auto"/>
              <w:right w:val="single" w:sz="8" w:space="0" w:color="auto"/>
            </w:tcBorders>
            <w:shd w:val="clear" w:color="auto" w:fill="auto"/>
            <w:vAlign w:val="center"/>
          </w:tcPr>
          <w:p w14:paraId="45636B62" w14:textId="77777777" w:rsidR="00203EC6" w:rsidRPr="00146D4B" w:rsidRDefault="00203EC6" w:rsidP="002F119E">
            <w:pPr>
              <w:keepNext/>
              <w:jc w:val="center"/>
              <w:rPr>
                <w:color w:val="000000"/>
                <w:sz w:val="18"/>
                <w:szCs w:val="18"/>
              </w:rPr>
            </w:pPr>
            <w:r w:rsidRPr="00146D4B">
              <w:rPr>
                <w:color w:val="000000"/>
                <w:sz w:val="18"/>
                <w:szCs w:val="18"/>
              </w:rPr>
              <w:t>0</w:t>
            </w:r>
          </w:p>
        </w:tc>
        <w:tc>
          <w:tcPr>
            <w:tcW w:w="1431" w:type="dxa"/>
            <w:tcBorders>
              <w:top w:val="nil"/>
              <w:left w:val="nil"/>
              <w:bottom w:val="single" w:sz="8" w:space="0" w:color="auto"/>
              <w:right w:val="single" w:sz="8" w:space="0" w:color="auto"/>
            </w:tcBorders>
            <w:shd w:val="clear" w:color="auto" w:fill="auto"/>
            <w:vAlign w:val="center"/>
          </w:tcPr>
          <w:p w14:paraId="121B7A80" w14:textId="77777777" w:rsidR="00203EC6" w:rsidRPr="00146D4B" w:rsidRDefault="00203EC6" w:rsidP="002F119E">
            <w:pPr>
              <w:keepNext/>
              <w:jc w:val="center"/>
              <w:rPr>
                <w:color w:val="000000"/>
                <w:sz w:val="18"/>
                <w:szCs w:val="18"/>
              </w:rPr>
            </w:pPr>
            <w:r w:rsidRPr="00146D4B">
              <w:rPr>
                <w:color w:val="000000"/>
                <w:sz w:val="18"/>
                <w:szCs w:val="18"/>
              </w:rPr>
              <w:t>0</w:t>
            </w:r>
          </w:p>
        </w:tc>
        <w:tc>
          <w:tcPr>
            <w:tcW w:w="1406" w:type="dxa"/>
            <w:tcBorders>
              <w:top w:val="nil"/>
              <w:left w:val="nil"/>
              <w:bottom w:val="single" w:sz="8" w:space="0" w:color="auto"/>
              <w:right w:val="single" w:sz="8" w:space="0" w:color="auto"/>
            </w:tcBorders>
            <w:shd w:val="clear" w:color="auto" w:fill="auto"/>
            <w:vAlign w:val="center"/>
          </w:tcPr>
          <w:p w14:paraId="4337498E" w14:textId="77777777" w:rsidR="00203EC6" w:rsidRPr="00146D4B" w:rsidRDefault="00203EC6" w:rsidP="002F119E">
            <w:pPr>
              <w:keepNext/>
              <w:jc w:val="center"/>
              <w:rPr>
                <w:color w:val="000000"/>
                <w:sz w:val="18"/>
                <w:szCs w:val="18"/>
              </w:rPr>
            </w:pPr>
            <w:r w:rsidRPr="00146D4B">
              <w:rPr>
                <w:color w:val="000000"/>
                <w:sz w:val="18"/>
                <w:szCs w:val="18"/>
              </w:rPr>
              <w:t>0</w:t>
            </w:r>
          </w:p>
        </w:tc>
      </w:tr>
      <w:tr w:rsidR="00203EC6" w14:paraId="46AC6825" w14:textId="77777777" w:rsidTr="002F119E">
        <w:trPr>
          <w:trHeight w:val="315"/>
        </w:trPr>
        <w:tc>
          <w:tcPr>
            <w:tcW w:w="1043" w:type="dxa"/>
            <w:tcBorders>
              <w:top w:val="nil"/>
              <w:left w:val="single" w:sz="8" w:space="0" w:color="auto"/>
              <w:bottom w:val="single" w:sz="4" w:space="0" w:color="auto"/>
              <w:right w:val="single" w:sz="8" w:space="0" w:color="auto"/>
            </w:tcBorders>
            <w:shd w:val="clear" w:color="auto" w:fill="auto"/>
            <w:vAlign w:val="center"/>
            <w:hideMark/>
          </w:tcPr>
          <w:p w14:paraId="16490EAD" w14:textId="77777777" w:rsidR="00203EC6" w:rsidRDefault="00203EC6" w:rsidP="002F119E">
            <w:pPr>
              <w:keepNext/>
              <w:jc w:val="center"/>
              <w:rPr>
                <w:color w:val="000000"/>
                <w:sz w:val="18"/>
                <w:szCs w:val="18"/>
              </w:rPr>
            </w:pPr>
            <w:r>
              <w:rPr>
                <w:b/>
                <w:sz w:val="18"/>
                <w:szCs w:val="18"/>
              </w:rPr>
              <w:t>Updated Estimate</w:t>
            </w:r>
          </w:p>
        </w:tc>
        <w:tc>
          <w:tcPr>
            <w:tcW w:w="1406" w:type="dxa"/>
            <w:tcBorders>
              <w:top w:val="nil"/>
              <w:left w:val="nil"/>
              <w:bottom w:val="single" w:sz="4" w:space="0" w:color="auto"/>
              <w:right w:val="single" w:sz="8" w:space="0" w:color="auto"/>
            </w:tcBorders>
            <w:shd w:val="clear" w:color="auto" w:fill="auto"/>
            <w:vAlign w:val="center"/>
          </w:tcPr>
          <w:p w14:paraId="0BC4C9E2" w14:textId="77777777" w:rsidR="00203EC6" w:rsidRPr="00146D4B" w:rsidRDefault="00203EC6" w:rsidP="002F119E">
            <w:pPr>
              <w:jc w:val="center"/>
              <w:rPr>
                <w:color w:val="000000"/>
                <w:sz w:val="18"/>
                <w:szCs w:val="18"/>
              </w:rPr>
            </w:pPr>
            <w:r w:rsidRPr="00146D4B">
              <w:rPr>
                <w:color w:val="000000"/>
                <w:sz w:val="18"/>
                <w:szCs w:val="18"/>
              </w:rPr>
              <w:t>0.82</w:t>
            </w:r>
          </w:p>
        </w:tc>
        <w:tc>
          <w:tcPr>
            <w:tcW w:w="1431" w:type="dxa"/>
            <w:tcBorders>
              <w:top w:val="nil"/>
              <w:left w:val="nil"/>
              <w:bottom w:val="single" w:sz="4" w:space="0" w:color="auto"/>
              <w:right w:val="single" w:sz="8" w:space="0" w:color="auto"/>
            </w:tcBorders>
            <w:shd w:val="clear" w:color="auto" w:fill="auto"/>
            <w:vAlign w:val="center"/>
          </w:tcPr>
          <w:p w14:paraId="17819E13" w14:textId="77777777" w:rsidR="00203EC6" w:rsidRPr="00146D4B" w:rsidRDefault="00203EC6" w:rsidP="002F119E">
            <w:pPr>
              <w:jc w:val="center"/>
              <w:rPr>
                <w:color w:val="000000"/>
                <w:sz w:val="18"/>
                <w:szCs w:val="18"/>
              </w:rPr>
            </w:pPr>
            <w:r w:rsidRPr="00856AF7">
              <w:rPr>
                <w:color w:val="000000"/>
                <w:sz w:val="18"/>
                <w:szCs w:val="18"/>
              </w:rPr>
              <w:t>336</w:t>
            </w:r>
          </w:p>
        </w:tc>
        <w:tc>
          <w:tcPr>
            <w:tcW w:w="1406" w:type="dxa"/>
            <w:tcBorders>
              <w:top w:val="nil"/>
              <w:left w:val="nil"/>
              <w:bottom w:val="single" w:sz="4" w:space="0" w:color="auto"/>
              <w:right w:val="single" w:sz="8" w:space="0" w:color="auto"/>
            </w:tcBorders>
            <w:shd w:val="clear" w:color="auto" w:fill="auto"/>
            <w:vAlign w:val="center"/>
          </w:tcPr>
          <w:p w14:paraId="6299F081" w14:textId="77777777" w:rsidR="00203EC6" w:rsidRPr="00146D4B" w:rsidRDefault="00203EC6" w:rsidP="002F119E">
            <w:pPr>
              <w:jc w:val="center"/>
              <w:rPr>
                <w:color w:val="000000"/>
                <w:sz w:val="18"/>
                <w:szCs w:val="18"/>
              </w:rPr>
            </w:pPr>
            <w:r w:rsidRPr="00146D4B">
              <w:rPr>
                <w:color w:val="000000"/>
                <w:sz w:val="18"/>
                <w:szCs w:val="18"/>
              </w:rPr>
              <w:t>275.52</w:t>
            </w:r>
          </w:p>
        </w:tc>
      </w:tr>
      <w:tr w:rsidR="00203EC6" w14:paraId="1528BFEF" w14:textId="77777777" w:rsidTr="002F119E">
        <w:trPr>
          <w:trHeight w:val="315"/>
        </w:trPr>
        <w:tc>
          <w:tcPr>
            <w:tcW w:w="1043" w:type="dxa"/>
            <w:tcBorders>
              <w:top w:val="single" w:sz="4" w:space="0" w:color="auto"/>
              <w:left w:val="single" w:sz="8" w:space="0" w:color="auto"/>
              <w:bottom w:val="single" w:sz="8" w:space="0" w:color="auto"/>
              <w:right w:val="single" w:sz="8" w:space="0" w:color="auto"/>
            </w:tcBorders>
            <w:shd w:val="clear" w:color="auto" w:fill="auto"/>
            <w:vAlign w:val="center"/>
          </w:tcPr>
          <w:p w14:paraId="5F2420C4" w14:textId="77777777" w:rsidR="00203EC6" w:rsidRPr="00D36BC0" w:rsidRDefault="00203EC6" w:rsidP="002F119E">
            <w:pPr>
              <w:keepNext/>
              <w:jc w:val="center"/>
              <w:rPr>
                <w:b/>
                <w:sz w:val="18"/>
                <w:szCs w:val="18"/>
              </w:rPr>
            </w:pPr>
            <w:r w:rsidRPr="00D36BC0">
              <w:rPr>
                <w:b/>
                <w:sz w:val="18"/>
                <w:szCs w:val="18"/>
              </w:rPr>
              <w:t>Change</w:t>
            </w:r>
          </w:p>
        </w:tc>
        <w:tc>
          <w:tcPr>
            <w:tcW w:w="1406" w:type="dxa"/>
            <w:tcBorders>
              <w:top w:val="single" w:sz="4" w:space="0" w:color="auto"/>
              <w:left w:val="nil"/>
              <w:bottom w:val="single" w:sz="8" w:space="0" w:color="auto"/>
              <w:right w:val="single" w:sz="8" w:space="0" w:color="auto"/>
            </w:tcBorders>
            <w:shd w:val="clear" w:color="auto" w:fill="auto"/>
            <w:vAlign w:val="center"/>
          </w:tcPr>
          <w:p w14:paraId="0809EA6E" w14:textId="77777777" w:rsidR="00203EC6" w:rsidRPr="00146D4B" w:rsidRDefault="00203EC6" w:rsidP="002F119E">
            <w:pPr>
              <w:jc w:val="center"/>
              <w:rPr>
                <w:b/>
                <w:bCs/>
                <w:color w:val="000000"/>
                <w:sz w:val="18"/>
                <w:szCs w:val="18"/>
              </w:rPr>
            </w:pPr>
            <w:r w:rsidRPr="00146D4B">
              <w:rPr>
                <w:b/>
                <w:bCs/>
                <w:color w:val="000000"/>
                <w:sz w:val="18"/>
                <w:szCs w:val="18"/>
              </w:rPr>
              <w:t>0.82</w:t>
            </w:r>
          </w:p>
        </w:tc>
        <w:tc>
          <w:tcPr>
            <w:tcW w:w="1431" w:type="dxa"/>
            <w:tcBorders>
              <w:top w:val="single" w:sz="4" w:space="0" w:color="auto"/>
              <w:left w:val="nil"/>
              <w:bottom w:val="single" w:sz="8" w:space="0" w:color="auto"/>
              <w:right w:val="single" w:sz="8" w:space="0" w:color="auto"/>
            </w:tcBorders>
            <w:shd w:val="clear" w:color="auto" w:fill="auto"/>
            <w:vAlign w:val="center"/>
          </w:tcPr>
          <w:p w14:paraId="7F732EA9" w14:textId="77777777" w:rsidR="00203EC6" w:rsidRPr="00146D4B" w:rsidRDefault="00203EC6" w:rsidP="002F119E">
            <w:pPr>
              <w:jc w:val="center"/>
              <w:rPr>
                <w:b/>
                <w:bCs/>
                <w:color w:val="000000"/>
                <w:sz w:val="18"/>
                <w:szCs w:val="18"/>
              </w:rPr>
            </w:pPr>
            <w:r w:rsidRPr="00856AF7">
              <w:rPr>
                <w:b/>
                <w:color w:val="000000"/>
                <w:sz w:val="18"/>
                <w:szCs w:val="18"/>
              </w:rPr>
              <w:t>336</w:t>
            </w:r>
          </w:p>
        </w:tc>
        <w:tc>
          <w:tcPr>
            <w:tcW w:w="1406" w:type="dxa"/>
            <w:tcBorders>
              <w:top w:val="single" w:sz="4" w:space="0" w:color="auto"/>
              <w:left w:val="nil"/>
              <w:bottom w:val="single" w:sz="8" w:space="0" w:color="auto"/>
              <w:right w:val="single" w:sz="8" w:space="0" w:color="auto"/>
            </w:tcBorders>
            <w:shd w:val="clear" w:color="auto" w:fill="auto"/>
            <w:vAlign w:val="center"/>
          </w:tcPr>
          <w:p w14:paraId="00D20C26" w14:textId="77777777" w:rsidR="00203EC6" w:rsidRPr="00146D4B" w:rsidRDefault="00203EC6" w:rsidP="002F119E">
            <w:pPr>
              <w:jc w:val="center"/>
              <w:rPr>
                <w:b/>
                <w:bCs/>
                <w:color w:val="000000"/>
                <w:sz w:val="18"/>
                <w:szCs w:val="18"/>
              </w:rPr>
            </w:pPr>
            <w:r w:rsidRPr="00146D4B">
              <w:rPr>
                <w:b/>
                <w:bCs/>
                <w:color w:val="000000"/>
                <w:sz w:val="18"/>
                <w:szCs w:val="18"/>
              </w:rPr>
              <w:t>275.52</w:t>
            </w:r>
          </w:p>
        </w:tc>
      </w:tr>
    </w:tbl>
    <w:p w14:paraId="30870CFE" w14:textId="77777777" w:rsidR="00203EC6" w:rsidRDefault="00203EC6" w:rsidP="0037123C"/>
    <w:p w14:paraId="688F698D" w14:textId="3864E2D6" w:rsidR="00551896" w:rsidRPr="00551896" w:rsidRDefault="00551896" w:rsidP="00551896">
      <w:pPr>
        <w:tabs>
          <w:tab w:val="left" w:pos="720"/>
          <w:tab w:val="left" w:pos="1080"/>
        </w:tabs>
        <w:rPr>
          <w:rFonts w:ascii="TimesNewRoman" w:hAnsi="TimesNewRoman" w:cs="TimesNewRoman"/>
          <w:u w:val="single"/>
        </w:rPr>
      </w:pPr>
      <w:r w:rsidRPr="00551896">
        <w:rPr>
          <w:rFonts w:ascii="TimesNewRoman" w:hAnsi="TimesNewRoman" w:cs="TimesNewRoman"/>
        </w:rPr>
        <w:tab/>
      </w:r>
      <w:r w:rsidRPr="00551896">
        <w:rPr>
          <w:rFonts w:ascii="TimesNewRoman" w:hAnsi="TimesNewRoman" w:cs="TimesNewRoman"/>
          <w:u w:val="single"/>
        </w:rPr>
        <w:t>Electronic Notification of New Manufacturing Sites</w:t>
      </w:r>
    </w:p>
    <w:p w14:paraId="5B6F0EA6" w14:textId="77777777" w:rsidR="00551896" w:rsidRDefault="00551896" w:rsidP="004C2B16">
      <w:pPr>
        <w:rPr>
          <w:b/>
          <w:u w:val="single"/>
        </w:rPr>
      </w:pPr>
    </w:p>
    <w:p w14:paraId="3D9A8EF3" w14:textId="1F6F4D65" w:rsidR="00981BEB" w:rsidRDefault="004C2B16" w:rsidP="00551896">
      <w:pPr>
        <w:ind w:firstLine="720"/>
      </w:pPr>
      <w:r w:rsidRPr="00ED1659">
        <w:t xml:space="preserve">As required under 40 CFR 723.50(j)(6)(ii), a manufacturer (including importer) must notify EPA of any new manufacturing site of a chemical substance for which an exemption was granted by EPA under 40 CFR 723.50. Under the existing regulation, companies may use the Notice of Commencement (NOC) to report manufacturing site changes to EPA. However, the electronic version of the NOC in the e-PMN software cannot accommodate notifications of </w:t>
      </w:r>
      <w:r w:rsidR="00E7626C">
        <w:t xml:space="preserve">new </w:t>
      </w:r>
      <w:r w:rsidRPr="00ED1659">
        <w:t>manufacturing site</w:t>
      </w:r>
      <w:r w:rsidR="00E7626C">
        <w:t>s</w:t>
      </w:r>
      <w:r w:rsidRPr="00ED1659">
        <w:t>. Therefore, th</w:t>
      </w:r>
      <w:r w:rsidR="00E7626C">
        <w:t>e</w:t>
      </w:r>
      <w:r w:rsidRPr="00ED1659">
        <w:t xml:space="preserve"> direct final rule requires that such notifications be submitted electronically to EPA via CDX as a “support document” to the original notification. </w:t>
      </w:r>
    </w:p>
    <w:p w14:paraId="35F9B12F" w14:textId="77777777" w:rsidR="00981BEB" w:rsidRDefault="00981BEB" w:rsidP="00551896">
      <w:pPr>
        <w:ind w:firstLine="720"/>
      </w:pPr>
    </w:p>
    <w:p w14:paraId="28656C46" w14:textId="0E5C2B1A" w:rsidR="004C2B16" w:rsidRDefault="00E7626C" w:rsidP="00551896">
      <w:pPr>
        <w:ind w:firstLine="720"/>
      </w:pPr>
      <w:r>
        <w:t xml:space="preserve">EPA did not separately estimate respondent burden for new manufacturing site notifications. Such an estimation was not feasible since these notifications were submitted in the past via the NOC form and EPA did not distinguish between normal NOC filings and new manufacturing site notifications. </w:t>
      </w:r>
      <w:r w:rsidR="004C2B16">
        <w:t>While EPA expects that submitters will encounter minimal burden associated with this new requirement, th</w:t>
      </w:r>
      <w:r>
        <w:t>e incremental</w:t>
      </w:r>
      <w:r w:rsidR="004C2B16">
        <w:t xml:space="preserve"> burden </w:t>
      </w:r>
      <w:r>
        <w:t xml:space="preserve">associated with these notifications </w:t>
      </w:r>
      <w:r w:rsidR="004C2B16">
        <w:t xml:space="preserve">is expected to </w:t>
      </w:r>
      <w:r w:rsidR="00862756">
        <w:t xml:space="preserve">consist </w:t>
      </w:r>
      <w:r w:rsidR="004C2B16">
        <w:t>of the time it takes a submitter to familiarize themselves with the rule. As a result, this burden has been quantified as a part of the overall rule familiarization burden associated with this ICR.</w:t>
      </w:r>
    </w:p>
    <w:p w14:paraId="480A43F0" w14:textId="77777777" w:rsidR="00203EC6" w:rsidRDefault="00203EC6" w:rsidP="0037123C"/>
    <w:p w14:paraId="357BF88E" w14:textId="0E48EC9B" w:rsidR="00551896" w:rsidRPr="00551896" w:rsidRDefault="00551896" w:rsidP="00551896">
      <w:pPr>
        <w:tabs>
          <w:tab w:val="left" w:pos="720"/>
          <w:tab w:val="left" w:pos="1080"/>
        </w:tabs>
        <w:rPr>
          <w:rFonts w:ascii="TimesNewRoman" w:hAnsi="TimesNewRoman" w:cs="TimesNewRoman"/>
          <w:u w:val="single"/>
        </w:rPr>
      </w:pPr>
      <w:r w:rsidRPr="00551896">
        <w:rPr>
          <w:rFonts w:ascii="TimesNewRoman" w:hAnsi="TimesNewRoman" w:cs="TimesNewRoman"/>
        </w:rPr>
        <w:tab/>
      </w:r>
      <w:r w:rsidRPr="00551896">
        <w:rPr>
          <w:rFonts w:ascii="TimesNewRoman" w:hAnsi="TimesNewRoman" w:cs="TimesNewRoman"/>
          <w:u w:val="single"/>
        </w:rPr>
        <w:t xml:space="preserve">Electronic </w:t>
      </w:r>
      <w:r>
        <w:rPr>
          <w:rFonts w:ascii="TimesNewRoman" w:hAnsi="TimesNewRoman" w:cs="TimesNewRoman"/>
          <w:u w:val="single"/>
        </w:rPr>
        <w:t>Submission</w:t>
      </w:r>
      <w:r w:rsidRPr="00551896">
        <w:rPr>
          <w:rFonts w:ascii="TimesNewRoman" w:hAnsi="TimesNewRoman" w:cs="TimesNewRoman"/>
          <w:u w:val="single"/>
        </w:rPr>
        <w:t xml:space="preserve"> of </w:t>
      </w:r>
      <w:r>
        <w:rPr>
          <w:rFonts w:ascii="TimesNewRoman" w:hAnsi="TimesNewRoman" w:cs="TimesNewRoman"/>
          <w:u w:val="single"/>
        </w:rPr>
        <w:t>Bona Fide</w:t>
      </w:r>
      <w:r w:rsidRPr="00551896">
        <w:rPr>
          <w:rFonts w:ascii="TimesNewRoman" w:hAnsi="TimesNewRoman" w:cs="TimesNewRoman"/>
          <w:u w:val="single"/>
        </w:rPr>
        <w:t>s</w:t>
      </w:r>
    </w:p>
    <w:p w14:paraId="1EA9ADC2" w14:textId="77777777" w:rsidR="00551896" w:rsidRDefault="00551896" w:rsidP="00A13DD7">
      <w:pPr>
        <w:rPr>
          <w:b/>
          <w:u w:val="single"/>
        </w:rPr>
      </w:pPr>
    </w:p>
    <w:p w14:paraId="49E31E6C" w14:textId="34030E1B" w:rsidR="00A13DD7" w:rsidRPr="008B6224" w:rsidRDefault="00F84E8C" w:rsidP="00551896">
      <w:pPr>
        <w:ind w:firstLine="720"/>
      </w:pPr>
      <w:r>
        <w:t xml:space="preserve">EPA expects that electronic submission will remove all clerical burden associated with submitting a bona fide (3.5 hours), and all postage costs associated with mailing the notice ($14.21). </w:t>
      </w:r>
      <w:r w:rsidRPr="00541760">
        <w:t xml:space="preserve"> For each of these notices, one hour of recordkeeping burden will be saved (30 minutes for one technical staff member and 30 minutes for one clerical staff member).</w:t>
      </w:r>
      <w:r>
        <w:t xml:space="preserve"> </w:t>
      </w:r>
      <w:r w:rsidR="00A13DD7">
        <w:t xml:space="preserve">Electronic reporting is expected to reduce a respondent’s burden by </w:t>
      </w:r>
      <w:r w:rsidR="0045618F">
        <w:t>4.5</w:t>
      </w:r>
      <w:r w:rsidR="00A13DD7">
        <w:t xml:space="preserve"> hours per bona fide, due to the reduc</w:t>
      </w:r>
      <w:r w:rsidR="0045618F">
        <w:t>tion or elimination of clerical</w:t>
      </w:r>
      <w:r w:rsidR="00A13DD7">
        <w:t xml:space="preserve"> time, and a reduction in recordkeeping </w:t>
      </w:r>
      <w:r w:rsidR="0045618F">
        <w:t>burden at clerical and administrative levels</w:t>
      </w:r>
      <w:r w:rsidR="00A13DD7">
        <w:t>, both of which are associated with the new electronic reporting requirement. This program change is estimated to reduce the total annual burden associated with bona fide submissions by about 5</w:t>
      </w:r>
      <w:r w:rsidR="0045618F">
        <w:t>22</w:t>
      </w:r>
      <w:r w:rsidR="00A13DD7">
        <w:t xml:space="preserve"> hours; from 2,552 hours to </w:t>
      </w:r>
      <w:r w:rsidR="00175BFE">
        <w:t>2,030</w:t>
      </w:r>
      <w:r w:rsidR="00A13DD7">
        <w:t xml:space="preserve"> hours (see </w:t>
      </w:r>
      <w:r w:rsidR="00A13DD7" w:rsidRPr="008B6224">
        <w:t xml:space="preserve">Table </w:t>
      </w:r>
      <w:r w:rsidR="007F392E" w:rsidRPr="008B6224">
        <w:t>3</w:t>
      </w:r>
      <w:r w:rsidR="00A13DD7" w:rsidRPr="008B6224">
        <w:t xml:space="preserve">). </w:t>
      </w:r>
      <w:bookmarkStart w:id="2" w:name="Quik"/>
      <w:bookmarkEnd w:id="2"/>
    </w:p>
    <w:p w14:paraId="2913022F" w14:textId="77777777" w:rsidR="00A13DD7" w:rsidRPr="008B6224" w:rsidRDefault="00A13DD7" w:rsidP="00A13DD7"/>
    <w:p w14:paraId="59477C98" w14:textId="7D44D27D" w:rsidR="00A13DD7" w:rsidRDefault="00A13DD7" w:rsidP="00A13DD7">
      <w:pPr>
        <w:rPr>
          <w:b/>
        </w:rPr>
      </w:pPr>
      <w:r w:rsidRPr="008B6224">
        <w:rPr>
          <w:b/>
        </w:rPr>
        <w:t xml:space="preserve">Table </w:t>
      </w:r>
      <w:r w:rsidR="007F392E" w:rsidRPr="008B6224">
        <w:rPr>
          <w:b/>
        </w:rPr>
        <w:t>3</w:t>
      </w:r>
      <w:r w:rsidRPr="008B6224">
        <w:rPr>
          <w:b/>
        </w:rPr>
        <w:t>. Program Changes to Existing IC</w:t>
      </w:r>
      <w:r w:rsidRPr="002D3B86">
        <w:rPr>
          <w:b/>
        </w:rPr>
        <w:t>s Resulting from Electronic Reporting</w:t>
      </w:r>
      <w:r>
        <w:rPr>
          <w:b/>
        </w:rPr>
        <w:t xml:space="preserve"> of Bona Fides</w:t>
      </w:r>
    </w:p>
    <w:tbl>
      <w:tblPr>
        <w:tblW w:w="9015" w:type="dxa"/>
        <w:tblInd w:w="93" w:type="dxa"/>
        <w:tblLook w:val="04A0" w:firstRow="1" w:lastRow="0" w:firstColumn="1" w:lastColumn="0" w:noHBand="0" w:noVBand="1"/>
      </w:tblPr>
      <w:tblGrid>
        <w:gridCol w:w="1185"/>
        <w:gridCol w:w="1170"/>
        <w:gridCol w:w="1350"/>
        <w:gridCol w:w="1144"/>
        <w:gridCol w:w="1376"/>
        <w:gridCol w:w="1414"/>
        <w:gridCol w:w="1376"/>
      </w:tblGrid>
      <w:tr w:rsidR="00A13DD7" w14:paraId="01520630" w14:textId="77777777" w:rsidTr="002F119E">
        <w:trPr>
          <w:trHeight w:val="495"/>
        </w:trPr>
        <w:tc>
          <w:tcPr>
            <w:tcW w:w="1185"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683C3EA" w14:textId="77777777" w:rsidR="00A13DD7" w:rsidRDefault="00A13DD7" w:rsidP="002F119E">
            <w:pPr>
              <w:keepNext/>
              <w:jc w:val="center"/>
              <w:rPr>
                <w:b/>
                <w:bCs/>
                <w:color w:val="000000"/>
                <w:sz w:val="18"/>
                <w:szCs w:val="18"/>
              </w:rPr>
            </w:pPr>
            <w:r>
              <w:rPr>
                <w:b/>
                <w:bCs/>
                <w:color w:val="000000"/>
                <w:sz w:val="18"/>
                <w:szCs w:val="18"/>
              </w:rPr>
              <w:t>Title</w:t>
            </w:r>
          </w:p>
        </w:tc>
        <w:tc>
          <w:tcPr>
            <w:tcW w:w="1170" w:type="dxa"/>
            <w:tcBorders>
              <w:top w:val="single" w:sz="8" w:space="0" w:color="auto"/>
              <w:left w:val="nil"/>
              <w:bottom w:val="single" w:sz="4" w:space="0" w:color="auto"/>
              <w:right w:val="single" w:sz="8" w:space="0" w:color="auto"/>
            </w:tcBorders>
            <w:shd w:val="clear" w:color="auto" w:fill="auto"/>
            <w:vAlign w:val="center"/>
            <w:hideMark/>
          </w:tcPr>
          <w:p w14:paraId="27FFA2AE" w14:textId="77777777" w:rsidR="00A13DD7" w:rsidRDefault="00A13DD7" w:rsidP="002F119E">
            <w:pPr>
              <w:keepNext/>
              <w:jc w:val="center"/>
              <w:rPr>
                <w:b/>
                <w:bCs/>
                <w:color w:val="000000"/>
                <w:sz w:val="18"/>
                <w:szCs w:val="18"/>
              </w:rPr>
            </w:pPr>
            <w:r>
              <w:rPr>
                <w:b/>
                <w:bCs/>
                <w:color w:val="000000"/>
                <w:sz w:val="18"/>
                <w:szCs w:val="18"/>
              </w:rPr>
              <w:t>Responses</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1510A94E" w14:textId="77777777" w:rsidR="00A13DD7" w:rsidRDefault="00A13DD7" w:rsidP="002F119E">
            <w:pPr>
              <w:keepNext/>
              <w:jc w:val="center"/>
              <w:rPr>
                <w:b/>
                <w:bCs/>
                <w:color w:val="000000"/>
                <w:sz w:val="18"/>
                <w:szCs w:val="18"/>
              </w:rPr>
            </w:pPr>
            <w:r w:rsidRPr="00E40AFC">
              <w:rPr>
                <w:b/>
                <w:sz w:val="18"/>
                <w:szCs w:val="18"/>
              </w:rPr>
              <w:t>Average Reporting Hours per Response</w:t>
            </w:r>
          </w:p>
        </w:tc>
        <w:tc>
          <w:tcPr>
            <w:tcW w:w="1144" w:type="dxa"/>
            <w:tcBorders>
              <w:top w:val="single" w:sz="8" w:space="0" w:color="auto"/>
              <w:left w:val="nil"/>
              <w:bottom w:val="single" w:sz="8" w:space="0" w:color="auto"/>
              <w:right w:val="single" w:sz="8" w:space="0" w:color="auto"/>
            </w:tcBorders>
            <w:shd w:val="clear" w:color="auto" w:fill="auto"/>
            <w:vAlign w:val="center"/>
            <w:hideMark/>
          </w:tcPr>
          <w:p w14:paraId="3B3BE2BD" w14:textId="77777777" w:rsidR="00A13DD7" w:rsidRDefault="00A13DD7" w:rsidP="002F119E">
            <w:pPr>
              <w:keepNext/>
              <w:jc w:val="center"/>
              <w:rPr>
                <w:b/>
                <w:bCs/>
                <w:color w:val="000000"/>
                <w:sz w:val="18"/>
                <w:szCs w:val="18"/>
              </w:rPr>
            </w:pPr>
            <w:r>
              <w:rPr>
                <w:b/>
                <w:bCs/>
                <w:color w:val="000000"/>
                <w:sz w:val="18"/>
                <w:szCs w:val="18"/>
              </w:rPr>
              <w:t>Total Burden for Reporting</w:t>
            </w:r>
          </w:p>
        </w:tc>
        <w:tc>
          <w:tcPr>
            <w:tcW w:w="1376" w:type="dxa"/>
            <w:tcBorders>
              <w:top w:val="single" w:sz="8" w:space="0" w:color="auto"/>
              <w:left w:val="nil"/>
              <w:bottom w:val="single" w:sz="8" w:space="0" w:color="auto"/>
              <w:right w:val="single" w:sz="8" w:space="0" w:color="auto"/>
            </w:tcBorders>
            <w:shd w:val="clear" w:color="auto" w:fill="auto"/>
            <w:vAlign w:val="center"/>
            <w:hideMark/>
          </w:tcPr>
          <w:p w14:paraId="0376387E" w14:textId="77777777" w:rsidR="00A13DD7" w:rsidRDefault="00A13DD7" w:rsidP="002F119E">
            <w:pPr>
              <w:keepNext/>
              <w:jc w:val="center"/>
              <w:rPr>
                <w:b/>
                <w:bCs/>
                <w:color w:val="000000"/>
                <w:sz w:val="18"/>
                <w:szCs w:val="18"/>
              </w:rPr>
            </w:pPr>
            <w:r>
              <w:rPr>
                <w:b/>
                <w:bCs/>
                <w:color w:val="000000"/>
                <w:sz w:val="18"/>
                <w:szCs w:val="18"/>
              </w:rPr>
              <w:t>Hours for Recordkeeping</w:t>
            </w:r>
          </w:p>
        </w:tc>
        <w:tc>
          <w:tcPr>
            <w:tcW w:w="1414" w:type="dxa"/>
            <w:tcBorders>
              <w:top w:val="single" w:sz="8" w:space="0" w:color="auto"/>
              <w:left w:val="nil"/>
              <w:bottom w:val="single" w:sz="8" w:space="0" w:color="auto"/>
              <w:right w:val="single" w:sz="8" w:space="0" w:color="auto"/>
            </w:tcBorders>
            <w:vAlign w:val="center"/>
          </w:tcPr>
          <w:p w14:paraId="6961E65B" w14:textId="77777777" w:rsidR="00A13DD7" w:rsidRDefault="00A13DD7" w:rsidP="002F119E">
            <w:pPr>
              <w:keepNext/>
              <w:jc w:val="center"/>
              <w:rPr>
                <w:b/>
                <w:bCs/>
                <w:color w:val="000000"/>
                <w:sz w:val="18"/>
                <w:szCs w:val="18"/>
              </w:rPr>
            </w:pPr>
            <w:r>
              <w:rPr>
                <w:b/>
                <w:bCs/>
                <w:color w:val="000000"/>
                <w:sz w:val="18"/>
                <w:szCs w:val="18"/>
              </w:rPr>
              <w:t>Total Burden for Recordkeeping</w:t>
            </w:r>
          </w:p>
        </w:tc>
        <w:tc>
          <w:tcPr>
            <w:tcW w:w="1376" w:type="dxa"/>
            <w:tcBorders>
              <w:top w:val="single" w:sz="8" w:space="0" w:color="auto"/>
              <w:left w:val="nil"/>
              <w:bottom w:val="single" w:sz="8" w:space="0" w:color="auto"/>
              <w:right w:val="single" w:sz="8" w:space="0" w:color="auto"/>
            </w:tcBorders>
          </w:tcPr>
          <w:p w14:paraId="6BCF0DD1" w14:textId="77777777" w:rsidR="00A13DD7" w:rsidRDefault="00A13DD7" w:rsidP="002F119E">
            <w:pPr>
              <w:keepNext/>
              <w:jc w:val="center"/>
              <w:rPr>
                <w:b/>
                <w:bCs/>
                <w:color w:val="000000"/>
                <w:sz w:val="18"/>
                <w:szCs w:val="18"/>
              </w:rPr>
            </w:pPr>
            <w:r>
              <w:rPr>
                <w:b/>
                <w:bCs/>
                <w:color w:val="000000"/>
                <w:sz w:val="18"/>
                <w:szCs w:val="18"/>
              </w:rPr>
              <w:t>Total Burden for Reporting and Recordkeeping</w:t>
            </w:r>
          </w:p>
        </w:tc>
      </w:tr>
      <w:tr w:rsidR="00A13DD7" w14:paraId="21BB0722" w14:textId="77777777" w:rsidTr="002F119E">
        <w:trPr>
          <w:trHeight w:val="349"/>
        </w:trPr>
        <w:tc>
          <w:tcPr>
            <w:tcW w:w="1185" w:type="dxa"/>
            <w:tcBorders>
              <w:top w:val="nil"/>
              <w:left w:val="single" w:sz="8" w:space="0" w:color="auto"/>
              <w:bottom w:val="single" w:sz="8" w:space="0" w:color="auto"/>
              <w:right w:val="single" w:sz="8" w:space="0" w:color="auto"/>
            </w:tcBorders>
            <w:shd w:val="clear" w:color="auto" w:fill="auto"/>
            <w:vAlign w:val="center"/>
            <w:hideMark/>
          </w:tcPr>
          <w:p w14:paraId="42C40B45" w14:textId="77777777" w:rsidR="00A13DD7" w:rsidRDefault="00A13DD7" w:rsidP="002F119E">
            <w:pPr>
              <w:keepNext/>
              <w:jc w:val="center"/>
              <w:rPr>
                <w:color w:val="000000"/>
                <w:sz w:val="18"/>
                <w:szCs w:val="18"/>
              </w:rPr>
            </w:pPr>
            <w:r>
              <w:rPr>
                <w:b/>
                <w:sz w:val="18"/>
                <w:szCs w:val="18"/>
              </w:rPr>
              <w:t>Currently Approved</w:t>
            </w:r>
          </w:p>
        </w:tc>
        <w:tc>
          <w:tcPr>
            <w:tcW w:w="1170" w:type="dxa"/>
            <w:tcBorders>
              <w:top w:val="nil"/>
              <w:left w:val="nil"/>
              <w:bottom w:val="single" w:sz="8" w:space="0" w:color="auto"/>
              <w:right w:val="single" w:sz="8" w:space="0" w:color="auto"/>
            </w:tcBorders>
            <w:shd w:val="clear" w:color="auto" w:fill="auto"/>
            <w:vAlign w:val="center"/>
            <w:hideMark/>
          </w:tcPr>
          <w:p w14:paraId="75F139DE" w14:textId="77777777" w:rsidR="00A13DD7" w:rsidRDefault="00A13DD7" w:rsidP="002F119E">
            <w:pPr>
              <w:jc w:val="center"/>
              <w:rPr>
                <w:color w:val="000000"/>
                <w:sz w:val="18"/>
                <w:szCs w:val="18"/>
              </w:rPr>
            </w:pPr>
            <w:r>
              <w:rPr>
                <w:iCs/>
                <w:color w:val="000000"/>
                <w:sz w:val="18"/>
                <w:szCs w:val="18"/>
              </w:rPr>
              <w:t>116</w:t>
            </w:r>
          </w:p>
        </w:tc>
        <w:tc>
          <w:tcPr>
            <w:tcW w:w="1350" w:type="dxa"/>
            <w:tcBorders>
              <w:top w:val="nil"/>
              <w:left w:val="nil"/>
              <w:bottom w:val="single" w:sz="8" w:space="0" w:color="auto"/>
              <w:right w:val="single" w:sz="8" w:space="0" w:color="auto"/>
            </w:tcBorders>
            <w:shd w:val="clear" w:color="auto" w:fill="auto"/>
            <w:vAlign w:val="center"/>
            <w:hideMark/>
          </w:tcPr>
          <w:p w14:paraId="42460338" w14:textId="7813A007" w:rsidR="00A13DD7" w:rsidRDefault="005D20D3" w:rsidP="002F119E">
            <w:pPr>
              <w:jc w:val="center"/>
              <w:rPr>
                <w:color w:val="000000"/>
                <w:sz w:val="18"/>
                <w:szCs w:val="18"/>
              </w:rPr>
            </w:pPr>
            <w:r>
              <w:rPr>
                <w:color w:val="000000"/>
                <w:sz w:val="18"/>
                <w:szCs w:val="18"/>
              </w:rPr>
              <w:t>20</w:t>
            </w:r>
          </w:p>
        </w:tc>
        <w:tc>
          <w:tcPr>
            <w:tcW w:w="1144" w:type="dxa"/>
            <w:tcBorders>
              <w:top w:val="nil"/>
              <w:left w:val="nil"/>
              <w:bottom w:val="single" w:sz="8" w:space="0" w:color="auto"/>
              <w:right w:val="single" w:sz="8" w:space="0" w:color="auto"/>
            </w:tcBorders>
            <w:shd w:val="clear" w:color="auto" w:fill="auto"/>
            <w:vAlign w:val="center"/>
            <w:hideMark/>
          </w:tcPr>
          <w:p w14:paraId="12F641B4" w14:textId="77777777" w:rsidR="00A13DD7" w:rsidRDefault="00A13DD7" w:rsidP="002F119E">
            <w:pPr>
              <w:jc w:val="center"/>
              <w:rPr>
                <w:color w:val="000000"/>
                <w:sz w:val="18"/>
                <w:szCs w:val="18"/>
              </w:rPr>
            </w:pPr>
            <w:r>
              <w:rPr>
                <w:color w:val="000000"/>
                <w:sz w:val="18"/>
                <w:szCs w:val="18"/>
              </w:rPr>
              <w:t>2,320</w:t>
            </w:r>
          </w:p>
        </w:tc>
        <w:tc>
          <w:tcPr>
            <w:tcW w:w="1376" w:type="dxa"/>
            <w:tcBorders>
              <w:top w:val="nil"/>
              <w:left w:val="nil"/>
              <w:bottom w:val="single" w:sz="8" w:space="0" w:color="auto"/>
              <w:right w:val="single" w:sz="8" w:space="0" w:color="auto"/>
            </w:tcBorders>
            <w:shd w:val="clear" w:color="auto" w:fill="auto"/>
            <w:vAlign w:val="center"/>
            <w:hideMark/>
          </w:tcPr>
          <w:p w14:paraId="0C435F60" w14:textId="77777777" w:rsidR="00A13DD7" w:rsidRDefault="00A13DD7" w:rsidP="002F119E">
            <w:pPr>
              <w:jc w:val="center"/>
              <w:rPr>
                <w:color w:val="000000"/>
                <w:sz w:val="18"/>
                <w:szCs w:val="18"/>
              </w:rPr>
            </w:pPr>
            <w:r>
              <w:rPr>
                <w:color w:val="000000"/>
                <w:sz w:val="18"/>
                <w:szCs w:val="18"/>
              </w:rPr>
              <w:t>2</w:t>
            </w:r>
          </w:p>
        </w:tc>
        <w:tc>
          <w:tcPr>
            <w:tcW w:w="1414" w:type="dxa"/>
            <w:tcBorders>
              <w:top w:val="nil"/>
              <w:left w:val="nil"/>
              <w:bottom w:val="single" w:sz="8" w:space="0" w:color="auto"/>
              <w:right w:val="single" w:sz="8" w:space="0" w:color="auto"/>
            </w:tcBorders>
            <w:vAlign w:val="center"/>
          </w:tcPr>
          <w:p w14:paraId="0FAE9635" w14:textId="77777777" w:rsidR="00A13DD7" w:rsidRDefault="00A13DD7" w:rsidP="002F119E">
            <w:pPr>
              <w:jc w:val="center"/>
              <w:rPr>
                <w:color w:val="000000"/>
                <w:sz w:val="18"/>
                <w:szCs w:val="18"/>
              </w:rPr>
            </w:pPr>
            <w:r>
              <w:rPr>
                <w:color w:val="000000"/>
                <w:sz w:val="18"/>
                <w:szCs w:val="18"/>
              </w:rPr>
              <w:t>232</w:t>
            </w:r>
          </w:p>
        </w:tc>
        <w:tc>
          <w:tcPr>
            <w:tcW w:w="1376" w:type="dxa"/>
            <w:tcBorders>
              <w:top w:val="nil"/>
              <w:left w:val="nil"/>
              <w:bottom w:val="single" w:sz="8" w:space="0" w:color="auto"/>
              <w:right w:val="single" w:sz="8" w:space="0" w:color="auto"/>
            </w:tcBorders>
            <w:vAlign w:val="center"/>
          </w:tcPr>
          <w:p w14:paraId="37C528CD" w14:textId="77777777" w:rsidR="00A13DD7" w:rsidRDefault="00A13DD7" w:rsidP="002F119E">
            <w:pPr>
              <w:jc w:val="center"/>
              <w:rPr>
                <w:color w:val="000000"/>
                <w:sz w:val="18"/>
                <w:szCs w:val="18"/>
              </w:rPr>
            </w:pPr>
            <w:r>
              <w:rPr>
                <w:color w:val="000000"/>
                <w:sz w:val="18"/>
                <w:szCs w:val="18"/>
              </w:rPr>
              <w:t>2,552</w:t>
            </w:r>
          </w:p>
        </w:tc>
      </w:tr>
      <w:tr w:rsidR="00A13DD7" w14:paraId="7BD4047D" w14:textId="77777777" w:rsidTr="002F119E">
        <w:trPr>
          <w:trHeight w:val="315"/>
        </w:trPr>
        <w:tc>
          <w:tcPr>
            <w:tcW w:w="1185" w:type="dxa"/>
            <w:tcBorders>
              <w:top w:val="nil"/>
              <w:left w:val="single" w:sz="8" w:space="0" w:color="auto"/>
              <w:bottom w:val="single" w:sz="4" w:space="0" w:color="auto"/>
              <w:right w:val="single" w:sz="8" w:space="0" w:color="auto"/>
            </w:tcBorders>
            <w:shd w:val="clear" w:color="auto" w:fill="auto"/>
            <w:vAlign w:val="center"/>
            <w:hideMark/>
          </w:tcPr>
          <w:p w14:paraId="1F0D61D8" w14:textId="77777777" w:rsidR="00A13DD7" w:rsidRDefault="00A13DD7" w:rsidP="002F119E">
            <w:pPr>
              <w:keepNext/>
              <w:jc w:val="center"/>
              <w:rPr>
                <w:color w:val="000000"/>
                <w:sz w:val="18"/>
                <w:szCs w:val="18"/>
              </w:rPr>
            </w:pPr>
            <w:r>
              <w:rPr>
                <w:b/>
                <w:sz w:val="18"/>
                <w:szCs w:val="18"/>
              </w:rPr>
              <w:t>Updated Estimate</w:t>
            </w:r>
          </w:p>
        </w:tc>
        <w:tc>
          <w:tcPr>
            <w:tcW w:w="1170" w:type="dxa"/>
            <w:tcBorders>
              <w:top w:val="nil"/>
              <w:left w:val="nil"/>
              <w:bottom w:val="single" w:sz="4" w:space="0" w:color="auto"/>
              <w:right w:val="single" w:sz="8" w:space="0" w:color="auto"/>
            </w:tcBorders>
            <w:shd w:val="clear" w:color="auto" w:fill="auto"/>
            <w:vAlign w:val="center"/>
            <w:hideMark/>
          </w:tcPr>
          <w:p w14:paraId="5F6F61AD" w14:textId="77777777" w:rsidR="00A13DD7" w:rsidRDefault="00A13DD7" w:rsidP="002F119E">
            <w:pPr>
              <w:jc w:val="center"/>
              <w:rPr>
                <w:color w:val="000000"/>
                <w:sz w:val="18"/>
                <w:szCs w:val="18"/>
              </w:rPr>
            </w:pPr>
            <w:r>
              <w:rPr>
                <w:iCs/>
                <w:color w:val="000000"/>
                <w:sz w:val="18"/>
                <w:szCs w:val="18"/>
              </w:rPr>
              <w:t>116</w:t>
            </w:r>
          </w:p>
        </w:tc>
        <w:tc>
          <w:tcPr>
            <w:tcW w:w="1350" w:type="dxa"/>
            <w:tcBorders>
              <w:top w:val="nil"/>
              <w:left w:val="nil"/>
              <w:bottom w:val="single" w:sz="4" w:space="0" w:color="auto"/>
              <w:right w:val="single" w:sz="8" w:space="0" w:color="auto"/>
            </w:tcBorders>
            <w:shd w:val="clear" w:color="auto" w:fill="auto"/>
            <w:vAlign w:val="center"/>
            <w:hideMark/>
          </w:tcPr>
          <w:p w14:paraId="4F030B41" w14:textId="23EF3178" w:rsidR="00A13DD7" w:rsidRDefault="00A13DD7" w:rsidP="005D20D3">
            <w:pPr>
              <w:jc w:val="center"/>
              <w:rPr>
                <w:color w:val="000000"/>
                <w:sz w:val="18"/>
                <w:szCs w:val="18"/>
              </w:rPr>
            </w:pPr>
            <w:r>
              <w:rPr>
                <w:color w:val="000000"/>
                <w:sz w:val="18"/>
                <w:szCs w:val="18"/>
              </w:rPr>
              <w:t>16</w:t>
            </w:r>
            <w:r w:rsidR="005D20D3">
              <w:rPr>
                <w:color w:val="000000"/>
                <w:sz w:val="18"/>
                <w:szCs w:val="18"/>
              </w:rPr>
              <w:t>.5</w:t>
            </w:r>
          </w:p>
        </w:tc>
        <w:tc>
          <w:tcPr>
            <w:tcW w:w="1144" w:type="dxa"/>
            <w:tcBorders>
              <w:top w:val="nil"/>
              <w:left w:val="nil"/>
              <w:bottom w:val="single" w:sz="4" w:space="0" w:color="auto"/>
              <w:right w:val="single" w:sz="8" w:space="0" w:color="auto"/>
            </w:tcBorders>
            <w:shd w:val="clear" w:color="auto" w:fill="auto"/>
            <w:vAlign w:val="center"/>
            <w:hideMark/>
          </w:tcPr>
          <w:p w14:paraId="42D39B8C" w14:textId="333EC7A4" w:rsidR="00A13DD7" w:rsidRDefault="00A13DD7" w:rsidP="0045618F">
            <w:pPr>
              <w:jc w:val="center"/>
              <w:rPr>
                <w:color w:val="000000"/>
                <w:sz w:val="18"/>
                <w:szCs w:val="18"/>
              </w:rPr>
            </w:pPr>
            <w:r>
              <w:rPr>
                <w:color w:val="000000"/>
                <w:sz w:val="18"/>
                <w:szCs w:val="18"/>
              </w:rPr>
              <w:t>1,</w:t>
            </w:r>
            <w:r w:rsidR="0045618F">
              <w:rPr>
                <w:color w:val="000000"/>
                <w:sz w:val="18"/>
                <w:szCs w:val="18"/>
              </w:rPr>
              <w:t>914</w:t>
            </w:r>
          </w:p>
        </w:tc>
        <w:tc>
          <w:tcPr>
            <w:tcW w:w="1376" w:type="dxa"/>
            <w:tcBorders>
              <w:top w:val="nil"/>
              <w:left w:val="nil"/>
              <w:bottom w:val="single" w:sz="4" w:space="0" w:color="auto"/>
              <w:right w:val="single" w:sz="8" w:space="0" w:color="auto"/>
            </w:tcBorders>
            <w:shd w:val="clear" w:color="auto" w:fill="auto"/>
            <w:vAlign w:val="center"/>
            <w:hideMark/>
          </w:tcPr>
          <w:p w14:paraId="4B032905" w14:textId="77777777" w:rsidR="00A13DD7" w:rsidRDefault="00A13DD7" w:rsidP="002F119E">
            <w:pPr>
              <w:jc w:val="center"/>
              <w:rPr>
                <w:color w:val="000000"/>
                <w:sz w:val="18"/>
                <w:szCs w:val="18"/>
              </w:rPr>
            </w:pPr>
            <w:r>
              <w:rPr>
                <w:color w:val="000000"/>
                <w:sz w:val="18"/>
                <w:szCs w:val="18"/>
              </w:rPr>
              <w:t>1</w:t>
            </w:r>
          </w:p>
        </w:tc>
        <w:tc>
          <w:tcPr>
            <w:tcW w:w="1414" w:type="dxa"/>
            <w:tcBorders>
              <w:top w:val="nil"/>
              <w:left w:val="nil"/>
              <w:bottom w:val="single" w:sz="4" w:space="0" w:color="auto"/>
              <w:right w:val="single" w:sz="8" w:space="0" w:color="auto"/>
            </w:tcBorders>
            <w:vAlign w:val="center"/>
          </w:tcPr>
          <w:p w14:paraId="53497284" w14:textId="77777777" w:rsidR="00A13DD7" w:rsidRDefault="00A13DD7" w:rsidP="002F119E">
            <w:pPr>
              <w:jc w:val="center"/>
              <w:rPr>
                <w:color w:val="000000"/>
                <w:sz w:val="18"/>
                <w:szCs w:val="18"/>
              </w:rPr>
            </w:pPr>
            <w:r>
              <w:rPr>
                <w:color w:val="000000"/>
                <w:sz w:val="18"/>
                <w:szCs w:val="18"/>
              </w:rPr>
              <w:t>116</w:t>
            </w:r>
          </w:p>
        </w:tc>
        <w:tc>
          <w:tcPr>
            <w:tcW w:w="1376" w:type="dxa"/>
            <w:tcBorders>
              <w:top w:val="nil"/>
              <w:left w:val="nil"/>
              <w:bottom w:val="single" w:sz="4" w:space="0" w:color="auto"/>
              <w:right w:val="single" w:sz="8" w:space="0" w:color="auto"/>
            </w:tcBorders>
            <w:vAlign w:val="center"/>
          </w:tcPr>
          <w:p w14:paraId="43BB19A7" w14:textId="5D78B2AA" w:rsidR="00A13DD7" w:rsidRDefault="0045618F" w:rsidP="002F119E">
            <w:pPr>
              <w:jc w:val="center"/>
              <w:rPr>
                <w:color w:val="000000"/>
                <w:sz w:val="18"/>
                <w:szCs w:val="18"/>
              </w:rPr>
            </w:pPr>
            <w:r>
              <w:rPr>
                <w:color w:val="000000"/>
                <w:sz w:val="18"/>
                <w:szCs w:val="18"/>
              </w:rPr>
              <w:t>2,030</w:t>
            </w:r>
          </w:p>
        </w:tc>
      </w:tr>
      <w:tr w:rsidR="00A13DD7" w14:paraId="3C6CE30F" w14:textId="77777777" w:rsidTr="002F119E">
        <w:trPr>
          <w:trHeight w:val="315"/>
        </w:trPr>
        <w:tc>
          <w:tcPr>
            <w:tcW w:w="1185" w:type="dxa"/>
            <w:tcBorders>
              <w:top w:val="single" w:sz="4" w:space="0" w:color="auto"/>
              <w:left w:val="single" w:sz="8" w:space="0" w:color="auto"/>
              <w:bottom w:val="single" w:sz="8" w:space="0" w:color="auto"/>
              <w:right w:val="single" w:sz="8" w:space="0" w:color="auto"/>
            </w:tcBorders>
            <w:shd w:val="clear" w:color="auto" w:fill="auto"/>
            <w:vAlign w:val="center"/>
          </w:tcPr>
          <w:p w14:paraId="0FBD3409" w14:textId="77777777" w:rsidR="00A13DD7" w:rsidRPr="00D36BC0" w:rsidRDefault="00A13DD7" w:rsidP="002F119E">
            <w:pPr>
              <w:keepNext/>
              <w:jc w:val="center"/>
              <w:rPr>
                <w:b/>
                <w:sz w:val="18"/>
                <w:szCs w:val="18"/>
              </w:rPr>
            </w:pPr>
            <w:r w:rsidRPr="00D36BC0">
              <w:rPr>
                <w:b/>
                <w:sz w:val="18"/>
                <w:szCs w:val="18"/>
              </w:rPr>
              <w:t>Change</w:t>
            </w:r>
          </w:p>
        </w:tc>
        <w:tc>
          <w:tcPr>
            <w:tcW w:w="1170" w:type="dxa"/>
            <w:tcBorders>
              <w:top w:val="single" w:sz="4" w:space="0" w:color="auto"/>
              <w:left w:val="nil"/>
              <w:bottom w:val="single" w:sz="8" w:space="0" w:color="auto"/>
              <w:right w:val="single" w:sz="8" w:space="0" w:color="auto"/>
            </w:tcBorders>
            <w:shd w:val="clear" w:color="auto" w:fill="auto"/>
            <w:vAlign w:val="center"/>
          </w:tcPr>
          <w:p w14:paraId="68820439" w14:textId="77777777" w:rsidR="00A13DD7" w:rsidRDefault="00A13DD7" w:rsidP="002F119E">
            <w:pPr>
              <w:jc w:val="center"/>
              <w:rPr>
                <w:b/>
                <w:bCs/>
                <w:color w:val="000000"/>
                <w:sz w:val="18"/>
                <w:szCs w:val="18"/>
              </w:rPr>
            </w:pPr>
            <w:r>
              <w:rPr>
                <w:b/>
                <w:bCs/>
                <w:color w:val="000000"/>
                <w:sz w:val="18"/>
                <w:szCs w:val="18"/>
              </w:rPr>
              <w:t>0</w:t>
            </w:r>
          </w:p>
        </w:tc>
        <w:tc>
          <w:tcPr>
            <w:tcW w:w="1350" w:type="dxa"/>
            <w:tcBorders>
              <w:top w:val="single" w:sz="4" w:space="0" w:color="auto"/>
              <w:left w:val="nil"/>
              <w:bottom w:val="single" w:sz="8" w:space="0" w:color="auto"/>
              <w:right w:val="single" w:sz="8" w:space="0" w:color="auto"/>
            </w:tcBorders>
            <w:shd w:val="clear" w:color="auto" w:fill="auto"/>
            <w:vAlign w:val="center"/>
          </w:tcPr>
          <w:p w14:paraId="5EE8FF6F" w14:textId="4E735055" w:rsidR="00A13DD7" w:rsidRDefault="00A13DD7" w:rsidP="0045618F">
            <w:pPr>
              <w:jc w:val="center"/>
              <w:rPr>
                <w:b/>
                <w:bCs/>
                <w:color w:val="000000"/>
                <w:sz w:val="18"/>
                <w:szCs w:val="18"/>
              </w:rPr>
            </w:pPr>
            <w:r>
              <w:rPr>
                <w:b/>
                <w:bCs/>
                <w:color w:val="000000"/>
                <w:sz w:val="18"/>
                <w:szCs w:val="18"/>
              </w:rPr>
              <w:t>-</w:t>
            </w:r>
            <w:r w:rsidR="0045618F">
              <w:rPr>
                <w:b/>
                <w:bCs/>
                <w:color w:val="000000"/>
                <w:sz w:val="18"/>
                <w:szCs w:val="18"/>
              </w:rPr>
              <w:t>3.5</w:t>
            </w:r>
          </w:p>
        </w:tc>
        <w:tc>
          <w:tcPr>
            <w:tcW w:w="1144" w:type="dxa"/>
            <w:tcBorders>
              <w:top w:val="single" w:sz="4" w:space="0" w:color="auto"/>
              <w:left w:val="nil"/>
              <w:bottom w:val="single" w:sz="8" w:space="0" w:color="auto"/>
              <w:right w:val="single" w:sz="8" w:space="0" w:color="auto"/>
            </w:tcBorders>
            <w:shd w:val="clear" w:color="auto" w:fill="auto"/>
            <w:vAlign w:val="center"/>
          </w:tcPr>
          <w:p w14:paraId="2B9C216A" w14:textId="62240FF0" w:rsidR="00A13DD7" w:rsidRDefault="00A13DD7" w:rsidP="0045618F">
            <w:pPr>
              <w:jc w:val="center"/>
              <w:rPr>
                <w:b/>
                <w:bCs/>
                <w:color w:val="000000"/>
                <w:sz w:val="18"/>
                <w:szCs w:val="18"/>
              </w:rPr>
            </w:pPr>
            <w:r>
              <w:rPr>
                <w:b/>
                <w:bCs/>
                <w:color w:val="000000"/>
                <w:sz w:val="18"/>
                <w:szCs w:val="18"/>
              </w:rPr>
              <w:t>-4</w:t>
            </w:r>
            <w:r w:rsidR="0045618F">
              <w:rPr>
                <w:b/>
                <w:bCs/>
                <w:color w:val="000000"/>
                <w:sz w:val="18"/>
                <w:szCs w:val="18"/>
              </w:rPr>
              <w:t>06</w:t>
            </w:r>
          </w:p>
        </w:tc>
        <w:tc>
          <w:tcPr>
            <w:tcW w:w="1376" w:type="dxa"/>
            <w:tcBorders>
              <w:top w:val="single" w:sz="4" w:space="0" w:color="auto"/>
              <w:left w:val="nil"/>
              <w:bottom w:val="single" w:sz="8" w:space="0" w:color="auto"/>
              <w:right w:val="single" w:sz="8" w:space="0" w:color="auto"/>
            </w:tcBorders>
            <w:shd w:val="clear" w:color="auto" w:fill="auto"/>
            <w:vAlign w:val="center"/>
          </w:tcPr>
          <w:p w14:paraId="1FBA9C0D" w14:textId="77777777" w:rsidR="00A13DD7" w:rsidRDefault="00A13DD7" w:rsidP="002F119E">
            <w:pPr>
              <w:jc w:val="center"/>
              <w:rPr>
                <w:b/>
                <w:bCs/>
                <w:color w:val="000000"/>
                <w:sz w:val="18"/>
                <w:szCs w:val="18"/>
              </w:rPr>
            </w:pPr>
            <w:r>
              <w:rPr>
                <w:b/>
                <w:bCs/>
                <w:color w:val="000000"/>
                <w:sz w:val="18"/>
                <w:szCs w:val="18"/>
              </w:rPr>
              <w:t>-1</w:t>
            </w:r>
          </w:p>
        </w:tc>
        <w:tc>
          <w:tcPr>
            <w:tcW w:w="1414" w:type="dxa"/>
            <w:tcBorders>
              <w:top w:val="single" w:sz="4" w:space="0" w:color="auto"/>
              <w:left w:val="nil"/>
              <w:bottom w:val="single" w:sz="8" w:space="0" w:color="auto"/>
              <w:right w:val="single" w:sz="8" w:space="0" w:color="auto"/>
            </w:tcBorders>
            <w:vAlign w:val="center"/>
          </w:tcPr>
          <w:p w14:paraId="55016F92" w14:textId="77777777" w:rsidR="00A13DD7" w:rsidRDefault="00A13DD7" w:rsidP="002F119E">
            <w:pPr>
              <w:jc w:val="center"/>
              <w:rPr>
                <w:b/>
                <w:bCs/>
                <w:color w:val="000000"/>
                <w:sz w:val="18"/>
                <w:szCs w:val="18"/>
              </w:rPr>
            </w:pPr>
            <w:r>
              <w:rPr>
                <w:b/>
                <w:bCs/>
                <w:color w:val="000000"/>
                <w:sz w:val="18"/>
                <w:szCs w:val="18"/>
              </w:rPr>
              <w:t>-116</w:t>
            </w:r>
          </w:p>
        </w:tc>
        <w:tc>
          <w:tcPr>
            <w:tcW w:w="1376" w:type="dxa"/>
            <w:tcBorders>
              <w:top w:val="single" w:sz="4" w:space="0" w:color="auto"/>
              <w:left w:val="nil"/>
              <w:bottom w:val="single" w:sz="8" w:space="0" w:color="auto"/>
              <w:right w:val="single" w:sz="8" w:space="0" w:color="auto"/>
            </w:tcBorders>
            <w:vAlign w:val="center"/>
          </w:tcPr>
          <w:p w14:paraId="33220D81" w14:textId="37FC1A59" w:rsidR="00A13DD7" w:rsidRDefault="00A13DD7" w:rsidP="0045618F">
            <w:pPr>
              <w:jc w:val="center"/>
              <w:rPr>
                <w:b/>
                <w:bCs/>
                <w:color w:val="000000"/>
                <w:sz w:val="18"/>
                <w:szCs w:val="18"/>
              </w:rPr>
            </w:pPr>
            <w:r>
              <w:rPr>
                <w:b/>
                <w:bCs/>
                <w:color w:val="000000"/>
                <w:sz w:val="18"/>
                <w:szCs w:val="18"/>
              </w:rPr>
              <w:t>-5</w:t>
            </w:r>
            <w:r w:rsidR="0045618F">
              <w:rPr>
                <w:b/>
                <w:bCs/>
                <w:color w:val="000000"/>
                <w:sz w:val="18"/>
                <w:szCs w:val="18"/>
              </w:rPr>
              <w:t>22</w:t>
            </w:r>
          </w:p>
        </w:tc>
      </w:tr>
    </w:tbl>
    <w:p w14:paraId="23396FCA" w14:textId="77777777" w:rsidR="00496ABC" w:rsidRDefault="00496ABC" w:rsidP="0057364F"/>
    <w:p w14:paraId="6D8258AB" w14:textId="77777777" w:rsidR="009A3F2A" w:rsidRPr="005150C3" w:rsidRDefault="009A3F2A" w:rsidP="004B490A">
      <w:pPr>
        <w:pStyle w:val="Heading2"/>
        <w:tabs>
          <w:tab w:val="clear" w:pos="720"/>
          <w:tab w:val="num" w:pos="1440"/>
        </w:tabs>
        <w:ind w:firstLine="0"/>
        <w:rPr>
          <w:b/>
          <w:bCs/>
          <w:i w:val="0"/>
          <w:sz w:val="24"/>
          <w:szCs w:val="24"/>
        </w:rPr>
      </w:pPr>
      <w:bookmarkStart w:id="3" w:name="_Ref384980690"/>
      <w:r w:rsidRPr="009A3F2A">
        <w:rPr>
          <w:b/>
          <w:bCs/>
          <w:i w:val="0"/>
          <w:sz w:val="24"/>
        </w:rPr>
        <w:t xml:space="preserve">Estimating </w:t>
      </w:r>
      <w:r w:rsidRPr="005150C3">
        <w:rPr>
          <w:b/>
          <w:bCs/>
          <w:i w:val="0"/>
          <w:sz w:val="24"/>
          <w:szCs w:val="24"/>
        </w:rPr>
        <w:t xml:space="preserve">Respondent </w:t>
      </w:r>
      <w:r w:rsidR="005150C3" w:rsidRPr="005150C3">
        <w:rPr>
          <w:b/>
          <w:bCs/>
          <w:i w:val="0"/>
          <w:sz w:val="24"/>
          <w:szCs w:val="24"/>
        </w:rPr>
        <w:t>Costs</w:t>
      </w:r>
      <w:bookmarkEnd w:id="3"/>
    </w:p>
    <w:p w14:paraId="3C90927B" w14:textId="77777777" w:rsidR="00440DC7" w:rsidRDefault="00440DC7" w:rsidP="0057364F"/>
    <w:p w14:paraId="04BB7567" w14:textId="1F95ED6D" w:rsidR="00DC6A13" w:rsidRDefault="0057364F" w:rsidP="008C685C">
      <w:pPr>
        <w:numPr>
          <w:ilvl w:val="12"/>
          <w:numId w:val="0"/>
        </w:numPr>
      </w:pPr>
      <w:r w:rsidRPr="00892CEB">
        <w:tab/>
        <w:t xml:space="preserve">The cost estimates addressed in this section are based on the burden estimates discussed in </w:t>
      </w:r>
      <w:r w:rsidR="00D20DB0">
        <w:t>S</w:t>
      </w:r>
      <w:r w:rsidRPr="00892CEB">
        <w:t xml:space="preserve">ection </w:t>
      </w:r>
      <w:r w:rsidR="00D20DB0">
        <w:fldChar w:fldCharType="begin"/>
      </w:r>
      <w:r w:rsidR="00D20DB0">
        <w:instrText xml:space="preserve"> REF _Ref384980675 \r \h </w:instrText>
      </w:r>
      <w:r w:rsidR="00D20DB0">
        <w:fldChar w:fldCharType="separate"/>
      </w:r>
      <w:r w:rsidR="009C0B67">
        <w:t>6(a)</w:t>
      </w:r>
      <w:r w:rsidR="00D20DB0">
        <w:fldChar w:fldCharType="end"/>
      </w:r>
      <w:r w:rsidRPr="00892CEB">
        <w:t xml:space="preserve">.  Wage rates for </w:t>
      </w:r>
      <w:r w:rsidR="00AC070E">
        <w:t>ea</w:t>
      </w:r>
      <w:r w:rsidRPr="00892CEB">
        <w:t>ch category of personnel</w:t>
      </w:r>
      <w:r w:rsidR="008C685C">
        <w:t xml:space="preserve">, as well as the distribution of paperwork burdens among those categories, are presented in the economic analysis for the direct final rule. </w:t>
      </w:r>
    </w:p>
    <w:p w14:paraId="48763FF8" w14:textId="57F3E420" w:rsidR="00B47768" w:rsidRDefault="00E413F4" w:rsidP="00B82BE7">
      <w:pPr>
        <w:numPr>
          <w:ilvl w:val="12"/>
          <w:numId w:val="0"/>
        </w:numPr>
      </w:pPr>
      <w:r>
        <w:t xml:space="preserve">The labor cost associated with CDX registration activities, at </w:t>
      </w:r>
      <w:r w:rsidR="00C4598F">
        <w:t xml:space="preserve">an average costs of slightly less than </w:t>
      </w:r>
      <w:r>
        <w:t>$</w:t>
      </w:r>
      <w:r w:rsidR="00C4598F">
        <w:t>39</w:t>
      </w:r>
      <w:r>
        <w:t>/response</w:t>
      </w:r>
      <w:r w:rsidR="00C4598F">
        <w:t xml:space="preserve"> (93 technical registrants and 23 managerial registrants)</w:t>
      </w:r>
      <w:r>
        <w:t>, is estimated to be $</w:t>
      </w:r>
      <w:r w:rsidR="00C4598F">
        <w:t>4,497</w:t>
      </w:r>
      <w:r>
        <w:t>/year</w:t>
      </w:r>
      <w:r w:rsidR="00C4598F">
        <w:t xml:space="preserve"> in the first year</w:t>
      </w:r>
      <w:r>
        <w:t xml:space="preserve">. </w:t>
      </w:r>
      <w:r w:rsidR="00B47768">
        <w:t xml:space="preserve">The labor cost </w:t>
      </w:r>
      <w:r>
        <w:t>associated with</w:t>
      </w:r>
      <w:r w:rsidR="00B47768">
        <w:t xml:space="preserve"> rule familiarization</w:t>
      </w:r>
      <w:r>
        <w:t>, at</w:t>
      </w:r>
      <w:r w:rsidR="00B47768">
        <w:t xml:space="preserve"> </w:t>
      </w:r>
      <w:r>
        <w:t xml:space="preserve">$56.51/response, </w:t>
      </w:r>
      <w:r w:rsidR="00B47768">
        <w:t xml:space="preserve">is estimated to be and </w:t>
      </w:r>
      <w:r w:rsidR="00B82BE7" w:rsidRPr="00B82BE7">
        <w:t>$18,966</w:t>
      </w:r>
      <w:r w:rsidR="00B82BE7">
        <w:t>/year</w:t>
      </w:r>
      <w:r w:rsidR="00B47768">
        <w:t xml:space="preserve">. </w:t>
      </w:r>
      <w:r>
        <w:t xml:space="preserve">The labor cost associated with electronically submitted bona fides, at $1,140/response, is estimated to be </w:t>
      </w:r>
      <w:r w:rsidR="005D20D3" w:rsidRPr="005D20D3">
        <w:t>$134,512</w:t>
      </w:r>
      <w:r>
        <w:t>/year.</w:t>
      </w:r>
    </w:p>
    <w:p w14:paraId="55C23ACC" w14:textId="77777777" w:rsidR="008C685C" w:rsidRDefault="008C685C" w:rsidP="008C685C">
      <w:pPr>
        <w:numPr>
          <w:ilvl w:val="12"/>
          <w:numId w:val="0"/>
        </w:numPr>
      </w:pPr>
    </w:p>
    <w:p w14:paraId="26939CB4" w14:textId="77777777" w:rsidR="00350A37" w:rsidRPr="00350A37" w:rsidRDefault="00350A37" w:rsidP="004B490A">
      <w:pPr>
        <w:pStyle w:val="Heading2"/>
        <w:tabs>
          <w:tab w:val="clear" w:pos="720"/>
          <w:tab w:val="num" w:pos="1440"/>
        </w:tabs>
        <w:ind w:firstLine="0"/>
        <w:rPr>
          <w:b/>
          <w:bCs/>
          <w:i w:val="0"/>
          <w:sz w:val="32"/>
        </w:rPr>
      </w:pPr>
      <w:bookmarkStart w:id="4" w:name="_Ref384980698"/>
      <w:r w:rsidRPr="00350A37">
        <w:rPr>
          <w:b/>
          <w:bCs/>
          <w:i w:val="0"/>
          <w:sz w:val="24"/>
        </w:rPr>
        <w:t>Estimating Agency Cost</w:t>
      </w:r>
      <w:bookmarkEnd w:id="4"/>
    </w:p>
    <w:p w14:paraId="07EF6648" w14:textId="77777777" w:rsidR="00350A37" w:rsidRDefault="0057364F" w:rsidP="0057364F">
      <w:pPr>
        <w:tabs>
          <w:tab w:val="left" w:pos="-1440"/>
        </w:tabs>
        <w:ind w:left="720" w:hanging="720"/>
        <w:rPr>
          <w:b/>
          <w:bCs/>
          <w:sz w:val="22"/>
          <w:szCs w:val="22"/>
        </w:rPr>
      </w:pPr>
      <w:r w:rsidRPr="000A5361">
        <w:rPr>
          <w:b/>
          <w:bCs/>
          <w:sz w:val="22"/>
          <w:szCs w:val="22"/>
        </w:rPr>
        <w:tab/>
      </w:r>
    </w:p>
    <w:p w14:paraId="5EE549C0" w14:textId="77777777" w:rsidR="0045618F" w:rsidRDefault="0045618F" w:rsidP="0045618F">
      <w:pPr>
        <w:ind w:firstLine="720"/>
      </w:pPr>
      <w:r>
        <w:t>The conversion to an electronic reporting system, as well as the adoption of the Thin Client Version of the software to facilitate form submission and processing, is expected to create long-term burden reductions and efficiencies for EPA. For example, when data is submitted electronically, the time required for EPA staff to review and process the information will be reduced because manual data entry or processing will be eliminated. The use of CDX will enable EPA to notify the submitter that the Agency has received the submission and will lead to higher quality data being available more quickly to EPA.</w:t>
      </w:r>
    </w:p>
    <w:p w14:paraId="7AE03625" w14:textId="77777777" w:rsidR="0045618F" w:rsidRDefault="0045618F" w:rsidP="0045618F"/>
    <w:p w14:paraId="1D4B3E84" w14:textId="77777777" w:rsidR="0045618F" w:rsidRDefault="0045618F" w:rsidP="0045618F">
      <w:pPr>
        <w:ind w:firstLine="720"/>
      </w:pPr>
      <w:r>
        <w:t>EPA also expects to realize burden savings attributable to the eventual elimination of its current systems of processing bona fide notices. These savings will stem from eliminating manual data entry of bona fides and related support documents, reducing resources dedicated to quality assurance/quality control (AQ/AC) of the current paper-based system, and either greatly reducing or eliminating operating and maintenance costs for the existing system.</w:t>
      </w:r>
    </w:p>
    <w:p w14:paraId="6F78E6FB" w14:textId="77777777" w:rsidR="0045618F" w:rsidRDefault="0045618F" w:rsidP="0045618F">
      <w:pPr>
        <w:ind w:firstLine="720"/>
      </w:pPr>
    </w:p>
    <w:p w14:paraId="6AAA19C7" w14:textId="5BEE7834" w:rsidR="0045618F" w:rsidRDefault="0045618F" w:rsidP="00BB0F44">
      <w:pPr>
        <w:ind w:firstLine="720"/>
      </w:pPr>
      <w:r>
        <w:t>Baseline Agency burden associated with bona fide notices, 2 hours per notice</w:t>
      </w:r>
      <w:r w:rsidR="00BB0F44">
        <w:t xml:space="preserve"> and the </w:t>
      </w:r>
      <w:r>
        <w:t xml:space="preserve">Agency extramural cost of $91.74 for contract support. </w:t>
      </w:r>
      <w:r w:rsidR="00BB0F44">
        <w:t xml:space="preserve">The anticipated </w:t>
      </w:r>
      <w:r>
        <w:t xml:space="preserve">Agency burden savings associated with the modified final e-PMN rule are characterized based on information in the CDX </w:t>
      </w:r>
      <w:r>
        <w:rPr>
          <w:i/>
        </w:rPr>
        <w:t xml:space="preserve">Business Case Analysis </w:t>
      </w:r>
      <w:r>
        <w:t>regarding the estimated monetary benefit from using CDX. For this analysis, EPA assumes an average annual savings of 17 percent, for a total post compliance burden of 1.66 hours per notice. As a result of electronic bona fide submissions the Agency expects to save approximately 39 hours and $3,</w:t>
      </w:r>
      <w:r w:rsidR="00BB0F44">
        <w:t>061</w:t>
      </w:r>
      <w:r>
        <w:t xml:space="preserve"> annually. </w:t>
      </w:r>
    </w:p>
    <w:p w14:paraId="1AABE09B" w14:textId="77777777" w:rsidR="0045618F" w:rsidRDefault="0045618F" w:rsidP="0045618F">
      <w:pPr>
        <w:pStyle w:val="BodyText"/>
        <w:keepNext/>
        <w:widowControl w:val="0"/>
      </w:pPr>
    </w:p>
    <w:p w14:paraId="4ED450B5" w14:textId="40ED8303" w:rsidR="0045618F" w:rsidRDefault="0045618F" w:rsidP="0045618F">
      <w:pPr>
        <w:pStyle w:val="BodyText"/>
        <w:keepNext/>
        <w:widowControl w:val="0"/>
        <w:rPr>
          <w:b/>
          <w:szCs w:val="22"/>
        </w:rPr>
      </w:pPr>
      <w:r>
        <w:rPr>
          <w:b/>
          <w:szCs w:val="22"/>
        </w:rPr>
        <w:t xml:space="preserve">Table </w:t>
      </w:r>
      <w:r w:rsidR="00A66937">
        <w:rPr>
          <w:b/>
          <w:szCs w:val="22"/>
        </w:rPr>
        <w:t>4</w:t>
      </w:r>
      <w:r>
        <w:rPr>
          <w:b/>
          <w:szCs w:val="22"/>
        </w:rPr>
        <w:t xml:space="preserve">: Agency Burden Reductions for Electronic Submissions of </w:t>
      </w:r>
      <w:r>
        <w:rPr>
          <w:b/>
        </w:rPr>
        <w:t>Bona Fide I</w:t>
      </w:r>
      <w:r>
        <w:rPr>
          <w:rStyle w:val="ptext-1"/>
          <w:b/>
        </w:rPr>
        <w:t>ntent to Manufacture or Import Notices</w:t>
      </w:r>
    </w:p>
    <w:tbl>
      <w:tblPr>
        <w:tblW w:w="4999" w:type="pct"/>
        <w:jc w:val="center"/>
        <w:tblLook w:val="04A0" w:firstRow="1" w:lastRow="0" w:firstColumn="1" w:lastColumn="0" w:noHBand="0" w:noVBand="1"/>
      </w:tblPr>
      <w:tblGrid>
        <w:gridCol w:w="1356"/>
        <w:gridCol w:w="1250"/>
        <w:gridCol w:w="1536"/>
        <w:gridCol w:w="1668"/>
        <w:gridCol w:w="1225"/>
        <w:gridCol w:w="1303"/>
        <w:gridCol w:w="1060"/>
        <w:gridCol w:w="896"/>
      </w:tblGrid>
      <w:tr w:rsidR="0045618F" w14:paraId="1FD6CE5D" w14:textId="77777777" w:rsidTr="00272C41">
        <w:trPr>
          <w:trHeight w:hRule="exact" w:val="978"/>
          <w:jc w:val="center"/>
        </w:trPr>
        <w:tc>
          <w:tcPr>
            <w:tcW w:w="658" w:type="pct"/>
            <w:tcBorders>
              <w:top w:val="single" w:sz="6" w:space="0" w:color="auto"/>
              <w:left w:val="single" w:sz="6" w:space="0" w:color="auto"/>
              <w:bottom w:val="single" w:sz="6" w:space="0" w:color="auto"/>
              <w:right w:val="single" w:sz="6" w:space="0" w:color="auto"/>
            </w:tcBorders>
            <w:shd w:val="clear" w:color="auto" w:fill="C3C6A8"/>
            <w:vAlign w:val="center"/>
          </w:tcPr>
          <w:p w14:paraId="422904A6" w14:textId="77777777" w:rsidR="0045618F" w:rsidRDefault="0045618F" w:rsidP="00272C41">
            <w:pPr>
              <w:keepNext/>
              <w:widowControl w:val="0"/>
              <w:jc w:val="center"/>
              <w:rPr>
                <w:b/>
                <w:sz w:val="18"/>
                <w:szCs w:val="18"/>
              </w:rPr>
            </w:pPr>
          </w:p>
        </w:tc>
        <w:tc>
          <w:tcPr>
            <w:tcW w:w="607" w:type="pct"/>
            <w:tcBorders>
              <w:top w:val="single" w:sz="6" w:space="0" w:color="auto"/>
              <w:left w:val="single" w:sz="6" w:space="0" w:color="auto"/>
              <w:bottom w:val="single" w:sz="6" w:space="0" w:color="auto"/>
              <w:right w:val="single" w:sz="6" w:space="0" w:color="auto"/>
            </w:tcBorders>
            <w:shd w:val="clear" w:color="auto" w:fill="C3C6A8"/>
            <w:vAlign w:val="center"/>
            <w:hideMark/>
          </w:tcPr>
          <w:p w14:paraId="3AA4266D" w14:textId="77777777" w:rsidR="0045618F" w:rsidRDefault="0045618F" w:rsidP="00272C41">
            <w:pPr>
              <w:jc w:val="center"/>
              <w:rPr>
                <w:b/>
                <w:bCs/>
                <w:color w:val="000000"/>
                <w:sz w:val="18"/>
                <w:szCs w:val="18"/>
              </w:rPr>
            </w:pPr>
            <w:r>
              <w:rPr>
                <w:b/>
                <w:bCs/>
                <w:color w:val="000000"/>
                <w:sz w:val="18"/>
                <w:szCs w:val="18"/>
              </w:rPr>
              <w:t>Hourly Burden per Submission</w:t>
            </w:r>
          </w:p>
        </w:tc>
        <w:tc>
          <w:tcPr>
            <w:tcW w:w="746" w:type="pct"/>
            <w:tcBorders>
              <w:top w:val="single" w:sz="6" w:space="0" w:color="auto"/>
              <w:left w:val="single" w:sz="6" w:space="0" w:color="auto"/>
              <w:bottom w:val="nil"/>
              <w:right w:val="single" w:sz="6" w:space="0" w:color="auto"/>
            </w:tcBorders>
            <w:shd w:val="clear" w:color="auto" w:fill="C3C6A8"/>
            <w:vAlign w:val="center"/>
            <w:hideMark/>
          </w:tcPr>
          <w:p w14:paraId="4663006F" w14:textId="77777777" w:rsidR="0045618F" w:rsidRDefault="0045618F" w:rsidP="00272C41">
            <w:pPr>
              <w:jc w:val="center"/>
              <w:rPr>
                <w:b/>
                <w:bCs/>
                <w:color w:val="000000"/>
                <w:sz w:val="18"/>
                <w:szCs w:val="18"/>
              </w:rPr>
            </w:pPr>
            <w:r>
              <w:rPr>
                <w:b/>
                <w:bCs/>
                <w:color w:val="000000"/>
                <w:sz w:val="18"/>
                <w:szCs w:val="18"/>
              </w:rPr>
              <w:t>Hourly Agency Wage Rate</w:t>
            </w:r>
          </w:p>
        </w:tc>
        <w:tc>
          <w:tcPr>
            <w:tcW w:w="810" w:type="pct"/>
            <w:tcBorders>
              <w:top w:val="single" w:sz="6" w:space="0" w:color="auto"/>
              <w:left w:val="single" w:sz="6" w:space="0" w:color="auto"/>
              <w:bottom w:val="nil"/>
              <w:right w:val="single" w:sz="6" w:space="0" w:color="auto"/>
            </w:tcBorders>
            <w:shd w:val="clear" w:color="auto" w:fill="C3C6A8"/>
            <w:vAlign w:val="center"/>
            <w:hideMark/>
          </w:tcPr>
          <w:p w14:paraId="5F147E2F" w14:textId="77777777" w:rsidR="0045618F" w:rsidRDefault="0045618F" w:rsidP="00272C41">
            <w:pPr>
              <w:jc w:val="center"/>
              <w:rPr>
                <w:b/>
                <w:bCs/>
                <w:color w:val="000000"/>
                <w:sz w:val="18"/>
                <w:szCs w:val="18"/>
              </w:rPr>
            </w:pPr>
            <w:r>
              <w:rPr>
                <w:b/>
                <w:bCs/>
                <w:color w:val="000000"/>
                <w:sz w:val="18"/>
                <w:szCs w:val="18"/>
              </w:rPr>
              <w:t>Agency Extramural Cost</w:t>
            </w:r>
          </w:p>
        </w:tc>
        <w:tc>
          <w:tcPr>
            <w:tcW w:w="595" w:type="pct"/>
            <w:tcBorders>
              <w:top w:val="single" w:sz="6" w:space="0" w:color="auto"/>
              <w:left w:val="single" w:sz="6" w:space="0" w:color="auto"/>
              <w:bottom w:val="single" w:sz="6" w:space="0" w:color="auto"/>
              <w:right w:val="single" w:sz="6" w:space="0" w:color="auto"/>
            </w:tcBorders>
            <w:shd w:val="clear" w:color="auto" w:fill="C3C6A8"/>
            <w:vAlign w:val="center"/>
          </w:tcPr>
          <w:p w14:paraId="3039C570" w14:textId="77777777" w:rsidR="0045618F" w:rsidRDefault="0045618F" w:rsidP="00272C41">
            <w:pPr>
              <w:jc w:val="center"/>
              <w:rPr>
                <w:b/>
                <w:bCs/>
                <w:color w:val="000000"/>
                <w:sz w:val="18"/>
                <w:szCs w:val="18"/>
              </w:rPr>
            </w:pPr>
            <w:r>
              <w:rPr>
                <w:b/>
                <w:bCs/>
                <w:color w:val="000000"/>
                <w:sz w:val="18"/>
                <w:szCs w:val="18"/>
              </w:rPr>
              <w:t>Total Cost per Submission</w:t>
            </w:r>
          </w:p>
        </w:tc>
        <w:tc>
          <w:tcPr>
            <w:tcW w:w="633" w:type="pct"/>
            <w:tcBorders>
              <w:top w:val="single" w:sz="6" w:space="0" w:color="auto"/>
              <w:left w:val="single" w:sz="6" w:space="0" w:color="auto"/>
              <w:bottom w:val="single" w:sz="6" w:space="0" w:color="auto"/>
              <w:right w:val="single" w:sz="6" w:space="0" w:color="auto"/>
            </w:tcBorders>
            <w:shd w:val="clear" w:color="auto" w:fill="C3C6A8"/>
            <w:vAlign w:val="center"/>
            <w:hideMark/>
          </w:tcPr>
          <w:p w14:paraId="335836E6" w14:textId="77777777" w:rsidR="0045618F" w:rsidRDefault="0045618F" w:rsidP="00272C41">
            <w:pPr>
              <w:jc w:val="center"/>
              <w:rPr>
                <w:b/>
                <w:bCs/>
                <w:color w:val="000000"/>
                <w:sz w:val="18"/>
                <w:szCs w:val="18"/>
              </w:rPr>
            </w:pPr>
            <w:r>
              <w:rPr>
                <w:b/>
                <w:bCs/>
                <w:color w:val="000000"/>
                <w:sz w:val="18"/>
                <w:szCs w:val="18"/>
              </w:rPr>
              <w:t>Total Number of Submissions</w:t>
            </w:r>
          </w:p>
        </w:tc>
        <w:tc>
          <w:tcPr>
            <w:tcW w:w="515" w:type="pct"/>
            <w:tcBorders>
              <w:top w:val="single" w:sz="6" w:space="0" w:color="auto"/>
              <w:left w:val="single" w:sz="6" w:space="0" w:color="auto"/>
              <w:bottom w:val="single" w:sz="6" w:space="0" w:color="auto"/>
              <w:right w:val="single" w:sz="6" w:space="0" w:color="auto"/>
            </w:tcBorders>
            <w:shd w:val="clear" w:color="auto" w:fill="C3C6A8"/>
            <w:vAlign w:val="center"/>
            <w:hideMark/>
          </w:tcPr>
          <w:p w14:paraId="5A3EEDE5" w14:textId="77777777" w:rsidR="0045618F" w:rsidRDefault="0045618F" w:rsidP="00272C41">
            <w:pPr>
              <w:jc w:val="center"/>
              <w:rPr>
                <w:b/>
                <w:bCs/>
                <w:color w:val="000000"/>
                <w:sz w:val="18"/>
                <w:szCs w:val="18"/>
              </w:rPr>
            </w:pPr>
            <w:r>
              <w:rPr>
                <w:b/>
                <w:bCs/>
                <w:color w:val="000000"/>
                <w:sz w:val="18"/>
                <w:szCs w:val="18"/>
              </w:rPr>
              <w:t>Total Hourly Burden</w:t>
            </w:r>
          </w:p>
        </w:tc>
        <w:tc>
          <w:tcPr>
            <w:tcW w:w="435" w:type="pct"/>
            <w:tcBorders>
              <w:top w:val="single" w:sz="6" w:space="0" w:color="auto"/>
              <w:left w:val="single" w:sz="6" w:space="0" w:color="auto"/>
              <w:bottom w:val="single" w:sz="6" w:space="0" w:color="auto"/>
              <w:right w:val="single" w:sz="6" w:space="0" w:color="auto"/>
            </w:tcBorders>
            <w:shd w:val="clear" w:color="auto" w:fill="C3C6A8"/>
            <w:vAlign w:val="center"/>
            <w:hideMark/>
          </w:tcPr>
          <w:p w14:paraId="3B3949F3" w14:textId="77777777" w:rsidR="0045618F" w:rsidRDefault="0045618F" w:rsidP="00272C41">
            <w:pPr>
              <w:jc w:val="center"/>
              <w:rPr>
                <w:b/>
                <w:bCs/>
                <w:color w:val="000000"/>
                <w:sz w:val="18"/>
                <w:szCs w:val="18"/>
              </w:rPr>
            </w:pPr>
            <w:r>
              <w:rPr>
                <w:b/>
                <w:bCs/>
                <w:color w:val="000000"/>
                <w:sz w:val="18"/>
                <w:szCs w:val="18"/>
              </w:rPr>
              <w:t>Total Cost</w:t>
            </w:r>
          </w:p>
        </w:tc>
      </w:tr>
      <w:tr w:rsidR="0045618F" w14:paraId="384C419B" w14:textId="77777777" w:rsidTr="00272C41">
        <w:trPr>
          <w:trHeight w:hRule="exact" w:val="330"/>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0EB78C85" w14:textId="77777777" w:rsidR="0045618F" w:rsidRDefault="0045618F" w:rsidP="00272C41">
            <w:pPr>
              <w:keepNext/>
              <w:widowControl w:val="0"/>
              <w:jc w:val="center"/>
              <w:rPr>
                <w:b/>
                <w:sz w:val="18"/>
                <w:szCs w:val="18"/>
              </w:rPr>
            </w:pPr>
            <w:r>
              <w:rPr>
                <w:b/>
                <w:sz w:val="18"/>
                <w:szCs w:val="18"/>
              </w:rPr>
              <w:t>Baseline</w:t>
            </w:r>
          </w:p>
        </w:tc>
        <w:tc>
          <w:tcPr>
            <w:tcW w:w="607" w:type="pct"/>
            <w:tcBorders>
              <w:top w:val="single" w:sz="6" w:space="0" w:color="auto"/>
              <w:left w:val="single" w:sz="6" w:space="0" w:color="auto"/>
              <w:bottom w:val="single" w:sz="6" w:space="0" w:color="auto"/>
              <w:right w:val="single" w:sz="6" w:space="0" w:color="auto"/>
            </w:tcBorders>
            <w:vAlign w:val="center"/>
            <w:hideMark/>
          </w:tcPr>
          <w:p w14:paraId="32968FC7" w14:textId="77777777" w:rsidR="0045618F" w:rsidRDefault="0045618F" w:rsidP="00272C41">
            <w:pPr>
              <w:jc w:val="center"/>
              <w:rPr>
                <w:color w:val="000000"/>
                <w:sz w:val="18"/>
                <w:szCs w:val="18"/>
              </w:rPr>
            </w:pPr>
            <w:r>
              <w:rPr>
                <w:color w:val="000000"/>
                <w:sz w:val="18"/>
                <w:szCs w:val="18"/>
              </w:rPr>
              <w:t>2.00</w:t>
            </w:r>
          </w:p>
        </w:tc>
        <w:tc>
          <w:tcPr>
            <w:tcW w:w="746" w:type="pct"/>
            <w:tcBorders>
              <w:top w:val="single" w:sz="6" w:space="0" w:color="auto"/>
              <w:left w:val="single" w:sz="6" w:space="0" w:color="auto"/>
              <w:bottom w:val="single" w:sz="6" w:space="0" w:color="auto"/>
              <w:right w:val="single" w:sz="6" w:space="0" w:color="auto"/>
            </w:tcBorders>
            <w:vAlign w:val="center"/>
            <w:hideMark/>
          </w:tcPr>
          <w:p w14:paraId="55168761" w14:textId="77777777" w:rsidR="0045618F" w:rsidRDefault="0045618F" w:rsidP="00272C41">
            <w:pPr>
              <w:jc w:val="center"/>
              <w:rPr>
                <w:color w:val="000000"/>
                <w:sz w:val="18"/>
                <w:szCs w:val="18"/>
              </w:rPr>
            </w:pPr>
            <w:r>
              <w:rPr>
                <w:color w:val="000000"/>
                <w:sz w:val="18"/>
                <w:szCs w:val="18"/>
              </w:rPr>
              <w:t>$77.62</w:t>
            </w:r>
          </w:p>
        </w:tc>
        <w:tc>
          <w:tcPr>
            <w:tcW w:w="810" w:type="pct"/>
            <w:tcBorders>
              <w:top w:val="single" w:sz="6" w:space="0" w:color="auto"/>
              <w:left w:val="single" w:sz="6" w:space="0" w:color="auto"/>
              <w:bottom w:val="single" w:sz="6" w:space="0" w:color="auto"/>
              <w:right w:val="single" w:sz="6" w:space="0" w:color="auto"/>
            </w:tcBorders>
            <w:vAlign w:val="center"/>
          </w:tcPr>
          <w:p w14:paraId="5C547605" w14:textId="77777777" w:rsidR="0045618F" w:rsidRDefault="0045618F" w:rsidP="00272C41">
            <w:pPr>
              <w:jc w:val="center"/>
              <w:rPr>
                <w:color w:val="000000"/>
                <w:sz w:val="18"/>
                <w:szCs w:val="18"/>
              </w:rPr>
            </w:pPr>
            <w:r>
              <w:rPr>
                <w:color w:val="000000"/>
                <w:sz w:val="18"/>
                <w:szCs w:val="18"/>
              </w:rPr>
              <w:t>$93.53</w:t>
            </w:r>
          </w:p>
        </w:tc>
        <w:tc>
          <w:tcPr>
            <w:tcW w:w="595" w:type="pct"/>
            <w:tcBorders>
              <w:top w:val="single" w:sz="6" w:space="0" w:color="auto"/>
              <w:left w:val="single" w:sz="6" w:space="0" w:color="auto"/>
              <w:bottom w:val="single" w:sz="6" w:space="0" w:color="auto"/>
              <w:right w:val="single" w:sz="6" w:space="0" w:color="auto"/>
            </w:tcBorders>
            <w:vAlign w:val="center"/>
          </w:tcPr>
          <w:p w14:paraId="2F40793B" w14:textId="77777777" w:rsidR="0045618F" w:rsidRDefault="0045618F" w:rsidP="00272C41">
            <w:pPr>
              <w:jc w:val="center"/>
              <w:rPr>
                <w:bCs/>
                <w:color w:val="000000"/>
                <w:sz w:val="18"/>
                <w:szCs w:val="18"/>
              </w:rPr>
            </w:pPr>
            <w:r>
              <w:rPr>
                <w:color w:val="000000"/>
                <w:sz w:val="18"/>
                <w:szCs w:val="18"/>
              </w:rPr>
              <w:t xml:space="preserve">$249 </w:t>
            </w:r>
          </w:p>
        </w:tc>
        <w:tc>
          <w:tcPr>
            <w:tcW w:w="633" w:type="pct"/>
            <w:tcBorders>
              <w:top w:val="single" w:sz="6" w:space="0" w:color="auto"/>
              <w:left w:val="single" w:sz="6" w:space="0" w:color="auto"/>
              <w:bottom w:val="single" w:sz="6" w:space="0" w:color="auto"/>
              <w:right w:val="single" w:sz="6" w:space="0" w:color="auto"/>
            </w:tcBorders>
            <w:vAlign w:val="center"/>
            <w:hideMark/>
          </w:tcPr>
          <w:p w14:paraId="577796FC" w14:textId="77777777" w:rsidR="0045618F" w:rsidRDefault="0045618F" w:rsidP="00272C41">
            <w:pPr>
              <w:jc w:val="center"/>
              <w:rPr>
                <w:color w:val="000000"/>
                <w:sz w:val="18"/>
                <w:szCs w:val="18"/>
              </w:rPr>
            </w:pPr>
            <w:r>
              <w:rPr>
                <w:color w:val="000000"/>
                <w:sz w:val="18"/>
                <w:szCs w:val="18"/>
              </w:rPr>
              <w:t>116</w:t>
            </w:r>
          </w:p>
        </w:tc>
        <w:tc>
          <w:tcPr>
            <w:tcW w:w="515" w:type="pct"/>
            <w:tcBorders>
              <w:top w:val="single" w:sz="6" w:space="0" w:color="auto"/>
              <w:left w:val="single" w:sz="6" w:space="0" w:color="auto"/>
              <w:bottom w:val="single" w:sz="6" w:space="0" w:color="auto"/>
              <w:right w:val="single" w:sz="6" w:space="0" w:color="auto"/>
            </w:tcBorders>
            <w:vAlign w:val="center"/>
            <w:hideMark/>
          </w:tcPr>
          <w:p w14:paraId="21E8377C" w14:textId="77777777" w:rsidR="0045618F" w:rsidRDefault="0045618F" w:rsidP="00272C41">
            <w:pPr>
              <w:jc w:val="center"/>
              <w:rPr>
                <w:color w:val="000000"/>
                <w:sz w:val="18"/>
                <w:szCs w:val="18"/>
              </w:rPr>
            </w:pPr>
            <w:r>
              <w:rPr>
                <w:color w:val="000000"/>
                <w:sz w:val="18"/>
                <w:szCs w:val="18"/>
              </w:rPr>
              <w:t>232</w:t>
            </w:r>
          </w:p>
        </w:tc>
        <w:tc>
          <w:tcPr>
            <w:tcW w:w="435" w:type="pct"/>
            <w:tcBorders>
              <w:top w:val="single" w:sz="6" w:space="0" w:color="auto"/>
              <w:left w:val="single" w:sz="6" w:space="0" w:color="auto"/>
              <w:bottom w:val="single" w:sz="6" w:space="0" w:color="auto"/>
              <w:right w:val="single" w:sz="6" w:space="0" w:color="auto"/>
            </w:tcBorders>
            <w:vAlign w:val="center"/>
            <w:hideMark/>
          </w:tcPr>
          <w:p w14:paraId="64A56623" w14:textId="77777777" w:rsidR="0045618F" w:rsidRDefault="0045618F" w:rsidP="00272C41">
            <w:pPr>
              <w:jc w:val="center"/>
              <w:rPr>
                <w:color w:val="000000"/>
                <w:sz w:val="18"/>
                <w:szCs w:val="18"/>
              </w:rPr>
            </w:pPr>
            <w:r>
              <w:rPr>
                <w:color w:val="000000"/>
                <w:sz w:val="18"/>
                <w:szCs w:val="18"/>
              </w:rPr>
              <w:t xml:space="preserve">$28,857 </w:t>
            </w:r>
          </w:p>
        </w:tc>
      </w:tr>
      <w:tr w:rsidR="0045618F" w14:paraId="270B1FD7" w14:textId="77777777" w:rsidTr="00272C41">
        <w:trPr>
          <w:trHeight w:hRule="exact" w:val="213"/>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607D9892" w14:textId="77777777" w:rsidR="0045618F" w:rsidRDefault="0045618F" w:rsidP="00272C41">
            <w:pPr>
              <w:keepNext/>
              <w:jc w:val="center"/>
              <w:rPr>
                <w:b/>
                <w:sz w:val="18"/>
                <w:szCs w:val="18"/>
              </w:rPr>
            </w:pPr>
            <w:r>
              <w:rPr>
                <w:b/>
                <w:sz w:val="18"/>
                <w:szCs w:val="18"/>
              </w:rPr>
              <w:t>Amended Rule</w:t>
            </w:r>
          </w:p>
        </w:tc>
        <w:tc>
          <w:tcPr>
            <w:tcW w:w="607" w:type="pct"/>
            <w:tcBorders>
              <w:top w:val="single" w:sz="6" w:space="0" w:color="auto"/>
              <w:left w:val="single" w:sz="6" w:space="0" w:color="auto"/>
              <w:bottom w:val="single" w:sz="6" w:space="0" w:color="auto"/>
              <w:right w:val="single" w:sz="6" w:space="0" w:color="auto"/>
            </w:tcBorders>
            <w:vAlign w:val="center"/>
            <w:hideMark/>
          </w:tcPr>
          <w:p w14:paraId="4D52FAE5" w14:textId="77777777" w:rsidR="0045618F" w:rsidRDefault="0045618F" w:rsidP="00272C41">
            <w:pPr>
              <w:jc w:val="center"/>
              <w:rPr>
                <w:color w:val="000000"/>
                <w:sz w:val="18"/>
                <w:szCs w:val="18"/>
              </w:rPr>
            </w:pPr>
            <w:r>
              <w:rPr>
                <w:color w:val="000000"/>
                <w:sz w:val="18"/>
                <w:szCs w:val="18"/>
              </w:rPr>
              <w:t>1.66</w:t>
            </w:r>
          </w:p>
        </w:tc>
        <w:tc>
          <w:tcPr>
            <w:tcW w:w="746" w:type="pct"/>
            <w:tcBorders>
              <w:top w:val="single" w:sz="6" w:space="0" w:color="auto"/>
              <w:left w:val="single" w:sz="6" w:space="0" w:color="auto"/>
              <w:bottom w:val="single" w:sz="6" w:space="0" w:color="auto"/>
              <w:right w:val="single" w:sz="6" w:space="0" w:color="auto"/>
            </w:tcBorders>
            <w:vAlign w:val="center"/>
            <w:hideMark/>
          </w:tcPr>
          <w:p w14:paraId="03700594" w14:textId="77777777" w:rsidR="0045618F" w:rsidRDefault="0045618F" w:rsidP="00272C41">
            <w:pPr>
              <w:jc w:val="center"/>
              <w:rPr>
                <w:color w:val="000000"/>
                <w:sz w:val="18"/>
                <w:szCs w:val="18"/>
              </w:rPr>
            </w:pPr>
            <w:r>
              <w:rPr>
                <w:color w:val="000000"/>
                <w:sz w:val="18"/>
                <w:szCs w:val="18"/>
              </w:rPr>
              <w:t>$77.62</w:t>
            </w:r>
          </w:p>
        </w:tc>
        <w:tc>
          <w:tcPr>
            <w:tcW w:w="810" w:type="pct"/>
            <w:tcBorders>
              <w:top w:val="single" w:sz="6" w:space="0" w:color="auto"/>
              <w:left w:val="single" w:sz="6" w:space="0" w:color="auto"/>
              <w:bottom w:val="single" w:sz="6" w:space="0" w:color="auto"/>
              <w:right w:val="single" w:sz="6" w:space="0" w:color="auto"/>
            </w:tcBorders>
            <w:vAlign w:val="center"/>
          </w:tcPr>
          <w:p w14:paraId="7B929ED5" w14:textId="77777777" w:rsidR="0045618F" w:rsidRDefault="0045618F" w:rsidP="00272C41">
            <w:pPr>
              <w:jc w:val="center"/>
              <w:rPr>
                <w:color w:val="000000"/>
                <w:sz w:val="18"/>
                <w:szCs w:val="18"/>
              </w:rPr>
            </w:pPr>
            <w:r>
              <w:rPr>
                <w:color w:val="000000"/>
                <w:sz w:val="18"/>
                <w:szCs w:val="18"/>
              </w:rPr>
              <w:t>$93.53</w:t>
            </w:r>
          </w:p>
        </w:tc>
        <w:tc>
          <w:tcPr>
            <w:tcW w:w="595" w:type="pct"/>
            <w:tcBorders>
              <w:top w:val="single" w:sz="6" w:space="0" w:color="auto"/>
              <w:left w:val="single" w:sz="6" w:space="0" w:color="auto"/>
              <w:bottom w:val="single" w:sz="6" w:space="0" w:color="auto"/>
              <w:right w:val="single" w:sz="6" w:space="0" w:color="auto"/>
            </w:tcBorders>
            <w:vAlign w:val="center"/>
          </w:tcPr>
          <w:p w14:paraId="42E447B1" w14:textId="77777777" w:rsidR="0045618F" w:rsidRDefault="0045618F" w:rsidP="00272C41">
            <w:pPr>
              <w:jc w:val="center"/>
              <w:rPr>
                <w:bCs/>
                <w:color w:val="000000"/>
                <w:sz w:val="18"/>
                <w:szCs w:val="18"/>
              </w:rPr>
            </w:pPr>
            <w:r>
              <w:rPr>
                <w:color w:val="000000"/>
                <w:sz w:val="18"/>
                <w:szCs w:val="18"/>
              </w:rPr>
              <w:t xml:space="preserve">$222 </w:t>
            </w:r>
          </w:p>
        </w:tc>
        <w:tc>
          <w:tcPr>
            <w:tcW w:w="633" w:type="pct"/>
            <w:tcBorders>
              <w:top w:val="single" w:sz="6" w:space="0" w:color="auto"/>
              <w:left w:val="single" w:sz="6" w:space="0" w:color="auto"/>
              <w:bottom w:val="single" w:sz="6" w:space="0" w:color="auto"/>
              <w:right w:val="single" w:sz="6" w:space="0" w:color="auto"/>
            </w:tcBorders>
            <w:vAlign w:val="center"/>
            <w:hideMark/>
          </w:tcPr>
          <w:p w14:paraId="4A9F23F2" w14:textId="77777777" w:rsidR="0045618F" w:rsidRDefault="0045618F" w:rsidP="00272C41">
            <w:pPr>
              <w:jc w:val="center"/>
              <w:rPr>
                <w:color w:val="000000"/>
                <w:sz w:val="18"/>
                <w:szCs w:val="18"/>
              </w:rPr>
            </w:pPr>
            <w:r>
              <w:rPr>
                <w:color w:val="000000"/>
                <w:sz w:val="18"/>
                <w:szCs w:val="18"/>
              </w:rPr>
              <w:t>116</w:t>
            </w:r>
          </w:p>
        </w:tc>
        <w:tc>
          <w:tcPr>
            <w:tcW w:w="515" w:type="pct"/>
            <w:tcBorders>
              <w:top w:val="single" w:sz="6" w:space="0" w:color="auto"/>
              <w:left w:val="single" w:sz="6" w:space="0" w:color="auto"/>
              <w:bottom w:val="single" w:sz="6" w:space="0" w:color="auto"/>
              <w:right w:val="single" w:sz="6" w:space="0" w:color="auto"/>
            </w:tcBorders>
            <w:vAlign w:val="center"/>
            <w:hideMark/>
          </w:tcPr>
          <w:p w14:paraId="5632E22A" w14:textId="77777777" w:rsidR="0045618F" w:rsidRDefault="0045618F" w:rsidP="00272C41">
            <w:pPr>
              <w:jc w:val="center"/>
              <w:rPr>
                <w:color w:val="000000"/>
                <w:sz w:val="18"/>
                <w:szCs w:val="18"/>
              </w:rPr>
            </w:pPr>
            <w:r>
              <w:rPr>
                <w:color w:val="000000"/>
                <w:sz w:val="18"/>
                <w:szCs w:val="18"/>
              </w:rPr>
              <w:t>193</w:t>
            </w:r>
          </w:p>
        </w:tc>
        <w:tc>
          <w:tcPr>
            <w:tcW w:w="435" w:type="pct"/>
            <w:tcBorders>
              <w:top w:val="single" w:sz="6" w:space="0" w:color="auto"/>
              <w:left w:val="single" w:sz="6" w:space="0" w:color="auto"/>
              <w:bottom w:val="single" w:sz="6" w:space="0" w:color="auto"/>
              <w:right w:val="single" w:sz="6" w:space="0" w:color="auto"/>
            </w:tcBorders>
            <w:vAlign w:val="center"/>
            <w:hideMark/>
          </w:tcPr>
          <w:p w14:paraId="791B4AA2" w14:textId="77777777" w:rsidR="0045618F" w:rsidRDefault="0045618F" w:rsidP="00272C41">
            <w:pPr>
              <w:jc w:val="center"/>
              <w:rPr>
                <w:color w:val="000000"/>
                <w:sz w:val="18"/>
                <w:szCs w:val="18"/>
              </w:rPr>
            </w:pPr>
            <w:r>
              <w:rPr>
                <w:color w:val="000000"/>
                <w:sz w:val="18"/>
                <w:szCs w:val="18"/>
              </w:rPr>
              <w:t xml:space="preserve">$25,795 </w:t>
            </w:r>
          </w:p>
        </w:tc>
      </w:tr>
      <w:tr w:rsidR="0045618F" w14:paraId="469CD237" w14:textId="77777777" w:rsidTr="00272C41">
        <w:trPr>
          <w:trHeight w:hRule="exact" w:val="420"/>
          <w:jc w:val="center"/>
        </w:trPr>
        <w:tc>
          <w:tcPr>
            <w:tcW w:w="658" w:type="pct"/>
            <w:tcBorders>
              <w:top w:val="single" w:sz="6" w:space="0" w:color="auto"/>
              <w:left w:val="single" w:sz="4" w:space="0" w:color="auto"/>
              <w:bottom w:val="single" w:sz="6" w:space="0" w:color="auto"/>
              <w:right w:val="single" w:sz="6" w:space="0" w:color="auto"/>
            </w:tcBorders>
            <w:vAlign w:val="center"/>
            <w:hideMark/>
          </w:tcPr>
          <w:p w14:paraId="70D13FAA" w14:textId="77777777" w:rsidR="0045618F" w:rsidRDefault="0045618F" w:rsidP="00272C41">
            <w:pPr>
              <w:keepNext/>
              <w:jc w:val="center"/>
              <w:rPr>
                <w:b/>
                <w:sz w:val="18"/>
                <w:szCs w:val="18"/>
              </w:rPr>
            </w:pPr>
            <w:r>
              <w:rPr>
                <w:b/>
                <w:sz w:val="18"/>
                <w:szCs w:val="18"/>
              </w:rPr>
              <w:t>Cost Savings</w:t>
            </w:r>
          </w:p>
        </w:tc>
        <w:tc>
          <w:tcPr>
            <w:tcW w:w="607" w:type="pct"/>
            <w:tcBorders>
              <w:top w:val="single" w:sz="6" w:space="0" w:color="auto"/>
              <w:left w:val="single" w:sz="6" w:space="0" w:color="auto"/>
              <w:bottom w:val="single" w:sz="6" w:space="0" w:color="auto"/>
              <w:right w:val="single" w:sz="6" w:space="0" w:color="auto"/>
            </w:tcBorders>
            <w:vAlign w:val="center"/>
            <w:hideMark/>
          </w:tcPr>
          <w:p w14:paraId="26843E51" w14:textId="77777777" w:rsidR="0045618F" w:rsidRDefault="0045618F" w:rsidP="00272C41">
            <w:pPr>
              <w:jc w:val="center"/>
              <w:rPr>
                <w:b/>
                <w:bCs/>
                <w:color w:val="000000"/>
                <w:sz w:val="18"/>
                <w:szCs w:val="18"/>
              </w:rPr>
            </w:pPr>
            <w:r>
              <w:rPr>
                <w:b/>
                <w:bCs/>
                <w:color w:val="000000"/>
                <w:sz w:val="18"/>
                <w:szCs w:val="18"/>
              </w:rPr>
              <w:t>0.34</w:t>
            </w:r>
          </w:p>
        </w:tc>
        <w:tc>
          <w:tcPr>
            <w:tcW w:w="746" w:type="pct"/>
            <w:tcBorders>
              <w:top w:val="single" w:sz="6" w:space="0" w:color="auto"/>
              <w:left w:val="single" w:sz="6" w:space="0" w:color="auto"/>
              <w:bottom w:val="single" w:sz="6" w:space="0" w:color="auto"/>
              <w:right w:val="single" w:sz="6" w:space="0" w:color="auto"/>
            </w:tcBorders>
            <w:vAlign w:val="center"/>
            <w:hideMark/>
          </w:tcPr>
          <w:p w14:paraId="3A577015" w14:textId="77777777" w:rsidR="0045618F" w:rsidRDefault="0045618F" w:rsidP="00272C41">
            <w:pPr>
              <w:jc w:val="center"/>
              <w:rPr>
                <w:b/>
                <w:bCs/>
                <w:color w:val="000000"/>
                <w:sz w:val="18"/>
                <w:szCs w:val="18"/>
              </w:rPr>
            </w:pPr>
          </w:p>
        </w:tc>
        <w:tc>
          <w:tcPr>
            <w:tcW w:w="810" w:type="pct"/>
            <w:tcBorders>
              <w:top w:val="single" w:sz="6" w:space="0" w:color="auto"/>
              <w:left w:val="single" w:sz="6" w:space="0" w:color="auto"/>
              <w:bottom w:val="single" w:sz="6" w:space="0" w:color="auto"/>
              <w:right w:val="single" w:sz="6" w:space="0" w:color="auto"/>
            </w:tcBorders>
            <w:vAlign w:val="center"/>
          </w:tcPr>
          <w:p w14:paraId="4773BA7B" w14:textId="77777777" w:rsidR="0045618F" w:rsidRDefault="0045618F" w:rsidP="00272C41">
            <w:pPr>
              <w:jc w:val="center"/>
              <w:rPr>
                <w:b/>
                <w:bCs/>
                <w:color w:val="000000"/>
                <w:sz w:val="18"/>
                <w:szCs w:val="18"/>
              </w:rPr>
            </w:pPr>
          </w:p>
        </w:tc>
        <w:tc>
          <w:tcPr>
            <w:tcW w:w="595" w:type="pct"/>
            <w:tcBorders>
              <w:top w:val="single" w:sz="6" w:space="0" w:color="auto"/>
              <w:left w:val="single" w:sz="6" w:space="0" w:color="auto"/>
              <w:bottom w:val="single" w:sz="6" w:space="0" w:color="auto"/>
              <w:right w:val="single" w:sz="6" w:space="0" w:color="auto"/>
            </w:tcBorders>
            <w:vAlign w:val="center"/>
          </w:tcPr>
          <w:p w14:paraId="3DC5ED41" w14:textId="77777777" w:rsidR="0045618F" w:rsidRDefault="0045618F" w:rsidP="00272C41">
            <w:pPr>
              <w:jc w:val="center"/>
              <w:rPr>
                <w:b/>
                <w:bCs/>
                <w:color w:val="000000"/>
                <w:sz w:val="18"/>
                <w:szCs w:val="18"/>
              </w:rPr>
            </w:pPr>
            <w:r>
              <w:rPr>
                <w:b/>
                <w:bCs/>
                <w:color w:val="000000"/>
                <w:sz w:val="18"/>
                <w:szCs w:val="18"/>
              </w:rPr>
              <w:t>$26.39</w:t>
            </w:r>
          </w:p>
        </w:tc>
        <w:tc>
          <w:tcPr>
            <w:tcW w:w="633" w:type="pct"/>
            <w:tcBorders>
              <w:top w:val="single" w:sz="6" w:space="0" w:color="auto"/>
              <w:left w:val="single" w:sz="6" w:space="0" w:color="auto"/>
              <w:bottom w:val="single" w:sz="6" w:space="0" w:color="auto"/>
              <w:right w:val="single" w:sz="6" w:space="0" w:color="auto"/>
            </w:tcBorders>
            <w:vAlign w:val="center"/>
            <w:hideMark/>
          </w:tcPr>
          <w:p w14:paraId="6D2BB805" w14:textId="77777777" w:rsidR="0045618F" w:rsidRDefault="0045618F" w:rsidP="00272C41">
            <w:pPr>
              <w:jc w:val="center"/>
              <w:rPr>
                <w:b/>
                <w:bCs/>
                <w:color w:val="000000"/>
                <w:sz w:val="18"/>
                <w:szCs w:val="18"/>
              </w:rPr>
            </w:pPr>
          </w:p>
        </w:tc>
        <w:tc>
          <w:tcPr>
            <w:tcW w:w="515" w:type="pct"/>
            <w:tcBorders>
              <w:top w:val="single" w:sz="6" w:space="0" w:color="auto"/>
              <w:left w:val="single" w:sz="6" w:space="0" w:color="auto"/>
              <w:bottom w:val="single" w:sz="6" w:space="0" w:color="auto"/>
              <w:right w:val="single" w:sz="6" w:space="0" w:color="auto"/>
            </w:tcBorders>
            <w:vAlign w:val="center"/>
          </w:tcPr>
          <w:p w14:paraId="413F76C0" w14:textId="77777777" w:rsidR="0045618F" w:rsidRDefault="0045618F" w:rsidP="00272C41">
            <w:pPr>
              <w:jc w:val="center"/>
              <w:rPr>
                <w:b/>
                <w:bCs/>
                <w:color w:val="000000"/>
                <w:sz w:val="18"/>
                <w:szCs w:val="18"/>
              </w:rPr>
            </w:pPr>
            <w:r>
              <w:rPr>
                <w:b/>
                <w:bCs/>
                <w:color w:val="000000"/>
                <w:sz w:val="18"/>
                <w:szCs w:val="18"/>
              </w:rPr>
              <w:t>39.44</w:t>
            </w:r>
          </w:p>
        </w:tc>
        <w:tc>
          <w:tcPr>
            <w:tcW w:w="435" w:type="pct"/>
            <w:tcBorders>
              <w:top w:val="single" w:sz="6" w:space="0" w:color="auto"/>
              <w:left w:val="single" w:sz="6" w:space="0" w:color="auto"/>
              <w:bottom w:val="single" w:sz="6" w:space="0" w:color="auto"/>
              <w:right w:val="single" w:sz="6" w:space="0" w:color="auto"/>
            </w:tcBorders>
            <w:vAlign w:val="center"/>
            <w:hideMark/>
          </w:tcPr>
          <w:p w14:paraId="3ABB82FC" w14:textId="77777777" w:rsidR="0045618F" w:rsidRDefault="0045618F" w:rsidP="00272C41">
            <w:pPr>
              <w:jc w:val="center"/>
              <w:rPr>
                <w:b/>
                <w:bCs/>
                <w:color w:val="000000"/>
                <w:sz w:val="18"/>
                <w:szCs w:val="18"/>
              </w:rPr>
            </w:pPr>
            <w:r>
              <w:rPr>
                <w:b/>
                <w:bCs/>
                <w:color w:val="000000"/>
                <w:sz w:val="18"/>
                <w:szCs w:val="18"/>
              </w:rPr>
              <w:t xml:space="preserve">$3,061 </w:t>
            </w:r>
          </w:p>
        </w:tc>
      </w:tr>
    </w:tbl>
    <w:p w14:paraId="09396B90" w14:textId="77777777" w:rsidR="0045618F" w:rsidRDefault="0045618F" w:rsidP="0045618F"/>
    <w:p w14:paraId="5CB0B51E" w14:textId="77777777" w:rsidR="0057364F" w:rsidRPr="00071DA8" w:rsidRDefault="0057364F" w:rsidP="0057364F">
      <w:pPr>
        <w:tabs>
          <w:tab w:val="left" w:pos="-1440"/>
        </w:tabs>
        <w:ind w:left="720" w:hanging="720"/>
      </w:pPr>
    </w:p>
    <w:p w14:paraId="0221220F" w14:textId="77777777" w:rsidR="0057364F" w:rsidRDefault="0029594B" w:rsidP="0029594B">
      <w:pPr>
        <w:pStyle w:val="Heading2"/>
        <w:tabs>
          <w:tab w:val="clear" w:pos="720"/>
          <w:tab w:val="num" w:pos="1440"/>
        </w:tabs>
        <w:ind w:firstLine="0"/>
        <w:rPr>
          <w:b/>
          <w:bCs/>
          <w:i w:val="0"/>
          <w:sz w:val="24"/>
          <w:szCs w:val="24"/>
        </w:rPr>
      </w:pPr>
      <w:bookmarkStart w:id="5" w:name="_Ref384980708"/>
      <w:r w:rsidRPr="0029594B">
        <w:rPr>
          <w:b/>
          <w:bCs/>
          <w:i w:val="0"/>
          <w:sz w:val="24"/>
          <w:szCs w:val="24"/>
        </w:rPr>
        <w:t>Bottom Line Burden Hours and Cost</w:t>
      </w:r>
      <w:bookmarkEnd w:id="5"/>
    </w:p>
    <w:p w14:paraId="6DAA5220" w14:textId="77777777" w:rsidR="008070F1" w:rsidRDefault="008070F1" w:rsidP="0057364F">
      <w:pPr>
        <w:ind w:firstLine="720"/>
      </w:pPr>
      <w:bookmarkStart w:id="6" w:name="_Ref270514243"/>
    </w:p>
    <w:p w14:paraId="3A1D960E" w14:textId="39925384" w:rsidR="000304A0" w:rsidRPr="00456318" w:rsidRDefault="000304A0" w:rsidP="00483AEC">
      <w:pPr>
        <w:ind w:firstLine="720"/>
      </w:pPr>
      <w:r w:rsidRPr="00456318">
        <w:t xml:space="preserve">The total burden in OMB’s inventory for the existing, approved </w:t>
      </w:r>
      <w:r w:rsidR="00681874" w:rsidRPr="00456318">
        <w:t xml:space="preserve">ICR </w:t>
      </w:r>
      <w:r w:rsidR="00A031C3">
        <w:t xml:space="preserve">for the </w:t>
      </w:r>
      <w:r w:rsidR="004434E8">
        <w:t xml:space="preserve">TSCA section 5 new chemicals program </w:t>
      </w:r>
      <w:r w:rsidR="00681874" w:rsidRPr="00456318">
        <w:t>(</w:t>
      </w:r>
      <w:r w:rsidR="004434E8">
        <w:t xml:space="preserve">EPA ICR No. 0574.15/OMB ICR Reference No. </w:t>
      </w:r>
      <w:r w:rsidR="004434E8" w:rsidRPr="00DE1C4B">
        <w:t>201112-2070-001</w:t>
      </w:r>
      <w:r w:rsidRPr="00456318">
        <w:t xml:space="preserve">) is </w:t>
      </w:r>
      <w:r w:rsidR="004434E8" w:rsidRPr="004434E8">
        <w:t>117,163</w:t>
      </w:r>
      <w:r w:rsidRPr="00456318">
        <w:t xml:space="preserve"> hours.  With the </w:t>
      </w:r>
      <w:r w:rsidR="00B342AB">
        <w:t xml:space="preserve">adjustment addition of </w:t>
      </w:r>
      <w:r w:rsidR="00862756">
        <w:t>259</w:t>
      </w:r>
      <w:r w:rsidR="004434E8">
        <w:t xml:space="preserve"> </w:t>
      </w:r>
      <w:r w:rsidR="00B342AB">
        <w:t xml:space="preserve">burden </w:t>
      </w:r>
      <w:r w:rsidR="004434E8">
        <w:t xml:space="preserve">hours, and a net program </w:t>
      </w:r>
      <w:r w:rsidR="00B342AB">
        <w:t xml:space="preserve">change burden reduction of 246 hours </w:t>
      </w:r>
      <w:r w:rsidRPr="00456318">
        <w:t xml:space="preserve">related to the </w:t>
      </w:r>
      <w:r w:rsidR="00B342AB">
        <w:t xml:space="preserve">direct final </w:t>
      </w:r>
      <w:r w:rsidRPr="00456318">
        <w:t xml:space="preserve">rule, the total burden requested for </w:t>
      </w:r>
      <w:r w:rsidR="00A031C3">
        <w:t xml:space="preserve">the </w:t>
      </w:r>
      <w:r w:rsidR="00B342AB">
        <w:t>TSCA section 5 new chemicals program</w:t>
      </w:r>
      <w:r w:rsidR="00B342AB" w:rsidRPr="00456318">
        <w:t xml:space="preserve"> </w:t>
      </w:r>
      <w:r w:rsidRPr="00456318">
        <w:t xml:space="preserve">will be </w:t>
      </w:r>
      <w:r w:rsidR="00B342AB" w:rsidRPr="00B342AB">
        <w:t>117</w:t>
      </w:r>
      <w:r w:rsidR="00B342AB">
        <w:t>,</w:t>
      </w:r>
      <w:r w:rsidR="0013026C">
        <w:t>176</w:t>
      </w:r>
      <w:r w:rsidR="00B342AB">
        <w:t xml:space="preserve"> </w:t>
      </w:r>
      <w:r w:rsidRPr="00456318">
        <w:t xml:space="preserve">hours.  </w:t>
      </w:r>
    </w:p>
    <w:p w14:paraId="1C125774" w14:textId="77777777" w:rsidR="005A659F" w:rsidRDefault="005A659F" w:rsidP="0057364F">
      <w:pPr>
        <w:ind w:firstLine="720"/>
      </w:pPr>
    </w:p>
    <w:p w14:paraId="06B1B1BE" w14:textId="77777777" w:rsidR="0057364F" w:rsidRPr="004B490A" w:rsidRDefault="004B490A" w:rsidP="004B490A">
      <w:pPr>
        <w:pStyle w:val="Heading2"/>
        <w:tabs>
          <w:tab w:val="clear" w:pos="720"/>
          <w:tab w:val="num" w:pos="1440"/>
        </w:tabs>
        <w:ind w:firstLine="0"/>
        <w:rPr>
          <w:b/>
          <w:bCs/>
          <w:i w:val="0"/>
          <w:sz w:val="24"/>
          <w:szCs w:val="24"/>
        </w:rPr>
      </w:pPr>
      <w:bookmarkStart w:id="7" w:name="_Ref384980719"/>
      <w:bookmarkEnd w:id="6"/>
      <w:r w:rsidRPr="004B490A">
        <w:rPr>
          <w:b/>
          <w:bCs/>
          <w:i w:val="0"/>
          <w:sz w:val="24"/>
          <w:szCs w:val="24"/>
        </w:rPr>
        <w:t>R</w:t>
      </w:r>
      <w:r w:rsidR="0057364F" w:rsidRPr="004B490A">
        <w:rPr>
          <w:b/>
          <w:bCs/>
          <w:i w:val="0"/>
          <w:sz w:val="24"/>
          <w:szCs w:val="24"/>
        </w:rPr>
        <w:t>easons For Changes in Burden</w:t>
      </w:r>
      <w:bookmarkEnd w:id="7"/>
    </w:p>
    <w:p w14:paraId="69FC8D21" w14:textId="77777777" w:rsidR="00852CBC" w:rsidRDefault="00852CBC" w:rsidP="00852CBC">
      <w:pPr>
        <w:ind w:left="720"/>
      </w:pPr>
    </w:p>
    <w:p w14:paraId="18BF134B" w14:textId="4F84F7A7" w:rsidR="0057364F" w:rsidRDefault="005D67D6" w:rsidP="00205DB0">
      <w:pPr>
        <w:ind w:firstLine="720"/>
        <w:rPr>
          <w:szCs w:val="22"/>
        </w:rPr>
      </w:pPr>
      <w:r>
        <w:rPr>
          <w:szCs w:val="22"/>
        </w:rPr>
        <w:t>T</w:t>
      </w:r>
      <w:r w:rsidR="00852CBC" w:rsidRPr="00852CBC">
        <w:rPr>
          <w:szCs w:val="22"/>
        </w:rPr>
        <w:t xml:space="preserve">he burden </w:t>
      </w:r>
      <w:r w:rsidR="00297ED5">
        <w:rPr>
          <w:szCs w:val="22"/>
        </w:rPr>
        <w:t xml:space="preserve">changes </w:t>
      </w:r>
      <w:r w:rsidR="00852CBC" w:rsidRPr="00852CBC">
        <w:rPr>
          <w:szCs w:val="22"/>
        </w:rPr>
        <w:t xml:space="preserve">analyzed in this ICR </w:t>
      </w:r>
      <w:r w:rsidR="00297ED5">
        <w:rPr>
          <w:szCs w:val="22"/>
        </w:rPr>
        <w:t>revision</w:t>
      </w:r>
      <w:r w:rsidR="00852CBC" w:rsidRPr="00852CBC">
        <w:rPr>
          <w:szCs w:val="22"/>
        </w:rPr>
        <w:t xml:space="preserve"> </w:t>
      </w:r>
      <w:r w:rsidR="00205DB0">
        <w:rPr>
          <w:szCs w:val="22"/>
        </w:rPr>
        <w:t>relate</w:t>
      </w:r>
      <w:r w:rsidR="00297ED5">
        <w:rPr>
          <w:szCs w:val="22"/>
        </w:rPr>
        <w:t xml:space="preserve"> to both program change</w:t>
      </w:r>
      <w:r w:rsidR="00205DB0">
        <w:rPr>
          <w:szCs w:val="22"/>
        </w:rPr>
        <w:t xml:space="preserve">s </w:t>
      </w:r>
      <w:r w:rsidR="00297ED5">
        <w:rPr>
          <w:szCs w:val="22"/>
        </w:rPr>
        <w:t xml:space="preserve">and adjustments </w:t>
      </w:r>
      <w:r w:rsidR="00D944AF">
        <w:rPr>
          <w:szCs w:val="22"/>
        </w:rPr>
        <w:t xml:space="preserve">related to </w:t>
      </w:r>
      <w:r w:rsidR="00205DB0">
        <w:rPr>
          <w:szCs w:val="22"/>
        </w:rPr>
        <w:t xml:space="preserve">EPA’s </w:t>
      </w:r>
      <w:r w:rsidR="00D944AF">
        <w:rPr>
          <w:szCs w:val="22"/>
        </w:rPr>
        <w:t>direct final rule</w:t>
      </w:r>
      <w:r w:rsidR="00862756">
        <w:rPr>
          <w:szCs w:val="22"/>
        </w:rPr>
        <w:t>. As explained previously, a 259</w:t>
      </w:r>
      <w:r w:rsidR="00D944AF">
        <w:rPr>
          <w:szCs w:val="22"/>
        </w:rPr>
        <w:t xml:space="preserve"> hour burden adjustment increase is directly related to CDX registration activities that are already required under the e-PMN rule. The adjustment is related to the number of new and replacement employees of firms engaged in TSCA section 5 activities who need to register in CDX. In addition, EPA estimates a program change increase of 276 burden hours associated with respondents’ familiarization with the requirements of the direct final rule, as well as a 522 burden hour program change reduction</w:t>
      </w:r>
      <w:r w:rsidR="00205DB0">
        <w:rPr>
          <w:szCs w:val="22"/>
        </w:rPr>
        <w:t xml:space="preserve"> </w:t>
      </w:r>
      <w:r w:rsidR="00D944AF">
        <w:rPr>
          <w:szCs w:val="22"/>
        </w:rPr>
        <w:t>related to the electronic submission of bona fides as required by the direct final rule.</w:t>
      </w:r>
      <w:r w:rsidR="00205DB0">
        <w:rPr>
          <w:szCs w:val="22"/>
        </w:rPr>
        <w:t xml:space="preserve"> </w:t>
      </w:r>
    </w:p>
    <w:p w14:paraId="1B7C6226" w14:textId="77777777" w:rsidR="0057364F" w:rsidRPr="000A5361" w:rsidRDefault="0057364F" w:rsidP="00D944AF">
      <w:pPr>
        <w:rPr>
          <w:sz w:val="22"/>
          <w:szCs w:val="22"/>
        </w:rPr>
      </w:pPr>
    </w:p>
    <w:p w14:paraId="0DCDFEE9" w14:textId="77777777" w:rsidR="0057364F" w:rsidRPr="00D43D52" w:rsidRDefault="0057364F" w:rsidP="00D43D52">
      <w:pPr>
        <w:pStyle w:val="Heading2"/>
        <w:tabs>
          <w:tab w:val="clear" w:pos="720"/>
          <w:tab w:val="num" w:pos="1440"/>
        </w:tabs>
        <w:ind w:firstLine="0"/>
        <w:rPr>
          <w:b/>
          <w:bCs/>
          <w:i w:val="0"/>
          <w:sz w:val="24"/>
        </w:rPr>
      </w:pPr>
      <w:bookmarkStart w:id="8" w:name="_Ref384980730"/>
      <w:r w:rsidRPr="00D43D52">
        <w:rPr>
          <w:b/>
          <w:bCs/>
          <w:i w:val="0"/>
          <w:sz w:val="24"/>
        </w:rPr>
        <w:t>Burden Statement</w:t>
      </w:r>
      <w:bookmarkEnd w:id="8"/>
    </w:p>
    <w:p w14:paraId="32B8DF7A" w14:textId="77777777" w:rsidR="00D55819" w:rsidRPr="0060475B" w:rsidRDefault="00D55819" w:rsidP="00D55819"/>
    <w:p w14:paraId="796212F3" w14:textId="6955911A" w:rsidR="00195AB2" w:rsidRPr="009216C2" w:rsidRDefault="00D55819" w:rsidP="009216C2">
      <w:pPr>
        <w:pStyle w:val="BodyText"/>
        <w:ind w:firstLine="720"/>
        <w:rPr>
          <w:sz w:val="24"/>
        </w:rPr>
      </w:pPr>
      <w:r w:rsidRPr="0060475B">
        <w:rPr>
          <w:sz w:val="24"/>
        </w:rPr>
        <w:t xml:space="preserve">The </w:t>
      </w:r>
      <w:r w:rsidR="00C14E19">
        <w:rPr>
          <w:sz w:val="24"/>
        </w:rPr>
        <w:t xml:space="preserve">incremental </w:t>
      </w:r>
      <w:r w:rsidRPr="0060475B">
        <w:rPr>
          <w:sz w:val="24"/>
        </w:rPr>
        <w:t xml:space="preserve">public burden is estimated to average </w:t>
      </w:r>
      <w:r w:rsidR="00D944AF" w:rsidRPr="00B57486">
        <w:rPr>
          <w:sz w:val="24"/>
        </w:rPr>
        <w:t xml:space="preserve">0.9 hours for </w:t>
      </w:r>
      <w:r w:rsidR="00D944AF">
        <w:rPr>
          <w:sz w:val="24"/>
        </w:rPr>
        <w:t xml:space="preserve">per response for </w:t>
      </w:r>
      <w:r w:rsidR="00D944AF" w:rsidRPr="00B57486">
        <w:rPr>
          <w:sz w:val="24"/>
        </w:rPr>
        <w:t>CDX registra</w:t>
      </w:r>
      <w:r w:rsidR="00D944AF" w:rsidRPr="00CA42D0">
        <w:rPr>
          <w:sz w:val="24"/>
        </w:rPr>
        <w:t xml:space="preserve">tion, 1.8 hours </w:t>
      </w:r>
      <w:r w:rsidR="00D944AF">
        <w:rPr>
          <w:sz w:val="24"/>
        </w:rPr>
        <w:t xml:space="preserve">per response </w:t>
      </w:r>
      <w:r w:rsidR="00D944AF" w:rsidRPr="00CA42D0">
        <w:rPr>
          <w:sz w:val="24"/>
        </w:rPr>
        <w:t xml:space="preserve">for requesting a CDX electronic signature, 0.1 hours </w:t>
      </w:r>
      <w:r w:rsidR="00D944AF">
        <w:rPr>
          <w:sz w:val="24"/>
        </w:rPr>
        <w:t xml:space="preserve">per response </w:t>
      </w:r>
      <w:r w:rsidR="00D944AF" w:rsidRPr="00CA42D0">
        <w:rPr>
          <w:sz w:val="24"/>
        </w:rPr>
        <w:t>for establishing an account for electronic fee payments, 0.8</w:t>
      </w:r>
      <w:r w:rsidR="009B4AEF">
        <w:rPr>
          <w:sz w:val="24"/>
        </w:rPr>
        <w:t xml:space="preserve"> hours for rule familiarization, and 17.5 hours per response for electronically submitted bona fides</w:t>
      </w:r>
      <w:r w:rsidRPr="0060475B">
        <w:rPr>
          <w:sz w:val="24"/>
        </w:rPr>
        <w:t>.  Burden is defined in 5 CFR 1320.3(b).  An agency may not conduct or sponsor, and a person is not required to respond to, a collection of information unless it displays a currently valid OMB control number.  The OMB control numbers for EPA's regulations are listed in 40 CFR part 9 and included on the related collection ins</w:t>
      </w:r>
      <w:r w:rsidR="009216C2">
        <w:rPr>
          <w:sz w:val="24"/>
        </w:rPr>
        <w:t>trument or form, if applicable.</w:t>
      </w:r>
    </w:p>
    <w:p w14:paraId="427DE6FE" w14:textId="77777777" w:rsidR="00195AB2" w:rsidRDefault="00195AB2" w:rsidP="00195AB2"/>
    <w:p w14:paraId="45A105A4" w14:textId="72C7DD2F" w:rsidR="00195AB2" w:rsidRDefault="00195AB2" w:rsidP="00195AB2">
      <w:pPr>
        <w:rPr>
          <w:bCs/>
        </w:rPr>
      </w:pPr>
    </w:p>
    <w:p w14:paraId="4D623F04" w14:textId="77777777" w:rsidR="00195AB2" w:rsidRPr="00C915CD" w:rsidRDefault="00195AB2" w:rsidP="00195AB2">
      <w:pPr>
        <w:ind w:firstLine="720"/>
        <w:jc w:val="center"/>
        <w:rPr>
          <w:b/>
        </w:rPr>
      </w:pPr>
      <w:r w:rsidRPr="00C915CD">
        <w:rPr>
          <w:b/>
        </w:rPr>
        <w:t>ATTACHMENTS TO THE SUPPORTING STATEMENT</w:t>
      </w:r>
    </w:p>
    <w:p w14:paraId="4D185F82" w14:textId="77777777" w:rsidR="00195AB2" w:rsidRPr="00C915CD" w:rsidRDefault="00195AB2" w:rsidP="00195AB2"/>
    <w:p w14:paraId="3B14DD03" w14:textId="3FE68486" w:rsidR="00195AB2" w:rsidRPr="00C915CD" w:rsidRDefault="00195AB2" w:rsidP="00195AB2">
      <w:r w:rsidRPr="00C915CD">
        <w:t xml:space="preserve">Attachments to the supporting statement are available in the public docket established for this ICR under docket identification number </w:t>
      </w:r>
      <w:r w:rsidR="008B6224" w:rsidRPr="009216C2">
        <w:t>EPA-HQ-OPPT-</w:t>
      </w:r>
      <w:r w:rsidR="008B6224">
        <w:t>2013-0385</w:t>
      </w:r>
      <w:r>
        <w:t>.</w:t>
      </w:r>
    </w:p>
    <w:p w14:paraId="2A6F8D50" w14:textId="77777777" w:rsidR="00195AB2" w:rsidRPr="00C915CD" w:rsidRDefault="00195AB2" w:rsidP="00195AB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1549"/>
        <w:gridCol w:w="7801"/>
      </w:tblGrid>
      <w:tr w:rsidR="00195AB2" w:rsidRPr="00680AF3" w14:paraId="353FB892" w14:textId="77777777" w:rsidTr="00016779">
        <w:trPr>
          <w:trHeight w:val="388"/>
        </w:trPr>
        <w:tc>
          <w:tcPr>
            <w:tcW w:w="1549" w:type="dxa"/>
          </w:tcPr>
          <w:p w14:paraId="148D0C02" w14:textId="77777777" w:rsidR="00195AB2" w:rsidRPr="00680AF3" w:rsidRDefault="00195AB2" w:rsidP="00016779">
            <w:pPr>
              <w:ind w:left="-180" w:right="-115"/>
              <w:jc w:val="center"/>
              <w:rPr>
                <w:b/>
                <w:bCs/>
                <w:sz w:val="22"/>
                <w:szCs w:val="22"/>
              </w:rPr>
            </w:pPr>
            <w:r w:rsidRPr="00680AF3">
              <w:rPr>
                <w:b/>
                <w:bCs/>
                <w:sz w:val="22"/>
                <w:szCs w:val="22"/>
              </w:rPr>
              <w:t>Attachment 1:</w:t>
            </w:r>
          </w:p>
        </w:tc>
        <w:tc>
          <w:tcPr>
            <w:tcW w:w="7801" w:type="dxa"/>
          </w:tcPr>
          <w:p w14:paraId="175F11EF" w14:textId="4CFD1029" w:rsidR="00195AB2" w:rsidRPr="008B6224" w:rsidRDefault="002421C1" w:rsidP="00016779">
            <w:pPr>
              <w:rPr>
                <w:sz w:val="22"/>
                <w:szCs w:val="22"/>
              </w:rPr>
            </w:pPr>
            <w:r w:rsidRPr="008B6224">
              <w:rPr>
                <w:sz w:val="22"/>
                <w:szCs w:val="22"/>
              </w:rPr>
              <w:t>TSCA Section 5 Premanufacture and Significant New Use Notification Electronic Reporting; Revisions to Notification Regulations; Direct Final Rule [RIN 2070</w:t>
            </w:r>
            <w:r w:rsidRPr="008B6224">
              <w:t>-</w:t>
            </w:r>
            <w:r w:rsidRPr="008B6224">
              <w:rPr>
                <w:sz w:val="22"/>
                <w:szCs w:val="22"/>
              </w:rPr>
              <w:t>AJ98]</w:t>
            </w:r>
          </w:p>
        </w:tc>
      </w:tr>
      <w:tr w:rsidR="00195AB2" w:rsidRPr="00680AF3" w14:paraId="393FD29B" w14:textId="77777777" w:rsidTr="00016779">
        <w:tc>
          <w:tcPr>
            <w:tcW w:w="1549" w:type="dxa"/>
          </w:tcPr>
          <w:p w14:paraId="6898931A" w14:textId="77777777" w:rsidR="00195AB2" w:rsidRPr="00680AF3" w:rsidRDefault="00195AB2" w:rsidP="00016779">
            <w:pPr>
              <w:ind w:left="-180" w:right="-115"/>
              <w:jc w:val="center"/>
              <w:rPr>
                <w:b/>
                <w:bCs/>
                <w:sz w:val="22"/>
                <w:szCs w:val="22"/>
              </w:rPr>
            </w:pPr>
            <w:r w:rsidRPr="00680AF3">
              <w:rPr>
                <w:b/>
                <w:bCs/>
                <w:sz w:val="22"/>
                <w:szCs w:val="22"/>
              </w:rPr>
              <w:t>Attachment 2:</w:t>
            </w:r>
          </w:p>
        </w:tc>
        <w:tc>
          <w:tcPr>
            <w:tcW w:w="7801" w:type="dxa"/>
          </w:tcPr>
          <w:p w14:paraId="5FC23A34" w14:textId="64C59ED4" w:rsidR="002647E1" w:rsidRPr="008B6224" w:rsidRDefault="002421C1" w:rsidP="00016779">
            <w:pPr>
              <w:rPr>
                <w:bCs/>
                <w:sz w:val="22"/>
                <w:szCs w:val="22"/>
              </w:rPr>
            </w:pPr>
            <w:r w:rsidRPr="008B6224">
              <w:rPr>
                <w:bCs/>
                <w:sz w:val="22"/>
                <w:szCs w:val="22"/>
              </w:rPr>
              <w:t>CDX Chemical Safety and Pesticide Programs (CSPP) Registration User Guide</w:t>
            </w:r>
          </w:p>
        </w:tc>
      </w:tr>
      <w:tr w:rsidR="00195AB2" w:rsidRPr="00680AF3" w14:paraId="663370AE" w14:textId="77777777" w:rsidTr="00016779">
        <w:tc>
          <w:tcPr>
            <w:tcW w:w="1549" w:type="dxa"/>
          </w:tcPr>
          <w:p w14:paraId="607F457F" w14:textId="77777777" w:rsidR="00195AB2" w:rsidRPr="00680AF3" w:rsidRDefault="00195AB2" w:rsidP="00016779">
            <w:pPr>
              <w:ind w:left="-180" w:right="-115"/>
              <w:jc w:val="center"/>
              <w:rPr>
                <w:b/>
                <w:bCs/>
                <w:sz w:val="22"/>
                <w:szCs w:val="22"/>
              </w:rPr>
            </w:pPr>
            <w:r w:rsidRPr="00680AF3">
              <w:rPr>
                <w:b/>
                <w:bCs/>
                <w:sz w:val="22"/>
                <w:szCs w:val="22"/>
              </w:rPr>
              <w:t>Attachment 3:</w:t>
            </w:r>
          </w:p>
        </w:tc>
        <w:tc>
          <w:tcPr>
            <w:tcW w:w="7801" w:type="dxa"/>
          </w:tcPr>
          <w:p w14:paraId="0D99F407" w14:textId="0C6B138B" w:rsidR="00195AB2" w:rsidRPr="008B6224" w:rsidRDefault="002421C1" w:rsidP="00223486">
            <w:pPr>
              <w:rPr>
                <w:bCs/>
                <w:sz w:val="22"/>
                <w:szCs w:val="22"/>
              </w:rPr>
            </w:pPr>
            <w:r w:rsidRPr="002421C1">
              <w:rPr>
                <w:bCs/>
                <w:sz w:val="22"/>
                <w:szCs w:val="22"/>
              </w:rPr>
              <w:t>Section 5 Notices and Supports User Guide – Primary Authorized Official</w:t>
            </w:r>
          </w:p>
        </w:tc>
      </w:tr>
      <w:tr w:rsidR="002421C1" w:rsidRPr="00680AF3" w14:paraId="0CF64427" w14:textId="77777777" w:rsidTr="00016779">
        <w:tc>
          <w:tcPr>
            <w:tcW w:w="1549" w:type="dxa"/>
          </w:tcPr>
          <w:p w14:paraId="254720CB" w14:textId="2BA420C6" w:rsidR="002421C1" w:rsidRPr="00680AF3" w:rsidRDefault="002421C1" w:rsidP="008B6224">
            <w:pPr>
              <w:ind w:left="-180" w:right="-115"/>
              <w:jc w:val="center"/>
              <w:rPr>
                <w:b/>
                <w:bCs/>
                <w:sz w:val="22"/>
                <w:szCs w:val="22"/>
              </w:rPr>
            </w:pPr>
            <w:r w:rsidRPr="00680AF3">
              <w:rPr>
                <w:b/>
                <w:bCs/>
                <w:sz w:val="22"/>
                <w:szCs w:val="22"/>
              </w:rPr>
              <w:t xml:space="preserve">Attachment </w:t>
            </w:r>
            <w:r>
              <w:rPr>
                <w:b/>
                <w:bCs/>
                <w:sz w:val="22"/>
                <w:szCs w:val="22"/>
              </w:rPr>
              <w:t>4</w:t>
            </w:r>
            <w:r w:rsidRPr="00680AF3">
              <w:rPr>
                <w:b/>
                <w:bCs/>
                <w:sz w:val="22"/>
                <w:szCs w:val="22"/>
              </w:rPr>
              <w:t>:</w:t>
            </w:r>
          </w:p>
        </w:tc>
        <w:tc>
          <w:tcPr>
            <w:tcW w:w="7801" w:type="dxa"/>
          </w:tcPr>
          <w:p w14:paraId="34C1E18A" w14:textId="233BAFE4" w:rsidR="002421C1" w:rsidRPr="008B6224" w:rsidRDefault="008B6224" w:rsidP="002421C1">
            <w:pPr>
              <w:rPr>
                <w:bCs/>
                <w:sz w:val="22"/>
                <w:szCs w:val="22"/>
              </w:rPr>
            </w:pPr>
            <w:r w:rsidRPr="008B6224">
              <w:rPr>
                <w:bCs/>
                <w:sz w:val="22"/>
                <w:szCs w:val="22"/>
              </w:rPr>
              <w:t xml:space="preserve">Section 5 Notices and Supports User Guide </w:t>
            </w:r>
            <w:r>
              <w:rPr>
                <w:bCs/>
                <w:sz w:val="22"/>
                <w:szCs w:val="22"/>
              </w:rPr>
              <w:t>–</w:t>
            </w:r>
            <w:r w:rsidRPr="008B6224">
              <w:rPr>
                <w:bCs/>
                <w:sz w:val="22"/>
                <w:szCs w:val="22"/>
              </w:rPr>
              <w:t xml:space="preserve"> Primary Agent/Consultant</w:t>
            </w:r>
          </w:p>
        </w:tc>
      </w:tr>
      <w:tr w:rsidR="002421C1" w:rsidRPr="00680AF3" w14:paraId="35D9CB8E" w14:textId="77777777" w:rsidTr="00016779">
        <w:tc>
          <w:tcPr>
            <w:tcW w:w="1549" w:type="dxa"/>
          </w:tcPr>
          <w:p w14:paraId="5DD2AA3B" w14:textId="17061D31" w:rsidR="002421C1" w:rsidRPr="00680AF3" w:rsidRDefault="002421C1" w:rsidP="008B6224">
            <w:pPr>
              <w:ind w:left="-180" w:right="-115"/>
              <w:jc w:val="center"/>
              <w:rPr>
                <w:b/>
                <w:bCs/>
                <w:sz w:val="22"/>
                <w:szCs w:val="22"/>
              </w:rPr>
            </w:pPr>
            <w:r w:rsidRPr="00680AF3">
              <w:rPr>
                <w:b/>
                <w:bCs/>
                <w:sz w:val="22"/>
                <w:szCs w:val="22"/>
              </w:rPr>
              <w:t xml:space="preserve">Attachment </w:t>
            </w:r>
            <w:r>
              <w:rPr>
                <w:b/>
                <w:bCs/>
                <w:sz w:val="22"/>
                <w:szCs w:val="22"/>
              </w:rPr>
              <w:t>5</w:t>
            </w:r>
            <w:r w:rsidRPr="00680AF3">
              <w:rPr>
                <w:b/>
                <w:bCs/>
                <w:sz w:val="22"/>
                <w:szCs w:val="22"/>
              </w:rPr>
              <w:t>:</w:t>
            </w:r>
          </w:p>
        </w:tc>
        <w:tc>
          <w:tcPr>
            <w:tcW w:w="7801" w:type="dxa"/>
          </w:tcPr>
          <w:p w14:paraId="75D98BEC" w14:textId="600228AE" w:rsidR="002421C1" w:rsidRPr="008B6224" w:rsidRDefault="008B6224" w:rsidP="002421C1">
            <w:pPr>
              <w:rPr>
                <w:bCs/>
                <w:sz w:val="22"/>
                <w:szCs w:val="22"/>
              </w:rPr>
            </w:pPr>
            <w:r w:rsidRPr="008B6224">
              <w:rPr>
                <w:bCs/>
                <w:sz w:val="22"/>
                <w:szCs w:val="22"/>
              </w:rPr>
              <w:t xml:space="preserve">Section 5 Notices and Supports User Guide </w:t>
            </w:r>
            <w:r>
              <w:rPr>
                <w:bCs/>
                <w:sz w:val="22"/>
                <w:szCs w:val="22"/>
              </w:rPr>
              <w:t>–</w:t>
            </w:r>
            <w:r w:rsidRPr="008B6224">
              <w:rPr>
                <w:bCs/>
                <w:sz w:val="22"/>
                <w:szCs w:val="22"/>
              </w:rPr>
              <w:t xml:space="preserve"> Primary Support</w:t>
            </w:r>
          </w:p>
        </w:tc>
      </w:tr>
      <w:tr w:rsidR="002421C1" w:rsidRPr="00680AF3" w14:paraId="17EEC80D" w14:textId="77777777" w:rsidTr="00016779">
        <w:tc>
          <w:tcPr>
            <w:tcW w:w="1549" w:type="dxa"/>
          </w:tcPr>
          <w:p w14:paraId="62F7C749" w14:textId="27761F9A" w:rsidR="002421C1" w:rsidRPr="00680AF3" w:rsidRDefault="002421C1" w:rsidP="008B6224">
            <w:pPr>
              <w:ind w:left="-180" w:right="-115"/>
              <w:jc w:val="center"/>
              <w:rPr>
                <w:b/>
                <w:bCs/>
                <w:sz w:val="22"/>
                <w:szCs w:val="22"/>
              </w:rPr>
            </w:pPr>
            <w:r w:rsidRPr="00680AF3">
              <w:rPr>
                <w:b/>
                <w:bCs/>
                <w:sz w:val="22"/>
                <w:szCs w:val="22"/>
              </w:rPr>
              <w:t xml:space="preserve">Attachment </w:t>
            </w:r>
            <w:r>
              <w:rPr>
                <w:b/>
                <w:bCs/>
                <w:sz w:val="22"/>
                <w:szCs w:val="22"/>
              </w:rPr>
              <w:t>6</w:t>
            </w:r>
            <w:r w:rsidRPr="00680AF3">
              <w:rPr>
                <w:b/>
                <w:bCs/>
                <w:sz w:val="22"/>
                <w:szCs w:val="22"/>
              </w:rPr>
              <w:t>:</w:t>
            </w:r>
          </w:p>
        </w:tc>
        <w:tc>
          <w:tcPr>
            <w:tcW w:w="7801" w:type="dxa"/>
          </w:tcPr>
          <w:p w14:paraId="56A520F9" w14:textId="79B0D661" w:rsidR="002421C1" w:rsidRPr="008B6224" w:rsidRDefault="008B6224" w:rsidP="002421C1">
            <w:pPr>
              <w:rPr>
                <w:bCs/>
                <w:sz w:val="22"/>
                <w:szCs w:val="22"/>
              </w:rPr>
            </w:pPr>
            <w:r w:rsidRPr="008B6224">
              <w:rPr>
                <w:bCs/>
                <w:sz w:val="22"/>
                <w:szCs w:val="22"/>
              </w:rPr>
              <w:t xml:space="preserve">Section 5 Notices and Supports User Guide </w:t>
            </w:r>
            <w:r>
              <w:rPr>
                <w:bCs/>
                <w:sz w:val="22"/>
                <w:szCs w:val="22"/>
              </w:rPr>
              <w:t>–</w:t>
            </w:r>
            <w:r w:rsidRPr="008B6224">
              <w:rPr>
                <w:bCs/>
                <w:sz w:val="22"/>
                <w:szCs w:val="22"/>
              </w:rPr>
              <w:t xml:space="preserve"> Secondary Authorized Official</w:t>
            </w:r>
          </w:p>
        </w:tc>
      </w:tr>
      <w:tr w:rsidR="002421C1" w:rsidRPr="00680AF3" w14:paraId="31A9362C" w14:textId="77777777" w:rsidTr="00016779">
        <w:tc>
          <w:tcPr>
            <w:tcW w:w="1549" w:type="dxa"/>
          </w:tcPr>
          <w:p w14:paraId="45952900" w14:textId="1B2D418B" w:rsidR="002421C1" w:rsidRPr="00680AF3" w:rsidRDefault="002421C1" w:rsidP="008B6224">
            <w:pPr>
              <w:ind w:left="-180" w:right="-115"/>
              <w:jc w:val="center"/>
              <w:rPr>
                <w:b/>
                <w:bCs/>
                <w:sz w:val="22"/>
                <w:szCs w:val="22"/>
              </w:rPr>
            </w:pPr>
            <w:r w:rsidRPr="00680AF3">
              <w:rPr>
                <w:b/>
                <w:bCs/>
                <w:sz w:val="22"/>
                <w:szCs w:val="22"/>
              </w:rPr>
              <w:t xml:space="preserve">Attachment </w:t>
            </w:r>
            <w:r>
              <w:rPr>
                <w:b/>
                <w:bCs/>
                <w:sz w:val="22"/>
                <w:szCs w:val="22"/>
              </w:rPr>
              <w:t>7</w:t>
            </w:r>
            <w:r w:rsidRPr="00680AF3">
              <w:rPr>
                <w:b/>
                <w:bCs/>
                <w:sz w:val="22"/>
                <w:szCs w:val="22"/>
              </w:rPr>
              <w:t>:</w:t>
            </w:r>
          </w:p>
        </w:tc>
        <w:tc>
          <w:tcPr>
            <w:tcW w:w="7801" w:type="dxa"/>
          </w:tcPr>
          <w:p w14:paraId="0652CDAE" w14:textId="5833ED13" w:rsidR="002421C1" w:rsidRPr="008B6224" w:rsidRDefault="008B6224" w:rsidP="002421C1">
            <w:pPr>
              <w:rPr>
                <w:bCs/>
                <w:sz w:val="22"/>
                <w:szCs w:val="22"/>
              </w:rPr>
            </w:pPr>
            <w:r w:rsidRPr="008B6224">
              <w:rPr>
                <w:bCs/>
                <w:sz w:val="22"/>
                <w:szCs w:val="22"/>
              </w:rPr>
              <w:t xml:space="preserve">Section 5 Notices and Supports User Guide </w:t>
            </w:r>
            <w:r>
              <w:rPr>
                <w:bCs/>
                <w:sz w:val="22"/>
                <w:szCs w:val="22"/>
              </w:rPr>
              <w:t>–</w:t>
            </w:r>
            <w:r w:rsidRPr="008B6224">
              <w:rPr>
                <w:bCs/>
                <w:sz w:val="22"/>
                <w:szCs w:val="22"/>
              </w:rPr>
              <w:t xml:space="preserve"> Secondary Agent/Consultant</w:t>
            </w:r>
          </w:p>
        </w:tc>
      </w:tr>
      <w:tr w:rsidR="002421C1" w:rsidRPr="00680AF3" w14:paraId="30B5F9D3" w14:textId="77777777" w:rsidTr="00016779">
        <w:tc>
          <w:tcPr>
            <w:tcW w:w="1549" w:type="dxa"/>
          </w:tcPr>
          <w:p w14:paraId="2371304A" w14:textId="3081A406" w:rsidR="002421C1" w:rsidRPr="00680AF3" w:rsidRDefault="002421C1" w:rsidP="008B6224">
            <w:pPr>
              <w:ind w:left="-180" w:right="-115"/>
              <w:jc w:val="center"/>
              <w:rPr>
                <w:b/>
                <w:bCs/>
                <w:sz w:val="22"/>
                <w:szCs w:val="22"/>
              </w:rPr>
            </w:pPr>
            <w:r w:rsidRPr="00680AF3">
              <w:rPr>
                <w:b/>
                <w:bCs/>
                <w:sz w:val="22"/>
                <w:szCs w:val="22"/>
              </w:rPr>
              <w:t xml:space="preserve">Attachment </w:t>
            </w:r>
            <w:r>
              <w:rPr>
                <w:b/>
                <w:bCs/>
                <w:sz w:val="22"/>
                <w:szCs w:val="22"/>
              </w:rPr>
              <w:t>8</w:t>
            </w:r>
            <w:r w:rsidRPr="00680AF3">
              <w:rPr>
                <w:b/>
                <w:bCs/>
                <w:sz w:val="22"/>
                <w:szCs w:val="22"/>
              </w:rPr>
              <w:t>:</w:t>
            </w:r>
          </w:p>
        </w:tc>
        <w:tc>
          <w:tcPr>
            <w:tcW w:w="7801" w:type="dxa"/>
          </w:tcPr>
          <w:p w14:paraId="48564586" w14:textId="1392D145" w:rsidR="002421C1" w:rsidRPr="008B6224" w:rsidRDefault="008B6224" w:rsidP="002421C1">
            <w:pPr>
              <w:rPr>
                <w:bCs/>
                <w:sz w:val="22"/>
                <w:szCs w:val="22"/>
              </w:rPr>
            </w:pPr>
            <w:r w:rsidRPr="008B6224">
              <w:rPr>
                <w:bCs/>
                <w:sz w:val="22"/>
                <w:szCs w:val="22"/>
              </w:rPr>
              <w:t>Section 5 Notices and Supports User Guide – Secondary Support</w:t>
            </w:r>
          </w:p>
        </w:tc>
      </w:tr>
    </w:tbl>
    <w:p w14:paraId="54D209F7" w14:textId="6ADC3004" w:rsidR="0057364F" w:rsidRDefault="0057364F" w:rsidP="00A31F90"/>
    <w:sectPr w:rsidR="0057364F" w:rsidSect="002D177F">
      <w:headerReference w:type="default" r:id="rId14"/>
      <w:footerReference w:type="default" r:id="rId15"/>
      <w:pgSz w:w="12240" w:h="15840"/>
      <w:pgMar w:top="1080" w:right="1080" w:bottom="1080" w:left="1080" w:header="720" w:footer="8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0F5D6" w14:textId="77777777" w:rsidR="008C1FD4" w:rsidRDefault="008C1FD4" w:rsidP="0057364F">
      <w:r>
        <w:separator/>
      </w:r>
    </w:p>
  </w:endnote>
  <w:endnote w:type="continuationSeparator" w:id="0">
    <w:p w14:paraId="1BC8B374" w14:textId="77777777" w:rsidR="008C1FD4" w:rsidRDefault="008C1FD4" w:rsidP="0057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MGIK A+ Melior">
    <w:altName w:val="Melior"/>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A785F" w14:textId="786FA446" w:rsidR="002F119E" w:rsidRDefault="002421C1" w:rsidP="00A20952">
    <w:pPr>
      <w:pStyle w:val="Footer"/>
      <w:jc w:val="center"/>
      <w:rPr>
        <w:szCs w:val="22"/>
      </w:rPr>
    </w:pPr>
    <w:r w:rsidRPr="002421C1">
      <w:rPr>
        <w:szCs w:val="22"/>
      </w:rPr>
      <w:t xml:space="preserve">Page </w:t>
    </w:r>
    <w:r w:rsidRPr="002421C1">
      <w:rPr>
        <w:b/>
        <w:bCs/>
        <w:szCs w:val="22"/>
      </w:rPr>
      <w:fldChar w:fldCharType="begin"/>
    </w:r>
    <w:r w:rsidRPr="002421C1">
      <w:rPr>
        <w:b/>
        <w:bCs/>
        <w:szCs w:val="22"/>
      </w:rPr>
      <w:instrText xml:space="preserve"> PAGE  \* Arabic  \* MERGEFORMAT </w:instrText>
    </w:r>
    <w:r w:rsidRPr="002421C1">
      <w:rPr>
        <w:b/>
        <w:bCs/>
        <w:szCs w:val="22"/>
      </w:rPr>
      <w:fldChar w:fldCharType="separate"/>
    </w:r>
    <w:r w:rsidR="002C1C35">
      <w:rPr>
        <w:b/>
        <w:bCs/>
        <w:noProof/>
        <w:szCs w:val="22"/>
      </w:rPr>
      <w:t>2</w:t>
    </w:r>
    <w:r w:rsidRPr="002421C1">
      <w:rPr>
        <w:b/>
        <w:bCs/>
        <w:szCs w:val="22"/>
      </w:rPr>
      <w:fldChar w:fldCharType="end"/>
    </w:r>
    <w:r w:rsidRPr="002421C1">
      <w:rPr>
        <w:szCs w:val="22"/>
      </w:rPr>
      <w:t xml:space="preserve"> of </w:t>
    </w:r>
    <w:r w:rsidRPr="002421C1">
      <w:rPr>
        <w:b/>
        <w:bCs/>
        <w:szCs w:val="22"/>
      </w:rPr>
      <w:fldChar w:fldCharType="begin"/>
    </w:r>
    <w:r w:rsidRPr="002421C1">
      <w:rPr>
        <w:b/>
        <w:bCs/>
        <w:szCs w:val="22"/>
      </w:rPr>
      <w:instrText xml:space="preserve"> NUMPAGES  \* Arabic  \* MERGEFORMAT </w:instrText>
    </w:r>
    <w:r w:rsidRPr="002421C1">
      <w:rPr>
        <w:b/>
        <w:bCs/>
        <w:szCs w:val="22"/>
      </w:rPr>
      <w:fldChar w:fldCharType="separate"/>
    </w:r>
    <w:r w:rsidR="002C1C35">
      <w:rPr>
        <w:b/>
        <w:bCs/>
        <w:noProof/>
        <w:szCs w:val="22"/>
      </w:rPr>
      <w:t>2</w:t>
    </w:r>
    <w:r w:rsidRPr="002421C1">
      <w:rPr>
        <w:b/>
        <w:bCs/>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2F67C" w14:textId="77777777" w:rsidR="008C1FD4" w:rsidRDefault="008C1FD4" w:rsidP="0057364F">
      <w:r>
        <w:separator/>
      </w:r>
    </w:p>
  </w:footnote>
  <w:footnote w:type="continuationSeparator" w:id="0">
    <w:p w14:paraId="76E58546" w14:textId="77777777" w:rsidR="008C1FD4" w:rsidRDefault="008C1FD4" w:rsidP="0057364F">
      <w:r>
        <w:continuationSeparator/>
      </w:r>
    </w:p>
  </w:footnote>
  <w:footnote w:id="1">
    <w:p w14:paraId="3624720B" w14:textId="2F37ECE9" w:rsidR="005A1080" w:rsidRDefault="005A1080" w:rsidP="005A1080">
      <w:pPr>
        <w:pStyle w:val="FootnoteText"/>
        <w:numPr>
          <w:ilvl w:val="0"/>
          <w:numId w:val="0"/>
        </w:numPr>
      </w:pPr>
      <w:r>
        <w:rPr>
          <w:rStyle w:val="FootnoteReference"/>
        </w:rPr>
        <w:footnoteRef/>
      </w:r>
      <w:r>
        <w:t xml:space="preserve"> OMB ICR Reference No. </w:t>
      </w:r>
      <w:r w:rsidRPr="00DE1C4B">
        <w:t>201112-2070-001</w:t>
      </w:r>
      <w:r>
        <w:t xml:space="preserve">. See: </w:t>
      </w:r>
      <w:hyperlink r:id="rId1" w:history="1">
        <w:r w:rsidRPr="00E7626C">
          <w:rPr>
            <w:rStyle w:val="Hyperlink"/>
            <w:i/>
          </w:rPr>
          <w:t>http://www.reginfo.gov/public/do/PRAViewICR?ref_nbr=201112-2070-001</w:t>
        </w:r>
      </w:hyperlink>
      <w:r>
        <w:t xml:space="preserve"> </w:t>
      </w:r>
    </w:p>
  </w:footnote>
  <w:footnote w:id="2">
    <w:p w14:paraId="646488B0" w14:textId="05D62CB9" w:rsidR="00A66937" w:rsidRDefault="00A66937" w:rsidP="008B6224">
      <w:pPr>
        <w:pStyle w:val="FootnoteText"/>
        <w:numPr>
          <w:ilvl w:val="0"/>
          <w:numId w:val="0"/>
        </w:numPr>
      </w:pPr>
      <w:r>
        <w:rPr>
          <w:rStyle w:val="FootnoteReference"/>
        </w:rPr>
        <w:footnoteRef/>
      </w:r>
      <w:r>
        <w:t xml:space="preserve"> See: </w:t>
      </w:r>
      <w:hyperlink r:id="rId2" w:history="1">
        <w:r w:rsidRPr="008B6224">
          <w:rPr>
            <w:rStyle w:val="Hyperlink"/>
            <w:i/>
          </w:rPr>
          <w:t>http://www.gpo.gov/fdsys/pkg/USCODE-2013-title15/pdf/USCODE-2013-title15-chap53-subchapI-sec2604.pdf</w:t>
        </w:r>
      </w:hyperlink>
      <w:r>
        <w:rPr>
          <w:i/>
        </w:rPr>
        <w:t xml:space="preserve"> </w:t>
      </w:r>
    </w:p>
  </w:footnote>
  <w:footnote w:id="3">
    <w:p w14:paraId="5DE46C5E" w14:textId="419458B3" w:rsidR="00884C1C" w:rsidRPr="008B6224" w:rsidRDefault="00884C1C" w:rsidP="008B6224">
      <w:pPr>
        <w:pStyle w:val="FootnoteText"/>
        <w:numPr>
          <w:ilvl w:val="0"/>
          <w:numId w:val="0"/>
        </w:numPr>
        <w:rPr>
          <w:i/>
        </w:rPr>
      </w:pPr>
      <w:r>
        <w:rPr>
          <w:rStyle w:val="FootnoteReference"/>
        </w:rPr>
        <w:footnoteRef/>
      </w:r>
      <w:r>
        <w:t xml:space="preserve"> See: </w:t>
      </w:r>
      <w:hyperlink r:id="rId3" w:history="1">
        <w:r w:rsidRPr="008B6224">
          <w:rPr>
            <w:rStyle w:val="Hyperlink"/>
            <w:i/>
          </w:rPr>
          <w:t>http://www.gpo.gov/fdsys/pkg/CFR-2014-title40-vol31/pdf/CFR-2014-title40-vol31-part720.pdf</w:t>
        </w:r>
      </w:hyperlink>
      <w:r>
        <w:t xml:space="preserve"> </w:t>
      </w:r>
    </w:p>
  </w:footnote>
  <w:footnote w:id="4">
    <w:p w14:paraId="08A19287" w14:textId="3DCEF08D" w:rsidR="00884C1C" w:rsidRDefault="00884C1C" w:rsidP="008B6224">
      <w:pPr>
        <w:pStyle w:val="FootnoteText"/>
        <w:numPr>
          <w:ilvl w:val="0"/>
          <w:numId w:val="0"/>
        </w:numPr>
      </w:pPr>
      <w:r>
        <w:rPr>
          <w:rStyle w:val="FootnoteReference"/>
        </w:rPr>
        <w:footnoteRef/>
      </w:r>
      <w:r>
        <w:t xml:space="preserve"> See:</w:t>
      </w:r>
      <w:r w:rsidRPr="00884C1C">
        <w:t xml:space="preserve"> </w:t>
      </w:r>
      <w:hyperlink r:id="rId4" w:history="1">
        <w:r w:rsidRPr="008B6224">
          <w:rPr>
            <w:rStyle w:val="Hyperlink"/>
            <w:i/>
          </w:rPr>
          <w:t>http://www.gpo.gov/fdsys/pkg/CFR-2014-title40-vol31/pdf/CFR-2014-title40-vol31-part721.pdf</w:t>
        </w:r>
      </w:hyperlink>
      <w:r>
        <w:rPr>
          <w:i/>
        </w:rPr>
        <w:t xml:space="preserve"> </w:t>
      </w:r>
    </w:p>
  </w:footnote>
  <w:footnote w:id="5">
    <w:p w14:paraId="01C65BA5" w14:textId="77777777" w:rsidR="00884C1C" w:rsidRDefault="00884C1C" w:rsidP="00884C1C">
      <w:pPr>
        <w:pStyle w:val="FootnoteText"/>
        <w:numPr>
          <w:ilvl w:val="0"/>
          <w:numId w:val="0"/>
        </w:numPr>
      </w:pPr>
      <w:r>
        <w:rPr>
          <w:rStyle w:val="FootnoteReference"/>
        </w:rPr>
        <w:footnoteRef/>
      </w:r>
      <w:r>
        <w:t xml:space="preserve"> See: </w:t>
      </w:r>
      <w:hyperlink r:id="rId5" w:history="1">
        <w:r w:rsidRPr="008C7FD7">
          <w:rPr>
            <w:rStyle w:val="Hyperlink"/>
            <w:i/>
          </w:rPr>
          <w:t>http://www.gpo.gov/fdsys/pkg/CFR-2014-title40-vol31/pdf/CFR-2014-title40-vol31-part723.pdf</w:t>
        </w:r>
      </w:hyperlink>
      <w:r>
        <w:t xml:space="preserve"> </w:t>
      </w:r>
    </w:p>
  </w:footnote>
  <w:footnote w:id="6">
    <w:p w14:paraId="3E4952F1" w14:textId="01D67CB8" w:rsidR="00884C1C" w:rsidRDefault="00884C1C" w:rsidP="008B6224">
      <w:pPr>
        <w:pStyle w:val="FootnoteText"/>
        <w:numPr>
          <w:ilvl w:val="0"/>
          <w:numId w:val="0"/>
        </w:numPr>
      </w:pPr>
      <w:r>
        <w:rPr>
          <w:rStyle w:val="FootnoteReference"/>
        </w:rPr>
        <w:footnoteRef/>
      </w:r>
      <w:r>
        <w:t xml:space="preserve"> See: </w:t>
      </w:r>
      <w:hyperlink r:id="rId6" w:history="1">
        <w:r w:rsidRPr="008B6224">
          <w:rPr>
            <w:rStyle w:val="Hyperlink"/>
            <w:i/>
          </w:rPr>
          <w:t>http://www.gpo.gov/fdsys/pkg/CFR-2014-title40-vol31/pdf/CFR-2014-title40-vol31-part725.pdf</w:t>
        </w:r>
      </w:hyperlink>
      <w:r>
        <w:rPr>
          <w:i/>
        </w:rPr>
        <w:t xml:space="preserve"> </w:t>
      </w:r>
    </w:p>
  </w:footnote>
  <w:footnote w:id="7">
    <w:p w14:paraId="4CDB7CB2" w14:textId="71E90EC6" w:rsidR="00884C1C" w:rsidRDefault="00884C1C" w:rsidP="008B6224">
      <w:pPr>
        <w:pStyle w:val="FootnoteText"/>
        <w:numPr>
          <w:ilvl w:val="0"/>
          <w:numId w:val="0"/>
        </w:numPr>
      </w:pPr>
      <w:r>
        <w:rPr>
          <w:rStyle w:val="FootnoteReference"/>
        </w:rPr>
        <w:footnoteRef/>
      </w:r>
      <w:r>
        <w:t xml:space="preserve"> 75 FR 773, January 6, 2010. See: </w:t>
      </w:r>
      <w:hyperlink r:id="rId7" w:history="1">
        <w:r w:rsidRPr="00E7626C">
          <w:rPr>
            <w:rStyle w:val="Hyperlink"/>
            <w:i/>
          </w:rPr>
          <w:t>http://www.gpo.gov/fdsys/pkg/FR-2010-01-06/pdf/E9-31004.pdf</w:t>
        </w:r>
      </w:hyperlink>
    </w:p>
  </w:footnote>
  <w:footnote w:id="8">
    <w:p w14:paraId="0FA88C5B" w14:textId="5C2DC2E1" w:rsidR="002F119E" w:rsidRDefault="002F119E" w:rsidP="002F119E">
      <w:pPr>
        <w:pStyle w:val="FootnoteText"/>
        <w:numPr>
          <w:ilvl w:val="0"/>
          <w:numId w:val="0"/>
        </w:numPr>
      </w:pPr>
      <w:r>
        <w:rPr>
          <w:rStyle w:val="FootnoteReference"/>
        </w:rPr>
        <w:footnoteRef/>
      </w:r>
      <w:r>
        <w:t xml:space="preserve"> Economic Analysis of the </w:t>
      </w:r>
      <w:r w:rsidRPr="00466956">
        <w:rPr>
          <w:bCs/>
        </w:rPr>
        <w:t>TSCA Section 5 Premanufacture and Significant New Use Notification Electronic Reporting; Revisions to Notification Regulations</w:t>
      </w:r>
      <w:r>
        <w:rPr>
          <w:bCs/>
        </w:rPr>
        <w:t xml:space="preserve">. The EA is </w:t>
      </w:r>
      <w:r>
        <w:t>a</w:t>
      </w:r>
      <w:r w:rsidRPr="00071DA8">
        <w:t>vailable for online viewin</w:t>
      </w:r>
      <w:r>
        <w:t xml:space="preserve">g at </w:t>
      </w:r>
      <w:hyperlink r:id="rId8" w:history="1">
        <w:r w:rsidRPr="00560C49">
          <w:rPr>
            <w:rStyle w:val="Hyperlink"/>
            <w:i/>
          </w:rPr>
          <w:t>www.regulations.gov</w:t>
        </w:r>
      </w:hyperlink>
      <w:r>
        <w:t xml:space="preserve"> in D</w:t>
      </w:r>
      <w:r w:rsidRPr="002366BB">
        <w:t>ocket ID No. EPA-HQ-OPPT-</w:t>
      </w:r>
      <w:r w:rsidR="002A053E">
        <w:t>2013-</w:t>
      </w:r>
      <w:r w:rsidR="007464A6">
        <w:t>0385.</w:t>
      </w:r>
      <w:r w:rsidRPr="00071DA8">
        <w:t xml:space="preserve"> </w:t>
      </w:r>
    </w:p>
  </w:footnote>
  <w:footnote w:id="9">
    <w:p w14:paraId="084D6C55" w14:textId="05966E4D" w:rsidR="002F119E" w:rsidRDefault="002F119E" w:rsidP="00F95BD0">
      <w:pPr>
        <w:pStyle w:val="FootnoteText"/>
        <w:numPr>
          <w:ilvl w:val="0"/>
          <w:numId w:val="0"/>
        </w:numPr>
      </w:pPr>
      <w:r>
        <w:rPr>
          <w:rStyle w:val="FootnoteReference"/>
        </w:rPr>
        <w:footnoteRef/>
      </w:r>
      <w:r>
        <w:t xml:space="preserve"> </w:t>
      </w:r>
      <w:r w:rsidRPr="00962CEB">
        <w:t xml:space="preserve">EPA ICR Number 2002.05, </w:t>
      </w:r>
      <w:r>
        <w:t xml:space="preserve">OMB </w:t>
      </w:r>
      <w:r w:rsidRPr="00F95BD0">
        <w:t>ICR Reference No: 201106-2025-001</w:t>
      </w:r>
      <w:r>
        <w:t xml:space="preserve">. See: </w:t>
      </w:r>
      <w:hyperlink r:id="rId9" w:history="1">
        <w:r w:rsidRPr="00E7626C">
          <w:rPr>
            <w:rStyle w:val="Hyperlink"/>
            <w:i/>
          </w:rPr>
          <w:t>http://www.reginfo.gov/public/do/PRAViewICR?ref_nbr=201106-2025-001</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A76FD" w14:textId="139BDEA1" w:rsidR="002421C1" w:rsidRPr="008B6224" w:rsidRDefault="002421C1" w:rsidP="008B6224">
    <w:pPr>
      <w:jc w:val="center"/>
      <w:rPr>
        <w:b/>
        <w:bCs/>
        <w:i/>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00"/>
    <w:lvl w:ilvl="0">
      <w:start w:val="1"/>
      <w:numFmt w:val="decimal"/>
      <w:pStyle w:val="FootnoteText"/>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CFA6A65"/>
    <w:multiLevelType w:val="hybridMultilevel"/>
    <w:tmpl w:val="08CE1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F3C84"/>
    <w:multiLevelType w:val="hybridMultilevel"/>
    <w:tmpl w:val="B3D21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F3E68B4"/>
    <w:multiLevelType w:val="hybridMultilevel"/>
    <w:tmpl w:val="FF7285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35D1B50"/>
    <w:multiLevelType w:val="multilevel"/>
    <w:tmpl w:val="D6809EC0"/>
    <w:lvl w:ilvl="0">
      <w:start w:val="6"/>
      <w:numFmt w:val="decimal"/>
      <w:pStyle w:val="Heading1"/>
      <w:lvlText w:val="%1."/>
      <w:lvlJc w:val="left"/>
      <w:pPr>
        <w:tabs>
          <w:tab w:val="num" w:pos="432"/>
        </w:tabs>
        <w:ind w:left="432" w:hanging="432"/>
      </w:pPr>
      <w:rPr>
        <w:rFonts w:hint="default"/>
        <w:sz w:val="24"/>
      </w:rPr>
    </w:lvl>
    <w:lvl w:ilvl="1">
      <w:start w:val="1"/>
      <w:numFmt w:val="lowerLetter"/>
      <w:pStyle w:val="Heading2"/>
      <w:lvlText w:val="%1(%2)"/>
      <w:lvlJc w:val="left"/>
      <w:pPr>
        <w:tabs>
          <w:tab w:val="num" w:pos="720"/>
        </w:tabs>
        <w:ind w:left="720" w:hanging="720"/>
      </w:pPr>
      <w:rPr>
        <w:rFonts w:hint="default"/>
        <w:b/>
        <w:i w:val="0"/>
        <w:sz w:val="24"/>
      </w:rPr>
    </w:lvl>
    <w:lvl w:ilvl="2">
      <w:start w:val="1"/>
      <w:numFmt w:val="decimal"/>
      <w:pStyle w:val="Heading3"/>
      <w:lvlText w:val="%1.%2.%3"/>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vanish w:val="0"/>
        <w:color w:val="DA291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77776E89"/>
    <w:multiLevelType w:val="hybridMultilevel"/>
    <w:tmpl w:val="7AA8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5"/>
      <w:lvl w:ilvl="0">
        <w:start w:val="5"/>
        <w:numFmt w:val="decimal"/>
        <w:pStyle w:val="FootnoteText"/>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2"/>
  </w:num>
  <w:num w:numId="4">
    <w:abstractNumId w:val="4"/>
  </w:num>
  <w:num w:numId="5">
    <w:abstractNumId w:val="4"/>
  </w:num>
  <w:num w:numId="6">
    <w:abstractNumId w:val="5"/>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fz09209pp9rvpedrfmv5fxlz5r0pr555rv9&quot;&gt;Minor Amendments rule&lt;record-ids&gt;&lt;item&gt;3&lt;/item&gt;&lt;/record-ids&gt;&lt;/item&gt;&lt;/Libraries&gt;"/>
  </w:docVars>
  <w:rsids>
    <w:rsidRoot w:val="0057364F"/>
    <w:rsid w:val="00002D17"/>
    <w:rsid w:val="00010C0B"/>
    <w:rsid w:val="00016779"/>
    <w:rsid w:val="00017D31"/>
    <w:rsid w:val="00020E91"/>
    <w:rsid w:val="000214A5"/>
    <w:rsid w:val="00023E6E"/>
    <w:rsid w:val="000304A0"/>
    <w:rsid w:val="00031C3C"/>
    <w:rsid w:val="0004285A"/>
    <w:rsid w:val="00043382"/>
    <w:rsid w:val="0006181F"/>
    <w:rsid w:val="00063139"/>
    <w:rsid w:val="00073388"/>
    <w:rsid w:val="0008227D"/>
    <w:rsid w:val="00086D8D"/>
    <w:rsid w:val="0009180D"/>
    <w:rsid w:val="000A1F79"/>
    <w:rsid w:val="000A7785"/>
    <w:rsid w:val="000B611F"/>
    <w:rsid w:val="000C4FFD"/>
    <w:rsid w:val="000C6D73"/>
    <w:rsid w:val="000D06EA"/>
    <w:rsid w:val="000D347D"/>
    <w:rsid w:val="000D3655"/>
    <w:rsid w:val="000E26A7"/>
    <w:rsid w:val="000E271D"/>
    <w:rsid w:val="000E6A11"/>
    <w:rsid w:val="000F214A"/>
    <w:rsid w:val="000F3B55"/>
    <w:rsid w:val="000F3C3C"/>
    <w:rsid w:val="000F41D1"/>
    <w:rsid w:val="000F68D4"/>
    <w:rsid w:val="00104680"/>
    <w:rsid w:val="0011362E"/>
    <w:rsid w:val="00114310"/>
    <w:rsid w:val="0012485E"/>
    <w:rsid w:val="0013026C"/>
    <w:rsid w:val="001315CF"/>
    <w:rsid w:val="0013400D"/>
    <w:rsid w:val="00137DBD"/>
    <w:rsid w:val="00141B2A"/>
    <w:rsid w:val="00141DE3"/>
    <w:rsid w:val="00145F94"/>
    <w:rsid w:val="001562DE"/>
    <w:rsid w:val="00160EC6"/>
    <w:rsid w:val="0017376E"/>
    <w:rsid w:val="00175BFE"/>
    <w:rsid w:val="00184E09"/>
    <w:rsid w:val="0018774F"/>
    <w:rsid w:val="00192503"/>
    <w:rsid w:val="0019490C"/>
    <w:rsid w:val="00195AB2"/>
    <w:rsid w:val="00196089"/>
    <w:rsid w:val="001A506E"/>
    <w:rsid w:val="001B64C8"/>
    <w:rsid w:val="001B72F1"/>
    <w:rsid w:val="001B7F02"/>
    <w:rsid w:val="001C43D4"/>
    <w:rsid w:val="001D04BA"/>
    <w:rsid w:val="001D1599"/>
    <w:rsid w:val="001D6004"/>
    <w:rsid w:val="001D6F1C"/>
    <w:rsid w:val="001E11FE"/>
    <w:rsid w:val="001E2791"/>
    <w:rsid w:val="001E3BDA"/>
    <w:rsid w:val="001F22F4"/>
    <w:rsid w:val="001F61CB"/>
    <w:rsid w:val="00203EC6"/>
    <w:rsid w:val="00205DB0"/>
    <w:rsid w:val="002153A3"/>
    <w:rsid w:val="00217D74"/>
    <w:rsid w:val="002213A0"/>
    <w:rsid w:val="002231B3"/>
    <w:rsid w:val="00223486"/>
    <w:rsid w:val="00225892"/>
    <w:rsid w:val="0022630A"/>
    <w:rsid w:val="0023363B"/>
    <w:rsid w:val="00237A50"/>
    <w:rsid w:val="002421C1"/>
    <w:rsid w:val="00242296"/>
    <w:rsid w:val="00244E4F"/>
    <w:rsid w:val="00254331"/>
    <w:rsid w:val="002547EF"/>
    <w:rsid w:val="002647E1"/>
    <w:rsid w:val="0027107B"/>
    <w:rsid w:val="00275397"/>
    <w:rsid w:val="002765EC"/>
    <w:rsid w:val="00280765"/>
    <w:rsid w:val="0029594B"/>
    <w:rsid w:val="00297ED5"/>
    <w:rsid w:val="002A053E"/>
    <w:rsid w:val="002B26F5"/>
    <w:rsid w:val="002C1C35"/>
    <w:rsid w:val="002C4DA8"/>
    <w:rsid w:val="002C5F1E"/>
    <w:rsid w:val="002D177F"/>
    <w:rsid w:val="002D6CAD"/>
    <w:rsid w:val="002E0E90"/>
    <w:rsid w:val="002E34DB"/>
    <w:rsid w:val="002E6820"/>
    <w:rsid w:val="002F0C14"/>
    <w:rsid w:val="002F119E"/>
    <w:rsid w:val="003106BC"/>
    <w:rsid w:val="00313B87"/>
    <w:rsid w:val="00335487"/>
    <w:rsid w:val="00350A37"/>
    <w:rsid w:val="00352120"/>
    <w:rsid w:val="00355C1B"/>
    <w:rsid w:val="00366EF8"/>
    <w:rsid w:val="00367042"/>
    <w:rsid w:val="0037123C"/>
    <w:rsid w:val="003C6691"/>
    <w:rsid w:val="003C6D3E"/>
    <w:rsid w:val="003D4A4C"/>
    <w:rsid w:val="003D61DF"/>
    <w:rsid w:val="00403C0F"/>
    <w:rsid w:val="0041000F"/>
    <w:rsid w:val="0041005D"/>
    <w:rsid w:val="004220E2"/>
    <w:rsid w:val="00425FB4"/>
    <w:rsid w:val="00432695"/>
    <w:rsid w:val="00435CC3"/>
    <w:rsid w:val="0043700C"/>
    <w:rsid w:val="004379B3"/>
    <w:rsid w:val="00440DC7"/>
    <w:rsid w:val="00441771"/>
    <w:rsid w:val="00442766"/>
    <w:rsid w:val="004434E8"/>
    <w:rsid w:val="00445C22"/>
    <w:rsid w:val="0045025B"/>
    <w:rsid w:val="0045414E"/>
    <w:rsid w:val="0045618F"/>
    <w:rsid w:val="00456318"/>
    <w:rsid w:val="004651F3"/>
    <w:rsid w:val="00465B68"/>
    <w:rsid w:val="00466660"/>
    <w:rsid w:val="0046778C"/>
    <w:rsid w:val="00467D30"/>
    <w:rsid w:val="00473B57"/>
    <w:rsid w:val="004741E7"/>
    <w:rsid w:val="0047476A"/>
    <w:rsid w:val="004761CB"/>
    <w:rsid w:val="004823E2"/>
    <w:rsid w:val="00482933"/>
    <w:rsid w:val="00483AEC"/>
    <w:rsid w:val="00485E3C"/>
    <w:rsid w:val="00492B25"/>
    <w:rsid w:val="0049561F"/>
    <w:rsid w:val="00496ABC"/>
    <w:rsid w:val="004A5D24"/>
    <w:rsid w:val="004A7300"/>
    <w:rsid w:val="004B490A"/>
    <w:rsid w:val="004C2B16"/>
    <w:rsid w:val="004C3060"/>
    <w:rsid w:val="004D0893"/>
    <w:rsid w:val="004D3963"/>
    <w:rsid w:val="004D51E7"/>
    <w:rsid w:val="004E68ED"/>
    <w:rsid w:val="004E6A73"/>
    <w:rsid w:val="004F0D58"/>
    <w:rsid w:val="004F3AF5"/>
    <w:rsid w:val="004F531A"/>
    <w:rsid w:val="004F5D72"/>
    <w:rsid w:val="005016CA"/>
    <w:rsid w:val="00510D45"/>
    <w:rsid w:val="00511AA0"/>
    <w:rsid w:val="005150C3"/>
    <w:rsid w:val="00522956"/>
    <w:rsid w:val="00526126"/>
    <w:rsid w:val="00526F22"/>
    <w:rsid w:val="00542071"/>
    <w:rsid w:val="00545C87"/>
    <w:rsid w:val="00547F5B"/>
    <w:rsid w:val="005507DA"/>
    <w:rsid w:val="00551896"/>
    <w:rsid w:val="00553667"/>
    <w:rsid w:val="00560C49"/>
    <w:rsid w:val="005708D8"/>
    <w:rsid w:val="0057364F"/>
    <w:rsid w:val="005740AB"/>
    <w:rsid w:val="00582A18"/>
    <w:rsid w:val="00585E6D"/>
    <w:rsid w:val="00594140"/>
    <w:rsid w:val="00596660"/>
    <w:rsid w:val="005A1080"/>
    <w:rsid w:val="005A659F"/>
    <w:rsid w:val="005B18FB"/>
    <w:rsid w:val="005B2A1D"/>
    <w:rsid w:val="005B7F6A"/>
    <w:rsid w:val="005C1319"/>
    <w:rsid w:val="005C1EAF"/>
    <w:rsid w:val="005D20D3"/>
    <w:rsid w:val="005D434A"/>
    <w:rsid w:val="005D67D6"/>
    <w:rsid w:val="005E766F"/>
    <w:rsid w:val="005E77DA"/>
    <w:rsid w:val="005F479A"/>
    <w:rsid w:val="005F50C6"/>
    <w:rsid w:val="005F6291"/>
    <w:rsid w:val="005F64D5"/>
    <w:rsid w:val="00600CA7"/>
    <w:rsid w:val="00602ADD"/>
    <w:rsid w:val="00613BEE"/>
    <w:rsid w:val="006151F2"/>
    <w:rsid w:val="0061750D"/>
    <w:rsid w:val="006252FD"/>
    <w:rsid w:val="00635379"/>
    <w:rsid w:val="00643912"/>
    <w:rsid w:val="00655859"/>
    <w:rsid w:val="00655A41"/>
    <w:rsid w:val="00662E4F"/>
    <w:rsid w:val="00664D0F"/>
    <w:rsid w:val="00666113"/>
    <w:rsid w:val="006671B3"/>
    <w:rsid w:val="006707AB"/>
    <w:rsid w:val="00676DE2"/>
    <w:rsid w:val="00680AF3"/>
    <w:rsid w:val="00681874"/>
    <w:rsid w:val="006836AA"/>
    <w:rsid w:val="00687C9B"/>
    <w:rsid w:val="006A5157"/>
    <w:rsid w:val="006C3B31"/>
    <w:rsid w:val="006D0BC0"/>
    <w:rsid w:val="006D31AE"/>
    <w:rsid w:val="006E0618"/>
    <w:rsid w:val="006E2D6D"/>
    <w:rsid w:val="006E6C1D"/>
    <w:rsid w:val="006E7E64"/>
    <w:rsid w:val="006F2327"/>
    <w:rsid w:val="00700A2B"/>
    <w:rsid w:val="0071353E"/>
    <w:rsid w:val="007325F7"/>
    <w:rsid w:val="00736779"/>
    <w:rsid w:val="00737D7F"/>
    <w:rsid w:val="00740CEB"/>
    <w:rsid w:val="007455A6"/>
    <w:rsid w:val="007464A6"/>
    <w:rsid w:val="007542B6"/>
    <w:rsid w:val="00761200"/>
    <w:rsid w:val="0076312B"/>
    <w:rsid w:val="00772BBE"/>
    <w:rsid w:val="00775D8B"/>
    <w:rsid w:val="00782A02"/>
    <w:rsid w:val="007838F4"/>
    <w:rsid w:val="007876FA"/>
    <w:rsid w:val="007914B6"/>
    <w:rsid w:val="00796C03"/>
    <w:rsid w:val="007B01D8"/>
    <w:rsid w:val="007C32EF"/>
    <w:rsid w:val="007C5E7B"/>
    <w:rsid w:val="007D0D93"/>
    <w:rsid w:val="007D3DC3"/>
    <w:rsid w:val="007E1471"/>
    <w:rsid w:val="007E6562"/>
    <w:rsid w:val="007E7089"/>
    <w:rsid w:val="007F1AE0"/>
    <w:rsid w:val="007F392E"/>
    <w:rsid w:val="00800007"/>
    <w:rsid w:val="00800A5F"/>
    <w:rsid w:val="00804DF6"/>
    <w:rsid w:val="008070F1"/>
    <w:rsid w:val="008101A1"/>
    <w:rsid w:val="00811407"/>
    <w:rsid w:val="00816773"/>
    <w:rsid w:val="00823C1A"/>
    <w:rsid w:val="0082481C"/>
    <w:rsid w:val="00832ED9"/>
    <w:rsid w:val="00837FD0"/>
    <w:rsid w:val="00844AD2"/>
    <w:rsid w:val="00845DDD"/>
    <w:rsid w:val="00851CED"/>
    <w:rsid w:val="00852943"/>
    <w:rsid w:val="00852CBC"/>
    <w:rsid w:val="00854B4E"/>
    <w:rsid w:val="00857ECC"/>
    <w:rsid w:val="00862060"/>
    <w:rsid w:val="00862756"/>
    <w:rsid w:val="00864242"/>
    <w:rsid w:val="008657D4"/>
    <w:rsid w:val="008672B2"/>
    <w:rsid w:val="00883B7D"/>
    <w:rsid w:val="00884C1C"/>
    <w:rsid w:val="00885D8C"/>
    <w:rsid w:val="00891891"/>
    <w:rsid w:val="008943E6"/>
    <w:rsid w:val="00895CE9"/>
    <w:rsid w:val="00896045"/>
    <w:rsid w:val="008B1C35"/>
    <w:rsid w:val="008B6224"/>
    <w:rsid w:val="008C1FD4"/>
    <w:rsid w:val="008C65E5"/>
    <w:rsid w:val="008C685C"/>
    <w:rsid w:val="008C78A1"/>
    <w:rsid w:val="008D4B40"/>
    <w:rsid w:val="008D6EBD"/>
    <w:rsid w:val="008D7F5A"/>
    <w:rsid w:val="008E4F63"/>
    <w:rsid w:val="008F7488"/>
    <w:rsid w:val="009117DC"/>
    <w:rsid w:val="00912B67"/>
    <w:rsid w:val="009216C2"/>
    <w:rsid w:val="00927F33"/>
    <w:rsid w:val="009343DC"/>
    <w:rsid w:val="00952388"/>
    <w:rsid w:val="0095729C"/>
    <w:rsid w:val="00961B0B"/>
    <w:rsid w:val="00971088"/>
    <w:rsid w:val="00973BF0"/>
    <w:rsid w:val="00977759"/>
    <w:rsid w:val="00980A0C"/>
    <w:rsid w:val="00981BEB"/>
    <w:rsid w:val="009A1469"/>
    <w:rsid w:val="009A15BE"/>
    <w:rsid w:val="009A26FC"/>
    <w:rsid w:val="009A3F2A"/>
    <w:rsid w:val="009A6CA5"/>
    <w:rsid w:val="009B0566"/>
    <w:rsid w:val="009B2D52"/>
    <w:rsid w:val="009B3BC5"/>
    <w:rsid w:val="009B4AEF"/>
    <w:rsid w:val="009B69B8"/>
    <w:rsid w:val="009B7217"/>
    <w:rsid w:val="009C02F1"/>
    <w:rsid w:val="009C0B67"/>
    <w:rsid w:val="009E02D1"/>
    <w:rsid w:val="009E10A1"/>
    <w:rsid w:val="009E71B0"/>
    <w:rsid w:val="009E78F7"/>
    <w:rsid w:val="009F1EA8"/>
    <w:rsid w:val="009F4331"/>
    <w:rsid w:val="009F7A8C"/>
    <w:rsid w:val="00A031C3"/>
    <w:rsid w:val="00A12773"/>
    <w:rsid w:val="00A13DD7"/>
    <w:rsid w:val="00A20952"/>
    <w:rsid w:val="00A230A1"/>
    <w:rsid w:val="00A31F90"/>
    <w:rsid w:val="00A33305"/>
    <w:rsid w:val="00A3391B"/>
    <w:rsid w:val="00A36C21"/>
    <w:rsid w:val="00A36F35"/>
    <w:rsid w:val="00A43884"/>
    <w:rsid w:val="00A4509E"/>
    <w:rsid w:val="00A50140"/>
    <w:rsid w:val="00A536CF"/>
    <w:rsid w:val="00A601EF"/>
    <w:rsid w:val="00A65A1B"/>
    <w:rsid w:val="00A66937"/>
    <w:rsid w:val="00A72F56"/>
    <w:rsid w:val="00A86C1A"/>
    <w:rsid w:val="00A94FA1"/>
    <w:rsid w:val="00A95586"/>
    <w:rsid w:val="00AB409E"/>
    <w:rsid w:val="00AC070E"/>
    <w:rsid w:val="00AD1883"/>
    <w:rsid w:val="00AD5001"/>
    <w:rsid w:val="00AD5B5C"/>
    <w:rsid w:val="00AD65C9"/>
    <w:rsid w:val="00AE42F0"/>
    <w:rsid w:val="00AE46C6"/>
    <w:rsid w:val="00AF00F1"/>
    <w:rsid w:val="00AF05E4"/>
    <w:rsid w:val="00AF139F"/>
    <w:rsid w:val="00AF2A9D"/>
    <w:rsid w:val="00AF6489"/>
    <w:rsid w:val="00B01B13"/>
    <w:rsid w:val="00B02DB4"/>
    <w:rsid w:val="00B0749C"/>
    <w:rsid w:val="00B074DD"/>
    <w:rsid w:val="00B1017E"/>
    <w:rsid w:val="00B10D60"/>
    <w:rsid w:val="00B16D72"/>
    <w:rsid w:val="00B22C86"/>
    <w:rsid w:val="00B252C6"/>
    <w:rsid w:val="00B342AB"/>
    <w:rsid w:val="00B44577"/>
    <w:rsid w:val="00B4520C"/>
    <w:rsid w:val="00B4693C"/>
    <w:rsid w:val="00B47768"/>
    <w:rsid w:val="00B53E8D"/>
    <w:rsid w:val="00B574CA"/>
    <w:rsid w:val="00B577EA"/>
    <w:rsid w:val="00B57F19"/>
    <w:rsid w:val="00B60A12"/>
    <w:rsid w:val="00B62351"/>
    <w:rsid w:val="00B67259"/>
    <w:rsid w:val="00B7516D"/>
    <w:rsid w:val="00B82BE7"/>
    <w:rsid w:val="00B83422"/>
    <w:rsid w:val="00B93CA2"/>
    <w:rsid w:val="00B94F51"/>
    <w:rsid w:val="00BA4899"/>
    <w:rsid w:val="00BB0F44"/>
    <w:rsid w:val="00BB3174"/>
    <w:rsid w:val="00BC6089"/>
    <w:rsid w:val="00BD5E91"/>
    <w:rsid w:val="00BE508D"/>
    <w:rsid w:val="00C03E68"/>
    <w:rsid w:val="00C13745"/>
    <w:rsid w:val="00C14E19"/>
    <w:rsid w:val="00C336AE"/>
    <w:rsid w:val="00C36F8B"/>
    <w:rsid w:val="00C4054D"/>
    <w:rsid w:val="00C45100"/>
    <w:rsid w:val="00C4598F"/>
    <w:rsid w:val="00C56E95"/>
    <w:rsid w:val="00C5731B"/>
    <w:rsid w:val="00C627C8"/>
    <w:rsid w:val="00C64037"/>
    <w:rsid w:val="00C64AE2"/>
    <w:rsid w:val="00C6504A"/>
    <w:rsid w:val="00C82E78"/>
    <w:rsid w:val="00C8524E"/>
    <w:rsid w:val="00C93AD0"/>
    <w:rsid w:val="00C94670"/>
    <w:rsid w:val="00C95B76"/>
    <w:rsid w:val="00CA0501"/>
    <w:rsid w:val="00CB3D62"/>
    <w:rsid w:val="00CB6F8A"/>
    <w:rsid w:val="00CC4AC0"/>
    <w:rsid w:val="00CC6A16"/>
    <w:rsid w:val="00CD5524"/>
    <w:rsid w:val="00CE346A"/>
    <w:rsid w:val="00CE57F2"/>
    <w:rsid w:val="00D11848"/>
    <w:rsid w:val="00D1457A"/>
    <w:rsid w:val="00D157E4"/>
    <w:rsid w:val="00D166CF"/>
    <w:rsid w:val="00D20DB0"/>
    <w:rsid w:val="00D33B71"/>
    <w:rsid w:val="00D36203"/>
    <w:rsid w:val="00D375E2"/>
    <w:rsid w:val="00D4012B"/>
    <w:rsid w:val="00D4056F"/>
    <w:rsid w:val="00D43D52"/>
    <w:rsid w:val="00D44345"/>
    <w:rsid w:val="00D45EA9"/>
    <w:rsid w:val="00D55819"/>
    <w:rsid w:val="00D57F4C"/>
    <w:rsid w:val="00D6051F"/>
    <w:rsid w:val="00D608EB"/>
    <w:rsid w:val="00D638E8"/>
    <w:rsid w:val="00D7582B"/>
    <w:rsid w:val="00D75DAE"/>
    <w:rsid w:val="00D944AF"/>
    <w:rsid w:val="00D972D3"/>
    <w:rsid w:val="00D973B9"/>
    <w:rsid w:val="00DA54DB"/>
    <w:rsid w:val="00DB3C9A"/>
    <w:rsid w:val="00DC2005"/>
    <w:rsid w:val="00DC6A13"/>
    <w:rsid w:val="00DD3C77"/>
    <w:rsid w:val="00DE1C4B"/>
    <w:rsid w:val="00DE7E2F"/>
    <w:rsid w:val="00E00E27"/>
    <w:rsid w:val="00E0752D"/>
    <w:rsid w:val="00E16931"/>
    <w:rsid w:val="00E25B56"/>
    <w:rsid w:val="00E413F4"/>
    <w:rsid w:val="00E41456"/>
    <w:rsid w:val="00E46143"/>
    <w:rsid w:val="00E517DF"/>
    <w:rsid w:val="00E55A2E"/>
    <w:rsid w:val="00E62E74"/>
    <w:rsid w:val="00E7626C"/>
    <w:rsid w:val="00E77954"/>
    <w:rsid w:val="00E832EE"/>
    <w:rsid w:val="00E84082"/>
    <w:rsid w:val="00E8515B"/>
    <w:rsid w:val="00E87BA2"/>
    <w:rsid w:val="00E96A79"/>
    <w:rsid w:val="00E96C19"/>
    <w:rsid w:val="00E97CA5"/>
    <w:rsid w:val="00EA6A9B"/>
    <w:rsid w:val="00EB3E91"/>
    <w:rsid w:val="00EB46E3"/>
    <w:rsid w:val="00EB6FE9"/>
    <w:rsid w:val="00EC01F4"/>
    <w:rsid w:val="00EC0480"/>
    <w:rsid w:val="00EC2096"/>
    <w:rsid w:val="00ED6D57"/>
    <w:rsid w:val="00EE2F94"/>
    <w:rsid w:val="00EE51E5"/>
    <w:rsid w:val="00EE6478"/>
    <w:rsid w:val="00EF17E4"/>
    <w:rsid w:val="00EF24DD"/>
    <w:rsid w:val="00EF27BD"/>
    <w:rsid w:val="00EF3DDD"/>
    <w:rsid w:val="00F1546B"/>
    <w:rsid w:val="00F243DE"/>
    <w:rsid w:val="00F26FD0"/>
    <w:rsid w:val="00F3107A"/>
    <w:rsid w:val="00F31D8C"/>
    <w:rsid w:val="00F327EC"/>
    <w:rsid w:val="00F33248"/>
    <w:rsid w:val="00F332FD"/>
    <w:rsid w:val="00F333D6"/>
    <w:rsid w:val="00F40F48"/>
    <w:rsid w:val="00F500AD"/>
    <w:rsid w:val="00F51128"/>
    <w:rsid w:val="00F53A8B"/>
    <w:rsid w:val="00F60B8C"/>
    <w:rsid w:val="00F65D83"/>
    <w:rsid w:val="00F7290D"/>
    <w:rsid w:val="00F77DAD"/>
    <w:rsid w:val="00F833C0"/>
    <w:rsid w:val="00F84E8C"/>
    <w:rsid w:val="00F87145"/>
    <w:rsid w:val="00F94D84"/>
    <w:rsid w:val="00F95BD0"/>
    <w:rsid w:val="00F95EC7"/>
    <w:rsid w:val="00F9637A"/>
    <w:rsid w:val="00F9693F"/>
    <w:rsid w:val="00FA5DFF"/>
    <w:rsid w:val="00FA6D44"/>
    <w:rsid w:val="00FD0871"/>
    <w:rsid w:val="00FD1E57"/>
    <w:rsid w:val="00FD2220"/>
    <w:rsid w:val="00FD7821"/>
    <w:rsid w:val="00FE216F"/>
    <w:rsid w:val="00FE2959"/>
    <w:rsid w:val="00FE5325"/>
    <w:rsid w:val="00FF2326"/>
    <w:rsid w:val="00FF3065"/>
    <w:rsid w:val="00FF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1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4F"/>
    <w:rPr>
      <w:rFonts w:eastAsia="Times New Roman"/>
      <w:sz w:val="24"/>
      <w:szCs w:val="24"/>
    </w:rPr>
  </w:style>
  <w:style w:type="paragraph" w:styleId="Heading1">
    <w:name w:val="heading 1"/>
    <w:basedOn w:val="Normal"/>
    <w:next w:val="Normal"/>
    <w:link w:val="Heading1Char"/>
    <w:qFormat/>
    <w:rsid w:val="0057364F"/>
    <w:pPr>
      <w:keepNext/>
      <w:keepLines/>
      <w:widowControl w:val="0"/>
      <w:numPr>
        <w:numId w:val="4"/>
      </w:numPr>
      <w:autoSpaceDE w:val="0"/>
      <w:autoSpaceDN w:val="0"/>
      <w:adjustRightInd w:val="0"/>
      <w:jc w:val="center"/>
      <w:outlineLvl w:val="0"/>
    </w:pPr>
    <w:rPr>
      <w:b/>
      <w:bCs/>
      <w:sz w:val="20"/>
      <w:szCs w:val="20"/>
    </w:rPr>
  </w:style>
  <w:style w:type="paragraph" w:styleId="Heading2">
    <w:name w:val="heading 2"/>
    <w:basedOn w:val="Normal"/>
    <w:next w:val="Normal"/>
    <w:link w:val="Heading2Char"/>
    <w:qFormat/>
    <w:rsid w:val="0057364F"/>
    <w:pPr>
      <w:keepNext/>
      <w:widowControl w:val="0"/>
      <w:numPr>
        <w:ilvl w:val="1"/>
        <w:numId w:val="4"/>
      </w:numPr>
      <w:autoSpaceDE w:val="0"/>
      <w:autoSpaceDN w:val="0"/>
      <w:adjustRightInd w:val="0"/>
      <w:spacing w:after="14"/>
      <w:jc w:val="both"/>
      <w:outlineLvl w:val="1"/>
    </w:pPr>
    <w:rPr>
      <w:i/>
      <w:iCs/>
      <w:sz w:val="20"/>
      <w:szCs w:val="20"/>
    </w:rPr>
  </w:style>
  <w:style w:type="paragraph" w:styleId="Heading3">
    <w:name w:val="heading 3"/>
    <w:basedOn w:val="Normal"/>
    <w:next w:val="Normal"/>
    <w:link w:val="Heading3Char"/>
    <w:qFormat/>
    <w:rsid w:val="0057364F"/>
    <w:pPr>
      <w:keepNext/>
      <w:widowControl w:val="0"/>
      <w:numPr>
        <w:ilvl w:val="2"/>
        <w:numId w:val="4"/>
      </w:numPr>
      <w:autoSpaceDE w:val="0"/>
      <w:autoSpaceDN w:val="0"/>
      <w:adjustRightInd w:val="0"/>
      <w:jc w:val="center"/>
      <w:outlineLvl w:val="2"/>
    </w:pPr>
    <w:rPr>
      <w:i/>
      <w:iCs/>
      <w:sz w:val="20"/>
      <w:szCs w:val="20"/>
    </w:rPr>
  </w:style>
  <w:style w:type="paragraph" w:styleId="Heading4">
    <w:name w:val="heading 4"/>
    <w:basedOn w:val="Normal"/>
    <w:next w:val="Normal"/>
    <w:link w:val="Heading4Char"/>
    <w:qFormat/>
    <w:rsid w:val="0057364F"/>
    <w:pPr>
      <w:keepNext/>
      <w:numPr>
        <w:ilvl w:val="3"/>
        <w:numId w:val="4"/>
      </w:numPr>
      <w:outlineLvl w:val="3"/>
    </w:pPr>
    <w:rPr>
      <w:sz w:val="20"/>
      <w:u w:val="single"/>
    </w:rPr>
  </w:style>
  <w:style w:type="paragraph" w:styleId="Heading5">
    <w:name w:val="heading 5"/>
    <w:basedOn w:val="Normal"/>
    <w:next w:val="Normal"/>
    <w:link w:val="Heading5Char"/>
    <w:qFormat/>
    <w:rsid w:val="0057364F"/>
    <w:pPr>
      <w:keepNext/>
      <w:numPr>
        <w:ilvl w:val="4"/>
        <w:numId w:val="4"/>
      </w:numPr>
      <w:outlineLvl w:val="4"/>
    </w:pPr>
    <w:rPr>
      <w:b/>
      <w:bCs/>
      <w:sz w:val="20"/>
      <w:szCs w:val="16"/>
    </w:rPr>
  </w:style>
  <w:style w:type="paragraph" w:styleId="Heading6">
    <w:name w:val="heading 6"/>
    <w:basedOn w:val="Normal"/>
    <w:next w:val="Normal"/>
    <w:link w:val="Heading6Char"/>
    <w:qFormat/>
    <w:rsid w:val="0057364F"/>
    <w:pPr>
      <w:keepNext/>
      <w:numPr>
        <w:ilvl w:val="5"/>
        <w:numId w:val="4"/>
      </w:numPr>
      <w:outlineLvl w:val="5"/>
    </w:pPr>
    <w:rPr>
      <w:sz w:val="20"/>
      <w:u w:val="single"/>
    </w:rPr>
  </w:style>
  <w:style w:type="paragraph" w:styleId="Heading7">
    <w:name w:val="heading 7"/>
    <w:basedOn w:val="Normal"/>
    <w:next w:val="Normal"/>
    <w:link w:val="Heading7Char"/>
    <w:qFormat/>
    <w:rsid w:val="0057364F"/>
    <w:pPr>
      <w:keepNext/>
      <w:numPr>
        <w:ilvl w:val="6"/>
        <w:numId w:val="4"/>
      </w:numPr>
      <w:outlineLvl w:val="6"/>
    </w:pPr>
    <w:rPr>
      <w:i/>
      <w:iCs/>
      <w:sz w:val="20"/>
      <w:szCs w:val="16"/>
    </w:rPr>
  </w:style>
  <w:style w:type="paragraph" w:styleId="Heading8">
    <w:name w:val="heading 8"/>
    <w:basedOn w:val="Normal"/>
    <w:next w:val="Normal"/>
    <w:link w:val="Heading8Char"/>
    <w:qFormat/>
    <w:rsid w:val="0057364F"/>
    <w:pPr>
      <w:keepNext/>
      <w:framePr w:hSpace="180" w:wrap="around" w:vAnchor="text" w:hAnchor="text" w:xAlign="center" w:y="1"/>
      <w:numPr>
        <w:ilvl w:val="7"/>
        <w:numId w:val="4"/>
      </w:numPr>
      <w:suppressOverlap/>
      <w:outlineLvl w:val="7"/>
    </w:pPr>
    <w:rPr>
      <w:i/>
      <w:iCs/>
      <w:sz w:val="20"/>
    </w:rPr>
  </w:style>
  <w:style w:type="paragraph" w:styleId="Heading9">
    <w:name w:val="heading 9"/>
    <w:basedOn w:val="Normal"/>
    <w:next w:val="Normal"/>
    <w:link w:val="Heading9Char"/>
    <w:qFormat/>
    <w:rsid w:val="0057364F"/>
    <w:pPr>
      <w:keepNext/>
      <w:framePr w:hSpace="180" w:wrap="around" w:vAnchor="text" w:hAnchor="text" w:xAlign="center" w:y="1"/>
      <w:numPr>
        <w:ilvl w:val="8"/>
        <w:numId w:val="4"/>
      </w:numPr>
      <w:suppressOverlap/>
      <w:jc w:val="center"/>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7364F"/>
    <w:rPr>
      <w:rFonts w:eastAsia="Times New Roman"/>
      <w:b/>
      <w:bCs/>
    </w:rPr>
  </w:style>
  <w:style w:type="character" w:customStyle="1" w:styleId="Heading2Char">
    <w:name w:val="Heading 2 Char"/>
    <w:link w:val="Heading2"/>
    <w:rsid w:val="0057364F"/>
    <w:rPr>
      <w:rFonts w:eastAsia="Times New Roman"/>
      <w:i/>
      <w:iCs/>
    </w:rPr>
  </w:style>
  <w:style w:type="character" w:customStyle="1" w:styleId="Heading3Char">
    <w:name w:val="Heading 3 Char"/>
    <w:link w:val="Heading3"/>
    <w:rsid w:val="0057364F"/>
    <w:rPr>
      <w:rFonts w:eastAsia="Times New Roman"/>
      <w:i/>
      <w:iCs/>
    </w:rPr>
  </w:style>
  <w:style w:type="character" w:customStyle="1" w:styleId="Heading4Char">
    <w:name w:val="Heading 4 Char"/>
    <w:link w:val="Heading4"/>
    <w:rsid w:val="0057364F"/>
    <w:rPr>
      <w:rFonts w:eastAsia="Times New Roman"/>
      <w:szCs w:val="24"/>
      <w:u w:val="single"/>
    </w:rPr>
  </w:style>
  <w:style w:type="character" w:customStyle="1" w:styleId="Heading5Char">
    <w:name w:val="Heading 5 Char"/>
    <w:link w:val="Heading5"/>
    <w:rsid w:val="0057364F"/>
    <w:rPr>
      <w:rFonts w:eastAsia="Times New Roman"/>
      <w:b/>
      <w:bCs/>
      <w:szCs w:val="16"/>
    </w:rPr>
  </w:style>
  <w:style w:type="character" w:customStyle="1" w:styleId="Heading6Char">
    <w:name w:val="Heading 6 Char"/>
    <w:link w:val="Heading6"/>
    <w:rsid w:val="0057364F"/>
    <w:rPr>
      <w:rFonts w:eastAsia="Times New Roman"/>
      <w:szCs w:val="24"/>
      <w:u w:val="single"/>
    </w:rPr>
  </w:style>
  <w:style w:type="character" w:customStyle="1" w:styleId="Heading7Char">
    <w:name w:val="Heading 7 Char"/>
    <w:link w:val="Heading7"/>
    <w:rsid w:val="0057364F"/>
    <w:rPr>
      <w:rFonts w:eastAsia="Times New Roman"/>
      <w:i/>
      <w:iCs/>
      <w:szCs w:val="16"/>
    </w:rPr>
  </w:style>
  <w:style w:type="character" w:customStyle="1" w:styleId="Heading8Char">
    <w:name w:val="Heading 8 Char"/>
    <w:link w:val="Heading8"/>
    <w:rsid w:val="0057364F"/>
    <w:rPr>
      <w:rFonts w:eastAsia="Times New Roman"/>
      <w:i/>
      <w:iCs/>
      <w:szCs w:val="24"/>
    </w:rPr>
  </w:style>
  <w:style w:type="character" w:customStyle="1" w:styleId="Heading9Char">
    <w:name w:val="Heading 9 Char"/>
    <w:link w:val="Heading9"/>
    <w:rsid w:val="0057364F"/>
    <w:rPr>
      <w:rFonts w:eastAsia="Times New Roman"/>
      <w:i/>
      <w:iCs/>
    </w:rPr>
  </w:style>
  <w:style w:type="paragraph" w:customStyle="1" w:styleId="Level1">
    <w:name w:val="Level 1"/>
    <w:basedOn w:val="Normal"/>
    <w:rsid w:val="0057364F"/>
    <w:pPr>
      <w:widowControl w:val="0"/>
      <w:autoSpaceDE w:val="0"/>
      <w:autoSpaceDN w:val="0"/>
      <w:adjustRightInd w:val="0"/>
      <w:ind w:left="720" w:hanging="720"/>
      <w:outlineLvl w:val="0"/>
    </w:pPr>
  </w:style>
  <w:style w:type="paragraph" w:styleId="FootnoteText">
    <w:name w:val="footnote text"/>
    <w:basedOn w:val="Normal"/>
    <w:link w:val="FootnoteTextChar"/>
    <w:semiHidden/>
    <w:rsid w:val="0057364F"/>
    <w:pPr>
      <w:numPr>
        <w:numId w:val="1"/>
      </w:numPr>
    </w:pPr>
    <w:rPr>
      <w:sz w:val="20"/>
      <w:szCs w:val="20"/>
    </w:rPr>
  </w:style>
  <w:style w:type="character" w:customStyle="1" w:styleId="FootnoteTextChar">
    <w:name w:val="Footnote Text Char"/>
    <w:link w:val="FootnoteText"/>
    <w:semiHidden/>
    <w:rsid w:val="0057364F"/>
    <w:rPr>
      <w:rFonts w:eastAsia="Times New Roman"/>
    </w:rPr>
  </w:style>
  <w:style w:type="character" w:styleId="FootnoteReference">
    <w:name w:val="footnote reference"/>
    <w:semiHidden/>
    <w:rsid w:val="0057364F"/>
    <w:rPr>
      <w:vertAlign w:val="superscript"/>
    </w:rPr>
  </w:style>
  <w:style w:type="paragraph" w:customStyle="1" w:styleId="footnotetex">
    <w:name w:val="footnote tex"/>
    <w:basedOn w:val="Normal"/>
    <w:rsid w:val="0057364F"/>
    <w:pPr>
      <w:widowControl w:val="0"/>
      <w:autoSpaceDE w:val="0"/>
      <w:autoSpaceDN w:val="0"/>
      <w:adjustRightInd w:val="0"/>
    </w:pPr>
  </w:style>
  <w:style w:type="paragraph" w:customStyle="1" w:styleId="Level3">
    <w:name w:val="Level 3"/>
    <w:basedOn w:val="Normal"/>
    <w:rsid w:val="0057364F"/>
    <w:pPr>
      <w:widowControl w:val="0"/>
      <w:autoSpaceDE w:val="0"/>
      <w:autoSpaceDN w:val="0"/>
      <w:adjustRightInd w:val="0"/>
      <w:ind w:left="2160" w:hanging="720"/>
    </w:pPr>
  </w:style>
  <w:style w:type="paragraph" w:customStyle="1" w:styleId="Level2">
    <w:name w:val="Level 2"/>
    <w:basedOn w:val="Normal"/>
    <w:rsid w:val="0057364F"/>
    <w:pPr>
      <w:widowControl w:val="0"/>
      <w:autoSpaceDE w:val="0"/>
      <w:autoSpaceDN w:val="0"/>
      <w:adjustRightInd w:val="0"/>
      <w:ind w:left="1440" w:hanging="720"/>
    </w:pPr>
  </w:style>
  <w:style w:type="paragraph" w:styleId="Caption">
    <w:name w:val="caption"/>
    <w:basedOn w:val="Normal"/>
    <w:next w:val="Normal"/>
    <w:qFormat/>
    <w:rsid w:val="0057364F"/>
    <w:pPr>
      <w:spacing w:before="120" w:after="120"/>
    </w:pPr>
    <w:rPr>
      <w:b/>
      <w:bCs/>
      <w:sz w:val="20"/>
      <w:szCs w:val="20"/>
    </w:rPr>
  </w:style>
  <w:style w:type="paragraph" w:styleId="BodyText">
    <w:name w:val="Body Text"/>
    <w:basedOn w:val="Normal"/>
    <w:link w:val="BodyTextChar"/>
    <w:rsid w:val="0057364F"/>
    <w:rPr>
      <w:sz w:val="22"/>
    </w:rPr>
  </w:style>
  <w:style w:type="character" w:customStyle="1" w:styleId="BodyTextChar">
    <w:name w:val="Body Text Char"/>
    <w:link w:val="BodyText"/>
    <w:rsid w:val="0057364F"/>
    <w:rPr>
      <w:rFonts w:eastAsia="Times New Roman" w:cs="Times New Roman"/>
      <w:sz w:val="22"/>
      <w:szCs w:val="24"/>
    </w:rPr>
  </w:style>
  <w:style w:type="paragraph" w:styleId="BodyTextIndent">
    <w:name w:val="Body Text Indent"/>
    <w:basedOn w:val="Normal"/>
    <w:link w:val="BodyTextIndentChar"/>
    <w:rsid w:val="0057364F"/>
    <w:pPr>
      <w:widowControl w:val="0"/>
      <w:autoSpaceDE w:val="0"/>
      <w:autoSpaceDN w:val="0"/>
      <w:adjustRightInd w:val="0"/>
      <w:ind w:firstLine="720"/>
    </w:pPr>
    <w:rPr>
      <w:sz w:val="20"/>
    </w:rPr>
  </w:style>
  <w:style w:type="character" w:customStyle="1" w:styleId="BodyTextIndentChar">
    <w:name w:val="Body Text Indent Char"/>
    <w:link w:val="BodyTextIndent"/>
    <w:rsid w:val="0057364F"/>
    <w:rPr>
      <w:rFonts w:eastAsia="Times New Roman" w:cs="Times New Roman"/>
      <w:szCs w:val="24"/>
    </w:rPr>
  </w:style>
  <w:style w:type="character" w:customStyle="1" w:styleId="Hypertext">
    <w:name w:val="Hypertext"/>
    <w:rsid w:val="0057364F"/>
    <w:rPr>
      <w:color w:val="0000FF"/>
      <w:u w:val="single"/>
    </w:rPr>
  </w:style>
  <w:style w:type="paragraph" w:styleId="Header">
    <w:name w:val="header"/>
    <w:basedOn w:val="Normal"/>
    <w:link w:val="HeaderChar"/>
    <w:rsid w:val="0057364F"/>
    <w:pPr>
      <w:tabs>
        <w:tab w:val="center" w:pos="4320"/>
        <w:tab w:val="right" w:pos="8640"/>
      </w:tabs>
    </w:pPr>
    <w:rPr>
      <w:sz w:val="20"/>
    </w:rPr>
  </w:style>
  <w:style w:type="character" w:customStyle="1" w:styleId="HeaderChar">
    <w:name w:val="Header Char"/>
    <w:link w:val="Header"/>
    <w:uiPriority w:val="99"/>
    <w:rsid w:val="0057364F"/>
    <w:rPr>
      <w:rFonts w:eastAsia="Times New Roman" w:cs="Times New Roman"/>
      <w:szCs w:val="24"/>
    </w:rPr>
  </w:style>
  <w:style w:type="paragraph" w:styleId="Footer">
    <w:name w:val="footer"/>
    <w:basedOn w:val="Normal"/>
    <w:link w:val="FooterChar"/>
    <w:uiPriority w:val="99"/>
    <w:rsid w:val="0057364F"/>
    <w:pPr>
      <w:tabs>
        <w:tab w:val="center" w:pos="4320"/>
        <w:tab w:val="right" w:pos="8640"/>
      </w:tabs>
    </w:pPr>
    <w:rPr>
      <w:sz w:val="20"/>
    </w:rPr>
  </w:style>
  <w:style w:type="character" w:customStyle="1" w:styleId="FooterChar">
    <w:name w:val="Footer Char"/>
    <w:link w:val="Footer"/>
    <w:uiPriority w:val="99"/>
    <w:rsid w:val="0057364F"/>
    <w:rPr>
      <w:rFonts w:eastAsia="Times New Roman" w:cs="Times New Roman"/>
      <w:szCs w:val="24"/>
    </w:rPr>
  </w:style>
  <w:style w:type="character" w:customStyle="1" w:styleId="BalloonTextChar">
    <w:name w:val="Balloon Text Char"/>
    <w:link w:val="BalloonText"/>
    <w:semiHidden/>
    <w:rsid w:val="0057364F"/>
    <w:rPr>
      <w:rFonts w:ascii="Tahoma" w:eastAsia="Times New Roman" w:hAnsi="Tahoma" w:cs="Tahoma"/>
      <w:sz w:val="16"/>
      <w:szCs w:val="16"/>
    </w:rPr>
  </w:style>
  <w:style w:type="paragraph" w:styleId="BalloonText">
    <w:name w:val="Balloon Text"/>
    <w:basedOn w:val="Normal"/>
    <w:link w:val="BalloonTextChar"/>
    <w:semiHidden/>
    <w:rsid w:val="0057364F"/>
    <w:rPr>
      <w:rFonts w:ascii="Tahoma" w:hAnsi="Tahoma"/>
      <w:sz w:val="16"/>
      <w:szCs w:val="16"/>
    </w:rPr>
  </w:style>
  <w:style w:type="paragraph" w:styleId="CommentText">
    <w:name w:val="annotation text"/>
    <w:basedOn w:val="Normal"/>
    <w:link w:val="CommentTextChar"/>
    <w:uiPriority w:val="99"/>
    <w:semiHidden/>
    <w:rsid w:val="0057364F"/>
    <w:rPr>
      <w:sz w:val="20"/>
      <w:szCs w:val="20"/>
    </w:rPr>
  </w:style>
  <w:style w:type="character" w:customStyle="1" w:styleId="CommentTextChar">
    <w:name w:val="Comment Text Char"/>
    <w:link w:val="CommentText"/>
    <w:uiPriority w:val="99"/>
    <w:semiHidden/>
    <w:rsid w:val="0057364F"/>
    <w:rPr>
      <w:rFonts w:eastAsia="Times New Roman" w:cs="Times New Roman"/>
      <w:sz w:val="20"/>
      <w:szCs w:val="20"/>
    </w:rPr>
  </w:style>
  <w:style w:type="character" w:customStyle="1" w:styleId="CommentSubjectChar">
    <w:name w:val="Comment Subject Char"/>
    <w:link w:val="CommentSubject"/>
    <w:semiHidden/>
    <w:rsid w:val="0057364F"/>
    <w:rPr>
      <w:rFonts w:eastAsia="Times New Roman" w:cs="Times New Roman"/>
      <w:b/>
      <w:bCs/>
      <w:sz w:val="20"/>
      <w:szCs w:val="20"/>
    </w:rPr>
  </w:style>
  <w:style w:type="paragraph" w:styleId="CommentSubject">
    <w:name w:val="annotation subject"/>
    <w:basedOn w:val="CommentText"/>
    <w:next w:val="CommentText"/>
    <w:link w:val="CommentSubjectChar"/>
    <w:semiHidden/>
    <w:rsid w:val="0057364F"/>
    <w:rPr>
      <w:b/>
      <w:bCs/>
    </w:rPr>
  </w:style>
  <w:style w:type="character" w:styleId="Hyperlink">
    <w:name w:val="Hyperlink"/>
    <w:rsid w:val="0057364F"/>
    <w:rPr>
      <w:color w:val="0000FF"/>
      <w:u w:val="single"/>
    </w:rPr>
  </w:style>
  <w:style w:type="character" w:customStyle="1" w:styleId="footnoteref">
    <w:name w:val="footnote ref"/>
    <w:rsid w:val="0057364F"/>
    <w:rPr>
      <w:vertAlign w:val="superscript"/>
    </w:rPr>
  </w:style>
  <w:style w:type="paragraph" w:customStyle="1" w:styleId="RRBodyText">
    <w:name w:val="R&amp;R Body Text"/>
    <w:basedOn w:val="Normal"/>
    <w:link w:val="RRBodyTextChar"/>
    <w:rsid w:val="0057364F"/>
    <w:pPr>
      <w:tabs>
        <w:tab w:val="left" w:pos="0"/>
        <w:tab w:val="left" w:pos="720"/>
        <w:tab w:val="left" w:pos="1080"/>
        <w:tab w:val="left" w:pos="1440"/>
        <w:tab w:val="left" w:pos="1800"/>
        <w:tab w:val="left" w:pos="8985"/>
      </w:tabs>
      <w:autoSpaceDE w:val="0"/>
      <w:autoSpaceDN w:val="0"/>
      <w:adjustRightInd w:val="0"/>
      <w:spacing w:line="264" w:lineRule="auto"/>
    </w:pPr>
    <w:rPr>
      <w:sz w:val="22"/>
    </w:rPr>
  </w:style>
  <w:style w:type="character" w:customStyle="1" w:styleId="RRBodyTextChar">
    <w:name w:val="R&amp;R Body Text Char"/>
    <w:link w:val="RRBodyText"/>
    <w:rsid w:val="0057364F"/>
    <w:rPr>
      <w:rFonts w:eastAsia="Times New Roman" w:cs="Times New Roman"/>
      <w:sz w:val="22"/>
      <w:szCs w:val="24"/>
    </w:rPr>
  </w:style>
  <w:style w:type="character" w:styleId="FollowedHyperlink">
    <w:name w:val="FollowedHyperlink"/>
    <w:rsid w:val="0057364F"/>
    <w:rPr>
      <w:color w:val="800080"/>
      <w:u w:val="single"/>
    </w:rPr>
  </w:style>
  <w:style w:type="character" w:customStyle="1" w:styleId="GPOBold">
    <w:name w:val="GPO Bold"/>
    <w:rsid w:val="0057364F"/>
    <w:rPr>
      <w:b/>
      <w:bCs/>
    </w:rPr>
  </w:style>
  <w:style w:type="paragraph" w:customStyle="1" w:styleId="RRTableText">
    <w:name w:val="R&amp;R Table Text"/>
    <w:basedOn w:val="RRBodyText"/>
    <w:rsid w:val="0057364F"/>
    <w:pPr>
      <w:autoSpaceDE/>
      <w:autoSpaceDN/>
      <w:adjustRightInd/>
    </w:pPr>
    <w:rPr>
      <w:sz w:val="20"/>
    </w:rPr>
  </w:style>
  <w:style w:type="paragraph" w:customStyle="1" w:styleId="GPONormal">
    <w:name w:val="GPO Normal"/>
    <w:basedOn w:val="Normal"/>
    <w:link w:val="GPONormalChar"/>
    <w:rsid w:val="0057364F"/>
    <w:rPr>
      <w:sz w:val="20"/>
    </w:rPr>
  </w:style>
  <w:style w:type="character" w:customStyle="1" w:styleId="GPONormalChar">
    <w:name w:val="GPO Normal Char"/>
    <w:link w:val="GPONormal"/>
    <w:rsid w:val="0057364F"/>
    <w:rPr>
      <w:rFonts w:eastAsia="Times New Roman" w:cs="Times New Roman"/>
      <w:szCs w:val="24"/>
    </w:rPr>
  </w:style>
  <w:style w:type="character" w:styleId="PageNumber">
    <w:name w:val="page number"/>
    <w:basedOn w:val="DefaultParagraphFont"/>
    <w:rsid w:val="0057364F"/>
  </w:style>
  <w:style w:type="character" w:customStyle="1" w:styleId="updatebodytest">
    <w:name w:val="updatebodytest"/>
    <w:basedOn w:val="DefaultParagraphFont"/>
    <w:rsid w:val="0057364F"/>
  </w:style>
  <w:style w:type="paragraph" w:styleId="NormalWeb">
    <w:name w:val="Normal (Web)"/>
    <w:basedOn w:val="Normal"/>
    <w:rsid w:val="0057364F"/>
    <w:pPr>
      <w:spacing w:before="100" w:beforeAutospacing="1" w:after="100" w:afterAutospacing="1"/>
    </w:pPr>
  </w:style>
  <w:style w:type="paragraph" w:styleId="PlainText">
    <w:name w:val="Plain Text"/>
    <w:basedOn w:val="Normal"/>
    <w:link w:val="PlainTextChar"/>
    <w:rsid w:val="0057364F"/>
    <w:rPr>
      <w:rFonts w:ascii="Courier New" w:hAnsi="Courier New"/>
      <w:sz w:val="20"/>
      <w:szCs w:val="20"/>
    </w:rPr>
  </w:style>
  <w:style w:type="character" w:customStyle="1" w:styleId="PlainTextChar">
    <w:name w:val="Plain Text Char"/>
    <w:link w:val="PlainText"/>
    <w:rsid w:val="0057364F"/>
    <w:rPr>
      <w:rFonts w:ascii="Courier New" w:eastAsia="Times New Roman" w:hAnsi="Courier New" w:cs="Courier New"/>
      <w:sz w:val="20"/>
      <w:szCs w:val="20"/>
    </w:rPr>
  </w:style>
  <w:style w:type="character" w:styleId="CommentReference">
    <w:name w:val="annotation reference"/>
    <w:uiPriority w:val="99"/>
    <w:semiHidden/>
    <w:unhideWhenUsed/>
    <w:rsid w:val="00585E6D"/>
    <w:rPr>
      <w:sz w:val="16"/>
      <w:szCs w:val="16"/>
    </w:rPr>
  </w:style>
  <w:style w:type="table" w:styleId="TableGrid">
    <w:name w:val="Table Grid"/>
    <w:basedOn w:val="TableNormal"/>
    <w:rsid w:val="00237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6660"/>
    <w:pPr>
      <w:autoSpaceDE w:val="0"/>
      <w:autoSpaceDN w:val="0"/>
      <w:adjustRightInd w:val="0"/>
    </w:pPr>
    <w:rPr>
      <w:rFonts w:ascii="CMGIK A+ Melior" w:hAnsi="CMGIK A+ Melior" w:cs="CMGIK A+ Melior"/>
      <w:color w:val="000000"/>
      <w:sz w:val="24"/>
      <w:szCs w:val="24"/>
    </w:rPr>
  </w:style>
  <w:style w:type="paragraph" w:styleId="ListParagraph">
    <w:name w:val="List Paragraph"/>
    <w:basedOn w:val="Normal"/>
    <w:uiPriority w:val="34"/>
    <w:qFormat/>
    <w:rsid w:val="0037123C"/>
    <w:pPr>
      <w:ind w:left="720"/>
      <w:contextualSpacing/>
    </w:pPr>
  </w:style>
  <w:style w:type="character" w:customStyle="1" w:styleId="ptext-1">
    <w:name w:val="ptext-1"/>
    <w:basedOn w:val="DefaultParagraphFont"/>
    <w:rsid w:val="0045618F"/>
  </w:style>
  <w:style w:type="paragraph" w:customStyle="1" w:styleId="GPOAGENCY">
    <w:name w:val="GPO AGENCY"/>
    <w:basedOn w:val="Normal"/>
    <w:link w:val="GPOAGENCYChar"/>
    <w:uiPriority w:val="99"/>
    <w:rsid w:val="002421C1"/>
    <w:pPr>
      <w:widowControl w:val="0"/>
      <w:autoSpaceDE w:val="0"/>
      <w:autoSpaceDN w:val="0"/>
      <w:adjustRightInd w:val="0"/>
    </w:pPr>
    <w:rPr>
      <w:b/>
      <w:bCs/>
      <w:sz w:val="20"/>
      <w:szCs w:val="20"/>
    </w:rPr>
  </w:style>
  <w:style w:type="character" w:customStyle="1" w:styleId="GPOAGENCYChar">
    <w:name w:val="GPO AGENCY Char"/>
    <w:basedOn w:val="DefaultParagraphFont"/>
    <w:link w:val="GPOAGENCY"/>
    <w:uiPriority w:val="99"/>
    <w:locked/>
    <w:rsid w:val="002421C1"/>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4F"/>
    <w:rPr>
      <w:rFonts w:eastAsia="Times New Roman"/>
      <w:sz w:val="24"/>
      <w:szCs w:val="24"/>
    </w:rPr>
  </w:style>
  <w:style w:type="paragraph" w:styleId="Heading1">
    <w:name w:val="heading 1"/>
    <w:basedOn w:val="Normal"/>
    <w:next w:val="Normal"/>
    <w:link w:val="Heading1Char"/>
    <w:qFormat/>
    <w:rsid w:val="0057364F"/>
    <w:pPr>
      <w:keepNext/>
      <w:keepLines/>
      <w:widowControl w:val="0"/>
      <w:numPr>
        <w:numId w:val="4"/>
      </w:numPr>
      <w:autoSpaceDE w:val="0"/>
      <w:autoSpaceDN w:val="0"/>
      <w:adjustRightInd w:val="0"/>
      <w:jc w:val="center"/>
      <w:outlineLvl w:val="0"/>
    </w:pPr>
    <w:rPr>
      <w:b/>
      <w:bCs/>
      <w:sz w:val="20"/>
      <w:szCs w:val="20"/>
    </w:rPr>
  </w:style>
  <w:style w:type="paragraph" w:styleId="Heading2">
    <w:name w:val="heading 2"/>
    <w:basedOn w:val="Normal"/>
    <w:next w:val="Normal"/>
    <w:link w:val="Heading2Char"/>
    <w:qFormat/>
    <w:rsid w:val="0057364F"/>
    <w:pPr>
      <w:keepNext/>
      <w:widowControl w:val="0"/>
      <w:numPr>
        <w:ilvl w:val="1"/>
        <w:numId w:val="4"/>
      </w:numPr>
      <w:autoSpaceDE w:val="0"/>
      <w:autoSpaceDN w:val="0"/>
      <w:adjustRightInd w:val="0"/>
      <w:spacing w:after="14"/>
      <w:jc w:val="both"/>
      <w:outlineLvl w:val="1"/>
    </w:pPr>
    <w:rPr>
      <w:i/>
      <w:iCs/>
      <w:sz w:val="20"/>
      <w:szCs w:val="20"/>
    </w:rPr>
  </w:style>
  <w:style w:type="paragraph" w:styleId="Heading3">
    <w:name w:val="heading 3"/>
    <w:basedOn w:val="Normal"/>
    <w:next w:val="Normal"/>
    <w:link w:val="Heading3Char"/>
    <w:qFormat/>
    <w:rsid w:val="0057364F"/>
    <w:pPr>
      <w:keepNext/>
      <w:widowControl w:val="0"/>
      <w:numPr>
        <w:ilvl w:val="2"/>
        <w:numId w:val="4"/>
      </w:numPr>
      <w:autoSpaceDE w:val="0"/>
      <w:autoSpaceDN w:val="0"/>
      <w:adjustRightInd w:val="0"/>
      <w:jc w:val="center"/>
      <w:outlineLvl w:val="2"/>
    </w:pPr>
    <w:rPr>
      <w:i/>
      <w:iCs/>
      <w:sz w:val="20"/>
      <w:szCs w:val="20"/>
    </w:rPr>
  </w:style>
  <w:style w:type="paragraph" w:styleId="Heading4">
    <w:name w:val="heading 4"/>
    <w:basedOn w:val="Normal"/>
    <w:next w:val="Normal"/>
    <w:link w:val="Heading4Char"/>
    <w:qFormat/>
    <w:rsid w:val="0057364F"/>
    <w:pPr>
      <w:keepNext/>
      <w:numPr>
        <w:ilvl w:val="3"/>
        <w:numId w:val="4"/>
      </w:numPr>
      <w:outlineLvl w:val="3"/>
    </w:pPr>
    <w:rPr>
      <w:sz w:val="20"/>
      <w:u w:val="single"/>
    </w:rPr>
  </w:style>
  <w:style w:type="paragraph" w:styleId="Heading5">
    <w:name w:val="heading 5"/>
    <w:basedOn w:val="Normal"/>
    <w:next w:val="Normal"/>
    <w:link w:val="Heading5Char"/>
    <w:qFormat/>
    <w:rsid w:val="0057364F"/>
    <w:pPr>
      <w:keepNext/>
      <w:numPr>
        <w:ilvl w:val="4"/>
        <w:numId w:val="4"/>
      </w:numPr>
      <w:outlineLvl w:val="4"/>
    </w:pPr>
    <w:rPr>
      <w:b/>
      <w:bCs/>
      <w:sz w:val="20"/>
      <w:szCs w:val="16"/>
    </w:rPr>
  </w:style>
  <w:style w:type="paragraph" w:styleId="Heading6">
    <w:name w:val="heading 6"/>
    <w:basedOn w:val="Normal"/>
    <w:next w:val="Normal"/>
    <w:link w:val="Heading6Char"/>
    <w:qFormat/>
    <w:rsid w:val="0057364F"/>
    <w:pPr>
      <w:keepNext/>
      <w:numPr>
        <w:ilvl w:val="5"/>
        <w:numId w:val="4"/>
      </w:numPr>
      <w:outlineLvl w:val="5"/>
    </w:pPr>
    <w:rPr>
      <w:sz w:val="20"/>
      <w:u w:val="single"/>
    </w:rPr>
  </w:style>
  <w:style w:type="paragraph" w:styleId="Heading7">
    <w:name w:val="heading 7"/>
    <w:basedOn w:val="Normal"/>
    <w:next w:val="Normal"/>
    <w:link w:val="Heading7Char"/>
    <w:qFormat/>
    <w:rsid w:val="0057364F"/>
    <w:pPr>
      <w:keepNext/>
      <w:numPr>
        <w:ilvl w:val="6"/>
        <w:numId w:val="4"/>
      </w:numPr>
      <w:outlineLvl w:val="6"/>
    </w:pPr>
    <w:rPr>
      <w:i/>
      <w:iCs/>
      <w:sz w:val="20"/>
      <w:szCs w:val="16"/>
    </w:rPr>
  </w:style>
  <w:style w:type="paragraph" w:styleId="Heading8">
    <w:name w:val="heading 8"/>
    <w:basedOn w:val="Normal"/>
    <w:next w:val="Normal"/>
    <w:link w:val="Heading8Char"/>
    <w:qFormat/>
    <w:rsid w:val="0057364F"/>
    <w:pPr>
      <w:keepNext/>
      <w:framePr w:hSpace="180" w:wrap="around" w:vAnchor="text" w:hAnchor="text" w:xAlign="center" w:y="1"/>
      <w:numPr>
        <w:ilvl w:val="7"/>
        <w:numId w:val="4"/>
      </w:numPr>
      <w:suppressOverlap/>
      <w:outlineLvl w:val="7"/>
    </w:pPr>
    <w:rPr>
      <w:i/>
      <w:iCs/>
      <w:sz w:val="20"/>
    </w:rPr>
  </w:style>
  <w:style w:type="paragraph" w:styleId="Heading9">
    <w:name w:val="heading 9"/>
    <w:basedOn w:val="Normal"/>
    <w:next w:val="Normal"/>
    <w:link w:val="Heading9Char"/>
    <w:qFormat/>
    <w:rsid w:val="0057364F"/>
    <w:pPr>
      <w:keepNext/>
      <w:framePr w:hSpace="180" w:wrap="around" w:vAnchor="text" w:hAnchor="text" w:xAlign="center" w:y="1"/>
      <w:numPr>
        <w:ilvl w:val="8"/>
        <w:numId w:val="4"/>
      </w:numPr>
      <w:suppressOverlap/>
      <w:jc w:val="center"/>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7364F"/>
    <w:rPr>
      <w:rFonts w:eastAsia="Times New Roman"/>
      <w:b/>
      <w:bCs/>
    </w:rPr>
  </w:style>
  <w:style w:type="character" w:customStyle="1" w:styleId="Heading2Char">
    <w:name w:val="Heading 2 Char"/>
    <w:link w:val="Heading2"/>
    <w:rsid w:val="0057364F"/>
    <w:rPr>
      <w:rFonts w:eastAsia="Times New Roman"/>
      <w:i/>
      <w:iCs/>
    </w:rPr>
  </w:style>
  <w:style w:type="character" w:customStyle="1" w:styleId="Heading3Char">
    <w:name w:val="Heading 3 Char"/>
    <w:link w:val="Heading3"/>
    <w:rsid w:val="0057364F"/>
    <w:rPr>
      <w:rFonts w:eastAsia="Times New Roman"/>
      <w:i/>
      <w:iCs/>
    </w:rPr>
  </w:style>
  <w:style w:type="character" w:customStyle="1" w:styleId="Heading4Char">
    <w:name w:val="Heading 4 Char"/>
    <w:link w:val="Heading4"/>
    <w:rsid w:val="0057364F"/>
    <w:rPr>
      <w:rFonts w:eastAsia="Times New Roman"/>
      <w:szCs w:val="24"/>
      <w:u w:val="single"/>
    </w:rPr>
  </w:style>
  <w:style w:type="character" w:customStyle="1" w:styleId="Heading5Char">
    <w:name w:val="Heading 5 Char"/>
    <w:link w:val="Heading5"/>
    <w:rsid w:val="0057364F"/>
    <w:rPr>
      <w:rFonts w:eastAsia="Times New Roman"/>
      <w:b/>
      <w:bCs/>
      <w:szCs w:val="16"/>
    </w:rPr>
  </w:style>
  <w:style w:type="character" w:customStyle="1" w:styleId="Heading6Char">
    <w:name w:val="Heading 6 Char"/>
    <w:link w:val="Heading6"/>
    <w:rsid w:val="0057364F"/>
    <w:rPr>
      <w:rFonts w:eastAsia="Times New Roman"/>
      <w:szCs w:val="24"/>
      <w:u w:val="single"/>
    </w:rPr>
  </w:style>
  <w:style w:type="character" w:customStyle="1" w:styleId="Heading7Char">
    <w:name w:val="Heading 7 Char"/>
    <w:link w:val="Heading7"/>
    <w:rsid w:val="0057364F"/>
    <w:rPr>
      <w:rFonts w:eastAsia="Times New Roman"/>
      <w:i/>
      <w:iCs/>
      <w:szCs w:val="16"/>
    </w:rPr>
  </w:style>
  <w:style w:type="character" w:customStyle="1" w:styleId="Heading8Char">
    <w:name w:val="Heading 8 Char"/>
    <w:link w:val="Heading8"/>
    <w:rsid w:val="0057364F"/>
    <w:rPr>
      <w:rFonts w:eastAsia="Times New Roman"/>
      <w:i/>
      <w:iCs/>
      <w:szCs w:val="24"/>
    </w:rPr>
  </w:style>
  <w:style w:type="character" w:customStyle="1" w:styleId="Heading9Char">
    <w:name w:val="Heading 9 Char"/>
    <w:link w:val="Heading9"/>
    <w:rsid w:val="0057364F"/>
    <w:rPr>
      <w:rFonts w:eastAsia="Times New Roman"/>
      <w:i/>
      <w:iCs/>
    </w:rPr>
  </w:style>
  <w:style w:type="paragraph" w:customStyle="1" w:styleId="Level1">
    <w:name w:val="Level 1"/>
    <w:basedOn w:val="Normal"/>
    <w:rsid w:val="0057364F"/>
    <w:pPr>
      <w:widowControl w:val="0"/>
      <w:autoSpaceDE w:val="0"/>
      <w:autoSpaceDN w:val="0"/>
      <w:adjustRightInd w:val="0"/>
      <w:ind w:left="720" w:hanging="720"/>
      <w:outlineLvl w:val="0"/>
    </w:pPr>
  </w:style>
  <w:style w:type="paragraph" w:styleId="FootnoteText">
    <w:name w:val="footnote text"/>
    <w:basedOn w:val="Normal"/>
    <w:link w:val="FootnoteTextChar"/>
    <w:semiHidden/>
    <w:rsid w:val="0057364F"/>
    <w:pPr>
      <w:numPr>
        <w:numId w:val="1"/>
      </w:numPr>
    </w:pPr>
    <w:rPr>
      <w:sz w:val="20"/>
      <w:szCs w:val="20"/>
    </w:rPr>
  </w:style>
  <w:style w:type="character" w:customStyle="1" w:styleId="FootnoteTextChar">
    <w:name w:val="Footnote Text Char"/>
    <w:link w:val="FootnoteText"/>
    <w:semiHidden/>
    <w:rsid w:val="0057364F"/>
    <w:rPr>
      <w:rFonts w:eastAsia="Times New Roman"/>
    </w:rPr>
  </w:style>
  <w:style w:type="character" w:styleId="FootnoteReference">
    <w:name w:val="footnote reference"/>
    <w:semiHidden/>
    <w:rsid w:val="0057364F"/>
    <w:rPr>
      <w:vertAlign w:val="superscript"/>
    </w:rPr>
  </w:style>
  <w:style w:type="paragraph" w:customStyle="1" w:styleId="footnotetex">
    <w:name w:val="footnote tex"/>
    <w:basedOn w:val="Normal"/>
    <w:rsid w:val="0057364F"/>
    <w:pPr>
      <w:widowControl w:val="0"/>
      <w:autoSpaceDE w:val="0"/>
      <w:autoSpaceDN w:val="0"/>
      <w:adjustRightInd w:val="0"/>
    </w:pPr>
  </w:style>
  <w:style w:type="paragraph" w:customStyle="1" w:styleId="Level3">
    <w:name w:val="Level 3"/>
    <w:basedOn w:val="Normal"/>
    <w:rsid w:val="0057364F"/>
    <w:pPr>
      <w:widowControl w:val="0"/>
      <w:autoSpaceDE w:val="0"/>
      <w:autoSpaceDN w:val="0"/>
      <w:adjustRightInd w:val="0"/>
      <w:ind w:left="2160" w:hanging="720"/>
    </w:pPr>
  </w:style>
  <w:style w:type="paragraph" w:customStyle="1" w:styleId="Level2">
    <w:name w:val="Level 2"/>
    <w:basedOn w:val="Normal"/>
    <w:rsid w:val="0057364F"/>
    <w:pPr>
      <w:widowControl w:val="0"/>
      <w:autoSpaceDE w:val="0"/>
      <w:autoSpaceDN w:val="0"/>
      <w:adjustRightInd w:val="0"/>
      <w:ind w:left="1440" w:hanging="720"/>
    </w:pPr>
  </w:style>
  <w:style w:type="paragraph" w:styleId="Caption">
    <w:name w:val="caption"/>
    <w:basedOn w:val="Normal"/>
    <w:next w:val="Normal"/>
    <w:qFormat/>
    <w:rsid w:val="0057364F"/>
    <w:pPr>
      <w:spacing w:before="120" w:after="120"/>
    </w:pPr>
    <w:rPr>
      <w:b/>
      <w:bCs/>
      <w:sz w:val="20"/>
      <w:szCs w:val="20"/>
    </w:rPr>
  </w:style>
  <w:style w:type="paragraph" w:styleId="BodyText">
    <w:name w:val="Body Text"/>
    <w:basedOn w:val="Normal"/>
    <w:link w:val="BodyTextChar"/>
    <w:rsid w:val="0057364F"/>
    <w:rPr>
      <w:sz w:val="22"/>
    </w:rPr>
  </w:style>
  <w:style w:type="character" w:customStyle="1" w:styleId="BodyTextChar">
    <w:name w:val="Body Text Char"/>
    <w:link w:val="BodyText"/>
    <w:rsid w:val="0057364F"/>
    <w:rPr>
      <w:rFonts w:eastAsia="Times New Roman" w:cs="Times New Roman"/>
      <w:sz w:val="22"/>
      <w:szCs w:val="24"/>
    </w:rPr>
  </w:style>
  <w:style w:type="paragraph" w:styleId="BodyTextIndent">
    <w:name w:val="Body Text Indent"/>
    <w:basedOn w:val="Normal"/>
    <w:link w:val="BodyTextIndentChar"/>
    <w:rsid w:val="0057364F"/>
    <w:pPr>
      <w:widowControl w:val="0"/>
      <w:autoSpaceDE w:val="0"/>
      <w:autoSpaceDN w:val="0"/>
      <w:adjustRightInd w:val="0"/>
      <w:ind w:firstLine="720"/>
    </w:pPr>
    <w:rPr>
      <w:sz w:val="20"/>
    </w:rPr>
  </w:style>
  <w:style w:type="character" w:customStyle="1" w:styleId="BodyTextIndentChar">
    <w:name w:val="Body Text Indent Char"/>
    <w:link w:val="BodyTextIndent"/>
    <w:rsid w:val="0057364F"/>
    <w:rPr>
      <w:rFonts w:eastAsia="Times New Roman" w:cs="Times New Roman"/>
      <w:szCs w:val="24"/>
    </w:rPr>
  </w:style>
  <w:style w:type="character" w:customStyle="1" w:styleId="Hypertext">
    <w:name w:val="Hypertext"/>
    <w:rsid w:val="0057364F"/>
    <w:rPr>
      <w:color w:val="0000FF"/>
      <w:u w:val="single"/>
    </w:rPr>
  </w:style>
  <w:style w:type="paragraph" w:styleId="Header">
    <w:name w:val="header"/>
    <w:basedOn w:val="Normal"/>
    <w:link w:val="HeaderChar"/>
    <w:rsid w:val="0057364F"/>
    <w:pPr>
      <w:tabs>
        <w:tab w:val="center" w:pos="4320"/>
        <w:tab w:val="right" w:pos="8640"/>
      </w:tabs>
    </w:pPr>
    <w:rPr>
      <w:sz w:val="20"/>
    </w:rPr>
  </w:style>
  <w:style w:type="character" w:customStyle="1" w:styleId="HeaderChar">
    <w:name w:val="Header Char"/>
    <w:link w:val="Header"/>
    <w:uiPriority w:val="99"/>
    <w:rsid w:val="0057364F"/>
    <w:rPr>
      <w:rFonts w:eastAsia="Times New Roman" w:cs="Times New Roman"/>
      <w:szCs w:val="24"/>
    </w:rPr>
  </w:style>
  <w:style w:type="paragraph" w:styleId="Footer">
    <w:name w:val="footer"/>
    <w:basedOn w:val="Normal"/>
    <w:link w:val="FooterChar"/>
    <w:uiPriority w:val="99"/>
    <w:rsid w:val="0057364F"/>
    <w:pPr>
      <w:tabs>
        <w:tab w:val="center" w:pos="4320"/>
        <w:tab w:val="right" w:pos="8640"/>
      </w:tabs>
    </w:pPr>
    <w:rPr>
      <w:sz w:val="20"/>
    </w:rPr>
  </w:style>
  <w:style w:type="character" w:customStyle="1" w:styleId="FooterChar">
    <w:name w:val="Footer Char"/>
    <w:link w:val="Footer"/>
    <w:uiPriority w:val="99"/>
    <w:rsid w:val="0057364F"/>
    <w:rPr>
      <w:rFonts w:eastAsia="Times New Roman" w:cs="Times New Roman"/>
      <w:szCs w:val="24"/>
    </w:rPr>
  </w:style>
  <w:style w:type="character" w:customStyle="1" w:styleId="BalloonTextChar">
    <w:name w:val="Balloon Text Char"/>
    <w:link w:val="BalloonText"/>
    <w:semiHidden/>
    <w:rsid w:val="0057364F"/>
    <w:rPr>
      <w:rFonts w:ascii="Tahoma" w:eastAsia="Times New Roman" w:hAnsi="Tahoma" w:cs="Tahoma"/>
      <w:sz w:val="16"/>
      <w:szCs w:val="16"/>
    </w:rPr>
  </w:style>
  <w:style w:type="paragraph" w:styleId="BalloonText">
    <w:name w:val="Balloon Text"/>
    <w:basedOn w:val="Normal"/>
    <w:link w:val="BalloonTextChar"/>
    <w:semiHidden/>
    <w:rsid w:val="0057364F"/>
    <w:rPr>
      <w:rFonts w:ascii="Tahoma" w:hAnsi="Tahoma"/>
      <w:sz w:val="16"/>
      <w:szCs w:val="16"/>
    </w:rPr>
  </w:style>
  <w:style w:type="paragraph" w:styleId="CommentText">
    <w:name w:val="annotation text"/>
    <w:basedOn w:val="Normal"/>
    <w:link w:val="CommentTextChar"/>
    <w:uiPriority w:val="99"/>
    <w:semiHidden/>
    <w:rsid w:val="0057364F"/>
    <w:rPr>
      <w:sz w:val="20"/>
      <w:szCs w:val="20"/>
    </w:rPr>
  </w:style>
  <w:style w:type="character" w:customStyle="1" w:styleId="CommentTextChar">
    <w:name w:val="Comment Text Char"/>
    <w:link w:val="CommentText"/>
    <w:uiPriority w:val="99"/>
    <w:semiHidden/>
    <w:rsid w:val="0057364F"/>
    <w:rPr>
      <w:rFonts w:eastAsia="Times New Roman" w:cs="Times New Roman"/>
      <w:sz w:val="20"/>
      <w:szCs w:val="20"/>
    </w:rPr>
  </w:style>
  <w:style w:type="character" w:customStyle="1" w:styleId="CommentSubjectChar">
    <w:name w:val="Comment Subject Char"/>
    <w:link w:val="CommentSubject"/>
    <w:semiHidden/>
    <w:rsid w:val="0057364F"/>
    <w:rPr>
      <w:rFonts w:eastAsia="Times New Roman" w:cs="Times New Roman"/>
      <w:b/>
      <w:bCs/>
      <w:sz w:val="20"/>
      <w:szCs w:val="20"/>
    </w:rPr>
  </w:style>
  <w:style w:type="paragraph" w:styleId="CommentSubject">
    <w:name w:val="annotation subject"/>
    <w:basedOn w:val="CommentText"/>
    <w:next w:val="CommentText"/>
    <w:link w:val="CommentSubjectChar"/>
    <w:semiHidden/>
    <w:rsid w:val="0057364F"/>
    <w:rPr>
      <w:b/>
      <w:bCs/>
    </w:rPr>
  </w:style>
  <w:style w:type="character" w:styleId="Hyperlink">
    <w:name w:val="Hyperlink"/>
    <w:rsid w:val="0057364F"/>
    <w:rPr>
      <w:color w:val="0000FF"/>
      <w:u w:val="single"/>
    </w:rPr>
  </w:style>
  <w:style w:type="character" w:customStyle="1" w:styleId="footnoteref">
    <w:name w:val="footnote ref"/>
    <w:rsid w:val="0057364F"/>
    <w:rPr>
      <w:vertAlign w:val="superscript"/>
    </w:rPr>
  </w:style>
  <w:style w:type="paragraph" w:customStyle="1" w:styleId="RRBodyText">
    <w:name w:val="R&amp;R Body Text"/>
    <w:basedOn w:val="Normal"/>
    <w:link w:val="RRBodyTextChar"/>
    <w:rsid w:val="0057364F"/>
    <w:pPr>
      <w:tabs>
        <w:tab w:val="left" w:pos="0"/>
        <w:tab w:val="left" w:pos="720"/>
        <w:tab w:val="left" w:pos="1080"/>
        <w:tab w:val="left" w:pos="1440"/>
        <w:tab w:val="left" w:pos="1800"/>
        <w:tab w:val="left" w:pos="8985"/>
      </w:tabs>
      <w:autoSpaceDE w:val="0"/>
      <w:autoSpaceDN w:val="0"/>
      <w:adjustRightInd w:val="0"/>
      <w:spacing w:line="264" w:lineRule="auto"/>
    </w:pPr>
    <w:rPr>
      <w:sz w:val="22"/>
    </w:rPr>
  </w:style>
  <w:style w:type="character" w:customStyle="1" w:styleId="RRBodyTextChar">
    <w:name w:val="R&amp;R Body Text Char"/>
    <w:link w:val="RRBodyText"/>
    <w:rsid w:val="0057364F"/>
    <w:rPr>
      <w:rFonts w:eastAsia="Times New Roman" w:cs="Times New Roman"/>
      <w:sz w:val="22"/>
      <w:szCs w:val="24"/>
    </w:rPr>
  </w:style>
  <w:style w:type="character" w:styleId="FollowedHyperlink">
    <w:name w:val="FollowedHyperlink"/>
    <w:rsid w:val="0057364F"/>
    <w:rPr>
      <w:color w:val="800080"/>
      <w:u w:val="single"/>
    </w:rPr>
  </w:style>
  <w:style w:type="character" w:customStyle="1" w:styleId="GPOBold">
    <w:name w:val="GPO Bold"/>
    <w:rsid w:val="0057364F"/>
    <w:rPr>
      <w:b/>
      <w:bCs/>
    </w:rPr>
  </w:style>
  <w:style w:type="paragraph" w:customStyle="1" w:styleId="RRTableText">
    <w:name w:val="R&amp;R Table Text"/>
    <w:basedOn w:val="RRBodyText"/>
    <w:rsid w:val="0057364F"/>
    <w:pPr>
      <w:autoSpaceDE/>
      <w:autoSpaceDN/>
      <w:adjustRightInd/>
    </w:pPr>
    <w:rPr>
      <w:sz w:val="20"/>
    </w:rPr>
  </w:style>
  <w:style w:type="paragraph" w:customStyle="1" w:styleId="GPONormal">
    <w:name w:val="GPO Normal"/>
    <w:basedOn w:val="Normal"/>
    <w:link w:val="GPONormalChar"/>
    <w:rsid w:val="0057364F"/>
    <w:rPr>
      <w:sz w:val="20"/>
    </w:rPr>
  </w:style>
  <w:style w:type="character" w:customStyle="1" w:styleId="GPONormalChar">
    <w:name w:val="GPO Normal Char"/>
    <w:link w:val="GPONormal"/>
    <w:rsid w:val="0057364F"/>
    <w:rPr>
      <w:rFonts w:eastAsia="Times New Roman" w:cs="Times New Roman"/>
      <w:szCs w:val="24"/>
    </w:rPr>
  </w:style>
  <w:style w:type="character" w:styleId="PageNumber">
    <w:name w:val="page number"/>
    <w:basedOn w:val="DefaultParagraphFont"/>
    <w:rsid w:val="0057364F"/>
  </w:style>
  <w:style w:type="character" w:customStyle="1" w:styleId="updatebodytest">
    <w:name w:val="updatebodytest"/>
    <w:basedOn w:val="DefaultParagraphFont"/>
    <w:rsid w:val="0057364F"/>
  </w:style>
  <w:style w:type="paragraph" w:styleId="NormalWeb">
    <w:name w:val="Normal (Web)"/>
    <w:basedOn w:val="Normal"/>
    <w:rsid w:val="0057364F"/>
    <w:pPr>
      <w:spacing w:before="100" w:beforeAutospacing="1" w:after="100" w:afterAutospacing="1"/>
    </w:pPr>
  </w:style>
  <w:style w:type="paragraph" w:styleId="PlainText">
    <w:name w:val="Plain Text"/>
    <w:basedOn w:val="Normal"/>
    <w:link w:val="PlainTextChar"/>
    <w:rsid w:val="0057364F"/>
    <w:rPr>
      <w:rFonts w:ascii="Courier New" w:hAnsi="Courier New"/>
      <w:sz w:val="20"/>
      <w:szCs w:val="20"/>
    </w:rPr>
  </w:style>
  <w:style w:type="character" w:customStyle="1" w:styleId="PlainTextChar">
    <w:name w:val="Plain Text Char"/>
    <w:link w:val="PlainText"/>
    <w:rsid w:val="0057364F"/>
    <w:rPr>
      <w:rFonts w:ascii="Courier New" w:eastAsia="Times New Roman" w:hAnsi="Courier New" w:cs="Courier New"/>
      <w:sz w:val="20"/>
      <w:szCs w:val="20"/>
    </w:rPr>
  </w:style>
  <w:style w:type="character" w:styleId="CommentReference">
    <w:name w:val="annotation reference"/>
    <w:uiPriority w:val="99"/>
    <w:semiHidden/>
    <w:unhideWhenUsed/>
    <w:rsid w:val="00585E6D"/>
    <w:rPr>
      <w:sz w:val="16"/>
      <w:szCs w:val="16"/>
    </w:rPr>
  </w:style>
  <w:style w:type="table" w:styleId="TableGrid">
    <w:name w:val="Table Grid"/>
    <w:basedOn w:val="TableNormal"/>
    <w:rsid w:val="00237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6660"/>
    <w:pPr>
      <w:autoSpaceDE w:val="0"/>
      <w:autoSpaceDN w:val="0"/>
      <w:adjustRightInd w:val="0"/>
    </w:pPr>
    <w:rPr>
      <w:rFonts w:ascii="CMGIK A+ Melior" w:hAnsi="CMGIK A+ Melior" w:cs="CMGIK A+ Melior"/>
      <w:color w:val="000000"/>
      <w:sz w:val="24"/>
      <w:szCs w:val="24"/>
    </w:rPr>
  </w:style>
  <w:style w:type="paragraph" w:styleId="ListParagraph">
    <w:name w:val="List Paragraph"/>
    <w:basedOn w:val="Normal"/>
    <w:uiPriority w:val="34"/>
    <w:qFormat/>
    <w:rsid w:val="0037123C"/>
    <w:pPr>
      <w:ind w:left="720"/>
      <w:contextualSpacing/>
    </w:pPr>
  </w:style>
  <w:style w:type="character" w:customStyle="1" w:styleId="ptext-1">
    <w:name w:val="ptext-1"/>
    <w:basedOn w:val="DefaultParagraphFont"/>
    <w:rsid w:val="0045618F"/>
  </w:style>
  <w:style w:type="paragraph" w:customStyle="1" w:styleId="GPOAGENCY">
    <w:name w:val="GPO AGENCY"/>
    <w:basedOn w:val="Normal"/>
    <w:link w:val="GPOAGENCYChar"/>
    <w:uiPriority w:val="99"/>
    <w:rsid w:val="002421C1"/>
    <w:pPr>
      <w:widowControl w:val="0"/>
      <w:autoSpaceDE w:val="0"/>
      <w:autoSpaceDN w:val="0"/>
      <w:adjustRightInd w:val="0"/>
    </w:pPr>
    <w:rPr>
      <w:b/>
      <w:bCs/>
      <w:sz w:val="20"/>
      <w:szCs w:val="20"/>
    </w:rPr>
  </w:style>
  <w:style w:type="character" w:customStyle="1" w:styleId="GPOAGENCYChar">
    <w:name w:val="GPO AGENCY Char"/>
    <w:basedOn w:val="DefaultParagraphFont"/>
    <w:link w:val="GPOAGENCY"/>
    <w:uiPriority w:val="99"/>
    <w:locked/>
    <w:rsid w:val="002421C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6746">
      <w:bodyDiv w:val="1"/>
      <w:marLeft w:val="0"/>
      <w:marRight w:val="0"/>
      <w:marTop w:val="0"/>
      <w:marBottom w:val="0"/>
      <w:divBdr>
        <w:top w:val="none" w:sz="0" w:space="0" w:color="auto"/>
        <w:left w:val="none" w:sz="0" w:space="0" w:color="auto"/>
        <w:bottom w:val="none" w:sz="0" w:space="0" w:color="auto"/>
        <w:right w:val="none" w:sz="0" w:space="0" w:color="auto"/>
      </w:divBdr>
    </w:div>
    <w:div w:id="383145002">
      <w:bodyDiv w:val="1"/>
      <w:marLeft w:val="0"/>
      <w:marRight w:val="0"/>
      <w:marTop w:val="0"/>
      <w:marBottom w:val="0"/>
      <w:divBdr>
        <w:top w:val="none" w:sz="0" w:space="0" w:color="auto"/>
        <w:left w:val="none" w:sz="0" w:space="0" w:color="auto"/>
        <w:bottom w:val="none" w:sz="0" w:space="0" w:color="auto"/>
        <w:right w:val="none" w:sz="0" w:space="0" w:color="auto"/>
      </w:divBdr>
    </w:div>
    <w:div w:id="411852036">
      <w:bodyDiv w:val="1"/>
      <w:marLeft w:val="0"/>
      <w:marRight w:val="0"/>
      <w:marTop w:val="0"/>
      <w:marBottom w:val="0"/>
      <w:divBdr>
        <w:top w:val="none" w:sz="0" w:space="0" w:color="auto"/>
        <w:left w:val="none" w:sz="0" w:space="0" w:color="auto"/>
        <w:bottom w:val="none" w:sz="0" w:space="0" w:color="auto"/>
        <w:right w:val="none" w:sz="0" w:space="0" w:color="auto"/>
      </w:divBdr>
    </w:div>
    <w:div w:id="454759433">
      <w:bodyDiv w:val="1"/>
      <w:marLeft w:val="0"/>
      <w:marRight w:val="0"/>
      <w:marTop w:val="0"/>
      <w:marBottom w:val="0"/>
      <w:divBdr>
        <w:top w:val="none" w:sz="0" w:space="0" w:color="auto"/>
        <w:left w:val="none" w:sz="0" w:space="0" w:color="auto"/>
        <w:bottom w:val="none" w:sz="0" w:space="0" w:color="auto"/>
        <w:right w:val="none" w:sz="0" w:space="0" w:color="auto"/>
      </w:divBdr>
    </w:div>
    <w:div w:id="510417126">
      <w:bodyDiv w:val="1"/>
      <w:marLeft w:val="0"/>
      <w:marRight w:val="0"/>
      <w:marTop w:val="0"/>
      <w:marBottom w:val="0"/>
      <w:divBdr>
        <w:top w:val="none" w:sz="0" w:space="0" w:color="auto"/>
        <w:left w:val="none" w:sz="0" w:space="0" w:color="auto"/>
        <w:bottom w:val="none" w:sz="0" w:space="0" w:color="auto"/>
        <w:right w:val="none" w:sz="0" w:space="0" w:color="auto"/>
      </w:divBdr>
    </w:div>
    <w:div w:id="581791380">
      <w:bodyDiv w:val="1"/>
      <w:marLeft w:val="0"/>
      <w:marRight w:val="0"/>
      <w:marTop w:val="0"/>
      <w:marBottom w:val="0"/>
      <w:divBdr>
        <w:top w:val="none" w:sz="0" w:space="0" w:color="auto"/>
        <w:left w:val="none" w:sz="0" w:space="0" w:color="auto"/>
        <w:bottom w:val="none" w:sz="0" w:space="0" w:color="auto"/>
        <w:right w:val="none" w:sz="0" w:space="0" w:color="auto"/>
      </w:divBdr>
    </w:div>
    <w:div w:id="585504358">
      <w:bodyDiv w:val="1"/>
      <w:marLeft w:val="0"/>
      <w:marRight w:val="0"/>
      <w:marTop w:val="0"/>
      <w:marBottom w:val="0"/>
      <w:divBdr>
        <w:top w:val="none" w:sz="0" w:space="0" w:color="auto"/>
        <w:left w:val="none" w:sz="0" w:space="0" w:color="auto"/>
        <w:bottom w:val="none" w:sz="0" w:space="0" w:color="auto"/>
        <w:right w:val="none" w:sz="0" w:space="0" w:color="auto"/>
      </w:divBdr>
    </w:div>
    <w:div w:id="652608689">
      <w:bodyDiv w:val="1"/>
      <w:marLeft w:val="0"/>
      <w:marRight w:val="0"/>
      <w:marTop w:val="0"/>
      <w:marBottom w:val="0"/>
      <w:divBdr>
        <w:top w:val="none" w:sz="0" w:space="0" w:color="auto"/>
        <w:left w:val="none" w:sz="0" w:space="0" w:color="auto"/>
        <w:bottom w:val="none" w:sz="0" w:space="0" w:color="auto"/>
        <w:right w:val="none" w:sz="0" w:space="0" w:color="auto"/>
      </w:divBdr>
    </w:div>
    <w:div w:id="662202761">
      <w:bodyDiv w:val="1"/>
      <w:marLeft w:val="0"/>
      <w:marRight w:val="0"/>
      <w:marTop w:val="0"/>
      <w:marBottom w:val="0"/>
      <w:divBdr>
        <w:top w:val="none" w:sz="0" w:space="0" w:color="auto"/>
        <w:left w:val="none" w:sz="0" w:space="0" w:color="auto"/>
        <w:bottom w:val="none" w:sz="0" w:space="0" w:color="auto"/>
        <w:right w:val="none" w:sz="0" w:space="0" w:color="auto"/>
      </w:divBdr>
    </w:div>
    <w:div w:id="670985329">
      <w:bodyDiv w:val="1"/>
      <w:marLeft w:val="0"/>
      <w:marRight w:val="0"/>
      <w:marTop w:val="0"/>
      <w:marBottom w:val="0"/>
      <w:divBdr>
        <w:top w:val="none" w:sz="0" w:space="0" w:color="auto"/>
        <w:left w:val="none" w:sz="0" w:space="0" w:color="auto"/>
        <w:bottom w:val="none" w:sz="0" w:space="0" w:color="auto"/>
        <w:right w:val="none" w:sz="0" w:space="0" w:color="auto"/>
      </w:divBdr>
    </w:div>
    <w:div w:id="671419838">
      <w:bodyDiv w:val="1"/>
      <w:marLeft w:val="0"/>
      <w:marRight w:val="0"/>
      <w:marTop w:val="0"/>
      <w:marBottom w:val="0"/>
      <w:divBdr>
        <w:top w:val="none" w:sz="0" w:space="0" w:color="auto"/>
        <w:left w:val="none" w:sz="0" w:space="0" w:color="auto"/>
        <w:bottom w:val="none" w:sz="0" w:space="0" w:color="auto"/>
        <w:right w:val="none" w:sz="0" w:space="0" w:color="auto"/>
      </w:divBdr>
    </w:div>
    <w:div w:id="833183868">
      <w:bodyDiv w:val="1"/>
      <w:marLeft w:val="0"/>
      <w:marRight w:val="0"/>
      <w:marTop w:val="0"/>
      <w:marBottom w:val="0"/>
      <w:divBdr>
        <w:top w:val="none" w:sz="0" w:space="0" w:color="auto"/>
        <w:left w:val="none" w:sz="0" w:space="0" w:color="auto"/>
        <w:bottom w:val="none" w:sz="0" w:space="0" w:color="auto"/>
        <w:right w:val="none" w:sz="0" w:space="0" w:color="auto"/>
      </w:divBdr>
    </w:div>
    <w:div w:id="901604267">
      <w:bodyDiv w:val="1"/>
      <w:marLeft w:val="0"/>
      <w:marRight w:val="0"/>
      <w:marTop w:val="0"/>
      <w:marBottom w:val="0"/>
      <w:divBdr>
        <w:top w:val="none" w:sz="0" w:space="0" w:color="auto"/>
        <w:left w:val="none" w:sz="0" w:space="0" w:color="auto"/>
        <w:bottom w:val="none" w:sz="0" w:space="0" w:color="auto"/>
        <w:right w:val="none" w:sz="0" w:space="0" w:color="auto"/>
      </w:divBdr>
    </w:div>
    <w:div w:id="1286738638">
      <w:bodyDiv w:val="1"/>
      <w:marLeft w:val="0"/>
      <w:marRight w:val="0"/>
      <w:marTop w:val="0"/>
      <w:marBottom w:val="0"/>
      <w:divBdr>
        <w:top w:val="none" w:sz="0" w:space="0" w:color="auto"/>
        <w:left w:val="none" w:sz="0" w:space="0" w:color="auto"/>
        <w:bottom w:val="none" w:sz="0" w:space="0" w:color="auto"/>
        <w:right w:val="none" w:sz="0" w:space="0" w:color="auto"/>
      </w:divBdr>
    </w:div>
    <w:div w:id="1342469370">
      <w:bodyDiv w:val="1"/>
      <w:marLeft w:val="0"/>
      <w:marRight w:val="0"/>
      <w:marTop w:val="0"/>
      <w:marBottom w:val="0"/>
      <w:divBdr>
        <w:top w:val="none" w:sz="0" w:space="0" w:color="auto"/>
        <w:left w:val="none" w:sz="0" w:space="0" w:color="auto"/>
        <w:bottom w:val="none" w:sz="0" w:space="0" w:color="auto"/>
        <w:right w:val="none" w:sz="0" w:space="0" w:color="auto"/>
      </w:divBdr>
    </w:div>
    <w:div w:id="1372069490">
      <w:bodyDiv w:val="1"/>
      <w:marLeft w:val="0"/>
      <w:marRight w:val="0"/>
      <w:marTop w:val="0"/>
      <w:marBottom w:val="0"/>
      <w:divBdr>
        <w:top w:val="none" w:sz="0" w:space="0" w:color="auto"/>
        <w:left w:val="none" w:sz="0" w:space="0" w:color="auto"/>
        <w:bottom w:val="none" w:sz="0" w:space="0" w:color="auto"/>
        <w:right w:val="none" w:sz="0" w:space="0" w:color="auto"/>
      </w:divBdr>
    </w:div>
    <w:div w:id="1484464990">
      <w:bodyDiv w:val="1"/>
      <w:marLeft w:val="0"/>
      <w:marRight w:val="0"/>
      <w:marTop w:val="0"/>
      <w:marBottom w:val="0"/>
      <w:divBdr>
        <w:top w:val="none" w:sz="0" w:space="0" w:color="auto"/>
        <w:left w:val="none" w:sz="0" w:space="0" w:color="auto"/>
        <w:bottom w:val="none" w:sz="0" w:space="0" w:color="auto"/>
        <w:right w:val="none" w:sz="0" w:space="0" w:color="auto"/>
      </w:divBdr>
    </w:div>
    <w:div w:id="1651787062">
      <w:bodyDiv w:val="1"/>
      <w:marLeft w:val="0"/>
      <w:marRight w:val="0"/>
      <w:marTop w:val="0"/>
      <w:marBottom w:val="0"/>
      <w:divBdr>
        <w:top w:val="none" w:sz="0" w:space="0" w:color="auto"/>
        <w:left w:val="none" w:sz="0" w:space="0" w:color="auto"/>
        <w:bottom w:val="none" w:sz="0" w:space="0" w:color="auto"/>
        <w:right w:val="none" w:sz="0" w:space="0" w:color="auto"/>
      </w:divBdr>
    </w:div>
    <w:div w:id="1663507984">
      <w:bodyDiv w:val="1"/>
      <w:marLeft w:val="0"/>
      <w:marRight w:val="0"/>
      <w:marTop w:val="0"/>
      <w:marBottom w:val="0"/>
      <w:divBdr>
        <w:top w:val="none" w:sz="0" w:space="0" w:color="auto"/>
        <w:left w:val="none" w:sz="0" w:space="0" w:color="auto"/>
        <w:bottom w:val="none" w:sz="0" w:space="0" w:color="auto"/>
        <w:right w:val="none" w:sz="0" w:space="0" w:color="auto"/>
      </w:divBdr>
    </w:div>
    <w:div w:id="1930310523">
      <w:bodyDiv w:val="1"/>
      <w:marLeft w:val="0"/>
      <w:marRight w:val="0"/>
      <w:marTop w:val="0"/>
      <w:marBottom w:val="0"/>
      <w:divBdr>
        <w:top w:val="none" w:sz="0" w:space="0" w:color="auto"/>
        <w:left w:val="none" w:sz="0" w:space="0" w:color="auto"/>
        <w:bottom w:val="none" w:sz="0" w:space="0" w:color="auto"/>
        <w:right w:val="none" w:sz="0" w:space="0" w:color="auto"/>
      </w:divBdr>
    </w:div>
    <w:div w:id="1964532182">
      <w:bodyDiv w:val="1"/>
      <w:marLeft w:val="0"/>
      <w:marRight w:val="0"/>
      <w:marTop w:val="0"/>
      <w:marBottom w:val="0"/>
      <w:divBdr>
        <w:top w:val="none" w:sz="0" w:space="0" w:color="auto"/>
        <w:left w:val="none" w:sz="0" w:space="0" w:color="auto"/>
        <w:bottom w:val="none" w:sz="0" w:space="0" w:color="auto"/>
        <w:right w:val="none" w:sz="0" w:space="0" w:color="auto"/>
      </w:divBdr>
    </w:div>
    <w:div w:id="1996059249">
      <w:bodyDiv w:val="1"/>
      <w:marLeft w:val="0"/>
      <w:marRight w:val="0"/>
      <w:marTop w:val="0"/>
      <w:marBottom w:val="0"/>
      <w:divBdr>
        <w:top w:val="none" w:sz="0" w:space="0" w:color="auto"/>
        <w:left w:val="none" w:sz="0" w:space="0" w:color="auto"/>
        <w:bottom w:val="none" w:sz="0" w:space="0" w:color="auto"/>
        <w:right w:val="none" w:sz="0" w:space="0" w:color="auto"/>
      </w:divBdr>
    </w:div>
    <w:div w:id="212264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pa.gov/oppt/newchems/epmn/epmn-index.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pa.gov/oppt/chemtest/ereport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ria_submissions@omb.eop.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regulations.gov" TargetMode="Externa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hyperlink" Target="http://www.gpo.gov/fdsys/pkg/CFR-2014-title40-vol31/pdf/CFR-2014-title40-vol31-part720.pdf" TargetMode="External"/><Relationship Id="rId7" Type="http://schemas.openxmlformats.org/officeDocument/2006/relationships/hyperlink" Target="http://www.gpo.gov/fdsys/pkg/FR-2010-01-06/pdf/E9-31004.pdf" TargetMode="External"/><Relationship Id="rId2" Type="http://schemas.openxmlformats.org/officeDocument/2006/relationships/hyperlink" Target="http://www.gpo.gov/fdsys/pkg/USCODE-2013-title15/pdf/USCODE-2013-title15-chap53-subchapI-sec2604.pdf" TargetMode="External"/><Relationship Id="rId1" Type="http://schemas.openxmlformats.org/officeDocument/2006/relationships/hyperlink" Target="http://www.reginfo.gov/public/do/PRAViewICR?ref_nbr=201112-2070-001" TargetMode="External"/><Relationship Id="rId6" Type="http://schemas.openxmlformats.org/officeDocument/2006/relationships/hyperlink" Target="http://www.gpo.gov/fdsys/pkg/CFR-2014-title40-vol31/pdf/CFR-2014-title40-vol31-part725.pdf" TargetMode="External"/><Relationship Id="rId5" Type="http://schemas.openxmlformats.org/officeDocument/2006/relationships/hyperlink" Target="http://www.gpo.gov/fdsys/pkg/CFR-2014-title40-vol31/pdf/CFR-2014-title40-vol31-part723.pdf" TargetMode="External"/><Relationship Id="rId4" Type="http://schemas.openxmlformats.org/officeDocument/2006/relationships/hyperlink" Target="http://www.gpo.gov/fdsys/pkg/CFR-2014-title40-vol31/pdf/CFR-2014-title40-vol31-part721.pdf" TargetMode="External"/><Relationship Id="rId9" Type="http://schemas.openxmlformats.org/officeDocument/2006/relationships/hyperlink" Target="http://www.reginfo.gov/public/do/PRAViewICR?ref_nbr=201106-2025-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1298B-E98A-4BF4-A269-35193C8A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3877</Words>
  <Characters>22100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25926</CharactersWithSpaces>
  <SharedDoc>false</SharedDoc>
  <HLinks>
    <vt:vector size="114" baseType="variant">
      <vt:variant>
        <vt:i4>917592</vt:i4>
      </vt:variant>
      <vt:variant>
        <vt:i4>59</vt:i4>
      </vt:variant>
      <vt:variant>
        <vt:i4>0</vt:i4>
      </vt:variant>
      <vt:variant>
        <vt:i4>5</vt:i4>
      </vt:variant>
      <vt:variant>
        <vt:lpwstr>http://www.epa.gov/lead/pubs/samplechecklist.pdf</vt:lpwstr>
      </vt:variant>
      <vt:variant>
        <vt:lpwstr/>
      </vt:variant>
      <vt:variant>
        <vt:i4>6094850</vt:i4>
      </vt:variant>
      <vt:variant>
        <vt:i4>56</vt:i4>
      </vt:variant>
      <vt:variant>
        <vt:i4>0</vt:i4>
      </vt:variant>
      <vt:variant>
        <vt:i4>5</vt:i4>
      </vt:variant>
      <vt:variant>
        <vt:lpwstr>http://www.epa.gov/lead/pubs/form1-abatement.pdf</vt:lpwstr>
      </vt:variant>
      <vt:variant>
        <vt:lpwstr/>
      </vt:variant>
      <vt:variant>
        <vt:i4>1048601</vt:i4>
      </vt:variant>
      <vt:variant>
        <vt:i4>51</vt:i4>
      </vt:variant>
      <vt:variant>
        <vt:i4>0</vt:i4>
      </vt:variant>
      <vt:variant>
        <vt:i4>5</vt:i4>
      </vt:variant>
      <vt:variant>
        <vt:lpwstr>http://www.epa.gov/lead/pubs/form3-post-training.pdf</vt:lpwstr>
      </vt:variant>
      <vt:variant>
        <vt:lpwstr/>
      </vt:variant>
      <vt:variant>
        <vt:i4>7733351</vt:i4>
      </vt:variant>
      <vt:variant>
        <vt:i4>46</vt:i4>
      </vt:variant>
      <vt:variant>
        <vt:i4>0</vt:i4>
      </vt:variant>
      <vt:variant>
        <vt:i4>5</vt:i4>
      </vt:variant>
      <vt:variant>
        <vt:lpwstr>http://www.epa.gov/lead/pubs/form2-pre-training.pdf</vt:lpwstr>
      </vt:variant>
      <vt:variant>
        <vt:lpwstr/>
      </vt:variant>
      <vt:variant>
        <vt:i4>2949156</vt:i4>
      </vt:variant>
      <vt:variant>
        <vt:i4>41</vt:i4>
      </vt:variant>
      <vt:variant>
        <vt:i4>0</vt:i4>
      </vt:variant>
      <vt:variant>
        <vt:i4>5</vt:i4>
      </vt:variant>
      <vt:variant>
        <vt:lpwstr>http://epa.gov/lead/pubs/indapp.pdf</vt:lpwstr>
      </vt:variant>
      <vt:variant>
        <vt:lpwstr/>
      </vt:variant>
      <vt:variant>
        <vt:i4>589845</vt:i4>
      </vt:variant>
      <vt:variant>
        <vt:i4>38</vt:i4>
      </vt:variant>
      <vt:variant>
        <vt:i4>0</vt:i4>
      </vt:variant>
      <vt:variant>
        <vt:i4>5</vt:i4>
      </vt:variant>
      <vt:variant>
        <vt:lpwstr>http://epa.gov/lead/pubs/firmapp.pdf</vt:lpwstr>
      </vt:variant>
      <vt:variant>
        <vt:lpwstr/>
      </vt:variant>
      <vt:variant>
        <vt:i4>5963784</vt:i4>
      </vt:variant>
      <vt:variant>
        <vt:i4>35</vt:i4>
      </vt:variant>
      <vt:variant>
        <vt:i4>0</vt:i4>
      </vt:variant>
      <vt:variant>
        <vt:i4>5</vt:i4>
      </vt:variant>
      <vt:variant>
        <vt:lpwstr>http://www.epa.gov/lead/pubs/trainapp.pdf</vt:lpwstr>
      </vt:variant>
      <vt:variant>
        <vt:lpwstr/>
      </vt:variant>
      <vt:variant>
        <vt:i4>1376380</vt:i4>
      </vt:variant>
      <vt:variant>
        <vt:i4>26</vt:i4>
      </vt:variant>
      <vt:variant>
        <vt:i4>0</vt:i4>
      </vt:variant>
      <vt:variant>
        <vt:i4>5</vt:i4>
      </vt:variant>
      <vt:variant>
        <vt:lpwstr>mailto:Mark.Mikkelson@AndersenCorp.com</vt:lpwstr>
      </vt:variant>
      <vt:variant>
        <vt:lpwstr/>
      </vt:variant>
      <vt:variant>
        <vt:i4>5177458</vt:i4>
      </vt:variant>
      <vt:variant>
        <vt:i4>23</vt:i4>
      </vt:variant>
      <vt:variant>
        <vt:i4>0</vt:i4>
      </vt:variant>
      <vt:variant>
        <vt:i4>5</vt:i4>
      </vt:variant>
      <vt:variant>
        <vt:lpwstr>mailto:bill@wmshawandassoc.com</vt:lpwstr>
      </vt:variant>
      <vt:variant>
        <vt:lpwstr/>
      </vt:variant>
      <vt:variant>
        <vt:i4>8323143</vt:i4>
      </vt:variant>
      <vt:variant>
        <vt:i4>20</vt:i4>
      </vt:variant>
      <vt:variant>
        <vt:i4>0</vt:i4>
      </vt:variant>
      <vt:variant>
        <vt:i4>5</vt:i4>
      </vt:variant>
      <vt:variant>
        <vt:lpwstr>mailto:vbutler@bbcbuilders.com</vt:lpwstr>
      </vt:variant>
      <vt:variant>
        <vt:lpwstr/>
      </vt:variant>
      <vt:variant>
        <vt:i4>196662</vt:i4>
      </vt:variant>
      <vt:variant>
        <vt:i4>17</vt:i4>
      </vt:variant>
      <vt:variant>
        <vt:i4>0</vt:i4>
      </vt:variant>
      <vt:variant>
        <vt:i4>5</vt:i4>
      </vt:variant>
      <vt:variant>
        <vt:lpwstr>mailto:danacb@pella.com</vt:lpwstr>
      </vt:variant>
      <vt:variant>
        <vt:lpwstr/>
      </vt:variant>
      <vt:variant>
        <vt:i4>1507369</vt:i4>
      </vt:variant>
      <vt:variant>
        <vt:i4>14</vt:i4>
      </vt:variant>
      <vt:variant>
        <vt:i4>0</vt:i4>
      </vt:variant>
      <vt:variant>
        <vt:i4>5</vt:i4>
      </vt:variant>
      <vt:variant>
        <vt:lpwstr>mailto:don@garramonebuilders.com</vt:lpwstr>
      </vt:variant>
      <vt:variant>
        <vt:lpwstr/>
      </vt:variant>
      <vt:variant>
        <vt:i4>3997723</vt:i4>
      </vt:variant>
      <vt:variant>
        <vt:i4>11</vt:i4>
      </vt:variant>
      <vt:variant>
        <vt:i4>0</vt:i4>
      </vt:variant>
      <vt:variant>
        <vt:i4>5</vt:i4>
      </vt:variant>
      <vt:variant>
        <vt:lpwstr>mailto:scott@mawchicago.com</vt:lpwstr>
      </vt:variant>
      <vt:variant>
        <vt:lpwstr/>
      </vt:variant>
      <vt:variant>
        <vt:i4>65634</vt:i4>
      </vt:variant>
      <vt:variant>
        <vt:i4>8</vt:i4>
      </vt:variant>
      <vt:variant>
        <vt:i4>0</vt:i4>
      </vt:variant>
      <vt:variant>
        <vt:i4>5</vt:i4>
      </vt:variant>
      <vt:variant>
        <vt:lpwstr>mailto:TNunziata@laborers-AGC.org</vt:lpwstr>
      </vt:variant>
      <vt:variant>
        <vt:lpwstr/>
      </vt:variant>
      <vt:variant>
        <vt:i4>2228239</vt:i4>
      </vt:variant>
      <vt:variant>
        <vt:i4>5</vt:i4>
      </vt:variant>
      <vt:variant>
        <vt:i4>0</vt:i4>
      </vt:variant>
      <vt:variant>
        <vt:i4>5</vt:i4>
      </vt:variant>
      <vt:variant>
        <vt:lpwstr>mailto:PMacRoy@nchh.org</vt:lpwstr>
      </vt:variant>
      <vt:variant>
        <vt:lpwstr/>
      </vt:variant>
      <vt:variant>
        <vt:i4>2818151</vt:i4>
      </vt:variant>
      <vt:variant>
        <vt:i4>2</vt:i4>
      </vt:variant>
      <vt:variant>
        <vt:i4>0</vt:i4>
      </vt:variant>
      <vt:variant>
        <vt:i4>5</vt:i4>
      </vt:variant>
      <vt:variant>
        <vt:lpwstr>http://www.regulations.gov/</vt:lpwstr>
      </vt:variant>
      <vt:variant>
        <vt:lpwstr/>
      </vt:variant>
      <vt:variant>
        <vt:i4>852032</vt:i4>
      </vt:variant>
      <vt:variant>
        <vt:i4>6</vt:i4>
      </vt:variant>
      <vt:variant>
        <vt:i4>0</vt:i4>
      </vt:variant>
      <vt:variant>
        <vt:i4>5</vt:i4>
      </vt:variant>
      <vt:variant>
        <vt:lpwstr>http://www.epa.gov/fedrgstr/EPA-TOX/2009/August/Day-21/t20209.pdf</vt:lpwstr>
      </vt:variant>
      <vt:variant>
        <vt:lpwstr/>
      </vt:variant>
      <vt:variant>
        <vt:i4>6160467</vt:i4>
      </vt:variant>
      <vt:variant>
        <vt:i4>3</vt:i4>
      </vt:variant>
      <vt:variant>
        <vt:i4>0</vt:i4>
      </vt:variant>
      <vt:variant>
        <vt:i4>5</vt:i4>
      </vt:variant>
      <vt:variant>
        <vt:lpwstr>http://www.epa.gov/lead/abatement.html</vt:lpwstr>
      </vt:variant>
      <vt:variant>
        <vt:lpwstr>map</vt:lpwstr>
      </vt:variant>
      <vt:variant>
        <vt:i4>2031693</vt:i4>
      </vt:variant>
      <vt:variant>
        <vt:i4>0</vt:i4>
      </vt:variant>
      <vt:variant>
        <vt:i4>0</vt:i4>
      </vt:variant>
      <vt:variant>
        <vt:i4>5</vt:i4>
      </vt:variant>
      <vt:variant>
        <vt:lpwstr>http://www.epa.gov/lead/rrp/lscp-renovation-firm.html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Sadowsky</dc:creator>
  <cp:lastModifiedBy>SYSTEM</cp:lastModifiedBy>
  <cp:revision>2</cp:revision>
  <dcterms:created xsi:type="dcterms:W3CDTF">2018-06-08T12:07:00Z</dcterms:created>
  <dcterms:modified xsi:type="dcterms:W3CDTF">2018-06-08T12:07:00Z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