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CCF06" w14:textId="39F2C292" w:rsidR="00A15C9E" w:rsidRDefault="00A15C9E" w:rsidP="00A15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sz w:val="28"/>
          <w:szCs w:val="28"/>
        </w:rPr>
      </w:pPr>
      <w:bookmarkStart w:id="0" w:name="_GoBack"/>
      <w:bookmarkEnd w:id="0"/>
      <w:r w:rsidRPr="00A15C9E">
        <w:rPr>
          <w:rFonts w:ascii="Helvetica" w:eastAsia="Times New Roman" w:hAnsi="Helvetica" w:cs="Times New Roman"/>
          <w:b/>
          <w:sz w:val="28"/>
          <w:szCs w:val="28"/>
        </w:rPr>
        <w:t>Supporting Statement for Paperwork Reduction Act Submissions</w:t>
      </w:r>
    </w:p>
    <w:p w14:paraId="311F2DD6" w14:textId="721A80A7" w:rsidR="00A15C9E" w:rsidRPr="00A15C9E" w:rsidRDefault="00A15C9E" w:rsidP="00A15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sz w:val="24"/>
          <w:szCs w:val="24"/>
        </w:rPr>
      </w:pP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Pr>
          <w:rFonts w:ascii="Helvetica" w:eastAsia="Times New Roman" w:hAnsi="Helvetica" w:cs="Times New Roman"/>
          <w:b/>
          <w:sz w:val="28"/>
          <w:szCs w:val="28"/>
        </w:rPr>
        <w:tab/>
      </w:r>
      <w:r w:rsidRPr="00A15C9E">
        <w:rPr>
          <w:rFonts w:ascii="Helvetica" w:eastAsia="Times New Roman" w:hAnsi="Helvetica" w:cs="Times New Roman"/>
          <w:b/>
          <w:sz w:val="24"/>
          <w:szCs w:val="24"/>
        </w:rPr>
        <w:t>August 29, 2018</w:t>
      </w:r>
    </w:p>
    <w:p w14:paraId="4DBF0899" w14:textId="77777777" w:rsidR="00A15C9E" w:rsidRPr="00A15C9E" w:rsidRDefault="00A15C9E" w:rsidP="00A15C9E">
      <w:pPr>
        <w:keepNext/>
        <w:keepLines/>
        <w:spacing w:before="480" w:after="0" w:line="276" w:lineRule="auto"/>
        <w:jc w:val="center"/>
        <w:outlineLvl w:val="0"/>
        <w:rPr>
          <w:rFonts w:ascii="Helvetica" w:eastAsia="Times New Roman" w:hAnsi="Helvetica" w:cs="Helvetica"/>
          <w:b/>
          <w:bCs/>
          <w:sz w:val="26"/>
          <w:szCs w:val="26"/>
        </w:rPr>
      </w:pPr>
      <w:r w:rsidRPr="00A15C9E">
        <w:rPr>
          <w:rFonts w:ascii="Helvetica" w:eastAsia="Times New Roman" w:hAnsi="Helvetica" w:cs="Helvetica"/>
          <w:b/>
          <w:bCs/>
          <w:sz w:val="26"/>
          <w:szCs w:val="26"/>
        </w:rPr>
        <w:t>Title: Single Family Premium Collection Subsystem- Periodic (SFPCS-P)</w:t>
      </w:r>
    </w:p>
    <w:p w14:paraId="34B9B33E"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sz w:val="26"/>
          <w:szCs w:val="26"/>
        </w:rPr>
      </w:pPr>
      <w:r w:rsidRPr="00A15C9E">
        <w:rPr>
          <w:rFonts w:ascii="Helvetica" w:eastAsia="Times New Roman" w:hAnsi="Helvetica" w:cs="Times New Roman"/>
          <w:b/>
          <w:sz w:val="26"/>
          <w:szCs w:val="26"/>
        </w:rPr>
        <w:t>OMB Control Number: 2502-0536</w:t>
      </w:r>
    </w:p>
    <w:p w14:paraId="531E2D4F"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p>
    <w:p w14:paraId="47BD1D18"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 xml:space="preserve">A. </w:t>
      </w:r>
      <w:r w:rsidRPr="00A15C9E">
        <w:rPr>
          <w:rFonts w:ascii="Helvetica" w:eastAsia="Times New Roman" w:hAnsi="Helvetica" w:cs="Times New Roman"/>
          <w:b/>
          <w:sz w:val="24"/>
        </w:rPr>
        <w:tab/>
        <w:t>Justification</w:t>
      </w:r>
    </w:p>
    <w:p w14:paraId="3D12030D"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1.</w:t>
      </w:r>
      <w:r w:rsidRPr="00A15C9E">
        <w:rPr>
          <w:rFonts w:ascii="Helvetica" w:eastAsia="Times New Roman" w:hAnsi="Helvetica"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70BE1AF" w14:textId="6CDE7340"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 xml:space="preserve">The </w:t>
      </w:r>
      <w:r w:rsidR="0083088A">
        <w:rPr>
          <w:rFonts w:ascii="Times New Roman" w:eastAsia="Times New Roman" w:hAnsi="Times New Roman" w:cs="Times New Roman"/>
          <w:sz w:val="24"/>
          <w:szCs w:val="20"/>
        </w:rPr>
        <w:t xml:space="preserve">Federal </w:t>
      </w:r>
      <w:r w:rsidRPr="00A15C9E">
        <w:rPr>
          <w:rFonts w:ascii="Times New Roman" w:eastAsia="Times New Roman" w:hAnsi="Times New Roman" w:cs="Times New Roman"/>
          <w:sz w:val="24"/>
          <w:szCs w:val="20"/>
        </w:rPr>
        <w:t>Credit Reform Act of 1990 requires FHA to report case level mortgage insurance premium payment information for each endorsement beginning with FY 1991.  Section 24 CFR 203.264 requires mortgagees to pay the periodic mortgage insurance premium (MIP) that is due for insured mortgages on or before the tenth day of each month.  Section 24 CFR 203.269 allows the Commissioner to require that the MIP be remitted electronically.</w:t>
      </w:r>
    </w:p>
    <w:p w14:paraId="1DDE0038"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Times New Roman" w:eastAsia="Times New Roman" w:hAnsi="Times New Roman" w:cs="Times New Roman"/>
          <w:sz w:val="24"/>
          <w:szCs w:val="24"/>
        </w:rPr>
      </w:pPr>
    </w:p>
    <w:p w14:paraId="68BB31BE" w14:textId="77777777" w:rsidR="00A15C9E" w:rsidRPr="00A15C9E" w:rsidRDefault="00A15C9E" w:rsidP="00A15C9E">
      <w:pPr>
        <w:numPr>
          <w:ilvl w:val="0"/>
          <w:numId w:val="2"/>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contextualSpacing/>
        <w:rPr>
          <w:rFonts w:ascii="Helvetica" w:eastAsia="Times New Roman" w:hAnsi="Helvetica" w:cs="Times New Roman"/>
          <w:b/>
          <w:sz w:val="24"/>
        </w:rPr>
      </w:pPr>
      <w:r w:rsidRPr="00A15C9E">
        <w:rPr>
          <w:rFonts w:ascii="Helvetica" w:eastAsia="Times New Roman" w:hAnsi="Helvetica" w:cs="Times New Roman"/>
          <w:b/>
          <w:sz w:val="24"/>
        </w:rPr>
        <w:t>Indicate how, by whom, and for what purpose the information is to be used. Except for a new collection, indicate the actual use the agency has made of the information received from the current collection.</w:t>
      </w:r>
    </w:p>
    <w:p w14:paraId="44DD6300" w14:textId="77777777" w:rsid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p>
    <w:p w14:paraId="70703836" w14:textId="7DC68B5D"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 xml:space="preserve">FHA lenders provide the subject information to facilitate electronic transmission of periodic payments of MIP via the Automated Clearing House (ACH) system.  Pay.gov processes payments electronically (electronic funds transfer or EFT) through the Automated Clearing House (ACH) using a checking account debit. The Federal Reserve Bank of Cleveland, which maintains the Pay.gov system, is used for the ACH debit.  Pay.gov </w:t>
      </w:r>
      <w:r w:rsidRPr="00A15C9E">
        <w:rPr>
          <w:rFonts w:ascii="Times New Roman" w:eastAsia="Times New Roman" w:hAnsi="Times New Roman" w:cs="Times New Roman"/>
          <w:sz w:val="24"/>
          <w:szCs w:val="24"/>
        </w:rPr>
        <w:t xml:space="preserve">is managed by the Bureau of the Fiscal Service of the U.S. Department of the Treasury.  </w:t>
      </w:r>
    </w:p>
    <w:p w14:paraId="1C2968EE" w14:textId="77777777" w:rsidR="00A15C9E" w:rsidRPr="00A15C9E" w:rsidRDefault="00A15C9E" w:rsidP="00A15C9E">
      <w:pPr>
        <w:overflowPunct w:val="0"/>
        <w:autoSpaceDE w:val="0"/>
        <w:autoSpaceDN w:val="0"/>
        <w:adjustRightInd w:val="0"/>
        <w:spacing w:after="0" w:line="240" w:lineRule="auto"/>
        <w:rPr>
          <w:rFonts w:ascii="Times New Roman" w:eastAsia="Times New Roman" w:hAnsi="Times New Roman" w:cs="Times New Roman"/>
          <w:sz w:val="24"/>
          <w:szCs w:val="20"/>
        </w:rPr>
      </w:pPr>
    </w:p>
    <w:p w14:paraId="7BAB28EE"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 xml:space="preserve">Case level detail of all MIP payments is submitted when the MIP is paid including information related to underlying loan which is covered by OMB 2502-0059.  The mortgagee pays each MIP in twelve equal monthly installments.  Each monthly installment is due to the FHA Commissioner no later than the tenth day of each month, beginning in the month in which the mortgagor is required to make the first monthly mortgage payment.  </w:t>
      </w:r>
    </w:p>
    <w:p w14:paraId="704E34AF"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03481217"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3.</w:t>
      </w:r>
      <w:r w:rsidRPr="00A15C9E">
        <w:rPr>
          <w:rFonts w:ascii="Helvetica" w:eastAsia="Times New Roman" w:hAnsi="Helvetica" w:cs="Times New Roman"/>
          <w:b/>
          <w:sz w:val="24"/>
        </w:rPr>
        <w:tab/>
        <w:t xml:space="preserve">Describe whether, and to what extent, the collection of information involves the use of automated, electronic, mechanical, or other technological collection techniques or other forms of information technology, e.g., permitting electronic </w:t>
      </w:r>
      <w:r w:rsidRPr="00A15C9E">
        <w:rPr>
          <w:rFonts w:ascii="Helvetica" w:eastAsia="Times New Roman" w:hAnsi="Helvetica" w:cs="Times New Roman"/>
          <w:b/>
          <w:sz w:val="24"/>
        </w:rPr>
        <w:lastRenderedPageBreak/>
        <w:t>submission of responses, and the basis for the decision for adopting this means of collection. Also describe any consideration of using information technology to reduce burden.</w:t>
      </w:r>
    </w:p>
    <w:p w14:paraId="747A3DF1" w14:textId="77777777" w:rsidR="00E04B8D" w:rsidRPr="00BE74E4" w:rsidRDefault="00A15C9E" w:rsidP="00E04B8D">
      <w:pPr>
        <w:pStyle w:val="BodyTextIndent"/>
        <w:ind w:firstLine="0"/>
      </w:pPr>
      <w:r w:rsidRPr="00A15C9E">
        <w:t xml:space="preserve">All information is submitted electronically via the Automated Clearing House (ACH). Copies of select screen shots are attached.  Data is provided from mortgagee’s records through an automated upload process, which electronically confirms record information with HUD\FHA records to validate payment of MIP by mortgagor to mortgagee, and then identifies amount of payment for Treasury to extract from mortgagee. </w:t>
      </w:r>
      <w:r w:rsidR="00E04B8D">
        <w:t xml:space="preserve">Portions of data used to identify accounts, mortgagors, and properties are already approved under Lender Activities utilizing collection 2502-0005.  The data submitted to validate MIP is being requested through this collection. </w:t>
      </w:r>
    </w:p>
    <w:p w14:paraId="0F03320E"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08A3E9D4"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4.</w:t>
      </w:r>
      <w:r w:rsidRPr="00A15C9E">
        <w:rPr>
          <w:rFonts w:ascii="Helvetica" w:eastAsia="Times New Roman" w:hAnsi="Helvetica" w:cs="Times New Roman"/>
          <w:b/>
          <w:sz w:val="24"/>
        </w:rPr>
        <w:tab/>
        <w:t>Describe efforts to identify duplication. Show specifically why any similar information already available cannot be used or modified for use for the purposes described in Item 2 above.</w:t>
      </w:r>
    </w:p>
    <w:p w14:paraId="134E19F9"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No duplicate data exists.  The data is not available from other sources.</w:t>
      </w:r>
    </w:p>
    <w:p w14:paraId="36472286"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620449F1"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5.</w:t>
      </w:r>
      <w:r w:rsidRPr="00A15C9E">
        <w:rPr>
          <w:rFonts w:ascii="Helvetica" w:eastAsia="Times New Roman" w:hAnsi="Helvetica" w:cs="Times New Roman"/>
          <w:b/>
          <w:sz w:val="24"/>
        </w:rPr>
        <w:tab/>
        <w:t>If the collection of information impacts small businesses or other small entities (Item 5 of OMB Form 83-I), describe any methods used to minimize burden.</w:t>
      </w:r>
    </w:p>
    <w:p w14:paraId="59958588" w14:textId="7D789AEB" w:rsidR="00A15C9E" w:rsidRDefault="00A15C9E" w:rsidP="00A15C9E">
      <w:pPr>
        <w:overflowPunct w:val="0"/>
        <w:autoSpaceDE w:val="0"/>
        <w:autoSpaceDN w:val="0"/>
        <w:adjustRightInd w:val="0"/>
        <w:spacing w:after="0" w:line="240" w:lineRule="auto"/>
        <w:ind w:left="360" w:hanging="360"/>
        <w:rPr>
          <w:rFonts w:ascii="Times New Roman" w:eastAsia="Times New Roman" w:hAnsi="Times New Roman" w:cs="Times New Roman"/>
          <w:sz w:val="24"/>
          <w:szCs w:val="24"/>
        </w:rPr>
      </w:pPr>
      <w:r w:rsidRPr="00A15C9E">
        <w:rPr>
          <w:rFonts w:ascii="Times New Roman" w:eastAsia="Times New Roman" w:hAnsi="Times New Roman" w:cs="Times New Roman"/>
          <w:sz w:val="24"/>
          <w:szCs w:val="24"/>
        </w:rPr>
        <w:t xml:space="preserve">      The collection of this information does not impact on small businesses or other small entities.</w:t>
      </w:r>
    </w:p>
    <w:p w14:paraId="2E38C4F2" w14:textId="77777777" w:rsidR="00E04B8D" w:rsidRPr="00BE74E4" w:rsidRDefault="00E04B8D" w:rsidP="00E04B8D">
      <w:pPr>
        <w:pStyle w:val="BodyTextIndent"/>
        <w:rPr>
          <w:szCs w:val="24"/>
        </w:rPr>
      </w:pPr>
      <w:r>
        <w:rPr>
          <w:szCs w:val="24"/>
        </w:rPr>
        <w:tab/>
        <w:t>Mortgagors affiliated with these programs are not small businesses, or small entities.</w:t>
      </w:r>
    </w:p>
    <w:p w14:paraId="52E84072" w14:textId="77777777" w:rsidR="00E04B8D" w:rsidRPr="00BE74E4" w:rsidRDefault="00E04B8D" w:rsidP="00E04B8D">
      <w:pPr>
        <w:rPr>
          <w:rFonts w:ascii="Times New Roman" w:hAnsi="Times New Roman" w:cs="Times New Roman"/>
          <w:sz w:val="24"/>
          <w:szCs w:val="24"/>
        </w:rPr>
      </w:pPr>
      <w:r w:rsidRPr="00BE74E4">
        <w:rPr>
          <w:rFonts w:ascii="Times New Roman" w:hAnsi="Times New Roman" w:cs="Times New Roman"/>
          <w:sz w:val="24"/>
          <w:szCs w:val="24"/>
        </w:rPr>
        <w:t xml:space="preserve"> </w:t>
      </w:r>
    </w:p>
    <w:p w14:paraId="5933820D"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6.</w:t>
      </w:r>
      <w:r w:rsidRPr="00A15C9E">
        <w:rPr>
          <w:rFonts w:ascii="Helvetica" w:eastAsia="Times New Roman" w:hAnsi="Helvetica" w:cs="Times New Roman"/>
          <w:b/>
          <w:sz w:val="24"/>
        </w:rPr>
        <w:tab/>
        <w:t>Describe the consequence to Federal program or policy activities if the collection is not conducted or is conducted less frequently, as well as any technical or legal obstacles to reducing burden.</w:t>
      </w:r>
    </w:p>
    <w:p w14:paraId="2811024B"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4"/>
        </w:rPr>
      </w:pPr>
      <w:r w:rsidRPr="00A15C9E">
        <w:rPr>
          <w:rFonts w:ascii="Times New Roman" w:eastAsia="Times New Roman" w:hAnsi="Times New Roman" w:cs="Times New Roman"/>
          <w:sz w:val="24"/>
          <w:szCs w:val="24"/>
        </w:rPr>
        <w:t>If the detailed MIP collection data is not gathered, FHA will not be in compliance with the Credit Reform Act and proper funds transmission cannot be accomplished.</w:t>
      </w:r>
    </w:p>
    <w:p w14:paraId="2F91BB5B" w14:textId="77777777" w:rsidR="00A15C9E" w:rsidRPr="00A15C9E" w:rsidRDefault="00A15C9E" w:rsidP="00A15C9E">
      <w:pPr>
        <w:overflowPunct w:val="0"/>
        <w:autoSpaceDE w:val="0"/>
        <w:autoSpaceDN w:val="0"/>
        <w:adjustRightInd w:val="0"/>
        <w:spacing w:after="0" w:line="240" w:lineRule="auto"/>
        <w:rPr>
          <w:rFonts w:ascii="Times New Roman" w:eastAsia="Times New Roman" w:hAnsi="Times New Roman" w:cs="Times New Roman"/>
          <w:sz w:val="24"/>
          <w:szCs w:val="24"/>
        </w:rPr>
      </w:pPr>
    </w:p>
    <w:p w14:paraId="04CD702C"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Helvetica" w:eastAsia="Times New Roman" w:hAnsi="Helvetica" w:cs="Times New Roman"/>
          <w:b/>
          <w:sz w:val="24"/>
        </w:rPr>
        <w:t>7.</w:t>
      </w:r>
      <w:r w:rsidRPr="00A15C9E">
        <w:rPr>
          <w:rFonts w:ascii="Helvetica" w:eastAsia="Times New Roman" w:hAnsi="Helvetica" w:cs="Times New Roman"/>
          <w:b/>
          <w:sz w:val="24"/>
        </w:rPr>
        <w:tab/>
        <w:t>Explain any special circumstances that would cause an information collection to be conducted in a manner:</w:t>
      </w:r>
    </w:p>
    <w:p w14:paraId="585500DB"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requiring respondents to report information to the agency more often than quarterly;</w:t>
      </w:r>
      <w:r w:rsidRPr="00A15C9E">
        <w:rPr>
          <w:rFonts w:ascii="Times New Roman" w:eastAsia="Times New Roman" w:hAnsi="Times New Roman" w:cs="Times New Roman"/>
          <w:sz w:val="24"/>
          <w:szCs w:val="24"/>
        </w:rPr>
        <w:t xml:space="preserve"> Mortgagees are required to submit MIP data on a monthly basis when they make their payments through ACH to meet their mortgage insurance contract obligations.  24 CFR § 203.264 Payment of periodic MIP indicates: “The mortgagee shall pay each MIP in twelve equal monthly installments. Each monthly installment shall be due and payable to the Commissioner no later than the tenth day of each month, beginning in the month in which the mortgagor is required to </w:t>
      </w:r>
      <w:r w:rsidRPr="00A15C9E">
        <w:rPr>
          <w:rFonts w:ascii="Times New Roman" w:eastAsia="Times New Roman" w:hAnsi="Times New Roman" w:cs="Times New Roman"/>
          <w:sz w:val="24"/>
          <w:szCs w:val="24"/>
        </w:rPr>
        <w:lastRenderedPageBreak/>
        <w:t xml:space="preserve">make the first monthly mortgage payment. This will be effective for amortization beginning on or after September 1, 1996.”  </w:t>
      </w:r>
    </w:p>
    <w:p w14:paraId="500EA63A"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requiring respondents to prepare a written response to a collection of information in fewer than 30 days after receipt of it;</w:t>
      </w:r>
      <w:r w:rsidRPr="00A15C9E">
        <w:rPr>
          <w:rFonts w:ascii="Times New Roman" w:eastAsia="Times New Roman" w:hAnsi="Times New Roman" w:cs="Times New Roman"/>
          <w:sz w:val="24"/>
          <w:szCs w:val="24"/>
        </w:rPr>
        <w:t xml:space="preserve"> NONE</w:t>
      </w:r>
    </w:p>
    <w:p w14:paraId="5D0BE2A6"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requiring respondents to submit more than an original and two copies of any document;</w:t>
      </w:r>
      <w:r w:rsidRPr="00A15C9E">
        <w:rPr>
          <w:rFonts w:ascii="Times New Roman" w:eastAsia="Times New Roman" w:hAnsi="Times New Roman" w:cs="Times New Roman"/>
          <w:sz w:val="24"/>
          <w:szCs w:val="24"/>
        </w:rPr>
        <w:t xml:space="preserve"> None</w:t>
      </w:r>
    </w:p>
    <w:p w14:paraId="2C02E381"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requiring respondents to retain records, other than health, medical, government contract, grant-in-aid, or tax records, for more than three years;</w:t>
      </w:r>
      <w:r w:rsidRPr="00A15C9E">
        <w:rPr>
          <w:rFonts w:ascii="Times New Roman" w:eastAsia="Times New Roman" w:hAnsi="Times New Roman" w:cs="Times New Roman"/>
          <w:sz w:val="24"/>
          <w:szCs w:val="24"/>
        </w:rPr>
        <w:t xml:space="preserve"> Industry common practice.  Mortgagees must maintain their loan documents, including documents that validate MIP for at least 7 years. </w:t>
      </w:r>
    </w:p>
    <w:p w14:paraId="05DEA69B"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in connection with a statistical survey, that is not designed to produce valid and reliable results that can be generalized to the universe of study;</w:t>
      </w:r>
      <w:r w:rsidRPr="00A15C9E">
        <w:rPr>
          <w:rFonts w:ascii="Times New Roman" w:eastAsia="Times New Roman" w:hAnsi="Times New Roman" w:cs="Times New Roman"/>
          <w:sz w:val="24"/>
          <w:szCs w:val="24"/>
        </w:rPr>
        <w:t xml:space="preserve"> NONE</w:t>
      </w:r>
    </w:p>
    <w:p w14:paraId="49AA3A83"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requiring the use of a statistical data classification that has not been reviewed and approved by OMB;</w:t>
      </w:r>
      <w:r w:rsidRPr="00A15C9E">
        <w:rPr>
          <w:rFonts w:ascii="Times New Roman" w:eastAsia="Times New Roman" w:hAnsi="Times New Roman" w:cs="Times New Roman"/>
          <w:sz w:val="24"/>
          <w:szCs w:val="24"/>
        </w:rPr>
        <w:t xml:space="preserve"> NONE</w:t>
      </w:r>
    </w:p>
    <w:p w14:paraId="229381E4"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15C9E">
        <w:rPr>
          <w:rFonts w:ascii="Times New Roman" w:eastAsia="Times New Roman" w:hAnsi="Times New Roman" w:cs="Times New Roman"/>
          <w:sz w:val="24"/>
          <w:szCs w:val="24"/>
        </w:rPr>
        <w:t xml:space="preserve"> NONE</w:t>
      </w:r>
    </w:p>
    <w:p w14:paraId="0FEADA8D"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sz w:val="24"/>
          <w:szCs w:val="24"/>
        </w:rPr>
        <w:t>* requiring respondents to submit proprietary trade secrets, or other confidential information unless the agency can demonstrate that it has instituted procedures to protect the information's confidentiality to the extent permitted by law.</w:t>
      </w:r>
      <w:r w:rsidRPr="00A15C9E">
        <w:rPr>
          <w:rFonts w:ascii="Times New Roman" w:eastAsia="Times New Roman" w:hAnsi="Times New Roman" w:cs="Times New Roman"/>
          <w:sz w:val="24"/>
          <w:szCs w:val="24"/>
        </w:rPr>
        <w:t xml:space="preserve"> NONE</w:t>
      </w:r>
    </w:p>
    <w:p w14:paraId="3FCF1B14"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74EAF87"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0B078AD"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rPr>
          <w:rFonts w:ascii="Helvetica" w:eastAsia="Times New Roman" w:hAnsi="Helvetica" w:cs="Times New Roman"/>
          <w:b/>
          <w:sz w:val="24"/>
        </w:rPr>
      </w:pPr>
      <w:r w:rsidRPr="00A15C9E">
        <w:rPr>
          <w:rFonts w:ascii="Helvetica" w:eastAsia="Times New Roman" w:hAnsi="Helvetica"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126C40" w14:textId="77777777" w:rsidR="00A15C9E" w:rsidRPr="00A15C9E" w:rsidRDefault="00A15C9E" w:rsidP="00A15C9E">
      <w:pPr>
        <w:autoSpaceDE w:val="0"/>
        <w:autoSpaceDN w:val="0"/>
        <w:adjustRightInd w:val="0"/>
        <w:spacing w:after="200" w:line="276" w:lineRule="auto"/>
        <w:rPr>
          <w:rFonts w:ascii="Times New Roman" w:eastAsia="Times New Roman" w:hAnsi="Times New Roman" w:cs="Times New Roman"/>
        </w:rPr>
      </w:pPr>
      <w:r w:rsidRPr="00A15C9E">
        <w:rPr>
          <w:rFonts w:ascii="Times New Roman" w:eastAsia="Times New Roman" w:hAnsi="Times New Roman" w:cs="Times New Roman"/>
          <w:sz w:val="24"/>
          <w:szCs w:val="24"/>
        </w:rPr>
        <w:t xml:space="preserve">The agency notice soliciting comments on the information collection was published in the </w:t>
      </w:r>
      <w:r w:rsidRPr="00A15C9E">
        <w:rPr>
          <w:rFonts w:ascii="Times New Roman" w:eastAsia="Times New Roman" w:hAnsi="Times New Roman" w:cs="Times New Roman"/>
          <w:sz w:val="24"/>
          <w:szCs w:val="24"/>
          <w:u w:val="single"/>
        </w:rPr>
        <w:t>Federal Register</w:t>
      </w:r>
      <w:r w:rsidRPr="00A15C9E">
        <w:rPr>
          <w:rFonts w:ascii="Times New Roman" w:eastAsia="Times New Roman" w:hAnsi="Times New Roman" w:cs="Times New Roman"/>
          <w:sz w:val="24"/>
          <w:szCs w:val="24"/>
        </w:rPr>
        <w:t xml:space="preserve"> </w:t>
      </w:r>
      <w:r w:rsidRPr="00A15C9E">
        <w:rPr>
          <w:rFonts w:ascii="Times New Roman" w:eastAsia="Times New Roman" w:hAnsi="Times New Roman" w:cs="Times New Roman"/>
          <w:iCs/>
          <w:sz w:val="24"/>
        </w:rPr>
        <w:t xml:space="preserve">as stated below: </w:t>
      </w:r>
      <w:r w:rsidRPr="00A15C9E">
        <w:rPr>
          <w:rFonts w:ascii="Times New Roman" w:eastAsia="Times New Roman" w:hAnsi="Times New Roman" w:cs="Times New Roman"/>
          <w:sz w:val="24"/>
        </w:rPr>
        <w:t xml:space="preserve"> </w:t>
      </w:r>
    </w:p>
    <w:p w14:paraId="06CFA035" w14:textId="77777777" w:rsidR="00A15C9E" w:rsidRPr="00A15C9E" w:rsidRDefault="00A15C9E" w:rsidP="00A15C9E">
      <w:pPr>
        <w:spacing w:after="0" w:line="240" w:lineRule="auto"/>
        <w:ind w:left="720"/>
        <w:rPr>
          <w:rFonts w:ascii="Times New Roman" w:eastAsia="Times New Roman" w:hAnsi="Times New Roman" w:cs="Times New Roman"/>
          <w:sz w:val="24"/>
        </w:rPr>
      </w:pPr>
      <w:r w:rsidRPr="00A15C9E">
        <w:rPr>
          <w:rFonts w:ascii="Times New Roman" w:eastAsia="Times New Roman" w:hAnsi="Times New Roman" w:cs="Times New Roman"/>
          <w:sz w:val="24"/>
        </w:rPr>
        <w:t xml:space="preserve">A 60-day Federal Register Notice inviting public comments was published on April 27, 2018, 83 FR 18587. No comments were received.   </w:t>
      </w:r>
    </w:p>
    <w:p w14:paraId="6641B345" w14:textId="77777777" w:rsidR="00A15C9E" w:rsidRPr="00A15C9E" w:rsidRDefault="00A15C9E" w:rsidP="00A15C9E">
      <w:pPr>
        <w:spacing w:after="0" w:line="240" w:lineRule="auto"/>
        <w:ind w:left="720"/>
        <w:rPr>
          <w:rFonts w:ascii="Times New Roman" w:eastAsia="Times New Roman" w:hAnsi="Times New Roman" w:cs="Times New Roman"/>
          <w:sz w:val="24"/>
        </w:rPr>
      </w:pPr>
    </w:p>
    <w:p w14:paraId="018749BE" w14:textId="77777777" w:rsidR="00A15C9E" w:rsidRPr="00A15C9E" w:rsidRDefault="00A15C9E" w:rsidP="00A15C9E">
      <w:pPr>
        <w:spacing w:after="0" w:line="240" w:lineRule="auto"/>
        <w:ind w:left="720"/>
        <w:rPr>
          <w:rFonts w:ascii="Times New Roman" w:eastAsia="Times New Roman" w:hAnsi="Times New Roman" w:cs="Times New Roman"/>
          <w:sz w:val="24"/>
        </w:rPr>
      </w:pPr>
      <w:r w:rsidRPr="00A15C9E">
        <w:rPr>
          <w:rFonts w:ascii="Times New Roman" w:eastAsia="Times New Roman" w:hAnsi="Times New Roman" w:cs="Times New Roman"/>
          <w:sz w:val="24"/>
        </w:rPr>
        <w:t xml:space="preserve">A 30-day Federal Register Notice inviting public comments was published on August 14, 2018, 83 FR 40313. No comments were received. </w:t>
      </w:r>
    </w:p>
    <w:p w14:paraId="3E24B22D" w14:textId="77777777" w:rsidR="00A15C9E" w:rsidRPr="00A15C9E" w:rsidRDefault="00A15C9E" w:rsidP="00A15C9E">
      <w:pPr>
        <w:spacing w:after="0" w:line="240" w:lineRule="auto"/>
        <w:ind w:left="720"/>
        <w:rPr>
          <w:rFonts w:ascii="Times New Roman" w:eastAsia="Times New Roman" w:hAnsi="Times New Roman" w:cs="Times New Roman"/>
          <w:sz w:val="24"/>
        </w:rPr>
      </w:pPr>
    </w:p>
    <w:p w14:paraId="20D42C03" w14:textId="77777777" w:rsidR="00A15C9E" w:rsidRPr="00A15C9E" w:rsidRDefault="00A15C9E" w:rsidP="00A15C9E">
      <w:pPr>
        <w:rPr>
          <w:rFonts w:ascii="Times New Roman" w:eastAsia="Calibri" w:hAnsi="Times New Roman" w:cs="Times New Roman"/>
        </w:rPr>
      </w:pPr>
      <w:r w:rsidRPr="00A15C9E">
        <w:rPr>
          <w:rFonts w:ascii="Times New Roman" w:eastAsia="Times New Roman" w:hAnsi="Times New Roman" w:cs="Times New Roman"/>
          <w:sz w:val="24"/>
        </w:rPr>
        <w:t>A copy of both published notices is included in this package.</w:t>
      </w:r>
    </w:p>
    <w:p w14:paraId="06A92EDC"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4"/>
        </w:rPr>
      </w:pPr>
    </w:p>
    <w:p w14:paraId="23775124"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9.  Explain any decision to provide any payment or gift to respondents, other than reenumeration of contractors or grantees.</w:t>
      </w:r>
    </w:p>
    <w:p w14:paraId="337093CB"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4"/>
        </w:rPr>
      </w:pPr>
      <w:r w:rsidRPr="00A15C9E">
        <w:rPr>
          <w:rFonts w:ascii="Times New Roman" w:eastAsia="Times New Roman" w:hAnsi="Times New Roman" w:cs="Times New Roman"/>
          <w:sz w:val="24"/>
          <w:szCs w:val="24"/>
        </w:rPr>
        <w:t>There are no gifts or any payments to respondents.</w:t>
      </w:r>
    </w:p>
    <w:p w14:paraId="00E291B1"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4"/>
        </w:rPr>
      </w:pPr>
    </w:p>
    <w:p w14:paraId="0EFBD698"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10.</w:t>
      </w:r>
      <w:r w:rsidRPr="00A15C9E">
        <w:rPr>
          <w:rFonts w:ascii="Helvetica" w:eastAsia="Times New Roman" w:hAnsi="Helvetica" w:cs="Times New Roman"/>
          <w:b/>
          <w:sz w:val="24"/>
        </w:rPr>
        <w:tab/>
        <w:t>Describe any assurance of confidentiality provided to respondents and the basis for the assurance in statute, regulation, or agency policy.</w:t>
      </w:r>
    </w:p>
    <w:p w14:paraId="6E644DE6"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 xml:space="preserve">No assurance of confidentiality is needed or provided. </w:t>
      </w:r>
    </w:p>
    <w:p w14:paraId="190D5D3E" w14:textId="77777777" w:rsidR="00A15C9E" w:rsidRPr="00A15C9E" w:rsidRDefault="00A15C9E" w:rsidP="00A15C9E">
      <w:pPr>
        <w:overflowPunct w:val="0"/>
        <w:autoSpaceDE w:val="0"/>
        <w:autoSpaceDN w:val="0"/>
        <w:adjustRightInd w:val="0"/>
        <w:spacing w:after="0" w:line="240" w:lineRule="auto"/>
        <w:rPr>
          <w:rFonts w:ascii="Times New Roman" w:eastAsia="Times New Roman" w:hAnsi="Times New Roman" w:cs="Times New Roman"/>
          <w:sz w:val="24"/>
          <w:szCs w:val="20"/>
        </w:rPr>
      </w:pPr>
    </w:p>
    <w:p w14:paraId="30BEC5F4"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11.</w:t>
      </w:r>
      <w:r w:rsidRPr="00A15C9E">
        <w:rPr>
          <w:rFonts w:ascii="Helvetica" w:eastAsia="Times New Roman" w:hAnsi="Helvetica"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1BCDE7C"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There are no sensitive questions involved in this collection.</w:t>
      </w:r>
    </w:p>
    <w:p w14:paraId="65B00167"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2C32BBC3"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12.</w:t>
      </w:r>
      <w:r w:rsidRPr="00A15C9E">
        <w:rPr>
          <w:rFonts w:ascii="Helvetica" w:eastAsia="Times New Roman" w:hAnsi="Helvetica" w:cs="Times New Roman"/>
          <w:b/>
          <w:sz w:val="24"/>
        </w:rPr>
        <w:tab/>
        <w:t>Provide estimates of the hour burden of the collection of information. The statement should: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in Item 13 of OMB Form 83-I.</w:t>
      </w:r>
    </w:p>
    <w:p w14:paraId="3159FE88" w14:textId="77777777" w:rsidR="00A15C9E" w:rsidRPr="00A15C9E" w:rsidRDefault="00A15C9E" w:rsidP="00A15C9E">
      <w:pPr>
        <w:keepNext/>
        <w:overflowPunct w:val="0"/>
        <w:autoSpaceDE w:val="0"/>
        <w:autoSpaceDN w:val="0"/>
        <w:adjustRightInd w:val="0"/>
        <w:spacing w:after="0" w:line="240" w:lineRule="auto"/>
        <w:ind w:left="360"/>
        <w:rPr>
          <w:rFonts w:ascii="Helvetica" w:eastAsia="Times New Roman" w:hAnsi="Helvetica" w:cs="Times New Roman"/>
          <w:b/>
          <w:sz w:val="24"/>
          <w:szCs w:val="20"/>
        </w:rPr>
      </w:pPr>
      <w:r w:rsidRPr="00A15C9E">
        <w:rPr>
          <w:rFonts w:ascii="Helvetica" w:eastAsia="Times New Roman" w:hAnsi="Helvetica" w:cs="Times New Roman"/>
          <w:b/>
          <w:sz w:val="24"/>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p>
    <w:p w14:paraId="64868750" w14:textId="77777777" w:rsidR="00A15C9E" w:rsidRPr="00A15C9E" w:rsidRDefault="00A15C9E" w:rsidP="00A15C9E">
      <w:pPr>
        <w:keepNext/>
        <w:overflowPunct w:val="0"/>
        <w:autoSpaceDE w:val="0"/>
        <w:autoSpaceDN w:val="0"/>
        <w:adjustRightInd w:val="0"/>
        <w:spacing w:after="0" w:line="240" w:lineRule="auto"/>
        <w:ind w:left="360" w:hanging="360"/>
        <w:rPr>
          <w:rFonts w:ascii="Times New Roman" w:eastAsia="Times New Roman" w:hAnsi="Times New Roman" w:cs="Times New Roman"/>
          <w:sz w:val="24"/>
          <w:szCs w:val="20"/>
        </w:rPr>
      </w:pPr>
    </w:p>
    <w:p w14:paraId="1801F516" w14:textId="77777777" w:rsidR="00A15C9E" w:rsidRPr="00A15C9E" w:rsidRDefault="00A15C9E" w:rsidP="00A15C9E">
      <w:pPr>
        <w:keepNext/>
        <w:overflowPunct w:val="0"/>
        <w:autoSpaceDE w:val="0"/>
        <w:autoSpaceDN w:val="0"/>
        <w:adjustRightInd w:val="0"/>
        <w:spacing w:after="0" w:line="240" w:lineRule="auto"/>
        <w:ind w:left="360" w:hanging="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 xml:space="preserve">Respondent Estimated Burden: </w:t>
      </w:r>
    </w:p>
    <w:p w14:paraId="1E240B7C" w14:textId="77777777" w:rsidR="00A15C9E" w:rsidRPr="00A15C9E" w:rsidRDefault="00A15C9E" w:rsidP="00A15C9E">
      <w:pPr>
        <w:keepNext/>
        <w:overflowPunct w:val="0"/>
        <w:autoSpaceDE w:val="0"/>
        <w:autoSpaceDN w:val="0"/>
        <w:adjustRightInd w:val="0"/>
        <w:spacing w:after="0" w:line="240" w:lineRule="auto"/>
        <w:rPr>
          <w:rFonts w:ascii="Times New Roman" w:eastAsia="Times New Roman" w:hAnsi="Times New Roman" w:cs="Times New Roman"/>
          <w:sz w:val="24"/>
          <w:szCs w:val="20"/>
        </w:rPr>
      </w:pPr>
    </w:p>
    <w:p w14:paraId="67D95A41"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 xml:space="preserve">Number of respondents varies depending upon lenders holding mortgages requiring periodic insurance premium payments.  Participating lenders hold a widely varied number of mortgages; some hold only a few, and some hold well over a million.  </w:t>
      </w:r>
    </w:p>
    <w:p w14:paraId="18685106"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p>
    <w:p w14:paraId="74F90BBF" w14:textId="77777777" w:rsidR="00A15C9E" w:rsidRPr="00A15C9E" w:rsidRDefault="00A15C9E" w:rsidP="00A15C9E">
      <w:pPr>
        <w:spacing w:after="200" w:line="276" w:lineRule="auto"/>
        <w:ind w:left="360"/>
        <w:rPr>
          <w:rFonts w:ascii="Times New Roman" w:eastAsia="Times New Roman" w:hAnsi="Times New Roman" w:cs="Times New Roman"/>
          <w:sz w:val="24"/>
          <w:szCs w:val="24"/>
        </w:rPr>
      </w:pPr>
      <w:r w:rsidRPr="00A15C9E">
        <w:rPr>
          <w:rFonts w:ascii="Times New Roman" w:eastAsia="Times New Roman" w:hAnsi="Times New Roman" w:cs="Times New Roman"/>
          <w:sz w:val="24"/>
          <w:szCs w:val="24"/>
        </w:rPr>
        <w:t>All periodic (monthly) mortgage insurance premium payments are sent electronically to HUD, either through the Internet using the FHA Connection or through CPU to CPU batch file transmissions, and processed using Pay.gov, a secure government-wide collection portal managed by the Bureau of the Fiscal Service of the U.S. Department of the Treasury. Pay.gov processes a payment electronically (electronic funds transfer or EFT) through the Automated Clearing House (ACH) using a checking account debit.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360"/>
        <w:gridCol w:w="1169"/>
        <w:gridCol w:w="1199"/>
        <w:gridCol w:w="1107"/>
        <w:gridCol w:w="1000"/>
        <w:gridCol w:w="1173"/>
        <w:gridCol w:w="983"/>
      </w:tblGrid>
      <w:tr w:rsidR="00A15C9E" w:rsidRPr="00A15C9E" w14:paraId="61AA7446" w14:textId="77777777" w:rsidTr="002D046C">
        <w:tc>
          <w:tcPr>
            <w:tcW w:w="1117" w:type="dxa"/>
            <w:tcBorders>
              <w:top w:val="single" w:sz="4" w:space="0" w:color="auto"/>
              <w:left w:val="single" w:sz="4" w:space="0" w:color="auto"/>
              <w:bottom w:val="single" w:sz="4" w:space="0" w:color="auto"/>
              <w:right w:val="single" w:sz="4" w:space="0" w:color="auto"/>
            </w:tcBorders>
            <w:vAlign w:val="center"/>
            <w:hideMark/>
          </w:tcPr>
          <w:p w14:paraId="1144A3EA"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Information Collection</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150EF80"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Number of Respondents</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900AA69"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Frequency of Response</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9965EBA"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Responses Per Annum</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8BCE494" w14:textId="77777777" w:rsidR="00A15C9E" w:rsidRPr="00A15C9E" w:rsidRDefault="00A15C9E" w:rsidP="00A15C9E">
            <w:pPr>
              <w:spacing w:after="60" w:line="276" w:lineRule="auto"/>
              <w:jc w:val="center"/>
              <w:rPr>
                <w:rFonts w:ascii="Arial" w:eastAsia="Times New Roman" w:hAnsi="Arial" w:cs="Arial"/>
                <w:sz w:val="18"/>
              </w:rPr>
            </w:pPr>
            <w:r w:rsidRPr="00A15C9E">
              <w:rPr>
                <w:rFonts w:ascii="Arial" w:eastAsia="Times New Roman" w:hAnsi="Arial" w:cs="Arial"/>
                <w:sz w:val="18"/>
              </w:rPr>
              <w:t>Burden Per Response</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199E7E6"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Annual Burden Hours</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86205DA"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Hourly Cost Per Response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3871E84" w14:textId="77777777" w:rsidR="00A15C9E" w:rsidRPr="00A15C9E" w:rsidRDefault="00A15C9E" w:rsidP="00A15C9E">
            <w:pPr>
              <w:spacing w:after="200" w:line="276" w:lineRule="auto"/>
              <w:jc w:val="center"/>
              <w:rPr>
                <w:rFonts w:ascii="Arial" w:eastAsia="Times New Roman" w:hAnsi="Arial" w:cs="Arial"/>
                <w:sz w:val="18"/>
              </w:rPr>
            </w:pPr>
            <w:r w:rsidRPr="00A15C9E">
              <w:rPr>
                <w:rFonts w:ascii="Arial" w:eastAsia="Times New Roman" w:hAnsi="Arial" w:cs="Arial"/>
                <w:sz w:val="18"/>
              </w:rPr>
              <w:t>Annual Cost</w:t>
            </w:r>
          </w:p>
        </w:tc>
      </w:tr>
      <w:tr w:rsidR="00A15C9E" w:rsidRPr="00A15C9E" w14:paraId="13F76F4B" w14:textId="77777777" w:rsidTr="002D046C">
        <w:tc>
          <w:tcPr>
            <w:tcW w:w="1117" w:type="dxa"/>
            <w:tcBorders>
              <w:top w:val="single" w:sz="4" w:space="0" w:color="auto"/>
              <w:left w:val="single" w:sz="4" w:space="0" w:color="auto"/>
              <w:bottom w:val="single" w:sz="4" w:space="0" w:color="auto"/>
              <w:right w:val="single" w:sz="4" w:space="0" w:color="auto"/>
            </w:tcBorders>
            <w:hideMark/>
          </w:tcPr>
          <w:p w14:paraId="633B7A1B" w14:textId="77777777" w:rsidR="00A15C9E" w:rsidRPr="00A15C9E" w:rsidRDefault="00A15C9E" w:rsidP="00A15C9E">
            <w:pPr>
              <w:spacing w:after="200" w:line="240" w:lineRule="exact"/>
              <w:rPr>
                <w:rFonts w:ascii="Arial" w:eastAsia="Times New Roman" w:hAnsi="Arial" w:cs="Arial"/>
                <w:sz w:val="18"/>
              </w:rPr>
            </w:pPr>
            <w:r w:rsidRPr="00A15C9E">
              <w:rPr>
                <w:rFonts w:ascii="Arial" w:eastAsia="Times New Roman" w:hAnsi="Arial" w:cs="Arial"/>
                <w:sz w:val="18"/>
              </w:rPr>
              <w:t>MIP’s</w:t>
            </w:r>
          </w:p>
        </w:tc>
        <w:tc>
          <w:tcPr>
            <w:tcW w:w="1510" w:type="dxa"/>
            <w:tcBorders>
              <w:top w:val="single" w:sz="4" w:space="0" w:color="auto"/>
              <w:left w:val="single" w:sz="4" w:space="0" w:color="auto"/>
              <w:bottom w:val="single" w:sz="4" w:space="0" w:color="auto"/>
              <w:right w:val="single" w:sz="4" w:space="0" w:color="auto"/>
            </w:tcBorders>
            <w:hideMark/>
          </w:tcPr>
          <w:p w14:paraId="7BC849B4"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641</w:t>
            </w:r>
          </w:p>
        </w:tc>
        <w:tc>
          <w:tcPr>
            <w:tcW w:w="1349" w:type="dxa"/>
            <w:tcBorders>
              <w:top w:val="single" w:sz="4" w:space="0" w:color="auto"/>
              <w:left w:val="single" w:sz="4" w:space="0" w:color="auto"/>
              <w:bottom w:val="single" w:sz="4" w:space="0" w:color="auto"/>
              <w:right w:val="single" w:sz="4" w:space="0" w:color="auto"/>
            </w:tcBorders>
            <w:hideMark/>
          </w:tcPr>
          <w:p w14:paraId="4DC06DCF"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12</w:t>
            </w:r>
          </w:p>
        </w:tc>
        <w:tc>
          <w:tcPr>
            <w:tcW w:w="1345" w:type="dxa"/>
            <w:tcBorders>
              <w:top w:val="single" w:sz="4" w:space="0" w:color="auto"/>
              <w:left w:val="single" w:sz="4" w:space="0" w:color="auto"/>
              <w:bottom w:val="single" w:sz="4" w:space="0" w:color="auto"/>
              <w:right w:val="single" w:sz="4" w:space="0" w:color="auto"/>
            </w:tcBorders>
            <w:hideMark/>
          </w:tcPr>
          <w:p w14:paraId="6A417BEF"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7,692</w:t>
            </w:r>
          </w:p>
        </w:tc>
        <w:tc>
          <w:tcPr>
            <w:tcW w:w="1249" w:type="dxa"/>
            <w:tcBorders>
              <w:top w:val="single" w:sz="4" w:space="0" w:color="auto"/>
              <w:left w:val="single" w:sz="4" w:space="0" w:color="auto"/>
              <w:bottom w:val="single" w:sz="4" w:space="0" w:color="auto"/>
              <w:right w:val="single" w:sz="4" w:space="0" w:color="auto"/>
            </w:tcBorders>
            <w:hideMark/>
          </w:tcPr>
          <w:p w14:paraId="6D3C6294"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.15</w:t>
            </w:r>
          </w:p>
        </w:tc>
        <w:tc>
          <w:tcPr>
            <w:tcW w:w="1359" w:type="dxa"/>
            <w:tcBorders>
              <w:top w:val="single" w:sz="4" w:space="0" w:color="auto"/>
              <w:left w:val="single" w:sz="4" w:space="0" w:color="auto"/>
              <w:bottom w:val="single" w:sz="4" w:space="0" w:color="auto"/>
              <w:right w:val="single" w:sz="4" w:space="0" w:color="auto"/>
            </w:tcBorders>
            <w:hideMark/>
          </w:tcPr>
          <w:p w14:paraId="409EB10A"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1,154</w:t>
            </w:r>
          </w:p>
        </w:tc>
        <w:tc>
          <w:tcPr>
            <w:tcW w:w="1431" w:type="dxa"/>
            <w:tcBorders>
              <w:top w:val="single" w:sz="4" w:space="0" w:color="auto"/>
              <w:left w:val="single" w:sz="4" w:space="0" w:color="auto"/>
              <w:bottom w:val="single" w:sz="4" w:space="0" w:color="auto"/>
              <w:right w:val="single" w:sz="4" w:space="0" w:color="auto"/>
            </w:tcBorders>
            <w:hideMark/>
          </w:tcPr>
          <w:p w14:paraId="22FAAE6B"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$26.94</w:t>
            </w:r>
          </w:p>
        </w:tc>
        <w:tc>
          <w:tcPr>
            <w:tcW w:w="1188" w:type="dxa"/>
            <w:tcBorders>
              <w:top w:val="single" w:sz="4" w:space="0" w:color="auto"/>
              <w:left w:val="single" w:sz="4" w:space="0" w:color="auto"/>
              <w:bottom w:val="single" w:sz="4" w:space="0" w:color="auto"/>
              <w:right w:val="single" w:sz="4" w:space="0" w:color="auto"/>
            </w:tcBorders>
            <w:hideMark/>
          </w:tcPr>
          <w:p w14:paraId="0601F3ED" w14:textId="77777777" w:rsidR="00A15C9E" w:rsidRPr="00A15C9E" w:rsidRDefault="00A15C9E" w:rsidP="00A15C9E">
            <w:pPr>
              <w:spacing w:after="200" w:line="240" w:lineRule="exact"/>
              <w:jc w:val="center"/>
              <w:rPr>
                <w:rFonts w:ascii="Arial" w:eastAsia="Times New Roman" w:hAnsi="Arial" w:cs="Arial"/>
                <w:sz w:val="18"/>
              </w:rPr>
            </w:pPr>
            <w:r w:rsidRPr="00A15C9E">
              <w:rPr>
                <w:rFonts w:ascii="Arial" w:eastAsia="Times New Roman" w:hAnsi="Arial" w:cs="Arial"/>
                <w:sz w:val="18"/>
              </w:rPr>
              <w:t>$31,089</w:t>
            </w:r>
          </w:p>
        </w:tc>
      </w:tr>
    </w:tbl>
    <w:p w14:paraId="16753976" w14:textId="77777777" w:rsidR="00A15C9E" w:rsidRPr="00A15C9E" w:rsidRDefault="00A15C9E" w:rsidP="00A15C9E">
      <w:pPr>
        <w:spacing w:after="200" w:line="276" w:lineRule="auto"/>
        <w:ind w:left="360"/>
        <w:rPr>
          <w:rFonts w:ascii="Times New Roman" w:eastAsia="Times New Roman" w:hAnsi="Times New Roman" w:cs="Times New Roman"/>
          <w:sz w:val="18"/>
          <w:szCs w:val="18"/>
        </w:rPr>
      </w:pPr>
      <w:r w:rsidRPr="00A15C9E">
        <w:rPr>
          <w:rFonts w:ascii="Calibri" w:eastAsia="Times New Roman" w:hAnsi="Calibri" w:cs="Times New Roman"/>
          <w:sz w:val="18"/>
          <w:szCs w:val="18"/>
        </w:rPr>
        <w:t>Hourly rate is based on an estimate of the annual salary of lender clerical staff at GS9- Step 1 in Washington DC, $56,233; $26.94/hour</w:t>
      </w:r>
    </w:p>
    <w:p w14:paraId="2A2A1399" w14:textId="77777777" w:rsidR="00A15C9E" w:rsidRPr="00A15C9E" w:rsidRDefault="00A15C9E" w:rsidP="00A15C9E">
      <w:pPr>
        <w:spacing w:after="0" w:line="240" w:lineRule="auto"/>
        <w:rPr>
          <w:rFonts w:ascii="Helvetica" w:eastAsia="Times New Roman" w:hAnsi="Helvetica" w:cs="Helvetica"/>
          <w:b/>
          <w:color w:val="000000"/>
          <w:sz w:val="24"/>
          <w:szCs w:val="24"/>
        </w:rPr>
      </w:pPr>
      <w:r w:rsidRPr="00A15C9E">
        <w:rPr>
          <w:rFonts w:ascii="Helvetica" w:eastAsia="Times New Roman" w:hAnsi="Helvetica" w:cs="Helvetica"/>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14:paraId="2B3EA31C"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p>
    <w:p w14:paraId="1D042A70"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4"/>
        </w:rPr>
      </w:pPr>
      <w:r w:rsidRPr="00A15C9E">
        <w:rPr>
          <w:rFonts w:ascii="Times New Roman" w:eastAsia="Times New Roman" w:hAnsi="Times New Roman" w:cs="Times New Roman"/>
          <w:sz w:val="24"/>
          <w:szCs w:val="20"/>
        </w:rPr>
        <w:t>There are no other costs to the respondents.</w:t>
      </w:r>
    </w:p>
    <w:p w14:paraId="43DCC62E" w14:textId="77777777" w:rsidR="00A15C9E" w:rsidRPr="00A15C9E" w:rsidRDefault="00A15C9E" w:rsidP="00A15C9E">
      <w:pPr>
        <w:overflowPunct w:val="0"/>
        <w:autoSpaceDE w:val="0"/>
        <w:autoSpaceDN w:val="0"/>
        <w:adjustRightInd w:val="0"/>
        <w:spacing w:after="0" w:line="240" w:lineRule="auto"/>
        <w:rPr>
          <w:rFonts w:ascii="Times New Roman" w:eastAsia="Times New Roman" w:hAnsi="Times New Roman" w:cs="Times New Roman"/>
          <w:sz w:val="24"/>
          <w:szCs w:val="24"/>
        </w:rPr>
      </w:pPr>
    </w:p>
    <w:p w14:paraId="07ABB518" w14:textId="77777777" w:rsidR="00A15C9E" w:rsidRPr="00A15C9E" w:rsidRDefault="00A15C9E" w:rsidP="00A15C9E">
      <w:pPr>
        <w:overflowPunct w:val="0"/>
        <w:autoSpaceDE w:val="0"/>
        <w:autoSpaceDN w:val="0"/>
        <w:adjustRightInd w:val="0"/>
        <w:spacing w:after="0" w:line="240" w:lineRule="auto"/>
        <w:ind w:left="360" w:hanging="360"/>
        <w:rPr>
          <w:rFonts w:ascii="Helvetica" w:eastAsia="Times New Roman" w:hAnsi="Helvetica" w:cs="Times New Roman"/>
          <w:b/>
          <w:sz w:val="24"/>
          <w:szCs w:val="20"/>
        </w:rPr>
      </w:pPr>
      <w:r w:rsidRPr="00A15C9E">
        <w:rPr>
          <w:rFonts w:ascii="Helvetica" w:eastAsia="Times New Roman" w:hAnsi="Helvetica" w:cs="Times New Roman"/>
          <w:b/>
          <w:sz w:val="24"/>
          <w:szCs w:val="20"/>
        </w:rPr>
        <w:t>14.</w:t>
      </w:r>
      <w:r w:rsidRPr="00A15C9E">
        <w:rPr>
          <w:rFonts w:ascii="Helvetica" w:eastAsia="Times New Roman" w:hAnsi="Helvetica" w:cs="Times New Roman"/>
          <w:b/>
          <w:sz w:val="24"/>
          <w:szCs w:val="20"/>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14F2026" w14:textId="77777777" w:rsidR="00A15C9E" w:rsidRPr="00A15C9E" w:rsidRDefault="00A15C9E" w:rsidP="00A15C9E">
      <w:pPr>
        <w:overflowPunct w:val="0"/>
        <w:autoSpaceDE w:val="0"/>
        <w:autoSpaceDN w:val="0"/>
        <w:adjustRightInd w:val="0"/>
        <w:spacing w:after="0" w:line="240" w:lineRule="auto"/>
        <w:ind w:left="360" w:hanging="360"/>
        <w:rPr>
          <w:rFonts w:ascii="Times New Roman" w:eastAsia="Times New Roman" w:hAnsi="Times New Roman" w:cs="Times New Roman"/>
          <w:sz w:val="24"/>
          <w:szCs w:val="24"/>
        </w:rPr>
      </w:pPr>
    </w:p>
    <w:p w14:paraId="3391481E"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4"/>
        </w:rPr>
      </w:pPr>
      <w:r w:rsidRPr="00A15C9E">
        <w:rPr>
          <w:rFonts w:ascii="Times New Roman" w:eastAsia="Times New Roman" w:hAnsi="Times New Roman" w:cs="Times New Roman"/>
          <w:sz w:val="24"/>
          <w:szCs w:val="24"/>
        </w:rPr>
        <w:t xml:space="preserve">Federal Government Costs:  None. Salient CGRT is now providing on-going support of the A80B Pay.gov operations at no additional cost. Treasury estimated we saved them $4 million </w:t>
      </w:r>
      <w:r w:rsidRPr="00A15C9E">
        <w:rPr>
          <w:rFonts w:ascii="Times New Roman" w:eastAsia="Times New Roman" w:hAnsi="Times New Roman" w:cs="Times New Roman"/>
          <w:bCs/>
          <w:sz w:val="24"/>
          <w:szCs w:val="24"/>
        </w:rPr>
        <w:t>annually</w:t>
      </w:r>
    </w:p>
    <w:p w14:paraId="67887978" w14:textId="77777777" w:rsidR="00A15C9E" w:rsidRPr="00A15C9E" w:rsidRDefault="00A15C9E" w:rsidP="00A15C9E">
      <w:pPr>
        <w:overflowPunct w:val="0"/>
        <w:autoSpaceDE w:val="0"/>
        <w:autoSpaceDN w:val="0"/>
        <w:adjustRightInd w:val="0"/>
        <w:spacing w:after="0" w:line="240" w:lineRule="auto"/>
        <w:rPr>
          <w:rFonts w:ascii="Times New Roman" w:eastAsia="Times New Roman" w:hAnsi="Times New Roman" w:cs="Times New Roman"/>
          <w:sz w:val="24"/>
          <w:szCs w:val="24"/>
        </w:rPr>
      </w:pPr>
    </w:p>
    <w:p w14:paraId="79A8D0E0"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15.</w:t>
      </w:r>
      <w:r w:rsidRPr="00A15C9E">
        <w:rPr>
          <w:rFonts w:ascii="Helvetica" w:eastAsia="Times New Roman" w:hAnsi="Helvetica" w:cs="Times New Roman"/>
          <w:b/>
          <w:sz w:val="24"/>
        </w:rPr>
        <w:tab/>
        <w:t>Explain the reasons for any program changes or adjustments reported in   Items 13 or 14 of the OMB Form 83-I.</w:t>
      </w:r>
    </w:p>
    <w:p w14:paraId="57DA4C3E" w14:textId="77777777" w:rsidR="00E04B8D" w:rsidRPr="00E04B8D" w:rsidRDefault="00A15C9E" w:rsidP="00E04B8D">
      <w:pPr>
        <w:pStyle w:val="BodyTextIndent"/>
        <w:ind w:firstLine="0"/>
        <w:rPr>
          <w:szCs w:val="24"/>
        </w:rPr>
      </w:pPr>
      <w:r w:rsidRPr="00A15C9E">
        <w:t>This is a</w:t>
      </w:r>
      <w:r w:rsidR="00E04B8D">
        <w:t xml:space="preserve"> revision</w:t>
      </w:r>
      <w:r w:rsidRPr="00A15C9E">
        <w:t xml:space="preserve"> of a currently approved collection.  Information on the number of respondents and responses is based on actual HUD data for the past year. </w:t>
      </w:r>
      <w:r w:rsidR="00E04B8D" w:rsidRPr="00E04B8D">
        <w:t xml:space="preserve">As indicated in other areas of this Supporting Statement, the number of MIPs requiring validation varies depending on the number of mortgagees holding loans that require Mortgage Insurance Premium payments.  Actual HUD \ FHA data is used to help estimate these numbers. </w:t>
      </w:r>
    </w:p>
    <w:p w14:paraId="6CABB964" w14:textId="77777777" w:rsidR="00E04B8D" w:rsidRPr="00E04B8D" w:rsidRDefault="00E04B8D" w:rsidP="00E04B8D">
      <w:pPr>
        <w:spacing w:after="200" w:line="276" w:lineRule="auto"/>
        <w:ind w:left="720"/>
        <w:contextualSpacing/>
        <w:rPr>
          <w:rFonts w:ascii="Calibri" w:eastAsia="Times New Roman" w:hAnsi="Calibri" w:cs="Times New Roman"/>
          <w:szCs w:val="24"/>
        </w:rPr>
      </w:pPr>
    </w:p>
    <w:p w14:paraId="3DBFD935" w14:textId="4CF5A71C" w:rsidR="00A15C9E" w:rsidRPr="00A15C9E" w:rsidRDefault="00A15C9E" w:rsidP="00E04B8D">
      <w:pPr>
        <w:spacing w:after="200" w:line="276" w:lineRule="auto"/>
        <w:ind w:left="360"/>
        <w:contextualSpacing/>
        <w:rPr>
          <w:rFonts w:ascii="Times New Roman" w:eastAsia="Times New Roman" w:hAnsi="Times New Roman" w:cs="Times New Roman"/>
          <w:sz w:val="24"/>
          <w:szCs w:val="24"/>
        </w:rPr>
      </w:pPr>
      <w:r w:rsidRPr="00A15C9E">
        <w:rPr>
          <w:rFonts w:ascii="Times New Roman" w:eastAsia="Times New Roman" w:hAnsi="Times New Roman" w:cs="Times New Roman"/>
          <w:sz w:val="24"/>
          <w:szCs w:val="24"/>
        </w:rPr>
        <w:t>The amount of respondents changes from year to year because it is based on the number of active FHA lenders.</w:t>
      </w:r>
    </w:p>
    <w:p w14:paraId="03FC960E" w14:textId="77777777" w:rsidR="00A15C9E" w:rsidRPr="00A15C9E" w:rsidRDefault="00A15C9E" w:rsidP="00A15C9E">
      <w:pPr>
        <w:overflowPunct w:val="0"/>
        <w:autoSpaceDE w:val="0"/>
        <w:autoSpaceDN w:val="0"/>
        <w:adjustRightInd w:val="0"/>
        <w:spacing w:after="0" w:line="240" w:lineRule="auto"/>
        <w:rPr>
          <w:rFonts w:ascii="Times New Roman" w:eastAsia="Times New Roman" w:hAnsi="Times New Roman" w:cs="Times New Roman"/>
          <w:sz w:val="24"/>
          <w:szCs w:val="24"/>
        </w:rPr>
      </w:pPr>
    </w:p>
    <w:p w14:paraId="0C155BB9"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16.</w:t>
      </w:r>
      <w:r w:rsidRPr="00A15C9E">
        <w:rPr>
          <w:rFonts w:ascii="Helvetica" w:eastAsia="Times New Roman" w:hAnsi="Helvetica"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A6C8A5F"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The results of the information collection will not be published.</w:t>
      </w:r>
    </w:p>
    <w:p w14:paraId="210520E7"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5CCBEED8"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17.</w:t>
      </w:r>
      <w:r w:rsidRPr="00A15C9E">
        <w:rPr>
          <w:rFonts w:ascii="Helvetica" w:eastAsia="Times New Roman" w:hAnsi="Helvetica" w:cs="Times New Roman"/>
          <w:b/>
          <w:sz w:val="24"/>
        </w:rPr>
        <w:tab/>
        <w:t>If seeking approval to not display the expiration date for OMB approval of the information collection, explain the reasons that display would be inappropriate.</w:t>
      </w:r>
    </w:p>
    <w:p w14:paraId="1696C5C3" w14:textId="77777777"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rPr>
      </w:pPr>
      <w:r w:rsidRPr="00A15C9E">
        <w:rPr>
          <w:rFonts w:ascii="Times New Roman" w:eastAsia="Times New Roman" w:hAnsi="Times New Roman" w:cs="Times New Roman"/>
          <w:sz w:val="24"/>
        </w:rPr>
        <w:t>HUD is not seeking approval to avoid displaying the expiration date.</w:t>
      </w:r>
    </w:p>
    <w:p w14:paraId="312D95E5"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3CDC33AE" w14:textId="77777777" w:rsidR="00A15C9E" w:rsidRPr="00A15C9E" w:rsidRDefault="00A15C9E" w:rsidP="00A15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360" w:hanging="360"/>
        <w:rPr>
          <w:rFonts w:ascii="Helvetica" w:eastAsia="Times New Roman" w:hAnsi="Helvetica" w:cs="Times New Roman"/>
          <w:b/>
          <w:sz w:val="24"/>
        </w:rPr>
      </w:pPr>
      <w:r w:rsidRPr="00A15C9E">
        <w:rPr>
          <w:rFonts w:ascii="Helvetica" w:eastAsia="Times New Roman" w:hAnsi="Helvetica" w:cs="Times New Roman"/>
          <w:b/>
          <w:sz w:val="24"/>
        </w:rPr>
        <w:t>18.</w:t>
      </w:r>
      <w:r w:rsidRPr="00A15C9E">
        <w:rPr>
          <w:rFonts w:ascii="Helvetica" w:eastAsia="Times New Roman" w:hAnsi="Helvetica" w:cs="Times New Roman"/>
          <w:b/>
          <w:sz w:val="24"/>
        </w:rPr>
        <w:tab/>
        <w:t>Explain each exception to the certification statement identified in Item 19, "Certification for Paperwork Reduction Act Submissions," of OMB Form 83-I.</w:t>
      </w:r>
    </w:p>
    <w:p w14:paraId="66B76A9B" w14:textId="2B5E5A4C" w:rsidR="00A15C9E" w:rsidRPr="00A15C9E" w:rsidRDefault="00192189"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HUD does not request an exception to the certification of this information collection.</w:t>
      </w:r>
    </w:p>
    <w:p w14:paraId="2581B8B1"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7C9725DB" w14:textId="77777777" w:rsidR="00A15C9E" w:rsidRPr="00A15C9E" w:rsidRDefault="00A15C9E" w:rsidP="00A15C9E">
      <w:pPr>
        <w:spacing w:after="200" w:line="276" w:lineRule="auto"/>
        <w:rPr>
          <w:rFonts w:ascii="Times New Roman" w:eastAsia="Times New Roman" w:hAnsi="Times New Roman" w:cs="Times New Roman"/>
          <w:sz w:val="24"/>
          <w:szCs w:val="24"/>
        </w:rPr>
      </w:pPr>
      <w:r w:rsidRPr="00A15C9E">
        <w:rPr>
          <w:rFonts w:ascii="Times New Roman" w:eastAsia="Times New Roman" w:hAnsi="Times New Roman" w:cs="Times New Roman"/>
          <w:b/>
          <w:bCs/>
          <w:sz w:val="24"/>
          <w:szCs w:val="24"/>
        </w:rPr>
        <w:t xml:space="preserve">B. Collections of Information Employing Statistical Methods </w:t>
      </w:r>
    </w:p>
    <w:p w14:paraId="4D942E4E" w14:textId="1D4A1178" w:rsidR="00A15C9E" w:rsidRPr="00A15C9E" w:rsidRDefault="00A15C9E" w:rsidP="00A15C9E">
      <w:pPr>
        <w:overflowPunct w:val="0"/>
        <w:autoSpaceDE w:val="0"/>
        <w:autoSpaceDN w:val="0"/>
        <w:adjustRightInd w:val="0"/>
        <w:spacing w:after="0" w:line="240" w:lineRule="auto"/>
        <w:ind w:left="360"/>
        <w:rPr>
          <w:rFonts w:ascii="Times New Roman" w:eastAsia="Times New Roman" w:hAnsi="Times New Roman" w:cs="Times New Roman"/>
          <w:sz w:val="24"/>
          <w:szCs w:val="20"/>
        </w:rPr>
      </w:pPr>
      <w:r w:rsidRPr="00A15C9E">
        <w:rPr>
          <w:rFonts w:ascii="Times New Roman" w:eastAsia="Times New Roman" w:hAnsi="Times New Roman" w:cs="Times New Roman"/>
          <w:sz w:val="24"/>
          <w:szCs w:val="20"/>
        </w:rPr>
        <w:t>The</w:t>
      </w:r>
      <w:r w:rsidR="00192189">
        <w:rPr>
          <w:rFonts w:ascii="Times New Roman" w:eastAsia="Times New Roman" w:hAnsi="Times New Roman" w:cs="Times New Roman"/>
          <w:sz w:val="24"/>
          <w:szCs w:val="20"/>
        </w:rPr>
        <w:t xml:space="preserve">re is no statistical methodology involved in this </w:t>
      </w:r>
      <w:r w:rsidRPr="00A15C9E">
        <w:rPr>
          <w:rFonts w:ascii="Times New Roman" w:eastAsia="Times New Roman" w:hAnsi="Times New Roman" w:cs="Times New Roman"/>
          <w:sz w:val="24"/>
          <w:szCs w:val="20"/>
        </w:rPr>
        <w:t>collection.</w:t>
      </w:r>
    </w:p>
    <w:p w14:paraId="48C147F8" w14:textId="77777777" w:rsidR="00A15C9E" w:rsidRPr="00A15C9E" w:rsidRDefault="00A15C9E" w:rsidP="00A15C9E">
      <w:pPr>
        <w:spacing w:after="200" w:line="276" w:lineRule="auto"/>
        <w:rPr>
          <w:rFonts w:ascii="Times New Roman" w:eastAsia="Times New Roman" w:hAnsi="Times New Roman" w:cs="Times New Roman"/>
          <w:sz w:val="24"/>
          <w:szCs w:val="24"/>
        </w:rPr>
      </w:pPr>
    </w:p>
    <w:p w14:paraId="30F42F37" w14:textId="77777777" w:rsidR="00A15C9E" w:rsidRDefault="00A15C9E"/>
    <w:sectPr w:rsidR="00A15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3111"/>
    <w:multiLevelType w:val="hybridMultilevel"/>
    <w:tmpl w:val="7A6E4E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724A4"/>
    <w:multiLevelType w:val="hybridMultilevel"/>
    <w:tmpl w:val="C37624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9E"/>
    <w:rsid w:val="000C306F"/>
    <w:rsid w:val="00192189"/>
    <w:rsid w:val="00255F96"/>
    <w:rsid w:val="003C1D95"/>
    <w:rsid w:val="0083088A"/>
    <w:rsid w:val="008D3E3A"/>
    <w:rsid w:val="00A15C9E"/>
    <w:rsid w:val="00E0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04B8D"/>
    <w:pPr>
      <w:overflowPunct w:val="0"/>
      <w:autoSpaceDE w:val="0"/>
      <w:autoSpaceDN w:val="0"/>
      <w:adjustRightInd w:val="0"/>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04B8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04B8D"/>
    <w:pPr>
      <w:overflowPunct w:val="0"/>
      <w:autoSpaceDE w:val="0"/>
      <w:autoSpaceDN w:val="0"/>
      <w:adjustRightInd w:val="0"/>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04B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Sherina M</dc:creator>
  <cp:keywords/>
  <dc:description/>
  <cp:lastModifiedBy>SYSTEM</cp:lastModifiedBy>
  <cp:revision>2</cp:revision>
  <dcterms:created xsi:type="dcterms:W3CDTF">2018-08-30T19:03:00Z</dcterms:created>
  <dcterms:modified xsi:type="dcterms:W3CDTF">2018-08-30T19:03:00Z</dcterms:modified>
</cp:coreProperties>
</file>