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1B9F1834"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0719DC">
        <w:rPr>
          <w:rFonts w:ascii="Times New Roman" w:hAnsi="Times New Roman"/>
          <w:b/>
          <w:sz w:val="22"/>
          <w:szCs w:val="22"/>
        </w:rPr>
        <w:t>Notice of Funding Opportunity: Laura Bush 21</w:t>
      </w:r>
      <w:r w:rsidR="000719DC" w:rsidRPr="000719DC">
        <w:rPr>
          <w:rFonts w:ascii="Times New Roman" w:hAnsi="Times New Roman"/>
          <w:b/>
          <w:sz w:val="22"/>
          <w:szCs w:val="22"/>
          <w:vertAlign w:val="superscript"/>
        </w:rPr>
        <w:t>st</w:t>
      </w:r>
      <w:r w:rsidR="000719DC">
        <w:rPr>
          <w:rFonts w:ascii="Times New Roman" w:hAnsi="Times New Roman"/>
          <w:b/>
          <w:sz w:val="22"/>
          <w:szCs w:val="22"/>
        </w:rPr>
        <w:t xml:space="preserve"> Century Librarian Program and National Leadership – Libraries Program</w:t>
      </w:r>
      <w:r w:rsidRPr="00191DF8">
        <w:rPr>
          <w:rFonts w:ascii="Times New Roman" w:hAnsi="Times New Roman"/>
          <w:b/>
          <w:sz w:val="22"/>
          <w:szCs w:val="22"/>
        </w:rPr>
        <w:t>, OMB Control Number 3137-</w:t>
      </w:r>
      <w:r w:rsidR="00E9255D">
        <w:rPr>
          <w:rFonts w:ascii="Times New Roman" w:hAnsi="Times New Roman"/>
          <w:b/>
          <w:sz w:val="22"/>
          <w:szCs w:val="22"/>
        </w:rPr>
        <w:t>XXXX</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1492C637"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Pr="000719DC">
        <w:rPr>
          <w:rFonts w:ascii="Times New Roman" w:hAnsi="Times New Roman"/>
          <w:sz w:val="22"/>
          <w:szCs w:val="22"/>
        </w:rPr>
        <w:t>Laura Bush 21st Century Librarian Program</w:t>
      </w:r>
      <w:r w:rsidR="00AD33A9">
        <w:rPr>
          <w:rFonts w:ascii="Times New Roman" w:hAnsi="Times New Roman"/>
          <w:sz w:val="22"/>
          <w:szCs w:val="22"/>
        </w:rPr>
        <w:t xml:space="preserve"> (LB21)</w:t>
      </w:r>
      <w:r w:rsidRPr="000719DC">
        <w:rPr>
          <w:rFonts w:ascii="Times New Roman" w:hAnsi="Times New Roman"/>
          <w:sz w:val="22"/>
          <w:szCs w:val="22"/>
        </w:rPr>
        <w:t xml:space="preserve"> and National Leadership – Libraries</w:t>
      </w:r>
      <w:r w:rsidR="00AD33A9">
        <w:rPr>
          <w:rFonts w:ascii="Times New Roman" w:hAnsi="Times New Roman"/>
          <w:sz w:val="22"/>
          <w:szCs w:val="22"/>
        </w:rPr>
        <w:t xml:space="preserve"> (NLG-L)</w:t>
      </w:r>
      <w:r w:rsidRPr="000719DC">
        <w:rPr>
          <w:rFonts w:ascii="Times New Roman" w:hAnsi="Times New Roman"/>
          <w:sz w:val="22"/>
          <w:szCs w:val="22"/>
        </w:rPr>
        <w:t xml:space="preserve"> Program</w:t>
      </w:r>
      <w:r w:rsidRPr="000719DC" w:rsidDel="000719DC">
        <w:rPr>
          <w:rFonts w:ascii="Times New Roman" w:hAnsi="Times New Roman"/>
          <w:sz w:val="22"/>
          <w:szCs w:val="22"/>
        </w:rPr>
        <w:t xml:space="preserve"> </w:t>
      </w:r>
      <w:r w:rsidR="000B7AE6">
        <w:rPr>
          <w:rFonts w:ascii="Times New Roman" w:hAnsi="Times New Roman"/>
          <w:sz w:val="22"/>
          <w:szCs w:val="22"/>
        </w:rPr>
        <w:t xml:space="preserve">separating them 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 </w:t>
      </w:r>
      <w:r w:rsidR="000B7AE6">
        <w:rPr>
          <w:rFonts w:ascii="Times New Roman" w:hAnsi="Times New Roman"/>
          <w:sz w:val="22"/>
          <w:szCs w:val="22"/>
        </w:rPr>
        <w:t>two of</w:t>
      </w:r>
      <w:r w:rsidR="000B7AE6" w:rsidRPr="00B147A7">
        <w:rPr>
          <w:rFonts w:ascii="Times New Roman" w:hAnsi="Times New Roman"/>
          <w:sz w:val="22"/>
          <w:szCs w:val="22"/>
        </w:rPr>
        <w:t xml:space="preserve"> </w:t>
      </w:r>
      <w:r w:rsidRPr="00B147A7">
        <w:rPr>
          <w:rFonts w:ascii="Times New Roman" w:hAnsi="Times New Roman"/>
          <w:sz w:val="22"/>
          <w:szCs w:val="22"/>
        </w:rPr>
        <w:t xml:space="preserve">the Notices of Funding Opportunities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20545B48" w14:textId="5870C02B" w:rsidR="000719DC" w:rsidRPr="00B147A7" w:rsidRDefault="000719DC" w:rsidP="000719DC">
      <w:pPr>
        <w:ind w:left="360"/>
        <w:rPr>
          <w:rFonts w:ascii="Times New Roman" w:hAnsi="Times New Roman"/>
          <w:color w:val="000000"/>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On </w:t>
      </w:r>
      <w:r w:rsidR="000B7AE6">
        <w:rPr>
          <w:rFonts w:ascii="Times New Roman" w:hAnsi="Times New Roman"/>
          <w:sz w:val="22"/>
          <w:szCs w:val="22"/>
        </w:rPr>
        <w:t>5</w:t>
      </w:r>
      <w:r w:rsidRPr="00B147A7">
        <w:rPr>
          <w:rFonts w:ascii="Times New Roman" w:hAnsi="Times New Roman"/>
          <w:sz w:val="22"/>
          <w:szCs w:val="22"/>
        </w:rPr>
        <w:t>/</w:t>
      </w:r>
      <w:r w:rsidR="000B7AE6">
        <w:rPr>
          <w:rFonts w:ascii="Times New Roman" w:hAnsi="Times New Roman"/>
          <w:sz w:val="22"/>
          <w:szCs w:val="22"/>
        </w:rPr>
        <w:t>28</w:t>
      </w:r>
      <w:r w:rsidRPr="00B147A7">
        <w:rPr>
          <w:rFonts w:ascii="Times New Roman" w:hAnsi="Times New Roman"/>
          <w:sz w:val="22"/>
          <w:szCs w:val="22"/>
        </w:rPr>
        <w:t>/</w:t>
      </w:r>
      <w:r w:rsidR="000B7AE6" w:rsidRPr="00B147A7">
        <w:rPr>
          <w:rFonts w:ascii="Times New Roman" w:hAnsi="Times New Roman"/>
          <w:sz w:val="22"/>
          <w:szCs w:val="22"/>
        </w:rPr>
        <w:t>20</w:t>
      </w:r>
      <w:r w:rsidR="000B7AE6">
        <w:rPr>
          <w:rFonts w:ascii="Times New Roman" w:hAnsi="Times New Roman"/>
          <w:sz w:val="22"/>
          <w:szCs w:val="22"/>
        </w:rPr>
        <w:t>15</w:t>
      </w:r>
      <w:r w:rsidRPr="00B147A7">
        <w:rPr>
          <w:rFonts w:ascii="Times New Roman" w:hAnsi="Times New Roman"/>
          <w:sz w:val="22"/>
          <w:szCs w:val="22"/>
        </w:rPr>
        <w:t xml:space="preserve">, IMLS requested, and the Office of Management and Budget (OMB) approved, a reinstatement with change of a previously approved collection </w:t>
      </w:r>
      <w:r w:rsidR="00D740C0">
        <w:rPr>
          <w:rFonts w:ascii="Times New Roman" w:hAnsi="Times New Roman"/>
          <w:sz w:val="22"/>
          <w:szCs w:val="22"/>
        </w:rPr>
        <w:t xml:space="preserve">for the </w:t>
      </w:r>
      <w:r w:rsidR="00D740C0" w:rsidRPr="00D740C0">
        <w:rPr>
          <w:rFonts w:ascii="Times New Roman" w:hAnsi="Times New Roman"/>
          <w:sz w:val="22"/>
          <w:szCs w:val="22"/>
        </w:rPr>
        <w:t>General Clearance Grant Application and Post-Award Processes</w:t>
      </w:r>
      <w:r w:rsidR="00D740C0">
        <w:rPr>
          <w:rFonts w:ascii="Times New Roman" w:hAnsi="Times New Roman"/>
          <w:sz w:val="22"/>
          <w:szCs w:val="22"/>
        </w:rPr>
        <w:t xml:space="preserve"> general clearance</w:t>
      </w:r>
      <w:r w:rsidR="00D740C0" w:rsidRPr="00B147A7">
        <w:rPr>
          <w:rFonts w:ascii="Times New Roman" w:hAnsi="Times New Roman"/>
          <w:sz w:val="22"/>
          <w:szCs w:val="22"/>
        </w:rPr>
        <w:t xml:space="preserve"> </w:t>
      </w:r>
      <w:r w:rsidR="00150FFB">
        <w:rPr>
          <w:rFonts w:ascii="Times New Roman" w:hAnsi="Times New Roman"/>
          <w:sz w:val="22"/>
          <w:szCs w:val="22"/>
        </w:rPr>
        <w:t>(3137-0029) through</w:t>
      </w:r>
      <w:r w:rsidRPr="00B147A7">
        <w:rPr>
          <w:rFonts w:ascii="Times New Roman" w:hAnsi="Times New Roman"/>
          <w:sz w:val="22"/>
          <w:szCs w:val="22"/>
        </w:rPr>
        <w:t xml:space="preserve"> </w:t>
      </w:r>
      <w:r w:rsidR="000B7AE6">
        <w:rPr>
          <w:rFonts w:ascii="Times New Roman" w:hAnsi="Times New Roman"/>
          <w:sz w:val="22"/>
          <w:szCs w:val="22"/>
        </w:rPr>
        <w:t>7/31/2018</w:t>
      </w:r>
      <w:r w:rsidRPr="00B147A7">
        <w:rPr>
          <w:rFonts w:ascii="Times New Roman" w:hAnsi="Times New Roman"/>
          <w:sz w:val="22"/>
          <w:szCs w:val="22"/>
        </w:rPr>
        <w:t>.</w:t>
      </w:r>
      <w:r w:rsidR="00150FFB">
        <w:rPr>
          <w:rFonts w:ascii="Times New Roman" w:hAnsi="Times New Roman"/>
          <w:sz w:val="22"/>
          <w:szCs w:val="22"/>
        </w:rPr>
        <w:t xml:space="preserve">  IMLS has submitted non-substantive changes, relevant to changing priorities and potential applicant input, which were subsequently approved by</w:t>
      </w:r>
      <w:r w:rsidRPr="00B147A7">
        <w:rPr>
          <w:rFonts w:ascii="Times New Roman" w:hAnsi="Times New Roman"/>
          <w:sz w:val="22"/>
          <w:szCs w:val="22"/>
        </w:rPr>
        <w:t xml:space="preserve"> OMB</w:t>
      </w:r>
      <w:r w:rsidR="002033D4">
        <w:rPr>
          <w:rFonts w:ascii="Times New Roman" w:hAnsi="Times New Roman"/>
          <w:sz w:val="22"/>
          <w:szCs w:val="22"/>
        </w:rPr>
        <w:t xml:space="preserve">. </w:t>
      </w:r>
      <w:r w:rsidR="00150FFB">
        <w:rPr>
          <w:rFonts w:ascii="Times New Roman" w:hAnsi="Times New Roman"/>
          <w:sz w:val="22"/>
          <w:szCs w:val="22"/>
        </w:rPr>
        <w:t>Within the previous approvals there were multiple doc</w:t>
      </w:r>
      <w:r w:rsidR="00E14EFC">
        <w:rPr>
          <w:rFonts w:ascii="Times New Roman" w:hAnsi="Times New Roman"/>
          <w:sz w:val="22"/>
          <w:szCs w:val="22"/>
        </w:rPr>
        <w:t>uments included in one package.</w:t>
      </w:r>
      <w:r w:rsidR="00150FFB">
        <w:rPr>
          <w:rFonts w:ascii="Times New Roman" w:hAnsi="Times New Roman"/>
          <w:sz w:val="22"/>
          <w:szCs w:val="22"/>
        </w:rPr>
        <w:t xml:space="preserve"> IMLS is working toward parsing out the documentation </w:t>
      </w:r>
      <w:r w:rsidR="00E14EFC">
        <w:rPr>
          <w:rFonts w:ascii="Times New Roman" w:hAnsi="Times New Roman"/>
          <w:sz w:val="22"/>
          <w:szCs w:val="22"/>
        </w:rPr>
        <w:t>for like programs starting with</w:t>
      </w:r>
      <w:r w:rsidRPr="00B147A7">
        <w:rPr>
          <w:rFonts w:ascii="Times New Roman" w:hAnsi="Times New Roman"/>
          <w:sz w:val="22"/>
          <w:szCs w:val="22"/>
        </w:rPr>
        <w:t xml:space="preserve"> </w:t>
      </w:r>
      <w:r w:rsidR="00AD33A9">
        <w:rPr>
          <w:rFonts w:ascii="Times New Roman" w:hAnsi="Times New Roman"/>
          <w:sz w:val="22"/>
          <w:szCs w:val="22"/>
        </w:rPr>
        <w:t xml:space="preserve">LB21 and NLG-L </w:t>
      </w:r>
      <w:r w:rsidR="002033D4">
        <w:rPr>
          <w:rFonts w:ascii="Times New Roman" w:hAnsi="Times New Roman"/>
          <w:sz w:val="22"/>
          <w:szCs w:val="22"/>
        </w:rPr>
        <w:t xml:space="preserve">Grant </w:t>
      </w:r>
      <w:r w:rsidR="00AD33A9">
        <w:rPr>
          <w:rFonts w:ascii="Times New Roman" w:hAnsi="Times New Roman"/>
          <w:sz w:val="22"/>
          <w:szCs w:val="22"/>
        </w:rPr>
        <w:t xml:space="preserve">Program </w:t>
      </w:r>
      <w:r w:rsidRPr="00B147A7">
        <w:rPr>
          <w:rFonts w:ascii="Times New Roman" w:hAnsi="Times New Roman"/>
          <w:sz w:val="22"/>
          <w:szCs w:val="22"/>
        </w:rPr>
        <w:t>information collections</w:t>
      </w:r>
      <w:r w:rsidR="00150FFB">
        <w:rPr>
          <w:rFonts w:ascii="Times New Roman" w:hAnsi="Times New Roman"/>
          <w:sz w:val="22"/>
          <w:szCs w:val="22"/>
        </w:rPr>
        <w:t xml:space="preserve"> At this time IMLS would like a new OMB clearance number issued for this group of collections maintaining the same expiration date of 7/31/2018,</w:t>
      </w:r>
      <w:r w:rsidR="00D740C0">
        <w:rPr>
          <w:rFonts w:ascii="Times New Roman" w:hAnsi="Times New Roman"/>
          <w:sz w:val="22"/>
          <w:szCs w:val="22"/>
        </w:rPr>
        <w:t xml:space="preserve"> as the </w:t>
      </w:r>
      <w:r w:rsidR="00D740C0" w:rsidRPr="00D740C0">
        <w:rPr>
          <w:rFonts w:ascii="Times New Roman" w:hAnsi="Times New Roman"/>
          <w:sz w:val="22"/>
          <w:szCs w:val="22"/>
        </w:rPr>
        <w:t>General Clearance Grant Application and Post-Award Processes</w:t>
      </w:r>
      <w:r w:rsidR="00D740C0">
        <w:rPr>
          <w:rFonts w:ascii="Times New Roman" w:hAnsi="Times New Roman"/>
          <w:sz w:val="22"/>
          <w:szCs w:val="22"/>
        </w:rPr>
        <w:t xml:space="preserve"> general clearance</w:t>
      </w:r>
      <w:r w:rsidRPr="00B147A7">
        <w:rPr>
          <w:rFonts w:ascii="Times New Roman" w:hAnsi="Times New Roman"/>
          <w:color w:val="000000"/>
          <w:sz w:val="22"/>
          <w:szCs w:val="22"/>
        </w:rPr>
        <w:t xml:space="preserve">. </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8"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3C8D05A2"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AD33A9">
        <w:rPr>
          <w:rFonts w:ascii="Times New Roman" w:hAnsi="Times New Roman"/>
          <w:color w:val="000000"/>
          <w:sz w:val="22"/>
          <w:szCs w:val="22"/>
        </w:rPr>
        <w:t xml:space="preserve">LB21 and NLG-L </w:t>
      </w:r>
      <w:r w:rsidR="000E4F57">
        <w:rPr>
          <w:rFonts w:ascii="Times New Roman" w:hAnsi="Times New Roman"/>
          <w:color w:val="000000"/>
          <w:sz w:val="22"/>
          <w:szCs w:val="22"/>
        </w:rPr>
        <w:t>Notice of Funding Opportunit</w:t>
      </w:r>
      <w:r w:rsidR="00AD33A9">
        <w:rPr>
          <w:rFonts w:ascii="Times New Roman" w:hAnsi="Times New Roman"/>
          <w:color w:val="000000"/>
          <w:sz w:val="22"/>
          <w:szCs w:val="22"/>
        </w:rPr>
        <w:t>ies</w:t>
      </w:r>
      <w:r w:rsidR="006F7939" w:rsidRPr="00B147A7">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006F7939" w:rsidRPr="00B147A7">
        <w:rPr>
          <w:rFonts w:ascii="Times New Roman" w:hAnsi="Times New Roman"/>
          <w:color w:val="000000"/>
          <w:sz w:val="22"/>
          <w:szCs w:val="22"/>
        </w:rPr>
        <w:lastRenderedPageBreak/>
        <w:t>IMLS requires all applicants to apply for IMLS awards online through Grants.gov</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2BA351F5"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91FF3" w:rsidRPr="00591FF3">
        <w:rPr>
          <w:rFonts w:ascii="Times New Roman" w:hAnsi="Times New Roman"/>
          <w:color w:val="000000"/>
          <w:sz w:val="22"/>
          <w:szCs w:val="22"/>
        </w:rPr>
        <w:t>General Clearance Grant Application and Post-Award Processes</w:t>
      </w:r>
      <w:r w:rsidR="00591FF3">
        <w:rPr>
          <w:rFonts w:ascii="Times New Roman" w:hAnsi="Times New Roman"/>
          <w:color w:val="000000"/>
          <w:sz w:val="22"/>
          <w:szCs w:val="22"/>
        </w:rPr>
        <w:t xml:space="preserve"> (3137-0029) and </w:t>
      </w:r>
      <w:r w:rsidR="00591FF3" w:rsidRPr="00591FF3">
        <w:rPr>
          <w:rFonts w:ascii="Times New Roman" w:hAnsi="Times New Roman"/>
          <w:color w:val="000000"/>
          <w:sz w:val="22"/>
          <w:szCs w:val="22"/>
        </w:rPr>
        <w:t>IMLS Grant Program Application and Post-Award Report Forms</w:t>
      </w:r>
      <w:r w:rsidR="00591FF3">
        <w:rPr>
          <w:rFonts w:ascii="Times New Roman" w:hAnsi="Times New Roman"/>
          <w:color w:val="000000"/>
          <w:sz w:val="22"/>
          <w:szCs w:val="22"/>
        </w:rPr>
        <w:t xml:space="preserve"> (3137-0071) </w:t>
      </w:r>
      <w:r w:rsidR="00652111">
        <w:rPr>
          <w:rFonts w:ascii="Times New Roman" w:hAnsi="Times New Roman"/>
          <w:color w:val="000000"/>
          <w:sz w:val="22"/>
          <w:szCs w:val="22"/>
        </w:rPr>
        <w:t>general clearance</w:t>
      </w:r>
      <w:r w:rsidR="00591FF3">
        <w:rPr>
          <w:rFonts w:ascii="Times New Roman" w:hAnsi="Times New Roman"/>
          <w:color w:val="000000"/>
          <w:sz w:val="22"/>
          <w:szCs w:val="22"/>
        </w:rPr>
        <w:t xml:space="preserve"> </w:t>
      </w:r>
      <w:r w:rsidRPr="00B147A7">
        <w:rPr>
          <w:rFonts w:ascii="Times New Roman" w:hAnsi="Times New Roman"/>
          <w:color w:val="000000"/>
          <w:sz w:val="22"/>
          <w:szCs w:val="22"/>
        </w:rPr>
        <w:t>collection</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Vol. </w:t>
      </w:r>
      <w:r w:rsidR="00AD33A9">
        <w:rPr>
          <w:rFonts w:ascii="Times New Roman" w:hAnsi="Times New Roman"/>
          <w:color w:val="000000"/>
          <w:sz w:val="22"/>
          <w:szCs w:val="22"/>
        </w:rPr>
        <w:t>80</w:t>
      </w:r>
      <w:r w:rsidRPr="00B147A7">
        <w:rPr>
          <w:rFonts w:ascii="Times New Roman" w:hAnsi="Times New Roman"/>
          <w:color w:val="000000"/>
          <w:sz w:val="22"/>
          <w:szCs w:val="22"/>
        </w:rPr>
        <w:t xml:space="preserve">, no. </w:t>
      </w:r>
      <w:r w:rsidR="00AD33A9">
        <w:rPr>
          <w:rFonts w:ascii="Times New Roman" w:hAnsi="Times New Roman"/>
          <w:color w:val="000000"/>
          <w:sz w:val="22"/>
          <w:szCs w:val="22"/>
        </w:rPr>
        <w:t>25</w:t>
      </w:r>
      <w:r w:rsidR="00AD33A9" w:rsidRPr="00B147A7">
        <w:rPr>
          <w:rFonts w:ascii="Times New Roman" w:hAnsi="Times New Roman"/>
          <w:color w:val="000000"/>
          <w:sz w:val="22"/>
          <w:szCs w:val="22"/>
        </w:rPr>
        <w:t xml:space="preserve"> </w:t>
      </w:r>
      <w:r w:rsidR="00AD33A9">
        <w:rPr>
          <w:rFonts w:ascii="Times New Roman" w:hAnsi="Times New Roman"/>
          <w:color w:val="000000"/>
          <w:sz w:val="22"/>
          <w:szCs w:val="22"/>
        </w:rPr>
        <w:t>February 6, 2015</w:t>
      </w:r>
      <w:r w:rsidRPr="00B147A7">
        <w:rPr>
          <w:rFonts w:ascii="Times New Roman" w:hAnsi="Times New Roman"/>
          <w:color w:val="000000"/>
          <w:sz w:val="22"/>
          <w:szCs w:val="22"/>
        </w:rPr>
        <w:t>), page</w:t>
      </w:r>
      <w:r w:rsidR="00C31499" w:rsidRPr="00B147A7">
        <w:rPr>
          <w:rFonts w:ascii="Times New Roman" w:hAnsi="Times New Roman"/>
          <w:color w:val="000000"/>
          <w:sz w:val="22"/>
          <w:szCs w:val="22"/>
        </w:rPr>
        <w:t>s</w:t>
      </w:r>
      <w:r w:rsidRPr="00B147A7">
        <w:rPr>
          <w:rFonts w:ascii="Times New Roman" w:hAnsi="Times New Roman"/>
          <w:color w:val="000000"/>
          <w:sz w:val="22"/>
          <w:szCs w:val="22"/>
        </w:rPr>
        <w:t xml:space="preserve"> </w:t>
      </w:r>
      <w:r w:rsidR="00AD33A9">
        <w:rPr>
          <w:rFonts w:ascii="Times New Roman" w:hAnsi="Times New Roman"/>
          <w:color w:val="000000"/>
          <w:sz w:val="22"/>
          <w:szCs w:val="22"/>
        </w:rPr>
        <w:t>6771-6772</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531497" w:rsidRPr="00B147A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published in the Federal Register:</w:t>
      </w:r>
      <w:r w:rsidR="00B67C00" w:rsidRPr="00B147A7">
        <w:rPr>
          <w:rFonts w:ascii="Times New Roman" w:hAnsi="Times New Roman"/>
          <w:color w:val="000000"/>
          <w:sz w:val="22"/>
          <w:szCs w:val="22"/>
        </w:rPr>
        <w:t xml:space="preserve"> </w:t>
      </w:r>
      <w:r w:rsidR="00B67C00" w:rsidRPr="0092360C">
        <w:rPr>
          <w:rFonts w:ascii="Times New Roman" w:hAnsi="Times New Roman"/>
          <w:color w:val="000000"/>
          <w:sz w:val="22"/>
          <w:szCs w:val="22"/>
        </w:rPr>
        <w:t xml:space="preserve">Vol. </w:t>
      </w:r>
      <w:r w:rsidR="00AD33A9">
        <w:rPr>
          <w:rFonts w:ascii="Times New Roman" w:hAnsi="Times New Roman"/>
          <w:color w:val="000000"/>
          <w:sz w:val="22"/>
          <w:szCs w:val="22"/>
        </w:rPr>
        <w:t>80</w:t>
      </w:r>
      <w:r w:rsidR="006861E0">
        <w:rPr>
          <w:rFonts w:ascii="Times New Roman" w:hAnsi="Times New Roman"/>
          <w:color w:val="000000"/>
          <w:sz w:val="22"/>
          <w:szCs w:val="22"/>
        </w:rPr>
        <w:t>,</w:t>
      </w:r>
      <w:r w:rsidR="00B67C00" w:rsidRPr="0092360C">
        <w:rPr>
          <w:rFonts w:ascii="Times New Roman" w:hAnsi="Times New Roman"/>
          <w:color w:val="000000"/>
          <w:sz w:val="22"/>
          <w:szCs w:val="22"/>
        </w:rPr>
        <w:t xml:space="preserve"> No. </w:t>
      </w:r>
      <w:r w:rsidR="00AD33A9">
        <w:rPr>
          <w:rFonts w:ascii="Times New Roman" w:hAnsi="Times New Roman"/>
          <w:color w:val="000000"/>
          <w:sz w:val="22"/>
          <w:szCs w:val="22"/>
        </w:rPr>
        <w:t>99</w:t>
      </w:r>
      <w:r w:rsidR="00AD33A9" w:rsidRPr="0092360C">
        <w:rPr>
          <w:rFonts w:ascii="Times New Roman" w:hAnsi="Times New Roman"/>
          <w:color w:val="000000"/>
          <w:sz w:val="22"/>
          <w:szCs w:val="22"/>
        </w:rPr>
        <w:t xml:space="preserve"> </w:t>
      </w:r>
      <w:r w:rsidR="00B67C00" w:rsidRPr="0092360C">
        <w:rPr>
          <w:rFonts w:ascii="Times New Roman" w:hAnsi="Times New Roman"/>
          <w:color w:val="000000"/>
          <w:sz w:val="22"/>
          <w:szCs w:val="22"/>
        </w:rPr>
        <w:t>(</w:t>
      </w:r>
      <w:r w:rsidR="00AD33A9">
        <w:rPr>
          <w:rFonts w:ascii="Times New Roman" w:hAnsi="Times New Roman"/>
          <w:color w:val="000000"/>
          <w:sz w:val="22"/>
          <w:szCs w:val="22"/>
        </w:rPr>
        <w:t>May 22, 2015</w:t>
      </w:r>
      <w:r w:rsidR="00B67C00" w:rsidRPr="0092360C">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163CDA48"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207661">
        <w:rPr>
          <w:rFonts w:ascii="Times New Roman" w:hAnsi="Times New Roman"/>
          <w:sz w:val="22"/>
          <w:szCs w:val="22"/>
        </w:rPr>
        <w:t>381</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3B24D2" w:rsidRPr="00191DF8">
        <w:rPr>
          <w:rFonts w:ascii="Times New Roman" w:hAnsi="Times New Roman"/>
          <w:sz w:val="22"/>
          <w:szCs w:val="22"/>
        </w:rPr>
        <w:t>201</w:t>
      </w:r>
      <w:r w:rsidR="003B24D2">
        <w:rPr>
          <w:rFonts w:ascii="Times New Roman" w:hAnsi="Times New Roman"/>
          <w:sz w:val="22"/>
          <w:szCs w:val="22"/>
        </w:rPr>
        <w:t>5</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207661">
        <w:rPr>
          <w:rFonts w:ascii="Times New Roman" w:hAnsi="Times New Roman"/>
          <w:sz w:val="22"/>
          <w:szCs w:val="22"/>
        </w:rPr>
        <w:t>15,240</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bookmarkStart w:id="0" w:name="_GoBack"/>
      <w:bookmarkEnd w:id="0"/>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29AC0297"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207661">
        <w:rPr>
          <w:rFonts w:ascii="Times New Roman" w:hAnsi="Times New Roman"/>
          <w:sz w:val="22"/>
          <w:szCs w:val="22"/>
        </w:rPr>
        <w:t>468,935</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1B45A1">
        <w:rPr>
          <w:rFonts w:ascii="Times New Roman" w:hAnsi="Times New Roman"/>
          <w:sz w:val="22"/>
          <w:szCs w:val="22"/>
        </w:rPr>
        <w:t>30.77</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Pr="00191DF8">
        <w:rPr>
          <w:rFonts w:ascii="Times New Roman" w:hAnsi="Times New Roman"/>
          <w:sz w:val="22"/>
          <w:szCs w:val="22"/>
        </w:rPr>
        <w:t>mean hourly wage of a library professional</w:t>
      </w:r>
      <w:r w:rsidR="00781871">
        <w:rPr>
          <w:rFonts w:ascii="Times New Roman" w:hAnsi="Times New Roman"/>
          <w:sz w:val="22"/>
          <w:szCs w:val="22"/>
        </w:rPr>
        <w:t>, university, and non-profit employee</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is 40 hours</w:t>
      </w:r>
      <w:r w:rsidRPr="00191DF8">
        <w:rPr>
          <w:rFonts w:ascii="Times New Roman" w:hAnsi="Times New Roman"/>
          <w:sz w:val="22"/>
          <w:szCs w:val="22"/>
        </w:rPr>
        <w:t xml:space="preserve"> </w:t>
      </w:r>
      <w:r w:rsidR="00DE527B" w:rsidRPr="00191DF8">
        <w:rPr>
          <w:rFonts w:ascii="Times New Roman" w:hAnsi="Times New Roman"/>
          <w:sz w:val="22"/>
          <w:szCs w:val="22"/>
        </w:rPr>
        <w:t>(40 hours x $</w:t>
      </w:r>
      <w:r w:rsidR="001B45A1">
        <w:rPr>
          <w:rFonts w:ascii="Times New Roman" w:hAnsi="Times New Roman"/>
          <w:sz w:val="22"/>
          <w:szCs w:val="22"/>
        </w:rPr>
        <w:t>3</w:t>
      </w:r>
      <w:r w:rsidR="000A4770">
        <w:rPr>
          <w:rFonts w:ascii="Times New Roman" w:hAnsi="Times New Roman"/>
          <w:sz w:val="22"/>
          <w:szCs w:val="22"/>
        </w:rPr>
        <w:t>0.77</w:t>
      </w:r>
      <w:r w:rsidR="00DE527B" w:rsidRPr="00191DF8">
        <w:rPr>
          <w:rFonts w:ascii="Times New Roman" w:hAnsi="Times New Roman"/>
          <w:sz w:val="22"/>
          <w:szCs w:val="22"/>
        </w:rPr>
        <w:t>)</w:t>
      </w:r>
      <w:r w:rsidR="00781871">
        <w:rPr>
          <w:rFonts w:ascii="Times New Roman" w:hAnsi="Times New Roman"/>
          <w:sz w:val="22"/>
          <w:szCs w:val="22"/>
        </w:rPr>
        <w:t>.</w:t>
      </w:r>
    </w:p>
    <w:p w14:paraId="5652C20A" w14:textId="77777777" w:rsidR="0095195E" w:rsidRPr="00191DF8" w:rsidRDefault="0095195E" w:rsidP="0095195E">
      <w:pPr>
        <w:tabs>
          <w:tab w:val="left" w:pos="540"/>
        </w:tabs>
        <w:rPr>
          <w:rFonts w:ascii="Times New Roman" w:hAnsi="Times New Roman"/>
          <w:sz w:val="22"/>
          <w:szCs w:val="22"/>
        </w:rPr>
      </w:pPr>
    </w:p>
    <w:p w14:paraId="191747C7" w14:textId="019B9397"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367C1453"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207661">
        <w:rPr>
          <w:rFonts w:ascii="Times New Roman" w:hAnsi="Times New Roman"/>
          <w:sz w:val="22"/>
          <w:szCs w:val="22"/>
        </w:rPr>
        <w:t>18,359</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00781871" w:rsidRPr="00EE319A">
        <w:rPr>
          <w:rFonts w:ascii="Times New Roman" w:hAnsi="Times New Roman"/>
          <w:sz w:val="22"/>
          <w:szCs w:val="22"/>
        </w:rPr>
        <w:t xml:space="preserve"> </w:t>
      </w:r>
      <w:r w:rsidR="00207661">
        <w:rPr>
          <w:rFonts w:ascii="Times New Roman" w:hAnsi="Times New Roman"/>
          <w:sz w:val="22"/>
          <w:szCs w:val="22"/>
        </w:rPr>
        <w:t>381</w:t>
      </w:r>
      <w:r w:rsidR="002033D4" w:rsidRPr="00022C3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C2A2C">
        <w:rPr>
          <w:rFonts w:ascii="Times New Roman" w:hAnsi="Times New Roman"/>
          <w:sz w:val="22"/>
          <w:szCs w:val="22"/>
        </w:rPr>
        <w:t>.</w:t>
      </w:r>
      <w:r w:rsidRPr="00EE319A">
        <w:rPr>
          <w:rFonts w:ascii="Times New Roman" w:hAnsi="Times New Roman"/>
          <w:sz w:val="22"/>
          <w:szCs w:val="22"/>
        </w:rPr>
        <w:t xml:space="preserve"> Approximately </w:t>
      </w:r>
      <w:r w:rsidR="00207661">
        <w:rPr>
          <w:rFonts w:ascii="Times New Roman" w:hAnsi="Times New Roman"/>
          <w:sz w:val="22"/>
          <w:szCs w:val="22"/>
        </w:rPr>
        <w:t>447</w:t>
      </w:r>
      <w:r w:rsidR="002C2A2C" w:rsidRPr="00EE319A">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 xml:space="preserve">(varies from 1.16 to </w:t>
      </w:r>
      <w:r w:rsidR="00207661">
        <w:rPr>
          <w:rFonts w:ascii="Times New Roman" w:hAnsi="Times New Roman"/>
          <w:sz w:val="22"/>
          <w:szCs w:val="22"/>
        </w:rPr>
        <w:t>3</w:t>
      </w:r>
      <w:r w:rsidR="00022C34">
        <w:rPr>
          <w:rFonts w:ascii="Times New Roman" w:hAnsi="Times New Roman"/>
          <w:sz w:val="22"/>
          <w:szCs w:val="22"/>
        </w:rPr>
        <w:t>.5</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5"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29"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28"/>
  </w:num>
  <w:num w:numId="3">
    <w:abstractNumId w:val="8"/>
  </w:num>
  <w:num w:numId="4">
    <w:abstractNumId w:val="23"/>
  </w:num>
  <w:num w:numId="5">
    <w:abstractNumId w:val="11"/>
  </w:num>
  <w:num w:numId="6">
    <w:abstractNumId w:val="30"/>
  </w:num>
  <w:num w:numId="7">
    <w:abstractNumId w:val="4"/>
  </w:num>
  <w:num w:numId="8">
    <w:abstractNumId w:val="25"/>
  </w:num>
  <w:num w:numId="9">
    <w:abstractNumId w:val="16"/>
  </w:num>
  <w:num w:numId="10">
    <w:abstractNumId w:val="33"/>
  </w:num>
  <w:num w:numId="11">
    <w:abstractNumId w:val="6"/>
  </w:num>
  <w:num w:numId="12">
    <w:abstractNumId w:val="5"/>
  </w:num>
  <w:num w:numId="13">
    <w:abstractNumId w:val="20"/>
  </w:num>
  <w:num w:numId="14">
    <w:abstractNumId w:val="22"/>
  </w:num>
  <w:num w:numId="15">
    <w:abstractNumId w:val="29"/>
  </w:num>
  <w:num w:numId="16">
    <w:abstractNumId w:val="19"/>
  </w:num>
  <w:num w:numId="17">
    <w:abstractNumId w:val="14"/>
  </w:num>
  <w:num w:numId="18">
    <w:abstractNumId w:val="35"/>
  </w:num>
  <w:num w:numId="19">
    <w:abstractNumId w:val="3"/>
  </w:num>
  <w:num w:numId="20">
    <w:abstractNumId w:val="18"/>
  </w:num>
  <w:num w:numId="21">
    <w:abstractNumId w:val="12"/>
  </w:num>
  <w:num w:numId="22">
    <w:abstractNumId w:val="17"/>
  </w:num>
  <w:num w:numId="23">
    <w:abstractNumId w:val="21"/>
  </w:num>
  <w:num w:numId="24">
    <w:abstractNumId w:val="27"/>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4"/>
  </w:num>
  <w:num w:numId="32">
    <w:abstractNumId w:val="13"/>
  </w:num>
  <w:num w:numId="33">
    <w:abstractNumId w:val="32"/>
  </w:num>
  <w:num w:numId="34">
    <w:abstractNumId w:val="9"/>
  </w:num>
  <w:num w:numId="35">
    <w:abstractNumId w:val="2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F3CB6"/>
    <w:rsid w:val="001F5CB5"/>
    <w:rsid w:val="00201E34"/>
    <w:rsid w:val="002033D4"/>
    <w:rsid w:val="00207661"/>
    <w:rsid w:val="0021181C"/>
    <w:rsid w:val="00223FCB"/>
    <w:rsid w:val="00235E59"/>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508B9"/>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FB3"/>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35FD2"/>
    <w:rsid w:val="00950127"/>
    <w:rsid w:val="0095195E"/>
    <w:rsid w:val="00964B4D"/>
    <w:rsid w:val="00990C69"/>
    <w:rsid w:val="00990E8B"/>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B02D60"/>
    <w:rsid w:val="00B11E8E"/>
    <w:rsid w:val="00B147A7"/>
    <w:rsid w:val="00B17D60"/>
    <w:rsid w:val="00B210E7"/>
    <w:rsid w:val="00B22930"/>
    <w:rsid w:val="00B24DA4"/>
    <w:rsid w:val="00B313BA"/>
    <w:rsid w:val="00B41522"/>
    <w:rsid w:val="00B45DF5"/>
    <w:rsid w:val="00B506A6"/>
    <w:rsid w:val="00B67C00"/>
    <w:rsid w:val="00B738F0"/>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40C0"/>
    <w:rsid w:val="00D85D81"/>
    <w:rsid w:val="00DD43F6"/>
    <w:rsid w:val="00DE07DA"/>
    <w:rsid w:val="00DE527B"/>
    <w:rsid w:val="00E051C1"/>
    <w:rsid w:val="00E11995"/>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8FF22671-6D00-4CEC-996E-A68D9D26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howto/guidelines/FederalPLGuidelines/TOC.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0A75-70F2-40EE-89CA-6F30827D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1396</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3</cp:revision>
  <cp:lastPrinted>2015-05-13T14:49:00Z</cp:lastPrinted>
  <dcterms:created xsi:type="dcterms:W3CDTF">2016-06-03T16:11:00Z</dcterms:created>
  <dcterms:modified xsi:type="dcterms:W3CDTF">2016-06-03T20:30:00Z</dcterms:modified>
</cp:coreProperties>
</file>