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8E" w:rsidRPr="00C9476C" w:rsidRDefault="00A861FF" w:rsidP="00A7228E">
      <w:pPr>
        <w:jc w:val="center"/>
        <w:rPr>
          <w:b/>
        </w:rPr>
      </w:pPr>
      <w:bookmarkStart w:id="0" w:name="_GoBack"/>
      <w:bookmarkEnd w:id="0"/>
      <w:r w:rsidRPr="00C9476C">
        <w:rPr>
          <w:b/>
        </w:rPr>
        <w:t>Justification for Change Worksheet</w:t>
      </w:r>
    </w:p>
    <w:p w:rsidR="00A7228E" w:rsidRPr="00C9476C" w:rsidRDefault="00A861FF" w:rsidP="00A861FF">
      <w:pPr>
        <w:jc w:val="center"/>
        <w:rPr>
          <w:b/>
        </w:rPr>
      </w:pPr>
      <w:r w:rsidRPr="00C9476C">
        <w:rPr>
          <w:b/>
        </w:rPr>
        <w:t xml:space="preserve">OMB No. </w:t>
      </w:r>
      <w:r w:rsidR="00A7228E" w:rsidRPr="00C9476C">
        <w:rPr>
          <w:b/>
        </w:rPr>
        <w:t>0581-01</w:t>
      </w:r>
      <w:r w:rsidR="00035D3E" w:rsidRPr="00C9476C">
        <w:rPr>
          <w:b/>
        </w:rPr>
        <w:t>77</w:t>
      </w:r>
    </w:p>
    <w:p w:rsidR="00035D3E" w:rsidRPr="00C9476C" w:rsidRDefault="00035D3E" w:rsidP="00A861FF">
      <w:pPr>
        <w:autoSpaceDE w:val="0"/>
        <w:autoSpaceDN w:val="0"/>
        <w:adjustRightInd w:val="0"/>
        <w:jc w:val="center"/>
        <w:rPr>
          <w:b/>
        </w:rPr>
      </w:pPr>
      <w:r w:rsidRPr="00C9476C">
        <w:rPr>
          <w:b/>
        </w:rPr>
        <w:t xml:space="preserve">Federal Marketing Order for </w:t>
      </w:r>
      <w:r w:rsidR="001B3367">
        <w:rPr>
          <w:rFonts w:eastAsiaTheme="minorHAnsi"/>
          <w:b/>
        </w:rPr>
        <w:t xml:space="preserve">Tart Cherries </w:t>
      </w:r>
      <w:r w:rsidR="00A7228E" w:rsidRPr="00C9476C">
        <w:rPr>
          <w:b/>
        </w:rPr>
        <w:t>(7 CFR Part 9</w:t>
      </w:r>
      <w:r w:rsidRPr="00C9476C">
        <w:rPr>
          <w:b/>
        </w:rPr>
        <w:t>30</w:t>
      </w:r>
      <w:r w:rsidR="00A7228E" w:rsidRPr="00C9476C">
        <w:rPr>
          <w:b/>
        </w:rPr>
        <w:t>)</w:t>
      </w:r>
    </w:p>
    <w:p w:rsidR="001541B9" w:rsidRPr="00C9476C" w:rsidRDefault="001541B9" w:rsidP="00A7228E">
      <w:pPr>
        <w:jc w:val="center"/>
        <w:rPr>
          <w:b/>
        </w:rPr>
      </w:pPr>
    </w:p>
    <w:p w:rsidR="005117ED" w:rsidRPr="00C9476C" w:rsidRDefault="00035D3E" w:rsidP="00A7228E">
      <w:pPr>
        <w:jc w:val="center"/>
        <w:rPr>
          <w:b/>
        </w:rPr>
      </w:pPr>
      <w:r w:rsidRPr="00C9476C">
        <w:rPr>
          <w:b/>
        </w:rPr>
        <w:t>April 2018</w:t>
      </w:r>
    </w:p>
    <w:p w:rsidR="00A7228E" w:rsidRPr="00C9476C" w:rsidRDefault="00A7228E" w:rsidP="00757B44">
      <w:pPr>
        <w:rPr>
          <w:b/>
        </w:rPr>
      </w:pPr>
    </w:p>
    <w:p w:rsidR="00A861FF" w:rsidRPr="00C9476C" w:rsidRDefault="00A7228E" w:rsidP="00A861FF">
      <w:pPr>
        <w:autoSpaceDE w:val="0"/>
        <w:autoSpaceDN w:val="0"/>
        <w:adjustRightInd w:val="0"/>
      </w:pPr>
      <w:r w:rsidRPr="00C9476C">
        <w:t xml:space="preserve">This </w:t>
      </w:r>
      <w:r w:rsidR="00A861FF" w:rsidRPr="00C9476C">
        <w:t>Justification for C</w:t>
      </w:r>
      <w:r w:rsidRPr="00C9476C">
        <w:t xml:space="preserve">hange </w:t>
      </w:r>
      <w:r w:rsidR="00A861FF" w:rsidRPr="00C9476C">
        <w:t xml:space="preserve">seeks OMB’s approval on </w:t>
      </w:r>
      <w:r w:rsidRPr="00C9476C">
        <w:t xml:space="preserve">modifications to </w:t>
      </w:r>
      <w:r w:rsidR="0026720B">
        <w:t>three</w:t>
      </w:r>
      <w:r w:rsidR="007E1DC4" w:rsidRPr="00C9476C">
        <w:t xml:space="preserve"> f</w:t>
      </w:r>
      <w:r w:rsidR="009B0A84">
        <w:t>orms that are</w:t>
      </w:r>
      <w:r w:rsidRPr="00C9476C">
        <w:t xml:space="preserve"> </w:t>
      </w:r>
      <w:r w:rsidR="008F4D8E" w:rsidRPr="00C9476C">
        <w:t xml:space="preserve">part of </w:t>
      </w:r>
      <w:r w:rsidRPr="00C9476C">
        <w:t>OMB No. 0581-01</w:t>
      </w:r>
      <w:r w:rsidR="00035D3E" w:rsidRPr="00C9476C">
        <w:t>77</w:t>
      </w:r>
      <w:r w:rsidR="00A861FF" w:rsidRPr="00C9476C">
        <w:t xml:space="preserve">, </w:t>
      </w:r>
      <w:r w:rsidR="00A861FF" w:rsidRPr="00C9476C">
        <w:rPr>
          <w:rFonts w:eastAsiaTheme="minorHAnsi"/>
        </w:rPr>
        <w:t>Tart Cherries Grown in Michigan, New York, Pennsylvania, Oregon, U</w:t>
      </w:r>
      <w:r w:rsidR="003B2C70">
        <w:rPr>
          <w:rFonts w:eastAsiaTheme="minorHAnsi"/>
        </w:rPr>
        <w:t xml:space="preserve">tah, Washington, and Wisconsin, </w:t>
      </w:r>
      <w:r w:rsidR="00A861FF" w:rsidRPr="00C9476C">
        <w:rPr>
          <w:rFonts w:eastAsiaTheme="minorHAnsi"/>
        </w:rPr>
        <w:t>Marketing Order No. 930 (7 CFR part 930)</w:t>
      </w:r>
      <w:r w:rsidRPr="00C9476C">
        <w:t xml:space="preserve">. </w:t>
      </w:r>
      <w:r w:rsidR="00A861FF" w:rsidRPr="00C9476C">
        <w:t xml:space="preserve"> </w:t>
      </w:r>
      <w:r w:rsidRPr="00C9476C">
        <w:t xml:space="preserve">The </w:t>
      </w:r>
      <w:r w:rsidR="0069567E">
        <w:t xml:space="preserve">revised forms are part of the forms package that </w:t>
      </w:r>
      <w:r w:rsidR="008F4D8E" w:rsidRPr="00C9476C">
        <w:t>enable</w:t>
      </w:r>
      <w:r w:rsidR="0069567E">
        <w:t>s</w:t>
      </w:r>
      <w:r w:rsidR="008F4D8E" w:rsidRPr="00C9476C">
        <w:t xml:space="preserve"> the Cherry Industry Administrative Board (Board) to locally administer </w:t>
      </w:r>
      <w:r w:rsidR="007E1DC4" w:rsidRPr="00C9476C">
        <w:t xml:space="preserve">the </w:t>
      </w:r>
      <w:r w:rsidR="00A861FF" w:rsidRPr="00C9476C">
        <w:t xml:space="preserve">Federal marketing order for tart cherries under the </w:t>
      </w:r>
      <w:r w:rsidR="008F4D8E" w:rsidRPr="00C9476C">
        <w:t>Agricultural Marketing Service (AMS)</w:t>
      </w:r>
      <w:r w:rsidR="009B0A84">
        <w:t xml:space="preserve"> </w:t>
      </w:r>
      <w:r w:rsidR="008F4D8E" w:rsidRPr="00C9476C">
        <w:t>oversight.</w:t>
      </w:r>
    </w:p>
    <w:p w:rsidR="00A861FF" w:rsidRPr="00C9476C" w:rsidRDefault="00A861FF" w:rsidP="00A7228E"/>
    <w:p w:rsidR="00A861FF" w:rsidRPr="00C9476C" w:rsidRDefault="00A861FF" w:rsidP="00A7228E">
      <w:r w:rsidRPr="00C9476C">
        <w:t xml:space="preserve">The U.S. District Court recently issued a decision in </w:t>
      </w:r>
      <w:r w:rsidRPr="00C9476C">
        <w:rPr>
          <w:i/>
        </w:rPr>
        <w:t>Burnette Foods, Inc. v. USDA</w:t>
      </w:r>
      <w:r w:rsidRPr="00C9476C">
        <w:t xml:space="preserve"> </w:t>
      </w:r>
      <w:r w:rsidR="00E80DB7" w:rsidRPr="00C9476C">
        <w:t>that requires the Board to reconstitute</w:t>
      </w:r>
      <w:r w:rsidR="008103C7" w:rsidRPr="00C9476C">
        <w:t xml:space="preserve"> its membership </w:t>
      </w:r>
      <w:r w:rsidR="00E80DB7" w:rsidRPr="00C9476C">
        <w:t xml:space="preserve">to comply with the Court’s decision.  AMS added text to the SC-46 </w:t>
      </w:r>
      <w:r w:rsidR="00E80DB7" w:rsidRPr="00C9476C">
        <w:rPr>
          <w:i/>
        </w:rPr>
        <w:t>Background Acceptance Sta</w:t>
      </w:r>
      <w:r w:rsidR="008103C7" w:rsidRPr="00C9476C">
        <w:rPr>
          <w:i/>
        </w:rPr>
        <w:t>tement: Producer/Handler Member-or-</w:t>
      </w:r>
      <w:r w:rsidR="00E80DB7" w:rsidRPr="00C9476C">
        <w:rPr>
          <w:i/>
        </w:rPr>
        <w:t>Alternate Producer/Handler Member</w:t>
      </w:r>
      <w:r w:rsidR="00E80DB7" w:rsidRPr="00C9476C">
        <w:t xml:space="preserve"> and to the SC-48 </w:t>
      </w:r>
      <w:r w:rsidR="00E80DB7" w:rsidRPr="00C9476C">
        <w:rPr>
          <w:i/>
        </w:rPr>
        <w:t>Tart Cherry Nomination Petition Form</w:t>
      </w:r>
      <w:r w:rsidR="00E80DB7" w:rsidRPr="00C9476C">
        <w:t xml:space="preserve"> </w:t>
      </w:r>
      <w:r w:rsidR="001D6A50">
        <w:t xml:space="preserve">and updates were made to the </w:t>
      </w:r>
      <w:r w:rsidR="001D6A50" w:rsidRPr="001D6A50">
        <w:t xml:space="preserve">SC-49 </w:t>
      </w:r>
      <w:r w:rsidR="001D6A50" w:rsidRPr="001D6A50">
        <w:rPr>
          <w:i/>
        </w:rPr>
        <w:t>Grower/Handler Member and Alternate Ballot</w:t>
      </w:r>
      <w:r w:rsidR="001D6A50" w:rsidRPr="001D6A50">
        <w:t xml:space="preserve"> </w:t>
      </w:r>
      <w:r w:rsidR="00E80DB7" w:rsidRPr="001D6A50">
        <w:t>to</w:t>
      </w:r>
      <w:r w:rsidR="00E80DB7" w:rsidRPr="00C9476C">
        <w:t xml:space="preserve"> clarify requirements on nomination eligibility.  The forms are </w:t>
      </w:r>
      <w:r w:rsidR="009B0A84">
        <w:t xml:space="preserve">part of the Board’s nomination process and are </w:t>
      </w:r>
      <w:r w:rsidR="00E80DB7" w:rsidRPr="00C9476C">
        <w:t>completed by industry members seeking appointment to the Board.</w:t>
      </w:r>
    </w:p>
    <w:p w:rsidR="00CD705F" w:rsidRPr="00C9476C" w:rsidRDefault="00CD705F" w:rsidP="00CD705F"/>
    <w:p w:rsidR="008103C7" w:rsidRPr="00C9476C" w:rsidRDefault="00AE4014" w:rsidP="008103C7">
      <w:r w:rsidRPr="001D6A50">
        <w:rPr>
          <w:b/>
        </w:rPr>
        <w:t>SC-</w:t>
      </w:r>
      <w:r w:rsidR="00E80DB7" w:rsidRPr="001D6A50">
        <w:rPr>
          <w:b/>
        </w:rPr>
        <w:t>46</w:t>
      </w:r>
      <w:r w:rsidRPr="001D6A50">
        <w:rPr>
          <w:b/>
        </w:rPr>
        <w:t xml:space="preserve"> </w:t>
      </w:r>
      <w:r w:rsidR="008103C7" w:rsidRPr="001D6A50">
        <w:rPr>
          <w:b/>
          <w:i/>
        </w:rPr>
        <w:t>Background Acceptance Statement: Producer/Handler Member-or-Alternate Producer/Handler Member</w:t>
      </w:r>
      <w:r w:rsidR="008103C7" w:rsidRPr="001D6A50">
        <w:rPr>
          <w:b/>
        </w:rPr>
        <w:t>:</w:t>
      </w:r>
      <w:r w:rsidR="008103C7" w:rsidRPr="00C9476C">
        <w:t xml:space="preserve"> </w:t>
      </w:r>
      <w:r w:rsidR="00C91DDB" w:rsidRPr="00C9476C">
        <w:t xml:space="preserve"> </w:t>
      </w:r>
      <w:r w:rsidR="008103C7" w:rsidRPr="00C9476C">
        <w:t xml:space="preserve">Three lines were added to the first page of the </w:t>
      </w:r>
      <w:r w:rsidR="009B0A84">
        <w:t>two</w:t>
      </w:r>
      <w:r w:rsidR="008F4D8E" w:rsidRPr="00C9476C">
        <w:t xml:space="preserve">-page </w:t>
      </w:r>
      <w:r w:rsidR="008103C7" w:rsidRPr="00C9476C">
        <w:t xml:space="preserve">form so </w:t>
      </w:r>
      <w:r w:rsidR="00C9476C" w:rsidRPr="00C9476C">
        <w:t>respondent</w:t>
      </w:r>
      <w:r w:rsidR="008103C7" w:rsidRPr="00C9476C">
        <w:t xml:space="preserve">s can list the names of companies that market or broker their product.  A paragraph was added to the second page to explain the need for this information.  </w:t>
      </w:r>
      <w:r w:rsidR="008F06BD">
        <w:t>Slight f</w:t>
      </w:r>
      <w:r w:rsidR="008103C7" w:rsidRPr="00C9476C">
        <w:t>ormatting changes were made to accommodate the new text on the form.</w:t>
      </w:r>
      <w:r w:rsidR="00BB682B">
        <w:t xml:space="preserve">  Due to the addition text, the burden increased from five minutes to seven minutes.</w:t>
      </w:r>
    </w:p>
    <w:p w:rsidR="005117ED" w:rsidRPr="00C9476C" w:rsidRDefault="005117ED" w:rsidP="00CD705F"/>
    <w:p w:rsidR="002B30A9" w:rsidRDefault="001515DC" w:rsidP="008F06BD">
      <w:r w:rsidRPr="001D6A50">
        <w:rPr>
          <w:b/>
        </w:rPr>
        <w:t>SC-</w:t>
      </w:r>
      <w:r w:rsidR="008103C7" w:rsidRPr="001D6A50">
        <w:rPr>
          <w:b/>
        </w:rPr>
        <w:t>48</w:t>
      </w:r>
      <w:r w:rsidRPr="001D6A50">
        <w:rPr>
          <w:b/>
          <w:i/>
        </w:rPr>
        <w:t xml:space="preserve"> </w:t>
      </w:r>
      <w:r w:rsidR="008103C7" w:rsidRPr="001D6A50">
        <w:rPr>
          <w:b/>
          <w:i/>
        </w:rPr>
        <w:t>Tart Cherry Nomination Petition</w:t>
      </w:r>
      <w:r w:rsidR="008103C7" w:rsidRPr="001D6A50">
        <w:rPr>
          <w:b/>
        </w:rPr>
        <w:t>:</w:t>
      </w:r>
      <w:r w:rsidR="00A7228E" w:rsidRPr="008F06BD">
        <w:t xml:space="preserve"> </w:t>
      </w:r>
      <w:r w:rsidR="008F4D8E" w:rsidRPr="00C9476C">
        <w:t xml:space="preserve">A new paragraph took the place of an existing one on the second page of the </w:t>
      </w:r>
      <w:r w:rsidR="00C9476C" w:rsidRPr="00C9476C">
        <w:t>five</w:t>
      </w:r>
      <w:r w:rsidR="008F4D8E" w:rsidRPr="00C9476C">
        <w:t>-page form</w:t>
      </w:r>
      <w:r w:rsidR="009B0A84">
        <w:t xml:space="preserve"> to explain the Board’s correct structure and the need for additional information on nominees’ business </w:t>
      </w:r>
      <w:r w:rsidR="0069567E">
        <w:t>partnerships</w:t>
      </w:r>
      <w:r w:rsidR="009B0A84">
        <w:t xml:space="preserve">.  New text replaced </w:t>
      </w:r>
      <w:r w:rsidR="008F06BD">
        <w:t>previous</w:t>
      </w:r>
      <w:r w:rsidR="009B0A84">
        <w:t xml:space="preserve"> text under Number 2 on page 4 </w:t>
      </w:r>
      <w:r w:rsidR="008F06BD">
        <w:t>that asks for</w:t>
      </w:r>
      <w:r w:rsidR="008F4D8E" w:rsidRPr="00C9476C">
        <w:t xml:space="preserve"> the names of companies that market or broker their product.  </w:t>
      </w:r>
      <w:r w:rsidR="008F06BD">
        <w:t>Slight f</w:t>
      </w:r>
      <w:r w:rsidR="008F4D8E" w:rsidRPr="00C9476C">
        <w:t xml:space="preserve">ormatting changes were made to accommodate the </w:t>
      </w:r>
      <w:r w:rsidR="008F06BD">
        <w:t>modified</w:t>
      </w:r>
      <w:r w:rsidR="008F4D8E" w:rsidRPr="00C9476C">
        <w:t xml:space="preserve"> text on the form.</w:t>
      </w:r>
    </w:p>
    <w:p w:rsidR="0026720B" w:rsidRDefault="0026720B" w:rsidP="008F06BD"/>
    <w:p w:rsidR="0026720B" w:rsidRDefault="0026720B" w:rsidP="008F06BD">
      <w:r w:rsidRPr="0026720B">
        <w:rPr>
          <w:b/>
        </w:rPr>
        <w:t xml:space="preserve">SC-49 </w:t>
      </w:r>
      <w:r w:rsidRPr="0026720B">
        <w:rPr>
          <w:b/>
          <w:i/>
        </w:rPr>
        <w:t>Grower/Handler Member and Alternate Ballot</w:t>
      </w:r>
      <w:r w:rsidRPr="0026720B">
        <w:rPr>
          <w:b/>
        </w:rPr>
        <w:t>:</w:t>
      </w:r>
      <w:r>
        <w:t xml:space="preserve">  The changes cover the new postal address where respondents should mail the ballot and other details that provide updated information on the form.  </w:t>
      </w:r>
      <w:r w:rsidR="00E50DA4">
        <w:t xml:space="preserve">Reference to a specific </w:t>
      </w:r>
      <w:r w:rsidR="00F122A0">
        <w:t xml:space="preserve">voting </w:t>
      </w:r>
      <w:r w:rsidR="00E50DA4">
        <w:t xml:space="preserve">district </w:t>
      </w:r>
      <w:r w:rsidR="00F122A0">
        <w:t xml:space="preserve">and number of seats per district </w:t>
      </w:r>
      <w:r w:rsidR="00E50DA4">
        <w:t>w</w:t>
      </w:r>
      <w:r w:rsidR="00F122A0">
        <w:t xml:space="preserve">as removed so the committee can update this information since the number of seats per district changes with production amounts.  The words “Grower” and “Handler” were also removed so that the same form can be used by both a grower or a handler.  </w:t>
      </w:r>
      <w:r>
        <w:t>No n</w:t>
      </w:r>
      <w:r w:rsidR="00F122A0">
        <w:t>ew burden is associated with the</w:t>
      </w:r>
      <w:r>
        <w:t>s</w:t>
      </w:r>
      <w:r w:rsidR="00F122A0">
        <w:t>e</w:t>
      </w:r>
      <w:r>
        <w:t xml:space="preserve"> slight edits.</w:t>
      </w:r>
    </w:p>
    <w:p w:rsidR="00AE2B0A" w:rsidRDefault="00AE2B0A" w:rsidP="008F06BD"/>
    <w:p w:rsidR="00AE2B0A" w:rsidRDefault="00AE2B0A" w:rsidP="00AE2B0A">
      <w:r w:rsidRPr="00AE2B0A">
        <w:rPr>
          <w:b/>
          <w:u w:val="single"/>
        </w:rPr>
        <w:t>Burden Calculation</w:t>
      </w:r>
      <w:r w:rsidRPr="00AE2B0A">
        <w:rPr>
          <w:b/>
        </w:rPr>
        <w:t>:</w:t>
      </w:r>
      <w:r>
        <w:rPr>
          <w:b/>
        </w:rPr>
        <w:t xml:space="preserve">  </w:t>
      </w:r>
      <w:r w:rsidRPr="00C9476C">
        <w:t xml:space="preserve">The hours per response will </w:t>
      </w:r>
      <w:r>
        <w:t xml:space="preserve">increase </w:t>
      </w:r>
      <w:r w:rsidR="003B2C70">
        <w:t xml:space="preserve">from 5 to 7 minutes </w:t>
      </w:r>
      <w:r>
        <w:t xml:space="preserve">for </w:t>
      </w:r>
      <w:r w:rsidR="003B2C70">
        <w:t>the</w:t>
      </w:r>
      <w:r>
        <w:t xml:space="preserve"> </w:t>
      </w:r>
      <w:r w:rsidRPr="00C9476C">
        <w:rPr>
          <w:color w:val="000000" w:themeColor="text1"/>
        </w:rPr>
        <w:t>SC-46</w:t>
      </w:r>
      <w:r w:rsidR="003B2C70">
        <w:rPr>
          <w:color w:val="000000" w:themeColor="text1"/>
        </w:rPr>
        <w:t xml:space="preserve">.  </w:t>
      </w:r>
      <w:r w:rsidR="006C6C6C">
        <w:rPr>
          <w:color w:val="000000" w:themeColor="text1"/>
        </w:rPr>
        <w:t xml:space="preserve">The hours per response would remain unchanged for the </w:t>
      </w:r>
      <w:r>
        <w:rPr>
          <w:color w:val="000000" w:themeColor="text1"/>
        </w:rPr>
        <w:t xml:space="preserve">SC-48 </w:t>
      </w:r>
      <w:r w:rsidR="006C6C6C">
        <w:rPr>
          <w:color w:val="000000" w:themeColor="text1"/>
        </w:rPr>
        <w:t xml:space="preserve">at </w:t>
      </w:r>
      <w:r w:rsidRPr="00C9476C">
        <w:rPr>
          <w:color w:val="000000" w:themeColor="text1"/>
        </w:rPr>
        <w:t>20</w:t>
      </w:r>
      <w:r w:rsidR="006C6C6C">
        <w:rPr>
          <w:color w:val="000000" w:themeColor="text1"/>
        </w:rPr>
        <w:t xml:space="preserve"> minutes </w:t>
      </w:r>
      <w:r w:rsidR="00E50DA4">
        <w:rPr>
          <w:color w:val="000000" w:themeColor="text1"/>
        </w:rPr>
        <w:t xml:space="preserve">and the SC-49 at 10 minutes </w:t>
      </w:r>
      <w:r w:rsidR="006C6C6C">
        <w:rPr>
          <w:color w:val="000000" w:themeColor="text1"/>
        </w:rPr>
        <w:t>because text is being revised instead of added</w:t>
      </w:r>
      <w:r w:rsidRPr="00C9476C">
        <w:t xml:space="preserve">.  Below is a </w:t>
      </w:r>
      <w:r>
        <w:t xml:space="preserve">table that describes the </w:t>
      </w:r>
      <w:r w:rsidR="006C6C6C">
        <w:t xml:space="preserve">overall </w:t>
      </w:r>
      <w:r>
        <w:t>change in burden</w:t>
      </w:r>
      <w:r w:rsidRPr="00C9476C">
        <w:t>.</w:t>
      </w:r>
    </w:p>
    <w:p w:rsidR="00AE2B0A" w:rsidRDefault="00AE2B0A" w:rsidP="00AE2B0A"/>
    <w:p w:rsidR="009D5543" w:rsidRDefault="009D5543" w:rsidP="006C6C6C"/>
    <w:p w:rsidR="009D5543" w:rsidRDefault="009D5543" w:rsidP="006C6C6C"/>
    <w:p w:rsidR="009D5543" w:rsidRDefault="009D5543" w:rsidP="006C6C6C"/>
    <w:p w:rsidR="009D5543" w:rsidRDefault="009D5543" w:rsidP="006C6C6C"/>
    <w:p w:rsidR="00AE2B0A" w:rsidRDefault="00AE2B0A" w:rsidP="006C6C6C">
      <w:r>
        <w:t>Current Burden</w:t>
      </w:r>
      <w:r w:rsidRPr="00C9476C">
        <w:t xml:space="preserve"> </w:t>
      </w:r>
    </w:p>
    <w:tbl>
      <w:tblPr>
        <w:tblStyle w:val="TableGrid"/>
        <w:tblW w:w="0" w:type="auto"/>
        <w:tblInd w:w="85" w:type="dxa"/>
        <w:tblLook w:val="04A0" w:firstRow="1" w:lastRow="0" w:firstColumn="1" w:lastColumn="0" w:noHBand="0" w:noVBand="1"/>
      </w:tblPr>
      <w:tblGrid>
        <w:gridCol w:w="1260"/>
        <w:gridCol w:w="1800"/>
        <w:gridCol w:w="2160"/>
        <w:gridCol w:w="1440"/>
        <w:gridCol w:w="1350"/>
        <w:gridCol w:w="1164"/>
      </w:tblGrid>
      <w:tr w:rsidR="000F0A24" w:rsidTr="006C6C6C">
        <w:tc>
          <w:tcPr>
            <w:tcW w:w="1260" w:type="dxa"/>
          </w:tcPr>
          <w:p w:rsidR="000F0A24" w:rsidRPr="006C6C6C" w:rsidRDefault="000F0A24" w:rsidP="008F06BD">
            <w:pPr>
              <w:rPr>
                <w:sz w:val="22"/>
                <w:szCs w:val="22"/>
              </w:rPr>
            </w:pPr>
          </w:p>
        </w:tc>
        <w:tc>
          <w:tcPr>
            <w:tcW w:w="1800" w:type="dxa"/>
          </w:tcPr>
          <w:p w:rsidR="000F0A24" w:rsidRPr="006C6C6C" w:rsidRDefault="000F0A24" w:rsidP="00AE2B0A">
            <w:pPr>
              <w:jc w:val="center"/>
              <w:rPr>
                <w:sz w:val="22"/>
                <w:szCs w:val="22"/>
              </w:rPr>
            </w:pPr>
            <w:r w:rsidRPr="006C6C6C">
              <w:rPr>
                <w:sz w:val="22"/>
                <w:szCs w:val="22"/>
              </w:rPr>
              <w:t>No. of Respondents</w:t>
            </w:r>
          </w:p>
        </w:tc>
        <w:tc>
          <w:tcPr>
            <w:tcW w:w="2160" w:type="dxa"/>
          </w:tcPr>
          <w:p w:rsidR="000F0A24" w:rsidRPr="006C6C6C" w:rsidRDefault="000F0A24" w:rsidP="00AE2B0A">
            <w:pPr>
              <w:jc w:val="center"/>
              <w:rPr>
                <w:sz w:val="22"/>
                <w:szCs w:val="22"/>
              </w:rPr>
            </w:pPr>
            <w:r w:rsidRPr="006C6C6C">
              <w:rPr>
                <w:sz w:val="22"/>
                <w:szCs w:val="22"/>
              </w:rPr>
              <w:t>No. of Responses per Respondent</w:t>
            </w:r>
          </w:p>
        </w:tc>
        <w:tc>
          <w:tcPr>
            <w:tcW w:w="1440" w:type="dxa"/>
          </w:tcPr>
          <w:p w:rsidR="000F0A24" w:rsidRPr="006C6C6C" w:rsidRDefault="000F0A24" w:rsidP="00AE2B0A">
            <w:pPr>
              <w:jc w:val="center"/>
              <w:rPr>
                <w:sz w:val="22"/>
                <w:szCs w:val="22"/>
              </w:rPr>
            </w:pPr>
            <w:r w:rsidRPr="006C6C6C">
              <w:rPr>
                <w:sz w:val="22"/>
                <w:szCs w:val="22"/>
              </w:rPr>
              <w:t>Total Annual Responses</w:t>
            </w:r>
          </w:p>
        </w:tc>
        <w:tc>
          <w:tcPr>
            <w:tcW w:w="1350" w:type="dxa"/>
          </w:tcPr>
          <w:p w:rsidR="000F0A24" w:rsidRPr="006C6C6C" w:rsidRDefault="000F0A24" w:rsidP="00AE2B0A">
            <w:pPr>
              <w:jc w:val="center"/>
              <w:rPr>
                <w:sz w:val="22"/>
                <w:szCs w:val="22"/>
              </w:rPr>
            </w:pPr>
            <w:r w:rsidRPr="006C6C6C">
              <w:rPr>
                <w:sz w:val="22"/>
                <w:szCs w:val="22"/>
              </w:rPr>
              <w:t>Hours per Response</w:t>
            </w:r>
          </w:p>
        </w:tc>
        <w:tc>
          <w:tcPr>
            <w:tcW w:w="1164" w:type="dxa"/>
          </w:tcPr>
          <w:p w:rsidR="000F0A24" w:rsidRPr="006C6C6C" w:rsidRDefault="000F0A24" w:rsidP="00AE2B0A">
            <w:pPr>
              <w:jc w:val="center"/>
              <w:rPr>
                <w:sz w:val="22"/>
                <w:szCs w:val="22"/>
              </w:rPr>
            </w:pPr>
            <w:r w:rsidRPr="006C6C6C">
              <w:rPr>
                <w:sz w:val="22"/>
                <w:szCs w:val="22"/>
              </w:rPr>
              <w:t>Total Hours</w:t>
            </w:r>
          </w:p>
        </w:tc>
      </w:tr>
      <w:tr w:rsidR="000F0A24" w:rsidTr="006C6C6C">
        <w:tc>
          <w:tcPr>
            <w:tcW w:w="1260" w:type="dxa"/>
          </w:tcPr>
          <w:p w:rsidR="000F0A24" w:rsidRPr="006C6C6C" w:rsidRDefault="000F0A24" w:rsidP="008F06BD">
            <w:pPr>
              <w:rPr>
                <w:sz w:val="22"/>
                <w:szCs w:val="22"/>
              </w:rPr>
            </w:pPr>
            <w:r w:rsidRPr="006C6C6C">
              <w:rPr>
                <w:sz w:val="22"/>
                <w:szCs w:val="22"/>
              </w:rPr>
              <w:t>SC-46</w:t>
            </w:r>
          </w:p>
        </w:tc>
        <w:tc>
          <w:tcPr>
            <w:tcW w:w="1800" w:type="dxa"/>
          </w:tcPr>
          <w:p w:rsidR="000F0A24" w:rsidRPr="006C6C6C" w:rsidRDefault="000F0A24" w:rsidP="006A76B7">
            <w:pPr>
              <w:jc w:val="right"/>
              <w:rPr>
                <w:sz w:val="22"/>
                <w:szCs w:val="22"/>
              </w:rPr>
            </w:pPr>
            <w:r w:rsidRPr="006C6C6C">
              <w:rPr>
                <w:sz w:val="22"/>
                <w:szCs w:val="22"/>
              </w:rPr>
              <w:t>34</w:t>
            </w:r>
          </w:p>
        </w:tc>
        <w:tc>
          <w:tcPr>
            <w:tcW w:w="2160" w:type="dxa"/>
          </w:tcPr>
          <w:p w:rsidR="000F0A24" w:rsidRPr="006C6C6C" w:rsidRDefault="000F0A24" w:rsidP="006A76B7">
            <w:pPr>
              <w:jc w:val="right"/>
              <w:rPr>
                <w:sz w:val="22"/>
                <w:szCs w:val="22"/>
              </w:rPr>
            </w:pPr>
            <w:r w:rsidRPr="006C6C6C">
              <w:rPr>
                <w:sz w:val="22"/>
                <w:szCs w:val="22"/>
              </w:rPr>
              <w:t>0.3333</w:t>
            </w:r>
          </w:p>
        </w:tc>
        <w:tc>
          <w:tcPr>
            <w:tcW w:w="1440" w:type="dxa"/>
          </w:tcPr>
          <w:p w:rsidR="000F0A24" w:rsidRPr="006C6C6C" w:rsidRDefault="000F0A24" w:rsidP="006A76B7">
            <w:pPr>
              <w:jc w:val="right"/>
              <w:rPr>
                <w:sz w:val="22"/>
                <w:szCs w:val="22"/>
              </w:rPr>
            </w:pPr>
            <w:r w:rsidRPr="006C6C6C">
              <w:rPr>
                <w:sz w:val="22"/>
                <w:szCs w:val="22"/>
              </w:rPr>
              <w:t>11.33</w:t>
            </w:r>
          </w:p>
        </w:tc>
        <w:tc>
          <w:tcPr>
            <w:tcW w:w="1350" w:type="dxa"/>
          </w:tcPr>
          <w:p w:rsidR="000F0A24" w:rsidRPr="006C6C6C" w:rsidRDefault="000F0A24" w:rsidP="006A76B7">
            <w:pPr>
              <w:jc w:val="right"/>
              <w:rPr>
                <w:sz w:val="22"/>
                <w:szCs w:val="22"/>
              </w:rPr>
            </w:pPr>
            <w:r w:rsidRPr="006C6C6C">
              <w:rPr>
                <w:sz w:val="22"/>
                <w:szCs w:val="22"/>
              </w:rPr>
              <w:t>0.083</w:t>
            </w:r>
          </w:p>
        </w:tc>
        <w:tc>
          <w:tcPr>
            <w:tcW w:w="1164" w:type="dxa"/>
          </w:tcPr>
          <w:p w:rsidR="000F0A24" w:rsidRPr="006C6C6C" w:rsidRDefault="000F0A24" w:rsidP="006A76B7">
            <w:pPr>
              <w:jc w:val="right"/>
              <w:rPr>
                <w:sz w:val="22"/>
                <w:szCs w:val="22"/>
              </w:rPr>
            </w:pPr>
            <w:r w:rsidRPr="006C6C6C">
              <w:rPr>
                <w:sz w:val="22"/>
                <w:szCs w:val="22"/>
              </w:rPr>
              <w:t>0.94</w:t>
            </w:r>
          </w:p>
        </w:tc>
      </w:tr>
      <w:tr w:rsidR="000F0A24" w:rsidTr="006C6C6C">
        <w:tc>
          <w:tcPr>
            <w:tcW w:w="1260" w:type="dxa"/>
          </w:tcPr>
          <w:p w:rsidR="000F0A24" w:rsidRPr="006C6C6C" w:rsidRDefault="000F0A24" w:rsidP="008F06BD">
            <w:pPr>
              <w:rPr>
                <w:sz w:val="22"/>
                <w:szCs w:val="22"/>
              </w:rPr>
            </w:pPr>
            <w:r w:rsidRPr="006C6C6C">
              <w:rPr>
                <w:sz w:val="22"/>
                <w:szCs w:val="22"/>
              </w:rPr>
              <w:t>SC-48</w:t>
            </w:r>
          </w:p>
        </w:tc>
        <w:tc>
          <w:tcPr>
            <w:tcW w:w="1800" w:type="dxa"/>
          </w:tcPr>
          <w:p w:rsidR="000F0A24" w:rsidRPr="006C6C6C" w:rsidRDefault="000F0A24" w:rsidP="006A76B7">
            <w:pPr>
              <w:jc w:val="right"/>
              <w:rPr>
                <w:sz w:val="22"/>
                <w:szCs w:val="22"/>
              </w:rPr>
            </w:pPr>
            <w:r w:rsidRPr="006C6C6C">
              <w:rPr>
                <w:sz w:val="22"/>
                <w:szCs w:val="22"/>
              </w:rPr>
              <w:t>640</w:t>
            </w:r>
          </w:p>
        </w:tc>
        <w:tc>
          <w:tcPr>
            <w:tcW w:w="2160" w:type="dxa"/>
          </w:tcPr>
          <w:p w:rsidR="000F0A24" w:rsidRPr="006C6C6C" w:rsidRDefault="000F0A24" w:rsidP="006A76B7">
            <w:pPr>
              <w:jc w:val="right"/>
              <w:rPr>
                <w:sz w:val="22"/>
                <w:szCs w:val="22"/>
              </w:rPr>
            </w:pPr>
            <w:r w:rsidRPr="006C6C6C">
              <w:rPr>
                <w:sz w:val="22"/>
                <w:szCs w:val="22"/>
              </w:rPr>
              <w:t>0.3333</w:t>
            </w:r>
          </w:p>
        </w:tc>
        <w:tc>
          <w:tcPr>
            <w:tcW w:w="1440" w:type="dxa"/>
          </w:tcPr>
          <w:p w:rsidR="000F0A24" w:rsidRPr="006C6C6C" w:rsidRDefault="000F0A24" w:rsidP="006A76B7">
            <w:pPr>
              <w:jc w:val="right"/>
              <w:rPr>
                <w:sz w:val="22"/>
                <w:szCs w:val="22"/>
              </w:rPr>
            </w:pPr>
            <w:r w:rsidRPr="006C6C6C">
              <w:rPr>
                <w:sz w:val="22"/>
                <w:szCs w:val="22"/>
              </w:rPr>
              <w:t>213.33</w:t>
            </w:r>
          </w:p>
        </w:tc>
        <w:tc>
          <w:tcPr>
            <w:tcW w:w="1350" w:type="dxa"/>
          </w:tcPr>
          <w:p w:rsidR="000F0A24" w:rsidRPr="006C6C6C" w:rsidRDefault="000F0A24" w:rsidP="006A76B7">
            <w:pPr>
              <w:jc w:val="right"/>
              <w:rPr>
                <w:sz w:val="22"/>
                <w:szCs w:val="22"/>
              </w:rPr>
            </w:pPr>
            <w:r w:rsidRPr="006C6C6C">
              <w:rPr>
                <w:sz w:val="22"/>
                <w:szCs w:val="22"/>
              </w:rPr>
              <w:t>0.3300</w:t>
            </w:r>
          </w:p>
        </w:tc>
        <w:tc>
          <w:tcPr>
            <w:tcW w:w="1164" w:type="dxa"/>
          </w:tcPr>
          <w:p w:rsidR="000F0A24" w:rsidRPr="006C6C6C" w:rsidRDefault="000F0A24" w:rsidP="006A76B7">
            <w:pPr>
              <w:jc w:val="right"/>
              <w:rPr>
                <w:sz w:val="22"/>
                <w:szCs w:val="22"/>
              </w:rPr>
            </w:pPr>
            <w:r w:rsidRPr="006C6C6C">
              <w:rPr>
                <w:sz w:val="22"/>
                <w:szCs w:val="22"/>
              </w:rPr>
              <w:t>70.4</w:t>
            </w:r>
          </w:p>
        </w:tc>
      </w:tr>
      <w:tr w:rsidR="0026720B" w:rsidTr="006C6C6C">
        <w:tc>
          <w:tcPr>
            <w:tcW w:w="1260" w:type="dxa"/>
          </w:tcPr>
          <w:p w:rsidR="0026720B" w:rsidRPr="006C6C6C" w:rsidRDefault="0026720B" w:rsidP="008F06BD">
            <w:pPr>
              <w:rPr>
                <w:sz w:val="22"/>
                <w:szCs w:val="22"/>
              </w:rPr>
            </w:pPr>
            <w:r>
              <w:rPr>
                <w:sz w:val="22"/>
                <w:szCs w:val="22"/>
              </w:rPr>
              <w:t>SC-49</w:t>
            </w:r>
          </w:p>
        </w:tc>
        <w:tc>
          <w:tcPr>
            <w:tcW w:w="1800" w:type="dxa"/>
          </w:tcPr>
          <w:p w:rsidR="0026720B" w:rsidRPr="006C6C6C" w:rsidRDefault="0026720B" w:rsidP="006A76B7">
            <w:pPr>
              <w:jc w:val="right"/>
              <w:rPr>
                <w:sz w:val="22"/>
                <w:szCs w:val="22"/>
              </w:rPr>
            </w:pPr>
            <w:r>
              <w:rPr>
                <w:sz w:val="22"/>
                <w:szCs w:val="22"/>
              </w:rPr>
              <w:t>640</w:t>
            </w:r>
          </w:p>
        </w:tc>
        <w:tc>
          <w:tcPr>
            <w:tcW w:w="2160" w:type="dxa"/>
          </w:tcPr>
          <w:p w:rsidR="0026720B" w:rsidRPr="006C6C6C" w:rsidRDefault="00364B18" w:rsidP="006A76B7">
            <w:pPr>
              <w:jc w:val="right"/>
              <w:rPr>
                <w:sz w:val="22"/>
                <w:szCs w:val="22"/>
              </w:rPr>
            </w:pPr>
            <w:r>
              <w:rPr>
                <w:sz w:val="22"/>
                <w:szCs w:val="22"/>
              </w:rPr>
              <w:t>0.3333</w:t>
            </w:r>
          </w:p>
        </w:tc>
        <w:tc>
          <w:tcPr>
            <w:tcW w:w="1440" w:type="dxa"/>
          </w:tcPr>
          <w:p w:rsidR="0026720B" w:rsidRPr="006C6C6C" w:rsidRDefault="00364B18" w:rsidP="006A76B7">
            <w:pPr>
              <w:jc w:val="right"/>
              <w:rPr>
                <w:sz w:val="22"/>
                <w:szCs w:val="22"/>
              </w:rPr>
            </w:pPr>
            <w:r>
              <w:rPr>
                <w:sz w:val="22"/>
                <w:szCs w:val="22"/>
              </w:rPr>
              <w:t>213.33</w:t>
            </w:r>
          </w:p>
        </w:tc>
        <w:tc>
          <w:tcPr>
            <w:tcW w:w="1350" w:type="dxa"/>
          </w:tcPr>
          <w:p w:rsidR="0026720B" w:rsidRPr="006C6C6C" w:rsidRDefault="00E50DA4" w:rsidP="006A76B7">
            <w:pPr>
              <w:jc w:val="right"/>
              <w:rPr>
                <w:sz w:val="22"/>
                <w:szCs w:val="22"/>
              </w:rPr>
            </w:pPr>
            <w:r>
              <w:rPr>
                <w:sz w:val="22"/>
                <w:szCs w:val="22"/>
              </w:rPr>
              <w:t>0.1670</w:t>
            </w:r>
          </w:p>
        </w:tc>
        <w:tc>
          <w:tcPr>
            <w:tcW w:w="1164" w:type="dxa"/>
          </w:tcPr>
          <w:p w:rsidR="0026720B" w:rsidRPr="006C6C6C" w:rsidRDefault="00364B18" w:rsidP="006A76B7">
            <w:pPr>
              <w:jc w:val="right"/>
              <w:rPr>
                <w:sz w:val="22"/>
                <w:szCs w:val="22"/>
              </w:rPr>
            </w:pPr>
            <w:r>
              <w:rPr>
                <w:sz w:val="22"/>
                <w:szCs w:val="22"/>
              </w:rPr>
              <w:t>35.63</w:t>
            </w:r>
          </w:p>
        </w:tc>
      </w:tr>
      <w:tr w:rsidR="000F0A24" w:rsidTr="006C6C6C">
        <w:tc>
          <w:tcPr>
            <w:tcW w:w="1260" w:type="dxa"/>
          </w:tcPr>
          <w:p w:rsidR="000F0A24" w:rsidRPr="006C6C6C" w:rsidRDefault="000F0A24" w:rsidP="008F06BD">
            <w:pPr>
              <w:rPr>
                <w:sz w:val="22"/>
                <w:szCs w:val="22"/>
              </w:rPr>
            </w:pPr>
            <w:r w:rsidRPr="006C6C6C">
              <w:rPr>
                <w:sz w:val="22"/>
                <w:szCs w:val="22"/>
              </w:rPr>
              <w:t>Total</w:t>
            </w:r>
          </w:p>
        </w:tc>
        <w:tc>
          <w:tcPr>
            <w:tcW w:w="1800" w:type="dxa"/>
          </w:tcPr>
          <w:p w:rsidR="000F0A24" w:rsidRPr="006C6C6C" w:rsidRDefault="000F0A24" w:rsidP="006A76B7">
            <w:pPr>
              <w:jc w:val="right"/>
              <w:rPr>
                <w:sz w:val="22"/>
                <w:szCs w:val="22"/>
              </w:rPr>
            </w:pPr>
            <w:r w:rsidRPr="006C6C6C">
              <w:rPr>
                <w:sz w:val="22"/>
                <w:szCs w:val="22"/>
              </w:rPr>
              <w:t>--</w:t>
            </w:r>
          </w:p>
        </w:tc>
        <w:tc>
          <w:tcPr>
            <w:tcW w:w="2160" w:type="dxa"/>
          </w:tcPr>
          <w:p w:rsidR="000F0A24" w:rsidRPr="006C6C6C" w:rsidRDefault="000F0A24" w:rsidP="006A76B7">
            <w:pPr>
              <w:jc w:val="right"/>
              <w:rPr>
                <w:sz w:val="22"/>
                <w:szCs w:val="22"/>
              </w:rPr>
            </w:pPr>
            <w:r w:rsidRPr="006C6C6C">
              <w:rPr>
                <w:sz w:val="22"/>
                <w:szCs w:val="22"/>
              </w:rPr>
              <w:t>--</w:t>
            </w:r>
          </w:p>
        </w:tc>
        <w:tc>
          <w:tcPr>
            <w:tcW w:w="1440" w:type="dxa"/>
          </w:tcPr>
          <w:p w:rsidR="000F0A24" w:rsidRPr="006C6C6C" w:rsidRDefault="00F35CD9" w:rsidP="006A76B7">
            <w:pPr>
              <w:jc w:val="right"/>
              <w:rPr>
                <w:sz w:val="22"/>
                <w:szCs w:val="22"/>
              </w:rPr>
            </w:pPr>
            <w:r>
              <w:rPr>
                <w:sz w:val="22"/>
                <w:szCs w:val="22"/>
              </w:rPr>
              <w:t>437.99</w:t>
            </w:r>
          </w:p>
        </w:tc>
        <w:tc>
          <w:tcPr>
            <w:tcW w:w="1350" w:type="dxa"/>
          </w:tcPr>
          <w:p w:rsidR="000F0A24" w:rsidRPr="006C6C6C" w:rsidRDefault="00C729B4" w:rsidP="006A76B7">
            <w:pPr>
              <w:jc w:val="right"/>
              <w:rPr>
                <w:sz w:val="22"/>
                <w:szCs w:val="22"/>
              </w:rPr>
            </w:pPr>
            <w:r>
              <w:rPr>
                <w:sz w:val="22"/>
                <w:szCs w:val="22"/>
              </w:rPr>
              <w:t>--</w:t>
            </w:r>
          </w:p>
        </w:tc>
        <w:tc>
          <w:tcPr>
            <w:tcW w:w="1164" w:type="dxa"/>
          </w:tcPr>
          <w:p w:rsidR="000F0A24" w:rsidRPr="006C6C6C" w:rsidRDefault="00F35CD9" w:rsidP="006A76B7">
            <w:pPr>
              <w:jc w:val="right"/>
              <w:rPr>
                <w:sz w:val="22"/>
                <w:szCs w:val="22"/>
              </w:rPr>
            </w:pPr>
            <w:r>
              <w:rPr>
                <w:sz w:val="22"/>
                <w:szCs w:val="22"/>
              </w:rPr>
              <w:t>106.97</w:t>
            </w:r>
          </w:p>
        </w:tc>
      </w:tr>
    </w:tbl>
    <w:p w:rsidR="001B3367" w:rsidRDefault="001B3367" w:rsidP="000F0A24">
      <w:pPr>
        <w:ind w:firstLine="720"/>
      </w:pPr>
    </w:p>
    <w:p w:rsidR="000F0A24" w:rsidRDefault="00284DF6" w:rsidP="006C6C6C">
      <w:r>
        <w:br/>
      </w:r>
      <w:r w:rsidR="000F0A24">
        <w:t>Proposed Burden</w:t>
      </w:r>
    </w:p>
    <w:tbl>
      <w:tblPr>
        <w:tblStyle w:val="TableGrid"/>
        <w:tblW w:w="0" w:type="auto"/>
        <w:tblInd w:w="85" w:type="dxa"/>
        <w:tblLook w:val="04A0" w:firstRow="1" w:lastRow="0" w:firstColumn="1" w:lastColumn="0" w:noHBand="0" w:noVBand="1"/>
      </w:tblPr>
      <w:tblGrid>
        <w:gridCol w:w="1260"/>
        <w:gridCol w:w="1800"/>
        <w:gridCol w:w="2160"/>
        <w:gridCol w:w="1440"/>
        <w:gridCol w:w="1350"/>
        <w:gridCol w:w="1164"/>
      </w:tblGrid>
      <w:tr w:rsidR="000F0A24" w:rsidTr="006C6C6C">
        <w:tc>
          <w:tcPr>
            <w:tcW w:w="1260" w:type="dxa"/>
          </w:tcPr>
          <w:p w:rsidR="000F0A24" w:rsidRPr="006C6C6C" w:rsidRDefault="000F0A24" w:rsidP="000A52D9">
            <w:pPr>
              <w:rPr>
                <w:sz w:val="22"/>
                <w:szCs w:val="22"/>
              </w:rPr>
            </w:pPr>
          </w:p>
        </w:tc>
        <w:tc>
          <w:tcPr>
            <w:tcW w:w="1800" w:type="dxa"/>
          </w:tcPr>
          <w:p w:rsidR="000F0A24" w:rsidRPr="006C6C6C" w:rsidRDefault="000F0A24" w:rsidP="000A52D9">
            <w:pPr>
              <w:jc w:val="center"/>
              <w:rPr>
                <w:sz w:val="22"/>
                <w:szCs w:val="22"/>
              </w:rPr>
            </w:pPr>
            <w:r w:rsidRPr="006C6C6C">
              <w:rPr>
                <w:sz w:val="22"/>
                <w:szCs w:val="22"/>
              </w:rPr>
              <w:t>No. of Respondents</w:t>
            </w:r>
          </w:p>
        </w:tc>
        <w:tc>
          <w:tcPr>
            <w:tcW w:w="2160" w:type="dxa"/>
          </w:tcPr>
          <w:p w:rsidR="000F0A24" w:rsidRPr="006C6C6C" w:rsidRDefault="000F0A24" w:rsidP="000A52D9">
            <w:pPr>
              <w:jc w:val="center"/>
              <w:rPr>
                <w:sz w:val="22"/>
                <w:szCs w:val="22"/>
              </w:rPr>
            </w:pPr>
            <w:r w:rsidRPr="006C6C6C">
              <w:rPr>
                <w:sz w:val="22"/>
                <w:szCs w:val="22"/>
              </w:rPr>
              <w:t>No. of Responses per Respondent</w:t>
            </w:r>
          </w:p>
        </w:tc>
        <w:tc>
          <w:tcPr>
            <w:tcW w:w="1440" w:type="dxa"/>
          </w:tcPr>
          <w:p w:rsidR="000F0A24" w:rsidRPr="006C6C6C" w:rsidRDefault="000F0A24" w:rsidP="000A52D9">
            <w:pPr>
              <w:jc w:val="center"/>
              <w:rPr>
                <w:sz w:val="22"/>
                <w:szCs w:val="22"/>
              </w:rPr>
            </w:pPr>
            <w:r w:rsidRPr="006C6C6C">
              <w:rPr>
                <w:sz w:val="22"/>
                <w:szCs w:val="22"/>
              </w:rPr>
              <w:t>Total Annual Responses</w:t>
            </w:r>
          </w:p>
        </w:tc>
        <w:tc>
          <w:tcPr>
            <w:tcW w:w="1350" w:type="dxa"/>
          </w:tcPr>
          <w:p w:rsidR="000F0A24" w:rsidRPr="006C6C6C" w:rsidRDefault="000F0A24" w:rsidP="000A52D9">
            <w:pPr>
              <w:jc w:val="center"/>
              <w:rPr>
                <w:sz w:val="22"/>
                <w:szCs w:val="22"/>
              </w:rPr>
            </w:pPr>
            <w:r w:rsidRPr="006C6C6C">
              <w:rPr>
                <w:sz w:val="22"/>
                <w:szCs w:val="22"/>
              </w:rPr>
              <w:t>Hours per Response</w:t>
            </w:r>
          </w:p>
        </w:tc>
        <w:tc>
          <w:tcPr>
            <w:tcW w:w="1164" w:type="dxa"/>
          </w:tcPr>
          <w:p w:rsidR="000F0A24" w:rsidRPr="006C6C6C" w:rsidRDefault="000F0A24" w:rsidP="000A52D9">
            <w:pPr>
              <w:jc w:val="center"/>
              <w:rPr>
                <w:sz w:val="22"/>
                <w:szCs w:val="22"/>
              </w:rPr>
            </w:pPr>
            <w:r w:rsidRPr="006C6C6C">
              <w:rPr>
                <w:sz w:val="22"/>
                <w:szCs w:val="22"/>
              </w:rPr>
              <w:t>Total Hours</w:t>
            </w:r>
          </w:p>
        </w:tc>
      </w:tr>
      <w:tr w:rsidR="000F0A24" w:rsidTr="006C6C6C">
        <w:tc>
          <w:tcPr>
            <w:tcW w:w="1260" w:type="dxa"/>
          </w:tcPr>
          <w:p w:rsidR="000F0A24" w:rsidRPr="006C6C6C" w:rsidRDefault="000F0A24" w:rsidP="000A52D9">
            <w:pPr>
              <w:rPr>
                <w:sz w:val="22"/>
                <w:szCs w:val="22"/>
              </w:rPr>
            </w:pPr>
            <w:r w:rsidRPr="006C6C6C">
              <w:rPr>
                <w:sz w:val="22"/>
                <w:szCs w:val="22"/>
              </w:rPr>
              <w:t>SC-46</w:t>
            </w:r>
          </w:p>
        </w:tc>
        <w:tc>
          <w:tcPr>
            <w:tcW w:w="1800" w:type="dxa"/>
          </w:tcPr>
          <w:p w:rsidR="000F0A24" w:rsidRPr="006C6C6C" w:rsidRDefault="000F0A24" w:rsidP="006A76B7">
            <w:pPr>
              <w:jc w:val="right"/>
              <w:rPr>
                <w:sz w:val="22"/>
                <w:szCs w:val="22"/>
              </w:rPr>
            </w:pPr>
            <w:r w:rsidRPr="006C6C6C">
              <w:rPr>
                <w:sz w:val="22"/>
                <w:szCs w:val="22"/>
              </w:rPr>
              <w:t>34</w:t>
            </w:r>
          </w:p>
        </w:tc>
        <w:tc>
          <w:tcPr>
            <w:tcW w:w="2160" w:type="dxa"/>
          </w:tcPr>
          <w:p w:rsidR="000F0A24" w:rsidRPr="006C6C6C" w:rsidRDefault="000F0A24" w:rsidP="006A76B7">
            <w:pPr>
              <w:jc w:val="right"/>
              <w:rPr>
                <w:sz w:val="22"/>
                <w:szCs w:val="22"/>
              </w:rPr>
            </w:pPr>
            <w:r w:rsidRPr="006C6C6C">
              <w:rPr>
                <w:sz w:val="22"/>
                <w:szCs w:val="22"/>
              </w:rPr>
              <w:t>0.3333</w:t>
            </w:r>
          </w:p>
        </w:tc>
        <w:tc>
          <w:tcPr>
            <w:tcW w:w="1440" w:type="dxa"/>
          </w:tcPr>
          <w:p w:rsidR="000F0A24" w:rsidRPr="006C6C6C" w:rsidRDefault="000F0A24" w:rsidP="006A76B7">
            <w:pPr>
              <w:jc w:val="right"/>
              <w:rPr>
                <w:sz w:val="22"/>
                <w:szCs w:val="22"/>
              </w:rPr>
            </w:pPr>
            <w:r w:rsidRPr="006C6C6C">
              <w:rPr>
                <w:sz w:val="22"/>
                <w:szCs w:val="22"/>
              </w:rPr>
              <w:t>11.33</w:t>
            </w:r>
          </w:p>
        </w:tc>
        <w:tc>
          <w:tcPr>
            <w:tcW w:w="1350" w:type="dxa"/>
          </w:tcPr>
          <w:p w:rsidR="000F0A24" w:rsidRPr="006C6C6C" w:rsidRDefault="000F0A24" w:rsidP="006A76B7">
            <w:pPr>
              <w:jc w:val="right"/>
              <w:rPr>
                <w:sz w:val="22"/>
                <w:szCs w:val="22"/>
              </w:rPr>
            </w:pPr>
            <w:r w:rsidRPr="006C6C6C">
              <w:rPr>
                <w:sz w:val="22"/>
                <w:szCs w:val="22"/>
              </w:rPr>
              <w:t>0.116</w:t>
            </w:r>
          </w:p>
        </w:tc>
        <w:tc>
          <w:tcPr>
            <w:tcW w:w="1164" w:type="dxa"/>
          </w:tcPr>
          <w:p w:rsidR="000F0A24" w:rsidRPr="006C6C6C" w:rsidRDefault="000F0A24" w:rsidP="006A76B7">
            <w:pPr>
              <w:jc w:val="right"/>
              <w:rPr>
                <w:sz w:val="22"/>
                <w:szCs w:val="22"/>
              </w:rPr>
            </w:pPr>
            <w:r w:rsidRPr="006C6C6C">
              <w:rPr>
                <w:sz w:val="22"/>
                <w:szCs w:val="22"/>
              </w:rPr>
              <w:t>1.31</w:t>
            </w:r>
          </w:p>
        </w:tc>
      </w:tr>
      <w:tr w:rsidR="000F0A24" w:rsidTr="006C6C6C">
        <w:tc>
          <w:tcPr>
            <w:tcW w:w="1260" w:type="dxa"/>
          </w:tcPr>
          <w:p w:rsidR="000F0A24" w:rsidRPr="006C6C6C" w:rsidRDefault="000F0A24" w:rsidP="000A52D9">
            <w:pPr>
              <w:rPr>
                <w:sz w:val="22"/>
                <w:szCs w:val="22"/>
              </w:rPr>
            </w:pPr>
            <w:r w:rsidRPr="006C6C6C">
              <w:rPr>
                <w:sz w:val="22"/>
                <w:szCs w:val="22"/>
              </w:rPr>
              <w:t>SC-48</w:t>
            </w:r>
          </w:p>
        </w:tc>
        <w:tc>
          <w:tcPr>
            <w:tcW w:w="1800" w:type="dxa"/>
          </w:tcPr>
          <w:p w:rsidR="000F0A24" w:rsidRPr="006C6C6C" w:rsidRDefault="000F0A24" w:rsidP="006A76B7">
            <w:pPr>
              <w:jc w:val="right"/>
              <w:rPr>
                <w:sz w:val="22"/>
                <w:szCs w:val="22"/>
              </w:rPr>
            </w:pPr>
            <w:r w:rsidRPr="006C6C6C">
              <w:rPr>
                <w:sz w:val="22"/>
                <w:szCs w:val="22"/>
              </w:rPr>
              <w:t>640</w:t>
            </w:r>
          </w:p>
        </w:tc>
        <w:tc>
          <w:tcPr>
            <w:tcW w:w="2160" w:type="dxa"/>
          </w:tcPr>
          <w:p w:rsidR="000F0A24" w:rsidRPr="006C6C6C" w:rsidRDefault="000F0A24" w:rsidP="006A76B7">
            <w:pPr>
              <w:jc w:val="right"/>
              <w:rPr>
                <w:sz w:val="22"/>
                <w:szCs w:val="22"/>
              </w:rPr>
            </w:pPr>
            <w:r w:rsidRPr="006C6C6C">
              <w:rPr>
                <w:sz w:val="22"/>
                <w:szCs w:val="22"/>
              </w:rPr>
              <w:t>0.3333</w:t>
            </w:r>
          </w:p>
        </w:tc>
        <w:tc>
          <w:tcPr>
            <w:tcW w:w="1440" w:type="dxa"/>
          </w:tcPr>
          <w:p w:rsidR="000F0A24" w:rsidRPr="006C6C6C" w:rsidRDefault="000F0A24" w:rsidP="006A76B7">
            <w:pPr>
              <w:jc w:val="right"/>
              <w:rPr>
                <w:sz w:val="22"/>
                <w:szCs w:val="22"/>
              </w:rPr>
            </w:pPr>
            <w:r w:rsidRPr="006C6C6C">
              <w:rPr>
                <w:sz w:val="22"/>
                <w:szCs w:val="22"/>
              </w:rPr>
              <w:t>213.33</w:t>
            </w:r>
          </w:p>
        </w:tc>
        <w:tc>
          <w:tcPr>
            <w:tcW w:w="1350" w:type="dxa"/>
          </w:tcPr>
          <w:p w:rsidR="000F0A24" w:rsidRPr="006C6C6C" w:rsidRDefault="000F0A24" w:rsidP="006A76B7">
            <w:pPr>
              <w:jc w:val="right"/>
              <w:rPr>
                <w:sz w:val="22"/>
                <w:szCs w:val="22"/>
              </w:rPr>
            </w:pPr>
            <w:r w:rsidRPr="006C6C6C">
              <w:rPr>
                <w:sz w:val="22"/>
                <w:szCs w:val="22"/>
              </w:rPr>
              <w:t>0.</w:t>
            </w:r>
            <w:r w:rsidR="00F35CD9">
              <w:rPr>
                <w:sz w:val="22"/>
                <w:szCs w:val="22"/>
              </w:rPr>
              <w:t>330</w:t>
            </w:r>
          </w:p>
        </w:tc>
        <w:tc>
          <w:tcPr>
            <w:tcW w:w="1164" w:type="dxa"/>
          </w:tcPr>
          <w:p w:rsidR="000F0A24" w:rsidRPr="006C6C6C" w:rsidRDefault="006C6C6C" w:rsidP="006A76B7">
            <w:pPr>
              <w:jc w:val="right"/>
              <w:rPr>
                <w:sz w:val="22"/>
                <w:szCs w:val="22"/>
              </w:rPr>
            </w:pPr>
            <w:r w:rsidRPr="006C6C6C">
              <w:rPr>
                <w:sz w:val="22"/>
                <w:szCs w:val="22"/>
              </w:rPr>
              <w:t>70.4</w:t>
            </w:r>
          </w:p>
        </w:tc>
      </w:tr>
      <w:tr w:rsidR="00364B18" w:rsidTr="006C6C6C">
        <w:tc>
          <w:tcPr>
            <w:tcW w:w="1260" w:type="dxa"/>
          </w:tcPr>
          <w:p w:rsidR="00364B18" w:rsidRPr="006C6C6C" w:rsidRDefault="00364B18" w:rsidP="00364B18">
            <w:pPr>
              <w:rPr>
                <w:sz w:val="22"/>
                <w:szCs w:val="22"/>
              </w:rPr>
            </w:pPr>
            <w:r>
              <w:rPr>
                <w:sz w:val="22"/>
                <w:szCs w:val="22"/>
              </w:rPr>
              <w:t>SC-49</w:t>
            </w:r>
          </w:p>
        </w:tc>
        <w:tc>
          <w:tcPr>
            <w:tcW w:w="1800" w:type="dxa"/>
          </w:tcPr>
          <w:p w:rsidR="00364B18" w:rsidRPr="006C6C6C" w:rsidRDefault="00364B18" w:rsidP="006A76B7">
            <w:pPr>
              <w:jc w:val="right"/>
              <w:rPr>
                <w:sz w:val="22"/>
                <w:szCs w:val="22"/>
              </w:rPr>
            </w:pPr>
            <w:r>
              <w:rPr>
                <w:sz w:val="22"/>
                <w:szCs w:val="22"/>
              </w:rPr>
              <w:t>640</w:t>
            </w:r>
          </w:p>
        </w:tc>
        <w:tc>
          <w:tcPr>
            <w:tcW w:w="2160" w:type="dxa"/>
          </w:tcPr>
          <w:p w:rsidR="00364B18" w:rsidRPr="006C6C6C" w:rsidRDefault="00364B18" w:rsidP="006A76B7">
            <w:pPr>
              <w:jc w:val="right"/>
              <w:rPr>
                <w:sz w:val="22"/>
                <w:szCs w:val="22"/>
              </w:rPr>
            </w:pPr>
            <w:r>
              <w:rPr>
                <w:sz w:val="22"/>
                <w:szCs w:val="22"/>
              </w:rPr>
              <w:t>0.3333</w:t>
            </w:r>
          </w:p>
        </w:tc>
        <w:tc>
          <w:tcPr>
            <w:tcW w:w="1440" w:type="dxa"/>
          </w:tcPr>
          <w:p w:rsidR="00364B18" w:rsidRPr="006C6C6C" w:rsidRDefault="00364B18" w:rsidP="006A76B7">
            <w:pPr>
              <w:jc w:val="right"/>
              <w:rPr>
                <w:sz w:val="22"/>
                <w:szCs w:val="22"/>
              </w:rPr>
            </w:pPr>
            <w:r>
              <w:rPr>
                <w:sz w:val="22"/>
                <w:szCs w:val="22"/>
              </w:rPr>
              <w:t>213.33</w:t>
            </w:r>
          </w:p>
        </w:tc>
        <w:tc>
          <w:tcPr>
            <w:tcW w:w="1350" w:type="dxa"/>
          </w:tcPr>
          <w:p w:rsidR="00364B18" w:rsidRPr="006C6C6C" w:rsidRDefault="00E50DA4" w:rsidP="006A76B7">
            <w:pPr>
              <w:jc w:val="right"/>
              <w:rPr>
                <w:sz w:val="22"/>
                <w:szCs w:val="22"/>
              </w:rPr>
            </w:pPr>
            <w:r>
              <w:rPr>
                <w:sz w:val="22"/>
                <w:szCs w:val="22"/>
              </w:rPr>
              <w:t>0.1670</w:t>
            </w:r>
          </w:p>
        </w:tc>
        <w:tc>
          <w:tcPr>
            <w:tcW w:w="1164" w:type="dxa"/>
          </w:tcPr>
          <w:p w:rsidR="00364B18" w:rsidRPr="006C6C6C" w:rsidRDefault="00364B18" w:rsidP="006A76B7">
            <w:pPr>
              <w:jc w:val="right"/>
              <w:rPr>
                <w:sz w:val="22"/>
                <w:szCs w:val="22"/>
              </w:rPr>
            </w:pPr>
            <w:r>
              <w:rPr>
                <w:sz w:val="22"/>
                <w:szCs w:val="22"/>
              </w:rPr>
              <w:t>35</w:t>
            </w:r>
            <w:r w:rsidR="00F35CD9">
              <w:rPr>
                <w:sz w:val="22"/>
                <w:szCs w:val="22"/>
              </w:rPr>
              <w:t>.</w:t>
            </w:r>
            <w:r>
              <w:rPr>
                <w:sz w:val="22"/>
                <w:szCs w:val="22"/>
              </w:rPr>
              <w:t>63</w:t>
            </w:r>
          </w:p>
        </w:tc>
      </w:tr>
      <w:tr w:rsidR="000F0A24" w:rsidTr="006C6C6C">
        <w:tc>
          <w:tcPr>
            <w:tcW w:w="1260" w:type="dxa"/>
          </w:tcPr>
          <w:p w:rsidR="000F0A24" w:rsidRPr="006C6C6C" w:rsidRDefault="000F0A24" w:rsidP="000A52D9">
            <w:pPr>
              <w:rPr>
                <w:sz w:val="22"/>
                <w:szCs w:val="22"/>
              </w:rPr>
            </w:pPr>
            <w:r w:rsidRPr="006C6C6C">
              <w:rPr>
                <w:sz w:val="22"/>
                <w:szCs w:val="22"/>
              </w:rPr>
              <w:t>Total</w:t>
            </w:r>
          </w:p>
        </w:tc>
        <w:tc>
          <w:tcPr>
            <w:tcW w:w="1800" w:type="dxa"/>
          </w:tcPr>
          <w:p w:rsidR="000F0A24" w:rsidRPr="006C6C6C" w:rsidRDefault="000F0A24" w:rsidP="006A76B7">
            <w:pPr>
              <w:jc w:val="right"/>
              <w:rPr>
                <w:sz w:val="22"/>
                <w:szCs w:val="22"/>
              </w:rPr>
            </w:pPr>
            <w:r w:rsidRPr="006C6C6C">
              <w:rPr>
                <w:sz w:val="22"/>
                <w:szCs w:val="22"/>
              </w:rPr>
              <w:t>--</w:t>
            </w:r>
          </w:p>
        </w:tc>
        <w:tc>
          <w:tcPr>
            <w:tcW w:w="2160" w:type="dxa"/>
          </w:tcPr>
          <w:p w:rsidR="000F0A24" w:rsidRPr="006C6C6C" w:rsidRDefault="000F0A24" w:rsidP="006A76B7">
            <w:pPr>
              <w:jc w:val="right"/>
              <w:rPr>
                <w:sz w:val="22"/>
                <w:szCs w:val="22"/>
              </w:rPr>
            </w:pPr>
            <w:r w:rsidRPr="006C6C6C">
              <w:rPr>
                <w:sz w:val="22"/>
                <w:szCs w:val="22"/>
              </w:rPr>
              <w:t>--</w:t>
            </w:r>
          </w:p>
        </w:tc>
        <w:tc>
          <w:tcPr>
            <w:tcW w:w="1440" w:type="dxa"/>
          </w:tcPr>
          <w:p w:rsidR="000F0A24" w:rsidRPr="006C6C6C" w:rsidRDefault="00F35CD9" w:rsidP="006A76B7">
            <w:pPr>
              <w:jc w:val="right"/>
              <w:rPr>
                <w:sz w:val="22"/>
                <w:szCs w:val="22"/>
              </w:rPr>
            </w:pPr>
            <w:r>
              <w:rPr>
                <w:sz w:val="22"/>
                <w:szCs w:val="22"/>
              </w:rPr>
              <w:t>437</w:t>
            </w:r>
            <w:r w:rsidR="000F0A24" w:rsidRPr="006C6C6C">
              <w:rPr>
                <w:sz w:val="22"/>
                <w:szCs w:val="22"/>
              </w:rPr>
              <w:t>.</w:t>
            </w:r>
            <w:r>
              <w:rPr>
                <w:sz w:val="22"/>
                <w:szCs w:val="22"/>
              </w:rPr>
              <w:t>99</w:t>
            </w:r>
          </w:p>
        </w:tc>
        <w:tc>
          <w:tcPr>
            <w:tcW w:w="1350" w:type="dxa"/>
          </w:tcPr>
          <w:p w:rsidR="000F0A24" w:rsidRPr="006C6C6C" w:rsidRDefault="00C729B4" w:rsidP="006A76B7">
            <w:pPr>
              <w:jc w:val="right"/>
              <w:rPr>
                <w:sz w:val="22"/>
                <w:szCs w:val="22"/>
              </w:rPr>
            </w:pPr>
            <w:r>
              <w:rPr>
                <w:sz w:val="22"/>
                <w:szCs w:val="22"/>
              </w:rPr>
              <w:t>--</w:t>
            </w:r>
          </w:p>
        </w:tc>
        <w:tc>
          <w:tcPr>
            <w:tcW w:w="1164" w:type="dxa"/>
          </w:tcPr>
          <w:p w:rsidR="000F0A24" w:rsidRPr="006C6C6C" w:rsidRDefault="00F122A0" w:rsidP="006A76B7">
            <w:pPr>
              <w:jc w:val="right"/>
              <w:rPr>
                <w:sz w:val="22"/>
                <w:szCs w:val="22"/>
              </w:rPr>
            </w:pPr>
            <w:r>
              <w:rPr>
                <w:sz w:val="22"/>
                <w:szCs w:val="22"/>
              </w:rPr>
              <w:t>107.</w:t>
            </w:r>
            <w:r w:rsidR="00F35CD9">
              <w:rPr>
                <w:sz w:val="22"/>
                <w:szCs w:val="22"/>
              </w:rPr>
              <w:t>34</w:t>
            </w:r>
          </w:p>
        </w:tc>
      </w:tr>
    </w:tbl>
    <w:p w:rsidR="00AE2B0A" w:rsidRDefault="00AE2B0A" w:rsidP="008F06BD"/>
    <w:p w:rsidR="002D00F2" w:rsidRPr="00C9476C" w:rsidRDefault="009D5543" w:rsidP="008F06BD">
      <w:r>
        <w:t>The overall</w:t>
      </w:r>
      <w:r w:rsidR="00B062DC">
        <w:t xml:space="preserve"> burden increase </w:t>
      </w:r>
      <w:r>
        <w:t xml:space="preserve">for these three forms </w:t>
      </w:r>
      <w:r w:rsidR="00B2576C">
        <w:t>is</w:t>
      </w:r>
      <w:r>
        <w:t xml:space="preserve"> 0.37 hours</w:t>
      </w:r>
      <w:r w:rsidR="00B86BA8">
        <w:t>.</w:t>
      </w:r>
    </w:p>
    <w:sectPr w:rsidR="002D00F2" w:rsidRPr="00C9476C" w:rsidSect="001B3367">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6280"/>
    <w:multiLevelType w:val="hybridMultilevel"/>
    <w:tmpl w:val="B6960C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9E364F"/>
    <w:multiLevelType w:val="hybridMultilevel"/>
    <w:tmpl w:val="D1A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A22A1"/>
    <w:multiLevelType w:val="hybridMultilevel"/>
    <w:tmpl w:val="7030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A6BC1"/>
    <w:multiLevelType w:val="hybridMultilevel"/>
    <w:tmpl w:val="2EBC5B72"/>
    <w:lvl w:ilvl="0" w:tplc="B6569F14">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7FCF0D01"/>
    <w:multiLevelType w:val="hybridMultilevel"/>
    <w:tmpl w:val="D1A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8E"/>
    <w:rsid w:val="00035D3E"/>
    <w:rsid w:val="000E68C5"/>
    <w:rsid w:val="000F0A24"/>
    <w:rsid w:val="001515DC"/>
    <w:rsid w:val="001541B9"/>
    <w:rsid w:val="001A22AC"/>
    <w:rsid w:val="001B3367"/>
    <w:rsid w:val="001D6A50"/>
    <w:rsid w:val="00205878"/>
    <w:rsid w:val="0026720B"/>
    <w:rsid w:val="00284DF6"/>
    <w:rsid w:val="002B30A9"/>
    <w:rsid w:val="002D00F2"/>
    <w:rsid w:val="00364B18"/>
    <w:rsid w:val="003B2C70"/>
    <w:rsid w:val="004C1BAF"/>
    <w:rsid w:val="005117ED"/>
    <w:rsid w:val="005C1EA8"/>
    <w:rsid w:val="0069567E"/>
    <w:rsid w:val="006A76B7"/>
    <w:rsid w:val="006C6C6C"/>
    <w:rsid w:val="00705CC0"/>
    <w:rsid w:val="00757B44"/>
    <w:rsid w:val="00766E08"/>
    <w:rsid w:val="007E1DC4"/>
    <w:rsid w:val="008103C7"/>
    <w:rsid w:val="008975EF"/>
    <w:rsid w:val="008F06BD"/>
    <w:rsid w:val="008F4D8E"/>
    <w:rsid w:val="00920933"/>
    <w:rsid w:val="00994B48"/>
    <w:rsid w:val="009B0A84"/>
    <w:rsid w:val="009C6DD6"/>
    <w:rsid w:val="009D5543"/>
    <w:rsid w:val="00A02D78"/>
    <w:rsid w:val="00A7228E"/>
    <w:rsid w:val="00A84CA7"/>
    <w:rsid w:val="00A861FF"/>
    <w:rsid w:val="00AE2B0A"/>
    <w:rsid w:val="00AE4014"/>
    <w:rsid w:val="00B02AF3"/>
    <w:rsid w:val="00B062DC"/>
    <w:rsid w:val="00B2576C"/>
    <w:rsid w:val="00B3643C"/>
    <w:rsid w:val="00B63F6A"/>
    <w:rsid w:val="00B86BA8"/>
    <w:rsid w:val="00BB682B"/>
    <w:rsid w:val="00C729B4"/>
    <w:rsid w:val="00C91A92"/>
    <w:rsid w:val="00C91DDB"/>
    <w:rsid w:val="00C9476C"/>
    <w:rsid w:val="00CA02DB"/>
    <w:rsid w:val="00CC77D8"/>
    <w:rsid w:val="00CD705F"/>
    <w:rsid w:val="00D467B2"/>
    <w:rsid w:val="00E05E09"/>
    <w:rsid w:val="00E1397C"/>
    <w:rsid w:val="00E50DA4"/>
    <w:rsid w:val="00E80DB7"/>
    <w:rsid w:val="00EF35AF"/>
    <w:rsid w:val="00F122A0"/>
    <w:rsid w:val="00F35CD9"/>
    <w:rsid w:val="00FB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14"/>
    <w:pPr>
      <w:widowControl w:val="0"/>
      <w:autoSpaceDE w:val="0"/>
      <w:autoSpaceDN w:val="0"/>
      <w:adjustRightInd w:val="0"/>
      <w:ind w:left="720"/>
      <w:contextualSpacing/>
    </w:pPr>
  </w:style>
  <w:style w:type="table" w:styleId="TableGrid">
    <w:name w:val="Table Grid"/>
    <w:basedOn w:val="TableNormal"/>
    <w:uiPriority w:val="39"/>
    <w:rsid w:val="00AE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14"/>
    <w:pPr>
      <w:widowControl w:val="0"/>
      <w:autoSpaceDE w:val="0"/>
      <w:autoSpaceDN w:val="0"/>
      <w:adjustRightInd w:val="0"/>
      <w:ind w:left="720"/>
      <w:contextualSpacing/>
    </w:pPr>
  </w:style>
  <w:style w:type="table" w:styleId="TableGrid">
    <w:name w:val="Table Grid"/>
    <w:basedOn w:val="TableNormal"/>
    <w:uiPriority w:val="39"/>
    <w:rsid w:val="00AE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4289">
      <w:bodyDiv w:val="1"/>
      <w:marLeft w:val="0"/>
      <w:marRight w:val="0"/>
      <w:marTop w:val="0"/>
      <w:marBottom w:val="0"/>
      <w:divBdr>
        <w:top w:val="none" w:sz="0" w:space="0" w:color="auto"/>
        <w:left w:val="none" w:sz="0" w:space="0" w:color="auto"/>
        <w:bottom w:val="none" w:sz="0" w:space="0" w:color="auto"/>
        <w:right w:val="none" w:sz="0" w:space="0" w:color="auto"/>
      </w:divBdr>
    </w:div>
    <w:div w:id="160315155">
      <w:bodyDiv w:val="1"/>
      <w:marLeft w:val="0"/>
      <w:marRight w:val="0"/>
      <w:marTop w:val="0"/>
      <w:marBottom w:val="0"/>
      <w:divBdr>
        <w:top w:val="none" w:sz="0" w:space="0" w:color="auto"/>
        <w:left w:val="none" w:sz="0" w:space="0" w:color="auto"/>
        <w:bottom w:val="none" w:sz="0" w:space="0" w:color="auto"/>
        <w:right w:val="none" w:sz="0" w:space="0" w:color="auto"/>
      </w:divBdr>
    </w:div>
    <w:div w:id="18021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2018-04-19T15:21:00Z</dcterms:created>
  <dcterms:modified xsi:type="dcterms:W3CDTF">2018-04-19T15:21:00Z</dcterms:modified>
</cp:coreProperties>
</file>