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3076F8E" w14:textId="1B9DADDB" w:rsidR="00593C78" w:rsidRDefault="00593C78">
      <w:pPr>
        <w:spacing w:line="258" w:lineRule="auto"/>
        <w:jc w:val="center"/>
        <w:outlineLvl w:val="0"/>
        <w:rPr>
          <w:b/>
          <w:bCs/>
        </w:rPr>
      </w:pPr>
      <w:bookmarkStart w:id="0" w:name="_GoBack"/>
      <w:bookmarkEnd w:id="0"/>
    </w:p>
    <w:p w14:paraId="4F4F558E" w14:textId="66FB8DB9" w:rsidR="00593C78" w:rsidRDefault="00593C78">
      <w:pPr>
        <w:spacing w:line="258" w:lineRule="auto"/>
        <w:jc w:val="center"/>
        <w:outlineLvl w:val="0"/>
        <w:rPr>
          <w:b/>
          <w:bCs/>
        </w:rPr>
      </w:pPr>
      <w:r>
        <w:rPr>
          <w:b/>
          <w:bCs/>
        </w:rPr>
        <w:t>Department of Commerce</w:t>
      </w:r>
    </w:p>
    <w:p w14:paraId="3192008E" w14:textId="77777777" w:rsidR="00593C78" w:rsidRDefault="00593C78">
      <w:pPr>
        <w:spacing w:line="258" w:lineRule="auto"/>
        <w:jc w:val="center"/>
        <w:outlineLvl w:val="0"/>
        <w:rPr>
          <w:b/>
          <w:bCs/>
        </w:rPr>
      </w:pPr>
      <w:r>
        <w:rPr>
          <w:b/>
          <w:bCs/>
        </w:rPr>
        <w:t>U.S. Census Bureau</w:t>
      </w:r>
    </w:p>
    <w:p w14:paraId="492C1B81" w14:textId="77777777" w:rsidR="00B011D6" w:rsidRDefault="00B011D6">
      <w:pPr>
        <w:spacing w:line="258" w:lineRule="auto"/>
        <w:jc w:val="center"/>
        <w:outlineLvl w:val="0"/>
        <w:rPr>
          <w:b/>
          <w:bCs/>
        </w:rPr>
      </w:pPr>
      <w:r>
        <w:rPr>
          <w:b/>
          <w:bCs/>
        </w:rPr>
        <w:t>OMB Information Collection Request</w:t>
      </w:r>
    </w:p>
    <w:p w14:paraId="3C280E7D" w14:textId="77777777" w:rsidR="00593C78" w:rsidRDefault="00593C78">
      <w:pPr>
        <w:pStyle w:val="Style0"/>
        <w:spacing w:line="258" w:lineRule="auto"/>
        <w:jc w:val="center"/>
        <w:rPr>
          <w:rFonts w:ascii="Times New Roman" w:hAnsi="Times New Roman" w:cs="Times New Roman"/>
          <w:b/>
          <w:bCs/>
        </w:rPr>
      </w:pPr>
      <w:r>
        <w:rPr>
          <w:rFonts w:ascii="Times New Roman" w:hAnsi="Times New Roman" w:cs="Times New Roman"/>
          <w:b/>
          <w:bCs/>
        </w:rPr>
        <w:t>Quarterly Financial Report (QFR) Program</w:t>
      </w:r>
    </w:p>
    <w:p w14:paraId="67C09717" w14:textId="77777777" w:rsidR="00593C78" w:rsidRDefault="00593C78">
      <w:pPr>
        <w:pStyle w:val="Style0"/>
        <w:spacing w:line="258" w:lineRule="auto"/>
        <w:jc w:val="center"/>
        <w:rPr>
          <w:rFonts w:ascii="Times New Roman" w:hAnsi="Times New Roman" w:cs="Times New Roman"/>
          <w:b/>
          <w:bCs/>
          <w:szCs w:val="20"/>
        </w:rPr>
      </w:pPr>
      <w:r>
        <w:rPr>
          <w:rFonts w:ascii="Times New Roman" w:hAnsi="Times New Roman" w:cs="Times New Roman"/>
          <w:b/>
          <w:bCs/>
          <w:szCs w:val="20"/>
        </w:rPr>
        <w:t>OMB Control Number 0607-0432</w:t>
      </w:r>
    </w:p>
    <w:p w14:paraId="62714AB5" w14:textId="77777777" w:rsidR="00593C78" w:rsidRDefault="00593C78">
      <w:pPr>
        <w:pStyle w:val="Style0"/>
        <w:spacing w:line="258" w:lineRule="auto"/>
        <w:jc w:val="center"/>
        <w:rPr>
          <w:rFonts w:ascii="Times New Roman" w:hAnsi="Times New Roman" w:cs="Times New Roman"/>
          <w:b/>
          <w:bCs/>
          <w:szCs w:val="20"/>
        </w:rPr>
      </w:pPr>
    </w:p>
    <w:p w14:paraId="2F4BFD89" w14:textId="77777777" w:rsidR="00593C78" w:rsidRDefault="00593C78">
      <w:pPr>
        <w:pStyle w:val="Style0"/>
        <w:spacing w:line="258" w:lineRule="auto"/>
        <w:rPr>
          <w:rFonts w:ascii="CG Times" w:hAnsi="CG Times" w:cs="Times New Roman"/>
          <w:b/>
          <w:bCs/>
          <w:sz w:val="20"/>
          <w:szCs w:val="20"/>
        </w:rPr>
      </w:pPr>
    </w:p>
    <w:p w14:paraId="114A4D4F" w14:textId="77777777" w:rsidR="00593C78" w:rsidRDefault="00593C78" w:rsidP="0030620E">
      <w:pPr>
        <w:pStyle w:val="Style0"/>
        <w:numPr>
          <w:ilvl w:val="0"/>
          <w:numId w:val="2"/>
        </w:numPr>
        <w:tabs>
          <w:tab w:val="clear" w:pos="1080"/>
          <w:tab w:val="num" w:pos="700"/>
        </w:tabs>
        <w:spacing w:line="258" w:lineRule="auto"/>
        <w:rPr>
          <w:rFonts w:ascii="Times New Roman" w:hAnsi="Times New Roman" w:cs="Times New Roman"/>
          <w:b/>
          <w:bCs/>
          <w:u w:val="single"/>
        </w:rPr>
      </w:pPr>
      <w:r>
        <w:rPr>
          <w:rFonts w:ascii="Times New Roman" w:hAnsi="Times New Roman" w:cs="Times New Roman"/>
          <w:b/>
          <w:bCs/>
          <w:u w:val="single"/>
        </w:rPr>
        <w:t>Justification</w:t>
      </w:r>
    </w:p>
    <w:p w14:paraId="6A848FB0" w14:textId="77777777" w:rsidR="00593C78" w:rsidRDefault="00593C78">
      <w:pPr>
        <w:pStyle w:val="Style0"/>
        <w:spacing w:line="258" w:lineRule="auto"/>
        <w:ind w:left="360"/>
        <w:rPr>
          <w:rFonts w:ascii="Times New Roman" w:hAnsi="Times New Roman" w:cs="Times New Roman"/>
          <w:b/>
          <w:bCs/>
          <w:u w:val="single"/>
        </w:rPr>
      </w:pPr>
    </w:p>
    <w:p w14:paraId="7A89316B" w14:textId="77777777" w:rsidR="00593C78" w:rsidRDefault="00593C78">
      <w:pPr>
        <w:pStyle w:val="Style0"/>
        <w:tabs>
          <w:tab w:val="left" w:pos="1080"/>
        </w:tabs>
        <w:spacing w:line="258" w:lineRule="auto"/>
        <w:ind w:firstLine="720"/>
        <w:rPr>
          <w:rFonts w:ascii="CG Times" w:hAnsi="CG Times" w:cs="Times New Roman"/>
        </w:rPr>
      </w:pPr>
      <w:r>
        <w:rPr>
          <w:rFonts w:ascii="Times New Roman" w:hAnsi="Times New Roman" w:cs="Times New Roman"/>
          <w:b/>
          <w:bCs/>
        </w:rPr>
        <w:t>1.</w:t>
      </w:r>
      <w:r>
        <w:rPr>
          <w:rFonts w:ascii="Times New Roman" w:hAnsi="Times New Roman" w:cs="Times New Roman"/>
          <w:b/>
          <w:bCs/>
        </w:rPr>
        <w:tab/>
      </w:r>
      <w:r>
        <w:rPr>
          <w:rFonts w:ascii="Times New Roman" w:hAnsi="Times New Roman" w:cs="Times New Roman"/>
          <w:b/>
          <w:bCs/>
          <w:u w:val="single"/>
        </w:rPr>
        <w:t>Necessity of the Information Collection</w:t>
      </w:r>
    </w:p>
    <w:p w14:paraId="7C39D7F1" w14:textId="77777777" w:rsidR="00593C78" w:rsidRDefault="00593C78">
      <w:pPr>
        <w:pStyle w:val="Style0"/>
        <w:spacing w:line="258" w:lineRule="auto"/>
        <w:rPr>
          <w:rFonts w:ascii="CG Times" w:hAnsi="CG Times" w:cs="Times New Roman"/>
        </w:rPr>
      </w:pPr>
    </w:p>
    <w:p w14:paraId="521E4557" w14:textId="465CE755" w:rsidR="00593C78" w:rsidRPr="009F0136" w:rsidRDefault="00593C78">
      <w:pPr>
        <w:pStyle w:val="Style0"/>
        <w:tabs>
          <w:tab w:val="left" w:pos="0"/>
          <w:tab w:val="left" w:pos="417"/>
          <w:tab w:val="left" w:pos="720"/>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720"/>
        <w:rPr>
          <w:rFonts w:ascii="Times New Roman" w:hAnsi="Times New Roman" w:cs="Times New Roman"/>
        </w:rPr>
      </w:pPr>
      <w:r>
        <w:rPr>
          <w:rFonts w:ascii="Times New Roman" w:hAnsi="Times New Roman" w:cs="Times New Roman"/>
        </w:rPr>
        <w:t xml:space="preserve">The QFR program has published up-to-date aggregate statistics on the financial results </w:t>
      </w:r>
      <w:r w:rsidRPr="0079369E">
        <w:rPr>
          <w:rFonts w:ascii="Times New Roman" w:hAnsi="Times New Roman" w:cs="Times New Roman"/>
        </w:rPr>
        <w:t xml:space="preserve">and position of U.S. corporations since 1947.  The program currently collects and publishes financial data for </w:t>
      </w:r>
      <w:r w:rsidR="009C076D" w:rsidRPr="0079369E">
        <w:rPr>
          <w:rFonts w:ascii="Times New Roman" w:hAnsi="Times New Roman" w:cs="Times New Roman"/>
        </w:rPr>
        <w:t xml:space="preserve">the </w:t>
      </w:r>
      <w:r w:rsidRPr="0079369E">
        <w:rPr>
          <w:rFonts w:ascii="Times New Roman" w:hAnsi="Times New Roman" w:cs="Times New Roman"/>
        </w:rPr>
        <w:t xml:space="preserve">manufacturing, mining, wholesale </w:t>
      </w:r>
      <w:r w:rsidR="002E5575" w:rsidRPr="0079369E">
        <w:rPr>
          <w:rFonts w:ascii="Times New Roman" w:hAnsi="Times New Roman" w:cs="Times New Roman"/>
        </w:rPr>
        <w:t xml:space="preserve">trade, </w:t>
      </w:r>
      <w:r w:rsidRPr="0079369E">
        <w:rPr>
          <w:rFonts w:ascii="Times New Roman" w:hAnsi="Times New Roman" w:cs="Times New Roman"/>
        </w:rPr>
        <w:t>retail trade</w:t>
      </w:r>
      <w:r w:rsidR="002E5575" w:rsidRPr="0079369E">
        <w:rPr>
          <w:rFonts w:ascii="Times New Roman" w:hAnsi="Times New Roman" w:cs="Times New Roman"/>
        </w:rPr>
        <w:t xml:space="preserve">, information, and professional, </w:t>
      </w:r>
      <w:r w:rsidR="00175FA2" w:rsidRPr="0079369E">
        <w:rPr>
          <w:rFonts w:ascii="Times New Roman" w:hAnsi="Times New Roman" w:cs="Times New Roman"/>
        </w:rPr>
        <w:t>s</w:t>
      </w:r>
      <w:r w:rsidR="002E5575" w:rsidRPr="0079369E">
        <w:rPr>
          <w:rFonts w:ascii="Times New Roman" w:hAnsi="Times New Roman" w:cs="Times New Roman"/>
        </w:rPr>
        <w:t>cientific, and technical service</w:t>
      </w:r>
      <w:r w:rsidR="00BB779D" w:rsidRPr="0079369E">
        <w:rPr>
          <w:rFonts w:ascii="Times New Roman" w:hAnsi="Times New Roman" w:cs="Times New Roman"/>
        </w:rPr>
        <w:t>s</w:t>
      </w:r>
      <w:r w:rsidR="002E5575" w:rsidRPr="0079369E">
        <w:rPr>
          <w:rFonts w:ascii="Times New Roman" w:hAnsi="Times New Roman" w:cs="Times New Roman"/>
        </w:rPr>
        <w:t xml:space="preserve"> (except legal) sectors. </w:t>
      </w:r>
      <w:r w:rsidRPr="0079369E">
        <w:rPr>
          <w:rFonts w:ascii="Times New Roman" w:hAnsi="Times New Roman" w:cs="Times New Roman"/>
        </w:rPr>
        <w:t xml:space="preserve"> The survey is a principal economic indicator that provides financial data essential to calculation of key U.S. government measures of national economic performance.  The importance of this data collection is reflected by the granting of specific authority to conduct the program in Title 13 of the United States Code, Section 91, which requires</w:t>
      </w:r>
      <w:r>
        <w:rPr>
          <w:rFonts w:ascii="Times New Roman" w:hAnsi="Times New Roman" w:cs="Times New Roman"/>
        </w:rPr>
        <w:t xml:space="preserve"> that financial statistics of business operations be collected and published quarterly.  Public Law </w:t>
      </w:r>
      <w:r w:rsidR="006051BD" w:rsidRPr="009622E5">
        <w:rPr>
          <w:rFonts w:ascii="Times New Roman" w:hAnsi="Times New Roman" w:cs="Times New Roman"/>
        </w:rPr>
        <w:t>114-72</w:t>
      </w:r>
      <w:r>
        <w:rPr>
          <w:rFonts w:ascii="Times New Roman" w:hAnsi="Times New Roman" w:cs="Times New Roman"/>
        </w:rPr>
        <w:t xml:space="preserve">, Section </w:t>
      </w:r>
      <w:r w:rsidR="00694200">
        <w:rPr>
          <w:rFonts w:ascii="Times New Roman" w:hAnsi="Times New Roman" w:cs="Times New Roman"/>
        </w:rPr>
        <w:t>2</w:t>
      </w:r>
      <w:r>
        <w:rPr>
          <w:rFonts w:ascii="Times New Roman" w:hAnsi="Times New Roman" w:cs="Times New Roman"/>
        </w:rPr>
        <w:t xml:space="preserve"> extended the authority of the Secretary of Commerce to conduct the QFR program through September 30, 20</w:t>
      </w:r>
      <w:r w:rsidR="006051BD" w:rsidRPr="00694200">
        <w:rPr>
          <w:rFonts w:ascii="Times New Roman" w:hAnsi="Times New Roman" w:cs="Times New Roman"/>
        </w:rPr>
        <w:t>30</w:t>
      </w:r>
      <w:r>
        <w:rPr>
          <w:rFonts w:ascii="Times New Roman" w:hAnsi="Times New Roman" w:cs="Times New Roman"/>
        </w:rPr>
        <w:t>.</w:t>
      </w:r>
      <w:r w:rsidR="00AB37A2">
        <w:rPr>
          <w:rFonts w:ascii="Times New Roman" w:hAnsi="Times New Roman" w:cs="Times New Roman"/>
        </w:rPr>
        <w:t xml:space="preserve">  </w:t>
      </w:r>
    </w:p>
    <w:p w14:paraId="78892B79" w14:textId="77777777" w:rsidR="00D013A7" w:rsidRDefault="00D013A7" w:rsidP="00623E68">
      <w:pPr>
        <w:pStyle w:val="Style0"/>
        <w:tabs>
          <w:tab w:val="left" w:pos="0"/>
          <w:tab w:val="left" w:pos="417"/>
          <w:tab w:val="left" w:pos="720"/>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720"/>
        <w:rPr>
          <w:rFonts w:ascii="Times New Roman" w:hAnsi="Times New Roman" w:cs="Times New Roman"/>
        </w:rPr>
      </w:pPr>
    </w:p>
    <w:p w14:paraId="4155B133" w14:textId="77777777" w:rsidR="00593C78" w:rsidRDefault="00593C78">
      <w:pPr>
        <w:pStyle w:val="Style0"/>
        <w:tabs>
          <w:tab w:val="left" w:pos="0"/>
          <w:tab w:val="left" w:pos="417"/>
          <w:tab w:val="left" w:pos="720"/>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720"/>
        <w:rPr>
          <w:rFonts w:ascii="Times New Roman" w:hAnsi="Times New Roman" w:cs="Times New Roman"/>
        </w:rPr>
      </w:pPr>
      <w:r>
        <w:rPr>
          <w:rFonts w:ascii="Times New Roman" w:hAnsi="Times New Roman" w:cs="Times New Roman"/>
        </w:rPr>
        <w:t xml:space="preserve">The survey forms used to conduct the QFR are: QFR-200 (MT) Long Form (manufacturing, mining, wholesale trade, and retail trade); QFR-201 (MG) Short Form (manufacturing); and </w:t>
      </w:r>
      <w:r w:rsidR="002F5A20">
        <w:rPr>
          <w:rFonts w:ascii="Times New Roman" w:hAnsi="Times New Roman" w:cs="Times New Roman"/>
        </w:rPr>
        <w:t>the</w:t>
      </w:r>
      <w:r>
        <w:rPr>
          <w:rFonts w:ascii="Times New Roman" w:hAnsi="Times New Roman" w:cs="Times New Roman"/>
        </w:rPr>
        <w:t xml:space="preserve"> QFR-300 (S) Long Form (services). </w:t>
      </w:r>
    </w:p>
    <w:p w14:paraId="68F9DA29" w14:textId="77777777" w:rsidR="005E2C2D" w:rsidRDefault="005E2C2D">
      <w:pPr>
        <w:pStyle w:val="Style0"/>
        <w:tabs>
          <w:tab w:val="left" w:pos="0"/>
          <w:tab w:val="left" w:pos="417"/>
          <w:tab w:val="left" w:pos="835"/>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834"/>
        <w:rPr>
          <w:rFonts w:ascii="Times New Roman" w:hAnsi="Times New Roman" w:cs="Times New Roman"/>
        </w:rPr>
      </w:pPr>
    </w:p>
    <w:p w14:paraId="54334C75" w14:textId="77777777" w:rsidR="00593C78" w:rsidRDefault="00593C78" w:rsidP="0030620E">
      <w:pPr>
        <w:pStyle w:val="Style0"/>
        <w:numPr>
          <w:ilvl w:val="0"/>
          <w:numId w:val="12"/>
        </w:numPr>
        <w:tabs>
          <w:tab w:val="clear" w:pos="1245"/>
          <w:tab w:val="left" w:pos="0"/>
          <w:tab w:val="left" w:pos="417"/>
          <w:tab w:val="num" w:pos="710"/>
          <w:tab w:val="left" w:pos="835"/>
          <w:tab w:val="left" w:pos="1080"/>
          <w:tab w:val="left" w:pos="144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left="720" w:firstLine="0"/>
        <w:outlineLvl w:val="0"/>
        <w:rPr>
          <w:rFonts w:ascii="Times New Roman" w:hAnsi="Times New Roman" w:cs="Times New Roman"/>
          <w:b/>
          <w:bCs/>
          <w:u w:val="single"/>
        </w:rPr>
      </w:pPr>
      <w:r>
        <w:rPr>
          <w:rFonts w:ascii="Times New Roman" w:hAnsi="Times New Roman" w:cs="Times New Roman"/>
          <w:b/>
          <w:bCs/>
          <w:u w:val="single"/>
        </w:rPr>
        <w:t>Needs and Uses</w:t>
      </w:r>
    </w:p>
    <w:p w14:paraId="4F08FE1E" w14:textId="77777777" w:rsidR="00593C78" w:rsidRDefault="00593C78">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outlineLvl w:val="0"/>
        <w:rPr>
          <w:rFonts w:ascii="CG Times" w:hAnsi="CG Times" w:cs="Times New Roman"/>
        </w:rPr>
      </w:pPr>
    </w:p>
    <w:p w14:paraId="2709A808" w14:textId="77777777" w:rsidR="00593C78" w:rsidRDefault="00593C78">
      <w:pPr>
        <w:pStyle w:val="Style0"/>
        <w:tabs>
          <w:tab w:val="left" w:pos="0"/>
          <w:tab w:val="left" w:pos="417"/>
          <w:tab w:val="left" w:pos="720"/>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720"/>
        <w:rPr>
          <w:rFonts w:ascii="Times New Roman" w:hAnsi="Times New Roman" w:cs="Times New Roman"/>
        </w:rPr>
      </w:pPr>
      <w:r>
        <w:rPr>
          <w:rFonts w:ascii="Times New Roman" w:hAnsi="Times New Roman" w:cs="Times New Roman"/>
        </w:rPr>
        <w:t xml:space="preserve">The primary purpose of the QFR is to provide timely, accurate data on business financial conditions for use by Government and private-sector organizations and individuals. The primary public users are listed below.  These same organizations play a major role in providing guidance, advice, and support to the QFR program.  The primary private-sector data users are a diverse group including universities, financial analysts, unions, trade associations, public libraries, banking institutions, and U.S. and foreign corporations. </w:t>
      </w:r>
    </w:p>
    <w:p w14:paraId="387FFA4C" w14:textId="77777777" w:rsidR="00593C78" w:rsidRDefault="00593C78">
      <w:pPr>
        <w:pStyle w:val="Style0"/>
        <w:tabs>
          <w:tab w:val="left" w:pos="0"/>
          <w:tab w:val="left" w:pos="417"/>
          <w:tab w:val="left" w:pos="835"/>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834"/>
        <w:rPr>
          <w:rFonts w:ascii="Times New Roman" w:hAnsi="Times New Roman" w:cs="Times New Roman"/>
        </w:rPr>
      </w:pPr>
    </w:p>
    <w:p w14:paraId="20B202B6" w14:textId="77777777" w:rsidR="00593C78" w:rsidRDefault="00593C78">
      <w:pPr>
        <w:pStyle w:val="Style0"/>
        <w:tabs>
          <w:tab w:val="left" w:pos="0"/>
          <w:tab w:val="left" w:pos="417"/>
          <w:tab w:val="left" w:pos="720"/>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720"/>
        <w:rPr>
          <w:rFonts w:ascii="Times New Roman" w:hAnsi="Times New Roman" w:cs="Times New Roman"/>
        </w:rPr>
      </w:pPr>
      <w:r>
        <w:rPr>
          <w:rFonts w:ascii="Times New Roman" w:hAnsi="Times New Roman" w:cs="Times New Roman"/>
        </w:rPr>
        <w:t>The following is a listing of key governmental users and short descriptions of their respective uses of the QFR data:</w:t>
      </w:r>
    </w:p>
    <w:p w14:paraId="681ED66F" w14:textId="77777777" w:rsidR="00593C78" w:rsidRDefault="00593C78">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rPr>
          <w:rFonts w:ascii="Times New Roman" w:hAnsi="Times New Roman" w:cs="Times New Roman"/>
        </w:rPr>
      </w:pPr>
    </w:p>
    <w:p w14:paraId="021543C2" w14:textId="77777777" w:rsidR="00593C78" w:rsidRDefault="00593C78">
      <w:pPr>
        <w:tabs>
          <w:tab w:val="left" w:pos="0"/>
          <w:tab w:val="left" w:pos="417"/>
          <w:tab w:val="left" w:pos="720"/>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left="835" w:hanging="835"/>
        <w:rPr>
          <w:rFonts w:ascii="CG Times" w:hAnsi="CG Times"/>
        </w:rPr>
      </w:pPr>
      <w:r>
        <w:tab/>
      </w:r>
      <w:r>
        <w:tab/>
        <w:t>•</w:t>
      </w:r>
      <w:r>
        <w:tab/>
      </w:r>
      <w:r>
        <w:tab/>
      </w:r>
      <w:r>
        <w:rPr>
          <w:b/>
          <w:bCs/>
          <w:u w:val="single"/>
        </w:rPr>
        <w:t>Bureau of Economic Analysis (BEA)</w:t>
      </w:r>
    </w:p>
    <w:p w14:paraId="04D51E61" w14:textId="77777777" w:rsidR="00593C78" w:rsidRDefault="00593C78">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rPr>
          <w:rFonts w:ascii="CG Times" w:hAnsi="CG Times" w:cs="Times New Roman"/>
        </w:rPr>
      </w:pPr>
    </w:p>
    <w:p w14:paraId="7EFB2BDB" w14:textId="77777777" w:rsidR="00593C78" w:rsidRDefault="00593C78">
      <w:pPr>
        <w:pStyle w:val="Style0"/>
        <w:tabs>
          <w:tab w:val="left" w:pos="-416"/>
          <w:tab w:val="left" w:pos="-1"/>
          <w:tab w:val="left" w:pos="418"/>
          <w:tab w:val="left" w:pos="1260"/>
          <w:tab w:val="left" w:pos="1670"/>
          <w:tab w:val="left" w:pos="2346"/>
          <w:tab w:val="left" w:pos="3066"/>
          <w:tab w:val="left" w:pos="3786"/>
          <w:tab w:val="left" w:pos="4506"/>
          <w:tab w:val="left" w:pos="5226"/>
          <w:tab w:val="left" w:pos="5946"/>
          <w:tab w:val="left" w:pos="6666"/>
          <w:tab w:val="left" w:pos="7386"/>
          <w:tab w:val="left" w:pos="8106"/>
          <w:tab w:val="left" w:pos="8826"/>
          <w:tab w:val="left" w:pos="9546"/>
          <w:tab w:val="left" w:pos="10078"/>
          <w:tab w:val="left" w:pos="10798"/>
        </w:tabs>
        <w:spacing w:line="258" w:lineRule="auto"/>
        <w:ind w:left="1260"/>
        <w:rPr>
          <w:rFonts w:ascii="Times New Roman" w:hAnsi="Times New Roman" w:cs="Times New Roman"/>
        </w:rPr>
      </w:pPr>
      <w:r>
        <w:rPr>
          <w:rFonts w:ascii="Times New Roman" w:hAnsi="Times New Roman" w:cs="Times New Roman"/>
        </w:rPr>
        <w:t xml:space="preserve">The BEA uses QFR data as a primary source for current estimates of corporate profits, taxes, and dividends for the quarterly estimates of the Gross Domestic Income (GDI), a component of the National Income and Product Accounts (NIPA).  Reports emanating from these measures are used widely by the public and private sectors.  The GDI estimate, which must balance with the estimate of GDP, is critical </w:t>
      </w:r>
      <w:r>
        <w:rPr>
          <w:rFonts w:ascii="Times New Roman" w:hAnsi="Times New Roman" w:cs="Times New Roman"/>
        </w:rPr>
        <w:lastRenderedPageBreak/>
        <w:t>to economic policymaking.  In addition, QFR data are merged into BEA's database and used as a business cycle indicator in the "Survey of Current Business."</w:t>
      </w:r>
    </w:p>
    <w:p w14:paraId="04CE5F5F" w14:textId="77777777" w:rsidR="00593C78" w:rsidRDefault="00593C78">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C2D7C93" w14:textId="77777777" w:rsidR="00593C78" w:rsidRDefault="00593C78">
      <w:pPr>
        <w:pStyle w:val="Style0"/>
        <w:tabs>
          <w:tab w:val="left" w:pos="-416"/>
          <w:tab w:val="left" w:pos="-1"/>
          <w:tab w:val="left" w:pos="418"/>
          <w:tab w:val="left" w:pos="720"/>
          <w:tab w:val="left" w:pos="1260"/>
          <w:tab w:val="left" w:pos="1670"/>
          <w:tab w:val="left" w:pos="2346"/>
          <w:tab w:val="left" w:pos="3066"/>
          <w:tab w:val="left" w:pos="3786"/>
          <w:tab w:val="left" w:pos="4506"/>
          <w:tab w:val="left" w:pos="5226"/>
          <w:tab w:val="left" w:pos="5946"/>
          <w:tab w:val="left" w:pos="6666"/>
          <w:tab w:val="left" w:pos="7386"/>
          <w:tab w:val="left" w:pos="8106"/>
          <w:tab w:val="left" w:pos="8826"/>
          <w:tab w:val="left" w:pos="9546"/>
          <w:tab w:val="left" w:pos="10078"/>
          <w:tab w:val="left" w:pos="10798"/>
        </w:tabs>
        <w:spacing w:line="258" w:lineRule="auto"/>
        <w:ind w:left="1260" w:hanging="1260"/>
        <w:rPr>
          <w:rFonts w:ascii="Times New Roman" w:hAnsi="Times New Roman" w:cs="Times New Roman"/>
        </w:rPr>
      </w:pP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r>
        <w:rPr>
          <w:rFonts w:ascii="Times New Roman" w:hAnsi="Times New Roman" w:cs="Times New Roman"/>
          <w:b/>
          <w:bCs/>
          <w:u w:val="single"/>
        </w:rPr>
        <w:t>Federal Reserve Board (FRB)</w:t>
      </w:r>
    </w:p>
    <w:p w14:paraId="78111506" w14:textId="77777777" w:rsidR="00593C78" w:rsidRDefault="00593C78">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rPr>
          <w:rFonts w:ascii="Times New Roman" w:hAnsi="Times New Roman" w:cs="Times New Roman"/>
        </w:rPr>
      </w:pPr>
    </w:p>
    <w:p w14:paraId="426090AC" w14:textId="77777777" w:rsidR="00593C78" w:rsidRDefault="00593C78">
      <w:pPr>
        <w:pStyle w:val="Style0"/>
        <w:tabs>
          <w:tab w:val="left" w:pos="418"/>
          <w:tab w:val="left" w:pos="835"/>
          <w:tab w:val="left" w:pos="1252"/>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78"/>
          <w:tab w:val="left" w:pos="10798"/>
        </w:tabs>
        <w:spacing w:line="258" w:lineRule="auto"/>
        <w:ind w:left="1260"/>
        <w:rPr>
          <w:rFonts w:ascii="Times New Roman" w:hAnsi="Times New Roman" w:cs="Times New Roman"/>
        </w:rPr>
      </w:pPr>
      <w:r>
        <w:rPr>
          <w:rFonts w:ascii="Times New Roman" w:hAnsi="Times New Roman" w:cs="Times New Roman"/>
          <w:szCs w:val="20"/>
        </w:rPr>
        <w:t xml:space="preserve">The FRB uses QFR data as a major building block of the FRB’s Flow of Funds accounts and its sole source of consolidated nonfinancial corporate data.  The FRB uses QFR data in briefings on conditions of financial markets in various sectors of the economy; to provide current insight into sector borrowing changes; and as a primary input to econometrics models for industry and size analysis of corporate finance. </w:t>
      </w:r>
      <w:r>
        <w:rPr>
          <w:rFonts w:ascii="Times New Roman" w:hAnsi="Times New Roman" w:cs="Times New Roman"/>
        </w:rPr>
        <w:t>FRB reports are used widely by the Executive and Legislative Branches for economic policymaking.  In addition, the FRB "Bulletin" regularly publishes data derived from the QFR.</w:t>
      </w:r>
    </w:p>
    <w:p w14:paraId="0D9AFC51" w14:textId="77777777" w:rsidR="00593C78" w:rsidRDefault="00593C78">
      <w:pPr>
        <w:pStyle w:val="Style0"/>
        <w:tabs>
          <w:tab w:val="left" w:pos="-416"/>
          <w:tab w:val="left" w:pos="-1"/>
          <w:tab w:val="left" w:pos="418"/>
          <w:tab w:val="left" w:pos="835"/>
          <w:tab w:val="left" w:pos="1252"/>
          <w:tab w:val="left" w:pos="1670"/>
          <w:tab w:val="left" w:pos="2346"/>
          <w:tab w:val="left" w:pos="3066"/>
          <w:tab w:val="left" w:pos="3786"/>
          <w:tab w:val="left" w:pos="4506"/>
          <w:tab w:val="left" w:pos="5226"/>
          <w:tab w:val="left" w:pos="5946"/>
          <w:tab w:val="left" w:pos="6666"/>
          <w:tab w:val="left" w:pos="7386"/>
          <w:tab w:val="left" w:pos="8106"/>
          <w:tab w:val="left" w:pos="8826"/>
          <w:tab w:val="left" w:pos="9546"/>
          <w:tab w:val="left" w:pos="10078"/>
          <w:tab w:val="left" w:pos="10798"/>
        </w:tabs>
        <w:spacing w:line="258" w:lineRule="auto"/>
        <w:ind w:left="1250"/>
        <w:rPr>
          <w:rFonts w:ascii="Times New Roman" w:hAnsi="Times New Roman" w:cs="Times New Roman"/>
        </w:rPr>
      </w:pPr>
    </w:p>
    <w:p w14:paraId="0DCE5D23" w14:textId="77777777" w:rsidR="00593C78" w:rsidRDefault="00593C78">
      <w:pPr>
        <w:pStyle w:val="Style0"/>
        <w:tabs>
          <w:tab w:val="left" w:pos="0"/>
          <w:tab w:val="left" w:pos="417"/>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left="720" w:hanging="360"/>
        <w:rPr>
          <w:rFonts w:ascii="Times New Roman" w:hAnsi="Times New Roman" w:cs="Times New Roman"/>
          <w:b/>
          <w:bCs/>
          <w:u w:val="single"/>
        </w:rPr>
      </w:pP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r>
        <w:rPr>
          <w:rFonts w:ascii="Times New Roman" w:hAnsi="Times New Roman" w:cs="Times New Roman"/>
          <w:b/>
          <w:bCs/>
          <w:u w:val="single"/>
        </w:rPr>
        <w:t>Federal Trade Commission (FTC)</w:t>
      </w:r>
    </w:p>
    <w:p w14:paraId="40D7B38C" w14:textId="77777777" w:rsidR="00593C78" w:rsidRDefault="00593C78">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left="1195"/>
        <w:rPr>
          <w:rFonts w:ascii="Times New Roman" w:hAnsi="Times New Roman" w:cs="Times New Roman"/>
        </w:rPr>
      </w:pPr>
    </w:p>
    <w:p w14:paraId="2E0FE5AA" w14:textId="77777777" w:rsidR="00593C78" w:rsidRDefault="00593C78">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left="1251"/>
        <w:rPr>
          <w:rFonts w:ascii="Times New Roman" w:hAnsi="Times New Roman" w:cs="Times New Roman"/>
        </w:rPr>
      </w:pPr>
      <w:r>
        <w:rPr>
          <w:rFonts w:ascii="Times New Roman" w:hAnsi="Times New Roman" w:cs="Times New Roman"/>
        </w:rPr>
        <w:t xml:space="preserve">The FTC uses QFR data to study the impact and extent of ownership concentration in the manufacturing sector. </w:t>
      </w:r>
    </w:p>
    <w:p w14:paraId="32EA8280" w14:textId="77777777" w:rsidR="00593C78" w:rsidRDefault="00593C78">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left="1251"/>
        <w:rPr>
          <w:rFonts w:ascii="Times New Roman" w:hAnsi="Times New Roman" w:cs="Times New Roman"/>
        </w:rPr>
      </w:pPr>
    </w:p>
    <w:p w14:paraId="699D36DF" w14:textId="77777777" w:rsidR="00593C78" w:rsidRDefault="00593C78">
      <w:pPr>
        <w:pStyle w:val="Style0"/>
        <w:tabs>
          <w:tab w:val="left" w:pos="417"/>
          <w:tab w:val="left" w:pos="720"/>
          <w:tab w:val="left" w:pos="835"/>
          <w:tab w:val="left" w:pos="126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left="720"/>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b/>
          <w:bCs/>
          <w:u w:val="single"/>
        </w:rPr>
        <w:t>Small Business Administration</w:t>
      </w:r>
      <w:r w:rsidR="0030620E">
        <w:rPr>
          <w:rFonts w:ascii="Times New Roman" w:hAnsi="Times New Roman" w:cs="Times New Roman"/>
          <w:b/>
          <w:bCs/>
          <w:u w:val="single"/>
        </w:rPr>
        <w:t xml:space="preserve"> (SBA)</w:t>
      </w:r>
    </w:p>
    <w:p w14:paraId="4F4F0910" w14:textId="77777777" w:rsidR="00593C78" w:rsidRDefault="00593C78">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rPr>
          <w:rFonts w:ascii="Times New Roman" w:hAnsi="Times New Roman" w:cs="Times New Roman"/>
        </w:rPr>
      </w:pPr>
    </w:p>
    <w:p w14:paraId="261B94EA" w14:textId="77777777" w:rsidR="00593C78" w:rsidRDefault="00593C78">
      <w:pPr>
        <w:pStyle w:val="Style0"/>
        <w:tabs>
          <w:tab w:val="left" w:pos="-416"/>
          <w:tab w:val="left" w:pos="-1"/>
          <w:tab w:val="left" w:pos="418"/>
          <w:tab w:val="left" w:pos="835"/>
          <w:tab w:val="left" w:pos="1252"/>
          <w:tab w:val="left" w:pos="1670"/>
          <w:tab w:val="left" w:pos="2346"/>
          <w:tab w:val="left" w:pos="3066"/>
          <w:tab w:val="left" w:pos="3786"/>
          <w:tab w:val="left" w:pos="4506"/>
          <w:tab w:val="left" w:pos="5226"/>
          <w:tab w:val="left" w:pos="5946"/>
          <w:tab w:val="left" w:pos="6666"/>
          <w:tab w:val="left" w:pos="7386"/>
          <w:tab w:val="left" w:pos="8106"/>
          <w:tab w:val="left" w:pos="8826"/>
          <w:tab w:val="left" w:pos="9546"/>
          <w:tab w:val="left" w:pos="10078"/>
          <w:tab w:val="left" w:pos="10798"/>
        </w:tabs>
        <w:spacing w:line="258" w:lineRule="auto"/>
        <w:ind w:left="1250"/>
        <w:rPr>
          <w:rFonts w:ascii="Times New Roman" w:hAnsi="Times New Roman" w:cs="Times New Roman"/>
        </w:rPr>
      </w:pPr>
      <w:r>
        <w:rPr>
          <w:rFonts w:ascii="Times New Roman" w:hAnsi="Times New Roman" w:cs="Times New Roman"/>
        </w:rPr>
        <w:t>The SBA uses QFR data to trace the financial performance of small businesses, and analyze and prepare reports for use in loan policy, Congressional testimony, and advice to the administration on small versus large company performance.</w:t>
      </w:r>
    </w:p>
    <w:p w14:paraId="0B2C9048" w14:textId="77777777" w:rsidR="00593C78" w:rsidRDefault="00593C78">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rPr>
          <w:rFonts w:ascii="Times New Roman" w:hAnsi="Times New Roman" w:cs="Times New Roman"/>
        </w:rPr>
      </w:pPr>
    </w:p>
    <w:p w14:paraId="47A7C145" w14:textId="77777777" w:rsidR="00593C78" w:rsidRDefault="00593C78">
      <w:pPr>
        <w:pStyle w:val="Style0"/>
        <w:tabs>
          <w:tab w:val="left" w:pos="417"/>
          <w:tab w:val="left" w:pos="126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firstLine="720"/>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b/>
          <w:bCs/>
          <w:u w:val="single"/>
        </w:rPr>
        <w:t>U.S. Treasury-Office of Tax Analysis</w:t>
      </w:r>
    </w:p>
    <w:p w14:paraId="09AE46DE" w14:textId="77777777" w:rsidR="00593C78" w:rsidRDefault="00593C78">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rPr>
          <w:rFonts w:ascii="Times New Roman" w:hAnsi="Times New Roman" w:cs="Times New Roman"/>
        </w:rPr>
      </w:pPr>
    </w:p>
    <w:p w14:paraId="7DE15B1B" w14:textId="5E043974" w:rsidR="00593C78" w:rsidRDefault="00593C78">
      <w:pPr>
        <w:pStyle w:val="Style0"/>
        <w:tabs>
          <w:tab w:val="left" w:pos="-416"/>
          <w:tab w:val="left" w:pos="-1"/>
          <w:tab w:val="left" w:pos="418"/>
          <w:tab w:val="left" w:pos="835"/>
          <w:tab w:val="left" w:pos="1252"/>
          <w:tab w:val="left" w:pos="1670"/>
          <w:tab w:val="left" w:pos="2346"/>
          <w:tab w:val="left" w:pos="3066"/>
          <w:tab w:val="left" w:pos="3786"/>
          <w:tab w:val="left" w:pos="4506"/>
          <w:tab w:val="left" w:pos="5226"/>
          <w:tab w:val="left" w:pos="5946"/>
          <w:tab w:val="left" w:pos="6666"/>
          <w:tab w:val="left" w:pos="7386"/>
          <w:tab w:val="left" w:pos="8106"/>
          <w:tab w:val="left" w:pos="8826"/>
          <w:tab w:val="left" w:pos="9546"/>
          <w:tab w:val="left" w:pos="10078"/>
          <w:tab w:val="left" w:pos="10798"/>
        </w:tabs>
        <w:spacing w:line="258" w:lineRule="auto"/>
        <w:ind w:left="1250"/>
        <w:rPr>
          <w:rFonts w:ascii="Times New Roman" w:hAnsi="Times New Roman" w:cs="Times New Roman"/>
        </w:rPr>
      </w:pPr>
      <w:r>
        <w:rPr>
          <w:rFonts w:ascii="Times New Roman" w:hAnsi="Times New Roman" w:cs="Times New Roman"/>
        </w:rPr>
        <w:t>The Treasury Department’s Office of Tax Analysis uses QFR data to extrapolate tax-based income, on a current basis, by industry, in order to estimate</w:t>
      </w:r>
      <w:r w:rsidR="008468B2">
        <w:rPr>
          <w:rFonts w:ascii="Times New Roman" w:hAnsi="Times New Roman" w:cs="Times New Roman"/>
        </w:rPr>
        <w:t xml:space="preserve"> the</w:t>
      </w:r>
      <w:r>
        <w:rPr>
          <w:rFonts w:ascii="Times New Roman" w:hAnsi="Times New Roman" w:cs="Times New Roman"/>
        </w:rPr>
        <w:t xml:space="preserve"> effect of existing and contemplated tax law on the corporate sector.  The data are also used as a reference source to respond to questions, usually Congressional, concerning industry profitability and financial position.</w:t>
      </w:r>
    </w:p>
    <w:p w14:paraId="49711E4F" w14:textId="77777777" w:rsidR="0084601E" w:rsidRDefault="0084601E">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rPr>
          <w:rFonts w:ascii="Times New Roman" w:hAnsi="Times New Roman" w:cs="Times New Roman"/>
        </w:rPr>
      </w:pPr>
    </w:p>
    <w:p w14:paraId="13A48E26" w14:textId="77777777" w:rsidR="00593C78" w:rsidRDefault="00593C78">
      <w:pPr>
        <w:pStyle w:val="Style0"/>
        <w:tabs>
          <w:tab w:val="left" w:pos="0"/>
          <w:tab w:val="left" w:pos="417"/>
          <w:tab w:val="left" w:pos="720"/>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firstLine="540"/>
        <w:rPr>
          <w:rFonts w:ascii="Times New Roman" w:hAnsi="Times New Roman" w:cs="Times New Roman"/>
        </w:rPr>
      </w:pPr>
      <w:r>
        <w:rPr>
          <w:rFonts w:ascii="Times New Roman" w:hAnsi="Times New Roman" w:cs="Times New Roman"/>
        </w:rPr>
        <w:tab/>
        <w:t>•</w:t>
      </w:r>
      <w:r>
        <w:rPr>
          <w:rFonts w:ascii="Times New Roman" w:hAnsi="Times New Roman" w:cs="Times New Roman"/>
        </w:rPr>
        <w:tab/>
      </w:r>
      <w:r>
        <w:rPr>
          <w:rFonts w:ascii="Times New Roman" w:hAnsi="Times New Roman" w:cs="Times New Roman"/>
          <w:b/>
          <w:bCs/>
          <w:u w:val="single"/>
        </w:rPr>
        <w:t>Joint Committee on Taxation (JCT)</w:t>
      </w:r>
    </w:p>
    <w:p w14:paraId="2AEE0C4A" w14:textId="77777777" w:rsidR="00593C78" w:rsidRDefault="00593C78">
      <w:pPr>
        <w:pStyle w:val="Style0"/>
        <w:tabs>
          <w:tab w:val="left" w:pos="-416"/>
          <w:tab w:val="left" w:pos="-1"/>
          <w:tab w:val="left" w:pos="418"/>
          <w:tab w:val="left" w:pos="835"/>
          <w:tab w:val="left" w:pos="1252"/>
          <w:tab w:val="left" w:pos="1670"/>
          <w:tab w:val="left" w:pos="2346"/>
          <w:tab w:val="left" w:pos="3066"/>
          <w:tab w:val="left" w:pos="3786"/>
          <w:tab w:val="left" w:pos="4506"/>
          <w:tab w:val="left" w:pos="5226"/>
          <w:tab w:val="left" w:pos="5946"/>
          <w:tab w:val="left" w:pos="6666"/>
          <w:tab w:val="left" w:pos="7386"/>
          <w:tab w:val="left" w:pos="8106"/>
          <w:tab w:val="left" w:pos="8826"/>
          <w:tab w:val="left" w:pos="9546"/>
          <w:tab w:val="left" w:pos="10078"/>
          <w:tab w:val="left" w:pos="10798"/>
        </w:tabs>
        <w:spacing w:line="258" w:lineRule="auto"/>
        <w:ind w:left="1250"/>
        <w:rPr>
          <w:rFonts w:ascii="Times New Roman" w:hAnsi="Times New Roman" w:cs="Times New Roman"/>
        </w:rPr>
      </w:pPr>
    </w:p>
    <w:p w14:paraId="095A4D7A" w14:textId="77777777" w:rsidR="00593C78" w:rsidRDefault="00593C78">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left="1251"/>
        <w:rPr>
          <w:rFonts w:ascii="Times New Roman" w:hAnsi="Times New Roman" w:cs="Times New Roman"/>
        </w:rPr>
      </w:pPr>
      <w:r>
        <w:rPr>
          <w:rFonts w:ascii="Times New Roman" w:hAnsi="Times New Roman" w:cs="Times New Roman"/>
        </w:rPr>
        <w:t>The JCT uses QFR data to respond to congressional inquiries regarding corporate sales, profits, financial position, and rate of return by industry and asset size for the purpose of drafting or responding to proposed legislation.</w:t>
      </w:r>
    </w:p>
    <w:p w14:paraId="1A57653E" w14:textId="7D7FF4C9" w:rsidR="006D0DC7" w:rsidRDefault="006D0DC7" w:rsidP="00AB37A2">
      <w:pPr>
        <w:pStyle w:val="Style0"/>
        <w:tabs>
          <w:tab w:val="left" w:pos="0"/>
          <w:tab w:val="left" w:pos="417"/>
          <w:tab w:val="left" w:pos="1260"/>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rPr>
          <w:rFonts w:ascii="Times New Roman" w:hAnsi="Times New Roman" w:cs="Times New Roman"/>
        </w:rPr>
      </w:pPr>
    </w:p>
    <w:p w14:paraId="25D3CA6D" w14:textId="77777777" w:rsidR="00AB37A2" w:rsidRPr="003F2FCC" w:rsidRDefault="00AB37A2" w:rsidP="00AB37A2">
      <w:pPr>
        <w:pStyle w:val="Style0"/>
        <w:tabs>
          <w:tab w:val="left" w:pos="0"/>
          <w:tab w:val="left" w:pos="417"/>
          <w:tab w:val="left" w:pos="1260"/>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firstLine="540"/>
        <w:rPr>
          <w:rFonts w:ascii="Times New Roman" w:hAnsi="Times New Roman" w:cs="Times New Roman"/>
          <w:b/>
          <w:bCs/>
          <w:u w:val="single"/>
        </w:rPr>
      </w:pPr>
      <w:r w:rsidRPr="003F2FCC">
        <w:rPr>
          <w:rFonts w:ascii="Times New Roman" w:hAnsi="Times New Roman" w:cs="Times New Roman"/>
        </w:rPr>
        <w:t>•</w:t>
      </w:r>
      <w:r w:rsidRPr="003F2FCC">
        <w:rPr>
          <w:rFonts w:ascii="Times New Roman" w:hAnsi="Times New Roman" w:cs="Times New Roman"/>
        </w:rPr>
        <w:tab/>
      </w:r>
      <w:r w:rsidRPr="003F2FCC">
        <w:rPr>
          <w:rFonts w:ascii="Times New Roman" w:hAnsi="Times New Roman" w:cs="Times New Roman"/>
          <w:b/>
          <w:bCs/>
          <w:u w:val="single"/>
        </w:rPr>
        <w:t>Private Sector Users:</w:t>
      </w:r>
    </w:p>
    <w:p w14:paraId="49098C57" w14:textId="77777777" w:rsidR="00AB37A2" w:rsidRPr="003F2FCC" w:rsidRDefault="00AB37A2" w:rsidP="00AB37A2">
      <w:pPr>
        <w:pStyle w:val="Style0"/>
        <w:tabs>
          <w:tab w:val="left" w:pos="0"/>
          <w:tab w:val="left" w:pos="417"/>
          <w:tab w:val="left" w:pos="720"/>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firstLine="540"/>
        <w:rPr>
          <w:rFonts w:ascii="Times New Roman" w:hAnsi="Times New Roman" w:cs="Times New Roman"/>
        </w:rPr>
      </w:pPr>
    </w:p>
    <w:p w14:paraId="0E59D028" w14:textId="77777777" w:rsidR="00AB37A2" w:rsidRPr="003F2FCC" w:rsidRDefault="00AB37A2" w:rsidP="00AB37A2">
      <w:pPr>
        <w:pStyle w:val="Style0"/>
        <w:numPr>
          <w:ilvl w:val="0"/>
          <w:numId w:val="19"/>
        </w:numPr>
        <w:tabs>
          <w:tab w:val="left" w:pos="0"/>
          <w:tab w:val="left" w:pos="417"/>
          <w:tab w:val="left" w:pos="1260"/>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firstLine="540"/>
        <w:rPr>
          <w:rFonts w:ascii="Times New Roman" w:hAnsi="Times New Roman" w:cs="Times New Roman"/>
        </w:rPr>
      </w:pPr>
      <w:r w:rsidRPr="003F2FCC">
        <w:rPr>
          <w:rFonts w:ascii="Times New Roman" w:hAnsi="Times New Roman" w:cs="Times New Roman"/>
        </w:rPr>
        <w:t>ProQuest and Haver Analytics</w:t>
      </w:r>
    </w:p>
    <w:p w14:paraId="26934D40" w14:textId="77777777" w:rsidR="00AB37A2" w:rsidRPr="003F2FCC" w:rsidRDefault="00AB37A2" w:rsidP="00AB37A2">
      <w:pPr>
        <w:pStyle w:val="Style0"/>
        <w:numPr>
          <w:ilvl w:val="0"/>
          <w:numId w:val="19"/>
        </w:numPr>
        <w:tabs>
          <w:tab w:val="left" w:pos="0"/>
          <w:tab w:val="left" w:pos="417"/>
          <w:tab w:val="left" w:pos="1260"/>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firstLine="540"/>
        <w:rPr>
          <w:rFonts w:ascii="Times New Roman" w:hAnsi="Times New Roman" w:cs="Times New Roman"/>
        </w:rPr>
      </w:pPr>
      <w:r w:rsidRPr="003F2FCC">
        <w:rPr>
          <w:rFonts w:ascii="Times New Roman" w:hAnsi="Times New Roman" w:cs="Times New Roman"/>
        </w:rPr>
        <w:t>Natural Resources Defense Council</w:t>
      </w:r>
    </w:p>
    <w:p w14:paraId="7C0744FF" w14:textId="77777777" w:rsidR="00AB37A2" w:rsidRPr="003F2FCC" w:rsidRDefault="00AB37A2" w:rsidP="00AB37A2">
      <w:pPr>
        <w:pStyle w:val="Style0"/>
        <w:numPr>
          <w:ilvl w:val="0"/>
          <w:numId w:val="19"/>
        </w:numPr>
        <w:tabs>
          <w:tab w:val="left" w:pos="0"/>
          <w:tab w:val="left" w:pos="417"/>
          <w:tab w:val="left" w:pos="1260"/>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firstLine="540"/>
        <w:rPr>
          <w:rFonts w:ascii="Times New Roman" w:hAnsi="Times New Roman" w:cs="Times New Roman"/>
        </w:rPr>
      </w:pPr>
      <w:r w:rsidRPr="003F2FCC">
        <w:rPr>
          <w:rFonts w:ascii="Times New Roman" w:hAnsi="Times New Roman" w:cs="Times New Roman"/>
        </w:rPr>
        <w:t>National Retail Federation</w:t>
      </w:r>
    </w:p>
    <w:p w14:paraId="3DEEE60B" w14:textId="77777777" w:rsidR="00AB37A2" w:rsidRPr="003F2FCC" w:rsidRDefault="00AB37A2" w:rsidP="00AB37A2">
      <w:pPr>
        <w:pStyle w:val="Style0"/>
        <w:numPr>
          <w:ilvl w:val="0"/>
          <w:numId w:val="19"/>
        </w:numPr>
        <w:tabs>
          <w:tab w:val="left" w:pos="0"/>
          <w:tab w:val="left" w:pos="417"/>
          <w:tab w:val="left" w:pos="1260"/>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firstLine="540"/>
        <w:rPr>
          <w:rFonts w:ascii="Times New Roman" w:hAnsi="Times New Roman" w:cs="Times New Roman"/>
        </w:rPr>
      </w:pPr>
      <w:r w:rsidRPr="003F2FCC">
        <w:rPr>
          <w:rFonts w:ascii="Times New Roman" w:hAnsi="Times New Roman" w:cs="Times New Roman"/>
        </w:rPr>
        <w:lastRenderedPageBreak/>
        <w:t>American Forest &amp; Paper Association</w:t>
      </w:r>
    </w:p>
    <w:p w14:paraId="10FC1422" w14:textId="2C5E4C12" w:rsidR="00AB37A2" w:rsidRPr="003F2FCC" w:rsidRDefault="00AB37A2" w:rsidP="00AB37A2">
      <w:pPr>
        <w:pStyle w:val="Style0"/>
        <w:numPr>
          <w:ilvl w:val="0"/>
          <w:numId w:val="19"/>
        </w:numPr>
        <w:tabs>
          <w:tab w:val="left" w:pos="0"/>
          <w:tab w:val="left" w:pos="417"/>
          <w:tab w:val="left" w:pos="1260"/>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firstLine="540"/>
        <w:rPr>
          <w:rFonts w:ascii="Times New Roman" w:hAnsi="Times New Roman" w:cs="Times New Roman"/>
        </w:rPr>
      </w:pPr>
      <w:r w:rsidRPr="003F2FCC">
        <w:rPr>
          <w:rFonts w:ascii="Times New Roman" w:hAnsi="Times New Roman" w:cs="Times New Roman"/>
        </w:rPr>
        <w:t>Oxford Information Technology</w:t>
      </w:r>
    </w:p>
    <w:p w14:paraId="26D11AA0" w14:textId="6B6FA4C0" w:rsidR="00FC6945" w:rsidRDefault="00AB37A2" w:rsidP="00FC6945">
      <w:pPr>
        <w:pStyle w:val="Style0"/>
        <w:numPr>
          <w:ilvl w:val="0"/>
          <w:numId w:val="19"/>
        </w:numPr>
        <w:tabs>
          <w:tab w:val="left" w:pos="0"/>
          <w:tab w:val="left" w:pos="417"/>
          <w:tab w:val="left" w:pos="1260"/>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firstLine="540"/>
        <w:rPr>
          <w:rFonts w:ascii="Times New Roman" w:hAnsi="Times New Roman" w:cs="Times New Roman"/>
        </w:rPr>
      </w:pPr>
      <w:r w:rsidRPr="003F2FCC">
        <w:rPr>
          <w:rFonts w:ascii="Times New Roman" w:hAnsi="Times New Roman" w:cs="Times New Roman"/>
        </w:rPr>
        <w:t>Newspapers, trade magazines, and researchers</w:t>
      </w:r>
    </w:p>
    <w:p w14:paraId="3510401B" w14:textId="77777777" w:rsidR="00FC6945" w:rsidRDefault="00FC6945" w:rsidP="0050157C">
      <w:pPr>
        <w:pStyle w:val="Style0"/>
        <w:tabs>
          <w:tab w:val="left" w:pos="0"/>
          <w:tab w:val="left" w:pos="417"/>
          <w:tab w:val="left" w:pos="1260"/>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1260"/>
        <w:rPr>
          <w:rFonts w:ascii="Times New Roman" w:hAnsi="Times New Roman" w:cs="Times New Roman"/>
        </w:rPr>
      </w:pPr>
    </w:p>
    <w:p w14:paraId="6BC630F6" w14:textId="57B061A7" w:rsidR="00FC6945" w:rsidRPr="00FC6945" w:rsidRDefault="00FC6945" w:rsidP="0050157C">
      <w:pPr>
        <w:pStyle w:val="Style0"/>
        <w:tabs>
          <w:tab w:val="left" w:pos="0"/>
          <w:tab w:val="left" w:pos="417"/>
          <w:tab w:val="left" w:pos="1260"/>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720"/>
        <w:rPr>
          <w:rFonts w:ascii="Times New Roman" w:hAnsi="Times New Roman" w:cs="Times New Roman"/>
        </w:rPr>
      </w:pPr>
      <w:r w:rsidRPr="0050157C">
        <w:rPr>
          <w:rFonts w:ascii="Times New Roman" w:hAnsi="Times New Roman" w:cs="Times New Roman"/>
        </w:rPr>
        <w:t xml:space="preserve">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is incorporated into the clearance process required </w:t>
      </w:r>
      <w:r w:rsidR="00D03DDE">
        <w:rPr>
          <w:rFonts w:ascii="Times New Roman" w:hAnsi="Times New Roman" w:cs="Times New Roman"/>
        </w:rPr>
        <w:t>by the Paperwork Reduction Act.</w:t>
      </w:r>
    </w:p>
    <w:p w14:paraId="71B726B6" w14:textId="77777777" w:rsidR="00AB37A2" w:rsidRDefault="00AB37A2" w:rsidP="00AB37A2">
      <w:pPr>
        <w:pStyle w:val="Style0"/>
        <w:tabs>
          <w:tab w:val="left" w:pos="0"/>
          <w:tab w:val="left" w:pos="417"/>
          <w:tab w:val="left" w:pos="1260"/>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rPr>
          <w:rFonts w:ascii="Times New Roman" w:hAnsi="Times New Roman" w:cs="Times New Roman"/>
        </w:rPr>
      </w:pPr>
    </w:p>
    <w:p w14:paraId="1A5501D1" w14:textId="77777777" w:rsidR="00593C78" w:rsidRDefault="00593C78">
      <w:pPr>
        <w:pStyle w:val="Style0"/>
        <w:tabs>
          <w:tab w:val="left" w:pos="-416"/>
          <w:tab w:val="left" w:pos="-1"/>
          <w:tab w:val="left" w:pos="418"/>
          <w:tab w:val="left" w:pos="720"/>
          <w:tab w:val="left" w:pos="835"/>
          <w:tab w:val="left" w:pos="1252"/>
          <w:tab w:val="left" w:pos="1670"/>
          <w:tab w:val="left" w:pos="2346"/>
          <w:tab w:val="left" w:pos="3066"/>
          <w:tab w:val="left" w:pos="3786"/>
          <w:tab w:val="left" w:pos="4506"/>
          <w:tab w:val="left" w:pos="5226"/>
          <w:tab w:val="left" w:pos="5946"/>
          <w:tab w:val="left" w:pos="6666"/>
          <w:tab w:val="left" w:pos="7386"/>
          <w:tab w:val="left" w:pos="8106"/>
          <w:tab w:val="left" w:pos="8826"/>
          <w:tab w:val="left" w:pos="9546"/>
          <w:tab w:val="left" w:pos="10078"/>
          <w:tab w:val="left" w:pos="10798"/>
        </w:tabs>
        <w:spacing w:line="258" w:lineRule="auto"/>
        <w:ind w:left="1250" w:hanging="1250"/>
        <w:outlineLvl w:val="0"/>
        <w:rPr>
          <w:rFonts w:ascii="Times New Roman" w:hAnsi="Times New Roman" w:cs="Times New Roman"/>
          <w:b/>
          <w:bCs/>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3</w:t>
      </w:r>
      <w:r>
        <w:rPr>
          <w:rFonts w:ascii="Times New Roman" w:hAnsi="Times New Roman" w:cs="Times New Roman"/>
        </w:rPr>
        <w:t>.</w:t>
      </w:r>
      <w:r>
        <w:rPr>
          <w:rFonts w:ascii="Times New Roman" w:hAnsi="Times New Roman" w:cs="Times New Roman"/>
        </w:rPr>
        <w:tab/>
      </w:r>
      <w:r>
        <w:rPr>
          <w:rFonts w:ascii="Times New Roman" w:hAnsi="Times New Roman" w:cs="Times New Roman"/>
          <w:b/>
          <w:bCs/>
          <w:u w:val="single"/>
        </w:rPr>
        <w:t>Use of Information Technology</w:t>
      </w:r>
    </w:p>
    <w:p w14:paraId="4A335F67" w14:textId="77777777" w:rsidR="00593C78" w:rsidRDefault="00593C78">
      <w:pPr>
        <w:pStyle w:val="Style0"/>
        <w:rPr>
          <w:rFonts w:ascii="Times New Roman" w:hAnsi="Times New Roman" w:cs="Times New Roman"/>
        </w:rPr>
      </w:pPr>
    </w:p>
    <w:p w14:paraId="2FDFE044" w14:textId="77777777" w:rsidR="00593C78" w:rsidRPr="0079369E" w:rsidRDefault="00593C78">
      <w:pPr>
        <w:pStyle w:val="Style0"/>
        <w:ind w:left="720"/>
        <w:rPr>
          <w:rFonts w:ascii="Times New Roman" w:hAnsi="Times New Roman" w:cs="Times New Roman"/>
        </w:rPr>
      </w:pPr>
      <w:r w:rsidRPr="0079369E">
        <w:rPr>
          <w:rFonts w:ascii="Times New Roman" w:hAnsi="Times New Roman" w:cs="Times New Roman"/>
        </w:rPr>
        <w:t xml:space="preserve">The Census Bureau uses two forms of data collection: </w:t>
      </w:r>
      <w:r w:rsidR="006D0DC7" w:rsidRPr="0079369E">
        <w:rPr>
          <w:rFonts w:ascii="Times New Roman" w:hAnsi="Times New Roman" w:cs="Times New Roman"/>
        </w:rPr>
        <w:t>a</w:t>
      </w:r>
      <w:r w:rsidRPr="0079369E">
        <w:rPr>
          <w:rFonts w:ascii="Times New Roman" w:hAnsi="Times New Roman" w:cs="Times New Roman"/>
        </w:rPr>
        <w:t xml:space="preserve"> secure, encrypted Internet data collection system called Cen</w:t>
      </w:r>
      <w:r w:rsidR="006D0DC7" w:rsidRPr="0079369E">
        <w:rPr>
          <w:rFonts w:ascii="Times New Roman" w:hAnsi="Times New Roman" w:cs="Times New Roman"/>
        </w:rPr>
        <w:t>turion, and mail out</w:t>
      </w:r>
      <w:r w:rsidR="0022491E" w:rsidRPr="0079369E">
        <w:rPr>
          <w:rFonts w:ascii="Times New Roman" w:hAnsi="Times New Roman" w:cs="Times New Roman"/>
        </w:rPr>
        <w:t xml:space="preserve">, </w:t>
      </w:r>
      <w:r w:rsidR="00BB779D" w:rsidRPr="0079369E">
        <w:rPr>
          <w:rFonts w:ascii="Times New Roman" w:hAnsi="Times New Roman" w:cs="Times New Roman"/>
        </w:rPr>
        <w:t xml:space="preserve">with </w:t>
      </w:r>
      <w:r w:rsidR="006D0DC7" w:rsidRPr="0079369E">
        <w:rPr>
          <w:rFonts w:ascii="Times New Roman" w:hAnsi="Times New Roman" w:cs="Times New Roman"/>
        </w:rPr>
        <w:t>mail</w:t>
      </w:r>
      <w:r w:rsidR="0022491E" w:rsidRPr="0079369E">
        <w:rPr>
          <w:rFonts w:ascii="Times New Roman" w:hAnsi="Times New Roman" w:cs="Times New Roman"/>
        </w:rPr>
        <w:t xml:space="preserve"> or </w:t>
      </w:r>
      <w:r w:rsidR="006D0DC7" w:rsidRPr="0079369E">
        <w:rPr>
          <w:rFonts w:ascii="Times New Roman" w:hAnsi="Times New Roman" w:cs="Times New Roman"/>
        </w:rPr>
        <w:t>fax back paper survey forms.</w:t>
      </w:r>
      <w:r w:rsidR="00BB779D" w:rsidRPr="0079369E">
        <w:rPr>
          <w:rFonts w:ascii="Times New Roman" w:hAnsi="Times New Roman" w:cs="Times New Roman"/>
        </w:rPr>
        <w:t xml:space="preserve">  </w:t>
      </w:r>
      <w:r w:rsidR="00AB37A2" w:rsidRPr="003F2FCC">
        <w:rPr>
          <w:rFonts w:ascii="Times New Roman" w:hAnsi="Times New Roman" w:cs="Times New Roman"/>
        </w:rPr>
        <w:t>Every company receives an initial mail package which includes information about electronic reporting on the for</w:t>
      </w:r>
      <w:r w:rsidR="004C7C8C" w:rsidRPr="003F2FCC">
        <w:rPr>
          <w:rFonts w:ascii="Times New Roman" w:hAnsi="Times New Roman" w:cs="Times New Roman"/>
        </w:rPr>
        <w:t>m and on an internet reporting flyer</w:t>
      </w:r>
      <w:r w:rsidR="00D93FA5">
        <w:rPr>
          <w:rFonts w:ascii="Times New Roman" w:hAnsi="Times New Roman" w:cs="Times New Roman"/>
        </w:rPr>
        <w:t>, which appears on the backside of the letters</w:t>
      </w:r>
      <w:r w:rsidR="004C7C8C" w:rsidRPr="003F2FCC">
        <w:rPr>
          <w:rFonts w:ascii="Times New Roman" w:hAnsi="Times New Roman" w:cs="Times New Roman"/>
        </w:rPr>
        <w:t>.</w:t>
      </w:r>
      <w:r w:rsidR="004C7C8C">
        <w:rPr>
          <w:rFonts w:ascii="Times New Roman" w:hAnsi="Times New Roman" w:cs="Times New Roman"/>
        </w:rPr>
        <w:t xml:space="preserve">  </w:t>
      </w:r>
      <w:r w:rsidRPr="0079369E">
        <w:rPr>
          <w:rFonts w:ascii="Times New Roman" w:hAnsi="Times New Roman" w:cs="Times New Roman"/>
        </w:rPr>
        <w:t>Cen</w:t>
      </w:r>
      <w:r w:rsidR="006D0DC7" w:rsidRPr="0079369E">
        <w:rPr>
          <w:rFonts w:ascii="Times New Roman" w:hAnsi="Times New Roman" w:cs="Times New Roman"/>
        </w:rPr>
        <w:t>turion</w:t>
      </w:r>
      <w:r w:rsidRPr="0079369E">
        <w:rPr>
          <w:rFonts w:ascii="Times New Roman" w:hAnsi="Times New Roman" w:cs="Times New Roman"/>
        </w:rPr>
        <w:t xml:space="preserve"> provides improved quality with automatic data checks and is context-sensitive to assist the data provider in identifying potential reporting problems before submission, thus reducing the need for follow-up. Cen</w:t>
      </w:r>
      <w:r w:rsidR="006D0DC7" w:rsidRPr="0079369E">
        <w:rPr>
          <w:rFonts w:ascii="Times New Roman" w:hAnsi="Times New Roman" w:cs="Times New Roman"/>
        </w:rPr>
        <w:t>turion</w:t>
      </w:r>
      <w:r w:rsidRPr="0079369E">
        <w:rPr>
          <w:rFonts w:ascii="Times New Roman" w:hAnsi="Times New Roman" w:cs="Times New Roman"/>
        </w:rPr>
        <w:t xml:space="preserve"> is completed via the Internet, eliminating the need for downloading software and increasing the integrity and confidentiality of the data.</w:t>
      </w:r>
      <w:r w:rsidR="004C7C8C">
        <w:rPr>
          <w:rFonts w:ascii="Times New Roman" w:hAnsi="Times New Roman" w:cs="Times New Roman"/>
        </w:rPr>
        <w:t xml:space="preserve">  </w:t>
      </w:r>
      <w:r w:rsidR="004C7C8C" w:rsidRPr="003F2FCC">
        <w:rPr>
          <w:rFonts w:ascii="Times New Roman" w:hAnsi="Times New Roman" w:cs="Times New Roman"/>
        </w:rPr>
        <w:t xml:space="preserve">The Centurion response rate is approximately </w:t>
      </w:r>
      <w:r w:rsidR="006051BD" w:rsidRPr="003C4CDD">
        <w:rPr>
          <w:rFonts w:ascii="Times New Roman" w:hAnsi="Times New Roman" w:cs="Times New Roman"/>
        </w:rPr>
        <w:t>80</w:t>
      </w:r>
      <w:r w:rsidR="004C7C8C" w:rsidRPr="003C4CDD">
        <w:rPr>
          <w:rFonts w:ascii="Times New Roman" w:hAnsi="Times New Roman" w:cs="Times New Roman"/>
        </w:rPr>
        <w:t>%.</w:t>
      </w:r>
    </w:p>
    <w:p w14:paraId="001D6F08" w14:textId="0AE2137E" w:rsidR="005E2C2D" w:rsidRDefault="00593C78">
      <w:pPr>
        <w:tabs>
          <w:tab w:val="left" w:pos="0"/>
          <w:tab w:val="left" w:pos="417"/>
          <w:tab w:val="left" w:pos="835"/>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1670" w:hanging="2085"/>
      </w:pPr>
      <w:r>
        <w:tab/>
      </w:r>
      <w:r>
        <w:tab/>
      </w:r>
      <w:r>
        <w:tab/>
      </w:r>
    </w:p>
    <w:p w14:paraId="04393E1B" w14:textId="77777777" w:rsidR="00593C78" w:rsidRDefault="00593C78">
      <w:pPr>
        <w:tabs>
          <w:tab w:val="left" w:pos="0"/>
          <w:tab w:val="left" w:pos="417"/>
          <w:tab w:val="left" w:pos="720"/>
          <w:tab w:val="left" w:pos="835"/>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834" w:hanging="834"/>
        <w:outlineLvl w:val="0"/>
      </w:pPr>
      <w:r>
        <w:rPr>
          <w:b/>
          <w:bCs/>
        </w:rPr>
        <w:tab/>
      </w:r>
      <w:r>
        <w:rPr>
          <w:b/>
          <w:bCs/>
        </w:rPr>
        <w:tab/>
        <w:t>4.</w:t>
      </w:r>
      <w:r>
        <w:rPr>
          <w:b/>
          <w:bCs/>
        </w:rPr>
        <w:tab/>
      </w:r>
      <w:r>
        <w:rPr>
          <w:b/>
          <w:bCs/>
          <w:u w:val="single"/>
        </w:rPr>
        <w:t>Efforts to Identify Duplication</w:t>
      </w:r>
    </w:p>
    <w:p w14:paraId="23104E21" w14:textId="77777777" w:rsidR="00593C78" w:rsidRDefault="00593C78">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rPr>
          <w:rFonts w:ascii="Times New Roman" w:hAnsi="Times New Roman" w:cs="Times New Roman"/>
        </w:rPr>
      </w:pPr>
    </w:p>
    <w:p w14:paraId="4392124E" w14:textId="77777777" w:rsidR="00593C78" w:rsidRDefault="00593C78">
      <w:pPr>
        <w:pStyle w:val="Style0"/>
        <w:tabs>
          <w:tab w:val="left" w:pos="0"/>
          <w:tab w:val="left" w:pos="417"/>
          <w:tab w:val="left" w:pos="720"/>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720"/>
        <w:rPr>
          <w:rFonts w:ascii="Times New Roman" w:hAnsi="Times New Roman" w:cs="Times New Roman"/>
        </w:rPr>
      </w:pPr>
      <w:r>
        <w:rPr>
          <w:rFonts w:ascii="Times New Roman" w:hAnsi="Times New Roman" w:cs="Times New Roman"/>
        </w:rPr>
        <w:t>The QFR does not duplicate other data series.  Our consultations with user agencies</w:t>
      </w:r>
      <w:r w:rsidR="00067EE3" w:rsidRPr="009F0136">
        <w:rPr>
          <w:rFonts w:ascii="Times New Roman" w:hAnsi="Times New Roman" w:cs="Times New Roman"/>
        </w:rPr>
        <w:t>, such as BEA and FRB,</w:t>
      </w:r>
      <w:r>
        <w:rPr>
          <w:rFonts w:ascii="Times New Roman" w:hAnsi="Times New Roman" w:cs="Times New Roman"/>
        </w:rPr>
        <w:t xml:space="preserve"> concerning their needs, confirm that the QFR's timeliness and "domestic only" consolidated data are not available from other public or private sources.</w:t>
      </w:r>
    </w:p>
    <w:p w14:paraId="55D5047A" w14:textId="77777777" w:rsidR="00593C78" w:rsidRDefault="00593C78">
      <w:pPr>
        <w:pStyle w:val="Style0"/>
        <w:tabs>
          <w:tab w:val="left" w:pos="0"/>
          <w:tab w:val="left" w:pos="417"/>
          <w:tab w:val="left" w:pos="835"/>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834"/>
        <w:rPr>
          <w:rFonts w:ascii="Times New Roman" w:hAnsi="Times New Roman" w:cs="Times New Roman"/>
        </w:rPr>
      </w:pPr>
    </w:p>
    <w:p w14:paraId="68199F13" w14:textId="77777777" w:rsidR="00593C78" w:rsidRDefault="00593C78">
      <w:pPr>
        <w:pStyle w:val="Style0"/>
        <w:tabs>
          <w:tab w:val="left" w:pos="0"/>
          <w:tab w:val="left" w:pos="417"/>
          <w:tab w:val="left" w:pos="720"/>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720"/>
        <w:rPr>
          <w:rFonts w:ascii="Times New Roman" w:hAnsi="Times New Roman" w:cs="Times New Roman"/>
        </w:rPr>
      </w:pPr>
      <w:r>
        <w:rPr>
          <w:rFonts w:ascii="Times New Roman" w:hAnsi="Times New Roman" w:cs="Times New Roman"/>
        </w:rPr>
        <w:t>While a number of forms/reports have been cited by respondents as duplicative of QFR forms, we do not find this to be the case.  Through the years, careful analysis of other data collection forms has been undertaken, but none of these forms provides the same principles of consolidation and frequency as the QFR.  Discussion of those forms most commonly cited as duplicative of the QFR and their actual differences from QFR forms follows:</w:t>
      </w:r>
    </w:p>
    <w:p w14:paraId="39F8852D" w14:textId="77777777" w:rsidR="00593C78" w:rsidRDefault="00593C78">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rPr>
          <w:rFonts w:ascii="Times New Roman" w:hAnsi="Times New Roman" w:cs="Times New Roman"/>
        </w:rPr>
      </w:pPr>
    </w:p>
    <w:p w14:paraId="0E19F10F" w14:textId="77777777" w:rsidR="00593C78" w:rsidRDefault="00593C78">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rPr>
          <w:rFonts w:ascii="Times New Roman" w:hAnsi="Times New Roman" w:cs="Times New Roman"/>
        </w:rPr>
        <w:sectPr w:rsidR="00593C78" w:rsidSect="00D40063">
          <w:footerReference w:type="even" r:id="rId9"/>
          <w:footerReference w:type="default" r:id="rId10"/>
          <w:type w:val="continuous"/>
          <w:pgSz w:w="12240" w:h="15840"/>
          <w:pgMar w:top="1080" w:right="1440" w:bottom="360" w:left="1440" w:header="1440" w:footer="1440" w:gutter="0"/>
          <w:cols w:space="720"/>
          <w:titlePg/>
        </w:sectPr>
      </w:pPr>
    </w:p>
    <w:p w14:paraId="14417A88" w14:textId="77777777" w:rsidR="00593C78" w:rsidRDefault="00593C78">
      <w:pPr>
        <w:pStyle w:val="Style0"/>
        <w:numPr>
          <w:ilvl w:val="0"/>
          <w:numId w:val="18"/>
        </w:numPr>
        <w:tabs>
          <w:tab w:val="clear" w:pos="1554"/>
          <w:tab w:val="left" w:pos="0"/>
          <w:tab w:val="left" w:pos="417"/>
          <w:tab w:val="left" w:pos="1260"/>
          <w:tab w:val="left" w:pos="1440"/>
          <w:tab w:val="left" w:pos="2160"/>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720" w:firstLine="0"/>
        <w:rPr>
          <w:rFonts w:ascii="Times New Roman" w:hAnsi="Times New Roman" w:cs="Times New Roman"/>
          <w:b/>
          <w:bCs/>
          <w:u w:val="single"/>
        </w:rPr>
      </w:pPr>
      <w:r>
        <w:rPr>
          <w:rFonts w:ascii="Times New Roman" w:hAnsi="Times New Roman" w:cs="Times New Roman"/>
          <w:b/>
          <w:bCs/>
          <w:u w:val="single"/>
        </w:rPr>
        <w:t>IRS Form 1120</w:t>
      </w:r>
    </w:p>
    <w:p w14:paraId="2F068215" w14:textId="77777777" w:rsidR="00593C78" w:rsidRDefault="00593C78">
      <w:pPr>
        <w:pStyle w:val="Style0"/>
        <w:tabs>
          <w:tab w:val="left" w:pos="0"/>
          <w:tab w:val="left" w:pos="417"/>
          <w:tab w:val="left" w:pos="835"/>
          <w:tab w:val="left" w:pos="1252"/>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1260" w:firstLine="294"/>
        <w:rPr>
          <w:rFonts w:ascii="Times New Roman" w:hAnsi="Times New Roman" w:cs="Times New Roman"/>
        </w:rPr>
      </w:pPr>
    </w:p>
    <w:p w14:paraId="27B92ED4" w14:textId="77777777" w:rsidR="00593C78" w:rsidRDefault="00593C78">
      <w:pPr>
        <w:pStyle w:val="Style0"/>
        <w:tabs>
          <w:tab w:val="left" w:pos="0"/>
          <w:tab w:val="left" w:pos="417"/>
          <w:tab w:val="left" w:pos="835"/>
          <w:tab w:val="left" w:pos="1252"/>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1260"/>
        <w:rPr>
          <w:rFonts w:ascii="Times New Roman" w:hAnsi="Times New Roman" w:cs="Times New Roman"/>
        </w:rPr>
      </w:pPr>
      <w:r>
        <w:rPr>
          <w:rFonts w:ascii="Times New Roman" w:hAnsi="Times New Roman" w:cs="Times New Roman"/>
        </w:rPr>
        <w:t xml:space="preserve">Form 1120 is the standard corporate tax return filed by corporations on an annual basis and includes a financial statement.  In contrast, the QFR is required quarterly.  Also, IRS consolidation rules differ significantly from the QFR rules.  On Form 1120 tax consolidation is an election when ownership is 80 percent or more; QFR requires consolidation at majority ownership (greater than 50 percent).  </w:t>
      </w:r>
    </w:p>
    <w:p w14:paraId="064654A2" w14:textId="77777777" w:rsidR="00593C78" w:rsidRDefault="00593C78">
      <w:pPr>
        <w:pStyle w:val="Style0"/>
        <w:tabs>
          <w:tab w:val="left" w:pos="0"/>
          <w:tab w:val="left" w:pos="417"/>
          <w:tab w:val="left" w:pos="835"/>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1554"/>
        <w:rPr>
          <w:rFonts w:ascii="Times New Roman" w:hAnsi="Times New Roman" w:cs="Times New Roman"/>
        </w:rPr>
      </w:pPr>
    </w:p>
    <w:p w14:paraId="5329879E" w14:textId="77777777" w:rsidR="00593C78" w:rsidRDefault="00593C78">
      <w:pPr>
        <w:pStyle w:val="Style0"/>
        <w:tabs>
          <w:tab w:val="left" w:pos="0"/>
          <w:tab w:val="left" w:pos="417"/>
          <w:tab w:val="left" w:pos="835"/>
          <w:tab w:val="left" w:pos="126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1260"/>
        <w:rPr>
          <w:rFonts w:ascii="Times New Roman" w:hAnsi="Times New Roman" w:cs="Times New Roman"/>
        </w:rPr>
      </w:pPr>
      <w:r>
        <w:rPr>
          <w:rFonts w:ascii="Times New Roman" w:hAnsi="Times New Roman" w:cs="Times New Roman"/>
        </w:rPr>
        <w:t>Lastly, IRS tax accounting conventions differ significantly from generally accepted accounting principles (GAAP), especially in areas of income recognition and depreciation methods.  The QFR accounting policy adheres, as closely as possible, to GAAP.</w:t>
      </w:r>
    </w:p>
    <w:p w14:paraId="7B449E26" w14:textId="77777777" w:rsidR="00593C78" w:rsidRDefault="00593C78">
      <w:pPr>
        <w:pStyle w:val="Style0"/>
        <w:tabs>
          <w:tab w:val="left" w:pos="0"/>
          <w:tab w:val="left" w:pos="417"/>
          <w:tab w:val="left" w:pos="835"/>
          <w:tab w:val="left" w:pos="126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1260"/>
        <w:rPr>
          <w:rFonts w:ascii="Times New Roman" w:hAnsi="Times New Roman" w:cs="Times New Roman"/>
        </w:rPr>
      </w:pPr>
    </w:p>
    <w:p w14:paraId="12740B46" w14:textId="77777777" w:rsidR="00593C78" w:rsidRDefault="00593C78">
      <w:pPr>
        <w:pStyle w:val="Style0"/>
        <w:numPr>
          <w:ilvl w:val="0"/>
          <w:numId w:val="18"/>
        </w:numPr>
        <w:tabs>
          <w:tab w:val="clear" w:pos="1554"/>
          <w:tab w:val="left" w:pos="0"/>
          <w:tab w:val="left" w:pos="417"/>
          <w:tab w:val="left" w:pos="720"/>
          <w:tab w:val="left" w:pos="126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720" w:firstLine="0"/>
        <w:rPr>
          <w:rFonts w:ascii="Times New Roman" w:hAnsi="Times New Roman" w:cs="Times New Roman"/>
          <w:b/>
          <w:bCs/>
          <w:u w:val="single"/>
        </w:rPr>
      </w:pPr>
      <w:r w:rsidRPr="003F2FCC">
        <w:rPr>
          <w:rFonts w:ascii="Times New Roman" w:hAnsi="Times New Roman" w:cs="Times New Roman"/>
          <w:b/>
          <w:bCs/>
          <w:u w:val="single"/>
        </w:rPr>
        <w:t>S</w:t>
      </w:r>
      <w:r w:rsidR="00D63E94" w:rsidRPr="003F2FCC">
        <w:rPr>
          <w:rFonts w:ascii="Times New Roman" w:hAnsi="Times New Roman" w:cs="Times New Roman"/>
          <w:b/>
          <w:bCs/>
          <w:u w:val="single"/>
        </w:rPr>
        <w:t>ecurity Exchange Commis</w:t>
      </w:r>
      <w:r w:rsidR="003F2FCC">
        <w:rPr>
          <w:rFonts w:ascii="Times New Roman" w:hAnsi="Times New Roman" w:cs="Times New Roman"/>
          <w:b/>
          <w:bCs/>
          <w:u w:val="single"/>
        </w:rPr>
        <w:t>s</w:t>
      </w:r>
      <w:r w:rsidR="00D63E94" w:rsidRPr="003F2FCC">
        <w:rPr>
          <w:rFonts w:ascii="Times New Roman" w:hAnsi="Times New Roman" w:cs="Times New Roman"/>
          <w:b/>
          <w:bCs/>
          <w:u w:val="single"/>
        </w:rPr>
        <w:t>ion (S</w:t>
      </w:r>
      <w:r w:rsidRPr="003F2FCC">
        <w:rPr>
          <w:rFonts w:ascii="Times New Roman" w:hAnsi="Times New Roman" w:cs="Times New Roman"/>
          <w:b/>
          <w:bCs/>
          <w:u w:val="single"/>
        </w:rPr>
        <w:t>EC</w:t>
      </w:r>
      <w:r w:rsidR="00D63E94" w:rsidRPr="003F2FCC">
        <w:rPr>
          <w:rFonts w:ascii="Times New Roman" w:hAnsi="Times New Roman" w:cs="Times New Roman"/>
          <w:b/>
          <w:bCs/>
          <w:u w:val="single"/>
        </w:rPr>
        <w:t>)</w:t>
      </w:r>
      <w:r>
        <w:rPr>
          <w:rFonts w:ascii="Times New Roman" w:hAnsi="Times New Roman" w:cs="Times New Roman"/>
          <w:b/>
          <w:bCs/>
          <w:u w:val="single"/>
        </w:rPr>
        <w:t xml:space="preserve"> Form 10-Q</w:t>
      </w:r>
    </w:p>
    <w:p w14:paraId="08E12C76" w14:textId="77777777" w:rsidR="00593C78" w:rsidRDefault="00593C78">
      <w:pPr>
        <w:pStyle w:val="Style0"/>
        <w:tabs>
          <w:tab w:val="left" w:pos="0"/>
          <w:tab w:val="left" w:pos="417"/>
          <w:tab w:val="left" w:pos="835"/>
          <w:tab w:val="left" w:pos="1260"/>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1554"/>
        <w:rPr>
          <w:rFonts w:ascii="Times New Roman" w:hAnsi="Times New Roman" w:cs="Times New Roman"/>
          <w:b/>
          <w:bCs/>
          <w:u w:val="single"/>
        </w:rPr>
      </w:pPr>
    </w:p>
    <w:p w14:paraId="41736EE7" w14:textId="77777777" w:rsidR="00593C78" w:rsidRDefault="00593C78">
      <w:pPr>
        <w:pStyle w:val="Style0"/>
        <w:tabs>
          <w:tab w:val="left" w:pos="0"/>
          <w:tab w:val="left" w:pos="417"/>
          <w:tab w:val="left" w:pos="835"/>
          <w:tab w:val="left" w:pos="126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1260"/>
        <w:rPr>
          <w:rFonts w:ascii="Times New Roman" w:hAnsi="Times New Roman" w:cs="Times New Roman"/>
        </w:rPr>
      </w:pPr>
      <w:r>
        <w:rPr>
          <w:rFonts w:ascii="Times New Roman" w:hAnsi="Times New Roman" w:cs="Times New Roman"/>
        </w:rPr>
        <w:t>The 10-Q is the quarterly financial form filed with the SEC by publicly held corporations.  While both the QFR and 10-Q are quarterly, there are significant differences between them that are especially critical to GDI and Flow of Funds calculations. The QFR is designed to provide users with financial data on a domestic basis; the 10-Q reflects worldwide information on U.S. corporations. Without specialized QFR reporting rules, foreign operations of multinational corporations would be included in QFR data and in turn result in overstatement of GDI movements and levels.  Similarly, QFR rules designed to provide the FRB with data for the nonfinancial sector ensure against the overstatement in the Flow of Funds that would be created if 10-Q data were used.  Another significant difference is in the level of QFR detail on debt structure and security holdings as required by the FRB.  Also, in contrast to QFR data, the 10-Q financial statements are not standardized.  Thus, statistical aggregation using these statements would be costly to execute and would contain accounting classification inconsistencies.</w:t>
      </w:r>
    </w:p>
    <w:p w14:paraId="04726B10" w14:textId="77777777" w:rsidR="00CD5F28" w:rsidRDefault="00CD5F28">
      <w:pPr>
        <w:pStyle w:val="Style0"/>
        <w:tabs>
          <w:tab w:val="left" w:pos="0"/>
          <w:tab w:val="left" w:pos="417"/>
          <w:tab w:val="left" w:pos="835"/>
          <w:tab w:val="left" w:pos="126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1260"/>
        <w:rPr>
          <w:rFonts w:ascii="Times New Roman" w:hAnsi="Times New Roman" w:cs="Times New Roman"/>
        </w:rPr>
      </w:pPr>
    </w:p>
    <w:p w14:paraId="348201CE" w14:textId="77777777" w:rsidR="00593C78" w:rsidRDefault="00593C78">
      <w:pPr>
        <w:pStyle w:val="Style0"/>
        <w:tabs>
          <w:tab w:val="left" w:pos="0"/>
          <w:tab w:val="left" w:pos="417"/>
          <w:tab w:val="left" w:pos="835"/>
          <w:tab w:val="left" w:pos="126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1260"/>
        <w:rPr>
          <w:rFonts w:ascii="Times New Roman" w:hAnsi="Times New Roman" w:cs="Times New Roman"/>
        </w:rPr>
      </w:pPr>
      <w:r>
        <w:rPr>
          <w:rFonts w:ascii="Times New Roman" w:hAnsi="Times New Roman" w:cs="Times New Roman"/>
        </w:rPr>
        <w:t xml:space="preserve">Lastly, the 10-Q filing due date is 35 days after the end of each quarter; QFR reports are due within 25 days.  The 25-day QFR filing requirement was established to ensure adequate response time for preparation of special preliminary tabulations used in BEA's first revision of GDI, approximately 45 days after each quarterly closing.  </w:t>
      </w:r>
    </w:p>
    <w:p w14:paraId="7A8C1021" w14:textId="77777777" w:rsidR="00593C78" w:rsidRDefault="00593C78">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rPr>
          <w:rFonts w:ascii="Times New Roman" w:hAnsi="Times New Roman" w:cs="Times New Roman"/>
        </w:rPr>
      </w:pPr>
    </w:p>
    <w:p w14:paraId="6A53A916" w14:textId="77777777" w:rsidR="00593C78" w:rsidRDefault="00593C78">
      <w:pPr>
        <w:pStyle w:val="Style0"/>
        <w:numPr>
          <w:ilvl w:val="0"/>
          <w:numId w:val="18"/>
        </w:numPr>
        <w:tabs>
          <w:tab w:val="clear" w:pos="1554"/>
          <w:tab w:val="left" w:pos="0"/>
          <w:tab w:val="left" w:pos="417"/>
          <w:tab w:val="left" w:pos="720"/>
          <w:tab w:val="left" w:pos="1252"/>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720" w:firstLine="0"/>
        <w:rPr>
          <w:rFonts w:ascii="Times New Roman" w:hAnsi="Times New Roman" w:cs="Times New Roman"/>
          <w:b/>
          <w:bCs/>
          <w:u w:val="single"/>
        </w:rPr>
      </w:pPr>
      <w:r>
        <w:rPr>
          <w:rFonts w:ascii="Times New Roman" w:hAnsi="Times New Roman" w:cs="Times New Roman"/>
          <w:b/>
          <w:bCs/>
          <w:u w:val="single"/>
        </w:rPr>
        <w:t>Census Bureau Forms</w:t>
      </w:r>
    </w:p>
    <w:p w14:paraId="268AAECC" w14:textId="77777777" w:rsidR="00593C78" w:rsidRDefault="00593C78">
      <w:pPr>
        <w:pStyle w:val="Style0"/>
        <w:tabs>
          <w:tab w:val="left" w:pos="0"/>
          <w:tab w:val="left" w:pos="417"/>
          <w:tab w:val="left" w:pos="835"/>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834"/>
        <w:rPr>
          <w:rFonts w:ascii="Times New Roman" w:hAnsi="Times New Roman" w:cs="Times New Roman"/>
        </w:rPr>
      </w:pPr>
    </w:p>
    <w:p w14:paraId="3160A0FA" w14:textId="77777777" w:rsidR="00593C78" w:rsidRDefault="00593C78">
      <w:pPr>
        <w:pStyle w:val="Style0"/>
        <w:tabs>
          <w:tab w:val="left" w:pos="0"/>
          <w:tab w:val="left" w:pos="417"/>
          <w:tab w:val="left" w:pos="835"/>
          <w:tab w:val="left" w:pos="126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1260"/>
        <w:rPr>
          <w:rFonts w:ascii="Times New Roman" w:hAnsi="Times New Roman" w:cs="Times New Roman"/>
        </w:rPr>
      </w:pPr>
      <w:r>
        <w:rPr>
          <w:rFonts w:ascii="Times New Roman" w:hAnsi="Times New Roman" w:cs="Times New Roman"/>
        </w:rPr>
        <w:t xml:space="preserve">Other Census Bureau data are inappropriate for the specific QFR user needs listed above for two reasons.   First, they are for the most part establishment or physical location based data and do not present integrated financial statement information.  Second, the establishment data do not provide enterprise industry classification information, which is needed for compatibility with the IRS benchmark data. </w:t>
      </w:r>
    </w:p>
    <w:p w14:paraId="630C5AA1" w14:textId="77777777" w:rsidR="00593C78" w:rsidRDefault="00593C78">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left="720"/>
        <w:rPr>
          <w:rFonts w:ascii="Times New Roman" w:hAnsi="Times New Roman" w:cs="Times New Roman"/>
        </w:rPr>
      </w:pPr>
    </w:p>
    <w:p w14:paraId="6BFDBB16" w14:textId="77777777" w:rsidR="00593C78" w:rsidRDefault="00593C78">
      <w:pPr>
        <w:pStyle w:val="Style0"/>
        <w:tabs>
          <w:tab w:val="left" w:pos="0"/>
          <w:tab w:val="left" w:pos="417"/>
          <w:tab w:val="left" w:pos="835"/>
          <w:tab w:val="left" w:pos="126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1260"/>
        <w:rPr>
          <w:rFonts w:ascii="Times New Roman" w:hAnsi="Times New Roman" w:cs="Times New Roman"/>
        </w:rPr>
      </w:pPr>
      <w:r>
        <w:rPr>
          <w:rFonts w:ascii="Times New Roman" w:hAnsi="Times New Roman" w:cs="Times New Roman"/>
        </w:rPr>
        <w:t>Industry classification for establishments is based on employment or payroll, not receipts as it is for the QFR.  Where receipts are available, for example in manufacturing, information is not available to eliminate inter-plant transfers and therefore double counting in cases of vertical integration.</w:t>
      </w:r>
    </w:p>
    <w:p w14:paraId="7FFF2AB5" w14:textId="77777777" w:rsidR="00B51253" w:rsidRDefault="00B51253">
      <w:pPr>
        <w:pStyle w:val="Style0"/>
        <w:tabs>
          <w:tab w:val="left" w:pos="0"/>
          <w:tab w:val="left" w:pos="417"/>
          <w:tab w:val="left" w:pos="835"/>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834"/>
        <w:rPr>
          <w:rFonts w:ascii="Times New Roman" w:hAnsi="Times New Roman" w:cs="Times New Roman"/>
        </w:rPr>
      </w:pPr>
    </w:p>
    <w:p w14:paraId="7B165B5C" w14:textId="77777777" w:rsidR="001C3468" w:rsidRDefault="001C3468">
      <w:pPr>
        <w:pStyle w:val="Style0"/>
        <w:tabs>
          <w:tab w:val="left" w:pos="0"/>
          <w:tab w:val="left" w:pos="417"/>
          <w:tab w:val="left" w:pos="835"/>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834"/>
        <w:rPr>
          <w:rFonts w:ascii="Times New Roman" w:hAnsi="Times New Roman" w:cs="Times New Roman"/>
        </w:rPr>
      </w:pPr>
    </w:p>
    <w:p w14:paraId="23BBD122" w14:textId="77777777" w:rsidR="001C3468" w:rsidRDefault="001C3468">
      <w:pPr>
        <w:pStyle w:val="Style0"/>
        <w:tabs>
          <w:tab w:val="left" w:pos="0"/>
          <w:tab w:val="left" w:pos="417"/>
          <w:tab w:val="left" w:pos="835"/>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834"/>
        <w:rPr>
          <w:rFonts w:ascii="Times New Roman" w:hAnsi="Times New Roman" w:cs="Times New Roman"/>
        </w:rPr>
      </w:pPr>
    </w:p>
    <w:p w14:paraId="7752D0CD" w14:textId="77777777" w:rsidR="00593C78" w:rsidRDefault="00593C78">
      <w:pPr>
        <w:pStyle w:val="Style0"/>
        <w:tabs>
          <w:tab w:val="left" w:pos="0"/>
          <w:tab w:val="left" w:pos="417"/>
          <w:tab w:val="left" w:pos="720"/>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outlineLvl w:val="0"/>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t>5.</w:t>
      </w:r>
      <w:r>
        <w:rPr>
          <w:rFonts w:ascii="Times New Roman" w:hAnsi="Times New Roman" w:cs="Times New Roman"/>
        </w:rPr>
        <w:tab/>
      </w:r>
      <w:r>
        <w:rPr>
          <w:rFonts w:ascii="Times New Roman" w:hAnsi="Times New Roman" w:cs="Times New Roman"/>
          <w:b/>
          <w:bCs/>
          <w:u w:val="single"/>
        </w:rPr>
        <w:t>Minimizing Burden</w:t>
      </w:r>
    </w:p>
    <w:p w14:paraId="3F21454E" w14:textId="77777777" w:rsidR="00593C78" w:rsidRDefault="00593C78">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rPr>
          <w:rFonts w:ascii="Times New Roman" w:hAnsi="Times New Roman" w:cs="Times New Roman"/>
        </w:rPr>
      </w:pPr>
    </w:p>
    <w:p w14:paraId="7A6C8C7C" w14:textId="77777777" w:rsidR="00593C78" w:rsidRDefault="00593C78">
      <w:pPr>
        <w:pStyle w:val="Style0"/>
        <w:tabs>
          <w:tab w:val="left" w:pos="0"/>
          <w:tab w:val="left" w:pos="417"/>
          <w:tab w:val="left" w:pos="720"/>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left="835" w:hanging="835"/>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D013A7">
        <w:rPr>
          <w:rFonts w:ascii="Times New Roman" w:hAnsi="Times New Roman" w:cs="Times New Roman"/>
        </w:rPr>
        <w:tab/>
      </w:r>
      <w:r w:rsidR="00D013A7">
        <w:rPr>
          <w:rFonts w:ascii="Times New Roman" w:hAnsi="Times New Roman" w:cs="Times New Roman"/>
        </w:rPr>
        <w:tab/>
      </w:r>
      <w:r>
        <w:rPr>
          <w:rFonts w:ascii="Times New Roman" w:hAnsi="Times New Roman" w:cs="Times New Roman"/>
        </w:rPr>
        <w:t>Efforts to lessen the QFR reporting burden on small firms fall into three categories:</w:t>
      </w:r>
    </w:p>
    <w:p w14:paraId="3156785E" w14:textId="77777777" w:rsidR="00593C78" w:rsidRDefault="00593C78">
      <w:pPr>
        <w:pStyle w:val="Style0"/>
        <w:tabs>
          <w:tab w:val="left" w:pos="-416"/>
          <w:tab w:val="left" w:pos="-1"/>
          <w:tab w:val="left" w:pos="418"/>
          <w:tab w:val="left" w:pos="835"/>
          <w:tab w:val="left" w:pos="1252"/>
          <w:tab w:val="left" w:pos="1670"/>
          <w:tab w:val="left" w:pos="2346"/>
          <w:tab w:val="left" w:pos="3066"/>
          <w:tab w:val="left" w:pos="3786"/>
          <w:tab w:val="left" w:pos="4506"/>
          <w:tab w:val="left" w:pos="5226"/>
          <w:tab w:val="left" w:pos="5946"/>
          <w:tab w:val="left" w:pos="6666"/>
          <w:tab w:val="left" w:pos="7386"/>
          <w:tab w:val="left" w:pos="8106"/>
          <w:tab w:val="left" w:pos="8826"/>
          <w:tab w:val="left" w:pos="9546"/>
          <w:tab w:val="left" w:pos="10078"/>
          <w:tab w:val="left" w:pos="10798"/>
        </w:tabs>
        <w:spacing w:line="258" w:lineRule="auto"/>
        <w:rPr>
          <w:rFonts w:ascii="Times New Roman" w:hAnsi="Times New Roman" w:cs="Times New Roman"/>
        </w:rPr>
      </w:pPr>
    </w:p>
    <w:p w14:paraId="5D5489C9" w14:textId="77777777" w:rsidR="00593C78" w:rsidRDefault="00593C78">
      <w:pPr>
        <w:pStyle w:val="Style0"/>
        <w:tabs>
          <w:tab w:val="left" w:pos="-416"/>
          <w:tab w:val="left" w:pos="418"/>
          <w:tab w:val="left" w:pos="835"/>
          <w:tab w:val="left" w:pos="1260"/>
          <w:tab w:val="left" w:pos="1670"/>
          <w:tab w:val="left" w:pos="2346"/>
          <w:tab w:val="left" w:pos="3066"/>
          <w:tab w:val="left" w:pos="3786"/>
          <w:tab w:val="left" w:pos="4506"/>
          <w:tab w:val="left" w:pos="5226"/>
          <w:tab w:val="left" w:pos="5946"/>
          <w:tab w:val="left" w:pos="6666"/>
          <w:tab w:val="left" w:pos="7386"/>
          <w:tab w:val="left" w:pos="8106"/>
          <w:tab w:val="left" w:pos="8826"/>
          <w:tab w:val="left" w:pos="9546"/>
          <w:tab w:val="left" w:pos="10078"/>
          <w:tab w:val="left" w:pos="10798"/>
        </w:tabs>
        <w:spacing w:line="258" w:lineRule="auto"/>
        <w:ind w:left="1260"/>
        <w:rPr>
          <w:rFonts w:ascii="Times New Roman" w:hAnsi="Times New Roman" w:cs="Times New Roman"/>
        </w:rPr>
      </w:pPr>
      <w:r>
        <w:rPr>
          <w:rFonts w:ascii="Times New Roman" w:hAnsi="Times New Roman" w:cs="Times New Roman"/>
        </w:rPr>
        <w:t>Sample Design Used to Select Companies</w:t>
      </w:r>
    </w:p>
    <w:p w14:paraId="0F36C37B" w14:textId="77777777" w:rsidR="00593C78" w:rsidRDefault="00593C78">
      <w:pPr>
        <w:pStyle w:val="Style0"/>
        <w:tabs>
          <w:tab w:val="left" w:pos="417"/>
          <w:tab w:val="left" w:pos="835"/>
          <w:tab w:val="left" w:pos="1260"/>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left="1260"/>
        <w:rPr>
          <w:rFonts w:ascii="Times New Roman" w:hAnsi="Times New Roman" w:cs="Times New Roman"/>
        </w:rPr>
      </w:pPr>
      <w:r>
        <w:rPr>
          <w:rFonts w:ascii="Times New Roman" w:hAnsi="Times New Roman" w:cs="Times New Roman"/>
        </w:rPr>
        <w:t>Structure of Reporting Form and Related Filing Requirements</w:t>
      </w:r>
    </w:p>
    <w:p w14:paraId="42F608E5" w14:textId="77777777" w:rsidR="00593C78" w:rsidRDefault="00593C78">
      <w:pPr>
        <w:pStyle w:val="Style0"/>
        <w:tabs>
          <w:tab w:val="left" w:pos="417"/>
          <w:tab w:val="left" w:pos="835"/>
          <w:tab w:val="left" w:pos="1260"/>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left="1260"/>
        <w:rPr>
          <w:rFonts w:ascii="Times New Roman" w:hAnsi="Times New Roman" w:cs="Times New Roman"/>
        </w:rPr>
      </w:pPr>
      <w:r>
        <w:rPr>
          <w:rFonts w:ascii="Times New Roman" w:hAnsi="Times New Roman" w:cs="Times New Roman"/>
        </w:rPr>
        <w:t>Specific Program Actions to Reduce Burden (</w:t>
      </w:r>
      <w:r w:rsidR="00CA1CF3">
        <w:rPr>
          <w:rFonts w:ascii="Times New Roman" w:hAnsi="Times New Roman" w:cs="Times New Roman"/>
        </w:rPr>
        <w:t>2009</w:t>
      </w:r>
      <w:r>
        <w:rPr>
          <w:rFonts w:ascii="Times New Roman" w:hAnsi="Times New Roman" w:cs="Times New Roman"/>
        </w:rPr>
        <w:t xml:space="preserve"> to Present)</w:t>
      </w:r>
    </w:p>
    <w:p w14:paraId="73C01068" w14:textId="77777777" w:rsidR="00593C78" w:rsidRDefault="00593C78">
      <w:pPr>
        <w:pStyle w:val="Style0"/>
        <w:tabs>
          <w:tab w:val="left" w:pos="-416"/>
          <w:tab w:val="left" w:pos="-1"/>
          <w:tab w:val="left" w:pos="418"/>
          <w:tab w:val="left" w:pos="835"/>
          <w:tab w:val="left" w:pos="1252"/>
          <w:tab w:val="left" w:pos="1670"/>
          <w:tab w:val="left" w:pos="2346"/>
          <w:tab w:val="left" w:pos="3066"/>
          <w:tab w:val="left" w:pos="3786"/>
          <w:tab w:val="left" w:pos="4506"/>
          <w:tab w:val="left" w:pos="5226"/>
          <w:tab w:val="left" w:pos="5946"/>
          <w:tab w:val="left" w:pos="6666"/>
          <w:tab w:val="left" w:pos="7386"/>
          <w:tab w:val="left" w:pos="8106"/>
          <w:tab w:val="left" w:pos="8826"/>
          <w:tab w:val="left" w:pos="9546"/>
          <w:tab w:val="left" w:pos="10078"/>
          <w:tab w:val="left" w:pos="10798"/>
        </w:tabs>
        <w:spacing w:line="258" w:lineRule="auto"/>
        <w:outlineLvl w:val="0"/>
        <w:rPr>
          <w:rFonts w:ascii="Times New Roman" w:hAnsi="Times New Roman" w:cs="Times New Roman"/>
          <w:u w:val="single"/>
        </w:rPr>
      </w:pPr>
    </w:p>
    <w:p w14:paraId="2A42501B" w14:textId="77777777" w:rsidR="00593C78" w:rsidRDefault="00593C78" w:rsidP="0030620E">
      <w:pPr>
        <w:pStyle w:val="Style0"/>
        <w:numPr>
          <w:ilvl w:val="2"/>
          <w:numId w:val="15"/>
        </w:numPr>
        <w:tabs>
          <w:tab w:val="clear" w:pos="2340"/>
          <w:tab w:val="left" w:pos="-416"/>
          <w:tab w:val="left" w:pos="-1"/>
          <w:tab w:val="left" w:pos="418"/>
          <w:tab w:val="left" w:pos="1260"/>
          <w:tab w:val="left" w:pos="1670"/>
          <w:tab w:val="num" w:pos="2320"/>
          <w:tab w:val="left" w:pos="3066"/>
          <w:tab w:val="left" w:pos="3786"/>
          <w:tab w:val="left" w:pos="4506"/>
          <w:tab w:val="left" w:pos="5226"/>
          <w:tab w:val="left" w:pos="5946"/>
          <w:tab w:val="left" w:pos="6666"/>
          <w:tab w:val="left" w:pos="7386"/>
          <w:tab w:val="left" w:pos="8106"/>
          <w:tab w:val="left" w:pos="8826"/>
          <w:tab w:val="left" w:pos="9546"/>
          <w:tab w:val="left" w:pos="10078"/>
          <w:tab w:val="left" w:pos="10798"/>
        </w:tabs>
        <w:spacing w:line="258" w:lineRule="auto"/>
        <w:ind w:left="2330" w:hanging="1610"/>
        <w:outlineLvl w:val="0"/>
        <w:rPr>
          <w:rFonts w:ascii="Times New Roman" w:hAnsi="Times New Roman" w:cs="Times New Roman"/>
          <w:b/>
          <w:bCs/>
        </w:rPr>
      </w:pPr>
      <w:r>
        <w:rPr>
          <w:rFonts w:ascii="Times New Roman" w:hAnsi="Times New Roman" w:cs="Times New Roman"/>
          <w:b/>
          <w:bCs/>
          <w:u w:val="single"/>
        </w:rPr>
        <w:t>Sample Design Used to Select Small Manufacturing Companies</w:t>
      </w:r>
    </w:p>
    <w:p w14:paraId="4D07EC0E" w14:textId="77777777" w:rsidR="00593C78" w:rsidRDefault="00593C78" w:rsidP="0030620E">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hanging="1610"/>
        <w:rPr>
          <w:rFonts w:ascii="Times New Roman" w:hAnsi="Times New Roman" w:cs="Times New Roman"/>
        </w:rPr>
      </w:pPr>
    </w:p>
    <w:p w14:paraId="43F7C388" w14:textId="3D363B3B" w:rsidR="00593C78" w:rsidRDefault="00593C78" w:rsidP="0030620E">
      <w:pPr>
        <w:pStyle w:val="Style0"/>
        <w:tabs>
          <w:tab w:val="left" w:pos="-416"/>
          <w:tab w:val="left" w:pos="-1"/>
          <w:tab w:val="left" w:pos="1260"/>
          <w:tab w:val="left" w:pos="2346"/>
          <w:tab w:val="left" w:pos="3066"/>
          <w:tab w:val="left" w:pos="3786"/>
          <w:tab w:val="left" w:pos="4506"/>
          <w:tab w:val="left" w:pos="5226"/>
          <w:tab w:val="left" w:pos="5946"/>
          <w:tab w:val="left" w:pos="6666"/>
          <w:tab w:val="left" w:pos="7386"/>
          <w:tab w:val="left" w:pos="8106"/>
          <w:tab w:val="left" w:pos="8826"/>
          <w:tab w:val="left" w:pos="9546"/>
          <w:tab w:val="left" w:pos="10078"/>
          <w:tab w:val="left" w:pos="10798"/>
        </w:tabs>
        <w:spacing w:line="258" w:lineRule="auto"/>
        <w:ind w:left="1260" w:hanging="1260"/>
        <w:rPr>
          <w:rFonts w:ascii="Times New Roman" w:hAnsi="Times New Roman" w:cs="Times New Roman"/>
        </w:rPr>
      </w:pPr>
      <w:r>
        <w:rPr>
          <w:rFonts w:ascii="Times New Roman" w:hAnsi="Times New Roman" w:cs="Times New Roman"/>
        </w:rPr>
        <w:tab/>
        <w:t>The QFR sample includes less than 5 percent of small-asset size</w:t>
      </w:r>
      <w:r>
        <w:rPr>
          <w:rFonts w:ascii="Times New Roman" w:hAnsi="Times New Roman" w:cs="Times New Roman"/>
          <w:b/>
          <w:bCs/>
        </w:rPr>
        <w:t xml:space="preserve"> </w:t>
      </w:r>
      <w:r>
        <w:rPr>
          <w:rFonts w:ascii="Times New Roman" w:hAnsi="Times New Roman" w:cs="Times New Roman"/>
        </w:rPr>
        <w:t xml:space="preserve">manufacturing corporations.  </w:t>
      </w:r>
      <w:r w:rsidR="00236327">
        <w:rPr>
          <w:rFonts w:ascii="Times New Roman" w:hAnsi="Times New Roman" w:cs="Times New Roman"/>
        </w:rPr>
        <w:t xml:space="preserve">Prior to the Paperwork Reduction Act (PRA) of 1995, all companies with assets of $50 million or more were certainty companies, i.e., companies required to file on a continuing basis.  </w:t>
      </w:r>
      <w:r>
        <w:rPr>
          <w:rFonts w:ascii="Times New Roman" w:hAnsi="Times New Roman" w:cs="Times New Roman"/>
        </w:rPr>
        <w:t>Effective October 1, 1995, the PRA of 1995 required that companies with assets of less than $100 million be sampled.  To comply with the PRA and also ensure that there is sufficient number of companies from which to select the non-certainty sample, the take-all or certainty threshold of the QFR sample was raised to include only companies with assets of $250 million or more.  Companies with assets between $50 million and $250 million are sampled.  This change resulted in a reduction of the number of companies participating in the QFR by about 1,000, or approximately 10 percent.</w:t>
      </w:r>
    </w:p>
    <w:p w14:paraId="13150835" w14:textId="77777777" w:rsidR="00593C78" w:rsidRDefault="00593C78" w:rsidP="0030620E">
      <w:pPr>
        <w:pStyle w:val="Style0"/>
        <w:tabs>
          <w:tab w:val="left" w:pos="-416"/>
          <w:tab w:val="left" w:pos="-1"/>
          <w:tab w:val="left" w:pos="418"/>
          <w:tab w:val="left" w:pos="835"/>
          <w:tab w:val="left" w:pos="1252"/>
          <w:tab w:val="left" w:pos="1670"/>
          <w:tab w:val="left" w:pos="2346"/>
          <w:tab w:val="left" w:pos="3066"/>
          <w:tab w:val="left" w:pos="3786"/>
          <w:tab w:val="left" w:pos="4506"/>
          <w:tab w:val="left" w:pos="5226"/>
          <w:tab w:val="left" w:pos="5946"/>
          <w:tab w:val="left" w:pos="6666"/>
          <w:tab w:val="left" w:pos="7386"/>
          <w:tab w:val="left" w:pos="8106"/>
          <w:tab w:val="left" w:pos="8826"/>
          <w:tab w:val="left" w:pos="9546"/>
          <w:tab w:val="left" w:pos="10078"/>
          <w:tab w:val="left" w:pos="10798"/>
        </w:tabs>
        <w:spacing w:line="258" w:lineRule="auto"/>
        <w:ind w:left="1240" w:hanging="1610"/>
        <w:rPr>
          <w:rFonts w:ascii="Times New Roman" w:hAnsi="Times New Roman" w:cs="Times New Roman"/>
        </w:rPr>
      </w:pPr>
    </w:p>
    <w:p w14:paraId="28E89DE4" w14:textId="7A1A156F" w:rsidR="00593C78" w:rsidRDefault="0030620E" w:rsidP="0030620E">
      <w:pPr>
        <w:pStyle w:val="Style0"/>
        <w:tabs>
          <w:tab w:val="left" w:pos="-416"/>
          <w:tab w:val="left" w:pos="-1"/>
          <w:tab w:val="left" w:pos="418"/>
          <w:tab w:val="left" w:pos="835"/>
          <w:tab w:val="left" w:pos="1260"/>
          <w:tab w:val="left" w:pos="2346"/>
          <w:tab w:val="left" w:pos="3066"/>
          <w:tab w:val="left" w:pos="3786"/>
          <w:tab w:val="left" w:pos="4506"/>
          <w:tab w:val="left" w:pos="5226"/>
          <w:tab w:val="left" w:pos="5946"/>
          <w:tab w:val="left" w:pos="6666"/>
          <w:tab w:val="left" w:pos="7386"/>
          <w:tab w:val="left" w:pos="8106"/>
          <w:tab w:val="left" w:pos="8826"/>
          <w:tab w:val="left" w:pos="9546"/>
          <w:tab w:val="left" w:pos="10078"/>
          <w:tab w:val="left" w:pos="10798"/>
        </w:tabs>
        <w:spacing w:line="258" w:lineRule="auto"/>
        <w:ind w:left="1260" w:hanging="12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93C78">
        <w:rPr>
          <w:rFonts w:ascii="Times New Roman" w:hAnsi="Times New Roman" w:cs="Times New Roman"/>
        </w:rPr>
        <w:t xml:space="preserve">The PRA also established re-selection criteria for companies that have participated in the program.  </w:t>
      </w:r>
      <w:r w:rsidR="00593C78">
        <w:rPr>
          <w:rFonts w:ascii="Times New Roman" w:hAnsi="Times New Roman" w:cs="Times New Roman"/>
          <w:szCs w:val="20"/>
        </w:rPr>
        <w:t xml:space="preserve">Using the assets size criteria described above, companies with assets between $250,000 and $50 million are now ineligible for sample re-selection for a 10-year period following the completion of their 2-year reporting period; and companies with assets of at least $50 million but less than $250 million are now ineligible for sample re-selection for a 2-year period following the completion of their 2-year reporting period. </w:t>
      </w:r>
      <w:r w:rsidR="00593C78">
        <w:rPr>
          <w:rFonts w:ascii="Times New Roman" w:hAnsi="Times New Roman" w:cs="Times New Roman"/>
        </w:rPr>
        <w:t xml:space="preserve">This replacement scheme ensures that the same group of companies is not called upon to report continuously and that those chosen are burdened for a relatively short period of time.  The </w:t>
      </w:r>
      <w:r w:rsidR="00236327">
        <w:rPr>
          <w:rFonts w:ascii="Times New Roman" w:hAnsi="Times New Roman" w:cs="Times New Roman"/>
        </w:rPr>
        <w:t xml:space="preserve">current </w:t>
      </w:r>
      <w:r w:rsidR="00593C78">
        <w:rPr>
          <w:rFonts w:ascii="Times New Roman" w:hAnsi="Times New Roman" w:cs="Times New Roman"/>
        </w:rPr>
        <w:t>sample design eliminates any possibility of companies being re-selected in adjacent samples.</w:t>
      </w:r>
    </w:p>
    <w:p w14:paraId="7EFDF5FC" w14:textId="77777777" w:rsidR="00D63E94" w:rsidRDefault="00D63E94" w:rsidP="0030620E">
      <w:pPr>
        <w:pStyle w:val="Style0"/>
        <w:tabs>
          <w:tab w:val="left" w:pos="-416"/>
          <w:tab w:val="left" w:pos="-1"/>
          <w:tab w:val="left" w:pos="418"/>
          <w:tab w:val="left" w:pos="835"/>
          <w:tab w:val="left" w:pos="1620"/>
          <w:tab w:val="left" w:pos="1670"/>
          <w:tab w:val="left" w:pos="2346"/>
          <w:tab w:val="left" w:pos="3066"/>
          <w:tab w:val="left" w:pos="3786"/>
          <w:tab w:val="left" w:pos="4506"/>
          <w:tab w:val="left" w:pos="5226"/>
          <w:tab w:val="left" w:pos="5946"/>
          <w:tab w:val="left" w:pos="6666"/>
          <w:tab w:val="left" w:pos="7386"/>
          <w:tab w:val="left" w:pos="8106"/>
          <w:tab w:val="left" w:pos="8826"/>
          <w:tab w:val="left" w:pos="9546"/>
          <w:tab w:val="left" w:pos="10078"/>
          <w:tab w:val="left" w:pos="10798"/>
        </w:tabs>
        <w:spacing w:line="258" w:lineRule="auto"/>
        <w:ind w:left="1610" w:hanging="1610"/>
        <w:rPr>
          <w:rFonts w:ascii="Times New Roman" w:hAnsi="Times New Roman" w:cs="Times New Roman"/>
        </w:rPr>
      </w:pPr>
    </w:p>
    <w:p w14:paraId="6FD2D3A8" w14:textId="77777777" w:rsidR="00593C78" w:rsidRDefault="00593C78" w:rsidP="0030620E">
      <w:pPr>
        <w:pStyle w:val="Style0"/>
        <w:numPr>
          <w:ilvl w:val="0"/>
          <w:numId w:val="16"/>
        </w:numPr>
        <w:tabs>
          <w:tab w:val="clear" w:pos="1965"/>
          <w:tab w:val="left" w:pos="-416"/>
          <w:tab w:val="left" w:pos="-1"/>
          <w:tab w:val="left" w:pos="720"/>
          <w:tab w:val="left" w:pos="1260"/>
          <w:tab w:val="left" w:pos="1670"/>
          <w:tab w:val="num" w:pos="1945"/>
          <w:tab w:val="left" w:pos="2346"/>
          <w:tab w:val="left" w:pos="3066"/>
          <w:tab w:val="left" w:pos="3786"/>
          <w:tab w:val="left" w:pos="4506"/>
          <w:tab w:val="left" w:pos="5226"/>
          <w:tab w:val="left" w:pos="5946"/>
          <w:tab w:val="left" w:pos="6666"/>
          <w:tab w:val="left" w:pos="7386"/>
          <w:tab w:val="left" w:pos="8106"/>
          <w:tab w:val="left" w:pos="8826"/>
          <w:tab w:val="left" w:pos="9546"/>
          <w:tab w:val="left" w:pos="10078"/>
          <w:tab w:val="left" w:pos="10798"/>
        </w:tabs>
        <w:spacing w:line="258" w:lineRule="auto"/>
        <w:ind w:left="1955" w:hanging="1235"/>
        <w:outlineLvl w:val="0"/>
        <w:rPr>
          <w:rFonts w:ascii="Times New Roman" w:hAnsi="Times New Roman" w:cs="Times New Roman"/>
          <w:b/>
          <w:bCs/>
        </w:rPr>
      </w:pPr>
      <w:r>
        <w:rPr>
          <w:rFonts w:ascii="Times New Roman" w:hAnsi="Times New Roman" w:cs="Times New Roman"/>
          <w:b/>
          <w:bCs/>
          <w:u w:val="single"/>
        </w:rPr>
        <w:t>Structure of Reporting Form and Related Filing Requirements</w:t>
      </w:r>
    </w:p>
    <w:p w14:paraId="060ED1D7" w14:textId="77777777" w:rsidR="00593C78" w:rsidRDefault="00593C78" w:rsidP="0030620E">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hanging="1610"/>
        <w:rPr>
          <w:rFonts w:ascii="Times New Roman" w:hAnsi="Times New Roman" w:cs="Times New Roman"/>
        </w:rPr>
      </w:pPr>
    </w:p>
    <w:p w14:paraId="0194D7B0" w14:textId="77777777" w:rsidR="00593C78" w:rsidRDefault="00593C78" w:rsidP="008D53F9">
      <w:pPr>
        <w:pStyle w:val="Style0"/>
        <w:tabs>
          <w:tab w:val="left" w:pos="-416"/>
          <w:tab w:val="left" w:pos="-1"/>
          <w:tab w:val="left" w:pos="1260"/>
          <w:tab w:val="left" w:pos="2346"/>
          <w:tab w:val="left" w:pos="3066"/>
          <w:tab w:val="left" w:pos="3786"/>
          <w:tab w:val="left" w:pos="4506"/>
          <w:tab w:val="left" w:pos="5226"/>
          <w:tab w:val="left" w:pos="5946"/>
          <w:tab w:val="left" w:pos="6666"/>
          <w:tab w:val="left" w:pos="7386"/>
          <w:tab w:val="left" w:pos="8106"/>
          <w:tab w:val="left" w:pos="8826"/>
          <w:tab w:val="left" w:pos="9546"/>
          <w:tab w:val="left" w:pos="10078"/>
          <w:tab w:val="left" w:pos="10798"/>
        </w:tabs>
        <w:spacing w:line="258" w:lineRule="auto"/>
        <w:ind w:left="1260"/>
        <w:rPr>
          <w:rFonts w:ascii="Times New Roman" w:hAnsi="Times New Roman" w:cs="Times New Roman"/>
        </w:rPr>
      </w:pPr>
      <w:r>
        <w:rPr>
          <w:rFonts w:ascii="Times New Roman" w:hAnsi="Times New Roman" w:cs="Times New Roman"/>
        </w:rPr>
        <w:t>The QFR report forms adhere to a traditional financial statement format. Small companies are familiar with this type of reporting and can use already existing accounting records.  They do not have to perform a burdensome transition from company to Census Bureau format.</w:t>
      </w:r>
    </w:p>
    <w:p w14:paraId="46231F5A" w14:textId="77777777" w:rsidR="00593C78" w:rsidRDefault="00593C78" w:rsidP="0030620E">
      <w:pPr>
        <w:pStyle w:val="Style0"/>
        <w:tabs>
          <w:tab w:val="left" w:pos="-416"/>
          <w:tab w:val="left" w:pos="-1"/>
          <w:tab w:val="left" w:pos="418"/>
          <w:tab w:val="left" w:pos="835"/>
          <w:tab w:val="left" w:pos="1252"/>
          <w:tab w:val="left" w:pos="1670"/>
          <w:tab w:val="left" w:pos="2346"/>
          <w:tab w:val="left" w:pos="3066"/>
          <w:tab w:val="left" w:pos="3786"/>
          <w:tab w:val="left" w:pos="4506"/>
          <w:tab w:val="left" w:pos="5226"/>
          <w:tab w:val="left" w:pos="5946"/>
          <w:tab w:val="left" w:pos="6666"/>
          <w:tab w:val="left" w:pos="7386"/>
          <w:tab w:val="left" w:pos="8106"/>
          <w:tab w:val="left" w:pos="8826"/>
          <w:tab w:val="left" w:pos="9546"/>
          <w:tab w:val="left" w:pos="10078"/>
          <w:tab w:val="left" w:pos="10798"/>
        </w:tabs>
        <w:spacing w:line="258" w:lineRule="auto"/>
        <w:ind w:left="1250" w:hanging="1610"/>
        <w:rPr>
          <w:rFonts w:ascii="Times New Roman" w:hAnsi="Times New Roman" w:cs="Times New Roman"/>
        </w:rPr>
      </w:pPr>
      <w:r>
        <w:rPr>
          <w:rFonts w:ascii="Times New Roman" w:hAnsi="Times New Roman" w:cs="Times New Roman"/>
        </w:rPr>
        <w:tab/>
      </w:r>
    </w:p>
    <w:p w14:paraId="4C76A42D" w14:textId="77777777" w:rsidR="00593C78" w:rsidRDefault="00593C78" w:rsidP="008D53F9">
      <w:pPr>
        <w:pStyle w:val="Style0"/>
        <w:tabs>
          <w:tab w:val="left" w:pos="-416"/>
          <w:tab w:val="left" w:pos="-1"/>
          <w:tab w:val="left" w:pos="418"/>
          <w:tab w:val="left" w:pos="835"/>
          <w:tab w:val="left" w:pos="1260"/>
          <w:tab w:val="left" w:pos="2346"/>
          <w:tab w:val="left" w:pos="3066"/>
          <w:tab w:val="left" w:pos="3786"/>
          <w:tab w:val="left" w:pos="4506"/>
          <w:tab w:val="left" w:pos="5226"/>
          <w:tab w:val="left" w:pos="5946"/>
          <w:tab w:val="left" w:pos="6666"/>
          <w:tab w:val="left" w:pos="7386"/>
          <w:tab w:val="left" w:pos="8106"/>
          <w:tab w:val="left" w:pos="8826"/>
          <w:tab w:val="left" w:pos="9546"/>
          <w:tab w:val="left" w:pos="10078"/>
          <w:tab w:val="left" w:pos="10798"/>
        </w:tabs>
        <w:spacing w:line="258" w:lineRule="auto"/>
        <w:ind w:left="1260"/>
        <w:rPr>
          <w:rFonts w:ascii="Times New Roman" w:hAnsi="Times New Roman" w:cs="Times New Roman"/>
        </w:rPr>
      </w:pPr>
      <w:r>
        <w:rPr>
          <w:rFonts w:ascii="Times New Roman" w:hAnsi="Times New Roman" w:cs="Times New Roman"/>
        </w:rPr>
        <w:t>The Census Bureau also recognizes that the 25-day filing deadline for the QFR reports may precede the availability of current data for some corporations. Under these circumstances reporting extensions can be granted provided that data are received within publication deadlines.  Company estimates are considered acceptable when actual data are not available.  Audited data are not required.</w:t>
      </w:r>
    </w:p>
    <w:p w14:paraId="7E85278A" w14:textId="77777777" w:rsidR="00593C78" w:rsidRDefault="00593C78" w:rsidP="0030620E">
      <w:pPr>
        <w:pStyle w:val="Style0"/>
        <w:tabs>
          <w:tab w:val="left" w:pos="-416"/>
          <w:tab w:val="left" w:pos="-1"/>
          <w:tab w:val="left" w:pos="418"/>
          <w:tab w:val="left" w:pos="835"/>
          <w:tab w:val="left" w:pos="1252"/>
          <w:tab w:val="left" w:pos="1670"/>
          <w:tab w:val="left" w:pos="2346"/>
          <w:tab w:val="left" w:pos="3066"/>
          <w:tab w:val="left" w:pos="3786"/>
          <w:tab w:val="left" w:pos="4506"/>
          <w:tab w:val="left" w:pos="5226"/>
          <w:tab w:val="left" w:pos="5946"/>
          <w:tab w:val="left" w:pos="6666"/>
          <w:tab w:val="left" w:pos="7386"/>
          <w:tab w:val="left" w:pos="8106"/>
          <w:tab w:val="left" w:pos="8826"/>
          <w:tab w:val="left" w:pos="9546"/>
          <w:tab w:val="left" w:pos="10078"/>
          <w:tab w:val="left" w:pos="10798"/>
        </w:tabs>
        <w:spacing w:line="258" w:lineRule="auto"/>
        <w:ind w:left="1250" w:hanging="1610"/>
        <w:rPr>
          <w:rFonts w:ascii="Times New Roman" w:hAnsi="Times New Roman" w:cs="Times New Roman"/>
        </w:rPr>
      </w:pPr>
    </w:p>
    <w:p w14:paraId="554AC720" w14:textId="77777777" w:rsidR="00593C78" w:rsidRDefault="00593C78" w:rsidP="008D53F9">
      <w:pPr>
        <w:pStyle w:val="Style0"/>
        <w:tabs>
          <w:tab w:val="left" w:pos="-416"/>
          <w:tab w:val="left" w:pos="0"/>
          <w:tab w:val="left" w:pos="417"/>
          <w:tab w:val="left" w:pos="835"/>
          <w:tab w:val="left" w:pos="1260"/>
          <w:tab w:val="left" w:pos="2346"/>
          <w:tab w:val="left" w:pos="3066"/>
          <w:tab w:val="left" w:pos="3786"/>
          <w:tab w:val="left" w:pos="4506"/>
          <w:tab w:val="left" w:pos="5226"/>
          <w:tab w:val="left" w:pos="5946"/>
          <w:tab w:val="left" w:pos="6666"/>
          <w:tab w:val="left" w:pos="7386"/>
          <w:tab w:val="left" w:pos="8106"/>
          <w:tab w:val="left" w:pos="8826"/>
          <w:tab w:val="left" w:pos="9546"/>
          <w:tab w:val="left" w:pos="10080"/>
          <w:tab w:val="left" w:pos="10800"/>
        </w:tabs>
        <w:spacing w:line="258" w:lineRule="auto"/>
        <w:ind w:left="1260"/>
        <w:rPr>
          <w:rFonts w:ascii="Times New Roman" w:hAnsi="Times New Roman" w:cs="Times New Roman"/>
        </w:rPr>
      </w:pPr>
      <w:r>
        <w:rPr>
          <w:rFonts w:ascii="Times New Roman" w:hAnsi="Times New Roman" w:cs="Times New Roman"/>
        </w:rPr>
        <w:t>The QFR professional staff works with corporations experiencing compliance problems.  Toll-free telephone numbers have been established to enable companies to FAX their forms without incurring long-distance charges and to provide easy access to QFR staff.  Staff's expert advice about a company's specific problem(s) frequently results in burden reduction.</w:t>
      </w:r>
    </w:p>
    <w:p w14:paraId="30C60957" w14:textId="77777777" w:rsidR="00593C78" w:rsidRDefault="00593C78" w:rsidP="0030620E">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hanging="1610"/>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38612BF8" w14:textId="77777777" w:rsidR="00593C78" w:rsidRDefault="00593C78" w:rsidP="008D53F9">
      <w:pPr>
        <w:pStyle w:val="Style0"/>
        <w:numPr>
          <w:ilvl w:val="0"/>
          <w:numId w:val="16"/>
        </w:numPr>
        <w:tabs>
          <w:tab w:val="clear" w:pos="1965"/>
          <w:tab w:val="left" w:pos="0"/>
          <w:tab w:val="left" w:pos="417"/>
          <w:tab w:val="left" w:pos="1260"/>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left="1610" w:hanging="890"/>
        <w:outlineLvl w:val="0"/>
        <w:rPr>
          <w:rFonts w:ascii="Times New Roman" w:hAnsi="Times New Roman" w:cs="Times New Roman"/>
          <w:b/>
          <w:bCs/>
        </w:rPr>
      </w:pPr>
      <w:r>
        <w:rPr>
          <w:rFonts w:ascii="Times New Roman" w:hAnsi="Times New Roman" w:cs="Times New Roman"/>
          <w:b/>
          <w:bCs/>
          <w:u w:val="single"/>
        </w:rPr>
        <w:t>Specific Program Actions to Reduce Burden (</w:t>
      </w:r>
      <w:r w:rsidR="000C4EF4">
        <w:rPr>
          <w:rFonts w:ascii="Times New Roman" w:hAnsi="Times New Roman" w:cs="Times New Roman"/>
          <w:b/>
          <w:bCs/>
          <w:u w:val="single"/>
        </w:rPr>
        <w:t>2009</w:t>
      </w:r>
      <w:r>
        <w:rPr>
          <w:rFonts w:ascii="Times New Roman" w:hAnsi="Times New Roman" w:cs="Times New Roman"/>
          <w:b/>
          <w:bCs/>
          <w:u w:val="single"/>
        </w:rPr>
        <w:t xml:space="preserve"> to Present)</w:t>
      </w:r>
    </w:p>
    <w:p w14:paraId="02E08903" w14:textId="77777777" w:rsidR="00593C78" w:rsidRDefault="00593C78" w:rsidP="0030620E">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hanging="1610"/>
        <w:rPr>
          <w:rFonts w:ascii="Times New Roman" w:hAnsi="Times New Roman" w:cs="Times New Roman"/>
        </w:rPr>
      </w:pPr>
    </w:p>
    <w:p w14:paraId="50A6DF12" w14:textId="19ACB333" w:rsidR="00593C78" w:rsidRPr="0079369E" w:rsidRDefault="00593C78" w:rsidP="005C0DDD">
      <w:pPr>
        <w:pStyle w:val="Style0"/>
        <w:tabs>
          <w:tab w:val="left" w:pos="-416"/>
          <w:tab w:val="left" w:pos="-1"/>
          <w:tab w:val="left" w:pos="417"/>
          <w:tab w:val="left" w:pos="835"/>
          <w:tab w:val="left" w:pos="1252"/>
          <w:tab w:val="left" w:pos="2346"/>
          <w:tab w:val="left" w:pos="3066"/>
          <w:tab w:val="left" w:pos="3786"/>
          <w:tab w:val="left" w:pos="4506"/>
          <w:tab w:val="left" w:pos="5226"/>
          <w:tab w:val="left" w:pos="5946"/>
          <w:tab w:val="left" w:pos="6666"/>
          <w:tab w:val="left" w:pos="7386"/>
          <w:tab w:val="left" w:pos="8106"/>
          <w:tab w:val="left" w:pos="8826"/>
          <w:tab w:val="left" w:pos="9546"/>
          <w:tab w:val="left" w:pos="10078"/>
          <w:tab w:val="left" w:pos="10798"/>
        </w:tabs>
        <w:spacing w:line="258" w:lineRule="auto"/>
        <w:ind w:left="1260"/>
        <w:rPr>
          <w:rFonts w:ascii="Times New Roman" w:hAnsi="Times New Roman" w:cs="Times New Roman"/>
        </w:rPr>
      </w:pPr>
      <w:r>
        <w:rPr>
          <w:rFonts w:ascii="Times New Roman" w:hAnsi="Times New Roman" w:cs="Times New Roman"/>
        </w:rPr>
        <w:t xml:space="preserve">The QFR program has consistently sought to reduce reporting burdens for small </w:t>
      </w:r>
      <w:r w:rsidRPr="0079369E">
        <w:rPr>
          <w:rFonts w:ascii="Times New Roman" w:hAnsi="Times New Roman" w:cs="Times New Roman"/>
        </w:rPr>
        <w:t>and medium size firms.</w:t>
      </w:r>
      <w:r w:rsidR="006E6939">
        <w:rPr>
          <w:rFonts w:ascii="Times New Roman" w:hAnsi="Times New Roman" w:cs="Times New Roman"/>
        </w:rPr>
        <w:t xml:space="preserve">  </w:t>
      </w:r>
      <w:r w:rsidRPr="0079369E">
        <w:rPr>
          <w:rFonts w:ascii="Times New Roman" w:hAnsi="Times New Roman" w:cs="Times New Roman"/>
        </w:rPr>
        <w:t xml:space="preserve">During the </w:t>
      </w:r>
      <w:r w:rsidR="00415BF0" w:rsidRPr="0079369E">
        <w:rPr>
          <w:rFonts w:ascii="Times New Roman" w:hAnsi="Times New Roman" w:cs="Times New Roman"/>
        </w:rPr>
        <w:t xml:space="preserve">fourth </w:t>
      </w:r>
      <w:r w:rsidRPr="0079369E">
        <w:rPr>
          <w:rFonts w:ascii="Times New Roman" w:hAnsi="Times New Roman" w:cs="Times New Roman"/>
        </w:rPr>
        <w:t>quarter of 20</w:t>
      </w:r>
      <w:r w:rsidR="00415BF0" w:rsidRPr="0079369E">
        <w:rPr>
          <w:rFonts w:ascii="Times New Roman" w:hAnsi="Times New Roman" w:cs="Times New Roman"/>
        </w:rPr>
        <w:t>11</w:t>
      </w:r>
      <w:r w:rsidRPr="0079369E">
        <w:rPr>
          <w:rFonts w:ascii="Times New Roman" w:hAnsi="Times New Roman" w:cs="Times New Roman"/>
        </w:rPr>
        <w:t>, the QFR program introduced an encrypted</w:t>
      </w:r>
      <w:r w:rsidR="006E6939">
        <w:rPr>
          <w:rFonts w:ascii="Times New Roman" w:hAnsi="Times New Roman" w:cs="Times New Roman"/>
        </w:rPr>
        <w:t xml:space="preserve"> I</w:t>
      </w:r>
      <w:r w:rsidRPr="0079369E">
        <w:rPr>
          <w:rFonts w:ascii="Times New Roman" w:hAnsi="Times New Roman" w:cs="Times New Roman"/>
        </w:rPr>
        <w:t>nternet data collection system (Cen</w:t>
      </w:r>
      <w:r w:rsidR="00415BF0" w:rsidRPr="0079369E">
        <w:rPr>
          <w:rFonts w:ascii="Times New Roman" w:hAnsi="Times New Roman" w:cs="Times New Roman"/>
        </w:rPr>
        <w:t>turion</w:t>
      </w:r>
      <w:r w:rsidRPr="0079369E">
        <w:rPr>
          <w:rFonts w:ascii="Times New Roman" w:hAnsi="Times New Roman" w:cs="Times New Roman"/>
        </w:rPr>
        <w:t>) for use as a substitute for the paper form mailed to all companies.</w:t>
      </w:r>
    </w:p>
    <w:p w14:paraId="2CC89A65" w14:textId="77777777" w:rsidR="00D013A7" w:rsidRDefault="00D013A7" w:rsidP="0030620E">
      <w:pPr>
        <w:pStyle w:val="Style0"/>
        <w:tabs>
          <w:tab w:val="left" w:pos="-1"/>
          <w:tab w:val="left" w:pos="417"/>
          <w:tab w:val="left" w:pos="834"/>
          <w:tab w:val="left" w:pos="1252"/>
          <w:tab w:val="left" w:pos="1928"/>
          <w:tab w:val="left" w:pos="2648"/>
          <w:tab w:val="left" w:pos="3368"/>
          <w:tab w:val="left" w:pos="4088"/>
          <w:tab w:val="left" w:pos="4808"/>
          <w:tab w:val="left" w:pos="5528"/>
          <w:tab w:val="left" w:pos="6248"/>
          <w:tab w:val="left" w:pos="6968"/>
          <w:tab w:val="left" w:pos="7688"/>
          <w:tab w:val="left" w:pos="8408"/>
          <w:tab w:val="left" w:pos="9128"/>
          <w:tab w:val="left" w:pos="9358"/>
          <w:tab w:val="left" w:pos="10078"/>
          <w:tab w:val="left" w:pos="10798"/>
        </w:tabs>
        <w:spacing w:line="258" w:lineRule="auto"/>
        <w:ind w:left="1970" w:hanging="1610"/>
        <w:rPr>
          <w:rFonts w:ascii="Times New Roman" w:hAnsi="Times New Roman" w:cs="Times New Roman"/>
        </w:rPr>
      </w:pPr>
    </w:p>
    <w:p w14:paraId="26D7DAE7" w14:textId="77777777" w:rsidR="00593C78" w:rsidRDefault="00593C78">
      <w:pPr>
        <w:tabs>
          <w:tab w:val="left" w:pos="-1"/>
          <w:tab w:val="left" w:pos="416"/>
          <w:tab w:val="left" w:pos="720"/>
          <w:tab w:val="left" w:pos="1251"/>
          <w:tab w:val="left" w:pos="1669"/>
          <w:tab w:val="left" w:pos="1928"/>
          <w:tab w:val="left" w:pos="2648"/>
          <w:tab w:val="left" w:pos="3368"/>
          <w:tab w:val="left" w:pos="4088"/>
          <w:tab w:val="left" w:pos="4808"/>
          <w:tab w:val="left" w:pos="5528"/>
          <w:tab w:val="left" w:pos="6248"/>
          <w:tab w:val="left" w:pos="6968"/>
          <w:tab w:val="left" w:pos="7688"/>
          <w:tab w:val="left" w:pos="8408"/>
          <w:tab w:val="left" w:pos="9128"/>
          <w:tab w:val="left" w:pos="9358"/>
          <w:tab w:val="left" w:pos="10078"/>
          <w:tab w:val="left" w:pos="10798"/>
        </w:tabs>
        <w:spacing w:line="258" w:lineRule="auto"/>
      </w:pPr>
      <w:r>
        <w:tab/>
      </w:r>
      <w:r>
        <w:tab/>
      </w:r>
      <w:r>
        <w:rPr>
          <w:b/>
          <w:bCs/>
        </w:rPr>
        <w:t>6.</w:t>
      </w:r>
      <w:r>
        <w:tab/>
      </w:r>
      <w:r>
        <w:rPr>
          <w:b/>
          <w:bCs/>
          <w:u w:val="single"/>
        </w:rPr>
        <w:t>Consequence of Less Frequent Data Collection</w:t>
      </w:r>
    </w:p>
    <w:p w14:paraId="41F58AF6" w14:textId="77777777" w:rsidR="00593C78" w:rsidRDefault="00593C78">
      <w:pPr>
        <w:pStyle w:val="Style0"/>
        <w:tabs>
          <w:tab w:val="left" w:pos="0"/>
          <w:tab w:val="left" w:pos="417"/>
          <w:tab w:val="left" w:pos="835"/>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834"/>
        <w:rPr>
          <w:rFonts w:ascii="Times New Roman" w:hAnsi="Times New Roman" w:cs="Times New Roman"/>
        </w:rPr>
      </w:pPr>
    </w:p>
    <w:p w14:paraId="03E0DE4E" w14:textId="77777777" w:rsidR="00593C78" w:rsidRDefault="00593C78">
      <w:pPr>
        <w:pStyle w:val="Style0"/>
        <w:tabs>
          <w:tab w:val="left" w:pos="0"/>
          <w:tab w:val="left" w:pos="417"/>
          <w:tab w:val="left" w:pos="720"/>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720"/>
        <w:rPr>
          <w:rFonts w:ascii="Times New Roman" w:hAnsi="Times New Roman" w:cs="Times New Roman"/>
        </w:rPr>
      </w:pPr>
      <w:r>
        <w:rPr>
          <w:rFonts w:ascii="Times New Roman" w:hAnsi="Times New Roman" w:cs="Times New Roman"/>
        </w:rPr>
        <w:t xml:space="preserve">As explained in Item 1, the QFR data series is a principal economic indicator providing income statement and balance sheet data from publicly and privately held U.S. corporations on a quarterly basis as mandated by law.  </w:t>
      </w:r>
    </w:p>
    <w:p w14:paraId="64BD0F21" w14:textId="77777777" w:rsidR="00593C78" w:rsidRDefault="00593C78">
      <w:pPr>
        <w:pStyle w:val="Style0"/>
        <w:tabs>
          <w:tab w:val="left" w:pos="0"/>
          <w:tab w:val="left" w:pos="417"/>
          <w:tab w:val="left" w:pos="835"/>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834"/>
        <w:rPr>
          <w:rFonts w:ascii="Times New Roman" w:hAnsi="Times New Roman" w:cs="Times New Roman"/>
        </w:rPr>
      </w:pPr>
    </w:p>
    <w:p w14:paraId="43FA590D" w14:textId="77777777" w:rsidR="00593C78" w:rsidRDefault="00593C78">
      <w:pPr>
        <w:pStyle w:val="Style0"/>
        <w:tabs>
          <w:tab w:val="left" w:pos="0"/>
          <w:tab w:val="left" w:pos="417"/>
          <w:tab w:val="left" w:pos="720"/>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720"/>
        <w:rPr>
          <w:rFonts w:ascii="Times New Roman" w:hAnsi="Times New Roman" w:cs="Times New Roman"/>
        </w:rPr>
      </w:pPr>
      <w:r>
        <w:rPr>
          <w:rFonts w:ascii="Times New Roman" w:hAnsi="Times New Roman" w:cs="Times New Roman"/>
        </w:rPr>
        <w:t>The frequency of the QFR data collection is based on the importance of these data to the quarterly GDI and Flow of Funds estimates.  The reliability of these estimates would be adversely affected if QFR data were collected less often.</w:t>
      </w:r>
    </w:p>
    <w:p w14:paraId="76372F6C" w14:textId="77777777" w:rsidR="00593C78" w:rsidRDefault="00593C78">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3E232B0F" w14:textId="77777777" w:rsidR="00593C78" w:rsidRDefault="00593C78">
      <w:pPr>
        <w:pStyle w:val="Style0"/>
        <w:tabs>
          <w:tab w:val="left" w:pos="0"/>
          <w:tab w:val="left" w:pos="417"/>
          <w:tab w:val="left" w:pos="720"/>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59524C">
        <w:rPr>
          <w:rFonts w:ascii="Times New Roman" w:hAnsi="Times New Roman" w:cs="Times New Roman"/>
          <w:b/>
          <w:bCs/>
        </w:rPr>
        <w:t>7</w:t>
      </w:r>
      <w:r>
        <w:rPr>
          <w:rFonts w:ascii="Times New Roman" w:hAnsi="Times New Roman" w:cs="Times New Roman"/>
          <w:b/>
          <w:bCs/>
        </w:rPr>
        <w:t>.</w:t>
      </w:r>
      <w:r>
        <w:rPr>
          <w:rFonts w:ascii="Times New Roman" w:hAnsi="Times New Roman" w:cs="Times New Roman"/>
          <w:b/>
          <w:bCs/>
        </w:rPr>
        <w:tab/>
      </w:r>
      <w:r>
        <w:rPr>
          <w:rFonts w:ascii="Times New Roman" w:hAnsi="Times New Roman" w:cs="Times New Roman"/>
          <w:b/>
          <w:bCs/>
          <w:u w:val="single"/>
        </w:rPr>
        <w:t>Special Circumstances</w:t>
      </w:r>
    </w:p>
    <w:p w14:paraId="6637BCC8" w14:textId="77777777" w:rsidR="00593C78" w:rsidRDefault="00593C78">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rPr>
          <w:rFonts w:ascii="Times New Roman" w:hAnsi="Times New Roman" w:cs="Times New Roman"/>
        </w:rPr>
      </w:pPr>
    </w:p>
    <w:p w14:paraId="035238CD" w14:textId="77777777" w:rsidR="00593C78" w:rsidRDefault="00593C78">
      <w:pPr>
        <w:pStyle w:val="Style0"/>
        <w:tabs>
          <w:tab w:val="left" w:pos="0"/>
          <w:tab w:val="left" w:pos="417"/>
          <w:tab w:val="left" w:pos="720"/>
          <w:tab w:val="left" w:pos="1251"/>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720"/>
        <w:rPr>
          <w:rFonts w:ascii="Times New Roman" w:hAnsi="Times New Roman" w:cs="Times New Roman"/>
        </w:rPr>
      </w:pPr>
      <w:r w:rsidRPr="009622E5">
        <w:rPr>
          <w:rFonts w:ascii="Times New Roman" w:hAnsi="Times New Roman" w:cs="Times New Roman"/>
        </w:rPr>
        <w:t>QFR forms are mailed to companies approximately 15 days in advance of the end of the period being collected, and companies are asked to return them within 25 days after the close of the reporting period.</w:t>
      </w:r>
      <w:r>
        <w:rPr>
          <w:rFonts w:ascii="Times New Roman" w:hAnsi="Times New Roman" w:cs="Times New Roman"/>
        </w:rPr>
        <w:t xml:space="preserve">  Early return is encouraged to satisfy the need for maximum coverage in special preliminary tabulations required by BEA for its first revision of quarterly GDI estimates.  As necessary, companies can also be granted filing extensions.</w:t>
      </w:r>
    </w:p>
    <w:p w14:paraId="0459B26B" w14:textId="77777777" w:rsidR="00593C78" w:rsidRDefault="00593C78">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rPr>
          <w:rFonts w:ascii="Times New Roman" w:hAnsi="Times New Roman" w:cs="Times New Roman"/>
        </w:rPr>
      </w:pPr>
    </w:p>
    <w:p w14:paraId="001E7138" w14:textId="77777777" w:rsidR="00593C78" w:rsidRDefault="00593C78">
      <w:pPr>
        <w:pStyle w:val="Style0"/>
        <w:numPr>
          <w:ilvl w:val="0"/>
          <w:numId w:val="13"/>
        </w:numPr>
        <w:tabs>
          <w:tab w:val="left" w:pos="0"/>
          <w:tab w:val="left" w:pos="417"/>
          <w:tab w:val="left" w:pos="720"/>
          <w:tab w:val="left" w:pos="835"/>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hanging="525"/>
        <w:outlineLvl w:val="0"/>
        <w:rPr>
          <w:rFonts w:ascii="Times New Roman" w:hAnsi="Times New Roman" w:cs="Times New Roman"/>
          <w:b/>
          <w:bCs/>
          <w:u w:val="single"/>
        </w:rPr>
      </w:pPr>
      <w:r>
        <w:rPr>
          <w:rFonts w:ascii="Times New Roman" w:hAnsi="Times New Roman" w:cs="Times New Roman"/>
          <w:b/>
          <w:bCs/>
          <w:u w:val="single"/>
        </w:rPr>
        <w:t>Consultations Outside the Agency</w:t>
      </w:r>
    </w:p>
    <w:p w14:paraId="2AEA1A3F" w14:textId="77777777" w:rsidR="00593C78" w:rsidRDefault="00593C78">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left="840"/>
        <w:outlineLvl w:val="0"/>
        <w:rPr>
          <w:rFonts w:ascii="Times New Roman" w:hAnsi="Times New Roman" w:cs="Times New Roman"/>
        </w:rPr>
      </w:pPr>
    </w:p>
    <w:p w14:paraId="71FDB436" w14:textId="585761D8" w:rsidR="001E056F" w:rsidRPr="00392413" w:rsidRDefault="00A24540" w:rsidP="001E056F">
      <w:pPr>
        <w:pStyle w:val="BodyTextIndent"/>
      </w:pPr>
      <w:r>
        <w:t>The Census Bureau published a notice in the Federal Register o</w:t>
      </w:r>
      <w:r w:rsidR="00593C78" w:rsidRPr="000118CB">
        <w:t xml:space="preserve">n </w:t>
      </w:r>
      <w:r w:rsidR="008F4041" w:rsidRPr="000118CB">
        <w:t>February 28, 2018</w:t>
      </w:r>
      <w:r>
        <w:t xml:space="preserve"> (Vol. 83, No. 40, pg. 8650) announcing its intent</w:t>
      </w:r>
      <w:r w:rsidR="00392413" w:rsidRPr="000118CB">
        <w:t xml:space="preserve"> to resubmit for </w:t>
      </w:r>
      <w:r w:rsidR="003260C9" w:rsidRPr="000118CB">
        <w:t xml:space="preserve">approval to OMB the three data collection forms used by the QFR program.  </w:t>
      </w:r>
      <w:r w:rsidR="003F4464" w:rsidRPr="000118CB">
        <w:t xml:space="preserve">We received </w:t>
      </w:r>
      <w:r w:rsidR="00694200">
        <w:t>one comment</w:t>
      </w:r>
      <w:r w:rsidR="003F4464" w:rsidRPr="000118CB">
        <w:t xml:space="preserve"> in response to the notice</w:t>
      </w:r>
      <w:r w:rsidR="00694200">
        <w:t>, a letter of support from</w:t>
      </w:r>
      <w:r w:rsidR="003F4464" w:rsidRPr="00694200">
        <w:t xml:space="preserve"> BEA.  We thank the BEA for its continued support for this collection.</w:t>
      </w:r>
      <w:r w:rsidR="003F4464" w:rsidRPr="00522DBF">
        <w:t xml:space="preserve"> </w:t>
      </w:r>
      <w:r w:rsidR="00694200">
        <w:t xml:space="preserve">See Attachment </w:t>
      </w:r>
      <w:r w:rsidR="001B0972">
        <w:t>A</w:t>
      </w:r>
      <w:r w:rsidR="00694200">
        <w:t xml:space="preserve"> for BEA’s letter of support. </w:t>
      </w:r>
      <w:r w:rsidR="00813A14" w:rsidRPr="00522DBF">
        <w:t xml:space="preserve"> </w:t>
      </w:r>
      <w:r w:rsidR="0055737A" w:rsidRPr="00392413">
        <w:t xml:space="preserve"> </w:t>
      </w:r>
      <w:r w:rsidR="005547EB" w:rsidRPr="00392413">
        <w:t xml:space="preserve">  </w:t>
      </w:r>
      <w:r w:rsidR="00B74D53" w:rsidRPr="00392413">
        <w:t xml:space="preserve"> </w:t>
      </w:r>
    </w:p>
    <w:p w14:paraId="2CF76E4C" w14:textId="77777777" w:rsidR="0055737A" w:rsidRDefault="0055737A" w:rsidP="001E056F">
      <w:pPr>
        <w:pStyle w:val="BodyTextIndent"/>
      </w:pPr>
    </w:p>
    <w:p w14:paraId="5E1FE0E0" w14:textId="1E851596" w:rsidR="0090205B" w:rsidRDefault="00593C78" w:rsidP="0090205B">
      <w:pPr>
        <w:pStyle w:val="BodyTextIndent"/>
      </w:pPr>
      <w:r w:rsidRPr="00392413">
        <w:t xml:space="preserve">Consultation with the QFR’s primary users occurs on a continuing basis.  Open lines of communication have been established to address changes in accounting conventions, business practices, and economic conditions that can affect the usefulness of QFR data.  </w:t>
      </w:r>
      <w:r w:rsidRPr="0090205B">
        <w:t xml:space="preserve">Also, BEA (primarily </w:t>
      </w:r>
      <w:r w:rsidR="0090205B">
        <w:t xml:space="preserve">Dennis Fixler, 301-278-9607, </w:t>
      </w:r>
      <w:hyperlink r:id="rId11" w:history="1">
        <w:r w:rsidR="0090205B" w:rsidRPr="0090205B">
          <w:rPr>
            <w:rStyle w:val="Hyperlink"/>
            <w:color w:val="auto"/>
            <w:u w:val="none"/>
          </w:rPr>
          <w:t>dennis.fixler@bea.gov</w:t>
        </w:r>
      </w:hyperlink>
      <w:r w:rsidR="0090205B">
        <w:t>)</w:t>
      </w:r>
    </w:p>
    <w:p w14:paraId="2B4F206B" w14:textId="0291F322" w:rsidR="000E2C8E" w:rsidRDefault="00593C78" w:rsidP="0090205B">
      <w:pPr>
        <w:pStyle w:val="BodyTextIndent"/>
      </w:pPr>
      <w:r w:rsidRPr="0090205B">
        <w:t xml:space="preserve"> and FRB (primarily</w:t>
      </w:r>
      <w:r w:rsidRPr="0090205B">
        <w:rPr>
          <w:color w:val="FF0000"/>
        </w:rPr>
        <w:t xml:space="preserve"> </w:t>
      </w:r>
      <w:r w:rsidR="00B63D30">
        <w:t>Paul Smith,</w:t>
      </w:r>
      <w:r w:rsidR="0090205B">
        <w:t xml:space="preserve"> </w:t>
      </w:r>
      <w:hyperlink r:id="rId12" w:history="1">
        <w:r w:rsidR="0090205B" w:rsidRPr="0090205B">
          <w:rPr>
            <w:rStyle w:val="Hyperlink"/>
            <w:color w:val="auto"/>
            <w:u w:val="none"/>
          </w:rPr>
          <w:t>paul.a.smith@frb.gov</w:t>
        </w:r>
      </w:hyperlink>
      <w:r w:rsidRPr="0090205B">
        <w:t>) frequently propose program changes that would improve the contribution of the QFR data to GDI and the Flow of Funds estimates.</w:t>
      </w:r>
      <w:r>
        <w:t xml:space="preserve"> </w:t>
      </w:r>
    </w:p>
    <w:p w14:paraId="159B754D" w14:textId="6DE285D7" w:rsidR="00593C78" w:rsidRDefault="00593C78" w:rsidP="000E2C8E">
      <w:pPr>
        <w:tabs>
          <w:tab w:val="left" w:pos="0"/>
          <w:tab w:val="left" w:pos="417"/>
          <w:tab w:val="left" w:pos="720"/>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720"/>
      </w:pPr>
    </w:p>
    <w:p w14:paraId="07EFC8F1" w14:textId="77777777" w:rsidR="0064619C" w:rsidRDefault="00593C78" w:rsidP="0064619C">
      <w:pPr>
        <w:pStyle w:val="Style0"/>
        <w:tabs>
          <w:tab w:val="left" w:pos="0"/>
          <w:tab w:val="left" w:pos="417"/>
          <w:tab w:val="left" w:pos="720"/>
          <w:tab w:val="left" w:pos="1251"/>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720"/>
        <w:rPr>
          <w:rFonts w:ascii="Times New Roman" w:hAnsi="Times New Roman" w:cs="Times New Roman"/>
        </w:rPr>
      </w:pPr>
      <w:r>
        <w:rPr>
          <w:rFonts w:ascii="Times New Roman" w:hAnsi="Times New Roman" w:cs="Times New Roman"/>
        </w:rPr>
        <w:t>Changes in GAAP and business practices affect the reporting community, generally large corporations, and require adjustments in the QFR program.  The QFR professional staff regularly contacts these large companies to discuss such changes and provide QFR reporting guidance.  These contacts ensure that our data requests are clearly stated and that each company is supplying information with minimal effort.  This one-on-one approach, on a professional level, is necessary because of the differences in accounting systems and treatment</w:t>
      </w:r>
      <w:r w:rsidR="0064619C">
        <w:rPr>
          <w:rFonts w:ascii="Times New Roman" w:hAnsi="Times New Roman" w:cs="Times New Roman"/>
        </w:rPr>
        <w:t>s used by reporting companies.</w:t>
      </w:r>
    </w:p>
    <w:p w14:paraId="14FC8159" w14:textId="77777777" w:rsidR="00AE0F1D" w:rsidRDefault="00AE0F1D">
      <w:pPr>
        <w:ind w:left="834"/>
      </w:pPr>
    </w:p>
    <w:p w14:paraId="35FAE4DC" w14:textId="77777777" w:rsidR="00593C78" w:rsidRDefault="00593C78" w:rsidP="00023FEF">
      <w:pPr>
        <w:pStyle w:val="Style0"/>
        <w:numPr>
          <w:ilvl w:val="0"/>
          <w:numId w:val="13"/>
        </w:numPr>
        <w:tabs>
          <w:tab w:val="left" w:pos="0"/>
          <w:tab w:val="left" w:pos="417"/>
          <w:tab w:val="left" w:pos="900"/>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outlineLvl w:val="0"/>
        <w:rPr>
          <w:rFonts w:ascii="Times New Roman" w:hAnsi="Times New Roman" w:cs="Times New Roman"/>
          <w:b/>
          <w:bCs/>
          <w:u w:val="single"/>
        </w:rPr>
      </w:pPr>
      <w:r>
        <w:rPr>
          <w:rFonts w:ascii="Times New Roman" w:hAnsi="Times New Roman" w:cs="Times New Roman"/>
          <w:b/>
          <w:bCs/>
          <w:u w:val="single"/>
        </w:rPr>
        <w:t>Paying Respondents</w:t>
      </w:r>
    </w:p>
    <w:p w14:paraId="752AA83B" w14:textId="77777777" w:rsidR="00023FEF" w:rsidRDefault="00023FEF" w:rsidP="00023FEF">
      <w:pPr>
        <w:pStyle w:val="Style0"/>
        <w:tabs>
          <w:tab w:val="left" w:pos="0"/>
          <w:tab w:val="left" w:pos="417"/>
          <w:tab w:val="left" w:pos="900"/>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left="1245"/>
        <w:outlineLvl w:val="0"/>
        <w:rPr>
          <w:rFonts w:ascii="Times New Roman" w:hAnsi="Times New Roman" w:cs="Times New Roman"/>
        </w:rPr>
      </w:pPr>
    </w:p>
    <w:p w14:paraId="0084D740" w14:textId="77777777" w:rsidR="00593C78" w:rsidRDefault="00593C78">
      <w:pPr>
        <w:pStyle w:val="Style0"/>
        <w:tabs>
          <w:tab w:val="left" w:pos="0"/>
          <w:tab w:val="left" w:pos="417"/>
          <w:tab w:val="left" w:pos="835"/>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834"/>
        <w:rPr>
          <w:rFonts w:ascii="Times New Roman" w:hAnsi="Times New Roman" w:cs="Times New Roman"/>
        </w:rPr>
      </w:pPr>
      <w:r>
        <w:rPr>
          <w:rFonts w:ascii="Times New Roman" w:hAnsi="Times New Roman" w:cs="Times New Roman"/>
        </w:rPr>
        <w:t>Currently there is no provision to pay respondents or provide them with material incentives.</w:t>
      </w:r>
    </w:p>
    <w:p w14:paraId="460E4AAD" w14:textId="77777777" w:rsidR="005E2C2D" w:rsidRDefault="005E2C2D">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rPr>
          <w:rFonts w:ascii="Times New Roman" w:hAnsi="Times New Roman" w:cs="Times New Roman"/>
        </w:rPr>
      </w:pPr>
    </w:p>
    <w:p w14:paraId="2D539B77" w14:textId="77777777" w:rsidR="00593C78" w:rsidRDefault="00593C78">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outlineLvl w:val="0"/>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t>10.</w:t>
      </w:r>
      <w:r>
        <w:rPr>
          <w:rFonts w:ascii="Times New Roman" w:hAnsi="Times New Roman" w:cs="Times New Roman"/>
          <w:b/>
          <w:bCs/>
        </w:rPr>
        <w:tab/>
      </w:r>
      <w:r>
        <w:rPr>
          <w:rFonts w:ascii="Times New Roman" w:hAnsi="Times New Roman" w:cs="Times New Roman"/>
          <w:b/>
          <w:bCs/>
          <w:u w:val="single"/>
        </w:rPr>
        <w:t>Assurance of Confidentiality</w:t>
      </w:r>
    </w:p>
    <w:p w14:paraId="7B7FE078" w14:textId="77777777" w:rsidR="00593C78" w:rsidRDefault="00593C78">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rPr>
          <w:rFonts w:ascii="Times New Roman" w:hAnsi="Times New Roman" w:cs="Times New Roman"/>
        </w:rPr>
      </w:pPr>
    </w:p>
    <w:p w14:paraId="73D35D4B" w14:textId="77777777" w:rsidR="00593C78" w:rsidRDefault="00593C78">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rPr>
          <w:rFonts w:ascii="Times New Roman" w:hAnsi="Times New Roman" w:cs="Times New Roman"/>
        </w:rPr>
        <w:sectPr w:rsidR="00593C78" w:rsidSect="00D40063">
          <w:type w:val="continuous"/>
          <w:pgSz w:w="12240" w:h="15840"/>
          <w:pgMar w:top="1080" w:right="1440" w:bottom="360" w:left="1440" w:header="1440" w:footer="1440" w:gutter="0"/>
          <w:cols w:space="720"/>
        </w:sectPr>
      </w:pPr>
    </w:p>
    <w:p w14:paraId="0EAEF046" w14:textId="0442AFF8" w:rsidR="00593C78" w:rsidRDefault="00A00F9F">
      <w:pPr>
        <w:pStyle w:val="Style0"/>
        <w:tabs>
          <w:tab w:val="left" w:pos="0"/>
          <w:tab w:val="left" w:pos="417"/>
          <w:tab w:val="left" w:pos="835"/>
          <w:tab w:val="left" w:pos="1251"/>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834"/>
        <w:rPr>
          <w:rFonts w:ascii="Times New Roman" w:hAnsi="Times New Roman" w:cs="Times New Roman"/>
        </w:rPr>
      </w:pPr>
      <w:r>
        <w:rPr>
          <w:rFonts w:ascii="Times New Roman" w:hAnsi="Times New Roman" w:cs="Times New Roman"/>
        </w:rPr>
        <w:t>All data collected in the QFR</w:t>
      </w:r>
      <w:r w:rsidRPr="00A00F9F">
        <w:rPr>
          <w:rFonts w:ascii="Times New Roman" w:hAnsi="Times New Roman" w:cs="Times New Roman"/>
        </w:rPr>
        <w:t xml:space="preserve"> survey are confidential under Title 13, United States Code, Section 9 and may be used only for statistical purposes.  </w:t>
      </w:r>
      <w:r w:rsidR="00593C78">
        <w:rPr>
          <w:rFonts w:ascii="Times New Roman" w:hAnsi="Times New Roman" w:cs="Times New Roman"/>
        </w:rPr>
        <w:t xml:space="preserve">Respondents are informed of the mandatory nature of the survey and the confidentiality of their reports in a letter accompanying the QFR survey questionnaire and in a statement on the questionnaire itself.  </w:t>
      </w:r>
    </w:p>
    <w:p w14:paraId="684461CD" w14:textId="77777777" w:rsidR="00643F2B" w:rsidRDefault="00593C78">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2268F467" w14:textId="77777777" w:rsidR="00593C78" w:rsidRDefault="00593C78">
      <w:pPr>
        <w:pStyle w:val="Style0"/>
        <w:tabs>
          <w:tab w:val="left" w:pos="0"/>
          <w:tab w:val="left" w:pos="417"/>
          <w:tab w:val="left" w:pos="835"/>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834" w:hanging="834"/>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11.</w:t>
      </w:r>
      <w:r>
        <w:rPr>
          <w:rFonts w:ascii="Times New Roman" w:hAnsi="Times New Roman" w:cs="Times New Roman"/>
          <w:b/>
          <w:bCs/>
        </w:rPr>
        <w:tab/>
      </w:r>
      <w:r>
        <w:rPr>
          <w:rFonts w:ascii="Times New Roman" w:hAnsi="Times New Roman" w:cs="Times New Roman"/>
          <w:b/>
          <w:bCs/>
          <w:u w:val="single"/>
        </w:rPr>
        <w:t>Justification for Sensitive Questions</w:t>
      </w:r>
    </w:p>
    <w:p w14:paraId="2F74E1B8" w14:textId="77777777" w:rsidR="00593C78" w:rsidRDefault="00593C78">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rPr>
          <w:rFonts w:ascii="Times New Roman" w:hAnsi="Times New Roman" w:cs="Times New Roman"/>
        </w:rPr>
      </w:pPr>
    </w:p>
    <w:p w14:paraId="32042291" w14:textId="77777777" w:rsidR="00593C78" w:rsidRDefault="00593C78">
      <w:pPr>
        <w:pStyle w:val="Style0"/>
        <w:tabs>
          <w:tab w:val="left" w:pos="-1"/>
          <w:tab w:val="left" w:pos="416"/>
          <w:tab w:val="left" w:pos="832"/>
          <w:tab w:val="left" w:pos="1251"/>
          <w:tab w:val="left" w:pos="1669"/>
          <w:tab w:val="left" w:pos="2086"/>
          <w:tab w:val="left" w:pos="2504"/>
          <w:tab w:val="left" w:pos="3181"/>
          <w:tab w:val="left" w:pos="3901"/>
          <w:tab w:val="left" w:pos="4621"/>
          <w:tab w:val="left" w:pos="5341"/>
          <w:tab w:val="left" w:pos="6061"/>
          <w:tab w:val="left" w:pos="6781"/>
          <w:tab w:val="left" w:pos="7501"/>
          <w:tab w:val="left" w:pos="8221"/>
          <w:tab w:val="left" w:pos="8941"/>
          <w:tab w:val="left" w:pos="9661"/>
          <w:tab w:val="left" w:pos="10381"/>
          <w:tab w:val="left" w:pos="10798"/>
        </w:tabs>
        <w:spacing w:line="258" w:lineRule="auto"/>
        <w:ind w:left="415"/>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t>No questions of a sensitive nature are asked.</w:t>
      </w:r>
    </w:p>
    <w:p w14:paraId="20C37908" w14:textId="30D0E589" w:rsidR="001C3468" w:rsidRDefault="001C3468">
      <w:pPr>
        <w:pStyle w:val="Style0"/>
        <w:tabs>
          <w:tab w:val="left" w:pos="-1"/>
          <w:tab w:val="left" w:pos="416"/>
          <w:tab w:val="left" w:pos="832"/>
          <w:tab w:val="left" w:pos="1251"/>
          <w:tab w:val="left" w:pos="1669"/>
          <w:tab w:val="left" w:pos="2086"/>
          <w:tab w:val="left" w:pos="2504"/>
          <w:tab w:val="left" w:pos="3181"/>
          <w:tab w:val="left" w:pos="3901"/>
          <w:tab w:val="left" w:pos="4621"/>
          <w:tab w:val="left" w:pos="5341"/>
          <w:tab w:val="left" w:pos="6061"/>
          <w:tab w:val="left" w:pos="6781"/>
          <w:tab w:val="left" w:pos="7501"/>
          <w:tab w:val="left" w:pos="8221"/>
          <w:tab w:val="left" w:pos="8941"/>
          <w:tab w:val="left" w:pos="9661"/>
          <w:tab w:val="left" w:pos="10381"/>
          <w:tab w:val="left" w:pos="10798"/>
        </w:tabs>
        <w:spacing w:line="258" w:lineRule="auto"/>
        <w:ind w:left="415"/>
        <w:outlineLvl w:val="0"/>
        <w:rPr>
          <w:rFonts w:ascii="Times New Roman" w:hAnsi="Times New Roman" w:cs="Times New Roman"/>
        </w:rPr>
      </w:pPr>
    </w:p>
    <w:p w14:paraId="59028678" w14:textId="1E47A470" w:rsidR="0090205B" w:rsidRDefault="0090205B">
      <w:pPr>
        <w:pStyle w:val="Style0"/>
        <w:tabs>
          <w:tab w:val="left" w:pos="-1"/>
          <w:tab w:val="left" w:pos="416"/>
          <w:tab w:val="left" w:pos="832"/>
          <w:tab w:val="left" w:pos="1251"/>
          <w:tab w:val="left" w:pos="1669"/>
          <w:tab w:val="left" w:pos="2086"/>
          <w:tab w:val="left" w:pos="2504"/>
          <w:tab w:val="left" w:pos="3181"/>
          <w:tab w:val="left" w:pos="3901"/>
          <w:tab w:val="left" w:pos="4621"/>
          <w:tab w:val="left" w:pos="5341"/>
          <w:tab w:val="left" w:pos="6061"/>
          <w:tab w:val="left" w:pos="6781"/>
          <w:tab w:val="left" w:pos="7501"/>
          <w:tab w:val="left" w:pos="8221"/>
          <w:tab w:val="left" w:pos="8941"/>
          <w:tab w:val="left" w:pos="9661"/>
          <w:tab w:val="left" w:pos="10381"/>
          <w:tab w:val="left" w:pos="10798"/>
        </w:tabs>
        <w:spacing w:line="258" w:lineRule="auto"/>
        <w:ind w:left="415"/>
        <w:outlineLvl w:val="0"/>
        <w:rPr>
          <w:rFonts w:ascii="Times New Roman" w:hAnsi="Times New Roman" w:cs="Times New Roman"/>
        </w:rPr>
      </w:pPr>
    </w:p>
    <w:p w14:paraId="3D7C237F" w14:textId="0BC2EC8E" w:rsidR="0090205B" w:rsidRDefault="0090205B">
      <w:pPr>
        <w:pStyle w:val="Style0"/>
        <w:tabs>
          <w:tab w:val="left" w:pos="-1"/>
          <w:tab w:val="left" w:pos="416"/>
          <w:tab w:val="left" w:pos="832"/>
          <w:tab w:val="left" w:pos="1251"/>
          <w:tab w:val="left" w:pos="1669"/>
          <w:tab w:val="left" w:pos="2086"/>
          <w:tab w:val="left" w:pos="2504"/>
          <w:tab w:val="left" w:pos="3181"/>
          <w:tab w:val="left" w:pos="3901"/>
          <w:tab w:val="left" w:pos="4621"/>
          <w:tab w:val="left" w:pos="5341"/>
          <w:tab w:val="left" w:pos="6061"/>
          <w:tab w:val="left" w:pos="6781"/>
          <w:tab w:val="left" w:pos="7501"/>
          <w:tab w:val="left" w:pos="8221"/>
          <w:tab w:val="left" w:pos="8941"/>
          <w:tab w:val="left" w:pos="9661"/>
          <w:tab w:val="left" w:pos="10381"/>
          <w:tab w:val="left" w:pos="10798"/>
        </w:tabs>
        <w:spacing w:line="258" w:lineRule="auto"/>
        <w:ind w:left="415"/>
        <w:outlineLvl w:val="0"/>
        <w:rPr>
          <w:rFonts w:ascii="Times New Roman" w:hAnsi="Times New Roman" w:cs="Times New Roman"/>
        </w:rPr>
      </w:pPr>
    </w:p>
    <w:p w14:paraId="4FF9CD04" w14:textId="4C9CEB90" w:rsidR="0090205B" w:rsidRDefault="0090205B">
      <w:pPr>
        <w:pStyle w:val="Style0"/>
        <w:tabs>
          <w:tab w:val="left" w:pos="-1"/>
          <w:tab w:val="left" w:pos="416"/>
          <w:tab w:val="left" w:pos="832"/>
          <w:tab w:val="left" w:pos="1251"/>
          <w:tab w:val="left" w:pos="1669"/>
          <w:tab w:val="left" w:pos="2086"/>
          <w:tab w:val="left" w:pos="2504"/>
          <w:tab w:val="left" w:pos="3181"/>
          <w:tab w:val="left" w:pos="3901"/>
          <w:tab w:val="left" w:pos="4621"/>
          <w:tab w:val="left" w:pos="5341"/>
          <w:tab w:val="left" w:pos="6061"/>
          <w:tab w:val="left" w:pos="6781"/>
          <w:tab w:val="left" w:pos="7501"/>
          <w:tab w:val="left" w:pos="8221"/>
          <w:tab w:val="left" w:pos="8941"/>
          <w:tab w:val="left" w:pos="9661"/>
          <w:tab w:val="left" w:pos="10381"/>
          <w:tab w:val="left" w:pos="10798"/>
        </w:tabs>
        <w:spacing w:line="258" w:lineRule="auto"/>
        <w:ind w:left="415"/>
        <w:outlineLvl w:val="0"/>
        <w:rPr>
          <w:rFonts w:ascii="Times New Roman" w:hAnsi="Times New Roman" w:cs="Times New Roman"/>
        </w:rPr>
      </w:pPr>
    </w:p>
    <w:p w14:paraId="3B05D372" w14:textId="1F76DF61" w:rsidR="0090205B" w:rsidRDefault="0090205B">
      <w:pPr>
        <w:pStyle w:val="Style0"/>
        <w:tabs>
          <w:tab w:val="left" w:pos="-1"/>
          <w:tab w:val="left" w:pos="416"/>
          <w:tab w:val="left" w:pos="832"/>
          <w:tab w:val="left" w:pos="1251"/>
          <w:tab w:val="left" w:pos="1669"/>
          <w:tab w:val="left" w:pos="2086"/>
          <w:tab w:val="left" w:pos="2504"/>
          <w:tab w:val="left" w:pos="3181"/>
          <w:tab w:val="left" w:pos="3901"/>
          <w:tab w:val="left" w:pos="4621"/>
          <w:tab w:val="left" w:pos="5341"/>
          <w:tab w:val="left" w:pos="6061"/>
          <w:tab w:val="left" w:pos="6781"/>
          <w:tab w:val="left" w:pos="7501"/>
          <w:tab w:val="left" w:pos="8221"/>
          <w:tab w:val="left" w:pos="8941"/>
          <w:tab w:val="left" w:pos="9661"/>
          <w:tab w:val="left" w:pos="10381"/>
          <w:tab w:val="left" w:pos="10798"/>
        </w:tabs>
        <w:spacing w:line="258" w:lineRule="auto"/>
        <w:ind w:left="415"/>
        <w:outlineLvl w:val="0"/>
        <w:rPr>
          <w:rFonts w:ascii="Times New Roman" w:hAnsi="Times New Roman" w:cs="Times New Roman"/>
        </w:rPr>
      </w:pPr>
    </w:p>
    <w:p w14:paraId="2E64543F" w14:textId="26420FFA" w:rsidR="0090205B" w:rsidRDefault="0090205B">
      <w:pPr>
        <w:pStyle w:val="Style0"/>
        <w:tabs>
          <w:tab w:val="left" w:pos="-1"/>
          <w:tab w:val="left" w:pos="416"/>
          <w:tab w:val="left" w:pos="832"/>
          <w:tab w:val="left" w:pos="1251"/>
          <w:tab w:val="left" w:pos="1669"/>
          <w:tab w:val="left" w:pos="2086"/>
          <w:tab w:val="left" w:pos="2504"/>
          <w:tab w:val="left" w:pos="3181"/>
          <w:tab w:val="left" w:pos="3901"/>
          <w:tab w:val="left" w:pos="4621"/>
          <w:tab w:val="left" w:pos="5341"/>
          <w:tab w:val="left" w:pos="6061"/>
          <w:tab w:val="left" w:pos="6781"/>
          <w:tab w:val="left" w:pos="7501"/>
          <w:tab w:val="left" w:pos="8221"/>
          <w:tab w:val="left" w:pos="8941"/>
          <w:tab w:val="left" w:pos="9661"/>
          <w:tab w:val="left" w:pos="10381"/>
          <w:tab w:val="left" w:pos="10798"/>
        </w:tabs>
        <w:spacing w:line="258" w:lineRule="auto"/>
        <w:ind w:left="415"/>
        <w:outlineLvl w:val="0"/>
        <w:rPr>
          <w:rFonts w:ascii="Times New Roman" w:hAnsi="Times New Roman" w:cs="Times New Roman"/>
        </w:rPr>
      </w:pPr>
    </w:p>
    <w:p w14:paraId="4F6BC349" w14:textId="392C62EF" w:rsidR="0090205B" w:rsidRDefault="0090205B">
      <w:pPr>
        <w:pStyle w:val="Style0"/>
        <w:tabs>
          <w:tab w:val="left" w:pos="-1"/>
          <w:tab w:val="left" w:pos="416"/>
          <w:tab w:val="left" w:pos="832"/>
          <w:tab w:val="left" w:pos="1251"/>
          <w:tab w:val="left" w:pos="1669"/>
          <w:tab w:val="left" w:pos="2086"/>
          <w:tab w:val="left" w:pos="2504"/>
          <w:tab w:val="left" w:pos="3181"/>
          <w:tab w:val="left" w:pos="3901"/>
          <w:tab w:val="left" w:pos="4621"/>
          <w:tab w:val="left" w:pos="5341"/>
          <w:tab w:val="left" w:pos="6061"/>
          <w:tab w:val="left" w:pos="6781"/>
          <w:tab w:val="left" w:pos="7501"/>
          <w:tab w:val="left" w:pos="8221"/>
          <w:tab w:val="left" w:pos="8941"/>
          <w:tab w:val="left" w:pos="9661"/>
          <w:tab w:val="left" w:pos="10381"/>
          <w:tab w:val="left" w:pos="10798"/>
        </w:tabs>
        <w:spacing w:line="258" w:lineRule="auto"/>
        <w:ind w:left="415"/>
        <w:outlineLvl w:val="0"/>
        <w:rPr>
          <w:rFonts w:ascii="Times New Roman" w:hAnsi="Times New Roman" w:cs="Times New Roman"/>
        </w:rPr>
      </w:pPr>
    </w:p>
    <w:p w14:paraId="76DC3AFF" w14:textId="505BF4E9" w:rsidR="0090205B" w:rsidRDefault="0090205B">
      <w:pPr>
        <w:pStyle w:val="Style0"/>
        <w:tabs>
          <w:tab w:val="left" w:pos="-1"/>
          <w:tab w:val="left" w:pos="416"/>
          <w:tab w:val="left" w:pos="832"/>
          <w:tab w:val="left" w:pos="1251"/>
          <w:tab w:val="left" w:pos="1669"/>
          <w:tab w:val="left" w:pos="2086"/>
          <w:tab w:val="left" w:pos="2504"/>
          <w:tab w:val="left" w:pos="3181"/>
          <w:tab w:val="left" w:pos="3901"/>
          <w:tab w:val="left" w:pos="4621"/>
          <w:tab w:val="left" w:pos="5341"/>
          <w:tab w:val="left" w:pos="6061"/>
          <w:tab w:val="left" w:pos="6781"/>
          <w:tab w:val="left" w:pos="7501"/>
          <w:tab w:val="left" w:pos="8221"/>
          <w:tab w:val="left" w:pos="8941"/>
          <w:tab w:val="left" w:pos="9661"/>
          <w:tab w:val="left" w:pos="10381"/>
          <w:tab w:val="left" w:pos="10798"/>
        </w:tabs>
        <w:spacing w:line="258" w:lineRule="auto"/>
        <w:ind w:left="415"/>
        <w:outlineLvl w:val="0"/>
        <w:rPr>
          <w:rFonts w:ascii="Times New Roman" w:hAnsi="Times New Roman" w:cs="Times New Roman"/>
        </w:rPr>
      </w:pPr>
    </w:p>
    <w:p w14:paraId="72CF712C" w14:textId="0AC4A887" w:rsidR="0090205B" w:rsidRDefault="0090205B">
      <w:pPr>
        <w:pStyle w:val="Style0"/>
        <w:tabs>
          <w:tab w:val="left" w:pos="-1"/>
          <w:tab w:val="left" w:pos="416"/>
          <w:tab w:val="left" w:pos="832"/>
          <w:tab w:val="left" w:pos="1251"/>
          <w:tab w:val="left" w:pos="1669"/>
          <w:tab w:val="left" w:pos="2086"/>
          <w:tab w:val="left" w:pos="2504"/>
          <w:tab w:val="left" w:pos="3181"/>
          <w:tab w:val="left" w:pos="3901"/>
          <w:tab w:val="left" w:pos="4621"/>
          <w:tab w:val="left" w:pos="5341"/>
          <w:tab w:val="left" w:pos="6061"/>
          <w:tab w:val="left" w:pos="6781"/>
          <w:tab w:val="left" w:pos="7501"/>
          <w:tab w:val="left" w:pos="8221"/>
          <w:tab w:val="left" w:pos="8941"/>
          <w:tab w:val="left" w:pos="9661"/>
          <w:tab w:val="left" w:pos="10381"/>
          <w:tab w:val="left" w:pos="10798"/>
        </w:tabs>
        <w:spacing w:line="258" w:lineRule="auto"/>
        <w:ind w:left="415"/>
        <w:outlineLvl w:val="0"/>
        <w:rPr>
          <w:rFonts w:ascii="Times New Roman" w:hAnsi="Times New Roman" w:cs="Times New Roman"/>
        </w:rPr>
      </w:pPr>
    </w:p>
    <w:p w14:paraId="358208CD" w14:textId="093EE50B" w:rsidR="0090205B" w:rsidRDefault="0090205B">
      <w:pPr>
        <w:pStyle w:val="Style0"/>
        <w:tabs>
          <w:tab w:val="left" w:pos="-1"/>
          <w:tab w:val="left" w:pos="416"/>
          <w:tab w:val="left" w:pos="832"/>
          <w:tab w:val="left" w:pos="1251"/>
          <w:tab w:val="left" w:pos="1669"/>
          <w:tab w:val="left" w:pos="2086"/>
          <w:tab w:val="left" w:pos="2504"/>
          <w:tab w:val="left" w:pos="3181"/>
          <w:tab w:val="left" w:pos="3901"/>
          <w:tab w:val="left" w:pos="4621"/>
          <w:tab w:val="left" w:pos="5341"/>
          <w:tab w:val="left" w:pos="6061"/>
          <w:tab w:val="left" w:pos="6781"/>
          <w:tab w:val="left" w:pos="7501"/>
          <w:tab w:val="left" w:pos="8221"/>
          <w:tab w:val="left" w:pos="8941"/>
          <w:tab w:val="left" w:pos="9661"/>
          <w:tab w:val="left" w:pos="10381"/>
          <w:tab w:val="left" w:pos="10798"/>
        </w:tabs>
        <w:spacing w:line="258" w:lineRule="auto"/>
        <w:ind w:left="415"/>
        <w:outlineLvl w:val="0"/>
        <w:rPr>
          <w:rFonts w:ascii="Times New Roman" w:hAnsi="Times New Roman" w:cs="Times New Roman"/>
        </w:rPr>
      </w:pPr>
    </w:p>
    <w:p w14:paraId="4CE594F6" w14:textId="023AAAFF" w:rsidR="0090205B" w:rsidRDefault="0090205B">
      <w:pPr>
        <w:pStyle w:val="Style0"/>
        <w:tabs>
          <w:tab w:val="left" w:pos="-1"/>
          <w:tab w:val="left" w:pos="416"/>
          <w:tab w:val="left" w:pos="832"/>
          <w:tab w:val="left" w:pos="1251"/>
          <w:tab w:val="left" w:pos="1669"/>
          <w:tab w:val="left" w:pos="2086"/>
          <w:tab w:val="left" w:pos="2504"/>
          <w:tab w:val="left" w:pos="3181"/>
          <w:tab w:val="left" w:pos="3901"/>
          <w:tab w:val="left" w:pos="4621"/>
          <w:tab w:val="left" w:pos="5341"/>
          <w:tab w:val="left" w:pos="6061"/>
          <w:tab w:val="left" w:pos="6781"/>
          <w:tab w:val="left" w:pos="7501"/>
          <w:tab w:val="left" w:pos="8221"/>
          <w:tab w:val="left" w:pos="8941"/>
          <w:tab w:val="left" w:pos="9661"/>
          <w:tab w:val="left" w:pos="10381"/>
          <w:tab w:val="left" w:pos="10798"/>
        </w:tabs>
        <w:spacing w:line="258" w:lineRule="auto"/>
        <w:ind w:left="415"/>
        <w:outlineLvl w:val="0"/>
        <w:rPr>
          <w:rFonts w:ascii="Times New Roman" w:hAnsi="Times New Roman" w:cs="Times New Roman"/>
        </w:rPr>
      </w:pPr>
    </w:p>
    <w:p w14:paraId="1FBEA872" w14:textId="77777777" w:rsidR="0090205B" w:rsidRDefault="0090205B">
      <w:pPr>
        <w:pStyle w:val="Style0"/>
        <w:tabs>
          <w:tab w:val="left" w:pos="-1"/>
          <w:tab w:val="left" w:pos="416"/>
          <w:tab w:val="left" w:pos="832"/>
          <w:tab w:val="left" w:pos="1251"/>
          <w:tab w:val="left" w:pos="1669"/>
          <w:tab w:val="left" w:pos="2086"/>
          <w:tab w:val="left" w:pos="2504"/>
          <w:tab w:val="left" w:pos="3181"/>
          <w:tab w:val="left" w:pos="3901"/>
          <w:tab w:val="left" w:pos="4621"/>
          <w:tab w:val="left" w:pos="5341"/>
          <w:tab w:val="left" w:pos="6061"/>
          <w:tab w:val="left" w:pos="6781"/>
          <w:tab w:val="left" w:pos="7501"/>
          <w:tab w:val="left" w:pos="8221"/>
          <w:tab w:val="left" w:pos="8941"/>
          <w:tab w:val="left" w:pos="9661"/>
          <w:tab w:val="left" w:pos="10381"/>
          <w:tab w:val="left" w:pos="10798"/>
        </w:tabs>
        <w:spacing w:line="258" w:lineRule="auto"/>
        <w:ind w:left="415"/>
        <w:outlineLvl w:val="0"/>
        <w:rPr>
          <w:rFonts w:ascii="Times New Roman" w:hAnsi="Times New Roman" w:cs="Times New Roman"/>
        </w:rPr>
      </w:pPr>
    </w:p>
    <w:p w14:paraId="0606F982" w14:textId="77777777" w:rsidR="00593C78" w:rsidRDefault="00D63E94">
      <w:pPr>
        <w:pStyle w:val="Style0"/>
        <w:tabs>
          <w:tab w:val="left" w:pos="0"/>
          <w:tab w:val="left" w:pos="417"/>
          <w:tab w:val="left" w:pos="835"/>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left="840"/>
        <w:outlineLvl w:val="0"/>
        <w:rPr>
          <w:rFonts w:ascii="Times New Roman" w:hAnsi="Times New Roman" w:cs="Times New Roman"/>
          <w:b/>
          <w:bCs/>
          <w:u w:val="single"/>
        </w:rPr>
      </w:pPr>
      <w:r>
        <w:rPr>
          <w:rFonts w:ascii="Times New Roman" w:hAnsi="Times New Roman" w:cs="Times New Roman"/>
          <w:b/>
          <w:bCs/>
        </w:rPr>
        <w:t xml:space="preserve"> </w:t>
      </w:r>
      <w:r w:rsidR="00593C78">
        <w:rPr>
          <w:rFonts w:ascii="Times New Roman" w:hAnsi="Times New Roman" w:cs="Times New Roman"/>
          <w:b/>
          <w:bCs/>
        </w:rPr>
        <w:t xml:space="preserve">12.  </w:t>
      </w:r>
      <w:r w:rsidR="00593C78">
        <w:rPr>
          <w:rFonts w:ascii="Times New Roman" w:hAnsi="Times New Roman" w:cs="Times New Roman"/>
          <w:b/>
          <w:bCs/>
          <w:u w:val="single"/>
        </w:rPr>
        <w:t>Estimate of Hour Burden</w:t>
      </w:r>
    </w:p>
    <w:p w14:paraId="549E9C49" w14:textId="77777777" w:rsidR="00593C78" w:rsidRDefault="00593C78">
      <w:pPr>
        <w:pStyle w:val="Style0"/>
        <w:tabs>
          <w:tab w:val="left" w:pos="0"/>
          <w:tab w:val="left" w:pos="417"/>
          <w:tab w:val="left" w:pos="835"/>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left="840"/>
        <w:outlineLvl w:val="0"/>
        <w:rPr>
          <w:rFonts w:ascii="CG Times" w:hAnsi="CG Times" w:cs="Times New Roman"/>
        </w:rPr>
      </w:pPr>
    </w:p>
    <w:p w14:paraId="63DE6EDD" w14:textId="77777777" w:rsidR="00593C78" w:rsidRDefault="00593C78">
      <w:pPr>
        <w:jc w:val="center"/>
      </w:pPr>
      <w:r>
        <w:t>QFR Annual Report Burden Summary</w:t>
      </w:r>
    </w:p>
    <w:p w14:paraId="67500606" w14:textId="77777777" w:rsidR="00593C78" w:rsidRDefault="00593C78">
      <w:pPr>
        <w:jc w:val="center"/>
        <w:rPr>
          <w:color w:val="FF0000"/>
        </w:rPr>
      </w:pPr>
      <w:r>
        <w:rPr>
          <w:color w:val="FF0000"/>
        </w:rPr>
        <w:t xml:space="preserve"> </w:t>
      </w:r>
    </w:p>
    <w:tbl>
      <w:tblPr>
        <w:tblW w:w="8826" w:type="dxa"/>
        <w:tblInd w:w="791" w:type="dxa"/>
        <w:tblBorders>
          <w:top w:val="double" w:sz="12" w:space="0" w:color="000000"/>
          <w:left w:val="double" w:sz="12" w:space="0" w:color="000000"/>
          <w:bottom w:val="double" w:sz="12" w:space="0" w:color="000000"/>
          <w:right w:val="double" w:sz="1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399"/>
        <w:gridCol w:w="1336"/>
        <w:gridCol w:w="1403"/>
        <w:gridCol w:w="1306"/>
        <w:gridCol w:w="1382"/>
      </w:tblGrid>
      <w:tr w:rsidR="006B57FE" w14:paraId="2D3DD2E9" w14:textId="77777777" w:rsidTr="006B57FE">
        <w:trPr>
          <w:cantSplit/>
          <w:trHeight w:val="405"/>
        </w:trPr>
        <w:tc>
          <w:tcPr>
            <w:tcW w:w="3399" w:type="dxa"/>
            <w:vMerge w:val="restart"/>
          </w:tcPr>
          <w:p w14:paraId="04040A0C" w14:textId="77777777" w:rsidR="006B57FE" w:rsidRDefault="006B57FE">
            <w:pPr>
              <w:pStyle w:val="Style0"/>
              <w:tabs>
                <w:tab w:val="left" w:pos="-415"/>
                <w:tab w:val="left" w:pos="720"/>
                <w:tab w:val="left" w:pos="1440"/>
                <w:tab w:val="left" w:pos="2160"/>
                <w:tab w:val="left" w:pos="2880"/>
              </w:tabs>
              <w:jc w:val="center"/>
              <w:rPr>
                <w:rFonts w:ascii="Times New Roman" w:hAnsi="Times New Roman" w:cs="Times New Roman"/>
              </w:rPr>
            </w:pPr>
          </w:p>
        </w:tc>
        <w:tc>
          <w:tcPr>
            <w:tcW w:w="5427" w:type="dxa"/>
            <w:gridSpan w:val="4"/>
            <w:vAlign w:val="center"/>
          </w:tcPr>
          <w:p w14:paraId="2A02171F" w14:textId="77777777" w:rsidR="006B57FE" w:rsidRDefault="006B57FE" w:rsidP="00A172BD">
            <w:pPr>
              <w:tabs>
                <w:tab w:val="left" w:pos="-415"/>
                <w:tab w:val="left" w:pos="720"/>
                <w:tab w:val="left" w:pos="1440"/>
              </w:tabs>
              <w:jc w:val="center"/>
            </w:pPr>
            <w:r>
              <w:t>QFR Forms</w:t>
            </w:r>
          </w:p>
        </w:tc>
      </w:tr>
      <w:tr w:rsidR="006B57FE" w14:paraId="71F728A6" w14:textId="77777777" w:rsidTr="008D0128">
        <w:trPr>
          <w:cantSplit/>
          <w:trHeight w:val="890"/>
        </w:trPr>
        <w:tc>
          <w:tcPr>
            <w:tcW w:w="3399" w:type="dxa"/>
            <w:vMerge/>
          </w:tcPr>
          <w:p w14:paraId="37D0F589" w14:textId="77777777" w:rsidR="006B57FE" w:rsidRDefault="006B57FE">
            <w:pPr>
              <w:pStyle w:val="Style0"/>
              <w:tabs>
                <w:tab w:val="left" w:pos="-415"/>
                <w:tab w:val="left" w:pos="720"/>
                <w:tab w:val="left" w:pos="1440"/>
                <w:tab w:val="left" w:pos="2160"/>
                <w:tab w:val="left" w:pos="2880"/>
              </w:tabs>
              <w:jc w:val="center"/>
              <w:rPr>
                <w:rFonts w:ascii="Times New Roman" w:hAnsi="Times New Roman" w:cs="Times New Roman"/>
              </w:rPr>
            </w:pPr>
          </w:p>
        </w:tc>
        <w:tc>
          <w:tcPr>
            <w:tcW w:w="1336" w:type="dxa"/>
            <w:vAlign w:val="center"/>
          </w:tcPr>
          <w:p w14:paraId="666847C8" w14:textId="77777777" w:rsidR="006B57FE" w:rsidRDefault="006B57FE" w:rsidP="008D0128">
            <w:pPr>
              <w:tabs>
                <w:tab w:val="left" w:pos="-415"/>
                <w:tab w:val="left" w:pos="720"/>
                <w:tab w:val="left" w:pos="1440"/>
              </w:tabs>
              <w:jc w:val="center"/>
            </w:pPr>
            <w:r>
              <w:t>200 – MT</w:t>
            </w:r>
          </w:p>
          <w:p w14:paraId="4996BAA4" w14:textId="77777777" w:rsidR="006B57FE" w:rsidRDefault="006B57FE" w:rsidP="008D0128">
            <w:pPr>
              <w:tabs>
                <w:tab w:val="left" w:pos="-415"/>
                <w:tab w:val="left" w:pos="720"/>
                <w:tab w:val="left" w:pos="1440"/>
              </w:tabs>
              <w:jc w:val="center"/>
            </w:pPr>
            <w:r>
              <w:t>(Long Form)</w:t>
            </w:r>
          </w:p>
        </w:tc>
        <w:tc>
          <w:tcPr>
            <w:tcW w:w="1403" w:type="dxa"/>
            <w:vAlign w:val="center"/>
          </w:tcPr>
          <w:p w14:paraId="36831080" w14:textId="77777777" w:rsidR="006B57FE" w:rsidRDefault="006B57FE" w:rsidP="008D0128">
            <w:pPr>
              <w:pStyle w:val="Style0"/>
              <w:tabs>
                <w:tab w:val="left" w:pos="-415"/>
                <w:tab w:val="left" w:pos="720"/>
                <w:tab w:val="left" w:pos="1440"/>
              </w:tabs>
              <w:jc w:val="center"/>
              <w:rPr>
                <w:rFonts w:ascii="Times New Roman" w:hAnsi="Times New Roman" w:cs="Times New Roman"/>
              </w:rPr>
            </w:pPr>
            <w:r>
              <w:rPr>
                <w:rFonts w:ascii="Times New Roman" w:hAnsi="Times New Roman" w:cs="Times New Roman"/>
              </w:rPr>
              <w:t>300 – S</w:t>
            </w:r>
          </w:p>
          <w:p w14:paraId="5D1CE00E" w14:textId="77777777" w:rsidR="006B57FE" w:rsidRDefault="006B57FE" w:rsidP="008D0128">
            <w:pPr>
              <w:pStyle w:val="Style0"/>
              <w:tabs>
                <w:tab w:val="left" w:pos="-415"/>
                <w:tab w:val="left" w:pos="720"/>
                <w:tab w:val="left" w:pos="1440"/>
              </w:tabs>
              <w:jc w:val="center"/>
              <w:rPr>
                <w:rFonts w:ascii="Times New Roman" w:hAnsi="Times New Roman" w:cs="Times New Roman"/>
              </w:rPr>
            </w:pPr>
            <w:r>
              <w:rPr>
                <w:rFonts w:ascii="Times New Roman" w:hAnsi="Times New Roman" w:cs="Times New Roman"/>
              </w:rPr>
              <w:t>(Long Form)</w:t>
            </w:r>
          </w:p>
        </w:tc>
        <w:tc>
          <w:tcPr>
            <w:tcW w:w="1306" w:type="dxa"/>
            <w:vAlign w:val="center"/>
          </w:tcPr>
          <w:p w14:paraId="37CC65F5" w14:textId="77777777" w:rsidR="006B57FE" w:rsidRDefault="006B57FE" w:rsidP="008D0128">
            <w:pPr>
              <w:tabs>
                <w:tab w:val="left" w:pos="-415"/>
                <w:tab w:val="left" w:pos="720"/>
              </w:tabs>
              <w:jc w:val="center"/>
            </w:pPr>
            <w:r>
              <w:t>201-MG</w:t>
            </w:r>
          </w:p>
          <w:p w14:paraId="37703EEC" w14:textId="77777777" w:rsidR="006B57FE" w:rsidRDefault="006B57FE" w:rsidP="008D0128">
            <w:pPr>
              <w:pStyle w:val="Style0"/>
              <w:tabs>
                <w:tab w:val="left" w:pos="-415"/>
                <w:tab w:val="left" w:pos="720"/>
              </w:tabs>
              <w:jc w:val="center"/>
              <w:rPr>
                <w:rFonts w:ascii="Times New Roman" w:hAnsi="Times New Roman" w:cs="Times New Roman"/>
              </w:rPr>
            </w:pPr>
            <w:r>
              <w:rPr>
                <w:rFonts w:ascii="Times New Roman" w:hAnsi="Times New Roman" w:cs="Times New Roman"/>
              </w:rPr>
              <w:t>(Short Form)</w:t>
            </w:r>
          </w:p>
        </w:tc>
        <w:tc>
          <w:tcPr>
            <w:tcW w:w="1382" w:type="dxa"/>
            <w:vAlign w:val="center"/>
          </w:tcPr>
          <w:p w14:paraId="682AB22F" w14:textId="77777777" w:rsidR="006B57FE" w:rsidRDefault="006B57FE" w:rsidP="008D0128">
            <w:pPr>
              <w:tabs>
                <w:tab w:val="left" w:pos="-415"/>
                <w:tab w:val="left" w:pos="720"/>
                <w:tab w:val="left" w:pos="1440"/>
              </w:tabs>
              <w:jc w:val="center"/>
            </w:pPr>
            <w:r>
              <w:t>Total</w:t>
            </w:r>
          </w:p>
          <w:p w14:paraId="490295BB" w14:textId="77777777" w:rsidR="006B57FE" w:rsidRDefault="006B57FE" w:rsidP="008D0128">
            <w:pPr>
              <w:tabs>
                <w:tab w:val="left" w:pos="-415"/>
                <w:tab w:val="left" w:pos="720"/>
                <w:tab w:val="left" w:pos="1440"/>
              </w:tabs>
              <w:jc w:val="center"/>
            </w:pPr>
            <w:r>
              <w:t>(SF-83,</w:t>
            </w:r>
          </w:p>
          <w:p w14:paraId="03370CEA" w14:textId="77777777" w:rsidR="006B57FE" w:rsidRDefault="006B57FE" w:rsidP="008D0128">
            <w:pPr>
              <w:tabs>
                <w:tab w:val="left" w:pos="-415"/>
                <w:tab w:val="left" w:pos="720"/>
                <w:tab w:val="left" w:pos="1440"/>
              </w:tabs>
              <w:jc w:val="center"/>
            </w:pPr>
            <w:r>
              <w:t>Item 17)</w:t>
            </w:r>
          </w:p>
        </w:tc>
      </w:tr>
      <w:tr w:rsidR="00A172BD" w:rsidRPr="009622E5" w14:paraId="227E0B79" w14:textId="77777777" w:rsidTr="006B57FE">
        <w:trPr>
          <w:cantSplit/>
          <w:trHeight w:val="350"/>
        </w:trPr>
        <w:tc>
          <w:tcPr>
            <w:tcW w:w="3399" w:type="dxa"/>
            <w:vAlign w:val="center"/>
          </w:tcPr>
          <w:p w14:paraId="31DF58A0" w14:textId="77777777" w:rsidR="00A172BD" w:rsidRPr="009622E5" w:rsidRDefault="00A172BD" w:rsidP="006B57FE">
            <w:pPr>
              <w:pStyle w:val="Style0"/>
              <w:tabs>
                <w:tab w:val="left" w:pos="-415"/>
                <w:tab w:val="left" w:pos="720"/>
                <w:tab w:val="left" w:pos="1440"/>
                <w:tab w:val="left" w:pos="2160"/>
                <w:tab w:val="left" w:pos="2880"/>
              </w:tabs>
              <w:jc w:val="center"/>
              <w:rPr>
                <w:rFonts w:ascii="Times New Roman" w:hAnsi="Times New Roman" w:cs="Times New Roman"/>
              </w:rPr>
            </w:pPr>
            <w:r w:rsidRPr="009622E5">
              <w:rPr>
                <w:rFonts w:ascii="Times New Roman" w:hAnsi="Times New Roman" w:cs="Times New Roman"/>
              </w:rPr>
              <w:t>Number of respondents</w:t>
            </w:r>
          </w:p>
        </w:tc>
        <w:tc>
          <w:tcPr>
            <w:tcW w:w="1336" w:type="dxa"/>
            <w:vAlign w:val="center"/>
          </w:tcPr>
          <w:p w14:paraId="6057C751" w14:textId="49E53345" w:rsidR="00A172BD" w:rsidRPr="009622E5" w:rsidRDefault="00653B82">
            <w:pPr>
              <w:pStyle w:val="Style0"/>
              <w:tabs>
                <w:tab w:val="left" w:pos="-415"/>
                <w:tab w:val="left" w:pos="720"/>
                <w:tab w:val="left" w:pos="1440"/>
              </w:tabs>
              <w:jc w:val="center"/>
              <w:rPr>
                <w:rFonts w:ascii="Times New Roman" w:hAnsi="Times New Roman" w:cs="Times New Roman"/>
              </w:rPr>
            </w:pPr>
            <w:r w:rsidRPr="009622E5">
              <w:rPr>
                <w:rFonts w:ascii="Times New Roman" w:hAnsi="Times New Roman" w:cs="Times New Roman"/>
              </w:rPr>
              <w:t>5</w:t>
            </w:r>
            <w:r w:rsidR="00A172BD" w:rsidRPr="009622E5">
              <w:rPr>
                <w:rFonts w:ascii="Times New Roman" w:hAnsi="Times New Roman" w:cs="Times New Roman"/>
              </w:rPr>
              <w:t>,</w:t>
            </w:r>
            <w:r w:rsidRPr="009622E5">
              <w:rPr>
                <w:rFonts w:ascii="Times New Roman" w:hAnsi="Times New Roman" w:cs="Times New Roman"/>
              </w:rPr>
              <w:t>199</w:t>
            </w:r>
          </w:p>
        </w:tc>
        <w:tc>
          <w:tcPr>
            <w:tcW w:w="1403" w:type="dxa"/>
            <w:vAlign w:val="center"/>
          </w:tcPr>
          <w:p w14:paraId="22865C6C" w14:textId="0E2A70D4" w:rsidR="00A172BD" w:rsidRPr="009622E5" w:rsidRDefault="00653B82" w:rsidP="006B57FE">
            <w:pPr>
              <w:pStyle w:val="Style0"/>
              <w:tabs>
                <w:tab w:val="left" w:pos="-415"/>
                <w:tab w:val="left" w:pos="720"/>
                <w:tab w:val="left" w:pos="1440"/>
              </w:tabs>
              <w:jc w:val="center"/>
              <w:rPr>
                <w:rFonts w:ascii="Times New Roman" w:hAnsi="Times New Roman" w:cs="Times New Roman"/>
              </w:rPr>
            </w:pPr>
            <w:r w:rsidRPr="009622E5">
              <w:rPr>
                <w:rFonts w:ascii="Times New Roman" w:hAnsi="Times New Roman" w:cs="Times New Roman"/>
              </w:rPr>
              <w:t>1,559</w:t>
            </w:r>
          </w:p>
        </w:tc>
        <w:tc>
          <w:tcPr>
            <w:tcW w:w="1306" w:type="dxa"/>
            <w:vAlign w:val="center"/>
          </w:tcPr>
          <w:p w14:paraId="17946797" w14:textId="2C7B0E7A" w:rsidR="00A172BD" w:rsidRPr="009622E5" w:rsidRDefault="00653B82" w:rsidP="006B57FE">
            <w:pPr>
              <w:pStyle w:val="Style0"/>
              <w:tabs>
                <w:tab w:val="left" w:pos="-415"/>
                <w:tab w:val="left" w:pos="720"/>
              </w:tabs>
              <w:jc w:val="center"/>
              <w:rPr>
                <w:rFonts w:ascii="Times New Roman" w:hAnsi="Times New Roman" w:cs="Times New Roman"/>
              </w:rPr>
            </w:pPr>
            <w:r w:rsidRPr="009622E5">
              <w:rPr>
                <w:rFonts w:ascii="Times New Roman" w:hAnsi="Times New Roman" w:cs="Times New Roman"/>
              </w:rPr>
              <w:t>5,493</w:t>
            </w:r>
          </w:p>
        </w:tc>
        <w:tc>
          <w:tcPr>
            <w:tcW w:w="1382" w:type="dxa"/>
            <w:vAlign w:val="center"/>
          </w:tcPr>
          <w:p w14:paraId="3356C2DB" w14:textId="6C99D1EE" w:rsidR="00A172BD" w:rsidRPr="009622E5" w:rsidRDefault="00653B82" w:rsidP="0048626D">
            <w:pPr>
              <w:tabs>
                <w:tab w:val="left" w:pos="-415"/>
                <w:tab w:val="left" w:pos="720"/>
                <w:tab w:val="left" w:pos="1440"/>
              </w:tabs>
              <w:jc w:val="center"/>
            </w:pPr>
            <w:r w:rsidRPr="009622E5">
              <w:t>12,</w:t>
            </w:r>
            <w:r w:rsidR="0048626D">
              <w:t>2</w:t>
            </w:r>
            <w:r w:rsidRPr="009622E5">
              <w:t>51</w:t>
            </w:r>
          </w:p>
        </w:tc>
      </w:tr>
      <w:tr w:rsidR="00A172BD" w:rsidRPr="009622E5" w14:paraId="6479D9C3" w14:textId="77777777" w:rsidTr="006B57FE">
        <w:trPr>
          <w:cantSplit/>
          <w:trHeight w:val="504"/>
        </w:trPr>
        <w:tc>
          <w:tcPr>
            <w:tcW w:w="3399" w:type="dxa"/>
            <w:vAlign w:val="center"/>
          </w:tcPr>
          <w:p w14:paraId="588AF879" w14:textId="77777777" w:rsidR="00A172BD" w:rsidRPr="009622E5" w:rsidRDefault="00A172BD" w:rsidP="006B57FE">
            <w:pPr>
              <w:pStyle w:val="Style0"/>
              <w:tabs>
                <w:tab w:val="left" w:pos="-415"/>
                <w:tab w:val="left" w:pos="720"/>
                <w:tab w:val="left" w:pos="1440"/>
                <w:tab w:val="left" w:pos="2160"/>
                <w:tab w:val="left" w:pos="2880"/>
              </w:tabs>
              <w:jc w:val="center"/>
              <w:rPr>
                <w:rFonts w:ascii="Times New Roman" w:hAnsi="Times New Roman" w:cs="Times New Roman"/>
              </w:rPr>
            </w:pPr>
            <w:r w:rsidRPr="009622E5">
              <w:rPr>
                <w:rFonts w:ascii="Times New Roman" w:hAnsi="Times New Roman" w:cs="Times New Roman"/>
              </w:rPr>
              <w:t>Number of responses per respondent/year</w:t>
            </w:r>
          </w:p>
        </w:tc>
        <w:tc>
          <w:tcPr>
            <w:tcW w:w="1336" w:type="dxa"/>
            <w:vAlign w:val="center"/>
          </w:tcPr>
          <w:p w14:paraId="666B19CA" w14:textId="77777777" w:rsidR="00A172BD" w:rsidRPr="009622E5" w:rsidRDefault="00A172BD" w:rsidP="006B57FE">
            <w:pPr>
              <w:pStyle w:val="Style0"/>
              <w:tabs>
                <w:tab w:val="left" w:pos="-415"/>
                <w:tab w:val="left" w:pos="720"/>
                <w:tab w:val="left" w:pos="1440"/>
              </w:tabs>
              <w:jc w:val="center"/>
              <w:rPr>
                <w:rFonts w:ascii="Times New Roman" w:hAnsi="Times New Roman" w:cs="Times New Roman"/>
              </w:rPr>
            </w:pPr>
            <w:r w:rsidRPr="009622E5">
              <w:rPr>
                <w:rFonts w:ascii="Times New Roman" w:hAnsi="Times New Roman" w:cs="Times New Roman"/>
              </w:rPr>
              <w:t>4</w:t>
            </w:r>
          </w:p>
        </w:tc>
        <w:tc>
          <w:tcPr>
            <w:tcW w:w="1403" w:type="dxa"/>
            <w:vAlign w:val="center"/>
          </w:tcPr>
          <w:p w14:paraId="35C94070" w14:textId="77777777" w:rsidR="00A172BD" w:rsidRPr="009622E5" w:rsidRDefault="00A172BD" w:rsidP="006B57FE">
            <w:pPr>
              <w:pStyle w:val="Style0"/>
              <w:tabs>
                <w:tab w:val="left" w:pos="-415"/>
                <w:tab w:val="left" w:pos="720"/>
                <w:tab w:val="left" w:pos="1440"/>
              </w:tabs>
              <w:jc w:val="center"/>
              <w:rPr>
                <w:rFonts w:ascii="Times New Roman" w:hAnsi="Times New Roman" w:cs="Times New Roman"/>
              </w:rPr>
            </w:pPr>
            <w:r w:rsidRPr="009622E5">
              <w:rPr>
                <w:rFonts w:ascii="Times New Roman" w:hAnsi="Times New Roman" w:cs="Times New Roman"/>
              </w:rPr>
              <w:t>4</w:t>
            </w:r>
          </w:p>
        </w:tc>
        <w:tc>
          <w:tcPr>
            <w:tcW w:w="1306" w:type="dxa"/>
            <w:vAlign w:val="center"/>
          </w:tcPr>
          <w:p w14:paraId="04B9CB4D" w14:textId="77777777" w:rsidR="00A172BD" w:rsidRPr="009622E5" w:rsidRDefault="00A172BD" w:rsidP="006B57FE">
            <w:pPr>
              <w:pStyle w:val="Style0"/>
              <w:tabs>
                <w:tab w:val="left" w:pos="-415"/>
                <w:tab w:val="left" w:pos="720"/>
              </w:tabs>
              <w:jc w:val="center"/>
              <w:rPr>
                <w:rFonts w:ascii="Times New Roman" w:hAnsi="Times New Roman" w:cs="Times New Roman"/>
              </w:rPr>
            </w:pPr>
            <w:r w:rsidRPr="009622E5">
              <w:rPr>
                <w:rFonts w:ascii="Times New Roman" w:hAnsi="Times New Roman" w:cs="Times New Roman"/>
              </w:rPr>
              <w:t>4</w:t>
            </w:r>
          </w:p>
        </w:tc>
        <w:tc>
          <w:tcPr>
            <w:tcW w:w="1382" w:type="dxa"/>
            <w:vAlign w:val="center"/>
          </w:tcPr>
          <w:p w14:paraId="66B90ECE" w14:textId="77777777" w:rsidR="00A172BD" w:rsidRPr="009622E5" w:rsidRDefault="00C41DBE" w:rsidP="006B57FE">
            <w:pPr>
              <w:tabs>
                <w:tab w:val="left" w:pos="-415"/>
                <w:tab w:val="left" w:pos="720"/>
                <w:tab w:val="left" w:pos="1440"/>
              </w:tabs>
              <w:jc w:val="center"/>
            </w:pPr>
            <w:r w:rsidRPr="009622E5">
              <w:t>4</w:t>
            </w:r>
          </w:p>
        </w:tc>
      </w:tr>
      <w:tr w:rsidR="00A172BD" w:rsidRPr="009622E5" w14:paraId="1F457D38" w14:textId="77777777" w:rsidTr="006B57FE">
        <w:trPr>
          <w:cantSplit/>
          <w:trHeight w:val="491"/>
        </w:trPr>
        <w:tc>
          <w:tcPr>
            <w:tcW w:w="3399" w:type="dxa"/>
            <w:vAlign w:val="center"/>
          </w:tcPr>
          <w:p w14:paraId="31A40161" w14:textId="77777777" w:rsidR="00A172BD" w:rsidRPr="009622E5" w:rsidRDefault="00A172BD" w:rsidP="006B57FE">
            <w:pPr>
              <w:tabs>
                <w:tab w:val="left" w:pos="-415"/>
                <w:tab w:val="left" w:pos="720"/>
                <w:tab w:val="left" w:pos="1440"/>
                <w:tab w:val="left" w:pos="2160"/>
                <w:tab w:val="left" w:pos="2880"/>
              </w:tabs>
              <w:jc w:val="center"/>
            </w:pPr>
            <w:r w:rsidRPr="009622E5">
              <w:t>Total annual responses</w:t>
            </w:r>
          </w:p>
          <w:p w14:paraId="7BD5C385" w14:textId="77777777" w:rsidR="00A172BD" w:rsidRPr="009622E5" w:rsidRDefault="00A172BD" w:rsidP="006B57FE">
            <w:pPr>
              <w:pStyle w:val="Style0"/>
              <w:tabs>
                <w:tab w:val="left" w:pos="-415"/>
                <w:tab w:val="left" w:pos="720"/>
                <w:tab w:val="left" w:pos="1440"/>
                <w:tab w:val="left" w:pos="2160"/>
                <w:tab w:val="left" w:pos="2880"/>
              </w:tabs>
              <w:jc w:val="center"/>
              <w:rPr>
                <w:rFonts w:ascii="Times New Roman" w:hAnsi="Times New Roman" w:cs="Times New Roman"/>
              </w:rPr>
            </w:pPr>
            <w:r w:rsidRPr="009622E5">
              <w:rPr>
                <w:rFonts w:ascii="Times New Roman" w:hAnsi="Times New Roman" w:cs="Times New Roman"/>
              </w:rPr>
              <w:t>(line 1 times line 2)</w:t>
            </w:r>
          </w:p>
        </w:tc>
        <w:tc>
          <w:tcPr>
            <w:tcW w:w="1336" w:type="dxa"/>
            <w:vAlign w:val="center"/>
          </w:tcPr>
          <w:p w14:paraId="52BACAFD" w14:textId="421C4612" w:rsidR="00A172BD" w:rsidRPr="009622E5" w:rsidRDefault="00653B82" w:rsidP="006B57FE">
            <w:pPr>
              <w:tabs>
                <w:tab w:val="left" w:pos="-415"/>
                <w:tab w:val="left" w:pos="720"/>
                <w:tab w:val="left" w:pos="1440"/>
              </w:tabs>
              <w:jc w:val="center"/>
            </w:pPr>
            <w:r w:rsidRPr="009622E5">
              <w:t>20,796</w:t>
            </w:r>
          </w:p>
        </w:tc>
        <w:tc>
          <w:tcPr>
            <w:tcW w:w="1403" w:type="dxa"/>
            <w:vAlign w:val="center"/>
          </w:tcPr>
          <w:p w14:paraId="630A278C" w14:textId="42D7C9E4" w:rsidR="00A172BD" w:rsidRPr="009622E5" w:rsidRDefault="00653B82" w:rsidP="006B57FE">
            <w:pPr>
              <w:tabs>
                <w:tab w:val="left" w:pos="-415"/>
                <w:tab w:val="left" w:pos="720"/>
                <w:tab w:val="left" w:pos="1440"/>
              </w:tabs>
              <w:jc w:val="center"/>
            </w:pPr>
            <w:r w:rsidRPr="009622E5">
              <w:t>6,236</w:t>
            </w:r>
          </w:p>
        </w:tc>
        <w:tc>
          <w:tcPr>
            <w:tcW w:w="1306" w:type="dxa"/>
            <w:vAlign w:val="center"/>
          </w:tcPr>
          <w:p w14:paraId="179C0552" w14:textId="34194B29" w:rsidR="00A172BD" w:rsidRPr="009622E5" w:rsidRDefault="00653B82" w:rsidP="006B57FE">
            <w:pPr>
              <w:pStyle w:val="Style0"/>
              <w:tabs>
                <w:tab w:val="left" w:pos="-415"/>
                <w:tab w:val="left" w:pos="720"/>
              </w:tabs>
              <w:jc w:val="center"/>
              <w:rPr>
                <w:rFonts w:ascii="Times New Roman" w:hAnsi="Times New Roman" w:cs="Times New Roman"/>
              </w:rPr>
            </w:pPr>
            <w:r w:rsidRPr="009622E5">
              <w:rPr>
                <w:rFonts w:ascii="Times New Roman" w:hAnsi="Times New Roman" w:cs="Times New Roman"/>
              </w:rPr>
              <w:t>21,972</w:t>
            </w:r>
          </w:p>
        </w:tc>
        <w:tc>
          <w:tcPr>
            <w:tcW w:w="1382" w:type="dxa"/>
            <w:vAlign w:val="center"/>
          </w:tcPr>
          <w:p w14:paraId="5784DE00" w14:textId="50F7EDFB" w:rsidR="00A172BD" w:rsidRPr="009622E5" w:rsidRDefault="00653B82" w:rsidP="006B57FE">
            <w:pPr>
              <w:tabs>
                <w:tab w:val="left" w:pos="-415"/>
                <w:tab w:val="left" w:pos="720"/>
                <w:tab w:val="left" w:pos="1440"/>
              </w:tabs>
              <w:jc w:val="center"/>
            </w:pPr>
            <w:r w:rsidRPr="009622E5">
              <w:t>49,004</w:t>
            </w:r>
          </w:p>
        </w:tc>
      </w:tr>
      <w:tr w:rsidR="00A172BD" w:rsidRPr="009622E5" w14:paraId="1C57EED7" w14:textId="77777777" w:rsidTr="008D0128">
        <w:trPr>
          <w:cantSplit/>
          <w:trHeight w:val="485"/>
        </w:trPr>
        <w:tc>
          <w:tcPr>
            <w:tcW w:w="3399" w:type="dxa"/>
            <w:vAlign w:val="center"/>
          </w:tcPr>
          <w:p w14:paraId="47E1914E" w14:textId="77777777" w:rsidR="00A172BD" w:rsidRPr="009622E5" w:rsidRDefault="00A172BD" w:rsidP="006B57FE">
            <w:pPr>
              <w:pStyle w:val="Style0"/>
              <w:tabs>
                <w:tab w:val="left" w:pos="-415"/>
                <w:tab w:val="left" w:pos="720"/>
                <w:tab w:val="left" w:pos="1440"/>
                <w:tab w:val="left" w:pos="2160"/>
                <w:tab w:val="left" w:pos="2880"/>
              </w:tabs>
              <w:jc w:val="center"/>
              <w:rPr>
                <w:rFonts w:ascii="Times New Roman" w:hAnsi="Times New Roman" w:cs="Times New Roman"/>
              </w:rPr>
            </w:pPr>
            <w:r w:rsidRPr="009622E5">
              <w:rPr>
                <w:rFonts w:ascii="Times New Roman" w:hAnsi="Times New Roman" w:cs="Times New Roman"/>
              </w:rPr>
              <w:t>Hours per response</w:t>
            </w:r>
          </w:p>
        </w:tc>
        <w:tc>
          <w:tcPr>
            <w:tcW w:w="1336" w:type="dxa"/>
            <w:vAlign w:val="center"/>
          </w:tcPr>
          <w:p w14:paraId="33902D83" w14:textId="77777777" w:rsidR="00A172BD" w:rsidRPr="009622E5" w:rsidRDefault="00A172BD" w:rsidP="006B57FE">
            <w:pPr>
              <w:pStyle w:val="Style0"/>
              <w:tabs>
                <w:tab w:val="left" w:pos="-415"/>
                <w:tab w:val="left" w:pos="720"/>
                <w:tab w:val="left" w:pos="1440"/>
              </w:tabs>
              <w:jc w:val="center"/>
              <w:rPr>
                <w:rFonts w:ascii="Times New Roman" w:hAnsi="Times New Roman" w:cs="Times New Roman"/>
              </w:rPr>
            </w:pPr>
            <w:r w:rsidRPr="009622E5">
              <w:rPr>
                <w:rFonts w:ascii="Times New Roman" w:hAnsi="Times New Roman" w:cs="Times New Roman"/>
              </w:rPr>
              <w:t>3.0000</w:t>
            </w:r>
          </w:p>
        </w:tc>
        <w:tc>
          <w:tcPr>
            <w:tcW w:w="1403" w:type="dxa"/>
            <w:vAlign w:val="center"/>
          </w:tcPr>
          <w:p w14:paraId="3D2EBBB4" w14:textId="77777777" w:rsidR="00A172BD" w:rsidRPr="009622E5" w:rsidRDefault="00A172BD" w:rsidP="006B57FE">
            <w:pPr>
              <w:pStyle w:val="Style0"/>
              <w:tabs>
                <w:tab w:val="left" w:pos="-415"/>
                <w:tab w:val="left" w:pos="720"/>
                <w:tab w:val="left" w:pos="1440"/>
              </w:tabs>
              <w:jc w:val="center"/>
              <w:rPr>
                <w:rFonts w:ascii="Times New Roman" w:hAnsi="Times New Roman" w:cs="Times New Roman"/>
              </w:rPr>
            </w:pPr>
            <w:r w:rsidRPr="009622E5">
              <w:rPr>
                <w:rFonts w:ascii="Times New Roman" w:hAnsi="Times New Roman" w:cs="Times New Roman"/>
              </w:rPr>
              <w:t>3.0000</w:t>
            </w:r>
          </w:p>
        </w:tc>
        <w:tc>
          <w:tcPr>
            <w:tcW w:w="1306" w:type="dxa"/>
            <w:vAlign w:val="center"/>
          </w:tcPr>
          <w:p w14:paraId="44E3BC4F" w14:textId="77777777" w:rsidR="00A172BD" w:rsidRPr="009622E5" w:rsidRDefault="00A172BD" w:rsidP="006B57FE">
            <w:pPr>
              <w:pStyle w:val="Style0"/>
              <w:tabs>
                <w:tab w:val="left" w:pos="-415"/>
                <w:tab w:val="left" w:pos="720"/>
              </w:tabs>
              <w:jc w:val="center"/>
              <w:rPr>
                <w:rFonts w:ascii="Times New Roman" w:hAnsi="Times New Roman" w:cs="Times New Roman"/>
              </w:rPr>
            </w:pPr>
            <w:r w:rsidRPr="009622E5">
              <w:rPr>
                <w:rFonts w:ascii="Times New Roman" w:hAnsi="Times New Roman" w:cs="Times New Roman"/>
              </w:rPr>
              <w:t>1.2000</w:t>
            </w:r>
          </w:p>
        </w:tc>
        <w:tc>
          <w:tcPr>
            <w:tcW w:w="1382" w:type="dxa"/>
            <w:vAlign w:val="center"/>
          </w:tcPr>
          <w:p w14:paraId="6FBC0D52" w14:textId="007A0501" w:rsidR="00A172BD" w:rsidRPr="009622E5" w:rsidRDefault="00653B82" w:rsidP="006B57FE">
            <w:pPr>
              <w:tabs>
                <w:tab w:val="left" w:pos="-415"/>
                <w:tab w:val="left" w:pos="720"/>
                <w:tab w:val="left" w:pos="1440"/>
              </w:tabs>
              <w:jc w:val="center"/>
            </w:pPr>
            <w:r w:rsidRPr="009622E5">
              <w:t>2.19293</w:t>
            </w:r>
          </w:p>
        </w:tc>
      </w:tr>
      <w:tr w:rsidR="00A172BD" w14:paraId="2B6CAF8A" w14:textId="77777777" w:rsidTr="00522DBF">
        <w:trPr>
          <w:cantSplit/>
          <w:trHeight w:val="422"/>
        </w:trPr>
        <w:tc>
          <w:tcPr>
            <w:tcW w:w="3399" w:type="dxa"/>
            <w:vAlign w:val="center"/>
          </w:tcPr>
          <w:p w14:paraId="74725EE2" w14:textId="77777777" w:rsidR="00A172BD" w:rsidRPr="009622E5" w:rsidRDefault="00A172BD" w:rsidP="006B57FE">
            <w:pPr>
              <w:pStyle w:val="Style0"/>
              <w:tabs>
                <w:tab w:val="left" w:pos="-415"/>
                <w:tab w:val="left" w:pos="720"/>
                <w:tab w:val="left" w:pos="1440"/>
                <w:tab w:val="left" w:pos="2160"/>
                <w:tab w:val="left" w:pos="2880"/>
              </w:tabs>
              <w:jc w:val="center"/>
              <w:rPr>
                <w:rFonts w:ascii="Times New Roman" w:hAnsi="Times New Roman" w:cs="Times New Roman"/>
              </w:rPr>
            </w:pPr>
            <w:r w:rsidRPr="009622E5">
              <w:rPr>
                <w:rFonts w:ascii="Times New Roman" w:hAnsi="Times New Roman" w:cs="Times New Roman"/>
              </w:rPr>
              <w:t>Total hours (line 3 times line 4)</w:t>
            </w:r>
          </w:p>
        </w:tc>
        <w:tc>
          <w:tcPr>
            <w:tcW w:w="1336" w:type="dxa"/>
            <w:vAlign w:val="center"/>
          </w:tcPr>
          <w:p w14:paraId="62AEE774" w14:textId="357D30D0" w:rsidR="00A172BD" w:rsidRPr="009622E5" w:rsidRDefault="00653B82" w:rsidP="006B57FE">
            <w:pPr>
              <w:pStyle w:val="Style0"/>
              <w:tabs>
                <w:tab w:val="left" w:pos="-415"/>
                <w:tab w:val="left" w:pos="720"/>
                <w:tab w:val="left" w:pos="1440"/>
              </w:tabs>
              <w:jc w:val="center"/>
              <w:rPr>
                <w:rFonts w:ascii="Times New Roman" w:hAnsi="Times New Roman" w:cs="Times New Roman"/>
              </w:rPr>
            </w:pPr>
            <w:r w:rsidRPr="009622E5">
              <w:rPr>
                <w:rFonts w:ascii="Times New Roman" w:hAnsi="Times New Roman" w:cs="Times New Roman"/>
              </w:rPr>
              <w:t>62,388</w:t>
            </w:r>
          </w:p>
        </w:tc>
        <w:tc>
          <w:tcPr>
            <w:tcW w:w="1403" w:type="dxa"/>
            <w:vAlign w:val="center"/>
          </w:tcPr>
          <w:p w14:paraId="6AF247F2" w14:textId="77F24DFF" w:rsidR="00A172BD" w:rsidRPr="009622E5" w:rsidRDefault="00653B82" w:rsidP="006B57FE">
            <w:pPr>
              <w:pStyle w:val="Style0"/>
              <w:tabs>
                <w:tab w:val="left" w:pos="-415"/>
                <w:tab w:val="left" w:pos="720"/>
                <w:tab w:val="left" w:pos="1440"/>
              </w:tabs>
              <w:jc w:val="center"/>
              <w:rPr>
                <w:rFonts w:ascii="Times New Roman" w:hAnsi="Times New Roman" w:cs="Times New Roman"/>
              </w:rPr>
            </w:pPr>
            <w:r w:rsidRPr="009622E5">
              <w:rPr>
                <w:rFonts w:ascii="Times New Roman" w:hAnsi="Times New Roman" w:cs="Times New Roman"/>
              </w:rPr>
              <w:t>18,708</w:t>
            </w:r>
          </w:p>
        </w:tc>
        <w:tc>
          <w:tcPr>
            <w:tcW w:w="1306" w:type="dxa"/>
            <w:vAlign w:val="center"/>
          </w:tcPr>
          <w:p w14:paraId="6BBF03F3" w14:textId="10DF5406" w:rsidR="00A172BD" w:rsidRPr="009622E5" w:rsidRDefault="00653B82" w:rsidP="006B57FE">
            <w:pPr>
              <w:pStyle w:val="Style0"/>
              <w:tabs>
                <w:tab w:val="left" w:pos="-415"/>
                <w:tab w:val="left" w:pos="720"/>
              </w:tabs>
              <w:jc w:val="center"/>
              <w:rPr>
                <w:rFonts w:ascii="Times New Roman" w:hAnsi="Times New Roman" w:cs="Times New Roman"/>
              </w:rPr>
            </w:pPr>
            <w:r w:rsidRPr="009622E5">
              <w:rPr>
                <w:rFonts w:ascii="Times New Roman" w:hAnsi="Times New Roman" w:cs="Times New Roman"/>
              </w:rPr>
              <w:t>26,366</w:t>
            </w:r>
          </w:p>
        </w:tc>
        <w:tc>
          <w:tcPr>
            <w:tcW w:w="1382" w:type="dxa"/>
            <w:vAlign w:val="center"/>
          </w:tcPr>
          <w:p w14:paraId="1A0776FE" w14:textId="118A4777" w:rsidR="00A172BD" w:rsidRPr="009622E5" w:rsidRDefault="00653B82" w:rsidP="006B57FE">
            <w:pPr>
              <w:pStyle w:val="Style0"/>
              <w:tabs>
                <w:tab w:val="left" w:pos="-415"/>
                <w:tab w:val="left" w:pos="720"/>
                <w:tab w:val="left" w:pos="1440"/>
              </w:tabs>
              <w:jc w:val="center"/>
              <w:rPr>
                <w:rFonts w:ascii="Times New Roman" w:hAnsi="Times New Roman" w:cs="Times New Roman"/>
              </w:rPr>
            </w:pPr>
            <w:r w:rsidRPr="009622E5">
              <w:rPr>
                <w:rFonts w:ascii="Times New Roman" w:hAnsi="Times New Roman" w:cs="Times New Roman"/>
              </w:rPr>
              <w:t>107,462</w:t>
            </w:r>
          </w:p>
        </w:tc>
      </w:tr>
    </w:tbl>
    <w:p w14:paraId="0396FCA1" w14:textId="77777777" w:rsidR="00593C78" w:rsidRDefault="00593C78"/>
    <w:p w14:paraId="52666881" w14:textId="507648F1" w:rsidR="00593C78" w:rsidRPr="009622E5" w:rsidRDefault="00593C78">
      <w:pPr>
        <w:pStyle w:val="BodyTextIndent3"/>
      </w:pPr>
      <w:r>
        <w:t>The QFR long and short form estimates of collection burden are based on the average completion times reported during telephone conversations with respondents in the normal course of QFR business</w:t>
      </w:r>
      <w:r w:rsidR="00533C3A">
        <w:t>.</w:t>
      </w:r>
      <w:r>
        <w:t xml:space="preserve">  </w:t>
      </w:r>
      <w:r w:rsidR="00D63E94" w:rsidRPr="009622E5">
        <w:t>Note: Some of the numbers in the above table are slightly r</w:t>
      </w:r>
      <w:r w:rsidR="00B63D30">
        <w:t>evised</w:t>
      </w:r>
      <w:r w:rsidR="00D63E94" w:rsidRPr="009622E5">
        <w:t xml:space="preserve"> from those included in the notice published in the Federal Register on </w:t>
      </w:r>
      <w:r w:rsidR="008F4041" w:rsidRPr="0090205B">
        <w:t>February 28</w:t>
      </w:r>
      <w:r w:rsidR="00C81D40" w:rsidRPr="009622E5">
        <w:t>, 201</w:t>
      </w:r>
      <w:r w:rsidR="008F4041" w:rsidRPr="0090205B">
        <w:t>8</w:t>
      </w:r>
      <w:r w:rsidR="009414D0" w:rsidRPr="009622E5">
        <w:t xml:space="preserve"> due to refining the estimate</w:t>
      </w:r>
      <w:r w:rsidR="00D63E94" w:rsidRPr="009622E5">
        <w:t>.</w:t>
      </w:r>
    </w:p>
    <w:p w14:paraId="3DC409A9" w14:textId="77777777" w:rsidR="00593C78" w:rsidRPr="009622E5" w:rsidRDefault="00593C78">
      <w:pPr>
        <w:pStyle w:val="Style0"/>
        <w:tabs>
          <w:tab w:val="left" w:pos="0"/>
          <w:tab w:val="left" w:pos="223"/>
          <w:tab w:val="left" w:pos="297"/>
          <w:tab w:val="left" w:pos="372"/>
          <w:tab w:val="left" w:pos="422"/>
          <w:tab w:val="left" w:pos="519"/>
          <w:tab w:val="left" w:pos="595"/>
          <w:tab w:val="left" w:pos="669"/>
          <w:tab w:val="left" w:pos="15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cs="Times New Roman"/>
        </w:rPr>
      </w:pPr>
    </w:p>
    <w:p w14:paraId="24B36858" w14:textId="3CB96DA6" w:rsidR="00593C78" w:rsidRPr="0079369E" w:rsidRDefault="00B63D30" w:rsidP="00470286">
      <w:pPr>
        <w:pStyle w:val="Style0"/>
        <w:tabs>
          <w:tab w:val="left" w:pos="-296"/>
          <w:tab w:val="left" w:pos="-223"/>
          <w:tab w:val="left" w:pos="-148"/>
          <w:tab w:val="left" w:pos="-98"/>
          <w:tab w:val="left" w:pos="-1"/>
          <w:tab w:val="left" w:pos="74"/>
          <w:tab w:val="left" w:pos="149"/>
          <w:tab w:val="left" w:pos="720"/>
          <w:tab w:val="left" w:pos="900"/>
          <w:tab w:val="left" w:pos="994"/>
          <w:tab w:val="left" w:pos="1638"/>
          <w:tab w:val="left" w:pos="2358"/>
          <w:tab w:val="left" w:pos="3078"/>
          <w:tab w:val="left" w:pos="3798"/>
          <w:tab w:val="left" w:pos="4518"/>
          <w:tab w:val="left" w:pos="5238"/>
          <w:tab w:val="left" w:pos="5958"/>
          <w:tab w:val="left" w:pos="6678"/>
          <w:tab w:val="left" w:pos="7398"/>
          <w:tab w:val="left" w:pos="8118"/>
          <w:tab w:val="left" w:pos="8638"/>
          <w:tab w:val="left" w:pos="9358"/>
          <w:tab w:val="left" w:pos="10078"/>
          <w:tab w:val="left" w:pos="10798"/>
        </w:tabs>
        <w:ind w:left="900"/>
        <w:rPr>
          <w:rFonts w:ascii="Times New Roman" w:hAnsi="Times New Roman" w:cs="Times New Roman"/>
        </w:rPr>
      </w:pPr>
      <w:r>
        <w:rPr>
          <w:rFonts w:ascii="Times New Roman" w:hAnsi="Times New Roman" w:cs="Times New Roman"/>
        </w:rPr>
        <w:t>The estimated cost for</w:t>
      </w:r>
      <w:r w:rsidR="00593C78" w:rsidRPr="009622E5">
        <w:rPr>
          <w:rFonts w:ascii="Times New Roman" w:hAnsi="Times New Roman" w:cs="Times New Roman"/>
        </w:rPr>
        <w:t xml:space="preserve"> all respondents to respond is $</w:t>
      </w:r>
      <w:r w:rsidR="00A26A6A" w:rsidRPr="009622E5">
        <w:rPr>
          <w:rFonts w:ascii="Times New Roman" w:hAnsi="Times New Roman" w:cs="Times New Roman"/>
        </w:rPr>
        <w:t>3</w:t>
      </w:r>
      <w:r w:rsidR="00593C78" w:rsidRPr="009622E5">
        <w:rPr>
          <w:rFonts w:ascii="Times New Roman" w:hAnsi="Times New Roman" w:cs="Times New Roman"/>
        </w:rPr>
        <w:t>,</w:t>
      </w:r>
      <w:r w:rsidR="00653B82" w:rsidRPr="009622E5">
        <w:rPr>
          <w:rFonts w:ascii="Times New Roman" w:hAnsi="Times New Roman" w:cs="Times New Roman"/>
        </w:rPr>
        <w:t>964</w:t>
      </w:r>
      <w:r w:rsidR="00593C78" w:rsidRPr="009622E5">
        <w:rPr>
          <w:rFonts w:ascii="Times New Roman" w:hAnsi="Times New Roman" w:cs="Times New Roman"/>
        </w:rPr>
        <w:t>,</w:t>
      </w:r>
      <w:r w:rsidR="00653B82" w:rsidRPr="009622E5">
        <w:rPr>
          <w:rFonts w:ascii="Times New Roman" w:hAnsi="Times New Roman" w:cs="Times New Roman"/>
        </w:rPr>
        <w:t>273</w:t>
      </w:r>
      <w:r w:rsidR="00593C78" w:rsidRPr="009622E5">
        <w:rPr>
          <w:rFonts w:ascii="Times New Roman" w:hAnsi="Times New Roman" w:cs="Times New Roman"/>
        </w:rPr>
        <w:t xml:space="preserve">.  This cost is calculated by multiplying the </w:t>
      </w:r>
      <w:r w:rsidR="00A26A6A" w:rsidRPr="009622E5">
        <w:rPr>
          <w:rFonts w:ascii="Times New Roman" w:hAnsi="Times New Roman" w:cs="Times New Roman"/>
        </w:rPr>
        <w:t>1</w:t>
      </w:r>
      <w:r w:rsidR="00D013A7" w:rsidRPr="009622E5">
        <w:rPr>
          <w:rFonts w:ascii="Times New Roman" w:hAnsi="Times New Roman" w:cs="Times New Roman"/>
        </w:rPr>
        <w:t>0</w:t>
      </w:r>
      <w:r w:rsidR="00653B82" w:rsidRPr="009622E5">
        <w:rPr>
          <w:rFonts w:ascii="Times New Roman" w:hAnsi="Times New Roman" w:cs="Times New Roman"/>
        </w:rPr>
        <w:t>7</w:t>
      </w:r>
      <w:r w:rsidR="00A26A6A" w:rsidRPr="009622E5">
        <w:rPr>
          <w:rFonts w:ascii="Times New Roman" w:hAnsi="Times New Roman" w:cs="Times New Roman"/>
        </w:rPr>
        <w:t>,</w:t>
      </w:r>
      <w:r w:rsidR="00653B82" w:rsidRPr="009622E5">
        <w:rPr>
          <w:rFonts w:ascii="Times New Roman" w:hAnsi="Times New Roman" w:cs="Times New Roman"/>
        </w:rPr>
        <w:t>462</w:t>
      </w:r>
      <w:r w:rsidR="00593C78" w:rsidRPr="009622E5">
        <w:rPr>
          <w:rFonts w:ascii="Times New Roman" w:hAnsi="Times New Roman" w:cs="Times New Roman"/>
        </w:rPr>
        <w:t xml:space="preserve"> annual burden hours by </w:t>
      </w:r>
      <w:r w:rsidR="00470286" w:rsidRPr="009622E5">
        <w:rPr>
          <w:rFonts w:ascii="Times New Roman" w:hAnsi="Times New Roman" w:cs="Times New Roman"/>
        </w:rPr>
        <w:t xml:space="preserve">the </w:t>
      </w:r>
      <w:r w:rsidR="00593C78" w:rsidRPr="009622E5">
        <w:rPr>
          <w:rFonts w:ascii="Times New Roman" w:hAnsi="Times New Roman" w:cs="Times New Roman"/>
        </w:rPr>
        <w:t>per hour estimate of $3</w:t>
      </w:r>
      <w:r w:rsidR="00653B82" w:rsidRPr="009622E5">
        <w:rPr>
          <w:rFonts w:ascii="Times New Roman" w:hAnsi="Times New Roman" w:cs="Times New Roman"/>
        </w:rPr>
        <w:t>6.89</w:t>
      </w:r>
      <w:r w:rsidR="00593C78" w:rsidRPr="009622E5">
        <w:rPr>
          <w:rFonts w:ascii="Times New Roman" w:hAnsi="Times New Roman" w:cs="Times New Roman"/>
        </w:rPr>
        <w:t xml:space="preserve"> for a private industry entry-level accountant</w:t>
      </w:r>
      <w:r w:rsidR="00470286" w:rsidRPr="009622E5">
        <w:rPr>
          <w:rFonts w:ascii="Times New Roman" w:hAnsi="Times New Roman" w:cs="Times New Roman"/>
        </w:rPr>
        <w:t xml:space="preserve"> </w:t>
      </w:r>
      <w:r w:rsidR="00470286" w:rsidRPr="00470286">
        <w:rPr>
          <w:rFonts w:ascii="Times New Roman" w:hAnsi="Times New Roman" w:cs="Times New Roman"/>
        </w:rPr>
        <w:t xml:space="preserve">(Occupational Employment and Wages - Bureau of Labor Statistics May 2016 National Occupational Employment and Wage Estimates; $36.89 represents the mean hourly wage of the full-time wage and salary earnings of accountants and auditors, SOC code 13-2011.) http://stats.bls.gov/oes/current/oes132011.htm </w:t>
      </w:r>
    </w:p>
    <w:p w14:paraId="2C84F06B" w14:textId="6000F9C6" w:rsidR="005E2C2D" w:rsidRPr="0079369E" w:rsidRDefault="00593C78">
      <w:pPr>
        <w:pStyle w:val="Style0"/>
        <w:tabs>
          <w:tab w:val="left" w:pos="0"/>
          <w:tab w:val="left" w:pos="223"/>
          <w:tab w:val="left" w:pos="297"/>
          <w:tab w:val="left" w:pos="372"/>
          <w:tab w:val="left" w:pos="422"/>
          <w:tab w:val="left" w:pos="519"/>
          <w:tab w:val="left" w:pos="595"/>
          <w:tab w:val="left" w:pos="669"/>
          <w:tab w:val="left" w:pos="151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rPr>
      </w:pPr>
      <w:r w:rsidRPr="0079369E">
        <w:rPr>
          <w:rFonts w:ascii="Times New Roman" w:hAnsi="Times New Roman" w:cs="Times New Roman"/>
        </w:rPr>
        <w:tab/>
      </w:r>
      <w:r w:rsidRPr="0079369E">
        <w:rPr>
          <w:rFonts w:ascii="Times New Roman" w:hAnsi="Times New Roman" w:cs="Times New Roman"/>
        </w:rPr>
        <w:tab/>
      </w:r>
      <w:r w:rsidRPr="0079369E">
        <w:rPr>
          <w:rFonts w:ascii="Times New Roman" w:hAnsi="Times New Roman" w:cs="Times New Roman"/>
        </w:rPr>
        <w:tab/>
      </w:r>
      <w:r w:rsidRPr="0079369E">
        <w:rPr>
          <w:rFonts w:ascii="Times New Roman" w:hAnsi="Times New Roman" w:cs="Times New Roman"/>
        </w:rPr>
        <w:tab/>
      </w:r>
      <w:r w:rsidRPr="0079369E">
        <w:rPr>
          <w:rFonts w:ascii="Times New Roman" w:hAnsi="Times New Roman" w:cs="Times New Roman"/>
        </w:rPr>
        <w:tab/>
      </w:r>
      <w:r w:rsidRPr="0079369E">
        <w:rPr>
          <w:rFonts w:ascii="Times New Roman" w:hAnsi="Times New Roman" w:cs="Times New Roman"/>
        </w:rPr>
        <w:tab/>
      </w:r>
      <w:r w:rsidRPr="0079369E">
        <w:rPr>
          <w:rFonts w:ascii="Times New Roman" w:hAnsi="Times New Roman" w:cs="Times New Roman"/>
        </w:rPr>
        <w:tab/>
      </w:r>
    </w:p>
    <w:p w14:paraId="0307FC03" w14:textId="77777777" w:rsidR="00593C78" w:rsidRDefault="00593C78">
      <w:pPr>
        <w:tabs>
          <w:tab w:val="left" w:pos="1260"/>
        </w:tabs>
        <w:ind w:left="720"/>
      </w:pPr>
      <w:r>
        <w:rPr>
          <w:b/>
          <w:bCs/>
        </w:rPr>
        <w:t xml:space="preserve">13.    </w:t>
      </w:r>
      <w:r>
        <w:rPr>
          <w:b/>
          <w:bCs/>
          <w:u w:val="single"/>
        </w:rPr>
        <w:t>Estimate of Cost Burden</w:t>
      </w:r>
    </w:p>
    <w:p w14:paraId="645BA8F9" w14:textId="77777777" w:rsidR="00593C78" w:rsidRDefault="00593C78">
      <w:pPr>
        <w:pStyle w:val="Style0"/>
        <w:tabs>
          <w:tab w:val="left" w:pos="0"/>
          <w:tab w:val="left" w:pos="223"/>
          <w:tab w:val="left" w:pos="669"/>
          <w:tab w:val="left" w:pos="1339"/>
          <w:tab w:val="left" w:pos="163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rPr>
      </w:pPr>
    </w:p>
    <w:p w14:paraId="2B6E46E8" w14:textId="77777777" w:rsidR="00593C78" w:rsidRDefault="00593C78">
      <w:pPr>
        <w:pStyle w:val="Style0"/>
        <w:tabs>
          <w:tab w:val="left" w:pos="0"/>
          <w:tab w:val="left" w:pos="720"/>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800"/>
        </w:tabs>
        <w:ind w:left="720"/>
        <w:rPr>
          <w:rFonts w:ascii="Times New Roman" w:hAnsi="Times New Roman" w:cs="Times New Roman"/>
        </w:rPr>
      </w:pPr>
      <w:r>
        <w:rPr>
          <w:rFonts w:ascii="Times New Roman" w:hAnsi="Times New Roman" w:cs="Times New Roman"/>
        </w:rPr>
        <w:t>We do not expect respondents to incur any costs other than their time to respond.  The information requested is of the type and scope normally carried in company records and no special hardware, accounting software or system is necessary to provide answers.  Therefore, respondents are not expected to incur any capital and start-up costs or system maintenance costs.  Furthermore, purchasing of outside accounting or information collection services, if performed by the respondent, is part of usual and customary business practices and not specifically required for this information collection.</w:t>
      </w:r>
    </w:p>
    <w:p w14:paraId="40A2F2B8" w14:textId="2E5D5C7B" w:rsidR="00A27029" w:rsidRDefault="00A27029">
      <w:pPr>
        <w:pStyle w:val="Style0"/>
        <w:tabs>
          <w:tab w:val="left" w:pos="0"/>
          <w:tab w:val="left" w:pos="668"/>
          <w:tab w:val="left" w:pos="964"/>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800"/>
        </w:tabs>
        <w:ind w:left="667"/>
        <w:rPr>
          <w:rFonts w:ascii="Times New Roman" w:hAnsi="Times New Roman" w:cs="Times New Roman"/>
        </w:rPr>
      </w:pPr>
    </w:p>
    <w:p w14:paraId="4EB1B040" w14:textId="3400EBAE" w:rsidR="0090205B" w:rsidRDefault="0090205B">
      <w:pPr>
        <w:pStyle w:val="Style0"/>
        <w:tabs>
          <w:tab w:val="left" w:pos="0"/>
          <w:tab w:val="left" w:pos="668"/>
          <w:tab w:val="left" w:pos="964"/>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800"/>
        </w:tabs>
        <w:ind w:left="667"/>
        <w:rPr>
          <w:rFonts w:ascii="Times New Roman" w:hAnsi="Times New Roman" w:cs="Times New Roman"/>
        </w:rPr>
      </w:pPr>
    </w:p>
    <w:p w14:paraId="225E46F5" w14:textId="1FC52B33" w:rsidR="0090205B" w:rsidRDefault="0090205B">
      <w:pPr>
        <w:pStyle w:val="Style0"/>
        <w:tabs>
          <w:tab w:val="left" w:pos="0"/>
          <w:tab w:val="left" w:pos="668"/>
          <w:tab w:val="left" w:pos="964"/>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800"/>
        </w:tabs>
        <w:ind w:left="667"/>
        <w:rPr>
          <w:rFonts w:ascii="Times New Roman" w:hAnsi="Times New Roman" w:cs="Times New Roman"/>
        </w:rPr>
      </w:pPr>
    </w:p>
    <w:p w14:paraId="6A17132D" w14:textId="77777777" w:rsidR="0090205B" w:rsidRDefault="0090205B">
      <w:pPr>
        <w:pStyle w:val="Style0"/>
        <w:tabs>
          <w:tab w:val="left" w:pos="0"/>
          <w:tab w:val="left" w:pos="668"/>
          <w:tab w:val="left" w:pos="964"/>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800"/>
        </w:tabs>
        <w:ind w:left="667"/>
        <w:rPr>
          <w:rFonts w:ascii="Times New Roman" w:hAnsi="Times New Roman" w:cs="Times New Roman"/>
        </w:rPr>
      </w:pPr>
    </w:p>
    <w:p w14:paraId="46465EC6" w14:textId="77777777" w:rsidR="00593C78" w:rsidRDefault="00593C78">
      <w:pPr>
        <w:pStyle w:val="Style0"/>
        <w:tabs>
          <w:tab w:val="left" w:pos="0"/>
          <w:tab w:val="left" w:pos="668"/>
          <w:tab w:val="left" w:pos="964"/>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800"/>
        </w:tabs>
        <w:ind w:left="667"/>
        <w:rPr>
          <w:rFonts w:ascii="Times New Roman" w:hAnsi="Times New Roman" w:cs="Times New Roman"/>
        </w:rPr>
      </w:pPr>
      <w:r>
        <w:rPr>
          <w:rFonts w:ascii="Times New Roman" w:hAnsi="Times New Roman" w:cs="Times New Roman"/>
          <w:b/>
          <w:bCs/>
        </w:rPr>
        <w:t xml:space="preserve">14.    </w:t>
      </w:r>
      <w:r>
        <w:rPr>
          <w:rFonts w:ascii="Times New Roman" w:hAnsi="Times New Roman" w:cs="Times New Roman"/>
          <w:b/>
          <w:bCs/>
          <w:u w:val="single"/>
        </w:rPr>
        <w:t>Cost to the Federal Government</w:t>
      </w:r>
    </w:p>
    <w:p w14:paraId="14AEBB48" w14:textId="77777777" w:rsidR="00C81D40" w:rsidRDefault="00C81D40">
      <w:pPr>
        <w:pStyle w:val="Style0"/>
        <w:tabs>
          <w:tab w:val="left" w:pos="0"/>
          <w:tab w:val="left" w:pos="668"/>
          <w:tab w:val="left" w:pos="964"/>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800"/>
        </w:tabs>
        <w:ind w:left="667"/>
        <w:rPr>
          <w:rFonts w:ascii="Times New Roman" w:hAnsi="Times New Roman" w:cs="Times New Roman"/>
        </w:rPr>
      </w:pPr>
    </w:p>
    <w:p w14:paraId="0E537B79" w14:textId="0C8BD301" w:rsidR="00593C78" w:rsidRDefault="00593C78">
      <w:pPr>
        <w:pStyle w:val="Style0"/>
        <w:tabs>
          <w:tab w:val="left" w:pos="0"/>
          <w:tab w:val="left" w:pos="668"/>
          <w:tab w:val="left" w:pos="964"/>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800"/>
        </w:tabs>
        <w:ind w:left="667"/>
        <w:rPr>
          <w:rFonts w:ascii="Times New Roman" w:hAnsi="Times New Roman" w:cs="Times New Roman"/>
        </w:rPr>
      </w:pPr>
      <w:r w:rsidRPr="009622E5">
        <w:rPr>
          <w:rFonts w:ascii="Times New Roman" w:hAnsi="Times New Roman" w:cs="Times New Roman"/>
        </w:rPr>
        <w:t xml:space="preserve">The total cost to the </w:t>
      </w:r>
      <w:r w:rsidR="00FD2559" w:rsidRPr="009622E5">
        <w:rPr>
          <w:rFonts w:ascii="Times New Roman" w:hAnsi="Times New Roman" w:cs="Times New Roman"/>
        </w:rPr>
        <w:t xml:space="preserve">Federal </w:t>
      </w:r>
      <w:r w:rsidRPr="009622E5">
        <w:rPr>
          <w:rFonts w:ascii="Times New Roman" w:hAnsi="Times New Roman" w:cs="Times New Roman"/>
        </w:rPr>
        <w:t xml:space="preserve">Government </w:t>
      </w:r>
      <w:r w:rsidR="00DB10D1" w:rsidRPr="009622E5">
        <w:rPr>
          <w:rFonts w:ascii="Times New Roman" w:hAnsi="Times New Roman" w:cs="Times New Roman"/>
        </w:rPr>
        <w:t xml:space="preserve">for </w:t>
      </w:r>
      <w:r w:rsidRPr="009622E5">
        <w:rPr>
          <w:rFonts w:ascii="Times New Roman" w:hAnsi="Times New Roman" w:cs="Times New Roman"/>
        </w:rPr>
        <w:t>th</w:t>
      </w:r>
      <w:r w:rsidR="00FD2559" w:rsidRPr="009622E5">
        <w:rPr>
          <w:rFonts w:ascii="Times New Roman" w:hAnsi="Times New Roman" w:cs="Times New Roman"/>
        </w:rPr>
        <w:t>e Quarterly Financial Report</w:t>
      </w:r>
      <w:r w:rsidRPr="009622E5">
        <w:rPr>
          <w:rFonts w:ascii="Times New Roman" w:hAnsi="Times New Roman" w:cs="Times New Roman"/>
        </w:rPr>
        <w:t xml:space="preserve"> survey in fiscal year 20</w:t>
      </w:r>
      <w:r w:rsidR="0064619C" w:rsidRPr="009622E5">
        <w:rPr>
          <w:rFonts w:ascii="Times New Roman" w:hAnsi="Times New Roman" w:cs="Times New Roman"/>
        </w:rPr>
        <w:t>1</w:t>
      </w:r>
      <w:r w:rsidR="00216C8B" w:rsidRPr="009622E5">
        <w:rPr>
          <w:rFonts w:ascii="Times New Roman" w:hAnsi="Times New Roman" w:cs="Times New Roman"/>
        </w:rPr>
        <w:t>8</w:t>
      </w:r>
      <w:r w:rsidRPr="009622E5">
        <w:rPr>
          <w:rFonts w:ascii="Times New Roman" w:hAnsi="Times New Roman" w:cs="Times New Roman"/>
        </w:rPr>
        <w:t xml:space="preserve"> is estimated to be $</w:t>
      </w:r>
      <w:r w:rsidR="001C3468" w:rsidRPr="009622E5">
        <w:rPr>
          <w:rFonts w:ascii="Times New Roman" w:hAnsi="Times New Roman" w:cs="Times New Roman"/>
        </w:rPr>
        <w:t>5.0</w:t>
      </w:r>
      <w:r w:rsidRPr="009622E5">
        <w:rPr>
          <w:rFonts w:ascii="Times New Roman" w:hAnsi="Times New Roman" w:cs="Times New Roman"/>
        </w:rPr>
        <w:t xml:space="preserve"> million.  This cost is borne by the Census Bureau. </w:t>
      </w:r>
      <w:r w:rsidR="009414D0" w:rsidRPr="009622E5">
        <w:rPr>
          <w:rFonts w:ascii="Times New Roman" w:hAnsi="Times New Roman" w:cs="Times New Roman"/>
        </w:rPr>
        <w:t>We expect the cost to be similar in fiscal years 201</w:t>
      </w:r>
      <w:r w:rsidR="00216C8B" w:rsidRPr="009622E5">
        <w:rPr>
          <w:rFonts w:ascii="Times New Roman" w:hAnsi="Times New Roman" w:cs="Times New Roman"/>
        </w:rPr>
        <w:t>9</w:t>
      </w:r>
      <w:r w:rsidR="009414D0" w:rsidRPr="009622E5">
        <w:rPr>
          <w:rFonts w:ascii="Times New Roman" w:hAnsi="Times New Roman" w:cs="Times New Roman"/>
        </w:rPr>
        <w:t xml:space="preserve"> and 20</w:t>
      </w:r>
      <w:r w:rsidR="00216C8B" w:rsidRPr="009622E5">
        <w:rPr>
          <w:rFonts w:ascii="Times New Roman" w:hAnsi="Times New Roman" w:cs="Times New Roman"/>
        </w:rPr>
        <w:t>20</w:t>
      </w:r>
      <w:r w:rsidR="009414D0" w:rsidRPr="009622E5">
        <w:rPr>
          <w:rFonts w:ascii="Times New Roman" w:hAnsi="Times New Roman" w:cs="Times New Roman"/>
        </w:rPr>
        <w:t xml:space="preserve">. </w:t>
      </w:r>
      <w:r w:rsidR="00FD2559" w:rsidRPr="009622E5">
        <w:rPr>
          <w:rFonts w:ascii="Times New Roman" w:hAnsi="Times New Roman" w:cs="Times New Roman"/>
        </w:rPr>
        <w:t>This estimate includes the cost for such things as data collection, processing, review of tabulated data, publication, equipment, overhead, printing, support staff, etc.</w:t>
      </w:r>
    </w:p>
    <w:p w14:paraId="33B47AEB" w14:textId="77777777" w:rsidR="00AE3715" w:rsidRPr="0055737A" w:rsidRDefault="00AE3715">
      <w:pPr>
        <w:pStyle w:val="Style0"/>
        <w:tabs>
          <w:tab w:val="left" w:pos="0"/>
          <w:tab w:val="left" w:pos="668"/>
          <w:tab w:val="left" w:pos="964"/>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800"/>
        </w:tabs>
        <w:ind w:left="667"/>
        <w:rPr>
          <w:rFonts w:ascii="Times New Roman" w:hAnsi="Times New Roman" w:cs="Times New Roman"/>
          <w:b/>
        </w:rPr>
      </w:pPr>
    </w:p>
    <w:p w14:paraId="2DDC586C" w14:textId="77777777" w:rsidR="00593C78" w:rsidRDefault="00593C78">
      <w:pPr>
        <w:pStyle w:val="Style0"/>
        <w:numPr>
          <w:ilvl w:val="0"/>
          <w:numId w:val="14"/>
        </w:numPr>
        <w:tabs>
          <w:tab w:val="left" w:pos="0"/>
          <w:tab w:val="left" w:pos="669"/>
          <w:tab w:val="left" w:pos="964"/>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800"/>
        </w:tabs>
        <w:rPr>
          <w:rFonts w:ascii="Times New Roman" w:hAnsi="Times New Roman" w:cs="Times New Roman"/>
          <w:b/>
          <w:bCs/>
          <w:u w:val="single"/>
        </w:rPr>
      </w:pPr>
      <w:r>
        <w:rPr>
          <w:rFonts w:ascii="Times New Roman" w:hAnsi="Times New Roman" w:cs="Times New Roman"/>
          <w:b/>
          <w:bCs/>
          <w:u w:val="single"/>
        </w:rPr>
        <w:t>Reason for Change in Burden</w:t>
      </w:r>
    </w:p>
    <w:p w14:paraId="7938F2E9" w14:textId="3185BC6F" w:rsidR="00593C78" w:rsidRDefault="00593C78">
      <w:pPr>
        <w:pStyle w:val="Style0"/>
        <w:tabs>
          <w:tab w:val="left" w:pos="0"/>
          <w:tab w:val="left" w:pos="669"/>
          <w:tab w:val="left" w:pos="964"/>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800"/>
        </w:tabs>
        <w:ind w:left="667"/>
        <w:rPr>
          <w:rFonts w:ascii="Times New Roman" w:hAnsi="Times New Roman" w:cs="Times New Roman"/>
          <w:b/>
          <w:bCs/>
          <w:u w:val="single"/>
        </w:rPr>
      </w:pPr>
    </w:p>
    <w:p w14:paraId="764F61B0" w14:textId="397B7A6D" w:rsidR="008B4517" w:rsidRDefault="00B262A6">
      <w:pPr>
        <w:pStyle w:val="Style0"/>
        <w:tabs>
          <w:tab w:val="left" w:pos="0"/>
          <w:tab w:val="left" w:pos="669"/>
          <w:tab w:val="left" w:pos="964"/>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800"/>
        </w:tabs>
        <w:ind w:left="667"/>
        <w:rPr>
          <w:rFonts w:ascii="Times New Roman" w:hAnsi="Times New Roman" w:cs="Times New Roman"/>
          <w:bCs/>
        </w:rPr>
      </w:pPr>
      <w:r>
        <w:rPr>
          <w:rFonts w:ascii="Times New Roman" w:hAnsi="Times New Roman" w:cs="Times New Roman"/>
          <w:bCs/>
        </w:rPr>
        <w:t>The current OMB burden estimate is 115,111</w:t>
      </w:r>
      <w:r w:rsidR="008B4517">
        <w:rPr>
          <w:rFonts w:ascii="Times New Roman" w:hAnsi="Times New Roman" w:cs="Times New Roman"/>
          <w:bCs/>
        </w:rPr>
        <w:t xml:space="preserve"> hours</w:t>
      </w:r>
      <w:r>
        <w:rPr>
          <w:rFonts w:ascii="Times New Roman" w:hAnsi="Times New Roman" w:cs="Times New Roman"/>
          <w:bCs/>
        </w:rPr>
        <w:t xml:space="preserve">. When </w:t>
      </w:r>
      <w:r w:rsidR="00D20188">
        <w:rPr>
          <w:rFonts w:ascii="Times New Roman" w:hAnsi="Times New Roman" w:cs="Times New Roman"/>
          <w:bCs/>
        </w:rPr>
        <w:t xml:space="preserve">the </w:t>
      </w:r>
      <w:r>
        <w:rPr>
          <w:rFonts w:ascii="Times New Roman" w:hAnsi="Times New Roman" w:cs="Times New Roman"/>
          <w:bCs/>
        </w:rPr>
        <w:t xml:space="preserve">QFR was submitted in 2015, </w:t>
      </w:r>
      <w:r w:rsidR="008B4517">
        <w:rPr>
          <w:rFonts w:ascii="Times New Roman" w:hAnsi="Times New Roman" w:cs="Times New Roman"/>
          <w:bCs/>
        </w:rPr>
        <w:t xml:space="preserve">the burden estimate was 101,258 hours due </w:t>
      </w:r>
      <w:r w:rsidR="00BD1EFF">
        <w:rPr>
          <w:rFonts w:ascii="Times New Roman" w:hAnsi="Times New Roman" w:cs="Times New Roman"/>
          <w:bCs/>
        </w:rPr>
        <w:t xml:space="preserve">to </w:t>
      </w:r>
      <w:r w:rsidR="008B4517">
        <w:rPr>
          <w:rFonts w:ascii="Times New Roman" w:hAnsi="Times New Roman" w:cs="Times New Roman"/>
          <w:bCs/>
        </w:rPr>
        <w:t xml:space="preserve">ceasing the collection of additional service sector corporations. However, </w:t>
      </w:r>
      <w:r w:rsidR="00BD1EFF">
        <w:rPr>
          <w:rFonts w:ascii="Times New Roman" w:hAnsi="Times New Roman" w:cs="Times New Roman"/>
          <w:bCs/>
        </w:rPr>
        <w:t xml:space="preserve">due to an error, </w:t>
      </w:r>
      <w:r w:rsidR="008B4517">
        <w:rPr>
          <w:rFonts w:ascii="Times New Roman" w:hAnsi="Times New Roman" w:cs="Times New Roman"/>
          <w:bCs/>
        </w:rPr>
        <w:t>the bur</w:t>
      </w:r>
      <w:r w:rsidR="00BD1EFF">
        <w:rPr>
          <w:rFonts w:ascii="Times New Roman" w:hAnsi="Times New Roman" w:cs="Times New Roman"/>
          <w:bCs/>
        </w:rPr>
        <w:t xml:space="preserve">den estimate was not </w:t>
      </w:r>
      <w:r w:rsidR="009D072D">
        <w:rPr>
          <w:rFonts w:ascii="Times New Roman" w:hAnsi="Times New Roman" w:cs="Times New Roman"/>
          <w:bCs/>
        </w:rPr>
        <w:t xml:space="preserve">actually </w:t>
      </w:r>
      <w:r w:rsidR="00BD1EFF">
        <w:rPr>
          <w:rFonts w:ascii="Times New Roman" w:hAnsi="Times New Roman" w:cs="Times New Roman"/>
          <w:bCs/>
        </w:rPr>
        <w:t xml:space="preserve">reduced to 101,258 hours when QFR was approved. </w:t>
      </w:r>
      <w:r w:rsidR="002762EC">
        <w:rPr>
          <w:rFonts w:ascii="Times New Roman" w:hAnsi="Times New Roman" w:cs="Times New Roman"/>
          <w:bCs/>
        </w:rPr>
        <w:t>Therefore, a downward adjustment of 13,853 is necessary to bring the burden to a</w:t>
      </w:r>
      <w:r w:rsidR="00D20188">
        <w:rPr>
          <w:rFonts w:ascii="Times New Roman" w:hAnsi="Times New Roman" w:cs="Times New Roman"/>
          <w:bCs/>
        </w:rPr>
        <w:t xml:space="preserve"> base of 101,258 hours. From that</w:t>
      </w:r>
      <w:r w:rsidR="002762EC">
        <w:rPr>
          <w:rFonts w:ascii="Times New Roman" w:hAnsi="Times New Roman" w:cs="Times New Roman"/>
          <w:bCs/>
        </w:rPr>
        <w:t xml:space="preserve"> base, we are now adjusting the burden upward by 6,204 hours to bring the new burden to 107,462 hours annually. The following table details that change. </w:t>
      </w:r>
    </w:p>
    <w:p w14:paraId="20086FC7" w14:textId="77777777" w:rsidR="00854C2A" w:rsidRDefault="00854C2A">
      <w:pPr>
        <w:pStyle w:val="Style0"/>
        <w:tabs>
          <w:tab w:val="left" w:pos="0"/>
          <w:tab w:val="left" w:pos="669"/>
          <w:tab w:val="left" w:pos="964"/>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800"/>
        </w:tabs>
        <w:ind w:left="667"/>
        <w:rPr>
          <w:rFonts w:ascii="Times New Roman" w:hAnsi="Times New Roman" w:cs="Times New Roman"/>
          <w:b/>
          <w:bCs/>
          <w:u w:val="single"/>
        </w:rPr>
      </w:pPr>
    </w:p>
    <w:p w14:paraId="18CBC005" w14:textId="77777777" w:rsidR="00593C78" w:rsidRDefault="00593C78">
      <w:pPr>
        <w:pStyle w:val="Style0"/>
        <w:tabs>
          <w:tab w:val="left" w:pos="0"/>
          <w:tab w:val="left" w:pos="223"/>
          <w:tab w:val="left" w:pos="669"/>
          <w:tab w:val="left" w:pos="1339"/>
          <w:tab w:val="left" w:pos="163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cs="Times New Roman"/>
        </w:rPr>
      </w:pPr>
      <w:r>
        <w:rPr>
          <w:rFonts w:ascii="Times New Roman" w:hAnsi="Times New Roman" w:cs="Times New Roman"/>
        </w:rPr>
        <w:t xml:space="preserve">Change in Burden-Summary </w:t>
      </w:r>
    </w:p>
    <w:p w14:paraId="5B923E88" w14:textId="77777777" w:rsidR="003E0109" w:rsidRDefault="003E0109">
      <w:pPr>
        <w:pStyle w:val="Style0"/>
        <w:tabs>
          <w:tab w:val="left" w:pos="0"/>
          <w:tab w:val="left" w:pos="223"/>
          <w:tab w:val="left" w:pos="669"/>
          <w:tab w:val="left" w:pos="1339"/>
          <w:tab w:val="left" w:pos="163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cs="Times New Roman"/>
        </w:rPr>
      </w:pPr>
    </w:p>
    <w:tbl>
      <w:tblPr>
        <w:tblW w:w="8647" w:type="dxa"/>
        <w:tblInd w:w="829" w:type="dxa"/>
        <w:tblBorders>
          <w:top w:val="double" w:sz="12" w:space="0" w:color="000000"/>
          <w:left w:val="double" w:sz="12" w:space="0" w:color="000000"/>
          <w:bottom w:val="double" w:sz="12" w:space="0" w:color="000000"/>
          <w:right w:val="double" w:sz="1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35"/>
        <w:gridCol w:w="3375"/>
        <w:gridCol w:w="1537"/>
      </w:tblGrid>
      <w:tr w:rsidR="00593C78" w14:paraId="2E718D47" w14:textId="77777777" w:rsidTr="006B218D">
        <w:trPr>
          <w:cantSplit/>
          <w:trHeight w:val="732"/>
        </w:trPr>
        <w:tc>
          <w:tcPr>
            <w:tcW w:w="3735" w:type="dxa"/>
            <w:vAlign w:val="center"/>
          </w:tcPr>
          <w:p w14:paraId="1475C286" w14:textId="77777777" w:rsidR="00593C78" w:rsidRDefault="00593C78" w:rsidP="0015768C">
            <w:pPr>
              <w:pStyle w:val="Style0"/>
              <w:tabs>
                <w:tab w:val="left" w:pos="-415"/>
                <w:tab w:val="left" w:pos="720"/>
                <w:tab w:val="left" w:pos="1440"/>
                <w:tab w:val="left" w:pos="2160"/>
                <w:tab w:val="left" w:pos="2880"/>
              </w:tabs>
              <w:jc w:val="center"/>
              <w:rPr>
                <w:rFonts w:ascii="Times New Roman" w:hAnsi="Times New Roman" w:cs="Times New Roman"/>
                <w:sz w:val="20"/>
                <w:szCs w:val="20"/>
              </w:rPr>
            </w:pPr>
            <w:r>
              <w:rPr>
                <w:rFonts w:ascii="Times New Roman" w:hAnsi="Times New Roman" w:cs="Times New Roman"/>
              </w:rPr>
              <w:t>Form</w:t>
            </w:r>
            <w:r w:rsidR="0015768C">
              <w:rPr>
                <w:rFonts w:ascii="Times New Roman" w:hAnsi="Times New Roman" w:cs="Times New Roman"/>
              </w:rPr>
              <w:t xml:space="preserve"> </w:t>
            </w:r>
            <w:r>
              <w:rPr>
                <w:rFonts w:ascii="Times New Roman" w:hAnsi="Times New Roman" w:cs="Times New Roman"/>
              </w:rPr>
              <w:t>Type</w:t>
            </w:r>
          </w:p>
        </w:tc>
        <w:tc>
          <w:tcPr>
            <w:tcW w:w="3375" w:type="dxa"/>
            <w:vAlign w:val="center"/>
          </w:tcPr>
          <w:p w14:paraId="04B43D5D" w14:textId="77777777" w:rsidR="00593C78" w:rsidRDefault="00593C78" w:rsidP="0015768C">
            <w:pPr>
              <w:pStyle w:val="Style0"/>
              <w:tabs>
                <w:tab w:val="left" w:pos="-415"/>
                <w:tab w:val="left" w:pos="720"/>
                <w:tab w:val="left" w:pos="1440"/>
                <w:tab w:val="left" w:pos="2160"/>
                <w:tab w:val="left" w:pos="2880"/>
                <w:tab w:val="left" w:pos="3600"/>
              </w:tabs>
              <w:jc w:val="center"/>
              <w:rPr>
                <w:rFonts w:ascii="Times New Roman" w:hAnsi="Times New Roman" w:cs="Times New Roman"/>
                <w:sz w:val="20"/>
                <w:szCs w:val="20"/>
              </w:rPr>
            </w:pPr>
            <w:r>
              <w:rPr>
                <w:rFonts w:ascii="Times New Roman" w:hAnsi="Times New Roman" w:cs="Times New Roman"/>
              </w:rPr>
              <w:t>Description of</w:t>
            </w:r>
            <w:r w:rsidR="0015768C">
              <w:rPr>
                <w:rFonts w:ascii="Times New Roman" w:hAnsi="Times New Roman" w:cs="Times New Roman"/>
              </w:rPr>
              <w:t xml:space="preserve"> </w:t>
            </w:r>
            <w:r>
              <w:rPr>
                <w:rFonts w:ascii="Times New Roman" w:hAnsi="Times New Roman" w:cs="Times New Roman"/>
              </w:rPr>
              <w:t>Change</w:t>
            </w:r>
          </w:p>
        </w:tc>
        <w:tc>
          <w:tcPr>
            <w:tcW w:w="1537" w:type="dxa"/>
            <w:vAlign w:val="center"/>
          </w:tcPr>
          <w:p w14:paraId="11A2D27C" w14:textId="77777777" w:rsidR="00593C78" w:rsidRDefault="00593C78" w:rsidP="0015768C">
            <w:pPr>
              <w:pStyle w:val="Style0"/>
              <w:tabs>
                <w:tab w:val="left" w:pos="-415"/>
                <w:tab w:val="left" w:pos="720"/>
              </w:tabs>
              <w:jc w:val="center"/>
              <w:rPr>
                <w:rFonts w:ascii="Times New Roman" w:hAnsi="Times New Roman" w:cs="Times New Roman"/>
                <w:sz w:val="20"/>
                <w:szCs w:val="20"/>
              </w:rPr>
            </w:pPr>
            <w:r>
              <w:rPr>
                <w:rFonts w:ascii="Times New Roman" w:hAnsi="Times New Roman" w:cs="Times New Roman"/>
              </w:rPr>
              <w:t>Difference in Burden Hours</w:t>
            </w:r>
          </w:p>
        </w:tc>
      </w:tr>
      <w:tr w:rsidR="00593C78" w14:paraId="10C5F46B" w14:textId="77777777" w:rsidTr="006B218D">
        <w:trPr>
          <w:cantSplit/>
          <w:trHeight w:val="530"/>
        </w:trPr>
        <w:tc>
          <w:tcPr>
            <w:tcW w:w="3735" w:type="dxa"/>
            <w:vAlign w:val="center"/>
          </w:tcPr>
          <w:p w14:paraId="5545B967" w14:textId="77777777" w:rsidR="00593C78" w:rsidRDefault="00593C78" w:rsidP="0015768C">
            <w:pPr>
              <w:pStyle w:val="Style0"/>
              <w:tabs>
                <w:tab w:val="left" w:pos="-415"/>
                <w:tab w:val="left" w:pos="720"/>
                <w:tab w:val="left" w:pos="1440"/>
                <w:tab w:val="left" w:pos="2160"/>
                <w:tab w:val="left" w:pos="2880"/>
              </w:tabs>
              <w:jc w:val="center"/>
              <w:rPr>
                <w:rFonts w:ascii="Times New Roman" w:hAnsi="Times New Roman" w:cs="Times New Roman"/>
                <w:sz w:val="20"/>
                <w:szCs w:val="20"/>
              </w:rPr>
            </w:pPr>
            <w:r>
              <w:rPr>
                <w:rFonts w:ascii="Times New Roman" w:hAnsi="Times New Roman" w:cs="Times New Roman"/>
              </w:rPr>
              <w:t>QFR-200 (MT) Long Form</w:t>
            </w:r>
          </w:p>
        </w:tc>
        <w:tc>
          <w:tcPr>
            <w:tcW w:w="3375" w:type="dxa"/>
            <w:vAlign w:val="center"/>
          </w:tcPr>
          <w:p w14:paraId="6EE691BC" w14:textId="1B7B4CC3" w:rsidR="00593C78" w:rsidRDefault="0078215F">
            <w:pPr>
              <w:pStyle w:val="Style0"/>
              <w:tabs>
                <w:tab w:val="left" w:pos="-415"/>
                <w:tab w:val="left" w:pos="720"/>
                <w:tab w:val="left" w:pos="1440"/>
                <w:tab w:val="left" w:pos="2160"/>
                <w:tab w:val="left" w:pos="2880"/>
                <w:tab w:val="left" w:pos="3600"/>
              </w:tabs>
              <w:jc w:val="center"/>
              <w:rPr>
                <w:rFonts w:ascii="Times New Roman" w:hAnsi="Times New Roman" w:cs="Times New Roman"/>
                <w:sz w:val="20"/>
                <w:szCs w:val="20"/>
              </w:rPr>
            </w:pPr>
            <w:r w:rsidRPr="009622E5">
              <w:rPr>
                <w:rFonts w:ascii="Times New Roman" w:hAnsi="Times New Roman" w:cs="Times New Roman"/>
              </w:rPr>
              <w:t>in</w:t>
            </w:r>
            <w:r w:rsidR="00593C78" w:rsidRPr="009622E5">
              <w:rPr>
                <w:rFonts w:ascii="Times New Roman" w:hAnsi="Times New Roman" w:cs="Times New Roman"/>
              </w:rPr>
              <w:t>crease</w:t>
            </w:r>
            <w:r w:rsidR="00593C78">
              <w:rPr>
                <w:rFonts w:ascii="Times New Roman" w:hAnsi="Times New Roman" w:cs="Times New Roman"/>
              </w:rPr>
              <w:t xml:space="preserve"> in active corporations</w:t>
            </w:r>
          </w:p>
        </w:tc>
        <w:tc>
          <w:tcPr>
            <w:tcW w:w="1537" w:type="dxa"/>
            <w:vAlign w:val="center"/>
          </w:tcPr>
          <w:p w14:paraId="1E71DA07" w14:textId="386AF5CB" w:rsidR="00593C78" w:rsidRPr="00927E2C" w:rsidRDefault="0078215F" w:rsidP="0015768C">
            <w:pPr>
              <w:tabs>
                <w:tab w:val="left" w:pos="-415"/>
                <w:tab w:val="left" w:pos="720"/>
              </w:tabs>
              <w:jc w:val="center"/>
            </w:pPr>
            <w:r w:rsidRPr="009622E5">
              <w:t>+4,788</w:t>
            </w:r>
          </w:p>
        </w:tc>
      </w:tr>
      <w:tr w:rsidR="00593C78" w14:paraId="13870CB8" w14:textId="77777777" w:rsidTr="006B218D">
        <w:trPr>
          <w:cantSplit/>
          <w:trHeight w:val="530"/>
        </w:trPr>
        <w:tc>
          <w:tcPr>
            <w:tcW w:w="3735" w:type="dxa"/>
            <w:vAlign w:val="center"/>
          </w:tcPr>
          <w:p w14:paraId="153E775A" w14:textId="77777777" w:rsidR="00593C78" w:rsidRDefault="00593C78" w:rsidP="0015768C">
            <w:pPr>
              <w:pStyle w:val="Style0"/>
              <w:tabs>
                <w:tab w:val="left" w:pos="-415"/>
                <w:tab w:val="left" w:pos="720"/>
                <w:tab w:val="left" w:pos="1440"/>
                <w:tab w:val="left" w:pos="2160"/>
                <w:tab w:val="left" w:pos="2880"/>
              </w:tabs>
              <w:jc w:val="center"/>
              <w:rPr>
                <w:rFonts w:ascii="Times New Roman" w:hAnsi="Times New Roman" w:cs="Times New Roman"/>
              </w:rPr>
            </w:pPr>
            <w:r>
              <w:rPr>
                <w:rFonts w:ascii="Times New Roman" w:hAnsi="Times New Roman" w:cs="Times New Roman"/>
              </w:rPr>
              <w:t>QFR-300 (S) Long Form</w:t>
            </w:r>
          </w:p>
        </w:tc>
        <w:tc>
          <w:tcPr>
            <w:tcW w:w="3375" w:type="dxa"/>
            <w:vAlign w:val="center"/>
          </w:tcPr>
          <w:p w14:paraId="6EC7E42F" w14:textId="069C1680" w:rsidR="00593C78" w:rsidRPr="009622E5" w:rsidRDefault="0015768C" w:rsidP="0015768C">
            <w:pPr>
              <w:tabs>
                <w:tab w:val="left" w:pos="-415"/>
                <w:tab w:val="left" w:pos="720"/>
                <w:tab w:val="left" w:pos="1440"/>
                <w:tab w:val="left" w:pos="2160"/>
                <w:tab w:val="left" w:pos="2880"/>
                <w:tab w:val="left" w:pos="3600"/>
              </w:tabs>
            </w:pPr>
            <w:r w:rsidRPr="009622E5">
              <w:t xml:space="preserve"> </w:t>
            </w:r>
            <w:r w:rsidR="0078215F" w:rsidRPr="009622E5">
              <w:t xml:space="preserve"> </w:t>
            </w:r>
            <w:r w:rsidRPr="009622E5">
              <w:t xml:space="preserve">  </w:t>
            </w:r>
            <w:r w:rsidR="0078215F" w:rsidRPr="009622E5">
              <w:t>increase in active corporations</w:t>
            </w:r>
          </w:p>
        </w:tc>
        <w:tc>
          <w:tcPr>
            <w:tcW w:w="1537" w:type="dxa"/>
            <w:vAlign w:val="center"/>
          </w:tcPr>
          <w:p w14:paraId="0589D397" w14:textId="6034871A" w:rsidR="00593C78" w:rsidRPr="009622E5" w:rsidRDefault="0078215F">
            <w:pPr>
              <w:pStyle w:val="Style0"/>
              <w:tabs>
                <w:tab w:val="left" w:pos="-415"/>
                <w:tab w:val="left" w:pos="720"/>
              </w:tabs>
              <w:jc w:val="center"/>
              <w:rPr>
                <w:rFonts w:ascii="Times New Roman" w:hAnsi="Times New Roman" w:cs="Times New Roman"/>
              </w:rPr>
            </w:pPr>
            <w:r w:rsidRPr="009622E5">
              <w:rPr>
                <w:rFonts w:ascii="Times New Roman" w:hAnsi="Times New Roman" w:cs="Times New Roman"/>
              </w:rPr>
              <w:t>+2,664</w:t>
            </w:r>
          </w:p>
        </w:tc>
      </w:tr>
      <w:tr w:rsidR="00593C78" w14:paraId="6F89DFB2" w14:textId="77777777" w:rsidTr="006B218D">
        <w:trPr>
          <w:cantSplit/>
          <w:trHeight w:val="530"/>
        </w:trPr>
        <w:tc>
          <w:tcPr>
            <w:tcW w:w="3735" w:type="dxa"/>
            <w:vAlign w:val="center"/>
          </w:tcPr>
          <w:p w14:paraId="3EFF9F8C" w14:textId="77777777" w:rsidR="00593C78" w:rsidRDefault="00593C78" w:rsidP="0015768C">
            <w:pPr>
              <w:pStyle w:val="Style0"/>
              <w:tabs>
                <w:tab w:val="left" w:pos="-415"/>
                <w:tab w:val="left" w:pos="720"/>
                <w:tab w:val="left" w:pos="1440"/>
                <w:tab w:val="left" w:pos="2160"/>
                <w:tab w:val="left" w:pos="2880"/>
              </w:tabs>
              <w:jc w:val="center"/>
              <w:rPr>
                <w:rFonts w:ascii="Times New Roman" w:hAnsi="Times New Roman" w:cs="Times New Roman"/>
                <w:sz w:val="20"/>
                <w:szCs w:val="20"/>
              </w:rPr>
            </w:pPr>
            <w:r>
              <w:rPr>
                <w:rFonts w:ascii="Times New Roman" w:hAnsi="Times New Roman" w:cs="Times New Roman"/>
              </w:rPr>
              <w:t>QFR-201 (MG) Short Form</w:t>
            </w:r>
          </w:p>
        </w:tc>
        <w:tc>
          <w:tcPr>
            <w:tcW w:w="3375" w:type="dxa"/>
            <w:vAlign w:val="center"/>
          </w:tcPr>
          <w:p w14:paraId="6F989A3E" w14:textId="4489A09C" w:rsidR="00593C78" w:rsidRPr="009622E5" w:rsidRDefault="0078215F" w:rsidP="0015768C">
            <w:pPr>
              <w:tabs>
                <w:tab w:val="left" w:pos="-415"/>
                <w:tab w:val="left" w:pos="720"/>
                <w:tab w:val="left" w:pos="1440"/>
                <w:tab w:val="left" w:pos="2160"/>
                <w:tab w:val="left" w:pos="2880"/>
                <w:tab w:val="left" w:pos="3600"/>
              </w:tabs>
              <w:jc w:val="center"/>
            </w:pPr>
            <w:r w:rsidRPr="009622E5">
              <w:t>de</w:t>
            </w:r>
            <w:r w:rsidR="00593C78" w:rsidRPr="009622E5">
              <w:t>crease in active corporations</w:t>
            </w:r>
          </w:p>
        </w:tc>
        <w:tc>
          <w:tcPr>
            <w:tcW w:w="1537" w:type="dxa"/>
            <w:vAlign w:val="center"/>
          </w:tcPr>
          <w:p w14:paraId="4C623B4D" w14:textId="0327F941" w:rsidR="00593C78" w:rsidRPr="009622E5" w:rsidRDefault="0015768C">
            <w:pPr>
              <w:pStyle w:val="Style0"/>
              <w:tabs>
                <w:tab w:val="left" w:pos="-415"/>
                <w:tab w:val="left" w:pos="720"/>
              </w:tabs>
              <w:jc w:val="center"/>
              <w:rPr>
                <w:rFonts w:ascii="Times New Roman" w:hAnsi="Times New Roman" w:cs="Times New Roman"/>
                <w:szCs w:val="20"/>
              </w:rPr>
            </w:pPr>
            <w:r w:rsidRPr="009622E5">
              <w:rPr>
                <w:rFonts w:ascii="Times New Roman" w:hAnsi="Times New Roman" w:cs="Times New Roman"/>
                <w:szCs w:val="20"/>
              </w:rPr>
              <w:t xml:space="preserve"> </w:t>
            </w:r>
            <w:r w:rsidR="0078215F" w:rsidRPr="009622E5">
              <w:rPr>
                <w:rFonts w:ascii="Times New Roman" w:hAnsi="Times New Roman" w:cs="Times New Roman"/>
                <w:szCs w:val="20"/>
              </w:rPr>
              <w:t>-1,248</w:t>
            </w:r>
          </w:p>
        </w:tc>
      </w:tr>
      <w:tr w:rsidR="0015768C" w14:paraId="694C7C47" w14:textId="77777777" w:rsidTr="006B218D">
        <w:trPr>
          <w:cantSplit/>
          <w:trHeight w:val="485"/>
        </w:trPr>
        <w:tc>
          <w:tcPr>
            <w:tcW w:w="7110" w:type="dxa"/>
            <w:gridSpan w:val="2"/>
            <w:vAlign w:val="center"/>
          </w:tcPr>
          <w:p w14:paraId="1757B0FE" w14:textId="77777777" w:rsidR="0015768C" w:rsidRPr="009622E5" w:rsidRDefault="0015768C" w:rsidP="0015768C">
            <w:pPr>
              <w:pStyle w:val="Style0"/>
              <w:tabs>
                <w:tab w:val="left" w:pos="-415"/>
                <w:tab w:val="left" w:pos="720"/>
                <w:tab w:val="left" w:pos="1440"/>
                <w:tab w:val="left" w:pos="2160"/>
                <w:tab w:val="left" w:pos="2880"/>
                <w:tab w:val="left" w:pos="3600"/>
              </w:tabs>
              <w:jc w:val="center"/>
              <w:rPr>
                <w:rFonts w:ascii="Times New Roman" w:hAnsi="Times New Roman" w:cs="Times New Roman"/>
                <w:sz w:val="20"/>
                <w:szCs w:val="20"/>
              </w:rPr>
            </w:pPr>
            <w:r w:rsidRPr="009622E5">
              <w:rPr>
                <w:rFonts w:ascii="Times New Roman" w:hAnsi="Times New Roman" w:cs="Times New Roman"/>
              </w:rPr>
              <w:t>Net Difference</w:t>
            </w:r>
          </w:p>
        </w:tc>
        <w:tc>
          <w:tcPr>
            <w:tcW w:w="1537" w:type="dxa"/>
            <w:vAlign w:val="center"/>
          </w:tcPr>
          <w:p w14:paraId="1A2DC788" w14:textId="0EB67434" w:rsidR="0015768C" w:rsidRPr="009622E5" w:rsidRDefault="0078215F">
            <w:pPr>
              <w:pStyle w:val="Style0"/>
              <w:tabs>
                <w:tab w:val="left" w:pos="-415"/>
                <w:tab w:val="left" w:pos="720"/>
              </w:tabs>
              <w:jc w:val="center"/>
              <w:rPr>
                <w:rFonts w:ascii="Times New Roman" w:hAnsi="Times New Roman" w:cs="Times New Roman"/>
                <w:sz w:val="20"/>
                <w:szCs w:val="20"/>
              </w:rPr>
            </w:pPr>
            <w:r w:rsidRPr="009622E5">
              <w:rPr>
                <w:rFonts w:ascii="Times New Roman" w:hAnsi="Times New Roman" w:cs="Times New Roman"/>
              </w:rPr>
              <w:t>+6,204</w:t>
            </w:r>
          </w:p>
        </w:tc>
      </w:tr>
    </w:tbl>
    <w:p w14:paraId="3648A1C3" w14:textId="77777777" w:rsidR="00A1476B" w:rsidRDefault="00A1476B">
      <w:pPr>
        <w:pStyle w:val="Style0"/>
        <w:tabs>
          <w:tab w:val="left" w:pos="-373"/>
          <w:tab w:val="left" w:pos="-1"/>
          <w:tab w:val="left" w:pos="371"/>
          <w:tab w:val="left" w:pos="667"/>
          <w:tab w:val="left" w:pos="817"/>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798"/>
        </w:tabs>
        <w:ind w:left="667"/>
        <w:rPr>
          <w:rFonts w:ascii="Times New Roman" w:hAnsi="Times New Roman" w:cs="Times New Roman"/>
        </w:rPr>
      </w:pPr>
    </w:p>
    <w:p w14:paraId="1B7273E2" w14:textId="28B747B3" w:rsidR="00593C78" w:rsidRDefault="00593C78">
      <w:pPr>
        <w:pStyle w:val="Style0"/>
        <w:tabs>
          <w:tab w:val="left" w:pos="-373"/>
          <w:tab w:val="left" w:pos="-1"/>
          <w:tab w:val="left" w:pos="371"/>
          <w:tab w:val="left" w:pos="667"/>
          <w:tab w:val="left" w:pos="817"/>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798"/>
        </w:tabs>
        <w:ind w:left="667"/>
        <w:rPr>
          <w:rFonts w:ascii="Times New Roman" w:hAnsi="Times New Roman" w:cs="Times New Roman"/>
        </w:rPr>
      </w:pPr>
      <w:r w:rsidRPr="009622E5">
        <w:rPr>
          <w:rFonts w:ascii="Times New Roman" w:hAnsi="Times New Roman" w:cs="Times New Roman"/>
        </w:rPr>
        <w:t xml:space="preserve">The burden estimate </w:t>
      </w:r>
      <w:r w:rsidR="0085279F" w:rsidRPr="009622E5">
        <w:rPr>
          <w:rFonts w:ascii="Times New Roman" w:hAnsi="Times New Roman" w:cs="Times New Roman"/>
        </w:rPr>
        <w:t xml:space="preserve">of </w:t>
      </w:r>
      <w:r w:rsidR="000034DA" w:rsidRPr="009622E5">
        <w:rPr>
          <w:rFonts w:ascii="Times New Roman" w:hAnsi="Times New Roman" w:cs="Times New Roman"/>
        </w:rPr>
        <w:t>107,462</w:t>
      </w:r>
      <w:r w:rsidR="0085279F" w:rsidRPr="009622E5">
        <w:rPr>
          <w:rFonts w:ascii="Times New Roman" w:hAnsi="Times New Roman" w:cs="Times New Roman"/>
        </w:rPr>
        <w:t xml:space="preserve"> hours</w:t>
      </w:r>
      <w:r w:rsidRPr="009622E5">
        <w:rPr>
          <w:rFonts w:ascii="Times New Roman" w:hAnsi="Times New Roman" w:cs="Times New Roman"/>
        </w:rPr>
        <w:t xml:space="preserve"> is based on the number of active corporations as of </w:t>
      </w:r>
      <w:r w:rsidR="00097253" w:rsidRPr="009622E5">
        <w:rPr>
          <w:rFonts w:ascii="Times New Roman" w:hAnsi="Times New Roman" w:cs="Times New Roman"/>
        </w:rPr>
        <w:t>third</w:t>
      </w:r>
      <w:r w:rsidR="007F124E" w:rsidRPr="009622E5">
        <w:rPr>
          <w:rFonts w:ascii="Times New Roman" w:hAnsi="Times New Roman" w:cs="Times New Roman"/>
        </w:rPr>
        <w:t xml:space="preserve"> </w:t>
      </w:r>
      <w:r w:rsidRPr="009622E5">
        <w:rPr>
          <w:rFonts w:ascii="Times New Roman" w:hAnsi="Times New Roman" w:cs="Times New Roman"/>
        </w:rPr>
        <w:t>quarter 20</w:t>
      </w:r>
      <w:r w:rsidR="0064619C" w:rsidRPr="009622E5">
        <w:rPr>
          <w:rFonts w:ascii="Times New Roman" w:hAnsi="Times New Roman" w:cs="Times New Roman"/>
        </w:rPr>
        <w:t>1</w:t>
      </w:r>
      <w:r w:rsidR="000034DA" w:rsidRPr="009622E5">
        <w:rPr>
          <w:rFonts w:ascii="Times New Roman" w:hAnsi="Times New Roman" w:cs="Times New Roman"/>
        </w:rPr>
        <w:t>7</w:t>
      </w:r>
      <w:r w:rsidR="00A1476B" w:rsidRPr="009622E5">
        <w:rPr>
          <w:rFonts w:ascii="Times New Roman" w:hAnsi="Times New Roman" w:cs="Times New Roman"/>
        </w:rPr>
        <w:t xml:space="preserve">.  </w:t>
      </w:r>
      <w:r w:rsidR="0085279F" w:rsidRPr="009622E5">
        <w:rPr>
          <w:rFonts w:ascii="Times New Roman" w:hAnsi="Times New Roman" w:cs="Times New Roman"/>
        </w:rPr>
        <w:t>The new estimate is a</w:t>
      </w:r>
      <w:r w:rsidR="000034DA" w:rsidRPr="009622E5">
        <w:rPr>
          <w:rFonts w:ascii="Times New Roman" w:hAnsi="Times New Roman" w:cs="Times New Roman"/>
        </w:rPr>
        <w:t>n</w:t>
      </w:r>
      <w:r w:rsidR="0085279F" w:rsidRPr="009622E5">
        <w:rPr>
          <w:rFonts w:ascii="Times New Roman" w:hAnsi="Times New Roman" w:cs="Times New Roman"/>
        </w:rPr>
        <w:t xml:space="preserve"> </w:t>
      </w:r>
      <w:r w:rsidR="000034DA" w:rsidRPr="009622E5">
        <w:rPr>
          <w:rFonts w:ascii="Times New Roman" w:hAnsi="Times New Roman" w:cs="Times New Roman"/>
        </w:rPr>
        <w:t>in</w:t>
      </w:r>
      <w:r w:rsidR="0085279F" w:rsidRPr="009622E5">
        <w:rPr>
          <w:rFonts w:ascii="Times New Roman" w:hAnsi="Times New Roman" w:cs="Times New Roman"/>
        </w:rPr>
        <w:t xml:space="preserve">crease of about </w:t>
      </w:r>
      <w:r w:rsidR="000034DA" w:rsidRPr="009622E5">
        <w:rPr>
          <w:rFonts w:ascii="Times New Roman" w:hAnsi="Times New Roman" w:cs="Times New Roman"/>
        </w:rPr>
        <w:t>6</w:t>
      </w:r>
      <w:r w:rsidR="0085279F" w:rsidRPr="009622E5">
        <w:rPr>
          <w:rFonts w:ascii="Times New Roman" w:hAnsi="Times New Roman" w:cs="Times New Roman"/>
        </w:rPr>
        <w:t xml:space="preserve">% from the previous estimate of </w:t>
      </w:r>
      <w:r w:rsidR="00AB0FE0" w:rsidRPr="009622E5">
        <w:rPr>
          <w:rFonts w:ascii="Times New Roman" w:hAnsi="Times New Roman" w:cs="Times New Roman"/>
        </w:rPr>
        <w:t>101</w:t>
      </w:r>
      <w:r w:rsidR="0085279F" w:rsidRPr="009622E5">
        <w:rPr>
          <w:rFonts w:ascii="Times New Roman" w:hAnsi="Times New Roman" w:cs="Times New Roman"/>
        </w:rPr>
        <w:t>,</w:t>
      </w:r>
      <w:r w:rsidR="00AB0FE0" w:rsidRPr="009622E5">
        <w:rPr>
          <w:rFonts w:ascii="Times New Roman" w:hAnsi="Times New Roman" w:cs="Times New Roman"/>
        </w:rPr>
        <w:t>258</w:t>
      </w:r>
      <w:r w:rsidR="0085279F" w:rsidRPr="009622E5">
        <w:rPr>
          <w:rFonts w:ascii="Times New Roman" w:hAnsi="Times New Roman" w:cs="Times New Roman"/>
        </w:rPr>
        <w:t xml:space="preserve"> hours.</w:t>
      </w:r>
      <w:r w:rsidRPr="009622E5">
        <w:rPr>
          <w:rFonts w:ascii="Times New Roman" w:hAnsi="Times New Roman" w:cs="Times New Roman"/>
        </w:rPr>
        <w:t xml:space="preserve">  The </w:t>
      </w:r>
      <w:r w:rsidR="00AB0FE0" w:rsidRPr="009622E5">
        <w:rPr>
          <w:rFonts w:ascii="Times New Roman" w:hAnsi="Times New Roman" w:cs="Times New Roman"/>
        </w:rPr>
        <w:t xml:space="preserve">increase </w:t>
      </w:r>
      <w:r w:rsidRPr="009622E5">
        <w:rPr>
          <w:rFonts w:ascii="Times New Roman" w:hAnsi="Times New Roman" w:cs="Times New Roman"/>
        </w:rPr>
        <w:t>associated with the QFR</w:t>
      </w:r>
      <w:r w:rsidR="00C15C05" w:rsidRPr="009622E5">
        <w:rPr>
          <w:rFonts w:ascii="Times New Roman" w:hAnsi="Times New Roman" w:cs="Times New Roman"/>
        </w:rPr>
        <w:t xml:space="preserve"> long form</w:t>
      </w:r>
      <w:r w:rsidR="00FD5ADB" w:rsidRPr="009622E5">
        <w:rPr>
          <w:rFonts w:ascii="Times New Roman" w:hAnsi="Times New Roman" w:cs="Times New Roman"/>
        </w:rPr>
        <w:t xml:space="preserve">s </w:t>
      </w:r>
      <w:r w:rsidR="00AB0FE0" w:rsidRPr="009622E5">
        <w:rPr>
          <w:rFonts w:ascii="Times New Roman" w:hAnsi="Times New Roman" w:cs="Times New Roman"/>
        </w:rPr>
        <w:t>is due to increased</w:t>
      </w:r>
      <w:r w:rsidR="0085279F" w:rsidRPr="009622E5">
        <w:rPr>
          <w:rFonts w:ascii="Times New Roman" w:hAnsi="Times New Roman" w:cs="Times New Roman"/>
        </w:rPr>
        <w:t xml:space="preserve"> </w:t>
      </w:r>
      <w:r w:rsidRPr="009622E5">
        <w:rPr>
          <w:rFonts w:ascii="Times New Roman" w:hAnsi="Times New Roman" w:cs="Times New Roman"/>
        </w:rPr>
        <w:t xml:space="preserve">current estimate of active corporations for the manufacturing, mining, and trade companies.  The </w:t>
      </w:r>
      <w:r w:rsidR="00A27029" w:rsidRPr="009622E5">
        <w:rPr>
          <w:rFonts w:ascii="Times New Roman" w:hAnsi="Times New Roman" w:cs="Times New Roman"/>
        </w:rPr>
        <w:t>de</w:t>
      </w:r>
      <w:r w:rsidRPr="009622E5">
        <w:rPr>
          <w:rFonts w:ascii="Times New Roman" w:hAnsi="Times New Roman" w:cs="Times New Roman"/>
        </w:rPr>
        <w:t xml:space="preserve">crease associated with the QFR short form is due to </w:t>
      </w:r>
      <w:r w:rsidR="00AB0FE0" w:rsidRPr="009622E5">
        <w:rPr>
          <w:rFonts w:ascii="Times New Roman" w:hAnsi="Times New Roman" w:cs="Times New Roman"/>
        </w:rPr>
        <w:t xml:space="preserve">decreased </w:t>
      </w:r>
      <w:r w:rsidRPr="009622E5">
        <w:rPr>
          <w:rFonts w:ascii="Times New Roman" w:hAnsi="Times New Roman" w:cs="Times New Roman"/>
        </w:rPr>
        <w:t xml:space="preserve">current estimate of active </w:t>
      </w:r>
      <w:r w:rsidR="00BC1B47" w:rsidRPr="009622E5">
        <w:rPr>
          <w:rFonts w:ascii="Times New Roman" w:hAnsi="Times New Roman" w:cs="Times New Roman"/>
        </w:rPr>
        <w:t xml:space="preserve">manufacturing </w:t>
      </w:r>
      <w:r w:rsidRPr="009622E5">
        <w:rPr>
          <w:rFonts w:ascii="Times New Roman" w:hAnsi="Times New Roman" w:cs="Times New Roman"/>
        </w:rPr>
        <w:t>corporations</w:t>
      </w:r>
      <w:r w:rsidR="00BC1B47" w:rsidRPr="009622E5">
        <w:rPr>
          <w:rFonts w:ascii="Times New Roman" w:hAnsi="Times New Roman" w:cs="Times New Roman"/>
        </w:rPr>
        <w:t xml:space="preserve"> receiving that form</w:t>
      </w:r>
      <w:r w:rsidRPr="009622E5">
        <w:rPr>
          <w:rFonts w:ascii="Times New Roman" w:hAnsi="Times New Roman" w:cs="Times New Roman"/>
        </w:rPr>
        <w:t>.</w:t>
      </w:r>
    </w:p>
    <w:p w14:paraId="3FA15D0E" w14:textId="77777777" w:rsidR="00522DBF" w:rsidRPr="0079369E" w:rsidRDefault="00522DBF">
      <w:pPr>
        <w:pStyle w:val="Style0"/>
        <w:tabs>
          <w:tab w:val="left" w:pos="-373"/>
          <w:tab w:val="left" w:pos="-1"/>
          <w:tab w:val="left" w:pos="371"/>
          <w:tab w:val="left" w:pos="667"/>
          <w:tab w:val="left" w:pos="817"/>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798"/>
        </w:tabs>
      </w:pPr>
    </w:p>
    <w:p w14:paraId="2C7BBEC6" w14:textId="77777777" w:rsidR="00593C78" w:rsidRDefault="00593C78">
      <w:pPr>
        <w:pStyle w:val="Style0"/>
        <w:tabs>
          <w:tab w:val="left" w:pos="-373"/>
          <w:tab w:val="left" w:pos="-1"/>
          <w:tab w:val="left" w:pos="371"/>
          <w:tab w:val="left" w:pos="667"/>
          <w:tab w:val="left" w:pos="817"/>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798"/>
        </w:tabs>
        <w:ind w:left="667"/>
        <w:rPr>
          <w:rFonts w:ascii="Times New Roman" w:hAnsi="Times New Roman" w:cs="Times New Roman"/>
        </w:rPr>
      </w:pPr>
      <w:r>
        <w:rPr>
          <w:rFonts w:ascii="Times New Roman" w:hAnsi="Times New Roman" w:cs="Times New Roman"/>
          <w:b/>
          <w:bCs/>
        </w:rPr>
        <w:t xml:space="preserve">16.    </w:t>
      </w:r>
      <w:r>
        <w:rPr>
          <w:rFonts w:ascii="Times New Roman" w:hAnsi="Times New Roman" w:cs="Times New Roman"/>
          <w:b/>
          <w:bCs/>
          <w:u w:val="single"/>
        </w:rPr>
        <w:t>Project Schedule</w:t>
      </w:r>
    </w:p>
    <w:p w14:paraId="22527FDB" w14:textId="77777777" w:rsidR="00593C78" w:rsidRDefault="00593C78">
      <w:pPr>
        <w:tabs>
          <w:tab w:val="left" w:pos="0"/>
          <w:tab w:val="left" w:pos="222"/>
          <w:tab w:val="left" w:pos="446"/>
          <w:tab w:val="left" w:pos="818"/>
          <w:tab w:val="left" w:pos="1264"/>
          <w:tab w:val="left" w:pos="1936"/>
          <w:tab w:val="left" w:pos="2656"/>
          <w:tab w:val="left" w:pos="3376"/>
          <w:tab w:val="left" w:pos="4096"/>
          <w:tab w:val="left" w:pos="4816"/>
          <w:tab w:val="left" w:pos="5536"/>
          <w:tab w:val="left" w:pos="6256"/>
          <w:tab w:val="left" w:pos="6976"/>
          <w:tab w:val="left" w:pos="7696"/>
          <w:tab w:val="left" w:pos="8416"/>
          <w:tab w:val="left" w:pos="9136"/>
          <w:tab w:val="left" w:pos="9856"/>
          <w:tab w:val="left" w:pos="10576"/>
          <w:tab w:val="left" w:pos="10800"/>
        </w:tabs>
        <w:ind w:left="222"/>
        <w:sectPr w:rsidR="00593C78" w:rsidSect="00D40063">
          <w:type w:val="continuous"/>
          <w:pgSz w:w="12240" w:h="15840"/>
          <w:pgMar w:top="1080" w:right="1440" w:bottom="360" w:left="1440" w:header="1440" w:footer="1440" w:gutter="0"/>
          <w:cols w:space="720"/>
        </w:sectPr>
      </w:pPr>
    </w:p>
    <w:p w14:paraId="51FFCACD" w14:textId="77777777" w:rsidR="00593C78" w:rsidRDefault="00593C78">
      <w:pPr>
        <w:pStyle w:val="Style0"/>
        <w:tabs>
          <w:tab w:val="left" w:pos="0"/>
          <w:tab w:val="left" w:pos="223"/>
          <w:tab w:val="left" w:pos="669"/>
          <w:tab w:val="left" w:pos="1041"/>
          <w:tab w:val="left" w:pos="14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G Times" w:hAnsi="CG Times" w:cs="Times New Roman"/>
        </w:rPr>
      </w:pPr>
    </w:p>
    <w:p w14:paraId="5D13F6EF" w14:textId="1441914C" w:rsidR="00593C78" w:rsidRDefault="008A1D20">
      <w:pPr>
        <w:pStyle w:val="Style0"/>
        <w:tabs>
          <w:tab w:val="left" w:pos="-1"/>
          <w:tab w:val="left" w:pos="371"/>
          <w:tab w:val="left" w:pos="667"/>
          <w:tab w:val="left" w:pos="817"/>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798"/>
        </w:tabs>
        <w:ind w:left="667"/>
        <w:rPr>
          <w:rFonts w:ascii="Times New Roman" w:hAnsi="Times New Roman" w:cs="Times New Roman"/>
        </w:rPr>
      </w:pPr>
      <w:r w:rsidRPr="009622E5">
        <w:rPr>
          <w:rFonts w:ascii="Times New Roman" w:hAnsi="Times New Roman" w:cs="Times New Roman"/>
        </w:rPr>
        <w:t>Financial information collection commences with mailing of the appropriate form during the last month of the reporting quarter.</w:t>
      </w:r>
      <w:r w:rsidR="00593C78">
        <w:rPr>
          <w:rFonts w:ascii="Times New Roman" w:hAnsi="Times New Roman" w:cs="Times New Roman"/>
        </w:rPr>
        <w:t xml:space="preserve">  All acceptable forms received are processed for inclusion in the current quarter publication.</w:t>
      </w:r>
    </w:p>
    <w:p w14:paraId="61F50E35" w14:textId="77777777" w:rsidR="00593C78" w:rsidRDefault="00593C78">
      <w:pPr>
        <w:tabs>
          <w:tab w:val="left" w:pos="-1"/>
          <w:tab w:val="left" w:pos="371"/>
          <w:tab w:val="left" w:pos="667"/>
          <w:tab w:val="left" w:pos="817"/>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798"/>
        </w:tabs>
        <w:ind w:left="667"/>
        <w:rPr>
          <w:rFonts w:ascii="CG Times" w:hAnsi="CG Times"/>
        </w:rPr>
      </w:pPr>
    </w:p>
    <w:p w14:paraId="112EE9DD" w14:textId="336525BC" w:rsidR="00593C78" w:rsidRPr="0079369E" w:rsidRDefault="00593C78">
      <w:pPr>
        <w:pStyle w:val="Style0"/>
        <w:tabs>
          <w:tab w:val="left" w:pos="-1"/>
          <w:tab w:val="left" w:pos="371"/>
          <w:tab w:val="left" w:pos="667"/>
          <w:tab w:val="left" w:pos="817"/>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798"/>
        </w:tabs>
        <w:ind w:left="667"/>
        <w:rPr>
          <w:rFonts w:ascii="Times New Roman" w:hAnsi="Times New Roman" w:cs="Times New Roman"/>
        </w:rPr>
      </w:pPr>
      <w:r w:rsidRPr="0079369E">
        <w:rPr>
          <w:rFonts w:ascii="Times New Roman" w:hAnsi="Times New Roman" w:cs="Times New Roman"/>
        </w:rPr>
        <w:t xml:space="preserve">QFR data are released approximately </w:t>
      </w:r>
      <w:r w:rsidR="00A27029" w:rsidRPr="009622E5">
        <w:rPr>
          <w:rFonts w:ascii="Times New Roman" w:hAnsi="Times New Roman" w:cs="Times New Roman"/>
        </w:rPr>
        <w:t>65</w:t>
      </w:r>
      <w:r w:rsidRPr="0079369E">
        <w:rPr>
          <w:rFonts w:ascii="Times New Roman" w:hAnsi="Times New Roman" w:cs="Times New Roman"/>
        </w:rPr>
        <w:t xml:space="preserve"> days after the end of the first, second, and third cale</w:t>
      </w:r>
      <w:r w:rsidR="009622E5">
        <w:rPr>
          <w:rFonts w:ascii="Times New Roman" w:hAnsi="Times New Roman" w:cs="Times New Roman"/>
        </w:rPr>
        <w:t xml:space="preserve">ndar quarters and approximately </w:t>
      </w:r>
      <w:r w:rsidR="006302DF" w:rsidRPr="009622E5">
        <w:rPr>
          <w:rFonts w:ascii="Times New Roman" w:hAnsi="Times New Roman" w:cs="Times New Roman"/>
        </w:rPr>
        <w:t>80</w:t>
      </w:r>
      <w:r w:rsidRPr="0079369E">
        <w:rPr>
          <w:rFonts w:ascii="Times New Roman" w:hAnsi="Times New Roman" w:cs="Times New Roman"/>
        </w:rPr>
        <w:t xml:space="preserve"> days after the end of the fourth calendar quarter.  </w:t>
      </w:r>
    </w:p>
    <w:p w14:paraId="4FCE7842" w14:textId="77777777" w:rsidR="00593C78" w:rsidRDefault="00593C78">
      <w:pPr>
        <w:pStyle w:val="Style0"/>
        <w:tabs>
          <w:tab w:val="left" w:pos="-1"/>
          <w:tab w:val="left" w:pos="371"/>
          <w:tab w:val="left" w:pos="667"/>
          <w:tab w:val="left" w:pos="817"/>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798"/>
        </w:tabs>
        <w:ind w:left="667"/>
        <w:rPr>
          <w:rFonts w:ascii="Times New Roman" w:hAnsi="Times New Roman" w:cs="Times New Roman"/>
        </w:rPr>
      </w:pPr>
    </w:p>
    <w:p w14:paraId="3EE865ED" w14:textId="77777777" w:rsidR="00593C78" w:rsidRDefault="00593C78">
      <w:pPr>
        <w:pStyle w:val="Style0"/>
        <w:tabs>
          <w:tab w:val="left" w:pos="-1"/>
          <w:tab w:val="left" w:pos="371"/>
          <w:tab w:val="left" w:pos="667"/>
          <w:tab w:val="left" w:pos="817"/>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798"/>
        </w:tabs>
        <w:ind w:left="667"/>
        <w:rPr>
          <w:rFonts w:ascii="CG Times" w:hAnsi="CG Times" w:cs="Times New Roman"/>
        </w:rPr>
      </w:pPr>
      <w:r>
        <w:rPr>
          <w:rFonts w:ascii="Times New Roman" w:hAnsi="Times New Roman" w:cs="Times New Roman"/>
        </w:rPr>
        <w:t>For reporting purposes, retail trade corporations’ quarters have been staggered by one month.  The published data include information on the most recently closed quarter and the preceding four quarters for the</w:t>
      </w:r>
      <w:r>
        <w:rPr>
          <w:rFonts w:ascii="CG Times" w:hAnsi="CG Times" w:cs="Times New Roman"/>
        </w:rPr>
        <w:t xml:space="preserve"> manufacturing, mining,</w:t>
      </w:r>
      <w:r w:rsidR="007F124E">
        <w:rPr>
          <w:rFonts w:ascii="CG Times" w:hAnsi="CG Times" w:cs="Times New Roman"/>
        </w:rPr>
        <w:t xml:space="preserve"> </w:t>
      </w:r>
      <w:r>
        <w:rPr>
          <w:rFonts w:ascii="CG Times" w:hAnsi="CG Times" w:cs="Times New Roman"/>
        </w:rPr>
        <w:t>wholesale trade,</w:t>
      </w:r>
      <w:r w:rsidR="007F124E">
        <w:rPr>
          <w:rFonts w:ascii="CG Times" w:hAnsi="CG Times" w:cs="Times New Roman"/>
        </w:rPr>
        <w:t xml:space="preserve"> </w:t>
      </w:r>
      <w:r>
        <w:rPr>
          <w:rFonts w:ascii="CG Times" w:hAnsi="CG Times" w:cs="Times New Roman"/>
        </w:rPr>
        <w:t xml:space="preserve">and selected service sectors.  </w:t>
      </w:r>
    </w:p>
    <w:p w14:paraId="749B08CA" w14:textId="77777777" w:rsidR="00D40063" w:rsidRDefault="00D40063">
      <w:pPr>
        <w:tabs>
          <w:tab w:val="left" w:pos="-1"/>
          <w:tab w:val="left" w:pos="371"/>
          <w:tab w:val="left" w:pos="667"/>
          <w:tab w:val="left" w:pos="817"/>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798"/>
        </w:tabs>
        <w:ind w:left="667"/>
      </w:pPr>
    </w:p>
    <w:p w14:paraId="7AAD2976" w14:textId="30988BE2" w:rsidR="00593C78" w:rsidRDefault="00593C78">
      <w:pPr>
        <w:tabs>
          <w:tab w:val="left" w:pos="-1"/>
          <w:tab w:val="left" w:pos="371"/>
          <w:tab w:val="left" w:pos="667"/>
          <w:tab w:val="left" w:pos="817"/>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798"/>
        </w:tabs>
        <w:ind w:left="667"/>
      </w:pPr>
      <w:r>
        <w:t xml:space="preserve">Data are also published for the preceding four quarters for the retail sector except in the fourth quarter, when the </w:t>
      </w:r>
      <w:r w:rsidR="002D3374" w:rsidRPr="009622E5">
        <w:t>80</w:t>
      </w:r>
      <w:r>
        <w:t>-day publication lag permits synchronized presentation with data from all sectors.  The following table indicates the four reporting quarters for the surveyed business sectors in terms of the month in which any given surveyed corporation's fiscal quarter ends:</w:t>
      </w:r>
    </w:p>
    <w:p w14:paraId="601C8C46" w14:textId="77777777" w:rsidR="006E0160" w:rsidRDefault="006E0160" w:rsidP="00EF2FB6">
      <w:pPr>
        <w:tabs>
          <w:tab w:val="left" w:pos="-1"/>
          <w:tab w:val="left" w:pos="371"/>
          <w:tab w:val="left" w:pos="667"/>
          <w:tab w:val="left" w:pos="817"/>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798"/>
        </w:tabs>
        <w:ind w:left="667"/>
      </w:pPr>
    </w:p>
    <w:tbl>
      <w:tblPr>
        <w:tblW w:w="0" w:type="auto"/>
        <w:tblInd w:w="1157"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4A0" w:firstRow="1" w:lastRow="0" w:firstColumn="1" w:lastColumn="0" w:noHBand="0" w:noVBand="1"/>
      </w:tblPr>
      <w:tblGrid>
        <w:gridCol w:w="1188"/>
        <w:gridCol w:w="3600"/>
        <w:gridCol w:w="3420"/>
      </w:tblGrid>
      <w:tr w:rsidR="00EF2FB6" w:rsidRPr="00254EAD" w14:paraId="6C6BF43F" w14:textId="77777777" w:rsidTr="00A835C9">
        <w:trPr>
          <w:trHeight w:val="375"/>
        </w:trPr>
        <w:tc>
          <w:tcPr>
            <w:tcW w:w="8208" w:type="dxa"/>
            <w:gridSpan w:val="3"/>
            <w:shd w:val="clear" w:color="auto" w:fill="auto"/>
            <w:vAlign w:val="center"/>
          </w:tcPr>
          <w:p w14:paraId="423E55BC" w14:textId="77777777" w:rsidR="00EF2FB6" w:rsidRPr="009D74FC" w:rsidRDefault="00EF2FB6" w:rsidP="009D74FC">
            <w:pPr>
              <w:jc w:val="center"/>
              <w:rPr>
                <w:rFonts w:eastAsia="Calibri"/>
              </w:rPr>
            </w:pPr>
            <w:r w:rsidRPr="009D74FC">
              <w:rPr>
                <w:rFonts w:eastAsia="Calibri"/>
              </w:rPr>
              <w:t>Reporting Quarters for Surveyed Business Sectors *</w:t>
            </w:r>
          </w:p>
        </w:tc>
      </w:tr>
      <w:tr w:rsidR="00EF2FB6" w:rsidRPr="00254EAD" w14:paraId="4284BABD" w14:textId="77777777" w:rsidTr="00A835C9">
        <w:trPr>
          <w:trHeight w:val="989"/>
        </w:trPr>
        <w:tc>
          <w:tcPr>
            <w:tcW w:w="1188" w:type="dxa"/>
            <w:shd w:val="clear" w:color="auto" w:fill="auto"/>
            <w:vAlign w:val="center"/>
          </w:tcPr>
          <w:p w14:paraId="048604C2" w14:textId="77777777" w:rsidR="00EF2FB6" w:rsidRPr="009D74FC" w:rsidRDefault="00EF2FB6" w:rsidP="009D74FC">
            <w:pPr>
              <w:jc w:val="center"/>
              <w:rPr>
                <w:rFonts w:eastAsia="Calibri"/>
              </w:rPr>
            </w:pPr>
            <w:r w:rsidRPr="009D74FC">
              <w:rPr>
                <w:rFonts w:eastAsia="Calibri"/>
              </w:rPr>
              <w:t>QFR Quarter</w:t>
            </w:r>
          </w:p>
        </w:tc>
        <w:tc>
          <w:tcPr>
            <w:tcW w:w="3600" w:type="dxa"/>
            <w:shd w:val="clear" w:color="auto" w:fill="auto"/>
            <w:vAlign w:val="center"/>
          </w:tcPr>
          <w:p w14:paraId="2471414C" w14:textId="77777777" w:rsidR="00EF2FB6" w:rsidRPr="009D74FC" w:rsidRDefault="00EF2FB6" w:rsidP="009D74FC">
            <w:pPr>
              <w:jc w:val="center"/>
              <w:rPr>
                <w:rFonts w:eastAsia="Calibri"/>
              </w:rPr>
            </w:pPr>
            <w:r w:rsidRPr="009D74FC">
              <w:rPr>
                <w:rFonts w:eastAsia="Calibri"/>
              </w:rPr>
              <w:t>Manufacturing, Mining, Wholesale Trade, and Selected Services</w:t>
            </w:r>
          </w:p>
        </w:tc>
        <w:tc>
          <w:tcPr>
            <w:tcW w:w="3420" w:type="dxa"/>
            <w:shd w:val="clear" w:color="auto" w:fill="auto"/>
            <w:vAlign w:val="center"/>
          </w:tcPr>
          <w:p w14:paraId="27E2CAA4" w14:textId="77777777" w:rsidR="00EF2FB6" w:rsidRPr="009D74FC" w:rsidRDefault="00EF2FB6" w:rsidP="009D74FC">
            <w:pPr>
              <w:jc w:val="center"/>
              <w:rPr>
                <w:rFonts w:eastAsia="Calibri"/>
              </w:rPr>
            </w:pPr>
            <w:r w:rsidRPr="009D74FC">
              <w:rPr>
                <w:rFonts w:eastAsia="Calibri"/>
              </w:rPr>
              <w:t>Retail Trade</w:t>
            </w:r>
          </w:p>
        </w:tc>
      </w:tr>
      <w:tr w:rsidR="00EF2FB6" w:rsidRPr="00254EAD" w14:paraId="63B06014" w14:textId="77777777" w:rsidTr="00A835C9">
        <w:trPr>
          <w:trHeight w:val="350"/>
        </w:trPr>
        <w:tc>
          <w:tcPr>
            <w:tcW w:w="1188" w:type="dxa"/>
            <w:shd w:val="clear" w:color="auto" w:fill="auto"/>
            <w:vAlign w:val="center"/>
          </w:tcPr>
          <w:p w14:paraId="78FCB13C" w14:textId="77777777" w:rsidR="00EF2FB6" w:rsidRPr="009D74FC" w:rsidRDefault="00EF2FB6" w:rsidP="00FD5ADB">
            <w:pPr>
              <w:rPr>
                <w:rFonts w:eastAsia="Calibri"/>
              </w:rPr>
            </w:pPr>
            <w:r w:rsidRPr="009D74FC">
              <w:rPr>
                <w:rFonts w:eastAsia="Calibri"/>
              </w:rPr>
              <w:t>First</w:t>
            </w:r>
          </w:p>
        </w:tc>
        <w:tc>
          <w:tcPr>
            <w:tcW w:w="3600" w:type="dxa"/>
            <w:shd w:val="clear" w:color="auto" w:fill="auto"/>
            <w:vAlign w:val="center"/>
          </w:tcPr>
          <w:p w14:paraId="11283D11" w14:textId="77777777" w:rsidR="00EF2FB6" w:rsidRPr="009D74FC" w:rsidRDefault="00EF2FB6" w:rsidP="00FD5ADB">
            <w:pPr>
              <w:rPr>
                <w:rFonts w:eastAsia="Calibri"/>
              </w:rPr>
            </w:pPr>
            <w:r w:rsidRPr="009D74FC">
              <w:rPr>
                <w:rFonts w:eastAsia="Calibri"/>
              </w:rPr>
              <w:t>January, February, or March</w:t>
            </w:r>
          </w:p>
        </w:tc>
        <w:tc>
          <w:tcPr>
            <w:tcW w:w="3420" w:type="dxa"/>
            <w:shd w:val="clear" w:color="auto" w:fill="auto"/>
            <w:vAlign w:val="center"/>
          </w:tcPr>
          <w:p w14:paraId="4FBB68CD" w14:textId="77777777" w:rsidR="00EF2FB6" w:rsidRPr="009D74FC" w:rsidRDefault="00EF2FB6" w:rsidP="00FD5ADB">
            <w:pPr>
              <w:rPr>
                <w:rFonts w:eastAsia="Calibri"/>
              </w:rPr>
            </w:pPr>
            <w:r w:rsidRPr="009D74FC">
              <w:rPr>
                <w:rFonts w:eastAsia="Calibri"/>
              </w:rPr>
              <w:t>February, March, or April</w:t>
            </w:r>
          </w:p>
        </w:tc>
      </w:tr>
      <w:tr w:rsidR="00EF2FB6" w:rsidRPr="00254EAD" w14:paraId="68050FE2" w14:textId="77777777" w:rsidTr="00A835C9">
        <w:trPr>
          <w:trHeight w:val="341"/>
        </w:trPr>
        <w:tc>
          <w:tcPr>
            <w:tcW w:w="1188" w:type="dxa"/>
            <w:shd w:val="clear" w:color="auto" w:fill="auto"/>
            <w:vAlign w:val="center"/>
          </w:tcPr>
          <w:p w14:paraId="0062D6C8" w14:textId="77777777" w:rsidR="00EF2FB6" w:rsidRPr="009D74FC" w:rsidRDefault="00EF2FB6" w:rsidP="00FD5ADB">
            <w:pPr>
              <w:rPr>
                <w:rFonts w:eastAsia="Calibri"/>
              </w:rPr>
            </w:pPr>
            <w:r w:rsidRPr="009D74FC">
              <w:rPr>
                <w:rFonts w:eastAsia="Calibri"/>
              </w:rPr>
              <w:t>Second</w:t>
            </w:r>
          </w:p>
        </w:tc>
        <w:tc>
          <w:tcPr>
            <w:tcW w:w="3600" w:type="dxa"/>
            <w:shd w:val="clear" w:color="auto" w:fill="auto"/>
            <w:vAlign w:val="center"/>
          </w:tcPr>
          <w:p w14:paraId="6AD65F44" w14:textId="77777777" w:rsidR="00EF2FB6" w:rsidRPr="009D74FC" w:rsidRDefault="00EF2FB6" w:rsidP="00FD5ADB">
            <w:pPr>
              <w:rPr>
                <w:rFonts w:eastAsia="Calibri"/>
              </w:rPr>
            </w:pPr>
            <w:r w:rsidRPr="009D74FC">
              <w:rPr>
                <w:rFonts w:eastAsia="Calibri"/>
              </w:rPr>
              <w:t>April, May, or June</w:t>
            </w:r>
          </w:p>
        </w:tc>
        <w:tc>
          <w:tcPr>
            <w:tcW w:w="3420" w:type="dxa"/>
            <w:shd w:val="clear" w:color="auto" w:fill="auto"/>
            <w:vAlign w:val="center"/>
          </w:tcPr>
          <w:p w14:paraId="3D119EC7" w14:textId="77777777" w:rsidR="00EF2FB6" w:rsidRPr="009D74FC" w:rsidRDefault="00EF2FB6" w:rsidP="00FD5ADB">
            <w:pPr>
              <w:rPr>
                <w:rFonts w:eastAsia="Calibri"/>
              </w:rPr>
            </w:pPr>
            <w:r w:rsidRPr="009D74FC">
              <w:rPr>
                <w:rFonts w:eastAsia="Calibri"/>
              </w:rPr>
              <w:t>May, June, or July</w:t>
            </w:r>
          </w:p>
        </w:tc>
      </w:tr>
      <w:tr w:rsidR="00EF2FB6" w:rsidRPr="00254EAD" w14:paraId="552A8D63" w14:textId="77777777" w:rsidTr="00A835C9">
        <w:trPr>
          <w:trHeight w:val="359"/>
        </w:trPr>
        <w:tc>
          <w:tcPr>
            <w:tcW w:w="1188" w:type="dxa"/>
            <w:shd w:val="clear" w:color="auto" w:fill="auto"/>
            <w:vAlign w:val="center"/>
          </w:tcPr>
          <w:p w14:paraId="253F37E8" w14:textId="77777777" w:rsidR="00EF2FB6" w:rsidRPr="009D74FC" w:rsidRDefault="00EF2FB6" w:rsidP="00FD5ADB">
            <w:pPr>
              <w:rPr>
                <w:rFonts w:eastAsia="Calibri"/>
              </w:rPr>
            </w:pPr>
            <w:r w:rsidRPr="009D74FC">
              <w:rPr>
                <w:rFonts w:eastAsia="Calibri"/>
              </w:rPr>
              <w:t>Third</w:t>
            </w:r>
          </w:p>
        </w:tc>
        <w:tc>
          <w:tcPr>
            <w:tcW w:w="3600" w:type="dxa"/>
            <w:shd w:val="clear" w:color="auto" w:fill="auto"/>
            <w:vAlign w:val="center"/>
          </w:tcPr>
          <w:p w14:paraId="05507ADA" w14:textId="77777777" w:rsidR="00EF2FB6" w:rsidRPr="009D74FC" w:rsidRDefault="00EF2FB6" w:rsidP="00FD5ADB">
            <w:pPr>
              <w:rPr>
                <w:rFonts w:eastAsia="Calibri"/>
              </w:rPr>
            </w:pPr>
            <w:r w:rsidRPr="009D74FC">
              <w:rPr>
                <w:rFonts w:eastAsia="Calibri"/>
              </w:rPr>
              <w:t>July, August, or September</w:t>
            </w:r>
          </w:p>
        </w:tc>
        <w:tc>
          <w:tcPr>
            <w:tcW w:w="3420" w:type="dxa"/>
            <w:shd w:val="clear" w:color="auto" w:fill="auto"/>
            <w:vAlign w:val="center"/>
          </w:tcPr>
          <w:p w14:paraId="7B85C02E" w14:textId="77777777" w:rsidR="00EF2FB6" w:rsidRPr="009D74FC" w:rsidRDefault="00EF2FB6" w:rsidP="00FD5ADB">
            <w:pPr>
              <w:rPr>
                <w:rFonts w:eastAsia="Calibri"/>
              </w:rPr>
            </w:pPr>
            <w:r w:rsidRPr="009D74FC">
              <w:rPr>
                <w:rFonts w:eastAsia="Calibri"/>
              </w:rPr>
              <w:t>August, September, or October</w:t>
            </w:r>
          </w:p>
        </w:tc>
      </w:tr>
      <w:tr w:rsidR="00EF2FB6" w:rsidRPr="00254EAD" w14:paraId="34C33E13" w14:textId="77777777" w:rsidTr="00A835C9">
        <w:trPr>
          <w:trHeight w:val="341"/>
        </w:trPr>
        <w:tc>
          <w:tcPr>
            <w:tcW w:w="1188" w:type="dxa"/>
            <w:shd w:val="clear" w:color="auto" w:fill="auto"/>
            <w:vAlign w:val="center"/>
          </w:tcPr>
          <w:p w14:paraId="5C7EDF5D" w14:textId="77777777" w:rsidR="00EF2FB6" w:rsidRPr="009D74FC" w:rsidRDefault="00EF2FB6" w:rsidP="00FD5ADB">
            <w:pPr>
              <w:rPr>
                <w:rFonts w:eastAsia="Calibri"/>
              </w:rPr>
            </w:pPr>
            <w:r w:rsidRPr="009D74FC">
              <w:rPr>
                <w:rFonts w:eastAsia="Calibri"/>
              </w:rPr>
              <w:t>Fourth</w:t>
            </w:r>
          </w:p>
        </w:tc>
        <w:tc>
          <w:tcPr>
            <w:tcW w:w="3600" w:type="dxa"/>
            <w:shd w:val="clear" w:color="auto" w:fill="auto"/>
            <w:vAlign w:val="center"/>
          </w:tcPr>
          <w:p w14:paraId="0A4BC8CE" w14:textId="77777777" w:rsidR="00EF2FB6" w:rsidRPr="009D74FC" w:rsidRDefault="00EF2FB6" w:rsidP="00FD5ADB">
            <w:pPr>
              <w:rPr>
                <w:rFonts w:eastAsia="Calibri"/>
              </w:rPr>
            </w:pPr>
            <w:r w:rsidRPr="009D74FC">
              <w:rPr>
                <w:rFonts w:eastAsia="Calibri"/>
              </w:rPr>
              <w:t>October, November, or December</w:t>
            </w:r>
          </w:p>
        </w:tc>
        <w:tc>
          <w:tcPr>
            <w:tcW w:w="3420" w:type="dxa"/>
            <w:shd w:val="clear" w:color="auto" w:fill="auto"/>
            <w:vAlign w:val="center"/>
          </w:tcPr>
          <w:p w14:paraId="18634E65" w14:textId="77777777" w:rsidR="00EF2FB6" w:rsidRPr="009D74FC" w:rsidRDefault="00EF2FB6" w:rsidP="00FD5ADB">
            <w:pPr>
              <w:rPr>
                <w:rFonts w:eastAsia="Calibri"/>
              </w:rPr>
            </w:pPr>
            <w:r w:rsidRPr="009D74FC">
              <w:rPr>
                <w:rFonts w:eastAsia="Calibri"/>
              </w:rPr>
              <w:t>November, December or January</w:t>
            </w:r>
          </w:p>
        </w:tc>
      </w:tr>
    </w:tbl>
    <w:p w14:paraId="41314062" w14:textId="77777777" w:rsidR="00593C78" w:rsidRDefault="00EF2FB6" w:rsidP="00EF2FB6">
      <w:pPr>
        <w:tabs>
          <w:tab w:val="left" w:pos="-1"/>
          <w:tab w:val="left" w:pos="371"/>
          <w:tab w:val="left" w:pos="667"/>
          <w:tab w:val="left" w:pos="817"/>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798"/>
        </w:tabs>
        <w:ind w:left="667"/>
      </w:pPr>
      <w:r>
        <w:tab/>
      </w:r>
    </w:p>
    <w:p w14:paraId="197FD582" w14:textId="77777777" w:rsidR="00593C78" w:rsidRDefault="00593C78">
      <w:pPr>
        <w:pStyle w:val="Style0"/>
        <w:tabs>
          <w:tab w:val="left" w:pos="-1"/>
          <w:tab w:val="left" w:pos="1560"/>
          <w:tab w:val="left" w:pos="4314"/>
          <w:tab w:val="left" w:pos="4916"/>
          <w:tab w:val="left" w:pos="5636"/>
          <w:tab w:val="left" w:pos="6356"/>
          <w:tab w:val="left" w:pos="7076"/>
          <w:tab w:val="left" w:pos="7796"/>
          <w:tab w:val="left" w:pos="8516"/>
          <w:tab w:val="left" w:pos="9236"/>
          <w:tab w:val="left" w:pos="9900"/>
          <w:tab w:val="left" w:pos="10676"/>
          <w:tab w:val="left" w:pos="10798"/>
        </w:tabs>
        <w:ind w:left="1560"/>
        <w:rPr>
          <w:rFonts w:ascii="Times New Roman" w:hAnsi="Times New Roman" w:cs="Times New Roman"/>
        </w:rPr>
      </w:pPr>
      <w:r>
        <w:rPr>
          <w:rFonts w:ascii="Times New Roman" w:hAnsi="Times New Roman" w:cs="Times New Roman"/>
        </w:rPr>
        <w:t>*Coverage is for corporations whose quarter ends as shown.</w:t>
      </w:r>
    </w:p>
    <w:p w14:paraId="582E90E6" w14:textId="77777777" w:rsidR="00593C78" w:rsidRDefault="00593C78">
      <w:pPr>
        <w:pStyle w:val="Style0"/>
        <w:tabs>
          <w:tab w:val="left" w:pos="0"/>
          <w:tab w:val="left" w:pos="1562"/>
          <w:tab w:val="left" w:pos="3123"/>
          <w:tab w:val="left" w:pos="5877"/>
          <w:tab w:val="left" w:pos="6480"/>
          <w:tab w:val="left" w:pos="7200"/>
          <w:tab w:val="left" w:pos="7920"/>
          <w:tab w:val="left" w:pos="8640"/>
          <w:tab w:val="left" w:pos="9360"/>
          <w:tab w:val="left" w:pos="10080"/>
          <w:tab w:val="left" w:pos="10800"/>
          <w:tab w:val="left" w:pos="11464"/>
        </w:tabs>
        <w:rPr>
          <w:rFonts w:ascii="Times New Roman" w:hAnsi="Times New Roman" w:cs="Times New Roman"/>
        </w:rPr>
      </w:pPr>
    </w:p>
    <w:p w14:paraId="0D79BBFF" w14:textId="77777777" w:rsidR="00593C78" w:rsidRDefault="00593C78">
      <w:pPr>
        <w:pStyle w:val="Style0"/>
        <w:tabs>
          <w:tab w:val="left" w:pos="-297"/>
          <w:tab w:val="left" w:pos="0"/>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800"/>
        </w:tabs>
        <w:ind w:left="667"/>
        <w:rPr>
          <w:rFonts w:ascii="Times New Roman" w:hAnsi="Times New Roman" w:cs="Times New Roman"/>
        </w:rPr>
      </w:pPr>
      <w:r>
        <w:rPr>
          <w:rFonts w:ascii="Times New Roman" w:hAnsi="Times New Roman" w:cs="Times New Roman"/>
        </w:rPr>
        <w:t>Special preliminary tabulations for BEA are derived from all forms received and processed within the first 45 days after the close of each calendar quarter.</w:t>
      </w:r>
    </w:p>
    <w:p w14:paraId="122DE375" w14:textId="77777777" w:rsidR="00593C78" w:rsidRDefault="00593C78">
      <w:pPr>
        <w:pStyle w:val="Style0"/>
        <w:tabs>
          <w:tab w:val="left" w:pos="-297"/>
          <w:tab w:val="left" w:pos="0"/>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800"/>
        </w:tabs>
        <w:ind w:left="667"/>
        <w:rPr>
          <w:rFonts w:ascii="Times New Roman" w:hAnsi="Times New Roman" w:cs="Times New Roman"/>
          <w:b/>
          <w:bCs/>
        </w:rPr>
      </w:pPr>
    </w:p>
    <w:p w14:paraId="057BAD5D" w14:textId="77777777" w:rsidR="00593C78" w:rsidRDefault="00593C78">
      <w:pPr>
        <w:pStyle w:val="Style0"/>
        <w:tabs>
          <w:tab w:val="left" w:pos="-297"/>
          <w:tab w:val="left" w:pos="0"/>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800"/>
        </w:tabs>
        <w:ind w:left="667"/>
        <w:rPr>
          <w:rFonts w:ascii="CG Times" w:hAnsi="CG Times" w:cs="Times New Roman"/>
        </w:rPr>
      </w:pPr>
      <w:r>
        <w:rPr>
          <w:rFonts w:ascii="Times New Roman" w:hAnsi="Times New Roman" w:cs="Times New Roman"/>
          <w:b/>
          <w:bCs/>
        </w:rPr>
        <w:t>17.</w:t>
      </w:r>
      <w:r>
        <w:rPr>
          <w:rFonts w:ascii="Times New Roman" w:hAnsi="Times New Roman" w:cs="Times New Roman"/>
          <w:b/>
          <w:bCs/>
        </w:rPr>
        <w:tab/>
      </w:r>
      <w:r>
        <w:rPr>
          <w:rFonts w:ascii="Times New Roman" w:hAnsi="Times New Roman" w:cs="Times New Roman"/>
          <w:b/>
          <w:bCs/>
          <w:u w:val="single"/>
        </w:rPr>
        <w:t>Request to Not Display Expiration Date</w:t>
      </w:r>
    </w:p>
    <w:p w14:paraId="74B6828D" w14:textId="6C79898F" w:rsidR="00593C78" w:rsidRDefault="00593C78">
      <w:r>
        <w:rPr>
          <w:lang w:val="en-CA"/>
        </w:rPr>
        <w:fldChar w:fldCharType="begin"/>
      </w:r>
      <w:r>
        <w:rPr>
          <w:lang w:val="en-CA"/>
        </w:rPr>
        <w:instrText xml:space="preserve"> SEQ CHAPTER \h \r 1</w:instrText>
      </w:r>
      <w:r>
        <w:rPr>
          <w:lang w:val="en-CA"/>
        </w:rPr>
        <w:fldChar w:fldCharType="end"/>
      </w:r>
    </w:p>
    <w:p w14:paraId="18BB5D27" w14:textId="77777777" w:rsidR="00593C78" w:rsidRDefault="00593C78">
      <w:pPr>
        <w:pStyle w:val="Style0"/>
        <w:tabs>
          <w:tab w:val="left" w:pos="-297"/>
          <w:tab w:val="left" w:pos="666"/>
          <w:tab w:val="left" w:pos="1188"/>
          <w:tab w:val="left" w:pos="3866"/>
          <w:tab w:val="left" w:pos="4368"/>
          <w:tab w:val="left" w:pos="5088"/>
          <w:tab w:val="left" w:pos="5808"/>
          <w:tab w:val="left" w:pos="6528"/>
          <w:tab w:val="left" w:pos="7248"/>
          <w:tab w:val="left" w:pos="7968"/>
          <w:tab w:val="left" w:pos="8636"/>
          <w:tab w:val="left" w:pos="9408"/>
          <w:tab w:val="left" w:pos="10128"/>
          <w:tab w:val="left" w:pos="10800"/>
        </w:tabs>
        <w:ind w:left="666"/>
        <w:rPr>
          <w:rFonts w:ascii="Times New Roman" w:hAnsi="Times New Roman" w:cs="Times New Roman"/>
        </w:rPr>
      </w:pPr>
      <w:r>
        <w:rPr>
          <w:rFonts w:ascii="Times New Roman" w:hAnsi="Times New Roman" w:cs="Times New Roman"/>
        </w:rPr>
        <w:t>We display the expiration date on the collection form</w:t>
      </w:r>
      <w:r w:rsidR="007D7770">
        <w:rPr>
          <w:rFonts w:ascii="Times New Roman" w:hAnsi="Times New Roman" w:cs="Times New Roman"/>
        </w:rPr>
        <w:t xml:space="preserve"> and </w:t>
      </w:r>
      <w:r w:rsidR="0092107C">
        <w:rPr>
          <w:rFonts w:ascii="Times New Roman" w:hAnsi="Times New Roman" w:cs="Times New Roman"/>
        </w:rPr>
        <w:t>C</w:t>
      </w:r>
      <w:r w:rsidR="007D7770" w:rsidRPr="0092107C">
        <w:rPr>
          <w:rFonts w:ascii="Times New Roman" w:hAnsi="Times New Roman" w:cs="Times New Roman"/>
        </w:rPr>
        <w:t>enturion</w:t>
      </w:r>
      <w:r w:rsidRPr="0092107C">
        <w:rPr>
          <w:rFonts w:ascii="Times New Roman" w:hAnsi="Times New Roman" w:cs="Times New Roman"/>
        </w:rPr>
        <w:t>.</w:t>
      </w:r>
    </w:p>
    <w:p w14:paraId="66F15371" w14:textId="77777777" w:rsidR="00522DBF" w:rsidRDefault="00522DBF">
      <w:pPr>
        <w:pStyle w:val="Style0"/>
        <w:tabs>
          <w:tab w:val="left" w:pos="-297"/>
          <w:tab w:val="left" w:pos="666"/>
          <w:tab w:val="left" w:pos="1188"/>
          <w:tab w:val="left" w:pos="3866"/>
          <w:tab w:val="left" w:pos="4368"/>
          <w:tab w:val="left" w:pos="5088"/>
          <w:tab w:val="left" w:pos="5808"/>
          <w:tab w:val="left" w:pos="6528"/>
          <w:tab w:val="left" w:pos="7248"/>
          <w:tab w:val="left" w:pos="7968"/>
          <w:tab w:val="left" w:pos="8636"/>
          <w:tab w:val="left" w:pos="9408"/>
          <w:tab w:val="left" w:pos="10128"/>
          <w:tab w:val="left" w:pos="10800"/>
        </w:tabs>
        <w:ind w:left="666"/>
        <w:rPr>
          <w:rFonts w:ascii="Times New Roman" w:hAnsi="Times New Roman" w:cs="Times New Roman"/>
        </w:rPr>
      </w:pPr>
    </w:p>
    <w:p w14:paraId="531B11AE" w14:textId="77777777" w:rsidR="00593C78" w:rsidRDefault="00593C78">
      <w:pPr>
        <w:pStyle w:val="Style0"/>
        <w:tabs>
          <w:tab w:val="left" w:pos="-297"/>
          <w:tab w:val="left" w:pos="0"/>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800"/>
        </w:tabs>
        <w:ind w:left="667"/>
        <w:rPr>
          <w:rFonts w:ascii="CG Times" w:hAnsi="CG Times" w:cs="Times New Roman"/>
        </w:rPr>
      </w:pPr>
      <w:r>
        <w:rPr>
          <w:rFonts w:ascii="Times New Roman" w:hAnsi="Times New Roman" w:cs="Times New Roman"/>
          <w:b/>
          <w:bCs/>
        </w:rPr>
        <w:t>18.</w:t>
      </w:r>
      <w:r>
        <w:rPr>
          <w:rFonts w:ascii="Times New Roman" w:hAnsi="Times New Roman" w:cs="Times New Roman"/>
          <w:b/>
          <w:bCs/>
        </w:rPr>
        <w:tab/>
      </w:r>
      <w:r>
        <w:rPr>
          <w:rFonts w:ascii="Times New Roman" w:hAnsi="Times New Roman" w:cs="Times New Roman"/>
          <w:b/>
          <w:bCs/>
          <w:u w:val="single"/>
        </w:rPr>
        <w:t>Exception to the Certification</w:t>
      </w:r>
    </w:p>
    <w:p w14:paraId="5082352C" w14:textId="77777777" w:rsidR="00593C78" w:rsidRDefault="00593C78">
      <w:pPr>
        <w:tabs>
          <w:tab w:val="left" w:pos="0"/>
          <w:tab w:val="left" w:pos="223"/>
          <w:tab w:val="left" w:pos="669"/>
          <w:tab w:val="left" w:pos="1041"/>
          <w:tab w:val="left" w:pos="14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372"/>
        <w:rPr>
          <w:rFonts w:ascii="CG Times" w:hAnsi="CG Times"/>
        </w:rPr>
      </w:pPr>
    </w:p>
    <w:p w14:paraId="2E3EC794" w14:textId="77777777" w:rsidR="00593C78" w:rsidRDefault="00593C78">
      <w:pPr>
        <w:pStyle w:val="Style0"/>
        <w:tabs>
          <w:tab w:val="left" w:pos="-297"/>
          <w:tab w:val="left" w:pos="-1"/>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667"/>
        <w:rPr>
          <w:rFonts w:ascii="Times New Roman" w:hAnsi="Times New Roman" w:cs="Times New Roman"/>
        </w:rPr>
      </w:pPr>
      <w:r>
        <w:rPr>
          <w:rFonts w:ascii="Times New Roman" w:hAnsi="Times New Roman" w:cs="Times New Roman"/>
        </w:rPr>
        <w:t>There are no exceptions.</w:t>
      </w:r>
    </w:p>
    <w:p w14:paraId="397B5680" w14:textId="77777777" w:rsidR="00593C78" w:rsidRDefault="00593C78">
      <w:pPr>
        <w:pStyle w:val="Style0"/>
        <w:tabs>
          <w:tab w:val="left" w:pos="-297"/>
          <w:tab w:val="left" w:pos="-1"/>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667"/>
        <w:rPr>
          <w:rFonts w:ascii="Times New Roman" w:hAnsi="Times New Roman" w:cs="Times New Roman"/>
        </w:rPr>
      </w:pPr>
    </w:p>
    <w:p w14:paraId="4BB24F41" w14:textId="77777777" w:rsidR="00593C78" w:rsidRDefault="00593C78">
      <w:pPr>
        <w:pStyle w:val="Style0"/>
        <w:tabs>
          <w:tab w:val="left" w:pos="-297"/>
          <w:tab w:val="left" w:pos="-1"/>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667"/>
        <w:rPr>
          <w:rFonts w:ascii="Times New Roman" w:hAnsi="Times New Roman" w:cs="Times New Roman"/>
          <w:b/>
          <w:bCs/>
        </w:rPr>
      </w:pPr>
      <w:r>
        <w:rPr>
          <w:rFonts w:ascii="Times New Roman" w:hAnsi="Times New Roman" w:cs="Times New Roman"/>
          <w:b/>
          <w:bCs/>
        </w:rPr>
        <w:t>19.</w:t>
      </w:r>
      <w:r>
        <w:rPr>
          <w:rFonts w:ascii="Times New Roman" w:hAnsi="Times New Roman" w:cs="Times New Roman"/>
          <w:b/>
          <w:bCs/>
        </w:rPr>
        <w:tab/>
      </w:r>
      <w:r>
        <w:rPr>
          <w:rFonts w:ascii="Times New Roman" w:hAnsi="Times New Roman" w:cs="Times New Roman"/>
          <w:b/>
          <w:bCs/>
          <w:u w:val="single"/>
        </w:rPr>
        <w:t>North American Industry Classification System (NAICS)</w:t>
      </w:r>
    </w:p>
    <w:p w14:paraId="129759E4" w14:textId="77777777" w:rsidR="00593C78" w:rsidRDefault="00593C78">
      <w:pPr>
        <w:tabs>
          <w:tab w:val="left" w:pos="0"/>
          <w:tab w:val="left" w:pos="223"/>
          <w:tab w:val="left" w:pos="669"/>
          <w:tab w:val="left" w:pos="1041"/>
          <w:tab w:val="left" w:pos="14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w:t>
      </w:r>
    </w:p>
    <w:p w14:paraId="1EA32672" w14:textId="77777777" w:rsidR="002B6A02" w:rsidRDefault="00593C78" w:rsidP="007310B7">
      <w:pPr>
        <w:pStyle w:val="Style0"/>
        <w:tabs>
          <w:tab w:val="left" w:pos="-297"/>
          <w:tab w:val="left" w:pos="-1"/>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667"/>
      </w:pPr>
      <w:r>
        <w:rPr>
          <w:rFonts w:ascii="Times New Roman" w:hAnsi="Times New Roman" w:cs="Times New Roman"/>
        </w:rPr>
        <w:t xml:space="preserve">The QFR survey converted to the NAICS in </w:t>
      </w:r>
      <w:r w:rsidRPr="000F0AE2">
        <w:rPr>
          <w:rFonts w:ascii="Times New Roman" w:hAnsi="Times New Roman" w:cs="Times New Roman"/>
        </w:rPr>
        <w:t>April 200</w:t>
      </w:r>
      <w:r w:rsidR="000F0AE2">
        <w:rPr>
          <w:rFonts w:ascii="Times New Roman" w:hAnsi="Times New Roman" w:cs="Times New Roman"/>
        </w:rPr>
        <w:t>2</w:t>
      </w:r>
      <w:r>
        <w:rPr>
          <w:rFonts w:ascii="Times New Roman" w:hAnsi="Times New Roman" w:cs="Times New Roman"/>
        </w:rPr>
        <w:t xml:space="preserve"> with the publication of the </w:t>
      </w:r>
      <w:r w:rsidR="000F0AE2">
        <w:rPr>
          <w:rFonts w:ascii="Times New Roman" w:hAnsi="Times New Roman" w:cs="Times New Roman"/>
        </w:rPr>
        <w:t>fourth quarter 2001</w:t>
      </w:r>
      <w:r w:rsidRPr="0027157D">
        <w:rPr>
          <w:rFonts w:ascii="Times New Roman" w:hAnsi="Times New Roman" w:cs="Times New Roman"/>
          <w:color w:val="FF0000"/>
        </w:rPr>
        <w:t xml:space="preserve"> </w:t>
      </w:r>
      <w:r>
        <w:rPr>
          <w:rFonts w:ascii="Times New Roman" w:hAnsi="Times New Roman" w:cs="Times New Roman"/>
        </w:rPr>
        <w:t xml:space="preserve">data.  </w:t>
      </w:r>
    </w:p>
    <w:p w14:paraId="5A50D9A2" w14:textId="77777777" w:rsidR="005E2C2D" w:rsidRDefault="005E2C2D" w:rsidP="007310B7">
      <w:pPr>
        <w:pStyle w:val="Style0"/>
        <w:tabs>
          <w:tab w:val="left" w:pos="-297"/>
          <w:tab w:val="left" w:pos="-1"/>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667"/>
      </w:pPr>
    </w:p>
    <w:p w14:paraId="6ABA1169" w14:textId="77777777" w:rsidR="00593C78" w:rsidRDefault="00593C78">
      <w:pPr>
        <w:tabs>
          <w:tab w:val="left" w:pos="-297"/>
          <w:tab w:val="left" w:pos="-1"/>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1008"/>
      </w:pPr>
      <w:r>
        <w:t>The survey covers the following NAICS sectors:</w:t>
      </w:r>
    </w:p>
    <w:p w14:paraId="7F3AE91E" w14:textId="77777777" w:rsidR="00593C78" w:rsidRDefault="00593C78">
      <w:pPr>
        <w:tabs>
          <w:tab w:val="left" w:pos="-297"/>
          <w:tab w:val="left" w:pos="-1"/>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1008"/>
      </w:pPr>
    </w:p>
    <w:tbl>
      <w:tblPr>
        <w:tblW w:w="0" w:type="auto"/>
        <w:tblInd w:w="1706"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4A0" w:firstRow="1" w:lastRow="0" w:firstColumn="1" w:lastColumn="0" w:noHBand="0" w:noVBand="1"/>
      </w:tblPr>
      <w:tblGrid>
        <w:gridCol w:w="2538"/>
        <w:gridCol w:w="3420"/>
      </w:tblGrid>
      <w:tr w:rsidR="00254EB3" w:rsidRPr="00254EAD" w14:paraId="4F1A419A" w14:textId="77777777" w:rsidTr="003D7613">
        <w:trPr>
          <w:trHeight w:val="348"/>
        </w:trPr>
        <w:tc>
          <w:tcPr>
            <w:tcW w:w="2538" w:type="dxa"/>
            <w:shd w:val="clear" w:color="auto" w:fill="auto"/>
            <w:vAlign w:val="center"/>
          </w:tcPr>
          <w:p w14:paraId="120E2D65" w14:textId="77777777" w:rsidR="00254EB3" w:rsidRPr="009D74FC" w:rsidRDefault="00254EB3" w:rsidP="009D74FC">
            <w:pPr>
              <w:jc w:val="center"/>
              <w:rPr>
                <w:rFonts w:eastAsia="Calibri"/>
              </w:rPr>
            </w:pPr>
            <w:r w:rsidRPr="009D74FC">
              <w:rPr>
                <w:rFonts w:eastAsia="Calibri"/>
              </w:rPr>
              <w:t>Title</w:t>
            </w:r>
          </w:p>
        </w:tc>
        <w:tc>
          <w:tcPr>
            <w:tcW w:w="3420" w:type="dxa"/>
            <w:shd w:val="clear" w:color="auto" w:fill="auto"/>
            <w:vAlign w:val="center"/>
          </w:tcPr>
          <w:p w14:paraId="44F03B28" w14:textId="77777777" w:rsidR="00254EB3" w:rsidRPr="009D74FC" w:rsidRDefault="00254EB3" w:rsidP="009D74FC">
            <w:pPr>
              <w:jc w:val="center"/>
              <w:rPr>
                <w:rFonts w:eastAsia="Calibri"/>
              </w:rPr>
            </w:pPr>
            <w:r w:rsidRPr="009D74FC">
              <w:rPr>
                <w:rFonts w:eastAsia="Calibri"/>
              </w:rPr>
              <w:t>2-digit NAICS Sector</w:t>
            </w:r>
          </w:p>
        </w:tc>
      </w:tr>
      <w:tr w:rsidR="00254EB3" w:rsidRPr="00254EAD" w14:paraId="32CBB8D8" w14:textId="77777777" w:rsidTr="003D7613">
        <w:trPr>
          <w:trHeight w:val="359"/>
        </w:trPr>
        <w:tc>
          <w:tcPr>
            <w:tcW w:w="2538" w:type="dxa"/>
            <w:shd w:val="clear" w:color="auto" w:fill="auto"/>
            <w:vAlign w:val="center"/>
          </w:tcPr>
          <w:p w14:paraId="3D538324" w14:textId="77777777" w:rsidR="00254EB3" w:rsidRPr="009D74FC" w:rsidRDefault="00254EB3" w:rsidP="00FD5ADB">
            <w:pPr>
              <w:rPr>
                <w:rFonts w:eastAsia="Calibri"/>
              </w:rPr>
            </w:pPr>
            <w:r w:rsidRPr="009D74FC">
              <w:rPr>
                <w:rFonts w:eastAsia="Calibri"/>
              </w:rPr>
              <w:t>Mining</w:t>
            </w:r>
          </w:p>
        </w:tc>
        <w:tc>
          <w:tcPr>
            <w:tcW w:w="3420" w:type="dxa"/>
            <w:shd w:val="clear" w:color="auto" w:fill="auto"/>
            <w:vAlign w:val="center"/>
          </w:tcPr>
          <w:p w14:paraId="47DADFE2" w14:textId="77777777" w:rsidR="00254EB3" w:rsidRPr="009D74FC" w:rsidRDefault="00254EB3" w:rsidP="00FD5ADB">
            <w:pPr>
              <w:jc w:val="center"/>
              <w:rPr>
                <w:rFonts w:eastAsia="Calibri"/>
              </w:rPr>
            </w:pPr>
            <w:r w:rsidRPr="009D74FC">
              <w:rPr>
                <w:rFonts w:eastAsia="Calibri"/>
              </w:rPr>
              <w:t>21</w:t>
            </w:r>
          </w:p>
        </w:tc>
      </w:tr>
      <w:tr w:rsidR="00254EB3" w:rsidRPr="00254EAD" w14:paraId="027E64A2" w14:textId="77777777" w:rsidTr="003D7613">
        <w:trPr>
          <w:trHeight w:val="341"/>
        </w:trPr>
        <w:tc>
          <w:tcPr>
            <w:tcW w:w="2538" w:type="dxa"/>
            <w:shd w:val="clear" w:color="auto" w:fill="auto"/>
            <w:vAlign w:val="center"/>
          </w:tcPr>
          <w:p w14:paraId="4C7F04D8" w14:textId="77777777" w:rsidR="00254EB3" w:rsidRPr="009D74FC" w:rsidRDefault="00254EB3" w:rsidP="00FD5ADB">
            <w:pPr>
              <w:rPr>
                <w:rFonts w:eastAsia="Calibri"/>
              </w:rPr>
            </w:pPr>
            <w:r w:rsidRPr="009D74FC">
              <w:rPr>
                <w:rFonts w:eastAsia="Calibri"/>
              </w:rPr>
              <w:t>Manufacturing</w:t>
            </w:r>
          </w:p>
        </w:tc>
        <w:tc>
          <w:tcPr>
            <w:tcW w:w="3420" w:type="dxa"/>
            <w:shd w:val="clear" w:color="auto" w:fill="auto"/>
            <w:vAlign w:val="center"/>
          </w:tcPr>
          <w:p w14:paraId="3FE9AC29" w14:textId="77777777" w:rsidR="00254EB3" w:rsidRPr="009D74FC" w:rsidRDefault="00254EB3" w:rsidP="00FD5ADB">
            <w:pPr>
              <w:jc w:val="center"/>
              <w:rPr>
                <w:rFonts w:eastAsia="Calibri"/>
              </w:rPr>
            </w:pPr>
            <w:r w:rsidRPr="009D74FC">
              <w:rPr>
                <w:rFonts w:eastAsia="Calibri"/>
              </w:rPr>
              <w:t>31-33</w:t>
            </w:r>
          </w:p>
        </w:tc>
      </w:tr>
      <w:tr w:rsidR="00254EB3" w14:paraId="5E8C2C75" w14:textId="77777777" w:rsidTr="003D7613">
        <w:trPr>
          <w:trHeight w:val="359"/>
        </w:trPr>
        <w:tc>
          <w:tcPr>
            <w:tcW w:w="2538" w:type="dxa"/>
            <w:shd w:val="clear" w:color="auto" w:fill="auto"/>
            <w:vAlign w:val="center"/>
          </w:tcPr>
          <w:p w14:paraId="45E7561F" w14:textId="77777777" w:rsidR="00254EB3" w:rsidRPr="009D74FC" w:rsidRDefault="00254EB3" w:rsidP="00FD5ADB">
            <w:pPr>
              <w:rPr>
                <w:rFonts w:eastAsia="Calibri"/>
              </w:rPr>
            </w:pPr>
            <w:r w:rsidRPr="009D74FC">
              <w:rPr>
                <w:rFonts w:eastAsia="Calibri"/>
              </w:rPr>
              <w:t>Wholesale trade</w:t>
            </w:r>
          </w:p>
        </w:tc>
        <w:tc>
          <w:tcPr>
            <w:tcW w:w="3420" w:type="dxa"/>
            <w:shd w:val="clear" w:color="auto" w:fill="auto"/>
            <w:vAlign w:val="center"/>
          </w:tcPr>
          <w:p w14:paraId="56DFB0BD" w14:textId="77777777" w:rsidR="00254EB3" w:rsidRPr="009D74FC" w:rsidRDefault="00254EB3" w:rsidP="00FD5ADB">
            <w:pPr>
              <w:jc w:val="center"/>
              <w:rPr>
                <w:rFonts w:eastAsia="Calibri"/>
              </w:rPr>
            </w:pPr>
            <w:r w:rsidRPr="009D74FC">
              <w:rPr>
                <w:rFonts w:eastAsia="Calibri"/>
              </w:rPr>
              <w:t>42</w:t>
            </w:r>
          </w:p>
        </w:tc>
      </w:tr>
      <w:tr w:rsidR="00254EB3" w:rsidRPr="00254EAD" w14:paraId="612C854A" w14:textId="77777777" w:rsidTr="003D7613">
        <w:trPr>
          <w:trHeight w:val="341"/>
        </w:trPr>
        <w:tc>
          <w:tcPr>
            <w:tcW w:w="2538" w:type="dxa"/>
            <w:shd w:val="clear" w:color="auto" w:fill="auto"/>
            <w:vAlign w:val="center"/>
          </w:tcPr>
          <w:p w14:paraId="429270A0" w14:textId="77777777" w:rsidR="00254EB3" w:rsidRPr="009D74FC" w:rsidRDefault="00254EB3" w:rsidP="00FD5ADB">
            <w:pPr>
              <w:rPr>
                <w:rFonts w:eastAsia="Calibri"/>
              </w:rPr>
            </w:pPr>
            <w:r w:rsidRPr="009D74FC">
              <w:rPr>
                <w:rFonts w:eastAsia="Calibri"/>
              </w:rPr>
              <w:t>Retail trade</w:t>
            </w:r>
          </w:p>
        </w:tc>
        <w:tc>
          <w:tcPr>
            <w:tcW w:w="3420" w:type="dxa"/>
            <w:shd w:val="clear" w:color="auto" w:fill="auto"/>
            <w:vAlign w:val="center"/>
          </w:tcPr>
          <w:p w14:paraId="06F78817" w14:textId="77777777" w:rsidR="00254EB3" w:rsidRPr="009D74FC" w:rsidRDefault="00254EB3" w:rsidP="00FD5ADB">
            <w:pPr>
              <w:jc w:val="center"/>
              <w:rPr>
                <w:rFonts w:eastAsia="Calibri"/>
              </w:rPr>
            </w:pPr>
            <w:r w:rsidRPr="009D74FC">
              <w:rPr>
                <w:rFonts w:eastAsia="Calibri"/>
              </w:rPr>
              <w:t>44-45</w:t>
            </w:r>
          </w:p>
        </w:tc>
      </w:tr>
      <w:tr w:rsidR="00254EB3" w:rsidRPr="00254EAD" w14:paraId="756DB1A4" w14:textId="77777777" w:rsidTr="003D7613">
        <w:trPr>
          <w:trHeight w:val="359"/>
        </w:trPr>
        <w:tc>
          <w:tcPr>
            <w:tcW w:w="2538" w:type="dxa"/>
            <w:shd w:val="clear" w:color="auto" w:fill="auto"/>
            <w:vAlign w:val="center"/>
          </w:tcPr>
          <w:p w14:paraId="040244CC" w14:textId="77777777" w:rsidR="00254EB3" w:rsidRPr="009D74FC" w:rsidRDefault="00254EB3" w:rsidP="00FD5ADB">
            <w:pPr>
              <w:rPr>
                <w:rFonts w:eastAsia="Calibri"/>
              </w:rPr>
            </w:pPr>
            <w:r w:rsidRPr="009D74FC">
              <w:rPr>
                <w:rFonts w:eastAsia="Calibri"/>
              </w:rPr>
              <w:t>Selected Services</w:t>
            </w:r>
          </w:p>
        </w:tc>
        <w:tc>
          <w:tcPr>
            <w:tcW w:w="3420" w:type="dxa"/>
            <w:shd w:val="clear" w:color="auto" w:fill="auto"/>
            <w:vAlign w:val="center"/>
          </w:tcPr>
          <w:p w14:paraId="66160293" w14:textId="77777777" w:rsidR="00254EB3" w:rsidRPr="009D74FC" w:rsidRDefault="00254EB3" w:rsidP="00FD5ADB">
            <w:pPr>
              <w:jc w:val="center"/>
              <w:rPr>
                <w:rFonts w:eastAsia="Calibri"/>
              </w:rPr>
            </w:pPr>
            <w:r w:rsidRPr="009D74FC">
              <w:rPr>
                <w:rFonts w:eastAsia="Calibri"/>
              </w:rPr>
              <w:t>51, 54 (except 541)</w:t>
            </w:r>
          </w:p>
        </w:tc>
      </w:tr>
    </w:tbl>
    <w:p w14:paraId="0C44E488" w14:textId="77777777" w:rsidR="00593C78" w:rsidRDefault="00593C78" w:rsidP="00AE3715">
      <w:pPr>
        <w:pStyle w:val="Style0"/>
        <w:tabs>
          <w:tab w:val="left" w:pos="0"/>
          <w:tab w:val="left" w:pos="1860"/>
          <w:tab w:val="left" w:pos="2656"/>
          <w:tab w:val="left" w:pos="3180"/>
          <w:tab w:val="left" w:pos="3900"/>
          <w:tab w:val="left" w:pos="4620"/>
          <w:tab w:val="left" w:pos="5340"/>
          <w:tab w:val="left" w:pos="6060"/>
          <w:tab w:val="left" w:pos="6780"/>
          <w:tab w:val="left" w:pos="7500"/>
          <w:tab w:val="left" w:pos="8220"/>
          <w:tab w:val="left" w:pos="8940"/>
          <w:tab w:val="left" w:pos="9360"/>
          <w:tab w:val="left" w:pos="10080"/>
          <w:tab w:val="left" w:pos="10800"/>
        </w:tabs>
        <w:rPr>
          <w:rFonts w:ascii="Times New Roman" w:hAnsi="Times New Roman" w:cs="Times New Roman"/>
        </w:rPr>
      </w:pPr>
    </w:p>
    <w:sectPr w:rsidR="00593C78" w:rsidSect="00D40063">
      <w:type w:val="continuous"/>
      <w:pgSz w:w="12240" w:h="15840"/>
      <w:pgMar w:top="1080" w:right="1440" w:bottom="36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943CD" w14:textId="77777777" w:rsidR="00470286" w:rsidRDefault="00470286">
      <w:r>
        <w:separator/>
      </w:r>
    </w:p>
  </w:endnote>
  <w:endnote w:type="continuationSeparator" w:id="0">
    <w:p w14:paraId="519390DF" w14:textId="77777777" w:rsidR="00470286" w:rsidRDefault="0047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842FE" w14:textId="77777777" w:rsidR="00470286" w:rsidRDefault="004702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8EEAC9" w14:textId="77777777" w:rsidR="00470286" w:rsidRDefault="004702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CE0EA" w14:textId="31BC47CA" w:rsidR="00470286" w:rsidRDefault="004702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0495">
      <w:rPr>
        <w:rStyle w:val="PageNumber"/>
        <w:noProof/>
      </w:rPr>
      <w:t>2</w:t>
    </w:r>
    <w:r>
      <w:rPr>
        <w:rStyle w:val="PageNumber"/>
      </w:rPr>
      <w:fldChar w:fldCharType="end"/>
    </w:r>
  </w:p>
  <w:p w14:paraId="289D3A5D" w14:textId="77777777" w:rsidR="00470286" w:rsidRDefault="004702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1B04C" w14:textId="77777777" w:rsidR="00470286" w:rsidRDefault="00470286">
      <w:r>
        <w:separator/>
      </w:r>
    </w:p>
  </w:footnote>
  <w:footnote w:type="continuationSeparator" w:id="0">
    <w:p w14:paraId="34624864" w14:textId="77777777" w:rsidR="00470286" w:rsidRDefault="004702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613D"/>
    <w:multiLevelType w:val="hybridMultilevel"/>
    <w:tmpl w:val="BE72A8A8"/>
    <w:lvl w:ilvl="0" w:tplc="16726B88">
      <w:start w:val="1"/>
      <w:numFmt w:val="decimal"/>
      <w:lvlText w:val="(%1)"/>
      <w:lvlJc w:val="left"/>
      <w:pPr>
        <w:tabs>
          <w:tab w:val="num" w:pos="1605"/>
        </w:tabs>
        <w:ind w:left="1605" w:hanging="360"/>
      </w:pPr>
      <w:rPr>
        <w:rFonts w:hint="default"/>
      </w:rPr>
    </w:lvl>
    <w:lvl w:ilvl="1" w:tplc="04090019" w:tentative="1">
      <w:start w:val="1"/>
      <w:numFmt w:val="lowerLetter"/>
      <w:lvlText w:val="%2."/>
      <w:lvlJc w:val="left"/>
      <w:pPr>
        <w:tabs>
          <w:tab w:val="num" w:pos="2325"/>
        </w:tabs>
        <w:ind w:left="2325" w:hanging="360"/>
      </w:pPr>
    </w:lvl>
    <w:lvl w:ilvl="2" w:tplc="0409001B" w:tentative="1">
      <w:start w:val="1"/>
      <w:numFmt w:val="lowerRoman"/>
      <w:lvlText w:val="%3."/>
      <w:lvlJc w:val="right"/>
      <w:pPr>
        <w:tabs>
          <w:tab w:val="num" w:pos="3045"/>
        </w:tabs>
        <w:ind w:left="3045" w:hanging="180"/>
      </w:pPr>
    </w:lvl>
    <w:lvl w:ilvl="3" w:tplc="0409000F" w:tentative="1">
      <w:start w:val="1"/>
      <w:numFmt w:val="decimal"/>
      <w:lvlText w:val="%4."/>
      <w:lvlJc w:val="left"/>
      <w:pPr>
        <w:tabs>
          <w:tab w:val="num" w:pos="3765"/>
        </w:tabs>
        <w:ind w:left="3765" w:hanging="360"/>
      </w:pPr>
    </w:lvl>
    <w:lvl w:ilvl="4" w:tplc="04090019" w:tentative="1">
      <w:start w:val="1"/>
      <w:numFmt w:val="lowerLetter"/>
      <w:lvlText w:val="%5."/>
      <w:lvlJc w:val="left"/>
      <w:pPr>
        <w:tabs>
          <w:tab w:val="num" w:pos="4485"/>
        </w:tabs>
        <w:ind w:left="4485" w:hanging="360"/>
      </w:pPr>
    </w:lvl>
    <w:lvl w:ilvl="5" w:tplc="0409001B" w:tentative="1">
      <w:start w:val="1"/>
      <w:numFmt w:val="lowerRoman"/>
      <w:lvlText w:val="%6."/>
      <w:lvlJc w:val="right"/>
      <w:pPr>
        <w:tabs>
          <w:tab w:val="num" w:pos="5205"/>
        </w:tabs>
        <w:ind w:left="5205" w:hanging="180"/>
      </w:pPr>
    </w:lvl>
    <w:lvl w:ilvl="6" w:tplc="0409000F" w:tentative="1">
      <w:start w:val="1"/>
      <w:numFmt w:val="decimal"/>
      <w:lvlText w:val="%7."/>
      <w:lvlJc w:val="left"/>
      <w:pPr>
        <w:tabs>
          <w:tab w:val="num" w:pos="5925"/>
        </w:tabs>
        <w:ind w:left="5925" w:hanging="360"/>
      </w:pPr>
    </w:lvl>
    <w:lvl w:ilvl="7" w:tplc="04090019" w:tentative="1">
      <w:start w:val="1"/>
      <w:numFmt w:val="lowerLetter"/>
      <w:lvlText w:val="%8."/>
      <w:lvlJc w:val="left"/>
      <w:pPr>
        <w:tabs>
          <w:tab w:val="num" w:pos="6645"/>
        </w:tabs>
        <w:ind w:left="6645" w:hanging="360"/>
      </w:pPr>
    </w:lvl>
    <w:lvl w:ilvl="8" w:tplc="0409001B" w:tentative="1">
      <w:start w:val="1"/>
      <w:numFmt w:val="lowerRoman"/>
      <w:lvlText w:val="%9."/>
      <w:lvlJc w:val="right"/>
      <w:pPr>
        <w:tabs>
          <w:tab w:val="num" w:pos="7365"/>
        </w:tabs>
        <w:ind w:left="7365" w:hanging="180"/>
      </w:pPr>
    </w:lvl>
  </w:abstractNum>
  <w:abstractNum w:abstractNumId="1">
    <w:nsid w:val="0E10398E"/>
    <w:multiLevelType w:val="hybridMultilevel"/>
    <w:tmpl w:val="25B2623C"/>
    <w:lvl w:ilvl="0" w:tplc="D6F29BF8">
      <w:start w:val="1"/>
      <w:numFmt w:val="upperLetter"/>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2B1988"/>
    <w:multiLevelType w:val="hybridMultilevel"/>
    <w:tmpl w:val="4CA6F5AC"/>
    <w:lvl w:ilvl="0" w:tplc="C2ACD560">
      <w:start w:val="15"/>
      <w:numFmt w:val="decimal"/>
      <w:lvlText w:val="%1."/>
      <w:lvlJc w:val="left"/>
      <w:pPr>
        <w:tabs>
          <w:tab w:val="num" w:pos="1207"/>
        </w:tabs>
        <w:ind w:left="1207" w:hanging="540"/>
      </w:pPr>
      <w:rPr>
        <w:rFonts w:hint="default"/>
        <w:u w:val="none"/>
      </w:rPr>
    </w:lvl>
    <w:lvl w:ilvl="1" w:tplc="04090019" w:tentative="1">
      <w:start w:val="1"/>
      <w:numFmt w:val="lowerLetter"/>
      <w:lvlText w:val="%2."/>
      <w:lvlJc w:val="left"/>
      <w:pPr>
        <w:tabs>
          <w:tab w:val="num" w:pos="1747"/>
        </w:tabs>
        <w:ind w:left="1747" w:hanging="360"/>
      </w:pPr>
    </w:lvl>
    <w:lvl w:ilvl="2" w:tplc="0409001B" w:tentative="1">
      <w:start w:val="1"/>
      <w:numFmt w:val="lowerRoman"/>
      <w:lvlText w:val="%3."/>
      <w:lvlJc w:val="right"/>
      <w:pPr>
        <w:tabs>
          <w:tab w:val="num" w:pos="2467"/>
        </w:tabs>
        <w:ind w:left="2467" w:hanging="180"/>
      </w:pPr>
    </w:lvl>
    <w:lvl w:ilvl="3" w:tplc="0409000F" w:tentative="1">
      <w:start w:val="1"/>
      <w:numFmt w:val="decimal"/>
      <w:lvlText w:val="%4."/>
      <w:lvlJc w:val="left"/>
      <w:pPr>
        <w:tabs>
          <w:tab w:val="num" w:pos="3187"/>
        </w:tabs>
        <w:ind w:left="3187" w:hanging="360"/>
      </w:pPr>
    </w:lvl>
    <w:lvl w:ilvl="4" w:tplc="04090019" w:tentative="1">
      <w:start w:val="1"/>
      <w:numFmt w:val="lowerLetter"/>
      <w:lvlText w:val="%5."/>
      <w:lvlJc w:val="left"/>
      <w:pPr>
        <w:tabs>
          <w:tab w:val="num" w:pos="3907"/>
        </w:tabs>
        <w:ind w:left="3907" w:hanging="360"/>
      </w:pPr>
    </w:lvl>
    <w:lvl w:ilvl="5" w:tplc="0409001B" w:tentative="1">
      <w:start w:val="1"/>
      <w:numFmt w:val="lowerRoman"/>
      <w:lvlText w:val="%6."/>
      <w:lvlJc w:val="right"/>
      <w:pPr>
        <w:tabs>
          <w:tab w:val="num" w:pos="4627"/>
        </w:tabs>
        <w:ind w:left="4627" w:hanging="180"/>
      </w:pPr>
    </w:lvl>
    <w:lvl w:ilvl="6" w:tplc="0409000F" w:tentative="1">
      <w:start w:val="1"/>
      <w:numFmt w:val="decimal"/>
      <w:lvlText w:val="%7."/>
      <w:lvlJc w:val="left"/>
      <w:pPr>
        <w:tabs>
          <w:tab w:val="num" w:pos="5347"/>
        </w:tabs>
        <w:ind w:left="5347" w:hanging="360"/>
      </w:pPr>
    </w:lvl>
    <w:lvl w:ilvl="7" w:tplc="04090019" w:tentative="1">
      <w:start w:val="1"/>
      <w:numFmt w:val="lowerLetter"/>
      <w:lvlText w:val="%8."/>
      <w:lvlJc w:val="left"/>
      <w:pPr>
        <w:tabs>
          <w:tab w:val="num" w:pos="6067"/>
        </w:tabs>
        <w:ind w:left="6067" w:hanging="360"/>
      </w:pPr>
    </w:lvl>
    <w:lvl w:ilvl="8" w:tplc="0409001B" w:tentative="1">
      <w:start w:val="1"/>
      <w:numFmt w:val="lowerRoman"/>
      <w:lvlText w:val="%9."/>
      <w:lvlJc w:val="right"/>
      <w:pPr>
        <w:tabs>
          <w:tab w:val="num" w:pos="6787"/>
        </w:tabs>
        <w:ind w:left="6787" w:hanging="180"/>
      </w:pPr>
    </w:lvl>
  </w:abstractNum>
  <w:abstractNum w:abstractNumId="3">
    <w:nsid w:val="1CC90815"/>
    <w:multiLevelType w:val="hybridMultilevel"/>
    <w:tmpl w:val="F87446C8"/>
    <w:lvl w:ilvl="0" w:tplc="33B407D0">
      <w:start w:val="5"/>
      <w:numFmt w:val="decimal"/>
      <w:lvlText w:val="(%1)"/>
      <w:lvlJc w:val="left"/>
      <w:pPr>
        <w:tabs>
          <w:tab w:val="num" w:pos="1612"/>
        </w:tabs>
        <w:ind w:left="1612" w:hanging="360"/>
      </w:pPr>
      <w:rPr>
        <w:rFonts w:hint="default"/>
      </w:rPr>
    </w:lvl>
    <w:lvl w:ilvl="1" w:tplc="04090019" w:tentative="1">
      <w:start w:val="1"/>
      <w:numFmt w:val="lowerLetter"/>
      <w:lvlText w:val="%2."/>
      <w:lvlJc w:val="left"/>
      <w:pPr>
        <w:tabs>
          <w:tab w:val="num" w:pos="2332"/>
        </w:tabs>
        <w:ind w:left="2332" w:hanging="360"/>
      </w:pPr>
    </w:lvl>
    <w:lvl w:ilvl="2" w:tplc="0409001B" w:tentative="1">
      <w:start w:val="1"/>
      <w:numFmt w:val="lowerRoman"/>
      <w:lvlText w:val="%3."/>
      <w:lvlJc w:val="right"/>
      <w:pPr>
        <w:tabs>
          <w:tab w:val="num" w:pos="3052"/>
        </w:tabs>
        <w:ind w:left="3052" w:hanging="180"/>
      </w:pPr>
    </w:lvl>
    <w:lvl w:ilvl="3" w:tplc="0409000F" w:tentative="1">
      <w:start w:val="1"/>
      <w:numFmt w:val="decimal"/>
      <w:lvlText w:val="%4."/>
      <w:lvlJc w:val="left"/>
      <w:pPr>
        <w:tabs>
          <w:tab w:val="num" w:pos="3772"/>
        </w:tabs>
        <w:ind w:left="3772" w:hanging="360"/>
      </w:pPr>
    </w:lvl>
    <w:lvl w:ilvl="4" w:tplc="04090019" w:tentative="1">
      <w:start w:val="1"/>
      <w:numFmt w:val="lowerLetter"/>
      <w:lvlText w:val="%5."/>
      <w:lvlJc w:val="left"/>
      <w:pPr>
        <w:tabs>
          <w:tab w:val="num" w:pos="4492"/>
        </w:tabs>
        <w:ind w:left="4492" w:hanging="360"/>
      </w:pPr>
    </w:lvl>
    <w:lvl w:ilvl="5" w:tplc="0409001B" w:tentative="1">
      <w:start w:val="1"/>
      <w:numFmt w:val="lowerRoman"/>
      <w:lvlText w:val="%6."/>
      <w:lvlJc w:val="right"/>
      <w:pPr>
        <w:tabs>
          <w:tab w:val="num" w:pos="5212"/>
        </w:tabs>
        <w:ind w:left="5212" w:hanging="180"/>
      </w:pPr>
    </w:lvl>
    <w:lvl w:ilvl="6" w:tplc="0409000F" w:tentative="1">
      <w:start w:val="1"/>
      <w:numFmt w:val="decimal"/>
      <w:lvlText w:val="%7."/>
      <w:lvlJc w:val="left"/>
      <w:pPr>
        <w:tabs>
          <w:tab w:val="num" w:pos="5932"/>
        </w:tabs>
        <w:ind w:left="5932" w:hanging="360"/>
      </w:pPr>
    </w:lvl>
    <w:lvl w:ilvl="7" w:tplc="04090019" w:tentative="1">
      <w:start w:val="1"/>
      <w:numFmt w:val="lowerLetter"/>
      <w:lvlText w:val="%8."/>
      <w:lvlJc w:val="left"/>
      <w:pPr>
        <w:tabs>
          <w:tab w:val="num" w:pos="6652"/>
        </w:tabs>
        <w:ind w:left="6652" w:hanging="360"/>
      </w:pPr>
    </w:lvl>
    <w:lvl w:ilvl="8" w:tplc="0409001B" w:tentative="1">
      <w:start w:val="1"/>
      <w:numFmt w:val="lowerRoman"/>
      <w:lvlText w:val="%9."/>
      <w:lvlJc w:val="right"/>
      <w:pPr>
        <w:tabs>
          <w:tab w:val="num" w:pos="7372"/>
        </w:tabs>
        <w:ind w:left="7372" w:hanging="180"/>
      </w:pPr>
    </w:lvl>
  </w:abstractNum>
  <w:abstractNum w:abstractNumId="4">
    <w:nsid w:val="1E5B50C9"/>
    <w:multiLevelType w:val="hybridMultilevel"/>
    <w:tmpl w:val="CF126E64"/>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5">
    <w:nsid w:val="22B405AF"/>
    <w:multiLevelType w:val="hybridMultilevel"/>
    <w:tmpl w:val="B0400CA6"/>
    <w:lvl w:ilvl="0" w:tplc="7436B0A2">
      <w:start w:val="2"/>
      <w:numFmt w:val="decimal"/>
      <w:lvlText w:val="%1."/>
      <w:lvlJc w:val="left"/>
      <w:pPr>
        <w:tabs>
          <w:tab w:val="num" w:pos="1245"/>
        </w:tabs>
        <w:ind w:left="1245" w:hanging="405"/>
      </w:pPr>
      <w:rPr>
        <w:rFonts w:hint="default"/>
        <w:u w:val="none"/>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6">
    <w:nsid w:val="26A95137"/>
    <w:multiLevelType w:val="hybridMultilevel"/>
    <w:tmpl w:val="F5EE37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7314CA"/>
    <w:multiLevelType w:val="hybridMultilevel"/>
    <w:tmpl w:val="2A0EAB0E"/>
    <w:lvl w:ilvl="0" w:tplc="C1F0B508">
      <w:start w:val="8"/>
      <w:numFmt w:val="decimal"/>
      <w:lvlText w:val="%1."/>
      <w:lvlJc w:val="left"/>
      <w:pPr>
        <w:tabs>
          <w:tab w:val="num" w:pos="1245"/>
        </w:tabs>
        <w:ind w:left="1245" w:hanging="405"/>
      </w:pPr>
      <w:rPr>
        <w:rFonts w:hint="default"/>
        <w:u w:val="none"/>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8">
    <w:nsid w:val="333C3EDE"/>
    <w:multiLevelType w:val="hybridMultilevel"/>
    <w:tmpl w:val="29CA7C26"/>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3E35B4"/>
    <w:multiLevelType w:val="hybridMultilevel"/>
    <w:tmpl w:val="0EF4FF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2002A8D"/>
    <w:multiLevelType w:val="hybridMultilevel"/>
    <w:tmpl w:val="2CD44F38"/>
    <w:lvl w:ilvl="0" w:tplc="04090001">
      <w:start w:val="1"/>
      <w:numFmt w:val="bullet"/>
      <w:lvlText w:val=""/>
      <w:lvlJc w:val="left"/>
      <w:pPr>
        <w:tabs>
          <w:tab w:val="num" w:pos="1554"/>
        </w:tabs>
        <w:ind w:left="1554" w:hanging="360"/>
      </w:pPr>
      <w:rPr>
        <w:rFonts w:ascii="Symbol" w:hAnsi="Symbol" w:hint="default"/>
      </w:rPr>
    </w:lvl>
    <w:lvl w:ilvl="1" w:tplc="04090003" w:tentative="1">
      <w:start w:val="1"/>
      <w:numFmt w:val="bullet"/>
      <w:lvlText w:val="o"/>
      <w:lvlJc w:val="left"/>
      <w:pPr>
        <w:tabs>
          <w:tab w:val="num" w:pos="2274"/>
        </w:tabs>
        <w:ind w:left="2274" w:hanging="360"/>
      </w:pPr>
      <w:rPr>
        <w:rFonts w:ascii="Courier New" w:hAnsi="Courier New" w:hint="default"/>
      </w:rPr>
    </w:lvl>
    <w:lvl w:ilvl="2" w:tplc="04090005" w:tentative="1">
      <w:start w:val="1"/>
      <w:numFmt w:val="bullet"/>
      <w:lvlText w:val=""/>
      <w:lvlJc w:val="left"/>
      <w:pPr>
        <w:tabs>
          <w:tab w:val="num" w:pos="2994"/>
        </w:tabs>
        <w:ind w:left="2994" w:hanging="360"/>
      </w:pPr>
      <w:rPr>
        <w:rFonts w:ascii="Wingdings" w:hAnsi="Wingdings" w:hint="default"/>
      </w:rPr>
    </w:lvl>
    <w:lvl w:ilvl="3" w:tplc="04090001" w:tentative="1">
      <w:start w:val="1"/>
      <w:numFmt w:val="bullet"/>
      <w:lvlText w:val=""/>
      <w:lvlJc w:val="left"/>
      <w:pPr>
        <w:tabs>
          <w:tab w:val="num" w:pos="3714"/>
        </w:tabs>
        <w:ind w:left="3714" w:hanging="360"/>
      </w:pPr>
      <w:rPr>
        <w:rFonts w:ascii="Symbol" w:hAnsi="Symbol" w:hint="default"/>
      </w:rPr>
    </w:lvl>
    <w:lvl w:ilvl="4" w:tplc="04090003" w:tentative="1">
      <w:start w:val="1"/>
      <w:numFmt w:val="bullet"/>
      <w:lvlText w:val="o"/>
      <w:lvlJc w:val="left"/>
      <w:pPr>
        <w:tabs>
          <w:tab w:val="num" w:pos="4434"/>
        </w:tabs>
        <w:ind w:left="4434" w:hanging="360"/>
      </w:pPr>
      <w:rPr>
        <w:rFonts w:ascii="Courier New" w:hAnsi="Courier New" w:hint="default"/>
      </w:rPr>
    </w:lvl>
    <w:lvl w:ilvl="5" w:tplc="04090005" w:tentative="1">
      <w:start w:val="1"/>
      <w:numFmt w:val="bullet"/>
      <w:lvlText w:val=""/>
      <w:lvlJc w:val="left"/>
      <w:pPr>
        <w:tabs>
          <w:tab w:val="num" w:pos="5154"/>
        </w:tabs>
        <w:ind w:left="5154" w:hanging="360"/>
      </w:pPr>
      <w:rPr>
        <w:rFonts w:ascii="Wingdings" w:hAnsi="Wingdings" w:hint="default"/>
      </w:rPr>
    </w:lvl>
    <w:lvl w:ilvl="6" w:tplc="04090001" w:tentative="1">
      <w:start w:val="1"/>
      <w:numFmt w:val="bullet"/>
      <w:lvlText w:val=""/>
      <w:lvlJc w:val="left"/>
      <w:pPr>
        <w:tabs>
          <w:tab w:val="num" w:pos="5874"/>
        </w:tabs>
        <w:ind w:left="5874" w:hanging="360"/>
      </w:pPr>
      <w:rPr>
        <w:rFonts w:ascii="Symbol" w:hAnsi="Symbol" w:hint="default"/>
      </w:rPr>
    </w:lvl>
    <w:lvl w:ilvl="7" w:tplc="04090003" w:tentative="1">
      <w:start w:val="1"/>
      <w:numFmt w:val="bullet"/>
      <w:lvlText w:val="o"/>
      <w:lvlJc w:val="left"/>
      <w:pPr>
        <w:tabs>
          <w:tab w:val="num" w:pos="6594"/>
        </w:tabs>
        <w:ind w:left="6594" w:hanging="360"/>
      </w:pPr>
      <w:rPr>
        <w:rFonts w:ascii="Courier New" w:hAnsi="Courier New" w:hint="default"/>
      </w:rPr>
    </w:lvl>
    <w:lvl w:ilvl="8" w:tplc="04090005" w:tentative="1">
      <w:start w:val="1"/>
      <w:numFmt w:val="bullet"/>
      <w:lvlText w:val=""/>
      <w:lvlJc w:val="left"/>
      <w:pPr>
        <w:tabs>
          <w:tab w:val="num" w:pos="7314"/>
        </w:tabs>
        <w:ind w:left="7314" w:hanging="360"/>
      </w:pPr>
      <w:rPr>
        <w:rFonts w:ascii="Wingdings" w:hAnsi="Wingdings" w:hint="default"/>
      </w:rPr>
    </w:lvl>
  </w:abstractNum>
  <w:abstractNum w:abstractNumId="11">
    <w:nsid w:val="45B570C8"/>
    <w:multiLevelType w:val="hybridMultilevel"/>
    <w:tmpl w:val="03E25E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CC17DF"/>
    <w:multiLevelType w:val="hybridMultilevel"/>
    <w:tmpl w:val="22F805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887C56"/>
    <w:multiLevelType w:val="hybridMultilevel"/>
    <w:tmpl w:val="1214D02A"/>
    <w:lvl w:ilvl="0" w:tplc="7FB4BC44">
      <w:start w:val="5"/>
      <w:numFmt w:val="decimal"/>
      <w:lvlText w:val="(%1)"/>
      <w:lvlJc w:val="left"/>
      <w:pPr>
        <w:tabs>
          <w:tab w:val="num" w:pos="1605"/>
        </w:tabs>
        <w:ind w:left="1605" w:hanging="360"/>
      </w:pPr>
      <w:rPr>
        <w:rFonts w:hint="default"/>
      </w:rPr>
    </w:lvl>
    <w:lvl w:ilvl="1" w:tplc="04090019" w:tentative="1">
      <w:start w:val="1"/>
      <w:numFmt w:val="lowerLetter"/>
      <w:lvlText w:val="%2."/>
      <w:lvlJc w:val="left"/>
      <w:pPr>
        <w:tabs>
          <w:tab w:val="num" w:pos="2325"/>
        </w:tabs>
        <w:ind w:left="2325" w:hanging="360"/>
      </w:pPr>
    </w:lvl>
    <w:lvl w:ilvl="2" w:tplc="0409001B" w:tentative="1">
      <w:start w:val="1"/>
      <w:numFmt w:val="lowerRoman"/>
      <w:lvlText w:val="%3."/>
      <w:lvlJc w:val="right"/>
      <w:pPr>
        <w:tabs>
          <w:tab w:val="num" w:pos="3045"/>
        </w:tabs>
        <w:ind w:left="3045" w:hanging="180"/>
      </w:pPr>
    </w:lvl>
    <w:lvl w:ilvl="3" w:tplc="0409000F" w:tentative="1">
      <w:start w:val="1"/>
      <w:numFmt w:val="decimal"/>
      <w:lvlText w:val="%4."/>
      <w:lvlJc w:val="left"/>
      <w:pPr>
        <w:tabs>
          <w:tab w:val="num" w:pos="3765"/>
        </w:tabs>
        <w:ind w:left="3765" w:hanging="360"/>
      </w:pPr>
    </w:lvl>
    <w:lvl w:ilvl="4" w:tplc="04090019" w:tentative="1">
      <w:start w:val="1"/>
      <w:numFmt w:val="lowerLetter"/>
      <w:lvlText w:val="%5."/>
      <w:lvlJc w:val="left"/>
      <w:pPr>
        <w:tabs>
          <w:tab w:val="num" w:pos="4485"/>
        </w:tabs>
        <w:ind w:left="4485" w:hanging="360"/>
      </w:pPr>
    </w:lvl>
    <w:lvl w:ilvl="5" w:tplc="0409001B" w:tentative="1">
      <w:start w:val="1"/>
      <w:numFmt w:val="lowerRoman"/>
      <w:lvlText w:val="%6."/>
      <w:lvlJc w:val="right"/>
      <w:pPr>
        <w:tabs>
          <w:tab w:val="num" w:pos="5205"/>
        </w:tabs>
        <w:ind w:left="5205" w:hanging="180"/>
      </w:pPr>
    </w:lvl>
    <w:lvl w:ilvl="6" w:tplc="0409000F" w:tentative="1">
      <w:start w:val="1"/>
      <w:numFmt w:val="decimal"/>
      <w:lvlText w:val="%7."/>
      <w:lvlJc w:val="left"/>
      <w:pPr>
        <w:tabs>
          <w:tab w:val="num" w:pos="5925"/>
        </w:tabs>
        <w:ind w:left="5925" w:hanging="360"/>
      </w:pPr>
    </w:lvl>
    <w:lvl w:ilvl="7" w:tplc="04090019" w:tentative="1">
      <w:start w:val="1"/>
      <w:numFmt w:val="lowerLetter"/>
      <w:lvlText w:val="%8."/>
      <w:lvlJc w:val="left"/>
      <w:pPr>
        <w:tabs>
          <w:tab w:val="num" w:pos="6645"/>
        </w:tabs>
        <w:ind w:left="6645" w:hanging="360"/>
      </w:pPr>
    </w:lvl>
    <w:lvl w:ilvl="8" w:tplc="0409001B" w:tentative="1">
      <w:start w:val="1"/>
      <w:numFmt w:val="lowerRoman"/>
      <w:lvlText w:val="%9."/>
      <w:lvlJc w:val="right"/>
      <w:pPr>
        <w:tabs>
          <w:tab w:val="num" w:pos="7365"/>
        </w:tabs>
        <w:ind w:left="7365" w:hanging="180"/>
      </w:pPr>
    </w:lvl>
  </w:abstractNum>
  <w:abstractNum w:abstractNumId="14">
    <w:nsid w:val="65E26911"/>
    <w:multiLevelType w:val="hybridMultilevel"/>
    <w:tmpl w:val="EBF25D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61501C1"/>
    <w:multiLevelType w:val="hybridMultilevel"/>
    <w:tmpl w:val="98543CAC"/>
    <w:lvl w:ilvl="0" w:tplc="96A485D4">
      <w:start w:val="12"/>
      <w:numFmt w:val="decimal"/>
      <w:lvlText w:val="%1."/>
      <w:lvlJc w:val="left"/>
      <w:pPr>
        <w:tabs>
          <w:tab w:val="num" w:pos="1248"/>
        </w:tabs>
        <w:ind w:left="1248" w:hanging="408"/>
      </w:pPr>
      <w:rPr>
        <w:rFonts w:hint="default"/>
        <w:u w:val="none"/>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6">
    <w:nsid w:val="6D300890"/>
    <w:multiLevelType w:val="hybridMultilevel"/>
    <w:tmpl w:val="522E4316"/>
    <w:lvl w:ilvl="0" w:tplc="0409000F">
      <w:start w:val="1"/>
      <w:numFmt w:val="decimal"/>
      <w:lvlText w:val="%1."/>
      <w:lvlJc w:val="left"/>
      <w:pPr>
        <w:tabs>
          <w:tab w:val="num" w:pos="1648"/>
        </w:tabs>
        <w:ind w:left="1648" w:hanging="360"/>
      </w:pPr>
    </w:lvl>
    <w:lvl w:ilvl="1" w:tplc="04090019" w:tentative="1">
      <w:start w:val="1"/>
      <w:numFmt w:val="lowerLetter"/>
      <w:lvlText w:val="%2."/>
      <w:lvlJc w:val="left"/>
      <w:pPr>
        <w:tabs>
          <w:tab w:val="num" w:pos="2368"/>
        </w:tabs>
        <w:ind w:left="2368" w:hanging="360"/>
      </w:pPr>
    </w:lvl>
    <w:lvl w:ilvl="2" w:tplc="0409001B" w:tentative="1">
      <w:start w:val="1"/>
      <w:numFmt w:val="lowerRoman"/>
      <w:lvlText w:val="%3."/>
      <w:lvlJc w:val="right"/>
      <w:pPr>
        <w:tabs>
          <w:tab w:val="num" w:pos="3088"/>
        </w:tabs>
        <w:ind w:left="3088" w:hanging="180"/>
      </w:pPr>
    </w:lvl>
    <w:lvl w:ilvl="3" w:tplc="0409000F" w:tentative="1">
      <w:start w:val="1"/>
      <w:numFmt w:val="decimal"/>
      <w:lvlText w:val="%4."/>
      <w:lvlJc w:val="left"/>
      <w:pPr>
        <w:tabs>
          <w:tab w:val="num" w:pos="3808"/>
        </w:tabs>
        <w:ind w:left="3808" w:hanging="360"/>
      </w:pPr>
    </w:lvl>
    <w:lvl w:ilvl="4" w:tplc="04090019" w:tentative="1">
      <w:start w:val="1"/>
      <w:numFmt w:val="lowerLetter"/>
      <w:lvlText w:val="%5."/>
      <w:lvlJc w:val="left"/>
      <w:pPr>
        <w:tabs>
          <w:tab w:val="num" w:pos="4528"/>
        </w:tabs>
        <w:ind w:left="4528" w:hanging="360"/>
      </w:pPr>
    </w:lvl>
    <w:lvl w:ilvl="5" w:tplc="0409001B" w:tentative="1">
      <w:start w:val="1"/>
      <w:numFmt w:val="lowerRoman"/>
      <w:lvlText w:val="%6."/>
      <w:lvlJc w:val="right"/>
      <w:pPr>
        <w:tabs>
          <w:tab w:val="num" w:pos="5248"/>
        </w:tabs>
        <w:ind w:left="5248" w:hanging="180"/>
      </w:pPr>
    </w:lvl>
    <w:lvl w:ilvl="6" w:tplc="0409000F" w:tentative="1">
      <w:start w:val="1"/>
      <w:numFmt w:val="decimal"/>
      <w:lvlText w:val="%7."/>
      <w:lvlJc w:val="left"/>
      <w:pPr>
        <w:tabs>
          <w:tab w:val="num" w:pos="5968"/>
        </w:tabs>
        <w:ind w:left="5968" w:hanging="360"/>
      </w:pPr>
    </w:lvl>
    <w:lvl w:ilvl="7" w:tplc="04090019" w:tentative="1">
      <w:start w:val="1"/>
      <w:numFmt w:val="lowerLetter"/>
      <w:lvlText w:val="%8."/>
      <w:lvlJc w:val="left"/>
      <w:pPr>
        <w:tabs>
          <w:tab w:val="num" w:pos="6688"/>
        </w:tabs>
        <w:ind w:left="6688" w:hanging="360"/>
      </w:pPr>
    </w:lvl>
    <w:lvl w:ilvl="8" w:tplc="0409001B" w:tentative="1">
      <w:start w:val="1"/>
      <w:numFmt w:val="lowerRoman"/>
      <w:lvlText w:val="%9."/>
      <w:lvlJc w:val="right"/>
      <w:pPr>
        <w:tabs>
          <w:tab w:val="num" w:pos="7408"/>
        </w:tabs>
        <w:ind w:left="7408" w:hanging="180"/>
      </w:pPr>
    </w:lvl>
  </w:abstractNum>
  <w:abstractNum w:abstractNumId="17">
    <w:nsid w:val="6EEB73D0"/>
    <w:multiLevelType w:val="hybridMultilevel"/>
    <w:tmpl w:val="ACEED056"/>
    <w:lvl w:ilvl="0" w:tplc="865C1AE2">
      <w:start w:val="6"/>
      <w:numFmt w:val="decimal"/>
      <w:lvlText w:val="(%1)"/>
      <w:lvlJc w:val="left"/>
      <w:pPr>
        <w:tabs>
          <w:tab w:val="num" w:pos="1612"/>
        </w:tabs>
        <w:ind w:left="1612" w:hanging="360"/>
      </w:pPr>
      <w:rPr>
        <w:rFonts w:hint="default"/>
      </w:rPr>
    </w:lvl>
    <w:lvl w:ilvl="1" w:tplc="04090019" w:tentative="1">
      <w:start w:val="1"/>
      <w:numFmt w:val="lowerLetter"/>
      <w:lvlText w:val="%2."/>
      <w:lvlJc w:val="left"/>
      <w:pPr>
        <w:tabs>
          <w:tab w:val="num" w:pos="2332"/>
        </w:tabs>
        <w:ind w:left="2332" w:hanging="360"/>
      </w:pPr>
    </w:lvl>
    <w:lvl w:ilvl="2" w:tplc="0409001B" w:tentative="1">
      <w:start w:val="1"/>
      <w:numFmt w:val="lowerRoman"/>
      <w:lvlText w:val="%3."/>
      <w:lvlJc w:val="right"/>
      <w:pPr>
        <w:tabs>
          <w:tab w:val="num" w:pos="3052"/>
        </w:tabs>
        <w:ind w:left="3052" w:hanging="180"/>
      </w:pPr>
    </w:lvl>
    <w:lvl w:ilvl="3" w:tplc="0409000F" w:tentative="1">
      <w:start w:val="1"/>
      <w:numFmt w:val="decimal"/>
      <w:lvlText w:val="%4."/>
      <w:lvlJc w:val="left"/>
      <w:pPr>
        <w:tabs>
          <w:tab w:val="num" w:pos="3772"/>
        </w:tabs>
        <w:ind w:left="3772" w:hanging="360"/>
      </w:pPr>
    </w:lvl>
    <w:lvl w:ilvl="4" w:tplc="04090019" w:tentative="1">
      <w:start w:val="1"/>
      <w:numFmt w:val="lowerLetter"/>
      <w:lvlText w:val="%5."/>
      <w:lvlJc w:val="left"/>
      <w:pPr>
        <w:tabs>
          <w:tab w:val="num" w:pos="4492"/>
        </w:tabs>
        <w:ind w:left="4492" w:hanging="360"/>
      </w:pPr>
    </w:lvl>
    <w:lvl w:ilvl="5" w:tplc="0409001B" w:tentative="1">
      <w:start w:val="1"/>
      <w:numFmt w:val="lowerRoman"/>
      <w:lvlText w:val="%6."/>
      <w:lvlJc w:val="right"/>
      <w:pPr>
        <w:tabs>
          <w:tab w:val="num" w:pos="5212"/>
        </w:tabs>
        <w:ind w:left="5212" w:hanging="180"/>
      </w:pPr>
    </w:lvl>
    <w:lvl w:ilvl="6" w:tplc="0409000F" w:tentative="1">
      <w:start w:val="1"/>
      <w:numFmt w:val="decimal"/>
      <w:lvlText w:val="%7."/>
      <w:lvlJc w:val="left"/>
      <w:pPr>
        <w:tabs>
          <w:tab w:val="num" w:pos="5932"/>
        </w:tabs>
        <w:ind w:left="5932" w:hanging="360"/>
      </w:pPr>
    </w:lvl>
    <w:lvl w:ilvl="7" w:tplc="04090019" w:tentative="1">
      <w:start w:val="1"/>
      <w:numFmt w:val="lowerLetter"/>
      <w:lvlText w:val="%8."/>
      <w:lvlJc w:val="left"/>
      <w:pPr>
        <w:tabs>
          <w:tab w:val="num" w:pos="6652"/>
        </w:tabs>
        <w:ind w:left="6652" w:hanging="360"/>
      </w:pPr>
    </w:lvl>
    <w:lvl w:ilvl="8" w:tplc="0409001B" w:tentative="1">
      <w:start w:val="1"/>
      <w:numFmt w:val="lowerRoman"/>
      <w:lvlText w:val="%9."/>
      <w:lvlJc w:val="right"/>
      <w:pPr>
        <w:tabs>
          <w:tab w:val="num" w:pos="7372"/>
        </w:tabs>
        <w:ind w:left="7372" w:hanging="180"/>
      </w:pPr>
    </w:lvl>
  </w:abstractNum>
  <w:abstractNum w:abstractNumId="18">
    <w:nsid w:val="6F7C499A"/>
    <w:multiLevelType w:val="hybridMultilevel"/>
    <w:tmpl w:val="B810E2F8"/>
    <w:lvl w:ilvl="0" w:tplc="04090001">
      <w:start w:val="1"/>
      <w:numFmt w:val="bullet"/>
      <w:lvlText w:val=""/>
      <w:lvlJc w:val="left"/>
      <w:pPr>
        <w:tabs>
          <w:tab w:val="num" w:pos="1965"/>
        </w:tabs>
        <w:ind w:left="1965" w:hanging="360"/>
      </w:pPr>
      <w:rPr>
        <w:rFonts w:ascii="Symbol" w:hAnsi="Symbol" w:hint="default"/>
      </w:rPr>
    </w:lvl>
    <w:lvl w:ilvl="1" w:tplc="04090003" w:tentative="1">
      <w:start w:val="1"/>
      <w:numFmt w:val="bullet"/>
      <w:lvlText w:val="o"/>
      <w:lvlJc w:val="left"/>
      <w:pPr>
        <w:tabs>
          <w:tab w:val="num" w:pos="2685"/>
        </w:tabs>
        <w:ind w:left="2685" w:hanging="360"/>
      </w:pPr>
      <w:rPr>
        <w:rFonts w:ascii="Courier New" w:hAnsi="Courier New" w:hint="default"/>
      </w:rPr>
    </w:lvl>
    <w:lvl w:ilvl="2" w:tplc="04090005" w:tentative="1">
      <w:start w:val="1"/>
      <w:numFmt w:val="bullet"/>
      <w:lvlText w:val=""/>
      <w:lvlJc w:val="left"/>
      <w:pPr>
        <w:tabs>
          <w:tab w:val="num" w:pos="3405"/>
        </w:tabs>
        <w:ind w:left="3405" w:hanging="360"/>
      </w:pPr>
      <w:rPr>
        <w:rFonts w:ascii="Wingdings" w:hAnsi="Wingdings" w:hint="default"/>
      </w:rPr>
    </w:lvl>
    <w:lvl w:ilvl="3" w:tplc="04090001" w:tentative="1">
      <w:start w:val="1"/>
      <w:numFmt w:val="bullet"/>
      <w:lvlText w:val=""/>
      <w:lvlJc w:val="left"/>
      <w:pPr>
        <w:tabs>
          <w:tab w:val="num" w:pos="4125"/>
        </w:tabs>
        <w:ind w:left="4125" w:hanging="360"/>
      </w:pPr>
      <w:rPr>
        <w:rFonts w:ascii="Symbol" w:hAnsi="Symbol" w:hint="default"/>
      </w:rPr>
    </w:lvl>
    <w:lvl w:ilvl="4" w:tplc="04090003" w:tentative="1">
      <w:start w:val="1"/>
      <w:numFmt w:val="bullet"/>
      <w:lvlText w:val="o"/>
      <w:lvlJc w:val="left"/>
      <w:pPr>
        <w:tabs>
          <w:tab w:val="num" w:pos="4845"/>
        </w:tabs>
        <w:ind w:left="4845" w:hanging="360"/>
      </w:pPr>
      <w:rPr>
        <w:rFonts w:ascii="Courier New" w:hAnsi="Courier New" w:hint="default"/>
      </w:rPr>
    </w:lvl>
    <w:lvl w:ilvl="5" w:tplc="04090005" w:tentative="1">
      <w:start w:val="1"/>
      <w:numFmt w:val="bullet"/>
      <w:lvlText w:val=""/>
      <w:lvlJc w:val="left"/>
      <w:pPr>
        <w:tabs>
          <w:tab w:val="num" w:pos="5565"/>
        </w:tabs>
        <w:ind w:left="5565" w:hanging="360"/>
      </w:pPr>
      <w:rPr>
        <w:rFonts w:ascii="Wingdings" w:hAnsi="Wingdings" w:hint="default"/>
      </w:rPr>
    </w:lvl>
    <w:lvl w:ilvl="6" w:tplc="04090001" w:tentative="1">
      <w:start w:val="1"/>
      <w:numFmt w:val="bullet"/>
      <w:lvlText w:val=""/>
      <w:lvlJc w:val="left"/>
      <w:pPr>
        <w:tabs>
          <w:tab w:val="num" w:pos="6285"/>
        </w:tabs>
        <w:ind w:left="6285" w:hanging="360"/>
      </w:pPr>
      <w:rPr>
        <w:rFonts w:ascii="Symbol" w:hAnsi="Symbol" w:hint="default"/>
      </w:rPr>
    </w:lvl>
    <w:lvl w:ilvl="7" w:tplc="04090003" w:tentative="1">
      <w:start w:val="1"/>
      <w:numFmt w:val="bullet"/>
      <w:lvlText w:val="o"/>
      <w:lvlJc w:val="left"/>
      <w:pPr>
        <w:tabs>
          <w:tab w:val="num" w:pos="7005"/>
        </w:tabs>
        <w:ind w:left="7005" w:hanging="360"/>
      </w:pPr>
      <w:rPr>
        <w:rFonts w:ascii="Courier New" w:hAnsi="Courier New" w:hint="default"/>
      </w:rPr>
    </w:lvl>
    <w:lvl w:ilvl="8" w:tplc="04090005" w:tentative="1">
      <w:start w:val="1"/>
      <w:numFmt w:val="bullet"/>
      <w:lvlText w:val=""/>
      <w:lvlJc w:val="left"/>
      <w:pPr>
        <w:tabs>
          <w:tab w:val="num" w:pos="7725"/>
        </w:tabs>
        <w:ind w:left="7725" w:hanging="360"/>
      </w:pPr>
      <w:rPr>
        <w:rFonts w:ascii="Wingdings" w:hAnsi="Wingdings" w:hint="default"/>
      </w:rPr>
    </w:lvl>
  </w:abstractNum>
  <w:num w:numId="1">
    <w:abstractNumId w:val="15"/>
  </w:num>
  <w:num w:numId="2">
    <w:abstractNumId w:val="1"/>
  </w:num>
  <w:num w:numId="3">
    <w:abstractNumId w:val="12"/>
  </w:num>
  <w:num w:numId="4">
    <w:abstractNumId w:val="17"/>
  </w:num>
  <w:num w:numId="5">
    <w:abstractNumId w:val="3"/>
  </w:num>
  <w:num w:numId="6">
    <w:abstractNumId w:val="0"/>
  </w:num>
  <w:num w:numId="7">
    <w:abstractNumId w:val="13"/>
  </w:num>
  <w:num w:numId="8">
    <w:abstractNumId w:val="6"/>
  </w:num>
  <w:num w:numId="9">
    <w:abstractNumId w:val="14"/>
  </w:num>
  <w:num w:numId="10">
    <w:abstractNumId w:val="9"/>
  </w:num>
  <w:num w:numId="11">
    <w:abstractNumId w:val="16"/>
  </w:num>
  <w:num w:numId="12">
    <w:abstractNumId w:val="5"/>
  </w:num>
  <w:num w:numId="13">
    <w:abstractNumId w:val="7"/>
  </w:num>
  <w:num w:numId="14">
    <w:abstractNumId w:val="2"/>
  </w:num>
  <w:num w:numId="15">
    <w:abstractNumId w:val="8"/>
  </w:num>
  <w:num w:numId="16">
    <w:abstractNumId w:val="18"/>
  </w:num>
  <w:num w:numId="17">
    <w:abstractNumId w:val="4"/>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7a16ab1-d572-4088-ab0a-b079331f4029"/>
    <w:docVar w:name="_AMO_XmlVersion" w:val="Empty"/>
  </w:docVars>
  <w:rsids>
    <w:rsidRoot w:val="008978E7"/>
    <w:rsid w:val="000034DA"/>
    <w:rsid w:val="0000496C"/>
    <w:rsid w:val="00010A46"/>
    <w:rsid w:val="000118CB"/>
    <w:rsid w:val="00023FEF"/>
    <w:rsid w:val="000331AB"/>
    <w:rsid w:val="000604B2"/>
    <w:rsid w:val="000606CF"/>
    <w:rsid w:val="00067EE3"/>
    <w:rsid w:val="00083541"/>
    <w:rsid w:val="00097253"/>
    <w:rsid w:val="000B09B7"/>
    <w:rsid w:val="000C1AB9"/>
    <w:rsid w:val="000C47BD"/>
    <w:rsid w:val="000C4EF4"/>
    <w:rsid w:val="000E2C8E"/>
    <w:rsid w:val="000F0AE2"/>
    <w:rsid w:val="00104523"/>
    <w:rsid w:val="001061DC"/>
    <w:rsid w:val="0015768C"/>
    <w:rsid w:val="001577FC"/>
    <w:rsid w:val="00174C5F"/>
    <w:rsid w:val="00175FA2"/>
    <w:rsid w:val="001A1D88"/>
    <w:rsid w:val="001A3EB3"/>
    <w:rsid w:val="001A6BA7"/>
    <w:rsid w:val="001B0972"/>
    <w:rsid w:val="001C194C"/>
    <w:rsid w:val="001C3468"/>
    <w:rsid w:val="001D26E3"/>
    <w:rsid w:val="001E056F"/>
    <w:rsid w:val="001E135A"/>
    <w:rsid w:val="001E38F7"/>
    <w:rsid w:val="001E6E2F"/>
    <w:rsid w:val="001F10BB"/>
    <w:rsid w:val="001F1492"/>
    <w:rsid w:val="00216C8B"/>
    <w:rsid w:val="0022491E"/>
    <w:rsid w:val="00236327"/>
    <w:rsid w:val="0024570A"/>
    <w:rsid w:val="00251D48"/>
    <w:rsid w:val="00254EB3"/>
    <w:rsid w:val="00255204"/>
    <w:rsid w:val="00265EAD"/>
    <w:rsid w:val="00267612"/>
    <w:rsid w:val="002704C2"/>
    <w:rsid w:val="0027157D"/>
    <w:rsid w:val="002762EC"/>
    <w:rsid w:val="00283530"/>
    <w:rsid w:val="002837B3"/>
    <w:rsid w:val="002A3706"/>
    <w:rsid w:val="002B6A02"/>
    <w:rsid w:val="002C108B"/>
    <w:rsid w:val="002D1FE6"/>
    <w:rsid w:val="002D3374"/>
    <w:rsid w:val="002E5575"/>
    <w:rsid w:val="002F5A20"/>
    <w:rsid w:val="0030620E"/>
    <w:rsid w:val="003260C9"/>
    <w:rsid w:val="00390409"/>
    <w:rsid w:val="00392413"/>
    <w:rsid w:val="003A4887"/>
    <w:rsid w:val="003B08EB"/>
    <w:rsid w:val="003C4CDD"/>
    <w:rsid w:val="003D7613"/>
    <w:rsid w:val="003E0109"/>
    <w:rsid w:val="003E7498"/>
    <w:rsid w:val="003F2FCC"/>
    <w:rsid w:val="003F4464"/>
    <w:rsid w:val="004038AF"/>
    <w:rsid w:val="00403ED2"/>
    <w:rsid w:val="00415BF0"/>
    <w:rsid w:val="00430FDD"/>
    <w:rsid w:val="0046187A"/>
    <w:rsid w:val="00461CA6"/>
    <w:rsid w:val="00470286"/>
    <w:rsid w:val="00481296"/>
    <w:rsid w:val="00482CD2"/>
    <w:rsid w:val="0048626D"/>
    <w:rsid w:val="004931E0"/>
    <w:rsid w:val="004B7A88"/>
    <w:rsid w:val="004C722F"/>
    <w:rsid w:val="004C7C8C"/>
    <w:rsid w:val="0050157C"/>
    <w:rsid w:val="00522DBF"/>
    <w:rsid w:val="00533C3A"/>
    <w:rsid w:val="005547EB"/>
    <w:rsid w:val="0055737A"/>
    <w:rsid w:val="005603AC"/>
    <w:rsid w:val="00593C78"/>
    <w:rsid w:val="0059524C"/>
    <w:rsid w:val="005A6F49"/>
    <w:rsid w:val="005C0DDD"/>
    <w:rsid w:val="005E039B"/>
    <w:rsid w:val="005E2C2D"/>
    <w:rsid w:val="005F20A1"/>
    <w:rsid w:val="006051BD"/>
    <w:rsid w:val="0062245E"/>
    <w:rsid w:val="00623E68"/>
    <w:rsid w:val="00627AE7"/>
    <w:rsid w:val="006302DF"/>
    <w:rsid w:val="006359EC"/>
    <w:rsid w:val="00643F2B"/>
    <w:rsid w:val="0064619C"/>
    <w:rsid w:val="00653B82"/>
    <w:rsid w:val="00694200"/>
    <w:rsid w:val="006B218D"/>
    <w:rsid w:val="006B5242"/>
    <w:rsid w:val="006B57FE"/>
    <w:rsid w:val="006D0DC7"/>
    <w:rsid w:val="006E0160"/>
    <w:rsid w:val="006E6939"/>
    <w:rsid w:val="006E7BF7"/>
    <w:rsid w:val="007125DE"/>
    <w:rsid w:val="007310B7"/>
    <w:rsid w:val="00732822"/>
    <w:rsid w:val="00744734"/>
    <w:rsid w:val="00744EDC"/>
    <w:rsid w:val="007578DB"/>
    <w:rsid w:val="0078215F"/>
    <w:rsid w:val="0079369E"/>
    <w:rsid w:val="007A38B9"/>
    <w:rsid w:val="007C0F4A"/>
    <w:rsid w:val="007C6263"/>
    <w:rsid w:val="007D7770"/>
    <w:rsid w:val="007F124E"/>
    <w:rsid w:val="007F51FD"/>
    <w:rsid w:val="00802CFE"/>
    <w:rsid w:val="00813A14"/>
    <w:rsid w:val="00845333"/>
    <w:rsid w:val="0084601E"/>
    <w:rsid w:val="008468B2"/>
    <w:rsid w:val="0085279F"/>
    <w:rsid w:val="00854C2A"/>
    <w:rsid w:val="008668EE"/>
    <w:rsid w:val="00867A7B"/>
    <w:rsid w:val="008978E7"/>
    <w:rsid w:val="008A1D20"/>
    <w:rsid w:val="008B3E7B"/>
    <w:rsid w:val="008B4517"/>
    <w:rsid w:val="008B735C"/>
    <w:rsid w:val="008D0128"/>
    <w:rsid w:val="008D53F9"/>
    <w:rsid w:val="008D7A68"/>
    <w:rsid w:val="008E243C"/>
    <w:rsid w:val="008F4041"/>
    <w:rsid w:val="0090205B"/>
    <w:rsid w:val="00904B66"/>
    <w:rsid w:val="0090536E"/>
    <w:rsid w:val="0092107C"/>
    <w:rsid w:val="00927E2C"/>
    <w:rsid w:val="00936FCD"/>
    <w:rsid w:val="009414D0"/>
    <w:rsid w:val="00942173"/>
    <w:rsid w:val="009622E5"/>
    <w:rsid w:val="009640E9"/>
    <w:rsid w:val="009817A2"/>
    <w:rsid w:val="009B5B80"/>
    <w:rsid w:val="009C076D"/>
    <w:rsid w:val="009D072D"/>
    <w:rsid w:val="009D74FC"/>
    <w:rsid w:val="009F0136"/>
    <w:rsid w:val="009F5147"/>
    <w:rsid w:val="00A00F9F"/>
    <w:rsid w:val="00A11D68"/>
    <w:rsid w:val="00A1476B"/>
    <w:rsid w:val="00A172BD"/>
    <w:rsid w:val="00A24540"/>
    <w:rsid w:val="00A26A6A"/>
    <w:rsid w:val="00A27029"/>
    <w:rsid w:val="00A27D01"/>
    <w:rsid w:val="00A4718E"/>
    <w:rsid w:val="00A51E8E"/>
    <w:rsid w:val="00A5566B"/>
    <w:rsid w:val="00A566B1"/>
    <w:rsid w:val="00A7096F"/>
    <w:rsid w:val="00A71F41"/>
    <w:rsid w:val="00A835C9"/>
    <w:rsid w:val="00AB0FE0"/>
    <w:rsid w:val="00AB37A2"/>
    <w:rsid w:val="00AE0F1D"/>
    <w:rsid w:val="00AE3715"/>
    <w:rsid w:val="00B0084B"/>
    <w:rsid w:val="00B011D6"/>
    <w:rsid w:val="00B13104"/>
    <w:rsid w:val="00B262A6"/>
    <w:rsid w:val="00B27AD7"/>
    <w:rsid w:val="00B31860"/>
    <w:rsid w:val="00B45F95"/>
    <w:rsid w:val="00B51253"/>
    <w:rsid w:val="00B63D30"/>
    <w:rsid w:val="00B74D53"/>
    <w:rsid w:val="00B75EB0"/>
    <w:rsid w:val="00B80588"/>
    <w:rsid w:val="00BB779D"/>
    <w:rsid w:val="00BC1B47"/>
    <w:rsid w:val="00BD1EFF"/>
    <w:rsid w:val="00BD7D3B"/>
    <w:rsid w:val="00C1234E"/>
    <w:rsid w:val="00C13EFA"/>
    <w:rsid w:val="00C15C05"/>
    <w:rsid w:val="00C41DBE"/>
    <w:rsid w:val="00C526B3"/>
    <w:rsid w:val="00C6170A"/>
    <w:rsid w:val="00C64EE5"/>
    <w:rsid w:val="00C80495"/>
    <w:rsid w:val="00C81D40"/>
    <w:rsid w:val="00C83B6D"/>
    <w:rsid w:val="00C91764"/>
    <w:rsid w:val="00C932A6"/>
    <w:rsid w:val="00CA1CF3"/>
    <w:rsid w:val="00CD1001"/>
    <w:rsid w:val="00CD5F28"/>
    <w:rsid w:val="00D013A7"/>
    <w:rsid w:val="00D03DDE"/>
    <w:rsid w:val="00D20188"/>
    <w:rsid w:val="00D40063"/>
    <w:rsid w:val="00D43FBD"/>
    <w:rsid w:val="00D56A1C"/>
    <w:rsid w:val="00D63797"/>
    <w:rsid w:val="00D63E94"/>
    <w:rsid w:val="00D64266"/>
    <w:rsid w:val="00D74E40"/>
    <w:rsid w:val="00D76716"/>
    <w:rsid w:val="00D91706"/>
    <w:rsid w:val="00D93FA5"/>
    <w:rsid w:val="00DB10D1"/>
    <w:rsid w:val="00DE3847"/>
    <w:rsid w:val="00E113BC"/>
    <w:rsid w:val="00E4414E"/>
    <w:rsid w:val="00E500D5"/>
    <w:rsid w:val="00E505C2"/>
    <w:rsid w:val="00E61A0F"/>
    <w:rsid w:val="00E6271B"/>
    <w:rsid w:val="00EB3AC0"/>
    <w:rsid w:val="00EE09BA"/>
    <w:rsid w:val="00EF1FA6"/>
    <w:rsid w:val="00EF2FB6"/>
    <w:rsid w:val="00EF67AB"/>
    <w:rsid w:val="00F059DB"/>
    <w:rsid w:val="00F160F7"/>
    <w:rsid w:val="00FC4838"/>
    <w:rsid w:val="00FC6945"/>
    <w:rsid w:val="00FD24AC"/>
    <w:rsid w:val="00FD2559"/>
    <w:rsid w:val="00FD5ADB"/>
    <w:rsid w:val="00FE512D"/>
    <w:rsid w:val="00FF0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2A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CG Times" w:hAnsi="CG Times"/>
      <w:sz w:val="28"/>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customStyle="1" w:styleId="Style0">
    <w:name w:val="Style0"/>
    <w:pPr>
      <w:autoSpaceDE w:val="0"/>
      <w:autoSpaceDN w:val="0"/>
      <w:adjustRightInd w:val="0"/>
    </w:pPr>
    <w:rPr>
      <w:rFonts w:ascii="Arial" w:hAnsi="Arial" w:cs="Arial"/>
      <w:sz w:val="24"/>
      <w:szCs w:val="24"/>
    </w:rPr>
  </w:style>
  <w:style w:type="character" w:styleId="Hyperlink">
    <w:name w:val="Hyperlink"/>
    <w:semiHidden/>
    <w:rPr>
      <w:color w:val="0000FF"/>
      <w:u w:val="single"/>
    </w:rPr>
  </w:style>
  <w:style w:type="paragraph" w:styleId="BlockText">
    <w:name w:val="Block Text"/>
    <w:basedOn w:val="Normal"/>
    <w:semiHidden/>
    <w:pPr>
      <w:spacing w:before="100" w:beforeAutospacing="1" w:after="100" w:afterAutospacing="1"/>
      <w:ind w:left="720" w:right="7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widowControl w:val="0"/>
      <w:autoSpaceDE w:val="0"/>
      <w:autoSpaceDN w:val="0"/>
      <w:adjustRightInd w:val="0"/>
      <w:spacing w:line="480" w:lineRule="auto"/>
      <w:ind w:firstLine="720"/>
    </w:pPr>
  </w:style>
  <w:style w:type="paragraph" w:styleId="BodyTextIndent">
    <w:name w:val="Body Text Indent"/>
    <w:basedOn w:val="Normal"/>
    <w:semiHidden/>
    <w:pPr>
      <w:tabs>
        <w:tab w:val="left" w:pos="0"/>
        <w:tab w:val="left" w:pos="417"/>
        <w:tab w:val="left" w:pos="720"/>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720"/>
    </w:pPr>
  </w:style>
  <w:style w:type="paragraph" w:styleId="BodyTextIndent3">
    <w:name w:val="Body Text Indent 3"/>
    <w:basedOn w:val="Normal"/>
    <w:semiHidden/>
    <w:pPr>
      <w:ind w:left="900"/>
    </w:pPr>
  </w:style>
  <w:style w:type="table" w:styleId="TableGrid">
    <w:name w:val="Table Grid"/>
    <w:basedOn w:val="TableNormal"/>
    <w:uiPriority w:val="59"/>
    <w:rsid w:val="00EF2FB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C694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CG Times" w:hAnsi="CG Times"/>
      <w:sz w:val="28"/>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customStyle="1" w:styleId="Style0">
    <w:name w:val="Style0"/>
    <w:pPr>
      <w:autoSpaceDE w:val="0"/>
      <w:autoSpaceDN w:val="0"/>
      <w:adjustRightInd w:val="0"/>
    </w:pPr>
    <w:rPr>
      <w:rFonts w:ascii="Arial" w:hAnsi="Arial" w:cs="Arial"/>
      <w:sz w:val="24"/>
      <w:szCs w:val="24"/>
    </w:rPr>
  </w:style>
  <w:style w:type="character" w:styleId="Hyperlink">
    <w:name w:val="Hyperlink"/>
    <w:semiHidden/>
    <w:rPr>
      <w:color w:val="0000FF"/>
      <w:u w:val="single"/>
    </w:rPr>
  </w:style>
  <w:style w:type="paragraph" w:styleId="BlockText">
    <w:name w:val="Block Text"/>
    <w:basedOn w:val="Normal"/>
    <w:semiHidden/>
    <w:pPr>
      <w:spacing w:before="100" w:beforeAutospacing="1" w:after="100" w:afterAutospacing="1"/>
      <w:ind w:left="720" w:right="7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widowControl w:val="0"/>
      <w:autoSpaceDE w:val="0"/>
      <w:autoSpaceDN w:val="0"/>
      <w:adjustRightInd w:val="0"/>
      <w:spacing w:line="480" w:lineRule="auto"/>
      <w:ind w:firstLine="720"/>
    </w:pPr>
  </w:style>
  <w:style w:type="paragraph" w:styleId="BodyTextIndent">
    <w:name w:val="Body Text Indent"/>
    <w:basedOn w:val="Normal"/>
    <w:semiHidden/>
    <w:pPr>
      <w:tabs>
        <w:tab w:val="left" w:pos="0"/>
        <w:tab w:val="left" w:pos="417"/>
        <w:tab w:val="left" w:pos="720"/>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720"/>
    </w:pPr>
  </w:style>
  <w:style w:type="paragraph" w:styleId="BodyTextIndent3">
    <w:name w:val="Body Text Indent 3"/>
    <w:basedOn w:val="Normal"/>
    <w:semiHidden/>
    <w:pPr>
      <w:ind w:left="900"/>
    </w:pPr>
  </w:style>
  <w:style w:type="table" w:styleId="TableGrid">
    <w:name w:val="Table Grid"/>
    <w:basedOn w:val="TableNormal"/>
    <w:uiPriority w:val="59"/>
    <w:rsid w:val="00EF2FB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C694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6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ul.a.smith@frb.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nnis.fixler@bea.gov"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DAEB2-19B0-4D49-9AD9-3100C71B7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3316</Words>
  <Characters>18904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Questions Regarding the Quarterly Financial Report (QFR) Program’s</vt:lpstr>
    </vt:vector>
  </TitlesOfParts>
  <Company>US Census Bureau</Company>
  <LinksUpToDate>false</LinksUpToDate>
  <CharactersWithSpaces>22176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Regarding the Quarterly Financial Report (QFR) Program’s</dc:title>
  <dc:subject/>
  <dc:creator>Economic Directorate</dc:creator>
  <cp:keywords/>
  <cp:lastModifiedBy>SYSTEM</cp:lastModifiedBy>
  <cp:revision>2</cp:revision>
  <cp:lastPrinted>2018-05-08T15:57:00Z</cp:lastPrinted>
  <dcterms:created xsi:type="dcterms:W3CDTF">2018-07-12T13:47:00Z</dcterms:created>
  <dcterms:modified xsi:type="dcterms:W3CDTF">2018-07-12T13:47:00Z</dcterms:modified>
</cp:coreProperties>
</file>