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ACC" w:rsidRDefault="00176ACC" w:rsidP="00176ACC">
      <w:pPr>
        <w:ind w:right="40"/>
        <w:jc w:val="center"/>
        <w:rPr>
          <w:b/>
          <w:sz w:val="24"/>
        </w:rPr>
      </w:pPr>
      <w:bookmarkStart w:id="0" w:name="_GoBack"/>
      <w:bookmarkEnd w:id="0"/>
      <w:r>
        <w:rPr>
          <w:b/>
          <w:sz w:val="24"/>
        </w:rPr>
        <w:t>U.S. Department of Commerce Bureau of Industry and Security</w:t>
      </w:r>
    </w:p>
    <w:p w:rsidR="00176ACC" w:rsidRDefault="00176ACC" w:rsidP="00176ACC">
      <w:pPr>
        <w:pStyle w:val="BodyText"/>
        <w:tabs>
          <w:tab w:val="left" w:pos="2889"/>
        </w:tabs>
        <w:ind w:right="40"/>
        <w:jc w:val="center"/>
        <w:rPr>
          <w:b/>
        </w:rPr>
      </w:pPr>
    </w:p>
    <w:p w:rsidR="00176ACC" w:rsidRDefault="00176ACC" w:rsidP="00176ACC">
      <w:pPr>
        <w:tabs>
          <w:tab w:val="left" w:pos="2889"/>
        </w:tabs>
        <w:ind w:right="40"/>
        <w:jc w:val="center"/>
        <w:rPr>
          <w:b/>
          <w:sz w:val="24"/>
        </w:rPr>
      </w:pPr>
      <w:r>
        <w:rPr>
          <w:b/>
          <w:sz w:val="24"/>
        </w:rPr>
        <w:t xml:space="preserve">U.S. Armored Vehicles </w:t>
      </w:r>
    </w:p>
    <w:p w:rsidR="00176ACC" w:rsidRDefault="00176ACC" w:rsidP="00176ACC">
      <w:pPr>
        <w:tabs>
          <w:tab w:val="left" w:pos="2889"/>
        </w:tabs>
        <w:ind w:right="40"/>
        <w:jc w:val="center"/>
        <w:rPr>
          <w:b/>
          <w:sz w:val="24"/>
        </w:rPr>
      </w:pPr>
      <w:r>
        <w:rPr>
          <w:b/>
          <w:sz w:val="24"/>
        </w:rPr>
        <w:t>OMB Control No.</w:t>
      </w:r>
      <w:r w:rsidRPr="008C6A7B">
        <w:rPr>
          <w:b/>
        </w:rPr>
        <w:t xml:space="preserve"> 0694-01</w:t>
      </w:r>
      <w:r>
        <w:rPr>
          <w:b/>
        </w:rPr>
        <w:t>20</w:t>
      </w:r>
    </w:p>
    <w:p w:rsidR="00176ACC" w:rsidRDefault="00176ACC" w:rsidP="00176ACC">
      <w:pPr>
        <w:pStyle w:val="BodyText"/>
        <w:tabs>
          <w:tab w:val="left" w:pos="2889"/>
        </w:tabs>
        <w:rPr>
          <w:b/>
          <w:sz w:val="20"/>
        </w:rPr>
      </w:pPr>
    </w:p>
    <w:p w:rsidR="00176ACC" w:rsidRDefault="00176ACC" w:rsidP="00176ACC">
      <w:pPr>
        <w:pStyle w:val="ListParagraph"/>
        <w:numPr>
          <w:ilvl w:val="0"/>
          <w:numId w:val="1"/>
        </w:numPr>
        <w:tabs>
          <w:tab w:val="left" w:pos="454"/>
          <w:tab w:val="left" w:pos="2889"/>
        </w:tabs>
        <w:ind w:hanging="353"/>
        <w:rPr>
          <w:b/>
          <w:sz w:val="24"/>
          <w:u w:val="none"/>
        </w:rPr>
      </w:pPr>
      <w:r>
        <w:rPr>
          <w:b/>
          <w:sz w:val="24"/>
          <w:u w:val="none"/>
        </w:rPr>
        <w:t>Justification</w:t>
      </w:r>
    </w:p>
    <w:p w:rsidR="00176ACC" w:rsidRDefault="00176ACC" w:rsidP="00176ACC">
      <w:pPr>
        <w:pStyle w:val="BodyText"/>
        <w:tabs>
          <w:tab w:val="left" w:pos="2889"/>
        </w:tabs>
        <w:rPr>
          <w:b/>
          <w:sz w:val="23"/>
        </w:rPr>
      </w:pPr>
    </w:p>
    <w:p w:rsidR="00176ACC" w:rsidRDefault="00176ACC" w:rsidP="00176ACC">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rsidR="00176ACC" w:rsidRDefault="00176ACC" w:rsidP="00176ACC">
      <w:pPr>
        <w:pStyle w:val="BodyText"/>
        <w:tabs>
          <w:tab w:val="left" w:pos="2889"/>
        </w:tabs>
        <w:rPr>
          <w:b/>
          <w:sz w:val="15"/>
        </w:rPr>
      </w:pPr>
    </w:p>
    <w:p w:rsidR="00176ACC" w:rsidRDefault="00176ACC" w:rsidP="00176ACC">
      <w:pPr>
        <w:pStyle w:val="BodyText"/>
        <w:tabs>
          <w:tab w:val="left" w:pos="2889"/>
        </w:tabs>
        <w:ind w:right="117"/>
      </w:pPr>
      <w:bookmarkStart w:id="1" w:name="_Hlk519070972"/>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t xml:space="preserve"> </w:t>
      </w:r>
      <w:bookmarkStart w:id="2" w:name="_Hlk519074036"/>
      <w:r>
        <w:t xml:space="preserve">The Bureau of Industry and Security (BIS), Office of Technology Evaluation (OTE), is conducting a survey and assessment of the armored vehicle industry as part of its overall assessment of imports of automobiles and automotive parts. </w:t>
      </w:r>
      <w:bookmarkEnd w:id="2"/>
      <w:r>
        <w:t xml:space="preserve">The survey, requested by the Office of the Secretary of the U.S. Department of Commerce, will be used to gather critical industry data necessary for the national security analysis required for this investigation. </w:t>
      </w:r>
    </w:p>
    <w:p w:rsidR="00176ACC" w:rsidRDefault="00176ACC" w:rsidP="00176ACC">
      <w:pPr>
        <w:pStyle w:val="BodyText"/>
        <w:tabs>
          <w:tab w:val="left" w:pos="2889"/>
        </w:tabs>
      </w:pPr>
    </w:p>
    <w:p w:rsidR="00176ACC" w:rsidRDefault="00176ACC" w:rsidP="00176ACC">
      <w:pPr>
        <w:pStyle w:val="BodyText"/>
        <w:tabs>
          <w:tab w:val="left" w:pos="2889"/>
        </w:tabs>
        <w:ind w:right="116"/>
      </w:pPr>
      <w:bookmarkStart w:id="3" w:name="_Hlk518985109"/>
      <w:bookmarkStart w:id="4" w:name="_Hlk518984104"/>
      <w:bookmarkStart w:id="5" w:name="_Hlk517181115"/>
      <w:bookmarkStart w:id="6" w:name="_Hlk517273915"/>
      <w:r>
        <w:t>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w:t>
      </w:r>
      <w:bookmarkEnd w:id="1"/>
      <w:bookmarkEnd w:id="3"/>
      <w:r>
        <w:t xml:space="preserve"> </w:t>
      </w:r>
      <w:bookmarkEnd w:id="4"/>
      <w:r>
        <w:t>Information collected will include facilities and production data, trade flows, supply chain data, sales and demand data, employment information, joint ventures, conditions of competition, research and development information, and government and defense activities. The resulting aggregate data will give the Commerce Department detailed industry information that is otherwise not available and is needed to effectively conduct its analysis.</w:t>
      </w:r>
      <w:bookmarkEnd w:id="5"/>
    </w:p>
    <w:bookmarkEnd w:id="6"/>
    <w:p w:rsidR="00176ACC" w:rsidRDefault="00176ACC" w:rsidP="00176ACC">
      <w:pPr>
        <w:pStyle w:val="BodyText"/>
        <w:tabs>
          <w:tab w:val="left" w:pos="2889"/>
        </w:tabs>
        <w:ind w:left="100" w:right="116"/>
      </w:pPr>
    </w:p>
    <w:p w:rsidR="00176ACC" w:rsidRDefault="00176ACC" w:rsidP="00176ACC">
      <w:pPr>
        <w:pStyle w:val="BodyText"/>
        <w:tabs>
          <w:tab w:val="left" w:pos="2889"/>
        </w:tabs>
      </w:pPr>
      <w:r w:rsidRPr="00EC5877">
        <w:t>During the design and development of the survey instrument, OTE gathered input</w:t>
      </w:r>
      <w:r>
        <w:t xml:space="preserve"> </w:t>
      </w:r>
      <w:r w:rsidRPr="00EC5877">
        <w:t xml:space="preserve">from other U.S. agencies and government experts. </w:t>
      </w:r>
    </w:p>
    <w:p w:rsidR="00176ACC" w:rsidRDefault="00176ACC" w:rsidP="00176ACC">
      <w:pPr>
        <w:pStyle w:val="BodyText"/>
        <w:tabs>
          <w:tab w:val="left" w:pos="2889"/>
        </w:tabs>
      </w:pPr>
    </w:p>
    <w:p w:rsidR="00176ACC" w:rsidRDefault="00176ACC" w:rsidP="00176ACC">
      <w:pPr>
        <w:pStyle w:val="BodyText"/>
        <w:tabs>
          <w:tab w:val="left" w:pos="2889"/>
        </w:tabs>
        <w:ind w:right="170"/>
      </w:pPr>
      <w:r>
        <w:t>OTE has authority under Section 705 of the Defense Production Act of 1950, as amended (DPA), and Section 232 of the Trade Expansion Act of 1962, as amended, to conduct assessments and collect information on the capabilities and capacity of the U.S. industrial base and domestic industries to support the national defense.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rsidR="00176ACC" w:rsidRDefault="00176ACC" w:rsidP="00176ACC">
      <w:pPr>
        <w:pStyle w:val="BodyText"/>
        <w:tabs>
          <w:tab w:val="left" w:pos="2889"/>
        </w:tabs>
      </w:pPr>
    </w:p>
    <w:p w:rsidR="00176ACC" w:rsidRDefault="00176ACC" w:rsidP="00176ACC">
      <w:pPr>
        <w:pStyle w:val="BodyText"/>
        <w:tabs>
          <w:tab w:val="left" w:pos="2889"/>
        </w:tabs>
        <w:ind w:right="549"/>
      </w:pPr>
      <w:r>
        <w:t xml:space="preserve">The enclosed survey questionnaire, </w:t>
      </w:r>
      <w:r w:rsidRPr="00EC5877">
        <w:t xml:space="preserve">which </w:t>
      </w:r>
      <w:r>
        <w:t xml:space="preserve">primarily </w:t>
      </w:r>
      <w:r w:rsidRPr="00EC5877">
        <w:t>covers a five-year period</w:t>
      </w:r>
      <w:r>
        <w:t>, is the source of information needed for a national security analysis of this type.</w:t>
      </w:r>
    </w:p>
    <w:p w:rsidR="00176ACC" w:rsidRDefault="00176ACC" w:rsidP="00176ACC">
      <w:pPr>
        <w:pStyle w:val="BodyText"/>
        <w:tabs>
          <w:tab w:val="left" w:pos="2889"/>
        </w:tabs>
        <w:rPr>
          <w:sz w:val="23"/>
        </w:rPr>
      </w:pPr>
    </w:p>
    <w:p w:rsidR="00176ACC" w:rsidRDefault="00176ACC" w:rsidP="00176ACC">
      <w:pPr>
        <w:pStyle w:val="BodyText"/>
        <w:tabs>
          <w:tab w:val="left" w:pos="2889"/>
        </w:tabs>
        <w:ind w:right="182"/>
      </w:pPr>
      <w:r>
        <w:t xml:space="preserve">By virtue of the above mentioned statutes, OTE is the focal point for national security analyses among civilian federal agencies, which includes mandatory data collection authority to carry out these responsibilities. </w:t>
      </w:r>
    </w:p>
    <w:p w:rsidR="00176ACC" w:rsidRDefault="00176ACC" w:rsidP="00176ACC">
      <w:pPr>
        <w:pStyle w:val="BodyText"/>
        <w:tabs>
          <w:tab w:val="left" w:pos="2889"/>
        </w:tabs>
        <w:ind w:right="182"/>
      </w:pPr>
    </w:p>
    <w:sectPr w:rsidR="0017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CC"/>
    <w:rsid w:val="00176ACC"/>
    <w:rsid w:val="0070493A"/>
    <w:rsid w:val="00897547"/>
    <w:rsid w:val="00B74C44"/>
    <w:rsid w:val="00C67021"/>
    <w:rsid w:val="00EB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AC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6ACC"/>
    <w:rPr>
      <w:sz w:val="24"/>
      <w:szCs w:val="24"/>
    </w:rPr>
  </w:style>
  <w:style w:type="character" w:customStyle="1" w:styleId="BodyTextChar">
    <w:name w:val="Body Text Char"/>
    <w:basedOn w:val="DefaultParagraphFont"/>
    <w:link w:val="BodyText"/>
    <w:uiPriority w:val="1"/>
    <w:rsid w:val="00176ACC"/>
    <w:rPr>
      <w:rFonts w:ascii="Times New Roman" w:eastAsia="Times New Roman" w:hAnsi="Times New Roman" w:cs="Times New Roman"/>
      <w:sz w:val="24"/>
      <w:szCs w:val="24"/>
    </w:rPr>
  </w:style>
  <w:style w:type="paragraph" w:styleId="ListParagraph">
    <w:name w:val="List Paragraph"/>
    <w:basedOn w:val="Normal"/>
    <w:uiPriority w:val="1"/>
    <w:qFormat/>
    <w:rsid w:val="00176ACC"/>
    <w:pPr>
      <w:ind w:left="100"/>
    </w:pPr>
    <w:rPr>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AC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6ACC"/>
    <w:rPr>
      <w:sz w:val="24"/>
      <w:szCs w:val="24"/>
    </w:rPr>
  </w:style>
  <w:style w:type="character" w:customStyle="1" w:styleId="BodyTextChar">
    <w:name w:val="Body Text Char"/>
    <w:basedOn w:val="DefaultParagraphFont"/>
    <w:link w:val="BodyText"/>
    <w:uiPriority w:val="1"/>
    <w:rsid w:val="00176ACC"/>
    <w:rPr>
      <w:rFonts w:ascii="Times New Roman" w:eastAsia="Times New Roman" w:hAnsi="Times New Roman" w:cs="Times New Roman"/>
      <w:sz w:val="24"/>
      <w:szCs w:val="24"/>
    </w:rPr>
  </w:style>
  <w:style w:type="paragraph" w:styleId="ListParagraph">
    <w:name w:val="List Paragraph"/>
    <w:basedOn w:val="Normal"/>
    <w:uiPriority w:val="1"/>
    <w:qFormat/>
    <w:rsid w:val="00176ACC"/>
    <w:pPr>
      <w:ind w:left="10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2018-07-18T19:30:00Z</dcterms:created>
  <dcterms:modified xsi:type="dcterms:W3CDTF">2018-07-18T19:30:00Z</dcterms:modified>
</cp:coreProperties>
</file>