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91BFE" w14:textId="026BACE1" w:rsidR="004A2E04" w:rsidRPr="00BB5B39" w:rsidRDefault="001C5961" w:rsidP="00D516E0">
      <w:pPr>
        <w:jc w:val="center"/>
      </w:pPr>
      <w:bookmarkStart w:id="0" w:name="_GoBack"/>
      <w:bookmarkEnd w:id="0"/>
      <w:r>
        <w:t>U.S. Food and Drug Administration</w:t>
      </w:r>
    </w:p>
    <w:p w14:paraId="2673B1B2" w14:textId="77777777" w:rsidR="001C5961" w:rsidRDefault="001C5961" w:rsidP="004A2E04">
      <w:pPr>
        <w:jc w:val="center"/>
      </w:pPr>
    </w:p>
    <w:p w14:paraId="3F74CC03" w14:textId="77777777" w:rsidR="004A2E04" w:rsidRDefault="004A2E04" w:rsidP="004A2E04">
      <w:pPr>
        <w:jc w:val="center"/>
      </w:pPr>
      <w:r>
        <w:t>National Agriculture and Food Defense Strategy Survey</w:t>
      </w:r>
    </w:p>
    <w:p w14:paraId="7EC35A77" w14:textId="77777777" w:rsidR="008C22CD" w:rsidRDefault="008C22CD" w:rsidP="004A2E04">
      <w:pPr>
        <w:jc w:val="center"/>
      </w:pPr>
    </w:p>
    <w:p w14:paraId="27727D18" w14:textId="164BA35D" w:rsidR="004A2E04" w:rsidRDefault="004A2E04" w:rsidP="004A2E04">
      <w:pPr>
        <w:jc w:val="center"/>
      </w:pPr>
      <w:r>
        <w:t>OMB Control N</w:t>
      </w:r>
      <w:r w:rsidR="001C5961">
        <w:t xml:space="preserve">o. </w:t>
      </w:r>
      <w:r w:rsidR="00D516E0">
        <w:t>0910-</w:t>
      </w:r>
      <w:r>
        <w:t>N</w:t>
      </w:r>
      <w:r w:rsidR="00D516E0">
        <w:t>EW</w:t>
      </w:r>
    </w:p>
    <w:p w14:paraId="39CBA10C" w14:textId="7EE161C7" w:rsidR="00810FF1" w:rsidRPr="00810FF1" w:rsidRDefault="00810FF1" w:rsidP="00810FF1"/>
    <w:p w14:paraId="53EE1FAD" w14:textId="2D5286DB" w:rsidR="00EB7538" w:rsidRDefault="001C5961" w:rsidP="00EB7538">
      <w:pPr>
        <w:pStyle w:val="NormalWeb"/>
      </w:pPr>
      <w:r w:rsidRPr="00D516E0">
        <w:rPr>
          <w:bCs/>
        </w:rPr>
        <w:t>SUPPORTING STATEMENT</w:t>
      </w:r>
      <w:r>
        <w:rPr>
          <w:b/>
          <w:bCs/>
        </w:rPr>
        <w:t xml:space="preserve"> Part </w:t>
      </w:r>
      <w:r w:rsidR="00EB7538">
        <w:rPr>
          <w:b/>
          <w:bCs/>
        </w:rPr>
        <w:t>A</w:t>
      </w:r>
      <w:r>
        <w:rPr>
          <w:b/>
          <w:bCs/>
        </w:rPr>
        <w:t>:</w:t>
      </w:r>
      <w:r w:rsidR="00EB7538">
        <w:rPr>
          <w:b/>
          <w:bCs/>
        </w:rPr>
        <w:t xml:space="preserve"> Justification</w:t>
      </w:r>
    </w:p>
    <w:p w14:paraId="71421346" w14:textId="77777777" w:rsidR="00046C1F" w:rsidRPr="00433AAE" w:rsidRDefault="00EB7538" w:rsidP="00433AAE">
      <w:pPr>
        <w:numPr>
          <w:ilvl w:val="0"/>
          <w:numId w:val="1"/>
        </w:numPr>
        <w:spacing w:before="100" w:beforeAutospacing="1" w:after="100" w:afterAutospacing="1"/>
        <w:rPr>
          <w:u w:val="single"/>
        </w:rPr>
      </w:pPr>
      <w:r w:rsidRPr="002746DB">
        <w:rPr>
          <w:u w:val="single"/>
        </w:rPr>
        <w:t>Circumstances Making the Collection of Information Necessary</w:t>
      </w:r>
    </w:p>
    <w:p w14:paraId="0EEA660F" w14:textId="0FCF7F63" w:rsidR="00772B56" w:rsidRDefault="00772B56" w:rsidP="00772B56">
      <w:pPr>
        <w:ind w:left="720"/>
      </w:pPr>
      <w:r>
        <w:t xml:space="preserve">We are seeking OMB approval of the </w:t>
      </w:r>
      <w:r w:rsidR="001C5961">
        <w:t xml:space="preserve">National Agriculture and Food Defense Strategy Survey under the </w:t>
      </w:r>
      <w:r>
        <w:t xml:space="preserve">Food Safety Modernization Act (Public Law 111-353)(FSMA), </w:t>
      </w:r>
      <w:r w:rsidR="001C5961">
        <w:t>s</w:t>
      </w:r>
      <w:r>
        <w:t xml:space="preserve">ection 108) (NAFDS)  </w:t>
      </w:r>
      <w:r w:rsidR="001C5961">
        <w:t xml:space="preserve">This is </w:t>
      </w:r>
      <w:r>
        <w:t xml:space="preserve">a voluntary survey of </w:t>
      </w:r>
      <w:r w:rsidR="001C5961">
        <w:t>S</w:t>
      </w:r>
      <w:r>
        <w:t xml:space="preserve">tate governments intended to gauge government activities in food and agriculture defense from intentional contamination and emerging threats. </w:t>
      </w:r>
      <w:r w:rsidR="008735B8">
        <w:t xml:space="preserve"> </w:t>
      </w:r>
      <w:r>
        <w:t xml:space="preserve">The collected information will be included in the mandatory 2019 NAFDS </w:t>
      </w:r>
      <w:r w:rsidR="003478BB">
        <w:t>followup</w:t>
      </w:r>
      <w:r>
        <w:t xml:space="preserve"> </w:t>
      </w:r>
      <w:r w:rsidR="00083833">
        <w:t>R</w:t>
      </w:r>
      <w:r>
        <w:t xml:space="preserve">eport to </w:t>
      </w:r>
      <w:r w:rsidR="00083833">
        <w:t>C</w:t>
      </w:r>
      <w:r>
        <w:t xml:space="preserve">ongress. </w:t>
      </w:r>
      <w:r w:rsidR="008735B8">
        <w:t xml:space="preserve"> </w:t>
      </w:r>
      <w:r>
        <w:t>The authority for FDA to collect the information derives from</w:t>
      </w:r>
      <w:r w:rsidR="00083833">
        <w:t xml:space="preserve"> the</w:t>
      </w:r>
      <w:r>
        <w:t xml:space="preserve"> Commissioner of Food and Drugs</w:t>
      </w:r>
      <w:r w:rsidR="00083833">
        <w:t>’</w:t>
      </w:r>
      <w:r>
        <w:t xml:space="preserve"> authority provided in section 1003(d)(2)</w:t>
      </w:r>
      <w:r w:rsidR="00D2790F">
        <w:t>(c)</w:t>
      </w:r>
      <w:r>
        <w:t xml:space="preserve"> of the Federal Food, Drug, and Cosmetic Act (21 U.S.C. 393(d)(2)</w:t>
      </w:r>
      <w:r w:rsidR="00D2790F">
        <w:t>(c)</w:t>
      </w:r>
      <w:r>
        <w:t>).</w:t>
      </w:r>
    </w:p>
    <w:p w14:paraId="515A0A37" w14:textId="77777777" w:rsidR="00433AAE" w:rsidRDefault="00433AAE" w:rsidP="00772B56">
      <w:pPr>
        <w:ind w:left="720"/>
      </w:pPr>
    </w:p>
    <w:p w14:paraId="0646C5BD" w14:textId="5F83346B" w:rsidR="00772B56" w:rsidRDefault="00772B56" w:rsidP="00772B56">
      <w:pPr>
        <w:ind w:left="720"/>
      </w:pPr>
      <w:r>
        <w:t xml:space="preserve">Protecting the nation’s food and agriculture supply against intentional contamination and other emerging threats is an important responsibility shared by </w:t>
      </w:r>
      <w:r w:rsidR="00083833">
        <w:t>F</w:t>
      </w:r>
      <w:r>
        <w:t xml:space="preserve">ederal, </w:t>
      </w:r>
      <w:r w:rsidR="00083833">
        <w:t>S</w:t>
      </w:r>
      <w:r>
        <w:t xml:space="preserve">tate, local, tribal, and territorial governments as well as private sector partners.  On January 4, 2011, the </w:t>
      </w:r>
      <w:r w:rsidR="00083833">
        <w:t>P</w:t>
      </w:r>
      <w:r>
        <w:t xml:space="preserve">resident signed FSMA.  FSMA focuses on ensuring the safety of the U.S. food supply by shifting the efforts of </w:t>
      </w:r>
      <w:r w:rsidR="00083833">
        <w:t>F</w:t>
      </w:r>
      <w:r>
        <w:t xml:space="preserve">ederal regulators from response to prevention, and recognizes the importance of strengthening existing collaboration among all stakeholders to achieve common public health and security goals.  FSMA identifies some key priorities for working with partners in areas such as reliance on </w:t>
      </w:r>
      <w:r w:rsidR="00083833">
        <w:t>F</w:t>
      </w:r>
      <w:r>
        <w:t xml:space="preserve">ederal, </w:t>
      </w:r>
      <w:r w:rsidR="00083833">
        <w:t>S</w:t>
      </w:r>
      <w:r>
        <w:t xml:space="preserve">tate, and local agencies for inspections; improving foodborne illness surveillance; and leveraging and enhancing </w:t>
      </w:r>
      <w:r w:rsidR="00083833">
        <w:t>S</w:t>
      </w:r>
      <w:r>
        <w:t xml:space="preserve">tate and local food safety and defense capacities. </w:t>
      </w:r>
      <w:r w:rsidR="008735B8">
        <w:t xml:space="preserve"> </w:t>
      </w:r>
      <w:r>
        <w:t xml:space="preserve">Section 108 of FSMA ( NAFDS) requires the Department of Health and Human Services (HHS) and the United States Department of Agriculture (USDA), in coordination with the Department of Homeland Security (DHS), to work together with </w:t>
      </w:r>
      <w:r w:rsidR="00083833">
        <w:t>S</w:t>
      </w:r>
      <w:r>
        <w:t xml:space="preserve">tate, local, territorial, and tribal governments-to monitor and measure progress in food defense.  </w:t>
      </w:r>
    </w:p>
    <w:p w14:paraId="641C8A65" w14:textId="77777777" w:rsidR="003478BB" w:rsidRDefault="003478BB" w:rsidP="00772B56">
      <w:pPr>
        <w:ind w:left="720"/>
      </w:pPr>
    </w:p>
    <w:p w14:paraId="35F6415F" w14:textId="20D5A483" w:rsidR="00772B56" w:rsidRDefault="00772B56" w:rsidP="00772B56">
      <w:pPr>
        <w:ind w:left="720"/>
      </w:pPr>
      <w:r>
        <w:t>In 2015</w:t>
      </w:r>
      <w:r w:rsidR="00CB23AC">
        <w:t>,</w:t>
      </w:r>
      <w:r>
        <w:t xml:space="preserve"> the initial NAFDS Report to Congress detailed the specific </w:t>
      </w:r>
      <w:r w:rsidR="00083833">
        <w:t>F</w:t>
      </w:r>
      <w:r>
        <w:t xml:space="preserve">ederal response to food and agriculture defense goals, objectives, key initiatives, and activities that HHS, USDA, DHS, and other stakeholders planned to accomplish to meet the objectives outlined in FSMA.  </w:t>
      </w:r>
    </w:p>
    <w:p w14:paraId="4336BCF1" w14:textId="77777777" w:rsidR="003478BB" w:rsidRDefault="003478BB" w:rsidP="00772B56">
      <w:pPr>
        <w:ind w:left="720"/>
      </w:pPr>
    </w:p>
    <w:p w14:paraId="25FB44D1" w14:textId="77777777" w:rsidR="00772B56" w:rsidRDefault="00772B56" w:rsidP="00772B56">
      <w:pPr>
        <w:rPr>
          <w:highlight w:val="yellow"/>
        </w:rPr>
      </w:pPr>
    </w:p>
    <w:p w14:paraId="338BC28B" w14:textId="5A22F280" w:rsidR="00772B56" w:rsidRDefault="00772B56" w:rsidP="00046C1F">
      <w:pPr>
        <w:ind w:left="720"/>
        <w:rPr>
          <w:highlight w:val="yellow"/>
        </w:rPr>
      </w:pPr>
    </w:p>
    <w:p w14:paraId="09BDECB9" w14:textId="0E149E51" w:rsidR="00D516E0" w:rsidRDefault="00D516E0" w:rsidP="00046C1F">
      <w:pPr>
        <w:ind w:left="720"/>
        <w:rPr>
          <w:highlight w:val="yellow"/>
        </w:rPr>
      </w:pPr>
    </w:p>
    <w:p w14:paraId="480A510F" w14:textId="0555C48C" w:rsidR="00D516E0" w:rsidRDefault="00D516E0" w:rsidP="00046C1F">
      <w:pPr>
        <w:ind w:left="720"/>
        <w:rPr>
          <w:highlight w:val="yellow"/>
        </w:rPr>
      </w:pPr>
    </w:p>
    <w:p w14:paraId="4661DE4A" w14:textId="77777777" w:rsidR="00D516E0" w:rsidRPr="00046C1F" w:rsidRDefault="00D516E0" w:rsidP="00046C1F">
      <w:pPr>
        <w:ind w:left="720"/>
        <w:rPr>
          <w:highlight w:val="yellow"/>
        </w:rPr>
      </w:pPr>
    </w:p>
    <w:p w14:paraId="5AD1A068" w14:textId="1D438677" w:rsidR="008B30AB" w:rsidRDefault="00EB7538" w:rsidP="008B30AB">
      <w:pPr>
        <w:numPr>
          <w:ilvl w:val="0"/>
          <w:numId w:val="1"/>
        </w:numPr>
        <w:spacing w:before="100" w:beforeAutospacing="1" w:after="100" w:afterAutospacing="1"/>
        <w:rPr>
          <w:u w:val="single"/>
        </w:rPr>
      </w:pPr>
      <w:r w:rsidRPr="002746DB">
        <w:rPr>
          <w:u w:val="single"/>
        </w:rPr>
        <w:lastRenderedPageBreak/>
        <w:t xml:space="preserve">Purpose and Use of the Information Collection </w:t>
      </w:r>
    </w:p>
    <w:p w14:paraId="37038B5A" w14:textId="1FAEEC37" w:rsidR="003478BB" w:rsidRDefault="003478BB" w:rsidP="003478BB">
      <w:pPr>
        <w:pStyle w:val="ListParagraph"/>
      </w:pPr>
      <w:r>
        <w:t xml:space="preserve">The NAFDS charts a direction for how the </w:t>
      </w:r>
      <w:r w:rsidR="00083833">
        <w:t>F</w:t>
      </w:r>
      <w:r>
        <w:t>ederal agencies, in cooperation with S</w:t>
      </w:r>
      <w:r w:rsidR="00083833">
        <w:t>tate, local, territorial, and tribal</w:t>
      </w:r>
      <w:r>
        <w:t xml:space="preserve"> governments and private sector partners, protect the nation’s food supply against intentional contamination. </w:t>
      </w:r>
      <w:r w:rsidR="008735B8">
        <w:t xml:space="preserve"> </w:t>
      </w:r>
      <w:r>
        <w:t xml:space="preserve">Not later than 4 years after the initial NAFDS Report to Congress (2015), and every 4 years thereafter (i.e., 2019, 2023, 2017, etc.), HHS, USDA, and DHS are required to revise and submit an updated report to the relevant committees of Congress.  </w:t>
      </w:r>
      <w:r w:rsidR="008735B8">
        <w:t xml:space="preserve">FSMA 108-NAFDS directs FDA to coordinate with the agencies to obtain information to complete the NAFDS report.  An interagency working group consisting of representatives from HHS, USDA, and DHS will conduct the survey and </w:t>
      </w:r>
      <w:r w:rsidR="00010079">
        <w:t xml:space="preserve">collect and </w:t>
      </w:r>
      <w:r w:rsidR="008735B8">
        <w:t>update the NAFDS as directed by FSMA, including developing metrics and measuring progress for the evaluation process.</w:t>
      </w:r>
    </w:p>
    <w:p w14:paraId="1E05BFCF" w14:textId="77777777" w:rsidR="003478BB" w:rsidRDefault="003478BB" w:rsidP="003478BB">
      <w:pPr>
        <w:pStyle w:val="ListParagraph"/>
      </w:pPr>
    </w:p>
    <w:p w14:paraId="5D9C1FF2" w14:textId="09ABBCAA" w:rsidR="003478BB" w:rsidRDefault="003478BB" w:rsidP="003478BB">
      <w:pPr>
        <w:tabs>
          <w:tab w:val="left" w:pos="8820"/>
        </w:tabs>
        <w:ind w:left="720"/>
      </w:pPr>
      <w:r>
        <w:t xml:space="preserve">HHS/FDA is primarily responsible for obtaining the information from </w:t>
      </w:r>
      <w:r w:rsidR="00010079">
        <w:t>F</w:t>
      </w:r>
      <w:r>
        <w:t>ederal and S</w:t>
      </w:r>
      <w:r w:rsidR="00010079">
        <w:t xml:space="preserve">tate, local, </w:t>
      </w:r>
      <w:r w:rsidR="00464DC0">
        <w:t>t</w:t>
      </w:r>
      <w:r w:rsidR="00010079">
        <w:t>erritorial, and tribal</w:t>
      </w:r>
      <w:r>
        <w:t xml:space="preserve"> partners to complete the NAFDS Report to Congress. </w:t>
      </w:r>
      <w:r w:rsidR="008735B8">
        <w:t xml:space="preserve"> </w:t>
      </w:r>
      <w:r>
        <w:t xml:space="preserve">The proposed </w:t>
      </w:r>
      <w:r w:rsidR="007E378F">
        <w:t xml:space="preserve">voluntary </w:t>
      </w:r>
      <w:r>
        <w:t xml:space="preserve">survey of  </w:t>
      </w:r>
      <w:r w:rsidR="00010079">
        <w:t>F</w:t>
      </w:r>
      <w:r>
        <w:t xml:space="preserve">ederal and </w:t>
      </w:r>
      <w:r w:rsidR="00010079">
        <w:t>S</w:t>
      </w:r>
      <w:r>
        <w:t xml:space="preserve">tate partners will be used to determine what food defense activities, if any, </w:t>
      </w:r>
      <w:r w:rsidR="00010079">
        <w:t>F</w:t>
      </w:r>
      <w:r>
        <w:t xml:space="preserve">ederal and/or </w:t>
      </w:r>
      <w:r w:rsidR="00010079">
        <w:t>S</w:t>
      </w:r>
      <w:r>
        <w:t xml:space="preserve">tate </w:t>
      </w:r>
      <w:r w:rsidR="00010079">
        <w:t>A</w:t>
      </w:r>
      <w:r>
        <w:t xml:space="preserve">gencies have completed (or are planning) from 2015 to 2019. </w:t>
      </w:r>
      <w:r w:rsidR="008735B8">
        <w:t xml:space="preserve"> </w:t>
      </w:r>
      <w:r>
        <w:t xml:space="preserve">Planning for the local, territorial, and tribal information collections will commence after the collection and reporting of </w:t>
      </w:r>
      <w:r w:rsidR="00010079">
        <w:t>F</w:t>
      </w:r>
      <w:r>
        <w:t xml:space="preserve">ederal and </w:t>
      </w:r>
      <w:r w:rsidR="00010079">
        <w:t>S</w:t>
      </w:r>
      <w:r>
        <w:t xml:space="preserve">tate </w:t>
      </w:r>
      <w:r w:rsidR="00010079">
        <w:t>A</w:t>
      </w:r>
      <w:r>
        <w:t xml:space="preserve">gency level data. </w:t>
      </w:r>
    </w:p>
    <w:p w14:paraId="49826626" w14:textId="77777777" w:rsidR="007E378F" w:rsidRDefault="007E378F" w:rsidP="003478BB">
      <w:pPr>
        <w:tabs>
          <w:tab w:val="left" w:pos="8820"/>
        </w:tabs>
        <w:ind w:left="720"/>
      </w:pPr>
    </w:p>
    <w:p w14:paraId="2A95947A" w14:textId="4A640C07" w:rsidR="006D130B" w:rsidRDefault="003478BB" w:rsidP="003478BB">
      <w:pPr>
        <w:ind w:left="720"/>
      </w:pPr>
      <w:r>
        <w:t xml:space="preserve">This </w:t>
      </w:r>
      <w:r w:rsidR="007E378F">
        <w:t xml:space="preserve">voluntary </w:t>
      </w:r>
      <w:r>
        <w:t xml:space="preserve">survey will be repeated approximately every 2 to 4 years, as described in </w:t>
      </w:r>
      <w:r w:rsidR="00010079">
        <w:t>s</w:t>
      </w:r>
      <w:r>
        <w:t>ection 108 of FSMA</w:t>
      </w:r>
      <w:r w:rsidR="00010079">
        <w:t xml:space="preserve">, </w:t>
      </w:r>
      <w:r>
        <w:t xml:space="preserve">NAFDS, for the purpose of monitoring progress in food and agricultural defense by government agencies.  </w:t>
      </w:r>
    </w:p>
    <w:p w14:paraId="66292C54" w14:textId="77777777" w:rsidR="00CB23AC" w:rsidRDefault="00CB23AC" w:rsidP="003478BB">
      <w:pPr>
        <w:ind w:left="720"/>
      </w:pPr>
    </w:p>
    <w:p w14:paraId="54967F16" w14:textId="2C965067" w:rsidR="00CB23AC" w:rsidRPr="003478BB" w:rsidRDefault="00CB23AC" w:rsidP="003478BB">
      <w:pPr>
        <w:ind w:left="720"/>
      </w:pPr>
      <w:r>
        <w:t>Respondents to this collection are state representatives (survey respondents) who are food defense leaders responsible for conducting food defense activities during a food emergency for their jurisdictions.</w:t>
      </w:r>
    </w:p>
    <w:p w14:paraId="476DC989" w14:textId="77777777" w:rsidR="002746DB"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14:paraId="59D975F8" w14:textId="77777777" w:rsidR="00845C75" w:rsidRPr="0082511D" w:rsidRDefault="003478BB" w:rsidP="00845C75">
      <w:pPr>
        <w:spacing w:before="100" w:beforeAutospacing="1" w:after="100" w:afterAutospacing="1"/>
        <w:ind w:left="720"/>
      </w:pPr>
      <w:r>
        <w:t>To reduce respondent burden, the survey will be administered electronically and resp</w:t>
      </w:r>
      <w:r w:rsidR="00845C75">
        <w:t xml:space="preserve">onses accepted electronically. </w:t>
      </w:r>
      <w:r w:rsidR="008735B8">
        <w:t xml:space="preserve"> </w:t>
      </w:r>
      <w:r w:rsidR="00845C75">
        <w:t>Targeted r</w:t>
      </w:r>
      <w:r>
        <w:t xml:space="preserve">espondents will receive a link </w:t>
      </w:r>
      <w:r w:rsidR="00E57849">
        <w:t xml:space="preserve">by email </w:t>
      </w:r>
      <w:r>
        <w:t>to complete the survey online</w:t>
      </w:r>
      <w:r w:rsidR="00A57DBC">
        <w:t xml:space="preserve"> using survey application software designed for highly private information</w:t>
      </w:r>
      <w:r w:rsidR="00845C75">
        <w:t xml:space="preserve">. </w:t>
      </w:r>
      <w:r w:rsidR="008735B8">
        <w:t xml:space="preserve"> </w:t>
      </w:r>
      <w:r w:rsidR="00845C75">
        <w:t>The survey will be administered by FDA contractors administered using an internal server for data capture.</w:t>
      </w:r>
      <w:r w:rsidR="008735B8">
        <w:t xml:space="preserve">  The survey will be conducted electronically on FDA</w:t>
      </w:r>
      <w:r w:rsidR="008E6568">
        <w:t xml:space="preserve">’s Web portal, FDA.gov, and the results will be analyzed by the interagency working group.  </w:t>
      </w:r>
      <w:r w:rsidR="008735B8">
        <w:t>The number of respondents complet</w:t>
      </w:r>
      <w:r w:rsidR="007509AA">
        <w:t>ing</w:t>
      </w:r>
      <w:r w:rsidR="008735B8">
        <w:t xml:space="preserve"> the survey electronically is expected to be 100%.</w:t>
      </w:r>
    </w:p>
    <w:p w14:paraId="068F85D6" w14:textId="77777777"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14:paraId="10310D40" w14:textId="77777777" w:rsidR="00D516E0" w:rsidRDefault="001E6370" w:rsidP="00D516E0">
      <w:pPr>
        <w:spacing w:after="240"/>
        <w:ind w:left="720"/>
      </w:pPr>
      <w:r>
        <w:t xml:space="preserve">The </w:t>
      </w:r>
      <w:r w:rsidR="0082511D">
        <w:t xml:space="preserve">National Agriculture and Food Defense Strategy Survey </w:t>
      </w:r>
      <w:r>
        <w:t xml:space="preserve">is a unique survey instrument.  No other survey of </w:t>
      </w:r>
      <w:r w:rsidR="00010079">
        <w:t>F</w:t>
      </w:r>
      <w:r w:rsidR="0082511D">
        <w:t xml:space="preserve">ederal and </w:t>
      </w:r>
      <w:r w:rsidR="00010079">
        <w:t>S</w:t>
      </w:r>
      <w:r w:rsidR="0082511D">
        <w:t xml:space="preserve">tate NAFDS </w:t>
      </w:r>
      <w:r w:rsidR="00FF241E">
        <w:t xml:space="preserve">cooperative agreement </w:t>
      </w:r>
      <w:r w:rsidR="0082511D">
        <w:t xml:space="preserve">partners </w:t>
      </w:r>
      <w:r w:rsidR="00D23F03">
        <w:t>on monitoring food and agriculture defense goals, objectives, key initiatives, and activities related</w:t>
      </w:r>
      <w:r w:rsidR="0082511D">
        <w:t xml:space="preserve"> to achieving the goals outlined in the NAFDS</w:t>
      </w:r>
      <w:r w:rsidR="00D00DFD">
        <w:t xml:space="preserve"> is being conducted</w:t>
      </w:r>
      <w:r w:rsidR="0082511D">
        <w:t xml:space="preserve">. </w:t>
      </w:r>
      <w:r w:rsidR="000A701A">
        <w:t xml:space="preserve"> </w:t>
      </w:r>
      <w:r w:rsidR="00295EE1">
        <w:t xml:space="preserve">Of the </w:t>
      </w:r>
      <w:r w:rsidR="00010079">
        <w:t>F</w:t>
      </w:r>
      <w:r w:rsidR="00295EE1">
        <w:t xml:space="preserve">ederal </w:t>
      </w:r>
      <w:r w:rsidR="00010079">
        <w:t>A</w:t>
      </w:r>
      <w:r w:rsidR="00295EE1">
        <w:t xml:space="preserve">gencies </w:t>
      </w:r>
      <w:r w:rsidR="00D00DFD">
        <w:t xml:space="preserve">responsible for accomplishing the </w:t>
      </w:r>
      <w:r w:rsidR="00295EE1">
        <w:t>NAFDS, t</w:t>
      </w:r>
      <w:r w:rsidR="0082511D">
        <w:t xml:space="preserve">he </w:t>
      </w:r>
      <w:r w:rsidR="00D00DFD">
        <w:t xml:space="preserve">Food and Drug </w:t>
      </w:r>
      <w:r w:rsidR="00D00DFD">
        <w:lastRenderedPageBreak/>
        <w:t>Administration</w:t>
      </w:r>
      <w:r w:rsidR="0082511D">
        <w:t xml:space="preserve"> has the primary responsibility for collecting the information</w:t>
      </w:r>
      <w:r w:rsidR="00295EE1">
        <w:t xml:space="preserve"> that will be used in t</w:t>
      </w:r>
      <w:r w:rsidR="00D00DFD">
        <w:t xml:space="preserve">he </w:t>
      </w:r>
      <w:r w:rsidR="00FF241E">
        <w:t xml:space="preserve">first </w:t>
      </w:r>
      <w:r w:rsidR="00D00DFD">
        <w:t xml:space="preserve">follow-up </w:t>
      </w:r>
      <w:r w:rsidR="00010079">
        <w:t>R</w:t>
      </w:r>
      <w:r w:rsidR="00D00DFD">
        <w:t xml:space="preserve">eport to Congress </w:t>
      </w:r>
      <w:r w:rsidR="00FF241E">
        <w:t xml:space="preserve">(estimated 2019) </w:t>
      </w:r>
      <w:r w:rsidR="00D00DFD">
        <w:t>about the status of the national strategy</w:t>
      </w:r>
    </w:p>
    <w:p w14:paraId="4B0E14F2" w14:textId="438604A6" w:rsidR="0082511D" w:rsidRDefault="00CB23AC" w:rsidP="00CB23AC">
      <w:pPr>
        <w:spacing w:after="240"/>
        <w:ind w:left="720"/>
      </w:pPr>
      <w:r>
        <w:t>Therefore, no duplication of information exists for this collection of information.</w:t>
      </w:r>
    </w:p>
    <w:p w14:paraId="76465636" w14:textId="77777777"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14:paraId="03664EB5" w14:textId="77777777" w:rsidR="00CD77C3" w:rsidRDefault="001E6370" w:rsidP="001E6370">
      <w:pPr>
        <w:pStyle w:val="BodyText2"/>
        <w:ind w:left="720"/>
      </w:pPr>
      <w:r w:rsidRPr="001E6370">
        <w:t>No small businesses would be involved in this information collection.</w:t>
      </w:r>
    </w:p>
    <w:p w14:paraId="06E61740" w14:textId="77777777"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14:paraId="4416AD25" w14:textId="08DF6EC4" w:rsidR="00BC08E6" w:rsidRDefault="001E6370" w:rsidP="000A701A">
      <w:pPr>
        <w:ind w:left="720"/>
      </w:pPr>
      <w:r>
        <w:t xml:space="preserve">This </w:t>
      </w:r>
      <w:r w:rsidR="00D00DFD">
        <w:t xml:space="preserve">data collection </w:t>
      </w:r>
      <w:r>
        <w:t xml:space="preserve">is important because </w:t>
      </w:r>
      <w:r w:rsidR="007E2C61">
        <w:t>it is the first follow-</w:t>
      </w:r>
      <w:r w:rsidR="00D00DFD">
        <w:t xml:space="preserve">up </w:t>
      </w:r>
      <w:r w:rsidR="007E2C61">
        <w:t xml:space="preserve">to the NAFDS 2015 </w:t>
      </w:r>
      <w:r w:rsidR="00464DC0">
        <w:t>R</w:t>
      </w:r>
      <w:r w:rsidR="007E2C61">
        <w:t xml:space="preserve">eport to </w:t>
      </w:r>
      <w:r w:rsidR="00464DC0">
        <w:t>C</w:t>
      </w:r>
      <w:r w:rsidR="007E2C61">
        <w:t xml:space="preserve">ongress. </w:t>
      </w:r>
      <w:r w:rsidR="00D2790F">
        <w:t xml:space="preserve"> </w:t>
      </w:r>
      <w:r w:rsidR="007E2C61">
        <w:t xml:space="preserve">The collection will be the among the first indicators </w:t>
      </w:r>
      <w:r w:rsidR="00010079">
        <w:t>F</w:t>
      </w:r>
      <w:r w:rsidR="007E2C61">
        <w:t xml:space="preserve">ederal and </w:t>
      </w:r>
      <w:r w:rsidR="00010079">
        <w:t>S</w:t>
      </w:r>
      <w:r w:rsidR="007E2C61">
        <w:t xml:space="preserve">tate </w:t>
      </w:r>
      <w:r w:rsidR="00295EE1">
        <w:t xml:space="preserve">response to food and agriculture defense goals, objectives, key initiatives, and activities that HHS, USDA, DHS, and other stakeholders planned to accomplish to meet the objectives outlined within FSMA.  </w:t>
      </w:r>
    </w:p>
    <w:p w14:paraId="21D709BA" w14:textId="57B5971E" w:rsidR="002126B2" w:rsidRDefault="002126B2" w:rsidP="000A701A">
      <w:pPr>
        <w:ind w:left="720"/>
      </w:pPr>
    </w:p>
    <w:p w14:paraId="6C7339BB" w14:textId="0B92414F" w:rsidR="002126B2" w:rsidRDefault="002126B2" w:rsidP="000A701A">
      <w:pPr>
        <w:ind w:left="720"/>
      </w:pPr>
      <w:r w:rsidRPr="002126B2">
        <w:t>T</w:t>
      </w:r>
      <w:r>
        <w:t>he information for this collection is collected occasionally: the</w:t>
      </w:r>
      <w:r w:rsidRPr="002126B2">
        <w:t xml:space="preserve"> voluntary survey will be repeated approximately every 2 to 4 years</w:t>
      </w:r>
      <w:r>
        <w:t xml:space="preserve"> to assist in the </w:t>
      </w:r>
      <w:r w:rsidRPr="002126B2">
        <w:t xml:space="preserve">monitoring progress in food and agricultural defense by government agencies.  </w:t>
      </w:r>
    </w:p>
    <w:p w14:paraId="076D1B1E" w14:textId="77777777" w:rsidR="00CB23AC" w:rsidRDefault="00CB23AC" w:rsidP="000A701A">
      <w:pPr>
        <w:ind w:left="720"/>
      </w:pPr>
    </w:p>
    <w:p w14:paraId="7FB5F3F5" w14:textId="4F3F7233" w:rsidR="00CB23AC" w:rsidRDefault="00CB23AC" w:rsidP="000A701A">
      <w:pPr>
        <w:ind w:left="720"/>
      </w:pPr>
      <w:r>
        <w:t>If the information from the survey is not collected, FDA will be unable to complete the mandatory 2019 NAFDS follow up report to Congress.</w:t>
      </w:r>
    </w:p>
    <w:p w14:paraId="34FD3571" w14:textId="77777777"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14:paraId="70F7F116" w14:textId="77777777" w:rsidR="008108FA" w:rsidRDefault="001E6370" w:rsidP="001E6370">
      <w:pPr>
        <w:pStyle w:val="BodyText1"/>
        <w:spacing w:after="0"/>
        <w:ind w:left="720" w:firstLine="0"/>
      </w:pPr>
      <w:r>
        <w:t xml:space="preserve">The collection fully complies with 5 CFR 1320.5(d) (2).  There are no special circumstances associated with this information collection.  The study will not require respondents to: report the information more often than quarterly; provide a written response in less than 30 days; submit more than one original plus 2 copies of the information; or, retain records for more than 3 years.  The </w:t>
      </w:r>
      <w:r w:rsidR="00463FA0">
        <w:t xml:space="preserve">survey </w:t>
      </w:r>
      <w:r>
        <w:t xml:space="preserve">design will not produce results that cannot be generalized to the universe of study.  The study will not use </w:t>
      </w:r>
      <w:r w:rsidR="00463FA0">
        <w:t>a methodology</w:t>
      </w:r>
      <w:r>
        <w:t xml:space="preserve"> that has not yet been reviewed or approved by OMB.  The study will not include a pledge of confidentiality that is (1) not supported by authority established in statute or regulation; (2) not supported by disclosure and data security policies that are consistent with the pledge; or (3) which unnecessarily impedes sharing of data with other agencies for compatible confidential use.  Finally, the study does not involve the submission of trade secrets, proprietary information or other confidential information.</w:t>
      </w:r>
    </w:p>
    <w:p w14:paraId="72E8CC4E" w14:textId="77777777"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14:paraId="67F2BB27" w14:textId="4898F9FC" w:rsidR="00705086" w:rsidRDefault="00705086" w:rsidP="008C22CD">
      <w:pPr>
        <w:ind w:left="720"/>
      </w:pPr>
      <w:r w:rsidRPr="008C22CD">
        <w:t xml:space="preserve">In accordance with 5 CFR 1320.8(d), FDA published a 60 day notice for public comment in the FEDERAL REGISTER of </w:t>
      </w:r>
      <w:r w:rsidR="0058410B" w:rsidRPr="008C22CD">
        <w:t>March 28, 2018</w:t>
      </w:r>
      <w:r w:rsidRPr="008C22CD">
        <w:t xml:space="preserve"> (</w:t>
      </w:r>
      <w:r w:rsidR="0058410B" w:rsidRPr="008C22CD">
        <w:t>83</w:t>
      </w:r>
      <w:r w:rsidRPr="008C22CD">
        <w:t xml:space="preserve"> FR </w:t>
      </w:r>
      <w:r w:rsidR="0058410B" w:rsidRPr="008C22CD">
        <w:t>13284</w:t>
      </w:r>
      <w:r w:rsidRPr="008C22CD">
        <w:t xml:space="preserve">).  </w:t>
      </w:r>
      <w:r w:rsidR="00A91BF5">
        <w:t>Although o</w:t>
      </w:r>
      <w:r w:rsidR="0058410B" w:rsidRPr="008C22CD">
        <w:t>ne c</w:t>
      </w:r>
      <w:r w:rsidRPr="008C22CD">
        <w:t>omment w</w:t>
      </w:r>
      <w:r w:rsidR="0058410B" w:rsidRPr="008C22CD">
        <w:t>as</w:t>
      </w:r>
      <w:r w:rsidRPr="008C22CD">
        <w:t xml:space="preserve"> received</w:t>
      </w:r>
      <w:r w:rsidR="0058410B" w:rsidRPr="008C22CD">
        <w:t xml:space="preserve">, </w:t>
      </w:r>
      <w:r w:rsidR="00A91BF5">
        <w:t>it was no</w:t>
      </w:r>
      <w:r w:rsidR="00464DC0">
        <w:t>t</w:t>
      </w:r>
      <w:r w:rsidR="00A91BF5">
        <w:t xml:space="preserve"> responsive to the four collection of information topics solicited and therefore will not be discussed in this document</w:t>
      </w:r>
      <w:r w:rsidRPr="000A701A">
        <w:t>.</w:t>
      </w:r>
    </w:p>
    <w:p w14:paraId="6602B9E2" w14:textId="77777777"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14:paraId="11A1F077" w14:textId="77777777" w:rsidR="00DF2DF8" w:rsidRDefault="00DE6572" w:rsidP="00D516E0">
      <w:pPr>
        <w:pStyle w:val="BodyText1"/>
        <w:ind w:left="720" w:firstLine="0"/>
      </w:pPr>
      <w:r>
        <w:t>No payments or gifts will be offered to</w:t>
      </w:r>
      <w:r w:rsidR="00DF2DF8">
        <w:t xml:space="preserve"> </w:t>
      </w:r>
      <w:r>
        <w:rPr>
          <w:rFonts w:cs="Courier New"/>
        </w:rPr>
        <w:t>respondents</w:t>
      </w:r>
      <w:r>
        <w:t xml:space="preserve">.  </w:t>
      </w:r>
    </w:p>
    <w:p w14:paraId="0C92C526" w14:textId="77777777"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14:paraId="75A1F3F4" w14:textId="512AD582" w:rsidR="00DE6572" w:rsidRDefault="00DE6572" w:rsidP="00DE6572">
      <w:pPr>
        <w:pStyle w:val="BodyText1"/>
        <w:ind w:left="720" w:firstLine="0"/>
        <w:rPr>
          <w:rFonts w:cs="Courier New"/>
        </w:rPr>
      </w:pPr>
      <w:r>
        <w:t xml:space="preserve">All data will be collected with an assurance that the respondents’ answers will </w:t>
      </w:r>
      <w:r w:rsidR="00A91BF5">
        <w:t>be kept secure to the extent provided by law</w:t>
      </w:r>
      <w:r>
        <w:t xml:space="preserve">.  The survey questionnaire and screener contain a statement that responses will be kept </w:t>
      </w:r>
      <w:r w:rsidR="00464DC0">
        <w:t>secure to the extent provided by law</w:t>
      </w:r>
      <w:r>
        <w:t xml:space="preserve">.  </w:t>
      </w:r>
      <w:r w:rsidR="00ED6A4B">
        <w:t>Private</w:t>
      </w:r>
      <w:r>
        <w:rPr>
          <w:rFonts w:cs="Courier New"/>
        </w:rPr>
        <w:t xml:space="preserve"> information is protected from disclosure under the Freedom of Information Act (FOIA) under sections 552(a) and (b) (5 U.S.C. 552(a) and (b)), and by part 20 of the agency’s regulations (21 CFR part 20).</w:t>
      </w:r>
      <w:r w:rsidR="000A701A">
        <w:rPr>
          <w:rFonts w:cs="Courier New"/>
        </w:rPr>
        <w:t xml:space="preserve"> </w:t>
      </w:r>
      <w:r>
        <w:rPr>
          <w:rFonts w:cs="Courier New"/>
        </w:rPr>
        <w:t xml:space="preserve"> Identifying information will not be included in the data files </w:t>
      </w:r>
      <w:r w:rsidR="00941FC4">
        <w:rPr>
          <w:rFonts w:cs="Courier New"/>
        </w:rPr>
        <w:t>received by</w:t>
      </w:r>
      <w:r>
        <w:rPr>
          <w:rFonts w:cs="Courier New"/>
        </w:rPr>
        <w:t xml:space="preserve"> the agency.  </w:t>
      </w:r>
    </w:p>
    <w:p w14:paraId="6118DDD6" w14:textId="77777777" w:rsidR="00107885" w:rsidRDefault="00DE6572" w:rsidP="00DE6572">
      <w:pPr>
        <w:pStyle w:val="BodyText1"/>
        <w:spacing w:after="0"/>
        <w:ind w:left="720" w:firstLine="0"/>
      </w:pPr>
      <w:r>
        <w:t xml:space="preserve">All data will be maintained in a manner that is consistent with the Department of Health and Human Services ADP Systems Security Policy as described in DHHS ADP Systems Manual, Part 6, chapters 6-30 and 6-35.  All data will be maintained in consistency with the FDA Privacy Act System of Records #09-10-0009 (Special Studies and Surveys on FDA Regulated Products). </w:t>
      </w:r>
    </w:p>
    <w:p w14:paraId="120340DF" w14:textId="77777777"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14:paraId="21DC7498" w14:textId="77777777" w:rsidR="004C6979" w:rsidRDefault="00DE6572" w:rsidP="00DE6572">
      <w:pPr>
        <w:ind w:left="720"/>
      </w:pPr>
      <w:r w:rsidRPr="007F5A60">
        <w:t xml:space="preserve">The study does not include any questions that are of a </w:t>
      </w:r>
      <w:r w:rsidR="00DD4CCC">
        <w:t xml:space="preserve">personally </w:t>
      </w:r>
      <w:r w:rsidRPr="007F5A60">
        <w:t xml:space="preserve">sensitive nature. </w:t>
      </w:r>
    </w:p>
    <w:p w14:paraId="2171ACEF" w14:textId="77777777" w:rsidR="00881629" w:rsidRPr="00EE59B2" w:rsidRDefault="00EB7538" w:rsidP="00EE59B2">
      <w:pPr>
        <w:numPr>
          <w:ilvl w:val="0"/>
          <w:numId w:val="1"/>
        </w:numPr>
        <w:spacing w:before="100" w:beforeAutospacing="1" w:after="100" w:afterAutospacing="1"/>
        <w:rPr>
          <w:u w:val="single"/>
        </w:rPr>
      </w:pPr>
      <w:r w:rsidRPr="004C6979">
        <w:rPr>
          <w:u w:val="single"/>
        </w:rPr>
        <w:t>Estimates of Annualized Burden Hours and Costs</w:t>
      </w:r>
      <w:r w:rsidR="00EE59B2" w:rsidRPr="00EE59B2">
        <w:rPr>
          <w:i/>
        </w:rPr>
        <w:t xml:space="preserve"> </w:t>
      </w:r>
    </w:p>
    <w:p w14:paraId="21040BC4" w14:textId="77777777"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14:paraId="334427DC" w14:textId="77777777" w:rsidR="004C6979" w:rsidRDefault="004C6979" w:rsidP="004C6979"/>
    <w:p w14:paraId="58B9EB9A" w14:textId="77777777" w:rsidR="00DE6572" w:rsidRPr="00DE6572" w:rsidRDefault="00DE6572" w:rsidP="00DE6572">
      <w:pPr>
        <w:pStyle w:val="BodyText2"/>
        <w:ind w:left="720"/>
      </w:pPr>
      <w:r w:rsidRPr="00DE6572">
        <w:t>FDA estimates the burden of this collection of information as follows:</w:t>
      </w:r>
    </w:p>
    <w:p w14:paraId="6F905420" w14:textId="77777777" w:rsidR="008B0E29" w:rsidRDefault="008B0E29" w:rsidP="00AC6A99">
      <w:pPr>
        <w:pStyle w:val="BodyText2"/>
        <w:ind w:left="720"/>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475"/>
        <w:gridCol w:w="1494"/>
        <w:gridCol w:w="1258"/>
        <w:gridCol w:w="1496"/>
        <w:gridCol w:w="1036"/>
      </w:tblGrid>
      <w:tr w:rsidR="00EE59B2" w14:paraId="64BCC4F9" w14:textId="77777777" w:rsidTr="00EE59B2">
        <w:trPr>
          <w:cantSplit/>
          <w:trHeight w:val="20"/>
          <w:tblHeader/>
        </w:trPr>
        <w:tc>
          <w:tcPr>
            <w:tcW w:w="5000" w:type="pct"/>
            <w:gridSpan w:val="6"/>
            <w:tcBorders>
              <w:top w:val="nil"/>
              <w:left w:val="nil"/>
              <w:bottom w:val="single" w:sz="4" w:space="0" w:color="auto"/>
              <w:right w:val="nil"/>
            </w:tcBorders>
            <w:hideMark/>
          </w:tcPr>
          <w:p w14:paraId="0EF84005" w14:textId="77777777" w:rsidR="00EE59B2" w:rsidRDefault="00EE59B2">
            <w:pPr>
              <w:jc w:val="center"/>
            </w:pPr>
            <w:r>
              <w:t>Table 1.--Estimated Annual Reporting Burden</w:t>
            </w:r>
            <w:r>
              <w:rPr>
                <w:vertAlign w:val="superscript"/>
              </w:rPr>
              <w:t>1</w:t>
            </w:r>
          </w:p>
        </w:tc>
      </w:tr>
      <w:tr w:rsidR="00EE59B2" w14:paraId="33B83127" w14:textId="77777777" w:rsidTr="00D516E0">
        <w:trPr>
          <w:cantSplit/>
          <w:trHeight w:val="20"/>
        </w:trPr>
        <w:tc>
          <w:tcPr>
            <w:tcW w:w="1078" w:type="pct"/>
            <w:tcBorders>
              <w:top w:val="single" w:sz="4" w:space="0" w:color="auto"/>
              <w:left w:val="single" w:sz="4" w:space="0" w:color="auto"/>
              <w:bottom w:val="single" w:sz="4" w:space="0" w:color="auto"/>
              <w:right w:val="single" w:sz="4" w:space="0" w:color="auto"/>
            </w:tcBorders>
            <w:hideMark/>
          </w:tcPr>
          <w:p w14:paraId="38DD7766" w14:textId="77777777" w:rsidR="00EE59B2" w:rsidRDefault="00EE59B2">
            <w:pPr>
              <w:jc w:val="center"/>
            </w:pPr>
            <w:r>
              <w:t>Activity</w:t>
            </w:r>
          </w:p>
        </w:tc>
        <w:tc>
          <w:tcPr>
            <w:tcW w:w="856" w:type="pct"/>
            <w:tcBorders>
              <w:top w:val="single" w:sz="4" w:space="0" w:color="auto"/>
              <w:left w:val="single" w:sz="4" w:space="0" w:color="auto"/>
              <w:bottom w:val="single" w:sz="4" w:space="0" w:color="auto"/>
              <w:right w:val="single" w:sz="4" w:space="0" w:color="auto"/>
            </w:tcBorders>
            <w:hideMark/>
          </w:tcPr>
          <w:p w14:paraId="233A4FF6" w14:textId="77777777" w:rsidR="00EE59B2" w:rsidRDefault="00EE59B2">
            <w:pPr>
              <w:jc w:val="center"/>
            </w:pPr>
            <w:r>
              <w:t>No. of Respondents</w:t>
            </w:r>
          </w:p>
        </w:tc>
        <w:tc>
          <w:tcPr>
            <w:tcW w:w="867" w:type="pct"/>
            <w:tcBorders>
              <w:top w:val="single" w:sz="4" w:space="0" w:color="auto"/>
              <w:left w:val="single" w:sz="4" w:space="0" w:color="auto"/>
              <w:bottom w:val="single" w:sz="4" w:space="0" w:color="auto"/>
              <w:right w:val="single" w:sz="4" w:space="0" w:color="auto"/>
            </w:tcBorders>
            <w:hideMark/>
          </w:tcPr>
          <w:p w14:paraId="0F1A43EC" w14:textId="77777777" w:rsidR="00EE59B2" w:rsidRDefault="00EE59B2">
            <w:pPr>
              <w:jc w:val="center"/>
            </w:pPr>
            <w:r>
              <w:rPr>
                <w:bCs/>
              </w:rPr>
              <w:t>No. of Responses per Respondent</w:t>
            </w:r>
          </w:p>
        </w:tc>
        <w:tc>
          <w:tcPr>
            <w:tcW w:w="730" w:type="pct"/>
            <w:tcBorders>
              <w:top w:val="single" w:sz="4" w:space="0" w:color="auto"/>
              <w:left w:val="single" w:sz="4" w:space="0" w:color="auto"/>
              <w:bottom w:val="single" w:sz="4" w:space="0" w:color="auto"/>
              <w:right w:val="single" w:sz="4" w:space="0" w:color="auto"/>
            </w:tcBorders>
            <w:hideMark/>
          </w:tcPr>
          <w:p w14:paraId="7DAC6702" w14:textId="77777777" w:rsidR="00EE59B2" w:rsidRDefault="00EE59B2">
            <w:pPr>
              <w:jc w:val="center"/>
            </w:pPr>
            <w:r>
              <w:t>Total Annual Responses</w:t>
            </w:r>
          </w:p>
        </w:tc>
        <w:tc>
          <w:tcPr>
            <w:tcW w:w="868" w:type="pct"/>
            <w:tcBorders>
              <w:top w:val="single" w:sz="4" w:space="0" w:color="auto"/>
              <w:left w:val="single" w:sz="4" w:space="0" w:color="auto"/>
              <w:bottom w:val="single" w:sz="4" w:space="0" w:color="auto"/>
              <w:right w:val="single" w:sz="4" w:space="0" w:color="auto"/>
            </w:tcBorders>
            <w:hideMark/>
          </w:tcPr>
          <w:p w14:paraId="59F8B35B" w14:textId="77777777" w:rsidR="00EE59B2" w:rsidRDefault="00EE59B2">
            <w:pPr>
              <w:jc w:val="center"/>
            </w:pPr>
            <w:r>
              <w:rPr>
                <w:bCs/>
              </w:rPr>
              <w:t>Average Burden per Response</w:t>
            </w:r>
          </w:p>
        </w:tc>
        <w:tc>
          <w:tcPr>
            <w:tcW w:w="601" w:type="pct"/>
            <w:tcBorders>
              <w:top w:val="single" w:sz="4" w:space="0" w:color="auto"/>
              <w:left w:val="single" w:sz="4" w:space="0" w:color="auto"/>
              <w:bottom w:val="single" w:sz="4" w:space="0" w:color="auto"/>
              <w:right w:val="single" w:sz="4" w:space="0" w:color="auto"/>
            </w:tcBorders>
            <w:hideMark/>
          </w:tcPr>
          <w:p w14:paraId="35059F2C" w14:textId="77777777" w:rsidR="00EE59B2" w:rsidRDefault="00EE59B2">
            <w:pPr>
              <w:jc w:val="center"/>
            </w:pPr>
            <w:r>
              <w:t>Total Hours</w:t>
            </w:r>
          </w:p>
        </w:tc>
      </w:tr>
      <w:tr w:rsidR="00EE59B2" w14:paraId="104F72EC" w14:textId="77777777" w:rsidTr="00D516E0">
        <w:trPr>
          <w:cantSplit/>
          <w:trHeight w:val="20"/>
        </w:trPr>
        <w:tc>
          <w:tcPr>
            <w:tcW w:w="1078" w:type="pct"/>
            <w:tcBorders>
              <w:top w:val="single" w:sz="4" w:space="0" w:color="auto"/>
              <w:left w:val="single" w:sz="4" w:space="0" w:color="auto"/>
              <w:bottom w:val="single" w:sz="4" w:space="0" w:color="auto"/>
              <w:right w:val="single" w:sz="4" w:space="0" w:color="auto"/>
            </w:tcBorders>
            <w:hideMark/>
          </w:tcPr>
          <w:p w14:paraId="3C427AA9" w14:textId="77777777" w:rsidR="00EE59B2" w:rsidRDefault="00EE59B2">
            <w:r>
              <w:t>State Survey</w:t>
            </w:r>
          </w:p>
        </w:tc>
        <w:tc>
          <w:tcPr>
            <w:tcW w:w="856" w:type="pct"/>
            <w:tcBorders>
              <w:top w:val="single" w:sz="4" w:space="0" w:color="auto"/>
              <w:left w:val="single" w:sz="4" w:space="0" w:color="auto"/>
              <w:bottom w:val="single" w:sz="4" w:space="0" w:color="auto"/>
              <w:right w:val="single" w:sz="4" w:space="0" w:color="auto"/>
            </w:tcBorders>
            <w:hideMark/>
          </w:tcPr>
          <w:p w14:paraId="5D6888E6" w14:textId="77777777" w:rsidR="00EE59B2" w:rsidRDefault="00EE59B2">
            <w:pPr>
              <w:jc w:val="center"/>
            </w:pPr>
            <w:r>
              <w:t>49</w:t>
            </w:r>
          </w:p>
        </w:tc>
        <w:tc>
          <w:tcPr>
            <w:tcW w:w="867" w:type="pct"/>
            <w:tcBorders>
              <w:top w:val="single" w:sz="4" w:space="0" w:color="auto"/>
              <w:left w:val="single" w:sz="4" w:space="0" w:color="auto"/>
              <w:bottom w:val="single" w:sz="4" w:space="0" w:color="auto"/>
              <w:right w:val="single" w:sz="4" w:space="0" w:color="auto"/>
            </w:tcBorders>
            <w:hideMark/>
          </w:tcPr>
          <w:p w14:paraId="0E58C1CA" w14:textId="77777777" w:rsidR="00EE59B2" w:rsidRDefault="00EE59B2">
            <w:pPr>
              <w:jc w:val="center"/>
            </w:pPr>
            <w:r>
              <w:t>1</w:t>
            </w:r>
          </w:p>
        </w:tc>
        <w:tc>
          <w:tcPr>
            <w:tcW w:w="730" w:type="pct"/>
            <w:tcBorders>
              <w:top w:val="single" w:sz="4" w:space="0" w:color="auto"/>
              <w:left w:val="single" w:sz="4" w:space="0" w:color="auto"/>
              <w:bottom w:val="single" w:sz="4" w:space="0" w:color="auto"/>
              <w:right w:val="single" w:sz="4" w:space="0" w:color="auto"/>
            </w:tcBorders>
            <w:hideMark/>
          </w:tcPr>
          <w:p w14:paraId="7E0F1AE0" w14:textId="77777777" w:rsidR="00EE59B2" w:rsidRDefault="00EE59B2">
            <w:pPr>
              <w:jc w:val="center"/>
            </w:pPr>
            <w:r>
              <w:t>49</w:t>
            </w:r>
          </w:p>
        </w:tc>
        <w:tc>
          <w:tcPr>
            <w:tcW w:w="868" w:type="pct"/>
            <w:tcBorders>
              <w:top w:val="single" w:sz="4" w:space="0" w:color="auto"/>
              <w:left w:val="single" w:sz="4" w:space="0" w:color="auto"/>
              <w:bottom w:val="single" w:sz="4" w:space="0" w:color="auto"/>
              <w:right w:val="single" w:sz="4" w:space="0" w:color="auto"/>
            </w:tcBorders>
            <w:hideMark/>
          </w:tcPr>
          <w:p w14:paraId="248701EE" w14:textId="77777777" w:rsidR="00EE59B2" w:rsidRDefault="00EE59B2">
            <w:pPr>
              <w:jc w:val="center"/>
            </w:pPr>
            <w:r>
              <w:t>0.33</w:t>
            </w:r>
          </w:p>
          <w:p w14:paraId="6A61D95B" w14:textId="77777777" w:rsidR="00EE59B2" w:rsidRDefault="00EE59B2">
            <w:pPr>
              <w:jc w:val="center"/>
            </w:pPr>
            <w:r>
              <w:t>(20 minutes)</w:t>
            </w:r>
          </w:p>
        </w:tc>
        <w:tc>
          <w:tcPr>
            <w:tcW w:w="601" w:type="pct"/>
            <w:tcBorders>
              <w:top w:val="single" w:sz="4" w:space="0" w:color="auto"/>
              <w:left w:val="single" w:sz="4" w:space="0" w:color="auto"/>
              <w:bottom w:val="single" w:sz="4" w:space="0" w:color="auto"/>
              <w:right w:val="single" w:sz="4" w:space="0" w:color="auto"/>
            </w:tcBorders>
            <w:hideMark/>
          </w:tcPr>
          <w:p w14:paraId="46DC665A" w14:textId="77777777" w:rsidR="00EE59B2" w:rsidRDefault="00EE59B2">
            <w:pPr>
              <w:jc w:val="center"/>
            </w:pPr>
            <w:r>
              <w:t>16.17</w:t>
            </w:r>
          </w:p>
        </w:tc>
      </w:tr>
    </w:tbl>
    <w:p w14:paraId="2F80D1F3" w14:textId="734DAB93" w:rsidR="00DE6572" w:rsidRPr="00DE6572" w:rsidRDefault="00DE6572" w:rsidP="00DE6572">
      <w:pPr>
        <w:keepLines/>
        <w:spacing w:before="120" w:after="240"/>
        <w:rPr>
          <w:sz w:val="20"/>
          <w:szCs w:val="20"/>
        </w:rPr>
      </w:pPr>
      <w:r w:rsidRPr="00DE6572">
        <w:rPr>
          <w:sz w:val="20"/>
          <w:szCs w:val="20"/>
          <w:vertAlign w:val="superscript"/>
        </w:rPr>
        <w:t>1</w:t>
      </w:r>
      <w:r w:rsidRPr="00DE6572">
        <w:rPr>
          <w:sz w:val="20"/>
          <w:szCs w:val="20"/>
        </w:rPr>
        <w:t>There are no capital costs or operating and maintenance costs associated with this collection of information.</w:t>
      </w:r>
    </w:p>
    <w:p w14:paraId="0066400D" w14:textId="263DD5B3" w:rsidR="00EE59B2" w:rsidRDefault="008E6568" w:rsidP="007509AA">
      <w:pPr>
        <w:ind w:left="720"/>
      </w:pPr>
      <w:r w:rsidRPr="008E6568">
        <w:t>The FDA Office of Partnership reviewed the questionnaire and provided the amount of time to complete the survey.  The total burden is based on our previous experience conducting surveys.</w:t>
      </w:r>
      <w:r>
        <w:t xml:space="preserve">  </w:t>
      </w:r>
      <w:r w:rsidR="00EE59B2">
        <w:t xml:space="preserve"> </w:t>
      </w:r>
    </w:p>
    <w:p w14:paraId="6DB3D616" w14:textId="77777777" w:rsidR="003740BC" w:rsidRDefault="003740BC" w:rsidP="00A93ED9">
      <w:pPr>
        <w:pStyle w:val="BodyText2"/>
        <w:ind w:left="360"/>
      </w:pPr>
    </w:p>
    <w:p w14:paraId="27290002" w14:textId="77777777" w:rsidR="00A93ED9" w:rsidRDefault="00A93ED9" w:rsidP="006C236A">
      <w:pPr>
        <w:pStyle w:val="BodyText2"/>
        <w:ind w:left="720"/>
      </w:pPr>
      <w:r w:rsidRPr="00C75CBF">
        <w:t xml:space="preserve">12b. </w:t>
      </w:r>
      <w:r w:rsidR="00411D11" w:rsidRPr="00C75CBF">
        <w:rPr>
          <w:u w:val="single"/>
        </w:rPr>
        <w:t>Annualized Cost Burden Estimate</w:t>
      </w:r>
    </w:p>
    <w:p w14:paraId="6AF211E2" w14:textId="77777777" w:rsidR="00A93ED9" w:rsidRDefault="00A93ED9" w:rsidP="001D495A">
      <w:pPr>
        <w:pStyle w:val="BodyText2"/>
        <w:ind w:left="720"/>
      </w:pPr>
    </w:p>
    <w:p w14:paraId="63A4FE0A" w14:textId="2D3C0840" w:rsidR="006C236A" w:rsidRPr="006C236A" w:rsidRDefault="006C236A" w:rsidP="006C236A">
      <w:pPr>
        <w:pStyle w:val="BodyText2"/>
        <w:ind w:left="720"/>
      </w:pPr>
      <w:r w:rsidRPr="006C236A">
        <w:t>The annualized cost to all respondents for the hour burden for the collection of information is $</w:t>
      </w:r>
      <w:r w:rsidR="00D12BF1">
        <w:t>917.49</w:t>
      </w:r>
      <w:r w:rsidR="009502B3" w:rsidRPr="006C236A">
        <w:t xml:space="preserve"> </w:t>
      </w:r>
      <w:r w:rsidRPr="006C236A">
        <w:t>(</w:t>
      </w:r>
      <w:r w:rsidR="002126B2">
        <w:t xml:space="preserve">16.17 hours </w:t>
      </w:r>
      <w:r w:rsidRPr="006C236A">
        <w:t>x $</w:t>
      </w:r>
      <w:r w:rsidR="0098572B">
        <w:t>56.74</w:t>
      </w:r>
      <w:r w:rsidRPr="006C236A">
        <w:t>) at the 201</w:t>
      </w:r>
      <w:r>
        <w:t>7</w:t>
      </w:r>
      <w:r w:rsidRPr="006C236A">
        <w:t xml:space="preserve"> median wage rate </w:t>
      </w:r>
      <w:r w:rsidR="0098572B">
        <w:t xml:space="preserve">for those in management occupations </w:t>
      </w:r>
      <w:r w:rsidRPr="006C236A">
        <w:t>in the United States.</w:t>
      </w:r>
      <w:r w:rsidRPr="006C236A">
        <w:rPr>
          <w:vertAlign w:val="superscript"/>
        </w:rPr>
        <w:footnoteReference w:id="1"/>
      </w:r>
    </w:p>
    <w:p w14:paraId="4BB2B80C" w14:textId="59D0D68C" w:rsidR="003740BC" w:rsidRDefault="003740BC" w:rsidP="001D495A">
      <w:pPr>
        <w:pStyle w:val="BodyText2"/>
        <w:ind w:left="720"/>
      </w:pPr>
    </w:p>
    <w:p w14:paraId="3BC39CE4" w14:textId="37243CA9" w:rsidR="002126B2" w:rsidRDefault="002126B2" w:rsidP="001D495A">
      <w:pPr>
        <w:pStyle w:val="BodyText2"/>
        <w:ind w:left="720"/>
      </w:pPr>
    </w:p>
    <w:p w14:paraId="0437FDBC" w14:textId="11C92EA2" w:rsidR="002126B2" w:rsidRDefault="002126B2" w:rsidP="00D516E0">
      <w:pPr>
        <w:pStyle w:val="BodyText2"/>
        <w:ind w:left="720"/>
        <w:jc w:val="center"/>
      </w:pPr>
      <w:r>
        <w:t>Table 2. – Estimated Annualized Cost Burden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14:paraId="7F1A2D55" w14:textId="77777777" w:rsidTr="00B86DFA">
        <w:tc>
          <w:tcPr>
            <w:tcW w:w="2160" w:type="dxa"/>
            <w:shd w:val="clear" w:color="auto" w:fill="auto"/>
          </w:tcPr>
          <w:p w14:paraId="224B8C36" w14:textId="77777777" w:rsidR="003740BC" w:rsidRDefault="007E2F07" w:rsidP="006C236A">
            <w:r>
              <w:t>Activity</w:t>
            </w:r>
          </w:p>
        </w:tc>
        <w:tc>
          <w:tcPr>
            <w:tcW w:w="1800" w:type="dxa"/>
            <w:shd w:val="clear" w:color="auto" w:fill="auto"/>
          </w:tcPr>
          <w:p w14:paraId="474EC404" w14:textId="77777777" w:rsidR="003740BC" w:rsidRDefault="003740BC" w:rsidP="00754497">
            <w:r>
              <w:t>Total Burden Hours</w:t>
            </w:r>
          </w:p>
        </w:tc>
        <w:tc>
          <w:tcPr>
            <w:tcW w:w="2394" w:type="dxa"/>
            <w:shd w:val="clear" w:color="auto" w:fill="auto"/>
          </w:tcPr>
          <w:p w14:paraId="33C2A379" w14:textId="77777777" w:rsidR="003740BC" w:rsidRDefault="003740BC" w:rsidP="00754497">
            <w:r>
              <w:t>Hourly Wage Rate</w:t>
            </w:r>
          </w:p>
        </w:tc>
        <w:tc>
          <w:tcPr>
            <w:tcW w:w="1926" w:type="dxa"/>
            <w:shd w:val="clear" w:color="auto" w:fill="auto"/>
          </w:tcPr>
          <w:p w14:paraId="4D062083" w14:textId="77777777" w:rsidR="003740BC" w:rsidRDefault="003740BC" w:rsidP="00754497">
            <w:r>
              <w:t>Total Respondent Costs</w:t>
            </w:r>
          </w:p>
        </w:tc>
      </w:tr>
      <w:tr w:rsidR="003740BC" w14:paraId="6234E8AE" w14:textId="77777777" w:rsidTr="00B86DFA">
        <w:tc>
          <w:tcPr>
            <w:tcW w:w="2160" w:type="dxa"/>
            <w:shd w:val="clear" w:color="auto" w:fill="auto"/>
          </w:tcPr>
          <w:p w14:paraId="2A4A1DBA" w14:textId="77777777" w:rsidR="003740BC" w:rsidRDefault="006C236A" w:rsidP="00754497">
            <w:r>
              <w:t>Responding to Survey</w:t>
            </w:r>
          </w:p>
        </w:tc>
        <w:tc>
          <w:tcPr>
            <w:tcW w:w="1800" w:type="dxa"/>
            <w:shd w:val="clear" w:color="auto" w:fill="auto"/>
          </w:tcPr>
          <w:p w14:paraId="7863282E" w14:textId="77777777" w:rsidR="003740BC" w:rsidRDefault="0098572B" w:rsidP="00754497">
            <w:r>
              <w:t>16.17</w:t>
            </w:r>
          </w:p>
        </w:tc>
        <w:tc>
          <w:tcPr>
            <w:tcW w:w="2394" w:type="dxa"/>
            <w:shd w:val="clear" w:color="auto" w:fill="auto"/>
          </w:tcPr>
          <w:p w14:paraId="0F097515" w14:textId="77777777" w:rsidR="003740BC" w:rsidRDefault="003740BC" w:rsidP="00754497">
            <w:r>
              <w:t>$</w:t>
            </w:r>
            <w:r w:rsidR="0098572B">
              <w:t>56.74</w:t>
            </w:r>
          </w:p>
        </w:tc>
        <w:tc>
          <w:tcPr>
            <w:tcW w:w="1926" w:type="dxa"/>
            <w:shd w:val="clear" w:color="auto" w:fill="auto"/>
          </w:tcPr>
          <w:p w14:paraId="78DD7094" w14:textId="77777777" w:rsidR="003740BC" w:rsidRDefault="003740BC" w:rsidP="00EE59B2">
            <w:r>
              <w:t>$</w:t>
            </w:r>
            <w:r w:rsidR="00D12BF1">
              <w:t>917.49</w:t>
            </w:r>
          </w:p>
        </w:tc>
      </w:tr>
    </w:tbl>
    <w:p w14:paraId="22CF526D" w14:textId="77777777" w:rsidR="003740BC" w:rsidRDefault="003740BC" w:rsidP="006C236A">
      <w:pPr>
        <w:pStyle w:val="BodyText2"/>
      </w:pPr>
    </w:p>
    <w:p w14:paraId="0699D2B4" w14:textId="77777777"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14:paraId="5634F238" w14:textId="5A93495F" w:rsidR="00350523" w:rsidRPr="00153982" w:rsidRDefault="00153982" w:rsidP="00153982">
      <w:pPr>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rPr>
          <w:bCs/>
        </w:rPr>
      </w:pPr>
      <w:r w:rsidRPr="00C54A2E">
        <w:rPr>
          <w:bCs/>
        </w:rPr>
        <w:t>There are no capital,</w:t>
      </w:r>
      <w:r w:rsidR="00F375A0">
        <w:rPr>
          <w:bCs/>
        </w:rPr>
        <w:t xml:space="preserve"> start-up,</w:t>
      </w:r>
      <w:r w:rsidRPr="00C54A2E">
        <w:rPr>
          <w:bCs/>
        </w:rPr>
        <w:t xml:space="preserve"> operating or maintenance costs associated with this </w:t>
      </w:r>
      <w:r w:rsidR="00F375A0">
        <w:rPr>
          <w:bCs/>
        </w:rPr>
        <w:t>information</w:t>
      </w:r>
      <w:r w:rsidRPr="00C54A2E">
        <w:rPr>
          <w:bCs/>
        </w:rPr>
        <w:t xml:space="preserve"> collection.</w:t>
      </w:r>
    </w:p>
    <w:p w14:paraId="483D3C57" w14:textId="77777777"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14:paraId="7040A1F4" w14:textId="77777777" w:rsidR="00A70426" w:rsidRDefault="00153982" w:rsidP="00153982">
      <w:pPr>
        <w:pStyle w:val="BodyText1"/>
        <w:ind w:left="720" w:firstLine="0"/>
      </w:pPr>
      <w:r>
        <w:t xml:space="preserve">The estimated cost to the federal government is </w:t>
      </w:r>
      <w:r w:rsidR="008D60ED">
        <w:t>$10</w:t>
      </w:r>
      <w:r>
        <w:t xml:space="preserve">,000.  This cost includes </w:t>
      </w:r>
      <w:r w:rsidR="00D12BF1">
        <w:t xml:space="preserve">FDA staff time to </w:t>
      </w:r>
      <w:r w:rsidR="008D60ED">
        <w:t>develop the study materials, obtain clearances, contact</w:t>
      </w:r>
      <w:r>
        <w:t xml:space="preserve"> the sample, collect the survey data, create a database of the data, tabulate and summarize the survey data, and prepare a final report.  </w:t>
      </w:r>
    </w:p>
    <w:p w14:paraId="7A92115C" w14:textId="77777777"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14:paraId="50B10336" w14:textId="5F72AEE8" w:rsidR="009F66B5" w:rsidRDefault="00153982" w:rsidP="00153982">
      <w:pPr>
        <w:ind w:left="720"/>
      </w:pPr>
      <w:r>
        <w:t>Th</w:t>
      </w:r>
      <w:r w:rsidR="009502B3">
        <w:t xml:space="preserve">is </w:t>
      </w:r>
      <w:r>
        <w:t xml:space="preserve">is </w:t>
      </w:r>
      <w:r w:rsidR="009502B3">
        <w:t xml:space="preserve">a new </w:t>
      </w:r>
      <w:r w:rsidR="00F375A0">
        <w:t xml:space="preserve">information </w:t>
      </w:r>
      <w:r>
        <w:t>collection</w:t>
      </w:r>
      <w:r w:rsidR="009502B3">
        <w:t xml:space="preserve"> </w:t>
      </w:r>
      <w:r w:rsidR="00F375A0">
        <w:t>request</w:t>
      </w:r>
      <w:r>
        <w:t>.</w:t>
      </w:r>
    </w:p>
    <w:p w14:paraId="31D51425" w14:textId="77777777" w:rsidR="004C6979" w:rsidRP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14:paraId="5672AE00" w14:textId="7B71EDFF" w:rsidR="009B320D" w:rsidRDefault="009B320D" w:rsidP="009B320D">
      <w:pPr>
        <w:pStyle w:val="BodyText1"/>
        <w:ind w:left="720" w:firstLine="0"/>
      </w:pPr>
      <w:r>
        <w:t>Activities associated wi</w:t>
      </w:r>
      <w:r w:rsidR="00525E9E">
        <w:t>th the outcomes of this survey will</w:t>
      </w:r>
      <w:r>
        <w:t xml:space="preserve"> consist </w:t>
      </w:r>
      <w:r w:rsidR="00525E9E">
        <w:t xml:space="preserve">only </w:t>
      </w:r>
      <w:r>
        <w:t xml:space="preserve">of a top-line report summarizing the survey findings </w:t>
      </w:r>
      <w:r w:rsidR="00525E9E">
        <w:t xml:space="preserve">included in the NAFDS follow-up </w:t>
      </w:r>
      <w:r w:rsidR="00F375A0">
        <w:t>R</w:t>
      </w:r>
      <w:r w:rsidR="00525E9E">
        <w:t xml:space="preserve">eport to Congress. </w:t>
      </w:r>
      <w:r w:rsidR="008E6568">
        <w:t xml:space="preserve"> </w:t>
      </w:r>
      <w:r>
        <w:t xml:space="preserve">The planned schedule for project activities is shown </w:t>
      </w:r>
      <w:r w:rsidR="00F375A0">
        <w:t>below</w:t>
      </w:r>
      <w:r>
        <w:t xml:space="preserve">. </w:t>
      </w:r>
    </w:p>
    <w:p w14:paraId="088A18AF" w14:textId="5CC45947" w:rsidR="009B320D" w:rsidRPr="00445342" w:rsidRDefault="009B320D" w:rsidP="009B320D">
      <w:pPr>
        <w:pStyle w:val="TableTitle"/>
        <w:spacing w:after="0"/>
        <w:ind w:left="0" w:firstLine="0"/>
        <w:jc w:val="center"/>
        <w:rPr>
          <w:b w:val="0"/>
          <w:i/>
          <w:szCs w:val="24"/>
        </w:rPr>
      </w:pPr>
      <w:r w:rsidRPr="00445342">
        <w:rPr>
          <w:b w:val="0"/>
          <w:szCs w:val="24"/>
        </w:rPr>
        <w:t>Project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80"/>
        <w:gridCol w:w="1530"/>
      </w:tblGrid>
      <w:tr w:rsidR="009B320D" w:rsidRPr="00D0674D" w14:paraId="41EE03C4" w14:textId="77777777" w:rsidTr="009B320D">
        <w:tc>
          <w:tcPr>
            <w:tcW w:w="2520" w:type="dxa"/>
          </w:tcPr>
          <w:p w14:paraId="34E1AD85" w14:textId="77777777" w:rsidR="009B320D" w:rsidRPr="00D0674D" w:rsidRDefault="009B320D" w:rsidP="00F30BF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sidRPr="00D0674D">
              <w:rPr>
                <w:b/>
                <w:sz w:val="20"/>
              </w:rPr>
              <w:t>Date</w:t>
            </w:r>
          </w:p>
        </w:tc>
        <w:tc>
          <w:tcPr>
            <w:tcW w:w="3780" w:type="dxa"/>
          </w:tcPr>
          <w:p w14:paraId="50CA86C8" w14:textId="77777777" w:rsidR="009B320D" w:rsidRPr="00D0674D" w:rsidRDefault="009B320D" w:rsidP="00F30BF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sidRPr="00D0674D">
              <w:rPr>
                <w:b/>
                <w:sz w:val="20"/>
              </w:rPr>
              <w:t>Activity</w:t>
            </w:r>
          </w:p>
        </w:tc>
        <w:tc>
          <w:tcPr>
            <w:tcW w:w="1530" w:type="dxa"/>
          </w:tcPr>
          <w:p w14:paraId="04A17ABB" w14:textId="77777777" w:rsidR="009B320D" w:rsidRPr="00D0674D" w:rsidRDefault="009B320D" w:rsidP="00F30BF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sidRPr="00D0674D">
              <w:rPr>
                <w:b/>
                <w:sz w:val="20"/>
              </w:rPr>
              <w:t>Audience</w:t>
            </w:r>
          </w:p>
        </w:tc>
      </w:tr>
      <w:tr w:rsidR="009B320D" w:rsidRPr="00D0674D" w14:paraId="0FCD0EF0" w14:textId="77777777" w:rsidTr="009B320D">
        <w:tc>
          <w:tcPr>
            <w:tcW w:w="2520" w:type="dxa"/>
          </w:tcPr>
          <w:p w14:paraId="63135A01" w14:textId="77777777" w:rsidR="009B320D" w:rsidRPr="00D0674D" w:rsidRDefault="009B320D" w:rsidP="00F30BF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0674D">
              <w:rPr>
                <w:sz w:val="20"/>
              </w:rPr>
              <w:t>Within 3 days after receipt of OMB approval of collection of information</w:t>
            </w:r>
          </w:p>
        </w:tc>
        <w:tc>
          <w:tcPr>
            <w:tcW w:w="3780" w:type="dxa"/>
          </w:tcPr>
          <w:p w14:paraId="7870D677" w14:textId="77777777" w:rsidR="009B320D" w:rsidRPr="00D0674D" w:rsidRDefault="009B320D" w:rsidP="00525E9E">
            <w:pPr>
              <w:rPr>
                <w:sz w:val="20"/>
              </w:rPr>
            </w:pPr>
            <w:r w:rsidRPr="00D0674D">
              <w:rPr>
                <w:sz w:val="20"/>
              </w:rPr>
              <w:t xml:space="preserve">Notification to </w:t>
            </w:r>
            <w:r w:rsidR="00525E9E">
              <w:rPr>
                <w:sz w:val="20"/>
              </w:rPr>
              <w:t xml:space="preserve">FDA staff to </w:t>
            </w:r>
            <w:r w:rsidRPr="00D0674D">
              <w:rPr>
                <w:sz w:val="20"/>
              </w:rPr>
              <w:t xml:space="preserve"> proceed with data collection activities</w:t>
            </w:r>
          </w:p>
        </w:tc>
        <w:tc>
          <w:tcPr>
            <w:tcW w:w="1530" w:type="dxa"/>
          </w:tcPr>
          <w:p w14:paraId="1BE087F9" w14:textId="77777777" w:rsidR="009B320D" w:rsidRPr="00D0674D" w:rsidRDefault="009B320D" w:rsidP="00F30BF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0674D">
              <w:rPr>
                <w:sz w:val="20"/>
              </w:rPr>
              <w:t>Not applicable</w:t>
            </w:r>
          </w:p>
        </w:tc>
      </w:tr>
      <w:tr w:rsidR="009B320D" w:rsidRPr="00D0674D" w14:paraId="451FA8D2" w14:textId="77777777" w:rsidTr="009B320D">
        <w:tc>
          <w:tcPr>
            <w:tcW w:w="2520" w:type="dxa"/>
          </w:tcPr>
          <w:p w14:paraId="48C2B87F" w14:textId="77777777" w:rsidR="009B320D" w:rsidRPr="00D0674D" w:rsidRDefault="00525E9E" w:rsidP="00525E9E">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Pr>
                <w:sz w:val="20"/>
              </w:rPr>
              <w:t>Within 60</w:t>
            </w:r>
            <w:r w:rsidR="009B320D" w:rsidRPr="00D0674D">
              <w:rPr>
                <w:sz w:val="20"/>
              </w:rPr>
              <w:t xml:space="preserve"> days after </w:t>
            </w:r>
            <w:r>
              <w:rPr>
                <w:sz w:val="20"/>
              </w:rPr>
              <w:t xml:space="preserve"> staff </w:t>
            </w:r>
            <w:r w:rsidR="009B320D" w:rsidRPr="00D0674D">
              <w:rPr>
                <w:sz w:val="20"/>
              </w:rPr>
              <w:t xml:space="preserve">notification </w:t>
            </w:r>
          </w:p>
        </w:tc>
        <w:tc>
          <w:tcPr>
            <w:tcW w:w="3780" w:type="dxa"/>
          </w:tcPr>
          <w:p w14:paraId="712CB986" w14:textId="77777777" w:rsidR="009B320D" w:rsidRPr="00D0674D" w:rsidRDefault="009B320D" w:rsidP="00F30BFF">
            <w:pPr>
              <w:rPr>
                <w:sz w:val="20"/>
              </w:rPr>
            </w:pPr>
            <w:r w:rsidRPr="00D0674D">
              <w:rPr>
                <w:sz w:val="20"/>
              </w:rPr>
              <w:t>Completion of data collection</w:t>
            </w:r>
          </w:p>
        </w:tc>
        <w:tc>
          <w:tcPr>
            <w:tcW w:w="1530" w:type="dxa"/>
          </w:tcPr>
          <w:p w14:paraId="5BD63E44" w14:textId="77777777" w:rsidR="009B320D" w:rsidRPr="00D0674D" w:rsidRDefault="009B320D" w:rsidP="00F30BF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0674D">
              <w:rPr>
                <w:sz w:val="20"/>
              </w:rPr>
              <w:t>Not applicable</w:t>
            </w:r>
          </w:p>
        </w:tc>
      </w:tr>
      <w:tr w:rsidR="009B320D" w:rsidRPr="00D0674D" w14:paraId="04B1D0BD" w14:textId="77777777" w:rsidTr="009B320D">
        <w:tc>
          <w:tcPr>
            <w:tcW w:w="2520" w:type="dxa"/>
          </w:tcPr>
          <w:p w14:paraId="6A9C4C44" w14:textId="77777777" w:rsidR="009B320D" w:rsidRPr="00D0674D" w:rsidRDefault="009B320D" w:rsidP="00F30BF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sidRPr="00D0674D">
              <w:rPr>
                <w:sz w:val="20"/>
              </w:rPr>
              <w:t>Within 6 months after receipt of final data files</w:t>
            </w:r>
          </w:p>
        </w:tc>
        <w:tc>
          <w:tcPr>
            <w:tcW w:w="3780" w:type="dxa"/>
          </w:tcPr>
          <w:p w14:paraId="0926AD97" w14:textId="73A1EC8E" w:rsidR="009B320D" w:rsidRPr="00D0674D" w:rsidRDefault="00525E9E" w:rsidP="00F30BFF">
            <w:pPr>
              <w:rPr>
                <w:sz w:val="20"/>
              </w:rPr>
            </w:pPr>
            <w:r>
              <w:rPr>
                <w:sz w:val="20"/>
              </w:rPr>
              <w:t xml:space="preserve">Insertion of findings into NAFDS follow-up </w:t>
            </w:r>
            <w:r w:rsidR="00F375A0">
              <w:rPr>
                <w:sz w:val="20"/>
              </w:rPr>
              <w:t>R</w:t>
            </w:r>
            <w:r>
              <w:rPr>
                <w:sz w:val="20"/>
              </w:rPr>
              <w:t>eport to Congress</w:t>
            </w:r>
          </w:p>
        </w:tc>
        <w:tc>
          <w:tcPr>
            <w:tcW w:w="1530" w:type="dxa"/>
          </w:tcPr>
          <w:p w14:paraId="2BDE2803" w14:textId="77777777" w:rsidR="009B320D" w:rsidRPr="00D0674D" w:rsidRDefault="00525E9E" w:rsidP="00F30BFF">
            <w:pPr>
              <w:tabs>
                <w:tab w:val="left" w:pos="-1080"/>
                <w:tab w:val="left" w:pos="-720"/>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Pr>
                <w:sz w:val="20"/>
              </w:rPr>
              <w:t>U</w:t>
            </w:r>
            <w:r w:rsidR="00F375A0">
              <w:rPr>
                <w:sz w:val="20"/>
              </w:rPr>
              <w:t>.</w:t>
            </w:r>
            <w:r>
              <w:rPr>
                <w:sz w:val="20"/>
              </w:rPr>
              <w:t>S</w:t>
            </w:r>
            <w:r w:rsidR="00F375A0">
              <w:rPr>
                <w:sz w:val="20"/>
              </w:rPr>
              <w:t>.</w:t>
            </w:r>
            <w:r>
              <w:rPr>
                <w:sz w:val="20"/>
              </w:rPr>
              <w:t xml:space="preserve"> Congress</w:t>
            </w:r>
          </w:p>
        </w:tc>
      </w:tr>
    </w:tbl>
    <w:p w14:paraId="34A18760" w14:textId="77777777" w:rsidR="003C4EBB" w:rsidRDefault="003C4EBB" w:rsidP="009B320D"/>
    <w:p w14:paraId="33D347DD" w14:textId="77777777"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14:paraId="4B78C8E5" w14:textId="77777777" w:rsidR="004C6979" w:rsidRDefault="009B320D" w:rsidP="00D730BF">
      <w:pPr>
        <w:ind w:left="720"/>
      </w:pPr>
      <w:r w:rsidRPr="009B320D">
        <w:t xml:space="preserve">No exemption is requested. </w:t>
      </w:r>
      <w:r w:rsidR="008E6568">
        <w:t xml:space="preserve"> </w:t>
      </w:r>
      <w:r>
        <w:t xml:space="preserve">FDA is not </w:t>
      </w:r>
      <w:r w:rsidR="00754497">
        <w:t xml:space="preserve">seeking approval to </w:t>
      </w:r>
      <w:r>
        <w:t xml:space="preserve">not </w:t>
      </w:r>
      <w:r w:rsidR="004C6979">
        <w:t xml:space="preserve">display the expiration date </w:t>
      </w:r>
      <w:r w:rsidR="00754497">
        <w:t>of</w:t>
      </w:r>
      <w:r w:rsidR="004C6979">
        <w:t xml:space="preserve"> OMB </w:t>
      </w:r>
      <w:r>
        <w:t>approval.</w:t>
      </w:r>
    </w:p>
    <w:p w14:paraId="73BFCA56" w14:textId="77777777"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14:paraId="6B16C033" w14:textId="49CEEA7F" w:rsidR="000A701A" w:rsidRDefault="009B320D" w:rsidP="00014E18">
      <w:pPr>
        <w:spacing w:before="100" w:beforeAutospacing="1" w:after="100" w:afterAutospacing="1"/>
        <w:ind w:left="720"/>
      </w:pPr>
      <w:r>
        <w:t xml:space="preserve">There are no </w:t>
      </w:r>
      <w:r w:rsidR="00754497">
        <w:t>exception</w:t>
      </w:r>
      <w:r>
        <w:t>s to the certification.</w:t>
      </w:r>
    </w:p>
    <w:sectPr w:rsidR="000A701A"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9F6E1" w14:textId="77777777" w:rsidR="00263282" w:rsidRDefault="00263282">
      <w:r>
        <w:separator/>
      </w:r>
    </w:p>
  </w:endnote>
  <w:endnote w:type="continuationSeparator" w:id="0">
    <w:p w14:paraId="7C400A5C" w14:textId="77777777" w:rsidR="00263282" w:rsidRDefault="0026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621E6" w14:textId="77777777" w:rsidR="009502B3" w:rsidRDefault="009502B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CF7ADE" w14:textId="77777777" w:rsidR="009502B3" w:rsidRDefault="009502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77917" w14:textId="213AA850" w:rsidR="009502B3" w:rsidRDefault="009502B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1FC6">
      <w:rPr>
        <w:rStyle w:val="PageNumber"/>
        <w:noProof/>
      </w:rPr>
      <w:t>1</w:t>
    </w:r>
    <w:r>
      <w:rPr>
        <w:rStyle w:val="PageNumber"/>
      </w:rPr>
      <w:fldChar w:fldCharType="end"/>
    </w:r>
  </w:p>
  <w:p w14:paraId="498D3AC0" w14:textId="77777777" w:rsidR="009502B3" w:rsidRDefault="00950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5BECD" w14:textId="77777777" w:rsidR="00263282" w:rsidRDefault="00263282">
      <w:r>
        <w:separator/>
      </w:r>
    </w:p>
  </w:footnote>
  <w:footnote w:type="continuationSeparator" w:id="0">
    <w:p w14:paraId="5CB7729D" w14:textId="77777777" w:rsidR="00263282" w:rsidRDefault="00263282">
      <w:r>
        <w:continuationSeparator/>
      </w:r>
    </w:p>
  </w:footnote>
  <w:footnote w:id="1">
    <w:p w14:paraId="1971A024" w14:textId="77777777" w:rsidR="009502B3" w:rsidRDefault="009502B3" w:rsidP="006C236A">
      <w:pPr>
        <w:pStyle w:val="FootnoteText"/>
        <w:ind w:left="360"/>
      </w:pPr>
      <w:r>
        <w:rPr>
          <w:rStyle w:val="FootnoteReference"/>
        </w:rPr>
        <w:footnoteRef/>
      </w:r>
      <w:r>
        <w:t xml:space="preserve"> </w:t>
      </w:r>
      <w:hyperlink r:id="rId1" w:history="1">
        <w:r w:rsidRPr="00AD2445">
          <w:rPr>
            <w:rStyle w:val="Hyperlink"/>
          </w:rPr>
          <w:t>http://www.bls.gov/oes/current/oes_nat.htm</w:t>
        </w:r>
      </w:hyperlink>
      <w:r>
        <w:t>, accessed August,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4C43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56301E"/>
    <w:multiLevelType w:val="hybridMultilevel"/>
    <w:tmpl w:val="6924F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49C586A"/>
    <w:multiLevelType w:val="hybridMultilevel"/>
    <w:tmpl w:val="C4DE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84D3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7"/>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2"/>
  </w:num>
  <w:num w:numId="5">
    <w:abstractNumId w:val="8"/>
  </w:num>
  <w:num w:numId="6">
    <w:abstractNumId w:val="24"/>
  </w:num>
  <w:num w:numId="7">
    <w:abstractNumId w:val="29"/>
  </w:num>
  <w:num w:numId="8">
    <w:abstractNumId w:val="4"/>
  </w:num>
  <w:num w:numId="9">
    <w:abstractNumId w:val="25"/>
  </w:num>
  <w:num w:numId="10">
    <w:abstractNumId w:val="21"/>
  </w:num>
  <w:num w:numId="11">
    <w:abstractNumId w:val="10"/>
  </w:num>
  <w:num w:numId="12">
    <w:abstractNumId w:val="34"/>
  </w:num>
  <w:num w:numId="13">
    <w:abstractNumId w:val="20"/>
  </w:num>
  <w:num w:numId="14">
    <w:abstractNumId w:val="9"/>
  </w:num>
  <w:num w:numId="15">
    <w:abstractNumId w:val="16"/>
  </w:num>
  <w:num w:numId="16">
    <w:abstractNumId w:val="15"/>
  </w:num>
  <w:num w:numId="17">
    <w:abstractNumId w:val="28"/>
  </w:num>
  <w:num w:numId="18">
    <w:abstractNumId w:val="33"/>
  </w:num>
  <w:num w:numId="19">
    <w:abstractNumId w:val="30"/>
  </w:num>
  <w:num w:numId="20">
    <w:abstractNumId w:val="19"/>
  </w:num>
  <w:num w:numId="21">
    <w:abstractNumId w:val="14"/>
  </w:num>
  <w:num w:numId="22">
    <w:abstractNumId w:val="3"/>
  </w:num>
  <w:num w:numId="23">
    <w:abstractNumId w:val="26"/>
  </w:num>
  <w:num w:numId="24">
    <w:abstractNumId w:val="23"/>
  </w:num>
  <w:num w:numId="25">
    <w:abstractNumId w:val="13"/>
  </w:num>
  <w:num w:numId="26">
    <w:abstractNumId w:val="7"/>
  </w:num>
  <w:num w:numId="27">
    <w:abstractNumId w:val="35"/>
  </w:num>
  <w:num w:numId="28">
    <w:abstractNumId w:val="27"/>
  </w:num>
  <w:num w:numId="29">
    <w:abstractNumId w:val="6"/>
  </w:num>
  <w:num w:numId="30">
    <w:abstractNumId w:val="18"/>
  </w:num>
  <w:num w:numId="31">
    <w:abstractNumId w:val="2"/>
  </w:num>
  <w:num w:numId="32">
    <w:abstractNumId w:val="1"/>
  </w:num>
  <w:num w:numId="33">
    <w:abstractNumId w:val="31"/>
  </w:num>
  <w:num w:numId="34">
    <w:abstractNumId w:val="32"/>
  </w:num>
  <w:num w:numId="35">
    <w:abstractNumId w:val="5"/>
  </w:num>
  <w:num w:numId="3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3443"/>
    <w:rsid w:val="00010079"/>
    <w:rsid w:val="00014E18"/>
    <w:rsid w:val="00046C1F"/>
    <w:rsid w:val="0006337E"/>
    <w:rsid w:val="0006570F"/>
    <w:rsid w:val="00083833"/>
    <w:rsid w:val="00090677"/>
    <w:rsid w:val="00094415"/>
    <w:rsid w:val="000A4A52"/>
    <w:rsid w:val="000A701A"/>
    <w:rsid w:val="000C560C"/>
    <w:rsid w:val="000D48FD"/>
    <w:rsid w:val="000E1C64"/>
    <w:rsid w:val="000F7119"/>
    <w:rsid w:val="00100739"/>
    <w:rsid w:val="00107885"/>
    <w:rsid w:val="001113E9"/>
    <w:rsid w:val="00114FC4"/>
    <w:rsid w:val="0012329C"/>
    <w:rsid w:val="00134FA7"/>
    <w:rsid w:val="00137950"/>
    <w:rsid w:val="00152F29"/>
    <w:rsid w:val="00153982"/>
    <w:rsid w:val="00153FCF"/>
    <w:rsid w:val="0016428D"/>
    <w:rsid w:val="001713E2"/>
    <w:rsid w:val="0017369C"/>
    <w:rsid w:val="001740BE"/>
    <w:rsid w:val="00185270"/>
    <w:rsid w:val="00193FB2"/>
    <w:rsid w:val="001A3B5A"/>
    <w:rsid w:val="001A3C0B"/>
    <w:rsid w:val="001A4F53"/>
    <w:rsid w:val="001B7CE9"/>
    <w:rsid w:val="001C5961"/>
    <w:rsid w:val="001D495A"/>
    <w:rsid w:val="001E244C"/>
    <w:rsid w:val="001E4521"/>
    <w:rsid w:val="001E6370"/>
    <w:rsid w:val="001F1437"/>
    <w:rsid w:val="001F6B70"/>
    <w:rsid w:val="002126B2"/>
    <w:rsid w:val="002259EF"/>
    <w:rsid w:val="00242ED1"/>
    <w:rsid w:val="00244D22"/>
    <w:rsid w:val="00254069"/>
    <w:rsid w:val="00263282"/>
    <w:rsid w:val="002734E5"/>
    <w:rsid w:val="002746DB"/>
    <w:rsid w:val="00280CAF"/>
    <w:rsid w:val="00282F09"/>
    <w:rsid w:val="00291DC3"/>
    <w:rsid w:val="00295EE1"/>
    <w:rsid w:val="00297532"/>
    <w:rsid w:val="002A1210"/>
    <w:rsid w:val="002D14D8"/>
    <w:rsid w:val="002D4799"/>
    <w:rsid w:val="002D68A3"/>
    <w:rsid w:val="002E3FA4"/>
    <w:rsid w:val="00302F2E"/>
    <w:rsid w:val="003113FF"/>
    <w:rsid w:val="003203BF"/>
    <w:rsid w:val="0032277F"/>
    <w:rsid w:val="00332559"/>
    <w:rsid w:val="00344344"/>
    <w:rsid w:val="003478BB"/>
    <w:rsid w:val="00350523"/>
    <w:rsid w:val="00354B80"/>
    <w:rsid w:val="00360FC0"/>
    <w:rsid w:val="003679A6"/>
    <w:rsid w:val="003740BC"/>
    <w:rsid w:val="003801A3"/>
    <w:rsid w:val="00383D90"/>
    <w:rsid w:val="00397BF3"/>
    <w:rsid w:val="003B42B3"/>
    <w:rsid w:val="003B6384"/>
    <w:rsid w:val="003C4935"/>
    <w:rsid w:val="003C4EBB"/>
    <w:rsid w:val="003C723A"/>
    <w:rsid w:val="003D1531"/>
    <w:rsid w:val="003E4EC6"/>
    <w:rsid w:val="003E527E"/>
    <w:rsid w:val="003E553E"/>
    <w:rsid w:val="003E7078"/>
    <w:rsid w:val="003F3DF5"/>
    <w:rsid w:val="00411D11"/>
    <w:rsid w:val="00415E23"/>
    <w:rsid w:val="0041670D"/>
    <w:rsid w:val="00421764"/>
    <w:rsid w:val="00424061"/>
    <w:rsid w:val="00430571"/>
    <w:rsid w:val="00433AAE"/>
    <w:rsid w:val="00442A3C"/>
    <w:rsid w:val="00443969"/>
    <w:rsid w:val="00447D74"/>
    <w:rsid w:val="00450A74"/>
    <w:rsid w:val="004546BF"/>
    <w:rsid w:val="00463FA0"/>
    <w:rsid w:val="00464D20"/>
    <w:rsid w:val="00464DC0"/>
    <w:rsid w:val="00465350"/>
    <w:rsid w:val="004846BF"/>
    <w:rsid w:val="004A2E04"/>
    <w:rsid w:val="004C6979"/>
    <w:rsid w:val="004D3E7A"/>
    <w:rsid w:val="004E3DA1"/>
    <w:rsid w:val="004F594B"/>
    <w:rsid w:val="00514C92"/>
    <w:rsid w:val="00525E9E"/>
    <w:rsid w:val="00544138"/>
    <w:rsid w:val="00574B2D"/>
    <w:rsid w:val="0058410B"/>
    <w:rsid w:val="00584583"/>
    <w:rsid w:val="00590EEB"/>
    <w:rsid w:val="005A3084"/>
    <w:rsid w:val="005A4099"/>
    <w:rsid w:val="005C38B2"/>
    <w:rsid w:val="005C5029"/>
    <w:rsid w:val="005C55C2"/>
    <w:rsid w:val="005C570F"/>
    <w:rsid w:val="005C745C"/>
    <w:rsid w:val="005D4DF5"/>
    <w:rsid w:val="005E5416"/>
    <w:rsid w:val="00603510"/>
    <w:rsid w:val="00611D6B"/>
    <w:rsid w:val="006740E6"/>
    <w:rsid w:val="00676B76"/>
    <w:rsid w:val="006772AF"/>
    <w:rsid w:val="006A26C6"/>
    <w:rsid w:val="006A7D5D"/>
    <w:rsid w:val="006B3332"/>
    <w:rsid w:val="006B7C9E"/>
    <w:rsid w:val="006C236A"/>
    <w:rsid w:val="006C51C5"/>
    <w:rsid w:val="006D130B"/>
    <w:rsid w:val="006D5D57"/>
    <w:rsid w:val="006E5522"/>
    <w:rsid w:val="006F4D6D"/>
    <w:rsid w:val="00705086"/>
    <w:rsid w:val="007251CE"/>
    <w:rsid w:val="007470F9"/>
    <w:rsid w:val="007509AA"/>
    <w:rsid w:val="00754497"/>
    <w:rsid w:val="00760A12"/>
    <w:rsid w:val="00760D60"/>
    <w:rsid w:val="00772B56"/>
    <w:rsid w:val="0078537C"/>
    <w:rsid w:val="00787C39"/>
    <w:rsid w:val="00795DF3"/>
    <w:rsid w:val="007A2FB8"/>
    <w:rsid w:val="007A373C"/>
    <w:rsid w:val="007B225C"/>
    <w:rsid w:val="007C0E34"/>
    <w:rsid w:val="007C75B1"/>
    <w:rsid w:val="007D3DFC"/>
    <w:rsid w:val="007E28CD"/>
    <w:rsid w:val="007E2C61"/>
    <w:rsid w:val="007E2F07"/>
    <w:rsid w:val="007E378F"/>
    <w:rsid w:val="0080776D"/>
    <w:rsid w:val="00807CCB"/>
    <w:rsid w:val="00810145"/>
    <w:rsid w:val="008108FA"/>
    <w:rsid w:val="00810FF1"/>
    <w:rsid w:val="008178A4"/>
    <w:rsid w:val="0082166B"/>
    <w:rsid w:val="00822336"/>
    <w:rsid w:val="00823DFA"/>
    <w:rsid w:val="0082511D"/>
    <w:rsid w:val="00837263"/>
    <w:rsid w:val="00843752"/>
    <w:rsid w:val="0084479F"/>
    <w:rsid w:val="00845C75"/>
    <w:rsid w:val="0085725E"/>
    <w:rsid w:val="008735B8"/>
    <w:rsid w:val="00881629"/>
    <w:rsid w:val="00885B09"/>
    <w:rsid w:val="00887523"/>
    <w:rsid w:val="00892400"/>
    <w:rsid w:val="00893E4C"/>
    <w:rsid w:val="008A209D"/>
    <w:rsid w:val="008B0E29"/>
    <w:rsid w:val="008B0EFA"/>
    <w:rsid w:val="008B30AB"/>
    <w:rsid w:val="008C22CD"/>
    <w:rsid w:val="008D60ED"/>
    <w:rsid w:val="008E5F55"/>
    <w:rsid w:val="008E6568"/>
    <w:rsid w:val="008E67A8"/>
    <w:rsid w:val="008E6DC2"/>
    <w:rsid w:val="00900921"/>
    <w:rsid w:val="00905DEF"/>
    <w:rsid w:val="00913B43"/>
    <w:rsid w:val="00930203"/>
    <w:rsid w:val="009311D2"/>
    <w:rsid w:val="009311E6"/>
    <w:rsid w:val="00931275"/>
    <w:rsid w:val="00936AC7"/>
    <w:rsid w:val="00941419"/>
    <w:rsid w:val="00941FC4"/>
    <w:rsid w:val="009502B3"/>
    <w:rsid w:val="00953B64"/>
    <w:rsid w:val="00953D36"/>
    <w:rsid w:val="00957483"/>
    <w:rsid w:val="0096168D"/>
    <w:rsid w:val="009766FE"/>
    <w:rsid w:val="0098572B"/>
    <w:rsid w:val="009A1674"/>
    <w:rsid w:val="009B320D"/>
    <w:rsid w:val="009B4C0F"/>
    <w:rsid w:val="009C684F"/>
    <w:rsid w:val="009D074C"/>
    <w:rsid w:val="009E0276"/>
    <w:rsid w:val="009F2B4F"/>
    <w:rsid w:val="009F66B5"/>
    <w:rsid w:val="00A070A8"/>
    <w:rsid w:val="00A16221"/>
    <w:rsid w:val="00A20A7D"/>
    <w:rsid w:val="00A27758"/>
    <w:rsid w:val="00A329A0"/>
    <w:rsid w:val="00A35D42"/>
    <w:rsid w:val="00A46CCF"/>
    <w:rsid w:val="00A47782"/>
    <w:rsid w:val="00A53451"/>
    <w:rsid w:val="00A57DBC"/>
    <w:rsid w:val="00A57E4D"/>
    <w:rsid w:val="00A60A9C"/>
    <w:rsid w:val="00A70426"/>
    <w:rsid w:val="00A74C0D"/>
    <w:rsid w:val="00A91BF5"/>
    <w:rsid w:val="00A91E9A"/>
    <w:rsid w:val="00A93ED9"/>
    <w:rsid w:val="00A96221"/>
    <w:rsid w:val="00AB1FC6"/>
    <w:rsid w:val="00AC08D6"/>
    <w:rsid w:val="00AC6A99"/>
    <w:rsid w:val="00B055EF"/>
    <w:rsid w:val="00B07176"/>
    <w:rsid w:val="00B23769"/>
    <w:rsid w:val="00B23E3D"/>
    <w:rsid w:val="00B75176"/>
    <w:rsid w:val="00B81808"/>
    <w:rsid w:val="00B86DFA"/>
    <w:rsid w:val="00B936D0"/>
    <w:rsid w:val="00BA3F8B"/>
    <w:rsid w:val="00BB5B39"/>
    <w:rsid w:val="00BB7246"/>
    <w:rsid w:val="00BC08E6"/>
    <w:rsid w:val="00BC445E"/>
    <w:rsid w:val="00BE3600"/>
    <w:rsid w:val="00BF0BD7"/>
    <w:rsid w:val="00C014EE"/>
    <w:rsid w:val="00C01F6F"/>
    <w:rsid w:val="00C149AB"/>
    <w:rsid w:val="00C15D46"/>
    <w:rsid w:val="00C273F0"/>
    <w:rsid w:val="00C31D1B"/>
    <w:rsid w:val="00C40694"/>
    <w:rsid w:val="00C41DC8"/>
    <w:rsid w:val="00C452C3"/>
    <w:rsid w:val="00C464F6"/>
    <w:rsid w:val="00C70542"/>
    <w:rsid w:val="00C75CBF"/>
    <w:rsid w:val="00C9151C"/>
    <w:rsid w:val="00C95775"/>
    <w:rsid w:val="00CB23AC"/>
    <w:rsid w:val="00CC2894"/>
    <w:rsid w:val="00CC389B"/>
    <w:rsid w:val="00CC5A4D"/>
    <w:rsid w:val="00CD3B0F"/>
    <w:rsid w:val="00CD77C3"/>
    <w:rsid w:val="00CE112C"/>
    <w:rsid w:val="00CF112F"/>
    <w:rsid w:val="00CF55D4"/>
    <w:rsid w:val="00D00DFD"/>
    <w:rsid w:val="00D12BF1"/>
    <w:rsid w:val="00D23F03"/>
    <w:rsid w:val="00D2790F"/>
    <w:rsid w:val="00D4261E"/>
    <w:rsid w:val="00D516E0"/>
    <w:rsid w:val="00D608DA"/>
    <w:rsid w:val="00D730BF"/>
    <w:rsid w:val="00D83108"/>
    <w:rsid w:val="00DC3788"/>
    <w:rsid w:val="00DC76C7"/>
    <w:rsid w:val="00DD09F5"/>
    <w:rsid w:val="00DD4201"/>
    <w:rsid w:val="00DD4CCC"/>
    <w:rsid w:val="00DD5E9F"/>
    <w:rsid w:val="00DE5711"/>
    <w:rsid w:val="00DE6572"/>
    <w:rsid w:val="00DE7E78"/>
    <w:rsid w:val="00DF2DF8"/>
    <w:rsid w:val="00DF40ED"/>
    <w:rsid w:val="00E00EA0"/>
    <w:rsid w:val="00E20E5D"/>
    <w:rsid w:val="00E26758"/>
    <w:rsid w:val="00E4357B"/>
    <w:rsid w:val="00E52555"/>
    <w:rsid w:val="00E533AA"/>
    <w:rsid w:val="00E57849"/>
    <w:rsid w:val="00E63DE5"/>
    <w:rsid w:val="00E65A37"/>
    <w:rsid w:val="00E77B48"/>
    <w:rsid w:val="00E80B6C"/>
    <w:rsid w:val="00E86592"/>
    <w:rsid w:val="00E91799"/>
    <w:rsid w:val="00EA0691"/>
    <w:rsid w:val="00EA21FE"/>
    <w:rsid w:val="00EA2599"/>
    <w:rsid w:val="00EA34E3"/>
    <w:rsid w:val="00EB2CBA"/>
    <w:rsid w:val="00EB6119"/>
    <w:rsid w:val="00EB7538"/>
    <w:rsid w:val="00ED355F"/>
    <w:rsid w:val="00ED6A4B"/>
    <w:rsid w:val="00EE59B2"/>
    <w:rsid w:val="00EF16B2"/>
    <w:rsid w:val="00F14674"/>
    <w:rsid w:val="00F207A4"/>
    <w:rsid w:val="00F218B0"/>
    <w:rsid w:val="00F24474"/>
    <w:rsid w:val="00F30BFF"/>
    <w:rsid w:val="00F355AC"/>
    <w:rsid w:val="00F375A0"/>
    <w:rsid w:val="00F6687A"/>
    <w:rsid w:val="00F71A5A"/>
    <w:rsid w:val="00F759EF"/>
    <w:rsid w:val="00F769E0"/>
    <w:rsid w:val="00FA0890"/>
    <w:rsid w:val="00FC6BDE"/>
    <w:rsid w:val="00FD59F2"/>
    <w:rsid w:val="00FE4564"/>
    <w:rsid w:val="00FF241E"/>
    <w:rsid w:val="00FF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1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6">
    <w:name w:val="heading 6"/>
    <w:basedOn w:val="Normal"/>
    <w:next w:val="Normal"/>
    <w:link w:val="Heading6Char"/>
    <w:qFormat/>
    <w:rsid w:val="006B7C9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BodyText1">
    <w:name w:val="Body Text1"/>
    <w:aliases w:val="bt,body tx,indent,flush"/>
    <w:basedOn w:val="Normal"/>
    <w:link w:val="bodytextChar"/>
    <w:rsid w:val="001E6370"/>
    <w:pPr>
      <w:spacing w:after="240"/>
      <w:ind w:firstLine="720"/>
    </w:pPr>
  </w:style>
  <w:style w:type="character" w:customStyle="1" w:styleId="bodytextChar">
    <w:name w:val="body text Char"/>
    <w:aliases w:val="bt Char"/>
    <w:link w:val="BodyText1"/>
    <w:rsid w:val="001E6370"/>
    <w:rPr>
      <w:sz w:val="24"/>
      <w:szCs w:val="24"/>
    </w:rPr>
  </w:style>
  <w:style w:type="character" w:styleId="Hyperlink">
    <w:name w:val="Hyperlink"/>
    <w:rsid w:val="006C236A"/>
    <w:rPr>
      <w:color w:val="0000FF"/>
      <w:u w:val="single"/>
    </w:rPr>
  </w:style>
  <w:style w:type="paragraph" w:styleId="FootnoteText">
    <w:name w:val="footnote text"/>
    <w:basedOn w:val="Normal"/>
    <w:link w:val="FootnoteTextChar"/>
    <w:rsid w:val="006C236A"/>
    <w:rPr>
      <w:sz w:val="20"/>
      <w:szCs w:val="20"/>
    </w:rPr>
  </w:style>
  <w:style w:type="character" w:customStyle="1" w:styleId="FootnoteTextChar">
    <w:name w:val="Footnote Text Char"/>
    <w:basedOn w:val="DefaultParagraphFont"/>
    <w:link w:val="FootnoteText"/>
    <w:rsid w:val="006C236A"/>
  </w:style>
  <w:style w:type="character" w:styleId="FootnoteReference">
    <w:name w:val="footnote reference"/>
    <w:rsid w:val="006C236A"/>
    <w:rPr>
      <w:vertAlign w:val="superscript"/>
    </w:rPr>
  </w:style>
  <w:style w:type="character" w:styleId="FollowedHyperlink">
    <w:name w:val="FollowedHyperlink"/>
    <w:basedOn w:val="DefaultParagraphFont"/>
    <w:rsid w:val="006C236A"/>
    <w:rPr>
      <w:color w:val="954F72" w:themeColor="followedHyperlink"/>
      <w:u w:val="single"/>
    </w:rPr>
  </w:style>
  <w:style w:type="paragraph" w:customStyle="1" w:styleId="tabfigsource">
    <w:name w:val="tab/fig source"/>
    <w:basedOn w:val="Normal"/>
    <w:rsid w:val="009B320D"/>
    <w:pPr>
      <w:keepLines/>
      <w:spacing w:before="120" w:after="240"/>
      <w:ind w:left="187" w:hanging="187"/>
    </w:pPr>
    <w:rPr>
      <w:sz w:val="20"/>
      <w:szCs w:val="20"/>
    </w:rPr>
  </w:style>
  <w:style w:type="paragraph" w:customStyle="1" w:styleId="TableTitle">
    <w:name w:val="Table Title"/>
    <w:basedOn w:val="Normal"/>
    <w:rsid w:val="009B320D"/>
    <w:pPr>
      <w:keepNext/>
      <w:keepLines/>
      <w:spacing w:before="240" w:after="240"/>
      <w:ind w:left="1260" w:hanging="1260"/>
    </w:pPr>
    <w:rPr>
      <w:b/>
      <w:szCs w:val="20"/>
    </w:rPr>
  </w:style>
  <w:style w:type="character" w:customStyle="1" w:styleId="Heading6Char">
    <w:name w:val="Heading 6 Char"/>
    <w:basedOn w:val="DefaultParagraphFont"/>
    <w:link w:val="Heading6"/>
    <w:rsid w:val="006B7C9E"/>
    <w:rPr>
      <w:b/>
      <w:bCs/>
      <w:sz w:val="22"/>
      <w:szCs w:val="22"/>
    </w:rPr>
  </w:style>
  <w:style w:type="paragraph" w:styleId="ListParagraph">
    <w:name w:val="List Paragraph"/>
    <w:basedOn w:val="Normal"/>
    <w:uiPriority w:val="34"/>
    <w:qFormat/>
    <w:rsid w:val="00C452C3"/>
    <w:pPr>
      <w:ind w:left="720"/>
      <w:contextualSpacing/>
    </w:pPr>
  </w:style>
  <w:style w:type="character" w:styleId="CommentReference">
    <w:name w:val="annotation reference"/>
    <w:basedOn w:val="DefaultParagraphFont"/>
    <w:semiHidden/>
    <w:unhideWhenUsed/>
    <w:rsid w:val="00F30BFF"/>
    <w:rPr>
      <w:sz w:val="16"/>
      <w:szCs w:val="16"/>
    </w:rPr>
  </w:style>
  <w:style w:type="paragraph" w:styleId="CommentText">
    <w:name w:val="annotation text"/>
    <w:basedOn w:val="Normal"/>
    <w:link w:val="CommentTextChar"/>
    <w:semiHidden/>
    <w:unhideWhenUsed/>
    <w:rsid w:val="00F30BFF"/>
    <w:rPr>
      <w:sz w:val="20"/>
      <w:szCs w:val="20"/>
    </w:rPr>
  </w:style>
  <w:style w:type="character" w:customStyle="1" w:styleId="CommentTextChar">
    <w:name w:val="Comment Text Char"/>
    <w:basedOn w:val="DefaultParagraphFont"/>
    <w:link w:val="CommentText"/>
    <w:semiHidden/>
    <w:rsid w:val="00F30BFF"/>
  </w:style>
  <w:style w:type="paragraph" w:styleId="CommentSubject">
    <w:name w:val="annotation subject"/>
    <w:basedOn w:val="CommentText"/>
    <w:next w:val="CommentText"/>
    <w:link w:val="CommentSubjectChar"/>
    <w:semiHidden/>
    <w:unhideWhenUsed/>
    <w:rsid w:val="00F30BFF"/>
    <w:rPr>
      <w:b/>
      <w:bCs/>
    </w:rPr>
  </w:style>
  <w:style w:type="character" w:customStyle="1" w:styleId="CommentSubjectChar">
    <w:name w:val="Comment Subject Char"/>
    <w:basedOn w:val="CommentTextChar"/>
    <w:link w:val="CommentSubject"/>
    <w:semiHidden/>
    <w:rsid w:val="00F30B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paragraph" w:styleId="Heading6">
    <w:name w:val="heading 6"/>
    <w:basedOn w:val="Normal"/>
    <w:next w:val="Normal"/>
    <w:link w:val="Heading6Char"/>
    <w:qFormat/>
    <w:rsid w:val="006B7C9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customStyle="1" w:styleId="BodyText1">
    <w:name w:val="Body Text1"/>
    <w:aliases w:val="bt,body tx,indent,flush"/>
    <w:basedOn w:val="Normal"/>
    <w:link w:val="bodytextChar"/>
    <w:rsid w:val="001E6370"/>
    <w:pPr>
      <w:spacing w:after="240"/>
      <w:ind w:firstLine="720"/>
    </w:pPr>
  </w:style>
  <w:style w:type="character" w:customStyle="1" w:styleId="bodytextChar">
    <w:name w:val="body text Char"/>
    <w:aliases w:val="bt Char"/>
    <w:link w:val="BodyText1"/>
    <w:rsid w:val="001E6370"/>
    <w:rPr>
      <w:sz w:val="24"/>
      <w:szCs w:val="24"/>
    </w:rPr>
  </w:style>
  <w:style w:type="character" w:styleId="Hyperlink">
    <w:name w:val="Hyperlink"/>
    <w:rsid w:val="006C236A"/>
    <w:rPr>
      <w:color w:val="0000FF"/>
      <w:u w:val="single"/>
    </w:rPr>
  </w:style>
  <w:style w:type="paragraph" w:styleId="FootnoteText">
    <w:name w:val="footnote text"/>
    <w:basedOn w:val="Normal"/>
    <w:link w:val="FootnoteTextChar"/>
    <w:rsid w:val="006C236A"/>
    <w:rPr>
      <w:sz w:val="20"/>
      <w:szCs w:val="20"/>
    </w:rPr>
  </w:style>
  <w:style w:type="character" w:customStyle="1" w:styleId="FootnoteTextChar">
    <w:name w:val="Footnote Text Char"/>
    <w:basedOn w:val="DefaultParagraphFont"/>
    <w:link w:val="FootnoteText"/>
    <w:rsid w:val="006C236A"/>
  </w:style>
  <w:style w:type="character" w:styleId="FootnoteReference">
    <w:name w:val="footnote reference"/>
    <w:rsid w:val="006C236A"/>
    <w:rPr>
      <w:vertAlign w:val="superscript"/>
    </w:rPr>
  </w:style>
  <w:style w:type="character" w:styleId="FollowedHyperlink">
    <w:name w:val="FollowedHyperlink"/>
    <w:basedOn w:val="DefaultParagraphFont"/>
    <w:rsid w:val="006C236A"/>
    <w:rPr>
      <w:color w:val="954F72" w:themeColor="followedHyperlink"/>
      <w:u w:val="single"/>
    </w:rPr>
  </w:style>
  <w:style w:type="paragraph" w:customStyle="1" w:styleId="tabfigsource">
    <w:name w:val="tab/fig source"/>
    <w:basedOn w:val="Normal"/>
    <w:rsid w:val="009B320D"/>
    <w:pPr>
      <w:keepLines/>
      <w:spacing w:before="120" w:after="240"/>
      <w:ind w:left="187" w:hanging="187"/>
    </w:pPr>
    <w:rPr>
      <w:sz w:val="20"/>
      <w:szCs w:val="20"/>
    </w:rPr>
  </w:style>
  <w:style w:type="paragraph" w:customStyle="1" w:styleId="TableTitle">
    <w:name w:val="Table Title"/>
    <w:basedOn w:val="Normal"/>
    <w:rsid w:val="009B320D"/>
    <w:pPr>
      <w:keepNext/>
      <w:keepLines/>
      <w:spacing w:before="240" w:after="240"/>
      <w:ind w:left="1260" w:hanging="1260"/>
    </w:pPr>
    <w:rPr>
      <w:b/>
      <w:szCs w:val="20"/>
    </w:rPr>
  </w:style>
  <w:style w:type="character" w:customStyle="1" w:styleId="Heading6Char">
    <w:name w:val="Heading 6 Char"/>
    <w:basedOn w:val="DefaultParagraphFont"/>
    <w:link w:val="Heading6"/>
    <w:rsid w:val="006B7C9E"/>
    <w:rPr>
      <w:b/>
      <w:bCs/>
      <w:sz w:val="22"/>
      <w:szCs w:val="22"/>
    </w:rPr>
  </w:style>
  <w:style w:type="paragraph" w:styleId="ListParagraph">
    <w:name w:val="List Paragraph"/>
    <w:basedOn w:val="Normal"/>
    <w:uiPriority w:val="34"/>
    <w:qFormat/>
    <w:rsid w:val="00C452C3"/>
    <w:pPr>
      <w:ind w:left="720"/>
      <w:contextualSpacing/>
    </w:pPr>
  </w:style>
  <w:style w:type="character" w:styleId="CommentReference">
    <w:name w:val="annotation reference"/>
    <w:basedOn w:val="DefaultParagraphFont"/>
    <w:semiHidden/>
    <w:unhideWhenUsed/>
    <w:rsid w:val="00F30BFF"/>
    <w:rPr>
      <w:sz w:val="16"/>
      <w:szCs w:val="16"/>
    </w:rPr>
  </w:style>
  <w:style w:type="paragraph" w:styleId="CommentText">
    <w:name w:val="annotation text"/>
    <w:basedOn w:val="Normal"/>
    <w:link w:val="CommentTextChar"/>
    <w:semiHidden/>
    <w:unhideWhenUsed/>
    <w:rsid w:val="00F30BFF"/>
    <w:rPr>
      <w:sz w:val="20"/>
      <w:szCs w:val="20"/>
    </w:rPr>
  </w:style>
  <w:style w:type="character" w:customStyle="1" w:styleId="CommentTextChar">
    <w:name w:val="Comment Text Char"/>
    <w:basedOn w:val="DefaultParagraphFont"/>
    <w:link w:val="CommentText"/>
    <w:semiHidden/>
    <w:rsid w:val="00F30BFF"/>
  </w:style>
  <w:style w:type="paragraph" w:styleId="CommentSubject">
    <w:name w:val="annotation subject"/>
    <w:basedOn w:val="CommentText"/>
    <w:next w:val="CommentText"/>
    <w:link w:val="CommentSubjectChar"/>
    <w:semiHidden/>
    <w:unhideWhenUsed/>
    <w:rsid w:val="00F30BFF"/>
    <w:rPr>
      <w:b/>
      <w:bCs/>
    </w:rPr>
  </w:style>
  <w:style w:type="character" w:customStyle="1" w:styleId="CommentSubjectChar">
    <w:name w:val="Comment Subject Char"/>
    <w:basedOn w:val="CommentTextChar"/>
    <w:link w:val="CommentSubject"/>
    <w:semiHidden/>
    <w:rsid w:val="00F30B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6757">
      <w:bodyDiv w:val="1"/>
      <w:marLeft w:val="0"/>
      <w:marRight w:val="0"/>
      <w:marTop w:val="0"/>
      <w:marBottom w:val="0"/>
      <w:divBdr>
        <w:top w:val="none" w:sz="0" w:space="0" w:color="auto"/>
        <w:left w:val="none" w:sz="0" w:space="0" w:color="auto"/>
        <w:bottom w:val="none" w:sz="0" w:space="0" w:color="auto"/>
        <w:right w:val="none" w:sz="0" w:space="0" w:color="auto"/>
      </w:divBdr>
    </w:div>
    <w:div w:id="161433412">
      <w:bodyDiv w:val="1"/>
      <w:marLeft w:val="0"/>
      <w:marRight w:val="0"/>
      <w:marTop w:val="0"/>
      <w:marBottom w:val="0"/>
      <w:divBdr>
        <w:top w:val="none" w:sz="0" w:space="0" w:color="auto"/>
        <w:left w:val="none" w:sz="0" w:space="0" w:color="auto"/>
        <w:bottom w:val="none" w:sz="0" w:space="0" w:color="auto"/>
        <w:right w:val="none" w:sz="0" w:space="0" w:color="auto"/>
      </w:divBdr>
    </w:div>
    <w:div w:id="233708023">
      <w:bodyDiv w:val="1"/>
      <w:marLeft w:val="0"/>
      <w:marRight w:val="0"/>
      <w:marTop w:val="0"/>
      <w:marBottom w:val="0"/>
      <w:divBdr>
        <w:top w:val="none" w:sz="0" w:space="0" w:color="auto"/>
        <w:left w:val="none" w:sz="0" w:space="0" w:color="auto"/>
        <w:bottom w:val="none" w:sz="0" w:space="0" w:color="auto"/>
        <w:right w:val="none" w:sz="0" w:space="0" w:color="auto"/>
      </w:divBdr>
    </w:div>
    <w:div w:id="486290841">
      <w:bodyDiv w:val="1"/>
      <w:marLeft w:val="0"/>
      <w:marRight w:val="0"/>
      <w:marTop w:val="0"/>
      <w:marBottom w:val="0"/>
      <w:divBdr>
        <w:top w:val="none" w:sz="0" w:space="0" w:color="auto"/>
        <w:left w:val="none" w:sz="0" w:space="0" w:color="auto"/>
        <w:bottom w:val="none" w:sz="0" w:space="0" w:color="auto"/>
        <w:right w:val="none" w:sz="0" w:space="0" w:color="auto"/>
      </w:divBdr>
    </w:div>
    <w:div w:id="532814487">
      <w:bodyDiv w:val="1"/>
      <w:marLeft w:val="0"/>
      <w:marRight w:val="0"/>
      <w:marTop w:val="0"/>
      <w:marBottom w:val="0"/>
      <w:divBdr>
        <w:top w:val="none" w:sz="0" w:space="0" w:color="auto"/>
        <w:left w:val="none" w:sz="0" w:space="0" w:color="auto"/>
        <w:bottom w:val="none" w:sz="0" w:space="0" w:color="auto"/>
        <w:right w:val="none" w:sz="0" w:space="0" w:color="auto"/>
      </w:divBdr>
    </w:div>
    <w:div w:id="59856766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F853-B1B7-419E-A13C-4C57B27C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2010-12-08T19:17:00Z</cp:lastPrinted>
  <dcterms:created xsi:type="dcterms:W3CDTF">2018-07-10T20:23:00Z</dcterms:created>
  <dcterms:modified xsi:type="dcterms:W3CDTF">2018-07-10T20:23:00Z</dcterms:modified>
</cp:coreProperties>
</file>