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DCDF7" w14:textId="77777777" w:rsidR="00795DF3" w:rsidRPr="00CC09BF" w:rsidRDefault="00795DF3" w:rsidP="00795DF3">
      <w:pPr>
        <w:rPr>
          <w:color w:val="FF0000"/>
        </w:rPr>
      </w:pPr>
      <w:bookmarkStart w:id="0" w:name="_GoBack"/>
      <w:bookmarkEnd w:id="0"/>
    </w:p>
    <w:p w14:paraId="4A535DFD" w14:textId="77777777" w:rsidR="00795DF3" w:rsidRDefault="00795DF3" w:rsidP="00795DF3">
      <w:pPr>
        <w:jc w:val="center"/>
        <w:rPr>
          <w:b/>
        </w:rPr>
      </w:pPr>
    </w:p>
    <w:p w14:paraId="7B4983E8" w14:textId="77777777" w:rsidR="0094010A" w:rsidRDefault="0094010A" w:rsidP="00795DF3">
      <w:pPr>
        <w:jc w:val="center"/>
      </w:pPr>
      <w:r>
        <w:t>U.S. Food and Drug Administration</w:t>
      </w:r>
    </w:p>
    <w:p w14:paraId="6687F38D" w14:textId="77777777" w:rsidR="00E935A2" w:rsidRDefault="00EE789F" w:rsidP="00B23769">
      <w:pPr>
        <w:jc w:val="center"/>
      </w:pPr>
      <w:r w:rsidRPr="00505199">
        <w:t xml:space="preserve">Electronic </w:t>
      </w:r>
      <w:r w:rsidR="001F1FCE" w:rsidRPr="00505199">
        <w:t>User Fee Payme</w:t>
      </w:r>
      <w:r w:rsidR="00602ED1" w:rsidRPr="00505199">
        <w:t>nt Form</w:t>
      </w:r>
      <w:r w:rsidRPr="00505199">
        <w:t xml:space="preserve"> Request</w:t>
      </w:r>
      <w:r w:rsidR="00602ED1" w:rsidRPr="00505199">
        <w:t>s</w:t>
      </w:r>
    </w:p>
    <w:p w14:paraId="31A6036D" w14:textId="1AF93C38" w:rsidR="00EB7538" w:rsidRPr="009A1674" w:rsidRDefault="00E23BED" w:rsidP="00B23769">
      <w:pPr>
        <w:jc w:val="center"/>
      </w:pPr>
      <w:r>
        <w:t>OMB Control No. 0910-0805</w:t>
      </w:r>
      <w:r w:rsidR="00A35D42" w:rsidRPr="009A1674">
        <w:br/>
      </w:r>
    </w:p>
    <w:p w14:paraId="48DE31E8" w14:textId="77777777" w:rsidR="00810FF1" w:rsidRPr="00A81FC7" w:rsidRDefault="00810FF1" w:rsidP="00B23769">
      <w:pPr>
        <w:jc w:val="center"/>
        <w:rPr>
          <w:b/>
          <w:color w:val="000000" w:themeColor="text1"/>
        </w:rPr>
      </w:pPr>
    </w:p>
    <w:p w14:paraId="0F2D6BCC" w14:textId="77777777" w:rsidR="00E23BED" w:rsidRDefault="00E23BED" w:rsidP="00E23BED">
      <w:pPr>
        <w:rPr>
          <w:b/>
        </w:rPr>
      </w:pPr>
      <w:r>
        <w:t>SUPPORTING STATEMENT</w:t>
      </w:r>
      <w:r>
        <w:rPr>
          <w:b/>
        </w:rPr>
        <w:t xml:space="preserve"> Part A: Justification</w:t>
      </w:r>
    </w:p>
    <w:p w14:paraId="5C8D34C5" w14:textId="77777777" w:rsidR="00E23BED" w:rsidRDefault="00E23BED" w:rsidP="00810FF1">
      <w:pPr>
        <w:rPr>
          <w:b/>
          <w:color w:val="000000" w:themeColor="text1"/>
        </w:rPr>
      </w:pPr>
    </w:p>
    <w:p w14:paraId="302E443B" w14:textId="77777777" w:rsidR="00810FF1" w:rsidRPr="00A81FC7" w:rsidRDefault="00810FF1" w:rsidP="00810FF1">
      <w:pPr>
        <w:rPr>
          <w:color w:val="000000" w:themeColor="text1"/>
        </w:rPr>
      </w:pPr>
      <w:r w:rsidRPr="00A81FC7">
        <w:rPr>
          <w:b/>
          <w:color w:val="000000" w:themeColor="text1"/>
        </w:rPr>
        <w:t xml:space="preserve">Terms of Clearance: </w:t>
      </w:r>
      <w:r w:rsidR="00670293" w:rsidRPr="00A81FC7">
        <w:rPr>
          <w:color w:val="000000" w:themeColor="text1"/>
        </w:rPr>
        <w:t>None</w:t>
      </w:r>
    </w:p>
    <w:p w14:paraId="79FC5D07" w14:textId="77777777" w:rsidR="00CC09BF" w:rsidRPr="00A81FC7" w:rsidRDefault="00CC09BF" w:rsidP="00810FF1">
      <w:pPr>
        <w:rPr>
          <w:color w:val="000000" w:themeColor="text1"/>
        </w:rPr>
      </w:pPr>
    </w:p>
    <w:p w14:paraId="7EBD3EDC" w14:textId="77777777" w:rsidR="00B81808" w:rsidRPr="00A81FC7" w:rsidRDefault="00EB7538" w:rsidP="00D608DA">
      <w:pPr>
        <w:numPr>
          <w:ilvl w:val="0"/>
          <w:numId w:val="1"/>
        </w:numPr>
        <w:spacing w:before="100" w:beforeAutospacing="1" w:after="100" w:afterAutospacing="1"/>
        <w:rPr>
          <w:i/>
          <w:color w:val="000000" w:themeColor="text1"/>
        </w:rPr>
      </w:pPr>
      <w:r w:rsidRPr="00A81FC7">
        <w:rPr>
          <w:color w:val="000000" w:themeColor="text1"/>
          <w:u w:val="single"/>
        </w:rPr>
        <w:t>Circumstances Making the Collection of Information Necessary</w:t>
      </w:r>
    </w:p>
    <w:p w14:paraId="3D216FAA" w14:textId="612D3C0C" w:rsidR="00BF1211" w:rsidRPr="00A81FC7" w:rsidRDefault="007677DB" w:rsidP="008F2898">
      <w:pPr>
        <w:ind w:left="720"/>
        <w:rPr>
          <w:color w:val="000000" w:themeColor="text1"/>
        </w:rPr>
      </w:pPr>
      <w:r>
        <w:rPr>
          <w:color w:val="000000" w:themeColor="text1"/>
        </w:rPr>
        <w:t>Thi</w:t>
      </w:r>
      <w:r w:rsidR="007A08F3">
        <w:rPr>
          <w:color w:val="000000" w:themeColor="text1"/>
        </w:rPr>
        <w:t xml:space="preserve">s information collection </w:t>
      </w:r>
      <w:r w:rsidR="007A08F3">
        <w:t>supports Food and Drug Administration (FDA or we)</w:t>
      </w:r>
      <w:r w:rsidR="0062028B">
        <w:t xml:space="preserve"> </w:t>
      </w:r>
      <w:r w:rsidR="003B2E63">
        <w:t xml:space="preserve">user fee </w:t>
      </w:r>
      <w:r w:rsidR="0062028B">
        <w:t>program</w:t>
      </w:r>
      <w:r w:rsidR="003B2E63">
        <w:t>s</w:t>
      </w:r>
      <w:r w:rsidR="0062028B">
        <w:t>.</w:t>
      </w:r>
      <w:r w:rsidR="007A08F3">
        <w:t xml:space="preserve"> </w:t>
      </w:r>
      <w:r>
        <w:rPr>
          <w:color w:val="000000" w:themeColor="text1"/>
        </w:rPr>
        <w:t xml:space="preserve"> </w:t>
      </w:r>
      <w:r w:rsidR="008F2898" w:rsidRPr="00A81FC7">
        <w:rPr>
          <w:color w:val="000000" w:themeColor="text1"/>
        </w:rPr>
        <w:t xml:space="preserve">The Government Paperwork Elimination Act (GPEA), Public Law 105-277, title XVII, was signed into law on </w:t>
      </w:r>
      <w:smartTag w:uri="urn:schemas-microsoft-com:office:smarttags" w:element="PostalCode">
        <w:smartTagPr>
          <w:attr w:name="Year" w:val="1998"/>
          <w:attr w:name="Day" w:val="21"/>
          <w:attr w:name="Month" w:val="10"/>
          <w:attr w:name="ls" w:val="trans"/>
        </w:smartTagPr>
        <w:r w:rsidR="008F2898" w:rsidRPr="00A81FC7">
          <w:rPr>
            <w:color w:val="000000" w:themeColor="text1"/>
          </w:rPr>
          <w:t>October 21, 1998</w:t>
        </w:r>
      </w:smartTag>
      <w:r w:rsidR="008F2898" w:rsidRPr="00A81FC7">
        <w:rPr>
          <w:color w:val="000000" w:themeColor="text1"/>
        </w:rPr>
        <w:t>. GPEA requires Federal agencies to allow individuals or entities that deal with the agencies the option to submit information or transact business with the agency electronically, when practicable, and to maintain records electronically, when practicable.</w:t>
      </w:r>
      <w:r w:rsidR="008F2898" w:rsidRPr="00A81FC7">
        <w:rPr>
          <w:b/>
          <w:color w:val="000000" w:themeColor="text1"/>
        </w:rPr>
        <w:t xml:space="preserve"> </w:t>
      </w:r>
      <w:r w:rsidR="008F2898" w:rsidRPr="00A81FC7">
        <w:rPr>
          <w:color w:val="000000" w:themeColor="text1"/>
        </w:rPr>
        <w:t xml:space="preserve">Its goal is to encourage agencies to incorporate technologically improved respondent reporting as this process typically lowers burden to the respondent.  </w:t>
      </w:r>
    </w:p>
    <w:p w14:paraId="46C59C68" w14:textId="77777777" w:rsidR="00BF1211" w:rsidRPr="00A474CF" w:rsidRDefault="00BF1211" w:rsidP="008F2898">
      <w:pPr>
        <w:ind w:left="720"/>
        <w:rPr>
          <w:color w:val="000000" w:themeColor="text1"/>
        </w:rPr>
      </w:pPr>
    </w:p>
    <w:p w14:paraId="67E3AF59" w14:textId="7ED3C44D" w:rsidR="003B2E63" w:rsidRDefault="008F2898" w:rsidP="008F2898">
      <w:pPr>
        <w:ind w:left="720"/>
        <w:rPr>
          <w:color w:val="000000" w:themeColor="text1"/>
        </w:rPr>
      </w:pPr>
      <w:r w:rsidRPr="00A474CF">
        <w:rPr>
          <w:color w:val="000000" w:themeColor="text1"/>
        </w:rPr>
        <w:t xml:space="preserve">GPEA allows </w:t>
      </w:r>
      <w:r w:rsidR="00A81FC7" w:rsidRPr="00A474CF">
        <w:rPr>
          <w:color w:val="000000" w:themeColor="text1"/>
        </w:rPr>
        <w:t>the</w:t>
      </w:r>
      <w:r w:rsidR="00EC0D26" w:rsidRPr="00A474CF">
        <w:rPr>
          <w:color w:val="000000" w:themeColor="text1"/>
        </w:rPr>
        <w:t>FDA</w:t>
      </w:r>
      <w:r w:rsidR="00BB2763" w:rsidRPr="00A474CF">
        <w:rPr>
          <w:color w:val="000000" w:themeColor="text1"/>
        </w:rPr>
        <w:t xml:space="preserve"> to collect information </w:t>
      </w:r>
      <w:r w:rsidR="00BF1211" w:rsidRPr="00A474CF">
        <w:rPr>
          <w:color w:val="000000" w:themeColor="text1"/>
        </w:rPr>
        <w:t xml:space="preserve">relating to </w:t>
      </w:r>
      <w:r w:rsidR="0068078A" w:rsidRPr="00A474CF">
        <w:rPr>
          <w:color w:val="000000" w:themeColor="text1"/>
        </w:rPr>
        <w:t xml:space="preserve">user fee </w:t>
      </w:r>
      <w:r w:rsidR="00BB2763" w:rsidRPr="00A474CF">
        <w:rPr>
          <w:color w:val="000000" w:themeColor="text1"/>
        </w:rPr>
        <w:t xml:space="preserve">payment </w:t>
      </w:r>
      <w:r w:rsidR="00441D5F" w:rsidRPr="00A474CF">
        <w:rPr>
          <w:color w:val="000000" w:themeColor="text1"/>
        </w:rPr>
        <w:t>refund</w:t>
      </w:r>
      <w:r w:rsidR="003B2E63">
        <w:rPr>
          <w:color w:val="000000" w:themeColor="text1"/>
        </w:rPr>
        <w:t>s</w:t>
      </w:r>
      <w:r w:rsidR="00BB2763" w:rsidRPr="00A474CF">
        <w:rPr>
          <w:color w:val="000000" w:themeColor="text1"/>
        </w:rPr>
        <w:t xml:space="preserve"> </w:t>
      </w:r>
      <w:r w:rsidR="00215866" w:rsidRPr="00A474CF">
        <w:rPr>
          <w:color w:val="000000" w:themeColor="text1"/>
        </w:rPr>
        <w:t xml:space="preserve">and transfer </w:t>
      </w:r>
      <w:r w:rsidR="00BF1211" w:rsidRPr="00A474CF">
        <w:rPr>
          <w:color w:val="000000" w:themeColor="text1"/>
        </w:rPr>
        <w:t>request</w:t>
      </w:r>
      <w:r w:rsidR="00215866" w:rsidRPr="00A474CF">
        <w:rPr>
          <w:color w:val="000000" w:themeColor="text1"/>
        </w:rPr>
        <w:t>s</w:t>
      </w:r>
      <w:r w:rsidR="00BF1211" w:rsidRPr="00A474CF">
        <w:rPr>
          <w:color w:val="000000" w:themeColor="text1"/>
        </w:rPr>
        <w:t>.  The</w:t>
      </w:r>
      <w:r w:rsidR="00BB2763" w:rsidRPr="00A474CF">
        <w:rPr>
          <w:color w:val="000000" w:themeColor="text1"/>
        </w:rPr>
        <w:t xml:space="preserve"> information contained in the form</w:t>
      </w:r>
      <w:r w:rsidR="00215866" w:rsidRPr="00A474CF">
        <w:rPr>
          <w:color w:val="000000" w:themeColor="text1"/>
        </w:rPr>
        <w:t>s</w:t>
      </w:r>
      <w:r w:rsidR="00BB2763" w:rsidRPr="00A474CF">
        <w:rPr>
          <w:color w:val="000000" w:themeColor="text1"/>
        </w:rPr>
        <w:t xml:space="preserve"> is the minimum amount of information required to review and process a </w:t>
      </w:r>
      <w:r w:rsidR="00441D5F" w:rsidRPr="00A474CF">
        <w:rPr>
          <w:color w:val="000000" w:themeColor="text1"/>
        </w:rPr>
        <w:t>refund</w:t>
      </w:r>
      <w:r w:rsidR="00BB2763" w:rsidRPr="00A474CF">
        <w:rPr>
          <w:color w:val="000000" w:themeColor="text1"/>
        </w:rPr>
        <w:t xml:space="preserve"> </w:t>
      </w:r>
      <w:r w:rsidR="00215866" w:rsidRPr="00A474CF">
        <w:rPr>
          <w:color w:val="000000" w:themeColor="text1"/>
        </w:rPr>
        <w:t xml:space="preserve">or transfer </w:t>
      </w:r>
      <w:r w:rsidR="00BB2763" w:rsidRPr="00A474CF">
        <w:rPr>
          <w:color w:val="000000" w:themeColor="text1"/>
        </w:rPr>
        <w:t>request</w:t>
      </w:r>
      <w:r w:rsidR="002367AA" w:rsidRPr="00A474CF">
        <w:rPr>
          <w:color w:val="000000" w:themeColor="text1"/>
        </w:rPr>
        <w:t xml:space="preserve">.  This electronic submission is intended to reduce the burden for customers to submit </w:t>
      </w:r>
      <w:r w:rsidR="00BF1211" w:rsidRPr="00A474CF">
        <w:rPr>
          <w:color w:val="000000" w:themeColor="text1"/>
        </w:rPr>
        <w:t xml:space="preserve">a </w:t>
      </w:r>
      <w:r w:rsidR="002367AA" w:rsidRPr="00A474CF">
        <w:rPr>
          <w:color w:val="000000" w:themeColor="text1"/>
        </w:rPr>
        <w:t>user fee payment</w:t>
      </w:r>
      <w:r w:rsidR="00441D5F" w:rsidRPr="00A474CF">
        <w:rPr>
          <w:color w:val="000000" w:themeColor="text1"/>
        </w:rPr>
        <w:t xml:space="preserve"> refund</w:t>
      </w:r>
      <w:r w:rsidR="002367AA" w:rsidRPr="00A474CF">
        <w:rPr>
          <w:color w:val="000000" w:themeColor="text1"/>
        </w:rPr>
        <w:t xml:space="preserve"> </w:t>
      </w:r>
      <w:r w:rsidR="00215866" w:rsidRPr="00A474CF">
        <w:rPr>
          <w:color w:val="000000" w:themeColor="text1"/>
        </w:rPr>
        <w:t xml:space="preserve">or transfer </w:t>
      </w:r>
      <w:r w:rsidR="00BF1211" w:rsidRPr="00A474CF">
        <w:rPr>
          <w:color w:val="000000" w:themeColor="text1"/>
        </w:rPr>
        <w:t>request.</w:t>
      </w:r>
    </w:p>
    <w:p w14:paraId="14DE9BEE" w14:textId="77777777" w:rsidR="003B2E63" w:rsidRDefault="003B2E63" w:rsidP="008F2898">
      <w:pPr>
        <w:ind w:left="720"/>
        <w:rPr>
          <w:color w:val="000000" w:themeColor="text1"/>
        </w:rPr>
      </w:pPr>
    </w:p>
    <w:p w14:paraId="2E7957C1" w14:textId="41661940" w:rsidR="003B2E63" w:rsidRDefault="003B2E63" w:rsidP="008F2898">
      <w:pPr>
        <w:ind w:left="720"/>
        <w:rPr>
          <w:color w:val="000000" w:themeColor="text1"/>
        </w:rPr>
      </w:pPr>
      <w:r>
        <w:rPr>
          <w:color w:val="000000" w:themeColor="text1"/>
        </w:rPr>
        <w:t>To assist respondents with the reporting requirements associated with the information collection, we have developed two forms:  Form FDA 3913 entitled, “</w:t>
      </w:r>
      <w:r w:rsidRPr="003B2E63">
        <w:rPr>
          <w:color w:val="000000" w:themeColor="text1"/>
        </w:rPr>
        <w:t>User Fee Payment Refund Request</w:t>
      </w:r>
      <w:r>
        <w:rPr>
          <w:color w:val="000000" w:themeColor="text1"/>
        </w:rPr>
        <w:t>,” and Form FDA 3914 entitle</w:t>
      </w:r>
      <w:r w:rsidR="00441437">
        <w:rPr>
          <w:color w:val="000000" w:themeColor="text1"/>
        </w:rPr>
        <w:t>d</w:t>
      </w:r>
      <w:r>
        <w:rPr>
          <w:color w:val="000000" w:themeColor="text1"/>
        </w:rPr>
        <w:t>, “</w:t>
      </w:r>
      <w:r w:rsidRPr="003B2E63">
        <w:rPr>
          <w:color w:val="000000" w:themeColor="text1"/>
        </w:rPr>
        <w:t>User Fee Payment Transfer Request</w:t>
      </w:r>
      <w:r>
        <w:rPr>
          <w:color w:val="000000" w:themeColor="text1"/>
        </w:rPr>
        <w:t>.”</w:t>
      </w:r>
    </w:p>
    <w:p w14:paraId="253F434B" w14:textId="09EA7E0E" w:rsidR="003B2E63" w:rsidRDefault="003B2E63" w:rsidP="008F2898">
      <w:pPr>
        <w:ind w:left="720"/>
        <w:rPr>
          <w:color w:val="000000" w:themeColor="text1"/>
        </w:rPr>
      </w:pPr>
      <w:r>
        <w:rPr>
          <w:color w:val="000000" w:themeColor="text1"/>
        </w:rPr>
        <w:t>We therefore request OMB approval of the information collection found in Forms FDA 3913 and 3914, and discussed in this supporting statement.</w:t>
      </w:r>
    </w:p>
    <w:p w14:paraId="5DC16903" w14:textId="04E373F6" w:rsidR="008B30AB" w:rsidRPr="00A474CF" w:rsidRDefault="00EB7538" w:rsidP="008B30AB">
      <w:pPr>
        <w:numPr>
          <w:ilvl w:val="0"/>
          <w:numId w:val="1"/>
        </w:numPr>
        <w:spacing w:before="100" w:beforeAutospacing="1" w:after="100" w:afterAutospacing="1"/>
        <w:rPr>
          <w:color w:val="000000" w:themeColor="text1"/>
          <w:u w:val="single"/>
        </w:rPr>
      </w:pPr>
      <w:r w:rsidRPr="00A474CF">
        <w:rPr>
          <w:color w:val="000000" w:themeColor="text1"/>
          <w:u w:val="single"/>
        </w:rPr>
        <w:t xml:space="preserve">Purpose and Use of the Information Collection </w:t>
      </w:r>
    </w:p>
    <w:p w14:paraId="5FE6766C" w14:textId="1666AAF8" w:rsidR="002A0C6A" w:rsidRPr="00A474CF" w:rsidRDefault="00A81FC7" w:rsidP="00841251">
      <w:pPr>
        <w:ind w:left="720"/>
        <w:rPr>
          <w:color w:val="000000" w:themeColor="text1"/>
        </w:rPr>
      </w:pPr>
      <w:r w:rsidRPr="00A474CF">
        <w:rPr>
          <w:color w:val="000000" w:themeColor="text1"/>
        </w:rPr>
        <w:t>Form</w:t>
      </w:r>
      <w:r w:rsidR="003B2E63">
        <w:rPr>
          <w:color w:val="000000" w:themeColor="text1"/>
        </w:rPr>
        <w:t>s</w:t>
      </w:r>
      <w:r w:rsidRPr="00A474CF">
        <w:rPr>
          <w:color w:val="000000" w:themeColor="text1"/>
        </w:rPr>
        <w:t xml:space="preserve">FDA 3913 facilitate </w:t>
      </w:r>
      <w:r w:rsidR="003B2E63">
        <w:rPr>
          <w:color w:val="000000" w:themeColor="text1"/>
        </w:rPr>
        <w:t xml:space="preserve">our </w:t>
      </w:r>
      <w:r w:rsidRPr="00A474CF">
        <w:rPr>
          <w:color w:val="000000" w:themeColor="text1"/>
        </w:rPr>
        <w:t>review and processing of user fee payment refunds.  The Form FDA 3913 intend</w:t>
      </w:r>
      <w:r w:rsidR="003B2E63">
        <w:rPr>
          <w:color w:val="000000" w:themeColor="text1"/>
        </w:rPr>
        <w:t>s</w:t>
      </w:r>
      <w:r w:rsidRPr="00A474CF">
        <w:rPr>
          <w:color w:val="000000" w:themeColor="text1"/>
        </w:rPr>
        <w:t>to</w:t>
      </w:r>
      <w:r w:rsidR="002A0C6A" w:rsidRPr="00A474CF">
        <w:rPr>
          <w:color w:val="000000" w:themeColor="text1"/>
        </w:rPr>
        <w:t xml:space="preserve"> collect information from</w:t>
      </w:r>
      <w:r w:rsidR="003B2E63">
        <w:rPr>
          <w:color w:val="000000" w:themeColor="text1"/>
        </w:rPr>
        <w:t xml:space="preserve"> respondents</w:t>
      </w:r>
      <w:r w:rsidR="002A0C6A" w:rsidRPr="00A474CF">
        <w:rPr>
          <w:color w:val="000000" w:themeColor="text1"/>
        </w:rPr>
        <w:t xml:space="preserve"> who wish to electronically submit a user fee refund request for a duplicate payment, overpayment or for a withdrawn application or submission. Respondents submit organization, contact and payment information</w:t>
      </w:r>
      <w:r w:rsidRPr="00A474CF">
        <w:rPr>
          <w:color w:val="000000" w:themeColor="text1"/>
        </w:rPr>
        <w:t xml:space="preserve">.  The </w:t>
      </w:r>
      <w:r w:rsidR="002A0C6A" w:rsidRPr="00A474CF">
        <w:rPr>
          <w:color w:val="000000" w:themeColor="text1"/>
        </w:rPr>
        <w:t xml:space="preserve">information is used to determine the reason for the refund, the refund amount and who to contact if there are any questions regarding the refund request.  A submission of the User Fee Payment Refund Request form does not guarantee that a refund will be issued.  </w:t>
      </w:r>
    </w:p>
    <w:p w14:paraId="6BB39B64" w14:textId="02298803" w:rsidR="003B2E63" w:rsidRPr="00A474CF" w:rsidRDefault="00A474CF" w:rsidP="00841251">
      <w:pPr>
        <w:ind w:left="720"/>
        <w:rPr>
          <w:color w:val="000000" w:themeColor="text1"/>
        </w:rPr>
      </w:pPr>
      <w:r w:rsidRPr="00A474CF">
        <w:rPr>
          <w:color w:val="000000" w:themeColor="text1"/>
        </w:rPr>
        <w:lastRenderedPageBreak/>
        <w:t xml:space="preserve">Form FDA 3914 </w:t>
      </w:r>
      <w:r w:rsidR="002A0C6A" w:rsidRPr="00A474CF">
        <w:rPr>
          <w:color w:val="000000" w:themeColor="text1"/>
        </w:rPr>
        <w:t xml:space="preserve">collects information from </w:t>
      </w:r>
      <w:r w:rsidR="003B2E63">
        <w:rPr>
          <w:color w:val="000000" w:themeColor="text1"/>
        </w:rPr>
        <w:t xml:space="preserve">respondents </w:t>
      </w:r>
      <w:r w:rsidR="002A0C6A" w:rsidRPr="00A474CF">
        <w:rPr>
          <w:color w:val="000000" w:themeColor="text1"/>
        </w:rPr>
        <w:t xml:space="preserve">who wish to electronically submit a request to transfer a user fee payment from one </w:t>
      </w:r>
      <w:r w:rsidRPr="00A474CF">
        <w:rPr>
          <w:color w:val="000000" w:themeColor="text1"/>
        </w:rPr>
        <w:t xml:space="preserve">user fee </w:t>
      </w:r>
      <w:r w:rsidR="002A0C6A" w:rsidRPr="00A474CF">
        <w:rPr>
          <w:color w:val="000000" w:themeColor="text1"/>
        </w:rPr>
        <w:t xml:space="preserve">cover sheet or invoice to another cover sheet or invoice.  The information is used to determine the reason for the transfer, how the transfer should be performed and who to contact if </w:t>
      </w:r>
      <w:r w:rsidR="003B2E63">
        <w:rPr>
          <w:color w:val="000000" w:themeColor="text1"/>
        </w:rPr>
        <w:t xml:space="preserve">we have </w:t>
      </w:r>
      <w:r w:rsidR="002A0C6A" w:rsidRPr="00A474CF">
        <w:rPr>
          <w:color w:val="000000" w:themeColor="text1"/>
        </w:rPr>
        <w:t xml:space="preserve">questions regarding the transfer request.  A submission of the User Fee Payment Transfer Request form does not guarantee that a transfer will be performed.  </w:t>
      </w:r>
      <w:r w:rsidR="003B2E63">
        <w:rPr>
          <w:color w:val="000000" w:themeColor="text1"/>
        </w:rPr>
        <w:t xml:space="preserve">Respondents to the collection are </w:t>
      </w:r>
    </w:p>
    <w:p w14:paraId="35C08E25" w14:textId="320E03F5" w:rsidR="002A0C6A" w:rsidRPr="00A474CF" w:rsidRDefault="00841251" w:rsidP="00922216">
      <w:pPr>
        <w:spacing w:before="100" w:beforeAutospacing="1" w:after="100" w:afterAutospacing="1"/>
        <w:ind w:left="720" w:right="-1440"/>
        <w:rPr>
          <w:color w:val="000000" w:themeColor="text1"/>
        </w:rPr>
      </w:pPr>
      <w:r w:rsidRPr="00A474CF">
        <w:rPr>
          <w:color w:val="000000" w:themeColor="text1"/>
        </w:rPr>
        <w:t xml:space="preserve"> individuals</w:t>
      </w:r>
      <w:r w:rsidR="003B2E63">
        <w:rPr>
          <w:color w:val="000000" w:themeColor="text1"/>
        </w:rPr>
        <w:t xml:space="preserve"> and entitites from the </w:t>
      </w:r>
      <w:r w:rsidRPr="00A474CF">
        <w:rPr>
          <w:color w:val="000000" w:themeColor="text1"/>
        </w:rPr>
        <w:t>private sector, state, local, tribal or Federal Government.</w:t>
      </w:r>
    </w:p>
    <w:p w14:paraId="3719E4BA" w14:textId="77777777" w:rsidR="002746DB" w:rsidRPr="00A474CF" w:rsidRDefault="00EB7538" w:rsidP="00EB7538">
      <w:pPr>
        <w:numPr>
          <w:ilvl w:val="0"/>
          <w:numId w:val="1"/>
        </w:numPr>
        <w:spacing w:before="100" w:beforeAutospacing="1" w:after="100" w:afterAutospacing="1"/>
        <w:ind w:right="-1440"/>
        <w:rPr>
          <w:color w:val="000000" w:themeColor="text1"/>
          <w:u w:val="single"/>
        </w:rPr>
      </w:pPr>
      <w:r w:rsidRPr="00A474CF">
        <w:rPr>
          <w:color w:val="000000" w:themeColor="text1"/>
          <w:u w:val="single"/>
        </w:rPr>
        <w:t xml:space="preserve">Use of Improved Information Technology and Burden Reduction </w:t>
      </w:r>
    </w:p>
    <w:p w14:paraId="776891C1" w14:textId="36FFDB16" w:rsidR="002A1210" w:rsidRPr="00A474CF" w:rsidRDefault="00CB155B" w:rsidP="002A1210">
      <w:pPr>
        <w:ind w:left="720"/>
        <w:rPr>
          <w:color w:val="000000" w:themeColor="text1"/>
        </w:rPr>
      </w:pPr>
      <w:r w:rsidRPr="00A474CF">
        <w:rPr>
          <w:color w:val="000000" w:themeColor="text1"/>
        </w:rPr>
        <w:t>Forms</w:t>
      </w:r>
      <w:r w:rsidR="00A474CF" w:rsidRPr="00A474CF">
        <w:rPr>
          <w:color w:val="000000" w:themeColor="text1"/>
        </w:rPr>
        <w:t xml:space="preserve"> FDA</w:t>
      </w:r>
      <w:r w:rsidRPr="00A474CF">
        <w:rPr>
          <w:color w:val="000000" w:themeColor="text1"/>
        </w:rPr>
        <w:t xml:space="preserve"> 3913 and 3914 leverage existing information technology resources and reduce burden on the submitter.  The forms capture all of the required information </w:t>
      </w:r>
      <w:r w:rsidR="003B2E63">
        <w:rPr>
          <w:color w:val="000000" w:themeColor="text1"/>
        </w:rPr>
        <w:t xml:space="preserve">we </w:t>
      </w:r>
      <w:r w:rsidRPr="00A474CF">
        <w:rPr>
          <w:color w:val="000000" w:themeColor="text1"/>
        </w:rPr>
        <w:t>need to review and</w:t>
      </w:r>
      <w:r w:rsidR="003B2E63">
        <w:rPr>
          <w:color w:val="000000" w:themeColor="text1"/>
        </w:rPr>
        <w:t>,</w:t>
      </w:r>
      <w:r w:rsidRPr="00A474CF">
        <w:rPr>
          <w:color w:val="000000" w:themeColor="text1"/>
        </w:rPr>
        <w:t xml:space="preserve"> if applicable, </w:t>
      </w:r>
      <w:r w:rsidR="000C73C9">
        <w:rPr>
          <w:color w:val="000000" w:themeColor="text1"/>
        </w:rPr>
        <w:t xml:space="preserve">complete </w:t>
      </w:r>
      <w:r w:rsidRPr="00A474CF">
        <w:rPr>
          <w:color w:val="000000" w:themeColor="text1"/>
        </w:rPr>
        <w:t>either the refund or the transfer.  Without the electronic form, submitters provide</w:t>
      </w:r>
      <w:r w:rsidR="00042430">
        <w:rPr>
          <w:color w:val="000000" w:themeColor="text1"/>
        </w:rPr>
        <w:t xml:space="preserve"> requests for refund or payment transfer</w:t>
      </w:r>
      <w:r w:rsidRPr="00A474CF">
        <w:rPr>
          <w:color w:val="000000" w:themeColor="text1"/>
        </w:rPr>
        <w:t xml:space="preserve"> information via other methods that are more time consuming including email, phone and fax.</w:t>
      </w:r>
    </w:p>
    <w:p w14:paraId="01AC7F52" w14:textId="4B59E0BC" w:rsidR="005C55C2" w:rsidRPr="00A474CF" w:rsidRDefault="000C73C9" w:rsidP="002325A4">
      <w:pPr>
        <w:spacing w:before="120" w:after="120" w:line="300" w:lineRule="exact"/>
        <w:ind w:left="720"/>
        <w:rPr>
          <w:color w:val="000000" w:themeColor="text1"/>
        </w:rPr>
      </w:pPr>
      <w:r>
        <w:rPr>
          <w:color w:val="000000" w:themeColor="text1"/>
        </w:rPr>
        <w:t xml:space="preserve">We </w:t>
      </w:r>
      <w:r w:rsidR="00B26330" w:rsidRPr="00A474CF">
        <w:rPr>
          <w:color w:val="000000" w:themeColor="text1"/>
        </w:rPr>
        <w:t xml:space="preserve">estimate that approximately </w:t>
      </w:r>
      <w:r w:rsidR="0045679D" w:rsidRPr="00A474CF">
        <w:rPr>
          <w:color w:val="000000" w:themeColor="text1"/>
        </w:rPr>
        <w:t>95</w:t>
      </w:r>
      <w:r w:rsidR="00B26330" w:rsidRPr="00A474CF">
        <w:rPr>
          <w:color w:val="000000" w:themeColor="text1"/>
        </w:rPr>
        <w:t xml:space="preserve"> percent of all respondents will submit the information in electronic format.</w:t>
      </w:r>
      <w:r w:rsidR="0045679D" w:rsidRPr="00A474CF">
        <w:rPr>
          <w:color w:val="000000" w:themeColor="text1"/>
        </w:rPr>
        <w:t xml:space="preserve"> </w:t>
      </w:r>
    </w:p>
    <w:p w14:paraId="519D16F9" w14:textId="77777777" w:rsidR="008F2898" w:rsidRPr="00A474CF" w:rsidRDefault="00EB7538" w:rsidP="00F207A4">
      <w:pPr>
        <w:numPr>
          <w:ilvl w:val="0"/>
          <w:numId w:val="1"/>
        </w:numPr>
        <w:spacing w:before="100" w:beforeAutospacing="1" w:after="100" w:afterAutospacing="1"/>
        <w:rPr>
          <w:color w:val="000000" w:themeColor="text1"/>
        </w:rPr>
      </w:pPr>
      <w:r w:rsidRPr="00A474CF">
        <w:rPr>
          <w:color w:val="000000" w:themeColor="text1"/>
          <w:u w:val="single"/>
        </w:rPr>
        <w:t xml:space="preserve">Efforts to Identify Duplication and Use of Similar Information </w:t>
      </w:r>
    </w:p>
    <w:p w14:paraId="1287326B" w14:textId="0EB18306" w:rsidR="00602ED1" w:rsidRPr="00A474CF" w:rsidRDefault="000C73C9" w:rsidP="00C20689">
      <w:pPr>
        <w:ind w:left="720"/>
        <w:rPr>
          <w:color w:val="000000" w:themeColor="text1"/>
        </w:rPr>
      </w:pPr>
      <w:r>
        <w:rPr>
          <w:color w:val="000000" w:themeColor="text1"/>
        </w:rPr>
        <w:t xml:space="preserve">We are unaware of duplicative informmation collection.  While we have established information collections currently approved by OMB to support FDA cover sheets, as associated with respective user fee programs </w:t>
      </w:r>
      <w:r w:rsidR="00441437">
        <w:rPr>
          <w:color w:val="000000" w:themeColor="text1"/>
        </w:rPr>
        <w:t xml:space="preserve">(OMB 0910-0297, OMB 0910-0511, 0910-0539, 0910-0613, 0910-0632, 0910-0659, and 0910-0718), </w:t>
      </w:r>
      <w:r>
        <w:rPr>
          <w:color w:val="000000" w:themeColor="text1"/>
        </w:rPr>
        <w:t>this collection supports requests for refunds and transfers exclusively.</w:t>
      </w:r>
      <w:r w:rsidR="00BF5D21" w:rsidRPr="00A474CF">
        <w:rPr>
          <w:color w:val="000000" w:themeColor="text1"/>
        </w:rPr>
        <w:t xml:space="preserve"> </w:t>
      </w:r>
    </w:p>
    <w:p w14:paraId="67A5E2D3" w14:textId="77777777" w:rsidR="0092314C" w:rsidRPr="00A474CF" w:rsidRDefault="00EB7538" w:rsidP="00F207A4">
      <w:pPr>
        <w:numPr>
          <w:ilvl w:val="0"/>
          <w:numId w:val="1"/>
        </w:numPr>
        <w:spacing w:before="100" w:beforeAutospacing="1" w:after="100" w:afterAutospacing="1"/>
        <w:rPr>
          <w:color w:val="000000" w:themeColor="text1"/>
        </w:rPr>
      </w:pPr>
      <w:r w:rsidRPr="00A474CF">
        <w:rPr>
          <w:color w:val="000000" w:themeColor="text1"/>
          <w:u w:val="single"/>
        </w:rPr>
        <w:t>Impact on Small Businesses or Other Small Entities</w:t>
      </w:r>
    </w:p>
    <w:p w14:paraId="61FB9C15" w14:textId="6516F61D" w:rsidR="008B0EFA" w:rsidRPr="00A474CF" w:rsidRDefault="000C73C9" w:rsidP="00F207A4">
      <w:pPr>
        <w:pStyle w:val="BodyText2"/>
        <w:ind w:left="720"/>
        <w:rPr>
          <w:color w:val="000000" w:themeColor="text1"/>
        </w:rPr>
      </w:pPr>
      <w:r>
        <w:rPr>
          <w:color w:val="000000" w:themeColor="text1"/>
        </w:rPr>
        <w:t>The information collection does not impose undue burden on small entitites.  User Fee schedules are established by statute and provide for small business determinations</w:t>
      </w:r>
      <w:r w:rsidR="00E44488">
        <w:rPr>
          <w:color w:val="000000" w:themeColor="text1"/>
        </w:rPr>
        <w:t xml:space="preserve">. </w:t>
      </w:r>
      <w:r>
        <w:rPr>
          <w:color w:val="000000" w:themeColor="text1"/>
        </w:rPr>
        <w:t xml:space="preserve">FDA provides guidance to respondents on User Fee schedules and small business determinations on our website at </w:t>
      </w:r>
      <w:r w:rsidRPr="000C73C9">
        <w:rPr>
          <w:color w:val="000000" w:themeColor="text1"/>
        </w:rPr>
        <w:t>https://www.fda.gov/ForIndustry/UserFees/default.htm</w:t>
      </w:r>
      <w:r>
        <w:rPr>
          <w:color w:val="000000" w:themeColor="text1"/>
        </w:rPr>
        <w:t xml:space="preserve"> </w:t>
      </w:r>
    </w:p>
    <w:p w14:paraId="0C9FACE5" w14:textId="77777777" w:rsidR="002325A4" w:rsidRPr="00A474CF" w:rsidRDefault="002325A4" w:rsidP="00F207A4">
      <w:pPr>
        <w:pStyle w:val="BodyText2"/>
        <w:ind w:left="720"/>
        <w:rPr>
          <w:color w:val="000000" w:themeColor="text1"/>
        </w:rPr>
      </w:pPr>
    </w:p>
    <w:p w14:paraId="64B889CE" w14:textId="77777777" w:rsidR="00CD77C3" w:rsidRPr="00A474CF" w:rsidRDefault="00EB7538" w:rsidP="00EB7538">
      <w:pPr>
        <w:numPr>
          <w:ilvl w:val="0"/>
          <w:numId w:val="1"/>
        </w:numPr>
        <w:spacing w:before="100" w:beforeAutospacing="1" w:after="100" w:afterAutospacing="1"/>
        <w:rPr>
          <w:color w:val="000000" w:themeColor="text1"/>
          <w:u w:val="single"/>
        </w:rPr>
      </w:pPr>
      <w:r w:rsidRPr="00A474CF">
        <w:rPr>
          <w:color w:val="000000" w:themeColor="text1"/>
          <w:u w:val="single"/>
        </w:rPr>
        <w:t>Consequences of Collecting the Information Less Frequently</w:t>
      </w:r>
    </w:p>
    <w:p w14:paraId="168BA205" w14:textId="1076D6B1" w:rsidR="00D37352" w:rsidRPr="00A474CF" w:rsidRDefault="000C73C9" w:rsidP="0020516D">
      <w:pPr>
        <w:pStyle w:val="BodyText2"/>
        <w:ind w:left="720"/>
        <w:rPr>
          <w:color w:val="000000" w:themeColor="text1"/>
        </w:rPr>
      </w:pPr>
      <w:r>
        <w:rPr>
          <w:color w:val="000000" w:themeColor="text1"/>
        </w:rPr>
        <w:t xml:space="preserve">The information collection occurs </w:t>
      </w:r>
      <w:r w:rsidR="00D60D40" w:rsidRPr="00A474CF">
        <w:rPr>
          <w:color w:val="000000" w:themeColor="text1"/>
        </w:rPr>
        <w:t xml:space="preserve">occasionally.  The collection of information is </w:t>
      </w:r>
      <w:r w:rsidR="00355C49" w:rsidRPr="00A474CF">
        <w:rPr>
          <w:color w:val="000000" w:themeColor="text1"/>
        </w:rPr>
        <w:t>dependent</w:t>
      </w:r>
      <w:r w:rsidR="00D60D40" w:rsidRPr="00A474CF">
        <w:rPr>
          <w:color w:val="000000" w:themeColor="text1"/>
        </w:rPr>
        <w:t xml:space="preserve"> on the </w:t>
      </w:r>
      <w:r w:rsidR="00355C49" w:rsidRPr="00A474CF">
        <w:rPr>
          <w:color w:val="000000" w:themeColor="text1"/>
        </w:rPr>
        <w:t>respondent</w:t>
      </w:r>
      <w:r>
        <w:rPr>
          <w:color w:val="000000" w:themeColor="text1"/>
        </w:rPr>
        <w:t xml:space="preserve"> and ncessary for providing </w:t>
      </w:r>
      <w:r w:rsidR="002325A4" w:rsidRPr="00A474CF">
        <w:rPr>
          <w:color w:val="000000" w:themeColor="text1"/>
        </w:rPr>
        <w:t>refunds and transfers</w:t>
      </w:r>
      <w:r>
        <w:rPr>
          <w:color w:val="000000" w:themeColor="text1"/>
        </w:rPr>
        <w:t xml:space="preserve"> associated with user fee payments submitted to the agency.</w:t>
      </w:r>
      <w:r w:rsidR="002325A4" w:rsidRPr="00A474CF">
        <w:rPr>
          <w:color w:val="000000" w:themeColor="text1"/>
        </w:rPr>
        <w:t xml:space="preserve">. </w:t>
      </w:r>
    </w:p>
    <w:p w14:paraId="05D348CD" w14:textId="77777777" w:rsidR="00731067" w:rsidRPr="00A474CF" w:rsidRDefault="00731067" w:rsidP="0020516D">
      <w:pPr>
        <w:pStyle w:val="BodyText2"/>
        <w:ind w:left="720"/>
        <w:rPr>
          <w:color w:val="000000" w:themeColor="text1"/>
        </w:rPr>
      </w:pPr>
    </w:p>
    <w:p w14:paraId="159C8FAE" w14:textId="77777777" w:rsidR="0006570F" w:rsidRPr="00A474CF" w:rsidRDefault="00EB7538" w:rsidP="0006570F">
      <w:pPr>
        <w:numPr>
          <w:ilvl w:val="0"/>
          <w:numId w:val="1"/>
        </w:numPr>
        <w:spacing w:before="100" w:beforeAutospacing="1" w:after="100" w:afterAutospacing="1"/>
        <w:rPr>
          <w:color w:val="000000" w:themeColor="text1"/>
        </w:rPr>
      </w:pPr>
      <w:r w:rsidRPr="00A474CF">
        <w:rPr>
          <w:color w:val="000000" w:themeColor="text1"/>
          <w:u w:val="single"/>
        </w:rPr>
        <w:t>Special Circumstances Relating to the Guidelines of 5 CFR 1320.5</w:t>
      </w:r>
    </w:p>
    <w:p w14:paraId="3240CA52" w14:textId="6D628E57" w:rsidR="00225E8A" w:rsidRDefault="00AF3E63" w:rsidP="00E935A2">
      <w:pPr>
        <w:ind w:left="360"/>
      </w:pPr>
      <w:r>
        <w:t xml:space="preserve">      </w:t>
      </w:r>
      <w:r w:rsidR="00225E8A">
        <w:t>There are no special circumstances for this collection of information.</w:t>
      </w:r>
    </w:p>
    <w:p w14:paraId="7A9E89E5" w14:textId="77777777" w:rsidR="00225E8A" w:rsidRDefault="00225E8A" w:rsidP="00C20689">
      <w:pPr>
        <w:ind w:left="720"/>
        <w:rPr>
          <w:color w:val="000000" w:themeColor="text1"/>
        </w:rPr>
      </w:pPr>
    </w:p>
    <w:p w14:paraId="0ABFE921" w14:textId="77777777" w:rsidR="006432A3" w:rsidRPr="00A474CF" w:rsidRDefault="006432A3" w:rsidP="00BF5D21">
      <w:pPr>
        <w:ind w:left="720" w:firstLine="720"/>
        <w:rPr>
          <w:color w:val="000000" w:themeColor="text1"/>
        </w:rPr>
      </w:pPr>
    </w:p>
    <w:p w14:paraId="7F5F5B2B" w14:textId="77777777" w:rsidR="00CD77C3" w:rsidRPr="00A474CF" w:rsidRDefault="00EB7538" w:rsidP="00EB7538">
      <w:pPr>
        <w:numPr>
          <w:ilvl w:val="0"/>
          <w:numId w:val="1"/>
        </w:numPr>
        <w:spacing w:before="100" w:beforeAutospacing="1" w:after="100" w:afterAutospacing="1"/>
        <w:rPr>
          <w:color w:val="000000" w:themeColor="text1"/>
          <w:u w:val="single"/>
        </w:rPr>
      </w:pPr>
      <w:r w:rsidRPr="00A474CF">
        <w:rPr>
          <w:color w:val="000000" w:themeColor="text1"/>
          <w:u w:val="single"/>
        </w:rPr>
        <w:t>Comments in Response to the Federal Register Notice and Efforts to Consult Outside the Agency</w:t>
      </w:r>
    </w:p>
    <w:p w14:paraId="08398C11" w14:textId="70143FFA" w:rsidR="00705086" w:rsidRPr="00A474CF" w:rsidRDefault="00A54A7C" w:rsidP="00705086">
      <w:pPr>
        <w:ind w:left="720"/>
        <w:rPr>
          <w:color w:val="000000" w:themeColor="text1"/>
        </w:rPr>
      </w:pPr>
      <w:r w:rsidRPr="00A474CF">
        <w:rPr>
          <w:color w:val="000000" w:themeColor="text1"/>
        </w:rPr>
        <w:t xml:space="preserve">In accordance with 5 CFR 1320.8(d), FDA published a 60-day notice for public comment in the </w:t>
      </w:r>
      <w:r w:rsidRPr="00E935A2">
        <w:rPr>
          <w:i/>
          <w:color w:val="000000" w:themeColor="text1"/>
        </w:rPr>
        <w:t>Federal Register</w:t>
      </w:r>
      <w:r w:rsidRPr="00A474CF">
        <w:rPr>
          <w:color w:val="000000" w:themeColor="text1"/>
        </w:rPr>
        <w:t xml:space="preserve"> of </w:t>
      </w:r>
      <w:r w:rsidR="00A474CF" w:rsidRPr="00A474CF">
        <w:rPr>
          <w:color w:val="000000" w:themeColor="text1"/>
        </w:rPr>
        <w:t>May 15, 2018 (83 FR 22493)</w:t>
      </w:r>
      <w:r w:rsidRPr="00A474CF">
        <w:rPr>
          <w:color w:val="000000" w:themeColor="text1"/>
        </w:rPr>
        <w:t xml:space="preserve">. </w:t>
      </w:r>
      <w:r w:rsidR="000C73C9">
        <w:rPr>
          <w:color w:val="000000" w:themeColor="text1"/>
        </w:rPr>
        <w:t xml:space="preserve"> </w:t>
      </w:r>
      <w:r w:rsidR="00890548" w:rsidRPr="00A474CF">
        <w:rPr>
          <w:color w:val="000000" w:themeColor="text1"/>
        </w:rPr>
        <w:t xml:space="preserve">No </w:t>
      </w:r>
      <w:r w:rsidRPr="00A474CF">
        <w:rPr>
          <w:color w:val="000000" w:themeColor="text1"/>
        </w:rPr>
        <w:t xml:space="preserve">comments were received. </w:t>
      </w:r>
    </w:p>
    <w:p w14:paraId="18C86504" w14:textId="77777777" w:rsidR="00D0709D" w:rsidRPr="00A474CF" w:rsidRDefault="00EB7538" w:rsidP="00DD09F5">
      <w:pPr>
        <w:numPr>
          <w:ilvl w:val="0"/>
          <w:numId w:val="1"/>
        </w:numPr>
        <w:spacing w:before="100" w:beforeAutospacing="1" w:after="100" w:afterAutospacing="1"/>
        <w:rPr>
          <w:color w:val="000000" w:themeColor="text1"/>
        </w:rPr>
      </w:pPr>
      <w:r w:rsidRPr="00A474CF">
        <w:rPr>
          <w:color w:val="000000" w:themeColor="text1"/>
          <w:u w:val="single"/>
        </w:rPr>
        <w:t>Explanation of Any Payment or Gift to Respondents</w:t>
      </w:r>
    </w:p>
    <w:p w14:paraId="2B85E183" w14:textId="65CA3FAA" w:rsidR="0020516D" w:rsidRPr="00A474CF" w:rsidRDefault="00A54A7C" w:rsidP="00A54A7C">
      <w:pPr>
        <w:ind w:left="720"/>
        <w:rPr>
          <w:color w:val="000000" w:themeColor="text1"/>
        </w:rPr>
      </w:pPr>
      <w:r w:rsidRPr="00A474CF">
        <w:rPr>
          <w:color w:val="000000" w:themeColor="text1"/>
        </w:rPr>
        <w:t>This information collection does not provide for any payment or gift to respondents.</w:t>
      </w:r>
    </w:p>
    <w:p w14:paraId="4A2937AE" w14:textId="77777777" w:rsidR="00CD77C3" w:rsidRPr="00A474CF" w:rsidRDefault="00EB7538" w:rsidP="00EB7538">
      <w:pPr>
        <w:numPr>
          <w:ilvl w:val="0"/>
          <w:numId w:val="1"/>
        </w:numPr>
        <w:spacing w:before="100" w:beforeAutospacing="1" w:after="100" w:afterAutospacing="1"/>
        <w:rPr>
          <w:color w:val="000000" w:themeColor="text1"/>
          <w:u w:val="single"/>
        </w:rPr>
      </w:pPr>
      <w:r w:rsidRPr="00A474CF">
        <w:rPr>
          <w:color w:val="000000" w:themeColor="text1"/>
          <w:u w:val="single"/>
        </w:rPr>
        <w:t>Assurance of Confidentiality Provided to Respondents</w:t>
      </w:r>
    </w:p>
    <w:p w14:paraId="2A49E6ED" w14:textId="3D719F5B" w:rsidR="00107885" w:rsidRDefault="00BC797F" w:rsidP="00BC797F">
      <w:pPr>
        <w:pStyle w:val="BodyText2"/>
        <w:ind w:left="720"/>
        <w:rPr>
          <w:color w:val="000000" w:themeColor="text1"/>
        </w:rPr>
      </w:pPr>
      <w:r w:rsidRPr="00A474CF">
        <w:rPr>
          <w:color w:val="000000" w:themeColor="text1"/>
        </w:rPr>
        <w:t xml:space="preserve">In some circumstances, FDA may receive sensitive documents and information. </w:t>
      </w:r>
      <w:r w:rsidR="009D541F" w:rsidRPr="00A474CF">
        <w:rPr>
          <w:color w:val="000000" w:themeColor="text1"/>
        </w:rPr>
        <w:t>If a cancelled check</w:t>
      </w:r>
      <w:r w:rsidR="00194F04" w:rsidRPr="00A474CF">
        <w:rPr>
          <w:color w:val="000000" w:themeColor="text1"/>
        </w:rPr>
        <w:t xml:space="preserve"> or other sensitive documents</w:t>
      </w:r>
      <w:r w:rsidR="005F4972" w:rsidRPr="00A474CF">
        <w:rPr>
          <w:color w:val="000000" w:themeColor="text1"/>
        </w:rPr>
        <w:t xml:space="preserve"> and information</w:t>
      </w:r>
      <w:r w:rsidR="00194F04" w:rsidRPr="00A474CF">
        <w:rPr>
          <w:color w:val="000000" w:themeColor="text1"/>
        </w:rPr>
        <w:t xml:space="preserve"> are </w:t>
      </w:r>
      <w:r w:rsidR="009D541F" w:rsidRPr="00A474CF">
        <w:rPr>
          <w:color w:val="000000" w:themeColor="text1"/>
        </w:rPr>
        <w:t>provided to FDA for purposes of researching a paym</w:t>
      </w:r>
      <w:r w:rsidR="00724808" w:rsidRPr="00A474CF">
        <w:rPr>
          <w:color w:val="000000" w:themeColor="text1"/>
        </w:rPr>
        <w:t>ent for a refund or transfer, these documents</w:t>
      </w:r>
      <w:r w:rsidR="009D541F" w:rsidRPr="00A474CF">
        <w:rPr>
          <w:color w:val="000000" w:themeColor="text1"/>
        </w:rPr>
        <w:t xml:space="preserve"> will be handled by FDA employees (not co</w:t>
      </w:r>
      <w:r w:rsidR="00194F04" w:rsidRPr="00A474CF">
        <w:rPr>
          <w:color w:val="000000" w:themeColor="text1"/>
        </w:rPr>
        <w:t>ntractors)</w:t>
      </w:r>
      <w:r w:rsidR="00724808" w:rsidRPr="00A474CF">
        <w:rPr>
          <w:color w:val="000000" w:themeColor="text1"/>
        </w:rPr>
        <w:t>.  R</w:t>
      </w:r>
      <w:r w:rsidR="00194F04" w:rsidRPr="00A474CF">
        <w:rPr>
          <w:color w:val="000000" w:themeColor="text1"/>
        </w:rPr>
        <w:t xml:space="preserve">ecord keeping </w:t>
      </w:r>
      <w:r w:rsidR="009D541F" w:rsidRPr="00A474CF">
        <w:rPr>
          <w:color w:val="000000" w:themeColor="text1"/>
        </w:rPr>
        <w:t>will comply with FDA’s policies and procedures for records management.</w:t>
      </w:r>
      <w:r w:rsidR="005F4972" w:rsidRPr="00A474CF">
        <w:rPr>
          <w:color w:val="000000" w:themeColor="text1"/>
        </w:rPr>
        <w:t xml:space="preserve">  Documents are securely maintain</w:t>
      </w:r>
      <w:r w:rsidR="0013163C" w:rsidRPr="00A474CF">
        <w:rPr>
          <w:color w:val="000000" w:themeColor="text1"/>
        </w:rPr>
        <w:t>ed</w:t>
      </w:r>
      <w:r w:rsidR="005F4972" w:rsidRPr="00A474CF">
        <w:rPr>
          <w:color w:val="000000" w:themeColor="text1"/>
        </w:rPr>
        <w:t xml:space="preserve"> in locked file cabinets and/or offices.</w:t>
      </w:r>
    </w:p>
    <w:p w14:paraId="4AFB43DE" w14:textId="2F63AC72" w:rsidR="00F408AB" w:rsidRDefault="00F408AB" w:rsidP="00BC797F">
      <w:pPr>
        <w:pStyle w:val="BodyText2"/>
        <w:ind w:left="720"/>
        <w:rPr>
          <w:color w:val="000000" w:themeColor="text1"/>
        </w:rPr>
      </w:pPr>
    </w:p>
    <w:p w14:paraId="702CEE55" w14:textId="4DABB062" w:rsidR="00BC797F" w:rsidRPr="00A474CF" w:rsidRDefault="00F408AB" w:rsidP="00E935A2">
      <w:pPr>
        <w:pStyle w:val="BodyText"/>
        <w:ind w:left="720"/>
        <w:rPr>
          <w:color w:val="000000" w:themeColor="text1"/>
        </w:rPr>
      </w:pPr>
      <w:r>
        <w:rPr>
          <w:color w:val="000000"/>
        </w:rPr>
        <w:t xml:space="preserve">In developing this information collection, FDA staff have also consulted with the FDA Privacy Officer to assure appropriate handling of information collected that may require privacy protection under the Privacy Act.  </w:t>
      </w:r>
    </w:p>
    <w:p w14:paraId="06C023BA" w14:textId="77777777" w:rsidR="00724808" w:rsidRPr="00A474CF" w:rsidRDefault="00EB7538" w:rsidP="005F4972">
      <w:pPr>
        <w:numPr>
          <w:ilvl w:val="0"/>
          <w:numId w:val="1"/>
        </w:numPr>
        <w:spacing w:before="100" w:beforeAutospacing="1" w:after="100" w:afterAutospacing="1"/>
        <w:rPr>
          <w:color w:val="000000" w:themeColor="text1"/>
        </w:rPr>
      </w:pPr>
      <w:r w:rsidRPr="00A474CF">
        <w:rPr>
          <w:color w:val="000000" w:themeColor="text1"/>
          <w:u w:val="single"/>
        </w:rPr>
        <w:t>Justification for Sensitive Questions</w:t>
      </w:r>
    </w:p>
    <w:p w14:paraId="3060C6C5" w14:textId="4E9A7146" w:rsidR="007677DB" w:rsidRDefault="00724808" w:rsidP="005F4972">
      <w:pPr>
        <w:ind w:left="720"/>
        <w:rPr>
          <w:color w:val="000000" w:themeColor="text1"/>
        </w:rPr>
      </w:pPr>
      <w:r w:rsidRPr="00A474CF">
        <w:rPr>
          <w:color w:val="000000" w:themeColor="text1"/>
        </w:rPr>
        <w:t>FDA collects</w:t>
      </w:r>
      <w:r w:rsidR="005956C6" w:rsidRPr="00A474CF">
        <w:rPr>
          <w:color w:val="000000" w:themeColor="text1"/>
        </w:rPr>
        <w:t xml:space="preserve"> Employer Identification Numbers</w:t>
      </w:r>
      <w:r w:rsidRPr="00A474CF">
        <w:rPr>
          <w:color w:val="000000" w:themeColor="text1"/>
        </w:rPr>
        <w:t xml:space="preserve"> (EIN</w:t>
      </w:r>
      <w:r w:rsidR="005956C6" w:rsidRPr="00A474CF">
        <w:rPr>
          <w:color w:val="000000" w:themeColor="text1"/>
        </w:rPr>
        <w:t>s</w:t>
      </w:r>
      <w:r w:rsidRPr="00A474CF">
        <w:rPr>
          <w:color w:val="000000" w:themeColor="text1"/>
        </w:rPr>
        <w:t>)</w:t>
      </w:r>
      <w:r w:rsidR="005956C6" w:rsidRPr="00A474CF">
        <w:rPr>
          <w:color w:val="000000" w:themeColor="text1"/>
        </w:rPr>
        <w:t xml:space="preserve"> (also known as a Federal Tax Identification Numbers)</w:t>
      </w:r>
      <w:r w:rsidRPr="00A474CF">
        <w:rPr>
          <w:color w:val="000000" w:themeColor="text1"/>
        </w:rPr>
        <w:t xml:space="preserve"> for uniquely identifying a business entity.  All U.S. organizations must have a</w:t>
      </w:r>
      <w:r w:rsidR="005956C6" w:rsidRPr="00A474CF">
        <w:rPr>
          <w:color w:val="000000" w:themeColor="text1"/>
        </w:rPr>
        <w:t>n</w:t>
      </w:r>
      <w:r w:rsidRPr="00A474CF">
        <w:rPr>
          <w:color w:val="000000" w:themeColor="text1"/>
        </w:rPr>
        <w:t xml:space="preserve"> EIN to conduct business with the </w:t>
      </w:r>
      <w:r w:rsidR="005956C6" w:rsidRPr="00A474CF">
        <w:rPr>
          <w:color w:val="000000" w:themeColor="text1"/>
        </w:rPr>
        <w:t>Federal G</w:t>
      </w:r>
      <w:r w:rsidRPr="00A474CF">
        <w:rPr>
          <w:color w:val="000000" w:themeColor="text1"/>
        </w:rPr>
        <w:t>overnment.</w:t>
      </w:r>
      <w:r w:rsidR="005956C6" w:rsidRPr="00A474CF">
        <w:rPr>
          <w:color w:val="000000" w:themeColor="text1"/>
        </w:rPr>
        <w:t xml:space="preserve">  EINs collected </w:t>
      </w:r>
      <w:r w:rsidR="005F4972" w:rsidRPr="00A474CF">
        <w:rPr>
          <w:color w:val="000000" w:themeColor="text1"/>
        </w:rPr>
        <w:t>may contain</w:t>
      </w:r>
      <w:r w:rsidR="005956C6" w:rsidRPr="00A474CF">
        <w:rPr>
          <w:color w:val="000000" w:themeColor="text1"/>
        </w:rPr>
        <w:t xml:space="preserve"> social security numbers</w:t>
      </w:r>
      <w:r w:rsidR="005F4972" w:rsidRPr="00A474CF">
        <w:rPr>
          <w:color w:val="000000" w:themeColor="text1"/>
        </w:rPr>
        <w:t xml:space="preserve"> (SSNs)</w:t>
      </w:r>
      <w:r w:rsidR="0013163C" w:rsidRPr="00A474CF">
        <w:rPr>
          <w:color w:val="000000" w:themeColor="text1"/>
        </w:rPr>
        <w:t xml:space="preserve"> because some customers are individuals</w:t>
      </w:r>
      <w:r w:rsidR="005956C6" w:rsidRPr="00A474CF">
        <w:rPr>
          <w:color w:val="000000" w:themeColor="text1"/>
        </w:rPr>
        <w:t xml:space="preserve">.  </w:t>
      </w:r>
      <w:r w:rsidR="005F4972" w:rsidRPr="00A474CF">
        <w:rPr>
          <w:color w:val="000000" w:themeColor="text1"/>
        </w:rPr>
        <w:t xml:space="preserve">FDA cannot determine which EINs are SSNs.  </w:t>
      </w:r>
      <w:r w:rsidR="005956C6" w:rsidRPr="00A474CF">
        <w:rPr>
          <w:color w:val="000000" w:themeColor="text1"/>
        </w:rPr>
        <w:t xml:space="preserve">EINs are </w:t>
      </w:r>
      <w:r w:rsidR="005F4972" w:rsidRPr="00A474CF">
        <w:rPr>
          <w:color w:val="000000" w:themeColor="text1"/>
        </w:rPr>
        <w:t>required</w:t>
      </w:r>
      <w:r w:rsidR="005956C6" w:rsidRPr="00A474CF">
        <w:rPr>
          <w:color w:val="000000" w:themeColor="text1"/>
        </w:rPr>
        <w:t xml:space="preserve"> by FDA </w:t>
      </w:r>
      <w:r w:rsidR="005F4972" w:rsidRPr="00A474CF">
        <w:rPr>
          <w:color w:val="000000" w:themeColor="text1"/>
        </w:rPr>
        <w:t xml:space="preserve">in order </w:t>
      </w:r>
      <w:r w:rsidR="005956C6" w:rsidRPr="00A474CF">
        <w:rPr>
          <w:color w:val="000000" w:themeColor="text1"/>
        </w:rPr>
        <w:t xml:space="preserve">to process payment refunds.  A refund cannot be processed </w:t>
      </w:r>
      <w:r w:rsidR="00CB155B" w:rsidRPr="00A474CF">
        <w:rPr>
          <w:color w:val="000000" w:themeColor="text1"/>
        </w:rPr>
        <w:t xml:space="preserve">by the U.S. Department of the Treasury </w:t>
      </w:r>
      <w:r w:rsidR="005F4972" w:rsidRPr="00A474CF">
        <w:rPr>
          <w:color w:val="000000" w:themeColor="text1"/>
        </w:rPr>
        <w:t xml:space="preserve">for a customer </w:t>
      </w:r>
      <w:r w:rsidR="005956C6" w:rsidRPr="00A474CF">
        <w:rPr>
          <w:color w:val="000000" w:themeColor="text1"/>
        </w:rPr>
        <w:t xml:space="preserve">without an EIN.  </w:t>
      </w:r>
      <w:r w:rsidR="005F4972" w:rsidRPr="00A474CF">
        <w:rPr>
          <w:color w:val="000000" w:themeColor="text1"/>
        </w:rPr>
        <w:t>A</w:t>
      </w:r>
      <w:r w:rsidR="0013163C" w:rsidRPr="00A474CF">
        <w:rPr>
          <w:color w:val="000000" w:themeColor="text1"/>
        </w:rPr>
        <w:t>s</w:t>
      </w:r>
      <w:r w:rsidR="005F4972" w:rsidRPr="00A474CF">
        <w:rPr>
          <w:color w:val="000000" w:themeColor="text1"/>
        </w:rPr>
        <w:t xml:space="preserve"> payment refund and transfer requests are voluntary, a customer is providing his/her consent when the customer provides the EIN.</w:t>
      </w:r>
      <w:r w:rsidR="007677DB">
        <w:rPr>
          <w:color w:val="000000" w:themeColor="text1"/>
        </w:rPr>
        <w:t xml:space="preserve"> </w:t>
      </w:r>
    </w:p>
    <w:p w14:paraId="35C1C5B3" w14:textId="77777777" w:rsidR="00E935A2" w:rsidRDefault="00E935A2" w:rsidP="007677DB">
      <w:pPr>
        <w:ind w:left="720"/>
        <w:rPr>
          <w:color w:val="000000" w:themeColor="text1"/>
        </w:rPr>
      </w:pPr>
    </w:p>
    <w:p w14:paraId="0BB6331C" w14:textId="476D914E" w:rsidR="007677DB" w:rsidRDefault="007677DB" w:rsidP="007677DB">
      <w:pPr>
        <w:ind w:left="720"/>
        <w:rPr>
          <w:color w:val="000000" w:themeColor="text1"/>
        </w:rPr>
      </w:pPr>
      <w:r w:rsidRPr="00A474CF">
        <w:rPr>
          <w:color w:val="000000" w:themeColor="text1"/>
        </w:rPr>
        <w:t xml:space="preserve">In some circumstances, respondents may be asked to submit proof of payment in the form of a copy of a cancelled check, etc. if a payment cannot be found by FDA. This will be done subsequent to the submission of a user fee payment refund or transfer request.  For a refund request, the proof of payment is needed in order to locate the payment, research what happened to the payment and refund the payment. For a transfer request, the proof of payment is needed in order to locate the payment, research what happened to the payment and to apply the payment to the appropriate cover sheet or invoice.  </w:t>
      </w:r>
      <w:r w:rsidR="002275D3">
        <w:rPr>
          <w:color w:val="000000" w:themeColor="text1"/>
        </w:rPr>
        <w:t xml:space="preserve">CDER </w:t>
      </w:r>
      <w:r w:rsidR="002275D3" w:rsidRPr="00D52A42">
        <w:t>submitted a privacy impact assessment which is under review with the FDA privacy office</w:t>
      </w:r>
      <w:r w:rsidR="00945DCA">
        <w:t>.</w:t>
      </w:r>
    </w:p>
    <w:p w14:paraId="7D2ECEBA" w14:textId="46B63FA9" w:rsidR="00F408AB" w:rsidRDefault="00F408AB" w:rsidP="007677DB">
      <w:pPr>
        <w:ind w:left="720"/>
        <w:rPr>
          <w:color w:val="000000" w:themeColor="text1"/>
        </w:rPr>
      </w:pPr>
    </w:p>
    <w:p w14:paraId="142738F7" w14:textId="751A3D83" w:rsidR="00BD1C71" w:rsidRPr="00A474CF" w:rsidRDefault="00BD1C71" w:rsidP="005F4972">
      <w:pPr>
        <w:ind w:left="720"/>
        <w:rPr>
          <w:color w:val="000000" w:themeColor="text1"/>
        </w:rPr>
      </w:pPr>
    </w:p>
    <w:p w14:paraId="3FC11D85" w14:textId="77777777" w:rsidR="004C6979" w:rsidRPr="00A474CF" w:rsidRDefault="00EB7538" w:rsidP="00EB7538">
      <w:pPr>
        <w:numPr>
          <w:ilvl w:val="0"/>
          <w:numId w:val="1"/>
        </w:numPr>
        <w:spacing w:before="100" w:beforeAutospacing="1" w:after="100" w:afterAutospacing="1"/>
        <w:rPr>
          <w:color w:val="000000" w:themeColor="text1"/>
          <w:u w:val="single"/>
        </w:rPr>
      </w:pPr>
      <w:r w:rsidRPr="00A474CF">
        <w:rPr>
          <w:color w:val="000000" w:themeColor="text1"/>
          <w:u w:val="single"/>
        </w:rPr>
        <w:t>Estimates of Annualized Burden Hours and Costs</w:t>
      </w:r>
    </w:p>
    <w:p w14:paraId="6E963D39" w14:textId="77777777" w:rsidR="004C6979" w:rsidRPr="00A474CF" w:rsidRDefault="004C6979" w:rsidP="004C6979">
      <w:pPr>
        <w:rPr>
          <w:color w:val="000000" w:themeColor="text1"/>
        </w:rPr>
      </w:pPr>
    </w:p>
    <w:p w14:paraId="14B79F9B" w14:textId="77777777" w:rsidR="004C6979" w:rsidRPr="00A474CF" w:rsidRDefault="008B0E29" w:rsidP="00AC6A99">
      <w:pPr>
        <w:ind w:left="720"/>
        <w:rPr>
          <w:color w:val="000000" w:themeColor="text1"/>
        </w:rPr>
      </w:pPr>
      <w:r w:rsidRPr="00A474CF">
        <w:rPr>
          <w:color w:val="000000" w:themeColor="text1"/>
          <w:u w:val="single"/>
        </w:rPr>
        <w:t xml:space="preserve">12 a. </w:t>
      </w:r>
      <w:r w:rsidR="00411D11" w:rsidRPr="00A474CF">
        <w:rPr>
          <w:color w:val="000000" w:themeColor="text1"/>
          <w:u w:val="single"/>
        </w:rPr>
        <w:t xml:space="preserve">Annualized </w:t>
      </w:r>
      <w:r w:rsidR="004C6979" w:rsidRPr="00A474CF">
        <w:rPr>
          <w:color w:val="000000" w:themeColor="text1"/>
          <w:u w:val="single"/>
        </w:rPr>
        <w:t>Hour Burden Estimate</w:t>
      </w:r>
    </w:p>
    <w:p w14:paraId="6372C65D" w14:textId="77777777" w:rsidR="004C6979" w:rsidRPr="00A474CF" w:rsidRDefault="004C6979" w:rsidP="004C6979">
      <w:pPr>
        <w:rPr>
          <w:color w:val="000000" w:themeColor="text1"/>
        </w:rPr>
      </w:pPr>
    </w:p>
    <w:p w14:paraId="4530BB72" w14:textId="77777777" w:rsidR="00A24640" w:rsidRDefault="001F1FCE" w:rsidP="00A920A8">
      <w:pPr>
        <w:ind w:left="720"/>
        <w:rPr>
          <w:szCs w:val="20"/>
        </w:rPr>
      </w:pPr>
      <w:r w:rsidRPr="00A474CF">
        <w:rPr>
          <w:color w:val="000000" w:themeColor="text1"/>
        </w:rPr>
        <w:t>FDA estimates the burden of this collection of information as follows:</w:t>
      </w:r>
      <w:r w:rsidR="00A24640" w:rsidRPr="00A24640">
        <w:rPr>
          <w:szCs w:val="20"/>
        </w:rPr>
        <w:t xml:space="preserve"> FDA estimates the burden of this collection of information as follows:</w:t>
      </w:r>
    </w:p>
    <w:p w14:paraId="7993E033" w14:textId="77777777" w:rsidR="00DA41B8" w:rsidRPr="00A24640" w:rsidRDefault="00DA41B8" w:rsidP="00A920A8">
      <w:pPr>
        <w:ind w:left="720"/>
        <w:rPr>
          <w:szCs w:val="20"/>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2508"/>
        <w:gridCol w:w="1265"/>
        <w:gridCol w:w="1685"/>
        <w:gridCol w:w="1369"/>
        <w:gridCol w:w="1620"/>
        <w:gridCol w:w="1126"/>
      </w:tblGrid>
      <w:tr w:rsidR="00A24640" w:rsidRPr="00A24640" w14:paraId="40A9CC11" w14:textId="77777777" w:rsidTr="00E935A2">
        <w:trPr>
          <w:gridBefore w:val="1"/>
          <w:wBefore w:w="7" w:type="pct"/>
          <w:cantSplit/>
          <w:trHeight w:val="20"/>
          <w:tblHeader/>
        </w:trPr>
        <w:tc>
          <w:tcPr>
            <w:tcW w:w="4993" w:type="pct"/>
            <w:gridSpan w:val="6"/>
            <w:tcBorders>
              <w:top w:val="nil"/>
              <w:left w:val="nil"/>
              <w:right w:val="nil"/>
            </w:tcBorders>
            <w:shd w:val="clear" w:color="auto" w:fill="auto"/>
          </w:tcPr>
          <w:p w14:paraId="390CF1EC" w14:textId="77777777" w:rsidR="00A24640" w:rsidRPr="00A24640" w:rsidRDefault="00A24640" w:rsidP="00A24640">
            <w:pPr>
              <w:keepNext/>
              <w:jc w:val="center"/>
              <w:rPr>
                <w:sz w:val="20"/>
                <w:szCs w:val="20"/>
              </w:rPr>
            </w:pPr>
            <w:r w:rsidRPr="00A24640">
              <w:rPr>
                <w:sz w:val="20"/>
                <w:szCs w:val="20"/>
              </w:rPr>
              <w:t>Table 1.--Estimated Annual Reporting Burden</w:t>
            </w:r>
            <w:r w:rsidRPr="00A24640">
              <w:rPr>
                <w:sz w:val="20"/>
                <w:szCs w:val="20"/>
                <w:vertAlign w:val="superscript"/>
              </w:rPr>
              <w:t>1</w:t>
            </w:r>
          </w:p>
        </w:tc>
      </w:tr>
      <w:tr w:rsidR="00A24640" w:rsidRPr="00A24640" w14:paraId="70A2EABF" w14:textId="77777777" w:rsidTr="00E93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blHeader/>
        </w:trPr>
        <w:tc>
          <w:tcPr>
            <w:tcW w:w="1315" w:type="pct"/>
            <w:gridSpan w:val="2"/>
            <w:tcBorders>
              <w:top w:val="single" w:sz="6" w:space="0" w:color="000000"/>
              <w:left w:val="single" w:sz="6" w:space="0" w:color="000000"/>
              <w:bottom w:val="single" w:sz="6" w:space="0" w:color="000000"/>
              <w:right w:val="single" w:sz="6" w:space="0" w:color="000000"/>
            </w:tcBorders>
          </w:tcPr>
          <w:p w14:paraId="4D068024" w14:textId="0AB6BCB6" w:rsidR="00A24640" w:rsidRDefault="00A24640" w:rsidP="00A24640">
            <w:pPr>
              <w:keepNext/>
              <w:tabs>
                <w:tab w:val="left" w:pos="-1080"/>
                <w:tab w:val="left" w:pos="-720"/>
                <w:tab w:val="left" w:pos="0"/>
                <w:tab w:val="left" w:pos="360"/>
                <w:tab w:val="left" w:pos="1440"/>
              </w:tabs>
              <w:jc w:val="center"/>
              <w:rPr>
                <w:snapToGrid w:val="0"/>
                <w:sz w:val="20"/>
                <w:szCs w:val="20"/>
              </w:rPr>
            </w:pPr>
          </w:p>
          <w:p w14:paraId="0D6EC85D" w14:textId="77777777" w:rsidR="00892E4C" w:rsidRPr="00A24640" w:rsidRDefault="00892E4C" w:rsidP="00A24640">
            <w:pPr>
              <w:keepNext/>
              <w:tabs>
                <w:tab w:val="left" w:pos="-1080"/>
                <w:tab w:val="left" w:pos="-720"/>
                <w:tab w:val="left" w:pos="0"/>
                <w:tab w:val="left" w:pos="360"/>
                <w:tab w:val="left" w:pos="1440"/>
              </w:tabs>
              <w:jc w:val="center"/>
              <w:rPr>
                <w:snapToGrid w:val="0"/>
                <w:sz w:val="20"/>
                <w:szCs w:val="20"/>
              </w:rPr>
            </w:pPr>
          </w:p>
        </w:tc>
        <w:tc>
          <w:tcPr>
            <w:tcW w:w="660" w:type="pct"/>
            <w:tcBorders>
              <w:top w:val="single" w:sz="6" w:space="0" w:color="000000"/>
              <w:left w:val="single" w:sz="6" w:space="0" w:color="000000"/>
              <w:bottom w:val="single" w:sz="6" w:space="0" w:color="000000"/>
              <w:right w:val="single" w:sz="6" w:space="0" w:color="000000"/>
            </w:tcBorders>
          </w:tcPr>
          <w:p w14:paraId="6E093EBF" w14:textId="77777777" w:rsidR="00A24640" w:rsidRPr="00A24640" w:rsidRDefault="00A24640" w:rsidP="00A24640">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No. of Respondents</w:t>
            </w:r>
          </w:p>
        </w:tc>
        <w:tc>
          <w:tcPr>
            <w:tcW w:w="879" w:type="pct"/>
            <w:tcBorders>
              <w:top w:val="single" w:sz="6" w:space="0" w:color="000000"/>
              <w:left w:val="single" w:sz="6" w:space="0" w:color="000000"/>
              <w:bottom w:val="single" w:sz="6" w:space="0" w:color="000000"/>
              <w:right w:val="single" w:sz="6" w:space="0" w:color="000000"/>
            </w:tcBorders>
          </w:tcPr>
          <w:p w14:paraId="73B9109B" w14:textId="77777777" w:rsidR="00A24640" w:rsidRPr="00A24640" w:rsidRDefault="00A24640" w:rsidP="00A24640">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No. of Responses per Respondent</w:t>
            </w:r>
          </w:p>
        </w:tc>
        <w:tc>
          <w:tcPr>
            <w:tcW w:w="714" w:type="pct"/>
            <w:tcBorders>
              <w:top w:val="single" w:sz="6" w:space="0" w:color="000000"/>
              <w:left w:val="single" w:sz="6" w:space="0" w:color="000000"/>
              <w:bottom w:val="single" w:sz="6" w:space="0" w:color="000000"/>
              <w:right w:val="single" w:sz="6" w:space="0" w:color="000000"/>
            </w:tcBorders>
          </w:tcPr>
          <w:p w14:paraId="1DBF07D1" w14:textId="77777777" w:rsidR="00A24640" w:rsidRPr="00A24640" w:rsidRDefault="00A24640" w:rsidP="00A24640">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Total Annual Responses</w:t>
            </w:r>
          </w:p>
        </w:tc>
        <w:tc>
          <w:tcPr>
            <w:tcW w:w="845" w:type="pct"/>
            <w:tcBorders>
              <w:top w:val="single" w:sz="6" w:space="0" w:color="000000"/>
              <w:left w:val="single" w:sz="6" w:space="0" w:color="000000"/>
              <w:bottom w:val="single" w:sz="6" w:space="0" w:color="000000"/>
              <w:right w:val="single" w:sz="6" w:space="0" w:color="000000"/>
            </w:tcBorders>
          </w:tcPr>
          <w:p w14:paraId="449B99FE" w14:textId="77777777" w:rsidR="00A24640" w:rsidRPr="00A24640" w:rsidRDefault="00A24640" w:rsidP="00A24640">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Average Burden per Response</w:t>
            </w:r>
          </w:p>
        </w:tc>
        <w:tc>
          <w:tcPr>
            <w:tcW w:w="469" w:type="pct"/>
            <w:tcBorders>
              <w:top w:val="single" w:sz="6" w:space="0" w:color="000000"/>
              <w:left w:val="single" w:sz="6" w:space="0" w:color="000000"/>
              <w:bottom w:val="single" w:sz="6" w:space="0" w:color="000000"/>
              <w:right w:val="single" w:sz="6" w:space="0" w:color="000000"/>
            </w:tcBorders>
          </w:tcPr>
          <w:p w14:paraId="206F808A" w14:textId="77777777" w:rsidR="00A24640" w:rsidRPr="00A24640" w:rsidRDefault="00A24640" w:rsidP="00A24640">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Total Hours</w:t>
            </w:r>
          </w:p>
        </w:tc>
      </w:tr>
      <w:tr w:rsidR="00A24640" w:rsidRPr="00A24640" w14:paraId="2F99799C" w14:textId="77777777" w:rsidTr="00E93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Pr>
        <w:tc>
          <w:tcPr>
            <w:tcW w:w="1315" w:type="pct"/>
            <w:gridSpan w:val="2"/>
            <w:tcBorders>
              <w:top w:val="single" w:sz="6" w:space="0" w:color="000000"/>
              <w:left w:val="single" w:sz="6" w:space="0" w:color="000000"/>
              <w:bottom w:val="single" w:sz="6" w:space="0" w:color="000000"/>
              <w:right w:val="single" w:sz="6" w:space="0" w:color="000000"/>
            </w:tcBorders>
          </w:tcPr>
          <w:p w14:paraId="35149F91" w14:textId="77777777" w:rsidR="00A24640" w:rsidRPr="00A24640" w:rsidRDefault="00A24640" w:rsidP="00A24640">
            <w:pPr>
              <w:keepNext/>
              <w:tabs>
                <w:tab w:val="left" w:pos="-1080"/>
                <w:tab w:val="left" w:pos="-720"/>
                <w:tab w:val="left" w:pos="0"/>
                <w:tab w:val="left" w:pos="360"/>
                <w:tab w:val="left" w:pos="1440"/>
              </w:tabs>
              <w:rPr>
                <w:snapToGrid w:val="0"/>
                <w:sz w:val="20"/>
                <w:szCs w:val="20"/>
              </w:rPr>
            </w:pPr>
            <w:r w:rsidRPr="00A24640">
              <w:rPr>
                <w:sz w:val="20"/>
                <w:szCs w:val="20"/>
              </w:rPr>
              <w:t>User Fee Payment Refund Request</w:t>
            </w:r>
            <w:r w:rsidRPr="00A24640">
              <w:rPr>
                <w:snapToGrid w:val="0"/>
                <w:sz w:val="20"/>
                <w:szCs w:val="20"/>
              </w:rPr>
              <w:t>- Form FDA 3913</w:t>
            </w:r>
          </w:p>
        </w:tc>
        <w:tc>
          <w:tcPr>
            <w:tcW w:w="660" w:type="pct"/>
            <w:tcBorders>
              <w:top w:val="single" w:sz="6" w:space="0" w:color="000000"/>
              <w:left w:val="single" w:sz="6" w:space="0" w:color="000000"/>
              <w:bottom w:val="single" w:sz="6" w:space="0" w:color="000000"/>
              <w:right w:val="single" w:sz="6" w:space="0" w:color="000000"/>
            </w:tcBorders>
          </w:tcPr>
          <w:p w14:paraId="733A5304"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1,657</w:t>
            </w:r>
          </w:p>
        </w:tc>
        <w:tc>
          <w:tcPr>
            <w:tcW w:w="879" w:type="pct"/>
            <w:tcBorders>
              <w:top w:val="single" w:sz="6" w:space="0" w:color="000000"/>
              <w:left w:val="single" w:sz="6" w:space="0" w:color="000000"/>
              <w:bottom w:val="single" w:sz="6" w:space="0" w:color="000000"/>
              <w:right w:val="single" w:sz="6" w:space="0" w:color="000000"/>
            </w:tcBorders>
          </w:tcPr>
          <w:p w14:paraId="1F8FBC63"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1</w:t>
            </w:r>
          </w:p>
        </w:tc>
        <w:tc>
          <w:tcPr>
            <w:tcW w:w="714" w:type="pct"/>
            <w:tcBorders>
              <w:top w:val="single" w:sz="6" w:space="0" w:color="000000"/>
              <w:left w:val="single" w:sz="6" w:space="0" w:color="000000"/>
              <w:bottom w:val="single" w:sz="6" w:space="0" w:color="000000"/>
              <w:right w:val="single" w:sz="6" w:space="0" w:color="000000"/>
            </w:tcBorders>
          </w:tcPr>
          <w:p w14:paraId="683AE639"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1,657</w:t>
            </w:r>
          </w:p>
        </w:tc>
        <w:tc>
          <w:tcPr>
            <w:tcW w:w="845" w:type="pct"/>
            <w:tcBorders>
              <w:top w:val="single" w:sz="6" w:space="0" w:color="000000"/>
              <w:left w:val="single" w:sz="6" w:space="0" w:color="000000"/>
              <w:bottom w:val="single" w:sz="6" w:space="0" w:color="000000"/>
              <w:right w:val="single" w:sz="6" w:space="0" w:color="000000"/>
            </w:tcBorders>
          </w:tcPr>
          <w:p w14:paraId="369F04C1"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 xml:space="preserve">0.40 </w:t>
            </w:r>
          </w:p>
          <w:p w14:paraId="0D86371C"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(24 minutes)</w:t>
            </w:r>
          </w:p>
        </w:tc>
        <w:tc>
          <w:tcPr>
            <w:tcW w:w="469" w:type="pct"/>
            <w:tcBorders>
              <w:top w:val="single" w:sz="6" w:space="0" w:color="000000"/>
              <w:left w:val="single" w:sz="6" w:space="0" w:color="000000"/>
              <w:bottom w:val="single" w:sz="6" w:space="0" w:color="000000"/>
              <w:right w:val="single" w:sz="6" w:space="0" w:color="000000"/>
            </w:tcBorders>
          </w:tcPr>
          <w:p w14:paraId="70FCDC39"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663</w:t>
            </w:r>
          </w:p>
        </w:tc>
      </w:tr>
      <w:tr w:rsidR="00A24640" w:rsidRPr="00A24640" w14:paraId="2004229B" w14:textId="77777777" w:rsidTr="00E93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Pr>
        <w:tc>
          <w:tcPr>
            <w:tcW w:w="1315" w:type="pct"/>
            <w:gridSpan w:val="2"/>
            <w:tcBorders>
              <w:top w:val="single" w:sz="6" w:space="0" w:color="000000"/>
              <w:left w:val="single" w:sz="6" w:space="0" w:color="000000"/>
              <w:bottom w:val="single" w:sz="6" w:space="0" w:color="000000"/>
              <w:right w:val="single" w:sz="6" w:space="0" w:color="000000"/>
            </w:tcBorders>
          </w:tcPr>
          <w:p w14:paraId="2DDB15BD" w14:textId="77777777" w:rsidR="00A24640" w:rsidRPr="00A24640" w:rsidRDefault="00A24640" w:rsidP="00A24640">
            <w:pPr>
              <w:keepNext/>
              <w:tabs>
                <w:tab w:val="left" w:pos="-1080"/>
                <w:tab w:val="left" w:pos="-720"/>
                <w:tab w:val="left" w:pos="0"/>
                <w:tab w:val="left" w:pos="360"/>
                <w:tab w:val="left" w:pos="1440"/>
              </w:tabs>
              <w:rPr>
                <w:snapToGrid w:val="0"/>
                <w:sz w:val="20"/>
                <w:szCs w:val="20"/>
              </w:rPr>
            </w:pPr>
            <w:r w:rsidRPr="00A24640">
              <w:rPr>
                <w:snapToGrid w:val="0"/>
                <w:sz w:val="20"/>
                <w:szCs w:val="20"/>
              </w:rPr>
              <w:t>User Fee Payment Transfer Request- Form FDA 3914</w:t>
            </w:r>
          </w:p>
        </w:tc>
        <w:tc>
          <w:tcPr>
            <w:tcW w:w="660" w:type="pct"/>
            <w:tcBorders>
              <w:top w:val="single" w:sz="6" w:space="0" w:color="000000"/>
              <w:left w:val="single" w:sz="6" w:space="0" w:color="000000"/>
              <w:bottom w:val="single" w:sz="6" w:space="0" w:color="000000"/>
              <w:right w:val="single" w:sz="6" w:space="0" w:color="000000"/>
            </w:tcBorders>
          </w:tcPr>
          <w:p w14:paraId="48DDB2C0"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871</w:t>
            </w:r>
          </w:p>
        </w:tc>
        <w:tc>
          <w:tcPr>
            <w:tcW w:w="879" w:type="pct"/>
            <w:tcBorders>
              <w:top w:val="single" w:sz="6" w:space="0" w:color="000000"/>
              <w:left w:val="single" w:sz="6" w:space="0" w:color="000000"/>
              <w:bottom w:val="single" w:sz="6" w:space="0" w:color="000000"/>
              <w:right w:val="single" w:sz="6" w:space="0" w:color="000000"/>
            </w:tcBorders>
          </w:tcPr>
          <w:p w14:paraId="7C1F4756"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1</w:t>
            </w:r>
          </w:p>
        </w:tc>
        <w:tc>
          <w:tcPr>
            <w:tcW w:w="714" w:type="pct"/>
            <w:tcBorders>
              <w:top w:val="single" w:sz="6" w:space="0" w:color="000000"/>
              <w:left w:val="single" w:sz="6" w:space="0" w:color="000000"/>
              <w:bottom w:val="single" w:sz="6" w:space="0" w:color="000000"/>
              <w:right w:val="single" w:sz="6" w:space="0" w:color="000000"/>
            </w:tcBorders>
          </w:tcPr>
          <w:p w14:paraId="5700BB68"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871</w:t>
            </w:r>
          </w:p>
        </w:tc>
        <w:tc>
          <w:tcPr>
            <w:tcW w:w="845" w:type="pct"/>
            <w:tcBorders>
              <w:top w:val="single" w:sz="6" w:space="0" w:color="000000"/>
              <w:left w:val="single" w:sz="6" w:space="0" w:color="000000"/>
              <w:bottom w:val="single" w:sz="6" w:space="0" w:color="000000"/>
              <w:right w:val="single" w:sz="6" w:space="0" w:color="000000"/>
            </w:tcBorders>
          </w:tcPr>
          <w:p w14:paraId="522266B6"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0.25</w:t>
            </w:r>
          </w:p>
          <w:p w14:paraId="0CCB3D78"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 xml:space="preserve"> (15 minutes)</w:t>
            </w:r>
          </w:p>
        </w:tc>
        <w:tc>
          <w:tcPr>
            <w:tcW w:w="469" w:type="pct"/>
            <w:tcBorders>
              <w:top w:val="single" w:sz="6" w:space="0" w:color="000000"/>
              <w:left w:val="single" w:sz="6" w:space="0" w:color="000000"/>
              <w:bottom w:val="single" w:sz="6" w:space="0" w:color="000000"/>
              <w:right w:val="single" w:sz="6" w:space="0" w:color="000000"/>
            </w:tcBorders>
          </w:tcPr>
          <w:p w14:paraId="6C01E6E7"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218</w:t>
            </w:r>
          </w:p>
        </w:tc>
      </w:tr>
      <w:tr w:rsidR="00A24640" w:rsidRPr="00A24640" w14:paraId="676B8674" w14:textId="77777777" w:rsidTr="00E93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Pr>
        <w:tc>
          <w:tcPr>
            <w:tcW w:w="4412" w:type="pct"/>
            <w:gridSpan w:val="6"/>
            <w:tcBorders>
              <w:top w:val="single" w:sz="6" w:space="0" w:color="000000"/>
              <w:left w:val="single" w:sz="6" w:space="0" w:color="000000"/>
              <w:bottom w:val="single" w:sz="6" w:space="0" w:color="000000"/>
              <w:right w:val="single" w:sz="6" w:space="0" w:color="000000"/>
            </w:tcBorders>
          </w:tcPr>
          <w:p w14:paraId="59B0635B" w14:textId="77777777" w:rsidR="00A24640" w:rsidRPr="00A24640" w:rsidRDefault="00A24640" w:rsidP="00A24640">
            <w:pPr>
              <w:keepNext/>
              <w:tabs>
                <w:tab w:val="left" w:pos="-1080"/>
                <w:tab w:val="left" w:pos="-720"/>
                <w:tab w:val="left" w:pos="0"/>
                <w:tab w:val="left" w:pos="360"/>
                <w:tab w:val="left" w:pos="1440"/>
              </w:tabs>
              <w:rPr>
                <w:snapToGrid w:val="0"/>
                <w:sz w:val="20"/>
                <w:szCs w:val="20"/>
              </w:rPr>
            </w:pPr>
            <w:r w:rsidRPr="00A24640">
              <w:rPr>
                <w:snapToGrid w:val="0"/>
                <w:sz w:val="20"/>
                <w:szCs w:val="20"/>
              </w:rPr>
              <w:t>Total</w:t>
            </w:r>
          </w:p>
        </w:tc>
        <w:tc>
          <w:tcPr>
            <w:tcW w:w="469" w:type="pct"/>
            <w:tcBorders>
              <w:top w:val="single" w:sz="6" w:space="0" w:color="000000"/>
              <w:left w:val="single" w:sz="6" w:space="0" w:color="000000"/>
              <w:bottom w:val="single" w:sz="6" w:space="0" w:color="000000"/>
              <w:right w:val="single" w:sz="6" w:space="0" w:color="000000"/>
            </w:tcBorders>
          </w:tcPr>
          <w:p w14:paraId="5EE08C19" w14:textId="77777777" w:rsidR="00A24640" w:rsidRPr="00A24640" w:rsidRDefault="00A24640" w:rsidP="00A24640">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881</w:t>
            </w:r>
          </w:p>
        </w:tc>
      </w:tr>
    </w:tbl>
    <w:p w14:paraId="2311F525" w14:textId="77777777" w:rsidR="00A24640" w:rsidRPr="00A24640" w:rsidRDefault="00A24640" w:rsidP="00A24640">
      <w:pPr>
        <w:rPr>
          <w:szCs w:val="20"/>
        </w:rPr>
      </w:pPr>
    </w:p>
    <w:p w14:paraId="02F66097" w14:textId="77777777" w:rsidR="00A24640" w:rsidRPr="00A24640" w:rsidRDefault="00A24640" w:rsidP="00A24640">
      <w:pPr>
        <w:rPr>
          <w:sz w:val="20"/>
          <w:szCs w:val="20"/>
        </w:rPr>
      </w:pPr>
      <w:r w:rsidRPr="00A24640">
        <w:rPr>
          <w:sz w:val="20"/>
          <w:szCs w:val="20"/>
          <w:vertAlign w:val="superscript"/>
        </w:rPr>
        <w:t>1</w:t>
      </w:r>
      <w:r w:rsidRPr="00A24640">
        <w:rPr>
          <w:sz w:val="20"/>
          <w:szCs w:val="20"/>
        </w:rPr>
        <w:t xml:space="preserve"> There are no capital costs or operating and maintenance costs associated with this collection of information.</w:t>
      </w:r>
    </w:p>
    <w:p w14:paraId="40E433A8" w14:textId="77777777" w:rsidR="00A24640" w:rsidRPr="00A24640" w:rsidRDefault="00A24640" w:rsidP="00A24640">
      <w:pPr>
        <w:spacing w:line="480" w:lineRule="auto"/>
        <w:rPr>
          <w:color w:val="000000" w:themeColor="text1"/>
          <w:sz w:val="20"/>
          <w:szCs w:val="20"/>
        </w:rPr>
      </w:pPr>
    </w:p>
    <w:p w14:paraId="0D9E93B8" w14:textId="77777777" w:rsidR="00A24640" w:rsidRPr="00A24640" w:rsidRDefault="00A24640" w:rsidP="00A920A8">
      <w:pPr>
        <w:ind w:left="720"/>
        <w:rPr>
          <w:color w:val="5B9BD5"/>
        </w:rPr>
      </w:pPr>
    </w:p>
    <w:p w14:paraId="1795C29A" w14:textId="77777777" w:rsidR="00F962EB" w:rsidRDefault="00F962EB" w:rsidP="00F962EB">
      <w:pPr>
        <w:ind w:left="720"/>
        <w:rPr>
          <w:color w:val="000000"/>
        </w:rPr>
      </w:pPr>
      <w:r>
        <w:rPr>
          <w:szCs w:val="20"/>
        </w:rPr>
        <w:t>Form FDA 3913, User Fee Payment Refund</w:t>
      </w:r>
      <w:r w:rsidRPr="00A24640">
        <w:rPr>
          <w:szCs w:val="20"/>
        </w:rPr>
        <w:t xml:space="preserve"> Request, is designed to provide the minimum necessary information for FDA to review and pro</w:t>
      </w:r>
      <w:r>
        <w:rPr>
          <w:szCs w:val="20"/>
        </w:rPr>
        <w:t>cess a user fee payment refund</w:t>
      </w:r>
      <w:r w:rsidRPr="00A24640">
        <w:rPr>
          <w:szCs w:val="20"/>
        </w:rPr>
        <w:t xml:space="preserve"> request.  </w:t>
      </w:r>
      <w:r w:rsidRPr="00585E51">
        <w:rPr>
          <w:color w:val="000000"/>
          <w:szCs w:val="20"/>
        </w:rPr>
        <w:t>FDA estimates an average of 0.40 hours per response</w:t>
      </w:r>
      <w:r>
        <w:rPr>
          <w:color w:val="000000"/>
          <w:szCs w:val="20"/>
        </w:rPr>
        <w:t xml:space="preserve"> for user fee payment refund requests under Form FDA 3913</w:t>
      </w:r>
      <w:r w:rsidRPr="00585E51">
        <w:rPr>
          <w:color w:val="000000"/>
          <w:szCs w:val="20"/>
        </w:rPr>
        <w:t>, including the time to review</w:t>
      </w:r>
      <w:r w:rsidRPr="00585E51">
        <w:rPr>
          <w:color w:val="000000"/>
        </w:rPr>
        <w:t xml:space="preserve"> instructions, search existing data sources, gather and maintain the data needed, and complete and review the collection of </w:t>
      </w:r>
      <w:r w:rsidRPr="00585E51">
        <w:rPr>
          <w:color w:val="000000"/>
          <w:szCs w:val="20"/>
        </w:rPr>
        <w:t>information</w:t>
      </w:r>
      <w:r w:rsidRPr="00585E51">
        <w:rPr>
          <w:color w:val="000000"/>
        </w:rPr>
        <w:t xml:space="preserve"> for payment refunds.  The estimated hours are based on past FDA experience with the user fee payment refund request.  </w:t>
      </w:r>
    </w:p>
    <w:p w14:paraId="67574FBB" w14:textId="77777777" w:rsidR="00F962EB" w:rsidRDefault="00F962EB" w:rsidP="00F962EB">
      <w:pPr>
        <w:ind w:left="720"/>
        <w:rPr>
          <w:color w:val="000000"/>
        </w:rPr>
      </w:pPr>
    </w:p>
    <w:p w14:paraId="1B9AA535" w14:textId="77777777" w:rsidR="00585E51" w:rsidRDefault="00A24640" w:rsidP="00A920A8">
      <w:pPr>
        <w:ind w:left="720"/>
        <w:rPr>
          <w:color w:val="000000" w:themeColor="text1"/>
          <w:szCs w:val="20"/>
        </w:rPr>
      </w:pPr>
      <w:r w:rsidRPr="00A24640">
        <w:rPr>
          <w:szCs w:val="20"/>
        </w:rPr>
        <w:t xml:space="preserve">In fiscal year 2017, approximately 1,657 user fee refunds were processed </w:t>
      </w:r>
      <w:r>
        <w:rPr>
          <w:szCs w:val="20"/>
        </w:rPr>
        <w:t xml:space="preserve"> via Form FDA 3913 </w:t>
      </w:r>
      <w:r w:rsidRPr="00A24640">
        <w:rPr>
          <w:szCs w:val="20"/>
        </w:rPr>
        <w:t>for cover sheets and invoices including 12 for Animal Drug User Fee Act, 2 for Animal Generic Drug User Fee Act, 13 for Biosimilar Drug User Fee Act, 68 for Export Certificate Program, 14 for Freedom of Information Act requests, 227 for Generic Drug User Fee Amendments, 1,021 for Medical Device User Fee Amendments, 227 for Mammography inspection fee, 67 for Prescription Drug User Fee Act, and 6 for Tobacco product fee.</w:t>
      </w:r>
      <w:r w:rsidR="00585E51" w:rsidRPr="00585E51">
        <w:rPr>
          <w:color w:val="000000" w:themeColor="text1"/>
          <w:szCs w:val="20"/>
        </w:rPr>
        <w:t xml:space="preserve"> </w:t>
      </w:r>
    </w:p>
    <w:p w14:paraId="16C0A7CA" w14:textId="77777777" w:rsidR="00A920A8" w:rsidRDefault="00A920A8" w:rsidP="00A920A8">
      <w:pPr>
        <w:ind w:left="720"/>
        <w:rPr>
          <w:color w:val="000000" w:themeColor="text1"/>
          <w:szCs w:val="20"/>
        </w:rPr>
      </w:pPr>
    </w:p>
    <w:p w14:paraId="77F1B96F" w14:textId="77777777" w:rsidR="00A24640" w:rsidRPr="00A24640" w:rsidRDefault="00A24640" w:rsidP="00A920A8">
      <w:pPr>
        <w:ind w:left="720"/>
        <w:rPr>
          <w:szCs w:val="20"/>
        </w:rPr>
      </w:pPr>
      <w:r w:rsidRPr="00A24640">
        <w:rPr>
          <w:szCs w:val="20"/>
        </w:rPr>
        <w:t xml:space="preserve">Form FDA 3914, User Fee Payment Transfer Request, is designed to provide the minimum necessary information for FDA to review and process a user fee payment transfer request.  FDA estimates an average of 0.25 hours per response, including the time to review instructions, search existing data sources, gather and maintain the data needed, and complete and review the collection of information.  FDA estimated hours are based on past FDA experience with the user fee payment transfer request.    </w:t>
      </w:r>
    </w:p>
    <w:p w14:paraId="0F63DB5A" w14:textId="77777777" w:rsidR="00A920A8" w:rsidRDefault="00A920A8" w:rsidP="00A920A8">
      <w:pPr>
        <w:shd w:val="clear" w:color="auto" w:fill="FFFFFF"/>
        <w:ind w:left="720"/>
        <w:rPr>
          <w:szCs w:val="20"/>
        </w:rPr>
      </w:pPr>
    </w:p>
    <w:p w14:paraId="04E2C146" w14:textId="77777777" w:rsidR="00A24640" w:rsidRPr="00A24640" w:rsidRDefault="00A24640" w:rsidP="00A920A8">
      <w:pPr>
        <w:shd w:val="clear" w:color="auto" w:fill="FFFFFF"/>
        <w:ind w:left="720"/>
        <w:rPr>
          <w:color w:val="000000" w:themeColor="text1"/>
          <w:szCs w:val="20"/>
        </w:rPr>
      </w:pPr>
      <w:r w:rsidRPr="00A24640">
        <w:rPr>
          <w:szCs w:val="20"/>
        </w:rPr>
        <w:t xml:space="preserve">In fiscal year 2017, approximately 871 user fee payment transfers were processed for cover sheets and invoices including 8 for Animal Drug User Fee Act, 1 for Animal Generic Drug User Fee Act, 1 for </w:t>
      </w:r>
      <w:r w:rsidRPr="00A24640">
        <w:rPr>
          <w:color w:val="000000" w:themeColor="text1"/>
          <w:szCs w:val="20"/>
        </w:rPr>
        <w:t>Biosimilar Drug User Fee Act, 163 for Generic Drug User Fee Amendments, 692 for Medical Device User Fee Amendments, and 6 for Prescription Drug User Fee Act.</w:t>
      </w:r>
    </w:p>
    <w:p w14:paraId="0A1D490A" w14:textId="77777777" w:rsidR="003740BC" w:rsidRPr="00585E51" w:rsidRDefault="003740BC" w:rsidP="00A920A8">
      <w:pPr>
        <w:pStyle w:val="BodyText2"/>
        <w:ind w:left="1080"/>
        <w:rPr>
          <w:color w:val="000000" w:themeColor="text1"/>
        </w:rPr>
      </w:pPr>
    </w:p>
    <w:p w14:paraId="2087B75D" w14:textId="77777777" w:rsidR="00A93ED9" w:rsidRPr="00585E51" w:rsidRDefault="00A93ED9" w:rsidP="00A920A8">
      <w:pPr>
        <w:pStyle w:val="BodyText2"/>
        <w:ind w:left="360"/>
        <w:rPr>
          <w:color w:val="000000" w:themeColor="text1"/>
        </w:rPr>
      </w:pPr>
      <w:r w:rsidRPr="00585E51">
        <w:rPr>
          <w:color w:val="000000" w:themeColor="text1"/>
        </w:rPr>
        <w:t xml:space="preserve">12b. </w:t>
      </w:r>
      <w:r w:rsidR="00411D11" w:rsidRPr="00585E51">
        <w:rPr>
          <w:color w:val="000000" w:themeColor="text1"/>
          <w:u w:val="single"/>
        </w:rPr>
        <w:t>Annualized Cost Burden Estimate</w:t>
      </w:r>
    </w:p>
    <w:p w14:paraId="11921D24" w14:textId="77777777" w:rsidR="00F31AD0" w:rsidRPr="00A81FC7" w:rsidRDefault="00F31AD0" w:rsidP="00A920A8">
      <w:pPr>
        <w:pStyle w:val="BodyText2"/>
        <w:ind w:left="720"/>
        <w:rPr>
          <w:color w:val="5B9BD5" w:themeColor="accent1"/>
        </w:rPr>
      </w:pPr>
    </w:p>
    <w:p w14:paraId="2D74A3F4" w14:textId="77777777" w:rsidR="00F31AD0" w:rsidRPr="00585E51" w:rsidRDefault="00F31AD0" w:rsidP="00A920A8">
      <w:pPr>
        <w:pStyle w:val="BodyText2"/>
        <w:ind w:left="720"/>
        <w:rPr>
          <w:color w:val="000000" w:themeColor="text1"/>
        </w:rPr>
      </w:pPr>
      <w:r w:rsidRPr="00585E51">
        <w:rPr>
          <w:color w:val="000000" w:themeColor="text1"/>
        </w:rPr>
        <w:t>FDA assumes that</w:t>
      </w:r>
      <w:r w:rsidR="00946960" w:rsidRPr="00585E51">
        <w:rPr>
          <w:color w:val="000000" w:themeColor="text1"/>
        </w:rPr>
        <w:t xml:space="preserve"> an accountant</w:t>
      </w:r>
      <w:r w:rsidR="00585E51">
        <w:rPr>
          <w:color w:val="000000" w:themeColor="text1"/>
        </w:rPr>
        <w:t>/bookkeeper</w:t>
      </w:r>
      <w:r w:rsidRPr="00585E51">
        <w:rPr>
          <w:color w:val="000000" w:themeColor="text1"/>
        </w:rPr>
        <w:t xml:space="preserve"> at the firm that is requesting the refund or transfer will perform the activities associated with completing Form 3913 and 3914.  According to the Department of Labor, Bureau of Labor and Statistics, the average </w:t>
      </w:r>
      <w:r w:rsidR="00946960" w:rsidRPr="00585E51">
        <w:rPr>
          <w:color w:val="000000" w:themeColor="text1"/>
        </w:rPr>
        <w:t xml:space="preserve">hourly </w:t>
      </w:r>
      <w:r w:rsidRPr="00585E51">
        <w:rPr>
          <w:color w:val="000000" w:themeColor="text1"/>
        </w:rPr>
        <w:t xml:space="preserve">salary for </w:t>
      </w:r>
      <w:r w:rsidR="00585E51">
        <w:rPr>
          <w:color w:val="000000" w:themeColor="text1"/>
        </w:rPr>
        <w:t xml:space="preserve">an accountant/bookkeeper position </w:t>
      </w:r>
      <w:r w:rsidRPr="00585E51">
        <w:rPr>
          <w:color w:val="000000" w:themeColor="text1"/>
        </w:rPr>
        <w:t xml:space="preserve">is approximately $35.00,  FDA has used this estimate to formulate the cost burden for a firm requesting a refund or transfer.  FDA estimates that a firm would make only one refund or transfer request per year.  </w:t>
      </w:r>
    </w:p>
    <w:p w14:paraId="6EC2921E" w14:textId="77777777" w:rsidR="00F31AD0" w:rsidRPr="00A81FC7" w:rsidRDefault="00F31AD0" w:rsidP="001D495A">
      <w:pPr>
        <w:pStyle w:val="BodyText2"/>
        <w:ind w:left="720"/>
        <w:rPr>
          <w:color w:val="5B9BD5" w:themeColor="accent1"/>
        </w:rPr>
      </w:pPr>
    </w:p>
    <w:p w14:paraId="396C77DE" w14:textId="22C573FE" w:rsidR="00F31AD0" w:rsidRPr="00A81FC7" w:rsidRDefault="00AF7E5B" w:rsidP="001D495A">
      <w:pPr>
        <w:pStyle w:val="BodyText2"/>
        <w:ind w:left="720"/>
        <w:rPr>
          <w:color w:val="5B9BD5" w:themeColor="accent1"/>
        </w:rPr>
      </w:pPr>
      <w:r>
        <w:rPr>
          <w:noProof/>
          <w:color w:val="5B9BD5" w:themeColor="accent1"/>
        </w:rPr>
        <w:drawing>
          <wp:inline distT="0" distB="0" distL="0" distR="0" wp14:anchorId="06B573DC" wp14:editId="431BF652">
            <wp:extent cx="54102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990600"/>
                    </a:xfrm>
                    <a:prstGeom prst="rect">
                      <a:avLst/>
                    </a:prstGeom>
                    <a:noFill/>
                    <a:ln>
                      <a:noFill/>
                    </a:ln>
                  </pic:spPr>
                </pic:pic>
              </a:graphicData>
            </a:graphic>
          </wp:inline>
        </w:drawing>
      </w:r>
    </w:p>
    <w:p w14:paraId="113F59F1" w14:textId="77777777" w:rsidR="00AE7316" w:rsidRPr="006A328D" w:rsidRDefault="00EB7538" w:rsidP="00513528">
      <w:pPr>
        <w:numPr>
          <w:ilvl w:val="0"/>
          <w:numId w:val="1"/>
        </w:numPr>
        <w:spacing w:before="100" w:beforeAutospacing="1" w:after="100" w:afterAutospacing="1"/>
        <w:rPr>
          <w:color w:val="000000" w:themeColor="text1"/>
        </w:rPr>
      </w:pPr>
      <w:r w:rsidRPr="006A328D">
        <w:rPr>
          <w:color w:val="000000" w:themeColor="text1"/>
          <w:u w:val="single"/>
        </w:rPr>
        <w:t>Estimates of Other Total Annual Cost</w:t>
      </w:r>
      <w:r w:rsidR="007C75B1" w:rsidRPr="006A328D">
        <w:rPr>
          <w:color w:val="000000" w:themeColor="text1"/>
          <w:u w:val="single"/>
        </w:rPr>
        <w:t>s</w:t>
      </w:r>
      <w:r w:rsidRPr="006A328D">
        <w:rPr>
          <w:color w:val="000000" w:themeColor="text1"/>
          <w:u w:val="single"/>
        </w:rPr>
        <w:t xml:space="preserve"> to Respondents and</w:t>
      </w:r>
      <w:r w:rsidR="00350523" w:rsidRPr="006A328D">
        <w:rPr>
          <w:color w:val="000000" w:themeColor="text1"/>
          <w:u w:val="single"/>
        </w:rPr>
        <w:t>/or Recordkeepers/Capital Costs</w:t>
      </w:r>
    </w:p>
    <w:p w14:paraId="466A214E" w14:textId="77777777" w:rsidR="004D458E" w:rsidRPr="00585E51" w:rsidRDefault="004D458E" w:rsidP="004D458E">
      <w:pPr>
        <w:ind w:left="720"/>
        <w:rPr>
          <w:color w:val="000000" w:themeColor="text1"/>
        </w:rPr>
      </w:pPr>
      <w:r w:rsidRPr="00585E51">
        <w:rPr>
          <w:color w:val="000000" w:themeColor="text1"/>
        </w:rPr>
        <w:t>There are no additional capital costs associated with this collection of information.</w:t>
      </w:r>
    </w:p>
    <w:p w14:paraId="708C945C" w14:textId="77777777" w:rsidR="004C6979" w:rsidRPr="00585E51" w:rsidRDefault="00EB7538" w:rsidP="00EB7538">
      <w:pPr>
        <w:numPr>
          <w:ilvl w:val="0"/>
          <w:numId w:val="1"/>
        </w:numPr>
        <w:spacing w:before="100" w:beforeAutospacing="1" w:after="100" w:afterAutospacing="1"/>
        <w:rPr>
          <w:color w:val="000000" w:themeColor="text1"/>
          <w:u w:val="single"/>
        </w:rPr>
      </w:pPr>
      <w:r w:rsidRPr="00585E51">
        <w:rPr>
          <w:color w:val="000000" w:themeColor="text1"/>
          <w:u w:val="single"/>
        </w:rPr>
        <w:t>Annualized Cost to the Federal Government</w:t>
      </w:r>
    </w:p>
    <w:p w14:paraId="7FF2B51C" w14:textId="2EE5801A" w:rsidR="009E0A1D" w:rsidRPr="00585E51" w:rsidRDefault="00675808" w:rsidP="00D730BF">
      <w:pPr>
        <w:ind w:left="720"/>
        <w:rPr>
          <w:color w:val="000000" w:themeColor="text1"/>
        </w:rPr>
      </w:pPr>
      <w:r>
        <w:rPr>
          <w:color w:val="000000" w:themeColor="text1"/>
        </w:rPr>
        <w:t xml:space="preserve">The information collection is funded through existing resource allocations under FDA’s user fee programs.  </w:t>
      </w:r>
    </w:p>
    <w:p w14:paraId="1D1AEAE9" w14:textId="4A6E707E" w:rsidR="004C6979" w:rsidRDefault="00EB7538" w:rsidP="00EB7538">
      <w:pPr>
        <w:numPr>
          <w:ilvl w:val="0"/>
          <w:numId w:val="1"/>
        </w:numPr>
        <w:spacing w:before="100" w:beforeAutospacing="1" w:after="100" w:afterAutospacing="1"/>
        <w:rPr>
          <w:color w:val="000000" w:themeColor="text1"/>
          <w:u w:val="single"/>
        </w:rPr>
      </w:pPr>
      <w:r w:rsidRPr="00A81FC7">
        <w:rPr>
          <w:color w:val="000000" w:themeColor="text1"/>
          <w:u w:val="single"/>
        </w:rPr>
        <w:t>Explanation for Program Changes or Adjustments</w:t>
      </w:r>
    </w:p>
    <w:p w14:paraId="789DE5EB" w14:textId="42CAF647" w:rsidR="00E935A2" w:rsidRPr="00DA2B80" w:rsidRDefault="00DA2B80" w:rsidP="00DA2B80">
      <w:pPr>
        <w:ind w:left="720"/>
      </w:pPr>
      <w:r>
        <w:t xml:space="preserve">The estimated annual hourly burden, formerly estimated as 1,105 hours, has decreased by 224 hours to a total estimated annual hourly burden of 881 hours. </w:t>
      </w:r>
      <w:r w:rsidR="00E935A2">
        <w:rPr>
          <w:color w:val="000000" w:themeColor="text1"/>
        </w:rPr>
        <w:t>These are determined by the number of refund/transfer requests received from industry.  As the user fee programs mature, processes and procedures utilized by industry also mature, leading to fewer requests for transfers of fees or refunds.</w:t>
      </w:r>
    </w:p>
    <w:p w14:paraId="5D3C8558" w14:textId="3A846D24" w:rsidR="006A26F9" w:rsidRPr="00E935A2" w:rsidRDefault="00EB7538" w:rsidP="00E935A2">
      <w:pPr>
        <w:pStyle w:val="ListParagraph"/>
        <w:numPr>
          <w:ilvl w:val="0"/>
          <w:numId w:val="1"/>
        </w:numPr>
        <w:spacing w:before="100" w:beforeAutospacing="1" w:after="100" w:afterAutospacing="1"/>
        <w:rPr>
          <w:color w:val="000000" w:themeColor="text1"/>
        </w:rPr>
      </w:pPr>
      <w:r w:rsidRPr="00E935A2">
        <w:rPr>
          <w:color w:val="000000" w:themeColor="text1"/>
          <w:u w:val="single"/>
        </w:rPr>
        <w:t>Plans for Tabulation and Publication and Project Time Schedule</w:t>
      </w:r>
    </w:p>
    <w:p w14:paraId="7D67EB30" w14:textId="3F655E75" w:rsidR="00F26993" w:rsidRPr="00A81FC7" w:rsidRDefault="00AF7E5B" w:rsidP="00E935A2">
      <w:pPr>
        <w:spacing w:before="100" w:beforeAutospacing="1" w:after="100" w:afterAutospacing="1"/>
        <w:ind w:left="360" w:firstLine="360"/>
        <w:rPr>
          <w:color w:val="000000" w:themeColor="text1"/>
        </w:rPr>
      </w:pPr>
      <w:r>
        <w:rPr>
          <w:sz w:val="23"/>
          <w:szCs w:val="23"/>
        </w:rPr>
        <w:t>There are no tabulated results to publish for this information collection.</w:t>
      </w:r>
    </w:p>
    <w:p w14:paraId="16B6810F" w14:textId="77777777" w:rsidR="006A328D" w:rsidRDefault="006A328D" w:rsidP="003526A4">
      <w:pPr>
        <w:numPr>
          <w:ilvl w:val="0"/>
          <w:numId w:val="1"/>
        </w:numPr>
        <w:spacing w:before="100" w:beforeAutospacing="1" w:after="100" w:afterAutospacing="1"/>
      </w:pPr>
      <w:r w:rsidRPr="006A328D">
        <w:rPr>
          <w:u w:val="single"/>
        </w:rPr>
        <w:t>Reason(s) Display of OMB Expiration Date is Inappropriate</w:t>
      </w:r>
    </w:p>
    <w:p w14:paraId="7281D039" w14:textId="77777777" w:rsidR="006A328D" w:rsidRDefault="006A328D" w:rsidP="006A328D">
      <w:pPr>
        <w:ind w:left="720"/>
      </w:pPr>
      <w:r w:rsidRPr="002A7DCD">
        <w:t>FDA will display the OMB expiration date as required by 5 CFR 1320.5</w:t>
      </w:r>
      <w:r>
        <w:t>.</w:t>
      </w:r>
      <w:r w:rsidRPr="002A7DCD">
        <w:t> </w:t>
      </w:r>
    </w:p>
    <w:p w14:paraId="791E0840" w14:textId="77777777" w:rsidR="00EB7538" w:rsidRPr="00A81FC7" w:rsidRDefault="00EB7538" w:rsidP="00EB7538">
      <w:pPr>
        <w:numPr>
          <w:ilvl w:val="0"/>
          <w:numId w:val="1"/>
        </w:numPr>
        <w:spacing w:before="100" w:beforeAutospacing="1" w:after="100" w:afterAutospacing="1"/>
        <w:rPr>
          <w:color w:val="000000" w:themeColor="text1"/>
          <w:u w:val="single"/>
        </w:rPr>
      </w:pPr>
      <w:r w:rsidRPr="00A81FC7">
        <w:rPr>
          <w:color w:val="000000" w:themeColor="text1"/>
          <w:u w:val="single"/>
        </w:rPr>
        <w:t>Exceptions to Certification for Paperwork Reduction Act Submissions</w:t>
      </w:r>
    </w:p>
    <w:p w14:paraId="102F6EAC" w14:textId="77777777" w:rsidR="00042430" w:rsidRPr="00A81FC7" w:rsidRDefault="006A26F9" w:rsidP="006B39EF">
      <w:pPr>
        <w:spacing w:before="100" w:beforeAutospacing="1" w:after="100" w:afterAutospacing="1"/>
        <w:ind w:firstLine="720"/>
        <w:rPr>
          <w:color w:val="000000" w:themeColor="text1"/>
        </w:rPr>
      </w:pPr>
      <w:r w:rsidRPr="00A81FC7">
        <w:rPr>
          <w:color w:val="000000" w:themeColor="text1"/>
        </w:rPr>
        <w:t>There are no exceptions to the certification.</w:t>
      </w:r>
    </w:p>
    <w:sectPr w:rsidR="00042430" w:rsidRPr="00A81FC7" w:rsidSect="00EB7538">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F150F" w14:textId="77777777" w:rsidR="00C337DD" w:rsidRDefault="00C337DD">
      <w:r>
        <w:separator/>
      </w:r>
    </w:p>
  </w:endnote>
  <w:endnote w:type="continuationSeparator" w:id="0">
    <w:p w14:paraId="7AC962D0" w14:textId="77777777" w:rsidR="00C337DD" w:rsidRDefault="00C337DD">
      <w:r>
        <w:continuationSeparator/>
      </w:r>
    </w:p>
  </w:endnote>
  <w:endnote w:type="continuationNotice" w:id="1">
    <w:p w14:paraId="3A499662" w14:textId="77777777" w:rsidR="00C337DD" w:rsidRDefault="00C33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E14C4" w14:textId="77777777" w:rsidR="008336D0" w:rsidRDefault="008336D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7F4CA3" w14:textId="77777777" w:rsidR="008336D0" w:rsidRDefault="00833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4A425" w14:textId="0985B58A" w:rsidR="008336D0" w:rsidRDefault="008336D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28CE">
      <w:rPr>
        <w:rStyle w:val="PageNumber"/>
        <w:noProof/>
      </w:rPr>
      <w:t>1</w:t>
    </w:r>
    <w:r>
      <w:rPr>
        <w:rStyle w:val="PageNumber"/>
      </w:rPr>
      <w:fldChar w:fldCharType="end"/>
    </w:r>
  </w:p>
  <w:p w14:paraId="6BD9E1D3" w14:textId="77777777" w:rsidR="008336D0" w:rsidRDefault="00833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762BC" w14:textId="77777777" w:rsidR="00C337DD" w:rsidRDefault="00C337DD">
      <w:r>
        <w:separator/>
      </w:r>
    </w:p>
  </w:footnote>
  <w:footnote w:type="continuationSeparator" w:id="0">
    <w:p w14:paraId="439F114B" w14:textId="77777777" w:rsidR="00C337DD" w:rsidRDefault="00C337DD">
      <w:r>
        <w:continuationSeparator/>
      </w:r>
    </w:p>
  </w:footnote>
  <w:footnote w:type="continuationNotice" w:id="1">
    <w:p w14:paraId="3B2D82DD" w14:textId="77777777" w:rsidR="00C337DD" w:rsidRDefault="00C337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F18FD" w14:textId="3879D48E" w:rsidR="006B39EF" w:rsidRPr="00C024BE" w:rsidRDefault="006B39EF" w:rsidP="00C02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04BC"/>
    <w:rsid w:val="00042430"/>
    <w:rsid w:val="00056512"/>
    <w:rsid w:val="00057D16"/>
    <w:rsid w:val="0006570F"/>
    <w:rsid w:val="00075CF7"/>
    <w:rsid w:val="000C560C"/>
    <w:rsid w:val="000C73C9"/>
    <w:rsid w:val="000D48FD"/>
    <w:rsid w:val="000E1C64"/>
    <w:rsid w:val="000F7119"/>
    <w:rsid w:val="00100739"/>
    <w:rsid w:val="00107885"/>
    <w:rsid w:val="0011354A"/>
    <w:rsid w:val="00114D49"/>
    <w:rsid w:val="00114FC4"/>
    <w:rsid w:val="0012329C"/>
    <w:rsid w:val="0013163C"/>
    <w:rsid w:val="00134FA7"/>
    <w:rsid w:val="00137950"/>
    <w:rsid w:val="00140066"/>
    <w:rsid w:val="00142EDF"/>
    <w:rsid w:val="00152F29"/>
    <w:rsid w:val="00164625"/>
    <w:rsid w:val="001678F6"/>
    <w:rsid w:val="00185270"/>
    <w:rsid w:val="00194F04"/>
    <w:rsid w:val="001976D0"/>
    <w:rsid w:val="00197FB5"/>
    <w:rsid w:val="001A3B5A"/>
    <w:rsid w:val="001A57D9"/>
    <w:rsid w:val="001B3827"/>
    <w:rsid w:val="001B7CE9"/>
    <w:rsid w:val="001D495A"/>
    <w:rsid w:val="001E244C"/>
    <w:rsid w:val="001E7F3F"/>
    <w:rsid w:val="001F1437"/>
    <w:rsid w:val="001F1FCE"/>
    <w:rsid w:val="0020516D"/>
    <w:rsid w:val="00215866"/>
    <w:rsid w:val="00221DA3"/>
    <w:rsid w:val="00222515"/>
    <w:rsid w:val="002259EF"/>
    <w:rsid w:val="00225E8A"/>
    <w:rsid w:val="002275D3"/>
    <w:rsid w:val="002325A4"/>
    <w:rsid w:val="002367AA"/>
    <w:rsid w:val="00242863"/>
    <w:rsid w:val="00242ED1"/>
    <w:rsid w:val="00253F4D"/>
    <w:rsid w:val="00254069"/>
    <w:rsid w:val="00256E0E"/>
    <w:rsid w:val="002627A2"/>
    <w:rsid w:val="002734E5"/>
    <w:rsid w:val="002746DB"/>
    <w:rsid w:val="00276225"/>
    <w:rsid w:val="00280CAF"/>
    <w:rsid w:val="00282F09"/>
    <w:rsid w:val="00287679"/>
    <w:rsid w:val="00297532"/>
    <w:rsid w:val="002A0C6A"/>
    <w:rsid w:val="002A1210"/>
    <w:rsid w:val="002D14D8"/>
    <w:rsid w:val="002D4799"/>
    <w:rsid w:val="002E3FA4"/>
    <w:rsid w:val="003113FF"/>
    <w:rsid w:val="00313E78"/>
    <w:rsid w:val="0032277F"/>
    <w:rsid w:val="00350523"/>
    <w:rsid w:val="00355C49"/>
    <w:rsid w:val="00361B54"/>
    <w:rsid w:val="003628C6"/>
    <w:rsid w:val="003740BC"/>
    <w:rsid w:val="003801A3"/>
    <w:rsid w:val="00383D90"/>
    <w:rsid w:val="003A559A"/>
    <w:rsid w:val="003B2E63"/>
    <w:rsid w:val="003B42B3"/>
    <w:rsid w:val="003B53A8"/>
    <w:rsid w:val="003B6384"/>
    <w:rsid w:val="003C1833"/>
    <w:rsid w:val="003C280B"/>
    <w:rsid w:val="003C4EBB"/>
    <w:rsid w:val="003D1531"/>
    <w:rsid w:val="003E4EC6"/>
    <w:rsid w:val="003E527E"/>
    <w:rsid w:val="003E553E"/>
    <w:rsid w:val="003E7078"/>
    <w:rsid w:val="003F3DF5"/>
    <w:rsid w:val="004038FD"/>
    <w:rsid w:val="00407DEA"/>
    <w:rsid w:val="00411D11"/>
    <w:rsid w:val="00415E23"/>
    <w:rsid w:val="0041670D"/>
    <w:rsid w:val="0042168E"/>
    <w:rsid w:val="00424061"/>
    <w:rsid w:val="00441437"/>
    <w:rsid w:val="00441D5F"/>
    <w:rsid w:val="00442A3C"/>
    <w:rsid w:val="00443969"/>
    <w:rsid w:val="00447D74"/>
    <w:rsid w:val="00450A74"/>
    <w:rsid w:val="004546BF"/>
    <w:rsid w:val="0045679D"/>
    <w:rsid w:val="00465350"/>
    <w:rsid w:val="004846BF"/>
    <w:rsid w:val="00492144"/>
    <w:rsid w:val="00497989"/>
    <w:rsid w:val="004C6979"/>
    <w:rsid w:val="004C7860"/>
    <w:rsid w:val="004D3E7A"/>
    <w:rsid w:val="004D458E"/>
    <w:rsid w:val="004E4E15"/>
    <w:rsid w:val="004F594B"/>
    <w:rsid w:val="00505199"/>
    <w:rsid w:val="00507F36"/>
    <w:rsid w:val="005255A2"/>
    <w:rsid w:val="00525C44"/>
    <w:rsid w:val="00537359"/>
    <w:rsid w:val="00544138"/>
    <w:rsid w:val="005603C2"/>
    <w:rsid w:val="00566D35"/>
    <w:rsid w:val="00570D3A"/>
    <w:rsid w:val="00584583"/>
    <w:rsid w:val="00585E51"/>
    <w:rsid w:val="00590EEB"/>
    <w:rsid w:val="005910C2"/>
    <w:rsid w:val="00591618"/>
    <w:rsid w:val="005956C6"/>
    <w:rsid w:val="005A4099"/>
    <w:rsid w:val="005B0759"/>
    <w:rsid w:val="005B5DB9"/>
    <w:rsid w:val="005C38B2"/>
    <w:rsid w:val="005C5029"/>
    <w:rsid w:val="005C55C2"/>
    <w:rsid w:val="005C5893"/>
    <w:rsid w:val="005C745C"/>
    <w:rsid w:val="005D4DF5"/>
    <w:rsid w:val="005D6832"/>
    <w:rsid w:val="005F4972"/>
    <w:rsid w:val="00602ED1"/>
    <w:rsid w:val="00611D6B"/>
    <w:rsid w:val="0062028B"/>
    <w:rsid w:val="006432A3"/>
    <w:rsid w:val="00655FC5"/>
    <w:rsid w:val="00670293"/>
    <w:rsid w:val="00675808"/>
    <w:rsid w:val="006764FA"/>
    <w:rsid w:val="0068078A"/>
    <w:rsid w:val="006823B8"/>
    <w:rsid w:val="006A26C6"/>
    <w:rsid w:val="006A26F9"/>
    <w:rsid w:val="006A328D"/>
    <w:rsid w:val="006A7D5D"/>
    <w:rsid w:val="006B39EF"/>
    <w:rsid w:val="006D4408"/>
    <w:rsid w:val="006D5D57"/>
    <w:rsid w:val="006E58C2"/>
    <w:rsid w:val="006F4D6D"/>
    <w:rsid w:val="00705086"/>
    <w:rsid w:val="0071245D"/>
    <w:rsid w:val="00724808"/>
    <w:rsid w:val="00725130"/>
    <w:rsid w:val="007307F9"/>
    <w:rsid w:val="00731067"/>
    <w:rsid w:val="00754497"/>
    <w:rsid w:val="007677DB"/>
    <w:rsid w:val="00772ACB"/>
    <w:rsid w:val="00787C39"/>
    <w:rsid w:val="00793C86"/>
    <w:rsid w:val="00795DF3"/>
    <w:rsid w:val="007A08F3"/>
    <w:rsid w:val="007A373C"/>
    <w:rsid w:val="007B225C"/>
    <w:rsid w:val="007C75B1"/>
    <w:rsid w:val="007D3DFC"/>
    <w:rsid w:val="007E2F07"/>
    <w:rsid w:val="007E7078"/>
    <w:rsid w:val="007F2E2C"/>
    <w:rsid w:val="00802463"/>
    <w:rsid w:val="008049EB"/>
    <w:rsid w:val="0080776D"/>
    <w:rsid w:val="00810145"/>
    <w:rsid w:val="008108FA"/>
    <w:rsid w:val="00810FF1"/>
    <w:rsid w:val="00822336"/>
    <w:rsid w:val="00823DFA"/>
    <w:rsid w:val="008336D0"/>
    <w:rsid w:val="00841251"/>
    <w:rsid w:val="00843752"/>
    <w:rsid w:val="0084479F"/>
    <w:rsid w:val="0085725E"/>
    <w:rsid w:val="00885B09"/>
    <w:rsid w:val="00890548"/>
    <w:rsid w:val="00892400"/>
    <w:rsid w:val="00892E4C"/>
    <w:rsid w:val="008A1779"/>
    <w:rsid w:val="008A209D"/>
    <w:rsid w:val="008B0E29"/>
    <w:rsid w:val="008B0EFA"/>
    <w:rsid w:val="008B30AB"/>
    <w:rsid w:val="008B754F"/>
    <w:rsid w:val="008E0A74"/>
    <w:rsid w:val="008E5F55"/>
    <w:rsid w:val="008F2898"/>
    <w:rsid w:val="00905DEF"/>
    <w:rsid w:val="00913B43"/>
    <w:rsid w:val="00922216"/>
    <w:rsid w:val="0092314C"/>
    <w:rsid w:val="00930203"/>
    <w:rsid w:val="009311D2"/>
    <w:rsid w:val="009311E6"/>
    <w:rsid w:val="00931275"/>
    <w:rsid w:val="00936AC7"/>
    <w:rsid w:val="0094010A"/>
    <w:rsid w:val="00945DCA"/>
    <w:rsid w:val="00946960"/>
    <w:rsid w:val="00946C4D"/>
    <w:rsid w:val="00953B64"/>
    <w:rsid w:val="00955B26"/>
    <w:rsid w:val="00975E30"/>
    <w:rsid w:val="009771AA"/>
    <w:rsid w:val="009823FE"/>
    <w:rsid w:val="009A1674"/>
    <w:rsid w:val="009A5932"/>
    <w:rsid w:val="009C684F"/>
    <w:rsid w:val="009D074C"/>
    <w:rsid w:val="009D35BB"/>
    <w:rsid w:val="009D541F"/>
    <w:rsid w:val="009D6FDC"/>
    <w:rsid w:val="009E0A1D"/>
    <w:rsid w:val="009E109D"/>
    <w:rsid w:val="009F2B4F"/>
    <w:rsid w:val="009F66B5"/>
    <w:rsid w:val="00A16221"/>
    <w:rsid w:val="00A20809"/>
    <w:rsid w:val="00A20A7D"/>
    <w:rsid w:val="00A24640"/>
    <w:rsid w:val="00A34E19"/>
    <w:rsid w:val="00A35D42"/>
    <w:rsid w:val="00A46CCF"/>
    <w:rsid w:val="00A474CF"/>
    <w:rsid w:val="00A47A36"/>
    <w:rsid w:val="00A53451"/>
    <w:rsid w:val="00A54A7C"/>
    <w:rsid w:val="00A57CEE"/>
    <w:rsid w:val="00A70426"/>
    <w:rsid w:val="00A767C1"/>
    <w:rsid w:val="00A81FC7"/>
    <w:rsid w:val="00A83624"/>
    <w:rsid w:val="00A91E9A"/>
    <w:rsid w:val="00A920A8"/>
    <w:rsid w:val="00A93ED9"/>
    <w:rsid w:val="00A96221"/>
    <w:rsid w:val="00AA7CB2"/>
    <w:rsid w:val="00AC6A99"/>
    <w:rsid w:val="00AD010B"/>
    <w:rsid w:val="00AD0D00"/>
    <w:rsid w:val="00AD12F6"/>
    <w:rsid w:val="00AD2D2F"/>
    <w:rsid w:val="00AE53B9"/>
    <w:rsid w:val="00AE7316"/>
    <w:rsid w:val="00AF0034"/>
    <w:rsid w:val="00AF26DC"/>
    <w:rsid w:val="00AF3E63"/>
    <w:rsid w:val="00AF7E5B"/>
    <w:rsid w:val="00B055EF"/>
    <w:rsid w:val="00B23769"/>
    <w:rsid w:val="00B26330"/>
    <w:rsid w:val="00B32BC4"/>
    <w:rsid w:val="00B50C4D"/>
    <w:rsid w:val="00B81808"/>
    <w:rsid w:val="00B86DFA"/>
    <w:rsid w:val="00B936D0"/>
    <w:rsid w:val="00BA20BC"/>
    <w:rsid w:val="00BA22B5"/>
    <w:rsid w:val="00BB2763"/>
    <w:rsid w:val="00BC3B71"/>
    <w:rsid w:val="00BC797F"/>
    <w:rsid w:val="00BD1C71"/>
    <w:rsid w:val="00BD505B"/>
    <w:rsid w:val="00BE3600"/>
    <w:rsid w:val="00BF1211"/>
    <w:rsid w:val="00BF4BF2"/>
    <w:rsid w:val="00BF5D21"/>
    <w:rsid w:val="00BF6101"/>
    <w:rsid w:val="00C01F6F"/>
    <w:rsid w:val="00C024BE"/>
    <w:rsid w:val="00C149AB"/>
    <w:rsid w:val="00C14ACA"/>
    <w:rsid w:val="00C20689"/>
    <w:rsid w:val="00C337DD"/>
    <w:rsid w:val="00C40694"/>
    <w:rsid w:val="00C53EA7"/>
    <w:rsid w:val="00C70542"/>
    <w:rsid w:val="00C748C8"/>
    <w:rsid w:val="00C75CBF"/>
    <w:rsid w:val="00C86BC7"/>
    <w:rsid w:val="00CB155B"/>
    <w:rsid w:val="00CB540C"/>
    <w:rsid w:val="00CC09BF"/>
    <w:rsid w:val="00CC0DCC"/>
    <w:rsid w:val="00CC2894"/>
    <w:rsid w:val="00CD5064"/>
    <w:rsid w:val="00CD77C3"/>
    <w:rsid w:val="00CE112C"/>
    <w:rsid w:val="00CE12EE"/>
    <w:rsid w:val="00CE3A17"/>
    <w:rsid w:val="00CF2864"/>
    <w:rsid w:val="00CF55D4"/>
    <w:rsid w:val="00D0709D"/>
    <w:rsid w:val="00D22941"/>
    <w:rsid w:val="00D36037"/>
    <w:rsid w:val="00D37352"/>
    <w:rsid w:val="00D608DA"/>
    <w:rsid w:val="00D60D40"/>
    <w:rsid w:val="00D73073"/>
    <w:rsid w:val="00D730BF"/>
    <w:rsid w:val="00D77031"/>
    <w:rsid w:val="00D811A8"/>
    <w:rsid w:val="00D85917"/>
    <w:rsid w:val="00DA1249"/>
    <w:rsid w:val="00DA2B80"/>
    <w:rsid w:val="00DA41B8"/>
    <w:rsid w:val="00DA7294"/>
    <w:rsid w:val="00DC3788"/>
    <w:rsid w:val="00DC76C7"/>
    <w:rsid w:val="00DD09F5"/>
    <w:rsid w:val="00DD4201"/>
    <w:rsid w:val="00DD5E9F"/>
    <w:rsid w:val="00DE2BBB"/>
    <w:rsid w:val="00DE5711"/>
    <w:rsid w:val="00E00EA0"/>
    <w:rsid w:val="00E142D5"/>
    <w:rsid w:val="00E23BED"/>
    <w:rsid w:val="00E244AD"/>
    <w:rsid w:val="00E26758"/>
    <w:rsid w:val="00E4357B"/>
    <w:rsid w:val="00E44488"/>
    <w:rsid w:val="00E50E91"/>
    <w:rsid w:val="00E56023"/>
    <w:rsid w:val="00E613F7"/>
    <w:rsid w:val="00E63DE5"/>
    <w:rsid w:val="00E646C7"/>
    <w:rsid w:val="00E65A37"/>
    <w:rsid w:val="00E77B48"/>
    <w:rsid w:val="00E91799"/>
    <w:rsid w:val="00E935A2"/>
    <w:rsid w:val="00EA21FE"/>
    <w:rsid w:val="00EA34E3"/>
    <w:rsid w:val="00EB1CBF"/>
    <w:rsid w:val="00EB7538"/>
    <w:rsid w:val="00EC0D26"/>
    <w:rsid w:val="00EE789F"/>
    <w:rsid w:val="00F207A4"/>
    <w:rsid w:val="00F26993"/>
    <w:rsid w:val="00F26FE5"/>
    <w:rsid w:val="00F31AD0"/>
    <w:rsid w:val="00F328CE"/>
    <w:rsid w:val="00F355AC"/>
    <w:rsid w:val="00F408AB"/>
    <w:rsid w:val="00F6090B"/>
    <w:rsid w:val="00F6127B"/>
    <w:rsid w:val="00F622A6"/>
    <w:rsid w:val="00F71A5A"/>
    <w:rsid w:val="00F732E4"/>
    <w:rsid w:val="00F769E0"/>
    <w:rsid w:val="00F926A8"/>
    <w:rsid w:val="00F94D40"/>
    <w:rsid w:val="00F962EB"/>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4133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6D4408"/>
    <w:rPr>
      <w:sz w:val="16"/>
      <w:szCs w:val="16"/>
    </w:rPr>
  </w:style>
  <w:style w:type="paragraph" w:styleId="CommentText">
    <w:name w:val="annotation text"/>
    <w:basedOn w:val="Normal"/>
    <w:link w:val="CommentTextChar"/>
    <w:rsid w:val="006D4408"/>
    <w:rPr>
      <w:sz w:val="20"/>
      <w:szCs w:val="20"/>
    </w:rPr>
  </w:style>
  <w:style w:type="character" w:customStyle="1" w:styleId="CommentTextChar">
    <w:name w:val="Comment Text Char"/>
    <w:basedOn w:val="DefaultParagraphFont"/>
    <w:link w:val="CommentText"/>
    <w:rsid w:val="006D4408"/>
  </w:style>
  <w:style w:type="paragraph" w:styleId="CommentSubject">
    <w:name w:val="annotation subject"/>
    <w:basedOn w:val="CommentText"/>
    <w:next w:val="CommentText"/>
    <w:link w:val="CommentSubjectChar"/>
    <w:rsid w:val="006D4408"/>
    <w:rPr>
      <w:b/>
      <w:bCs/>
    </w:rPr>
  </w:style>
  <w:style w:type="character" w:customStyle="1" w:styleId="CommentSubjectChar">
    <w:name w:val="Comment Subject Char"/>
    <w:link w:val="CommentSubject"/>
    <w:rsid w:val="006D4408"/>
    <w:rPr>
      <w:b/>
      <w:bCs/>
    </w:rPr>
  </w:style>
  <w:style w:type="paragraph" w:styleId="Header">
    <w:name w:val="header"/>
    <w:basedOn w:val="Normal"/>
    <w:link w:val="HeaderChar"/>
    <w:rsid w:val="00655FC5"/>
    <w:pPr>
      <w:tabs>
        <w:tab w:val="center" w:pos="4680"/>
        <w:tab w:val="right" w:pos="9360"/>
      </w:tabs>
    </w:pPr>
  </w:style>
  <w:style w:type="character" w:customStyle="1" w:styleId="HeaderChar">
    <w:name w:val="Header Char"/>
    <w:link w:val="Header"/>
    <w:rsid w:val="00655FC5"/>
    <w:rPr>
      <w:sz w:val="24"/>
      <w:szCs w:val="24"/>
    </w:rPr>
  </w:style>
  <w:style w:type="character" w:styleId="Hyperlink">
    <w:name w:val="Hyperlink"/>
    <w:basedOn w:val="DefaultParagraphFont"/>
    <w:rsid w:val="000C73C9"/>
    <w:rPr>
      <w:color w:val="0563C1" w:themeColor="hyperlink"/>
      <w:u w:val="single"/>
    </w:rPr>
  </w:style>
  <w:style w:type="character" w:customStyle="1" w:styleId="UnresolvedMention1">
    <w:name w:val="Unresolved Mention1"/>
    <w:basedOn w:val="DefaultParagraphFont"/>
    <w:uiPriority w:val="99"/>
    <w:semiHidden/>
    <w:unhideWhenUsed/>
    <w:rsid w:val="000C73C9"/>
    <w:rPr>
      <w:color w:val="808080"/>
      <w:shd w:val="clear" w:color="auto" w:fill="E6E6E6"/>
    </w:rPr>
  </w:style>
  <w:style w:type="paragraph" w:styleId="BodyText">
    <w:name w:val="Body Text"/>
    <w:basedOn w:val="Normal"/>
    <w:link w:val="BodyTextChar"/>
    <w:rsid w:val="00F408AB"/>
    <w:pPr>
      <w:spacing w:after="120"/>
    </w:pPr>
  </w:style>
  <w:style w:type="character" w:customStyle="1" w:styleId="BodyTextChar">
    <w:name w:val="Body Text Char"/>
    <w:basedOn w:val="DefaultParagraphFont"/>
    <w:link w:val="BodyText"/>
    <w:rsid w:val="00F408AB"/>
    <w:rPr>
      <w:sz w:val="24"/>
      <w:szCs w:val="24"/>
    </w:rPr>
  </w:style>
  <w:style w:type="paragraph" w:styleId="ListParagraph">
    <w:name w:val="List Paragraph"/>
    <w:basedOn w:val="Normal"/>
    <w:uiPriority w:val="34"/>
    <w:qFormat/>
    <w:rsid w:val="00E935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6D4408"/>
    <w:rPr>
      <w:sz w:val="16"/>
      <w:szCs w:val="16"/>
    </w:rPr>
  </w:style>
  <w:style w:type="paragraph" w:styleId="CommentText">
    <w:name w:val="annotation text"/>
    <w:basedOn w:val="Normal"/>
    <w:link w:val="CommentTextChar"/>
    <w:rsid w:val="006D4408"/>
    <w:rPr>
      <w:sz w:val="20"/>
      <w:szCs w:val="20"/>
    </w:rPr>
  </w:style>
  <w:style w:type="character" w:customStyle="1" w:styleId="CommentTextChar">
    <w:name w:val="Comment Text Char"/>
    <w:basedOn w:val="DefaultParagraphFont"/>
    <w:link w:val="CommentText"/>
    <w:rsid w:val="006D4408"/>
  </w:style>
  <w:style w:type="paragraph" w:styleId="CommentSubject">
    <w:name w:val="annotation subject"/>
    <w:basedOn w:val="CommentText"/>
    <w:next w:val="CommentText"/>
    <w:link w:val="CommentSubjectChar"/>
    <w:rsid w:val="006D4408"/>
    <w:rPr>
      <w:b/>
      <w:bCs/>
    </w:rPr>
  </w:style>
  <w:style w:type="character" w:customStyle="1" w:styleId="CommentSubjectChar">
    <w:name w:val="Comment Subject Char"/>
    <w:link w:val="CommentSubject"/>
    <w:rsid w:val="006D4408"/>
    <w:rPr>
      <w:b/>
      <w:bCs/>
    </w:rPr>
  </w:style>
  <w:style w:type="paragraph" w:styleId="Header">
    <w:name w:val="header"/>
    <w:basedOn w:val="Normal"/>
    <w:link w:val="HeaderChar"/>
    <w:rsid w:val="00655FC5"/>
    <w:pPr>
      <w:tabs>
        <w:tab w:val="center" w:pos="4680"/>
        <w:tab w:val="right" w:pos="9360"/>
      </w:tabs>
    </w:pPr>
  </w:style>
  <w:style w:type="character" w:customStyle="1" w:styleId="HeaderChar">
    <w:name w:val="Header Char"/>
    <w:link w:val="Header"/>
    <w:rsid w:val="00655FC5"/>
    <w:rPr>
      <w:sz w:val="24"/>
      <w:szCs w:val="24"/>
    </w:rPr>
  </w:style>
  <w:style w:type="character" w:styleId="Hyperlink">
    <w:name w:val="Hyperlink"/>
    <w:basedOn w:val="DefaultParagraphFont"/>
    <w:rsid w:val="000C73C9"/>
    <w:rPr>
      <w:color w:val="0563C1" w:themeColor="hyperlink"/>
      <w:u w:val="single"/>
    </w:rPr>
  </w:style>
  <w:style w:type="character" w:customStyle="1" w:styleId="UnresolvedMention1">
    <w:name w:val="Unresolved Mention1"/>
    <w:basedOn w:val="DefaultParagraphFont"/>
    <w:uiPriority w:val="99"/>
    <w:semiHidden/>
    <w:unhideWhenUsed/>
    <w:rsid w:val="000C73C9"/>
    <w:rPr>
      <w:color w:val="808080"/>
      <w:shd w:val="clear" w:color="auto" w:fill="E6E6E6"/>
    </w:rPr>
  </w:style>
  <w:style w:type="paragraph" w:styleId="BodyText">
    <w:name w:val="Body Text"/>
    <w:basedOn w:val="Normal"/>
    <w:link w:val="BodyTextChar"/>
    <w:rsid w:val="00F408AB"/>
    <w:pPr>
      <w:spacing w:after="120"/>
    </w:pPr>
  </w:style>
  <w:style w:type="character" w:customStyle="1" w:styleId="BodyTextChar">
    <w:name w:val="Body Text Char"/>
    <w:basedOn w:val="DefaultParagraphFont"/>
    <w:link w:val="BodyText"/>
    <w:rsid w:val="00F408AB"/>
    <w:rPr>
      <w:sz w:val="24"/>
      <w:szCs w:val="24"/>
    </w:rPr>
  </w:style>
  <w:style w:type="paragraph" w:styleId="ListParagraph">
    <w:name w:val="List Paragraph"/>
    <w:basedOn w:val="Normal"/>
    <w:uiPriority w:val="34"/>
    <w:qFormat/>
    <w:rsid w:val="00E93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1167">
      <w:bodyDiv w:val="1"/>
      <w:marLeft w:val="0"/>
      <w:marRight w:val="0"/>
      <w:marTop w:val="0"/>
      <w:marBottom w:val="0"/>
      <w:divBdr>
        <w:top w:val="none" w:sz="0" w:space="0" w:color="auto"/>
        <w:left w:val="none" w:sz="0" w:space="0" w:color="auto"/>
        <w:bottom w:val="none" w:sz="0" w:space="0" w:color="auto"/>
        <w:right w:val="none" w:sz="0" w:space="0" w:color="auto"/>
      </w:divBdr>
    </w:div>
    <w:div w:id="455635741">
      <w:bodyDiv w:val="1"/>
      <w:marLeft w:val="0"/>
      <w:marRight w:val="0"/>
      <w:marTop w:val="0"/>
      <w:marBottom w:val="0"/>
      <w:divBdr>
        <w:top w:val="none" w:sz="0" w:space="0" w:color="auto"/>
        <w:left w:val="none" w:sz="0" w:space="0" w:color="auto"/>
        <w:bottom w:val="none" w:sz="0" w:space="0" w:color="auto"/>
        <w:right w:val="none" w:sz="0" w:space="0" w:color="auto"/>
      </w:divBdr>
    </w:div>
    <w:div w:id="588196531">
      <w:bodyDiv w:val="1"/>
      <w:marLeft w:val="0"/>
      <w:marRight w:val="0"/>
      <w:marTop w:val="0"/>
      <w:marBottom w:val="0"/>
      <w:divBdr>
        <w:top w:val="none" w:sz="0" w:space="0" w:color="auto"/>
        <w:left w:val="none" w:sz="0" w:space="0" w:color="auto"/>
        <w:bottom w:val="none" w:sz="0" w:space="0" w:color="auto"/>
        <w:right w:val="none" w:sz="0" w:space="0" w:color="auto"/>
      </w:divBdr>
    </w:div>
    <w:div w:id="661393802">
      <w:bodyDiv w:val="1"/>
      <w:marLeft w:val="0"/>
      <w:marRight w:val="0"/>
      <w:marTop w:val="0"/>
      <w:marBottom w:val="0"/>
      <w:divBdr>
        <w:top w:val="none" w:sz="0" w:space="0" w:color="auto"/>
        <w:left w:val="none" w:sz="0" w:space="0" w:color="auto"/>
        <w:bottom w:val="none" w:sz="0" w:space="0" w:color="auto"/>
        <w:right w:val="none" w:sz="0" w:space="0" w:color="auto"/>
      </w:divBdr>
    </w:div>
    <w:div w:id="776800564">
      <w:bodyDiv w:val="1"/>
      <w:marLeft w:val="0"/>
      <w:marRight w:val="0"/>
      <w:marTop w:val="0"/>
      <w:marBottom w:val="0"/>
      <w:divBdr>
        <w:top w:val="none" w:sz="0" w:space="0" w:color="auto"/>
        <w:left w:val="none" w:sz="0" w:space="0" w:color="auto"/>
        <w:bottom w:val="none" w:sz="0" w:space="0" w:color="auto"/>
        <w:right w:val="none" w:sz="0" w:space="0" w:color="auto"/>
      </w:divBdr>
    </w:div>
    <w:div w:id="903225851">
      <w:bodyDiv w:val="1"/>
      <w:marLeft w:val="0"/>
      <w:marRight w:val="0"/>
      <w:marTop w:val="0"/>
      <w:marBottom w:val="0"/>
      <w:divBdr>
        <w:top w:val="none" w:sz="0" w:space="0" w:color="auto"/>
        <w:left w:val="none" w:sz="0" w:space="0" w:color="auto"/>
        <w:bottom w:val="none" w:sz="0" w:space="0" w:color="auto"/>
        <w:right w:val="none" w:sz="0" w:space="0" w:color="auto"/>
      </w:divBdr>
    </w:div>
    <w:div w:id="9360154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50570404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2102411574">
      <w:bodyDiv w:val="1"/>
      <w:marLeft w:val="0"/>
      <w:marRight w:val="0"/>
      <w:marTop w:val="0"/>
      <w:marBottom w:val="0"/>
      <w:divBdr>
        <w:top w:val="none" w:sz="0" w:space="0" w:color="auto"/>
        <w:left w:val="none" w:sz="0" w:space="0" w:color="auto"/>
        <w:bottom w:val="none" w:sz="0" w:space="0" w:color="auto"/>
        <w:right w:val="none" w:sz="0" w:space="0" w:color="auto"/>
      </w:divBdr>
    </w:div>
    <w:div w:id="21035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1D61D9F27E048ADC7BC37E2B0F0FB" ma:contentTypeVersion="0" ma:contentTypeDescription="Create a new document." ma:contentTypeScope="" ma:versionID="fa5e003c5b0a234b092ea39ed0736f8f">
  <xsd:schema xmlns:xsd="http://www.w3.org/2001/XMLSchema" xmlns:xs="http://www.w3.org/2001/XMLSchema" xmlns:p="http://schemas.microsoft.com/office/2006/metadata/properties" xmlns:ns2="03f938c5-c16d-4001-aba6-5e3f220d8a9d" targetNamespace="http://schemas.microsoft.com/office/2006/metadata/properties" ma:root="true" ma:fieldsID="8ea3e1ab0bc375d1584d980a603ecfa6" ns2:_="">
    <xsd:import namespace="03f938c5-c16d-4001-aba6-5e3f220d8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938c5-c16d-4001-aba6-5e3f220d8a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CE308-43DD-41BC-B9D0-4F250094E7AC}">
  <ds:schemaRefs>
    <ds:schemaRef ds:uri="http://schemas.microsoft.com/sharepoint/v3/contenttype/forms"/>
  </ds:schemaRefs>
</ds:datastoreItem>
</file>

<file path=customXml/itemProps2.xml><?xml version="1.0" encoding="utf-8"?>
<ds:datastoreItem xmlns:ds="http://schemas.openxmlformats.org/officeDocument/2006/customXml" ds:itemID="{E97C30E4-BBC5-47EE-9E82-FD7F11602B15}">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03f938c5-c16d-4001-aba6-5e3f220d8a9d"/>
  </ds:schemaRefs>
</ds:datastoreItem>
</file>

<file path=customXml/itemProps3.xml><?xml version="1.0" encoding="utf-8"?>
<ds:datastoreItem xmlns:ds="http://schemas.openxmlformats.org/officeDocument/2006/customXml" ds:itemID="{8E479F87-AC1E-4CC5-9B27-CD99FA76F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938c5-c16d-4001-aba6-5e3f220d8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0D286-1743-491C-8A15-D6FCB10F044E}">
  <ds:schemaRefs>
    <ds:schemaRef ds:uri="http://schemas.microsoft.com/sharepoint/events"/>
  </ds:schemaRefs>
</ds:datastoreItem>
</file>

<file path=customXml/itemProps5.xml><?xml version="1.0" encoding="utf-8"?>
<ds:datastoreItem xmlns:ds="http://schemas.openxmlformats.org/officeDocument/2006/customXml" ds:itemID="{0D62B341-C2EF-44ED-A89D-66A14969B587}">
  <ds:schemaRefs>
    <ds:schemaRef ds:uri="http://schemas.microsoft.com/office/2006/metadata/longProperties"/>
  </ds:schemaRefs>
</ds:datastoreItem>
</file>

<file path=customXml/itemProps6.xml><?xml version="1.0" encoding="utf-8"?>
<ds:datastoreItem xmlns:ds="http://schemas.openxmlformats.org/officeDocument/2006/customXml" ds:itemID="{5EAD9ADE-5FF8-4A79-A398-372E40A3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2018-10-12T17:01:00Z</dcterms:created>
  <dcterms:modified xsi:type="dcterms:W3CDTF">2018-10-12T17:01:00Z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764MRHXMJMR2-116-15766</vt:lpwstr>
  </property>
  <property fmtid="{D5CDD505-2E9C-101B-9397-08002B2CF9AE}" pid="3" name="_dlc_DocIdItemGuid">
    <vt:lpwstr>848832a8-f680-47a4-95d4-d50f98cec853</vt:lpwstr>
  </property>
  <property fmtid="{D5CDD505-2E9C-101B-9397-08002B2CF9AE}" pid="4" name="_dlc_DocIdUrl">
    <vt:lpwstr>http://sharepoint.fda.gov/orgs/OC-OO-OFBA/OFM/DUF/_layouts/DocIdRedir.aspx?ID=764MRHXMJMR2-116-15766, 764MRHXMJMR2-116-15766</vt:lpwstr>
  </property>
</Properties>
</file>