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B997A" w14:textId="77777777" w:rsidR="00247983" w:rsidRPr="00247983" w:rsidRDefault="00247983" w:rsidP="00247983">
      <w:pPr>
        <w:jc w:val="center"/>
        <w:rPr>
          <w:b/>
        </w:rPr>
      </w:pPr>
      <w:bookmarkStart w:id="0" w:name="_GoBack"/>
      <w:bookmarkEnd w:id="0"/>
      <w:r>
        <w:rPr>
          <w:b/>
        </w:rPr>
        <w:t>C</w:t>
      </w:r>
      <w:r w:rsidRPr="00247983">
        <w:rPr>
          <w:b/>
        </w:rPr>
        <w:t>hange Request for</w:t>
      </w:r>
    </w:p>
    <w:p w14:paraId="2A5BB7C3" w14:textId="77777777" w:rsidR="00247983" w:rsidRPr="00247983" w:rsidRDefault="00247983" w:rsidP="00247983">
      <w:pPr>
        <w:spacing w:after="0" w:line="240" w:lineRule="auto"/>
        <w:jc w:val="center"/>
        <w:rPr>
          <w:b/>
        </w:rPr>
      </w:pPr>
      <w:r w:rsidRPr="00247983">
        <w:rPr>
          <w:b/>
        </w:rPr>
        <w:t>“Environmental Public Health Tracking Network (Tracking Network)”</w:t>
      </w:r>
    </w:p>
    <w:p w14:paraId="1BA57089" w14:textId="77777777" w:rsidR="00247983" w:rsidRPr="00247983" w:rsidRDefault="00247983" w:rsidP="00247983">
      <w:pPr>
        <w:spacing w:after="0" w:line="240" w:lineRule="auto"/>
        <w:jc w:val="center"/>
        <w:rPr>
          <w:b/>
        </w:rPr>
      </w:pPr>
      <w:r w:rsidRPr="00247983">
        <w:rPr>
          <w:b/>
        </w:rPr>
        <w:t xml:space="preserve"> OMB Control No. 0920-1175, Expiration Date: 04/30/2020</w:t>
      </w:r>
    </w:p>
    <w:p w14:paraId="34DAF031" w14:textId="77777777" w:rsidR="00247983" w:rsidRPr="00247983" w:rsidRDefault="00247983" w:rsidP="00247983">
      <w:pPr>
        <w:spacing w:after="0" w:line="240" w:lineRule="auto"/>
        <w:jc w:val="center"/>
        <w:rPr>
          <w:b/>
        </w:rPr>
      </w:pPr>
    </w:p>
    <w:p w14:paraId="4E3D5906" w14:textId="77777777" w:rsidR="00247983" w:rsidRPr="00247983" w:rsidRDefault="00247983" w:rsidP="00247983">
      <w:pPr>
        <w:spacing w:after="0" w:line="240" w:lineRule="auto"/>
      </w:pPr>
      <w:r w:rsidRPr="00247983">
        <w:rPr>
          <w:b/>
        </w:rPr>
        <w:t xml:space="preserve">Justification: </w:t>
      </w:r>
      <w:r w:rsidRPr="00247983">
        <w:t xml:space="preserve">This is a nonmaterial/non-substantive change request for OMB Control No. 0920-1175 (Expiration Date: 04/30/2020). </w:t>
      </w:r>
    </w:p>
    <w:p w14:paraId="228D1120" w14:textId="77777777" w:rsidR="00247983" w:rsidRPr="00247983" w:rsidRDefault="00247983" w:rsidP="00247983">
      <w:pPr>
        <w:spacing w:after="0" w:line="240" w:lineRule="auto"/>
      </w:pPr>
    </w:p>
    <w:p w14:paraId="18D6B937" w14:textId="29E512C8" w:rsidR="00247983" w:rsidRDefault="00247983" w:rsidP="00247983">
      <w:pPr>
        <w:spacing w:after="0" w:line="240" w:lineRule="auto"/>
      </w:pPr>
      <w:r w:rsidRPr="00247983">
        <w:t xml:space="preserve">Proposed changes are reflected in </w:t>
      </w:r>
      <w:r w:rsidR="0053023D">
        <w:t>the revised Supporting Statement</w:t>
      </w:r>
      <w:r w:rsidRPr="00247983">
        <w:t>s and in the attachments described in the change request cross-walk table below.  Attached please find the revised documents with</w:t>
      </w:r>
      <w:r w:rsidR="00741E8C">
        <w:t xml:space="preserve"> both a clean version and tracked </w:t>
      </w:r>
      <w:r w:rsidRPr="00247983">
        <w:t>changes version of each document.</w:t>
      </w:r>
      <w:r w:rsidR="00741E8C">
        <w:t xml:space="preserve">  Only a clean version (no tracked changes) of Attachment 5a is included, since the revised collection instrument (Microsoft Excel) is a different file format than the original collection instrument (Microsoft Word).</w:t>
      </w:r>
    </w:p>
    <w:p w14:paraId="008C3C7D" w14:textId="65FE938F" w:rsidR="00247983" w:rsidRDefault="00247983"/>
    <w:tbl>
      <w:tblPr>
        <w:tblStyle w:val="TableGrid"/>
        <w:tblW w:w="13495" w:type="dxa"/>
        <w:tblLook w:val="04A0" w:firstRow="1" w:lastRow="0" w:firstColumn="1" w:lastColumn="0" w:noHBand="0" w:noVBand="1"/>
      </w:tblPr>
      <w:tblGrid>
        <w:gridCol w:w="4489"/>
        <w:gridCol w:w="2785"/>
        <w:gridCol w:w="6221"/>
      </w:tblGrid>
      <w:tr w:rsidR="006B316A" w:rsidRPr="00247983" w14:paraId="15C959D1" w14:textId="77777777" w:rsidTr="00741E8C">
        <w:tc>
          <w:tcPr>
            <w:tcW w:w="4489" w:type="dxa"/>
          </w:tcPr>
          <w:p w14:paraId="1EF94228" w14:textId="77777777" w:rsidR="00247983" w:rsidRPr="00247983" w:rsidRDefault="00247983" w:rsidP="00247983">
            <w:pPr>
              <w:spacing w:after="160" w:line="259" w:lineRule="auto"/>
              <w:rPr>
                <w:b/>
              </w:rPr>
            </w:pPr>
            <w:r w:rsidRPr="00247983">
              <w:rPr>
                <w:b/>
              </w:rPr>
              <w:t>Information Collection Form</w:t>
            </w:r>
          </w:p>
        </w:tc>
        <w:tc>
          <w:tcPr>
            <w:tcW w:w="2785" w:type="dxa"/>
          </w:tcPr>
          <w:p w14:paraId="5B6BBB98" w14:textId="77777777" w:rsidR="00247983" w:rsidRPr="00247983" w:rsidRDefault="00247983" w:rsidP="00247983">
            <w:pPr>
              <w:spacing w:after="160" w:line="259" w:lineRule="auto"/>
              <w:rPr>
                <w:b/>
              </w:rPr>
            </w:pPr>
            <w:r w:rsidRPr="00247983">
              <w:rPr>
                <w:b/>
              </w:rPr>
              <w:t>Requested Change</w:t>
            </w:r>
          </w:p>
        </w:tc>
        <w:tc>
          <w:tcPr>
            <w:tcW w:w="6221" w:type="dxa"/>
          </w:tcPr>
          <w:p w14:paraId="4F088B00" w14:textId="77777777" w:rsidR="00247983" w:rsidRPr="00247983" w:rsidRDefault="00247983" w:rsidP="00247983">
            <w:pPr>
              <w:spacing w:after="160" w:line="259" w:lineRule="auto"/>
              <w:rPr>
                <w:b/>
              </w:rPr>
            </w:pPr>
            <w:r w:rsidRPr="00247983">
              <w:rPr>
                <w:b/>
              </w:rPr>
              <w:t>Justification</w:t>
            </w:r>
          </w:p>
        </w:tc>
      </w:tr>
      <w:tr w:rsidR="006B316A" w:rsidRPr="00247983" w14:paraId="206C2754" w14:textId="77777777" w:rsidTr="00741E8C">
        <w:tc>
          <w:tcPr>
            <w:tcW w:w="4489" w:type="dxa"/>
            <w:vMerge w:val="restart"/>
          </w:tcPr>
          <w:p w14:paraId="2D43A570" w14:textId="2C9A0487" w:rsidR="003E787C" w:rsidRDefault="003E787C" w:rsidP="00247983">
            <w:pPr>
              <w:spacing w:after="160" w:line="259" w:lineRule="auto"/>
            </w:pPr>
            <w:r>
              <w:t>Performance</w:t>
            </w:r>
            <w:r w:rsidR="006B316A">
              <w:t xml:space="preserve"> Management Tool </w:t>
            </w:r>
          </w:p>
          <w:p w14:paraId="68876018" w14:textId="357D15BF" w:rsidR="00247983" w:rsidRPr="00247983" w:rsidRDefault="006B316A" w:rsidP="00247983">
            <w:pPr>
              <w:spacing w:after="160" w:line="259" w:lineRule="auto"/>
            </w:pPr>
            <w:r>
              <w:t>(</w:t>
            </w:r>
            <w:r w:rsidR="003E787C">
              <w:t xml:space="preserve">Attachment 5a_Performance </w:t>
            </w:r>
            <w:r w:rsidR="00247983" w:rsidRPr="00247983">
              <w:t>Management</w:t>
            </w:r>
            <w:r w:rsidR="003E787C">
              <w:t xml:space="preserve"> </w:t>
            </w:r>
            <w:r w:rsidR="00247983" w:rsidRPr="00247983">
              <w:t>Tool</w:t>
            </w:r>
            <w:r>
              <w:t>)</w:t>
            </w:r>
          </w:p>
        </w:tc>
        <w:tc>
          <w:tcPr>
            <w:tcW w:w="2785" w:type="dxa"/>
          </w:tcPr>
          <w:p w14:paraId="2C7E6943" w14:textId="77777777" w:rsidR="00247983" w:rsidRPr="00247983" w:rsidRDefault="00247983" w:rsidP="00247983">
            <w:pPr>
              <w:spacing w:after="160" w:line="259" w:lineRule="auto"/>
            </w:pPr>
            <w:r w:rsidRPr="00247983">
              <w:t>Convert from a Word document to a fillable Excel file</w:t>
            </w:r>
          </w:p>
        </w:tc>
        <w:tc>
          <w:tcPr>
            <w:tcW w:w="6221" w:type="dxa"/>
          </w:tcPr>
          <w:p w14:paraId="08990270" w14:textId="59A7AB56" w:rsidR="00247983" w:rsidRPr="00247983" w:rsidRDefault="00247983" w:rsidP="00247983">
            <w:pPr>
              <w:spacing w:after="160" w:line="259" w:lineRule="auto"/>
            </w:pPr>
            <w:r w:rsidRPr="00247983">
              <w:t xml:space="preserve">The excel document is designed to allow the recipients to easily input both quantitative and qualitative data. </w:t>
            </w:r>
            <w:r w:rsidRPr="00247983">
              <w:br/>
            </w:r>
            <w:r w:rsidRPr="00247983">
              <w:br/>
            </w:r>
            <w:r w:rsidRPr="00247983">
              <w:rPr>
                <w:b/>
              </w:rPr>
              <w:t>Design features such as</w:t>
            </w:r>
            <w:r w:rsidRPr="00247983">
              <w:t xml:space="preserve">:  (1) auto-filled areas, (2) drop-down selections, (3) auto-summation of quantitative data, </w:t>
            </w:r>
            <w:r w:rsidR="00D10435">
              <w:t xml:space="preserve">and </w:t>
            </w:r>
            <w:r w:rsidRPr="00247983">
              <w:t>(4) decreased qualitative requirements</w:t>
            </w:r>
            <w:r w:rsidR="00D10435">
              <w:t>,</w:t>
            </w:r>
            <w:r w:rsidRPr="00247983">
              <w:t xml:space="preserve"> aid in reducing recipients</w:t>
            </w:r>
            <w:r w:rsidR="00D10435">
              <w:t>’</w:t>
            </w:r>
            <w:r w:rsidRPr="00247983">
              <w:t xml:space="preserve"> overall response time and burden.</w:t>
            </w:r>
          </w:p>
          <w:p w14:paraId="0C547DD6" w14:textId="1064ECA5" w:rsidR="00247983" w:rsidRPr="00247983" w:rsidRDefault="00247983" w:rsidP="00247983">
            <w:pPr>
              <w:spacing w:after="160" w:line="259" w:lineRule="auto"/>
            </w:pPr>
            <w:r w:rsidRPr="00247983">
              <w:t xml:space="preserve">The format of the Excel file also helps the Tracking </w:t>
            </w:r>
            <w:r w:rsidR="00A119AF">
              <w:t>P</w:t>
            </w:r>
            <w:r w:rsidRPr="00247983">
              <w:t xml:space="preserve">rogram and the recipients easily track their accomplishments and helps to easily aggregate program data to make data-driven decisions, show program success and improve program services. </w:t>
            </w:r>
          </w:p>
        </w:tc>
      </w:tr>
      <w:tr w:rsidR="006B316A" w:rsidRPr="00247983" w14:paraId="798EC325" w14:textId="77777777" w:rsidTr="00741E8C">
        <w:tc>
          <w:tcPr>
            <w:tcW w:w="4489" w:type="dxa"/>
            <w:vMerge/>
          </w:tcPr>
          <w:p w14:paraId="702D77E9" w14:textId="77777777" w:rsidR="00247983" w:rsidRPr="00247983" w:rsidRDefault="00247983" w:rsidP="00247983">
            <w:pPr>
              <w:spacing w:after="160" w:line="259" w:lineRule="auto"/>
            </w:pPr>
          </w:p>
        </w:tc>
        <w:tc>
          <w:tcPr>
            <w:tcW w:w="2785" w:type="dxa"/>
          </w:tcPr>
          <w:p w14:paraId="1B5E20E7" w14:textId="7AF54432" w:rsidR="00247983" w:rsidRPr="00247983" w:rsidRDefault="00247983">
            <w:pPr>
              <w:spacing w:after="160" w:line="259" w:lineRule="auto"/>
            </w:pPr>
            <w:r w:rsidRPr="00247983">
              <w:t>Increase number of performance measures from 7</w:t>
            </w:r>
            <w:r>
              <w:t xml:space="preserve"> </w:t>
            </w:r>
            <w:r w:rsidRPr="00247983">
              <w:t>to 47</w:t>
            </w:r>
            <w:r w:rsidR="00D10435">
              <w:t xml:space="preserve">, as reflected in the current Notice of Funding Opportunity (NOFO) announcement, </w:t>
            </w:r>
            <w:r w:rsidR="00D10435" w:rsidRPr="00247983">
              <w:t>CDC-RFA-EH17-1702</w:t>
            </w:r>
            <w:r w:rsidR="00D10435">
              <w:t>.</w:t>
            </w:r>
          </w:p>
        </w:tc>
        <w:tc>
          <w:tcPr>
            <w:tcW w:w="6221" w:type="dxa"/>
          </w:tcPr>
          <w:p w14:paraId="7E6C2C8D" w14:textId="7A96E252" w:rsidR="00993D26" w:rsidRDefault="00247983" w:rsidP="00247983">
            <w:pPr>
              <w:spacing w:after="160" w:line="259" w:lineRule="auto"/>
            </w:pPr>
            <w:r w:rsidRPr="00247983">
              <w:t xml:space="preserve">The previous performance measures were originally approved during the CDC-RFA-EH14-1403 funding period. </w:t>
            </w:r>
            <w:r w:rsidR="007D5F4F">
              <w:t>EH14-1403 presented 30 activities to be completed</w:t>
            </w:r>
            <w:r w:rsidR="00DC290C">
              <w:t xml:space="preserve"> in order</w:t>
            </w:r>
            <w:r w:rsidR="007D5F4F">
              <w:t xml:space="preserve"> to achieve the performance</w:t>
            </w:r>
            <w:r w:rsidR="00B934EB">
              <w:t xml:space="preserve"> </w:t>
            </w:r>
            <w:r w:rsidR="00AD3866">
              <w:t>measures</w:t>
            </w:r>
            <w:r w:rsidR="007D5F4F">
              <w:t xml:space="preserve">. </w:t>
            </w:r>
            <w:r w:rsidR="00A119AF">
              <w:t>The Tracking P</w:t>
            </w:r>
            <w:r w:rsidR="00EF3AC2">
              <w:t>rogram’s</w:t>
            </w:r>
            <w:r w:rsidR="0087454D">
              <w:t xml:space="preserve"> Word document</w:t>
            </w:r>
            <w:r w:rsidR="00993D26">
              <w:t xml:space="preserve"> for</w:t>
            </w:r>
            <w:r w:rsidR="0087454D">
              <w:t xml:space="preserve"> </w:t>
            </w:r>
            <w:r w:rsidR="007D5F4F">
              <w:t xml:space="preserve">monitoring </w:t>
            </w:r>
            <w:r w:rsidR="0087454D">
              <w:t>the</w:t>
            </w:r>
            <w:r w:rsidR="00993D26">
              <w:t>se</w:t>
            </w:r>
            <w:r w:rsidR="0087454D">
              <w:t xml:space="preserve"> 7 performance measures</w:t>
            </w:r>
            <w:r w:rsidR="007D5F4F">
              <w:t xml:space="preserve"> was </w:t>
            </w:r>
            <w:r w:rsidR="00D34EE4">
              <w:t xml:space="preserve">very </w:t>
            </w:r>
            <w:r w:rsidR="007D5F4F">
              <w:t>text heavy</w:t>
            </w:r>
            <w:r w:rsidR="00D34EE4">
              <w:t>,</w:t>
            </w:r>
            <w:r w:rsidR="007D5F4F">
              <w:t xml:space="preserve"> </w:t>
            </w:r>
            <w:r w:rsidR="00D34EE4">
              <w:t>because it</w:t>
            </w:r>
            <w:r w:rsidR="0087454D">
              <w:t xml:space="preserve"> </w:t>
            </w:r>
            <w:r w:rsidR="00993D26">
              <w:t>collect</w:t>
            </w:r>
            <w:r w:rsidR="00D34EE4">
              <w:t>ed</w:t>
            </w:r>
            <w:r w:rsidR="00993D26">
              <w:t xml:space="preserve"> </w:t>
            </w:r>
            <w:r w:rsidR="007D5F4F">
              <w:t xml:space="preserve">both </w:t>
            </w:r>
            <w:r w:rsidR="00A119AF">
              <w:t>quantitative</w:t>
            </w:r>
            <w:r w:rsidR="00D34EE4">
              <w:t xml:space="preserve"> and qualitative data for the NOFO’s 30 activities.</w:t>
            </w:r>
            <w:r w:rsidR="007D5F4F">
              <w:t xml:space="preserve"> </w:t>
            </w:r>
          </w:p>
          <w:p w14:paraId="60740C57" w14:textId="78460128" w:rsidR="00247983" w:rsidRPr="00247983" w:rsidRDefault="00247983" w:rsidP="00247983">
            <w:pPr>
              <w:spacing w:after="160" w:line="259" w:lineRule="auto"/>
            </w:pPr>
            <w:r w:rsidRPr="00247983">
              <w:t xml:space="preserve">Since that funding period, the Environmental </w:t>
            </w:r>
            <w:r w:rsidR="00D34EE4">
              <w:t xml:space="preserve">Public </w:t>
            </w:r>
            <w:r w:rsidRPr="00247983">
              <w:t xml:space="preserve">Health </w:t>
            </w:r>
            <w:r w:rsidRPr="00247983">
              <w:lastRenderedPageBreak/>
              <w:t xml:space="preserve">Tracking </w:t>
            </w:r>
            <w:r w:rsidR="00A119AF">
              <w:t>P</w:t>
            </w:r>
            <w:r w:rsidRPr="00247983">
              <w:t>rogram has developed targeted program activities, which are linked to tailored program outputs and outcomes.</w:t>
            </w:r>
            <w:r w:rsidR="00D34EE4">
              <w:t xml:space="preserve"> </w:t>
            </w:r>
            <w:r w:rsidRPr="00247983">
              <w:t xml:space="preserve">Recipients are required to </w:t>
            </w:r>
            <w:r w:rsidR="00D34EE4">
              <w:t>complete</w:t>
            </w:r>
            <w:r w:rsidRPr="00247983">
              <w:t xml:space="preserve"> </w:t>
            </w:r>
            <w:r w:rsidR="007D5F4F">
              <w:t xml:space="preserve">all 29 </w:t>
            </w:r>
            <w:r w:rsidR="00987FCD">
              <w:t>core</w:t>
            </w:r>
            <w:r w:rsidRPr="00247983">
              <w:t xml:space="preserve"> activities </w:t>
            </w:r>
            <w:r w:rsidR="00EF3AC2">
              <w:t>during</w:t>
            </w:r>
            <w:r w:rsidRPr="00247983">
              <w:t xml:space="preserve"> each </w:t>
            </w:r>
            <w:r w:rsidR="00987FCD">
              <w:t>period of performance</w:t>
            </w:r>
            <w:r w:rsidRPr="00247983">
              <w:t xml:space="preserve">. The new performance measures are aligned with the program activities and also reflect the expected program outputs and outcomes. </w:t>
            </w:r>
          </w:p>
          <w:p w14:paraId="26E04DB5" w14:textId="649EB1F0" w:rsidR="00247983" w:rsidRPr="00247983" w:rsidRDefault="00247983" w:rsidP="00247983">
            <w:pPr>
              <w:spacing w:after="160" w:line="259" w:lineRule="auto"/>
            </w:pPr>
            <w:r w:rsidRPr="00247983">
              <w:t>This a</w:t>
            </w:r>
            <w:r w:rsidR="00EE10A3">
              <w:t>lignment helps to</w:t>
            </w:r>
            <w:r w:rsidR="00F73299">
              <w:t xml:space="preserve"> reduce</w:t>
            </w:r>
            <w:r w:rsidR="00A119AF">
              <w:t xml:space="preserve"> recipient</w:t>
            </w:r>
            <w:r w:rsidR="00F73299">
              <w:t xml:space="preserve"> burden by</w:t>
            </w:r>
            <w:r w:rsidR="00D10435">
              <w:t>:</w:t>
            </w:r>
            <w:r w:rsidR="00E85CCB">
              <w:t xml:space="preserve"> (1) </w:t>
            </w:r>
            <w:r w:rsidR="00F73299">
              <w:t>elim</w:t>
            </w:r>
            <w:r w:rsidR="00A119AF">
              <w:t>i</w:t>
            </w:r>
            <w:r w:rsidR="00F73299">
              <w:t>nating the need t</w:t>
            </w:r>
            <w:r w:rsidR="00E85CCB">
              <w:t>o create any supplementary</w:t>
            </w:r>
            <w:r w:rsidRPr="00247983">
              <w:t xml:space="preserve"> p</w:t>
            </w:r>
            <w:r w:rsidR="00E85CCB">
              <w:t xml:space="preserve">erformance measures to assess </w:t>
            </w:r>
            <w:r w:rsidR="00EE10A3">
              <w:t>program progress; and</w:t>
            </w:r>
            <w:r w:rsidR="00DC290C">
              <w:t xml:space="preserve"> </w:t>
            </w:r>
            <w:r w:rsidR="007C4B3E">
              <w:t xml:space="preserve">by </w:t>
            </w:r>
            <w:r w:rsidR="00EE10A3">
              <w:t>(2) streamlin</w:t>
            </w:r>
            <w:r w:rsidR="00F73299">
              <w:t>ing</w:t>
            </w:r>
            <w:r w:rsidR="00EE10A3">
              <w:t xml:space="preserve"> and standardiz</w:t>
            </w:r>
            <w:r w:rsidR="00F73299">
              <w:t>ing</w:t>
            </w:r>
            <w:r w:rsidR="00E85CCB">
              <w:t xml:space="preserve"> the type of information that is collected from recipients. </w:t>
            </w:r>
          </w:p>
          <w:p w14:paraId="0611F272" w14:textId="371D23CC" w:rsidR="00247983" w:rsidRPr="00247983" w:rsidRDefault="00247983" w:rsidP="00247983">
            <w:pPr>
              <w:spacing w:after="160" w:line="259" w:lineRule="auto"/>
            </w:pPr>
            <w:r w:rsidRPr="00247983">
              <w:t xml:space="preserve">The new performance measures </w:t>
            </w:r>
            <w:r w:rsidR="00E85CCB">
              <w:t xml:space="preserve">and collection tool </w:t>
            </w:r>
            <w:r w:rsidRPr="00247983">
              <w:t>provide</w:t>
            </w:r>
            <w:r w:rsidR="00D10435">
              <w:t>s</w:t>
            </w:r>
            <w:r w:rsidRPr="00247983">
              <w:t xml:space="preserve"> a systematic approach for the recipient and the Tracking </w:t>
            </w:r>
            <w:r w:rsidR="00A119AF">
              <w:t>P</w:t>
            </w:r>
            <w:r w:rsidRPr="00247983">
              <w:t xml:space="preserve">rogram to monitor progress, easily report accomplishments, and provide informative program data that can be used to drive programmatic decision-making and improve overall impact. </w:t>
            </w:r>
          </w:p>
        </w:tc>
      </w:tr>
      <w:tr w:rsidR="006B316A" w:rsidRPr="00247983" w14:paraId="02EDEFAD" w14:textId="77777777" w:rsidTr="00741E8C">
        <w:tc>
          <w:tcPr>
            <w:tcW w:w="4489" w:type="dxa"/>
            <w:vMerge/>
          </w:tcPr>
          <w:p w14:paraId="74E16A6F" w14:textId="77777777" w:rsidR="00247983" w:rsidRPr="00247983" w:rsidRDefault="00247983" w:rsidP="00247983">
            <w:pPr>
              <w:spacing w:after="160" w:line="259" w:lineRule="auto"/>
            </w:pPr>
          </w:p>
        </w:tc>
        <w:tc>
          <w:tcPr>
            <w:tcW w:w="2785" w:type="dxa"/>
          </w:tcPr>
          <w:p w14:paraId="06BD183E" w14:textId="77777777" w:rsidR="00247983" w:rsidRPr="00247983" w:rsidRDefault="00247983" w:rsidP="00247983">
            <w:pPr>
              <w:spacing w:after="160" w:line="259" w:lineRule="auto"/>
            </w:pPr>
            <w:r w:rsidRPr="00247983">
              <w:t>Change performance measure reporting requirement from quarterly to biannually</w:t>
            </w:r>
          </w:p>
        </w:tc>
        <w:tc>
          <w:tcPr>
            <w:tcW w:w="6221" w:type="dxa"/>
          </w:tcPr>
          <w:p w14:paraId="1F57B600" w14:textId="77777777" w:rsidR="00247983" w:rsidRPr="00247983" w:rsidRDefault="00247983" w:rsidP="00247983">
            <w:pPr>
              <w:spacing w:after="160" w:line="259" w:lineRule="auto"/>
            </w:pPr>
            <w:r w:rsidRPr="00247983">
              <w:t xml:space="preserve">Many of the program activities require a longer period to establish any type of positive/negative yield. Therefore, the switch to biannual reporting allows the recipients to adequately implement strategies and collect informative data over a longer period. This also reduces their overall reporting burden and time. </w:t>
            </w:r>
          </w:p>
        </w:tc>
      </w:tr>
      <w:tr w:rsidR="006B316A" w:rsidRPr="00247983" w14:paraId="02ACCB40" w14:textId="77777777" w:rsidTr="00741E8C">
        <w:tc>
          <w:tcPr>
            <w:tcW w:w="4489" w:type="dxa"/>
            <w:vMerge/>
          </w:tcPr>
          <w:p w14:paraId="7D1072DF" w14:textId="77777777" w:rsidR="00247983" w:rsidRPr="00247983" w:rsidRDefault="00247983" w:rsidP="00247983">
            <w:pPr>
              <w:spacing w:after="160" w:line="259" w:lineRule="auto"/>
            </w:pPr>
          </w:p>
        </w:tc>
        <w:tc>
          <w:tcPr>
            <w:tcW w:w="2785" w:type="dxa"/>
          </w:tcPr>
          <w:p w14:paraId="7B13C999" w14:textId="40F52A91" w:rsidR="00247983" w:rsidRPr="00247983" w:rsidRDefault="00247983" w:rsidP="0056526F">
            <w:pPr>
              <w:spacing w:after="160" w:line="259" w:lineRule="auto"/>
            </w:pPr>
            <w:r w:rsidRPr="00247983">
              <w:t xml:space="preserve">Change name of </w:t>
            </w:r>
            <w:r w:rsidR="006B316A">
              <w:t xml:space="preserve">data collection instrument </w:t>
            </w:r>
            <w:r w:rsidRPr="00247983">
              <w:t xml:space="preserve">from “Program Management Tool” to “Environmental </w:t>
            </w:r>
            <w:r w:rsidR="00EF3AC2">
              <w:t xml:space="preserve">Public </w:t>
            </w:r>
            <w:r w:rsidRPr="00247983">
              <w:t>Health Tracking Work</w:t>
            </w:r>
            <w:r w:rsidR="00EF3AC2">
              <w:t xml:space="preserve"> </w:t>
            </w:r>
            <w:r w:rsidRPr="00247983">
              <w:t>Plan Template</w:t>
            </w:r>
            <w:r w:rsidR="00D10435">
              <w:t>”</w:t>
            </w:r>
          </w:p>
        </w:tc>
        <w:tc>
          <w:tcPr>
            <w:tcW w:w="6221" w:type="dxa"/>
          </w:tcPr>
          <w:p w14:paraId="4129FBC7" w14:textId="6F8A133A" w:rsidR="00247983" w:rsidRPr="00247983" w:rsidRDefault="00C1522A">
            <w:pPr>
              <w:spacing w:after="160" w:line="259" w:lineRule="auto"/>
            </w:pPr>
            <w:r>
              <w:rPr>
                <w:bCs/>
              </w:rPr>
              <w:t>We propose changing the name of the performance measures collection instrument to</w:t>
            </w:r>
            <w:r w:rsidR="00247983" w:rsidRPr="00247983">
              <w:rPr>
                <w:bCs/>
              </w:rPr>
              <w:t xml:space="preserve"> </w:t>
            </w:r>
            <w:r>
              <w:rPr>
                <w:bCs/>
              </w:rPr>
              <w:t>“</w:t>
            </w:r>
            <w:r w:rsidR="00247983" w:rsidRPr="00247983">
              <w:rPr>
                <w:bCs/>
              </w:rPr>
              <w:t xml:space="preserve">Environmental </w:t>
            </w:r>
            <w:r w:rsidR="00EF3AC2">
              <w:rPr>
                <w:bCs/>
              </w:rPr>
              <w:t xml:space="preserve">Public </w:t>
            </w:r>
            <w:r w:rsidR="00247983" w:rsidRPr="00247983">
              <w:rPr>
                <w:bCs/>
              </w:rPr>
              <w:t>Health Tracking Work Plan Template</w:t>
            </w:r>
            <w:r>
              <w:rPr>
                <w:bCs/>
              </w:rPr>
              <w:t>”</w:t>
            </w:r>
            <w:r w:rsidR="00247983" w:rsidRPr="00247983">
              <w:rPr>
                <w:bCs/>
              </w:rPr>
              <w:t xml:space="preserve">. </w:t>
            </w:r>
            <w:r w:rsidR="006B316A">
              <w:rPr>
                <w:bCs/>
              </w:rPr>
              <w:t xml:space="preserve"> </w:t>
            </w:r>
            <w:r w:rsidR="00247983" w:rsidRPr="00247983">
              <w:rPr>
                <w:bCs/>
              </w:rPr>
              <w:t xml:space="preserve">In an effort to streamline reporting efforts for recipients, the performance measurement tool will be housed within the Work Plan </w:t>
            </w:r>
            <w:r w:rsidR="006B316A">
              <w:rPr>
                <w:bCs/>
              </w:rPr>
              <w:t>E</w:t>
            </w:r>
            <w:r w:rsidR="00247983" w:rsidRPr="00247983">
              <w:rPr>
                <w:bCs/>
              </w:rPr>
              <w:t xml:space="preserve">xcel document as a separate tab. This packaging of collection tools makes reporting requirements easier for recipients to track and update. </w:t>
            </w:r>
          </w:p>
        </w:tc>
      </w:tr>
      <w:tr w:rsidR="00BE3767" w:rsidRPr="00247983" w14:paraId="651E1A76" w14:textId="77777777" w:rsidTr="00741E8C">
        <w:tc>
          <w:tcPr>
            <w:tcW w:w="4489" w:type="dxa"/>
          </w:tcPr>
          <w:p w14:paraId="343081D3" w14:textId="77777777" w:rsidR="00BE3767" w:rsidRDefault="00BE3767" w:rsidP="00247983">
            <w:r>
              <w:t xml:space="preserve">Public Health Action Report </w:t>
            </w:r>
          </w:p>
          <w:p w14:paraId="29583A91" w14:textId="1A3382DE" w:rsidR="00BE3767" w:rsidRPr="00247983" w:rsidRDefault="003E787C" w:rsidP="00247983">
            <w:r>
              <w:t>(Attachment 5b</w:t>
            </w:r>
            <w:r w:rsidR="00BE3767">
              <w:t>_Public</w:t>
            </w:r>
            <w:r>
              <w:t xml:space="preserve"> </w:t>
            </w:r>
            <w:r w:rsidR="00BE3767">
              <w:t>Health</w:t>
            </w:r>
            <w:r>
              <w:t xml:space="preserve"> </w:t>
            </w:r>
            <w:r w:rsidR="00BE3767">
              <w:t>Action</w:t>
            </w:r>
            <w:r>
              <w:t xml:space="preserve"> Report</w:t>
            </w:r>
            <w:r w:rsidR="00BE3767">
              <w:t>)</w:t>
            </w:r>
          </w:p>
        </w:tc>
        <w:tc>
          <w:tcPr>
            <w:tcW w:w="2785" w:type="dxa"/>
          </w:tcPr>
          <w:p w14:paraId="38CB9FB2" w14:textId="60C3DD59" w:rsidR="00BE3767" w:rsidRPr="00247983" w:rsidRDefault="00BE3767" w:rsidP="0056526F">
            <w:r>
              <w:t>Increase number of respondents from 4 to 26.</w:t>
            </w:r>
          </w:p>
        </w:tc>
        <w:tc>
          <w:tcPr>
            <w:tcW w:w="6221" w:type="dxa"/>
          </w:tcPr>
          <w:p w14:paraId="76BA5364" w14:textId="3DEE515A" w:rsidR="00BE3767" w:rsidRDefault="00BE3767" w:rsidP="00674B91">
            <w:pPr>
              <w:rPr>
                <w:bCs/>
              </w:rPr>
            </w:pPr>
            <w:r>
              <w:rPr>
                <w:bCs/>
              </w:rPr>
              <w:t xml:space="preserve">We propose increasing the number of respondents from 4 to 26.  Initially, the Public Health Action Report was collected from only existing awardees, which at the time of approval of this ICR was n=4.  However, the </w:t>
            </w:r>
            <w:r w:rsidR="00674B91">
              <w:rPr>
                <w:bCs/>
              </w:rPr>
              <w:t>current number of existing awardees is 26</w:t>
            </w:r>
            <w:r>
              <w:rPr>
                <w:bCs/>
              </w:rPr>
              <w:t>.</w:t>
            </w:r>
          </w:p>
        </w:tc>
      </w:tr>
      <w:tr w:rsidR="006B316A" w:rsidRPr="00247983" w14:paraId="071E0188" w14:textId="77777777" w:rsidTr="00741E8C">
        <w:tc>
          <w:tcPr>
            <w:tcW w:w="4489" w:type="dxa"/>
          </w:tcPr>
          <w:p w14:paraId="15582269" w14:textId="7F0006E0" w:rsidR="006B316A" w:rsidRDefault="00247983" w:rsidP="002850E9">
            <w:r w:rsidRPr="00247983">
              <w:t xml:space="preserve">Earned </w:t>
            </w:r>
            <w:r w:rsidR="006B316A">
              <w:t>V</w:t>
            </w:r>
            <w:r w:rsidRPr="00247983">
              <w:t xml:space="preserve">alue </w:t>
            </w:r>
            <w:r w:rsidR="006B316A">
              <w:t>M</w:t>
            </w:r>
            <w:r w:rsidRPr="00247983">
              <w:t xml:space="preserve">anagement </w:t>
            </w:r>
            <w:r w:rsidR="006B316A">
              <w:t>Re</w:t>
            </w:r>
            <w:r w:rsidRPr="00247983">
              <w:t>port</w:t>
            </w:r>
          </w:p>
          <w:p w14:paraId="39FE1471" w14:textId="4DE99D3D" w:rsidR="00247983" w:rsidRPr="00247983" w:rsidRDefault="006B316A" w:rsidP="003E787C">
            <w:r>
              <w:t>(Att</w:t>
            </w:r>
            <w:r w:rsidR="003E787C">
              <w:t xml:space="preserve">achment </w:t>
            </w:r>
            <w:r>
              <w:t>5d_Earned</w:t>
            </w:r>
            <w:r w:rsidR="003E787C">
              <w:t xml:space="preserve"> </w:t>
            </w:r>
            <w:r>
              <w:t>Value</w:t>
            </w:r>
            <w:r w:rsidR="003E787C">
              <w:t xml:space="preserve"> </w:t>
            </w:r>
            <w:r>
              <w:t>Management</w:t>
            </w:r>
            <w:r w:rsidR="003E787C">
              <w:t xml:space="preserve">  (EVM) Report and Guide</w:t>
            </w:r>
            <w:r>
              <w:t>)</w:t>
            </w:r>
          </w:p>
        </w:tc>
        <w:tc>
          <w:tcPr>
            <w:tcW w:w="2785" w:type="dxa"/>
          </w:tcPr>
          <w:p w14:paraId="636303C0" w14:textId="77777777" w:rsidR="00247983" w:rsidRPr="00247983" w:rsidRDefault="00247983" w:rsidP="00247983">
            <w:pPr>
              <w:spacing w:after="160" w:line="259" w:lineRule="auto"/>
            </w:pPr>
            <w:r w:rsidRPr="00247983">
              <w:t>Remove this form as a reporting requirement.</w:t>
            </w:r>
          </w:p>
        </w:tc>
        <w:tc>
          <w:tcPr>
            <w:tcW w:w="6221" w:type="dxa"/>
          </w:tcPr>
          <w:p w14:paraId="6893BF47" w14:textId="77777777" w:rsidR="00247983" w:rsidRPr="00247983" w:rsidRDefault="00247983" w:rsidP="00247983">
            <w:pPr>
              <w:spacing w:after="160" w:line="259" w:lineRule="auto"/>
            </w:pPr>
            <w:r w:rsidRPr="00247983">
              <w:t xml:space="preserve">The earned value management report was a required submission under previous Tracking cooperative agreements. This report tracked recipient spending against required activity completion rates to estimate spending burn rates. Recipients found the earned value management report challenging to complete while offering information of limited use to CDC program staff. The earned value management reporting tool was removed as a reporting requirement in CDC-RFA-EH17-1702. </w:t>
            </w:r>
          </w:p>
        </w:tc>
      </w:tr>
      <w:tr w:rsidR="006B316A" w:rsidRPr="00247983" w14:paraId="682B33F1" w14:textId="77777777" w:rsidTr="00741E8C">
        <w:tc>
          <w:tcPr>
            <w:tcW w:w="4489" w:type="dxa"/>
          </w:tcPr>
          <w:p w14:paraId="159D72E5" w14:textId="77777777" w:rsidR="00247983" w:rsidRDefault="00247983" w:rsidP="002850E9">
            <w:r w:rsidRPr="00247983">
              <w:t>Website analytics</w:t>
            </w:r>
          </w:p>
          <w:p w14:paraId="252D5FC0" w14:textId="25F09CCB" w:rsidR="006B316A" w:rsidRPr="00247983" w:rsidRDefault="003E787C" w:rsidP="003E787C">
            <w:r>
              <w:t>(Attachment 5f_Website Analytics Guide</w:t>
            </w:r>
            <w:r w:rsidR="006B316A">
              <w:t>)</w:t>
            </w:r>
          </w:p>
        </w:tc>
        <w:tc>
          <w:tcPr>
            <w:tcW w:w="2785" w:type="dxa"/>
          </w:tcPr>
          <w:p w14:paraId="58BF1C12" w14:textId="77777777" w:rsidR="00247983" w:rsidRPr="00247983" w:rsidRDefault="00247983" w:rsidP="00247983">
            <w:pPr>
              <w:spacing w:after="160" w:line="259" w:lineRule="auto"/>
            </w:pPr>
            <w:r w:rsidRPr="00247983">
              <w:t>Change reporting requirements from quarterly to biannually.</w:t>
            </w:r>
          </w:p>
        </w:tc>
        <w:tc>
          <w:tcPr>
            <w:tcW w:w="6221" w:type="dxa"/>
          </w:tcPr>
          <w:p w14:paraId="36A4B7C8" w14:textId="77777777" w:rsidR="00247983" w:rsidRPr="00247983" w:rsidRDefault="00247983" w:rsidP="00247983">
            <w:pPr>
              <w:spacing w:after="160" w:line="259" w:lineRule="auto"/>
            </w:pPr>
            <w:r w:rsidRPr="00247983">
              <w:t>Many of the program activities require a longer period to establish any type of positive/negative yield. Therefore, the switch to biannual reporting allows the recipients to adequately implement strategies and collect informative data over a longer period. This also reduces their overall reporting burden and time</w:t>
            </w:r>
          </w:p>
        </w:tc>
      </w:tr>
      <w:tr w:rsidR="006E4562" w:rsidRPr="00247983" w14:paraId="5CD68090" w14:textId="77777777" w:rsidTr="00741E8C">
        <w:tc>
          <w:tcPr>
            <w:tcW w:w="4489" w:type="dxa"/>
          </w:tcPr>
          <w:p w14:paraId="2159BA25" w14:textId="3882259E" w:rsidR="006E4562" w:rsidRPr="00247983" w:rsidRDefault="006E4562" w:rsidP="002850E9">
            <w:r>
              <w:t>Supporting Statement A</w:t>
            </w:r>
          </w:p>
        </w:tc>
        <w:tc>
          <w:tcPr>
            <w:tcW w:w="2785" w:type="dxa"/>
            <w:vMerge w:val="restart"/>
          </w:tcPr>
          <w:p w14:paraId="0A46DD22" w14:textId="6930A167" w:rsidR="006E4562" w:rsidRPr="00247983" w:rsidRDefault="006E4562" w:rsidP="00247983">
            <w:r>
              <w:t>Change project officer from Alex Charleston to Joseph Ralph</w:t>
            </w:r>
          </w:p>
        </w:tc>
        <w:tc>
          <w:tcPr>
            <w:tcW w:w="6221" w:type="dxa"/>
            <w:vMerge w:val="restart"/>
          </w:tcPr>
          <w:p w14:paraId="5B9E23F6" w14:textId="6EB8F44C" w:rsidR="006E4562" w:rsidRPr="00247983" w:rsidRDefault="006E4562" w:rsidP="00247983">
            <w:r>
              <w:t>Since the time the ICR was approved, Alex Charleston is now Acting Deputy Branch Chief for the Lead Poisoning Prevention and Environmental Health Tracking Branch and Joseph Ralph has taken over as the project officer for this ICR.</w:t>
            </w:r>
          </w:p>
        </w:tc>
      </w:tr>
      <w:tr w:rsidR="006E4562" w:rsidRPr="00247983" w14:paraId="157F4849" w14:textId="77777777" w:rsidTr="00741E8C">
        <w:tc>
          <w:tcPr>
            <w:tcW w:w="4489" w:type="dxa"/>
          </w:tcPr>
          <w:p w14:paraId="1E9BBDCE" w14:textId="7F5A9431" w:rsidR="006E4562" w:rsidRDefault="006E4562" w:rsidP="006E4562">
            <w:r>
              <w:t>Supporting Statement B</w:t>
            </w:r>
          </w:p>
        </w:tc>
        <w:tc>
          <w:tcPr>
            <w:tcW w:w="2785" w:type="dxa"/>
            <w:vMerge/>
          </w:tcPr>
          <w:p w14:paraId="57CD3CF5" w14:textId="1DCE5D71" w:rsidR="006E4562" w:rsidRDefault="006E4562" w:rsidP="006E4562"/>
        </w:tc>
        <w:tc>
          <w:tcPr>
            <w:tcW w:w="6221" w:type="dxa"/>
            <w:vMerge/>
          </w:tcPr>
          <w:p w14:paraId="77A87AE3" w14:textId="0C3D1153" w:rsidR="006E4562" w:rsidRDefault="006E4562" w:rsidP="006E4562"/>
        </w:tc>
      </w:tr>
    </w:tbl>
    <w:p w14:paraId="2E035426" w14:textId="08515887" w:rsidR="00A9511F" w:rsidRPr="00C02A5A" w:rsidRDefault="00247983" w:rsidP="00CD37E8">
      <w:pPr>
        <w:rPr>
          <w:b/>
        </w:rPr>
      </w:pPr>
      <w:r>
        <w:br w:type="page"/>
      </w:r>
      <w:r w:rsidR="00A9511F" w:rsidRPr="00C02A5A">
        <w:rPr>
          <w:b/>
        </w:rPr>
        <w:t>Decrease in Annualized Total Burden Hours:</w:t>
      </w:r>
    </w:p>
    <w:p w14:paraId="50C005FA" w14:textId="7FCD55D2" w:rsidR="00A9511F" w:rsidRDefault="00A9511F" w:rsidP="00A9511F">
      <w:pPr>
        <w:spacing w:after="0" w:line="240" w:lineRule="auto"/>
      </w:pPr>
      <w:r>
        <w:br/>
      </w:r>
      <w:r w:rsidRPr="00C02A5A">
        <w:t xml:space="preserve">The original burden calculated for completing and submitting the </w:t>
      </w:r>
      <w:r>
        <w:t>Program Management Tool</w:t>
      </w:r>
      <w:r w:rsidRPr="00C02A5A">
        <w:t xml:space="preserve"> </w:t>
      </w:r>
      <w:r>
        <w:t xml:space="preserve">(Attachment 5a) </w:t>
      </w:r>
      <w:r w:rsidRPr="00C02A5A">
        <w:t>was 2,080 hours (26 respondents x 4 responses x 20 hours/response)</w:t>
      </w:r>
      <w:r>
        <w:t xml:space="preserve">. </w:t>
      </w:r>
      <w:r w:rsidRPr="00C02A5A">
        <w:t xml:space="preserve">Although the number of performance measures is increasing, the </w:t>
      </w:r>
      <w:r>
        <w:t xml:space="preserve">proposed </w:t>
      </w:r>
      <w:r w:rsidRPr="00247983">
        <w:t xml:space="preserve">Environmental </w:t>
      </w:r>
      <w:r>
        <w:t xml:space="preserve">Public </w:t>
      </w:r>
      <w:r w:rsidRPr="00247983">
        <w:t>Health Tracking Work Plan Template</w:t>
      </w:r>
      <w:r w:rsidRPr="00C02A5A">
        <w:t xml:space="preserve"> has been designed to make reporting much easier </w:t>
      </w:r>
      <w:r>
        <w:t xml:space="preserve">with design features such as: </w:t>
      </w:r>
      <w:r w:rsidRPr="00C02A5A">
        <w:t>(1) auto-filled areas</w:t>
      </w:r>
      <w:r>
        <w:t>,</w:t>
      </w:r>
      <w:r w:rsidRPr="00C02A5A">
        <w:t xml:space="preserve"> (2) drop-down selections, (3) auto-summation of quantitative data, (4) and </w:t>
      </w:r>
      <w:r>
        <w:t xml:space="preserve">a decrease in extensive </w:t>
      </w:r>
      <w:r w:rsidRPr="00C02A5A">
        <w:t xml:space="preserve">qualitative requirements </w:t>
      </w:r>
      <w:r>
        <w:t>(as compared to</w:t>
      </w:r>
      <w:r w:rsidRPr="00C02A5A">
        <w:t xml:space="preserve"> </w:t>
      </w:r>
      <w:r>
        <w:t>the Program Management Tool)</w:t>
      </w:r>
      <w:r w:rsidRPr="00C02A5A">
        <w:t>. Additionally, performance measures will now be collected biannually, inste</w:t>
      </w:r>
      <w:r>
        <w:t>ad of quarterly.</w:t>
      </w:r>
      <w:r w:rsidRPr="00C02A5A">
        <w:t xml:space="preserve"> The burden for the new </w:t>
      </w:r>
      <w:r>
        <w:t>Environmental Public Health Tracking Work Plan</w:t>
      </w:r>
      <w:r w:rsidRPr="00C02A5A">
        <w:t xml:space="preserve"> will be 1,560 hours (26 respondents x 2 responses x 30 hours/response), resulting in a reduction of 520 burden hours.</w:t>
      </w:r>
      <w:r>
        <w:t xml:space="preserve"> Additionally, the elimination of the Earned Value Management Report and change in reporting frequency for the Website Analytics Form further reduces the burden.  In total, the burden for this information collection will be reduced by 4,660 hours (from 25,320 hours to 20,660 hours).</w:t>
      </w:r>
    </w:p>
    <w:p w14:paraId="71B22F4B" w14:textId="77777777" w:rsidR="00A9511F" w:rsidRDefault="00A9511F" w:rsidP="00A9511F">
      <w:pPr>
        <w:ind w:left="-450"/>
      </w:pPr>
    </w:p>
    <w:tbl>
      <w:tblPr>
        <w:tblStyle w:val="TableGrid"/>
        <w:tblW w:w="0" w:type="auto"/>
        <w:tblInd w:w="2050" w:type="dxa"/>
        <w:tblLook w:val="04A0" w:firstRow="1" w:lastRow="0" w:firstColumn="1" w:lastColumn="0" w:noHBand="0" w:noVBand="1"/>
      </w:tblPr>
      <w:tblGrid>
        <w:gridCol w:w="5125"/>
        <w:gridCol w:w="1709"/>
        <w:gridCol w:w="1531"/>
        <w:gridCol w:w="1350"/>
      </w:tblGrid>
      <w:tr w:rsidR="00A9511F" w14:paraId="32948B2D" w14:textId="77777777" w:rsidTr="003E787C">
        <w:tc>
          <w:tcPr>
            <w:tcW w:w="5125" w:type="dxa"/>
          </w:tcPr>
          <w:p w14:paraId="5BCD4A87" w14:textId="77777777" w:rsidR="00A9511F" w:rsidRPr="002850E9" w:rsidRDefault="00A9511F" w:rsidP="003E787C">
            <w:pPr>
              <w:rPr>
                <w:b/>
              </w:rPr>
            </w:pPr>
            <w:r w:rsidRPr="002850E9">
              <w:rPr>
                <w:b/>
              </w:rPr>
              <w:t>Form Name</w:t>
            </w:r>
          </w:p>
        </w:tc>
        <w:tc>
          <w:tcPr>
            <w:tcW w:w="1709" w:type="dxa"/>
          </w:tcPr>
          <w:p w14:paraId="6DB107AA" w14:textId="77777777" w:rsidR="00A9511F" w:rsidRPr="002850E9" w:rsidRDefault="00A9511F" w:rsidP="003E787C">
            <w:pPr>
              <w:jc w:val="center"/>
              <w:rPr>
                <w:b/>
              </w:rPr>
            </w:pPr>
            <w:r w:rsidRPr="002850E9">
              <w:rPr>
                <w:b/>
              </w:rPr>
              <w:t>Previous Burden Hours</w:t>
            </w:r>
          </w:p>
        </w:tc>
        <w:tc>
          <w:tcPr>
            <w:tcW w:w="1531" w:type="dxa"/>
          </w:tcPr>
          <w:p w14:paraId="3B7FF0CE" w14:textId="77777777" w:rsidR="00A9511F" w:rsidRPr="002850E9" w:rsidRDefault="00A9511F" w:rsidP="003E787C">
            <w:pPr>
              <w:jc w:val="center"/>
              <w:rPr>
                <w:b/>
              </w:rPr>
            </w:pPr>
            <w:r w:rsidRPr="002850E9">
              <w:rPr>
                <w:b/>
              </w:rPr>
              <w:t>New Burden Hours</w:t>
            </w:r>
          </w:p>
        </w:tc>
        <w:tc>
          <w:tcPr>
            <w:tcW w:w="1350" w:type="dxa"/>
          </w:tcPr>
          <w:p w14:paraId="3645E5FA" w14:textId="77777777" w:rsidR="00A9511F" w:rsidRPr="002850E9" w:rsidRDefault="00A9511F" w:rsidP="003E787C">
            <w:pPr>
              <w:jc w:val="center"/>
              <w:rPr>
                <w:b/>
              </w:rPr>
            </w:pPr>
            <w:r>
              <w:rPr>
                <w:b/>
              </w:rPr>
              <w:t>Change in Burden hours</w:t>
            </w:r>
          </w:p>
        </w:tc>
      </w:tr>
      <w:tr w:rsidR="00A9511F" w14:paraId="34AC2B74" w14:textId="77777777" w:rsidTr="003E787C">
        <w:tc>
          <w:tcPr>
            <w:tcW w:w="5125" w:type="dxa"/>
          </w:tcPr>
          <w:p w14:paraId="07AC11A5" w14:textId="77777777" w:rsidR="00A9511F" w:rsidRDefault="00A9511F" w:rsidP="003E787C">
            <w:r>
              <w:t>Program Management Tool (proposed to change name to Environmental Public Health Tracking Work Plan Template)</w:t>
            </w:r>
          </w:p>
        </w:tc>
        <w:tc>
          <w:tcPr>
            <w:tcW w:w="1709" w:type="dxa"/>
          </w:tcPr>
          <w:p w14:paraId="6F2DA7AD" w14:textId="77777777" w:rsidR="00A9511F" w:rsidRDefault="00A9511F" w:rsidP="003E787C">
            <w:pPr>
              <w:jc w:val="center"/>
            </w:pPr>
            <w:r>
              <w:t>2,080</w:t>
            </w:r>
          </w:p>
        </w:tc>
        <w:tc>
          <w:tcPr>
            <w:tcW w:w="1531" w:type="dxa"/>
          </w:tcPr>
          <w:p w14:paraId="458695A7" w14:textId="77777777" w:rsidR="00A9511F" w:rsidRDefault="00A9511F" w:rsidP="003E787C">
            <w:pPr>
              <w:jc w:val="center"/>
            </w:pPr>
            <w:r>
              <w:t>1,560</w:t>
            </w:r>
          </w:p>
        </w:tc>
        <w:tc>
          <w:tcPr>
            <w:tcW w:w="1350" w:type="dxa"/>
          </w:tcPr>
          <w:p w14:paraId="5728009B" w14:textId="77777777" w:rsidR="00A9511F" w:rsidRDefault="00A9511F" w:rsidP="003E787C">
            <w:pPr>
              <w:jc w:val="center"/>
            </w:pPr>
            <w:r>
              <w:t>-520</w:t>
            </w:r>
          </w:p>
        </w:tc>
      </w:tr>
      <w:tr w:rsidR="00A9511F" w14:paraId="4B88ABF5" w14:textId="77777777" w:rsidTr="003E787C">
        <w:tc>
          <w:tcPr>
            <w:tcW w:w="5125" w:type="dxa"/>
          </w:tcPr>
          <w:p w14:paraId="4C0BBF41" w14:textId="77777777" w:rsidR="00A9511F" w:rsidRDefault="00A9511F" w:rsidP="003E787C">
            <w:r>
              <w:t>Earned Value Management Report</w:t>
            </w:r>
          </w:p>
        </w:tc>
        <w:tc>
          <w:tcPr>
            <w:tcW w:w="1709" w:type="dxa"/>
          </w:tcPr>
          <w:p w14:paraId="79B510B4" w14:textId="77777777" w:rsidR="00A9511F" w:rsidRDefault="00A9511F" w:rsidP="003E787C">
            <w:pPr>
              <w:jc w:val="center"/>
            </w:pPr>
            <w:r>
              <w:t>4,800</w:t>
            </w:r>
          </w:p>
        </w:tc>
        <w:tc>
          <w:tcPr>
            <w:tcW w:w="1531" w:type="dxa"/>
          </w:tcPr>
          <w:p w14:paraId="324EBF67" w14:textId="77777777" w:rsidR="00A9511F" w:rsidRDefault="00A9511F" w:rsidP="003E787C">
            <w:pPr>
              <w:jc w:val="center"/>
            </w:pPr>
            <w:r>
              <w:t>0</w:t>
            </w:r>
          </w:p>
        </w:tc>
        <w:tc>
          <w:tcPr>
            <w:tcW w:w="1350" w:type="dxa"/>
          </w:tcPr>
          <w:p w14:paraId="1211AF8F" w14:textId="77777777" w:rsidR="00A9511F" w:rsidRDefault="00A9511F" w:rsidP="003E787C">
            <w:pPr>
              <w:jc w:val="center"/>
            </w:pPr>
            <w:r>
              <w:t>-4,800</w:t>
            </w:r>
          </w:p>
        </w:tc>
      </w:tr>
      <w:tr w:rsidR="00A9511F" w14:paraId="095D81A4" w14:textId="77777777" w:rsidTr="003E787C">
        <w:tc>
          <w:tcPr>
            <w:tcW w:w="5125" w:type="dxa"/>
          </w:tcPr>
          <w:p w14:paraId="5539B9E2" w14:textId="77777777" w:rsidR="00A9511F" w:rsidRDefault="00A9511F" w:rsidP="003E787C">
            <w:r>
              <w:t>Website analytics</w:t>
            </w:r>
          </w:p>
        </w:tc>
        <w:tc>
          <w:tcPr>
            <w:tcW w:w="1709" w:type="dxa"/>
          </w:tcPr>
          <w:p w14:paraId="229CF1D0" w14:textId="77777777" w:rsidR="00A9511F" w:rsidRDefault="00A9511F" w:rsidP="003E787C">
            <w:pPr>
              <w:jc w:val="center"/>
            </w:pPr>
            <w:r>
              <w:t>120</w:t>
            </w:r>
          </w:p>
        </w:tc>
        <w:tc>
          <w:tcPr>
            <w:tcW w:w="1531" w:type="dxa"/>
          </w:tcPr>
          <w:p w14:paraId="79F582D0" w14:textId="77777777" w:rsidR="00A9511F" w:rsidRDefault="00A9511F" w:rsidP="003E787C">
            <w:pPr>
              <w:jc w:val="center"/>
            </w:pPr>
            <w:r>
              <w:t>60</w:t>
            </w:r>
          </w:p>
        </w:tc>
        <w:tc>
          <w:tcPr>
            <w:tcW w:w="1350" w:type="dxa"/>
          </w:tcPr>
          <w:p w14:paraId="5AA865FD" w14:textId="77777777" w:rsidR="00A9511F" w:rsidRDefault="00A9511F" w:rsidP="003E787C">
            <w:pPr>
              <w:jc w:val="center"/>
            </w:pPr>
            <w:r>
              <w:t>-60</w:t>
            </w:r>
          </w:p>
        </w:tc>
      </w:tr>
      <w:tr w:rsidR="00A9511F" w14:paraId="69D2FEBC" w14:textId="77777777" w:rsidTr="003E787C">
        <w:tc>
          <w:tcPr>
            <w:tcW w:w="5125" w:type="dxa"/>
          </w:tcPr>
          <w:p w14:paraId="6343252D" w14:textId="77777777" w:rsidR="00A9511F" w:rsidRDefault="00A9511F" w:rsidP="003E787C">
            <w:r>
              <w:t>Public Health Action Report</w:t>
            </w:r>
          </w:p>
        </w:tc>
        <w:tc>
          <w:tcPr>
            <w:tcW w:w="1709" w:type="dxa"/>
          </w:tcPr>
          <w:p w14:paraId="21F61CD2" w14:textId="77777777" w:rsidR="00A9511F" w:rsidRDefault="00A9511F" w:rsidP="003E787C">
            <w:pPr>
              <w:jc w:val="center"/>
            </w:pPr>
            <w:r>
              <w:t>320</w:t>
            </w:r>
          </w:p>
        </w:tc>
        <w:tc>
          <w:tcPr>
            <w:tcW w:w="1531" w:type="dxa"/>
          </w:tcPr>
          <w:p w14:paraId="79BC6639" w14:textId="77777777" w:rsidR="00A9511F" w:rsidRDefault="00A9511F" w:rsidP="003E787C">
            <w:pPr>
              <w:jc w:val="center"/>
            </w:pPr>
            <w:r>
              <w:t>1,040</w:t>
            </w:r>
          </w:p>
        </w:tc>
        <w:tc>
          <w:tcPr>
            <w:tcW w:w="1350" w:type="dxa"/>
          </w:tcPr>
          <w:p w14:paraId="4BAA92EA" w14:textId="77777777" w:rsidR="00A9511F" w:rsidRDefault="00A9511F" w:rsidP="003E787C">
            <w:pPr>
              <w:jc w:val="center"/>
            </w:pPr>
            <w:r>
              <w:t>+720</w:t>
            </w:r>
          </w:p>
        </w:tc>
      </w:tr>
      <w:tr w:rsidR="00A9511F" w14:paraId="64C9E69A" w14:textId="77777777" w:rsidTr="003E787C">
        <w:tc>
          <w:tcPr>
            <w:tcW w:w="8365" w:type="dxa"/>
            <w:gridSpan w:val="3"/>
          </w:tcPr>
          <w:p w14:paraId="5E83696E" w14:textId="77777777" w:rsidR="00A9511F" w:rsidRPr="002850E9" w:rsidRDefault="00A9511F" w:rsidP="003E787C">
            <w:pPr>
              <w:rPr>
                <w:b/>
              </w:rPr>
            </w:pPr>
            <w:r w:rsidRPr="002850E9">
              <w:rPr>
                <w:b/>
              </w:rPr>
              <w:t>Total burden hours reduced</w:t>
            </w:r>
          </w:p>
        </w:tc>
        <w:tc>
          <w:tcPr>
            <w:tcW w:w="1350" w:type="dxa"/>
          </w:tcPr>
          <w:p w14:paraId="727099D1" w14:textId="77777777" w:rsidR="00A9511F" w:rsidRDefault="00A9511F" w:rsidP="003E787C">
            <w:pPr>
              <w:jc w:val="center"/>
            </w:pPr>
            <w:r>
              <w:t>-4,660</w:t>
            </w:r>
          </w:p>
        </w:tc>
      </w:tr>
    </w:tbl>
    <w:p w14:paraId="30A08F91" w14:textId="77777777" w:rsidR="00A9511F" w:rsidRPr="00C02A5A" w:rsidRDefault="00A9511F" w:rsidP="00A9511F">
      <w:pPr>
        <w:ind w:left="-450"/>
      </w:pPr>
    </w:p>
    <w:p w14:paraId="70A55635" w14:textId="33C50E95" w:rsidR="00A9511F" w:rsidRPr="00A9511F" w:rsidRDefault="00A9511F" w:rsidP="00247983">
      <w:pPr>
        <w:spacing w:after="0" w:line="240" w:lineRule="auto"/>
        <w:rPr>
          <w:b/>
        </w:rPr>
      </w:pPr>
      <w:r w:rsidRPr="00A9511F">
        <w:rPr>
          <w:b/>
        </w:rPr>
        <w:t>Change in Performance Measures:</w:t>
      </w:r>
    </w:p>
    <w:p w14:paraId="29CD2A6B" w14:textId="77777777" w:rsidR="00A9511F" w:rsidRDefault="00A9511F" w:rsidP="00247983">
      <w:pPr>
        <w:spacing w:after="0" w:line="240" w:lineRule="auto"/>
      </w:pPr>
    </w:p>
    <w:p w14:paraId="30B63290" w14:textId="0362640F" w:rsidR="00247983" w:rsidRPr="00247983" w:rsidRDefault="00773BC1" w:rsidP="00247983">
      <w:pPr>
        <w:spacing w:after="0" w:line="240" w:lineRule="auto"/>
      </w:pPr>
      <w:r>
        <w:t xml:space="preserve">The </w:t>
      </w:r>
      <w:r w:rsidR="007D5315">
        <w:t xml:space="preserve">table below </w:t>
      </w:r>
      <w:r w:rsidR="00CA57B8">
        <w:t>detai</w:t>
      </w:r>
      <w:r w:rsidR="00DD07BB">
        <w:t>ls t</w:t>
      </w:r>
      <w:r w:rsidR="00CA57B8">
        <w:t xml:space="preserve">he </w:t>
      </w:r>
      <w:r>
        <w:t>previous performance measures</w:t>
      </w:r>
      <w:r w:rsidR="00F77F89">
        <w:t xml:space="preserve">, </w:t>
      </w:r>
      <w:r w:rsidR="00DD07BB">
        <w:t xml:space="preserve">the </w:t>
      </w:r>
      <w:r w:rsidR="00A119AF">
        <w:t>newly proposed</w:t>
      </w:r>
      <w:r w:rsidR="00CA57B8">
        <w:t xml:space="preserve"> performance measures</w:t>
      </w:r>
      <w:r w:rsidR="00A119AF">
        <w:t>,</w:t>
      </w:r>
      <w:r w:rsidR="00DD07BB">
        <w:t xml:space="preserve"> and</w:t>
      </w:r>
      <w:r w:rsidR="009C56AC">
        <w:t xml:space="preserve"> the current program outputs/</w:t>
      </w:r>
      <w:r w:rsidR="00DD07BB">
        <w:t>outcomes</w:t>
      </w:r>
      <w:r w:rsidR="0040256C">
        <w:t>. The newly proposed perform</w:t>
      </w:r>
      <w:r w:rsidR="009C56AC">
        <w:t>ance measures are linked to targeted</w:t>
      </w:r>
      <w:r w:rsidR="0040256C">
        <w:t xml:space="preserve"> program outputs and outcomes</w:t>
      </w:r>
      <w:r w:rsidR="00741E8C">
        <w:t>.</w:t>
      </w:r>
      <w:r w:rsidR="00AB416F">
        <w:t xml:space="preserve"> </w:t>
      </w:r>
      <w:r w:rsidR="00741E8C">
        <w:t xml:space="preserve"> T</w:t>
      </w:r>
      <w:r w:rsidR="009C56AC">
        <w:t>heir</w:t>
      </w:r>
      <w:r w:rsidR="00AB416F">
        <w:t xml:space="preserve"> linkage is shown in the table</w:t>
      </w:r>
      <w:r w:rsidR="006071DB">
        <w:t xml:space="preserve"> below</w:t>
      </w:r>
      <w:r w:rsidR="007C4B3E">
        <w:t xml:space="preserve">. </w:t>
      </w:r>
    </w:p>
    <w:p w14:paraId="58BE96E0" w14:textId="77777777" w:rsidR="00247983" w:rsidRDefault="00247983"/>
    <w:tbl>
      <w:tblPr>
        <w:tblW w:w="13557" w:type="dxa"/>
        <w:tblInd w:w="-6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0E0E0"/>
        <w:tblLayout w:type="fixed"/>
        <w:tblLook w:val="01E0" w:firstRow="1" w:lastRow="1" w:firstColumn="1" w:lastColumn="1" w:noHBand="0" w:noVBand="0"/>
      </w:tblPr>
      <w:tblGrid>
        <w:gridCol w:w="2460"/>
        <w:gridCol w:w="8397"/>
        <w:gridCol w:w="2700"/>
      </w:tblGrid>
      <w:tr w:rsidR="00F756B0" w14:paraId="7CD858E9" w14:textId="70B5AE74" w:rsidTr="00925F36">
        <w:trPr>
          <w:trHeight w:val="1070"/>
        </w:trPr>
        <w:tc>
          <w:tcPr>
            <w:tcW w:w="2460" w:type="dxa"/>
            <w:tcBorders>
              <w:bottom w:val="single" w:sz="4" w:space="0" w:color="FFFFFF"/>
            </w:tcBorders>
            <w:shd w:val="clear" w:color="auto" w:fill="CCCCCC"/>
            <w:vAlign w:val="center"/>
          </w:tcPr>
          <w:p w14:paraId="22AF040A" w14:textId="43CB989F" w:rsidR="00F756B0" w:rsidRDefault="00F756B0" w:rsidP="000B14D0">
            <w:pPr>
              <w:spacing w:before="120" w:after="120"/>
              <w:rPr>
                <w:sz w:val="20"/>
                <w:szCs w:val="20"/>
              </w:rPr>
            </w:pPr>
            <w:r w:rsidRPr="00340833">
              <w:rPr>
                <w:b/>
              </w:rPr>
              <w:t>Previous EHTB Performance Measures</w:t>
            </w:r>
            <w:r w:rsidRPr="00AB5E5C">
              <w:rPr>
                <w:b/>
                <w:sz w:val="20"/>
                <w:szCs w:val="20"/>
              </w:rPr>
              <w:t xml:space="preserve"> </w:t>
            </w:r>
            <w:r w:rsidR="00C57C94" w:rsidRPr="002850E9">
              <w:rPr>
                <w:sz w:val="20"/>
                <w:szCs w:val="20"/>
              </w:rPr>
              <w:t>These</w:t>
            </w:r>
            <w:r w:rsidR="000B14D0">
              <w:rPr>
                <w:sz w:val="20"/>
                <w:szCs w:val="20"/>
              </w:rPr>
              <w:t xml:space="preserve"> do</w:t>
            </w:r>
            <w:r w:rsidR="000B14D0" w:rsidRPr="000B14D0">
              <w:rPr>
                <w:sz w:val="20"/>
                <w:szCs w:val="20"/>
              </w:rPr>
              <w:t xml:space="preserve"> not fully capture nor align with</w:t>
            </w:r>
            <w:r w:rsidR="00C57C94" w:rsidRPr="002850E9">
              <w:rPr>
                <w:sz w:val="20"/>
                <w:szCs w:val="20"/>
              </w:rPr>
              <w:t xml:space="preserve"> the </w:t>
            </w:r>
            <w:r w:rsidR="000B14D0">
              <w:rPr>
                <w:sz w:val="20"/>
                <w:szCs w:val="20"/>
              </w:rPr>
              <w:t xml:space="preserve">current goals and trajectory of the </w:t>
            </w:r>
            <w:r w:rsidR="00C57C94" w:rsidRPr="002850E9">
              <w:rPr>
                <w:sz w:val="20"/>
                <w:szCs w:val="20"/>
              </w:rPr>
              <w:t xml:space="preserve">EH </w:t>
            </w:r>
            <w:r w:rsidR="00A119AF">
              <w:rPr>
                <w:sz w:val="20"/>
                <w:szCs w:val="20"/>
              </w:rPr>
              <w:t>T</w:t>
            </w:r>
            <w:r w:rsidR="00C57C94" w:rsidRPr="002850E9">
              <w:rPr>
                <w:sz w:val="20"/>
                <w:szCs w:val="20"/>
              </w:rPr>
              <w:t xml:space="preserve">racking </w:t>
            </w:r>
            <w:r w:rsidR="00A119AF">
              <w:rPr>
                <w:sz w:val="20"/>
                <w:szCs w:val="20"/>
              </w:rPr>
              <w:t>P</w:t>
            </w:r>
            <w:r w:rsidR="00C57C94" w:rsidRPr="002850E9">
              <w:rPr>
                <w:sz w:val="20"/>
                <w:szCs w:val="20"/>
              </w:rPr>
              <w:t>rogra</w:t>
            </w:r>
            <w:r w:rsidR="000B14D0" w:rsidRPr="000B14D0">
              <w:rPr>
                <w:sz w:val="20"/>
                <w:szCs w:val="20"/>
              </w:rPr>
              <w:t xml:space="preserve">m. </w:t>
            </w:r>
            <w:r w:rsidR="00C57C94" w:rsidRPr="002850E9">
              <w:rPr>
                <w:sz w:val="20"/>
                <w:szCs w:val="20"/>
              </w:rPr>
              <w:t>.</w:t>
            </w:r>
            <w:r w:rsidR="00C57C94">
              <w:rPr>
                <w:b/>
                <w:sz w:val="20"/>
                <w:szCs w:val="20"/>
              </w:rPr>
              <w:t xml:space="preserve">  </w:t>
            </w:r>
          </w:p>
        </w:tc>
        <w:tc>
          <w:tcPr>
            <w:tcW w:w="8397" w:type="dxa"/>
            <w:tcBorders>
              <w:bottom w:val="single" w:sz="4" w:space="0" w:color="FFFFFF"/>
            </w:tcBorders>
            <w:shd w:val="clear" w:color="auto" w:fill="CCCCCC"/>
          </w:tcPr>
          <w:p w14:paraId="2F3AC65B" w14:textId="3D955BD1" w:rsidR="00F756B0" w:rsidRPr="00AB5E5C" w:rsidRDefault="00F77F89" w:rsidP="008A565E">
            <w:pPr>
              <w:spacing w:before="120" w:after="120"/>
              <w:rPr>
                <w:b/>
                <w:sz w:val="20"/>
                <w:szCs w:val="20"/>
              </w:rPr>
            </w:pPr>
            <w:r>
              <w:rPr>
                <w:b/>
              </w:rPr>
              <w:t xml:space="preserve">Proposed </w:t>
            </w:r>
            <w:r w:rsidR="00F756B0" w:rsidRPr="00340833">
              <w:rPr>
                <w:b/>
              </w:rPr>
              <w:t>Performance Measures</w:t>
            </w:r>
            <w:r w:rsidR="00F756B0" w:rsidRPr="00AB5E5C">
              <w:rPr>
                <w:b/>
                <w:sz w:val="20"/>
                <w:szCs w:val="20"/>
              </w:rPr>
              <w:t xml:space="preserve"> </w:t>
            </w:r>
            <w:r w:rsidR="00C57C94">
              <w:rPr>
                <w:sz w:val="20"/>
                <w:szCs w:val="20"/>
              </w:rPr>
              <w:br/>
            </w:r>
            <w:r w:rsidR="00C57C94" w:rsidRPr="008A565E">
              <w:rPr>
                <w:sz w:val="20"/>
                <w:szCs w:val="20"/>
              </w:rPr>
              <w:t xml:space="preserve">The newly proposed performance measures </w:t>
            </w:r>
            <w:r w:rsidR="00F756B0" w:rsidRPr="008A565E">
              <w:rPr>
                <w:sz w:val="20"/>
                <w:szCs w:val="20"/>
              </w:rPr>
              <w:t xml:space="preserve">align with the current core and advanced activities outlined in the </w:t>
            </w:r>
            <w:r w:rsidR="008A565E" w:rsidRPr="008A565E">
              <w:rPr>
                <w:sz w:val="20"/>
                <w:szCs w:val="20"/>
              </w:rPr>
              <w:t>current Funding Opportunity Announcement</w:t>
            </w:r>
            <w:r w:rsidR="00F756B0" w:rsidRPr="008A565E">
              <w:rPr>
                <w:sz w:val="20"/>
                <w:szCs w:val="20"/>
              </w:rPr>
              <w:t xml:space="preserve">. </w:t>
            </w:r>
            <w:r w:rsidR="0040256C" w:rsidRPr="008A565E">
              <w:rPr>
                <w:sz w:val="20"/>
                <w:szCs w:val="20"/>
              </w:rPr>
              <w:t>The measures are</w:t>
            </w:r>
            <w:r w:rsidR="00F756B0" w:rsidRPr="008A565E">
              <w:rPr>
                <w:sz w:val="20"/>
                <w:szCs w:val="20"/>
              </w:rPr>
              <w:t xml:space="preserve"> </w:t>
            </w:r>
            <w:r w:rsidR="0040256C" w:rsidRPr="008A565E">
              <w:rPr>
                <w:sz w:val="20"/>
                <w:szCs w:val="20"/>
              </w:rPr>
              <w:t>also linked</w:t>
            </w:r>
            <w:r w:rsidR="00C57C94" w:rsidRPr="008A565E">
              <w:rPr>
                <w:sz w:val="20"/>
                <w:szCs w:val="20"/>
              </w:rPr>
              <w:t xml:space="preserve"> </w:t>
            </w:r>
            <w:r w:rsidR="00F756B0" w:rsidRPr="008A565E">
              <w:rPr>
                <w:sz w:val="20"/>
                <w:szCs w:val="20"/>
              </w:rPr>
              <w:t xml:space="preserve"> to targeted program outputs and outcomes, which help, assess program impact  efficiently and systematically.</w:t>
            </w:r>
            <w:r w:rsidR="00F756B0">
              <w:rPr>
                <w:sz w:val="20"/>
                <w:szCs w:val="20"/>
              </w:rPr>
              <w:t xml:space="preserve"> </w:t>
            </w:r>
          </w:p>
        </w:tc>
        <w:tc>
          <w:tcPr>
            <w:tcW w:w="2700" w:type="dxa"/>
            <w:tcBorders>
              <w:bottom w:val="single" w:sz="4" w:space="0" w:color="FFFFFF"/>
            </w:tcBorders>
            <w:shd w:val="clear" w:color="auto" w:fill="CCCCCC"/>
          </w:tcPr>
          <w:p w14:paraId="04F27D99" w14:textId="39ADB5BD" w:rsidR="00F756B0" w:rsidRPr="00340833" w:rsidRDefault="00F756B0" w:rsidP="009C56AC">
            <w:pPr>
              <w:spacing w:before="120" w:after="120"/>
              <w:rPr>
                <w:b/>
              </w:rPr>
            </w:pPr>
            <w:r>
              <w:rPr>
                <w:b/>
              </w:rPr>
              <w:t>Linkage to Current Program Outputs and Outcomes</w:t>
            </w:r>
            <w:r w:rsidR="00C57C94">
              <w:rPr>
                <w:b/>
              </w:rPr>
              <w:br/>
              <w:t xml:space="preserve"> </w:t>
            </w:r>
          </w:p>
        </w:tc>
      </w:tr>
      <w:tr w:rsidR="00F756B0" w:rsidRPr="0029478C" w14:paraId="0E564594" w14:textId="65C907F5" w:rsidTr="00925F36">
        <w:trPr>
          <w:trHeight w:val="704"/>
        </w:trPr>
        <w:tc>
          <w:tcPr>
            <w:tcW w:w="2460" w:type="dxa"/>
            <w:shd w:val="clear" w:color="auto" w:fill="E6E6E6"/>
            <w:vAlign w:val="center"/>
          </w:tcPr>
          <w:p w14:paraId="12D7EA45" w14:textId="77777777" w:rsidR="00F756B0" w:rsidRPr="00AB5E5C" w:rsidRDefault="00F756B0" w:rsidP="008178C2">
            <w:pPr>
              <w:spacing w:before="120" w:after="120"/>
              <w:rPr>
                <w:color w:val="000000"/>
              </w:rPr>
            </w:pPr>
            <w:r w:rsidRPr="0029478C">
              <w:rPr>
                <w:b/>
              </w:rPr>
              <w:t>By</w:t>
            </w:r>
            <w:r>
              <w:t xml:space="preserve"> </w:t>
            </w:r>
            <w:r w:rsidRPr="0029478C">
              <w:rPr>
                <w:b/>
              </w:rPr>
              <w:t>2010, increase the number of statewide Environmental Public Health Tracking networks that meet EPHT/PHIN standards by 17.</w:t>
            </w:r>
            <w:r>
              <w:rPr>
                <w:b/>
              </w:rPr>
              <w:br/>
            </w:r>
            <w:r>
              <w:rPr>
                <w:b/>
              </w:rPr>
              <w:br/>
              <w:t xml:space="preserve">Criteria Necessary to Meet Performance Measure: </w:t>
            </w:r>
            <w:r>
              <w:rPr>
                <w:b/>
              </w:rPr>
              <w:br/>
            </w:r>
            <w:r w:rsidRPr="00AB5E5C">
              <w:rPr>
                <w:color w:val="000000"/>
              </w:rPr>
              <w:t>1. Infrastructure is in place to access data for core nationally consi</w:t>
            </w:r>
            <w:r>
              <w:rPr>
                <w:color w:val="000000"/>
              </w:rPr>
              <w:t>stent measures and data</w:t>
            </w:r>
          </w:p>
          <w:p w14:paraId="004303DB" w14:textId="77777777" w:rsidR="00F756B0" w:rsidRPr="00AB5E5C" w:rsidRDefault="00F756B0" w:rsidP="008178C2">
            <w:pPr>
              <w:spacing w:before="120" w:after="120"/>
              <w:rPr>
                <w:color w:val="000000"/>
              </w:rPr>
            </w:pPr>
            <w:r w:rsidRPr="00AB5E5C">
              <w:rPr>
                <w:color w:val="000000"/>
              </w:rPr>
              <w:t>2. Relationships/agreements with necessary data owners have been established and data necessary to calculate core measures have been received, and</w:t>
            </w:r>
          </w:p>
          <w:p w14:paraId="25F7912C" w14:textId="77777777" w:rsidR="00F756B0" w:rsidRPr="007076A4" w:rsidRDefault="00F756B0" w:rsidP="008178C2">
            <w:pPr>
              <w:spacing w:before="120" w:after="120"/>
              <w:rPr>
                <w:color w:val="000000"/>
              </w:rPr>
            </w:pPr>
            <w:r w:rsidRPr="00AB5E5C">
              <w:rPr>
                <w:color w:val="000000"/>
              </w:rPr>
              <w:t>3. Core nationally consistent measures and data are available through role-based access on the State Tracking Network</w:t>
            </w:r>
          </w:p>
        </w:tc>
        <w:tc>
          <w:tcPr>
            <w:tcW w:w="8397" w:type="dxa"/>
            <w:shd w:val="clear" w:color="auto" w:fill="E6E6E6"/>
          </w:tcPr>
          <w:p w14:paraId="258909B2" w14:textId="77777777" w:rsidR="00F756B0" w:rsidRDefault="00F756B0" w:rsidP="007076A4">
            <w:pPr>
              <w:pStyle w:val="ListParagraph"/>
              <w:numPr>
                <w:ilvl w:val="0"/>
                <w:numId w:val="2"/>
              </w:numPr>
              <w:ind w:left="301" w:hanging="180"/>
            </w:pPr>
            <w:r w:rsidRPr="00D32830">
              <w:t>Number of new tools and processes developed to improve the quality, usefulness, availability, and timeliness of data  related to grantee Tracking systems</w:t>
            </w:r>
            <w:r>
              <w:t>;</w:t>
            </w:r>
          </w:p>
          <w:p w14:paraId="1545C92F" w14:textId="77777777" w:rsidR="00F756B0" w:rsidRDefault="00F756B0" w:rsidP="007076A4">
            <w:pPr>
              <w:pStyle w:val="ListParagraph"/>
              <w:numPr>
                <w:ilvl w:val="0"/>
                <w:numId w:val="2"/>
              </w:numPr>
              <w:ind w:left="301" w:hanging="180"/>
            </w:pPr>
            <w:r>
              <w:t>List and d</w:t>
            </w:r>
            <w:r w:rsidRPr="0065628D">
              <w:t>escription of barriers discovered/ addressed based on results</w:t>
            </w:r>
            <w:r>
              <w:t xml:space="preserve"> obtained from the gap analysis;</w:t>
            </w:r>
          </w:p>
          <w:p w14:paraId="3143C98C" w14:textId="77777777" w:rsidR="00F756B0" w:rsidRPr="007126B7" w:rsidRDefault="00F756B0" w:rsidP="007126B7">
            <w:pPr>
              <w:pStyle w:val="ListParagraph"/>
              <w:numPr>
                <w:ilvl w:val="0"/>
                <w:numId w:val="2"/>
              </w:numPr>
              <w:ind w:left="301" w:hanging="180"/>
            </w:pPr>
            <w:r w:rsidRPr="00BB143A">
              <w:rPr>
                <w:rFonts w:cs="Times New Roman"/>
              </w:rPr>
              <w:t>Submission of complete standardized NCDMs to CDC during scheduled data calls</w:t>
            </w:r>
            <w:r>
              <w:rPr>
                <w:rFonts w:cs="Times New Roman"/>
              </w:rPr>
              <w:t>.</w:t>
            </w:r>
          </w:p>
          <w:p w14:paraId="1097BF8D" w14:textId="77777777" w:rsidR="00F756B0" w:rsidRPr="007076A4" w:rsidRDefault="00F756B0" w:rsidP="007126B7">
            <w:pPr>
              <w:pStyle w:val="ListParagraph"/>
              <w:numPr>
                <w:ilvl w:val="0"/>
                <w:numId w:val="2"/>
              </w:numPr>
              <w:ind w:left="301" w:hanging="180"/>
            </w:pPr>
            <w:r>
              <w:t>Number of new tools and processes developed to improve the quality, usefulness, availability, and timeliness of data (refers to the development of advanced tools)</w:t>
            </w:r>
          </w:p>
          <w:p w14:paraId="289C46D6" w14:textId="77777777" w:rsidR="00F756B0" w:rsidRPr="00CD0A20" w:rsidRDefault="00F756B0" w:rsidP="007076A4">
            <w:pPr>
              <w:pStyle w:val="ListParagraph"/>
              <w:numPr>
                <w:ilvl w:val="0"/>
                <w:numId w:val="2"/>
              </w:numPr>
              <w:ind w:left="301" w:hanging="180"/>
            </w:pPr>
            <w:r w:rsidRPr="00C8241F">
              <w:t>Adhere</w:t>
            </w:r>
            <w:r>
              <w:t>nce</w:t>
            </w:r>
            <w:r w:rsidRPr="00C8241F">
              <w:t xml:space="preserve"> to 100% of the </w:t>
            </w:r>
            <w:r w:rsidRPr="00C8241F">
              <w:rPr>
                <w:b/>
                <w:i/>
              </w:rPr>
              <w:t xml:space="preserve">required </w:t>
            </w:r>
            <w:r w:rsidRPr="00C8241F">
              <w:t xml:space="preserve">portal standards found in the </w:t>
            </w:r>
            <w:r w:rsidRPr="00C8241F">
              <w:rPr>
                <w:i/>
              </w:rPr>
              <w:t>Portal Requirements and Recommendations</w:t>
            </w:r>
            <w:r w:rsidRPr="00C8241F">
              <w:t xml:space="preserve"> document</w:t>
            </w:r>
            <w:r>
              <w:t>.</w:t>
            </w:r>
          </w:p>
        </w:tc>
        <w:tc>
          <w:tcPr>
            <w:tcW w:w="2700" w:type="dxa"/>
            <w:shd w:val="clear" w:color="auto" w:fill="E6E6E6"/>
          </w:tcPr>
          <w:p w14:paraId="7B28BE08" w14:textId="77777777" w:rsidR="00F756B0" w:rsidRPr="00F756B0" w:rsidRDefault="00F756B0" w:rsidP="00F756B0">
            <w:pPr>
              <w:pStyle w:val="ListParagraph"/>
              <w:numPr>
                <w:ilvl w:val="0"/>
                <w:numId w:val="2"/>
              </w:numPr>
              <w:ind w:left="166" w:hanging="180"/>
            </w:pPr>
            <w:r w:rsidRPr="00C8241F">
              <w:rPr>
                <w:kern w:val="24"/>
              </w:rPr>
              <w:t>Comprehensive surveillance system with tools, guides, and best practices</w:t>
            </w:r>
          </w:p>
          <w:p w14:paraId="6C4336BD" w14:textId="650F4133" w:rsidR="00F756B0" w:rsidRPr="00D32830" w:rsidRDefault="00F756B0" w:rsidP="00F756B0">
            <w:pPr>
              <w:pStyle w:val="ListParagraph"/>
              <w:numPr>
                <w:ilvl w:val="0"/>
                <w:numId w:val="2"/>
              </w:numPr>
              <w:ind w:left="166" w:hanging="180"/>
            </w:pPr>
            <w:r w:rsidRPr="00C8241F">
              <w:t>Efficient, accessible, and higher quality display of data on a public portal</w:t>
            </w:r>
          </w:p>
        </w:tc>
      </w:tr>
      <w:tr w:rsidR="00F756B0" w14:paraId="72980165" w14:textId="6997F0B6" w:rsidTr="00925F36">
        <w:trPr>
          <w:trHeight w:val="717"/>
        </w:trPr>
        <w:tc>
          <w:tcPr>
            <w:tcW w:w="2460" w:type="dxa"/>
            <w:shd w:val="clear" w:color="auto" w:fill="E6E6E6"/>
            <w:vAlign w:val="center"/>
          </w:tcPr>
          <w:p w14:paraId="1EB7FD55" w14:textId="77777777" w:rsidR="00F756B0" w:rsidRPr="00AB5E5C" w:rsidRDefault="00F756B0" w:rsidP="007076A4">
            <w:pPr>
              <w:spacing w:before="120" w:after="120"/>
              <w:rPr>
                <w:b/>
              </w:rPr>
            </w:pPr>
            <w:r w:rsidRPr="00AB5E5C">
              <w:rPr>
                <w:b/>
              </w:rPr>
              <w:t>By 2010, integrate environmental and public health data from 33% of states and the New York City into the National Environmental Public Health Tracking Network.</w:t>
            </w:r>
          </w:p>
          <w:p w14:paraId="137E730F" w14:textId="77777777" w:rsidR="00F756B0" w:rsidRPr="00AB5E5C" w:rsidRDefault="00F756B0" w:rsidP="007076A4">
            <w:pPr>
              <w:spacing w:before="120" w:after="120"/>
              <w:ind w:left="92"/>
              <w:rPr>
                <w:color w:val="000000"/>
              </w:rPr>
            </w:pPr>
            <w:r>
              <w:rPr>
                <w:b/>
              </w:rPr>
              <w:br/>
              <w:t>Criteria Necessary to Meet Performance Measure:</w:t>
            </w:r>
            <w:r>
              <w:rPr>
                <w:b/>
                <w:color w:val="000000"/>
              </w:rPr>
              <w:br/>
            </w:r>
            <w:r>
              <w:rPr>
                <w:b/>
                <w:color w:val="000000"/>
              </w:rPr>
              <w:br/>
            </w:r>
            <w:r w:rsidRPr="00AB5E5C">
              <w:rPr>
                <w:color w:val="000000"/>
              </w:rPr>
              <w:t>Is your state currently sharing data with the National EPHT Network?</w:t>
            </w:r>
          </w:p>
          <w:p w14:paraId="7510BD5E" w14:textId="77777777" w:rsidR="00F756B0" w:rsidRPr="0029478C" w:rsidRDefault="00F756B0" w:rsidP="007076A4">
            <w:pPr>
              <w:spacing w:before="120" w:after="120"/>
              <w:ind w:left="92"/>
              <w:rPr>
                <w:color w:val="000000"/>
              </w:rPr>
            </w:pPr>
            <w:r w:rsidRPr="0029478C">
              <w:rPr>
                <w:color w:val="000000"/>
              </w:rPr>
              <w:t>Are core nationally consistent measures and data</w:t>
            </w:r>
            <w:r w:rsidRPr="0029478C" w:rsidDel="00B622C8">
              <w:rPr>
                <w:color w:val="000000"/>
              </w:rPr>
              <w:t xml:space="preserve"> </w:t>
            </w:r>
            <w:r w:rsidRPr="0029478C">
              <w:rPr>
                <w:color w:val="000000"/>
              </w:rPr>
              <w:t>(environmental, health effects, and exposure data used to generate core measures as part of your State Tracking Network) readily available to multiple organizations through the National EPHT Network?</w:t>
            </w:r>
          </w:p>
          <w:p w14:paraId="1E3DC4D3" w14:textId="77777777" w:rsidR="00F756B0" w:rsidRPr="004E5CD9" w:rsidRDefault="00F756B0" w:rsidP="007076A4">
            <w:pPr>
              <w:spacing w:before="120" w:after="120"/>
            </w:pPr>
          </w:p>
        </w:tc>
        <w:tc>
          <w:tcPr>
            <w:tcW w:w="8397" w:type="dxa"/>
            <w:shd w:val="clear" w:color="auto" w:fill="E6E6E6"/>
          </w:tcPr>
          <w:p w14:paraId="42B487ED" w14:textId="77777777" w:rsidR="00F756B0" w:rsidRPr="007076A4" w:rsidRDefault="00F756B0" w:rsidP="007076A4">
            <w:pPr>
              <w:pStyle w:val="ListParagraph"/>
              <w:numPr>
                <w:ilvl w:val="0"/>
                <w:numId w:val="1"/>
              </w:numPr>
              <w:ind w:left="301" w:hanging="270"/>
            </w:pPr>
            <w:r w:rsidRPr="007076A4">
              <w:t>Number and lists of data sets evaluated</w:t>
            </w:r>
          </w:p>
          <w:p w14:paraId="22CF6E8F" w14:textId="77777777" w:rsidR="00F756B0" w:rsidRPr="007076A4" w:rsidRDefault="00F756B0" w:rsidP="007076A4">
            <w:pPr>
              <w:pStyle w:val="ListParagraph"/>
              <w:numPr>
                <w:ilvl w:val="0"/>
                <w:numId w:val="1"/>
              </w:numPr>
              <w:ind w:left="301" w:hanging="270"/>
              <w:rPr>
                <w:szCs w:val="24"/>
              </w:rPr>
            </w:pPr>
            <w:r>
              <w:t xml:space="preserve">Number of datasets </w:t>
            </w:r>
            <w:r w:rsidRPr="007076A4">
              <w:rPr>
                <w:szCs w:val="24"/>
              </w:rPr>
              <w:t>within grantee Tracking Network accessible to program staff for indicator; development, exploration, analysis, and other work-related tasks;</w:t>
            </w:r>
          </w:p>
          <w:p w14:paraId="0AD1272A" w14:textId="77777777" w:rsidR="00F756B0" w:rsidRPr="007076A4" w:rsidRDefault="00F756B0" w:rsidP="007076A4">
            <w:pPr>
              <w:pStyle w:val="ListParagraph"/>
              <w:numPr>
                <w:ilvl w:val="0"/>
                <w:numId w:val="1"/>
              </w:numPr>
              <w:ind w:left="301" w:hanging="270"/>
              <w:rPr>
                <w:szCs w:val="24"/>
              </w:rPr>
            </w:pPr>
            <w:r w:rsidRPr="007076A4">
              <w:rPr>
                <w:szCs w:val="24"/>
              </w:rPr>
              <w:t>Number of datasets within grantee Tracking Network accessible to partners;</w:t>
            </w:r>
          </w:p>
          <w:p w14:paraId="14D8271D" w14:textId="77777777" w:rsidR="00F756B0" w:rsidRPr="007076A4" w:rsidRDefault="00F756B0" w:rsidP="007076A4">
            <w:pPr>
              <w:pStyle w:val="ListParagraph"/>
              <w:numPr>
                <w:ilvl w:val="0"/>
                <w:numId w:val="1"/>
              </w:numPr>
              <w:ind w:left="301" w:hanging="270"/>
              <w:rPr>
                <w:rFonts w:cs="Times New Roman"/>
              </w:rPr>
            </w:pPr>
            <w:r w:rsidRPr="007076A4">
              <w:rPr>
                <w:rFonts w:cs="Times New Roman"/>
              </w:rPr>
              <w:t xml:space="preserve">Number of required Nationally Consistent Data and Measures (NCDM) datasets integrated into grantee Tracking Network with all </w:t>
            </w:r>
            <w:r w:rsidRPr="007076A4">
              <w:rPr>
                <w:rFonts w:cs="Times New Roman"/>
                <w:b/>
              </w:rPr>
              <w:t>required elements</w:t>
            </w:r>
            <w:r w:rsidRPr="007076A4">
              <w:rPr>
                <w:rFonts w:cs="Times New Roman"/>
              </w:rPr>
              <w:t xml:space="preserve"> and accessible by appropriate program staff;</w:t>
            </w:r>
          </w:p>
          <w:p w14:paraId="4361477F" w14:textId="77777777" w:rsidR="00F756B0" w:rsidRPr="007076A4" w:rsidRDefault="00F756B0" w:rsidP="007076A4">
            <w:pPr>
              <w:pStyle w:val="ListParagraph"/>
              <w:numPr>
                <w:ilvl w:val="0"/>
                <w:numId w:val="1"/>
              </w:numPr>
              <w:ind w:left="301" w:hanging="270"/>
              <w:rPr>
                <w:rFonts w:cs="Times New Roman"/>
              </w:rPr>
            </w:pPr>
            <w:r w:rsidRPr="007076A4">
              <w:rPr>
                <w:rFonts w:cs="Times New Roman"/>
              </w:rPr>
              <w:t xml:space="preserve">Number of required NCDM datasets integrated into grantee Tracking Network with </w:t>
            </w:r>
            <w:r w:rsidRPr="007076A4">
              <w:rPr>
                <w:rFonts w:cs="Times New Roman"/>
                <w:b/>
                <w:i/>
              </w:rPr>
              <w:t>advanced elements</w:t>
            </w:r>
            <w:r w:rsidRPr="007076A4">
              <w:rPr>
                <w:rFonts w:cs="Times New Roman"/>
              </w:rPr>
              <w:t xml:space="preserve"> and accessible by appropriate program staff;</w:t>
            </w:r>
          </w:p>
          <w:p w14:paraId="0600A350" w14:textId="77777777" w:rsidR="00F756B0" w:rsidRPr="007076A4" w:rsidRDefault="00F756B0" w:rsidP="007076A4">
            <w:pPr>
              <w:pStyle w:val="ListParagraph"/>
              <w:numPr>
                <w:ilvl w:val="0"/>
                <w:numId w:val="1"/>
              </w:numPr>
              <w:ind w:left="301" w:hanging="270"/>
              <w:rPr>
                <w:rFonts w:cs="Times New Roman"/>
              </w:rPr>
            </w:pPr>
            <w:r w:rsidRPr="007076A4">
              <w:rPr>
                <w:rFonts w:cs="Times New Roman"/>
              </w:rPr>
              <w:t>Number and list of new indicators and measures displayed that are optional NCDM</w:t>
            </w:r>
          </w:p>
          <w:p w14:paraId="6185F52C" w14:textId="77777777" w:rsidR="00F756B0" w:rsidRPr="007076A4" w:rsidRDefault="00F756B0" w:rsidP="007076A4">
            <w:pPr>
              <w:pStyle w:val="ListParagraph"/>
              <w:numPr>
                <w:ilvl w:val="0"/>
                <w:numId w:val="1"/>
              </w:numPr>
              <w:ind w:left="301" w:hanging="270"/>
              <w:rPr>
                <w:rFonts w:cs="Times New Roman"/>
              </w:rPr>
            </w:pPr>
            <w:r w:rsidRPr="007076A4">
              <w:rPr>
                <w:rFonts w:cs="Times New Roman"/>
              </w:rPr>
              <w:t>Number of and list new indicators and measures developed that are not NCDM</w:t>
            </w:r>
          </w:p>
          <w:p w14:paraId="6B1B9344" w14:textId="77777777" w:rsidR="00F756B0" w:rsidRDefault="00F756B0" w:rsidP="007076A4">
            <w:pPr>
              <w:pStyle w:val="ListParagraph"/>
              <w:numPr>
                <w:ilvl w:val="0"/>
                <w:numId w:val="1"/>
              </w:numPr>
              <w:ind w:left="301" w:hanging="270"/>
              <w:rPr>
                <w:rFonts w:cs="Times New Roman"/>
              </w:rPr>
            </w:pPr>
            <w:r w:rsidRPr="007076A4">
              <w:rPr>
                <w:rFonts w:cs="Times New Roman"/>
              </w:rPr>
              <w:t xml:space="preserve">Number of </w:t>
            </w:r>
            <w:r w:rsidRPr="007076A4">
              <w:rPr>
                <w:rFonts w:cs="Times New Roman"/>
                <w:b/>
              </w:rPr>
              <w:t>Tracking datasets</w:t>
            </w:r>
            <w:r w:rsidRPr="007076A4">
              <w:rPr>
                <w:rFonts w:cs="Times New Roman"/>
              </w:rPr>
              <w:t xml:space="preserve"> for which </w:t>
            </w:r>
            <w:r w:rsidRPr="007076A4">
              <w:rPr>
                <w:rFonts w:cs="Times New Roman"/>
                <w:b/>
              </w:rPr>
              <w:t>routine descriptive analyses</w:t>
            </w:r>
            <w:r w:rsidRPr="007076A4">
              <w:rPr>
                <w:rFonts w:cs="Times New Roman"/>
              </w:rPr>
              <w:t xml:space="preserve"> are conducted</w:t>
            </w:r>
          </w:p>
          <w:p w14:paraId="1BED8254" w14:textId="77777777" w:rsidR="00F756B0" w:rsidRDefault="00F756B0" w:rsidP="007076A4">
            <w:pPr>
              <w:pStyle w:val="ListParagraph"/>
              <w:numPr>
                <w:ilvl w:val="0"/>
                <w:numId w:val="1"/>
              </w:numPr>
              <w:ind w:left="301" w:hanging="270"/>
              <w:rPr>
                <w:rFonts w:cs="Times New Roman"/>
              </w:rPr>
            </w:pPr>
            <w:r w:rsidRPr="0065628D">
              <w:rPr>
                <w:rFonts w:cs="Times New Roman"/>
              </w:rPr>
              <w:t>Number and description of data gaps or limitations addressed</w:t>
            </w:r>
          </w:p>
          <w:p w14:paraId="01AD9647" w14:textId="77777777" w:rsidR="00F756B0" w:rsidRPr="007076A4" w:rsidRDefault="00F756B0" w:rsidP="007076A4">
            <w:pPr>
              <w:pStyle w:val="ListParagraph"/>
              <w:numPr>
                <w:ilvl w:val="0"/>
                <w:numId w:val="1"/>
              </w:numPr>
              <w:ind w:left="301" w:hanging="270"/>
              <w:rPr>
                <w:rFonts w:cs="Times New Roman"/>
              </w:rPr>
            </w:pPr>
            <w:r w:rsidRPr="007076A4">
              <w:rPr>
                <w:rFonts w:cs="Times New Roman"/>
              </w:rPr>
              <w:t>Number and description of program activities developed, informed, or improved by analysis of Tracking datasets;</w:t>
            </w:r>
          </w:p>
          <w:p w14:paraId="7B6AD963" w14:textId="77777777" w:rsidR="00F756B0" w:rsidRDefault="00F756B0" w:rsidP="007076A4">
            <w:pPr>
              <w:pStyle w:val="ListParagraph"/>
              <w:numPr>
                <w:ilvl w:val="0"/>
                <w:numId w:val="1"/>
              </w:numPr>
              <w:ind w:left="301" w:hanging="270"/>
            </w:pPr>
            <w:r w:rsidRPr="00C8241F">
              <w:t xml:space="preserve">10% increase in </w:t>
            </w:r>
            <w:r w:rsidRPr="007076A4">
              <w:rPr>
                <w:b/>
                <w:i/>
              </w:rPr>
              <w:t>required</w:t>
            </w:r>
            <w:r w:rsidRPr="007076A4">
              <w:rPr>
                <w:i/>
              </w:rPr>
              <w:t xml:space="preserve"> Popular Content</w:t>
            </w:r>
            <w:r>
              <w:t xml:space="preserve"> web statistics;</w:t>
            </w:r>
          </w:p>
          <w:p w14:paraId="4D22A2A1" w14:textId="77777777" w:rsidR="00F756B0" w:rsidRPr="007076A4" w:rsidRDefault="00F756B0" w:rsidP="007076A4">
            <w:pPr>
              <w:pStyle w:val="ListParagraph"/>
              <w:numPr>
                <w:ilvl w:val="0"/>
                <w:numId w:val="1"/>
              </w:numPr>
              <w:ind w:left="301" w:hanging="270"/>
            </w:pPr>
            <w:r w:rsidRPr="007076A4">
              <w:rPr>
                <w:rFonts w:cs="Times New Roman"/>
              </w:rPr>
              <w:t>Number and description of data requests made by partners;</w:t>
            </w:r>
          </w:p>
          <w:p w14:paraId="44C5C80A" w14:textId="77777777" w:rsidR="00F756B0" w:rsidRPr="00CD0A20" w:rsidRDefault="00F756B0" w:rsidP="007076A4">
            <w:pPr>
              <w:pStyle w:val="ListParagraph"/>
              <w:numPr>
                <w:ilvl w:val="0"/>
                <w:numId w:val="1"/>
              </w:numPr>
              <w:ind w:left="301" w:hanging="270"/>
            </w:pPr>
            <w:r w:rsidRPr="00646A73">
              <w:t>Number of jurisdiction specific activities developed based on T</w:t>
            </w:r>
            <w:r>
              <w:t>racking data or analysis (year 1 serves as baseline, will determine increase for Year 2).</w:t>
            </w:r>
          </w:p>
        </w:tc>
        <w:tc>
          <w:tcPr>
            <w:tcW w:w="2700" w:type="dxa"/>
            <w:shd w:val="clear" w:color="auto" w:fill="E6E6E6"/>
          </w:tcPr>
          <w:p w14:paraId="4ADF9E48" w14:textId="77777777" w:rsidR="00925F36" w:rsidRDefault="00925F36" w:rsidP="00925F36">
            <w:pPr>
              <w:pStyle w:val="ListParagraph"/>
              <w:numPr>
                <w:ilvl w:val="0"/>
                <w:numId w:val="1"/>
              </w:numPr>
              <w:ind w:left="166" w:hanging="180"/>
            </w:pPr>
            <w:r>
              <w:t>Standardized and accessible environmental and health surveillance data</w:t>
            </w:r>
          </w:p>
          <w:p w14:paraId="4946477E" w14:textId="544393F5" w:rsidR="00F756B0" w:rsidRDefault="00925F36" w:rsidP="00925F36">
            <w:pPr>
              <w:pStyle w:val="ListParagraph"/>
              <w:numPr>
                <w:ilvl w:val="0"/>
                <w:numId w:val="1"/>
              </w:numPr>
              <w:ind w:left="166" w:hanging="180"/>
            </w:pPr>
            <w:r>
              <w:t>Generated and disseminated environmental public health evidence</w:t>
            </w:r>
          </w:p>
          <w:p w14:paraId="77CE11F9" w14:textId="77777777" w:rsidR="00925F36" w:rsidRPr="00925F36" w:rsidRDefault="00925F36" w:rsidP="00925F36">
            <w:pPr>
              <w:pStyle w:val="ListParagraph"/>
              <w:numPr>
                <w:ilvl w:val="0"/>
                <w:numId w:val="1"/>
              </w:numPr>
              <w:ind w:left="166" w:hanging="180"/>
            </w:pPr>
            <w:r w:rsidRPr="00C8241F">
              <w:rPr>
                <w:rFonts w:eastAsia="Calibri"/>
                <w:kern w:val="24"/>
              </w:rPr>
              <w:t xml:space="preserve">Health and Environmental data are accessed and used by internal and external audiences </w:t>
            </w:r>
          </w:p>
          <w:p w14:paraId="04FA604B" w14:textId="151F961A" w:rsidR="00925F36" w:rsidRPr="007076A4" w:rsidRDefault="00925F36" w:rsidP="00925F36">
            <w:pPr>
              <w:pStyle w:val="ListParagraph"/>
              <w:numPr>
                <w:ilvl w:val="0"/>
                <w:numId w:val="1"/>
              </w:numPr>
              <w:ind w:left="166" w:hanging="180"/>
            </w:pPr>
            <w:r w:rsidRPr="00C8241F">
              <w:rPr>
                <w:rFonts w:eastAsiaTheme="minorEastAsia"/>
                <w:kern w:val="24"/>
              </w:rPr>
              <w:t>Development of targeted jurisdiction-specific program activities based on generated evidence</w:t>
            </w:r>
          </w:p>
        </w:tc>
      </w:tr>
      <w:tr w:rsidR="00F756B0" w14:paraId="19469448" w14:textId="144CDF7C" w:rsidTr="00925F36">
        <w:trPr>
          <w:trHeight w:val="704"/>
        </w:trPr>
        <w:tc>
          <w:tcPr>
            <w:tcW w:w="2460" w:type="dxa"/>
            <w:shd w:val="clear" w:color="auto" w:fill="E6E6E6"/>
            <w:vAlign w:val="center"/>
          </w:tcPr>
          <w:p w14:paraId="4C7A70C2" w14:textId="77777777" w:rsidR="00F756B0" w:rsidRPr="0029478C" w:rsidRDefault="00F756B0" w:rsidP="007076A4">
            <w:pPr>
              <w:spacing w:before="120" w:after="120"/>
              <w:rPr>
                <w:b/>
              </w:rPr>
            </w:pPr>
            <w:r w:rsidRPr="0029478C">
              <w:rPr>
                <w:b/>
              </w:rPr>
              <w:t>By 2010, complete 15 studies to determine the harmful effects from environmental hazards.</w:t>
            </w:r>
            <w:r>
              <w:rPr>
                <w:b/>
              </w:rPr>
              <w:br/>
            </w:r>
            <w:r>
              <w:rPr>
                <w:b/>
              </w:rPr>
              <w:br/>
              <w:t>Criteria Necessary to Meet Performance Measure:</w:t>
            </w:r>
            <w:r>
              <w:rPr>
                <w:b/>
              </w:rPr>
              <w:br/>
            </w:r>
            <w:r>
              <w:rPr>
                <w:b/>
              </w:rPr>
              <w:br/>
            </w:r>
            <w:r w:rsidRPr="00AB5E5C">
              <w:t xml:space="preserve">Please list the number of specific epidemiologic studies done to determine the association between a health effect and an environmental factor in this reporting period. Please include a </w:t>
            </w:r>
            <w:r w:rsidRPr="00AB5E5C">
              <w:rPr>
                <w:i/>
              </w:rPr>
              <w:t>very brief</w:t>
            </w:r>
            <w:r w:rsidRPr="00AB5E5C">
              <w:t xml:space="preserve"> description of the study population, methods, results, and conclusions for each</w:t>
            </w:r>
          </w:p>
        </w:tc>
        <w:tc>
          <w:tcPr>
            <w:tcW w:w="8397" w:type="dxa"/>
            <w:shd w:val="clear" w:color="auto" w:fill="E6E6E6"/>
          </w:tcPr>
          <w:p w14:paraId="1044A011" w14:textId="77777777" w:rsidR="00F756B0" w:rsidRPr="00F814EC" w:rsidRDefault="00F756B0" w:rsidP="00F814EC">
            <w:pPr>
              <w:pStyle w:val="ListParagraph"/>
              <w:numPr>
                <w:ilvl w:val="0"/>
                <w:numId w:val="1"/>
              </w:numPr>
              <w:ind w:left="301" w:hanging="270"/>
            </w:pPr>
            <w:r w:rsidRPr="007076A4">
              <w:rPr>
                <w:rFonts w:cs="Times New Roman"/>
              </w:rPr>
              <w:t>Number of analyses (routine or other) conducted using Tracking datasets, which resulted in a disseminated report, or publication.</w:t>
            </w:r>
          </w:p>
          <w:p w14:paraId="33BD5AA2" w14:textId="77777777" w:rsidR="00F756B0" w:rsidRDefault="00F756B0" w:rsidP="00F814EC">
            <w:pPr>
              <w:pStyle w:val="ListParagraph"/>
              <w:numPr>
                <w:ilvl w:val="0"/>
                <w:numId w:val="1"/>
              </w:numPr>
              <w:ind w:left="301" w:hanging="270"/>
            </w:pPr>
            <w:r w:rsidRPr="00F814EC">
              <w:t>Number and description of routine analyses (beyond descriptive analysis) that discover patterns, identify potential concerns, or otherwise provide new insights or solutions for environmental public health</w:t>
            </w:r>
          </w:p>
          <w:p w14:paraId="024AC402" w14:textId="77777777" w:rsidR="00F756B0" w:rsidRPr="007076A4" w:rsidRDefault="00F756B0" w:rsidP="007076A4">
            <w:pPr>
              <w:pStyle w:val="ListParagraph"/>
              <w:numPr>
                <w:ilvl w:val="0"/>
                <w:numId w:val="1"/>
              </w:numPr>
              <w:ind w:left="301" w:hanging="270"/>
            </w:pPr>
            <w:r w:rsidRPr="00720416">
              <w:t>Number and list of peer-reviewed publications, white papers, and scientific reports produced</w:t>
            </w:r>
            <w:r>
              <w:t>.</w:t>
            </w:r>
          </w:p>
          <w:p w14:paraId="094E3B53" w14:textId="77777777" w:rsidR="00F756B0" w:rsidRPr="00AB5E5C" w:rsidRDefault="00F756B0" w:rsidP="007076A4">
            <w:pPr>
              <w:spacing w:before="120" w:after="120"/>
              <w:rPr>
                <w:b/>
              </w:rPr>
            </w:pPr>
          </w:p>
        </w:tc>
        <w:tc>
          <w:tcPr>
            <w:tcW w:w="2700" w:type="dxa"/>
            <w:shd w:val="clear" w:color="auto" w:fill="E6E6E6"/>
          </w:tcPr>
          <w:p w14:paraId="48A47C01" w14:textId="77777777" w:rsidR="00925F36" w:rsidRDefault="00925F36" w:rsidP="00925F36">
            <w:pPr>
              <w:pStyle w:val="ListParagraph"/>
              <w:numPr>
                <w:ilvl w:val="0"/>
                <w:numId w:val="1"/>
              </w:numPr>
              <w:ind w:left="166" w:hanging="180"/>
            </w:pPr>
            <w:r>
              <w:t>Standardized and accessible environmental and health surveillance data</w:t>
            </w:r>
          </w:p>
          <w:p w14:paraId="69360C33" w14:textId="44DD3127" w:rsidR="00925F36" w:rsidRDefault="00925F36" w:rsidP="00925F36">
            <w:pPr>
              <w:pStyle w:val="ListParagraph"/>
              <w:numPr>
                <w:ilvl w:val="0"/>
                <w:numId w:val="1"/>
              </w:numPr>
              <w:ind w:left="166" w:hanging="180"/>
            </w:pPr>
            <w:r>
              <w:t>Generated and disseminated environmental public health evidence</w:t>
            </w:r>
          </w:p>
          <w:p w14:paraId="64266166" w14:textId="77777777" w:rsidR="00F756B0" w:rsidRPr="007076A4" w:rsidRDefault="00F756B0" w:rsidP="00925F36">
            <w:pPr>
              <w:pStyle w:val="ListParagraph"/>
              <w:ind w:left="301"/>
              <w:rPr>
                <w:rFonts w:cs="Times New Roman"/>
              </w:rPr>
            </w:pPr>
          </w:p>
        </w:tc>
      </w:tr>
      <w:tr w:rsidR="00F756B0" w14:paraId="73B4BA10" w14:textId="2F737F97" w:rsidTr="00925F36">
        <w:trPr>
          <w:trHeight w:val="704"/>
        </w:trPr>
        <w:tc>
          <w:tcPr>
            <w:tcW w:w="2460" w:type="dxa"/>
            <w:shd w:val="clear" w:color="auto" w:fill="E6E6E6"/>
            <w:vAlign w:val="center"/>
          </w:tcPr>
          <w:p w14:paraId="43B3504F" w14:textId="77777777" w:rsidR="00F756B0" w:rsidRDefault="00F756B0" w:rsidP="007076A4">
            <w:pPr>
              <w:spacing w:before="120" w:after="120"/>
            </w:pPr>
            <w:r w:rsidRPr="00AB5E5C">
              <w:rPr>
                <w:b/>
              </w:rPr>
              <w:t>By 2010, increase the number of health and environmental workforce trained in Environmental Public Health Tracking principles and practices by 1000 people.</w:t>
            </w:r>
            <w:r w:rsidRPr="00AB5E5C">
              <w:rPr>
                <w:b/>
              </w:rPr>
              <w:br/>
            </w:r>
            <w:r>
              <w:br/>
            </w:r>
            <w:r>
              <w:rPr>
                <w:b/>
              </w:rPr>
              <w:t>Criteria Necessary to Meet Performance Measure:</w:t>
            </w:r>
            <w:r>
              <w:rPr>
                <w:b/>
              </w:rPr>
              <w:br/>
            </w:r>
            <w:r w:rsidRPr="00AB5E5C">
              <w:t>How many health and environmental professionals have you trained on EPHT principles and practices in this reporting period?</w:t>
            </w:r>
          </w:p>
          <w:p w14:paraId="511CC033" w14:textId="77777777" w:rsidR="00F756B0" w:rsidRDefault="00F756B0" w:rsidP="007076A4">
            <w:pPr>
              <w:spacing w:before="120" w:after="120"/>
            </w:pPr>
          </w:p>
          <w:p w14:paraId="5706506C" w14:textId="77777777" w:rsidR="00F756B0" w:rsidRDefault="00F756B0" w:rsidP="007076A4">
            <w:pPr>
              <w:spacing w:before="120" w:after="120"/>
            </w:pPr>
          </w:p>
          <w:p w14:paraId="28482EA8" w14:textId="77777777" w:rsidR="00F756B0" w:rsidRPr="00AB5E5C" w:rsidRDefault="00F756B0" w:rsidP="007076A4">
            <w:pPr>
              <w:spacing w:before="120" w:after="120"/>
            </w:pPr>
          </w:p>
          <w:p w14:paraId="74329A53" w14:textId="77777777" w:rsidR="00F756B0" w:rsidRPr="004E5CD9" w:rsidRDefault="00F756B0" w:rsidP="007076A4">
            <w:pPr>
              <w:spacing w:before="120" w:after="120"/>
            </w:pPr>
            <w:r>
              <w:rPr>
                <w:b/>
              </w:rPr>
              <w:br/>
            </w:r>
          </w:p>
        </w:tc>
        <w:tc>
          <w:tcPr>
            <w:tcW w:w="8397" w:type="dxa"/>
            <w:shd w:val="clear" w:color="auto" w:fill="E6E6E6"/>
          </w:tcPr>
          <w:p w14:paraId="5457644D" w14:textId="77777777" w:rsidR="00F756B0" w:rsidRDefault="00F756B0" w:rsidP="009B2D9C">
            <w:pPr>
              <w:pStyle w:val="ListParagraph"/>
              <w:numPr>
                <w:ilvl w:val="0"/>
                <w:numId w:val="4"/>
              </w:numPr>
              <w:ind w:left="301" w:hanging="270"/>
            </w:pPr>
            <w:r w:rsidRPr="009B2D9C">
              <w:t>Number of Environmental Tracking  trainings provided to state and local public health workforce and partners</w:t>
            </w:r>
          </w:p>
          <w:p w14:paraId="37AFCB72" w14:textId="77777777" w:rsidR="00F756B0" w:rsidRDefault="00F756B0" w:rsidP="009B2D9C">
            <w:pPr>
              <w:pStyle w:val="ListParagraph"/>
              <w:numPr>
                <w:ilvl w:val="0"/>
                <w:numId w:val="4"/>
              </w:numPr>
              <w:ind w:left="301" w:hanging="270"/>
            </w:pPr>
            <w:r w:rsidRPr="0065628D">
              <w:t>Number of program training opportunities for student interns or fellows</w:t>
            </w:r>
          </w:p>
          <w:p w14:paraId="6E1C9659" w14:textId="77777777" w:rsidR="00F756B0" w:rsidRPr="009B2D9C" w:rsidRDefault="00F756B0" w:rsidP="009B2D9C">
            <w:pPr>
              <w:pStyle w:val="ListParagraph"/>
              <w:numPr>
                <w:ilvl w:val="0"/>
                <w:numId w:val="4"/>
              </w:numPr>
              <w:ind w:left="301" w:hanging="270"/>
            </w:pPr>
            <w:r w:rsidRPr="009B2D9C">
              <w:t xml:space="preserve">Number &amp; List of internal and external </w:t>
            </w:r>
            <w:r w:rsidRPr="009B2D9C">
              <w:rPr>
                <w:b/>
              </w:rPr>
              <w:t>technical assistance</w:t>
            </w:r>
            <w:r w:rsidRPr="009B2D9C">
              <w:t xml:space="preserve"> requests completed* to the state health department, local health departments, and other public health system partners</w:t>
            </w:r>
          </w:p>
          <w:p w14:paraId="59C0CE8A" w14:textId="77777777" w:rsidR="00F756B0" w:rsidRDefault="00F756B0" w:rsidP="009B2D9C">
            <w:pPr>
              <w:pStyle w:val="ListParagraph"/>
              <w:numPr>
                <w:ilvl w:val="0"/>
                <w:numId w:val="4"/>
              </w:numPr>
              <w:ind w:left="301" w:hanging="270"/>
            </w:pPr>
            <w:r w:rsidRPr="009B2D9C">
              <w:t xml:space="preserve">Number &amp; List of internal and external </w:t>
            </w:r>
            <w:r w:rsidRPr="009B2D9C">
              <w:rPr>
                <w:b/>
              </w:rPr>
              <w:t>emergency response</w:t>
            </w:r>
            <w:r w:rsidRPr="009B2D9C">
              <w:t xml:space="preserve"> related technical assistance requests completed to the state health department, local health departments, and other public health system</w:t>
            </w:r>
            <w:r w:rsidRPr="0065628D">
              <w:t xml:space="preserve"> partners</w:t>
            </w:r>
          </w:p>
          <w:p w14:paraId="54C067DD" w14:textId="77777777" w:rsidR="00F756B0" w:rsidRDefault="00F756B0" w:rsidP="009B2D9C">
            <w:pPr>
              <w:pStyle w:val="ListParagraph"/>
              <w:numPr>
                <w:ilvl w:val="0"/>
                <w:numId w:val="4"/>
              </w:numPr>
              <w:ind w:left="301" w:hanging="270"/>
            </w:pPr>
            <w:r w:rsidRPr="00C8241F">
              <w:t xml:space="preserve">Number of personnel supported directly and in-kind under this </w:t>
            </w:r>
            <w:r>
              <w:t>cooperative agreement</w:t>
            </w:r>
          </w:p>
          <w:p w14:paraId="745D5A0E" w14:textId="77777777" w:rsidR="00F756B0" w:rsidRPr="009B2D9C" w:rsidRDefault="00F756B0" w:rsidP="009B2D9C">
            <w:pPr>
              <w:pStyle w:val="ListParagraph"/>
              <w:numPr>
                <w:ilvl w:val="0"/>
                <w:numId w:val="4"/>
              </w:numPr>
              <w:ind w:left="301" w:hanging="270"/>
            </w:pPr>
            <w:r w:rsidRPr="009B2D9C">
              <w:rPr>
                <w:rFonts w:cs="Times New Roman"/>
              </w:rPr>
              <w:t>Increase in the number of staff</w:t>
            </w:r>
            <w:r w:rsidRPr="009B2D9C">
              <w:rPr>
                <w:rFonts w:cs="Times New Roman"/>
                <w:b/>
              </w:rPr>
              <w:t xml:space="preserve"> </w:t>
            </w:r>
            <w:r w:rsidRPr="009B2D9C">
              <w:rPr>
                <w:rFonts w:cs="Times New Roman"/>
              </w:rPr>
              <w:t>(specifically,</w:t>
            </w:r>
            <w:r w:rsidRPr="009B2D9C">
              <w:rPr>
                <w:rFonts w:cs="Times New Roman"/>
                <w:b/>
              </w:rPr>
              <w:t xml:space="preserve"> </w:t>
            </w:r>
            <w:r w:rsidRPr="009B2D9C">
              <w:rPr>
                <w:rFonts w:cs="Times New Roman"/>
              </w:rPr>
              <w:t>staff who are supported directly or</w:t>
            </w:r>
            <w:r w:rsidRPr="009B2D9C">
              <w:rPr>
                <w:rFonts w:cs="Times New Roman"/>
                <w:b/>
              </w:rPr>
              <w:t xml:space="preserve"> </w:t>
            </w:r>
            <w:r w:rsidRPr="009B2D9C">
              <w:rPr>
                <w:rFonts w:cs="Times New Roman"/>
              </w:rPr>
              <w:t>in-kind under EH 1702-cooperative agreement) that attend or actively participate in CDC led Tracking webinars, CDC workgroups and national Tracking Workshops.</w:t>
            </w:r>
            <w:r w:rsidRPr="009B2D9C">
              <w:t>(year 1 will serve as baseline, and will be used to determine increase for year 2);</w:t>
            </w:r>
          </w:p>
          <w:p w14:paraId="3C54C3F2" w14:textId="77777777" w:rsidR="00F756B0" w:rsidRDefault="00F756B0" w:rsidP="009B2D9C">
            <w:pPr>
              <w:pStyle w:val="ListParagraph"/>
              <w:numPr>
                <w:ilvl w:val="0"/>
                <w:numId w:val="4"/>
              </w:numPr>
              <w:ind w:left="301" w:hanging="270"/>
            </w:pPr>
            <w:r w:rsidRPr="009B2D9C">
              <w:t>Description of at least 1 action taken during the reporting period to improve program activities and increase program effectiveness based on evaluation findings.</w:t>
            </w:r>
          </w:p>
          <w:p w14:paraId="1AEDF44E" w14:textId="77777777" w:rsidR="00F756B0" w:rsidRPr="009B2D9C" w:rsidRDefault="00F756B0" w:rsidP="009B2D9C">
            <w:pPr>
              <w:pStyle w:val="ListParagraph"/>
              <w:numPr>
                <w:ilvl w:val="0"/>
                <w:numId w:val="4"/>
              </w:numPr>
              <w:ind w:left="301" w:hanging="270"/>
            </w:pPr>
            <w:r w:rsidRPr="0065628D">
              <w:t xml:space="preserve">Number of CDC Tracking work groups and sub-groups (e.g. </w:t>
            </w:r>
            <w:r w:rsidRPr="00640477">
              <w:t>Standards and Network Development (SND), Program Marketing and Outreach (PMO), Content Work Group (CWG) and Evaluation</w:t>
            </w:r>
            <w:r w:rsidRPr="0065628D">
              <w:t>), along with the title and description of roles and responsibilities</w:t>
            </w:r>
            <w:r>
              <w:t xml:space="preserve"> for participating jurisdiction</w:t>
            </w:r>
          </w:p>
          <w:p w14:paraId="35C22290" w14:textId="77777777" w:rsidR="00F756B0" w:rsidRPr="00AB5E5C" w:rsidRDefault="00F756B0" w:rsidP="007076A4">
            <w:pPr>
              <w:spacing w:before="120" w:after="120"/>
              <w:rPr>
                <w:b/>
              </w:rPr>
            </w:pPr>
          </w:p>
        </w:tc>
        <w:tc>
          <w:tcPr>
            <w:tcW w:w="2700" w:type="dxa"/>
            <w:shd w:val="clear" w:color="auto" w:fill="E6E6E6"/>
          </w:tcPr>
          <w:p w14:paraId="7BDDD27D" w14:textId="77777777" w:rsidR="00925F36" w:rsidRPr="00C8241F" w:rsidRDefault="00925F36" w:rsidP="00925F36">
            <w:pPr>
              <w:pStyle w:val="NormalWeb"/>
              <w:numPr>
                <w:ilvl w:val="0"/>
                <w:numId w:val="4"/>
              </w:numPr>
              <w:spacing w:before="0" w:beforeAutospacing="0" w:after="0" w:afterAutospacing="0"/>
              <w:ind w:left="256" w:hanging="256"/>
              <w:rPr>
                <w:rFonts w:asciiTheme="minorHAnsi" w:hAnsiTheme="minorHAnsi"/>
                <w:sz w:val="22"/>
                <w:szCs w:val="22"/>
              </w:rPr>
            </w:pPr>
            <w:r w:rsidRPr="00C8241F">
              <w:rPr>
                <w:rFonts w:asciiTheme="minorHAnsi" w:eastAsia="Calibri" w:hAnsiTheme="minorHAnsi"/>
                <w:kern w:val="24"/>
                <w:sz w:val="22"/>
                <w:szCs w:val="22"/>
              </w:rPr>
              <w:t>Environmental health workforce participate in workgroups and provide training</w:t>
            </w:r>
          </w:p>
          <w:p w14:paraId="07A23138" w14:textId="77777777" w:rsidR="00925F36" w:rsidRDefault="00925F36" w:rsidP="00925F36">
            <w:pPr>
              <w:pStyle w:val="ListParagraph"/>
              <w:numPr>
                <w:ilvl w:val="0"/>
                <w:numId w:val="4"/>
              </w:numPr>
              <w:ind w:left="301" w:hanging="270"/>
            </w:pPr>
            <w:r w:rsidRPr="00C8241F">
              <w:t>Systematic approach to assessing program ac</w:t>
            </w:r>
            <w:r>
              <w:t>tivities and overall performance</w:t>
            </w:r>
          </w:p>
          <w:p w14:paraId="2EB944C3" w14:textId="710D44A9" w:rsidR="00925F36" w:rsidRPr="00C8241F" w:rsidRDefault="00925F36" w:rsidP="00925F36">
            <w:pPr>
              <w:pStyle w:val="ListParagraph"/>
              <w:numPr>
                <w:ilvl w:val="0"/>
                <w:numId w:val="4"/>
              </w:numPr>
              <w:ind w:left="301" w:hanging="270"/>
            </w:pPr>
            <w:r w:rsidRPr="00C8241F">
              <w:t>Skilled workforce able to collect, interpret data, translate information for action, and provide technica</w:t>
            </w:r>
            <w:r>
              <w:t xml:space="preserve">l assistance to  </w:t>
            </w:r>
            <w:r w:rsidRPr="00C8241F">
              <w:t xml:space="preserve">other programs when needed </w:t>
            </w:r>
          </w:p>
          <w:p w14:paraId="7CF28F28" w14:textId="6D169A75" w:rsidR="00925F36" w:rsidRPr="009B2D9C" w:rsidRDefault="00925F36" w:rsidP="00925F36">
            <w:pPr>
              <w:pStyle w:val="ListParagraph"/>
              <w:numPr>
                <w:ilvl w:val="0"/>
                <w:numId w:val="4"/>
              </w:numPr>
              <w:ind w:left="301" w:hanging="270"/>
            </w:pPr>
            <w:r w:rsidRPr="00C8241F">
              <w:t>Improved program activities and increased program effectiveness based on evaluation findings</w:t>
            </w:r>
          </w:p>
        </w:tc>
      </w:tr>
      <w:tr w:rsidR="00F756B0" w14:paraId="7C3CB07E" w14:textId="006AE06E" w:rsidTr="00925F36">
        <w:trPr>
          <w:trHeight w:val="704"/>
        </w:trPr>
        <w:tc>
          <w:tcPr>
            <w:tcW w:w="2460" w:type="dxa"/>
            <w:shd w:val="clear" w:color="auto" w:fill="E6E6E6"/>
            <w:vAlign w:val="center"/>
          </w:tcPr>
          <w:p w14:paraId="7752EA26" w14:textId="77777777" w:rsidR="00F756B0" w:rsidRPr="00AB5E5C" w:rsidRDefault="00F756B0" w:rsidP="007076A4">
            <w:pPr>
              <w:spacing w:before="120" w:after="120"/>
              <w:rPr>
                <w:b/>
              </w:rPr>
            </w:pPr>
            <w:r w:rsidRPr="00AB5E5C">
              <w:rPr>
                <w:b/>
              </w:rPr>
              <w:t>By 2010, increase by 100% the number of environmental and public health professionals demonstrating an awareness of Environmental Public Health Tracking.</w:t>
            </w:r>
          </w:p>
          <w:p w14:paraId="42EDBB33" w14:textId="77777777" w:rsidR="00F756B0" w:rsidRPr="004E5CD9" w:rsidRDefault="00F756B0" w:rsidP="007076A4">
            <w:pPr>
              <w:spacing w:before="120" w:after="120"/>
            </w:pPr>
            <w:r>
              <w:rPr>
                <w:b/>
              </w:rPr>
              <w:t>Criteria Necessary to Meet Performance Measure:</w:t>
            </w:r>
            <w:r>
              <w:rPr>
                <w:b/>
              </w:rPr>
              <w:br/>
            </w:r>
            <w:r w:rsidRPr="00AB5E5C">
              <w:t>What percentage of environmental and public health professionals have demonstrated an awareness of the National EPHT Program in this reporting period</w:t>
            </w:r>
            <w:r>
              <w:t>?</w:t>
            </w:r>
          </w:p>
        </w:tc>
        <w:tc>
          <w:tcPr>
            <w:tcW w:w="8397" w:type="dxa"/>
            <w:shd w:val="clear" w:color="auto" w:fill="E6E6E6"/>
          </w:tcPr>
          <w:tbl>
            <w:tblPr>
              <w:tblStyle w:val="TableGrid"/>
              <w:tblW w:w="8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1"/>
            </w:tblGrid>
            <w:tr w:rsidR="00F756B0" w:rsidRPr="0065628D" w14:paraId="1244F1D2" w14:textId="77777777" w:rsidTr="00F756B0">
              <w:trPr>
                <w:trHeight w:val="36"/>
              </w:trPr>
              <w:tc>
                <w:tcPr>
                  <w:tcW w:w="8441" w:type="dxa"/>
                  <w:shd w:val="clear" w:color="auto" w:fill="auto"/>
                </w:tcPr>
                <w:p w14:paraId="3533760F" w14:textId="77777777" w:rsidR="00F756B0" w:rsidRPr="0065628D" w:rsidRDefault="00F756B0" w:rsidP="00F814EC">
                  <w:pPr>
                    <w:pStyle w:val="NormalWeb"/>
                    <w:numPr>
                      <w:ilvl w:val="0"/>
                      <w:numId w:val="5"/>
                    </w:numPr>
                    <w:spacing w:before="0" w:beforeAutospacing="0" w:after="0" w:afterAutospacing="0" w:line="220" w:lineRule="exact"/>
                    <w:ind w:left="165" w:hanging="270"/>
                    <w:rPr>
                      <w:rFonts w:asciiTheme="minorHAnsi" w:hAnsiTheme="minorHAnsi" w:cstheme="minorHAnsi"/>
                      <w:sz w:val="22"/>
                      <w:szCs w:val="22"/>
                    </w:rPr>
                  </w:pPr>
                  <w:r w:rsidRPr="0065628D">
                    <w:rPr>
                      <w:rFonts w:asciiTheme="minorHAnsi" w:hAnsiTheme="minorHAnsi" w:cstheme="minorHAnsi"/>
                      <w:sz w:val="22"/>
                      <w:szCs w:val="22"/>
                    </w:rPr>
                    <w:t xml:space="preserve">Record of participation in at least one coordinated, program wide communication activity </w:t>
                  </w:r>
                </w:p>
              </w:tc>
            </w:tr>
            <w:tr w:rsidR="00F756B0" w:rsidRPr="0065628D" w14:paraId="18AE25F6" w14:textId="77777777" w:rsidTr="00F756B0">
              <w:trPr>
                <w:trHeight w:val="47"/>
              </w:trPr>
              <w:tc>
                <w:tcPr>
                  <w:tcW w:w="8441" w:type="dxa"/>
                  <w:shd w:val="clear" w:color="auto" w:fill="auto"/>
                </w:tcPr>
                <w:p w14:paraId="79FDCCFE" w14:textId="77777777" w:rsidR="00F756B0" w:rsidRPr="0065628D" w:rsidRDefault="00F756B0" w:rsidP="00F814EC">
                  <w:pPr>
                    <w:pStyle w:val="ListParagraph"/>
                    <w:numPr>
                      <w:ilvl w:val="0"/>
                      <w:numId w:val="5"/>
                    </w:numPr>
                    <w:ind w:left="165" w:hanging="270"/>
                  </w:pPr>
                  <w:r w:rsidRPr="0065628D">
                    <w:t>Number of program announcements/updates disseminated via listserv, e-newsletter, etc.</w:t>
                  </w:r>
                </w:p>
              </w:tc>
            </w:tr>
            <w:tr w:rsidR="00F756B0" w:rsidRPr="0065628D" w14:paraId="64838E2C" w14:textId="77777777" w:rsidTr="00F756B0">
              <w:trPr>
                <w:trHeight w:val="44"/>
              </w:trPr>
              <w:tc>
                <w:tcPr>
                  <w:tcW w:w="8441" w:type="dxa"/>
                  <w:shd w:val="clear" w:color="auto" w:fill="auto"/>
                </w:tcPr>
                <w:p w14:paraId="6BF3013E" w14:textId="77777777" w:rsidR="00F756B0" w:rsidRPr="0065628D" w:rsidRDefault="00F756B0" w:rsidP="00F814EC">
                  <w:pPr>
                    <w:pStyle w:val="ListParagraph"/>
                    <w:numPr>
                      <w:ilvl w:val="0"/>
                      <w:numId w:val="5"/>
                    </w:numPr>
                    <w:ind w:left="165" w:hanging="270"/>
                  </w:pPr>
                  <w:r w:rsidRPr="0065628D">
                    <w:t>Number of social media posts with number of impressions for each</w:t>
                  </w:r>
                </w:p>
              </w:tc>
            </w:tr>
            <w:tr w:rsidR="00F756B0" w:rsidRPr="0065628D" w14:paraId="560842F0" w14:textId="77777777" w:rsidTr="00F756B0">
              <w:trPr>
                <w:trHeight w:val="47"/>
              </w:trPr>
              <w:tc>
                <w:tcPr>
                  <w:tcW w:w="8441" w:type="dxa"/>
                </w:tcPr>
                <w:p w14:paraId="25F2287E" w14:textId="77777777" w:rsidR="00F756B0" w:rsidRPr="0065628D" w:rsidRDefault="00F756B0" w:rsidP="00F814EC">
                  <w:pPr>
                    <w:pStyle w:val="ListParagraph"/>
                    <w:numPr>
                      <w:ilvl w:val="0"/>
                      <w:numId w:val="5"/>
                    </w:numPr>
                    <w:ind w:left="165" w:hanging="270"/>
                  </w:pPr>
                  <w:r w:rsidRPr="0065628D">
                    <w:t>Number of presentations given (live or webinar) with the number of participants in each</w:t>
                  </w:r>
                </w:p>
              </w:tc>
            </w:tr>
            <w:tr w:rsidR="00F756B0" w:rsidRPr="0065628D" w14:paraId="1EE5D321" w14:textId="77777777" w:rsidTr="00F756B0">
              <w:trPr>
                <w:trHeight w:val="47"/>
              </w:trPr>
              <w:tc>
                <w:tcPr>
                  <w:tcW w:w="8441" w:type="dxa"/>
                </w:tcPr>
                <w:p w14:paraId="15FCD0E0" w14:textId="77777777" w:rsidR="00F756B0" w:rsidRPr="0065628D" w:rsidRDefault="00F756B0" w:rsidP="00F814EC">
                  <w:pPr>
                    <w:pStyle w:val="ListParagraph"/>
                    <w:numPr>
                      <w:ilvl w:val="0"/>
                      <w:numId w:val="5"/>
                    </w:numPr>
                    <w:ind w:left="165" w:hanging="270"/>
                  </w:pPr>
                  <w:r w:rsidRPr="0065628D">
                    <w:t>Number of exhibiting events with number of visitors at each</w:t>
                  </w:r>
                </w:p>
              </w:tc>
            </w:tr>
            <w:tr w:rsidR="00F756B0" w:rsidRPr="0065628D" w14:paraId="6EC01A8D" w14:textId="77777777" w:rsidTr="00F756B0">
              <w:trPr>
                <w:trHeight w:val="92"/>
              </w:trPr>
              <w:tc>
                <w:tcPr>
                  <w:tcW w:w="8441" w:type="dxa"/>
                </w:tcPr>
                <w:p w14:paraId="71E163D7" w14:textId="77777777" w:rsidR="00F756B0" w:rsidRPr="0065628D" w:rsidRDefault="00F756B0" w:rsidP="00F814EC">
                  <w:pPr>
                    <w:pStyle w:val="ListParagraph"/>
                    <w:numPr>
                      <w:ilvl w:val="0"/>
                      <w:numId w:val="5"/>
                    </w:numPr>
                    <w:ind w:left="165" w:hanging="270"/>
                  </w:pPr>
                  <w:r w:rsidRPr="0065628D">
                    <w:t>List of communication messages or products used with distribution method (e.g., posted on grantee website with URL; handed out at exhibits, meetings, presentations)</w:t>
                  </w:r>
                </w:p>
              </w:tc>
            </w:tr>
            <w:tr w:rsidR="00F756B0" w:rsidRPr="00C8241F" w14:paraId="326D3101" w14:textId="77777777" w:rsidTr="00F756B0">
              <w:trPr>
                <w:trHeight w:val="64"/>
              </w:trPr>
              <w:tc>
                <w:tcPr>
                  <w:tcW w:w="8441" w:type="dxa"/>
                </w:tcPr>
                <w:p w14:paraId="5AC77F58" w14:textId="77777777" w:rsidR="00F756B0" w:rsidRPr="00C8241F" w:rsidRDefault="00F756B0" w:rsidP="00F814EC">
                  <w:pPr>
                    <w:pStyle w:val="ListParagraph"/>
                    <w:numPr>
                      <w:ilvl w:val="0"/>
                      <w:numId w:val="5"/>
                    </w:numPr>
                    <w:ind w:left="165" w:hanging="270"/>
                  </w:pPr>
                  <w:r w:rsidRPr="00BD170B">
                    <w:t>Number and list of new and existing internal and external partners (listed by name)</w:t>
                  </w:r>
                </w:p>
              </w:tc>
            </w:tr>
            <w:tr w:rsidR="00F756B0" w:rsidRPr="00C8241F" w14:paraId="2079B848" w14:textId="77777777" w:rsidTr="00F756B0">
              <w:trPr>
                <w:trHeight w:val="47"/>
              </w:trPr>
              <w:tc>
                <w:tcPr>
                  <w:tcW w:w="8441" w:type="dxa"/>
                </w:tcPr>
                <w:p w14:paraId="21FDCBA2" w14:textId="77777777" w:rsidR="00F756B0" w:rsidRPr="00C8241F" w:rsidRDefault="00F756B0" w:rsidP="00F814EC">
                  <w:pPr>
                    <w:pStyle w:val="ListParagraph"/>
                    <w:numPr>
                      <w:ilvl w:val="0"/>
                      <w:numId w:val="5"/>
                    </w:numPr>
                    <w:ind w:left="165" w:hanging="270"/>
                  </w:pPr>
                  <w:r w:rsidRPr="0065628D">
                    <w:t>Record of Technical Advisory Group (TAG) activities (minimum of one meeting per year)</w:t>
                  </w:r>
                </w:p>
              </w:tc>
            </w:tr>
            <w:tr w:rsidR="00F756B0" w:rsidRPr="00F10CA0" w14:paraId="0AC34DE2" w14:textId="77777777" w:rsidTr="00F756B0">
              <w:trPr>
                <w:trHeight w:val="25"/>
              </w:trPr>
              <w:tc>
                <w:tcPr>
                  <w:tcW w:w="8441" w:type="dxa"/>
                </w:tcPr>
                <w:p w14:paraId="789F5EFF" w14:textId="77777777" w:rsidR="00F756B0" w:rsidRDefault="00F756B0" w:rsidP="00F814EC">
                  <w:pPr>
                    <w:pStyle w:val="ListParagraph"/>
                    <w:numPr>
                      <w:ilvl w:val="0"/>
                      <w:numId w:val="5"/>
                    </w:numPr>
                    <w:ind w:left="165" w:hanging="270"/>
                  </w:pPr>
                  <w:r w:rsidRPr="00C8241F">
                    <w:t>Record of collaboration with at least one university</w:t>
                  </w:r>
                </w:p>
                <w:p w14:paraId="150C495C" w14:textId="77777777" w:rsidR="00F756B0" w:rsidRPr="007126B7" w:rsidRDefault="00F756B0" w:rsidP="00F814EC">
                  <w:pPr>
                    <w:pStyle w:val="ListParagraph"/>
                    <w:numPr>
                      <w:ilvl w:val="0"/>
                      <w:numId w:val="5"/>
                    </w:numPr>
                    <w:ind w:left="165" w:hanging="270"/>
                  </w:pPr>
                  <w:r w:rsidRPr="0065628D">
                    <w:rPr>
                      <w:rFonts w:cs="Times New Roman"/>
                    </w:rPr>
                    <w:t>Document any traditional/earned media-related products (e.g. newspaper article, TV segments)</w:t>
                  </w:r>
                </w:p>
                <w:p w14:paraId="1367177B" w14:textId="77777777" w:rsidR="00F756B0" w:rsidRPr="00640477" w:rsidRDefault="00F756B0" w:rsidP="00F814EC">
                  <w:pPr>
                    <w:pStyle w:val="ListParagraph"/>
                    <w:numPr>
                      <w:ilvl w:val="0"/>
                      <w:numId w:val="5"/>
                    </w:numPr>
                    <w:ind w:left="165" w:hanging="270"/>
                  </w:pPr>
                  <w:r w:rsidRPr="0065628D">
                    <w:rPr>
                      <w:rFonts w:cs="Times New Roman"/>
                    </w:rPr>
                    <w:t>Number of co-presented/co-sponsored national or regional meetings/conference or webinars completed with list of  participating grantees or partners</w:t>
                  </w:r>
                </w:p>
                <w:p w14:paraId="74FC80FA" w14:textId="77777777" w:rsidR="00F756B0" w:rsidRDefault="00F756B0" w:rsidP="00F814EC">
                  <w:pPr>
                    <w:pStyle w:val="ListParagraph"/>
                    <w:numPr>
                      <w:ilvl w:val="0"/>
                      <w:numId w:val="5"/>
                    </w:numPr>
                    <w:ind w:left="165" w:hanging="270"/>
                  </w:pPr>
                  <w:r w:rsidRPr="004C0476">
                    <w:t xml:space="preserve">Increase in Outreach Efforts: </w:t>
                  </w:r>
                  <w:r w:rsidRPr="00C8241F">
                    <w:t>Presentations, Exhibits, Trainings (increase based on jurisdiction’s previous years)</w:t>
                  </w:r>
                </w:p>
                <w:p w14:paraId="15ECF8F9" w14:textId="77777777" w:rsidR="00F756B0" w:rsidRDefault="00F756B0" w:rsidP="00640477">
                  <w:pPr>
                    <w:pStyle w:val="ListParagraph"/>
                    <w:numPr>
                      <w:ilvl w:val="0"/>
                      <w:numId w:val="5"/>
                    </w:numPr>
                    <w:ind w:left="165" w:hanging="270"/>
                  </w:pPr>
                  <w:r w:rsidRPr="00C8241F">
                    <w:t xml:space="preserve">10% increase in </w:t>
                  </w:r>
                  <w:r w:rsidRPr="00C8241F">
                    <w:rPr>
                      <w:b/>
                      <w:i/>
                    </w:rPr>
                    <w:t>required</w:t>
                  </w:r>
                  <w:r w:rsidRPr="00C8241F">
                    <w:t xml:space="preserve"> Overall Usage web statistics (increase based on previous year)</w:t>
                  </w:r>
                </w:p>
                <w:p w14:paraId="3F182F90" w14:textId="77777777" w:rsidR="00F756B0" w:rsidRPr="0065628D" w:rsidRDefault="00F756B0" w:rsidP="00640477">
                  <w:pPr>
                    <w:pStyle w:val="ListParagraph"/>
                    <w:numPr>
                      <w:ilvl w:val="0"/>
                      <w:numId w:val="5"/>
                    </w:numPr>
                    <w:ind w:left="165" w:hanging="270"/>
                  </w:pPr>
                  <w:r w:rsidRPr="0065628D">
                    <w:t>Record of collaboration with at least 1 new partner and 1 existing partner</w:t>
                  </w:r>
                </w:p>
                <w:p w14:paraId="1DE58F9D" w14:textId="77777777" w:rsidR="00F756B0" w:rsidRPr="00F10CA0" w:rsidRDefault="00F756B0" w:rsidP="00640477">
                  <w:pPr>
                    <w:pStyle w:val="ListParagraph"/>
                    <w:ind w:left="165"/>
                  </w:pPr>
                  <w:r w:rsidRPr="004C0476">
                    <w:t>(e.g.,  guest lecturing; me</w:t>
                  </w:r>
                  <w:r>
                    <w:t xml:space="preserve">ntoring students; co-presenting </w:t>
                  </w:r>
                  <w:r w:rsidRPr="004C0476">
                    <w:t>(webinar/meeting/conference)collaborating on GIS, data analysis, or other projects</w:t>
                  </w:r>
                </w:p>
              </w:tc>
            </w:tr>
          </w:tbl>
          <w:p w14:paraId="018F9466" w14:textId="77777777" w:rsidR="00F756B0" w:rsidRPr="00AB5E5C" w:rsidRDefault="00F756B0" w:rsidP="007076A4">
            <w:pPr>
              <w:spacing w:before="120" w:after="120"/>
              <w:rPr>
                <w:b/>
              </w:rPr>
            </w:pPr>
          </w:p>
        </w:tc>
        <w:tc>
          <w:tcPr>
            <w:tcW w:w="2700" w:type="dxa"/>
            <w:shd w:val="clear" w:color="auto" w:fill="E6E6E6"/>
          </w:tcPr>
          <w:p w14:paraId="4A631256" w14:textId="77777777" w:rsidR="00925F36" w:rsidRDefault="00925F36" w:rsidP="00925F36">
            <w:pPr>
              <w:pStyle w:val="NormalWeb"/>
              <w:numPr>
                <w:ilvl w:val="0"/>
                <w:numId w:val="5"/>
              </w:numPr>
              <w:spacing w:before="0" w:beforeAutospacing="0" w:after="0" w:afterAutospacing="0"/>
              <w:contextualSpacing/>
              <w:rPr>
                <w:rFonts w:asciiTheme="minorHAnsi" w:eastAsia="Calibri" w:hAnsiTheme="minorHAnsi"/>
                <w:kern w:val="24"/>
                <w:sz w:val="22"/>
                <w:szCs w:val="22"/>
              </w:rPr>
            </w:pPr>
            <w:r w:rsidRPr="00C8241F">
              <w:rPr>
                <w:rFonts w:asciiTheme="minorHAnsi" w:eastAsia="Calibri" w:hAnsiTheme="minorHAnsi"/>
                <w:kern w:val="24"/>
                <w:sz w:val="22"/>
                <w:szCs w:val="22"/>
              </w:rPr>
              <w:t>Targeted communications products and messages</w:t>
            </w:r>
          </w:p>
          <w:p w14:paraId="6FE311CD" w14:textId="77777777" w:rsidR="00925F36" w:rsidRDefault="00925F36" w:rsidP="00925F36">
            <w:pPr>
              <w:pStyle w:val="NormalWeb"/>
              <w:numPr>
                <w:ilvl w:val="0"/>
                <w:numId w:val="5"/>
              </w:numPr>
              <w:spacing w:before="0" w:beforeAutospacing="0" w:after="0" w:afterAutospacing="0"/>
              <w:contextualSpacing/>
              <w:rPr>
                <w:rFonts w:asciiTheme="minorHAnsi" w:eastAsia="Calibri" w:hAnsiTheme="minorHAnsi"/>
                <w:kern w:val="24"/>
                <w:sz w:val="22"/>
                <w:szCs w:val="22"/>
              </w:rPr>
            </w:pPr>
            <w:r w:rsidRPr="00925F36">
              <w:rPr>
                <w:rFonts w:asciiTheme="minorHAnsi" w:eastAsia="Calibri" w:hAnsiTheme="minorHAnsi"/>
                <w:kern w:val="24"/>
                <w:sz w:val="22"/>
                <w:szCs w:val="22"/>
              </w:rPr>
              <w:t>Partnerships with environmental health stakeholders</w:t>
            </w:r>
          </w:p>
          <w:p w14:paraId="070B2DFA" w14:textId="391EDBCD" w:rsidR="00925F36" w:rsidRPr="00925F36" w:rsidRDefault="00925F36" w:rsidP="00925F36">
            <w:pPr>
              <w:pStyle w:val="NormalWeb"/>
              <w:numPr>
                <w:ilvl w:val="0"/>
                <w:numId w:val="5"/>
              </w:numPr>
              <w:spacing w:before="0" w:beforeAutospacing="0" w:after="0" w:afterAutospacing="0"/>
              <w:contextualSpacing/>
              <w:rPr>
                <w:rFonts w:asciiTheme="minorHAnsi" w:eastAsia="Calibri" w:hAnsiTheme="minorHAnsi" w:cstheme="minorHAnsi"/>
                <w:kern w:val="24"/>
                <w:sz w:val="22"/>
                <w:szCs w:val="22"/>
              </w:rPr>
            </w:pPr>
            <w:r w:rsidRPr="00925F36">
              <w:rPr>
                <w:rFonts w:asciiTheme="minorHAnsi" w:hAnsiTheme="minorHAnsi" w:cstheme="minorHAnsi"/>
                <w:sz w:val="22"/>
                <w:szCs w:val="22"/>
              </w:rPr>
              <w:t>Increased awareness of the Tracking Network and environmental health issues</w:t>
            </w:r>
          </w:p>
          <w:p w14:paraId="1F3088D8" w14:textId="6B241E22" w:rsidR="00925F36" w:rsidRPr="00925F36" w:rsidRDefault="00925F36" w:rsidP="00925F36">
            <w:pPr>
              <w:pStyle w:val="NormalWeb"/>
              <w:numPr>
                <w:ilvl w:val="0"/>
                <w:numId w:val="5"/>
              </w:numPr>
              <w:spacing w:before="0" w:beforeAutospacing="0" w:after="0" w:afterAutospacing="0"/>
              <w:contextualSpacing/>
              <w:rPr>
                <w:rFonts w:asciiTheme="minorHAnsi" w:eastAsia="Calibri" w:hAnsiTheme="minorHAnsi"/>
                <w:kern w:val="24"/>
                <w:sz w:val="22"/>
                <w:szCs w:val="22"/>
              </w:rPr>
            </w:pPr>
            <w:r w:rsidRPr="00925F36">
              <w:rPr>
                <w:rFonts w:asciiTheme="minorHAnsi" w:hAnsiTheme="minorHAnsi" w:cstheme="minorHAnsi"/>
                <w:sz w:val="22"/>
                <w:szCs w:val="22"/>
              </w:rPr>
              <w:t>Engaged partners and users</w:t>
            </w:r>
          </w:p>
        </w:tc>
      </w:tr>
      <w:tr w:rsidR="00F756B0" w:rsidRPr="0029478C" w14:paraId="24BFA29D" w14:textId="23FE98BE" w:rsidTr="00925F36">
        <w:trPr>
          <w:trHeight w:val="704"/>
        </w:trPr>
        <w:tc>
          <w:tcPr>
            <w:tcW w:w="2460" w:type="dxa"/>
            <w:shd w:val="clear" w:color="auto" w:fill="E6E6E6"/>
            <w:vAlign w:val="center"/>
          </w:tcPr>
          <w:p w14:paraId="3F4BCEC1" w14:textId="77777777" w:rsidR="00F756B0" w:rsidRPr="00AB5E5C" w:rsidRDefault="00F756B0" w:rsidP="007076A4">
            <w:pPr>
              <w:spacing w:before="120" w:after="120"/>
            </w:pPr>
            <w:r w:rsidRPr="0029478C">
              <w:rPr>
                <w:b/>
              </w:rPr>
              <w:t>By 2010, increase by 800% the number of public health actions, developed using Environmental Public Health Tracking data, that prevent or control potential adverse health effects from environmental exposures.</w:t>
            </w:r>
            <w:r>
              <w:rPr>
                <w:b/>
              </w:rPr>
              <w:br/>
            </w:r>
            <w:r>
              <w:rPr>
                <w:b/>
              </w:rPr>
              <w:br/>
              <w:t>Criteria Necessary to Meet Performance Measure:</w:t>
            </w:r>
            <w:r>
              <w:rPr>
                <w:b/>
              </w:rPr>
              <w:br/>
            </w:r>
            <w:r w:rsidRPr="00AB5E5C">
              <w:t xml:space="preserve">How many public health actions during the current reporting period can be directly associated with your activities and findings?  Please include a </w:t>
            </w:r>
            <w:r w:rsidRPr="009C56AC">
              <w:t xml:space="preserve">title and a </w:t>
            </w:r>
            <w:r w:rsidRPr="002850E9">
              <w:t>brief description</w:t>
            </w:r>
            <w:r w:rsidRPr="00AB5E5C">
              <w:t xml:space="preserve"> of the action and how the action was influenced by your project activities.</w:t>
            </w:r>
          </w:p>
          <w:p w14:paraId="5A47A697" w14:textId="77777777" w:rsidR="00F756B0" w:rsidRPr="0029478C" w:rsidRDefault="00F756B0" w:rsidP="007076A4">
            <w:pPr>
              <w:spacing w:before="120" w:after="120"/>
              <w:rPr>
                <w:b/>
              </w:rPr>
            </w:pPr>
            <w:r w:rsidRPr="00AB5E5C">
              <w:br/>
            </w:r>
          </w:p>
        </w:tc>
        <w:tc>
          <w:tcPr>
            <w:tcW w:w="8397" w:type="dxa"/>
            <w:shd w:val="clear" w:color="auto" w:fill="E6E6E6"/>
          </w:tcPr>
          <w:p w14:paraId="09CEDEF4" w14:textId="77777777" w:rsidR="00F756B0" w:rsidRDefault="00F756B0" w:rsidP="00F814EC">
            <w:pPr>
              <w:pStyle w:val="ListParagraph"/>
              <w:numPr>
                <w:ilvl w:val="0"/>
                <w:numId w:val="3"/>
              </w:numPr>
              <w:ind w:left="271" w:hanging="270"/>
            </w:pPr>
            <w:r w:rsidRPr="009B2D9C">
              <w:t>Number of PHAs submitted annually</w:t>
            </w:r>
          </w:p>
          <w:p w14:paraId="604BDFED" w14:textId="77777777" w:rsidR="00F756B0" w:rsidRPr="007076A4" w:rsidRDefault="00F756B0" w:rsidP="00640477">
            <w:pPr>
              <w:pStyle w:val="ListParagraph"/>
              <w:numPr>
                <w:ilvl w:val="0"/>
                <w:numId w:val="1"/>
              </w:numPr>
              <w:ind w:left="301" w:hanging="300"/>
            </w:pPr>
            <w:r w:rsidRPr="00F814EC">
              <w:t>Number and description of either (1) planned public health actions developed/informed or (2) past public health actions evaluated by analyses conducted using Tracking datasets</w:t>
            </w:r>
          </w:p>
          <w:p w14:paraId="59DA6428" w14:textId="77777777" w:rsidR="00F756B0" w:rsidRPr="009B2D9C" w:rsidRDefault="00F756B0" w:rsidP="00F814EC">
            <w:pPr>
              <w:pStyle w:val="ListParagraph"/>
              <w:ind w:left="271"/>
            </w:pPr>
          </w:p>
          <w:p w14:paraId="2A41434D" w14:textId="77777777" w:rsidR="00F756B0" w:rsidRPr="0029478C" w:rsidRDefault="00F756B0" w:rsidP="00340833">
            <w:pPr>
              <w:spacing w:before="120" w:after="120"/>
              <w:ind w:right="269"/>
              <w:rPr>
                <w:b/>
              </w:rPr>
            </w:pPr>
          </w:p>
        </w:tc>
        <w:tc>
          <w:tcPr>
            <w:tcW w:w="2700" w:type="dxa"/>
            <w:shd w:val="clear" w:color="auto" w:fill="E6E6E6"/>
          </w:tcPr>
          <w:p w14:paraId="793680EE" w14:textId="415056E4" w:rsidR="00F756B0" w:rsidRPr="009B2D9C" w:rsidRDefault="00925F36" w:rsidP="00F814EC">
            <w:pPr>
              <w:pStyle w:val="ListParagraph"/>
              <w:numPr>
                <w:ilvl w:val="0"/>
                <w:numId w:val="3"/>
              </w:numPr>
              <w:ind w:left="271" w:hanging="270"/>
            </w:pPr>
            <w:r w:rsidRPr="00C8241F">
              <w:rPr>
                <w:rFonts w:eastAsia="Calibri"/>
                <w:kern w:val="24"/>
              </w:rPr>
              <w:t>Generated and disseminated environmental public health evidence</w:t>
            </w:r>
          </w:p>
        </w:tc>
      </w:tr>
      <w:tr w:rsidR="00F756B0" w:rsidRPr="0029478C" w14:paraId="0D36D4AC" w14:textId="3AFD3318" w:rsidTr="00925F36">
        <w:trPr>
          <w:trHeight w:val="704"/>
        </w:trPr>
        <w:tc>
          <w:tcPr>
            <w:tcW w:w="2460" w:type="dxa"/>
            <w:shd w:val="clear" w:color="auto" w:fill="E6E6E6"/>
            <w:vAlign w:val="center"/>
          </w:tcPr>
          <w:p w14:paraId="66CE1901" w14:textId="77777777" w:rsidR="00F756B0" w:rsidRPr="00AB5E5C" w:rsidRDefault="00F756B0" w:rsidP="007126B7">
            <w:pPr>
              <w:spacing w:before="120" w:after="120"/>
              <w:rPr>
                <w:b/>
              </w:rPr>
            </w:pPr>
            <w:r w:rsidRPr="00AB5E5C">
              <w:rPr>
                <w:b/>
              </w:rPr>
              <w:t>By 2010, increase the number of states with established Environmental Public Health Tracking risk communication strategies that meet EHTB guidelines by 17.</w:t>
            </w:r>
          </w:p>
          <w:p w14:paraId="0BA22F81" w14:textId="4E20EDCB" w:rsidR="00F756B0" w:rsidRPr="0029478C" w:rsidRDefault="00F756B0" w:rsidP="007126B7">
            <w:pPr>
              <w:spacing w:before="120" w:after="120"/>
              <w:rPr>
                <w:b/>
              </w:rPr>
            </w:pPr>
            <w:r>
              <w:rPr>
                <w:b/>
              </w:rPr>
              <w:t>Criteria Necessary to Meet Performance Measure:</w:t>
            </w:r>
            <w:r>
              <w:rPr>
                <w:b/>
              </w:rPr>
              <w:br/>
            </w:r>
            <w:r w:rsidRPr="00AB5E5C">
              <w:t xml:space="preserve">For the current reporting period, do you have a risk communication strategy </w:t>
            </w:r>
            <w:r w:rsidRPr="002850E9">
              <w:t>that meets EHTB guidelines</w:t>
            </w:r>
            <w:r w:rsidR="007C4B3E" w:rsidRPr="00AB5E5C">
              <w:t xml:space="preserve">? </w:t>
            </w:r>
            <w:r w:rsidRPr="00AB5E5C">
              <w:t>Please list or describe it</w:t>
            </w:r>
            <w:r>
              <w:t xml:space="preserve"> under the clarification column</w:t>
            </w:r>
          </w:p>
        </w:tc>
        <w:tc>
          <w:tcPr>
            <w:tcW w:w="8397" w:type="dxa"/>
            <w:shd w:val="clear" w:color="auto" w:fill="E6E6E6"/>
          </w:tcPr>
          <w:p w14:paraId="6805302B" w14:textId="77777777" w:rsidR="00F756B0" w:rsidRPr="007126B7" w:rsidRDefault="00F756B0" w:rsidP="007126B7">
            <w:pPr>
              <w:pStyle w:val="ListParagraph"/>
              <w:numPr>
                <w:ilvl w:val="0"/>
                <w:numId w:val="5"/>
              </w:numPr>
            </w:pPr>
            <w:r w:rsidRPr="0065628D">
              <w:rPr>
                <w:rFonts w:cs="Times New Roman"/>
              </w:rPr>
              <w:t>List collaborative communication activity with participating grantees</w:t>
            </w:r>
          </w:p>
          <w:p w14:paraId="2A15C654" w14:textId="77777777" w:rsidR="00F756B0" w:rsidRPr="007126B7" w:rsidRDefault="00F756B0" w:rsidP="007126B7">
            <w:pPr>
              <w:pStyle w:val="ListParagraph"/>
              <w:numPr>
                <w:ilvl w:val="0"/>
                <w:numId w:val="5"/>
              </w:numPr>
            </w:pPr>
            <w:r w:rsidRPr="0065628D">
              <w:rPr>
                <w:rFonts w:cs="Times New Roman"/>
              </w:rPr>
              <w:t>List of developed communications products based on results of completed needs assessment</w:t>
            </w:r>
          </w:p>
          <w:p w14:paraId="20663CCA" w14:textId="77777777" w:rsidR="00F756B0" w:rsidRPr="009B2D9C" w:rsidRDefault="00F756B0" w:rsidP="007126B7"/>
        </w:tc>
        <w:tc>
          <w:tcPr>
            <w:tcW w:w="2700" w:type="dxa"/>
            <w:shd w:val="clear" w:color="auto" w:fill="E6E6E6"/>
          </w:tcPr>
          <w:p w14:paraId="7C9A8397" w14:textId="77777777" w:rsidR="00925F36" w:rsidRDefault="00925F36" w:rsidP="00925F36">
            <w:pPr>
              <w:pStyle w:val="NormalWeb"/>
              <w:numPr>
                <w:ilvl w:val="0"/>
                <w:numId w:val="5"/>
              </w:numPr>
              <w:spacing w:before="0" w:beforeAutospacing="0" w:after="0" w:afterAutospacing="0"/>
              <w:contextualSpacing/>
              <w:rPr>
                <w:rFonts w:asciiTheme="minorHAnsi" w:eastAsia="Calibri" w:hAnsiTheme="minorHAnsi"/>
                <w:kern w:val="24"/>
                <w:sz w:val="22"/>
                <w:szCs w:val="22"/>
              </w:rPr>
            </w:pPr>
            <w:r w:rsidRPr="00C8241F">
              <w:rPr>
                <w:rFonts w:asciiTheme="minorHAnsi" w:eastAsia="Calibri" w:hAnsiTheme="minorHAnsi"/>
                <w:kern w:val="24"/>
                <w:sz w:val="22"/>
                <w:szCs w:val="22"/>
              </w:rPr>
              <w:t>Targeted communications products and messages</w:t>
            </w:r>
          </w:p>
          <w:p w14:paraId="1E9DEEEC" w14:textId="77777777" w:rsidR="00F756B0" w:rsidRPr="0065628D" w:rsidRDefault="00F756B0" w:rsidP="00925F36">
            <w:pPr>
              <w:pStyle w:val="ListParagraph"/>
              <w:ind w:left="360"/>
              <w:rPr>
                <w:rFonts w:cs="Times New Roman"/>
              </w:rPr>
            </w:pPr>
          </w:p>
        </w:tc>
      </w:tr>
    </w:tbl>
    <w:p w14:paraId="0B89824F" w14:textId="77777777" w:rsidR="00C02A5A" w:rsidRDefault="00C02A5A"/>
    <w:p w14:paraId="3558D08A" w14:textId="77777777" w:rsidR="00C02A5A" w:rsidRDefault="00C02A5A"/>
    <w:p w14:paraId="2772E9F0" w14:textId="77777777" w:rsidR="00C02A5A" w:rsidRPr="00C02A5A" w:rsidRDefault="00C02A5A" w:rsidP="00A9511F">
      <w:pPr>
        <w:spacing w:after="0" w:line="240" w:lineRule="auto"/>
      </w:pPr>
    </w:p>
    <w:p w14:paraId="7E856251" w14:textId="77777777" w:rsidR="00C02A5A" w:rsidRDefault="00C02A5A"/>
    <w:sectPr w:rsidR="00C02A5A" w:rsidSect="002850E9">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1182"/>
    <w:multiLevelType w:val="hybridMultilevel"/>
    <w:tmpl w:val="C01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75CE3"/>
    <w:multiLevelType w:val="hybridMultilevel"/>
    <w:tmpl w:val="5E6CD3E6"/>
    <w:lvl w:ilvl="0" w:tplc="CA163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61992"/>
    <w:multiLevelType w:val="hybridMultilevel"/>
    <w:tmpl w:val="61B4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035E3"/>
    <w:multiLevelType w:val="hybridMultilevel"/>
    <w:tmpl w:val="E92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C7E6C"/>
    <w:multiLevelType w:val="hybridMultilevel"/>
    <w:tmpl w:val="F23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0452C9"/>
    <w:multiLevelType w:val="hybridMultilevel"/>
    <w:tmpl w:val="5E4E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D7D36"/>
    <w:multiLevelType w:val="hybridMultilevel"/>
    <w:tmpl w:val="77FC7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5C"/>
    <w:rsid w:val="00070F4A"/>
    <w:rsid w:val="000A1BC2"/>
    <w:rsid w:val="000B14D0"/>
    <w:rsid w:val="00155B9F"/>
    <w:rsid w:val="00196C54"/>
    <w:rsid w:val="00247983"/>
    <w:rsid w:val="002850E9"/>
    <w:rsid w:val="00340833"/>
    <w:rsid w:val="003835B4"/>
    <w:rsid w:val="003E787C"/>
    <w:rsid w:val="0040256C"/>
    <w:rsid w:val="00472327"/>
    <w:rsid w:val="005043EA"/>
    <w:rsid w:val="0053023D"/>
    <w:rsid w:val="0056526F"/>
    <w:rsid w:val="005C6B3E"/>
    <w:rsid w:val="006071DB"/>
    <w:rsid w:val="00640477"/>
    <w:rsid w:val="00674B91"/>
    <w:rsid w:val="006B316A"/>
    <w:rsid w:val="006E4562"/>
    <w:rsid w:val="007076A4"/>
    <w:rsid w:val="007126B7"/>
    <w:rsid w:val="00741E8C"/>
    <w:rsid w:val="00773BC1"/>
    <w:rsid w:val="007C4B3E"/>
    <w:rsid w:val="007D5315"/>
    <w:rsid w:val="007D5F4F"/>
    <w:rsid w:val="008178C2"/>
    <w:rsid w:val="008410CE"/>
    <w:rsid w:val="0087454D"/>
    <w:rsid w:val="008A565E"/>
    <w:rsid w:val="00903349"/>
    <w:rsid w:val="00925F36"/>
    <w:rsid w:val="00987FCD"/>
    <w:rsid w:val="00993D26"/>
    <w:rsid w:val="009A6FD0"/>
    <w:rsid w:val="009B2D9C"/>
    <w:rsid w:val="009C56AC"/>
    <w:rsid w:val="00A01D6B"/>
    <w:rsid w:val="00A119AF"/>
    <w:rsid w:val="00A9511F"/>
    <w:rsid w:val="00AB416F"/>
    <w:rsid w:val="00AB5E5C"/>
    <w:rsid w:val="00AD3866"/>
    <w:rsid w:val="00B25C46"/>
    <w:rsid w:val="00B934EB"/>
    <w:rsid w:val="00BD1480"/>
    <w:rsid w:val="00BE00CB"/>
    <w:rsid w:val="00BE3767"/>
    <w:rsid w:val="00C02A5A"/>
    <w:rsid w:val="00C13C65"/>
    <w:rsid w:val="00C1522A"/>
    <w:rsid w:val="00C57C94"/>
    <w:rsid w:val="00CA57B8"/>
    <w:rsid w:val="00CD37E8"/>
    <w:rsid w:val="00D10435"/>
    <w:rsid w:val="00D26908"/>
    <w:rsid w:val="00D34EE4"/>
    <w:rsid w:val="00DC290C"/>
    <w:rsid w:val="00DD07BB"/>
    <w:rsid w:val="00E85CCB"/>
    <w:rsid w:val="00EE0912"/>
    <w:rsid w:val="00EE10A3"/>
    <w:rsid w:val="00EF3AC2"/>
    <w:rsid w:val="00F73299"/>
    <w:rsid w:val="00F756B0"/>
    <w:rsid w:val="00F77F89"/>
    <w:rsid w:val="00F814E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C2"/>
    <w:rPr>
      <w:rFonts w:ascii="Segoe UI" w:hAnsi="Segoe UI" w:cs="Segoe UI"/>
      <w:sz w:val="18"/>
      <w:szCs w:val="18"/>
    </w:rPr>
  </w:style>
  <w:style w:type="paragraph" w:styleId="ListParagraph">
    <w:name w:val="List Paragraph"/>
    <w:basedOn w:val="Normal"/>
    <w:uiPriority w:val="34"/>
    <w:qFormat/>
    <w:rsid w:val="007076A4"/>
    <w:pPr>
      <w:ind w:left="720"/>
      <w:contextualSpacing/>
    </w:pPr>
  </w:style>
  <w:style w:type="table" w:styleId="TableGrid">
    <w:name w:val="Table Grid"/>
    <w:basedOn w:val="TableNormal"/>
    <w:uiPriority w:val="39"/>
    <w:rsid w:val="009B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D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0477"/>
    <w:rPr>
      <w:sz w:val="16"/>
      <w:szCs w:val="16"/>
    </w:rPr>
  </w:style>
  <w:style w:type="paragraph" w:styleId="CommentText">
    <w:name w:val="annotation text"/>
    <w:basedOn w:val="Normal"/>
    <w:link w:val="CommentTextChar"/>
    <w:uiPriority w:val="99"/>
    <w:unhideWhenUsed/>
    <w:rsid w:val="00640477"/>
    <w:pPr>
      <w:spacing w:line="240" w:lineRule="auto"/>
    </w:pPr>
    <w:rPr>
      <w:sz w:val="20"/>
      <w:szCs w:val="20"/>
    </w:rPr>
  </w:style>
  <w:style w:type="character" w:customStyle="1" w:styleId="CommentTextChar">
    <w:name w:val="Comment Text Char"/>
    <w:basedOn w:val="DefaultParagraphFont"/>
    <w:link w:val="CommentText"/>
    <w:uiPriority w:val="99"/>
    <w:rsid w:val="00640477"/>
    <w:rPr>
      <w:sz w:val="20"/>
      <w:szCs w:val="20"/>
    </w:rPr>
  </w:style>
  <w:style w:type="paragraph" w:styleId="Header">
    <w:name w:val="header"/>
    <w:basedOn w:val="Normal"/>
    <w:link w:val="HeaderChar"/>
    <w:uiPriority w:val="99"/>
    <w:unhideWhenUsed/>
    <w:rsid w:val="0092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36"/>
  </w:style>
  <w:style w:type="paragraph" w:styleId="CommentSubject">
    <w:name w:val="annotation subject"/>
    <w:basedOn w:val="CommentText"/>
    <w:next w:val="CommentText"/>
    <w:link w:val="CommentSubjectChar"/>
    <w:uiPriority w:val="99"/>
    <w:semiHidden/>
    <w:unhideWhenUsed/>
    <w:rsid w:val="006B316A"/>
    <w:rPr>
      <w:b/>
      <w:bCs/>
    </w:rPr>
  </w:style>
  <w:style w:type="character" w:customStyle="1" w:styleId="CommentSubjectChar">
    <w:name w:val="Comment Subject Char"/>
    <w:basedOn w:val="CommentTextChar"/>
    <w:link w:val="CommentSubject"/>
    <w:uiPriority w:val="99"/>
    <w:semiHidden/>
    <w:rsid w:val="006B31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C2"/>
    <w:rPr>
      <w:rFonts w:ascii="Segoe UI" w:hAnsi="Segoe UI" w:cs="Segoe UI"/>
      <w:sz w:val="18"/>
      <w:szCs w:val="18"/>
    </w:rPr>
  </w:style>
  <w:style w:type="paragraph" w:styleId="ListParagraph">
    <w:name w:val="List Paragraph"/>
    <w:basedOn w:val="Normal"/>
    <w:uiPriority w:val="34"/>
    <w:qFormat/>
    <w:rsid w:val="007076A4"/>
    <w:pPr>
      <w:ind w:left="720"/>
      <w:contextualSpacing/>
    </w:pPr>
  </w:style>
  <w:style w:type="table" w:styleId="TableGrid">
    <w:name w:val="Table Grid"/>
    <w:basedOn w:val="TableNormal"/>
    <w:uiPriority w:val="39"/>
    <w:rsid w:val="009B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D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0477"/>
    <w:rPr>
      <w:sz w:val="16"/>
      <w:szCs w:val="16"/>
    </w:rPr>
  </w:style>
  <w:style w:type="paragraph" w:styleId="CommentText">
    <w:name w:val="annotation text"/>
    <w:basedOn w:val="Normal"/>
    <w:link w:val="CommentTextChar"/>
    <w:uiPriority w:val="99"/>
    <w:unhideWhenUsed/>
    <w:rsid w:val="00640477"/>
    <w:pPr>
      <w:spacing w:line="240" w:lineRule="auto"/>
    </w:pPr>
    <w:rPr>
      <w:sz w:val="20"/>
      <w:szCs w:val="20"/>
    </w:rPr>
  </w:style>
  <w:style w:type="character" w:customStyle="1" w:styleId="CommentTextChar">
    <w:name w:val="Comment Text Char"/>
    <w:basedOn w:val="DefaultParagraphFont"/>
    <w:link w:val="CommentText"/>
    <w:uiPriority w:val="99"/>
    <w:rsid w:val="00640477"/>
    <w:rPr>
      <w:sz w:val="20"/>
      <w:szCs w:val="20"/>
    </w:rPr>
  </w:style>
  <w:style w:type="paragraph" w:styleId="Header">
    <w:name w:val="header"/>
    <w:basedOn w:val="Normal"/>
    <w:link w:val="HeaderChar"/>
    <w:uiPriority w:val="99"/>
    <w:unhideWhenUsed/>
    <w:rsid w:val="0092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F36"/>
  </w:style>
  <w:style w:type="paragraph" w:styleId="CommentSubject">
    <w:name w:val="annotation subject"/>
    <w:basedOn w:val="CommentText"/>
    <w:next w:val="CommentText"/>
    <w:link w:val="CommentSubjectChar"/>
    <w:uiPriority w:val="99"/>
    <w:semiHidden/>
    <w:unhideWhenUsed/>
    <w:rsid w:val="006B316A"/>
    <w:rPr>
      <w:b/>
      <w:bCs/>
    </w:rPr>
  </w:style>
  <w:style w:type="character" w:customStyle="1" w:styleId="CommentSubjectChar">
    <w:name w:val="Comment Subject Char"/>
    <w:basedOn w:val="CommentTextChar"/>
    <w:link w:val="CommentSubject"/>
    <w:uiPriority w:val="99"/>
    <w:semiHidden/>
    <w:rsid w:val="006B31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Tempest (CDC/ONDIEH/NCEH)</dc:creator>
  <cp:keywords/>
  <dc:description/>
  <cp:lastModifiedBy>SYSTEM</cp:lastModifiedBy>
  <cp:revision>2</cp:revision>
  <cp:lastPrinted>2018-06-27T19:28:00Z</cp:lastPrinted>
  <dcterms:created xsi:type="dcterms:W3CDTF">2018-07-16T16:53:00Z</dcterms:created>
  <dcterms:modified xsi:type="dcterms:W3CDTF">2018-07-16T16:53:00Z</dcterms:modified>
</cp:coreProperties>
</file>