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27" w:rsidRPr="0087696B" w:rsidRDefault="00D52027" w:rsidP="00D52027">
      <w:pPr>
        <w:rPr>
          <w:b/>
        </w:rPr>
      </w:pPr>
      <w:bookmarkStart w:id="0" w:name="_GoBack"/>
      <w:bookmarkEnd w:id="0"/>
      <w:r w:rsidRPr="0087696B">
        <w:rPr>
          <w:b/>
        </w:rPr>
        <w:t>B. Statistical Methods (used for collection of information employing statistical methods)</w:t>
      </w:r>
    </w:p>
    <w:p w:rsidR="00D52027" w:rsidRPr="0087696B" w:rsidRDefault="00D52027" w:rsidP="00D52027">
      <w:pPr>
        <w:rPr>
          <w:b/>
        </w:rPr>
      </w:pPr>
    </w:p>
    <w:p w:rsidR="00D52027" w:rsidRPr="0087696B" w:rsidRDefault="00D52027" w:rsidP="00D52027">
      <w:pPr>
        <w:rPr>
          <w:b/>
        </w:rPr>
      </w:pPr>
      <w:r w:rsidRPr="0087696B">
        <w:rPr>
          <w:b/>
        </w:rPr>
        <w:t>1. Respondent Universe and Sampling:</w:t>
      </w:r>
    </w:p>
    <w:p w:rsidR="00D52027" w:rsidRPr="0087696B" w:rsidRDefault="00D52027" w:rsidP="00D52027">
      <w:pPr>
        <w:rPr>
          <w:b/>
        </w:rPr>
      </w:pPr>
    </w:p>
    <w:p w:rsidR="00D52027" w:rsidRPr="0087696B" w:rsidRDefault="00D52027" w:rsidP="00D52027">
      <w:r w:rsidRPr="0087696B">
        <w:t>The 50 States, the District of Columbia and Puerto Rico comprise the respondent universe.  Each respondent responds once every three years.  There is a 100% response rate for this information collection, in accordance with CCDF regulations.</w:t>
      </w:r>
    </w:p>
    <w:p w:rsidR="00D52027" w:rsidRPr="0087696B" w:rsidRDefault="00D52027" w:rsidP="00D5202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826"/>
        <w:gridCol w:w="2952"/>
      </w:tblGrid>
      <w:tr w:rsidR="00D52027" w:rsidRPr="00923AEA" w:rsidTr="00E3426F">
        <w:tc>
          <w:tcPr>
            <w:tcW w:w="3078" w:type="dxa"/>
            <w:shd w:val="clear" w:color="auto" w:fill="auto"/>
          </w:tcPr>
          <w:p w:rsidR="00D52027" w:rsidRPr="00923AEA" w:rsidRDefault="00D52027" w:rsidP="00E3426F">
            <w:pPr>
              <w:rPr>
                <w:b/>
              </w:rPr>
            </w:pPr>
            <w:r w:rsidRPr="00923AEA">
              <w:rPr>
                <w:b/>
              </w:rPr>
              <w:t>Error Rate Review Cohort</w:t>
            </w:r>
          </w:p>
        </w:tc>
        <w:tc>
          <w:tcPr>
            <w:tcW w:w="2826" w:type="dxa"/>
            <w:shd w:val="clear" w:color="auto" w:fill="auto"/>
          </w:tcPr>
          <w:p w:rsidR="00D52027" w:rsidRPr="00923AEA" w:rsidRDefault="00D52027" w:rsidP="00E3426F">
            <w:pPr>
              <w:rPr>
                <w:b/>
              </w:rPr>
            </w:pPr>
            <w:r w:rsidRPr="00923AEA">
              <w:rPr>
                <w:b/>
              </w:rPr>
              <w:t>Number of Respondents</w:t>
            </w:r>
          </w:p>
        </w:tc>
        <w:tc>
          <w:tcPr>
            <w:tcW w:w="2952" w:type="dxa"/>
            <w:shd w:val="clear" w:color="auto" w:fill="auto"/>
          </w:tcPr>
          <w:p w:rsidR="00D52027" w:rsidRPr="00923AEA" w:rsidRDefault="00D52027" w:rsidP="00E3426F">
            <w:pPr>
              <w:rPr>
                <w:b/>
              </w:rPr>
            </w:pPr>
            <w:r w:rsidRPr="00923AEA">
              <w:rPr>
                <w:b/>
              </w:rPr>
              <w:t>Reporting Timeline</w:t>
            </w:r>
          </w:p>
        </w:tc>
      </w:tr>
      <w:tr w:rsidR="00D52027" w:rsidRPr="0087696B" w:rsidTr="00E3426F">
        <w:tc>
          <w:tcPr>
            <w:tcW w:w="3078" w:type="dxa"/>
            <w:shd w:val="clear" w:color="auto" w:fill="auto"/>
          </w:tcPr>
          <w:p w:rsidR="00D52027" w:rsidRPr="0087696B" w:rsidRDefault="00D52027" w:rsidP="00E3426F">
            <w:r w:rsidRPr="0087696B">
              <w:t>Year One Reporting States</w:t>
            </w:r>
          </w:p>
        </w:tc>
        <w:tc>
          <w:tcPr>
            <w:tcW w:w="2826" w:type="dxa"/>
            <w:shd w:val="clear" w:color="auto" w:fill="auto"/>
          </w:tcPr>
          <w:p w:rsidR="00D52027" w:rsidRPr="0087696B" w:rsidRDefault="00D52027" w:rsidP="00E3426F">
            <w:pPr>
              <w:jc w:val="center"/>
            </w:pPr>
            <w:r w:rsidRPr="0087696B">
              <w:t>18</w:t>
            </w:r>
          </w:p>
        </w:tc>
        <w:tc>
          <w:tcPr>
            <w:tcW w:w="2952" w:type="dxa"/>
            <w:shd w:val="clear" w:color="auto" w:fill="auto"/>
          </w:tcPr>
          <w:p w:rsidR="00D52027" w:rsidRPr="0087696B" w:rsidRDefault="00D52027" w:rsidP="00E3426F">
            <w:r w:rsidRPr="0087696B">
              <w:t>June of 1</w:t>
            </w:r>
            <w:r w:rsidRPr="00923AEA">
              <w:rPr>
                <w:vertAlign w:val="superscript"/>
              </w:rPr>
              <w:t>st</w:t>
            </w:r>
            <w:r w:rsidRPr="0087696B">
              <w:t xml:space="preserve"> reporting year</w:t>
            </w:r>
          </w:p>
        </w:tc>
      </w:tr>
      <w:tr w:rsidR="00D52027" w:rsidRPr="0087696B" w:rsidTr="00E3426F">
        <w:tc>
          <w:tcPr>
            <w:tcW w:w="3078" w:type="dxa"/>
            <w:shd w:val="clear" w:color="auto" w:fill="auto"/>
          </w:tcPr>
          <w:p w:rsidR="00D52027" w:rsidRPr="0087696B" w:rsidRDefault="00D52027" w:rsidP="00E3426F">
            <w:r w:rsidRPr="0087696B">
              <w:t>Year Two Reporting States</w:t>
            </w:r>
          </w:p>
        </w:tc>
        <w:tc>
          <w:tcPr>
            <w:tcW w:w="2826" w:type="dxa"/>
            <w:shd w:val="clear" w:color="auto" w:fill="auto"/>
          </w:tcPr>
          <w:p w:rsidR="00D52027" w:rsidRPr="0087696B" w:rsidRDefault="00D52027" w:rsidP="00E3426F">
            <w:pPr>
              <w:jc w:val="center"/>
            </w:pPr>
            <w:r w:rsidRPr="0087696B">
              <w:t>17</w:t>
            </w:r>
          </w:p>
        </w:tc>
        <w:tc>
          <w:tcPr>
            <w:tcW w:w="2952" w:type="dxa"/>
            <w:shd w:val="clear" w:color="auto" w:fill="auto"/>
          </w:tcPr>
          <w:p w:rsidR="00D52027" w:rsidRPr="0087696B" w:rsidRDefault="00D52027" w:rsidP="00E3426F">
            <w:r w:rsidRPr="0087696B">
              <w:t>June of 2</w:t>
            </w:r>
            <w:r w:rsidRPr="00923AEA">
              <w:rPr>
                <w:vertAlign w:val="superscript"/>
              </w:rPr>
              <w:t>nd</w:t>
            </w:r>
            <w:r w:rsidRPr="0087696B">
              <w:t xml:space="preserve"> reporting year</w:t>
            </w:r>
          </w:p>
        </w:tc>
      </w:tr>
      <w:tr w:rsidR="00D52027" w:rsidRPr="0087696B" w:rsidTr="00E3426F">
        <w:tc>
          <w:tcPr>
            <w:tcW w:w="3078" w:type="dxa"/>
            <w:shd w:val="clear" w:color="auto" w:fill="auto"/>
          </w:tcPr>
          <w:p w:rsidR="00D52027" w:rsidRPr="0087696B" w:rsidRDefault="00D52027" w:rsidP="00E3426F">
            <w:r w:rsidRPr="0087696B">
              <w:t>Year Three Reporting States</w:t>
            </w:r>
          </w:p>
        </w:tc>
        <w:tc>
          <w:tcPr>
            <w:tcW w:w="2826" w:type="dxa"/>
            <w:shd w:val="clear" w:color="auto" w:fill="auto"/>
          </w:tcPr>
          <w:p w:rsidR="00D52027" w:rsidRPr="0087696B" w:rsidRDefault="00D52027" w:rsidP="00E3426F">
            <w:pPr>
              <w:jc w:val="center"/>
            </w:pPr>
            <w:r w:rsidRPr="0087696B">
              <w:t>17</w:t>
            </w:r>
          </w:p>
        </w:tc>
        <w:tc>
          <w:tcPr>
            <w:tcW w:w="2952" w:type="dxa"/>
            <w:shd w:val="clear" w:color="auto" w:fill="auto"/>
          </w:tcPr>
          <w:p w:rsidR="00D52027" w:rsidRPr="0087696B" w:rsidRDefault="00D52027" w:rsidP="00E3426F">
            <w:r w:rsidRPr="0087696B">
              <w:t>June of 3</w:t>
            </w:r>
            <w:r w:rsidRPr="00923AEA">
              <w:rPr>
                <w:vertAlign w:val="superscript"/>
              </w:rPr>
              <w:t>rd</w:t>
            </w:r>
            <w:r w:rsidRPr="0087696B">
              <w:t xml:space="preserve"> reporting year</w:t>
            </w:r>
          </w:p>
        </w:tc>
      </w:tr>
      <w:tr w:rsidR="00D52027" w:rsidRPr="0087696B" w:rsidTr="00E3426F">
        <w:tc>
          <w:tcPr>
            <w:tcW w:w="3078" w:type="dxa"/>
            <w:shd w:val="clear" w:color="auto" w:fill="auto"/>
          </w:tcPr>
          <w:p w:rsidR="00D52027" w:rsidRPr="0087696B" w:rsidRDefault="00D52027" w:rsidP="00E3426F">
            <w:r w:rsidRPr="0087696B">
              <w:t>Complete Cycle of Reviews</w:t>
            </w:r>
          </w:p>
        </w:tc>
        <w:tc>
          <w:tcPr>
            <w:tcW w:w="2826" w:type="dxa"/>
            <w:shd w:val="clear" w:color="auto" w:fill="auto"/>
          </w:tcPr>
          <w:p w:rsidR="00D52027" w:rsidRPr="0087696B" w:rsidRDefault="00D52027" w:rsidP="00E3426F">
            <w:pPr>
              <w:jc w:val="center"/>
            </w:pPr>
            <w:r w:rsidRPr="0087696B">
              <w:t>52</w:t>
            </w:r>
          </w:p>
        </w:tc>
        <w:tc>
          <w:tcPr>
            <w:tcW w:w="2952" w:type="dxa"/>
            <w:shd w:val="clear" w:color="auto" w:fill="auto"/>
          </w:tcPr>
          <w:p w:rsidR="00D52027" w:rsidRPr="0087696B" w:rsidRDefault="00D52027" w:rsidP="00E3426F">
            <w:r w:rsidRPr="0087696B">
              <w:t>Current cycle concludes: June 30, 2016</w:t>
            </w:r>
          </w:p>
        </w:tc>
      </w:tr>
    </w:tbl>
    <w:p w:rsidR="00D52027" w:rsidRPr="0087696B" w:rsidRDefault="00D52027" w:rsidP="00D52027"/>
    <w:p w:rsidR="00D52027" w:rsidRPr="0087696B" w:rsidRDefault="00D52027" w:rsidP="00D52027">
      <w:pPr>
        <w:rPr>
          <w:b/>
        </w:rPr>
      </w:pPr>
    </w:p>
    <w:p w:rsidR="00D52027" w:rsidRPr="0087696B" w:rsidRDefault="00D52027" w:rsidP="00D52027">
      <w:pPr>
        <w:rPr>
          <w:b/>
        </w:rPr>
      </w:pPr>
      <w:r w:rsidRPr="0087696B">
        <w:rPr>
          <w:b/>
        </w:rPr>
        <w:t>2. Procedures for the Collection of Information:</w:t>
      </w:r>
    </w:p>
    <w:p w:rsidR="00D52027" w:rsidRPr="0087696B" w:rsidRDefault="00D52027" w:rsidP="00D52027">
      <w:pPr>
        <w:rPr>
          <w:b/>
        </w:rPr>
      </w:pPr>
    </w:p>
    <w:p w:rsidR="00D52027" w:rsidRPr="0087696B" w:rsidRDefault="00D52027" w:rsidP="00D52027">
      <w:r w:rsidRPr="0087696B">
        <w:t xml:space="preserve">Each of the respondents for each year randomly select a sample of 271 or 276 cases for review, sufficient to achieve the OMB-approved 90% confidence interval +/- 5.  Data are entered in case-specific </w:t>
      </w:r>
      <w:r w:rsidRPr="0087696B">
        <w:rPr>
          <w:i/>
          <w:color w:val="000000"/>
        </w:rPr>
        <w:t>Record Review Worksheet</w:t>
      </w:r>
      <w:r w:rsidRPr="0087696B">
        <w:rPr>
          <w:color w:val="000000"/>
        </w:rPr>
        <w:t xml:space="preserve"> </w:t>
      </w:r>
      <w:r w:rsidRPr="0087696B">
        <w:t xml:space="preserve">and then consolidated for entry into the </w:t>
      </w:r>
      <w:r w:rsidRPr="0087696B">
        <w:rPr>
          <w:i/>
        </w:rPr>
        <w:t>State Improper Payment Report</w:t>
      </w:r>
      <w:r w:rsidRPr="0087696B">
        <w:t>.  Respondents submit their report on or before June 30 of the reporting year.</w:t>
      </w:r>
    </w:p>
    <w:p w:rsidR="00D52027" w:rsidRPr="0087696B" w:rsidRDefault="00D52027" w:rsidP="00D52027">
      <w:pPr>
        <w:rPr>
          <w:b/>
        </w:rPr>
      </w:pPr>
      <w:r w:rsidRPr="0087696B">
        <w:rPr>
          <w:b/>
        </w:rPr>
        <w:t>3. Methods to Maximize Response Rates and Deal with Nonresponse:</w:t>
      </w:r>
    </w:p>
    <w:p w:rsidR="00D52027" w:rsidRPr="0087696B" w:rsidRDefault="00D52027" w:rsidP="00D52027"/>
    <w:p w:rsidR="00D52027" w:rsidRPr="0087696B" w:rsidRDefault="00D52027" w:rsidP="00D52027">
      <w:r w:rsidRPr="0087696B">
        <w:t>There will be a 100 % response rate to this required collection.</w:t>
      </w:r>
    </w:p>
    <w:p w:rsidR="00D52027" w:rsidRPr="0087696B" w:rsidRDefault="00D52027" w:rsidP="00D52027"/>
    <w:p w:rsidR="00D52027" w:rsidRPr="0087696B" w:rsidRDefault="00D52027" w:rsidP="00D52027">
      <w:pPr>
        <w:rPr>
          <w:b/>
        </w:rPr>
      </w:pPr>
      <w:r w:rsidRPr="0087696B">
        <w:rPr>
          <w:b/>
        </w:rPr>
        <w:t>4. Tests of Procedures or Methods to be Undertaken:</w:t>
      </w:r>
    </w:p>
    <w:p w:rsidR="00D52027" w:rsidRPr="0087696B" w:rsidRDefault="00D52027" w:rsidP="00D52027">
      <w:pPr>
        <w:rPr>
          <w:b/>
        </w:rPr>
      </w:pPr>
    </w:p>
    <w:p w:rsidR="00D52027" w:rsidRPr="0087696B" w:rsidRDefault="00D52027" w:rsidP="00D52027">
      <w:r w:rsidRPr="0087696B">
        <w:t>Implementation of the original Error Rate Review methodology began in October 2007. All respondents have completed or are finishing their second cycle reviews and have provided continuous feedback and input into the adjustments found in these instructions. The methodology revision will take effect in October 2015.</w:t>
      </w:r>
    </w:p>
    <w:p w:rsidR="00D52027" w:rsidRPr="0087696B" w:rsidRDefault="00D52027" w:rsidP="00D52027">
      <w:pPr>
        <w:rPr>
          <w:b/>
        </w:rPr>
      </w:pPr>
    </w:p>
    <w:p w:rsidR="00D52027" w:rsidRPr="0087696B" w:rsidRDefault="00D52027" w:rsidP="00D52027">
      <w:pPr>
        <w:rPr>
          <w:b/>
        </w:rPr>
      </w:pPr>
      <w:r w:rsidRPr="0087696B">
        <w:rPr>
          <w:b/>
        </w:rPr>
        <w:t>5. Individuals Consulted on Statistical Aspects and Individuals Collecting and/or Analyzing Data:</w:t>
      </w:r>
    </w:p>
    <w:p w:rsidR="00D52027" w:rsidRPr="0087696B" w:rsidRDefault="00D52027" w:rsidP="00D52027">
      <w:pPr>
        <w:rPr>
          <w:b/>
        </w:rPr>
      </w:pPr>
    </w:p>
    <w:p w:rsidR="00D52027" w:rsidRPr="0087696B" w:rsidRDefault="00D52027" w:rsidP="00D52027">
      <w:r w:rsidRPr="0087696B">
        <w:t>Ongoing communication and feedback from participant has been incorporated into adjustments for this revision. In addition, the following have been involved in the statistical aspects and data analysis process for the collection:</w:t>
      </w:r>
    </w:p>
    <w:p w:rsidR="00D52027" w:rsidRPr="0087696B" w:rsidRDefault="00D52027" w:rsidP="00D52027">
      <w:pPr>
        <w:rPr>
          <w:b/>
        </w:rPr>
      </w:pPr>
    </w:p>
    <w:p w:rsidR="00D52027" w:rsidRPr="0087696B" w:rsidRDefault="00D52027" w:rsidP="00D52027">
      <w:pPr>
        <w:rPr>
          <w:b/>
        </w:rPr>
      </w:pPr>
      <w:r w:rsidRPr="0087696B">
        <w:rPr>
          <w:b/>
        </w:rPr>
        <w:t>Michelle Dilks</w:t>
      </w:r>
      <w:r w:rsidRPr="0087696B">
        <w:rPr>
          <w:b/>
        </w:rPr>
        <w:tab/>
      </w:r>
      <w:r w:rsidRPr="0087696B">
        <w:rPr>
          <w:b/>
        </w:rPr>
        <w:tab/>
        <w:t>COR/Federal Project Officer</w:t>
      </w:r>
      <w:r w:rsidRPr="0087696B">
        <w:rPr>
          <w:b/>
        </w:rPr>
        <w:tab/>
      </w:r>
      <w:r w:rsidRPr="0087696B">
        <w:rPr>
          <w:b/>
        </w:rPr>
        <w:tab/>
        <w:t>(202)401-5033</w:t>
      </w:r>
    </w:p>
    <w:p w:rsidR="00D52027" w:rsidRPr="0087696B" w:rsidRDefault="00D52027" w:rsidP="00D52027">
      <w:pPr>
        <w:rPr>
          <w:b/>
        </w:rPr>
      </w:pPr>
      <w:r w:rsidRPr="0087696B">
        <w:rPr>
          <w:b/>
        </w:rPr>
        <w:t>Moniquin Huggins</w:t>
      </w:r>
      <w:r w:rsidRPr="0087696B">
        <w:rPr>
          <w:b/>
        </w:rPr>
        <w:tab/>
      </w:r>
      <w:r w:rsidRPr="0087696B">
        <w:rPr>
          <w:b/>
        </w:rPr>
        <w:tab/>
        <w:t>Director, Program Operations, OCC</w:t>
      </w:r>
      <w:r w:rsidRPr="0087696B">
        <w:rPr>
          <w:b/>
        </w:rPr>
        <w:tab/>
        <w:t>(202)690-8490</w:t>
      </w:r>
    </w:p>
    <w:p w:rsidR="00D52027" w:rsidRPr="0087696B" w:rsidRDefault="00D52027" w:rsidP="00D52027">
      <w:pPr>
        <w:rPr>
          <w:b/>
        </w:rPr>
      </w:pPr>
      <w:r w:rsidRPr="0087696B">
        <w:rPr>
          <w:b/>
        </w:rPr>
        <w:t>Harry Day</w:t>
      </w:r>
      <w:r w:rsidRPr="0087696B">
        <w:rPr>
          <w:b/>
        </w:rPr>
        <w:tab/>
      </w:r>
      <w:r w:rsidRPr="0087696B">
        <w:rPr>
          <w:b/>
        </w:rPr>
        <w:tab/>
      </w:r>
      <w:r w:rsidRPr="0087696B">
        <w:rPr>
          <w:b/>
        </w:rPr>
        <w:tab/>
        <w:t>NCCCSIA statistician</w:t>
      </w:r>
      <w:r w:rsidRPr="0087696B">
        <w:rPr>
          <w:b/>
        </w:rPr>
        <w:tab/>
      </w:r>
      <w:r w:rsidRPr="0087696B">
        <w:rPr>
          <w:b/>
        </w:rPr>
        <w:tab/>
      </w:r>
      <w:r w:rsidRPr="0087696B">
        <w:rPr>
          <w:b/>
        </w:rPr>
        <w:tab/>
        <w:t>(301)881-2590</w:t>
      </w:r>
    </w:p>
    <w:p w:rsidR="00C64FAC" w:rsidRDefault="00C64FAC"/>
    <w:sectPr w:rsidR="00C64F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27"/>
    <w:rsid w:val="00123B38"/>
    <w:rsid w:val="00C64FAC"/>
    <w:rsid w:val="00D5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Robert A (ACF)</dc:creator>
  <cp:keywords/>
  <dc:description/>
  <cp:lastModifiedBy>SYSTEM</cp:lastModifiedBy>
  <cp:revision>2</cp:revision>
  <dcterms:created xsi:type="dcterms:W3CDTF">2018-07-13T19:38:00Z</dcterms:created>
  <dcterms:modified xsi:type="dcterms:W3CDTF">2018-07-13T19:38:00Z</dcterms:modified>
</cp:coreProperties>
</file>