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1FDDF" w14:textId="77777777" w:rsidR="00237AC8" w:rsidRPr="00203A57" w:rsidRDefault="00237AC8" w:rsidP="00237AC8">
      <w:pPr>
        <w:widowControl/>
        <w:tabs>
          <w:tab w:val="center" w:pos="4680"/>
        </w:tabs>
        <w:jc w:val="center"/>
        <w:rPr>
          <w:rFonts w:ascii="Times New Roman" w:hAnsi="Times New Roman"/>
          <w:b/>
          <w:bCs/>
        </w:rPr>
      </w:pPr>
      <w:bookmarkStart w:id="0" w:name="_GoBack"/>
      <w:bookmarkEnd w:id="0"/>
      <w:r w:rsidRPr="00203A57">
        <w:rPr>
          <w:rFonts w:ascii="Times New Roman" w:hAnsi="Times New Roman"/>
          <w:b/>
          <w:bCs/>
        </w:rPr>
        <w:t>SUPPORTING STATEMENT</w:t>
      </w:r>
    </w:p>
    <w:p w14:paraId="2BE50F5B" w14:textId="36F5E102" w:rsidR="00237AC8" w:rsidRPr="00E80935" w:rsidRDefault="00237AC8" w:rsidP="00237AC8">
      <w:pPr>
        <w:widowControl/>
        <w:tabs>
          <w:tab w:val="center" w:pos="4680"/>
        </w:tabs>
        <w:jc w:val="center"/>
        <w:rPr>
          <w:rFonts w:ascii="Times New Roman" w:hAnsi="Times New Roman"/>
        </w:rPr>
      </w:pPr>
      <w:r w:rsidRPr="00E80935">
        <w:rPr>
          <w:rFonts w:ascii="Times New Roman" w:hAnsi="Times New Roman"/>
          <w:b/>
          <w:bCs/>
        </w:rPr>
        <w:t>Survey of Sexual Victimization, 20</w:t>
      </w:r>
      <w:r w:rsidR="00EB12B8" w:rsidRPr="00E80935">
        <w:rPr>
          <w:rFonts w:ascii="Times New Roman" w:hAnsi="Times New Roman"/>
          <w:b/>
          <w:bCs/>
        </w:rPr>
        <w:t>17, 2018, and 2019</w:t>
      </w:r>
    </w:p>
    <w:p w14:paraId="0D8AEA82" w14:textId="04174A9C" w:rsidR="00237AC8" w:rsidRPr="00E80935" w:rsidRDefault="00237AC8" w:rsidP="00B54A7D">
      <w:pPr>
        <w:widowControl/>
        <w:rPr>
          <w:rFonts w:ascii="Times New Roman" w:hAnsi="Times New Roman"/>
        </w:rPr>
      </w:pPr>
    </w:p>
    <w:p w14:paraId="2553258A" w14:textId="77777777" w:rsidR="00791C9F" w:rsidRPr="00E80935" w:rsidRDefault="00791C9F" w:rsidP="00563258">
      <w:pPr>
        <w:widowControl/>
        <w:rPr>
          <w:rFonts w:ascii="Times New Roman" w:hAnsi="Times New Roman"/>
        </w:rPr>
      </w:pPr>
      <w:r w:rsidRPr="00E80935">
        <w:rPr>
          <w:rFonts w:ascii="Times New Roman" w:hAnsi="Times New Roman"/>
          <w:b/>
          <w:bCs/>
        </w:rPr>
        <w:t>B</w:t>
      </w:r>
      <w:r w:rsidRPr="00E80935">
        <w:rPr>
          <w:rFonts w:ascii="Times New Roman" w:hAnsi="Times New Roman"/>
        </w:rPr>
        <w:t>.</w:t>
      </w:r>
      <w:r w:rsidRPr="00E80935">
        <w:rPr>
          <w:rFonts w:ascii="Times New Roman" w:hAnsi="Times New Roman"/>
        </w:rPr>
        <w:tab/>
      </w:r>
      <w:r w:rsidRPr="00E80935">
        <w:rPr>
          <w:rFonts w:ascii="Times New Roman" w:hAnsi="Times New Roman"/>
          <w:b/>
          <w:bCs/>
        </w:rPr>
        <w:t>Statistical Methods</w:t>
      </w:r>
    </w:p>
    <w:p w14:paraId="01D3EE56" w14:textId="77777777" w:rsidR="00791C9F" w:rsidRPr="00E80935" w:rsidRDefault="00791C9F">
      <w:pPr>
        <w:widowControl/>
        <w:rPr>
          <w:rFonts w:ascii="Times New Roman" w:hAnsi="Times New Roman"/>
        </w:rPr>
      </w:pPr>
    </w:p>
    <w:p w14:paraId="3A6B0C7E" w14:textId="6CF8B527" w:rsidR="00791C9F" w:rsidRPr="00E80935" w:rsidRDefault="00791C9F" w:rsidP="00D2460B">
      <w:pPr>
        <w:widowControl/>
        <w:rPr>
          <w:rFonts w:ascii="Times New Roman" w:hAnsi="Times New Roman"/>
        </w:rPr>
      </w:pPr>
      <w:r w:rsidRPr="00E80935">
        <w:rPr>
          <w:rFonts w:ascii="Times New Roman" w:hAnsi="Times New Roman"/>
        </w:rPr>
        <w:t>1.</w:t>
      </w:r>
      <w:r w:rsidRPr="00E80935">
        <w:rPr>
          <w:rFonts w:ascii="Times New Roman" w:hAnsi="Times New Roman"/>
        </w:rPr>
        <w:tab/>
      </w:r>
      <w:r w:rsidRPr="00E80935">
        <w:rPr>
          <w:rFonts w:ascii="Times New Roman" w:hAnsi="Times New Roman"/>
          <w:u w:val="single"/>
        </w:rPr>
        <w:t>Universe</w:t>
      </w:r>
      <w:r w:rsidR="00630F31" w:rsidRPr="00E80935">
        <w:rPr>
          <w:rFonts w:ascii="Times New Roman" w:hAnsi="Times New Roman"/>
          <w:u w:val="single"/>
        </w:rPr>
        <w:t xml:space="preserve"> and Respondent Selection</w:t>
      </w:r>
    </w:p>
    <w:p w14:paraId="37CB20E8" w14:textId="77777777" w:rsidR="00791C9F" w:rsidRPr="00E80935" w:rsidRDefault="00791C9F" w:rsidP="00D2460B">
      <w:pPr>
        <w:widowControl/>
        <w:ind w:firstLine="720"/>
        <w:rPr>
          <w:rFonts w:ascii="Times New Roman" w:hAnsi="Times New Roman"/>
        </w:rPr>
      </w:pPr>
    </w:p>
    <w:p w14:paraId="676931D6" w14:textId="0CC02955" w:rsidR="00F23540" w:rsidRPr="00E80935" w:rsidRDefault="00791C9F" w:rsidP="00375E07">
      <w:pPr>
        <w:ind w:left="720"/>
        <w:rPr>
          <w:rStyle w:val="Strong"/>
          <w:b w:val="0"/>
        </w:rPr>
      </w:pPr>
      <w:r w:rsidRPr="00E80935">
        <w:rPr>
          <w:rFonts w:ascii="Times New Roman" w:hAnsi="Times New Roman"/>
        </w:rPr>
        <w:t xml:space="preserve">The </w:t>
      </w:r>
      <w:r w:rsidR="009E5D0E" w:rsidRPr="00E80935">
        <w:rPr>
          <w:rFonts w:ascii="Times New Roman" w:hAnsi="Times New Roman"/>
        </w:rPr>
        <w:t xml:space="preserve">SSV </w:t>
      </w:r>
      <w:r w:rsidRPr="00E80935">
        <w:rPr>
          <w:rFonts w:ascii="Times New Roman" w:hAnsi="Times New Roman"/>
        </w:rPr>
        <w:t xml:space="preserve">collects information on </w:t>
      </w:r>
      <w:r w:rsidR="000B5946" w:rsidRPr="00E80935">
        <w:rPr>
          <w:rFonts w:ascii="Times New Roman" w:hAnsi="Times New Roman"/>
        </w:rPr>
        <w:t xml:space="preserve">allegations and substantiated </w:t>
      </w:r>
      <w:r w:rsidR="009E5D0E" w:rsidRPr="00E80935">
        <w:rPr>
          <w:rFonts w:ascii="Times New Roman" w:hAnsi="Times New Roman"/>
        </w:rPr>
        <w:t xml:space="preserve">incidents </w:t>
      </w:r>
      <w:r w:rsidR="00FA4364" w:rsidRPr="00E80935">
        <w:rPr>
          <w:rFonts w:ascii="Times New Roman" w:hAnsi="Times New Roman"/>
        </w:rPr>
        <w:t xml:space="preserve">of </w:t>
      </w:r>
      <w:r w:rsidR="009E5D0E" w:rsidRPr="00E80935">
        <w:rPr>
          <w:rFonts w:ascii="Times New Roman" w:hAnsi="Times New Roman"/>
        </w:rPr>
        <w:t xml:space="preserve">sexual </w:t>
      </w:r>
      <w:r w:rsidR="00AB5780" w:rsidRPr="00E80935">
        <w:rPr>
          <w:rFonts w:ascii="Times New Roman" w:hAnsi="Times New Roman"/>
        </w:rPr>
        <w:t>victimization</w:t>
      </w:r>
      <w:r w:rsidR="009E5D0E" w:rsidRPr="00E80935">
        <w:rPr>
          <w:rFonts w:ascii="Times New Roman" w:hAnsi="Times New Roman"/>
        </w:rPr>
        <w:t xml:space="preserve"> that occur in </w:t>
      </w:r>
      <w:r w:rsidR="00593650" w:rsidRPr="00E80935">
        <w:rPr>
          <w:rFonts w:ascii="Times New Roman" w:hAnsi="Times New Roman"/>
        </w:rPr>
        <w:t xml:space="preserve">adult and juvenile </w:t>
      </w:r>
      <w:r w:rsidR="009E5D0E" w:rsidRPr="00E80935">
        <w:rPr>
          <w:rFonts w:ascii="Times New Roman" w:hAnsi="Times New Roman"/>
        </w:rPr>
        <w:t>correctional facilities.</w:t>
      </w:r>
      <w:r w:rsidR="00B54A7D" w:rsidRPr="00E80935">
        <w:rPr>
          <w:rFonts w:ascii="Times New Roman" w:hAnsi="Times New Roman"/>
        </w:rPr>
        <w:t xml:space="preserve"> </w:t>
      </w:r>
      <w:r w:rsidR="009D20F6" w:rsidRPr="00E80935">
        <w:rPr>
          <w:rStyle w:val="Strong"/>
          <w:b w:val="0"/>
        </w:rPr>
        <w:t>BJS</w:t>
      </w:r>
      <w:r w:rsidR="006709E0" w:rsidRPr="00E80935">
        <w:rPr>
          <w:rStyle w:val="Strong"/>
          <w:b w:val="0"/>
        </w:rPr>
        <w:t xml:space="preserve"> uses </w:t>
      </w:r>
      <w:r w:rsidR="009D20F6" w:rsidRPr="00E80935">
        <w:rPr>
          <w:rStyle w:val="Strong"/>
          <w:b w:val="0"/>
        </w:rPr>
        <w:t>a series of</w:t>
      </w:r>
      <w:r w:rsidR="006709E0" w:rsidRPr="00E80935">
        <w:rPr>
          <w:rStyle w:val="Strong"/>
          <w:b w:val="0"/>
        </w:rPr>
        <w:t xml:space="preserve"> sampling frames to identify the universe of facilities covered by PREA. </w:t>
      </w:r>
      <w:r w:rsidR="00D62F53" w:rsidRPr="00E80935">
        <w:rPr>
          <w:rStyle w:val="Strong"/>
          <w:b w:val="0"/>
        </w:rPr>
        <w:t xml:space="preserve">This universe is fluid due </w:t>
      </w:r>
      <w:r w:rsidR="00FC45BE" w:rsidRPr="00E80935">
        <w:rPr>
          <w:rStyle w:val="Strong"/>
          <w:b w:val="0"/>
        </w:rPr>
        <w:t xml:space="preserve">to </w:t>
      </w:r>
      <w:r w:rsidR="00757EFA" w:rsidRPr="00E80935">
        <w:rPr>
          <w:rStyle w:val="Strong"/>
          <w:b w:val="0"/>
        </w:rPr>
        <w:t xml:space="preserve">changes in </w:t>
      </w:r>
      <w:r w:rsidR="001F72CC" w:rsidRPr="00E80935">
        <w:rPr>
          <w:rStyle w:val="Strong"/>
          <w:b w:val="0"/>
        </w:rPr>
        <w:t xml:space="preserve">the </w:t>
      </w:r>
      <w:r w:rsidR="00757EFA" w:rsidRPr="00E80935">
        <w:rPr>
          <w:rStyle w:val="Strong"/>
          <w:b w:val="0"/>
        </w:rPr>
        <w:t>operational status</w:t>
      </w:r>
      <w:r w:rsidR="001F72CC" w:rsidRPr="00E80935">
        <w:rPr>
          <w:rStyle w:val="Strong"/>
          <w:b w:val="0"/>
        </w:rPr>
        <w:t xml:space="preserve"> of facilities</w:t>
      </w:r>
      <w:r w:rsidR="00757EFA" w:rsidRPr="00E80935">
        <w:rPr>
          <w:rStyle w:val="Strong"/>
          <w:b w:val="0"/>
        </w:rPr>
        <w:t>, including openings</w:t>
      </w:r>
      <w:r w:rsidR="001F72CC" w:rsidRPr="00E80935">
        <w:rPr>
          <w:rStyle w:val="Strong"/>
          <w:b w:val="0"/>
        </w:rPr>
        <w:t>,</w:t>
      </w:r>
      <w:r w:rsidR="00757EFA" w:rsidRPr="00E80935">
        <w:rPr>
          <w:rStyle w:val="Strong"/>
          <w:b w:val="0"/>
        </w:rPr>
        <w:t xml:space="preserve"> closings</w:t>
      </w:r>
      <w:r w:rsidR="001F72CC" w:rsidRPr="00E80935">
        <w:rPr>
          <w:rStyle w:val="Strong"/>
          <w:b w:val="0"/>
        </w:rPr>
        <w:t>,</w:t>
      </w:r>
      <w:r w:rsidR="00757EFA" w:rsidRPr="00E80935">
        <w:rPr>
          <w:rStyle w:val="Strong"/>
          <w:b w:val="0"/>
        </w:rPr>
        <w:t xml:space="preserve"> new</w:t>
      </w:r>
      <w:r w:rsidR="001F72CC" w:rsidRPr="00E80935">
        <w:rPr>
          <w:rStyle w:val="Strong"/>
          <w:b w:val="0"/>
        </w:rPr>
        <w:t xml:space="preserve"> contracts</w:t>
      </w:r>
      <w:r w:rsidR="00757EFA" w:rsidRPr="00E80935">
        <w:rPr>
          <w:rStyle w:val="Strong"/>
          <w:b w:val="0"/>
        </w:rPr>
        <w:t xml:space="preserve"> </w:t>
      </w:r>
      <w:r w:rsidR="001F72CC" w:rsidRPr="00E80935">
        <w:rPr>
          <w:rStyle w:val="Strong"/>
          <w:b w:val="0"/>
        </w:rPr>
        <w:t>(i.e., privately operated)</w:t>
      </w:r>
      <w:r w:rsidR="00593650" w:rsidRPr="00E80935">
        <w:rPr>
          <w:rStyle w:val="Strong"/>
          <w:b w:val="0"/>
        </w:rPr>
        <w:t>,</w:t>
      </w:r>
      <w:r w:rsidR="001F72CC" w:rsidRPr="00E80935">
        <w:rPr>
          <w:rStyle w:val="Strong"/>
          <w:b w:val="0"/>
        </w:rPr>
        <w:t xml:space="preserve"> and</w:t>
      </w:r>
      <w:r w:rsidR="00757EFA" w:rsidRPr="00E80935">
        <w:rPr>
          <w:rStyle w:val="Strong"/>
          <w:b w:val="0"/>
        </w:rPr>
        <w:t xml:space="preserve"> </w:t>
      </w:r>
      <w:r w:rsidR="00A80F80" w:rsidRPr="00E80935">
        <w:rPr>
          <w:rStyle w:val="Strong"/>
          <w:b w:val="0"/>
        </w:rPr>
        <w:t>ended</w:t>
      </w:r>
      <w:r w:rsidR="00757EFA" w:rsidRPr="00E80935">
        <w:rPr>
          <w:rStyle w:val="Strong"/>
          <w:b w:val="0"/>
        </w:rPr>
        <w:t xml:space="preserve"> contracts </w:t>
      </w:r>
      <w:r w:rsidR="001F72CC" w:rsidRPr="00E80935">
        <w:rPr>
          <w:rStyle w:val="Strong"/>
          <w:b w:val="0"/>
        </w:rPr>
        <w:t xml:space="preserve">(i.e., </w:t>
      </w:r>
      <w:r w:rsidR="00593650" w:rsidRPr="00E80935">
        <w:rPr>
          <w:rStyle w:val="Strong"/>
          <w:b w:val="0"/>
        </w:rPr>
        <w:t>no longer privately</w:t>
      </w:r>
      <w:r w:rsidR="001F72CC" w:rsidRPr="00E80935">
        <w:rPr>
          <w:rStyle w:val="Strong"/>
          <w:b w:val="0"/>
        </w:rPr>
        <w:t xml:space="preserve"> operat</w:t>
      </w:r>
      <w:r w:rsidR="00593650" w:rsidRPr="00E80935">
        <w:rPr>
          <w:rStyle w:val="Strong"/>
          <w:b w:val="0"/>
        </w:rPr>
        <w:t>ed</w:t>
      </w:r>
      <w:r w:rsidR="001F72CC" w:rsidRPr="00E80935">
        <w:rPr>
          <w:rStyle w:val="Strong"/>
          <w:b w:val="0"/>
        </w:rPr>
        <w:t>)</w:t>
      </w:r>
      <w:r w:rsidR="00D62F53" w:rsidRPr="00E80935">
        <w:rPr>
          <w:rStyle w:val="Strong"/>
          <w:b w:val="0"/>
        </w:rPr>
        <w:t xml:space="preserve">. </w:t>
      </w:r>
    </w:p>
    <w:p w14:paraId="12E971F6" w14:textId="77777777" w:rsidR="00F23540" w:rsidRPr="00E80935" w:rsidRDefault="00F23540" w:rsidP="00471BE4">
      <w:pPr>
        <w:ind w:left="720"/>
        <w:rPr>
          <w:rStyle w:val="Strong"/>
          <w:b w:val="0"/>
        </w:rPr>
      </w:pPr>
    </w:p>
    <w:p w14:paraId="2945256F" w14:textId="77777777" w:rsidR="00F23540" w:rsidRPr="00E80935" w:rsidRDefault="00F23540" w:rsidP="00471BE4">
      <w:pPr>
        <w:ind w:left="720"/>
        <w:rPr>
          <w:rStyle w:val="Strong"/>
          <w:b w:val="0"/>
          <w:i/>
        </w:rPr>
      </w:pPr>
      <w:r w:rsidRPr="00E80935">
        <w:rPr>
          <w:rStyle w:val="Strong"/>
          <w:b w:val="0"/>
          <w:i/>
        </w:rPr>
        <w:t>State and</w:t>
      </w:r>
      <w:r w:rsidR="005E5E46" w:rsidRPr="00E80935">
        <w:rPr>
          <w:rStyle w:val="Strong"/>
          <w:b w:val="0"/>
          <w:i/>
        </w:rPr>
        <w:t xml:space="preserve"> federal prison systems</w:t>
      </w:r>
    </w:p>
    <w:p w14:paraId="5BF683AB" w14:textId="1345655F" w:rsidR="00471BE4" w:rsidRPr="00E80935" w:rsidRDefault="00DB1744" w:rsidP="00471BE4">
      <w:pPr>
        <w:ind w:left="720"/>
        <w:rPr>
          <w:rStyle w:val="Strong"/>
          <w:b w:val="0"/>
        </w:rPr>
      </w:pPr>
      <w:r w:rsidRPr="00E80935">
        <w:rPr>
          <w:rStyle w:val="Strong"/>
          <w:b w:val="0"/>
        </w:rPr>
        <w:t xml:space="preserve">The state and federal prison systems have centralized reporting. </w:t>
      </w:r>
      <w:r w:rsidR="009D6D80" w:rsidRPr="00E80935">
        <w:rPr>
          <w:rStyle w:val="Strong"/>
          <w:b w:val="0"/>
        </w:rPr>
        <w:t xml:space="preserve">About 2 months prior to launching the survey each year, </w:t>
      </w:r>
      <w:r w:rsidR="00F23540" w:rsidRPr="00E80935">
        <w:rPr>
          <w:rStyle w:val="Strong"/>
          <w:b w:val="0"/>
        </w:rPr>
        <w:t>B</w:t>
      </w:r>
      <w:r w:rsidR="005E5E46" w:rsidRPr="00E80935">
        <w:rPr>
          <w:rStyle w:val="Strong"/>
          <w:b w:val="0"/>
        </w:rPr>
        <w:t xml:space="preserve">JS receives </w:t>
      </w:r>
      <w:r w:rsidR="009D6D80" w:rsidRPr="00E80935">
        <w:rPr>
          <w:rStyle w:val="Strong"/>
          <w:b w:val="0"/>
        </w:rPr>
        <w:t>an</w:t>
      </w:r>
      <w:r w:rsidR="005E5E46" w:rsidRPr="00E80935">
        <w:rPr>
          <w:rStyle w:val="Strong"/>
          <w:b w:val="0"/>
        </w:rPr>
        <w:t xml:space="preserve"> update of </w:t>
      </w:r>
      <w:r w:rsidRPr="00E80935">
        <w:rPr>
          <w:rStyle w:val="Strong"/>
          <w:b w:val="0"/>
        </w:rPr>
        <w:t>the</w:t>
      </w:r>
      <w:r w:rsidR="005E5E46" w:rsidRPr="00E80935">
        <w:rPr>
          <w:rStyle w:val="Strong"/>
          <w:b w:val="0"/>
        </w:rPr>
        <w:t xml:space="preserve"> listing of </w:t>
      </w:r>
      <w:r w:rsidR="00FC45BE" w:rsidRPr="00E80935">
        <w:rPr>
          <w:rStyle w:val="Strong"/>
          <w:b w:val="0"/>
        </w:rPr>
        <w:t xml:space="preserve">state and federal prison </w:t>
      </w:r>
      <w:r w:rsidR="005E5E46" w:rsidRPr="00E80935">
        <w:rPr>
          <w:rStyle w:val="Strong"/>
          <w:b w:val="0"/>
        </w:rPr>
        <w:t xml:space="preserve">administrators from the Association of State Correctional Administrators. </w:t>
      </w:r>
    </w:p>
    <w:p w14:paraId="21A9F968" w14:textId="77777777" w:rsidR="00471BE4" w:rsidRPr="00E80935" w:rsidRDefault="00471BE4" w:rsidP="00471BE4">
      <w:pPr>
        <w:ind w:left="720"/>
        <w:rPr>
          <w:rStyle w:val="Strong"/>
          <w:b w:val="0"/>
        </w:rPr>
      </w:pPr>
    </w:p>
    <w:p w14:paraId="31EC4C1C" w14:textId="77777777" w:rsidR="00F23540" w:rsidRPr="00E80935" w:rsidRDefault="00F23540" w:rsidP="00471BE4">
      <w:pPr>
        <w:ind w:left="720"/>
        <w:rPr>
          <w:rStyle w:val="Strong"/>
          <w:b w:val="0"/>
          <w:i/>
        </w:rPr>
      </w:pPr>
      <w:r w:rsidRPr="00E80935">
        <w:rPr>
          <w:rStyle w:val="Strong"/>
          <w:b w:val="0"/>
          <w:i/>
        </w:rPr>
        <w:t>Private prisons</w:t>
      </w:r>
    </w:p>
    <w:p w14:paraId="1AAF81B2" w14:textId="45A51092" w:rsidR="003B0079" w:rsidRPr="00E80935" w:rsidRDefault="003B0079" w:rsidP="00471BE4">
      <w:pPr>
        <w:ind w:left="720"/>
        <w:rPr>
          <w:rStyle w:val="Strong"/>
          <w:b w:val="0"/>
        </w:rPr>
      </w:pPr>
      <w:r w:rsidRPr="00E80935" w:rsidDel="00471BE4">
        <w:rPr>
          <w:rStyle w:val="Strong"/>
          <w:b w:val="0"/>
        </w:rPr>
        <w:t xml:space="preserve">The private prison sample </w:t>
      </w:r>
      <w:r w:rsidRPr="00E80935">
        <w:rPr>
          <w:rStyle w:val="Strong"/>
          <w:b w:val="0"/>
        </w:rPr>
        <w:t>is drawn</w:t>
      </w:r>
      <w:r w:rsidRPr="00E80935" w:rsidDel="00471BE4">
        <w:rPr>
          <w:rStyle w:val="Strong"/>
          <w:b w:val="0"/>
        </w:rPr>
        <w:t xml:space="preserve"> from the </w:t>
      </w:r>
      <w:r w:rsidRPr="00E80935" w:rsidDel="00471BE4">
        <w:rPr>
          <w:rStyle w:val="Strong"/>
          <w:b w:val="0"/>
          <w:i/>
        </w:rPr>
        <w:t>Census of State and Federal Adult Correctional Facilities</w:t>
      </w:r>
      <w:r w:rsidRPr="00E80935" w:rsidDel="00471BE4">
        <w:rPr>
          <w:rStyle w:val="Strong"/>
          <w:b w:val="0"/>
        </w:rPr>
        <w:t xml:space="preserve"> (</w:t>
      </w:r>
      <w:r w:rsidR="00A80F80" w:rsidRPr="00E80935">
        <w:rPr>
          <w:rStyle w:val="Strong"/>
          <w:b w:val="0"/>
        </w:rPr>
        <w:t>C</w:t>
      </w:r>
      <w:r w:rsidRPr="00E80935" w:rsidDel="00471BE4">
        <w:rPr>
          <w:rStyle w:val="Strong"/>
          <w:b w:val="0"/>
        </w:rPr>
        <w:t>SFACF),</w:t>
      </w:r>
      <w:r w:rsidR="00FE033E" w:rsidRPr="00E80935">
        <w:rPr>
          <w:rStyle w:val="Strong"/>
          <w:b w:val="0"/>
        </w:rPr>
        <w:t xml:space="preserve"> which is</w:t>
      </w:r>
      <w:r w:rsidRPr="00E80935" w:rsidDel="00471BE4">
        <w:rPr>
          <w:rStyle w:val="Strong"/>
          <w:b w:val="0"/>
        </w:rPr>
        <w:t xml:space="preserve"> conducted every 5-</w:t>
      </w:r>
      <w:r w:rsidRPr="00E80935">
        <w:rPr>
          <w:rStyle w:val="Strong"/>
          <w:b w:val="0"/>
        </w:rPr>
        <w:t>7</w:t>
      </w:r>
      <w:r w:rsidRPr="00E80935" w:rsidDel="00471BE4">
        <w:rPr>
          <w:rStyle w:val="Strong"/>
          <w:b w:val="0"/>
        </w:rPr>
        <w:t xml:space="preserve"> years by BJS. The </w:t>
      </w:r>
      <w:r w:rsidRPr="00E80935">
        <w:rPr>
          <w:rStyle w:val="Strong"/>
          <w:b w:val="0"/>
        </w:rPr>
        <w:t xml:space="preserve">most recent </w:t>
      </w:r>
      <w:r w:rsidR="00A80F80" w:rsidRPr="00E80935">
        <w:rPr>
          <w:rStyle w:val="Strong"/>
          <w:b w:val="0"/>
        </w:rPr>
        <w:t xml:space="preserve">CSFACF </w:t>
      </w:r>
      <w:r w:rsidR="00FE033E" w:rsidRPr="00E80935">
        <w:rPr>
          <w:rStyle w:val="Strong"/>
          <w:b w:val="0"/>
        </w:rPr>
        <w:t xml:space="preserve">was conducted in 2012 </w:t>
      </w:r>
      <w:r w:rsidRPr="00E80935">
        <w:rPr>
          <w:rStyle w:val="Strong"/>
          <w:b w:val="0"/>
        </w:rPr>
        <w:t xml:space="preserve">and </w:t>
      </w:r>
      <w:r w:rsidRPr="00E80935" w:rsidDel="00471BE4">
        <w:rPr>
          <w:rStyle w:val="Strong"/>
          <w:b w:val="0"/>
        </w:rPr>
        <w:t xml:space="preserve">will be used for the 2017, 2018, and 2019 samples. </w:t>
      </w:r>
      <w:r w:rsidR="00A80F80" w:rsidRPr="00E80935">
        <w:rPr>
          <w:rStyle w:val="Strong"/>
          <w:b w:val="0"/>
        </w:rPr>
        <w:t xml:space="preserve">Between censuses, </w:t>
      </w:r>
      <w:r w:rsidRPr="00E80935">
        <w:rPr>
          <w:rStyle w:val="Strong"/>
          <w:b w:val="0"/>
        </w:rPr>
        <w:t xml:space="preserve">BJS updates the </w:t>
      </w:r>
      <w:r w:rsidR="00A80F80" w:rsidRPr="00E80935">
        <w:rPr>
          <w:rStyle w:val="Strong"/>
          <w:b w:val="0"/>
        </w:rPr>
        <w:t>frame</w:t>
      </w:r>
      <w:r w:rsidRPr="00E80935" w:rsidDel="00471BE4">
        <w:rPr>
          <w:rStyle w:val="Strong"/>
          <w:b w:val="0"/>
        </w:rPr>
        <w:t xml:space="preserve"> </w:t>
      </w:r>
      <w:r w:rsidR="00FE033E" w:rsidRPr="00E80935">
        <w:rPr>
          <w:rStyle w:val="Strong"/>
          <w:b w:val="0"/>
        </w:rPr>
        <w:t xml:space="preserve">one or more times each year </w:t>
      </w:r>
      <w:r w:rsidRPr="00E80935">
        <w:rPr>
          <w:rStyle w:val="Strong"/>
          <w:b w:val="0"/>
        </w:rPr>
        <w:t>as</w:t>
      </w:r>
      <w:r w:rsidR="001C5464" w:rsidRPr="00E80935">
        <w:rPr>
          <w:rStyle w:val="Strong"/>
          <w:b w:val="0"/>
        </w:rPr>
        <w:t xml:space="preserve"> </w:t>
      </w:r>
      <w:r w:rsidR="00757EFA" w:rsidRPr="00E80935">
        <w:rPr>
          <w:rStyle w:val="Strong"/>
          <w:b w:val="0"/>
        </w:rPr>
        <w:t>changes</w:t>
      </w:r>
      <w:r w:rsidRPr="00E80935">
        <w:rPr>
          <w:rStyle w:val="Strong"/>
          <w:b w:val="0"/>
        </w:rPr>
        <w:t xml:space="preserve"> are identified </w:t>
      </w:r>
      <w:r w:rsidRPr="00E80935" w:rsidDel="00471BE4">
        <w:rPr>
          <w:rStyle w:val="Strong"/>
          <w:b w:val="0"/>
        </w:rPr>
        <w:t>(for example, via internet searches of private correctional companies</w:t>
      </w:r>
      <w:r w:rsidR="00DB1744" w:rsidRPr="00E80935">
        <w:rPr>
          <w:rStyle w:val="Strong"/>
          <w:b w:val="0"/>
        </w:rPr>
        <w:t xml:space="preserve"> or as reported by past SSV respondents</w:t>
      </w:r>
      <w:r w:rsidRPr="00E80935" w:rsidDel="00471BE4">
        <w:rPr>
          <w:rStyle w:val="Strong"/>
          <w:b w:val="0"/>
        </w:rPr>
        <w:t>).</w:t>
      </w:r>
      <w:r w:rsidR="00FC45BE" w:rsidRPr="00E80935">
        <w:rPr>
          <w:rStyle w:val="Strong"/>
          <w:b w:val="0"/>
        </w:rPr>
        <w:t xml:space="preserve"> </w:t>
      </w:r>
      <w:r w:rsidR="00A80F80" w:rsidRPr="00E80935">
        <w:rPr>
          <w:rStyle w:val="Strong"/>
          <w:b w:val="0"/>
        </w:rPr>
        <w:t xml:space="preserve">The next prison census </w:t>
      </w:r>
      <w:r w:rsidR="00FC45BE" w:rsidRPr="00E80935">
        <w:rPr>
          <w:rStyle w:val="Strong"/>
          <w:b w:val="0"/>
        </w:rPr>
        <w:t>is scheduled to be conducted in 2019.</w:t>
      </w:r>
    </w:p>
    <w:p w14:paraId="179578C6" w14:textId="77777777" w:rsidR="00F23540" w:rsidRPr="00E80935" w:rsidRDefault="00F23540" w:rsidP="00F23540">
      <w:pPr>
        <w:ind w:left="720"/>
        <w:rPr>
          <w:rStyle w:val="Strong"/>
          <w:b w:val="0"/>
        </w:rPr>
      </w:pPr>
    </w:p>
    <w:p w14:paraId="4ED338FE" w14:textId="77777777" w:rsidR="00F23540" w:rsidRPr="00E80935" w:rsidRDefault="00F23540" w:rsidP="00F23540">
      <w:pPr>
        <w:ind w:left="720"/>
        <w:rPr>
          <w:rStyle w:val="Strong"/>
          <w:b w:val="0"/>
          <w:i/>
        </w:rPr>
      </w:pPr>
      <w:r w:rsidRPr="00E80935">
        <w:rPr>
          <w:rStyle w:val="Strong"/>
          <w:b w:val="0"/>
          <w:i/>
        </w:rPr>
        <w:t>Public jails</w:t>
      </w:r>
    </w:p>
    <w:p w14:paraId="58023E87" w14:textId="5DBD244B" w:rsidR="003B0079" w:rsidRPr="00E80935" w:rsidRDefault="00F23540" w:rsidP="00F23540">
      <w:pPr>
        <w:ind w:left="720"/>
        <w:rPr>
          <w:rStyle w:val="Strong"/>
          <w:b w:val="0"/>
        </w:rPr>
      </w:pPr>
      <w:r w:rsidRPr="00E80935" w:rsidDel="00471BE4">
        <w:rPr>
          <w:rStyle w:val="Strong"/>
          <w:b w:val="0"/>
        </w:rPr>
        <w:t xml:space="preserve">The public jail sample </w:t>
      </w:r>
      <w:r w:rsidRPr="00E80935">
        <w:rPr>
          <w:rStyle w:val="Strong"/>
          <w:b w:val="0"/>
        </w:rPr>
        <w:t>is</w:t>
      </w:r>
      <w:r w:rsidRPr="00E80935" w:rsidDel="00471BE4">
        <w:rPr>
          <w:rStyle w:val="Strong"/>
          <w:b w:val="0"/>
        </w:rPr>
        <w:t xml:space="preserve"> drawn from the </w:t>
      </w:r>
      <w:r w:rsidRPr="00E80935" w:rsidDel="00471BE4">
        <w:rPr>
          <w:rStyle w:val="Strong"/>
          <w:b w:val="0"/>
          <w:i/>
        </w:rPr>
        <w:t>Mortality in Correctional Institutions</w:t>
      </w:r>
      <w:r w:rsidRPr="00E80935" w:rsidDel="00471BE4">
        <w:rPr>
          <w:rStyle w:val="Strong"/>
          <w:b w:val="0"/>
        </w:rPr>
        <w:t xml:space="preserve"> (</w:t>
      </w:r>
      <w:r w:rsidRPr="00E80935">
        <w:rPr>
          <w:rStyle w:val="Strong"/>
          <w:b w:val="0"/>
        </w:rPr>
        <w:t xml:space="preserve">MCI, </w:t>
      </w:r>
      <w:r w:rsidRPr="00E80935" w:rsidDel="00471BE4">
        <w:rPr>
          <w:rStyle w:val="Strong"/>
          <w:b w:val="0"/>
        </w:rPr>
        <w:t xml:space="preserve">formerly the </w:t>
      </w:r>
      <w:r w:rsidRPr="00E80935" w:rsidDel="00471BE4">
        <w:rPr>
          <w:rStyle w:val="Strong"/>
          <w:b w:val="0"/>
          <w:i/>
        </w:rPr>
        <w:t>Deaths in Custody Reporting Program</w:t>
      </w:r>
      <w:r w:rsidRPr="00E80935" w:rsidDel="00471BE4">
        <w:rPr>
          <w:rStyle w:val="Strong"/>
          <w:b w:val="0"/>
        </w:rPr>
        <w:t xml:space="preserve"> (DCRP)</w:t>
      </w:r>
      <w:r w:rsidRPr="00E80935">
        <w:rPr>
          <w:rStyle w:val="Strong"/>
          <w:b w:val="0"/>
        </w:rPr>
        <w:t xml:space="preserve">). </w:t>
      </w:r>
      <w:r w:rsidR="00757EFA" w:rsidRPr="00E80935">
        <w:rPr>
          <w:rStyle w:val="Strong"/>
          <w:b w:val="0"/>
        </w:rPr>
        <w:t>SSV uses</w:t>
      </w:r>
      <w:r w:rsidRPr="00E80935" w:rsidDel="00471BE4">
        <w:rPr>
          <w:rStyle w:val="Strong"/>
          <w:b w:val="0"/>
        </w:rPr>
        <w:t xml:space="preserve"> the Annual Summary on Inmates under Jail Supervision</w:t>
      </w:r>
      <w:r w:rsidR="00757EFA" w:rsidRPr="00E80935">
        <w:rPr>
          <w:rStyle w:val="Strong"/>
          <w:b w:val="0"/>
        </w:rPr>
        <w:t xml:space="preserve"> portion of this frame</w:t>
      </w:r>
      <w:r w:rsidRPr="00E80935" w:rsidDel="00471BE4">
        <w:rPr>
          <w:rStyle w:val="Strong"/>
          <w:b w:val="0"/>
        </w:rPr>
        <w:t xml:space="preserve">. The </w:t>
      </w:r>
      <w:r w:rsidRPr="00E80935">
        <w:rPr>
          <w:rStyle w:val="Strong"/>
          <w:b w:val="0"/>
        </w:rPr>
        <w:t>MCI</w:t>
      </w:r>
      <w:r w:rsidR="00FE033E" w:rsidRPr="00E80935">
        <w:rPr>
          <w:rStyle w:val="Strong"/>
          <w:b w:val="0"/>
        </w:rPr>
        <w:t>/DCRP</w:t>
      </w:r>
      <w:r w:rsidRPr="00E80935" w:rsidDel="00471BE4">
        <w:rPr>
          <w:rStyle w:val="Strong"/>
          <w:b w:val="0"/>
        </w:rPr>
        <w:t xml:space="preserve"> file for the year </w:t>
      </w:r>
      <w:r w:rsidR="005A6AAF" w:rsidRPr="00E80935" w:rsidDel="00471BE4">
        <w:rPr>
          <w:rStyle w:val="Strong"/>
          <w:b w:val="0"/>
        </w:rPr>
        <w:t xml:space="preserve">preceding </w:t>
      </w:r>
      <w:r w:rsidR="005A6AAF" w:rsidRPr="00E80935">
        <w:rPr>
          <w:rStyle w:val="Strong"/>
          <w:b w:val="0"/>
        </w:rPr>
        <w:t>the SSV</w:t>
      </w:r>
      <w:r w:rsidRPr="00E80935" w:rsidDel="00471BE4">
        <w:rPr>
          <w:rStyle w:val="Strong"/>
          <w:b w:val="0"/>
        </w:rPr>
        <w:t xml:space="preserve"> collection has been used as the sampling frame for SSV since 2007, and will </w:t>
      </w:r>
      <w:r w:rsidR="005A6AAF" w:rsidRPr="00E80935">
        <w:rPr>
          <w:rStyle w:val="Strong"/>
          <w:b w:val="0"/>
        </w:rPr>
        <w:t>continue to</w:t>
      </w:r>
      <w:r w:rsidRPr="00E80935" w:rsidDel="00471BE4">
        <w:rPr>
          <w:rStyle w:val="Strong"/>
          <w:b w:val="0"/>
        </w:rPr>
        <w:t xml:space="preserve"> be used as the </w:t>
      </w:r>
      <w:r w:rsidR="00757EFA" w:rsidRPr="00E80935">
        <w:rPr>
          <w:rStyle w:val="Strong"/>
          <w:b w:val="0"/>
        </w:rPr>
        <w:t>public jail sampling frame for SSV</w:t>
      </w:r>
      <w:r w:rsidR="0046501B" w:rsidRPr="00E80935">
        <w:rPr>
          <w:rStyle w:val="Strong"/>
          <w:b w:val="0"/>
        </w:rPr>
        <w:t xml:space="preserve"> for 2017-19</w:t>
      </w:r>
      <w:r w:rsidRPr="00E80935" w:rsidDel="00471BE4">
        <w:rPr>
          <w:rStyle w:val="Strong"/>
          <w:b w:val="0"/>
        </w:rPr>
        <w:t>.</w:t>
      </w:r>
      <w:r w:rsidR="00FE033E" w:rsidRPr="00E80935">
        <w:rPr>
          <w:rStyle w:val="Strong"/>
          <w:b w:val="0"/>
        </w:rPr>
        <w:t xml:space="preserve"> For example, MCI 2016 will be used for SSV 2017.</w:t>
      </w:r>
    </w:p>
    <w:p w14:paraId="0E6722DD" w14:textId="77777777" w:rsidR="00F23540" w:rsidRPr="00E80935" w:rsidRDefault="00F23540" w:rsidP="00F23540">
      <w:pPr>
        <w:ind w:left="720"/>
        <w:rPr>
          <w:rStyle w:val="Strong"/>
          <w:b w:val="0"/>
        </w:rPr>
      </w:pPr>
    </w:p>
    <w:p w14:paraId="6BA6F5F3" w14:textId="571D8CC5" w:rsidR="00F23540" w:rsidRPr="00E80935" w:rsidRDefault="00F23540" w:rsidP="00F23540">
      <w:pPr>
        <w:ind w:left="720"/>
        <w:rPr>
          <w:rStyle w:val="Strong"/>
          <w:b w:val="0"/>
          <w:i/>
        </w:rPr>
      </w:pPr>
      <w:r w:rsidRPr="00E80935">
        <w:rPr>
          <w:rStyle w:val="Strong"/>
          <w:b w:val="0"/>
          <w:i/>
        </w:rPr>
        <w:t>Private jails</w:t>
      </w:r>
    </w:p>
    <w:p w14:paraId="11247310" w14:textId="179DB232" w:rsidR="00F23540" w:rsidRPr="00E80935" w:rsidRDefault="00251DC6" w:rsidP="00F23540">
      <w:pPr>
        <w:ind w:left="720"/>
        <w:rPr>
          <w:rStyle w:val="Strong"/>
          <w:b w:val="0"/>
        </w:rPr>
      </w:pPr>
      <w:r w:rsidRPr="00E80935">
        <w:rPr>
          <w:rStyle w:val="Strong"/>
          <w:b w:val="0"/>
        </w:rPr>
        <w:t>T</w:t>
      </w:r>
      <w:r w:rsidR="00F23540" w:rsidRPr="00E80935">
        <w:rPr>
          <w:rStyle w:val="Strong"/>
          <w:b w:val="0"/>
        </w:rPr>
        <w:t xml:space="preserve">he private jail sample </w:t>
      </w:r>
      <w:r w:rsidR="00FE033E" w:rsidRPr="00E80935">
        <w:rPr>
          <w:rStyle w:val="Strong"/>
          <w:b w:val="0"/>
        </w:rPr>
        <w:t>is</w:t>
      </w:r>
      <w:r w:rsidRPr="00E80935">
        <w:rPr>
          <w:rStyle w:val="Strong"/>
          <w:b w:val="0"/>
        </w:rPr>
        <w:t xml:space="preserve"> also</w:t>
      </w:r>
      <w:r w:rsidR="00F23540" w:rsidRPr="00E80935">
        <w:rPr>
          <w:rStyle w:val="Strong"/>
          <w:b w:val="0"/>
        </w:rPr>
        <w:t xml:space="preserve"> drawn from the MCI </w:t>
      </w:r>
      <w:r w:rsidR="009D6D80" w:rsidRPr="00E80935">
        <w:rPr>
          <w:rStyle w:val="Strong"/>
          <w:b w:val="0"/>
        </w:rPr>
        <w:t>frame</w:t>
      </w:r>
      <w:r w:rsidR="005A6AAF" w:rsidRPr="00E80935">
        <w:rPr>
          <w:rStyle w:val="Strong"/>
          <w:b w:val="0"/>
        </w:rPr>
        <w:t>. MCI includes an indicator which identifies</w:t>
      </w:r>
      <w:r w:rsidRPr="00E80935">
        <w:rPr>
          <w:rStyle w:val="Strong"/>
          <w:b w:val="0"/>
        </w:rPr>
        <w:t xml:space="preserve"> privately operated facilities</w:t>
      </w:r>
      <w:r w:rsidR="009D6D80" w:rsidRPr="00E80935">
        <w:rPr>
          <w:rStyle w:val="Strong"/>
          <w:b w:val="0"/>
        </w:rPr>
        <w:t xml:space="preserve">, and the frame will be split into public and private </w:t>
      </w:r>
      <w:r w:rsidR="00781A78" w:rsidRPr="00E80935">
        <w:rPr>
          <w:rStyle w:val="Strong"/>
          <w:b w:val="0"/>
        </w:rPr>
        <w:t xml:space="preserve">facilities </w:t>
      </w:r>
      <w:r w:rsidR="009D6D80" w:rsidRPr="00E80935">
        <w:rPr>
          <w:rStyle w:val="Strong"/>
          <w:b w:val="0"/>
        </w:rPr>
        <w:t>prior to drawing the sample</w:t>
      </w:r>
      <w:r w:rsidR="0046501B" w:rsidRPr="00E80935">
        <w:rPr>
          <w:rStyle w:val="Strong"/>
          <w:b w:val="0"/>
        </w:rPr>
        <w:t>s</w:t>
      </w:r>
      <w:r w:rsidR="009D6D80" w:rsidRPr="00E80935">
        <w:rPr>
          <w:rStyle w:val="Strong"/>
          <w:b w:val="0"/>
        </w:rPr>
        <w:t xml:space="preserve"> each</w:t>
      </w:r>
      <w:r w:rsidR="0046501B" w:rsidRPr="00E80935">
        <w:rPr>
          <w:rStyle w:val="Strong"/>
          <w:b w:val="0"/>
        </w:rPr>
        <w:t xml:space="preserve"> of the three</w:t>
      </w:r>
      <w:r w:rsidR="009D6D80" w:rsidRPr="00E80935">
        <w:rPr>
          <w:rStyle w:val="Strong"/>
          <w:b w:val="0"/>
        </w:rPr>
        <w:t xml:space="preserve"> year</w:t>
      </w:r>
      <w:r w:rsidR="0046501B" w:rsidRPr="00E80935">
        <w:rPr>
          <w:rStyle w:val="Strong"/>
          <w:b w:val="0"/>
        </w:rPr>
        <w:t>s</w:t>
      </w:r>
      <w:r w:rsidR="00F23540" w:rsidRPr="00E80935">
        <w:rPr>
          <w:rStyle w:val="Strong"/>
          <w:b w:val="0"/>
        </w:rPr>
        <w:t>.</w:t>
      </w:r>
    </w:p>
    <w:p w14:paraId="6925939D" w14:textId="77777777" w:rsidR="003B0079" w:rsidRPr="00E80935" w:rsidRDefault="003B0079" w:rsidP="008E503D">
      <w:pPr>
        <w:ind w:left="720"/>
        <w:rPr>
          <w:rStyle w:val="Strong"/>
          <w:b w:val="0"/>
        </w:rPr>
      </w:pPr>
    </w:p>
    <w:p w14:paraId="35FACAE1" w14:textId="77777777" w:rsidR="00F23540" w:rsidRPr="00E80935" w:rsidRDefault="00F23540" w:rsidP="00F23540">
      <w:pPr>
        <w:ind w:left="720"/>
        <w:rPr>
          <w:rStyle w:val="Strong"/>
          <w:b w:val="0"/>
          <w:i/>
        </w:rPr>
      </w:pPr>
      <w:r w:rsidRPr="00E80935">
        <w:rPr>
          <w:rStyle w:val="Strong"/>
          <w:b w:val="0"/>
          <w:i/>
        </w:rPr>
        <w:t>Other prisons and jails</w:t>
      </w:r>
    </w:p>
    <w:p w14:paraId="7DDB04A8" w14:textId="3F8ABB4C" w:rsidR="00DB1744" w:rsidRPr="00E80935" w:rsidRDefault="00DB1744" w:rsidP="00F23540">
      <w:pPr>
        <w:ind w:left="720"/>
        <w:rPr>
          <w:rStyle w:val="Strong"/>
          <w:b w:val="0"/>
        </w:rPr>
      </w:pPr>
      <w:r w:rsidRPr="00E80935">
        <w:rPr>
          <w:rStyle w:val="Strong"/>
          <w:b w:val="0"/>
        </w:rPr>
        <w:t>The</w:t>
      </w:r>
      <w:r w:rsidR="001701AD" w:rsidRPr="00E80935">
        <w:rPr>
          <w:rStyle w:val="Strong"/>
          <w:b w:val="0"/>
        </w:rPr>
        <w:t>re are four</w:t>
      </w:r>
      <w:r w:rsidRPr="00E80935">
        <w:rPr>
          <w:rStyle w:val="Strong"/>
          <w:b w:val="0"/>
        </w:rPr>
        <w:t xml:space="preserve"> military prison systems </w:t>
      </w:r>
      <w:r w:rsidR="00F33D9F" w:rsidRPr="00E80935">
        <w:rPr>
          <w:rStyle w:val="Strong"/>
          <w:b w:val="0"/>
        </w:rPr>
        <w:t>(Army, Navy, Marines, and Air Force)</w:t>
      </w:r>
      <w:r w:rsidR="00251DC6" w:rsidRPr="00E80935">
        <w:rPr>
          <w:rStyle w:val="Strong"/>
          <w:b w:val="0"/>
        </w:rPr>
        <w:t>.</w:t>
      </w:r>
      <w:r w:rsidR="00F23540" w:rsidRPr="00E80935">
        <w:rPr>
          <w:rStyle w:val="FootnoteReference"/>
          <w:bCs/>
          <w:vertAlign w:val="superscript"/>
        </w:rPr>
        <w:footnoteReference w:id="1"/>
      </w:r>
      <w:r w:rsidR="00F23540" w:rsidRPr="00E80935">
        <w:rPr>
          <w:rStyle w:val="Strong"/>
          <w:b w:val="0"/>
        </w:rPr>
        <w:t xml:space="preserve"> </w:t>
      </w:r>
      <w:r w:rsidR="00251DC6" w:rsidRPr="00E80935">
        <w:rPr>
          <w:rStyle w:val="Strong"/>
          <w:b w:val="0"/>
        </w:rPr>
        <w:t xml:space="preserve">Each one </w:t>
      </w:r>
      <w:r w:rsidR="00436137" w:rsidRPr="00E80935">
        <w:rPr>
          <w:rStyle w:val="Strong"/>
          <w:b w:val="0"/>
        </w:rPr>
        <w:t xml:space="preserve">has centralized reporting, </w:t>
      </w:r>
      <w:r w:rsidR="00251DC6" w:rsidRPr="00E80935">
        <w:rPr>
          <w:rStyle w:val="Strong"/>
          <w:b w:val="0"/>
        </w:rPr>
        <w:t>maintains their own facility list</w:t>
      </w:r>
      <w:r w:rsidR="00436137" w:rsidRPr="00E80935">
        <w:rPr>
          <w:rStyle w:val="Strong"/>
          <w:b w:val="0"/>
        </w:rPr>
        <w:t>,</w:t>
      </w:r>
      <w:r w:rsidR="00251DC6" w:rsidRPr="00E80935">
        <w:rPr>
          <w:rStyle w:val="Strong"/>
          <w:b w:val="0"/>
        </w:rPr>
        <w:t xml:space="preserve"> and provides BJS with a</w:t>
      </w:r>
      <w:r w:rsidR="001F72CC" w:rsidRPr="00E80935">
        <w:rPr>
          <w:rStyle w:val="Strong"/>
          <w:b w:val="0"/>
        </w:rPr>
        <w:t xml:space="preserve"> </w:t>
      </w:r>
      <w:r w:rsidR="00251DC6" w:rsidRPr="00E80935">
        <w:rPr>
          <w:rStyle w:val="Strong"/>
          <w:b w:val="0"/>
        </w:rPr>
        <w:t>point of contact</w:t>
      </w:r>
      <w:r w:rsidR="001F72CC" w:rsidRPr="00E80935">
        <w:rPr>
          <w:rStyle w:val="Strong"/>
          <w:b w:val="0"/>
        </w:rPr>
        <w:t xml:space="preserve"> </w:t>
      </w:r>
      <w:r w:rsidR="009D6D80" w:rsidRPr="00E80935">
        <w:rPr>
          <w:rStyle w:val="Strong"/>
          <w:b w:val="0"/>
        </w:rPr>
        <w:t>a couple months before fielding SSV</w:t>
      </w:r>
      <w:r w:rsidR="0046501B" w:rsidRPr="00E80935">
        <w:rPr>
          <w:rStyle w:val="Strong"/>
          <w:b w:val="0"/>
        </w:rPr>
        <w:t xml:space="preserve"> each year</w:t>
      </w:r>
      <w:r w:rsidR="00251DC6" w:rsidRPr="00E80935">
        <w:rPr>
          <w:rStyle w:val="Strong"/>
          <w:b w:val="0"/>
        </w:rPr>
        <w:t>.</w:t>
      </w:r>
    </w:p>
    <w:p w14:paraId="7145E471" w14:textId="2FCC994A" w:rsidR="00F23540" w:rsidRPr="00E80935" w:rsidRDefault="00DB1744" w:rsidP="00F23540">
      <w:pPr>
        <w:ind w:left="720"/>
        <w:rPr>
          <w:rStyle w:val="Strong"/>
          <w:b w:val="0"/>
        </w:rPr>
      </w:pPr>
      <w:r w:rsidRPr="00E80935">
        <w:rPr>
          <w:rStyle w:val="Strong"/>
          <w:b w:val="0"/>
        </w:rPr>
        <w:lastRenderedPageBreak/>
        <w:t>A list of f</w:t>
      </w:r>
      <w:r w:rsidR="00F23540" w:rsidRPr="00E80935">
        <w:rPr>
          <w:rStyle w:val="Strong"/>
          <w:b w:val="0"/>
        </w:rPr>
        <w:t xml:space="preserve">acilities operated by the </w:t>
      </w:r>
      <w:r w:rsidR="00BA7726" w:rsidRPr="00E80935">
        <w:rPr>
          <w:rStyle w:val="Strong"/>
          <w:b w:val="0"/>
        </w:rPr>
        <w:t>Department of Homeland Security</w:t>
      </w:r>
      <w:r w:rsidR="00F23540" w:rsidRPr="00E80935">
        <w:rPr>
          <w:rStyle w:val="Strong"/>
          <w:b w:val="0"/>
        </w:rPr>
        <w:t xml:space="preserve"> Immigration and Customs Enforcement (ICE)</w:t>
      </w:r>
      <w:r w:rsidRPr="00E80935">
        <w:rPr>
          <w:rStyle w:val="Strong"/>
          <w:b w:val="0"/>
        </w:rPr>
        <w:t xml:space="preserve">, called dedicated ICE facilities, is maintained by </w:t>
      </w:r>
      <w:r w:rsidR="00BA7726" w:rsidRPr="00E80935">
        <w:rPr>
          <w:rStyle w:val="Strong"/>
          <w:b w:val="0"/>
        </w:rPr>
        <w:t>ICE</w:t>
      </w:r>
      <w:r w:rsidRPr="00E80935">
        <w:rPr>
          <w:rStyle w:val="Strong"/>
          <w:b w:val="0"/>
        </w:rPr>
        <w:t xml:space="preserve">. BJS receives an update of </w:t>
      </w:r>
      <w:r w:rsidR="005A6AAF" w:rsidRPr="00E80935">
        <w:rPr>
          <w:rStyle w:val="Strong"/>
          <w:b w:val="0"/>
        </w:rPr>
        <w:t xml:space="preserve">these </w:t>
      </w:r>
      <w:r w:rsidRPr="00E80935">
        <w:rPr>
          <w:rStyle w:val="Strong"/>
          <w:b w:val="0"/>
        </w:rPr>
        <w:t>dedicated facilities</w:t>
      </w:r>
      <w:r w:rsidR="005A6AAF" w:rsidRPr="00E80935">
        <w:rPr>
          <w:rStyle w:val="Strong"/>
          <w:b w:val="0"/>
        </w:rPr>
        <w:t xml:space="preserve"> from ICE each year</w:t>
      </w:r>
      <w:r w:rsidR="009D6D80" w:rsidRPr="00E80935">
        <w:rPr>
          <w:rStyle w:val="Strong"/>
          <w:b w:val="0"/>
        </w:rPr>
        <w:t>, about two months before fielding the survey</w:t>
      </w:r>
      <w:r w:rsidR="00F23540" w:rsidRPr="00E80935">
        <w:rPr>
          <w:rStyle w:val="Strong"/>
          <w:b w:val="0"/>
        </w:rPr>
        <w:t>.</w:t>
      </w:r>
    </w:p>
    <w:p w14:paraId="2159AEF3" w14:textId="77777777" w:rsidR="00F23540" w:rsidRPr="00E80935" w:rsidRDefault="00F23540" w:rsidP="00F23540">
      <w:pPr>
        <w:ind w:left="720"/>
        <w:rPr>
          <w:rStyle w:val="Strong"/>
          <w:b w:val="0"/>
        </w:rPr>
      </w:pPr>
    </w:p>
    <w:p w14:paraId="58FB7677" w14:textId="287BD039" w:rsidR="00F23540" w:rsidRPr="00E80935" w:rsidRDefault="00DB1744" w:rsidP="00F23540">
      <w:pPr>
        <w:ind w:left="720"/>
        <w:rPr>
          <w:rStyle w:val="Strong"/>
          <w:b w:val="0"/>
        </w:rPr>
      </w:pPr>
      <w:r w:rsidRPr="00E80935">
        <w:rPr>
          <w:rStyle w:val="Strong"/>
          <w:b w:val="0"/>
        </w:rPr>
        <w:t xml:space="preserve">The </w:t>
      </w:r>
      <w:r w:rsidR="005A6AAF" w:rsidRPr="00E80935">
        <w:rPr>
          <w:rStyle w:val="Strong"/>
          <w:b w:val="0"/>
        </w:rPr>
        <w:t xml:space="preserve">Indian country </w:t>
      </w:r>
      <w:r w:rsidRPr="00E80935">
        <w:rPr>
          <w:rStyle w:val="Strong"/>
          <w:b w:val="0"/>
        </w:rPr>
        <w:t>j</w:t>
      </w:r>
      <w:r w:rsidR="00F23540" w:rsidRPr="00E80935">
        <w:rPr>
          <w:rStyle w:val="Strong"/>
          <w:b w:val="0"/>
        </w:rPr>
        <w:t xml:space="preserve">ail </w:t>
      </w:r>
      <w:r w:rsidR="005A6AAF" w:rsidRPr="00E80935">
        <w:rPr>
          <w:rStyle w:val="Strong"/>
          <w:b w:val="0"/>
        </w:rPr>
        <w:t xml:space="preserve">sample </w:t>
      </w:r>
      <w:r w:rsidRPr="00E80935">
        <w:rPr>
          <w:rStyle w:val="Strong"/>
          <w:b w:val="0"/>
        </w:rPr>
        <w:t xml:space="preserve">is drawn from </w:t>
      </w:r>
      <w:r w:rsidR="00F23540" w:rsidRPr="00E80935">
        <w:rPr>
          <w:rStyle w:val="Strong"/>
          <w:b w:val="0"/>
        </w:rPr>
        <w:t xml:space="preserve">the </w:t>
      </w:r>
      <w:r w:rsidR="00F23540" w:rsidRPr="00E80935">
        <w:rPr>
          <w:rStyle w:val="Strong"/>
          <w:b w:val="0"/>
          <w:i/>
        </w:rPr>
        <w:t>Annual Survey of Jails in Indian Country</w:t>
      </w:r>
      <w:r w:rsidR="00F23540" w:rsidRPr="00E80935">
        <w:rPr>
          <w:rStyle w:val="Strong"/>
          <w:b w:val="0"/>
        </w:rPr>
        <w:t xml:space="preserve"> (ASJIC). </w:t>
      </w:r>
      <w:r w:rsidR="00F33D9F" w:rsidRPr="00E80935">
        <w:rPr>
          <w:rStyle w:val="Strong"/>
          <w:b w:val="0"/>
        </w:rPr>
        <w:t>BJS maintains t</w:t>
      </w:r>
      <w:r w:rsidR="00F23540" w:rsidRPr="00E80935">
        <w:rPr>
          <w:rStyle w:val="Strong"/>
          <w:b w:val="0"/>
        </w:rPr>
        <w:t>he ASJIC</w:t>
      </w:r>
      <w:r w:rsidR="00F33D9F" w:rsidRPr="00E80935">
        <w:rPr>
          <w:rStyle w:val="Strong"/>
          <w:b w:val="0"/>
        </w:rPr>
        <w:t>, which</w:t>
      </w:r>
      <w:r w:rsidR="001F72CC" w:rsidRPr="00E80935">
        <w:rPr>
          <w:rStyle w:val="Strong"/>
          <w:b w:val="0"/>
        </w:rPr>
        <w:t xml:space="preserve"> is updated annually and</w:t>
      </w:r>
      <w:r w:rsidR="00F23540" w:rsidRPr="00E80935">
        <w:rPr>
          <w:rStyle w:val="Strong"/>
          <w:b w:val="0"/>
        </w:rPr>
        <w:t xml:space="preserve"> includes all known Indian country correctional facilities </w:t>
      </w:r>
      <w:r w:rsidR="00A60239" w:rsidRPr="00E80935">
        <w:rPr>
          <w:rStyle w:val="Strong"/>
          <w:b w:val="0"/>
        </w:rPr>
        <w:t xml:space="preserve">(adult and juvenile) </w:t>
      </w:r>
      <w:r w:rsidR="00F23540" w:rsidRPr="00E80935">
        <w:rPr>
          <w:rStyle w:val="Strong"/>
          <w:b w:val="0"/>
        </w:rPr>
        <w:t xml:space="preserve">operated by tribal authorities or </w:t>
      </w:r>
      <w:r w:rsidR="0046501B" w:rsidRPr="00E80935">
        <w:rPr>
          <w:rStyle w:val="Strong"/>
          <w:b w:val="0"/>
        </w:rPr>
        <w:t xml:space="preserve">by </w:t>
      </w:r>
      <w:r w:rsidR="00F23540" w:rsidRPr="00E80935">
        <w:rPr>
          <w:rStyle w:val="Strong"/>
          <w:b w:val="0"/>
        </w:rPr>
        <w:t xml:space="preserve">the </w:t>
      </w:r>
      <w:r w:rsidR="00F33D9F" w:rsidRPr="00E80935">
        <w:rPr>
          <w:rStyle w:val="Strong"/>
          <w:b w:val="0"/>
        </w:rPr>
        <w:t xml:space="preserve">U.S. Department of the Interior, </w:t>
      </w:r>
      <w:r w:rsidR="00F23540" w:rsidRPr="00E80935">
        <w:rPr>
          <w:rStyle w:val="Strong"/>
          <w:b w:val="0"/>
        </w:rPr>
        <w:t>Bureau of Indian Affairs.</w:t>
      </w:r>
      <w:r w:rsidR="00A60239" w:rsidRPr="00E80935">
        <w:rPr>
          <w:rStyle w:val="Strong"/>
          <w:b w:val="0"/>
        </w:rPr>
        <w:t xml:space="preserve"> </w:t>
      </w:r>
      <w:r w:rsidR="00D91A5F" w:rsidRPr="00E80935">
        <w:rPr>
          <w:rStyle w:val="Strong"/>
          <w:b w:val="0"/>
        </w:rPr>
        <w:t xml:space="preserve">Facilities in Indian country that hold only juveniles are excluded here and included below in </w:t>
      </w:r>
      <w:r w:rsidR="00D91A5F" w:rsidRPr="00E80935">
        <w:rPr>
          <w:rStyle w:val="Strong"/>
          <w:b w:val="0"/>
          <w:i/>
        </w:rPr>
        <w:t>Local and private juvenile correctional facilities</w:t>
      </w:r>
      <w:r w:rsidR="00D91A5F" w:rsidRPr="00E80935">
        <w:rPr>
          <w:rStyle w:val="Strong"/>
          <w:b w:val="0"/>
        </w:rPr>
        <w:t>.</w:t>
      </w:r>
      <w:r w:rsidR="0046501B" w:rsidRPr="00E80935">
        <w:rPr>
          <w:rStyle w:val="Strong"/>
          <w:b w:val="0"/>
        </w:rPr>
        <w:t xml:space="preserve"> The prior year of ASJIC has been used for the SSV sample each year. BJS will continue this for the next three years of SSV.</w:t>
      </w:r>
    </w:p>
    <w:p w14:paraId="61EC2BB6" w14:textId="77777777" w:rsidR="00F23540" w:rsidRPr="00E80935" w:rsidRDefault="00F23540" w:rsidP="00F23540">
      <w:pPr>
        <w:ind w:left="720"/>
        <w:rPr>
          <w:rStyle w:val="Strong"/>
          <w:b w:val="0"/>
        </w:rPr>
      </w:pPr>
    </w:p>
    <w:p w14:paraId="50CB1776" w14:textId="77777777" w:rsidR="00F23540" w:rsidRPr="00E80935" w:rsidRDefault="00F23540" w:rsidP="00F23540">
      <w:pPr>
        <w:ind w:left="720"/>
        <w:rPr>
          <w:rStyle w:val="Strong"/>
          <w:b w:val="0"/>
          <w:i/>
        </w:rPr>
      </w:pPr>
      <w:r w:rsidRPr="00E80935">
        <w:rPr>
          <w:rStyle w:val="Strong"/>
          <w:b w:val="0"/>
          <w:i/>
        </w:rPr>
        <w:t xml:space="preserve">State juvenile correctional systems </w:t>
      </w:r>
    </w:p>
    <w:p w14:paraId="41FC97EF" w14:textId="72F198BA" w:rsidR="00F23540" w:rsidRPr="00E80935" w:rsidRDefault="00F33D9F" w:rsidP="00F23540">
      <w:pPr>
        <w:ind w:left="720"/>
        <w:rPr>
          <w:rStyle w:val="Strong"/>
          <w:b w:val="0"/>
        </w:rPr>
      </w:pPr>
      <w:r w:rsidRPr="00E80935">
        <w:rPr>
          <w:rStyle w:val="Strong"/>
          <w:b w:val="0"/>
        </w:rPr>
        <w:t xml:space="preserve">The state juvenile correctional systems (including the District of Columbia) have centralized reporting. </w:t>
      </w:r>
      <w:r w:rsidR="0046501B" w:rsidRPr="00E80935">
        <w:rPr>
          <w:rStyle w:val="Strong"/>
          <w:b w:val="0"/>
        </w:rPr>
        <w:t xml:space="preserve">A couple of months before fielding the SSV each year, </w:t>
      </w:r>
      <w:r w:rsidRPr="00E80935">
        <w:rPr>
          <w:rStyle w:val="Strong"/>
          <w:b w:val="0"/>
        </w:rPr>
        <w:t xml:space="preserve">BJS receives </w:t>
      </w:r>
      <w:r w:rsidR="0046501B" w:rsidRPr="00E80935">
        <w:rPr>
          <w:rStyle w:val="Strong"/>
          <w:b w:val="0"/>
        </w:rPr>
        <w:t>an</w:t>
      </w:r>
      <w:r w:rsidRPr="00E80935">
        <w:rPr>
          <w:rStyle w:val="Strong"/>
          <w:b w:val="0"/>
        </w:rPr>
        <w:t xml:space="preserve"> update</w:t>
      </w:r>
      <w:r w:rsidR="0046501B" w:rsidRPr="00E80935">
        <w:rPr>
          <w:rStyle w:val="Strong"/>
          <w:b w:val="0"/>
        </w:rPr>
        <w:t>d</w:t>
      </w:r>
      <w:r w:rsidRPr="00E80935">
        <w:rPr>
          <w:rStyle w:val="Strong"/>
          <w:b w:val="0"/>
        </w:rPr>
        <w:t xml:space="preserve"> listing of state administrators from the Council of Juvenile Correctional Administrators.</w:t>
      </w:r>
    </w:p>
    <w:p w14:paraId="07FBD01E" w14:textId="77777777" w:rsidR="00F23540" w:rsidRPr="00E80935" w:rsidRDefault="00F23540" w:rsidP="00F23540">
      <w:pPr>
        <w:ind w:left="720"/>
        <w:rPr>
          <w:rStyle w:val="Strong"/>
          <w:b w:val="0"/>
        </w:rPr>
      </w:pPr>
    </w:p>
    <w:p w14:paraId="29959428" w14:textId="4DDD7D1E" w:rsidR="00F23540" w:rsidRPr="00E80935" w:rsidRDefault="00F23540" w:rsidP="00F23540">
      <w:pPr>
        <w:ind w:left="720"/>
        <w:rPr>
          <w:rStyle w:val="Strong"/>
          <w:b w:val="0"/>
          <w:i/>
        </w:rPr>
      </w:pPr>
      <w:r w:rsidRPr="00E80935">
        <w:rPr>
          <w:rStyle w:val="Strong"/>
          <w:b w:val="0"/>
          <w:i/>
        </w:rPr>
        <w:t xml:space="preserve">Local and private juvenile </w:t>
      </w:r>
      <w:r w:rsidR="00417078" w:rsidRPr="00E80935">
        <w:rPr>
          <w:rStyle w:val="Strong"/>
          <w:b w:val="0"/>
          <w:i/>
        </w:rPr>
        <w:t xml:space="preserve">correctional </w:t>
      </w:r>
      <w:r w:rsidRPr="00E80935">
        <w:rPr>
          <w:rStyle w:val="Strong"/>
          <w:b w:val="0"/>
          <w:i/>
        </w:rPr>
        <w:t xml:space="preserve">facilities </w:t>
      </w:r>
    </w:p>
    <w:p w14:paraId="6A617A5A" w14:textId="7836A673" w:rsidR="00F23540" w:rsidRPr="00E80935" w:rsidRDefault="00F23540" w:rsidP="00F23540">
      <w:pPr>
        <w:ind w:left="720"/>
        <w:rPr>
          <w:rStyle w:val="Strong"/>
          <w:b w:val="0"/>
        </w:rPr>
      </w:pPr>
      <w:r w:rsidRPr="00E80935">
        <w:rPr>
          <w:rStyle w:val="Strong"/>
          <w:b w:val="0"/>
        </w:rPr>
        <w:t xml:space="preserve">The local and private juvenile facility sample is drawn from </w:t>
      </w:r>
      <w:r w:rsidR="00A60239" w:rsidRPr="00E80935">
        <w:rPr>
          <w:rStyle w:val="Strong"/>
          <w:b w:val="0"/>
        </w:rPr>
        <w:t>t</w:t>
      </w:r>
      <w:r w:rsidR="00375E07" w:rsidRPr="00E80935">
        <w:rPr>
          <w:rStyle w:val="Strong"/>
          <w:b w:val="0"/>
        </w:rPr>
        <w:t>hree</w:t>
      </w:r>
      <w:r w:rsidR="00417078" w:rsidRPr="00E80935">
        <w:rPr>
          <w:rStyle w:val="Strong"/>
          <w:b w:val="0"/>
        </w:rPr>
        <w:t xml:space="preserve"> </w:t>
      </w:r>
      <w:r w:rsidRPr="00E80935">
        <w:rPr>
          <w:rStyle w:val="Strong"/>
          <w:b w:val="0"/>
        </w:rPr>
        <w:t>different frames</w:t>
      </w:r>
      <w:r w:rsidR="00375E07" w:rsidRPr="00E80935">
        <w:rPr>
          <w:rStyle w:val="Strong"/>
          <w:b w:val="0"/>
        </w:rPr>
        <w:t xml:space="preserve">, two of which are </w:t>
      </w:r>
      <w:r w:rsidR="00417078" w:rsidRPr="00E80935">
        <w:rPr>
          <w:rStyle w:val="Strong"/>
          <w:b w:val="0"/>
        </w:rPr>
        <w:t>used</w:t>
      </w:r>
      <w:r w:rsidRPr="00E80935">
        <w:rPr>
          <w:rStyle w:val="Strong"/>
          <w:b w:val="0"/>
        </w:rPr>
        <w:t xml:space="preserve"> in alternating years. </w:t>
      </w:r>
      <w:r w:rsidR="0046501B" w:rsidRPr="00E80935">
        <w:rPr>
          <w:rStyle w:val="Strong"/>
          <w:b w:val="0"/>
        </w:rPr>
        <w:t>T</w:t>
      </w:r>
      <w:r w:rsidR="00F506D5" w:rsidRPr="00E80935">
        <w:rPr>
          <w:rStyle w:val="Strong"/>
          <w:b w:val="0"/>
        </w:rPr>
        <w:t xml:space="preserve">he </w:t>
      </w:r>
      <w:r w:rsidRPr="00E80935">
        <w:rPr>
          <w:rStyle w:val="Strong"/>
          <w:b w:val="0"/>
          <w:i/>
        </w:rPr>
        <w:t>Census of Juveniles in Residential Placement</w:t>
      </w:r>
      <w:r w:rsidRPr="00E80935">
        <w:rPr>
          <w:rStyle w:val="Strong"/>
          <w:b w:val="0"/>
        </w:rPr>
        <w:t xml:space="preserve"> (CJRP) </w:t>
      </w:r>
      <w:r w:rsidR="00F506D5" w:rsidRPr="00E80935">
        <w:rPr>
          <w:rStyle w:val="Strong"/>
          <w:b w:val="0"/>
        </w:rPr>
        <w:t xml:space="preserve">is </w:t>
      </w:r>
      <w:r w:rsidRPr="00E80935">
        <w:rPr>
          <w:rStyle w:val="Strong"/>
          <w:b w:val="0"/>
        </w:rPr>
        <w:t>conducted by the Census Bureau for the Office of Juvenile Justice and Delinquency Prevention (OJJDP)</w:t>
      </w:r>
      <w:r w:rsidR="0046501B" w:rsidRPr="00E80935">
        <w:rPr>
          <w:rStyle w:val="Strong"/>
          <w:b w:val="0"/>
        </w:rPr>
        <w:t xml:space="preserve"> in even-numbered years</w:t>
      </w:r>
      <w:r w:rsidRPr="00E80935">
        <w:rPr>
          <w:rStyle w:val="Strong"/>
          <w:b w:val="0"/>
        </w:rPr>
        <w:t>.</w:t>
      </w:r>
      <w:r w:rsidR="00F506D5" w:rsidRPr="00E80935">
        <w:rPr>
          <w:rStyle w:val="Strong"/>
          <w:b w:val="0"/>
        </w:rPr>
        <w:t xml:space="preserve"> </w:t>
      </w:r>
      <w:r w:rsidR="0046501B" w:rsidRPr="00E80935">
        <w:rPr>
          <w:rStyle w:val="Strong"/>
          <w:b w:val="0"/>
        </w:rPr>
        <w:t>T</w:t>
      </w:r>
      <w:r w:rsidRPr="00E80935">
        <w:rPr>
          <w:rStyle w:val="Strong"/>
          <w:b w:val="0"/>
        </w:rPr>
        <w:t xml:space="preserve">he </w:t>
      </w:r>
      <w:r w:rsidRPr="00E80935">
        <w:rPr>
          <w:rStyle w:val="Strong"/>
          <w:b w:val="0"/>
          <w:i/>
        </w:rPr>
        <w:t>Juvenile Residential Facility Census</w:t>
      </w:r>
      <w:r w:rsidRPr="00E80935">
        <w:rPr>
          <w:rStyle w:val="Strong"/>
          <w:b w:val="0"/>
        </w:rPr>
        <w:t xml:space="preserve"> (JRFC)</w:t>
      </w:r>
      <w:r w:rsidR="00F506D5" w:rsidRPr="00E80935">
        <w:rPr>
          <w:rStyle w:val="Strong"/>
          <w:b w:val="0"/>
        </w:rPr>
        <w:t xml:space="preserve"> is conducted</w:t>
      </w:r>
      <w:r w:rsidRPr="00E80935">
        <w:rPr>
          <w:rStyle w:val="Strong"/>
          <w:b w:val="0"/>
        </w:rPr>
        <w:t>, a</w:t>
      </w:r>
      <w:r w:rsidR="00F506D5" w:rsidRPr="00E80935">
        <w:rPr>
          <w:rStyle w:val="Strong"/>
          <w:b w:val="0"/>
        </w:rPr>
        <w:t>gain</w:t>
      </w:r>
      <w:r w:rsidRPr="00E80935">
        <w:rPr>
          <w:rStyle w:val="Strong"/>
          <w:b w:val="0"/>
        </w:rPr>
        <w:t xml:space="preserve"> by the Census Bureau for OJJDP</w:t>
      </w:r>
      <w:r w:rsidR="0046501B" w:rsidRPr="00E80935">
        <w:rPr>
          <w:rStyle w:val="Strong"/>
          <w:b w:val="0"/>
        </w:rPr>
        <w:t xml:space="preserve"> in odd-numbered years</w:t>
      </w:r>
      <w:r w:rsidRPr="00E80935">
        <w:rPr>
          <w:rStyle w:val="Strong"/>
          <w:b w:val="0"/>
        </w:rPr>
        <w:t>.</w:t>
      </w:r>
      <w:r w:rsidR="00417078" w:rsidRPr="00E80935">
        <w:rPr>
          <w:rStyle w:val="Strong"/>
          <w:b w:val="0"/>
        </w:rPr>
        <w:t xml:space="preserve"> </w:t>
      </w:r>
      <w:r w:rsidR="009D6D80" w:rsidRPr="00E80935">
        <w:rPr>
          <w:rStyle w:val="Strong"/>
          <w:b w:val="0"/>
        </w:rPr>
        <w:t>Again, the most recent frame is from the year preceding the SSV collection</w:t>
      </w:r>
      <w:r w:rsidR="0046501B" w:rsidRPr="00E80935">
        <w:rPr>
          <w:rStyle w:val="Strong"/>
          <w:b w:val="0"/>
        </w:rPr>
        <w:t>. That is,</w:t>
      </w:r>
      <w:r w:rsidR="009D6D80" w:rsidRPr="00E80935">
        <w:rPr>
          <w:rStyle w:val="Strong"/>
          <w:b w:val="0"/>
        </w:rPr>
        <w:t xml:space="preserve"> BJS </w:t>
      </w:r>
      <w:r w:rsidR="0046501B" w:rsidRPr="00E80935">
        <w:rPr>
          <w:rStyle w:val="Strong"/>
          <w:b w:val="0"/>
        </w:rPr>
        <w:t>will use</w:t>
      </w:r>
      <w:r w:rsidR="009D6D80" w:rsidRPr="00E80935">
        <w:rPr>
          <w:rStyle w:val="Strong"/>
          <w:b w:val="0"/>
        </w:rPr>
        <w:t xml:space="preserve"> CJRP </w:t>
      </w:r>
      <w:r w:rsidR="0046501B" w:rsidRPr="00E80935">
        <w:rPr>
          <w:rStyle w:val="Strong"/>
          <w:b w:val="0"/>
        </w:rPr>
        <w:t>2016 for SSV 2017; JRFC 2017 for SSV 2018; and CJRP 2018 for SSV 2019.</w:t>
      </w:r>
      <w:r w:rsidR="00375E07" w:rsidRPr="00E80935">
        <w:rPr>
          <w:rStyle w:val="Strong"/>
          <w:b w:val="0"/>
        </w:rPr>
        <w:t xml:space="preserve"> The j</w:t>
      </w:r>
      <w:r w:rsidR="00A60239" w:rsidRPr="00E80935">
        <w:rPr>
          <w:rStyle w:val="Strong"/>
          <w:b w:val="0"/>
        </w:rPr>
        <w:t>uvenile correctional facilities in Indian country</w:t>
      </w:r>
      <w:r w:rsidR="00375E07" w:rsidRPr="00E80935">
        <w:rPr>
          <w:rStyle w:val="Strong"/>
          <w:b w:val="0"/>
        </w:rPr>
        <w:t xml:space="preserve"> sample is drawn from </w:t>
      </w:r>
      <w:r w:rsidR="00417078" w:rsidRPr="00E80935">
        <w:rPr>
          <w:rStyle w:val="Strong"/>
          <w:b w:val="0"/>
        </w:rPr>
        <w:t xml:space="preserve">the </w:t>
      </w:r>
      <w:r w:rsidR="00417078" w:rsidRPr="00E80935">
        <w:rPr>
          <w:rStyle w:val="Strong"/>
          <w:b w:val="0"/>
          <w:i/>
        </w:rPr>
        <w:t>Annual Survey of Jails in Indian Country</w:t>
      </w:r>
      <w:r w:rsidR="00A60239" w:rsidRPr="00E80935">
        <w:rPr>
          <w:rStyle w:val="Strong"/>
          <w:b w:val="0"/>
        </w:rPr>
        <w:t>.</w:t>
      </w:r>
      <w:r w:rsidR="00417078" w:rsidRPr="00E80935">
        <w:rPr>
          <w:rStyle w:val="Strong"/>
          <w:b w:val="0"/>
        </w:rPr>
        <w:t xml:space="preserve"> </w:t>
      </w:r>
    </w:p>
    <w:p w14:paraId="389FB4E6" w14:textId="77777777" w:rsidR="00F23540" w:rsidRPr="00E80935" w:rsidRDefault="00F23540" w:rsidP="008E503D">
      <w:pPr>
        <w:ind w:left="720"/>
        <w:rPr>
          <w:rStyle w:val="Strong"/>
          <w:b w:val="0"/>
        </w:rPr>
      </w:pPr>
    </w:p>
    <w:p w14:paraId="625E4BD2" w14:textId="36AE254A" w:rsidR="00BB727F" w:rsidRPr="00E80935" w:rsidRDefault="00BB41C4" w:rsidP="008E503D">
      <w:pPr>
        <w:ind w:left="720"/>
        <w:rPr>
          <w:rStyle w:val="Strong"/>
          <w:b w:val="0"/>
        </w:rPr>
      </w:pPr>
      <w:r w:rsidRPr="00E80935">
        <w:rPr>
          <w:rFonts w:ascii="Times New Roman" w:hAnsi="Times New Roman"/>
        </w:rPr>
        <w:t xml:space="preserve">Approximately 7,050 facilities are covered by PREA. This includes about 5,200 adult prisons and jails and 1,850 juvenile facilities.  </w:t>
      </w:r>
      <w:r w:rsidR="006709E0" w:rsidRPr="00E80935">
        <w:rPr>
          <w:rStyle w:val="Strong"/>
          <w:b w:val="0"/>
        </w:rPr>
        <w:t>PREA</w:t>
      </w:r>
      <w:r w:rsidR="008E503D" w:rsidRPr="00E80935">
        <w:rPr>
          <w:rStyle w:val="Strong"/>
          <w:b w:val="0"/>
        </w:rPr>
        <w:t xml:space="preserve"> requires that BJS collect data from a sample of at least 10% of </w:t>
      </w:r>
      <w:r w:rsidRPr="00E80935">
        <w:rPr>
          <w:rStyle w:val="Strong"/>
          <w:b w:val="0"/>
        </w:rPr>
        <w:t xml:space="preserve">these </w:t>
      </w:r>
      <w:r w:rsidR="008E503D" w:rsidRPr="00E80935">
        <w:rPr>
          <w:rStyle w:val="Strong"/>
          <w:b w:val="0"/>
        </w:rPr>
        <w:t>correctional facilities.</w:t>
      </w:r>
      <w:r w:rsidR="00BB727F" w:rsidRPr="00E80935">
        <w:rPr>
          <w:rStyle w:val="Strong"/>
          <w:b w:val="0"/>
        </w:rPr>
        <w:t xml:space="preserve"> (See table 2 for the number of facilities and reporting units covered by PREA and sampled in 2016.)</w:t>
      </w:r>
      <w:r w:rsidR="008E503D" w:rsidRPr="00E80935">
        <w:rPr>
          <w:rStyle w:val="Strong"/>
          <w:b w:val="0"/>
        </w:rPr>
        <w:t xml:space="preserve"> </w:t>
      </w:r>
    </w:p>
    <w:p w14:paraId="5E0721EA" w14:textId="77777777" w:rsidR="00BB727F" w:rsidRPr="00E80935" w:rsidRDefault="00BB727F" w:rsidP="008E503D">
      <w:pPr>
        <w:ind w:left="720"/>
        <w:rPr>
          <w:rStyle w:val="Strong"/>
          <w:b w:val="0"/>
        </w:rPr>
      </w:pPr>
    </w:p>
    <w:p w14:paraId="32A1EB0A" w14:textId="51D9689D" w:rsidR="008E503D" w:rsidRPr="00E80935" w:rsidRDefault="008E503D" w:rsidP="008E503D">
      <w:pPr>
        <w:ind w:left="720"/>
        <w:rPr>
          <w:rStyle w:val="Strong"/>
          <w:b w:val="0"/>
        </w:rPr>
      </w:pPr>
      <w:r w:rsidRPr="00E80935">
        <w:rPr>
          <w:rStyle w:val="Strong"/>
          <w:b w:val="0"/>
        </w:rPr>
        <w:t xml:space="preserve">Because of the low numbers of reported sexual victimizations to correctional authorities and the centralized authority at the </w:t>
      </w:r>
      <w:r w:rsidR="0029252D" w:rsidRPr="00E80935">
        <w:rPr>
          <w:rStyle w:val="Strong"/>
          <w:b w:val="0"/>
        </w:rPr>
        <w:t>system</w:t>
      </w:r>
      <w:r w:rsidRPr="00E80935">
        <w:rPr>
          <w:rStyle w:val="Strong"/>
          <w:b w:val="0"/>
        </w:rPr>
        <w:t xml:space="preserve"> level that governs responses to the BJS surveys, the SSV elected to conduct a complete enumeration at the system level</w:t>
      </w:r>
      <w:r w:rsidR="005333A1" w:rsidRPr="00E80935">
        <w:rPr>
          <w:rFonts w:ascii="Times New Roman" w:hAnsi="Times New Roman"/>
        </w:rPr>
        <w:t xml:space="preserve"> – </w:t>
      </w:r>
      <w:r w:rsidRPr="00E80935">
        <w:rPr>
          <w:rStyle w:val="Strong"/>
          <w:b w:val="0"/>
        </w:rPr>
        <w:t>including the Federal Bureau of Prisons, all state departments of correction, all state juvenile justice systems, and each branch of the U.S. military. In each of these cases, both the information systems and the authority to report are centralized.</w:t>
      </w:r>
      <w:r w:rsidR="00B54A7D" w:rsidRPr="00E80935">
        <w:rPr>
          <w:rStyle w:val="Strong"/>
          <w:b w:val="0"/>
        </w:rPr>
        <w:t xml:space="preserve"> </w:t>
      </w:r>
      <w:r w:rsidRPr="00E80935">
        <w:rPr>
          <w:rStyle w:val="Strong"/>
          <w:b w:val="0"/>
        </w:rPr>
        <w:t xml:space="preserve">Moreover, this annual enumeration minimizes burden on the respondents (rather than selecting a sample from the more than 1,800 facilities operated by these systems). </w:t>
      </w:r>
    </w:p>
    <w:p w14:paraId="3169C2E2" w14:textId="77777777" w:rsidR="001F07FC" w:rsidRPr="00E80935" w:rsidRDefault="001F07FC" w:rsidP="00D2460B">
      <w:pPr>
        <w:widowControl/>
        <w:ind w:left="720"/>
        <w:rPr>
          <w:rFonts w:ascii="Times New Roman" w:hAnsi="Times New Roman"/>
        </w:rPr>
      </w:pPr>
    </w:p>
    <w:p w14:paraId="26D25AF8" w14:textId="57D18915" w:rsidR="00EB12B8" w:rsidRPr="00E80935" w:rsidRDefault="00392EB0" w:rsidP="00EB12B8">
      <w:pPr>
        <w:ind w:left="720"/>
        <w:rPr>
          <w:rStyle w:val="Strong"/>
          <w:b w:val="0"/>
        </w:rPr>
      </w:pPr>
      <w:r w:rsidRPr="00E80935">
        <w:rPr>
          <w:rStyle w:val="Strong"/>
          <w:b w:val="0"/>
        </w:rPr>
        <w:t xml:space="preserve">BJS also </w:t>
      </w:r>
      <w:r w:rsidR="001B25DD" w:rsidRPr="00E80935">
        <w:rPr>
          <w:rStyle w:val="Strong"/>
          <w:b w:val="0"/>
        </w:rPr>
        <w:t>conducts</w:t>
      </w:r>
      <w:r w:rsidRPr="00E80935">
        <w:rPr>
          <w:rStyle w:val="Strong"/>
          <w:b w:val="0"/>
        </w:rPr>
        <w:t xml:space="preserve"> a complete enumeration of the facilities </w:t>
      </w:r>
      <w:r w:rsidR="00CA5AF5" w:rsidRPr="00E80935">
        <w:rPr>
          <w:rStyle w:val="Strong"/>
          <w:b w:val="0"/>
        </w:rPr>
        <w:t>operated by or under contract with</w:t>
      </w:r>
      <w:r w:rsidR="00EB12B8" w:rsidRPr="00E80935">
        <w:rPr>
          <w:rStyle w:val="Strong"/>
          <w:b w:val="0"/>
        </w:rPr>
        <w:t xml:space="preserve"> the </w:t>
      </w:r>
      <w:r w:rsidR="00115C14" w:rsidRPr="00E80935">
        <w:rPr>
          <w:rStyle w:val="Strong"/>
          <w:b w:val="0"/>
        </w:rPr>
        <w:t>United States</w:t>
      </w:r>
      <w:r w:rsidR="00EB12B8" w:rsidRPr="00E80935">
        <w:rPr>
          <w:rStyle w:val="Strong"/>
          <w:b w:val="0"/>
        </w:rPr>
        <w:t xml:space="preserve"> Immigration and Customs Enforcement (ICE)</w:t>
      </w:r>
      <w:r w:rsidR="007C20A3" w:rsidRPr="00E80935">
        <w:rPr>
          <w:rStyle w:val="Strong"/>
          <w:b w:val="0"/>
        </w:rPr>
        <w:t>, called dedicated ICE facilities</w:t>
      </w:r>
      <w:r w:rsidR="00115C14" w:rsidRPr="00E80935">
        <w:rPr>
          <w:rStyle w:val="Strong"/>
          <w:b w:val="0"/>
        </w:rPr>
        <w:t>.</w:t>
      </w:r>
      <w:r w:rsidR="00EB12B8" w:rsidRPr="00E80935">
        <w:rPr>
          <w:rStyle w:val="Strong"/>
          <w:b w:val="0"/>
        </w:rPr>
        <w:t> </w:t>
      </w:r>
    </w:p>
    <w:p w14:paraId="656E123B" w14:textId="074774A5" w:rsidR="00D26052" w:rsidRPr="00E80935" w:rsidRDefault="00EB12B8" w:rsidP="00326C4E">
      <w:pPr>
        <w:widowControl/>
        <w:autoSpaceDE/>
        <w:autoSpaceDN/>
        <w:adjustRightInd/>
        <w:ind w:left="720"/>
        <w:rPr>
          <w:rStyle w:val="Strong"/>
          <w:b w:val="0"/>
        </w:rPr>
      </w:pPr>
      <w:r w:rsidRPr="00E80935">
        <w:rPr>
          <w:rStyle w:val="Strong"/>
          <w:b w:val="0"/>
        </w:rPr>
        <w:lastRenderedPageBreak/>
        <w:t xml:space="preserve">Finally, </w:t>
      </w:r>
      <w:r w:rsidR="00521DC9" w:rsidRPr="00E80935">
        <w:rPr>
          <w:rStyle w:val="Strong"/>
          <w:b w:val="0"/>
        </w:rPr>
        <w:t xml:space="preserve">private prisons, </w:t>
      </w:r>
      <w:r w:rsidRPr="00E80935">
        <w:rPr>
          <w:rStyle w:val="Strong"/>
          <w:b w:val="0"/>
        </w:rPr>
        <w:t xml:space="preserve">local jail jurisdictions, </w:t>
      </w:r>
      <w:r w:rsidR="00521DC9" w:rsidRPr="00E80935">
        <w:rPr>
          <w:rStyle w:val="Strong"/>
          <w:b w:val="0"/>
        </w:rPr>
        <w:t xml:space="preserve">private jails, </w:t>
      </w:r>
      <w:r w:rsidRPr="00E80935">
        <w:rPr>
          <w:rStyle w:val="Strong"/>
          <w:b w:val="0"/>
        </w:rPr>
        <w:t>Indian country</w:t>
      </w:r>
      <w:r w:rsidR="00521DC9" w:rsidRPr="00E80935">
        <w:rPr>
          <w:rStyle w:val="Strong"/>
          <w:b w:val="0"/>
        </w:rPr>
        <w:t xml:space="preserve"> jails</w:t>
      </w:r>
      <w:r w:rsidRPr="00E80935">
        <w:rPr>
          <w:rStyle w:val="Strong"/>
          <w:b w:val="0"/>
        </w:rPr>
        <w:t xml:space="preserve">, and local and private juvenile facilities are completely decentralized. Each of these are sampled using the most current </w:t>
      </w:r>
      <w:r w:rsidR="00521DC9" w:rsidRPr="00E80935">
        <w:rPr>
          <w:rStyle w:val="Strong"/>
          <w:b w:val="0"/>
        </w:rPr>
        <w:t>version</w:t>
      </w:r>
      <w:r w:rsidR="00D26052" w:rsidRPr="00E80935">
        <w:rPr>
          <w:rStyle w:val="Strong"/>
          <w:b w:val="0"/>
        </w:rPr>
        <w:t>s</w:t>
      </w:r>
      <w:r w:rsidR="00521DC9" w:rsidRPr="00E80935">
        <w:rPr>
          <w:rStyle w:val="Strong"/>
          <w:b w:val="0"/>
        </w:rPr>
        <w:t xml:space="preserve"> of the </w:t>
      </w:r>
      <w:r w:rsidRPr="00E80935">
        <w:rPr>
          <w:rStyle w:val="Strong"/>
          <w:b w:val="0"/>
        </w:rPr>
        <w:t xml:space="preserve">frames </w:t>
      </w:r>
      <w:r w:rsidR="00521DC9" w:rsidRPr="00E80935">
        <w:rPr>
          <w:rStyle w:val="Strong"/>
          <w:b w:val="0"/>
        </w:rPr>
        <w:t>listed above</w:t>
      </w:r>
      <w:r w:rsidRPr="00E80935">
        <w:rPr>
          <w:rStyle w:val="Strong"/>
          <w:b w:val="0"/>
        </w:rPr>
        <w:t xml:space="preserve">. </w:t>
      </w:r>
      <w:r w:rsidR="00D26052" w:rsidRPr="00E80935">
        <w:rPr>
          <w:rStyle w:val="Strong"/>
          <w:b w:val="0"/>
        </w:rPr>
        <w:t xml:space="preserve">Sample designs have been relatively stable from year to </w:t>
      </w:r>
      <w:r w:rsidR="00781A78" w:rsidRPr="00E80935">
        <w:rPr>
          <w:rStyle w:val="Strong"/>
          <w:b w:val="0"/>
        </w:rPr>
        <w:t>year</w:t>
      </w:r>
      <w:r w:rsidR="00D26052" w:rsidRPr="00E80935">
        <w:rPr>
          <w:rStyle w:val="Strong"/>
          <w:b w:val="0"/>
        </w:rPr>
        <w:t xml:space="preserve">. </w:t>
      </w:r>
      <w:r w:rsidRPr="00E80935">
        <w:rPr>
          <w:rStyle w:val="Strong"/>
          <w:b w:val="0"/>
        </w:rPr>
        <w:t xml:space="preserve">For each type of sampled facility </w:t>
      </w:r>
      <w:r w:rsidR="00521DC9" w:rsidRPr="00E80935">
        <w:rPr>
          <w:rStyle w:val="Strong"/>
          <w:b w:val="0"/>
        </w:rPr>
        <w:t>or</w:t>
      </w:r>
      <w:r w:rsidRPr="00E80935">
        <w:rPr>
          <w:rStyle w:val="Strong"/>
          <w:b w:val="0"/>
        </w:rPr>
        <w:t xml:space="preserve"> jurisdiction, a detailed description </w:t>
      </w:r>
      <w:r w:rsidR="00C5031D" w:rsidRPr="00E80935">
        <w:rPr>
          <w:rStyle w:val="Strong"/>
          <w:b w:val="0"/>
        </w:rPr>
        <w:t xml:space="preserve">of the sample design used for SSV 2016 </w:t>
      </w:r>
      <w:r w:rsidRPr="00E80935">
        <w:rPr>
          <w:rStyle w:val="Strong"/>
          <w:b w:val="0"/>
        </w:rPr>
        <w:t>has been provided</w:t>
      </w:r>
      <w:r w:rsidR="00781A78" w:rsidRPr="00E80935">
        <w:rPr>
          <w:rStyle w:val="Strong"/>
          <w:b w:val="0"/>
        </w:rPr>
        <w:t>, including sampling frames, coefficients of variation, and variance estimates</w:t>
      </w:r>
      <w:r w:rsidRPr="00E80935">
        <w:rPr>
          <w:rStyle w:val="Strong"/>
          <w:b w:val="0"/>
        </w:rPr>
        <w:t>. (See Attachment 6.)</w:t>
      </w:r>
      <w:r w:rsidR="0066156E" w:rsidRPr="00E80935">
        <w:rPr>
          <w:rStyle w:val="Strong"/>
          <w:b w:val="0"/>
        </w:rPr>
        <w:t xml:space="preserve"> </w:t>
      </w:r>
    </w:p>
    <w:p w14:paraId="0D9AB408" w14:textId="0A883534" w:rsidR="00251DC6" w:rsidRPr="00E80935" w:rsidRDefault="00251DC6" w:rsidP="00D2460B">
      <w:pPr>
        <w:widowControl/>
        <w:ind w:left="720"/>
        <w:rPr>
          <w:rFonts w:ascii="Arial" w:hAnsi="Arial" w:cs="Arial"/>
          <w:b/>
          <w:sz w:val="20"/>
          <w:szCs w:val="20"/>
        </w:rPr>
      </w:pPr>
    </w:p>
    <w:p w14:paraId="082F40E2" w14:textId="266DC2D1" w:rsidR="001F07FC" w:rsidRPr="00E80935" w:rsidRDefault="001F07FC" w:rsidP="00D2460B">
      <w:pPr>
        <w:widowControl/>
        <w:ind w:left="720"/>
        <w:rPr>
          <w:rFonts w:ascii="Arial" w:hAnsi="Arial" w:cs="Arial"/>
          <w:sz w:val="20"/>
          <w:szCs w:val="20"/>
        </w:rPr>
      </w:pPr>
      <w:r w:rsidRPr="00E80935">
        <w:rPr>
          <w:rFonts w:ascii="Arial" w:hAnsi="Arial" w:cs="Arial"/>
          <w:b/>
          <w:sz w:val="20"/>
          <w:szCs w:val="20"/>
        </w:rPr>
        <w:t xml:space="preserve">Table 2. </w:t>
      </w:r>
      <w:r w:rsidR="00364C9C" w:rsidRPr="00E80935">
        <w:rPr>
          <w:rFonts w:ascii="Arial" w:hAnsi="Arial" w:cs="Arial"/>
          <w:b/>
          <w:sz w:val="20"/>
          <w:szCs w:val="20"/>
        </w:rPr>
        <w:t>N</w:t>
      </w:r>
      <w:r w:rsidRPr="00E80935">
        <w:rPr>
          <w:rFonts w:ascii="Arial" w:hAnsi="Arial" w:cs="Arial"/>
          <w:b/>
          <w:sz w:val="20"/>
          <w:szCs w:val="20"/>
        </w:rPr>
        <w:t>umber of facilities</w:t>
      </w:r>
      <w:r w:rsidR="00FF5E48" w:rsidRPr="00E80935">
        <w:rPr>
          <w:rFonts w:ascii="Arial" w:hAnsi="Arial" w:cs="Arial"/>
          <w:b/>
          <w:sz w:val="20"/>
          <w:szCs w:val="20"/>
        </w:rPr>
        <w:t xml:space="preserve"> and reporting units</w:t>
      </w:r>
      <w:r w:rsidRPr="00E80935">
        <w:rPr>
          <w:rFonts w:ascii="Arial" w:hAnsi="Arial" w:cs="Arial"/>
          <w:b/>
          <w:sz w:val="20"/>
          <w:szCs w:val="20"/>
        </w:rPr>
        <w:t xml:space="preserve"> </w:t>
      </w:r>
      <w:r w:rsidR="00585895" w:rsidRPr="00E80935">
        <w:rPr>
          <w:rFonts w:ascii="Arial" w:hAnsi="Arial" w:cs="Arial"/>
          <w:b/>
          <w:sz w:val="20"/>
          <w:szCs w:val="20"/>
        </w:rPr>
        <w:t>in 20</w:t>
      </w:r>
      <w:r w:rsidR="00665655" w:rsidRPr="00E80935">
        <w:rPr>
          <w:rFonts w:ascii="Arial" w:hAnsi="Arial" w:cs="Arial"/>
          <w:b/>
          <w:sz w:val="20"/>
          <w:szCs w:val="20"/>
        </w:rPr>
        <w:t>16</w:t>
      </w:r>
      <w:r w:rsidR="00585895" w:rsidRPr="00E80935">
        <w:rPr>
          <w:rFonts w:ascii="Arial" w:hAnsi="Arial" w:cs="Arial"/>
          <w:b/>
          <w:sz w:val="20"/>
          <w:szCs w:val="20"/>
        </w:rPr>
        <w:t xml:space="preserve"> </w:t>
      </w:r>
      <w:r w:rsidRPr="00E80935">
        <w:rPr>
          <w:rFonts w:ascii="Arial" w:hAnsi="Arial" w:cs="Arial"/>
          <w:b/>
          <w:sz w:val="20"/>
          <w:szCs w:val="20"/>
        </w:rPr>
        <w:t>covered by the Prison Rape Elimination Act</w:t>
      </w:r>
      <w:r w:rsidRPr="00E80935">
        <w:rPr>
          <w:rFonts w:ascii="Arial" w:hAnsi="Arial" w:cs="Arial"/>
          <w:sz w:val="20"/>
          <w:szCs w:val="20"/>
        </w:rPr>
        <w:t xml:space="preserve"> </w:t>
      </w:r>
    </w:p>
    <w:tbl>
      <w:tblPr>
        <w:tblW w:w="9450" w:type="dxa"/>
        <w:tblInd w:w="712" w:type="dxa"/>
        <w:tblLayout w:type="fixed"/>
        <w:tblCellMar>
          <w:top w:w="14" w:type="dxa"/>
          <w:left w:w="29" w:type="dxa"/>
          <w:bottom w:w="14" w:type="dxa"/>
          <w:right w:w="29" w:type="dxa"/>
        </w:tblCellMar>
        <w:tblLook w:val="0000" w:firstRow="0" w:lastRow="0" w:firstColumn="0" w:lastColumn="0" w:noHBand="0" w:noVBand="0"/>
      </w:tblPr>
      <w:tblGrid>
        <w:gridCol w:w="2880"/>
        <w:gridCol w:w="720"/>
        <w:gridCol w:w="1080"/>
        <w:gridCol w:w="90"/>
        <w:gridCol w:w="900"/>
        <w:gridCol w:w="810"/>
        <w:gridCol w:w="90"/>
        <w:gridCol w:w="900"/>
        <w:gridCol w:w="90"/>
        <w:gridCol w:w="1080"/>
        <w:gridCol w:w="810"/>
      </w:tblGrid>
      <w:tr w:rsidR="00D20C7D" w:rsidRPr="00E80935" w14:paraId="31179FFD" w14:textId="5CC9215B" w:rsidTr="001C5464">
        <w:trPr>
          <w:trHeight w:val="241"/>
        </w:trPr>
        <w:tc>
          <w:tcPr>
            <w:tcW w:w="2880" w:type="dxa"/>
            <w:tcBorders>
              <w:top w:val="single" w:sz="6" w:space="0" w:color="FFFFFF"/>
              <w:left w:val="single" w:sz="6" w:space="0" w:color="FFFFFF"/>
              <w:right w:val="single" w:sz="6" w:space="0" w:color="FFFFFF"/>
            </w:tcBorders>
            <w:vAlign w:val="bottom"/>
          </w:tcPr>
          <w:p w14:paraId="6E119FB9" w14:textId="77777777" w:rsidR="00D20C7D" w:rsidRPr="00E80935" w:rsidRDefault="00D20C7D" w:rsidP="005849DC">
            <w:pPr>
              <w:widowControl/>
              <w:rPr>
                <w:rFonts w:ascii="Arial" w:hAnsi="Arial" w:cs="Arial"/>
                <w:sz w:val="20"/>
                <w:szCs w:val="20"/>
              </w:rPr>
            </w:pPr>
          </w:p>
        </w:tc>
        <w:tc>
          <w:tcPr>
            <w:tcW w:w="720" w:type="dxa"/>
            <w:tcBorders>
              <w:left w:val="single" w:sz="6" w:space="0" w:color="FFFFFF"/>
              <w:right w:val="single" w:sz="6" w:space="0" w:color="FFFFFF"/>
            </w:tcBorders>
            <w:vAlign w:val="bottom"/>
          </w:tcPr>
          <w:p w14:paraId="3B46D10E" w14:textId="77777777" w:rsidR="00D20C7D" w:rsidRPr="00E80935" w:rsidRDefault="00D20C7D" w:rsidP="00A35168">
            <w:pPr>
              <w:jc w:val="center"/>
              <w:rPr>
                <w:rFonts w:ascii="Arial" w:hAnsi="Arial" w:cs="Arial"/>
                <w:sz w:val="20"/>
                <w:szCs w:val="20"/>
              </w:rPr>
            </w:pPr>
          </w:p>
        </w:tc>
        <w:tc>
          <w:tcPr>
            <w:tcW w:w="2880" w:type="dxa"/>
            <w:gridSpan w:val="4"/>
            <w:tcBorders>
              <w:left w:val="single" w:sz="6" w:space="0" w:color="FFFFFF"/>
              <w:bottom w:val="single" w:sz="6" w:space="0" w:color="auto"/>
              <w:right w:val="single" w:sz="6" w:space="0" w:color="FFFFFF"/>
            </w:tcBorders>
            <w:vAlign w:val="bottom"/>
          </w:tcPr>
          <w:p w14:paraId="12BC1284" w14:textId="60030A97" w:rsidR="00D20C7D" w:rsidRPr="00E80935" w:rsidRDefault="00D20C7D" w:rsidP="00A35168">
            <w:pPr>
              <w:jc w:val="center"/>
              <w:rPr>
                <w:rFonts w:ascii="Arial" w:hAnsi="Arial" w:cs="Arial"/>
                <w:sz w:val="20"/>
                <w:szCs w:val="20"/>
              </w:rPr>
            </w:pPr>
            <w:r w:rsidRPr="00E80935">
              <w:rPr>
                <w:rFonts w:ascii="Arial" w:hAnsi="Arial" w:cs="Arial"/>
                <w:sz w:val="20"/>
                <w:szCs w:val="20"/>
              </w:rPr>
              <w:t>Facilities</w:t>
            </w:r>
          </w:p>
        </w:tc>
        <w:tc>
          <w:tcPr>
            <w:tcW w:w="90" w:type="dxa"/>
            <w:tcBorders>
              <w:left w:val="single" w:sz="6" w:space="0" w:color="FFFFFF"/>
              <w:right w:val="single" w:sz="6" w:space="0" w:color="FFFFFF"/>
            </w:tcBorders>
            <w:vAlign w:val="bottom"/>
          </w:tcPr>
          <w:p w14:paraId="59256ACA" w14:textId="4566C5B9" w:rsidR="00D20C7D" w:rsidRPr="00E80935" w:rsidRDefault="00D20C7D" w:rsidP="00A35168">
            <w:pPr>
              <w:jc w:val="center"/>
              <w:rPr>
                <w:rFonts w:ascii="Arial" w:hAnsi="Arial" w:cs="Arial"/>
                <w:sz w:val="20"/>
                <w:szCs w:val="20"/>
              </w:rPr>
            </w:pPr>
          </w:p>
        </w:tc>
        <w:tc>
          <w:tcPr>
            <w:tcW w:w="2880" w:type="dxa"/>
            <w:gridSpan w:val="4"/>
            <w:tcBorders>
              <w:left w:val="single" w:sz="6" w:space="0" w:color="FFFFFF"/>
            </w:tcBorders>
            <w:tcMar>
              <w:right w:w="72" w:type="dxa"/>
            </w:tcMar>
            <w:vAlign w:val="bottom"/>
          </w:tcPr>
          <w:p w14:paraId="2B117F4B" w14:textId="773992B2" w:rsidR="00D20C7D" w:rsidRPr="00E80935" w:rsidRDefault="00D20C7D" w:rsidP="00A35168">
            <w:pPr>
              <w:jc w:val="center"/>
              <w:rPr>
                <w:rFonts w:ascii="Arial" w:hAnsi="Arial" w:cs="Arial"/>
                <w:sz w:val="20"/>
                <w:szCs w:val="20"/>
              </w:rPr>
            </w:pPr>
            <w:r w:rsidRPr="00E80935">
              <w:rPr>
                <w:rFonts w:ascii="Arial" w:hAnsi="Arial" w:cs="Arial"/>
                <w:sz w:val="20"/>
                <w:szCs w:val="20"/>
              </w:rPr>
              <w:t>Reporting units</w:t>
            </w:r>
          </w:p>
        </w:tc>
      </w:tr>
      <w:tr w:rsidR="00D20C7D" w:rsidRPr="00E80935" w14:paraId="46AE9318" w14:textId="594D34EA" w:rsidTr="00D20C7D">
        <w:trPr>
          <w:trHeight w:val="241"/>
        </w:trPr>
        <w:tc>
          <w:tcPr>
            <w:tcW w:w="2880" w:type="dxa"/>
            <w:tcBorders>
              <w:left w:val="single" w:sz="6" w:space="0" w:color="FFFFFF"/>
              <w:bottom w:val="single" w:sz="6" w:space="0" w:color="auto"/>
              <w:right w:val="single" w:sz="6" w:space="0" w:color="FFFFFF"/>
            </w:tcBorders>
            <w:vAlign w:val="bottom"/>
          </w:tcPr>
          <w:p w14:paraId="73183601" w14:textId="3D99707C" w:rsidR="00D20C7D" w:rsidRPr="00E80935" w:rsidRDefault="00D20C7D" w:rsidP="00D20C7D">
            <w:pPr>
              <w:widowControl/>
              <w:rPr>
                <w:rFonts w:ascii="Arial" w:hAnsi="Arial" w:cs="Arial"/>
                <w:sz w:val="20"/>
                <w:szCs w:val="20"/>
              </w:rPr>
            </w:pPr>
            <w:r w:rsidRPr="00E80935">
              <w:rPr>
                <w:rFonts w:ascii="Arial" w:hAnsi="Arial" w:cs="Arial"/>
                <w:sz w:val="20"/>
                <w:szCs w:val="20"/>
              </w:rPr>
              <w:t>Facility type</w:t>
            </w:r>
          </w:p>
        </w:tc>
        <w:tc>
          <w:tcPr>
            <w:tcW w:w="720" w:type="dxa"/>
            <w:tcBorders>
              <w:left w:val="single" w:sz="6" w:space="0" w:color="FFFFFF"/>
              <w:bottom w:val="single" w:sz="6" w:space="0" w:color="auto"/>
              <w:right w:val="single" w:sz="6" w:space="0" w:color="FFFFFF"/>
            </w:tcBorders>
            <w:vAlign w:val="bottom"/>
          </w:tcPr>
          <w:p w14:paraId="6B48C38F" w14:textId="0C7AD3D5" w:rsidR="00D20C7D" w:rsidRPr="00E80935" w:rsidRDefault="00D20C7D" w:rsidP="00D20C7D">
            <w:pPr>
              <w:widowControl/>
              <w:rPr>
                <w:rFonts w:ascii="Arial" w:hAnsi="Arial" w:cs="Arial"/>
                <w:sz w:val="20"/>
                <w:szCs w:val="20"/>
              </w:rPr>
            </w:pPr>
            <w:r w:rsidRPr="00E80935">
              <w:rPr>
                <w:rFonts w:ascii="Arial" w:hAnsi="Arial" w:cs="Arial"/>
                <w:sz w:val="20"/>
                <w:szCs w:val="20"/>
              </w:rPr>
              <w:t>Form</w:t>
            </w:r>
          </w:p>
        </w:tc>
        <w:tc>
          <w:tcPr>
            <w:tcW w:w="1080" w:type="dxa"/>
            <w:tcBorders>
              <w:top w:val="single" w:sz="6" w:space="0" w:color="auto"/>
              <w:left w:val="single" w:sz="6" w:space="0" w:color="FFFFFF"/>
              <w:bottom w:val="single" w:sz="6" w:space="0" w:color="auto"/>
              <w:right w:val="single" w:sz="6" w:space="0" w:color="FFFFFF"/>
            </w:tcBorders>
            <w:vAlign w:val="bottom"/>
          </w:tcPr>
          <w:p w14:paraId="6A11C48F" w14:textId="26CEEC37"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Universe</w:t>
            </w:r>
          </w:p>
        </w:tc>
        <w:tc>
          <w:tcPr>
            <w:tcW w:w="90" w:type="dxa"/>
            <w:tcBorders>
              <w:top w:val="single" w:sz="6" w:space="0" w:color="auto"/>
              <w:left w:val="single" w:sz="6" w:space="0" w:color="FFFFFF"/>
              <w:bottom w:val="single" w:sz="6" w:space="0" w:color="auto"/>
              <w:right w:val="single" w:sz="6" w:space="0" w:color="FFFFFF"/>
            </w:tcBorders>
            <w:vAlign w:val="bottom"/>
          </w:tcPr>
          <w:p w14:paraId="40AF9534" w14:textId="77777777" w:rsidR="00D20C7D" w:rsidRPr="00E80935" w:rsidRDefault="00D20C7D" w:rsidP="00D20C7D">
            <w:pPr>
              <w:rPr>
                <w:rFonts w:ascii="Arial" w:hAnsi="Arial" w:cs="Arial"/>
                <w:sz w:val="20"/>
                <w:szCs w:val="20"/>
              </w:rPr>
            </w:pPr>
          </w:p>
        </w:tc>
        <w:tc>
          <w:tcPr>
            <w:tcW w:w="900" w:type="dxa"/>
            <w:tcBorders>
              <w:top w:val="single" w:sz="6" w:space="0" w:color="auto"/>
              <w:left w:val="single" w:sz="6" w:space="0" w:color="FFFFFF"/>
              <w:bottom w:val="single" w:sz="6" w:space="0" w:color="auto"/>
              <w:right w:val="single" w:sz="6" w:space="0" w:color="FFFFFF"/>
            </w:tcBorders>
            <w:vAlign w:val="bottom"/>
          </w:tcPr>
          <w:p w14:paraId="5619FECD" w14:textId="17C0209B" w:rsidR="00D20C7D" w:rsidRPr="00E80935" w:rsidRDefault="00D20C7D" w:rsidP="00D20C7D">
            <w:pPr>
              <w:rPr>
                <w:rFonts w:ascii="Arial" w:hAnsi="Arial" w:cs="Arial"/>
                <w:sz w:val="20"/>
                <w:szCs w:val="20"/>
              </w:rPr>
            </w:pPr>
            <w:r w:rsidRPr="00E80935">
              <w:rPr>
                <w:rFonts w:ascii="Arial" w:hAnsi="Arial" w:cs="Arial"/>
                <w:sz w:val="20"/>
                <w:szCs w:val="20"/>
              </w:rPr>
              <w:t>Sampled</w:t>
            </w:r>
          </w:p>
        </w:tc>
        <w:tc>
          <w:tcPr>
            <w:tcW w:w="810" w:type="dxa"/>
            <w:tcBorders>
              <w:left w:val="single" w:sz="6" w:space="0" w:color="FFFFFF"/>
              <w:bottom w:val="single" w:sz="6" w:space="0" w:color="auto"/>
              <w:right w:val="single" w:sz="6" w:space="0" w:color="FFFFFF"/>
            </w:tcBorders>
          </w:tcPr>
          <w:p w14:paraId="46C0EBE1" w14:textId="18DC5770" w:rsidR="00D20C7D" w:rsidRPr="00E80935" w:rsidRDefault="00D20C7D" w:rsidP="00D20C7D">
            <w:pPr>
              <w:rPr>
                <w:rFonts w:ascii="Arial" w:hAnsi="Arial" w:cs="Arial"/>
                <w:sz w:val="20"/>
                <w:szCs w:val="20"/>
              </w:rPr>
            </w:pPr>
            <w:r w:rsidRPr="00E80935">
              <w:rPr>
                <w:rFonts w:ascii="Arial" w:hAnsi="Arial" w:cs="Arial"/>
                <w:sz w:val="20"/>
                <w:szCs w:val="20"/>
              </w:rPr>
              <w:t>Percent</w:t>
            </w:r>
          </w:p>
        </w:tc>
        <w:tc>
          <w:tcPr>
            <w:tcW w:w="90" w:type="dxa"/>
            <w:tcBorders>
              <w:left w:val="single" w:sz="6" w:space="0" w:color="FFFFFF"/>
              <w:bottom w:val="single" w:sz="6" w:space="0" w:color="auto"/>
              <w:right w:val="single" w:sz="6" w:space="0" w:color="FFFFFF"/>
            </w:tcBorders>
            <w:vAlign w:val="bottom"/>
          </w:tcPr>
          <w:p w14:paraId="1774116C" w14:textId="541F104B" w:rsidR="00D20C7D" w:rsidRPr="00E80935" w:rsidRDefault="00D20C7D" w:rsidP="00D20C7D">
            <w:pPr>
              <w:rPr>
                <w:rFonts w:ascii="Arial" w:hAnsi="Arial" w:cs="Arial"/>
                <w:sz w:val="20"/>
                <w:szCs w:val="20"/>
              </w:rPr>
            </w:pPr>
          </w:p>
        </w:tc>
        <w:tc>
          <w:tcPr>
            <w:tcW w:w="900" w:type="dxa"/>
            <w:tcBorders>
              <w:top w:val="single" w:sz="6" w:space="0" w:color="auto"/>
              <w:left w:val="single" w:sz="6" w:space="0" w:color="FFFFFF"/>
              <w:bottom w:val="single" w:sz="6" w:space="0" w:color="auto"/>
              <w:right w:val="single" w:sz="6" w:space="0" w:color="FFFFFF"/>
            </w:tcBorders>
            <w:tcMar>
              <w:right w:w="72" w:type="dxa"/>
            </w:tcMar>
            <w:vAlign w:val="bottom"/>
          </w:tcPr>
          <w:p w14:paraId="5642830C" w14:textId="0B7EB861" w:rsidR="00D20C7D" w:rsidRPr="00E80935" w:rsidRDefault="00D20C7D" w:rsidP="00D20C7D">
            <w:pPr>
              <w:rPr>
                <w:rFonts w:ascii="Arial" w:hAnsi="Arial" w:cs="Arial"/>
                <w:sz w:val="20"/>
                <w:szCs w:val="20"/>
              </w:rPr>
            </w:pPr>
            <w:r w:rsidRPr="00E80935">
              <w:rPr>
                <w:rFonts w:ascii="Arial" w:hAnsi="Arial" w:cs="Arial"/>
                <w:sz w:val="20"/>
                <w:szCs w:val="20"/>
              </w:rPr>
              <w:t>Universe</w:t>
            </w:r>
          </w:p>
        </w:tc>
        <w:tc>
          <w:tcPr>
            <w:tcW w:w="90" w:type="dxa"/>
            <w:tcBorders>
              <w:top w:val="single" w:sz="6" w:space="0" w:color="auto"/>
              <w:left w:val="single" w:sz="6" w:space="0" w:color="FFFFFF"/>
              <w:bottom w:val="single" w:sz="6" w:space="0" w:color="auto"/>
              <w:right w:val="single" w:sz="6" w:space="0" w:color="FFFFFF"/>
            </w:tcBorders>
            <w:vAlign w:val="bottom"/>
          </w:tcPr>
          <w:p w14:paraId="430B7ED8" w14:textId="77777777" w:rsidR="00D20C7D" w:rsidRPr="00E80935" w:rsidRDefault="00D20C7D" w:rsidP="00D20C7D">
            <w:pPr>
              <w:rPr>
                <w:rFonts w:ascii="Arial" w:hAnsi="Arial" w:cs="Arial"/>
                <w:sz w:val="20"/>
                <w:szCs w:val="20"/>
              </w:rPr>
            </w:pPr>
          </w:p>
        </w:tc>
        <w:tc>
          <w:tcPr>
            <w:tcW w:w="1080" w:type="dxa"/>
            <w:tcBorders>
              <w:top w:val="single" w:sz="6" w:space="0" w:color="auto"/>
              <w:left w:val="single" w:sz="6" w:space="0" w:color="FFFFFF"/>
              <w:bottom w:val="single" w:sz="6" w:space="0" w:color="auto"/>
              <w:right w:val="single" w:sz="6" w:space="0" w:color="FFFFFF"/>
            </w:tcBorders>
            <w:vAlign w:val="bottom"/>
          </w:tcPr>
          <w:p w14:paraId="47CA7EF4" w14:textId="5F40F131" w:rsidR="00D20C7D" w:rsidRPr="00E80935" w:rsidRDefault="00D20C7D" w:rsidP="00D20C7D">
            <w:pPr>
              <w:rPr>
                <w:rFonts w:ascii="Arial" w:hAnsi="Arial" w:cs="Arial"/>
                <w:sz w:val="20"/>
                <w:szCs w:val="20"/>
              </w:rPr>
            </w:pPr>
            <w:r w:rsidRPr="00E80935">
              <w:rPr>
                <w:rFonts w:ascii="Arial" w:hAnsi="Arial" w:cs="Arial"/>
                <w:sz w:val="20"/>
                <w:szCs w:val="20"/>
              </w:rPr>
              <w:t>Sampled</w:t>
            </w:r>
          </w:p>
        </w:tc>
        <w:tc>
          <w:tcPr>
            <w:tcW w:w="810" w:type="dxa"/>
            <w:tcBorders>
              <w:top w:val="single" w:sz="6" w:space="0" w:color="auto"/>
              <w:left w:val="single" w:sz="6" w:space="0" w:color="FFFFFF"/>
              <w:bottom w:val="single" w:sz="6" w:space="0" w:color="auto"/>
              <w:right w:val="single" w:sz="6" w:space="0" w:color="FFFFFF"/>
            </w:tcBorders>
          </w:tcPr>
          <w:p w14:paraId="01F3D897" w14:textId="237BD748" w:rsidR="00D20C7D" w:rsidRPr="00E80935" w:rsidRDefault="00D20C7D" w:rsidP="00D20C7D">
            <w:pPr>
              <w:rPr>
                <w:rFonts w:ascii="Arial" w:hAnsi="Arial" w:cs="Arial"/>
                <w:sz w:val="20"/>
                <w:szCs w:val="20"/>
              </w:rPr>
            </w:pPr>
            <w:r w:rsidRPr="00E80935">
              <w:rPr>
                <w:rFonts w:ascii="Arial" w:hAnsi="Arial" w:cs="Arial"/>
                <w:sz w:val="20"/>
                <w:szCs w:val="20"/>
              </w:rPr>
              <w:t>Percent</w:t>
            </w:r>
          </w:p>
        </w:tc>
      </w:tr>
      <w:tr w:rsidR="00D20C7D" w:rsidRPr="00E80935" w14:paraId="443C34F0" w14:textId="02C8DBB2" w:rsidTr="00D20C7D">
        <w:trPr>
          <w:trHeight w:val="268"/>
        </w:trPr>
        <w:tc>
          <w:tcPr>
            <w:tcW w:w="2880" w:type="dxa"/>
            <w:tcBorders>
              <w:top w:val="single" w:sz="6" w:space="0" w:color="auto"/>
              <w:left w:val="single" w:sz="6" w:space="0" w:color="FFFFFF"/>
              <w:bottom w:val="single" w:sz="6" w:space="0" w:color="FFFFFF"/>
              <w:right w:val="single" w:sz="6" w:space="0" w:color="FFFFFF"/>
            </w:tcBorders>
            <w:vAlign w:val="bottom"/>
          </w:tcPr>
          <w:p w14:paraId="6EEAFCC4" w14:textId="77777777"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Total</w:t>
            </w:r>
          </w:p>
        </w:tc>
        <w:tc>
          <w:tcPr>
            <w:tcW w:w="720" w:type="dxa"/>
            <w:tcBorders>
              <w:top w:val="single" w:sz="6" w:space="0" w:color="auto"/>
              <w:left w:val="single" w:sz="6" w:space="0" w:color="FFFFFF"/>
              <w:bottom w:val="single" w:sz="6" w:space="0" w:color="FFFFFF"/>
              <w:right w:val="single" w:sz="6" w:space="0" w:color="FFFFFF"/>
            </w:tcBorders>
            <w:vAlign w:val="bottom"/>
          </w:tcPr>
          <w:p w14:paraId="00632490" w14:textId="77777777" w:rsidR="00D20C7D" w:rsidRPr="00E80935" w:rsidRDefault="00D20C7D" w:rsidP="00D20C7D">
            <w:pPr>
              <w:widowControl/>
              <w:rPr>
                <w:rFonts w:ascii="Arial" w:hAnsi="Arial" w:cs="Arial"/>
                <w:sz w:val="20"/>
                <w:szCs w:val="20"/>
              </w:rPr>
            </w:pPr>
          </w:p>
        </w:tc>
        <w:tc>
          <w:tcPr>
            <w:tcW w:w="1080" w:type="dxa"/>
            <w:tcBorders>
              <w:top w:val="single" w:sz="6" w:space="0" w:color="auto"/>
              <w:left w:val="single" w:sz="6" w:space="0" w:color="FFFFFF"/>
              <w:bottom w:val="single" w:sz="6" w:space="0" w:color="FFFFFF"/>
              <w:right w:val="single" w:sz="6" w:space="0" w:color="FFFFFF"/>
            </w:tcBorders>
            <w:vAlign w:val="bottom"/>
          </w:tcPr>
          <w:p w14:paraId="58BF76C4" w14:textId="0A5EFDE7" w:rsidR="00D20C7D" w:rsidRPr="00E80935" w:rsidRDefault="00D20C7D" w:rsidP="00D20C7D">
            <w:pPr>
              <w:widowControl/>
              <w:jc w:val="right"/>
              <w:rPr>
                <w:rFonts w:ascii="Arial" w:hAnsi="Arial" w:cs="Arial"/>
                <w:strike/>
                <w:sz w:val="20"/>
                <w:szCs w:val="20"/>
              </w:rPr>
            </w:pPr>
            <w:r w:rsidRPr="00E80935">
              <w:rPr>
                <w:rFonts w:ascii="Arial" w:hAnsi="Arial" w:cs="Arial"/>
                <w:sz w:val="20"/>
                <w:szCs w:val="20"/>
              </w:rPr>
              <w:t xml:space="preserve">         7,045</w:t>
            </w:r>
          </w:p>
        </w:tc>
        <w:tc>
          <w:tcPr>
            <w:tcW w:w="90" w:type="dxa"/>
            <w:tcBorders>
              <w:top w:val="single" w:sz="6" w:space="0" w:color="auto"/>
              <w:left w:val="single" w:sz="6" w:space="0" w:color="FFFFFF"/>
              <w:bottom w:val="single" w:sz="6" w:space="0" w:color="FFFFFF"/>
              <w:right w:val="single" w:sz="6" w:space="0" w:color="FFFFFF"/>
            </w:tcBorders>
            <w:vAlign w:val="bottom"/>
          </w:tcPr>
          <w:p w14:paraId="168A37DE" w14:textId="77777777" w:rsidR="00D20C7D" w:rsidRPr="00E80935" w:rsidRDefault="00D20C7D" w:rsidP="00D20C7D">
            <w:pPr>
              <w:jc w:val="right"/>
              <w:rPr>
                <w:rFonts w:ascii="Arial" w:hAnsi="Arial" w:cs="Arial"/>
                <w:sz w:val="20"/>
                <w:szCs w:val="20"/>
              </w:rPr>
            </w:pPr>
          </w:p>
        </w:tc>
        <w:tc>
          <w:tcPr>
            <w:tcW w:w="900" w:type="dxa"/>
            <w:tcBorders>
              <w:top w:val="single" w:sz="6" w:space="0" w:color="auto"/>
              <w:left w:val="single" w:sz="6" w:space="0" w:color="FFFFFF"/>
              <w:bottom w:val="single" w:sz="6" w:space="0" w:color="FFFFFF"/>
              <w:right w:val="single" w:sz="6" w:space="0" w:color="FFFFFF"/>
            </w:tcBorders>
            <w:vAlign w:val="bottom"/>
          </w:tcPr>
          <w:p w14:paraId="3ECF3A81" w14:textId="41530373" w:rsidR="00D20C7D" w:rsidRPr="00E80935" w:rsidRDefault="00D20C7D" w:rsidP="00D20C7D">
            <w:pPr>
              <w:jc w:val="right"/>
              <w:rPr>
                <w:rFonts w:ascii="Arial" w:hAnsi="Arial" w:cs="Arial"/>
                <w:sz w:val="20"/>
                <w:szCs w:val="20"/>
              </w:rPr>
            </w:pPr>
            <w:r w:rsidRPr="00E80935">
              <w:rPr>
                <w:rFonts w:ascii="Arial" w:hAnsi="Arial" w:cs="Arial"/>
                <w:sz w:val="20"/>
                <w:szCs w:val="20"/>
              </w:rPr>
              <w:t>3,277</w:t>
            </w:r>
          </w:p>
        </w:tc>
        <w:tc>
          <w:tcPr>
            <w:tcW w:w="810" w:type="dxa"/>
            <w:tcBorders>
              <w:top w:val="single" w:sz="6" w:space="0" w:color="auto"/>
              <w:left w:val="single" w:sz="6" w:space="0" w:color="FFFFFF"/>
              <w:bottom w:val="single" w:sz="6" w:space="0" w:color="FFFFFF"/>
              <w:right w:val="single" w:sz="6" w:space="0" w:color="FFFFFF"/>
            </w:tcBorders>
          </w:tcPr>
          <w:p w14:paraId="36E9B427" w14:textId="4C09B717" w:rsidR="00D20C7D" w:rsidRPr="00E80935" w:rsidRDefault="00D20C7D" w:rsidP="00D20C7D">
            <w:pPr>
              <w:jc w:val="right"/>
              <w:rPr>
                <w:rFonts w:ascii="Arial" w:hAnsi="Arial" w:cs="Arial"/>
                <w:sz w:val="20"/>
                <w:szCs w:val="20"/>
              </w:rPr>
            </w:pPr>
            <w:r w:rsidRPr="00E80935">
              <w:rPr>
                <w:rFonts w:ascii="Arial" w:hAnsi="Arial" w:cs="Arial"/>
                <w:sz w:val="20"/>
                <w:szCs w:val="20"/>
              </w:rPr>
              <w:t>48.1%</w:t>
            </w:r>
          </w:p>
        </w:tc>
        <w:tc>
          <w:tcPr>
            <w:tcW w:w="90" w:type="dxa"/>
            <w:tcBorders>
              <w:top w:val="single" w:sz="6" w:space="0" w:color="auto"/>
              <w:left w:val="single" w:sz="6" w:space="0" w:color="FFFFFF"/>
              <w:bottom w:val="single" w:sz="6" w:space="0" w:color="FFFFFF"/>
              <w:right w:val="single" w:sz="6" w:space="0" w:color="FFFFFF"/>
            </w:tcBorders>
            <w:vAlign w:val="bottom"/>
          </w:tcPr>
          <w:p w14:paraId="06B2B85F" w14:textId="72260062" w:rsidR="00D20C7D" w:rsidRPr="00E80935" w:rsidRDefault="00D20C7D" w:rsidP="00D20C7D">
            <w:pPr>
              <w:jc w:val="right"/>
              <w:rPr>
                <w:rFonts w:ascii="Arial" w:hAnsi="Arial" w:cs="Arial"/>
                <w:sz w:val="20"/>
                <w:szCs w:val="20"/>
              </w:rPr>
            </w:pPr>
          </w:p>
        </w:tc>
        <w:tc>
          <w:tcPr>
            <w:tcW w:w="900" w:type="dxa"/>
            <w:tcBorders>
              <w:top w:val="single" w:sz="6" w:space="0" w:color="auto"/>
              <w:left w:val="single" w:sz="6" w:space="0" w:color="FFFFFF"/>
              <w:bottom w:val="single" w:sz="6" w:space="0" w:color="FFFFFF"/>
              <w:right w:val="single" w:sz="6" w:space="0" w:color="FFFFFF"/>
            </w:tcBorders>
            <w:tcMar>
              <w:right w:w="72" w:type="dxa"/>
            </w:tcMar>
            <w:vAlign w:val="bottom"/>
          </w:tcPr>
          <w:p w14:paraId="31841676" w14:textId="28B838C2" w:rsidR="00D20C7D" w:rsidRPr="00E80935" w:rsidRDefault="00D20C7D" w:rsidP="00D20C7D">
            <w:pPr>
              <w:jc w:val="right"/>
              <w:rPr>
                <w:rFonts w:ascii="Arial" w:hAnsi="Arial" w:cs="Arial"/>
                <w:sz w:val="20"/>
                <w:szCs w:val="20"/>
              </w:rPr>
            </w:pPr>
            <w:r w:rsidRPr="00E80935">
              <w:rPr>
                <w:rFonts w:ascii="Arial" w:hAnsi="Arial" w:cs="Arial"/>
                <w:sz w:val="20"/>
                <w:szCs w:val="20"/>
              </w:rPr>
              <w:t>5,126</w:t>
            </w:r>
          </w:p>
        </w:tc>
        <w:tc>
          <w:tcPr>
            <w:tcW w:w="90" w:type="dxa"/>
            <w:tcBorders>
              <w:top w:val="single" w:sz="6" w:space="0" w:color="auto"/>
              <w:left w:val="single" w:sz="6" w:space="0" w:color="FFFFFF"/>
              <w:bottom w:val="single" w:sz="6" w:space="0" w:color="FFFFFF"/>
              <w:right w:val="single" w:sz="6" w:space="0" w:color="FFFFFF"/>
            </w:tcBorders>
            <w:vAlign w:val="bottom"/>
          </w:tcPr>
          <w:p w14:paraId="514400FE" w14:textId="77777777" w:rsidR="00D20C7D" w:rsidRPr="00E80935" w:rsidRDefault="00D20C7D" w:rsidP="00D20C7D">
            <w:pPr>
              <w:jc w:val="right"/>
              <w:rPr>
                <w:rFonts w:ascii="Arial" w:hAnsi="Arial" w:cs="Arial"/>
                <w:sz w:val="20"/>
                <w:szCs w:val="20"/>
              </w:rPr>
            </w:pPr>
          </w:p>
        </w:tc>
        <w:tc>
          <w:tcPr>
            <w:tcW w:w="1080" w:type="dxa"/>
            <w:tcBorders>
              <w:top w:val="single" w:sz="6" w:space="0" w:color="auto"/>
              <w:left w:val="single" w:sz="6" w:space="0" w:color="FFFFFF"/>
              <w:bottom w:val="single" w:sz="6" w:space="0" w:color="FFFFFF"/>
              <w:right w:val="single" w:sz="6" w:space="0" w:color="FFFFFF"/>
            </w:tcBorders>
            <w:tcMar>
              <w:right w:w="288" w:type="dxa"/>
            </w:tcMar>
            <w:vAlign w:val="bottom"/>
          </w:tcPr>
          <w:p w14:paraId="2F170446" w14:textId="3E66261F" w:rsidR="00D20C7D" w:rsidRPr="00E80935" w:rsidRDefault="00D20C7D" w:rsidP="00D20C7D">
            <w:pPr>
              <w:jc w:val="right"/>
              <w:rPr>
                <w:rFonts w:ascii="Arial" w:hAnsi="Arial" w:cs="Arial"/>
                <w:sz w:val="20"/>
                <w:szCs w:val="20"/>
              </w:rPr>
            </w:pPr>
            <w:r w:rsidRPr="00E80935">
              <w:rPr>
                <w:rFonts w:ascii="Arial" w:hAnsi="Arial" w:cs="Arial"/>
                <w:sz w:val="20"/>
                <w:szCs w:val="20"/>
              </w:rPr>
              <w:t>1,579</w:t>
            </w:r>
          </w:p>
        </w:tc>
        <w:tc>
          <w:tcPr>
            <w:tcW w:w="810" w:type="dxa"/>
            <w:tcBorders>
              <w:top w:val="single" w:sz="6" w:space="0" w:color="auto"/>
              <w:left w:val="single" w:sz="6" w:space="0" w:color="FFFFFF"/>
              <w:bottom w:val="single" w:sz="6" w:space="0" w:color="FFFFFF"/>
              <w:right w:val="single" w:sz="6" w:space="0" w:color="FFFFFF"/>
            </w:tcBorders>
          </w:tcPr>
          <w:p w14:paraId="6EA0F00A" w14:textId="652AF5C0" w:rsidR="00D20C7D" w:rsidRPr="00E80935" w:rsidRDefault="00613478" w:rsidP="00D20C7D">
            <w:pPr>
              <w:jc w:val="right"/>
              <w:rPr>
                <w:rFonts w:ascii="Arial" w:hAnsi="Arial" w:cs="Arial"/>
                <w:sz w:val="20"/>
                <w:szCs w:val="20"/>
              </w:rPr>
            </w:pPr>
            <w:r w:rsidRPr="00E80935">
              <w:rPr>
                <w:rFonts w:ascii="Arial" w:hAnsi="Arial" w:cs="Arial"/>
                <w:sz w:val="20"/>
                <w:szCs w:val="20"/>
              </w:rPr>
              <w:t>49.1%</w:t>
            </w:r>
          </w:p>
        </w:tc>
      </w:tr>
      <w:tr w:rsidR="00D20C7D" w:rsidRPr="00E80935" w14:paraId="435C47B8" w14:textId="2F259F33"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54C7BF11" w14:textId="77777777" w:rsidR="00D20C7D" w:rsidRPr="00E80935" w:rsidRDefault="00D20C7D" w:rsidP="00D20C7D">
            <w:pPr>
              <w:widowControl/>
              <w:rPr>
                <w:rFonts w:ascii="Arial" w:hAnsi="Arial" w:cs="Arial"/>
                <w:sz w:val="20"/>
                <w:szCs w:val="20"/>
              </w:rPr>
            </w:pPr>
            <w:r w:rsidRPr="00E80935">
              <w:rPr>
                <w:rFonts w:ascii="Arial" w:hAnsi="Arial" w:cs="Arial"/>
                <w:sz w:val="20"/>
                <w:szCs w:val="20"/>
              </w:rPr>
              <w:t>Prisons</w:t>
            </w:r>
          </w:p>
        </w:tc>
        <w:tc>
          <w:tcPr>
            <w:tcW w:w="720" w:type="dxa"/>
            <w:tcBorders>
              <w:top w:val="single" w:sz="6" w:space="0" w:color="FFFFFF"/>
              <w:left w:val="single" w:sz="6" w:space="0" w:color="FFFFFF"/>
              <w:bottom w:val="single" w:sz="6" w:space="0" w:color="FFFFFF"/>
              <w:right w:val="single" w:sz="6" w:space="0" w:color="FFFFFF"/>
            </w:tcBorders>
            <w:vAlign w:val="bottom"/>
          </w:tcPr>
          <w:p w14:paraId="673295F6" w14:textId="77777777" w:rsidR="00D20C7D" w:rsidRPr="00E80935" w:rsidRDefault="00D20C7D" w:rsidP="00D20C7D">
            <w:pPr>
              <w:widowControl/>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vAlign w:val="bottom"/>
          </w:tcPr>
          <w:p w14:paraId="0DF9CDE3" w14:textId="767E5292"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7863854"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5194C6AA" w14:textId="4F8E0C99"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26C38926"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7129D4DD" w14:textId="3EB0FC15"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4D3FF578" w14:textId="1157D241"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050CDF3"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9D006C6" w14:textId="38E6FBA5"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51592531" w14:textId="77777777" w:rsidR="00D20C7D" w:rsidRPr="00E80935" w:rsidRDefault="00D20C7D" w:rsidP="00D20C7D">
            <w:pPr>
              <w:widowControl/>
              <w:jc w:val="right"/>
              <w:rPr>
                <w:rFonts w:ascii="Arial" w:hAnsi="Arial" w:cs="Arial"/>
                <w:sz w:val="20"/>
                <w:szCs w:val="20"/>
              </w:rPr>
            </w:pPr>
          </w:p>
        </w:tc>
      </w:tr>
      <w:tr w:rsidR="00D20C7D" w:rsidRPr="00E80935" w14:paraId="3A78B5F3" w14:textId="63F4B572" w:rsidTr="00D20C7D">
        <w:trPr>
          <w:trHeight w:val="245"/>
        </w:trPr>
        <w:tc>
          <w:tcPr>
            <w:tcW w:w="2880" w:type="dxa"/>
            <w:tcBorders>
              <w:top w:val="single" w:sz="6" w:space="0" w:color="FFFFFF"/>
              <w:left w:val="single" w:sz="6" w:space="0" w:color="FFFFFF"/>
              <w:bottom w:val="single" w:sz="6" w:space="0" w:color="FFFFFF"/>
              <w:right w:val="single" w:sz="6" w:space="0" w:color="FFFFFF"/>
            </w:tcBorders>
            <w:vAlign w:val="bottom"/>
          </w:tcPr>
          <w:p w14:paraId="463837E8" w14:textId="1D27A1DE"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Public – federal system</w:t>
            </w:r>
          </w:p>
        </w:tc>
        <w:tc>
          <w:tcPr>
            <w:tcW w:w="720" w:type="dxa"/>
            <w:tcBorders>
              <w:top w:val="single" w:sz="6" w:space="0" w:color="FFFFFF"/>
              <w:left w:val="single" w:sz="6" w:space="0" w:color="FFFFFF"/>
              <w:bottom w:val="single" w:sz="6" w:space="0" w:color="FFFFFF"/>
              <w:right w:val="single" w:sz="6" w:space="0" w:color="FFFFFF"/>
            </w:tcBorders>
            <w:vAlign w:val="bottom"/>
          </w:tcPr>
          <w:p w14:paraId="6A5914A5" w14:textId="5F1D4BD9" w:rsidR="00D20C7D" w:rsidRPr="00E80935" w:rsidRDefault="00D20C7D" w:rsidP="00D20C7D">
            <w:pPr>
              <w:widowControl/>
              <w:rPr>
                <w:rFonts w:ascii="Arial" w:hAnsi="Arial" w:cs="Arial"/>
                <w:sz w:val="20"/>
                <w:szCs w:val="20"/>
              </w:rPr>
            </w:pPr>
            <w:r w:rsidRPr="00E80935">
              <w:rPr>
                <w:rFonts w:ascii="Arial" w:hAnsi="Arial" w:cs="Arial"/>
                <w:sz w:val="20"/>
                <w:szCs w:val="20"/>
              </w:rPr>
              <w:t>SSV-1</w:t>
            </w:r>
          </w:p>
        </w:tc>
        <w:tc>
          <w:tcPr>
            <w:tcW w:w="1080" w:type="dxa"/>
            <w:tcBorders>
              <w:top w:val="single" w:sz="6" w:space="0" w:color="FFFFFF"/>
              <w:left w:val="single" w:sz="6" w:space="0" w:color="FFFFFF"/>
              <w:bottom w:val="single" w:sz="6" w:space="0" w:color="FFFFFF"/>
              <w:right w:val="single" w:sz="6" w:space="0" w:color="FFFFFF"/>
            </w:tcBorders>
            <w:vAlign w:val="bottom"/>
          </w:tcPr>
          <w:p w14:paraId="75C5A5DB" w14:textId="1AAFEE63"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98</w:t>
            </w:r>
          </w:p>
        </w:tc>
        <w:tc>
          <w:tcPr>
            <w:tcW w:w="90" w:type="dxa"/>
            <w:tcBorders>
              <w:top w:val="single" w:sz="6" w:space="0" w:color="FFFFFF"/>
              <w:left w:val="single" w:sz="6" w:space="0" w:color="FFFFFF"/>
              <w:bottom w:val="single" w:sz="6" w:space="0" w:color="FFFFFF"/>
              <w:right w:val="single" w:sz="6" w:space="0" w:color="FFFFFF"/>
            </w:tcBorders>
            <w:vAlign w:val="bottom"/>
          </w:tcPr>
          <w:p w14:paraId="0E9E802B"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484DC602" w14:textId="350B2414"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98</w:t>
            </w:r>
          </w:p>
        </w:tc>
        <w:tc>
          <w:tcPr>
            <w:tcW w:w="810" w:type="dxa"/>
            <w:tcBorders>
              <w:top w:val="single" w:sz="6" w:space="0" w:color="FFFFFF"/>
              <w:left w:val="single" w:sz="6" w:space="0" w:color="FFFFFF"/>
              <w:bottom w:val="single" w:sz="6" w:space="0" w:color="FFFFFF"/>
              <w:right w:val="single" w:sz="6" w:space="0" w:color="FFFFFF"/>
            </w:tcBorders>
          </w:tcPr>
          <w:p w14:paraId="2F55D37C" w14:textId="2BC1C7D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c>
          <w:tcPr>
            <w:tcW w:w="90" w:type="dxa"/>
            <w:tcBorders>
              <w:top w:val="single" w:sz="6" w:space="0" w:color="FFFFFF"/>
              <w:left w:val="single" w:sz="6" w:space="0" w:color="FFFFFF"/>
              <w:bottom w:val="single" w:sz="6" w:space="0" w:color="FFFFFF"/>
              <w:right w:val="single" w:sz="6" w:space="0" w:color="FFFFFF"/>
            </w:tcBorders>
            <w:vAlign w:val="bottom"/>
          </w:tcPr>
          <w:p w14:paraId="367FB779" w14:textId="3671304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16664C0" w14:textId="6CD80689"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w:t>
            </w:r>
          </w:p>
        </w:tc>
        <w:tc>
          <w:tcPr>
            <w:tcW w:w="90" w:type="dxa"/>
            <w:tcBorders>
              <w:top w:val="single" w:sz="6" w:space="0" w:color="FFFFFF"/>
              <w:left w:val="single" w:sz="6" w:space="0" w:color="FFFFFF"/>
              <w:bottom w:val="single" w:sz="6" w:space="0" w:color="FFFFFF"/>
              <w:right w:val="single" w:sz="6" w:space="0" w:color="FFFFFF"/>
            </w:tcBorders>
            <w:vAlign w:val="bottom"/>
          </w:tcPr>
          <w:p w14:paraId="2F3EC59E"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089EB48" w14:textId="06F99110"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w:t>
            </w:r>
          </w:p>
        </w:tc>
        <w:tc>
          <w:tcPr>
            <w:tcW w:w="810" w:type="dxa"/>
            <w:tcBorders>
              <w:top w:val="single" w:sz="6" w:space="0" w:color="FFFFFF"/>
              <w:left w:val="single" w:sz="6" w:space="0" w:color="FFFFFF"/>
              <w:bottom w:val="single" w:sz="6" w:space="0" w:color="FFFFFF"/>
              <w:right w:val="single" w:sz="6" w:space="0" w:color="FFFFFF"/>
            </w:tcBorders>
          </w:tcPr>
          <w:p w14:paraId="3DE1BECA" w14:textId="764B5FA7"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r>
      <w:tr w:rsidR="00D20C7D" w:rsidRPr="00E80935" w14:paraId="4970CEBC" w14:textId="18612633" w:rsidTr="00D20C7D">
        <w:trPr>
          <w:trHeight w:val="124"/>
        </w:trPr>
        <w:tc>
          <w:tcPr>
            <w:tcW w:w="2880" w:type="dxa"/>
            <w:tcBorders>
              <w:top w:val="single" w:sz="6" w:space="0" w:color="FFFFFF"/>
              <w:left w:val="single" w:sz="6" w:space="0" w:color="FFFFFF"/>
              <w:bottom w:val="single" w:sz="6" w:space="0" w:color="FFFFFF"/>
              <w:right w:val="single" w:sz="6" w:space="0" w:color="FFFFFF"/>
            </w:tcBorders>
            <w:vAlign w:val="bottom"/>
          </w:tcPr>
          <w:p w14:paraId="43E8FAA0" w14:textId="394ADE55"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Public – state systems</w:t>
            </w:r>
          </w:p>
        </w:tc>
        <w:tc>
          <w:tcPr>
            <w:tcW w:w="720" w:type="dxa"/>
            <w:tcBorders>
              <w:top w:val="single" w:sz="6" w:space="0" w:color="FFFFFF"/>
              <w:left w:val="single" w:sz="6" w:space="0" w:color="FFFFFF"/>
              <w:bottom w:val="single" w:sz="6" w:space="0" w:color="FFFFFF"/>
              <w:right w:val="single" w:sz="6" w:space="0" w:color="FFFFFF"/>
            </w:tcBorders>
            <w:vAlign w:val="bottom"/>
          </w:tcPr>
          <w:p w14:paraId="3C7198A8" w14:textId="01F3A9E3" w:rsidR="00D20C7D" w:rsidRPr="00E80935" w:rsidRDefault="00D20C7D" w:rsidP="00D20C7D">
            <w:pPr>
              <w:widowControl/>
              <w:rPr>
                <w:rFonts w:ascii="Arial" w:hAnsi="Arial" w:cs="Arial"/>
                <w:sz w:val="20"/>
                <w:szCs w:val="20"/>
              </w:rPr>
            </w:pPr>
            <w:r w:rsidRPr="00E80935">
              <w:rPr>
                <w:rFonts w:ascii="Arial" w:hAnsi="Arial" w:cs="Arial"/>
                <w:sz w:val="20"/>
                <w:szCs w:val="20"/>
              </w:rPr>
              <w:t>SSV-2</w:t>
            </w:r>
          </w:p>
        </w:tc>
        <w:tc>
          <w:tcPr>
            <w:tcW w:w="1080" w:type="dxa"/>
            <w:tcBorders>
              <w:top w:val="single" w:sz="6" w:space="0" w:color="FFFFFF"/>
              <w:left w:val="single" w:sz="6" w:space="0" w:color="FFFFFF"/>
              <w:bottom w:val="single" w:sz="6" w:space="0" w:color="FFFFFF"/>
              <w:right w:val="single" w:sz="6" w:space="0" w:color="FFFFFF"/>
            </w:tcBorders>
            <w:vAlign w:val="bottom"/>
          </w:tcPr>
          <w:p w14:paraId="5BE3B3AD" w14:textId="7679DF1F"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1,293</w:t>
            </w:r>
          </w:p>
        </w:tc>
        <w:tc>
          <w:tcPr>
            <w:tcW w:w="90" w:type="dxa"/>
            <w:tcBorders>
              <w:top w:val="single" w:sz="6" w:space="0" w:color="FFFFFF"/>
              <w:left w:val="single" w:sz="6" w:space="0" w:color="FFFFFF"/>
              <w:bottom w:val="single" w:sz="6" w:space="0" w:color="FFFFFF"/>
              <w:right w:val="single" w:sz="6" w:space="0" w:color="FFFFFF"/>
            </w:tcBorders>
            <w:vAlign w:val="bottom"/>
          </w:tcPr>
          <w:p w14:paraId="49E265D2"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4FBCEE77" w14:textId="3A9A1E03"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1,293</w:t>
            </w:r>
          </w:p>
        </w:tc>
        <w:tc>
          <w:tcPr>
            <w:tcW w:w="810" w:type="dxa"/>
            <w:tcBorders>
              <w:top w:val="single" w:sz="6" w:space="0" w:color="FFFFFF"/>
              <w:left w:val="single" w:sz="6" w:space="0" w:color="FFFFFF"/>
              <w:bottom w:val="single" w:sz="6" w:space="0" w:color="FFFFFF"/>
              <w:right w:val="single" w:sz="6" w:space="0" w:color="FFFFFF"/>
            </w:tcBorders>
          </w:tcPr>
          <w:p w14:paraId="109C5F3B" w14:textId="441C09B3"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c>
          <w:tcPr>
            <w:tcW w:w="90" w:type="dxa"/>
            <w:tcBorders>
              <w:top w:val="single" w:sz="6" w:space="0" w:color="FFFFFF"/>
              <w:left w:val="single" w:sz="6" w:space="0" w:color="FFFFFF"/>
              <w:bottom w:val="single" w:sz="6" w:space="0" w:color="FFFFFF"/>
              <w:right w:val="single" w:sz="6" w:space="0" w:color="FFFFFF"/>
            </w:tcBorders>
            <w:vAlign w:val="bottom"/>
          </w:tcPr>
          <w:p w14:paraId="28BD6810" w14:textId="0A9EFEA9"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193B65F" w14:textId="5CAE609E"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50</w:t>
            </w:r>
          </w:p>
        </w:tc>
        <w:tc>
          <w:tcPr>
            <w:tcW w:w="90" w:type="dxa"/>
            <w:tcBorders>
              <w:top w:val="single" w:sz="6" w:space="0" w:color="FFFFFF"/>
              <w:left w:val="single" w:sz="6" w:space="0" w:color="FFFFFF"/>
              <w:bottom w:val="single" w:sz="6" w:space="0" w:color="FFFFFF"/>
              <w:right w:val="single" w:sz="6" w:space="0" w:color="FFFFFF"/>
            </w:tcBorders>
            <w:vAlign w:val="bottom"/>
          </w:tcPr>
          <w:p w14:paraId="493F25F6"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C951656" w14:textId="162FF7B9"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50</w:t>
            </w:r>
          </w:p>
        </w:tc>
        <w:tc>
          <w:tcPr>
            <w:tcW w:w="810" w:type="dxa"/>
            <w:tcBorders>
              <w:top w:val="single" w:sz="6" w:space="0" w:color="FFFFFF"/>
              <w:left w:val="single" w:sz="6" w:space="0" w:color="FFFFFF"/>
              <w:bottom w:val="single" w:sz="6" w:space="0" w:color="FFFFFF"/>
              <w:right w:val="single" w:sz="6" w:space="0" w:color="FFFFFF"/>
            </w:tcBorders>
          </w:tcPr>
          <w:p w14:paraId="62032BB2" w14:textId="19B2AAB3"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r>
      <w:tr w:rsidR="00D20C7D" w:rsidRPr="00E80935" w14:paraId="5C4F22E0" w14:textId="2EB03C35"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07B7E8CD" w14:textId="317ABCDE"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Private</w:t>
            </w:r>
          </w:p>
        </w:tc>
        <w:tc>
          <w:tcPr>
            <w:tcW w:w="720" w:type="dxa"/>
            <w:tcBorders>
              <w:top w:val="single" w:sz="6" w:space="0" w:color="FFFFFF"/>
              <w:left w:val="single" w:sz="6" w:space="0" w:color="FFFFFF"/>
              <w:bottom w:val="single" w:sz="6" w:space="0" w:color="FFFFFF"/>
              <w:right w:val="single" w:sz="6" w:space="0" w:color="FFFFFF"/>
            </w:tcBorders>
            <w:vAlign w:val="bottom"/>
          </w:tcPr>
          <w:p w14:paraId="54316660" w14:textId="7BC92C13" w:rsidR="00D20C7D" w:rsidRPr="00E80935" w:rsidRDefault="00D20C7D" w:rsidP="00D20C7D">
            <w:pPr>
              <w:widowControl/>
              <w:rPr>
                <w:rFonts w:ascii="Arial" w:hAnsi="Arial" w:cs="Arial"/>
                <w:sz w:val="20"/>
                <w:szCs w:val="20"/>
              </w:rPr>
            </w:pPr>
            <w:r w:rsidRPr="00E80935">
              <w:rPr>
                <w:rFonts w:ascii="Arial" w:hAnsi="Arial" w:cs="Arial"/>
                <w:sz w:val="20"/>
                <w:szCs w:val="20"/>
              </w:rPr>
              <w:t>SSV-4</w:t>
            </w:r>
          </w:p>
        </w:tc>
        <w:tc>
          <w:tcPr>
            <w:tcW w:w="1080" w:type="dxa"/>
            <w:tcBorders>
              <w:top w:val="single" w:sz="6" w:space="0" w:color="FFFFFF"/>
              <w:left w:val="single" w:sz="6" w:space="0" w:color="FFFFFF"/>
              <w:bottom w:val="single" w:sz="6" w:space="0" w:color="FFFFFF"/>
              <w:right w:val="single" w:sz="6" w:space="0" w:color="FFFFFF"/>
            </w:tcBorders>
            <w:vAlign w:val="bottom"/>
          </w:tcPr>
          <w:p w14:paraId="356AC688" w14:textId="5B92868F"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530</w:t>
            </w:r>
          </w:p>
        </w:tc>
        <w:tc>
          <w:tcPr>
            <w:tcW w:w="90" w:type="dxa"/>
            <w:tcBorders>
              <w:top w:val="single" w:sz="6" w:space="0" w:color="FFFFFF"/>
              <w:left w:val="single" w:sz="6" w:space="0" w:color="FFFFFF"/>
              <w:bottom w:val="single" w:sz="6" w:space="0" w:color="FFFFFF"/>
              <w:right w:val="single" w:sz="6" w:space="0" w:color="FFFFFF"/>
            </w:tcBorders>
            <w:vAlign w:val="bottom"/>
          </w:tcPr>
          <w:p w14:paraId="0F7368A1"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2B55FF8F" w14:textId="484366AE"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155</w:t>
            </w:r>
          </w:p>
        </w:tc>
        <w:tc>
          <w:tcPr>
            <w:tcW w:w="810" w:type="dxa"/>
            <w:tcBorders>
              <w:top w:val="single" w:sz="6" w:space="0" w:color="FFFFFF"/>
              <w:left w:val="single" w:sz="6" w:space="0" w:color="FFFFFF"/>
              <w:bottom w:val="single" w:sz="6" w:space="0" w:color="FFFFFF"/>
              <w:right w:val="single" w:sz="6" w:space="0" w:color="FFFFFF"/>
            </w:tcBorders>
          </w:tcPr>
          <w:p w14:paraId="0411E22E" w14:textId="02ACF14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29.2%</w:t>
            </w:r>
          </w:p>
        </w:tc>
        <w:tc>
          <w:tcPr>
            <w:tcW w:w="90" w:type="dxa"/>
            <w:tcBorders>
              <w:top w:val="single" w:sz="6" w:space="0" w:color="FFFFFF"/>
              <w:left w:val="single" w:sz="6" w:space="0" w:color="FFFFFF"/>
              <w:bottom w:val="single" w:sz="6" w:space="0" w:color="FFFFFF"/>
              <w:right w:val="single" w:sz="6" w:space="0" w:color="FFFFFF"/>
            </w:tcBorders>
            <w:vAlign w:val="bottom"/>
          </w:tcPr>
          <w:p w14:paraId="1C4C3191" w14:textId="59FE18FF"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77A1856" w14:textId="32C6AD4F"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530</w:t>
            </w:r>
          </w:p>
        </w:tc>
        <w:tc>
          <w:tcPr>
            <w:tcW w:w="90" w:type="dxa"/>
            <w:tcBorders>
              <w:top w:val="single" w:sz="6" w:space="0" w:color="FFFFFF"/>
              <w:left w:val="single" w:sz="6" w:space="0" w:color="FFFFFF"/>
              <w:bottom w:val="single" w:sz="6" w:space="0" w:color="FFFFFF"/>
              <w:right w:val="single" w:sz="6" w:space="0" w:color="FFFFFF"/>
            </w:tcBorders>
            <w:vAlign w:val="bottom"/>
          </w:tcPr>
          <w:p w14:paraId="16F464CB"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0470079A" w14:textId="16A01939"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155</w:t>
            </w:r>
          </w:p>
        </w:tc>
        <w:tc>
          <w:tcPr>
            <w:tcW w:w="810" w:type="dxa"/>
            <w:tcBorders>
              <w:top w:val="single" w:sz="6" w:space="0" w:color="FFFFFF"/>
              <w:left w:val="single" w:sz="6" w:space="0" w:color="FFFFFF"/>
              <w:bottom w:val="single" w:sz="6" w:space="0" w:color="FFFFFF"/>
              <w:right w:val="single" w:sz="6" w:space="0" w:color="FFFFFF"/>
            </w:tcBorders>
          </w:tcPr>
          <w:p w14:paraId="3A02905A" w14:textId="3FBD1CA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29.2%</w:t>
            </w:r>
          </w:p>
        </w:tc>
      </w:tr>
      <w:tr w:rsidR="00D20C7D" w:rsidRPr="00E80935" w14:paraId="44E87245" w14:textId="0F689109"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5285D1C4" w14:textId="706B7D9E" w:rsidR="00D20C7D" w:rsidRPr="00E80935" w:rsidRDefault="00D20C7D" w:rsidP="00D20C7D">
            <w:pPr>
              <w:widowControl/>
              <w:rPr>
                <w:rFonts w:ascii="Arial" w:hAnsi="Arial" w:cs="Arial"/>
                <w:sz w:val="20"/>
                <w:szCs w:val="20"/>
              </w:rPr>
            </w:pPr>
            <w:r w:rsidRPr="00E80935">
              <w:rPr>
                <w:rFonts w:ascii="Arial" w:hAnsi="Arial" w:cs="Arial"/>
                <w:sz w:val="20"/>
                <w:szCs w:val="20"/>
              </w:rPr>
              <w:t>Jails</w:t>
            </w:r>
          </w:p>
        </w:tc>
        <w:tc>
          <w:tcPr>
            <w:tcW w:w="720" w:type="dxa"/>
            <w:tcBorders>
              <w:top w:val="single" w:sz="6" w:space="0" w:color="FFFFFF"/>
              <w:left w:val="single" w:sz="6" w:space="0" w:color="FFFFFF"/>
              <w:bottom w:val="single" w:sz="6" w:space="0" w:color="FFFFFF"/>
              <w:right w:val="single" w:sz="6" w:space="0" w:color="FFFFFF"/>
            </w:tcBorders>
            <w:vAlign w:val="bottom"/>
          </w:tcPr>
          <w:p w14:paraId="2FBAF5BC" w14:textId="77777777" w:rsidR="00D20C7D" w:rsidRPr="00E80935" w:rsidRDefault="00D20C7D" w:rsidP="00D20C7D">
            <w:pPr>
              <w:widowControl/>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vAlign w:val="bottom"/>
          </w:tcPr>
          <w:p w14:paraId="72CD3147" w14:textId="0631634B"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5FAD3D58"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4F89F4BB" w14:textId="5981B297"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5E2AE729"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E88638F" w14:textId="3D1EB5A2"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E371FF1" w14:textId="32165A06"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72C7C414"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34739E8D" w14:textId="38CB855B"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3990AC8F" w14:textId="77777777" w:rsidR="00D20C7D" w:rsidRPr="00E80935" w:rsidRDefault="00D20C7D" w:rsidP="00D20C7D">
            <w:pPr>
              <w:widowControl/>
              <w:jc w:val="right"/>
              <w:rPr>
                <w:rFonts w:ascii="Arial" w:hAnsi="Arial" w:cs="Arial"/>
                <w:sz w:val="20"/>
                <w:szCs w:val="20"/>
              </w:rPr>
            </w:pPr>
          </w:p>
        </w:tc>
      </w:tr>
      <w:tr w:rsidR="00D20C7D" w:rsidRPr="00E80935" w14:paraId="153CFC08" w14:textId="7E38BCD1" w:rsidTr="00D20C7D">
        <w:trPr>
          <w:trHeight w:val="162"/>
        </w:trPr>
        <w:tc>
          <w:tcPr>
            <w:tcW w:w="2880" w:type="dxa"/>
            <w:tcBorders>
              <w:top w:val="single" w:sz="6" w:space="0" w:color="FFFFFF"/>
              <w:left w:val="single" w:sz="6" w:space="0" w:color="FFFFFF"/>
              <w:bottom w:val="single" w:sz="6" w:space="0" w:color="FFFFFF"/>
              <w:right w:val="single" w:sz="6" w:space="0" w:color="FFFFFF"/>
            </w:tcBorders>
            <w:vAlign w:val="bottom"/>
          </w:tcPr>
          <w:p w14:paraId="2474961D" w14:textId="0C6B0A30"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Public – local jurisdictions</w:t>
            </w:r>
          </w:p>
        </w:tc>
        <w:tc>
          <w:tcPr>
            <w:tcW w:w="720" w:type="dxa"/>
            <w:tcBorders>
              <w:top w:val="single" w:sz="6" w:space="0" w:color="FFFFFF"/>
              <w:left w:val="single" w:sz="6" w:space="0" w:color="FFFFFF"/>
              <w:bottom w:val="single" w:sz="6" w:space="0" w:color="FFFFFF"/>
              <w:right w:val="single" w:sz="6" w:space="0" w:color="FFFFFF"/>
            </w:tcBorders>
            <w:vAlign w:val="bottom"/>
          </w:tcPr>
          <w:p w14:paraId="5A1E6BAE" w14:textId="6FACC119" w:rsidR="00D20C7D" w:rsidRPr="00E80935" w:rsidRDefault="00D20C7D" w:rsidP="00D20C7D">
            <w:pPr>
              <w:widowControl/>
              <w:rPr>
                <w:rFonts w:ascii="Arial" w:hAnsi="Arial" w:cs="Arial"/>
                <w:sz w:val="20"/>
                <w:szCs w:val="20"/>
              </w:rPr>
            </w:pPr>
            <w:r w:rsidRPr="00E80935">
              <w:rPr>
                <w:rFonts w:ascii="Arial" w:hAnsi="Arial" w:cs="Arial"/>
                <w:sz w:val="20"/>
                <w:szCs w:val="20"/>
              </w:rPr>
              <w:t>SSV-3</w:t>
            </w:r>
          </w:p>
        </w:tc>
        <w:tc>
          <w:tcPr>
            <w:tcW w:w="1080" w:type="dxa"/>
            <w:tcBorders>
              <w:top w:val="single" w:sz="6" w:space="0" w:color="FFFFFF"/>
              <w:left w:val="single" w:sz="6" w:space="0" w:color="FFFFFF"/>
              <w:bottom w:val="single" w:sz="6" w:space="0" w:color="FFFFFF"/>
              <w:right w:val="single" w:sz="6" w:space="0" w:color="FFFFFF"/>
            </w:tcBorders>
            <w:vAlign w:val="bottom"/>
          </w:tcPr>
          <w:p w14:paraId="27AF903B" w14:textId="7F24FFF6"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3,100</w:t>
            </w:r>
          </w:p>
        </w:tc>
        <w:tc>
          <w:tcPr>
            <w:tcW w:w="90" w:type="dxa"/>
            <w:tcBorders>
              <w:top w:val="single" w:sz="6" w:space="0" w:color="FFFFFF"/>
              <w:left w:val="single" w:sz="6" w:space="0" w:color="FFFFFF"/>
              <w:bottom w:val="single" w:sz="6" w:space="0" w:color="FFFFFF"/>
              <w:right w:val="single" w:sz="6" w:space="0" w:color="FFFFFF"/>
            </w:tcBorders>
            <w:vAlign w:val="bottom"/>
          </w:tcPr>
          <w:p w14:paraId="5C29DCA9"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626F9627" w14:textId="3DD8A456"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~700</w:t>
            </w:r>
          </w:p>
        </w:tc>
        <w:tc>
          <w:tcPr>
            <w:tcW w:w="810" w:type="dxa"/>
            <w:tcBorders>
              <w:top w:val="single" w:sz="6" w:space="0" w:color="FFFFFF"/>
              <w:left w:val="single" w:sz="6" w:space="0" w:color="FFFFFF"/>
              <w:bottom w:val="single" w:sz="6" w:space="0" w:color="FFFFFF"/>
              <w:right w:val="single" w:sz="6" w:space="0" w:color="FFFFFF"/>
            </w:tcBorders>
          </w:tcPr>
          <w:p w14:paraId="38429FDE" w14:textId="3FB0A45B"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22.6%</w:t>
            </w:r>
          </w:p>
        </w:tc>
        <w:tc>
          <w:tcPr>
            <w:tcW w:w="90" w:type="dxa"/>
            <w:tcBorders>
              <w:top w:val="single" w:sz="6" w:space="0" w:color="FFFFFF"/>
              <w:left w:val="single" w:sz="6" w:space="0" w:color="FFFFFF"/>
              <w:bottom w:val="single" w:sz="6" w:space="0" w:color="FFFFFF"/>
              <w:right w:val="single" w:sz="6" w:space="0" w:color="FFFFFF"/>
            </w:tcBorders>
            <w:vAlign w:val="bottom"/>
          </w:tcPr>
          <w:p w14:paraId="12C8EEE8" w14:textId="2EF2EB88"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6B63CF63" w14:textId="512FA0A1"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2,884</w:t>
            </w:r>
          </w:p>
        </w:tc>
        <w:tc>
          <w:tcPr>
            <w:tcW w:w="90" w:type="dxa"/>
            <w:tcBorders>
              <w:top w:val="single" w:sz="6" w:space="0" w:color="FFFFFF"/>
              <w:left w:val="single" w:sz="6" w:space="0" w:color="FFFFFF"/>
              <w:bottom w:val="single" w:sz="6" w:space="0" w:color="FFFFFF"/>
              <w:right w:val="single" w:sz="6" w:space="0" w:color="FFFFFF"/>
            </w:tcBorders>
            <w:vAlign w:val="bottom"/>
          </w:tcPr>
          <w:p w14:paraId="2649D4DC"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9E084FB" w14:textId="74BA332A"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700</w:t>
            </w:r>
          </w:p>
        </w:tc>
        <w:tc>
          <w:tcPr>
            <w:tcW w:w="810" w:type="dxa"/>
            <w:tcBorders>
              <w:top w:val="single" w:sz="6" w:space="0" w:color="FFFFFF"/>
              <w:left w:val="single" w:sz="6" w:space="0" w:color="FFFFFF"/>
              <w:bottom w:val="single" w:sz="6" w:space="0" w:color="FFFFFF"/>
              <w:right w:val="single" w:sz="6" w:space="0" w:color="FFFFFF"/>
            </w:tcBorders>
          </w:tcPr>
          <w:p w14:paraId="61B09A15" w14:textId="5500C5EC"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24.3%</w:t>
            </w:r>
          </w:p>
        </w:tc>
      </w:tr>
      <w:tr w:rsidR="00D20C7D" w:rsidRPr="00E80935" w14:paraId="573103C6" w14:textId="4F13F0B8"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5F9D7527" w14:textId="7FCDA5D3"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Private</w:t>
            </w:r>
          </w:p>
        </w:tc>
        <w:tc>
          <w:tcPr>
            <w:tcW w:w="720" w:type="dxa"/>
            <w:tcBorders>
              <w:top w:val="single" w:sz="6" w:space="0" w:color="FFFFFF"/>
              <w:left w:val="single" w:sz="6" w:space="0" w:color="FFFFFF"/>
              <w:bottom w:val="single" w:sz="6" w:space="0" w:color="FFFFFF"/>
              <w:right w:val="single" w:sz="6" w:space="0" w:color="FFFFFF"/>
            </w:tcBorders>
            <w:vAlign w:val="bottom"/>
          </w:tcPr>
          <w:p w14:paraId="4E443DBC" w14:textId="5178D816" w:rsidR="00D20C7D" w:rsidRPr="00E80935" w:rsidRDefault="00D20C7D" w:rsidP="00D20C7D">
            <w:pPr>
              <w:widowControl/>
              <w:rPr>
                <w:rFonts w:ascii="Arial" w:hAnsi="Arial" w:cs="Arial"/>
                <w:sz w:val="20"/>
                <w:szCs w:val="20"/>
              </w:rPr>
            </w:pPr>
            <w:r w:rsidRPr="00E80935">
              <w:rPr>
                <w:rFonts w:ascii="Arial" w:hAnsi="Arial" w:cs="Arial"/>
                <w:sz w:val="20"/>
                <w:szCs w:val="20"/>
              </w:rPr>
              <w:t>SSV-4</w:t>
            </w:r>
          </w:p>
        </w:tc>
        <w:tc>
          <w:tcPr>
            <w:tcW w:w="1080" w:type="dxa"/>
            <w:tcBorders>
              <w:top w:val="single" w:sz="6" w:space="0" w:color="FFFFFF"/>
              <w:left w:val="single" w:sz="6" w:space="0" w:color="FFFFFF"/>
              <w:bottom w:val="single" w:sz="6" w:space="0" w:color="FFFFFF"/>
              <w:right w:val="single" w:sz="6" w:space="0" w:color="FFFFFF"/>
            </w:tcBorders>
            <w:vAlign w:val="bottom"/>
          </w:tcPr>
          <w:p w14:paraId="36A4467D" w14:textId="686FDBA5" w:rsidR="00D20C7D" w:rsidRPr="00E80935" w:rsidRDefault="00D20C7D" w:rsidP="00A8058D">
            <w:pPr>
              <w:widowControl/>
              <w:jc w:val="right"/>
              <w:rPr>
                <w:rFonts w:ascii="Arial" w:hAnsi="Arial" w:cs="Arial"/>
                <w:sz w:val="20"/>
                <w:szCs w:val="20"/>
              </w:rPr>
            </w:pPr>
            <w:r w:rsidRPr="00E80935">
              <w:rPr>
                <w:rFonts w:ascii="Arial" w:hAnsi="Arial" w:cs="Arial"/>
                <w:sz w:val="20"/>
                <w:szCs w:val="20"/>
              </w:rPr>
              <w:t xml:space="preserve">             </w:t>
            </w:r>
            <w:r w:rsidR="00A8058D" w:rsidRPr="00E80935">
              <w:rPr>
                <w:rFonts w:ascii="Arial" w:hAnsi="Arial" w:cs="Arial"/>
                <w:sz w:val="20"/>
                <w:szCs w:val="20"/>
              </w:rPr>
              <w:t>39</w:t>
            </w:r>
          </w:p>
        </w:tc>
        <w:tc>
          <w:tcPr>
            <w:tcW w:w="90" w:type="dxa"/>
            <w:tcBorders>
              <w:top w:val="single" w:sz="6" w:space="0" w:color="FFFFFF"/>
              <w:left w:val="single" w:sz="6" w:space="0" w:color="FFFFFF"/>
              <w:bottom w:val="single" w:sz="6" w:space="0" w:color="FFFFFF"/>
              <w:right w:val="single" w:sz="6" w:space="0" w:color="FFFFFF"/>
            </w:tcBorders>
            <w:vAlign w:val="bottom"/>
          </w:tcPr>
          <w:p w14:paraId="0A67AA6C"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4E3C7BC6" w14:textId="1199E60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15</w:t>
            </w:r>
          </w:p>
        </w:tc>
        <w:tc>
          <w:tcPr>
            <w:tcW w:w="810" w:type="dxa"/>
            <w:tcBorders>
              <w:top w:val="single" w:sz="6" w:space="0" w:color="FFFFFF"/>
              <w:left w:val="single" w:sz="6" w:space="0" w:color="FFFFFF"/>
              <w:bottom w:val="single" w:sz="6" w:space="0" w:color="FFFFFF"/>
              <w:right w:val="single" w:sz="6" w:space="0" w:color="FFFFFF"/>
            </w:tcBorders>
          </w:tcPr>
          <w:p w14:paraId="4CA23123" w14:textId="5C0C1E30" w:rsidR="00D20C7D" w:rsidRPr="00E80935" w:rsidRDefault="00D20C7D" w:rsidP="00A8058D">
            <w:pPr>
              <w:widowControl/>
              <w:jc w:val="right"/>
              <w:rPr>
                <w:rFonts w:ascii="Arial" w:hAnsi="Arial" w:cs="Arial"/>
                <w:sz w:val="20"/>
                <w:szCs w:val="20"/>
              </w:rPr>
            </w:pPr>
            <w:r w:rsidRPr="00E80935">
              <w:rPr>
                <w:rFonts w:ascii="Arial" w:hAnsi="Arial" w:cs="Arial"/>
                <w:sz w:val="20"/>
                <w:szCs w:val="20"/>
              </w:rPr>
              <w:t>3</w:t>
            </w:r>
            <w:r w:rsidR="00A8058D" w:rsidRPr="00E80935">
              <w:rPr>
                <w:rFonts w:ascii="Arial" w:hAnsi="Arial" w:cs="Arial"/>
                <w:sz w:val="20"/>
                <w:szCs w:val="20"/>
              </w:rPr>
              <w:t>8</w:t>
            </w:r>
            <w:r w:rsidRPr="00E80935">
              <w:rPr>
                <w:rFonts w:ascii="Arial" w:hAnsi="Arial" w:cs="Arial"/>
                <w:sz w:val="20"/>
                <w:szCs w:val="20"/>
              </w:rPr>
              <w:t>.</w:t>
            </w:r>
            <w:r w:rsidR="00A8058D" w:rsidRPr="00E80935">
              <w:rPr>
                <w:rFonts w:ascii="Arial" w:hAnsi="Arial" w:cs="Arial"/>
                <w:sz w:val="20"/>
                <w:szCs w:val="20"/>
              </w:rPr>
              <w:t>5</w:t>
            </w:r>
            <w:r w:rsidRPr="00E80935">
              <w:rPr>
                <w:rFonts w:ascii="Arial" w:hAnsi="Arial" w:cs="Arial"/>
                <w:sz w:val="20"/>
                <w:szCs w:val="20"/>
              </w:rPr>
              <w:t>%</w:t>
            </w:r>
          </w:p>
        </w:tc>
        <w:tc>
          <w:tcPr>
            <w:tcW w:w="90" w:type="dxa"/>
            <w:tcBorders>
              <w:top w:val="single" w:sz="6" w:space="0" w:color="FFFFFF"/>
              <w:left w:val="single" w:sz="6" w:space="0" w:color="FFFFFF"/>
              <w:bottom w:val="single" w:sz="6" w:space="0" w:color="FFFFFF"/>
              <w:right w:val="single" w:sz="6" w:space="0" w:color="FFFFFF"/>
            </w:tcBorders>
            <w:vAlign w:val="bottom"/>
          </w:tcPr>
          <w:p w14:paraId="2F770991" w14:textId="6EFBCADB"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06D43794" w14:textId="7F3A17F0"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39</w:t>
            </w:r>
          </w:p>
        </w:tc>
        <w:tc>
          <w:tcPr>
            <w:tcW w:w="90" w:type="dxa"/>
            <w:tcBorders>
              <w:top w:val="single" w:sz="6" w:space="0" w:color="FFFFFF"/>
              <w:left w:val="single" w:sz="6" w:space="0" w:color="FFFFFF"/>
              <w:bottom w:val="single" w:sz="6" w:space="0" w:color="FFFFFF"/>
              <w:right w:val="single" w:sz="6" w:space="0" w:color="FFFFFF"/>
            </w:tcBorders>
            <w:vAlign w:val="bottom"/>
          </w:tcPr>
          <w:p w14:paraId="030605E6"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A5824E0" w14:textId="5819F694"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15</w:t>
            </w:r>
          </w:p>
        </w:tc>
        <w:tc>
          <w:tcPr>
            <w:tcW w:w="810" w:type="dxa"/>
            <w:tcBorders>
              <w:top w:val="single" w:sz="6" w:space="0" w:color="FFFFFF"/>
              <w:left w:val="single" w:sz="6" w:space="0" w:color="FFFFFF"/>
              <w:bottom w:val="single" w:sz="6" w:space="0" w:color="FFFFFF"/>
              <w:right w:val="single" w:sz="6" w:space="0" w:color="FFFFFF"/>
            </w:tcBorders>
          </w:tcPr>
          <w:p w14:paraId="4B069B8F" w14:textId="19B5E2BA"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38.5%</w:t>
            </w:r>
          </w:p>
        </w:tc>
      </w:tr>
      <w:tr w:rsidR="00D20C7D" w:rsidRPr="00E80935" w14:paraId="38354061" w14:textId="578A992F"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25FE63CB" w14:textId="24CE105B" w:rsidR="00D20C7D" w:rsidRPr="00E80935" w:rsidRDefault="00D20C7D" w:rsidP="00D20C7D">
            <w:pPr>
              <w:widowControl/>
              <w:rPr>
                <w:rFonts w:ascii="Arial" w:hAnsi="Arial" w:cs="Arial"/>
                <w:sz w:val="20"/>
                <w:szCs w:val="20"/>
              </w:rPr>
            </w:pPr>
            <w:r w:rsidRPr="00E80935">
              <w:rPr>
                <w:rFonts w:ascii="Arial" w:hAnsi="Arial" w:cs="Arial"/>
                <w:sz w:val="20"/>
                <w:szCs w:val="20"/>
              </w:rPr>
              <w:t>Other adult facilities</w:t>
            </w:r>
          </w:p>
        </w:tc>
        <w:tc>
          <w:tcPr>
            <w:tcW w:w="720" w:type="dxa"/>
            <w:tcBorders>
              <w:top w:val="single" w:sz="6" w:space="0" w:color="FFFFFF"/>
              <w:left w:val="single" w:sz="6" w:space="0" w:color="FFFFFF"/>
              <w:bottom w:val="single" w:sz="6" w:space="0" w:color="FFFFFF"/>
              <w:right w:val="single" w:sz="6" w:space="0" w:color="FFFFFF"/>
            </w:tcBorders>
            <w:vAlign w:val="bottom"/>
          </w:tcPr>
          <w:p w14:paraId="2B473BFD" w14:textId="77777777" w:rsidR="00D20C7D" w:rsidRPr="00E80935" w:rsidRDefault="00D20C7D" w:rsidP="00D20C7D">
            <w:pPr>
              <w:widowControl/>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vAlign w:val="bottom"/>
          </w:tcPr>
          <w:p w14:paraId="66D51932"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8348D86"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332618E9" w14:textId="77777777"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1B42ADCF"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57966435" w14:textId="0543F60B"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F8F1C9F"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7049D1A8"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AFD0853" w14:textId="77777777"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7B2390EA" w14:textId="77777777" w:rsidR="00D20C7D" w:rsidRPr="00E80935" w:rsidRDefault="00D20C7D" w:rsidP="00D20C7D">
            <w:pPr>
              <w:widowControl/>
              <w:jc w:val="right"/>
              <w:rPr>
                <w:rFonts w:ascii="Arial" w:hAnsi="Arial" w:cs="Arial"/>
                <w:sz w:val="20"/>
                <w:szCs w:val="20"/>
              </w:rPr>
            </w:pPr>
          </w:p>
        </w:tc>
      </w:tr>
      <w:tr w:rsidR="00D20C7D" w:rsidRPr="00E80935" w14:paraId="2B82001D" w14:textId="77777777"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570BBC49" w14:textId="624F4411"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Indian country jails</w:t>
            </w:r>
          </w:p>
        </w:tc>
        <w:tc>
          <w:tcPr>
            <w:tcW w:w="720" w:type="dxa"/>
            <w:tcBorders>
              <w:top w:val="single" w:sz="6" w:space="0" w:color="FFFFFF"/>
              <w:left w:val="single" w:sz="6" w:space="0" w:color="FFFFFF"/>
              <w:bottom w:val="single" w:sz="6" w:space="0" w:color="FFFFFF"/>
              <w:right w:val="single" w:sz="6" w:space="0" w:color="FFFFFF"/>
            </w:tcBorders>
            <w:vAlign w:val="bottom"/>
          </w:tcPr>
          <w:p w14:paraId="78431741" w14:textId="29F2005C" w:rsidR="00D20C7D" w:rsidRPr="00E80935" w:rsidRDefault="00D20C7D" w:rsidP="00D20C7D">
            <w:pPr>
              <w:widowControl/>
              <w:rPr>
                <w:rFonts w:ascii="Arial" w:hAnsi="Arial" w:cs="Arial"/>
                <w:sz w:val="20"/>
                <w:szCs w:val="20"/>
              </w:rPr>
            </w:pPr>
            <w:r w:rsidRPr="00E80935">
              <w:rPr>
                <w:rFonts w:ascii="Arial" w:hAnsi="Arial" w:cs="Arial"/>
                <w:sz w:val="20"/>
                <w:szCs w:val="20"/>
              </w:rPr>
              <w:t>SSV-4</w:t>
            </w:r>
          </w:p>
        </w:tc>
        <w:tc>
          <w:tcPr>
            <w:tcW w:w="1080" w:type="dxa"/>
            <w:tcBorders>
              <w:top w:val="single" w:sz="6" w:space="0" w:color="FFFFFF"/>
              <w:left w:val="single" w:sz="6" w:space="0" w:color="FFFFFF"/>
              <w:bottom w:val="single" w:sz="6" w:space="0" w:color="FFFFFF"/>
              <w:right w:val="single" w:sz="6" w:space="0" w:color="FFFFFF"/>
            </w:tcBorders>
            <w:vAlign w:val="bottom"/>
          </w:tcPr>
          <w:p w14:paraId="40E0178B" w14:textId="30169CF0"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60</w:t>
            </w:r>
          </w:p>
        </w:tc>
        <w:tc>
          <w:tcPr>
            <w:tcW w:w="90" w:type="dxa"/>
            <w:tcBorders>
              <w:top w:val="single" w:sz="6" w:space="0" w:color="FFFFFF"/>
              <w:left w:val="single" w:sz="6" w:space="0" w:color="FFFFFF"/>
              <w:bottom w:val="single" w:sz="6" w:space="0" w:color="FFFFFF"/>
              <w:right w:val="single" w:sz="6" w:space="0" w:color="FFFFFF"/>
            </w:tcBorders>
            <w:vAlign w:val="bottom"/>
          </w:tcPr>
          <w:p w14:paraId="6FF3FDF2"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7E620D91" w14:textId="57417232"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25</w:t>
            </w:r>
          </w:p>
        </w:tc>
        <w:tc>
          <w:tcPr>
            <w:tcW w:w="810" w:type="dxa"/>
            <w:tcBorders>
              <w:top w:val="single" w:sz="6" w:space="0" w:color="FFFFFF"/>
              <w:left w:val="single" w:sz="6" w:space="0" w:color="FFFFFF"/>
              <w:bottom w:val="single" w:sz="6" w:space="0" w:color="FFFFFF"/>
              <w:right w:val="single" w:sz="6" w:space="0" w:color="FFFFFF"/>
            </w:tcBorders>
          </w:tcPr>
          <w:p w14:paraId="2D7693FC" w14:textId="6FD13D37"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41.7%</w:t>
            </w:r>
          </w:p>
        </w:tc>
        <w:tc>
          <w:tcPr>
            <w:tcW w:w="90" w:type="dxa"/>
            <w:tcBorders>
              <w:top w:val="single" w:sz="6" w:space="0" w:color="FFFFFF"/>
              <w:left w:val="single" w:sz="6" w:space="0" w:color="FFFFFF"/>
              <w:bottom w:val="single" w:sz="6" w:space="0" w:color="FFFFFF"/>
              <w:right w:val="single" w:sz="6" w:space="0" w:color="FFFFFF"/>
            </w:tcBorders>
            <w:vAlign w:val="bottom"/>
          </w:tcPr>
          <w:p w14:paraId="12AF802B" w14:textId="68129F4F"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71D4BB46" w14:textId="195B22F7"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60</w:t>
            </w:r>
          </w:p>
        </w:tc>
        <w:tc>
          <w:tcPr>
            <w:tcW w:w="90" w:type="dxa"/>
            <w:tcBorders>
              <w:top w:val="single" w:sz="6" w:space="0" w:color="FFFFFF"/>
              <w:left w:val="single" w:sz="6" w:space="0" w:color="FFFFFF"/>
              <w:bottom w:val="single" w:sz="6" w:space="0" w:color="FFFFFF"/>
              <w:right w:val="single" w:sz="6" w:space="0" w:color="FFFFFF"/>
            </w:tcBorders>
            <w:vAlign w:val="bottom"/>
          </w:tcPr>
          <w:p w14:paraId="09215B7A"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FBF124A" w14:textId="4F3B1F7B"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25</w:t>
            </w:r>
          </w:p>
        </w:tc>
        <w:tc>
          <w:tcPr>
            <w:tcW w:w="810" w:type="dxa"/>
            <w:tcBorders>
              <w:top w:val="single" w:sz="6" w:space="0" w:color="FFFFFF"/>
              <w:left w:val="single" w:sz="6" w:space="0" w:color="FFFFFF"/>
              <w:bottom w:val="single" w:sz="6" w:space="0" w:color="FFFFFF"/>
              <w:right w:val="single" w:sz="6" w:space="0" w:color="FFFFFF"/>
            </w:tcBorders>
          </w:tcPr>
          <w:p w14:paraId="402D78D9" w14:textId="0F9F5564"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41.7%</w:t>
            </w:r>
          </w:p>
        </w:tc>
      </w:tr>
      <w:tr w:rsidR="00D20C7D" w:rsidRPr="00E80935" w14:paraId="0FCD0430" w14:textId="77777777"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354B25DD" w14:textId="1839F14F"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Military systems</w:t>
            </w:r>
          </w:p>
        </w:tc>
        <w:tc>
          <w:tcPr>
            <w:tcW w:w="720" w:type="dxa"/>
            <w:tcBorders>
              <w:top w:val="single" w:sz="6" w:space="0" w:color="FFFFFF"/>
              <w:left w:val="single" w:sz="6" w:space="0" w:color="FFFFFF"/>
              <w:bottom w:val="single" w:sz="6" w:space="0" w:color="FFFFFF"/>
              <w:right w:val="single" w:sz="6" w:space="0" w:color="FFFFFF"/>
            </w:tcBorders>
            <w:vAlign w:val="bottom"/>
          </w:tcPr>
          <w:p w14:paraId="1EF85426" w14:textId="34D634A6" w:rsidR="00D20C7D" w:rsidRPr="00E80935" w:rsidRDefault="00D20C7D" w:rsidP="00D20C7D">
            <w:pPr>
              <w:widowControl/>
              <w:rPr>
                <w:rFonts w:ascii="Arial" w:hAnsi="Arial" w:cs="Arial"/>
                <w:sz w:val="20"/>
                <w:szCs w:val="20"/>
              </w:rPr>
            </w:pPr>
            <w:r w:rsidRPr="00E80935">
              <w:rPr>
                <w:rFonts w:ascii="Arial" w:hAnsi="Arial" w:cs="Arial"/>
                <w:sz w:val="20"/>
                <w:szCs w:val="20"/>
              </w:rPr>
              <w:t>SSV-4</w:t>
            </w:r>
          </w:p>
        </w:tc>
        <w:tc>
          <w:tcPr>
            <w:tcW w:w="1080" w:type="dxa"/>
            <w:tcBorders>
              <w:top w:val="single" w:sz="6" w:space="0" w:color="FFFFFF"/>
              <w:left w:val="single" w:sz="6" w:space="0" w:color="FFFFFF"/>
              <w:bottom w:val="single" w:sz="6" w:space="0" w:color="FFFFFF"/>
              <w:right w:val="single" w:sz="6" w:space="0" w:color="FFFFFF"/>
            </w:tcBorders>
            <w:vAlign w:val="bottom"/>
          </w:tcPr>
          <w:p w14:paraId="37C0E682" w14:textId="7A89218F"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44</w:t>
            </w:r>
          </w:p>
        </w:tc>
        <w:tc>
          <w:tcPr>
            <w:tcW w:w="90" w:type="dxa"/>
            <w:tcBorders>
              <w:top w:val="single" w:sz="6" w:space="0" w:color="FFFFFF"/>
              <w:left w:val="single" w:sz="6" w:space="0" w:color="FFFFFF"/>
              <w:bottom w:val="single" w:sz="6" w:space="0" w:color="FFFFFF"/>
              <w:right w:val="single" w:sz="6" w:space="0" w:color="FFFFFF"/>
            </w:tcBorders>
            <w:vAlign w:val="bottom"/>
          </w:tcPr>
          <w:p w14:paraId="7E57E59C"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0D109074" w14:textId="2227A8FD"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44</w:t>
            </w:r>
          </w:p>
        </w:tc>
        <w:tc>
          <w:tcPr>
            <w:tcW w:w="810" w:type="dxa"/>
            <w:tcBorders>
              <w:top w:val="single" w:sz="6" w:space="0" w:color="FFFFFF"/>
              <w:left w:val="single" w:sz="6" w:space="0" w:color="FFFFFF"/>
              <w:bottom w:val="single" w:sz="6" w:space="0" w:color="FFFFFF"/>
              <w:right w:val="single" w:sz="6" w:space="0" w:color="FFFFFF"/>
            </w:tcBorders>
          </w:tcPr>
          <w:p w14:paraId="663140E1" w14:textId="0B74B5B8"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c>
          <w:tcPr>
            <w:tcW w:w="90" w:type="dxa"/>
            <w:tcBorders>
              <w:top w:val="single" w:sz="6" w:space="0" w:color="FFFFFF"/>
              <w:left w:val="single" w:sz="6" w:space="0" w:color="FFFFFF"/>
              <w:bottom w:val="single" w:sz="6" w:space="0" w:color="FFFFFF"/>
              <w:right w:val="single" w:sz="6" w:space="0" w:color="FFFFFF"/>
            </w:tcBorders>
            <w:vAlign w:val="bottom"/>
          </w:tcPr>
          <w:p w14:paraId="4F827281" w14:textId="3917EECF"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5A6F99D3" w14:textId="74A362D6"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4</w:t>
            </w:r>
          </w:p>
        </w:tc>
        <w:tc>
          <w:tcPr>
            <w:tcW w:w="90" w:type="dxa"/>
            <w:tcBorders>
              <w:top w:val="single" w:sz="6" w:space="0" w:color="FFFFFF"/>
              <w:left w:val="single" w:sz="6" w:space="0" w:color="FFFFFF"/>
              <w:bottom w:val="single" w:sz="6" w:space="0" w:color="FFFFFF"/>
              <w:right w:val="single" w:sz="6" w:space="0" w:color="FFFFFF"/>
            </w:tcBorders>
            <w:vAlign w:val="bottom"/>
          </w:tcPr>
          <w:p w14:paraId="066D2120"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39C8A90" w14:textId="78B322F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4</w:t>
            </w:r>
          </w:p>
        </w:tc>
        <w:tc>
          <w:tcPr>
            <w:tcW w:w="810" w:type="dxa"/>
            <w:tcBorders>
              <w:top w:val="single" w:sz="6" w:space="0" w:color="FFFFFF"/>
              <w:left w:val="single" w:sz="6" w:space="0" w:color="FFFFFF"/>
              <w:bottom w:val="single" w:sz="6" w:space="0" w:color="FFFFFF"/>
              <w:right w:val="single" w:sz="6" w:space="0" w:color="FFFFFF"/>
            </w:tcBorders>
          </w:tcPr>
          <w:p w14:paraId="477C8A28" w14:textId="55F456CC"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r>
      <w:tr w:rsidR="00D20C7D" w:rsidRPr="00E80935" w14:paraId="24797CA5" w14:textId="77777777"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47266F3E" w14:textId="3DE8E8A1"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ICE</w:t>
            </w:r>
          </w:p>
        </w:tc>
        <w:tc>
          <w:tcPr>
            <w:tcW w:w="720" w:type="dxa"/>
            <w:tcBorders>
              <w:top w:val="single" w:sz="6" w:space="0" w:color="FFFFFF"/>
              <w:left w:val="single" w:sz="6" w:space="0" w:color="FFFFFF"/>
              <w:bottom w:val="single" w:sz="6" w:space="0" w:color="FFFFFF"/>
              <w:right w:val="single" w:sz="6" w:space="0" w:color="FFFFFF"/>
            </w:tcBorders>
            <w:vAlign w:val="bottom"/>
          </w:tcPr>
          <w:p w14:paraId="28867424" w14:textId="18F322E9" w:rsidR="00D20C7D" w:rsidRPr="00E80935" w:rsidRDefault="00D20C7D" w:rsidP="00D20C7D">
            <w:pPr>
              <w:widowControl/>
              <w:rPr>
                <w:rFonts w:ascii="Arial" w:hAnsi="Arial" w:cs="Arial"/>
                <w:sz w:val="20"/>
                <w:szCs w:val="20"/>
              </w:rPr>
            </w:pPr>
            <w:r w:rsidRPr="00E80935">
              <w:rPr>
                <w:rFonts w:ascii="Arial" w:hAnsi="Arial" w:cs="Arial"/>
                <w:sz w:val="20"/>
                <w:szCs w:val="20"/>
              </w:rPr>
              <w:t>SSV-4</w:t>
            </w:r>
          </w:p>
        </w:tc>
        <w:tc>
          <w:tcPr>
            <w:tcW w:w="1080" w:type="dxa"/>
            <w:tcBorders>
              <w:top w:val="single" w:sz="6" w:space="0" w:color="FFFFFF"/>
              <w:left w:val="single" w:sz="6" w:space="0" w:color="FFFFFF"/>
              <w:bottom w:val="single" w:sz="6" w:space="0" w:color="FFFFFF"/>
              <w:right w:val="single" w:sz="6" w:space="0" w:color="FFFFFF"/>
            </w:tcBorders>
            <w:vAlign w:val="bottom"/>
          </w:tcPr>
          <w:p w14:paraId="49226205" w14:textId="02C5E3F2"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29</w:t>
            </w:r>
          </w:p>
        </w:tc>
        <w:tc>
          <w:tcPr>
            <w:tcW w:w="90" w:type="dxa"/>
            <w:tcBorders>
              <w:top w:val="single" w:sz="6" w:space="0" w:color="FFFFFF"/>
              <w:left w:val="single" w:sz="6" w:space="0" w:color="FFFFFF"/>
              <w:bottom w:val="single" w:sz="6" w:space="0" w:color="FFFFFF"/>
              <w:right w:val="single" w:sz="6" w:space="0" w:color="FFFFFF"/>
            </w:tcBorders>
            <w:vAlign w:val="bottom"/>
          </w:tcPr>
          <w:p w14:paraId="47172498"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5DE3BFB2" w14:textId="62B3ED71"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29</w:t>
            </w:r>
          </w:p>
        </w:tc>
        <w:tc>
          <w:tcPr>
            <w:tcW w:w="810" w:type="dxa"/>
            <w:tcBorders>
              <w:top w:val="single" w:sz="6" w:space="0" w:color="FFFFFF"/>
              <w:left w:val="single" w:sz="6" w:space="0" w:color="FFFFFF"/>
              <w:bottom w:val="single" w:sz="6" w:space="0" w:color="FFFFFF"/>
              <w:right w:val="single" w:sz="6" w:space="0" w:color="FFFFFF"/>
            </w:tcBorders>
          </w:tcPr>
          <w:p w14:paraId="42D16F23" w14:textId="176C164F"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c>
          <w:tcPr>
            <w:tcW w:w="90" w:type="dxa"/>
            <w:tcBorders>
              <w:top w:val="single" w:sz="6" w:space="0" w:color="FFFFFF"/>
              <w:left w:val="single" w:sz="6" w:space="0" w:color="FFFFFF"/>
              <w:bottom w:val="single" w:sz="6" w:space="0" w:color="FFFFFF"/>
              <w:right w:val="single" w:sz="6" w:space="0" w:color="FFFFFF"/>
            </w:tcBorders>
            <w:vAlign w:val="bottom"/>
          </w:tcPr>
          <w:p w14:paraId="053DFFC3" w14:textId="0A92F519"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6898520" w14:textId="0B671D0D"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29</w:t>
            </w:r>
          </w:p>
        </w:tc>
        <w:tc>
          <w:tcPr>
            <w:tcW w:w="90" w:type="dxa"/>
            <w:tcBorders>
              <w:top w:val="single" w:sz="6" w:space="0" w:color="FFFFFF"/>
              <w:left w:val="single" w:sz="6" w:space="0" w:color="FFFFFF"/>
              <w:bottom w:val="single" w:sz="6" w:space="0" w:color="FFFFFF"/>
              <w:right w:val="single" w:sz="6" w:space="0" w:color="FFFFFF"/>
            </w:tcBorders>
            <w:vAlign w:val="bottom"/>
          </w:tcPr>
          <w:p w14:paraId="54C4F9AF"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3AB9F58" w14:textId="5574B1A9"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29</w:t>
            </w:r>
          </w:p>
        </w:tc>
        <w:tc>
          <w:tcPr>
            <w:tcW w:w="810" w:type="dxa"/>
            <w:tcBorders>
              <w:top w:val="single" w:sz="6" w:space="0" w:color="FFFFFF"/>
              <w:left w:val="single" w:sz="6" w:space="0" w:color="FFFFFF"/>
              <w:bottom w:val="single" w:sz="6" w:space="0" w:color="FFFFFF"/>
              <w:right w:val="single" w:sz="6" w:space="0" w:color="FFFFFF"/>
            </w:tcBorders>
          </w:tcPr>
          <w:p w14:paraId="0A0CB49C" w14:textId="513E168F"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r>
      <w:tr w:rsidR="00D20C7D" w:rsidRPr="00E80935" w14:paraId="712F7CE0" w14:textId="21B0C5A5" w:rsidTr="00D20C7D">
        <w:trPr>
          <w:trHeight w:val="51"/>
        </w:trPr>
        <w:tc>
          <w:tcPr>
            <w:tcW w:w="2880" w:type="dxa"/>
            <w:tcBorders>
              <w:top w:val="single" w:sz="6" w:space="0" w:color="FFFFFF"/>
              <w:left w:val="single" w:sz="6" w:space="0" w:color="FFFFFF"/>
              <w:bottom w:val="single" w:sz="6" w:space="0" w:color="FFFFFF"/>
              <w:right w:val="single" w:sz="6" w:space="0" w:color="FFFFFF"/>
            </w:tcBorders>
            <w:vAlign w:val="bottom"/>
          </w:tcPr>
          <w:p w14:paraId="4C3465D7" w14:textId="105638AC" w:rsidR="00D20C7D" w:rsidRPr="00E80935" w:rsidRDefault="00D20C7D" w:rsidP="00D20C7D">
            <w:pPr>
              <w:widowControl/>
              <w:rPr>
                <w:rFonts w:ascii="Arial" w:hAnsi="Arial" w:cs="Arial"/>
                <w:sz w:val="20"/>
                <w:szCs w:val="20"/>
              </w:rPr>
            </w:pPr>
            <w:r w:rsidRPr="00E80935">
              <w:rPr>
                <w:rFonts w:ascii="Arial" w:hAnsi="Arial" w:cs="Arial"/>
                <w:sz w:val="20"/>
                <w:szCs w:val="20"/>
              </w:rPr>
              <w:t>Juvenile facilities</w:t>
            </w:r>
          </w:p>
        </w:tc>
        <w:tc>
          <w:tcPr>
            <w:tcW w:w="720" w:type="dxa"/>
            <w:tcBorders>
              <w:top w:val="single" w:sz="6" w:space="0" w:color="FFFFFF"/>
              <w:left w:val="single" w:sz="6" w:space="0" w:color="FFFFFF"/>
              <w:bottom w:val="single" w:sz="6" w:space="0" w:color="FFFFFF"/>
              <w:right w:val="single" w:sz="6" w:space="0" w:color="FFFFFF"/>
            </w:tcBorders>
            <w:vAlign w:val="bottom"/>
          </w:tcPr>
          <w:p w14:paraId="1133CEB6" w14:textId="77777777" w:rsidR="00D20C7D" w:rsidRPr="00E80935" w:rsidRDefault="00D20C7D" w:rsidP="00D20C7D">
            <w:pPr>
              <w:widowControl/>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vAlign w:val="bottom"/>
          </w:tcPr>
          <w:p w14:paraId="0B8DDB49"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5C2237B7"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27C04A2A" w14:textId="77777777"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070F739B"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6E9E934" w14:textId="77A16E40"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6A42F5B" w14:textId="77777777" w:rsidR="00D20C7D" w:rsidRPr="00E80935" w:rsidRDefault="00D20C7D" w:rsidP="00D20C7D">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03B98A22"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7FF4E62E" w14:textId="77777777" w:rsidR="00D20C7D" w:rsidRPr="00E80935" w:rsidRDefault="00D20C7D" w:rsidP="00D20C7D">
            <w:pPr>
              <w:widowControl/>
              <w:jc w:val="right"/>
              <w:rPr>
                <w:rFonts w:ascii="Arial" w:hAnsi="Arial" w:cs="Arial"/>
                <w:sz w:val="20"/>
                <w:szCs w:val="20"/>
              </w:rPr>
            </w:pPr>
          </w:p>
        </w:tc>
        <w:tc>
          <w:tcPr>
            <w:tcW w:w="810" w:type="dxa"/>
            <w:tcBorders>
              <w:top w:val="single" w:sz="6" w:space="0" w:color="FFFFFF"/>
              <w:left w:val="single" w:sz="6" w:space="0" w:color="FFFFFF"/>
              <w:bottom w:val="single" w:sz="6" w:space="0" w:color="FFFFFF"/>
              <w:right w:val="single" w:sz="6" w:space="0" w:color="FFFFFF"/>
            </w:tcBorders>
          </w:tcPr>
          <w:p w14:paraId="159B089C" w14:textId="77777777" w:rsidR="00D20C7D" w:rsidRPr="00E80935" w:rsidRDefault="00D20C7D" w:rsidP="00D20C7D">
            <w:pPr>
              <w:widowControl/>
              <w:jc w:val="right"/>
              <w:rPr>
                <w:rFonts w:ascii="Arial" w:hAnsi="Arial" w:cs="Arial"/>
                <w:sz w:val="20"/>
                <w:szCs w:val="20"/>
              </w:rPr>
            </w:pPr>
          </w:p>
        </w:tc>
      </w:tr>
      <w:tr w:rsidR="00D20C7D" w:rsidRPr="00E80935" w14:paraId="47E12C2D" w14:textId="77A60EF4" w:rsidTr="00D20C7D">
        <w:trPr>
          <w:trHeight w:val="88"/>
        </w:trPr>
        <w:tc>
          <w:tcPr>
            <w:tcW w:w="2880" w:type="dxa"/>
            <w:tcBorders>
              <w:top w:val="single" w:sz="6" w:space="0" w:color="FFFFFF"/>
              <w:left w:val="single" w:sz="6" w:space="0" w:color="FFFFFF"/>
              <w:bottom w:val="single" w:sz="6" w:space="0" w:color="FFFFFF"/>
              <w:right w:val="single" w:sz="6" w:space="0" w:color="FFFFFF"/>
            </w:tcBorders>
            <w:vAlign w:val="bottom"/>
          </w:tcPr>
          <w:p w14:paraId="01ABEA2F" w14:textId="4CB3A422"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Public – state/DC systems</w:t>
            </w:r>
          </w:p>
        </w:tc>
        <w:tc>
          <w:tcPr>
            <w:tcW w:w="720" w:type="dxa"/>
            <w:tcBorders>
              <w:top w:val="single" w:sz="6" w:space="0" w:color="FFFFFF"/>
              <w:left w:val="single" w:sz="6" w:space="0" w:color="FFFFFF"/>
              <w:bottom w:val="single" w:sz="6" w:space="0" w:color="FFFFFF"/>
              <w:right w:val="single" w:sz="6" w:space="0" w:color="FFFFFF"/>
            </w:tcBorders>
            <w:vAlign w:val="bottom"/>
          </w:tcPr>
          <w:p w14:paraId="3B43CE90" w14:textId="54A46B24" w:rsidR="00D20C7D" w:rsidRPr="00E80935" w:rsidRDefault="00D20C7D" w:rsidP="00D20C7D">
            <w:pPr>
              <w:widowControl/>
              <w:rPr>
                <w:rFonts w:ascii="Arial" w:hAnsi="Arial" w:cs="Arial"/>
                <w:sz w:val="20"/>
                <w:szCs w:val="20"/>
              </w:rPr>
            </w:pPr>
            <w:r w:rsidRPr="00E80935">
              <w:rPr>
                <w:rFonts w:ascii="Arial" w:hAnsi="Arial" w:cs="Arial"/>
                <w:sz w:val="20"/>
                <w:szCs w:val="20"/>
              </w:rPr>
              <w:t>SSV-5</w:t>
            </w:r>
          </w:p>
        </w:tc>
        <w:tc>
          <w:tcPr>
            <w:tcW w:w="1080" w:type="dxa"/>
            <w:tcBorders>
              <w:top w:val="single" w:sz="6" w:space="0" w:color="FFFFFF"/>
              <w:left w:val="single" w:sz="6" w:space="0" w:color="FFFFFF"/>
              <w:bottom w:val="single" w:sz="6" w:space="0" w:color="FFFFFF"/>
              <w:right w:val="single" w:sz="6" w:space="0" w:color="FFFFFF"/>
            </w:tcBorders>
            <w:vAlign w:val="bottom"/>
          </w:tcPr>
          <w:p w14:paraId="33583AB7" w14:textId="0689CE1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369</w:t>
            </w:r>
          </w:p>
        </w:tc>
        <w:tc>
          <w:tcPr>
            <w:tcW w:w="90" w:type="dxa"/>
            <w:tcBorders>
              <w:top w:val="single" w:sz="6" w:space="0" w:color="FFFFFF"/>
              <w:left w:val="single" w:sz="6" w:space="0" w:color="FFFFFF"/>
              <w:bottom w:val="single" w:sz="6" w:space="0" w:color="FFFFFF"/>
              <w:right w:val="single" w:sz="6" w:space="0" w:color="FFFFFF"/>
            </w:tcBorders>
            <w:vAlign w:val="bottom"/>
          </w:tcPr>
          <w:p w14:paraId="5AD14523"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29563492" w14:textId="793AF5A8"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369</w:t>
            </w:r>
          </w:p>
        </w:tc>
        <w:tc>
          <w:tcPr>
            <w:tcW w:w="810" w:type="dxa"/>
            <w:tcBorders>
              <w:top w:val="single" w:sz="6" w:space="0" w:color="FFFFFF"/>
              <w:left w:val="single" w:sz="6" w:space="0" w:color="FFFFFF"/>
              <w:bottom w:val="single" w:sz="6" w:space="0" w:color="FFFFFF"/>
              <w:right w:val="single" w:sz="6" w:space="0" w:color="FFFFFF"/>
            </w:tcBorders>
          </w:tcPr>
          <w:p w14:paraId="0D264C6B" w14:textId="28A08C99"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c>
          <w:tcPr>
            <w:tcW w:w="90" w:type="dxa"/>
            <w:tcBorders>
              <w:top w:val="single" w:sz="6" w:space="0" w:color="FFFFFF"/>
              <w:left w:val="single" w:sz="6" w:space="0" w:color="FFFFFF"/>
              <w:bottom w:val="single" w:sz="6" w:space="0" w:color="FFFFFF"/>
              <w:right w:val="single" w:sz="6" w:space="0" w:color="FFFFFF"/>
            </w:tcBorders>
            <w:vAlign w:val="bottom"/>
          </w:tcPr>
          <w:p w14:paraId="6B2B8B3F" w14:textId="76D2B994"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0089D14C" w14:textId="14A10F29"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51</w:t>
            </w:r>
          </w:p>
        </w:tc>
        <w:tc>
          <w:tcPr>
            <w:tcW w:w="90" w:type="dxa"/>
            <w:tcBorders>
              <w:top w:val="single" w:sz="6" w:space="0" w:color="FFFFFF"/>
              <w:left w:val="single" w:sz="6" w:space="0" w:color="FFFFFF"/>
              <w:bottom w:val="single" w:sz="6" w:space="0" w:color="FFFFFF"/>
              <w:right w:val="single" w:sz="6" w:space="0" w:color="FFFFFF"/>
            </w:tcBorders>
            <w:vAlign w:val="bottom"/>
          </w:tcPr>
          <w:p w14:paraId="422F092E"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18008E0" w14:textId="01CF5EB5"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51</w:t>
            </w:r>
          </w:p>
        </w:tc>
        <w:tc>
          <w:tcPr>
            <w:tcW w:w="810" w:type="dxa"/>
            <w:tcBorders>
              <w:top w:val="single" w:sz="6" w:space="0" w:color="FFFFFF"/>
              <w:left w:val="single" w:sz="6" w:space="0" w:color="FFFFFF"/>
              <w:bottom w:val="single" w:sz="6" w:space="0" w:color="FFFFFF"/>
              <w:right w:val="single" w:sz="6" w:space="0" w:color="FFFFFF"/>
            </w:tcBorders>
          </w:tcPr>
          <w:p w14:paraId="38988F04" w14:textId="0B4E2DC2"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r>
      <w:tr w:rsidR="00613478" w:rsidRPr="00E80935" w14:paraId="0708B61C" w14:textId="4FB36757" w:rsidTr="00D20C7D">
        <w:trPr>
          <w:trHeight w:val="88"/>
        </w:trPr>
        <w:tc>
          <w:tcPr>
            <w:tcW w:w="2880" w:type="dxa"/>
            <w:tcBorders>
              <w:top w:val="single" w:sz="6" w:space="0" w:color="FFFFFF"/>
              <w:left w:val="single" w:sz="6" w:space="0" w:color="FFFFFF"/>
              <w:bottom w:val="single" w:sz="6" w:space="0" w:color="FFFFFF"/>
              <w:right w:val="single" w:sz="6" w:space="0" w:color="FFFFFF"/>
            </w:tcBorders>
            <w:vAlign w:val="bottom"/>
          </w:tcPr>
          <w:p w14:paraId="59A390AB" w14:textId="526D55D0" w:rsidR="00613478" w:rsidRPr="00E80935" w:rsidRDefault="00613478" w:rsidP="00613478">
            <w:pPr>
              <w:widowControl/>
              <w:rPr>
                <w:rFonts w:ascii="Arial" w:hAnsi="Arial" w:cs="Arial"/>
                <w:sz w:val="20"/>
                <w:szCs w:val="20"/>
              </w:rPr>
            </w:pPr>
            <w:r w:rsidRPr="00E80935">
              <w:rPr>
                <w:rFonts w:ascii="Arial" w:hAnsi="Arial" w:cs="Arial"/>
                <w:sz w:val="20"/>
                <w:szCs w:val="20"/>
              </w:rPr>
              <w:t xml:space="preserve">     Public – local </w:t>
            </w:r>
          </w:p>
        </w:tc>
        <w:tc>
          <w:tcPr>
            <w:tcW w:w="720" w:type="dxa"/>
            <w:tcBorders>
              <w:top w:val="single" w:sz="6" w:space="0" w:color="FFFFFF"/>
              <w:left w:val="single" w:sz="6" w:space="0" w:color="FFFFFF"/>
              <w:bottom w:val="single" w:sz="6" w:space="0" w:color="FFFFFF"/>
              <w:right w:val="single" w:sz="6" w:space="0" w:color="FFFFFF"/>
            </w:tcBorders>
            <w:vAlign w:val="bottom"/>
          </w:tcPr>
          <w:p w14:paraId="72F1C7DC" w14:textId="4781E08F" w:rsidR="00613478" w:rsidRPr="00E80935" w:rsidRDefault="00613478" w:rsidP="00613478">
            <w:pPr>
              <w:widowControl/>
              <w:rPr>
                <w:rFonts w:ascii="Arial" w:hAnsi="Arial" w:cs="Arial"/>
                <w:sz w:val="20"/>
                <w:szCs w:val="20"/>
              </w:rPr>
            </w:pPr>
            <w:r w:rsidRPr="00E80935">
              <w:rPr>
                <w:rFonts w:ascii="Arial" w:hAnsi="Arial" w:cs="Arial"/>
                <w:sz w:val="20"/>
                <w:szCs w:val="20"/>
              </w:rPr>
              <w:t>SSV-6</w:t>
            </w:r>
          </w:p>
        </w:tc>
        <w:tc>
          <w:tcPr>
            <w:tcW w:w="1080" w:type="dxa"/>
            <w:tcBorders>
              <w:top w:val="single" w:sz="6" w:space="0" w:color="FFFFFF"/>
              <w:left w:val="single" w:sz="6" w:space="0" w:color="FFFFFF"/>
              <w:bottom w:val="single" w:sz="6" w:space="0" w:color="FFFFFF"/>
              <w:right w:val="single" w:sz="6" w:space="0" w:color="FFFFFF"/>
            </w:tcBorders>
            <w:vAlign w:val="bottom"/>
          </w:tcPr>
          <w:p w14:paraId="408D37A9" w14:textId="401DA4BA"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 xml:space="preserve">           661</w:t>
            </w:r>
          </w:p>
        </w:tc>
        <w:tc>
          <w:tcPr>
            <w:tcW w:w="90" w:type="dxa"/>
            <w:tcBorders>
              <w:top w:val="single" w:sz="6" w:space="0" w:color="FFFFFF"/>
              <w:left w:val="single" w:sz="6" w:space="0" w:color="FFFFFF"/>
              <w:bottom w:val="single" w:sz="6" w:space="0" w:color="FFFFFF"/>
              <w:right w:val="single" w:sz="6" w:space="0" w:color="FFFFFF"/>
            </w:tcBorders>
            <w:vAlign w:val="bottom"/>
          </w:tcPr>
          <w:p w14:paraId="049D283D" w14:textId="77777777" w:rsidR="00613478" w:rsidRPr="00E80935" w:rsidRDefault="00613478" w:rsidP="00613478">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1C1D5779" w14:textId="018F573A"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266</w:t>
            </w:r>
          </w:p>
        </w:tc>
        <w:tc>
          <w:tcPr>
            <w:tcW w:w="810" w:type="dxa"/>
            <w:tcBorders>
              <w:top w:val="single" w:sz="6" w:space="0" w:color="FFFFFF"/>
              <w:left w:val="single" w:sz="6" w:space="0" w:color="FFFFFF"/>
              <w:bottom w:val="single" w:sz="6" w:space="0" w:color="FFFFFF"/>
              <w:right w:val="single" w:sz="6" w:space="0" w:color="FFFFFF"/>
            </w:tcBorders>
          </w:tcPr>
          <w:p w14:paraId="064C9840" w14:textId="323E9064"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40.2%</w:t>
            </w:r>
          </w:p>
        </w:tc>
        <w:tc>
          <w:tcPr>
            <w:tcW w:w="90" w:type="dxa"/>
            <w:tcBorders>
              <w:top w:val="single" w:sz="6" w:space="0" w:color="FFFFFF"/>
              <w:left w:val="single" w:sz="6" w:space="0" w:color="FFFFFF"/>
              <w:bottom w:val="single" w:sz="6" w:space="0" w:color="FFFFFF"/>
              <w:right w:val="single" w:sz="6" w:space="0" w:color="FFFFFF"/>
            </w:tcBorders>
            <w:vAlign w:val="bottom"/>
          </w:tcPr>
          <w:p w14:paraId="2CB16FFC" w14:textId="114E5CD9" w:rsidR="00613478" w:rsidRPr="00E80935" w:rsidRDefault="00613478" w:rsidP="00613478">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E21E4C6" w14:textId="59693D25"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661</w:t>
            </w:r>
          </w:p>
        </w:tc>
        <w:tc>
          <w:tcPr>
            <w:tcW w:w="90" w:type="dxa"/>
            <w:tcBorders>
              <w:top w:val="single" w:sz="6" w:space="0" w:color="FFFFFF"/>
              <w:left w:val="single" w:sz="6" w:space="0" w:color="FFFFFF"/>
              <w:bottom w:val="single" w:sz="6" w:space="0" w:color="FFFFFF"/>
              <w:right w:val="single" w:sz="6" w:space="0" w:color="FFFFFF"/>
            </w:tcBorders>
            <w:vAlign w:val="bottom"/>
          </w:tcPr>
          <w:p w14:paraId="65524BAE" w14:textId="77777777" w:rsidR="00613478" w:rsidRPr="00E80935" w:rsidRDefault="00613478" w:rsidP="00613478">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12E448E" w14:textId="355B9A0C"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266</w:t>
            </w:r>
          </w:p>
        </w:tc>
        <w:tc>
          <w:tcPr>
            <w:tcW w:w="810" w:type="dxa"/>
            <w:tcBorders>
              <w:top w:val="single" w:sz="6" w:space="0" w:color="FFFFFF"/>
              <w:left w:val="single" w:sz="6" w:space="0" w:color="FFFFFF"/>
              <w:bottom w:val="single" w:sz="6" w:space="0" w:color="FFFFFF"/>
              <w:right w:val="single" w:sz="6" w:space="0" w:color="FFFFFF"/>
            </w:tcBorders>
          </w:tcPr>
          <w:p w14:paraId="30905B1C" w14:textId="77E1AEF4"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40.2%</w:t>
            </w:r>
          </w:p>
        </w:tc>
      </w:tr>
      <w:tr w:rsidR="00613478" w:rsidRPr="00E80935" w14:paraId="0D3D8F4C" w14:textId="2D04073B" w:rsidTr="00D20C7D">
        <w:trPr>
          <w:trHeight w:val="88"/>
        </w:trPr>
        <w:tc>
          <w:tcPr>
            <w:tcW w:w="2880" w:type="dxa"/>
            <w:tcBorders>
              <w:top w:val="single" w:sz="6" w:space="0" w:color="FFFFFF"/>
              <w:left w:val="single" w:sz="6" w:space="0" w:color="FFFFFF"/>
              <w:bottom w:val="single" w:sz="6" w:space="0" w:color="FFFFFF"/>
              <w:right w:val="single" w:sz="6" w:space="0" w:color="FFFFFF"/>
            </w:tcBorders>
            <w:vAlign w:val="bottom"/>
          </w:tcPr>
          <w:p w14:paraId="78B86BAF" w14:textId="4018701D" w:rsidR="00613478" w:rsidRPr="00E80935" w:rsidRDefault="00613478" w:rsidP="00613478">
            <w:pPr>
              <w:widowControl/>
              <w:rPr>
                <w:rFonts w:ascii="Arial" w:hAnsi="Arial" w:cs="Arial"/>
                <w:sz w:val="20"/>
                <w:szCs w:val="20"/>
              </w:rPr>
            </w:pPr>
            <w:r w:rsidRPr="00E80935">
              <w:rPr>
                <w:rFonts w:ascii="Arial" w:hAnsi="Arial" w:cs="Arial"/>
                <w:sz w:val="20"/>
                <w:szCs w:val="20"/>
              </w:rPr>
              <w:t xml:space="preserve">     Private</w:t>
            </w:r>
          </w:p>
        </w:tc>
        <w:tc>
          <w:tcPr>
            <w:tcW w:w="720" w:type="dxa"/>
            <w:tcBorders>
              <w:top w:val="single" w:sz="6" w:space="0" w:color="FFFFFF"/>
              <w:left w:val="single" w:sz="6" w:space="0" w:color="FFFFFF"/>
              <w:bottom w:val="single" w:sz="6" w:space="0" w:color="FFFFFF"/>
              <w:right w:val="single" w:sz="6" w:space="0" w:color="FFFFFF"/>
            </w:tcBorders>
            <w:vAlign w:val="bottom"/>
          </w:tcPr>
          <w:p w14:paraId="56080B23" w14:textId="0491EC32" w:rsidR="00613478" w:rsidRPr="00E80935" w:rsidRDefault="00613478" w:rsidP="00613478">
            <w:pPr>
              <w:widowControl/>
              <w:rPr>
                <w:rFonts w:ascii="Arial" w:hAnsi="Arial" w:cs="Arial"/>
                <w:sz w:val="20"/>
                <w:szCs w:val="20"/>
              </w:rPr>
            </w:pPr>
            <w:r w:rsidRPr="00E80935">
              <w:rPr>
                <w:rFonts w:ascii="Arial" w:hAnsi="Arial" w:cs="Arial"/>
                <w:sz w:val="20"/>
                <w:szCs w:val="20"/>
              </w:rPr>
              <w:t>SSV-6</w:t>
            </w:r>
          </w:p>
        </w:tc>
        <w:tc>
          <w:tcPr>
            <w:tcW w:w="1080" w:type="dxa"/>
            <w:tcBorders>
              <w:top w:val="single" w:sz="6" w:space="0" w:color="FFFFFF"/>
              <w:left w:val="single" w:sz="6" w:space="0" w:color="FFFFFF"/>
              <w:bottom w:val="single" w:sz="6" w:space="0" w:color="FFFFFF"/>
              <w:right w:val="single" w:sz="6" w:space="0" w:color="FFFFFF"/>
            </w:tcBorders>
            <w:vAlign w:val="bottom"/>
          </w:tcPr>
          <w:p w14:paraId="0DA03395" w14:textId="134472D8"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 xml:space="preserve">           798</w:t>
            </w:r>
          </w:p>
        </w:tc>
        <w:tc>
          <w:tcPr>
            <w:tcW w:w="90" w:type="dxa"/>
            <w:tcBorders>
              <w:top w:val="single" w:sz="6" w:space="0" w:color="FFFFFF"/>
              <w:left w:val="single" w:sz="6" w:space="0" w:color="FFFFFF"/>
              <w:bottom w:val="single" w:sz="6" w:space="0" w:color="FFFFFF"/>
              <w:right w:val="single" w:sz="6" w:space="0" w:color="FFFFFF"/>
            </w:tcBorders>
            <w:vAlign w:val="bottom"/>
          </w:tcPr>
          <w:p w14:paraId="55E783E4" w14:textId="77777777" w:rsidR="00613478" w:rsidRPr="00E80935" w:rsidRDefault="00613478" w:rsidP="00613478">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2DBB947A" w14:textId="247C9456"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264</w:t>
            </w:r>
          </w:p>
        </w:tc>
        <w:tc>
          <w:tcPr>
            <w:tcW w:w="810" w:type="dxa"/>
            <w:tcBorders>
              <w:top w:val="single" w:sz="6" w:space="0" w:color="FFFFFF"/>
              <w:left w:val="single" w:sz="6" w:space="0" w:color="FFFFFF"/>
              <w:bottom w:val="single" w:sz="6" w:space="0" w:color="FFFFFF"/>
              <w:right w:val="single" w:sz="6" w:space="0" w:color="FFFFFF"/>
            </w:tcBorders>
          </w:tcPr>
          <w:p w14:paraId="24F84982" w14:textId="253618C2"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33.1%</w:t>
            </w:r>
          </w:p>
        </w:tc>
        <w:tc>
          <w:tcPr>
            <w:tcW w:w="90" w:type="dxa"/>
            <w:tcBorders>
              <w:top w:val="single" w:sz="6" w:space="0" w:color="FFFFFF"/>
              <w:left w:val="single" w:sz="6" w:space="0" w:color="FFFFFF"/>
              <w:bottom w:val="single" w:sz="6" w:space="0" w:color="FFFFFF"/>
              <w:right w:val="single" w:sz="6" w:space="0" w:color="FFFFFF"/>
            </w:tcBorders>
            <w:vAlign w:val="bottom"/>
          </w:tcPr>
          <w:p w14:paraId="103BCD36" w14:textId="43797131" w:rsidR="00613478" w:rsidRPr="00E80935" w:rsidRDefault="00613478" w:rsidP="00613478">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613C4FA1" w14:textId="0C804588"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798</w:t>
            </w:r>
          </w:p>
        </w:tc>
        <w:tc>
          <w:tcPr>
            <w:tcW w:w="90" w:type="dxa"/>
            <w:tcBorders>
              <w:top w:val="single" w:sz="6" w:space="0" w:color="FFFFFF"/>
              <w:left w:val="single" w:sz="6" w:space="0" w:color="FFFFFF"/>
              <w:bottom w:val="single" w:sz="6" w:space="0" w:color="FFFFFF"/>
              <w:right w:val="single" w:sz="6" w:space="0" w:color="FFFFFF"/>
            </w:tcBorders>
            <w:vAlign w:val="bottom"/>
          </w:tcPr>
          <w:p w14:paraId="61C7CA79" w14:textId="77777777" w:rsidR="00613478" w:rsidRPr="00E80935" w:rsidRDefault="00613478" w:rsidP="00613478">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48AF6EE1" w14:textId="1E55C132"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264</w:t>
            </w:r>
          </w:p>
        </w:tc>
        <w:tc>
          <w:tcPr>
            <w:tcW w:w="810" w:type="dxa"/>
            <w:tcBorders>
              <w:top w:val="single" w:sz="6" w:space="0" w:color="FFFFFF"/>
              <w:left w:val="single" w:sz="6" w:space="0" w:color="FFFFFF"/>
              <w:bottom w:val="single" w:sz="6" w:space="0" w:color="FFFFFF"/>
              <w:right w:val="single" w:sz="6" w:space="0" w:color="FFFFFF"/>
            </w:tcBorders>
          </w:tcPr>
          <w:p w14:paraId="0E9635E8" w14:textId="2801B935" w:rsidR="00613478" w:rsidRPr="00E80935" w:rsidRDefault="00613478" w:rsidP="00613478">
            <w:pPr>
              <w:widowControl/>
              <w:jc w:val="right"/>
              <w:rPr>
                <w:rFonts w:ascii="Arial" w:hAnsi="Arial" w:cs="Arial"/>
                <w:sz w:val="20"/>
                <w:szCs w:val="20"/>
              </w:rPr>
            </w:pPr>
            <w:r w:rsidRPr="00E80935">
              <w:rPr>
                <w:rFonts w:ascii="Arial" w:hAnsi="Arial" w:cs="Arial"/>
                <w:sz w:val="20"/>
                <w:szCs w:val="20"/>
              </w:rPr>
              <w:t>33.1%</w:t>
            </w:r>
          </w:p>
        </w:tc>
      </w:tr>
      <w:tr w:rsidR="00D20C7D" w:rsidRPr="00E80935" w14:paraId="6EF70923" w14:textId="339EC618" w:rsidTr="00D20C7D">
        <w:trPr>
          <w:trHeight w:val="88"/>
        </w:trPr>
        <w:tc>
          <w:tcPr>
            <w:tcW w:w="2880" w:type="dxa"/>
            <w:tcBorders>
              <w:top w:val="single" w:sz="6" w:space="0" w:color="FFFFFF"/>
              <w:left w:val="single" w:sz="6" w:space="0" w:color="FFFFFF"/>
              <w:bottom w:val="single" w:sz="6" w:space="0" w:color="FFFFFF"/>
              <w:right w:val="single" w:sz="6" w:space="0" w:color="FFFFFF"/>
            </w:tcBorders>
            <w:vAlign w:val="bottom"/>
          </w:tcPr>
          <w:p w14:paraId="26B76215" w14:textId="7539410C" w:rsidR="00D20C7D" w:rsidRPr="00E80935" w:rsidRDefault="00D20C7D" w:rsidP="00D20C7D">
            <w:pPr>
              <w:widowControl/>
              <w:rPr>
                <w:rFonts w:ascii="Arial" w:hAnsi="Arial" w:cs="Arial"/>
                <w:sz w:val="20"/>
                <w:szCs w:val="20"/>
              </w:rPr>
            </w:pPr>
            <w:r w:rsidRPr="00E80935">
              <w:rPr>
                <w:rFonts w:ascii="Arial" w:hAnsi="Arial" w:cs="Arial"/>
                <w:sz w:val="20"/>
                <w:szCs w:val="20"/>
              </w:rPr>
              <w:t xml:space="preserve">     Indian country </w:t>
            </w:r>
          </w:p>
        </w:tc>
        <w:tc>
          <w:tcPr>
            <w:tcW w:w="720" w:type="dxa"/>
            <w:tcBorders>
              <w:top w:val="single" w:sz="6" w:space="0" w:color="FFFFFF"/>
              <w:left w:val="single" w:sz="6" w:space="0" w:color="FFFFFF"/>
              <w:bottom w:val="single" w:sz="6" w:space="0" w:color="FFFFFF"/>
              <w:right w:val="single" w:sz="6" w:space="0" w:color="FFFFFF"/>
            </w:tcBorders>
            <w:vAlign w:val="bottom"/>
          </w:tcPr>
          <w:p w14:paraId="643A8323" w14:textId="30815316" w:rsidR="00D20C7D" w:rsidRPr="00E80935" w:rsidRDefault="00D20C7D" w:rsidP="00D20C7D">
            <w:pPr>
              <w:widowControl/>
              <w:rPr>
                <w:rFonts w:ascii="Arial" w:hAnsi="Arial" w:cs="Arial"/>
                <w:sz w:val="20"/>
                <w:szCs w:val="20"/>
              </w:rPr>
            </w:pPr>
            <w:r w:rsidRPr="00E80935">
              <w:rPr>
                <w:rFonts w:ascii="Arial" w:hAnsi="Arial" w:cs="Arial"/>
                <w:sz w:val="20"/>
                <w:szCs w:val="20"/>
              </w:rPr>
              <w:t>SSV-6</w:t>
            </w:r>
          </w:p>
        </w:tc>
        <w:tc>
          <w:tcPr>
            <w:tcW w:w="1080" w:type="dxa"/>
            <w:tcBorders>
              <w:top w:val="single" w:sz="6" w:space="0" w:color="FFFFFF"/>
              <w:left w:val="single" w:sz="6" w:space="0" w:color="FFFFFF"/>
              <w:bottom w:val="single" w:sz="6" w:space="0" w:color="FFFFFF"/>
              <w:right w:val="single" w:sz="6" w:space="0" w:color="FFFFFF"/>
            </w:tcBorders>
            <w:vAlign w:val="bottom"/>
          </w:tcPr>
          <w:p w14:paraId="33C5C8CE" w14:textId="59413AD3"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 xml:space="preserve">             19</w:t>
            </w:r>
          </w:p>
        </w:tc>
        <w:tc>
          <w:tcPr>
            <w:tcW w:w="90" w:type="dxa"/>
            <w:tcBorders>
              <w:top w:val="single" w:sz="6" w:space="0" w:color="FFFFFF"/>
              <w:left w:val="single" w:sz="6" w:space="0" w:color="FFFFFF"/>
              <w:bottom w:val="single" w:sz="6" w:space="0" w:color="FFFFFF"/>
              <w:right w:val="single" w:sz="6" w:space="0" w:color="FFFFFF"/>
            </w:tcBorders>
            <w:vAlign w:val="bottom"/>
          </w:tcPr>
          <w:p w14:paraId="45B560AD" w14:textId="77777777"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vAlign w:val="bottom"/>
          </w:tcPr>
          <w:p w14:paraId="5A4A9E85" w14:textId="4E4E879C"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19</w:t>
            </w:r>
          </w:p>
        </w:tc>
        <w:tc>
          <w:tcPr>
            <w:tcW w:w="810" w:type="dxa"/>
            <w:tcBorders>
              <w:top w:val="single" w:sz="6" w:space="0" w:color="FFFFFF"/>
              <w:left w:val="single" w:sz="6" w:space="0" w:color="FFFFFF"/>
              <w:bottom w:val="single" w:sz="6" w:space="0" w:color="FFFFFF"/>
              <w:right w:val="single" w:sz="6" w:space="0" w:color="FFFFFF"/>
            </w:tcBorders>
          </w:tcPr>
          <w:p w14:paraId="093AC9CA" w14:textId="27608872"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c>
          <w:tcPr>
            <w:tcW w:w="90" w:type="dxa"/>
            <w:tcBorders>
              <w:top w:val="single" w:sz="6" w:space="0" w:color="FFFFFF"/>
              <w:left w:val="single" w:sz="6" w:space="0" w:color="FFFFFF"/>
              <w:bottom w:val="single" w:sz="6" w:space="0" w:color="FFFFFF"/>
              <w:right w:val="single" w:sz="6" w:space="0" w:color="FFFFFF"/>
            </w:tcBorders>
            <w:vAlign w:val="bottom"/>
          </w:tcPr>
          <w:p w14:paraId="7BB02DB4" w14:textId="6428B87F" w:rsidR="00D20C7D" w:rsidRPr="00E80935" w:rsidRDefault="00D20C7D" w:rsidP="00D20C7D">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0D646FB" w14:textId="35B538A0"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19</w:t>
            </w:r>
          </w:p>
        </w:tc>
        <w:tc>
          <w:tcPr>
            <w:tcW w:w="90" w:type="dxa"/>
            <w:tcBorders>
              <w:top w:val="single" w:sz="6" w:space="0" w:color="FFFFFF"/>
              <w:left w:val="single" w:sz="6" w:space="0" w:color="FFFFFF"/>
              <w:bottom w:val="single" w:sz="6" w:space="0" w:color="FFFFFF"/>
              <w:right w:val="single" w:sz="6" w:space="0" w:color="FFFFFF"/>
            </w:tcBorders>
            <w:vAlign w:val="bottom"/>
          </w:tcPr>
          <w:p w14:paraId="276DD6F0" w14:textId="77777777" w:rsidR="00D20C7D" w:rsidRPr="00E80935" w:rsidRDefault="00D20C7D" w:rsidP="00D20C7D">
            <w:pPr>
              <w:widowControl/>
              <w:jc w:val="right"/>
              <w:rPr>
                <w:rFonts w:ascii="Arial" w:hAnsi="Arial" w:cs="Arial"/>
                <w:sz w:val="20"/>
                <w:szCs w:val="20"/>
              </w:rPr>
            </w:pPr>
          </w:p>
        </w:tc>
        <w:tc>
          <w:tcPr>
            <w:tcW w:w="108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3BDB812A" w14:textId="044A1A82"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19</w:t>
            </w:r>
          </w:p>
        </w:tc>
        <w:tc>
          <w:tcPr>
            <w:tcW w:w="810" w:type="dxa"/>
            <w:tcBorders>
              <w:top w:val="single" w:sz="6" w:space="0" w:color="FFFFFF"/>
              <w:left w:val="single" w:sz="6" w:space="0" w:color="FFFFFF"/>
              <w:bottom w:val="single" w:sz="6" w:space="0" w:color="FFFFFF"/>
              <w:right w:val="single" w:sz="6" w:space="0" w:color="FFFFFF"/>
            </w:tcBorders>
          </w:tcPr>
          <w:p w14:paraId="6D226520" w14:textId="09227E26" w:rsidR="00D20C7D" w:rsidRPr="00E80935" w:rsidRDefault="00D20C7D" w:rsidP="00D20C7D">
            <w:pPr>
              <w:widowControl/>
              <w:jc w:val="right"/>
              <w:rPr>
                <w:rFonts w:ascii="Arial" w:hAnsi="Arial" w:cs="Arial"/>
                <w:sz w:val="20"/>
                <w:szCs w:val="20"/>
              </w:rPr>
            </w:pPr>
            <w:r w:rsidRPr="00E80935">
              <w:rPr>
                <w:rFonts w:ascii="Arial" w:hAnsi="Arial" w:cs="Arial"/>
                <w:sz w:val="20"/>
                <w:szCs w:val="20"/>
              </w:rPr>
              <w:t>100%</w:t>
            </w:r>
          </w:p>
        </w:tc>
      </w:tr>
    </w:tbl>
    <w:p w14:paraId="3677797D" w14:textId="77777777" w:rsidR="00947B98" w:rsidRPr="00E80935" w:rsidRDefault="00947B98" w:rsidP="00C44D18">
      <w:pPr>
        <w:ind w:left="720"/>
        <w:rPr>
          <w:rStyle w:val="Strong"/>
          <w:b w:val="0"/>
        </w:rPr>
      </w:pPr>
    </w:p>
    <w:p w14:paraId="35A1E406" w14:textId="4C59222D" w:rsidR="00C5031D" w:rsidRPr="00E80935" w:rsidRDefault="00BB6614" w:rsidP="00AC119A">
      <w:pPr>
        <w:ind w:left="720"/>
        <w:rPr>
          <w:rStyle w:val="Strong"/>
          <w:i/>
        </w:rPr>
      </w:pPr>
      <w:r w:rsidRPr="00E80935">
        <w:rPr>
          <w:rStyle w:val="Strong"/>
          <w:i/>
        </w:rPr>
        <w:t>Sample designs</w:t>
      </w:r>
    </w:p>
    <w:p w14:paraId="3A8EE246" w14:textId="77777777" w:rsidR="00934604" w:rsidRPr="00E80935" w:rsidRDefault="00934604" w:rsidP="00AC119A">
      <w:pPr>
        <w:ind w:left="720"/>
        <w:rPr>
          <w:rStyle w:val="Strong"/>
          <w:b w:val="0"/>
        </w:rPr>
      </w:pPr>
    </w:p>
    <w:p w14:paraId="7A01288C" w14:textId="5055EA7B" w:rsidR="00934604" w:rsidRPr="00E80935" w:rsidRDefault="00934604" w:rsidP="00AC119A">
      <w:pPr>
        <w:ind w:left="720"/>
        <w:rPr>
          <w:rStyle w:val="Strong"/>
          <w:b w:val="0"/>
        </w:rPr>
      </w:pPr>
      <w:r w:rsidRPr="00E80935">
        <w:rPr>
          <w:rStyle w:val="Strong"/>
          <w:b w:val="0"/>
        </w:rPr>
        <w:t xml:space="preserve">A brief description of each sample design and stratum is provided below. These are the </w:t>
      </w:r>
      <w:r w:rsidR="00301B11" w:rsidRPr="00E80935">
        <w:rPr>
          <w:rStyle w:val="Strong"/>
          <w:b w:val="0"/>
        </w:rPr>
        <w:t xml:space="preserve">sample </w:t>
      </w:r>
      <w:r w:rsidRPr="00E80935">
        <w:rPr>
          <w:rStyle w:val="Strong"/>
          <w:b w:val="0"/>
        </w:rPr>
        <w:t xml:space="preserve">designs that </w:t>
      </w:r>
      <w:r w:rsidR="00301B11" w:rsidRPr="00E80935">
        <w:rPr>
          <w:rStyle w:val="Strong"/>
          <w:b w:val="0"/>
        </w:rPr>
        <w:t xml:space="preserve">were used for SSV 2016 and </w:t>
      </w:r>
      <w:r w:rsidRPr="00E80935">
        <w:rPr>
          <w:rStyle w:val="Strong"/>
          <w:b w:val="0"/>
        </w:rPr>
        <w:t>will be used for SSV 2017. However, BJS will review and evaluate the precision of each of these designs. If changes are needed, BJS will submit a request for a substantive change for SSV 2018 and 2019.</w:t>
      </w:r>
    </w:p>
    <w:p w14:paraId="197D8384" w14:textId="77777777" w:rsidR="00934604" w:rsidRPr="00E80935" w:rsidRDefault="00934604" w:rsidP="00AC119A">
      <w:pPr>
        <w:ind w:left="720"/>
        <w:rPr>
          <w:rStyle w:val="Strong"/>
          <w:b w:val="0"/>
        </w:rPr>
      </w:pPr>
    </w:p>
    <w:p w14:paraId="380D6934" w14:textId="31F015E9" w:rsidR="00C5031D" w:rsidRPr="00E80935" w:rsidRDefault="004B0535" w:rsidP="00AC119A">
      <w:pPr>
        <w:ind w:left="720"/>
        <w:rPr>
          <w:rFonts w:ascii="Times New Roman" w:hAnsi="Times New Roman"/>
        </w:rPr>
      </w:pPr>
      <w:r w:rsidRPr="00E80935" w:rsidDel="003E07A5">
        <w:rPr>
          <w:rFonts w:ascii="Times New Roman" w:hAnsi="Times New Roman"/>
          <w:i/>
        </w:rPr>
        <w:t>Federal and state prisons</w:t>
      </w:r>
    </w:p>
    <w:p w14:paraId="00B62AD9" w14:textId="5DB17C2C" w:rsidR="004B0535" w:rsidRPr="00E80935" w:rsidDel="003E07A5" w:rsidRDefault="00C5031D" w:rsidP="00AC119A">
      <w:pPr>
        <w:ind w:left="720"/>
        <w:rPr>
          <w:rStyle w:val="Strong"/>
          <w:b w:val="0"/>
        </w:rPr>
      </w:pPr>
      <w:r w:rsidRPr="00E80935">
        <w:rPr>
          <w:rStyle w:val="Strong"/>
          <w:b w:val="0"/>
        </w:rPr>
        <w:t>T</w:t>
      </w:r>
      <w:r w:rsidR="00AC119A" w:rsidRPr="00E80935" w:rsidDel="003E07A5">
        <w:rPr>
          <w:rStyle w:val="Strong"/>
          <w:b w:val="0"/>
        </w:rPr>
        <w:t xml:space="preserve">he </w:t>
      </w:r>
      <w:r w:rsidR="00FA1614" w:rsidRPr="00E80935" w:rsidDel="003E07A5">
        <w:rPr>
          <w:rStyle w:val="Strong"/>
          <w:b w:val="0"/>
        </w:rPr>
        <w:t xml:space="preserve">Bureau of Prisons and the 50 </w:t>
      </w:r>
      <w:r w:rsidR="000A24C9" w:rsidRPr="00E80935" w:rsidDel="003E07A5">
        <w:rPr>
          <w:rStyle w:val="Strong"/>
          <w:b w:val="0"/>
        </w:rPr>
        <w:t>s</w:t>
      </w:r>
      <w:r w:rsidR="00AC119A" w:rsidRPr="00E80935" w:rsidDel="003E07A5">
        <w:rPr>
          <w:rStyle w:val="Strong"/>
          <w:b w:val="0"/>
        </w:rPr>
        <w:t xml:space="preserve">tate </w:t>
      </w:r>
      <w:r w:rsidR="000A24C9" w:rsidRPr="00E80935" w:rsidDel="003E07A5">
        <w:rPr>
          <w:rStyle w:val="Strong"/>
          <w:b w:val="0"/>
        </w:rPr>
        <w:t>d</w:t>
      </w:r>
      <w:r w:rsidR="00AC119A" w:rsidRPr="00E80935" w:rsidDel="003E07A5">
        <w:rPr>
          <w:rStyle w:val="Strong"/>
          <w:b w:val="0"/>
        </w:rPr>
        <w:t>epartment</w:t>
      </w:r>
      <w:r w:rsidR="000A24C9" w:rsidRPr="00E80935" w:rsidDel="003E07A5">
        <w:rPr>
          <w:rStyle w:val="Strong"/>
          <w:b w:val="0"/>
        </w:rPr>
        <w:t>s</w:t>
      </w:r>
      <w:r w:rsidR="00AC119A" w:rsidRPr="00E80935" w:rsidDel="003E07A5">
        <w:rPr>
          <w:rStyle w:val="Strong"/>
          <w:b w:val="0"/>
        </w:rPr>
        <w:t xml:space="preserve"> of </w:t>
      </w:r>
      <w:r w:rsidR="000A24C9" w:rsidRPr="00E80935" w:rsidDel="003E07A5">
        <w:rPr>
          <w:rStyle w:val="Strong"/>
          <w:b w:val="0"/>
        </w:rPr>
        <w:t>c</w:t>
      </w:r>
      <w:r w:rsidR="00AC119A" w:rsidRPr="00E80935" w:rsidDel="003E07A5">
        <w:rPr>
          <w:rStyle w:val="Strong"/>
          <w:b w:val="0"/>
        </w:rPr>
        <w:t>orrection</w:t>
      </w:r>
      <w:r w:rsidR="000A24C9" w:rsidRPr="00E80935" w:rsidDel="003E07A5">
        <w:rPr>
          <w:rStyle w:val="Strong"/>
          <w:b w:val="0"/>
        </w:rPr>
        <w:t xml:space="preserve"> </w:t>
      </w:r>
      <w:r w:rsidR="00AC119A" w:rsidRPr="00E80935" w:rsidDel="003E07A5">
        <w:rPr>
          <w:rStyle w:val="Strong"/>
          <w:b w:val="0"/>
        </w:rPr>
        <w:t xml:space="preserve">submit </w:t>
      </w:r>
      <w:r w:rsidRPr="00E80935">
        <w:rPr>
          <w:rStyle w:val="Strong"/>
          <w:b w:val="0"/>
        </w:rPr>
        <w:t xml:space="preserve">annual </w:t>
      </w:r>
      <w:r w:rsidR="00AC119A" w:rsidRPr="00E80935" w:rsidDel="003E07A5">
        <w:rPr>
          <w:rStyle w:val="Strong"/>
          <w:b w:val="0"/>
        </w:rPr>
        <w:t xml:space="preserve">information on sexual </w:t>
      </w:r>
      <w:r w:rsidR="00866924" w:rsidRPr="00E80935" w:rsidDel="003E07A5">
        <w:rPr>
          <w:rFonts w:ascii="Times New Roman" w:hAnsi="Times New Roman"/>
        </w:rPr>
        <w:t>victimization</w:t>
      </w:r>
      <w:r w:rsidR="00AC119A" w:rsidRPr="00E80935" w:rsidDel="003E07A5">
        <w:rPr>
          <w:rStyle w:val="Strong"/>
          <w:b w:val="0"/>
        </w:rPr>
        <w:t xml:space="preserve"> </w:t>
      </w:r>
      <w:r w:rsidRPr="00E80935">
        <w:rPr>
          <w:rStyle w:val="Strong"/>
          <w:b w:val="0"/>
        </w:rPr>
        <w:t>for</w:t>
      </w:r>
      <w:r w:rsidR="00AC119A" w:rsidRPr="00E80935" w:rsidDel="003E07A5">
        <w:rPr>
          <w:rStyle w:val="Strong"/>
          <w:b w:val="0"/>
        </w:rPr>
        <w:t xml:space="preserve"> all state</w:t>
      </w:r>
      <w:r w:rsidR="00457695" w:rsidRPr="00E80935" w:rsidDel="003E07A5">
        <w:rPr>
          <w:rStyle w:val="Strong"/>
          <w:b w:val="0"/>
        </w:rPr>
        <w:t xml:space="preserve"> and </w:t>
      </w:r>
      <w:r w:rsidR="00AC119A" w:rsidRPr="00E80935" w:rsidDel="003E07A5">
        <w:rPr>
          <w:rStyle w:val="Strong"/>
          <w:b w:val="0"/>
        </w:rPr>
        <w:t>federal facilities</w:t>
      </w:r>
      <w:r w:rsidR="000A24C9" w:rsidRPr="00E80935" w:rsidDel="003E07A5">
        <w:rPr>
          <w:rStyle w:val="Strong"/>
          <w:b w:val="0"/>
        </w:rPr>
        <w:t xml:space="preserve"> </w:t>
      </w:r>
      <w:r w:rsidRPr="00E80935">
        <w:rPr>
          <w:rStyle w:val="Strong"/>
          <w:b w:val="0"/>
        </w:rPr>
        <w:t>resulting in</w:t>
      </w:r>
      <w:r w:rsidR="00AC119A" w:rsidRPr="00E80935" w:rsidDel="003E07A5">
        <w:rPr>
          <w:rStyle w:val="Strong"/>
          <w:b w:val="0"/>
        </w:rPr>
        <w:t xml:space="preserve"> a complete enumeration </w:t>
      </w:r>
      <w:r w:rsidRPr="00E80935">
        <w:rPr>
          <w:rStyle w:val="Strong"/>
          <w:b w:val="0"/>
        </w:rPr>
        <w:t xml:space="preserve">of all </w:t>
      </w:r>
      <w:r w:rsidR="0066156E" w:rsidRPr="00E80935">
        <w:rPr>
          <w:rStyle w:val="Strong"/>
          <w:b w:val="0"/>
        </w:rPr>
        <w:t xml:space="preserve">allegations reported within </w:t>
      </w:r>
      <w:r w:rsidR="003C2E70" w:rsidRPr="00E80935">
        <w:rPr>
          <w:rStyle w:val="Strong"/>
          <w:b w:val="0"/>
        </w:rPr>
        <w:t xml:space="preserve">publicly operated prisons. </w:t>
      </w:r>
    </w:p>
    <w:p w14:paraId="67968326" w14:textId="77777777" w:rsidR="00FA1614" w:rsidRPr="00E80935" w:rsidRDefault="00FA1614" w:rsidP="00AC119A">
      <w:pPr>
        <w:ind w:left="720"/>
        <w:rPr>
          <w:rStyle w:val="Strong"/>
          <w:b w:val="0"/>
        </w:rPr>
      </w:pPr>
    </w:p>
    <w:p w14:paraId="327DCAD8" w14:textId="0CA6B057" w:rsidR="003E07A5" w:rsidRPr="00E80935" w:rsidRDefault="004B0535" w:rsidP="003B25EA">
      <w:pPr>
        <w:ind w:left="720"/>
        <w:rPr>
          <w:rStyle w:val="Strong"/>
          <w:b w:val="0"/>
        </w:rPr>
      </w:pPr>
      <w:r w:rsidRPr="00E80935">
        <w:rPr>
          <w:rStyle w:val="Strong"/>
          <w:b w:val="0"/>
          <w:i/>
        </w:rPr>
        <w:t>Private prisons</w:t>
      </w:r>
    </w:p>
    <w:p w14:paraId="526B1C47" w14:textId="2D01345E" w:rsidR="00E625A0" w:rsidRPr="00E80935" w:rsidRDefault="00490E1F" w:rsidP="00490E1F">
      <w:pPr>
        <w:ind w:left="720"/>
        <w:rPr>
          <w:rStyle w:val="Strong"/>
          <w:b w:val="0"/>
          <w:color w:val="00B050"/>
        </w:rPr>
      </w:pPr>
      <w:r w:rsidRPr="00E80935">
        <w:rPr>
          <w:rStyle w:val="Strong"/>
          <w:b w:val="0"/>
        </w:rPr>
        <w:t>A</w:t>
      </w:r>
      <w:r w:rsidR="00E625A0" w:rsidRPr="00E80935">
        <w:rPr>
          <w:rStyle w:val="Strong"/>
          <w:b w:val="0"/>
        </w:rPr>
        <w:t xml:space="preserve"> sample of 1</w:t>
      </w:r>
      <w:r w:rsidR="00665655" w:rsidRPr="00E80935">
        <w:rPr>
          <w:rStyle w:val="Strong"/>
          <w:b w:val="0"/>
        </w:rPr>
        <w:t>55</w:t>
      </w:r>
      <w:r w:rsidR="00E625A0" w:rsidRPr="00E80935">
        <w:rPr>
          <w:rStyle w:val="Strong"/>
          <w:b w:val="0"/>
        </w:rPr>
        <w:t xml:space="preserve"> </w:t>
      </w:r>
      <w:r w:rsidR="00D702BA" w:rsidRPr="00E80935">
        <w:rPr>
          <w:rStyle w:val="Strong"/>
          <w:b w:val="0"/>
        </w:rPr>
        <w:t xml:space="preserve">(29%) </w:t>
      </w:r>
      <w:r w:rsidR="00E625A0" w:rsidRPr="00E80935">
        <w:rPr>
          <w:rStyle w:val="Strong"/>
          <w:b w:val="0"/>
        </w:rPr>
        <w:t xml:space="preserve">privately operated state and federal prison facilities </w:t>
      </w:r>
      <w:r w:rsidR="00934604" w:rsidRPr="00E80935">
        <w:rPr>
          <w:rStyle w:val="Strong"/>
          <w:b w:val="0"/>
        </w:rPr>
        <w:t>is</w:t>
      </w:r>
      <w:r w:rsidRPr="00E80935">
        <w:rPr>
          <w:rStyle w:val="Strong"/>
          <w:b w:val="0"/>
        </w:rPr>
        <w:t xml:space="preserve"> </w:t>
      </w:r>
      <w:r w:rsidR="0060568E" w:rsidRPr="00E80935">
        <w:rPr>
          <w:rStyle w:val="Strong"/>
          <w:b w:val="0"/>
        </w:rPr>
        <w:t>drawn</w:t>
      </w:r>
      <w:r w:rsidR="00D27A4F" w:rsidRPr="00E80935">
        <w:rPr>
          <w:rStyle w:val="Strong"/>
          <w:b w:val="0"/>
        </w:rPr>
        <w:t xml:space="preserve"> </w:t>
      </w:r>
      <w:r w:rsidR="00FB2B86" w:rsidRPr="00E80935">
        <w:rPr>
          <w:rStyle w:val="Strong"/>
          <w:b w:val="0"/>
        </w:rPr>
        <w:t>from</w:t>
      </w:r>
      <w:r w:rsidR="00E625A0" w:rsidRPr="00E80935">
        <w:rPr>
          <w:rStyle w:val="Strong"/>
          <w:b w:val="0"/>
        </w:rPr>
        <w:t xml:space="preserve"> the private prisons </w:t>
      </w:r>
      <w:r w:rsidR="0060568E" w:rsidRPr="00E80935">
        <w:rPr>
          <w:rStyle w:val="Strong"/>
          <w:b w:val="0"/>
        </w:rPr>
        <w:t xml:space="preserve">identified </w:t>
      </w:r>
      <w:r w:rsidR="00682B00" w:rsidRPr="00E80935">
        <w:rPr>
          <w:rStyle w:val="Strong"/>
          <w:b w:val="0"/>
        </w:rPr>
        <w:t xml:space="preserve">in the </w:t>
      </w:r>
      <w:r w:rsidR="00301B11" w:rsidRPr="00E80935">
        <w:rPr>
          <w:rStyle w:val="Strong"/>
          <w:b w:val="0"/>
        </w:rPr>
        <w:t xml:space="preserve">most recent </w:t>
      </w:r>
      <w:r w:rsidR="00D702BA" w:rsidRPr="00E80935">
        <w:rPr>
          <w:rStyle w:val="Strong"/>
          <w:b w:val="0"/>
        </w:rPr>
        <w:t>version</w:t>
      </w:r>
      <w:r w:rsidR="00301B11" w:rsidRPr="00E80935">
        <w:rPr>
          <w:rStyle w:val="Strong"/>
          <w:b w:val="0"/>
        </w:rPr>
        <w:t xml:space="preserve"> of the</w:t>
      </w:r>
      <w:r w:rsidR="00682B00" w:rsidRPr="00E80935">
        <w:rPr>
          <w:rStyle w:val="Strong"/>
          <w:b w:val="0"/>
        </w:rPr>
        <w:t xml:space="preserve"> Census</w:t>
      </w:r>
      <w:r w:rsidR="008C124F" w:rsidRPr="00E80935">
        <w:rPr>
          <w:rStyle w:val="Strong"/>
          <w:b w:val="0"/>
        </w:rPr>
        <w:t xml:space="preserve"> of State and Federal Adult Correctional Facilities</w:t>
      </w:r>
      <w:r w:rsidR="00FD327F" w:rsidRPr="00E80935">
        <w:rPr>
          <w:rStyle w:val="Strong"/>
          <w:b w:val="0"/>
        </w:rPr>
        <w:t xml:space="preserve"> f</w:t>
      </w:r>
      <w:r w:rsidRPr="00E80935">
        <w:rPr>
          <w:rStyle w:val="Strong"/>
          <w:b w:val="0"/>
        </w:rPr>
        <w:t>rame</w:t>
      </w:r>
      <w:r w:rsidR="00840ADC" w:rsidRPr="00E80935">
        <w:rPr>
          <w:rStyle w:val="Strong"/>
          <w:b w:val="0"/>
        </w:rPr>
        <w:t>.</w:t>
      </w:r>
      <w:r w:rsidR="00301B11" w:rsidRPr="00E80935">
        <w:rPr>
          <w:rStyle w:val="Strong"/>
          <w:b w:val="0"/>
        </w:rPr>
        <w:t xml:space="preserve"> (The updated 2012 CSFACF frame contains 530 private prisons).</w:t>
      </w:r>
      <w:r w:rsidR="00934604" w:rsidRPr="00E80935">
        <w:rPr>
          <w:rStyle w:val="Strong"/>
          <w:b w:val="0"/>
        </w:rPr>
        <w:t xml:space="preserve"> </w:t>
      </w:r>
      <w:r w:rsidR="00301B11" w:rsidRPr="00E80935">
        <w:rPr>
          <w:rStyle w:val="Strong"/>
          <w:b w:val="0"/>
        </w:rPr>
        <w:t>The</w:t>
      </w:r>
      <w:r w:rsidR="00D27A4F" w:rsidRPr="00E80935">
        <w:rPr>
          <w:rStyle w:val="Strong"/>
          <w:b w:val="0"/>
        </w:rPr>
        <w:t xml:space="preserve"> f</w:t>
      </w:r>
      <w:r w:rsidR="00E625A0" w:rsidRPr="00E80935">
        <w:rPr>
          <w:rStyle w:val="Strong"/>
          <w:b w:val="0"/>
        </w:rPr>
        <w:t xml:space="preserve">acilities </w:t>
      </w:r>
      <w:r w:rsidR="00521DC9" w:rsidRPr="00E80935">
        <w:rPr>
          <w:rStyle w:val="Strong"/>
          <w:b w:val="0"/>
        </w:rPr>
        <w:t>are first</w:t>
      </w:r>
      <w:r w:rsidR="00E625A0" w:rsidRPr="00E80935">
        <w:rPr>
          <w:rStyle w:val="Strong"/>
          <w:b w:val="0"/>
        </w:rPr>
        <w:t xml:space="preserve"> </w:t>
      </w:r>
      <w:r w:rsidR="00C4525A" w:rsidRPr="00E80935">
        <w:rPr>
          <w:rStyle w:val="Strong"/>
          <w:b w:val="0"/>
        </w:rPr>
        <w:t>sorted</w:t>
      </w:r>
      <w:r w:rsidR="00E625A0" w:rsidRPr="00E80935">
        <w:rPr>
          <w:rStyle w:val="Strong"/>
          <w:b w:val="0"/>
        </w:rPr>
        <w:t xml:space="preserve"> by average daily population (ADP). </w:t>
      </w:r>
      <w:r w:rsidR="005A7152" w:rsidRPr="00E80935">
        <w:rPr>
          <w:rStyle w:val="Strong"/>
          <w:b w:val="0"/>
        </w:rPr>
        <w:t xml:space="preserve">To determine the size cut-off for certainty facilities, the </w:t>
      </w:r>
      <w:r w:rsidR="00A90E7F" w:rsidRPr="00E80935">
        <w:rPr>
          <w:rStyle w:val="Strong"/>
          <w:b w:val="0"/>
        </w:rPr>
        <w:t>total</w:t>
      </w:r>
      <w:r w:rsidR="005A7152" w:rsidRPr="00E80935">
        <w:rPr>
          <w:rStyle w:val="Strong"/>
          <w:b w:val="0"/>
        </w:rPr>
        <w:t xml:space="preserve"> ADP </w:t>
      </w:r>
      <w:r w:rsidR="00A90E7F" w:rsidRPr="00E80935">
        <w:rPr>
          <w:rStyle w:val="Strong"/>
          <w:b w:val="0"/>
        </w:rPr>
        <w:t xml:space="preserve">for all eligible facilities </w:t>
      </w:r>
      <w:r w:rsidR="005A7152" w:rsidRPr="00E80935">
        <w:rPr>
          <w:rStyle w:val="Strong"/>
          <w:b w:val="0"/>
        </w:rPr>
        <w:t xml:space="preserve">is divided by the </w:t>
      </w:r>
      <w:r w:rsidR="00A90E7F" w:rsidRPr="00E80935">
        <w:rPr>
          <w:rStyle w:val="Strong"/>
          <w:b w:val="0"/>
        </w:rPr>
        <w:t>number of facilities in the sample</w:t>
      </w:r>
      <w:r w:rsidR="005A7152" w:rsidRPr="00E80935">
        <w:rPr>
          <w:rStyle w:val="Strong"/>
          <w:b w:val="0"/>
        </w:rPr>
        <w:t>. Facilities with an ADP greater than or equal to th</w:t>
      </w:r>
      <w:r w:rsidR="003C2E70" w:rsidRPr="00E80935">
        <w:rPr>
          <w:rStyle w:val="Strong"/>
          <w:b w:val="0"/>
        </w:rPr>
        <w:t>is</w:t>
      </w:r>
      <w:r w:rsidR="005A7152" w:rsidRPr="00E80935">
        <w:rPr>
          <w:rStyle w:val="Strong"/>
          <w:b w:val="0"/>
        </w:rPr>
        <w:t xml:space="preserve"> cut-off are sampled with certainty. The remaining </w:t>
      </w:r>
      <w:r w:rsidR="00A90E7F" w:rsidRPr="00E80935">
        <w:rPr>
          <w:rStyle w:val="Strong"/>
          <w:b w:val="0"/>
        </w:rPr>
        <w:t>total</w:t>
      </w:r>
      <w:r w:rsidR="005A7152" w:rsidRPr="00E80935">
        <w:rPr>
          <w:rStyle w:val="Strong"/>
          <w:b w:val="0"/>
        </w:rPr>
        <w:t xml:space="preserve"> ADP </w:t>
      </w:r>
      <w:r w:rsidR="00521DC9" w:rsidRPr="00E80935">
        <w:rPr>
          <w:rStyle w:val="Strong"/>
          <w:b w:val="0"/>
        </w:rPr>
        <w:t>is</w:t>
      </w:r>
      <w:r w:rsidR="005A7152" w:rsidRPr="00E80935">
        <w:rPr>
          <w:rStyle w:val="Strong"/>
          <w:b w:val="0"/>
        </w:rPr>
        <w:t xml:space="preserve"> then divided by the </w:t>
      </w:r>
      <w:r w:rsidR="00A90E7F" w:rsidRPr="00E80935">
        <w:rPr>
          <w:rStyle w:val="Strong"/>
          <w:b w:val="0"/>
        </w:rPr>
        <w:t xml:space="preserve">remaining </w:t>
      </w:r>
      <w:r w:rsidR="005A7152" w:rsidRPr="00E80935">
        <w:rPr>
          <w:rStyle w:val="Strong"/>
          <w:b w:val="0"/>
        </w:rPr>
        <w:t xml:space="preserve">number of facilities in the sample to determine whether </w:t>
      </w:r>
      <w:r w:rsidR="00D46D52" w:rsidRPr="00E80935">
        <w:rPr>
          <w:rStyle w:val="Strong"/>
          <w:b w:val="0"/>
        </w:rPr>
        <w:t>any</w:t>
      </w:r>
      <w:r w:rsidR="005A7152" w:rsidRPr="00E80935">
        <w:rPr>
          <w:rStyle w:val="Strong"/>
          <w:b w:val="0"/>
        </w:rPr>
        <w:t xml:space="preserve"> facilities </w:t>
      </w:r>
      <w:r w:rsidR="00D46D52" w:rsidRPr="00E80935">
        <w:rPr>
          <w:rStyle w:val="Strong"/>
          <w:b w:val="0"/>
        </w:rPr>
        <w:t>meet the subsequent certainty cut-off size</w:t>
      </w:r>
      <w:r w:rsidR="005A7152" w:rsidRPr="00E80935">
        <w:rPr>
          <w:rStyle w:val="Strong"/>
          <w:b w:val="0"/>
        </w:rPr>
        <w:t>. This process is repeated until no</w:t>
      </w:r>
      <w:r w:rsidR="00A90E7F" w:rsidRPr="00E80935">
        <w:rPr>
          <w:rStyle w:val="Strong"/>
          <w:b w:val="0"/>
        </w:rPr>
        <w:t xml:space="preserve"> remaining</w:t>
      </w:r>
      <w:r w:rsidR="005A7152" w:rsidRPr="00E80935">
        <w:rPr>
          <w:rStyle w:val="Strong"/>
          <w:b w:val="0"/>
        </w:rPr>
        <w:t xml:space="preserve"> facilities have an ADP greater than</w:t>
      </w:r>
      <w:r w:rsidR="00A90E7F" w:rsidRPr="00E80935">
        <w:rPr>
          <w:rStyle w:val="Strong"/>
          <w:b w:val="0"/>
        </w:rPr>
        <w:t xml:space="preserve"> or equal to</w:t>
      </w:r>
      <w:r w:rsidR="005A7152" w:rsidRPr="00E80935">
        <w:rPr>
          <w:rStyle w:val="Strong"/>
          <w:b w:val="0"/>
        </w:rPr>
        <w:t xml:space="preserve"> the cut-off. The facilities remaining in the </w:t>
      </w:r>
      <w:r w:rsidRPr="00E80935">
        <w:rPr>
          <w:rStyle w:val="Strong"/>
          <w:b w:val="0"/>
        </w:rPr>
        <w:t>frame</w:t>
      </w:r>
      <w:r w:rsidR="005A7152" w:rsidRPr="00E80935">
        <w:rPr>
          <w:rStyle w:val="Strong"/>
          <w:b w:val="0"/>
        </w:rPr>
        <w:t xml:space="preserve"> at this point </w:t>
      </w:r>
      <w:r w:rsidR="00521DC9" w:rsidRPr="00E80935">
        <w:rPr>
          <w:rStyle w:val="Strong"/>
          <w:b w:val="0"/>
        </w:rPr>
        <w:t>are</w:t>
      </w:r>
      <w:r w:rsidR="00E625A0" w:rsidRPr="00E80935">
        <w:rPr>
          <w:rStyle w:val="Strong"/>
          <w:b w:val="0"/>
        </w:rPr>
        <w:t xml:space="preserve"> sorted by region (i.e., Northeast, Midwest, South, or West), state, and ADP, and sampled systematically with probability proportional to</w:t>
      </w:r>
      <w:r w:rsidR="003B25EA" w:rsidRPr="00E80935">
        <w:rPr>
          <w:rStyle w:val="Strong"/>
          <w:b w:val="0"/>
        </w:rPr>
        <w:t xml:space="preserve"> </w:t>
      </w:r>
      <w:r w:rsidR="00E625A0" w:rsidRPr="00E80935">
        <w:rPr>
          <w:rStyle w:val="Strong"/>
          <w:b w:val="0"/>
        </w:rPr>
        <w:t>size.</w:t>
      </w:r>
      <w:r w:rsidR="00796893" w:rsidRPr="00E80935">
        <w:rPr>
          <w:rStyle w:val="Strong"/>
          <w:b w:val="0"/>
        </w:rPr>
        <w:t xml:space="preserve"> </w:t>
      </w:r>
      <w:r w:rsidR="00796893" w:rsidRPr="00E80935">
        <w:rPr>
          <w:rStyle w:val="Strong"/>
          <w:b w:val="0"/>
          <w:color w:val="000000"/>
        </w:rPr>
        <w:t xml:space="preserve">(See Attachment 6 for details </w:t>
      </w:r>
      <w:r w:rsidR="00934604" w:rsidRPr="00E80935">
        <w:rPr>
          <w:rStyle w:val="Strong"/>
          <w:b w:val="0"/>
          <w:color w:val="000000"/>
        </w:rPr>
        <w:t>on</w:t>
      </w:r>
      <w:r w:rsidR="00796893" w:rsidRPr="00E80935">
        <w:rPr>
          <w:rStyle w:val="Strong"/>
          <w:b w:val="0"/>
          <w:color w:val="000000"/>
        </w:rPr>
        <w:t xml:space="preserve"> the SSV 2016 </w:t>
      </w:r>
      <w:r w:rsidR="00521DC9" w:rsidRPr="00E80935">
        <w:rPr>
          <w:rStyle w:val="Strong"/>
          <w:b w:val="0"/>
          <w:color w:val="000000"/>
        </w:rPr>
        <w:t xml:space="preserve">private prison </w:t>
      </w:r>
      <w:r w:rsidR="00796893" w:rsidRPr="00E80935">
        <w:rPr>
          <w:rStyle w:val="Strong"/>
          <w:b w:val="0"/>
          <w:color w:val="000000"/>
        </w:rPr>
        <w:t>sample</w:t>
      </w:r>
      <w:r w:rsidR="00934604" w:rsidRPr="00E80935">
        <w:rPr>
          <w:rStyle w:val="Strong"/>
          <w:b w:val="0"/>
          <w:color w:val="000000"/>
        </w:rPr>
        <w:t xml:space="preserve"> design</w:t>
      </w:r>
      <w:r w:rsidR="00796893" w:rsidRPr="00E80935">
        <w:rPr>
          <w:rStyle w:val="Strong"/>
          <w:b w:val="0"/>
          <w:color w:val="000000"/>
        </w:rPr>
        <w:t>.)</w:t>
      </w:r>
    </w:p>
    <w:p w14:paraId="7228BC49" w14:textId="77777777" w:rsidR="00E625A0" w:rsidRPr="00E80935" w:rsidRDefault="00E625A0" w:rsidP="00AC119A">
      <w:pPr>
        <w:ind w:left="720"/>
        <w:rPr>
          <w:rStyle w:val="Strong"/>
          <w:b w:val="0"/>
        </w:rPr>
      </w:pPr>
    </w:p>
    <w:p w14:paraId="1FCC3D53" w14:textId="77777777" w:rsidR="004B0535" w:rsidRPr="00E80935" w:rsidRDefault="004B0535" w:rsidP="00AC119A">
      <w:pPr>
        <w:ind w:left="720"/>
        <w:rPr>
          <w:rStyle w:val="Strong"/>
          <w:b w:val="0"/>
          <w:i/>
        </w:rPr>
      </w:pPr>
      <w:r w:rsidRPr="00E80935">
        <w:rPr>
          <w:rStyle w:val="Strong"/>
          <w:b w:val="0"/>
          <w:i/>
        </w:rPr>
        <w:t>Public jails</w:t>
      </w:r>
    </w:p>
    <w:p w14:paraId="45BEDEE0" w14:textId="20C91E0F" w:rsidR="001F256B" w:rsidRPr="00E80935" w:rsidRDefault="00301B11" w:rsidP="006B489B">
      <w:pPr>
        <w:ind w:left="720"/>
        <w:rPr>
          <w:rStyle w:val="Strong"/>
          <w:b w:val="0"/>
        </w:rPr>
      </w:pPr>
      <w:r w:rsidRPr="00E80935">
        <w:rPr>
          <w:rStyle w:val="Strong"/>
          <w:b w:val="0"/>
        </w:rPr>
        <w:t>A</w:t>
      </w:r>
      <w:r w:rsidR="006B489B" w:rsidRPr="00E80935">
        <w:rPr>
          <w:rStyle w:val="Strong"/>
          <w:b w:val="0"/>
        </w:rPr>
        <w:t xml:space="preserve"> sample of </w:t>
      </w:r>
      <w:r w:rsidR="000F56DC" w:rsidRPr="00E80935">
        <w:rPr>
          <w:rStyle w:val="Strong"/>
          <w:b w:val="0"/>
        </w:rPr>
        <w:t>7</w:t>
      </w:r>
      <w:r w:rsidR="006B489B" w:rsidRPr="00E80935">
        <w:rPr>
          <w:rStyle w:val="Strong"/>
          <w:b w:val="0"/>
        </w:rPr>
        <w:t xml:space="preserve">00 </w:t>
      </w:r>
      <w:r w:rsidR="00D702BA" w:rsidRPr="00E80935">
        <w:rPr>
          <w:rStyle w:val="Strong"/>
          <w:b w:val="0"/>
        </w:rPr>
        <w:t xml:space="preserve">(24%) </w:t>
      </w:r>
      <w:r w:rsidR="006B489B" w:rsidRPr="00E80935">
        <w:rPr>
          <w:rStyle w:val="Strong"/>
          <w:b w:val="0"/>
        </w:rPr>
        <w:t>publicly</w:t>
      </w:r>
      <w:r w:rsidR="001E6CC1" w:rsidRPr="00E80935">
        <w:rPr>
          <w:rStyle w:val="Strong"/>
          <w:b w:val="0"/>
        </w:rPr>
        <w:t xml:space="preserve"> </w:t>
      </w:r>
      <w:r w:rsidR="006B489B" w:rsidRPr="00E80935">
        <w:rPr>
          <w:rStyle w:val="Strong"/>
          <w:b w:val="0"/>
        </w:rPr>
        <w:t xml:space="preserve">operated jail </w:t>
      </w:r>
      <w:r w:rsidR="00960A18" w:rsidRPr="00E80935">
        <w:rPr>
          <w:rStyle w:val="Strong"/>
          <w:b w:val="0"/>
        </w:rPr>
        <w:t>jurisdictions</w:t>
      </w:r>
      <w:r w:rsidR="006B489B" w:rsidRPr="00E80935">
        <w:rPr>
          <w:rStyle w:val="Strong"/>
          <w:b w:val="0"/>
        </w:rPr>
        <w:t xml:space="preserve"> </w:t>
      </w:r>
      <w:r w:rsidRPr="00E80935">
        <w:rPr>
          <w:rStyle w:val="Strong"/>
          <w:b w:val="0"/>
        </w:rPr>
        <w:t>is</w:t>
      </w:r>
      <w:r w:rsidR="006B489B" w:rsidRPr="00E80935">
        <w:rPr>
          <w:rStyle w:val="Strong"/>
          <w:b w:val="0"/>
        </w:rPr>
        <w:t xml:space="preserve"> selected</w:t>
      </w:r>
      <w:r w:rsidRPr="00E80935">
        <w:rPr>
          <w:rStyle w:val="Strong"/>
          <w:b w:val="0"/>
        </w:rPr>
        <w:t xml:space="preserve"> from the most recent </w:t>
      </w:r>
      <w:r w:rsidR="000B3997" w:rsidRPr="00E80935">
        <w:rPr>
          <w:rStyle w:val="Strong"/>
          <w:b w:val="0"/>
        </w:rPr>
        <w:t>Mortality in Correctional Institutions (MCI, formerly the Deaths in Custody Reporting Program) file</w:t>
      </w:r>
      <w:r w:rsidR="006B489B" w:rsidRPr="00E80935">
        <w:rPr>
          <w:rStyle w:val="Strong"/>
          <w:b w:val="0"/>
        </w:rPr>
        <w:t xml:space="preserve">. </w:t>
      </w:r>
    </w:p>
    <w:p w14:paraId="46791BB4" w14:textId="77777777" w:rsidR="00682B00" w:rsidRPr="00E80935" w:rsidRDefault="00682B00" w:rsidP="006B489B">
      <w:pPr>
        <w:ind w:left="720"/>
        <w:rPr>
          <w:rStyle w:val="Strong"/>
          <w:b w:val="0"/>
        </w:rPr>
      </w:pPr>
    </w:p>
    <w:p w14:paraId="2F28AA8C" w14:textId="6D5A984F" w:rsidR="006B489B" w:rsidRPr="00E80935" w:rsidRDefault="00D75270" w:rsidP="006B489B">
      <w:pPr>
        <w:ind w:left="720"/>
        <w:rPr>
          <w:rStyle w:val="Strong"/>
          <w:b w:val="0"/>
        </w:rPr>
      </w:pPr>
      <w:r w:rsidRPr="00E80935">
        <w:rPr>
          <w:rStyle w:val="Strong"/>
          <w:b w:val="0"/>
        </w:rPr>
        <w:t>T</w:t>
      </w:r>
      <w:r w:rsidR="006B489B" w:rsidRPr="00E80935">
        <w:rPr>
          <w:rStyle w:val="Strong"/>
          <w:b w:val="0"/>
        </w:rPr>
        <w:t xml:space="preserve">he largest jail jurisdictions in </w:t>
      </w:r>
      <w:r w:rsidR="00FE1233" w:rsidRPr="00E80935">
        <w:rPr>
          <w:rStyle w:val="Strong"/>
          <w:b w:val="0"/>
        </w:rPr>
        <w:t>45</w:t>
      </w:r>
      <w:r w:rsidR="006B489B" w:rsidRPr="00E80935">
        <w:rPr>
          <w:rStyle w:val="Strong"/>
          <w:b w:val="0"/>
        </w:rPr>
        <w:t xml:space="preserve"> states </w:t>
      </w:r>
      <w:r w:rsidR="00FE1233" w:rsidRPr="00E80935">
        <w:rPr>
          <w:rStyle w:val="Strong"/>
          <w:b w:val="0"/>
        </w:rPr>
        <w:t>and</w:t>
      </w:r>
      <w:r w:rsidR="006B489B" w:rsidRPr="00E80935">
        <w:rPr>
          <w:rStyle w:val="Strong"/>
          <w:b w:val="0"/>
        </w:rPr>
        <w:t xml:space="preserve"> the District of Columbia </w:t>
      </w:r>
      <w:r w:rsidR="000B3997" w:rsidRPr="00E80935">
        <w:rPr>
          <w:rStyle w:val="Strong"/>
          <w:b w:val="0"/>
        </w:rPr>
        <w:t>are</w:t>
      </w:r>
      <w:r w:rsidR="006B489B" w:rsidRPr="00E80935">
        <w:rPr>
          <w:rStyle w:val="Strong"/>
          <w:b w:val="0"/>
        </w:rPr>
        <w:t xml:space="preserve"> selected to m</w:t>
      </w:r>
      <w:r w:rsidR="00BA211A" w:rsidRPr="00E80935">
        <w:rPr>
          <w:rStyle w:val="Strong"/>
          <w:b w:val="0"/>
        </w:rPr>
        <w:t>eet the PREA requirement that at least one jail per state is selected each year.</w:t>
      </w:r>
      <w:r w:rsidR="00FE1233" w:rsidRPr="00E80935">
        <w:rPr>
          <w:rStyle w:val="FootnoteReference"/>
          <w:bCs/>
          <w:vertAlign w:val="superscript"/>
        </w:rPr>
        <w:footnoteReference w:id="2"/>
      </w:r>
      <w:r w:rsidR="00B54A7D" w:rsidRPr="00E80935">
        <w:rPr>
          <w:rStyle w:val="Strong"/>
          <w:b w:val="0"/>
        </w:rPr>
        <w:t xml:space="preserve"> </w:t>
      </w:r>
      <w:r w:rsidR="007B0216" w:rsidRPr="00E80935">
        <w:rPr>
          <w:rStyle w:val="Strong"/>
          <w:b w:val="0"/>
        </w:rPr>
        <w:t>All</w:t>
      </w:r>
      <w:r w:rsidR="006B489B" w:rsidRPr="00E80935">
        <w:rPr>
          <w:rStyle w:val="Strong"/>
          <w:b w:val="0"/>
        </w:rPr>
        <w:t xml:space="preserve"> jail jurisdictions with ADPs greater than or equal to 1,000 inmates </w:t>
      </w:r>
      <w:r w:rsidR="000B3997" w:rsidRPr="00E80935">
        <w:rPr>
          <w:rStyle w:val="Strong"/>
          <w:b w:val="0"/>
        </w:rPr>
        <w:t>are</w:t>
      </w:r>
      <w:r w:rsidR="001F256B" w:rsidRPr="00E80935">
        <w:rPr>
          <w:rStyle w:val="Strong"/>
          <w:b w:val="0"/>
        </w:rPr>
        <w:t xml:space="preserve"> </w:t>
      </w:r>
      <w:r w:rsidR="006B489B" w:rsidRPr="00E80935">
        <w:rPr>
          <w:rStyle w:val="Strong"/>
          <w:b w:val="0"/>
        </w:rPr>
        <w:t>selected with certainty</w:t>
      </w:r>
      <w:r w:rsidR="00E374BA" w:rsidRPr="00E80935">
        <w:rPr>
          <w:rStyle w:val="Strong"/>
          <w:b w:val="0"/>
        </w:rPr>
        <w:t>.</w:t>
      </w:r>
      <w:r w:rsidR="00C6212F" w:rsidRPr="00E80935">
        <w:rPr>
          <w:rStyle w:val="Strong"/>
          <w:b w:val="0"/>
        </w:rPr>
        <w:t xml:space="preserve"> </w:t>
      </w:r>
      <w:r w:rsidR="00E374BA" w:rsidRPr="00E80935">
        <w:rPr>
          <w:rStyle w:val="Strong"/>
          <w:b w:val="0"/>
        </w:rPr>
        <w:t xml:space="preserve">The remaining </w:t>
      </w:r>
      <w:r w:rsidR="00972BC7" w:rsidRPr="00E80935">
        <w:rPr>
          <w:rStyle w:val="Strong"/>
          <w:b w:val="0"/>
        </w:rPr>
        <w:t xml:space="preserve">sample of </w:t>
      </w:r>
      <w:r w:rsidRPr="00E80935">
        <w:rPr>
          <w:rStyle w:val="Strong"/>
          <w:b w:val="0"/>
        </w:rPr>
        <w:t xml:space="preserve">jail jurisdictions </w:t>
      </w:r>
      <w:r w:rsidR="000B3997" w:rsidRPr="00E80935">
        <w:rPr>
          <w:rStyle w:val="Strong"/>
          <w:b w:val="0"/>
        </w:rPr>
        <w:t>are</w:t>
      </w:r>
      <w:r w:rsidR="00C6212F" w:rsidRPr="00E80935">
        <w:rPr>
          <w:rStyle w:val="Strong"/>
          <w:b w:val="0"/>
        </w:rPr>
        <w:t xml:space="preserve"> selected using a stratified systematic random sample</w:t>
      </w:r>
      <w:r w:rsidR="00E374BA" w:rsidRPr="00E80935">
        <w:rPr>
          <w:rStyle w:val="Strong"/>
          <w:b w:val="0"/>
        </w:rPr>
        <w:t xml:space="preserve"> as follows</w:t>
      </w:r>
      <w:r w:rsidR="00C6212F" w:rsidRPr="00E80935">
        <w:rPr>
          <w:rStyle w:val="Strong"/>
          <w:b w:val="0"/>
        </w:rPr>
        <w:t xml:space="preserve">. The remaining </w:t>
      </w:r>
      <w:r w:rsidR="006B489B" w:rsidRPr="00E80935">
        <w:rPr>
          <w:rStyle w:val="Strong"/>
          <w:b w:val="0"/>
        </w:rPr>
        <w:t xml:space="preserve">jail jurisdictions on the frame </w:t>
      </w:r>
      <w:r w:rsidR="000B3997" w:rsidRPr="00E80935">
        <w:rPr>
          <w:rStyle w:val="Strong"/>
          <w:b w:val="0"/>
        </w:rPr>
        <w:t>are</w:t>
      </w:r>
      <w:r w:rsidR="006B489B" w:rsidRPr="00E80935">
        <w:rPr>
          <w:rStyle w:val="Strong"/>
          <w:b w:val="0"/>
        </w:rPr>
        <w:t xml:space="preserve"> grouped into three strata. The cumulative sqrt(f(y)) method </w:t>
      </w:r>
      <w:r w:rsidR="000B3997" w:rsidRPr="00E80935">
        <w:rPr>
          <w:rStyle w:val="Strong"/>
          <w:b w:val="0"/>
        </w:rPr>
        <w:t>is</w:t>
      </w:r>
      <w:r w:rsidR="006B489B" w:rsidRPr="00E80935">
        <w:rPr>
          <w:rStyle w:val="Strong"/>
          <w:b w:val="0"/>
        </w:rPr>
        <w:t xml:space="preserve"> used to determine  </w:t>
      </w:r>
      <w:r w:rsidR="00566109" w:rsidRPr="00E80935">
        <w:rPr>
          <w:rStyle w:val="Strong"/>
          <w:b w:val="0"/>
        </w:rPr>
        <w:t xml:space="preserve">the </w:t>
      </w:r>
      <w:r w:rsidR="006B489B" w:rsidRPr="00E80935">
        <w:rPr>
          <w:rStyle w:val="Strong"/>
          <w:b w:val="0"/>
        </w:rPr>
        <w:t>boundaries</w:t>
      </w:r>
      <w:r w:rsidR="00566109" w:rsidRPr="00E80935">
        <w:rPr>
          <w:rStyle w:val="Strong"/>
          <w:b w:val="0"/>
        </w:rPr>
        <w:t xml:space="preserve"> of these three strata based on ADP as the measure of size</w:t>
      </w:r>
      <w:r w:rsidR="006B489B" w:rsidRPr="00E80935">
        <w:rPr>
          <w:rStyle w:val="Strong"/>
          <w:b w:val="0"/>
        </w:rPr>
        <w:t xml:space="preserve"> (Cochran, </w:t>
      </w:r>
      <w:r w:rsidR="006B489B" w:rsidRPr="00E80935">
        <w:rPr>
          <w:rStyle w:val="Strong"/>
          <w:b w:val="0"/>
          <w:i/>
        </w:rPr>
        <w:t>Sampling Techniques</w:t>
      </w:r>
      <w:r w:rsidR="006B489B" w:rsidRPr="00E80935">
        <w:rPr>
          <w:rStyle w:val="Strong"/>
          <w:b w:val="0"/>
        </w:rPr>
        <w:t>, 1997 edition, p. 129).</w:t>
      </w:r>
      <w:r w:rsidR="00B54A7D" w:rsidRPr="00E80935">
        <w:rPr>
          <w:rStyle w:val="Strong"/>
          <w:b w:val="0"/>
        </w:rPr>
        <w:t xml:space="preserve"> </w:t>
      </w:r>
      <w:r w:rsidR="00D702BA" w:rsidRPr="00E80935">
        <w:rPr>
          <w:rStyle w:val="Strong"/>
          <w:b w:val="0"/>
        </w:rPr>
        <w:t>The j</w:t>
      </w:r>
      <w:r w:rsidR="006B489B" w:rsidRPr="00E80935">
        <w:rPr>
          <w:rStyle w:val="Strong"/>
          <w:b w:val="0"/>
        </w:rPr>
        <w:t xml:space="preserve">ail jurisdictions in </w:t>
      </w:r>
      <w:r w:rsidR="00D702BA" w:rsidRPr="00E80935">
        <w:rPr>
          <w:rStyle w:val="Strong"/>
          <w:b w:val="0"/>
        </w:rPr>
        <w:t xml:space="preserve">each of </w:t>
      </w:r>
      <w:r w:rsidR="006B489B" w:rsidRPr="00E80935">
        <w:rPr>
          <w:rStyle w:val="Strong"/>
          <w:b w:val="0"/>
        </w:rPr>
        <w:t xml:space="preserve">these three strata </w:t>
      </w:r>
      <w:r w:rsidR="000B3997" w:rsidRPr="00E80935">
        <w:rPr>
          <w:rStyle w:val="Strong"/>
          <w:b w:val="0"/>
        </w:rPr>
        <w:t>are</w:t>
      </w:r>
      <w:r w:rsidR="00D702BA" w:rsidRPr="00E80935">
        <w:rPr>
          <w:rStyle w:val="Strong"/>
          <w:b w:val="0"/>
        </w:rPr>
        <w:t xml:space="preserve"> then</w:t>
      </w:r>
      <w:r w:rsidR="006B489B" w:rsidRPr="00E80935">
        <w:rPr>
          <w:rStyle w:val="Strong"/>
          <w:b w:val="0"/>
        </w:rPr>
        <w:t xml:space="preserve"> sorted by region, state, and ADP</w:t>
      </w:r>
      <w:r w:rsidR="00D702BA" w:rsidRPr="00E80935">
        <w:rPr>
          <w:rStyle w:val="Strong"/>
          <w:b w:val="0"/>
        </w:rPr>
        <w:t>,</w:t>
      </w:r>
      <w:r w:rsidR="006B489B" w:rsidRPr="00E80935">
        <w:rPr>
          <w:rStyle w:val="Strong"/>
          <w:b w:val="0"/>
        </w:rPr>
        <w:t xml:space="preserve"> and selected systematically with probability proportional to their size</w:t>
      </w:r>
      <w:r w:rsidR="00682B00" w:rsidRPr="00E80935">
        <w:rPr>
          <w:rStyle w:val="Strong"/>
          <w:b w:val="0"/>
        </w:rPr>
        <w:t>.</w:t>
      </w:r>
      <w:r w:rsidR="00383744" w:rsidRPr="00E80935">
        <w:rPr>
          <w:rStyle w:val="Strong"/>
          <w:b w:val="0"/>
        </w:rPr>
        <w:t xml:space="preserve"> </w:t>
      </w:r>
      <w:r w:rsidR="00796893" w:rsidRPr="00E80935">
        <w:rPr>
          <w:rStyle w:val="Strong"/>
          <w:b w:val="0"/>
          <w:color w:val="000000"/>
        </w:rPr>
        <w:t>(See Attachment 6 for details for the SSV 2016 sample.)</w:t>
      </w:r>
    </w:p>
    <w:p w14:paraId="462394C0" w14:textId="77777777" w:rsidR="00C63549" w:rsidRPr="00E80935" w:rsidRDefault="00C63549" w:rsidP="00AC119A">
      <w:pPr>
        <w:ind w:left="720"/>
        <w:rPr>
          <w:rStyle w:val="Strong"/>
          <w:b w:val="0"/>
        </w:rPr>
      </w:pPr>
    </w:p>
    <w:p w14:paraId="5E0E660F" w14:textId="77777777" w:rsidR="004E7E4F" w:rsidRPr="00E80935" w:rsidRDefault="00895C5E" w:rsidP="00AC119A">
      <w:pPr>
        <w:ind w:left="720"/>
        <w:rPr>
          <w:rStyle w:val="Strong"/>
          <w:b w:val="0"/>
          <w:i/>
        </w:rPr>
      </w:pPr>
      <w:r w:rsidRPr="00E80935">
        <w:rPr>
          <w:rStyle w:val="Strong"/>
          <w:b w:val="0"/>
          <w:i/>
        </w:rPr>
        <w:t>Private jails</w:t>
      </w:r>
    </w:p>
    <w:p w14:paraId="008E7C3F" w14:textId="1ADA7128" w:rsidR="00F050B3" w:rsidRPr="00E80935" w:rsidRDefault="00566109" w:rsidP="00895C5E">
      <w:pPr>
        <w:ind w:left="720"/>
        <w:rPr>
          <w:rStyle w:val="Strong"/>
          <w:b w:val="0"/>
        </w:rPr>
      </w:pPr>
      <w:r w:rsidRPr="00E80935">
        <w:rPr>
          <w:rStyle w:val="Strong"/>
          <w:b w:val="0"/>
        </w:rPr>
        <w:t>A</w:t>
      </w:r>
      <w:r w:rsidR="00895C5E" w:rsidRPr="00E80935">
        <w:rPr>
          <w:rStyle w:val="Strong"/>
          <w:b w:val="0"/>
        </w:rPr>
        <w:t xml:space="preserve"> sample of </w:t>
      </w:r>
      <w:r w:rsidR="00681C0C" w:rsidRPr="00E80935">
        <w:rPr>
          <w:rStyle w:val="Strong"/>
          <w:b w:val="0"/>
        </w:rPr>
        <w:t>15</w:t>
      </w:r>
      <w:r w:rsidR="00895C5E" w:rsidRPr="00E80935">
        <w:rPr>
          <w:rStyle w:val="Strong"/>
          <w:b w:val="0"/>
        </w:rPr>
        <w:t xml:space="preserve"> </w:t>
      </w:r>
      <w:r w:rsidR="00D702BA" w:rsidRPr="00E80935">
        <w:rPr>
          <w:rStyle w:val="Strong"/>
          <w:b w:val="0"/>
        </w:rPr>
        <w:t xml:space="preserve">(38%) </w:t>
      </w:r>
      <w:r w:rsidR="00895C5E" w:rsidRPr="00E80935">
        <w:rPr>
          <w:rStyle w:val="Strong"/>
          <w:b w:val="0"/>
        </w:rPr>
        <w:t xml:space="preserve">privately operated jails </w:t>
      </w:r>
      <w:r w:rsidR="000B3997" w:rsidRPr="00E80935">
        <w:rPr>
          <w:rStyle w:val="Strong"/>
          <w:b w:val="0"/>
        </w:rPr>
        <w:t>is</w:t>
      </w:r>
      <w:r w:rsidR="00895C5E" w:rsidRPr="00E80935">
        <w:rPr>
          <w:rStyle w:val="Strong"/>
          <w:b w:val="0"/>
        </w:rPr>
        <w:t xml:space="preserve"> selected</w:t>
      </w:r>
      <w:r w:rsidRPr="00E80935">
        <w:rPr>
          <w:rStyle w:val="Strong"/>
          <w:b w:val="0"/>
        </w:rPr>
        <w:t xml:space="preserve"> from the private jails in the </w:t>
      </w:r>
      <w:r w:rsidR="00084839" w:rsidRPr="00E80935">
        <w:rPr>
          <w:rStyle w:val="Strong"/>
          <w:b w:val="0"/>
        </w:rPr>
        <w:t xml:space="preserve">most recent </w:t>
      </w:r>
      <w:r w:rsidRPr="00E80935">
        <w:rPr>
          <w:rStyle w:val="Strong"/>
          <w:b w:val="0"/>
        </w:rPr>
        <w:t>MCI file.</w:t>
      </w:r>
      <w:r w:rsidR="00E374BA" w:rsidRPr="00E80935">
        <w:rPr>
          <w:rStyle w:val="Strong"/>
          <w:b w:val="0"/>
        </w:rPr>
        <w:t xml:space="preserve"> </w:t>
      </w:r>
      <w:r w:rsidR="000B3997" w:rsidRPr="00E80935">
        <w:rPr>
          <w:rStyle w:val="Strong"/>
          <w:b w:val="0"/>
        </w:rPr>
        <w:t>T</w:t>
      </w:r>
      <w:r w:rsidR="00895C5E" w:rsidRPr="00E80935">
        <w:rPr>
          <w:rStyle w:val="Strong"/>
          <w:b w:val="0"/>
        </w:rPr>
        <w:t>he</w:t>
      </w:r>
      <w:r w:rsidR="00E374BA" w:rsidRPr="00E80935">
        <w:rPr>
          <w:rStyle w:val="Strong"/>
          <w:b w:val="0"/>
        </w:rPr>
        <w:t>se</w:t>
      </w:r>
      <w:r w:rsidR="00895C5E" w:rsidRPr="00E80935">
        <w:rPr>
          <w:rStyle w:val="Strong"/>
          <w:b w:val="0"/>
        </w:rPr>
        <w:t xml:space="preserve"> private facilities </w:t>
      </w:r>
      <w:r w:rsidR="000B3997" w:rsidRPr="00E80935">
        <w:rPr>
          <w:rStyle w:val="Strong"/>
          <w:b w:val="0"/>
        </w:rPr>
        <w:t>are</w:t>
      </w:r>
      <w:r w:rsidR="00895C5E" w:rsidRPr="00E80935">
        <w:rPr>
          <w:rStyle w:val="Strong"/>
          <w:b w:val="0"/>
        </w:rPr>
        <w:t xml:space="preserve"> sorted by region, state, and ADP, and </w:t>
      </w:r>
      <w:r w:rsidR="00E374BA" w:rsidRPr="00E80935">
        <w:rPr>
          <w:rStyle w:val="Strong"/>
          <w:b w:val="0"/>
        </w:rPr>
        <w:t>1</w:t>
      </w:r>
      <w:r w:rsidR="00895C5E" w:rsidRPr="00E80935">
        <w:rPr>
          <w:rStyle w:val="Strong"/>
          <w:b w:val="0"/>
        </w:rPr>
        <w:t xml:space="preserve">5 jails </w:t>
      </w:r>
      <w:r w:rsidR="000B3997" w:rsidRPr="00E80935">
        <w:rPr>
          <w:rStyle w:val="Strong"/>
          <w:b w:val="0"/>
        </w:rPr>
        <w:t>are</w:t>
      </w:r>
      <w:r w:rsidR="00895C5E" w:rsidRPr="00E80935">
        <w:rPr>
          <w:rStyle w:val="Strong"/>
          <w:b w:val="0"/>
        </w:rPr>
        <w:t xml:space="preserve"> systematically sampled with probability proportional to size.</w:t>
      </w:r>
      <w:r w:rsidR="00EB67FB" w:rsidRPr="00E80935">
        <w:rPr>
          <w:rStyle w:val="Strong"/>
          <w:b w:val="0"/>
        </w:rPr>
        <w:t xml:space="preserve"> </w:t>
      </w:r>
    </w:p>
    <w:p w14:paraId="75412126" w14:textId="77777777" w:rsidR="00F050B3" w:rsidRPr="00E80935" w:rsidRDefault="00F050B3" w:rsidP="00895C5E">
      <w:pPr>
        <w:ind w:left="720"/>
        <w:rPr>
          <w:rStyle w:val="Strong"/>
          <w:b w:val="0"/>
        </w:rPr>
      </w:pPr>
    </w:p>
    <w:p w14:paraId="5EA1ABB6" w14:textId="6D521FF3" w:rsidR="00531163" w:rsidRPr="00E80935" w:rsidRDefault="00EB67FB" w:rsidP="00895C5E">
      <w:pPr>
        <w:ind w:left="720"/>
        <w:rPr>
          <w:rStyle w:val="Strong"/>
          <w:b w:val="0"/>
        </w:rPr>
      </w:pPr>
      <w:r w:rsidRPr="00E80935">
        <w:rPr>
          <w:rStyle w:val="Strong"/>
          <w:b w:val="0"/>
        </w:rPr>
        <w:t>Given the large standard errors, estimates for private jails are combined with public jails. The separate sample is used to ensure inclusion of private jails in the SSV</w:t>
      </w:r>
      <w:r w:rsidR="00531163" w:rsidRPr="00E80935">
        <w:rPr>
          <w:rStyle w:val="Strong"/>
          <w:b w:val="0"/>
        </w:rPr>
        <w:t>.</w:t>
      </w:r>
      <w:r w:rsidR="00796893" w:rsidRPr="00E80935">
        <w:rPr>
          <w:rStyle w:val="FootnoteReference"/>
          <w:b/>
          <w:color w:val="000000"/>
        </w:rPr>
        <w:t xml:space="preserve"> </w:t>
      </w:r>
      <w:r w:rsidR="00796893" w:rsidRPr="00E80935">
        <w:rPr>
          <w:rStyle w:val="Strong"/>
          <w:b w:val="0"/>
          <w:color w:val="000000"/>
        </w:rPr>
        <w:t>(See Attachment 6 for details for the SSV 2016 sample.)</w:t>
      </w:r>
    </w:p>
    <w:p w14:paraId="7B4542B3" w14:textId="77777777" w:rsidR="00531163" w:rsidRPr="00E80935" w:rsidRDefault="00531163" w:rsidP="00895C5E">
      <w:pPr>
        <w:ind w:left="720"/>
        <w:rPr>
          <w:rStyle w:val="Strong"/>
          <w:b w:val="0"/>
        </w:rPr>
      </w:pPr>
    </w:p>
    <w:p w14:paraId="2B1CC836" w14:textId="77777777" w:rsidR="004E7E4F" w:rsidRPr="00E80935" w:rsidRDefault="00C63549" w:rsidP="00AC119A">
      <w:pPr>
        <w:ind w:left="720"/>
        <w:rPr>
          <w:rStyle w:val="Strong"/>
          <w:b w:val="0"/>
          <w:i/>
        </w:rPr>
      </w:pPr>
      <w:r w:rsidRPr="00E80935">
        <w:rPr>
          <w:rStyle w:val="Strong"/>
          <w:b w:val="0"/>
          <w:i/>
        </w:rPr>
        <w:t>Other prisons and jails</w:t>
      </w:r>
    </w:p>
    <w:p w14:paraId="065D3755" w14:textId="5E62C508" w:rsidR="001701AD" w:rsidRPr="00E80935" w:rsidRDefault="00E04CD1" w:rsidP="00F050B3">
      <w:pPr>
        <w:ind w:left="720"/>
        <w:rPr>
          <w:rStyle w:val="Strong"/>
          <w:b w:val="0"/>
        </w:rPr>
      </w:pPr>
      <w:r w:rsidRPr="00E80935">
        <w:rPr>
          <w:rStyle w:val="Strong"/>
          <w:b w:val="0"/>
        </w:rPr>
        <w:t>Each of the four military prison systems submits</w:t>
      </w:r>
      <w:r w:rsidR="00C63549" w:rsidRPr="00E80935">
        <w:rPr>
          <w:rStyle w:val="Strong"/>
          <w:b w:val="0"/>
        </w:rPr>
        <w:t xml:space="preserve"> a</w:t>
      </w:r>
      <w:r w:rsidR="00912C73" w:rsidRPr="00E80935">
        <w:rPr>
          <w:rStyle w:val="Strong"/>
          <w:b w:val="0"/>
        </w:rPr>
        <w:t>n SSV</w:t>
      </w:r>
      <w:r w:rsidR="00C63549" w:rsidRPr="00E80935">
        <w:rPr>
          <w:rStyle w:val="Strong"/>
          <w:b w:val="0"/>
        </w:rPr>
        <w:t xml:space="preserve"> report each year</w:t>
      </w:r>
      <w:r w:rsidRPr="00E80935">
        <w:rPr>
          <w:rStyle w:val="Strong"/>
          <w:b w:val="0"/>
        </w:rPr>
        <w:t>,</w:t>
      </w:r>
      <w:r w:rsidR="00C63549" w:rsidRPr="00E80935">
        <w:rPr>
          <w:rStyle w:val="Strong"/>
          <w:b w:val="0"/>
        </w:rPr>
        <w:t xml:space="preserve"> cover</w:t>
      </w:r>
      <w:r w:rsidRPr="00E80935">
        <w:rPr>
          <w:rStyle w:val="Strong"/>
          <w:b w:val="0"/>
        </w:rPr>
        <w:t>ing</w:t>
      </w:r>
      <w:r w:rsidR="00C63549" w:rsidRPr="00E80935">
        <w:rPr>
          <w:rStyle w:val="Strong"/>
          <w:b w:val="0"/>
        </w:rPr>
        <w:t xml:space="preserve"> all facilities run by the Army, Navy, Marines, and Air Force.</w:t>
      </w:r>
    </w:p>
    <w:p w14:paraId="11481051" w14:textId="77777777" w:rsidR="001701AD" w:rsidRPr="00E80935" w:rsidRDefault="001701AD" w:rsidP="00F050B3">
      <w:pPr>
        <w:ind w:left="720"/>
        <w:rPr>
          <w:rStyle w:val="Strong"/>
          <w:b w:val="0"/>
        </w:rPr>
      </w:pPr>
    </w:p>
    <w:p w14:paraId="0A398AC6" w14:textId="73D668DF" w:rsidR="00F050B3" w:rsidRPr="00E80935" w:rsidRDefault="00E04CD1" w:rsidP="00F050B3">
      <w:pPr>
        <w:ind w:left="720"/>
        <w:rPr>
          <w:rStyle w:val="Strong"/>
          <w:b w:val="0"/>
        </w:rPr>
      </w:pPr>
      <w:r w:rsidRPr="00E80935">
        <w:rPr>
          <w:rStyle w:val="Strong"/>
          <w:b w:val="0"/>
        </w:rPr>
        <w:t>A</w:t>
      </w:r>
      <w:r w:rsidR="00C63549" w:rsidRPr="00E80935">
        <w:rPr>
          <w:rStyle w:val="Strong"/>
          <w:b w:val="0"/>
        </w:rPr>
        <w:t xml:space="preserve">ll </w:t>
      </w:r>
      <w:r w:rsidR="001701AD" w:rsidRPr="00E80935">
        <w:rPr>
          <w:rStyle w:val="Strong"/>
          <w:b w:val="0"/>
        </w:rPr>
        <w:t xml:space="preserve">dedicated ICE </w:t>
      </w:r>
      <w:r w:rsidR="00C63549" w:rsidRPr="00E80935">
        <w:rPr>
          <w:rStyle w:val="Strong"/>
          <w:b w:val="0"/>
        </w:rPr>
        <w:t xml:space="preserve">facilities are included each year. </w:t>
      </w:r>
      <w:r w:rsidR="001701AD" w:rsidRPr="00E80935">
        <w:rPr>
          <w:rStyle w:val="Strong"/>
          <w:b w:val="0"/>
        </w:rPr>
        <w:t>Most years the forms are mailed directly to each ICE facility. However, f</w:t>
      </w:r>
      <w:r w:rsidR="003903B7" w:rsidRPr="00E80935">
        <w:rPr>
          <w:rStyle w:val="Strong"/>
          <w:b w:val="0"/>
        </w:rPr>
        <w:t xml:space="preserve">or SSV </w:t>
      </w:r>
      <w:r w:rsidR="001252D6" w:rsidRPr="00E80935">
        <w:rPr>
          <w:rStyle w:val="Strong"/>
          <w:b w:val="0"/>
        </w:rPr>
        <w:t>20</w:t>
      </w:r>
      <w:r w:rsidR="00B16AD8" w:rsidRPr="00E80935">
        <w:rPr>
          <w:rStyle w:val="Strong"/>
          <w:b w:val="0"/>
        </w:rPr>
        <w:t>1</w:t>
      </w:r>
      <w:r w:rsidR="001701AD" w:rsidRPr="00E80935">
        <w:rPr>
          <w:rStyle w:val="Strong"/>
          <w:b w:val="0"/>
        </w:rPr>
        <w:t>5</w:t>
      </w:r>
      <w:r w:rsidR="001252D6" w:rsidRPr="00E80935">
        <w:rPr>
          <w:rStyle w:val="Strong"/>
          <w:b w:val="0"/>
        </w:rPr>
        <w:t>, officials from</w:t>
      </w:r>
      <w:r w:rsidR="00681C0C" w:rsidRPr="00E80935">
        <w:rPr>
          <w:rStyle w:val="Strong"/>
          <w:b w:val="0"/>
        </w:rPr>
        <w:t xml:space="preserve"> ICE </w:t>
      </w:r>
      <w:r w:rsidR="004E7E4F" w:rsidRPr="00E80935">
        <w:rPr>
          <w:rStyle w:val="Strong"/>
          <w:b w:val="0"/>
        </w:rPr>
        <w:t xml:space="preserve">headquarters </w:t>
      </w:r>
      <w:r w:rsidR="001701AD" w:rsidRPr="00E80935">
        <w:rPr>
          <w:rStyle w:val="Strong"/>
          <w:b w:val="0"/>
        </w:rPr>
        <w:t xml:space="preserve">opted to </w:t>
      </w:r>
      <w:r w:rsidR="004E7E4F" w:rsidRPr="00E80935">
        <w:rPr>
          <w:rStyle w:val="Strong"/>
          <w:b w:val="0"/>
        </w:rPr>
        <w:t>coordinate the data collection</w:t>
      </w:r>
      <w:r w:rsidR="001701AD" w:rsidRPr="00E80935">
        <w:rPr>
          <w:rStyle w:val="Strong"/>
          <w:b w:val="0"/>
        </w:rPr>
        <w:t xml:space="preserve">. That year all packets were placed in a large envelope and mailed to headquarters, and ICE headquarters mailed out the individual packets. </w:t>
      </w:r>
      <w:r w:rsidR="00F050B3" w:rsidRPr="00E80935">
        <w:rPr>
          <w:rStyle w:val="Strong"/>
          <w:b w:val="0"/>
        </w:rPr>
        <w:t>BJS intends to use the</w:t>
      </w:r>
      <w:r w:rsidR="001252D6" w:rsidRPr="00E80935">
        <w:rPr>
          <w:rStyle w:val="Strong"/>
          <w:b w:val="0"/>
        </w:rPr>
        <w:t>se</w:t>
      </w:r>
      <w:r w:rsidR="00F050B3" w:rsidRPr="00E80935">
        <w:rPr>
          <w:rStyle w:val="Strong"/>
          <w:b w:val="0"/>
        </w:rPr>
        <w:t xml:space="preserve"> procedures for 20</w:t>
      </w:r>
      <w:r w:rsidR="00665655" w:rsidRPr="00E80935">
        <w:rPr>
          <w:rStyle w:val="Strong"/>
          <w:b w:val="0"/>
        </w:rPr>
        <w:t>1</w:t>
      </w:r>
      <w:r w:rsidR="003903B7" w:rsidRPr="00E80935">
        <w:rPr>
          <w:rStyle w:val="Strong"/>
          <w:b w:val="0"/>
        </w:rPr>
        <w:t>7-2019</w:t>
      </w:r>
      <w:r w:rsidR="0060568E" w:rsidRPr="00E80935">
        <w:rPr>
          <w:rStyle w:val="Strong"/>
          <w:b w:val="0"/>
        </w:rPr>
        <w:t>.</w:t>
      </w:r>
    </w:p>
    <w:p w14:paraId="5C8D8886" w14:textId="77777777" w:rsidR="00681C0C" w:rsidRPr="00E80935" w:rsidRDefault="00681C0C" w:rsidP="00C63549">
      <w:pPr>
        <w:ind w:left="720"/>
        <w:rPr>
          <w:rStyle w:val="Strong"/>
          <w:b w:val="0"/>
        </w:rPr>
      </w:pPr>
    </w:p>
    <w:p w14:paraId="31E150E6" w14:textId="38C271B2" w:rsidR="00514684" w:rsidRPr="00E80935" w:rsidRDefault="00E04CD1" w:rsidP="00DA581C">
      <w:pPr>
        <w:ind w:left="720"/>
        <w:rPr>
          <w:rStyle w:val="Strong"/>
          <w:b w:val="0"/>
        </w:rPr>
      </w:pPr>
      <w:r w:rsidRPr="00E80935">
        <w:rPr>
          <w:rStyle w:val="Strong"/>
          <w:b w:val="0"/>
        </w:rPr>
        <w:t>For j</w:t>
      </w:r>
      <w:r w:rsidR="00C63549" w:rsidRPr="00E80935">
        <w:rPr>
          <w:rStyle w:val="Strong"/>
          <w:b w:val="0"/>
        </w:rPr>
        <w:t xml:space="preserve">ails in Indian </w:t>
      </w:r>
      <w:r w:rsidR="001740EE" w:rsidRPr="00E80935">
        <w:rPr>
          <w:rStyle w:val="Strong"/>
          <w:b w:val="0"/>
        </w:rPr>
        <w:t>c</w:t>
      </w:r>
      <w:r w:rsidR="00C63549" w:rsidRPr="00E80935">
        <w:rPr>
          <w:rStyle w:val="Strong"/>
          <w:b w:val="0"/>
        </w:rPr>
        <w:t>ountry</w:t>
      </w:r>
      <w:r w:rsidRPr="00E80935">
        <w:rPr>
          <w:rStyle w:val="Strong"/>
          <w:b w:val="0"/>
        </w:rPr>
        <w:t>,</w:t>
      </w:r>
      <w:r w:rsidR="00C63549" w:rsidRPr="00E80935">
        <w:rPr>
          <w:rStyle w:val="Strong"/>
          <w:b w:val="0"/>
        </w:rPr>
        <w:t xml:space="preserve"> </w:t>
      </w:r>
      <w:r w:rsidR="00A508AB" w:rsidRPr="00E80935">
        <w:rPr>
          <w:rStyle w:val="Strong"/>
          <w:b w:val="0"/>
        </w:rPr>
        <w:t>2</w:t>
      </w:r>
      <w:r w:rsidR="00C4525A" w:rsidRPr="00E80935">
        <w:rPr>
          <w:rStyle w:val="Strong"/>
          <w:b w:val="0"/>
        </w:rPr>
        <w:t>5</w:t>
      </w:r>
      <w:r w:rsidR="00681C0C" w:rsidRPr="00E80935">
        <w:rPr>
          <w:rStyle w:val="Strong"/>
          <w:b w:val="0"/>
        </w:rPr>
        <w:t xml:space="preserve"> </w:t>
      </w:r>
      <w:r w:rsidRPr="00E80935">
        <w:rPr>
          <w:rStyle w:val="Strong"/>
          <w:b w:val="0"/>
        </w:rPr>
        <w:t xml:space="preserve">(42%) </w:t>
      </w:r>
      <w:r w:rsidR="00681C0C" w:rsidRPr="00E80935">
        <w:rPr>
          <w:rStyle w:val="Strong"/>
          <w:b w:val="0"/>
        </w:rPr>
        <w:t>of t</w:t>
      </w:r>
      <w:r w:rsidR="00A508AB" w:rsidRPr="00E80935">
        <w:rPr>
          <w:rStyle w:val="Strong"/>
          <w:b w:val="0"/>
        </w:rPr>
        <w:t xml:space="preserve">he </w:t>
      </w:r>
      <w:r w:rsidR="00912C73" w:rsidRPr="00E80935">
        <w:rPr>
          <w:rStyle w:val="Strong"/>
          <w:b w:val="0"/>
        </w:rPr>
        <w:t xml:space="preserve">approximately </w:t>
      </w:r>
      <w:r w:rsidR="003903B7" w:rsidRPr="00E80935">
        <w:rPr>
          <w:rStyle w:val="Strong"/>
          <w:b w:val="0"/>
        </w:rPr>
        <w:t>60</w:t>
      </w:r>
      <w:r w:rsidR="00681C0C" w:rsidRPr="00E80935">
        <w:rPr>
          <w:rStyle w:val="Strong"/>
          <w:b w:val="0"/>
        </w:rPr>
        <w:t xml:space="preserve"> jails in Indian country </w:t>
      </w:r>
      <w:r w:rsidR="00531163" w:rsidRPr="00E80935">
        <w:rPr>
          <w:rStyle w:val="Strong"/>
          <w:b w:val="0"/>
        </w:rPr>
        <w:t>hous</w:t>
      </w:r>
      <w:r w:rsidRPr="00E80935">
        <w:rPr>
          <w:rStyle w:val="Strong"/>
          <w:b w:val="0"/>
        </w:rPr>
        <w:t>ing</w:t>
      </w:r>
      <w:r w:rsidR="00531163" w:rsidRPr="00E80935">
        <w:rPr>
          <w:rStyle w:val="Strong"/>
          <w:b w:val="0"/>
        </w:rPr>
        <w:t xml:space="preserve"> adult inmates </w:t>
      </w:r>
      <w:r w:rsidRPr="00E80935">
        <w:rPr>
          <w:rStyle w:val="Strong"/>
          <w:b w:val="0"/>
        </w:rPr>
        <w:t>are</w:t>
      </w:r>
      <w:r w:rsidR="00681C0C" w:rsidRPr="00E80935">
        <w:rPr>
          <w:rStyle w:val="Strong"/>
          <w:b w:val="0"/>
        </w:rPr>
        <w:t xml:space="preserve"> selected. </w:t>
      </w:r>
      <w:r w:rsidR="00912C73" w:rsidRPr="00E80935">
        <w:rPr>
          <w:rStyle w:val="Strong"/>
          <w:b w:val="0"/>
        </w:rPr>
        <w:t>Using the same method to determine certainty size cut-offs</w:t>
      </w:r>
      <w:r w:rsidR="00796893" w:rsidRPr="00E80935">
        <w:rPr>
          <w:rStyle w:val="Strong"/>
          <w:b w:val="0"/>
        </w:rPr>
        <w:t xml:space="preserve"> as used for private prisons</w:t>
      </w:r>
      <w:r w:rsidR="00912C73" w:rsidRPr="00E80935">
        <w:rPr>
          <w:rStyle w:val="Strong"/>
          <w:b w:val="0"/>
        </w:rPr>
        <w:t xml:space="preserve">, </w:t>
      </w:r>
      <w:r w:rsidR="0096568B" w:rsidRPr="00E80935">
        <w:rPr>
          <w:rStyle w:val="Strong"/>
          <w:b w:val="0"/>
        </w:rPr>
        <w:t>n</w:t>
      </w:r>
      <w:r w:rsidR="00796893" w:rsidRPr="00E80935">
        <w:rPr>
          <w:rStyle w:val="Strong"/>
          <w:b w:val="0"/>
        </w:rPr>
        <w:t xml:space="preserve"> </w:t>
      </w:r>
      <w:r w:rsidR="00912C73" w:rsidRPr="00E80935">
        <w:rPr>
          <w:rStyle w:val="Strong"/>
          <w:b w:val="0"/>
        </w:rPr>
        <w:t xml:space="preserve">facilities </w:t>
      </w:r>
      <w:r w:rsidRPr="00E80935">
        <w:rPr>
          <w:rStyle w:val="Strong"/>
          <w:b w:val="0"/>
        </w:rPr>
        <w:t>are</w:t>
      </w:r>
      <w:r w:rsidR="00912C73" w:rsidRPr="00E80935">
        <w:rPr>
          <w:rStyle w:val="Strong"/>
          <w:b w:val="0"/>
        </w:rPr>
        <w:t xml:space="preserve"> </w:t>
      </w:r>
      <w:r w:rsidR="00681C0C" w:rsidRPr="00E80935">
        <w:rPr>
          <w:rStyle w:val="Strong"/>
          <w:b w:val="0"/>
        </w:rPr>
        <w:t>sampled with certainty</w:t>
      </w:r>
      <w:r w:rsidR="0096568B" w:rsidRPr="00E80935">
        <w:rPr>
          <w:rStyle w:val="Strong"/>
          <w:b w:val="0"/>
        </w:rPr>
        <w:t xml:space="preserve"> due to their size</w:t>
      </w:r>
      <w:r w:rsidR="00912C73" w:rsidRPr="00E80935">
        <w:rPr>
          <w:rStyle w:val="Strong"/>
          <w:b w:val="0"/>
        </w:rPr>
        <w:t>.</w:t>
      </w:r>
      <w:r w:rsidR="00681C0C" w:rsidRPr="00E80935">
        <w:rPr>
          <w:rStyle w:val="Strong"/>
          <w:b w:val="0"/>
        </w:rPr>
        <w:t xml:space="preserve"> </w:t>
      </w:r>
      <w:r w:rsidR="00912C73" w:rsidRPr="00E80935">
        <w:rPr>
          <w:rStyle w:val="Strong"/>
          <w:b w:val="0"/>
        </w:rPr>
        <w:t>T</w:t>
      </w:r>
      <w:r w:rsidR="00A508AB" w:rsidRPr="00E80935">
        <w:rPr>
          <w:rStyle w:val="Strong"/>
          <w:b w:val="0"/>
        </w:rPr>
        <w:t xml:space="preserve">he remaining </w:t>
      </w:r>
      <w:r w:rsidRPr="00E80935">
        <w:rPr>
          <w:rStyle w:val="Strong"/>
          <w:b w:val="0"/>
        </w:rPr>
        <w:t>facilities on the frame</w:t>
      </w:r>
      <w:r w:rsidR="00912C73" w:rsidRPr="00E80935">
        <w:rPr>
          <w:rStyle w:val="Strong"/>
          <w:b w:val="0"/>
        </w:rPr>
        <w:t xml:space="preserve"> </w:t>
      </w:r>
      <w:r w:rsidRPr="00E80935">
        <w:rPr>
          <w:rStyle w:val="Strong"/>
          <w:b w:val="0"/>
        </w:rPr>
        <w:t>are</w:t>
      </w:r>
      <w:r w:rsidR="00681C0C" w:rsidRPr="00E80935">
        <w:rPr>
          <w:rStyle w:val="Strong"/>
          <w:b w:val="0"/>
        </w:rPr>
        <w:t xml:space="preserve"> </w:t>
      </w:r>
      <w:r w:rsidR="000451B8" w:rsidRPr="00E80935">
        <w:rPr>
          <w:rStyle w:val="Strong"/>
          <w:b w:val="0"/>
        </w:rPr>
        <w:t>sorted by state and ADP</w:t>
      </w:r>
      <w:r w:rsidRPr="00E80935">
        <w:rPr>
          <w:rStyle w:val="Strong"/>
          <w:b w:val="0"/>
        </w:rPr>
        <w:t>,</w:t>
      </w:r>
      <w:r w:rsidR="000451B8" w:rsidRPr="00E80935">
        <w:rPr>
          <w:rStyle w:val="Strong"/>
          <w:b w:val="0"/>
        </w:rPr>
        <w:t xml:space="preserve"> and </w:t>
      </w:r>
      <w:r w:rsidRPr="00E80935">
        <w:rPr>
          <w:rStyle w:val="Strong"/>
          <w:b w:val="0"/>
        </w:rPr>
        <w:t xml:space="preserve">25 - n facilities are </w:t>
      </w:r>
      <w:r w:rsidR="00681C0C" w:rsidRPr="00E80935">
        <w:rPr>
          <w:rStyle w:val="Strong"/>
          <w:b w:val="0"/>
        </w:rPr>
        <w:t>sampled with pr</w:t>
      </w:r>
      <w:r w:rsidR="000451B8" w:rsidRPr="00E80935">
        <w:rPr>
          <w:rStyle w:val="Strong"/>
          <w:b w:val="0"/>
        </w:rPr>
        <w:t xml:space="preserve">obability proportionate to size. </w:t>
      </w:r>
      <w:r w:rsidR="00912C73" w:rsidRPr="00E80935">
        <w:rPr>
          <w:rStyle w:val="Strong"/>
          <w:b w:val="0"/>
        </w:rPr>
        <w:t xml:space="preserve">Facilities in Indian country </w:t>
      </w:r>
      <w:r w:rsidR="00FF5E55" w:rsidRPr="00E80935">
        <w:rPr>
          <w:rStyle w:val="Strong"/>
          <w:b w:val="0"/>
        </w:rPr>
        <w:t>hous</w:t>
      </w:r>
      <w:r w:rsidR="00084839" w:rsidRPr="00E80935">
        <w:rPr>
          <w:rStyle w:val="Strong"/>
          <w:b w:val="0"/>
        </w:rPr>
        <w:t>ing</w:t>
      </w:r>
      <w:r w:rsidR="00FF5E55" w:rsidRPr="00E80935">
        <w:rPr>
          <w:rStyle w:val="Strong"/>
          <w:b w:val="0"/>
        </w:rPr>
        <w:t xml:space="preserve"> exclusively juveniles </w:t>
      </w:r>
      <w:r w:rsidRPr="00E80935">
        <w:rPr>
          <w:rStyle w:val="Strong"/>
          <w:b w:val="0"/>
        </w:rPr>
        <w:t>are</w:t>
      </w:r>
      <w:r w:rsidR="00FF5E55" w:rsidRPr="00E80935">
        <w:rPr>
          <w:rStyle w:val="Strong"/>
          <w:b w:val="0"/>
        </w:rPr>
        <w:t xml:space="preserve"> </w:t>
      </w:r>
      <w:r w:rsidR="00A237A6" w:rsidRPr="00E80935">
        <w:rPr>
          <w:rStyle w:val="Strong"/>
          <w:b w:val="0"/>
        </w:rPr>
        <w:t>ex</w:t>
      </w:r>
      <w:r w:rsidR="00FF5E55" w:rsidRPr="00E80935">
        <w:rPr>
          <w:rStyle w:val="Strong"/>
          <w:b w:val="0"/>
        </w:rPr>
        <w:t xml:space="preserve">cluded </w:t>
      </w:r>
      <w:r w:rsidR="00A237A6" w:rsidRPr="00E80935">
        <w:rPr>
          <w:rStyle w:val="Strong"/>
          <w:b w:val="0"/>
        </w:rPr>
        <w:t>from</w:t>
      </w:r>
      <w:r w:rsidR="00FF5E55" w:rsidRPr="00E80935">
        <w:rPr>
          <w:rStyle w:val="Strong"/>
          <w:b w:val="0"/>
        </w:rPr>
        <w:t xml:space="preserve"> the</w:t>
      </w:r>
      <w:r w:rsidR="00912C73" w:rsidRPr="00E80935">
        <w:rPr>
          <w:rStyle w:val="Strong"/>
          <w:b w:val="0"/>
        </w:rPr>
        <w:t xml:space="preserve"> adult sample. </w:t>
      </w:r>
      <w:r w:rsidRPr="00E80935">
        <w:rPr>
          <w:rStyle w:val="Strong"/>
          <w:b w:val="0"/>
        </w:rPr>
        <w:t xml:space="preserve">See </w:t>
      </w:r>
      <w:r w:rsidR="00796893" w:rsidRPr="00E80935">
        <w:rPr>
          <w:rStyle w:val="Strong"/>
          <w:b w:val="0"/>
          <w:i/>
        </w:rPr>
        <w:t>Private and local juvenile facilities</w:t>
      </w:r>
      <w:r w:rsidR="00796893" w:rsidRPr="00E80935">
        <w:rPr>
          <w:rStyle w:val="Strong"/>
          <w:b w:val="0"/>
        </w:rPr>
        <w:t xml:space="preserve"> </w:t>
      </w:r>
      <w:r w:rsidR="00FF5E55" w:rsidRPr="00E80935">
        <w:rPr>
          <w:rStyle w:val="Strong"/>
          <w:b w:val="0"/>
        </w:rPr>
        <w:t>below</w:t>
      </w:r>
      <w:r w:rsidRPr="00E80935">
        <w:rPr>
          <w:rStyle w:val="Strong"/>
          <w:b w:val="0"/>
        </w:rPr>
        <w:t xml:space="preserve"> for a description of sampling procedures for juvenile facilities in Indian country</w:t>
      </w:r>
      <w:r w:rsidR="00FF5E55" w:rsidRPr="00E80935">
        <w:rPr>
          <w:rStyle w:val="Strong"/>
          <w:b w:val="0"/>
        </w:rPr>
        <w:t>.</w:t>
      </w:r>
      <w:r w:rsidR="00796893" w:rsidRPr="00E80935">
        <w:rPr>
          <w:rStyle w:val="Strong"/>
          <w:b w:val="0"/>
        </w:rPr>
        <w:t xml:space="preserve"> </w:t>
      </w:r>
      <w:r w:rsidR="00796893" w:rsidRPr="00E80935">
        <w:rPr>
          <w:rStyle w:val="Strong"/>
          <w:b w:val="0"/>
          <w:color w:val="000000"/>
        </w:rPr>
        <w:t>(See Attachment 6 for details for the SSV 2016 sample.)</w:t>
      </w:r>
    </w:p>
    <w:p w14:paraId="7413C5E4" w14:textId="77777777" w:rsidR="00C45970" w:rsidRPr="00E80935" w:rsidRDefault="00C45970" w:rsidP="00C63549">
      <w:pPr>
        <w:ind w:left="720"/>
        <w:rPr>
          <w:rStyle w:val="Strong"/>
          <w:b w:val="0"/>
        </w:rPr>
      </w:pPr>
    </w:p>
    <w:p w14:paraId="359BB8BC" w14:textId="39F756D5" w:rsidR="004E7E4F" w:rsidRPr="00E80935" w:rsidRDefault="00F23540" w:rsidP="00AC119A">
      <w:pPr>
        <w:ind w:left="720"/>
        <w:rPr>
          <w:rStyle w:val="Strong"/>
          <w:b w:val="0"/>
          <w:i/>
        </w:rPr>
      </w:pPr>
      <w:r w:rsidRPr="00E80935">
        <w:rPr>
          <w:rStyle w:val="Strong"/>
          <w:b w:val="0"/>
          <w:i/>
        </w:rPr>
        <w:t>State</w:t>
      </w:r>
      <w:r w:rsidR="004B0535" w:rsidRPr="00E80935">
        <w:rPr>
          <w:rStyle w:val="Strong"/>
          <w:b w:val="0"/>
          <w:i/>
        </w:rPr>
        <w:t xml:space="preserve"> juvenile </w:t>
      </w:r>
      <w:r w:rsidRPr="00E80935">
        <w:rPr>
          <w:rStyle w:val="Strong"/>
          <w:b w:val="0"/>
          <w:i/>
        </w:rPr>
        <w:t>correctional systems</w:t>
      </w:r>
      <w:r w:rsidR="004B0535" w:rsidRPr="00E80935">
        <w:rPr>
          <w:rStyle w:val="Strong"/>
          <w:b w:val="0"/>
          <w:i/>
        </w:rPr>
        <w:t xml:space="preserve"> </w:t>
      </w:r>
    </w:p>
    <w:p w14:paraId="44DEC8BA" w14:textId="2BD6A54B" w:rsidR="008B5D1E" w:rsidRPr="00E80935" w:rsidRDefault="00E04CD1" w:rsidP="008B5D1E">
      <w:pPr>
        <w:ind w:left="720"/>
        <w:rPr>
          <w:rStyle w:val="Strong"/>
          <w:b w:val="0"/>
        </w:rPr>
      </w:pPr>
      <w:r w:rsidRPr="00E80935">
        <w:rPr>
          <w:rStyle w:val="Strong"/>
          <w:b w:val="0"/>
        </w:rPr>
        <w:t>A</w:t>
      </w:r>
      <w:r w:rsidR="008B5D1E" w:rsidRPr="00E80935">
        <w:rPr>
          <w:rStyle w:val="Strong"/>
          <w:b w:val="0"/>
        </w:rPr>
        <w:t>ll state</w:t>
      </w:r>
      <w:r w:rsidR="001E6CC1" w:rsidRPr="00E80935">
        <w:rPr>
          <w:rStyle w:val="Strong"/>
          <w:b w:val="0"/>
        </w:rPr>
        <w:t xml:space="preserve"> </w:t>
      </w:r>
      <w:r w:rsidR="008B5D1E" w:rsidRPr="00E80935">
        <w:rPr>
          <w:rStyle w:val="Strong"/>
          <w:b w:val="0"/>
        </w:rPr>
        <w:t>operated juvenile residential placement facilities used to house juveniles and youthful offenders</w:t>
      </w:r>
      <w:r w:rsidRPr="00E80935">
        <w:rPr>
          <w:rStyle w:val="Strong"/>
          <w:b w:val="0"/>
        </w:rPr>
        <w:t xml:space="preserve"> are included in SSV</w:t>
      </w:r>
      <w:r w:rsidR="008B5D1E" w:rsidRPr="00E80935">
        <w:rPr>
          <w:rStyle w:val="Strong"/>
          <w:b w:val="0"/>
        </w:rPr>
        <w:t xml:space="preserve">, regardless of age or reason for placement. As defined in the </w:t>
      </w:r>
      <w:r w:rsidR="00F31C93" w:rsidRPr="00E80935">
        <w:rPr>
          <w:rStyle w:val="Strong"/>
          <w:b w:val="0"/>
        </w:rPr>
        <w:t>CJRP</w:t>
      </w:r>
      <w:r w:rsidR="008B5D1E" w:rsidRPr="00E80935">
        <w:rPr>
          <w:rStyle w:val="Strong"/>
          <w:b w:val="0"/>
        </w:rPr>
        <w:t>, residential placement facilities include detention centers, training schools, long-term secure facilities; reception or diagnostic centers; group homes or halfway houses; boot camps; ranches; forestry camps, wilderness or marine programs, or farms; runaway or homeless shelters; and residential treatment centers for juveniles.</w:t>
      </w:r>
      <w:r w:rsidR="008B5D1E" w:rsidRPr="00E80935">
        <w:rPr>
          <w:rStyle w:val="Strong"/>
          <w:b w:val="0"/>
          <w:color w:val="00B050"/>
        </w:rPr>
        <w:t xml:space="preserve"> </w:t>
      </w:r>
      <w:r w:rsidR="00084839" w:rsidRPr="00E80935">
        <w:rPr>
          <w:rStyle w:val="Strong"/>
          <w:b w:val="0"/>
        </w:rPr>
        <w:t>A</w:t>
      </w:r>
      <w:r w:rsidR="008B5D1E" w:rsidRPr="00E80935">
        <w:rPr>
          <w:rStyle w:val="Strong"/>
          <w:b w:val="0"/>
        </w:rPr>
        <w:t>ll</w:t>
      </w:r>
      <w:r w:rsidR="00084839" w:rsidRPr="00E80935">
        <w:rPr>
          <w:rStyle w:val="Strong"/>
          <w:b w:val="0"/>
        </w:rPr>
        <w:t xml:space="preserve"> j</w:t>
      </w:r>
      <w:r w:rsidRPr="00E80935">
        <w:rPr>
          <w:rStyle w:val="Strong"/>
          <w:b w:val="0"/>
        </w:rPr>
        <w:t xml:space="preserve">uvenile correctional facilities operated by the 50 </w:t>
      </w:r>
      <w:r w:rsidR="008B5D1E" w:rsidRPr="00E80935">
        <w:rPr>
          <w:rStyle w:val="Strong"/>
          <w:b w:val="0"/>
        </w:rPr>
        <w:t xml:space="preserve">states and the District of Columbia </w:t>
      </w:r>
      <w:r w:rsidRPr="00E80935">
        <w:rPr>
          <w:rStyle w:val="Strong"/>
          <w:b w:val="0"/>
        </w:rPr>
        <w:t>are included in SSV (</w:t>
      </w:r>
      <w:r w:rsidR="008B5D1E" w:rsidRPr="00E80935">
        <w:rPr>
          <w:rStyle w:val="Strong"/>
          <w:b w:val="0"/>
        </w:rPr>
        <w:t xml:space="preserve">a total of </w:t>
      </w:r>
      <w:r w:rsidR="00B7501E" w:rsidRPr="00E80935">
        <w:rPr>
          <w:rStyle w:val="Strong"/>
          <w:b w:val="0"/>
        </w:rPr>
        <w:t>3</w:t>
      </w:r>
      <w:r w:rsidR="00387967" w:rsidRPr="00E80935">
        <w:rPr>
          <w:rStyle w:val="Strong"/>
          <w:b w:val="0"/>
        </w:rPr>
        <w:t>69</w:t>
      </w:r>
      <w:r w:rsidR="00D903C7" w:rsidRPr="00E80935">
        <w:rPr>
          <w:rStyle w:val="Strong"/>
          <w:b w:val="0"/>
          <w:color w:val="00B050"/>
        </w:rPr>
        <w:t xml:space="preserve"> </w:t>
      </w:r>
      <w:r w:rsidR="00D903C7" w:rsidRPr="00E80935">
        <w:rPr>
          <w:rStyle w:val="Strong"/>
          <w:b w:val="0"/>
        </w:rPr>
        <w:t>juvenile facilities</w:t>
      </w:r>
      <w:r w:rsidRPr="00E80935">
        <w:rPr>
          <w:rStyle w:val="Strong"/>
          <w:b w:val="0"/>
        </w:rPr>
        <w:t xml:space="preserve"> in 2016).</w:t>
      </w:r>
      <w:r w:rsidR="00F050B3" w:rsidRPr="00E80935">
        <w:rPr>
          <w:rStyle w:val="Strong"/>
          <w:b w:val="0"/>
          <w:color w:val="00B050"/>
        </w:rPr>
        <w:t xml:space="preserve"> </w:t>
      </w:r>
      <w:r w:rsidRPr="00E80935">
        <w:rPr>
          <w:rStyle w:val="Strong"/>
          <w:b w:val="0"/>
        </w:rPr>
        <w:t>D</w:t>
      </w:r>
      <w:r w:rsidR="00D903C7" w:rsidRPr="00E80935">
        <w:rPr>
          <w:rStyle w:val="Strong"/>
          <w:b w:val="0"/>
        </w:rPr>
        <w:t xml:space="preserve">ata for these facilities </w:t>
      </w:r>
      <w:r w:rsidRPr="00E80935">
        <w:rPr>
          <w:rStyle w:val="Strong"/>
          <w:b w:val="0"/>
        </w:rPr>
        <w:t>are</w:t>
      </w:r>
      <w:r w:rsidR="00D903C7" w:rsidRPr="00E80935">
        <w:rPr>
          <w:rStyle w:val="Strong"/>
          <w:b w:val="0"/>
        </w:rPr>
        <w:t xml:space="preserve"> collected from 51 central reporters. </w:t>
      </w:r>
      <w:r w:rsidR="00F050B3" w:rsidRPr="00E80935">
        <w:rPr>
          <w:rStyle w:val="Strong"/>
          <w:b w:val="0"/>
        </w:rPr>
        <w:t>BJS intends to employ the same procedures for 20</w:t>
      </w:r>
      <w:r w:rsidR="00B7501E" w:rsidRPr="00E80935">
        <w:rPr>
          <w:rStyle w:val="Strong"/>
          <w:b w:val="0"/>
        </w:rPr>
        <w:t>17</w:t>
      </w:r>
      <w:r w:rsidR="00F31C93" w:rsidRPr="00E80935">
        <w:rPr>
          <w:rStyle w:val="Strong"/>
          <w:b w:val="0"/>
        </w:rPr>
        <w:t>-</w:t>
      </w:r>
      <w:r w:rsidR="00B7501E" w:rsidRPr="00E80935">
        <w:rPr>
          <w:rStyle w:val="Strong"/>
          <w:b w:val="0"/>
        </w:rPr>
        <w:t>2019</w:t>
      </w:r>
      <w:r w:rsidR="00F050B3" w:rsidRPr="00E80935">
        <w:rPr>
          <w:rStyle w:val="Strong"/>
          <w:b w:val="0"/>
        </w:rPr>
        <w:t xml:space="preserve">. </w:t>
      </w:r>
    </w:p>
    <w:p w14:paraId="31C75532" w14:textId="77777777" w:rsidR="00D903C7" w:rsidRPr="00E80935" w:rsidRDefault="00D903C7" w:rsidP="008B5D1E">
      <w:pPr>
        <w:ind w:left="720"/>
        <w:rPr>
          <w:rStyle w:val="Strong"/>
          <w:b w:val="0"/>
          <w:color w:val="00B050"/>
        </w:rPr>
      </w:pPr>
    </w:p>
    <w:p w14:paraId="79EC7C9D" w14:textId="0DAC3246" w:rsidR="00F23540" w:rsidRPr="00E80935" w:rsidRDefault="00F23540" w:rsidP="008B5D1E">
      <w:pPr>
        <w:ind w:left="720"/>
        <w:rPr>
          <w:rStyle w:val="Strong"/>
          <w:b w:val="0"/>
          <w:color w:val="00B050"/>
        </w:rPr>
      </w:pPr>
      <w:r w:rsidRPr="00E80935">
        <w:rPr>
          <w:rStyle w:val="Strong"/>
          <w:b w:val="0"/>
          <w:i/>
        </w:rPr>
        <w:t xml:space="preserve">Local and private juvenile </w:t>
      </w:r>
      <w:r w:rsidR="00417078" w:rsidRPr="00E80935">
        <w:rPr>
          <w:rStyle w:val="Strong"/>
          <w:b w:val="0"/>
          <w:i/>
        </w:rPr>
        <w:t xml:space="preserve">correctional </w:t>
      </w:r>
      <w:r w:rsidRPr="00E80935">
        <w:rPr>
          <w:rStyle w:val="Strong"/>
          <w:b w:val="0"/>
          <w:i/>
        </w:rPr>
        <w:t>facilities</w:t>
      </w:r>
    </w:p>
    <w:p w14:paraId="60D1D419" w14:textId="1489FAB3" w:rsidR="00A53BBF" w:rsidRPr="00E80935" w:rsidRDefault="00805325" w:rsidP="00C369DC">
      <w:pPr>
        <w:ind w:left="720"/>
        <w:rPr>
          <w:rStyle w:val="Strong"/>
          <w:b w:val="0"/>
        </w:rPr>
      </w:pPr>
      <w:r w:rsidRPr="00E80935">
        <w:rPr>
          <w:rStyle w:val="Strong"/>
          <w:b w:val="0"/>
        </w:rPr>
        <w:t xml:space="preserve">The total sample size for juvenile correctional facilities is 600. </w:t>
      </w:r>
      <w:r w:rsidR="00084839" w:rsidRPr="00E80935">
        <w:rPr>
          <w:rStyle w:val="Strong"/>
          <w:b w:val="0"/>
        </w:rPr>
        <w:t>A sample of 530 l</w:t>
      </w:r>
      <w:r w:rsidR="00417078" w:rsidRPr="00E80935">
        <w:rPr>
          <w:rStyle w:val="Strong"/>
          <w:b w:val="0"/>
        </w:rPr>
        <w:t xml:space="preserve">ocal and private </w:t>
      </w:r>
      <w:r w:rsidR="008B5D1E" w:rsidRPr="00E80935">
        <w:rPr>
          <w:rStyle w:val="Strong"/>
          <w:b w:val="0"/>
        </w:rPr>
        <w:t xml:space="preserve">juvenile </w:t>
      </w:r>
      <w:r w:rsidR="00C369DC" w:rsidRPr="00E80935">
        <w:rPr>
          <w:rStyle w:val="Strong"/>
          <w:b w:val="0"/>
        </w:rPr>
        <w:t xml:space="preserve">facilities </w:t>
      </w:r>
      <w:r w:rsidRPr="00E80935">
        <w:rPr>
          <w:rStyle w:val="Strong"/>
          <w:b w:val="0"/>
        </w:rPr>
        <w:t xml:space="preserve">(600 minus 51 state systems and 19 Indian country facilities) </w:t>
      </w:r>
      <w:r w:rsidR="00084839" w:rsidRPr="00E80935">
        <w:rPr>
          <w:rStyle w:val="Strong"/>
          <w:b w:val="0"/>
        </w:rPr>
        <w:t>i</w:t>
      </w:r>
      <w:r w:rsidRPr="00E80935">
        <w:rPr>
          <w:rStyle w:val="Strong"/>
          <w:b w:val="0"/>
        </w:rPr>
        <w:t>s drawn</w:t>
      </w:r>
      <w:r w:rsidR="00D60CD0" w:rsidRPr="00E80935">
        <w:rPr>
          <w:rStyle w:val="Strong"/>
          <w:b w:val="0"/>
        </w:rPr>
        <w:t xml:space="preserve"> </w:t>
      </w:r>
      <w:r w:rsidR="0096568B" w:rsidRPr="00E80935">
        <w:rPr>
          <w:rStyle w:val="Strong"/>
          <w:b w:val="0"/>
        </w:rPr>
        <w:t>as follows</w:t>
      </w:r>
      <w:r w:rsidR="005333A1" w:rsidRPr="00E80935">
        <w:rPr>
          <w:rFonts w:ascii="Times New Roman" w:hAnsi="Times New Roman"/>
        </w:rPr>
        <w:t xml:space="preserve"> –</w:t>
      </w:r>
    </w:p>
    <w:p w14:paraId="21CC2124" w14:textId="77777777" w:rsidR="008B5D1E" w:rsidRPr="00E80935" w:rsidRDefault="008B5D1E" w:rsidP="00C369DC">
      <w:pPr>
        <w:ind w:left="720"/>
        <w:rPr>
          <w:rStyle w:val="Strong"/>
          <w:b w:val="0"/>
          <w:color w:val="00B050"/>
        </w:rPr>
      </w:pPr>
    </w:p>
    <w:p w14:paraId="335603A7" w14:textId="346EC928" w:rsidR="00805325" w:rsidRPr="00E80935" w:rsidRDefault="00805325" w:rsidP="008B5D1E">
      <w:pPr>
        <w:numPr>
          <w:ilvl w:val="0"/>
          <w:numId w:val="13"/>
        </w:numPr>
        <w:rPr>
          <w:rStyle w:val="Strong"/>
          <w:b w:val="0"/>
          <w:color w:val="000000"/>
        </w:rPr>
      </w:pPr>
      <w:r w:rsidRPr="00E80935">
        <w:rPr>
          <w:rStyle w:val="Strong"/>
          <w:b w:val="0"/>
          <w:color w:val="000000"/>
        </w:rPr>
        <w:t>First, t</w:t>
      </w:r>
      <w:r w:rsidR="00084839" w:rsidRPr="00E80935">
        <w:rPr>
          <w:rStyle w:val="Strong"/>
          <w:b w:val="0"/>
          <w:color w:val="000000"/>
        </w:rPr>
        <w:t xml:space="preserve">he facilities in the frame are separated into </w:t>
      </w:r>
      <w:r w:rsidRPr="00E80935">
        <w:rPr>
          <w:rStyle w:val="Strong"/>
          <w:b w:val="0"/>
          <w:color w:val="000000"/>
        </w:rPr>
        <w:t xml:space="preserve">three groups: </w:t>
      </w:r>
      <w:r w:rsidR="00084839" w:rsidRPr="00E80935">
        <w:rPr>
          <w:rStyle w:val="Strong"/>
          <w:b w:val="0"/>
          <w:color w:val="000000"/>
        </w:rPr>
        <w:t>local</w:t>
      </w:r>
      <w:r w:rsidRPr="00E80935">
        <w:rPr>
          <w:rStyle w:val="Strong"/>
          <w:b w:val="0"/>
          <w:color w:val="000000"/>
        </w:rPr>
        <w:t xml:space="preserve">, </w:t>
      </w:r>
      <w:r w:rsidR="00084839" w:rsidRPr="00E80935">
        <w:rPr>
          <w:rStyle w:val="Strong"/>
          <w:b w:val="0"/>
          <w:color w:val="000000"/>
        </w:rPr>
        <w:t>private</w:t>
      </w:r>
      <w:r w:rsidRPr="00E80935">
        <w:rPr>
          <w:rStyle w:val="Strong"/>
          <w:b w:val="0"/>
          <w:color w:val="000000"/>
        </w:rPr>
        <w:t>, and detention facilities</w:t>
      </w:r>
      <w:r w:rsidR="00084839" w:rsidRPr="00E80935">
        <w:rPr>
          <w:rStyle w:val="Strong"/>
          <w:b w:val="0"/>
          <w:color w:val="000000"/>
        </w:rPr>
        <w:t>.</w:t>
      </w:r>
      <w:r w:rsidRPr="00E80935">
        <w:rPr>
          <w:rStyle w:val="Strong"/>
          <w:b w:val="0"/>
          <w:color w:val="000000"/>
        </w:rPr>
        <w:t xml:space="preserve"> The local and private facility groups are sorted by state and size</w:t>
      </w:r>
      <w:r w:rsidR="00CB3395" w:rsidRPr="00E80935">
        <w:rPr>
          <w:rStyle w:val="Strong"/>
          <w:b w:val="0"/>
          <w:color w:val="000000"/>
        </w:rPr>
        <w:t>. The measure of size for juvenile facilities is the number of persons assigned to beds</w:t>
      </w:r>
      <w:r w:rsidRPr="00E80935">
        <w:rPr>
          <w:rStyle w:val="Strong"/>
          <w:b w:val="0"/>
          <w:color w:val="000000"/>
        </w:rPr>
        <w:t>.</w:t>
      </w:r>
    </w:p>
    <w:p w14:paraId="2F20199A" w14:textId="22351A9F" w:rsidR="008B5D1E" w:rsidRPr="00E80935" w:rsidRDefault="00805325" w:rsidP="00805325">
      <w:pPr>
        <w:numPr>
          <w:ilvl w:val="1"/>
          <w:numId w:val="13"/>
        </w:numPr>
        <w:rPr>
          <w:rStyle w:val="Strong"/>
          <w:b w:val="0"/>
          <w:color w:val="000000"/>
        </w:rPr>
      </w:pPr>
      <w:r w:rsidRPr="00E80935">
        <w:rPr>
          <w:rStyle w:val="Strong"/>
          <w:b w:val="0"/>
          <w:color w:val="000000"/>
        </w:rPr>
        <w:t>T</w:t>
      </w:r>
      <w:r w:rsidR="00796893" w:rsidRPr="00E80935">
        <w:rPr>
          <w:rStyle w:val="Strong"/>
          <w:b w:val="0"/>
          <w:color w:val="000000"/>
        </w:rPr>
        <w:t>he largest</w:t>
      </w:r>
      <w:r w:rsidR="00C369DC" w:rsidRPr="00E80935">
        <w:rPr>
          <w:rStyle w:val="Strong"/>
          <w:b w:val="0"/>
          <w:color w:val="000000"/>
        </w:rPr>
        <w:t xml:space="preserve"> locally operated facilit</w:t>
      </w:r>
      <w:r w:rsidR="00796893" w:rsidRPr="00E80935">
        <w:rPr>
          <w:rStyle w:val="Strong"/>
          <w:b w:val="0"/>
          <w:color w:val="000000"/>
        </w:rPr>
        <w:t>y</w:t>
      </w:r>
      <w:r w:rsidR="00C369DC" w:rsidRPr="00E80935">
        <w:rPr>
          <w:rStyle w:val="Strong"/>
          <w:b w:val="0"/>
          <w:color w:val="000000"/>
        </w:rPr>
        <w:t xml:space="preserve"> </w:t>
      </w:r>
      <w:r w:rsidRPr="00E80935">
        <w:rPr>
          <w:rStyle w:val="Strong"/>
          <w:b w:val="0"/>
          <w:color w:val="000000"/>
        </w:rPr>
        <w:t>in each state is</w:t>
      </w:r>
      <w:r w:rsidR="00C369DC" w:rsidRPr="00E80935">
        <w:rPr>
          <w:rStyle w:val="Strong"/>
          <w:b w:val="0"/>
          <w:color w:val="000000"/>
        </w:rPr>
        <w:t xml:space="preserve"> sampled with certainty</w:t>
      </w:r>
      <w:r w:rsidR="00D64EF5" w:rsidRPr="00E80935">
        <w:rPr>
          <w:rStyle w:val="Strong"/>
          <w:b w:val="0"/>
          <w:color w:val="000000"/>
        </w:rPr>
        <w:t>.</w:t>
      </w:r>
      <w:r w:rsidR="00C369DC" w:rsidRPr="00E80935">
        <w:rPr>
          <w:rStyle w:val="Strong"/>
          <w:b w:val="0"/>
          <w:color w:val="000000"/>
        </w:rPr>
        <w:t xml:space="preserve"> </w:t>
      </w:r>
    </w:p>
    <w:p w14:paraId="479C9901" w14:textId="59C6E524" w:rsidR="00805325" w:rsidRPr="00E80935" w:rsidRDefault="00805325" w:rsidP="00805325">
      <w:pPr>
        <w:numPr>
          <w:ilvl w:val="1"/>
          <w:numId w:val="13"/>
        </w:numPr>
        <w:rPr>
          <w:rStyle w:val="Strong"/>
          <w:b w:val="0"/>
          <w:color w:val="000000"/>
        </w:rPr>
      </w:pPr>
      <w:r w:rsidRPr="00E80935">
        <w:rPr>
          <w:rStyle w:val="Strong"/>
          <w:b w:val="0"/>
          <w:color w:val="000000"/>
        </w:rPr>
        <w:t xml:space="preserve">The largest privately operated facility in each state is sampled with certainty. </w:t>
      </w:r>
    </w:p>
    <w:p w14:paraId="215150FC" w14:textId="77777777" w:rsidR="00805325" w:rsidRPr="00E80935" w:rsidRDefault="00805325" w:rsidP="00805325">
      <w:pPr>
        <w:ind w:left="1440"/>
        <w:rPr>
          <w:rStyle w:val="Strong"/>
          <w:b w:val="0"/>
          <w:color w:val="000000"/>
        </w:rPr>
      </w:pPr>
    </w:p>
    <w:p w14:paraId="4D1132C2" w14:textId="144CB168" w:rsidR="00805325" w:rsidRPr="00E80935" w:rsidRDefault="00805325" w:rsidP="008B5D1E">
      <w:pPr>
        <w:numPr>
          <w:ilvl w:val="0"/>
          <w:numId w:val="13"/>
        </w:numPr>
        <w:rPr>
          <w:rStyle w:val="Strong"/>
          <w:b w:val="0"/>
          <w:color w:val="000000"/>
        </w:rPr>
      </w:pPr>
      <w:r w:rsidRPr="00E80935">
        <w:rPr>
          <w:rStyle w:val="Strong"/>
          <w:b w:val="0"/>
        </w:rPr>
        <w:t xml:space="preserve">Next, the remaining facilities in each of the three groups are sorted by </w:t>
      </w:r>
      <w:r w:rsidR="00CB3395" w:rsidRPr="00E80935">
        <w:rPr>
          <w:rStyle w:val="Strong"/>
          <w:b w:val="0"/>
        </w:rPr>
        <w:t>size</w:t>
      </w:r>
      <w:r w:rsidRPr="00E80935">
        <w:rPr>
          <w:rStyle w:val="Strong"/>
          <w:b w:val="0"/>
        </w:rPr>
        <w:t xml:space="preserve">. </w:t>
      </w:r>
      <w:r w:rsidR="0096568B" w:rsidRPr="00E80935">
        <w:rPr>
          <w:rStyle w:val="Strong"/>
          <w:b w:val="0"/>
        </w:rPr>
        <w:t xml:space="preserve">Using the same method to determine certainty size cut-offs as used for private prisons, </w:t>
      </w:r>
    </w:p>
    <w:p w14:paraId="0FB0FE65" w14:textId="7C7A6A1B" w:rsidR="00805325" w:rsidRPr="00E80935" w:rsidRDefault="0096568B" w:rsidP="00805325">
      <w:pPr>
        <w:numPr>
          <w:ilvl w:val="1"/>
          <w:numId w:val="13"/>
        </w:numPr>
        <w:rPr>
          <w:rStyle w:val="Strong"/>
          <w:b w:val="0"/>
          <w:color w:val="000000"/>
        </w:rPr>
      </w:pPr>
      <w:r w:rsidRPr="00E80935">
        <w:rPr>
          <w:rStyle w:val="Strong"/>
          <w:b w:val="0"/>
        </w:rPr>
        <w:t>large</w:t>
      </w:r>
      <w:r w:rsidR="00094872" w:rsidRPr="00E80935">
        <w:rPr>
          <w:rStyle w:val="Strong"/>
          <w:b w:val="0"/>
          <w:color w:val="000000"/>
        </w:rPr>
        <w:t xml:space="preserve"> detention facilities</w:t>
      </w:r>
      <w:r w:rsidR="00805325" w:rsidRPr="00E80935">
        <w:rPr>
          <w:rStyle w:val="Strong"/>
          <w:b w:val="0"/>
          <w:color w:val="000000"/>
        </w:rPr>
        <w:t xml:space="preserve"> are sampled with certainty due to their size</w:t>
      </w:r>
      <w:r w:rsidR="00094872" w:rsidRPr="00E80935">
        <w:rPr>
          <w:rStyle w:val="Strong"/>
          <w:b w:val="0"/>
          <w:color w:val="000000"/>
        </w:rPr>
        <w:t xml:space="preserve">, </w:t>
      </w:r>
    </w:p>
    <w:p w14:paraId="160CA850" w14:textId="56AFA51F" w:rsidR="00805325" w:rsidRPr="00E80935" w:rsidRDefault="00805325" w:rsidP="00805325">
      <w:pPr>
        <w:numPr>
          <w:ilvl w:val="1"/>
          <w:numId w:val="13"/>
        </w:numPr>
        <w:rPr>
          <w:rStyle w:val="Strong"/>
          <w:b w:val="0"/>
          <w:color w:val="000000"/>
        </w:rPr>
      </w:pPr>
      <w:r w:rsidRPr="00E80935">
        <w:rPr>
          <w:rStyle w:val="Strong"/>
          <w:b w:val="0"/>
          <w:color w:val="000000"/>
        </w:rPr>
        <w:t xml:space="preserve">large </w:t>
      </w:r>
      <w:r w:rsidR="00094872" w:rsidRPr="00E80935">
        <w:rPr>
          <w:rStyle w:val="Strong"/>
          <w:b w:val="0"/>
          <w:color w:val="000000"/>
        </w:rPr>
        <w:t>local facilities</w:t>
      </w:r>
      <w:r w:rsidRPr="00E80935">
        <w:rPr>
          <w:rStyle w:val="FootnoteReference"/>
          <w:b/>
          <w:color w:val="000000"/>
        </w:rPr>
        <w:t xml:space="preserve"> </w:t>
      </w:r>
      <w:r w:rsidRPr="00E80935">
        <w:rPr>
          <w:rStyle w:val="Strong"/>
          <w:b w:val="0"/>
          <w:color w:val="000000"/>
        </w:rPr>
        <w:t>are sampled with certainty due to their size</w:t>
      </w:r>
      <w:r w:rsidR="00187C30" w:rsidRPr="00E80935">
        <w:rPr>
          <w:rStyle w:val="Strong"/>
          <w:b w:val="0"/>
          <w:color w:val="000000"/>
        </w:rPr>
        <w:t>,</w:t>
      </w:r>
      <w:r w:rsidR="00094872" w:rsidRPr="00E80935">
        <w:rPr>
          <w:rStyle w:val="Strong"/>
          <w:b w:val="0"/>
          <w:color w:val="000000"/>
        </w:rPr>
        <w:t xml:space="preserve"> and </w:t>
      </w:r>
    </w:p>
    <w:p w14:paraId="23BBA577" w14:textId="3E5179F5" w:rsidR="00094872" w:rsidRPr="00E80935" w:rsidRDefault="00805325" w:rsidP="00805325">
      <w:pPr>
        <w:numPr>
          <w:ilvl w:val="1"/>
          <w:numId w:val="13"/>
        </w:numPr>
        <w:rPr>
          <w:rStyle w:val="Strong"/>
          <w:b w:val="0"/>
          <w:color w:val="000000"/>
        </w:rPr>
      </w:pPr>
      <w:r w:rsidRPr="00E80935">
        <w:rPr>
          <w:rStyle w:val="Strong"/>
          <w:b w:val="0"/>
          <w:color w:val="000000"/>
        </w:rPr>
        <w:t xml:space="preserve">large </w:t>
      </w:r>
      <w:r w:rsidR="00094872" w:rsidRPr="00E80935">
        <w:rPr>
          <w:rStyle w:val="Strong"/>
          <w:b w:val="0"/>
          <w:color w:val="000000"/>
        </w:rPr>
        <w:t xml:space="preserve">private facilities </w:t>
      </w:r>
      <w:r w:rsidR="00E04CD1" w:rsidRPr="00E80935">
        <w:rPr>
          <w:rStyle w:val="Strong"/>
          <w:b w:val="0"/>
          <w:color w:val="000000"/>
        </w:rPr>
        <w:t>are</w:t>
      </w:r>
      <w:r w:rsidR="00094872" w:rsidRPr="00E80935">
        <w:rPr>
          <w:rStyle w:val="Strong"/>
          <w:b w:val="0"/>
          <w:color w:val="000000"/>
        </w:rPr>
        <w:t xml:space="preserve"> sampled with certainty due to their size</w:t>
      </w:r>
      <w:r w:rsidR="00187C30" w:rsidRPr="00E80935">
        <w:rPr>
          <w:rStyle w:val="Strong"/>
          <w:b w:val="0"/>
          <w:color w:val="000000"/>
        </w:rPr>
        <w:t>.</w:t>
      </w:r>
    </w:p>
    <w:p w14:paraId="70C78265" w14:textId="77777777" w:rsidR="00187C30" w:rsidRPr="00E80935" w:rsidRDefault="00187C30" w:rsidP="00187C30">
      <w:pPr>
        <w:pStyle w:val="ListParagraph"/>
        <w:rPr>
          <w:rStyle w:val="Strong"/>
          <w:b w:val="0"/>
          <w:color w:val="000000"/>
        </w:rPr>
      </w:pPr>
    </w:p>
    <w:p w14:paraId="0EEB244A" w14:textId="77777777" w:rsidR="00CB3395" w:rsidRPr="00E80935" w:rsidRDefault="00CB3395" w:rsidP="00187C30">
      <w:pPr>
        <w:numPr>
          <w:ilvl w:val="0"/>
          <w:numId w:val="13"/>
        </w:numPr>
        <w:rPr>
          <w:rStyle w:val="Strong"/>
          <w:b w:val="0"/>
          <w:color w:val="000000"/>
        </w:rPr>
      </w:pPr>
      <w:r w:rsidRPr="00E80935">
        <w:rPr>
          <w:rStyle w:val="Strong"/>
          <w:b w:val="0"/>
          <w:color w:val="000000"/>
        </w:rPr>
        <w:t xml:space="preserve">The remaining facilities are serpentine sorted by geographic region (Midwest, Northeast, South, and West), state, facility type (detention, local, or private), and size. </w:t>
      </w:r>
    </w:p>
    <w:p w14:paraId="30E2576D" w14:textId="56C08AB6" w:rsidR="00187C30" w:rsidRPr="00E80935" w:rsidRDefault="0096568B" w:rsidP="00CB3395">
      <w:pPr>
        <w:numPr>
          <w:ilvl w:val="1"/>
          <w:numId w:val="13"/>
        </w:numPr>
        <w:rPr>
          <w:rStyle w:val="Strong"/>
          <w:b w:val="0"/>
          <w:color w:val="000000"/>
        </w:rPr>
      </w:pPr>
      <w:r w:rsidRPr="00E80935">
        <w:rPr>
          <w:rStyle w:val="Strong"/>
          <w:b w:val="0"/>
          <w:color w:val="000000"/>
        </w:rPr>
        <w:t>The remaining</w:t>
      </w:r>
      <w:r w:rsidR="00187C30" w:rsidRPr="00E80935">
        <w:rPr>
          <w:rStyle w:val="Strong"/>
          <w:b w:val="0"/>
          <w:color w:val="000000"/>
        </w:rPr>
        <w:t xml:space="preserve"> detention facilities </w:t>
      </w:r>
      <w:r w:rsidR="00CB3395" w:rsidRPr="00E80935">
        <w:rPr>
          <w:rStyle w:val="Strong"/>
          <w:b w:val="0"/>
          <w:color w:val="000000"/>
        </w:rPr>
        <w:t>are</w:t>
      </w:r>
      <w:r w:rsidR="00187C30" w:rsidRPr="00E80935">
        <w:rPr>
          <w:rStyle w:val="Strong"/>
          <w:b w:val="0"/>
          <w:color w:val="000000"/>
        </w:rPr>
        <w:t xml:space="preserve"> sampled with probabilities proportionate to size from </w:t>
      </w:r>
      <w:r w:rsidR="00C818D1" w:rsidRPr="00E80935">
        <w:rPr>
          <w:rStyle w:val="Strong"/>
          <w:b w:val="0"/>
          <w:color w:val="000000"/>
        </w:rPr>
        <w:t>4</w:t>
      </w:r>
      <w:r w:rsidR="00187C30" w:rsidRPr="00E80935">
        <w:rPr>
          <w:rStyle w:val="Strong"/>
          <w:b w:val="0"/>
          <w:color w:val="000000"/>
        </w:rPr>
        <w:t xml:space="preserve"> strata based on</w:t>
      </w:r>
      <w:r w:rsidR="00C818D1" w:rsidRPr="00E80935">
        <w:rPr>
          <w:rStyle w:val="Strong"/>
          <w:b w:val="0"/>
          <w:color w:val="000000"/>
        </w:rPr>
        <w:t xml:space="preserve"> geographic region</w:t>
      </w:r>
      <w:r w:rsidR="00187C30" w:rsidRPr="00E80935">
        <w:rPr>
          <w:rStyle w:val="Strong"/>
          <w:b w:val="0"/>
          <w:color w:val="000000"/>
        </w:rPr>
        <w:t xml:space="preserve">. </w:t>
      </w:r>
    </w:p>
    <w:p w14:paraId="0ACC1E4D" w14:textId="42A97AE4" w:rsidR="00CB3395" w:rsidRPr="00E80935" w:rsidRDefault="0096568B" w:rsidP="00CB3395">
      <w:pPr>
        <w:numPr>
          <w:ilvl w:val="1"/>
          <w:numId w:val="13"/>
        </w:numPr>
        <w:rPr>
          <w:rStyle w:val="Strong"/>
          <w:b w:val="0"/>
          <w:color w:val="000000"/>
        </w:rPr>
      </w:pPr>
      <w:r w:rsidRPr="00E80935">
        <w:rPr>
          <w:rStyle w:val="Strong"/>
          <w:b w:val="0"/>
          <w:color w:val="000000"/>
        </w:rPr>
        <w:t>The remaining</w:t>
      </w:r>
      <w:r w:rsidR="00C818D1" w:rsidRPr="00E80935">
        <w:rPr>
          <w:rStyle w:val="Strong"/>
          <w:b w:val="0"/>
          <w:color w:val="000000"/>
        </w:rPr>
        <w:t xml:space="preserve"> local facilities </w:t>
      </w:r>
      <w:r w:rsidR="00805325" w:rsidRPr="00E80935">
        <w:rPr>
          <w:rStyle w:val="Strong"/>
          <w:b w:val="0"/>
          <w:color w:val="000000"/>
        </w:rPr>
        <w:t>are divided into 2 strata based on commitment status (commitment and non-co</w:t>
      </w:r>
      <w:r w:rsidR="00CB3395" w:rsidRPr="00E80935">
        <w:rPr>
          <w:rStyle w:val="Strong"/>
          <w:b w:val="0"/>
          <w:color w:val="000000"/>
        </w:rPr>
        <w:t>m</w:t>
      </w:r>
      <w:r w:rsidR="00805325" w:rsidRPr="00E80935">
        <w:rPr>
          <w:rStyle w:val="Strong"/>
          <w:b w:val="0"/>
          <w:color w:val="000000"/>
        </w:rPr>
        <w:t xml:space="preserve">mitment), and </w:t>
      </w:r>
      <w:r w:rsidR="00C818D1" w:rsidRPr="00E80935">
        <w:rPr>
          <w:rStyle w:val="Strong"/>
          <w:b w:val="0"/>
          <w:color w:val="000000"/>
        </w:rPr>
        <w:t>sampled with probabilities proportionate to size.</w:t>
      </w:r>
    </w:p>
    <w:p w14:paraId="46633EDD" w14:textId="7F322B06" w:rsidR="00187C30" w:rsidRPr="00E80935" w:rsidRDefault="0096568B" w:rsidP="00CB3395">
      <w:pPr>
        <w:numPr>
          <w:ilvl w:val="1"/>
          <w:numId w:val="13"/>
        </w:numPr>
        <w:rPr>
          <w:rStyle w:val="Strong"/>
          <w:b w:val="0"/>
          <w:color w:val="000000"/>
        </w:rPr>
      </w:pPr>
      <w:r w:rsidRPr="00E80935">
        <w:rPr>
          <w:rStyle w:val="Strong"/>
          <w:b w:val="0"/>
          <w:color w:val="000000"/>
        </w:rPr>
        <w:t>The remaining</w:t>
      </w:r>
      <w:r w:rsidR="00C818D1" w:rsidRPr="00E80935">
        <w:rPr>
          <w:rStyle w:val="Strong"/>
          <w:b w:val="0"/>
          <w:color w:val="000000"/>
        </w:rPr>
        <w:t xml:space="preserve"> private facilities </w:t>
      </w:r>
      <w:r w:rsidR="00805325" w:rsidRPr="00E80935">
        <w:rPr>
          <w:rStyle w:val="Strong"/>
          <w:b w:val="0"/>
          <w:color w:val="000000"/>
        </w:rPr>
        <w:t>are</w:t>
      </w:r>
      <w:r w:rsidR="00264BA8" w:rsidRPr="00E80935">
        <w:rPr>
          <w:rStyle w:val="Strong"/>
          <w:b w:val="0"/>
          <w:color w:val="000000"/>
        </w:rPr>
        <w:t xml:space="preserve"> </w:t>
      </w:r>
      <w:r w:rsidRPr="00E80935">
        <w:rPr>
          <w:rStyle w:val="Strong"/>
          <w:b w:val="0"/>
          <w:color w:val="000000"/>
        </w:rPr>
        <w:t>sorted by region and state, then</w:t>
      </w:r>
      <w:r w:rsidR="00C818D1" w:rsidRPr="00E80935">
        <w:rPr>
          <w:rStyle w:val="Strong"/>
          <w:b w:val="0"/>
          <w:color w:val="000000"/>
        </w:rPr>
        <w:t xml:space="preserve"> sampled with probabilities proportionate to size.</w:t>
      </w:r>
    </w:p>
    <w:p w14:paraId="1A9B96FB" w14:textId="77777777" w:rsidR="006709E0" w:rsidRPr="00E80935" w:rsidRDefault="006709E0" w:rsidP="00D903C7">
      <w:pPr>
        <w:ind w:left="720"/>
        <w:rPr>
          <w:rFonts w:ascii="Times New Roman" w:hAnsi="Times New Roman"/>
          <w:color w:val="000000"/>
        </w:rPr>
      </w:pPr>
    </w:p>
    <w:p w14:paraId="1ADB858E" w14:textId="5A924C31" w:rsidR="002068F3" w:rsidRPr="00E80935" w:rsidRDefault="00D903C7" w:rsidP="00D3602F">
      <w:pPr>
        <w:ind w:left="720"/>
        <w:rPr>
          <w:rStyle w:val="Strong"/>
          <w:b w:val="0"/>
          <w:color w:val="000000"/>
        </w:rPr>
      </w:pPr>
      <w:r w:rsidRPr="00E80935">
        <w:rPr>
          <w:rFonts w:ascii="Times New Roman" w:hAnsi="Times New Roman"/>
          <w:color w:val="000000"/>
        </w:rPr>
        <w:t xml:space="preserve">Finally, </w:t>
      </w:r>
      <w:r w:rsidRPr="00E80935">
        <w:rPr>
          <w:rStyle w:val="Strong"/>
          <w:b w:val="0"/>
          <w:color w:val="000000"/>
        </w:rPr>
        <w:t xml:space="preserve">the </w:t>
      </w:r>
      <w:r w:rsidR="00CB3395" w:rsidRPr="00E80935">
        <w:rPr>
          <w:rStyle w:val="Strong"/>
          <w:b w:val="0"/>
          <w:color w:val="000000"/>
        </w:rPr>
        <w:t xml:space="preserve">juvenile </w:t>
      </w:r>
      <w:r w:rsidRPr="00E80935">
        <w:rPr>
          <w:rStyle w:val="Strong"/>
          <w:b w:val="0"/>
          <w:color w:val="000000"/>
        </w:rPr>
        <w:t>sample include</w:t>
      </w:r>
      <w:r w:rsidR="00CB3395" w:rsidRPr="00E80935">
        <w:rPr>
          <w:rStyle w:val="Strong"/>
          <w:b w:val="0"/>
          <w:color w:val="000000"/>
        </w:rPr>
        <w:t>s</w:t>
      </w:r>
      <w:r w:rsidRPr="00E80935">
        <w:rPr>
          <w:rStyle w:val="Strong"/>
          <w:b w:val="0"/>
          <w:color w:val="000000"/>
        </w:rPr>
        <w:t xml:space="preserve"> </w:t>
      </w:r>
      <w:r w:rsidR="00912C73" w:rsidRPr="00E80935">
        <w:rPr>
          <w:rStyle w:val="Strong"/>
          <w:b w:val="0"/>
          <w:color w:val="000000"/>
        </w:rPr>
        <w:t>all</w:t>
      </w:r>
      <w:r w:rsidRPr="00E80935">
        <w:rPr>
          <w:rStyle w:val="Strong"/>
          <w:b w:val="0"/>
          <w:color w:val="000000"/>
        </w:rPr>
        <w:t xml:space="preserve"> </w:t>
      </w:r>
      <w:r w:rsidR="00417078" w:rsidRPr="00E80935">
        <w:rPr>
          <w:rStyle w:val="Strong"/>
          <w:b w:val="0"/>
          <w:color w:val="000000"/>
        </w:rPr>
        <w:t xml:space="preserve">facilities in Indian country </w:t>
      </w:r>
      <w:r w:rsidR="00CB3395" w:rsidRPr="00E80935">
        <w:rPr>
          <w:rStyle w:val="Strong"/>
          <w:b w:val="0"/>
          <w:color w:val="000000"/>
        </w:rPr>
        <w:t>identified as housing exclusively</w:t>
      </w:r>
      <w:r w:rsidRPr="00E80935">
        <w:rPr>
          <w:rStyle w:val="Strong"/>
          <w:b w:val="0"/>
          <w:color w:val="000000"/>
        </w:rPr>
        <w:t xml:space="preserve"> juvenile</w:t>
      </w:r>
      <w:r w:rsidR="00417078" w:rsidRPr="00E80935">
        <w:rPr>
          <w:rStyle w:val="Strong"/>
          <w:b w:val="0"/>
          <w:color w:val="000000"/>
        </w:rPr>
        <w:t>s (19 in 2016</w:t>
      </w:r>
      <w:r w:rsidR="00CB3395" w:rsidRPr="00E80935">
        <w:rPr>
          <w:rStyle w:val="Strong"/>
          <w:b w:val="0"/>
          <w:color w:val="000000"/>
        </w:rPr>
        <w:t xml:space="preserve">, based on </w:t>
      </w:r>
      <w:r w:rsidRPr="00E80935">
        <w:rPr>
          <w:rStyle w:val="Strong"/>
          <w:b w:val="0"/>
          <w:color w:val="000000"/>
        </w:rPr>
        <w:t xml:space="preserve">the </w:t>
      </w:r>
      <w:r w:rsidR="00CB3395" w:rsidRPr="00E80935">
        <w:rPr>
          <w:rStyle w:val="Strong"/>
          <w:b w:val="0"/>
          <w:color w:val="000000"/>
        </w:rPr>
        <w:t xml:space="preserve">Annual </w:t>
      </w:r>
      <w:r w:rsidRPr="00E80935">
        <w:rPr>
          <w:rStyle w:val="Strong"/>
          <w:b w:val="0"/>
          <w:color w:val="000000"/>
        </w:rPr>
        <w:t>S</w:t>
      </w:r>
      <w:r w:rsidR="002068F3" w:rsidRPr="00E80935">
        <w:rPr>
          <w:rStyle w:val="Strong"/>
          <w:b w:val="0"/>
          <w:color w:val="000000"/>
        </w:rPr>
        <w:t>urvey of Jails in Indian Country</w:t>
      </w:r>
      <w:r w:rsidR="00CB3395" w:rsidRPr="00E80935">
        <w:rPr>
          <w:rStyle w:val="Strong"/>
          <w:b w:val="0"/>
          <w:color w:val="000000"/>
        </w:rPr>
        <w:t>)</w:t>
      </w:r>
      <w:r w:rsidRPr="00E80935">
        <w:rPr>
          <w:rStyle w:val="Strong"/>
          <w:b w:val="0"/>
          <w:color w:val="000000"/>
        </w:rPr>
        <w:t>.</w:t>
      </w:r>
      <w:r w:rsidR="00D60CD0" w:rsidRPr="00E80935">
        <w:rPr>
          <w:rStyle w:val="Strong"/>
          <w:b w:val="0"/>
          <w:color w:val="000000"/>
        </w:rPr>
        <w:t xml:space="preserve"> </w:t>
      </w:r>
      <w:r w:rsidR="00C818D1" w:rsidRPr="00E80935">
        <w:rPr>
          <w:rStyle w:val="Strong"/>
          <w:b w:val="0"/>
          <w:color w:val="000000"/>
        </w:rPr>
        <w:t>(</w:t>
      </w:r>
      <w:r w:rsidR="002068F3" w:rsidRPr="00E80935">
        <w:rPr>
          <w:rStyle w:val="Strong"/>
          <w:b w:val="0"/>
          <w:color w:val="000000"/>
        </w:rPr>
        <w:t xml:space="preserve">See Attachment </w:t>
      </w:r>
      <w:r w:rsidR="00774BC9" w:rsidRPr="00E80935">
        <w:rPr>
          <w:rStyle w:val="Strong"/>
          <w:b w:val="0"/>
          <w:color w:val="000000"/>
        </w:rPr>
        <w:t>6</w:t>
      </w:r>
      <w:r w:rsidR="00C457B0" w:rsidRPr="00E80935">
        <w:rPr>
          <w:rStyle w:val="Strong"/>
          <w:b w:val="0"/>
          <w:color w:val="000000"/>
        </w:rPr>
        <w:t xml:space="preserve"> </w:t>
      </w:r>
      <w:r w:rsidR="002068F3" w:rsidRPr="00E80935">
        <w:rPr>
          <w:rStyle w:val="Strong"/>
          <w:b w:val="0"/>
          <w:color w:val="000000"/>
        </w:rPr>
        <w:t>for detail</w:t>
      </w:r>
      <w:r w:rsidR="00D60CD0" w:rsidRPr="00E80935">
        <w:rPr>
          <w:rStyle w:val="Strong"/>
          <w:b w:val="0"/>
          <w:color w:val="000000"/>
        </w:rPr>
        <w:t>s for the 20</w:t>
      </w:r>
      <w:r w:rsidR="00C43732" w:rsidRPr="00E80935">
        <w:rPr>
          <w:rStyle w:val="Strong"/>
          <w:b w:val="0"/>
          <w:color w:val="000000"/>
        </w:rPr>
        <w:t>16</w:t>
      </w:r>
      <w:r w:rsidR="00D60CD0" w:rsidRPr="00E80935">
        <w:rPr>
          <w:rStyle w:val="Strong"/>
          <w:b w:val="0"/>
          <w:color w:val="000000"/>
        </w:rPr>
        <w:t xml:space="preserve"> sample</w:t>
      </w:r>
      <w:r w:rsidR="002068F3" w:rsidRPr="00E80935">
        <w:rPr>
          <w:rStyle w:val="Strong"/>
          <w:b w:val="0"/>
          <w:color w:val="000000"/>
        </w:rPr>
        <w:t>.</w:t>
      </w:r>
      <w:r w:rsidR="00C818D1" w:rsidRPr="00E80935">
        <w:rPr>
          <w:rStyle w:val="Strong"/>
          <w:b w:val="0"/>
          <w:color w:val="000000"/>
        </w:rPr>
        <w:t>)</w:t>
      </w:r>
    </w:p>
    <w:p w14:paraId="2127D36C" w14:textId="77777777" w:rsidR="00D3602F" w:rsidRPr="00E80935" w:rsidRDefault="00D3602F" w:rsidP="00D3602F">
      <w:pPr>
        <w:ind w:left="720"/>
        <w:rPr>
          <w:rStyle w:val="Strong"/>
          <w:b w:val="0"/>
          <w:color w:val="000000"/>
        </w:rPr>
      </w:pPr>
    </w:p>
    <w:p w14:paraId="0FE68764" w14:textId="3981CF10" w:rsidR="00D3602F" w:rsidRPr="00E80935" w:rsidRDefault="00DA581C" w:rsidP="00DA581C">
      <w:pPr>
        <w:ind w:left="720"/>
        <w:rPr>
          <w:rStyle w:val="Strong"/>
          <w:b w:val="0"/>
          <w:color w:val="000000"/>
        </w:rPr>
      </w:pPr>
      <w:r w:rsidRPr="00E80935">
        <w:rPr>
          <w:rStyle w:val="Strong"/>
          <w:b w:val="0"/>
        </w:rPr>
        <w:t>The total sample size over all types of systems and facilities is approximately 1</w:t>
      </w:r>
      <w:r w:rsidR="00640342" w:rsidRPr="00E80935">
        <w:rPr>
          <w:rStyle w:val="Strong"/>
          <w:b w:val="0"/>
        </w:rPr>
        <w:t>,</w:t>
      </w:r>
      <w:r w:rsidRPr="00E80935">
        <w:rPr>
          <w:rStyle w:val="Strong"/>
          <w:b w:val="0"/>
        </w:rPr>
        <w:t>580 sampling units per year</w:t>
      </w:r>
      <w:r w:rsidR="00D3602F" w:rsidRPr="00E80935">
        <w:rPr>
          <w:rStyle w:val="Strong"/>
          <w:b w:val="0"/>
          <w:color w:val="000000"/>
        </w:rPr>
        <w:t>.</w:t>
      </w:r>
    </w:p>
    <w:p w14:paraId="5D493BE6" w14:textId="77777777" w:rsidR="00443EFA" w:rsidRPr="00E80935" w:rsidRDefault="00443EFA" w:rsidP="00D903C7">
      <w:pPr>
        <w:ind w:left="720"/>
        <w:rPr>
          <w:rStyle w:val="Strong"/>
          <w:b w:val="0"/>
          <w:color w:val="000000"/>
        </w:rPr>
      </w:pPr>
    </w:p>
    <w:p w14:paraId="65D3C0DC" w14:textId="6DA9061A" w:rsidR="00791C9F" w:rsidRPr="00E80935" w:rsidRDefault="00B54A7D" w:rsidP="00FC76E1">
      <w:pPr>
        <w:widowControl/>
        <w:rPr>
          <w:rFonts w:ascii="Times New Roman" w:hAnsi="Times New Roman"/>
          <w:color w:val="000000"/>
        </w:rPr>
      </w:pPr>
      <w:r w:rsidRPr="00E80935">
        <w:rPr>
          <w:rFonts w:ascii="Times New Roman" w:hAnsi="Times New Roman"/>
          <w:color w:val="000000"/>
        </w:rPr>
        <w:t>2.</w:t>
      </w:r>
      <w:r w:rsidR="00791C9F" w:rsidRPr="00E80935">
        <w:rPr>
          <w:rFonts w:ascii="Times New Roman" w:hAnsi="Times New Roman"/>
          <w:color w:val="000000"/>
        </w:rPr>
        <w:tab/>
      </w:r>
      <w:r w:rsidR="00791C9F" w:rsidRPr="00E80935">
        <w:rPr>
          <w:rFonts w:ascii="Times New Roman" w:hAnsi="Times New Roman"/>
          <w:color w:val="000000"/>
          <w:u w:val="single"/>
        </w:rPr>
        <w:t>Procedures</w:t>
      </w:r>
      <w:r w:rsidR="00630F31" w:rsidRPr="00E80935">
        <w:rPr>
          <w:rFonts w:ascii="Times New Roman" w:hAnsi="Times New Roman"/>
          <w:color w:val="000000"/>
          <w:u w:val="single"/>
        </w:rPr>
        <w:t xml:space="preserve"> for Collecting Information</w:t>
      </w:r>
    </w:p>
    <w:p w14:paraId="079AA5D8" w14:textId="77777777" w:rsidR="00791C9F" w:rsidRPr="00E80935" w:rsidRDefault="00791C9F" w:rsidP="00D2460B">
      <w:pPr>
        <w:widowControl/>
        <w:rPr>
          <w:rFonts w:ascii="Times New Roman" w:hAnsi="Times New Roman"/>
          <w:color w:val="000000"/>
        </w:rPr>
      </w:pPr>
    </w:p>
    <w:p w14:paraId="5702FF76" w14:textId="0C43F6F4" w:rsidR="00046B9C" w:rsidRPr="00E80935" w:rsidRDefault="00D66CCF" w:rsidP="00A84038">
      <w:pPr>
        <w:ind w:left="720"/>
        <w:rPr>
          <w:rStyle w:val="Strong"/>
          <w:b w:val="0"/>
        </w:rPr>
      </w:pPr>
      <w:r w:rsidRPr="00E80935">
        <w:rPr>
          <w:rStyle w:val="Strong"/>
          <w:b w:val="0"/>
        </w:rPr>
        <w:t>Statistical methodology for stratification and sample selection are described above in</w:t>
      </w:r>
      <w:r w:rsidR="00364C9C" w:rsidRPr="00E80935">
        <w:rPr>
          <w:rStyle w:val="Strong"/>
          <w:b w:val="0"/>
        </w:rPr>
        <w:t xml:space="preserve">      </w:t>
      </w:r>
      <w:r w:rsidRPr="00E80935">
        <w:rPr>
          <w:rStyle w:val="Strong"/>
          <w:b w:val="0"/>
        </w:rPr>
        <w:t xml:space="preserve"> </w:t>
      </w:r>
      <w:r w:rsidRPr="00E80935">
        <w:rPr>
          <w:rStyle w:val="Strong"/>
          <w:b w:val="0"/>
          <w:i/>
        </w:rPr>
        <w:t>1.</w:t>
      </w:r>
      <w:r w:rsidRPr="00E80935">
        <w:rPr>
          <w:rStyle w:val="Strong"/>
          <w:b w:val="0"/>
        </w:rPr>
        <w:t xml:space="preserve"> </w:t>
      </w:r>
      <w:r w:rsidRPr="00E80935">
        <w:rPr>
          <w:rFonts w:ascii="Times New Roman" w:hAnsi="Times New Roman"/>
          <w:i/>
        </w:rPr>
        <w:t>Universe and Respondent Selection</w:t>
      </w:r>
      <w:r w:rsidRPr="00E80935">
        <w:rPr>
          <w:rStyle w:val="Strong"/>
          <w:b w:val="0"/>
        </w:rPr>
        <w:t xml:space="preserve">. </w:t>
      </w:r>
      <w:r w:rsidR="00DA581C" w:rsidRPr="00E80935">
        <w:rPr>
          <w:rStyle w:val="Strong"/>
          <w:b w:val="0"/>
        </w:rPr>
        <w:t xml:space="preserve">As mentioned above, the precision of </w:t>
      </w:r>
      <w:r w:rsidR="00320020" w:rsidRPr="00E80935">
        <w:rPr>
          <w:rStyle w:val="Strong"/>
          <w:b w:val="0"/>
        </w:rPr>
        <w:t xml:space="preserve">SSV data </w:t>
      </w:r>
      <w:r w:rsidR="00DA581C" w:rsidRPr="00E80935">
        <w:rPr>
          <w:rStyle w:val="Strong"/>
          <w:b w:val="0"/>
        </w:rPr>
        <w:t xml:space="preserve">is being evaluated. </w:t>
      </w:r>
      <w:r w:rsidRPr="00E80935">
        <w:rPr>
          <w:rStyle w:val="Strong"/>
          <w:b w:val="0"/>
        </w:rPr>
        <w:t xml:space="preserve">BJS will follow the same estimation procedures used for SSV 2016. Estimates </w:t>
      </w:r>
      <w:r w:rsidR="00D3602F" w:rsidRPr="00E80935">
        <w:rPr>
          <w:rStyle w:val="Strong"/>
          <w:b w:val="0"/>
        </w:rPr>
        <w:t>are</w:t>
      </w:r>
      <w:r w:rsidRPr="00E80935">
        <w:rPr>
          <w:rStyle w:val="Strong"/>
          <w:b w:val="0"/>
        </w:rPr>
        <w:t xml:space="preserve"> produce</w:t>
      </w:r>
      <w:r w:rsidR="00046B9C" w:rsidRPr="00E80935">
        <w:rPr>
          <w:rStyle w:val="Strong"/>
          <w:b w:val="0"/>
        </w:rPr>
        <w:t>d</w:t>
      </w:r>
      <w:r w:rsidRPr="00E80935">
        <w:rPr>
          <w:rStyle w:val="Strong"/>
          <w:b w:val="0"/>
        </w:rPr>
        <w:t xml:space="preserve"> using weighted data. Weights </w:t>
      </w:r>
      <w:r w:rsidR="00D3602F" w:rsidRPr="00E80935">
        <w:rPr>
          <w:rStyle w:val="Strong"/>
          <w:b w:val="0"/>
        </w:rPr>
        <w:t>are</w:t>
      </w:r>
      <w:r w:rsidRPr="00E80935">
        <w:rPr>
          <w:rStyle w:val="Strong"/>
          <w:b w:val="0"/>
        </w:rPr>
        <w:t xml:space="preserve"> calculated at the unit level and </w:t>
      </w:r>
      <w:r w:rsidR="00640342" w:rsidRPr="00E80935">
        <w:rPr>
          <w:rStyle w:val="Strong"/>
          <w:b w:val="0"/>
        </w:rPr>
        <w:t>are</w:t>
      </w:r>
      <w:r w:rsidRPr="00E80935">
        <w:rPr>
          <w:rStyle w:val="Strong"/>
          <w:b w:val="0"/>
        </w:rPr>
        <w:t xml:space="preserve"> equal to the reciprocal of the sampling probability for each facility, jurisdiction, or system. </w:t>
      </w:r>
    </w:p>
    <w:p w14:paraId="6D01D0AD" w14:textId="77777777" w:rsidR="00D60CD0" w:rsidRPr="00E80935" w:rsidRDefault="00D60CD0" w:rsidP="006E1CAB">
      <w:pPr>
        <w:widowControl/>
        <w:rPr>
          <w:rFonts w:ascii="Times New Roman" w:hAnsi="Times New Roman"/>
          <w:color w:val="000000"/>
        </w:rPr>
      </w:pPr>
    </w:p>
    <w:p w14:paraId="79AF62BF" w14:textId="79A0F545" w:rsidR="009328A1" w:rsidRPr="00E80935" w:rsidRDefault="00563258" w:rsidP="006E1CAB">
      <w:pPr>
        <w:widowControl/>
        <w:rPr>
          <w:rFonts w:ascii="Times New Roman" w:hAnsi="Times New Roman"/>
          <w:color w:val="000000"/>
        </w:rPr>
      </w:pPr>
      <w:r w:rsidRPr="00E80935">
        <w:rPr>
          <w:rFonts w:ascii="Times New Roman" w:hAnsi="Times New Roman"/>
          <w:color w:val="000000"/>
        </w:rPr>
        <w:t xml:space="preserve">3. </w:t>
      </w:r>
      <w:r w:rsidR="009328A1" w:rsidRPr="00E80935">
        <w:rPr>
          <w:rFonts w:ascii="Times New Roman" w:hAnsi="Times New Roman"/>
          <w:color w:val="000000"/>
        </w:rPr>
        <w:tab/>
      </w:r>
      <w:r w:rsidRPr="00E80935">
        <w:rPr>
          <w:rFonts w:ascii="Times New Roman" w:hAnsi="Times New Roman"/>
          <w:color w:val="000000"/>
          <w:u w:val="single"/>
        </w:rPr>
        <w:t>Methods to Maximize Response</w:t>
      </w:r>
      <w:r w:rsidR="00630F31" w:rsidRPr="00E80935">
        <w:rPr>
          <w:rFonts w:ascii="Times New Roman" w:hAnsi="Times New Roman"/>
          <w:color w:val="000000"/>
          <w:u w:val="single"/>
        </w:rPr>
        <w:t xml:space="preserve"> Rates</w:t>
      </w:r>
    </w:p>
    <w:p w14:paraId="586C3AC9" w14:textId="77777777" w:rsidR="009328A1" w:rsidRPr="00E80935" w:rsidRDefault="009328A1" w:rsidP="009328A1">
      <w:pPr>
        <w:widowControl/>
        <w:rPr>
          <w:rFonts w:ascii="Times New Roman" w:hAnsi="Times New Roman"/>
          <w:color w:val="000000"/>
        </w:rPr>
      </w:pPr>
    </w:p>
    <w:p w14:paraId="137078AD" w14:textId="7AF576F3" w:rsidR="007000F4" w:rsidRPr="00E80935" w:rsidRDefault="00DA581C" w:rsidP="007000F4">
      <w:pPr>
        <w:ind w:left="720"/>
        <w:rPr>
          <w:rStyle w:val="Strong"/>
          <w:b w:val="0"/>
        </w:rPr>
      </w:pPr>
      <w:r w:rsidRPr="00E80935">
        <w:rPr>
          <w:rStyle w:val="Strong"/>
          <w:b w:val="0"/>
        </w:rPr>
        <w:t xml:space="preserve">At the start of each collection, selected facilities </w:t>
      </w:r>
      <w:r w:rsidR="00046B9C" w:rsidRPr="00E80935">
        <w:rPr>
          <w:rStyle w:val="Strong"/>
          <w:b w:val="0"/>
        </w:rPr>
        <w:t xml:space="preserve">receive a </w:t>
      </w:r>
      <w:r w:rsidR="005C51E3" w:rsidRPr="00E80935">
        <w:rPr>
          <w:rStyle w:val="Strong"/>
          <w:b w:val="0"/>
        </w:rPr>
        <w:t>survey packet contain</w:t>
      </w:r>
      <w:r w:rsidR="007000F4" w:rsidRPr="00E80935">
        <w:rPr>
          <w:rStyle w:val="Strong"/>
          <w:b w:val="0"/>
        </w:rPr>
        <w:t>ing</w:t>
      </w:r>
      <w:r w:rsidR="005C51E3" w:rsidRPr="00E80935">
        <w:rPr>
          <w:rStyle w:val="Strong"/>
          <w:b w:val="0"/>
        </w:rPr>
        <w:t xml:space="preserve"> a </w:t>
      </w:r>
      <w:r w:rsidR="00046B9C" w:rsidRPr="00E80935">
        <w:rPr>
          <w:rStyle w:val="Strong"/>
          <w:b w:val="0"/>
        </w:rPr>
        <w:t>letter</w:t>
      </w:r>
      <w:r w:rsidR="00BC56FE" w:rsidRPr="00E80935">
        <w:rPr>
          <w:rStyle w:val="Strong"/>
          <w:b w:val="0"/>
        </w:rPr>
        <w:t xml:space="preserve"> signed by</w:t>
      </w:r>
      <w:r w:rsidR="007000F4" w:rsidRPr="00E80935">
        <w:rPr>
          <w:rStyle w:val="Strong"/>
          <w:b w:val="0"/>
        </w:rPr>
        <w:t xml:space="preserve"> the</w:t>
      </w:r>
      <w:r w:rsidR="00BC56FE" w:rsidRPr="00E80935">
        <w:rPr>
          <w:rStyle w:val="Strong"/>
          <w:b w:val="0"/>
        </w:rPr>
        <w:t xml:space="preserve"> BJS</w:t>
      </w:r>
      <w:r w:rsidR="005C51E3" w:rsidRPr="00E80935">
        <w:rPr>
          <w:rStyle w:val="FootnoteReference"/>
        </w:rPr>
        <w:t xml:space="preserve"> </w:t>
      </w:r>
      <w:r w:rsidR="007000F4" w:rsidRPr="00E80935">
        <w:t xml:space="preserve">Principal Deputy Director </w:t>
      </w:r>
      <w:r w:rsidR="005C51E3" w:rsidRPr="00E80935">
        <w:rPr>
          <w:rStyle w:val="Strong"/>
          <w:b w:val="0"/>
        </w:rPr>
        <w:t>describing PREA, the importance of the survey, and information about how to respond</w:t>
      </w:r>
      <w:r w:rsidR="00046B9C" w:rsidRPr="00E80935">
        <w:rPr>
          <w:rStyle w:val="Strong"/>
          <w:b w:val="0"/>
        </w:rPr>
        <w:t> (see Attachment 7)</w:t>
      </w:r>
      <w:r w:rsidR="005C51E3" w:rsidRPr="00E80935">
        <w:rPr>
          <w:rStyle w:val="Strong"/>
          <w:b w:val="0"/>
        </w:rPr>
        <w:t>. For those that have no history of responding by Web</w:t>
      </w:r>
      <w:r w:rsidR="002D3AD2" w:rsidRPr="00E80935">
        <w:rPr>
          <w:rStyle w:val="Strong"/>
          <w:b w:val="0"/>
        </w:rPr>
        <w:t>,</w:t>
      </w:r>
      <w:r w:rsidR="005C51E3" w:rsidRPr="00E80935">
        <w:rPr>
          <w:rStyle w:val="Strong"/>
          <w:b w:val="0"/>
        </w:rPr>
        <w:t xml:space="preserve"> </w:t>
      </w:r>
      <w:r w:rsidR="002D3AD2" w:rsidRPr="00E80935">
        <w:rPr>
          <w:rStyle w:val="Strong"/>
          <w:b w:val="0"/>
        </w:rPr>
        <w:t>paper</w:t>
      </w:r>
      <w:r w:rsidR="00046B9C" w:rsidRPr="00E80935">
        <w:rPr>
          <w:rStyle w:val="Strong"/>
          <w:b w:val="0"/>
        </w:rPr>
        <w:t xml:space="preserve"> cop</w:t>
      </w:r>
      <w:r w:rsidR="002D3AD2" w:rsidRPr="00E80935">
        <w:rPr>
          <w:rStyle w:val="Strong"/>
          <w:b w:val="0"/>
        </w:rPr>
        <w:t>ies</w:t>
      </w:r>
      <w:r w:rsidR="00046B9C" w:rsidRPr="00E80935">
        <w:rPr>
          <w:rStyle w:val="Strong"/>
          <w:b w:val="0"/>
        </w:rPr>
        <w:t xml:space="preserve"> of the SSV forms</w:t>
      </w:r>
      <w:r w:rsidR="00BC56FE" w:rsidRPr="00E80935">
        <w:rPr>
          <w:rStyle w:val="Strong"/>
          <w:b w:val="0"/>
        </w:rPr>
        <w:t xml:space="preserve"> </w:t>
      </w:r>
      <w:r w:rsidR="002D3AD2" w:rsidRPr="00E80935">
        <w:rPr>
          <w:rStyle w:val="Strong"/>
          <w:b w:val="0"/>
        </w:rPr>
        <w:t>will be included</w:t>
      </w:r>
      <w:r w:rsidR="006A5050" w:rsidRPr="00E80935">
        <w:rPr>
          <w:rStyle w:val="Strong"/>
          <w:b w:val="0"/>
        </w:rPr>
        <w:t xml:space="preserve"> in the packet</w:t>
      </w:r>
      <w:r w:rsidR="002D3AD2" w:rsidRPr="00E80935">
        <w:rPr>
          <w:rStyle w:val="Strong"/>
          <w:b w:val="0"/>
        </w:rPr>
        <w:t>.</w:t>
      </w:r>
      <w:r w:rsidR="00BC56FE" w:rsidRPr="00E80935">
        <w:rPr>
          <w:rStyle w:val="Strong"/>
          <w:b w:val="0"/>
        </w:rPr>
        <w:t xml:space="preserve"> BJS expects </w:t>
      </w:r>
      <w:r w:rsidR="005A00B8" w:rsidRPr="00E80935">
        <w:rPr>
          <w:rStyle w:val="Strong"/>
          <w:b w:val="0"/>
        </w:rPr>
        <w:t xml:space="preserve">the packets for SSV 2017 </w:t>
      </w:r>
      <w:r w:rsidR="00BC56FE" w:rsidRPr="00E80935">
        <w:rPr>
          <w:rStyle w:val="Strong"/>
          <w:b w:val="0"/>
        </w:rPr>
        <w:t xml:space="preserve">to </w:t>
      </w:r>
      <w:r w:rsidR="005A00B8" w:rsidRPr="00E80935">
        <w:rPr>
          <w:rStyle w:val="Strong"/>
          <w:b w:val="0"/>
        </w:rPr>
        <w:t xml:space="preserve">be mailed </w:t>
      </w:r>
      <w:r w:rsidR="00BC56FE" w:rsidRPr="00E80935">
        <w:rPr>
          <w:rStyle w:val="Strong"/>
          <w:b w:val="0"/>
        </w:rPr>
        <w:t xml:space="preserve">in </w:t>
      </w:r>
      <w:r w:rsidR="007000F4" w:rsidRPr="00E80935">
        <w:rPr>
          <w:rStyle w:val="Strong"/>
          <w:b w:val="0"/>
        </w:rPr>
        <w:t>early fall</w:t>
      </w:r>
      <w:r w:rsidR="00BC56FE" w:rsidRPr="00E80935">
        <w:rPr>
          <w:rStyle w:val="Strong"/>
          <w:b w:val="0"/>
        </w:rPr>
        <w:t xml:space="preserve"> 2018</w:t>
      </w:r>
      <w:r w:rsidR="00046B9C" w:rsidRPr="00E80935">
        <w:rPr>
          <w:rStyle w:val="Strong"/>
          <w:b w:val="0"/>
        </w:rPr>
        <w:t>, following OMB approval</w:t>
      </w:r>
      <w:r w:rsidR="00046B9C" w:rsidRPr="00E80935">
        <w:rPr>
          <w:rStyle w:val="Strong"/>
          <w:b w:val="0"/>
          <w:color w:val="000000"/>
        </w:rPr>
        <w:t>.</w:t>
      </w:r>
      <w:r w:rsidR="00046B9C" w:rsidRPr="00E80935">
        <w:rPr>
          <w:rStyle w:val="Strong"/>
          <w:b w:val="0"/>
        </w:rPr>
        <w:t xml:space="preserve"> </w:t>
      </w:r>
    </w:p>
    <w:p w14:paraId="0A03A018" w14:textId="77777777" w:rsidR="007000F4" w:rsidRPr="00E80935" w:rsidRDefault="007000F4" w:rsidP="007000F4">
      <w:pPr>
        <w:ind w:left="720"/>
        <w:rPr>
          <w:rStyle w:val="Strong"/>
          <w:b w:val="0"/>
        </w:rPr>
      </w:pPr>
    </w:p>
    <w:p w14:paraId="491A99DC" w14:textId="43A99511" w:rsidR="002D3AD2" w:rsidRPr="00E80935" w:rsidRDefault="005A00B8" w:rsidP="007000F4">
      <w:pPr>
        <w:ind w:left="720"/>
        <w:rPr>
          <w:rFonts w:ascii="Times New Roman" w:hAnsi="Times New Roman"/>
          <w:color w:val="000000"/>
        </w:rPr>
      </w:pPr>
      <w:r w:rsidRPr="00E80935">
        <w:rPr>
          <w:rStyle w:val="Strong"/>
          <w:b w:val="0"/>
        </w:rPr>
        <w:t>As the data collection agent, the U.S. Census Bureau will conduct the mailing, data collection, and follow-up.</w:t>
      </w:r>
      <w:r w:rsidR="007000F4" w:rsidRPr="00E80935">
        <w:rPr>
          <w:rFonts w:ascii="Times New Roman" w:hAnsi="Times New Roman"/>
          <w:color w:val="000000"/>
        </w:rPr>
        <w:t xml:space="preserve"> The </w:t>
      </w:r>
      <w:r w:rsidR="007000F4" w:rsidRPr="00E80935">
        <w:rPr>
          <w:rStyle w:val="Strong"/>
          <w:b w:val="0"/>
        </w:rPr>
        <w:t>Census Bureau will send out two reminder emails, one 4 weeks prior and one 2 weeks prior to the survey due date. Two weeks after the due date, they will follow up with non-respondents first by email and then by phone. Follow-up will be repeated about every two weeks until the data collection closes. (See Attachment 8 for non-response follow-up protocols.)</w:t>
      </w:r>
    </w:p>
    <w:p w14:paraId="75EBACAF" w14:textId="77777777" w:rsidR="002D3AD2" w:rsidRPr="00E80935" w:rsidRDefault="002D3AD2" w:rsidP="007000F4">
      <w:pPr>
        <w:ind w:left="720"/>
        <w:rPr>
          <w:rFonts w:ascii="Times New Roman" w:hAnsi="Times New Roman"/>
          <w:color w:val="000000"/>
        </w:rPr>
      </w:pPr>
    </w:p>
    <w:p w14:paraId="53F766DD" w14:textId="472D3B75" w:rsidR="00046B9C" w:rsidRPr="00E80935" w:rsidRDefault="002D3AD2" w:rsidP="002F228B">
      <w:pPr>
        <w:ind w:left="720"/>
        <w:rPr>
          <w:b/>
        </w:rPr>
      </w:pPr>
      <w:r w:rsidRPr="00E80935">
        <w:rPr>
          <w:rStyle w:val="Strong"/>
          <w:b w:val="0"/>
        </w:rPr>
        <w:t xml:space="preserve">SSV is a multi-mode survey. </w:t>
      </w:r>
      <w:r w:rsidR="00046B9C" w:rsidRPr="00E80935">
        <w:rPr>
          <w:rFonts w:ascii="Times New Roman" w:hAnsi="Times New Roman"/>
          <w:color w:val="000000"/>
        </w:rPr>
        <w:t xml:space="preserve">Respondents can </w:t>
      </w:r>
      <w:r w:rsidR="007000F4" w:rsidRPr="00E80935">
        <w:rPr>
          <w:rFonts w:ascii="Times New Roman" w:hAnsi="Times New Roman"/>
          <w:color w:val="000000"/>
        </w:rPr>
        <w:t>provide their</w:t>
      </w:r>
      <w:r w:rsidR="00046B9C" w:rsidRPr="00E80935">
        <w:rPr>
          <w:rFonts w:ascii="Times New Roman" w:hAnsi="Times New Roman"/>
          <w:color w:val="000000"/>
        </w:rPr>
        <w:t xml:space="preserve"> data </w:t>
      </w:r>
      <w:r w:rsidR="007000F4" w:rsidRPr="00E80935">
        <w:rPr>
          <w:rFonts w:ascii="Times New Roman" w:hAnsi="Times New Roman"/>
          <w:color w:val="000000"/>
        </w:rPr>
        <w:t>using a</w:t>
      </w:r>
      <w:r w:rsidR="00046B9C" w:rsidRPr="00E80935">
        <w:rPr>
          <w:rFonts w:ascii="Times New Roman" w:hAnsi="Times New Roman"/>
          <w:color w:val="000000"/>
        </w:rPr>
        <w:t xml:space="preserve"> paper </w:t>
      </w:r>
      <w:r w:rsidR="007000F4" w:rsidRPr="00E80935">
        <w:rPr>
          <w:rFonts w:ascii="Times New Roman" w:hAnsi="Times New Roman"/>
          <w:color w:val="000000"/>
        </w:rPr>
        <w:t>survey,</w:t>
      </w:r>
      <w:r w:rsidR="00046B9C" w:rsidRPr="00E80935">
        <w:rPr>
          <w:rFonts w:ascii="Times New Roman" w:hAnsi="Times New Roman"/>
          <w:color w:val="000000"/>
        </w:rPr>
        <w:t xml:space="preserve"> fillable PDF forms</w:t>
      </w:r>
      <w:r w:rsidR="007000F4" w:rsidRPr="00E80935">
        <w:rPr>
          <w:rFonts w:ascii="Times New Roman" w:hAnsi="Times New Roman"/>
          <w:color w:val="000000"/>
        </w:rPr>
        <w:t>,</w:t>
      </w:r>
      <w:r w:rsidR="00046B9C" w:rsidRPr="00E80935">
        <w:rPr>
          <w:rFonts w:ascii="Times New Roman" w:hAnsi="Times New Roman"/>
          <w:color w:val="000000"/>
        </w:rPr>
        <w:t xml:space="preserve"> or the Web</w:t>
      </w:r>
      <w:r w:rsidR="007000F4" w:rsidRPr="00E80935">
        <w:rPr>
          <w:rFonts w:ascii="Times New Roman" w:hAnsi="Times New Roman"/>
          <w:color w:val="000000"/>
        </w:rPr>
        <w:t>-based survey</w:t>
      </w:r>
      <w:r w:rsidR="00046B9C" w:rsidRPr="00E80935">
        <w:rPr>
          <w:rFonts w:ascii="Times New Roman" w:hAnsi="Times New Roman"/>
          <w:color w:val="000000"/>
        </w:rPr>
        <w:t xml:space="preserve">. </w:t>
      </w:r>
      <w:r w:rsidRPr="00E80935">
        <w:rPr>
          <w:rStyle w:val="Strong"/>
          <w:b w:val="0"/>
        </w:rPr>
        <w:t xml:space="preserve">A data extraction methodology </w:t>
      </w:r>
      <w:r w:rsidR="007000F4" w:rsidRPr="00E80935">
        <w:rPr>
          <w:rStyle w:val="Strong"/>
          <w:b w:val="0"/>
        </w:rPr>
        <w:t>is</w:t>
      </w:r>
      <w:r w:rsidRPr="00E80935">
        <w:rPr>
          <w:rStyle w:val="Strong"/>
          <w:b w:val="0"/>
        </w:rPr>
        <w:t xml:space="preserve"> also be</w:t>
      </w:r>
      <w:r w:rsidR="007000F4" w:rsidRPr="00E80935">
        <w:rPr>
          <w:rStyle w:val="Strong"/>
          <w:b w:val="0"/>
        </w:rPr>
        <w:t>ing</w:t>
      </w:r>
      <w:r w:rsidRPr="00E80935">
        <w:rPr>
          <w:rStyle w:val="Strong"/>
          <w:b w:val="0"/>
        </w:rPr>
        <w:t xml:space="preserve"> developed, whereby select</w:t>
      </w:r>
      <w:r w:rsidR="007000F4" w:rsidRPr="00E80935">
        <w:rPr>
          <w:rStyle w:val="Strong"/>
          <w:b w:val="0"/>
        </w:rPr>
        <w:t>ed</w:t>
      </w:r>
      <w:r w:rsidRPr="00E80935">
        <w:rPr>
          <w:rStyle w:val="Strong"/>
          <w:b w:val="0"/>
        </w:rPr>
        <w:t xml:space="preserve"> state systems or very large jail jurisdictions </w:t>
      </w:r>
      <w:r w:rsidR="007000F4" w:rsidRPr="00E80935">
        <w:rPr>
          <w:rStyle w:val="Strong"/>
          <w:b w:val="0"/>
        </w:rPr>
        <w:t>will have the ability to</w:t>
      </w:r>
      <w:r w:rsidRPr="00E80935">
        <w:rPr>
          <w:rStyle w:val="Strong"/>
          <w:b w:val="0"/>
        </w:rPr>
        <w:t xml:space="preserve"> provide files from their records management systems (i.e., electronic datasets), </w:t>
      </w:r>
      <w:r w:rsidR="007000F4" w:rsidRPr="00E80935">
        <w:rPr>
          <w:rStyle w:val="Strong"/>
          <w:b w:val="0"/>
        </w:rPr>
        <w:t>from which</w:t>
      </w:r>
      <w:r w:rsidRPr="00E80935">
        <w:rPr>
          <w:rStyle w:val="Strong"/>
          <w:b w:val="0"/>
        </w:rPr>
        <w:t xml:space="preserve"> the Census Bureau will extract the information to populate the annual SSV dataset.</w:t>
      </w:r>
      <w:r w:rsidR="00364C9C" w:rsidRPr="00E80935">
        <w:rPr>
          <w:rStyle w:val="Strong"/>
          <w:b w:val="0"/>
        </w:rPr>
        <w:t xml:space="preserve"> </w:t>
      </w:r>
    </w:p>
    <w:p w14:paraId="5158D29E" w14:textId="77777777" w:rsidR="00046B9C" w:rsidRPr="00E80935" w:rsidRDefault="00046B9C" w:rsidP="00595856">
      <w:pPr>
        <w:ind w:left="720"/>
      </w:pPr>
    </w:p>
    <w:p w14:paraId="22998C64" w14:textId="226481DA" w:rsidR="00595856" w:rsidRPr="00E80935" w:rsidRDefault="00595856" w:rsidP="00595856">
      <w:pPr>
        <w:ind w:left="720"/>
        <w:rPr>
          <w:rStyle w:val="Strong"/>
          <w:b w:val="0"/>
        </w:rPr>
      </w:pPr>
      <w:r w:rsidRPr="00E80935">
        <w:t xml:space="preserve">Overall, participation is expected to exceed 95% for </w:t>
      </w:r>
      <w:r w:rsidR="005A00B8" w:rsidRPr="00E80935">
        <w:t xml:space="preserve">the </w:t>
      </w:r>
      <w:r w:rsidRPr="00E80935">
        <w:t>SSV 2017</w:t>
      </w:r>
      <w:r w:rsidR="005A00B8" w:rsidRPr="00E80935">
        <w:t>, 2018, and 20</w:t>
      </w:r>
      <w:r w:rsidRPr="00E80935">
        <w:t>19 collection years</w:t>
      </w:r>
      <w:r w:rsidR="00EB12B8" w:rsidRPr="00E80935">
        <w:t xml:space="preserve"> based on prior year response rates</w:t>
      </w:r>
      <w:r w:rsidRPr="00E80935">
        <w:t xml:space="preserve">. In 2016, </w:t>
      </w:r>
      <w:r w:rsidR="00EB12B8" w:rsidRPr="00E80935">
        <w:t>95% of sampled systems and facilities responded</w:t>
      </w:r>
      <w:r w:rsidR="006A5050" w:rsidRPr="00E80935">
        <w:t>. For adult facilities</w:t>
      </w:r>
      <w:r w:rsidR="00EB12B8" w:rsidRPr="00E80935">
        <w:t xml:space="preserve">, </w:t>
      </w:r>
      <w:r w:rsidRPr="00E80935">
        <w:t>a</w:t>
      </w:r>
      <w:r w:rsidRPr="00E80935">
        <w:rPr>
          <w:rStyle w:val="Strong"/>
          <w:b w:val="0"/>
        </w:rPr>
        <w:t>ll 50 state departments of correction</w:t>
      </w:r>
      <w:r w:rsidR="006A5050" w:rsidRPr="00E80935">
        <w:rPr>
          <w:rStyle w:val="Strong"/>
          <w:b w:val="0"/>
        </w:rPr>
        <w:t>,</w:t>
      </w:r>
      <w:r w:rsidRPr="00E80935">
        <w:rPr>
          <w:rStyle w:val="Strong"/>
          <w:b w:val="0"/>
        </w:rPr>
        <w:t xml:space="preserve"> the Federal Bureau of Prisons, and all military and </w:t>
      </w:r>
      <w:r w:rsidR="00443EFA" w:rsidRPr="00E80935">
        <w:rPr>
          <w:rStyle w:val="Strong"/>
          <w:b w:val="0"/>
        </w:rPr>
        <w:t xml:space="preserve">dedicated </w:t>
      </w:r>
      <w:r w:rsidRPr="00E80935">
        <w:rPr>
          <w:rStyle w:val="Strong"/>
          <w:b w:val="0"/>
        </w:rPr>
        <w:t xml:space="preserve">ICE facilities responded. Among the </w:t>
      </w:r>
      <w:r w:rsidR="005D634C" w:rsidRPr="00E80935">
        <w:rPr>
          <w:rStyle w:val="Strong"/>
          <w:b w:val="0"/>
        </w:rPr>
        <w:t xml:space="preserve">698 </w:t>
      </w:r>
      <w:r w:rsidRPr="00E80935">
        <w:rPr>
          <w:rStyle w:val="Strong"/>
          <w:b w:val="0"/>
        </w:rPr>
        <w:t>public jail jurisdictions sampled in 2016, 27 did not respond to the survey.</w:t>
      </w:r>
      <w:r w:rsidR="00AD07C1" w:rsidRPr="00E80935">
        <w:rPr>
          <w:rStyle w:val="Strong"/>
          <w:b w:val="0"/>
        </w:rPr>
        <w:t xml:space="preserve"> (See table 3.)</w:t>
      </w:r>
      <w:r w:rsidRPr="00E80935">
        <w:rPr>
          <w:rStyle w:val="Strong"/>
          <w:b w:val="0"/>
        </w:rPr>
        <w:t xml:space="preserve"> Six (out of 25) sampled Indian country jails and 4 (out of 1</w:t>
      </w:r>
      <w:r w:rsidR="005D634C" w:rsidRPr="00E80935">
        <w:rPr>
          <w:rStyle w:val="Strong"/>
          <w:b w:val="0"/>
        </w:rPr>
        <w:t>43</w:t>
      </w:r>
      <w:r w:rsidRPr="00E80935">
        <w:rPr>
          <w:rStyle w:val="Strong"/>
          <w:b w:val="0"/>
        </w:rPr>
        <w:t xml:space="preserve">) private adult </w:t>
      </w:r>
      <w:r w:rsidR="00443EFA" w:rsidRPr="00E80935">
        <w:rPr>
          <w:rStyle w:val="Strong"/>
          <w:b w:val="0"/>
        </w:rPr>
        <w:t>prisons</w:t>
      </w:r>
      <w:r w:rsidRPr="00E80935">
        <w:rPr>
          <w:rStyle w:val="Strong"/>
          <w:b w:val="0"/>
        </w:rPr>
        <w:t xml:space="preserve"> did not respond. For juvenile facilities, </w:t>
      </w:r>
      <w:r w:rsidR="006A5050" w:rsidRPr="00E80935">
        <w:rPr>
          <w:rStyle w:val="Strong"/>
          <w:b w:val="0"/>
        </w:rPr>
        <w:t xml:space="preserve">all state juvenile systems responded. Twelve </w:t>
      </w:r>
      <w:r w:rsidRPr="00E80935">
        <w:rPr>
          <w:rStyle w:val="Strong"/>
          <w:b w:val="0"/>
        </w:rPr>
        <w:t xml:space="preserve">(out of 257) </w:t>
      </w:r>
      <w:r w:rsidR="00443EFA" w:rsidRPr="00E80935">
        <w:rPr>
          <w:rStyle w:val="Strong"/>
          <w:b w:val="0"/>
        </w:rPr>
        <w:t xml:space="preserve">local facilities, </w:t>
      </w:r>
      <w:r w:rsidRPr="00E80935">
        <w:rPr>
          <w:rStyle w:val="Strong"/>
          <w:b w:val="0"/>
        </w:rPr>
        <w:t>24 (out of 249) private facilities</w:t>
      </w:r>
      <w:r w:rsidR="00443EFA" w:rsidRPr="00E80935">
        <w:rPr>
          <w:rStyle w:val="Strong"/>
          <w:b w:val="0"/>
        </w:rPr>
        <w:t>, and 2 (out of 19) juvenile facilities in Indian country</w:t>
      </w:r>
      <w:r w:rsidRPr="00E80935">
        <w:rPr>
          <w:rStyle w:val="Strong"/>
          <w:b w:val="0"/>
        </w:rPr>
        <w:t xml:space="preserve"> did not respond. (Counts exclude facilities that closed or no longer housed inmates or juvenile offenders.)</w:t>
      </w:r>
    </w:p>
    <w:p w14:paraId="77AB911F" w14:textId="77777777" w:rsidR="00595856" w:rsidRPr="00E80935" w:rsidRDefault="00595856" w:rsidP="00595856"/>
    <w:p w14:paraId="0BEB4654" w14:textId="0CE0FBA3" w:rsidR="00595856" w:rsidRPr="00E80935" w:rsidRDefault="00595856" w:rsidP="009C7F25">
      <w:pPr>
        <w:widowControl/>
        <w:ind w:left="270"/>
        <w:rPr>
          <w:rFonts w:ascii="Arial" w:hAnsi="Arial" w:cs="Arial"/>
          <w:sz w:val="20"/>
          <w:szCs w:val="20"/>
        </w:rPr>
      </w:pPr>
      <w:r w:rsidRPr="00E80935">
        <w:rPr>
          <w:rFonts w:ascii="Arial" w:hAnsi="Arial" w:cs="Arial"/>
          <w:b/>
          <w:sz w:val="20"/>
          <w:szCs w:val="20"/>
        </w:rPr>
        <w:t xml:space="preserve">Table </w:t>
      </w:r>
      <w:r w:rsidR="00A67DB5" w:rsidRPr="00E80935">
        <w:rPr>
          <w:rFonts w:ascii="Arial" w:hAnsi="Arial" w:cs="Arial"/>
          <w:b/>
          <w:sz w:val="20"/>
          <w:szCs w:val="20"/>
        </w:rPr>
        <w:t>3</w:t>
      </w:r>
      <w:r w:rsidRPr="00E80935">
        <w:rPr>
          <w:rFonts w:ascii="Arial" w:hAnsi="Arial" w:cs="Arial"/>
          <w:b/>
          <w:sz w:val="20"/>
          <w:szCs w:val="20"/>
        </w:rPr>
        <w:t xml:space="preserve">. </w:t>
      </w:r>
      <w:r w:rsidR="008B75A1" w:rsidRPr="00E80935">
        <w:rPr>
          <w:rFonts w:ascii="Arial" w:hAnsi="Arial" w:cs="Arial"/>
          <w:b/>
          <w:sz w:val="20"/>
          <w:szCs w:val="20"/>
        </w:rPr>
        <w:t>Sampled</w:t>
      </w:r>
      <w:r w:rsidRPr="00E80935">
        <w:rPr>
          <w:rFonts w:ascii="Arial" w:hAnsi="Arial" w:cs="Arial"/>
          <w:b/>
          <w:sz w:val="20"/>
          <w:szCs w:val="20"/>
        </w:rPr>
        <w:t xml:space="preserve"> reporting units</w:t>
      </w:r>
      <w:r w:rsidR="008B75A1" w:rsidRPr="00E80935">
        <w:rPr>
          <w:rFonts w:ascii="Arial" w:hAnsi="Arial" w:cs="Arial"/>
          <w:b/>
          <w:sz w:val="20"/>
          <w:szCs w:val="20"/>
        </w:rPr>
        <w:t xml:space="preserve"> by type of facility and response status,</w:t>
      </w:r>
      <w:r w:rsidRPr="00E80935">
        <w:rPr>
          <w:rFonts w:ascii="Arial" w:hAnsi="Arial" w:cs="Arial"/>
          <w:b/>
          <w:sz w:val="20"/>
          <w:szCs w:val="20"/>
        </w:rPr>
        <w:t xml:space="preserve"> 2016</w:t>
      </w:r>
      <w:r w:rsidRPr="00E80935">
        <w:rPr>
          <w:rFonts w:ascii="Arial" w:hAnsi="Arial" w:cs="Arial"/>
          <w:sz w:val="20"/>
          <w:szCs w:val="20"/>
        </w:rPr>
        <w:t xml:space="preserve"> </w:t>
      </w:r>
    </w:p>
    <w:tbl>
      <w:tblPr>
        <w:tblW w:w="9450" w:type="dxa"/>
        <w:tblInd w:w="-8" w:type="dxa"/>
        <w:tblLayout w:type="fixed"/>
        <w:tblCellMar>
          <w:top w:w="14" w:type="dxa"/>
          <w:left w:w="29" w:type="dxa"/>
          <w:bottom w:w="14" w:type="dxa"/>
          <w:right w:w="29" w:type="dxa"/>
        </w:tblCellMar>
        <w:tblLook w:val="0000" w:firstRow="0" w:lastRow="0" w:firstColumn="0" w:lastColumn="0" w:noHBand="0" w:noVBand="0"/>
      </w:tblPr>
      <w:tblGrid>
        <w:gridCol w:w="270"/>
        <w:gridCol w:w="2700"/>
        <w:gridCol w:w="180"/>
        <w:gridCol w:w="720"/>
        <w:gridCol w:w="1170"/>
        <w:gridCol w:w="90"/>
        <w:gridCol w:w="990"/>
        <w:gridCol w:w="900"/>
        <w:gridCol w:w="180"/>
        <w:gridCol w:w="990"/>
        <w:gridCol w:w="90"/>
        <w:gridCol w:w="90"/>
        <w:gridCol w:w="900"/>
        <w:gridCol w:w="180"/>
      </w:tblGrid>
      <w:tr w:rsidR="004A610A" w:rsidRPr="00E80935" w14:paraId="082CD9A5" w14:textId="766725B4" w:rsidTr="006558B2">
        <w:trPr>
          <w:trHeight w:val="241"/>
        </w:trPr>
        <w:tc>
          <w:tcPr>
            <w:tcW w:w="2970" w:type="dxa"/>
            <w:gridSpan w:val="2"/>
            <w:tcBorders>
              <w:top w:val="single" w:sz="6" w:space="0" w:color="FFFFFF"/>
              <w:left w:val="single" w:sz="6" w:space="0" w:color="FFFFFF"/>
              <w:right w:val="single" w:sz="6" w:space="0" w:color="FFFFFF"/>
            </w:tcBorders>
            <w:vAlign w:val="bottom"/>
          </w:tcPr>
          <w:p w14:paraId="5BF5C5ED" w14:textId="77777777" w:rsidR="004A610A" w:rsidRPr="00E80935" w:rsidRDefault="004A610A" w:rsidP="00595856">
            <w:pPr>
              <w:widowControl/>
              <w:rPr>
                <w:rFonts w:ascii="Arial" w:hAnsi="Arial" w:cs="Arial"/>
                <w:sz w:val="20"/>
                <w:szCs w:val="20"/>
              </w:rPr>
            </w:pPr>
          </w:p>
        </w:tc>
        <w:tc>
          <w:tcPr>
            <w:tcW w:w="900" w:type="dxa"/>
            <w:gridSpan w:val="2"/>
            <w:tcBorders>
              <w:left w:val="single" w:sz="6" w:space="0" w:color="FFFFFF"/>
              <w:right w:val="single" w:sz="6" w:space="0" w:color="FFFFFF"/>
            </w:tcBorders>
            <w:vAlign w:val="bottom"/>
          </w:tcPr>
          <w:p w14:paraId="7EB704E3" w14:textId="77777777" w:rsidR="004A610A" w:rsidRPr="00E80935" w:rsidRDefault="004A610A" w:rsidP="00595856">
            <w:pPr>
              <w:jc w:val="center"/>
              <w:rPr>
                <w:rFonts w:ascii="Arial" w:hAnsi="Arial" w:cs="Arial"/>
                <w:sz w:val="20"/>
                <w:szCs w:val="20"/>
              </w:rPr>
            </w:pPr>
          </w:p>
        </w:tc>
        <w:tc>
          <w:tcPr>
            <w:tcW w:w="4320" w:type="dxa"/>
            <w:gridSpan w:val="6"/>
            <w:tcBorders>
              <w:left w:val="single" w:sz="6" w:space="0" w:color="FFFFFF"/>
              <w:bottom w:val="single" w:sz="6" w:space="0" w:color="auto"/>
            </w:tcBorders>
            <w:vAlign w:val="bottom"/>
          </w:tcPr>
          <w:p w14:paraId="30961192" w14:textId="3241D672" w:rsidR="004A610A" w:rsidRPr="00E80935" w:rsidRDefault="004A610A" w:rsidP="00595856">
            <w:pPr>
              <w:jc w:val="center"/>
              <w:rPr>
                <w:rFonts w:ascii="Arial" w:hAnsi="Arial" w:cs="Arial"/>
                <w:sz w:val="20"/>
                <w:szCs w:val="20"/>
              </w:rPr>
            </w:pPr>
            <w:r w:rsidRPr="00E80935">
              <w:rPr>
                <w:rFonts w:ascii="Arial" w:hAnsi="Arial" w:cs="Arial"/>
                <w:sz w:val="20"/>
                <w:szCs w:val="20"/>
              </w:rPr>
              <w:t>Reporting units</w:t>
            </w:r>
          </w:p>
        </w:tc>
        <w:tc>
          <w:tcPr>
            <w:tcW w:w="180" w:type="dxa"/>
            <w:gridSpan w:val="2"/>
          </w:tcPr>
          <w:p w14:paraId="7A1D5948" w14:textId="77777777" w:rsidR="004A610A" w:rsidRPr="00E80935" w:rsidRDefault="004A610A" w:rsidP="00595856">
            <w:pPr>
              <w:jc w:val="center"/>
              <w:rPr>
                <w:rFonts w:ascii="Arial" w:hAnsi="Arial" w:cs="Arial"/>
                <w:sz w:val="20"/>
                <w:szCs w:val="20"/>
              </w:rPr>
            </w:pPr>
          </w:p>
        </w:tc>
        <w:tc>
          <w:tcPr>
            <w:tcW w:w="1080" w:type="dxa"/>
            <w:gridSpan w:val="2"/>
          </w:tcPr>
          <w:p w14:paraId="6E1E6E7D" w14:textId="59B2E3F6" w:rsidR="004A610A" w:rsidRPr="00E80935" w:rsidRDefault="004A610A" w:rsidP="00595856">
            <w:pPr>
              <w:jc w:val="center"/>
              <w:rPr>
                <w:rFonts w:ascii="Arial" w:hAnsi="Arial" w:cs="Arial"/>
                <w:sz w:val="20"/>
                <w:szCs w:val="20"/>
              </w:rPr>
            </w:pPr>
            <w:r w:rsidRPr="00E80935">
              <w:rPr>
                <w:rFonts w:ascii="Arial" w:hAnsi="Arial" w:cs="Arial"/>
                <w:sz w:val="20"/>
                <w:szCs w:val="20"/>
              </w:rPr>
              <w:t xml:space="preserve">  </w:t>
            </w:r>
          </w:p>
        </w:tc>
      </w:tr>
      <w:tr w:rsidR="004A610A" w:rsidRPr="00E80935" w14:paraId="47101900" w14:textId="2081943E" w:rsidTr="009C7F25">
        <w:trPr>
          <w:gridBefore w:val="1"/>
          <w:gridAfter w:val="1"/>
          <w:wBefore w:w="270" w:type="dxa"/>
          <w:wAfter w:w="180" w:type="dxa"/>
          <w:trHeight w:val="241"/>
        </w:trPr>
        <w:tc>
          <w:tcPr>
            <w:tcW w:w="2880" w:type="dxa"/>
            <w:gridSpan w:val="2"/>
            <w:tcBorders>
              <w:left w:val="single" w:sz="6" w:space="0" w:color="FFFFFF"/>
              <w:bottom w:val="single" w:sz="6" w:space="0" w:color="auto"/>
              <w:right w:val="single" w:sz="6" w:space="0" w:color="FFFFFF"/>
            </w:tcBorders>
            <w:vAlign w:val="bottom"/>
          </w:tcPr>
          <w:p w14:paraId="3BA64CFC" w14:textId="77777777" w:rsidR="004A610A" w:rsidRPr="00E80935" w:rsidRDefault="004A610A" w:rsidP="00595856">
            <w:pPr>
              <w:widowControl/>
              <w:rPr>
                <w:rFonts w:ascii="Arial" w:hAnsi="Arial" w:cs="Arial"/>
                <w:sz w:val="20"/>
                <w:szCs w:val="20"/>
              </w:rPr>
            </w:pPr>
            <w:r w:rsidRPr="00E80935">
              <w:rPr>
                <w:rFonts w:ascii="Arial" w:hAnsi="Arial" w:cs="Arial"/>
                <w:sz w:val="20"/>
                <w:szCs w:val="20"/>
              </w:rPr>
              <w:t>Facility type</w:t>
            </w:r>
          </w:p>
        </w:tc>
        <w:tc>
          <w:tcPr>
            <w:tcW w:w="720" w:type="dxa"/>
            <w:tcBorders>
              <w:left w:val="single" w:sz="6" w:space="0" w:color="FFFFFF"/>
              <w:bottom w:val="single" w:sz="6" w:space="0" w:color="auto"/>
              <w:right w:val="single" w:sz="6" w:space="0" w:color="FFFFFF"/>
            </w:tcBorders>
            <w:vAlign w:val="bottom"/>
          </w:tcPr>
          <w:p w14:paraId="75E4224E" w14:textId="77777777" w:rsidR="004A610A" w:rsidRPr="00E80935" w:rsidRDefault="004A610A" w:rsidP="00595856">
            <w:pPr>
              <w:widowControl/>
              <w:rPr>
                <w:rFonts w:ascii="Arial" w:hAnsi="Arial" w:cs="Arial"/>
                <w:sz w:val="20"/>
                <w:szCs w:val="20"/>
              </w:rPr>
            </w:pPr>
            <w:r w:rsidRPr="00E80935">
              <w:rPr>
                <w:rFonts w:ascii="Arial" w:hAnsi="Arial" w:cs="Arial"/>
                <w:sz w:val="20"/>
                <w:szCs w:val="20"/>
              </w:rPr>
              <w:t>Form</w:t>
            </w:r>
          </w:p>
        </w:tc>
        <w:tc>
          <w:tcPr>
            <w:tcW w:w="1170" w:type="dxa"/>
            <w:tcBorders>
              <w:top w:val="single" w:sz="6" w:space="0" w:color="auto"/>
              <w:left w:val="single" w:sz="6" w:space="0" w:color="FFFFFF"/>
              <w:bottom w:val="single" w:sz="6" w:space="0" w:color="auto"/>
              <w:right w:val="single" w:sz="6" w:space="0" w:color="FFFFFF"/>
            </w:tcBorders>
            <w:vAlign w:val="bottom"/>
          </w:tcPr>
          <w:p w14:paraId="4C050478" w14:textId="7B93C848" w:rsidR="004A610A" w:rsidRPr="00E80935" w:rsidRDefault="004A610A" w:rsidP="00595856">
            <w:pPr>
              <w:widowControl/>
              <w:jc w:val="right"/>
              <w:rPr>
                <w:rFonts w:ascii="Arial" w:hAnsi="Arial" w:cs="Arial"/>
                <w:sz w:val="20"/>
                <w:szCs w:val="20"/>
              </w:rPr>
            </w:pPr>
            <w:r w:rsidRPr="00E80935">
              <w:rPr>
                <w:rFonts w:ascii="Arial" w:hAnsi="Arial" w:cs="Arial"/>
                <w:sz w:val="20"/>
                <w:szCs w:val="20"/>
              </w:rPr>
              <w:t>Sampled</w:t>
            </w:r>
          </w:p>
        </w:tc>
        <w:tc>
          <w:tcPr>
            <w:tcW w:w="90" w:type="dxa"/>
            <w:tcBorders>
              <w:top w:val="single" w:sz="6" w:space="0" w:color="auto"/>
              <w:left w:val="single" w:sz="6" w:space="0" w:color="FFFFFF"/>
              <w:bottom w:val="single" w:sz="6" w:space="0" w:color="auto"/>
              <w:right w:val="single" w:sz="6" w:space="0" w:color="FFFFFF"/>
            </w:tcBorders>
            <w:vAlign w:val="bottom"/>
          </w:tcPr>
          <w:p w14:paraId="77894C6D" w14:textId="77777777" w:rsidR="004A610A" w:rsidRPr="00E80935" w:rsidRDefault="004A610A" w:rsidP="00595856">
            <w:pPr>
              <w:rPr>
                <w:rFonts w:ascii="Arial" w:hAnsi="Arial" w:cs="Arial"/>
                <w:sz w:val="20"/>
                <w:szCs w:val="20"/>
              </w:rPr>
            </w:pPr>
          </w:p>
        </w:tc>
        <w:tc>
          <w:tcPr>
            <w:tcW w:w="990" w:type="dxa"/>
            <w:tcBorders>
              <w:top w:val="single" w:sz="6" w:space="0" w:color="auto"/>
              <w:left w:val="single" w:sz="6" w:space="0" w:color="FFFFFF"/>
              <w:bottom w:val="single" w:sz="6" w:space="0" w:color="auto"/>
              <w:right w:val="single" w:sz="6" w:space="0" w:color="FFFFFF"/>
            </w:tcBorders>
            <w:tcMar>
              <w:right w:w="144" w:type="dxa"/>
            </w:tcMar>
            <w:vAlign w:val="bottom"/>
          </w:tcPr>
          <w:p w14:paraId="6945F3D2" w14:textId="20834909" w:rsidR="004A610A" w:rsidRPr="00E80935" w:rsidRDefault="004A610A" w:rsidP="006558B2">
            <w:pPr>
              <w:jc w:val="right"/>
              <w:rPr>
                <w:rFonts w:ascii="Arial" w:hAnsi="Arial" w:cs="Arial"/>
                <w:sz w:val="20"/>
                <w:szCs w:val="20"/>
              </w:rPr>
            </w:pPr>
            <w:r w:rsidRPr="00E80935">
              <w:rPr>
                <w:rFonts w:ascii="Arial" w:hAnsi="Arial" w:cs="Arial"/>
                <w:sz w:val="20"/>
                <w:szCs w:val="20"/>
              </w:rPr>
              <w:t>Active</w:t>
            </w:r>
          </w:p>
        </w:tc>
        <w:tc>
          <w:tcPr>
            <w:tcW w:w="900" w:type="dxa"/>
            <w:tcBorders>
              <w:top w:val="single" w:sz="6" w:space="0" w:color="auto"/>
              <w:left w:val="single" w:sz="6" w:space="0" w:color="FFFFFF"/>
              <w:bottom w:val="single" w:sz="6" w:space="0" w:color="auto"/>
              <w:right w:val="single" w:sz="6" w:space="0" w:color="FFFFFF"/>
            </w:tcBorders>
            <w:tcMar>
              <w:right w:w="72" w:type="dxa"/>
            </w:tcMar>
            <w:vAlign w:val="bottom"/>
          </w:tcPr>
          <w:p w14:paraId="2BA9AA9F" w14:textId="0BCD0DD4" w:rsidR="004A610A" w:rsidRPr="00E80935" w:rsidRDefault="004A610A" w:rsidP="00595856">
            <w:pPr>
              <w:rPr>
                <w:rFonts w:ascii="Arial" w:hAnsi="Arial" w:cs="Arial"/>
                <w:sz w:val="20"/>
                <w:szCs w:val="20"/>
              </w:rPr>
            </w:pPr>
            <w:r w:rsidRPr="00E80935">
              <w:rPr>
                <w:rFonts w:ascii="Arial" w:hAnsi="Arial" w:cs="Arial"/>
                <w:sz w:val="20"/>
                <w:szCs w:val="20"/>
              </w:rPr>
              <w:t>Re</w:t>
            </w:r>
            <w:r w:rsidR="006558B2" w:rsidRPr="00E80935">
              <w:rPr>
                <w:rFonts w:ascii="Arial" w:hAnsi="Arial" w:cs="Arial"/>
                <w:sz w:val="20"/>
                <w:szCs w:val="20"/>
              </w:rPr>
              <w:t>-</w:t>
            </w:r>
            <w:r w:rsidRPr="00E80935">
              <w:rPr>
                <w:rFonts w:ascii="Arial" w:hAnsi="Arial" w:cs="Arial"/>
                <w:sz w:val="20"/>
                <w:szCs w:val="20"/>
              </w:rPr>
              <w:t>sponded</w:t>
            </w:r>
          </w:p>
        </w:tc>
        <w:tc>
          <w:tcPr>
            <w:tcW w:w="180" w:type="dxa"/>
            <w:tcBorders>
              <w:top w:val="single" w:sz="6" w:space="0" w:color="auto"/>
              <w:left w:val="single" w:sz="6" w:space="0" w:color="FFFFFF"/>
              <w:bottom w:val="single" w:sz="6" w:space="0" w:color="auto"/>
              <w:right w:val="single" w:sz="6" w:space="0" w:color="FFFFFF"/>
            </w:tcBorders>
            <w:vAlign w:val="bottom"/>
          </w:tcPr>
          <w:p w14:paraId="270365DD" w14:textId="77777777" w:rsidR="004A610A" w:rsidRPr="00E80935" w:rsidRDefault="004A610A" w:rsidP="00595856">
            <w:pPr>
              <w:rPr>
                <w:rFonts w:ascii="Arial" w:hAnsi="Arial" w:cs="Arial"/>
                <w:sz w:val="20"/>
                <w:szCs w:val="20"/>
              </w:rPr>
            </w:pPr>
          </w:p>
        </w:tc>
        <w:tc>
          <w:tcPr>
            <w:tcW w:w="990" w:type="dxa"/>
            <w:tcBorders>
              <w:top w:val="single" w:sz="6" w:space="0" w:color="auto"/>
              <w:left w:val="single" w:sz="6" w:space="0" w:color="FFFFFF"/>
              <w:bottom w:val="single" w:sz="6" w:space="0" w:color="auto"/>
            </w:tcBorders>
            <w:vAlign w:val="bottom"/>
          </w:tcPr>
          <w:p w14:paraId="4867896E" w14:textId="27B268EB" w:rsidR="004A610A" w:rsidRPr="00E80935" w:rsidRDefault="004A610A" w:rsidP="00595856">
            <w:pPr>
              <w:rPr>
                <w:rFonts w:ascii="Arial" w:hAnsi="Arial" w:cs="Arial"/>
                <w:sz w:val="20"/>
                <w:szCs w:val="20"/>
              </w:rPr>
            </w:pPr>
            <w:r w:rsidRPr="00E80935">
              <w:rPr>
                <w:rFonts w:ascii="Arial" w:hAnsi="Arial" w:cs="Arial"/>
                <w:sz w:val="20"/>
                <w:szCs w:val="20"/>
              </w:rPr>
              <w:t>Did not respond</w:t>
            </w:r>
          </w:p>
        </w:tc>
        <w:tc>
          <w:tcPr>
            <w:tcW w:w="90" w:type="dxa"/>
            <w:tcBorders>
              <w:bottom w:val="single" w:sz="4" w:space="0" w:color="auto"/>
            </w:tcBorders>
          </w:tcPr>
          <w:p w14:paraId="69F726B8" w14:textId="77777777" w:rsidR="004A610A" w:rsidRPr="00E80935" w:rsidRDefault="004A610A" w:rsidP="00595856">
            <w:pPr>
              <w:rPr>
                <w:rFonts w:ascii="Arial" w:hAnsi="Arial" w:cs="Arial"/>
                <w:sz w:val="20"/>
                <w:szCs w:val="20"/>
              </w:rPr>
            </w:pPr>
          </w:p>
        </w:tc>
        <w:tc>
          <w:tcPr>
            <w:tcW w:w="990" w:type="dxa"/>
            <w:gridSpan w:val="2"/>
            <w:tcBorders>
              <w:bottom w:val="single" w:sz="4" w:space="0" w:color="auto"/>
            </w:tcBorders>
          </w:tcPr>
          <w:p w14:paraId="2620D87B" w14:textId="309D307D" w:rsidR="004A610A" w:rsidRPr="00E80935" w:rsidRDefault="004A610A" w:rsidP="00595856">
            <w:pPr>
              <w:rPr>
                <w:rFonts w:ascii="Arial" w:hAnsi="Arial" w:cs="Arial"/>
                <w:sz w:val="20"/>
                <w:szCs w:val="20"/>
              </w:rPr>
            </w:pPr>
            <w:r w:rsidRPr="00E80935">
              <w:rPr>
                <w:rFonts w:ascii="Arial" w:hAnsi="Arial" w:cs="Arial"/>
                <w:sz w:val="20"/>
                <w:szCs w:val="20"/>
              </w:rPr>
              <w:t>Response rate</w:t>
            </w:r>
          </w:p>
        </w:tc>
      </w:tr>
      <w:tr w:rsidR="00D270E2" w:rsidRPr="00E80935" w14:paraId="126AF0C1" w14:textId="551DA4E0" w:rsidTr="009C7F25">
        <w:trPr>
          <w:gridBefore w:val="1"/>
          <w:gridAfter w:val="1"/>
          <w:wBefore w:w="270" w:type="dxa"/>
          <w:wAfter w:w="180" w:type="dxa"/>
          <w:trHeight w:val="268"/>
        </w:trPr>
        <w:tc>
          <w:tcPr>
            <w:tcW w:w="2880" w:type="dxa"/>
            <w:gridSpan w:val="2"/>
            <w:tcBorders>
              <w:top w:val="single" w:sz="6" w:space="0" w:color="auto"/>
              <w:left w:val="single" w:sz="6" w:space="0" w:color="FFFFFF"/>
              <w:bottom w:val="single" w:sz="6" w:space="0" w:color="FFFFFF"/>
              <w:right w:val="single" w:sz="6" w:space="0" w:color="FFFFFF"/>
            </w:tcBorders>
            <w:vAlign w:val="bottom"/>
          </w:tcPr>
          <w:p w14:paraId="4F9BFF3F"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Total</w:t>
            </w:r>
          </w:p>
        </w:tc>
        <w:tc>
          <w:tcPr>
            <w:tcW w:w="720" w:type="dxa"/>
            <w:tcBorders>
              <w:top w:val="single" w:sz="6" w:space="0" w:color="auto"/>
              <w:left w:val="single" w:sz="6" w:space="0" w:color="FFFFFF"/>
              <w:bottom w:val="single" w:sz="6" w:space="0" w:color="FFFFFF"/>
              <w:right w:val="single" w:sz="6" w:space="0" w:color="FFFFFF"/>
            </w:tcBorders>
            <w:vAlign w:val="bottom"/>
          </w:tcPr>
          <w:p w14:paraId="2E9C0375" w14:textId="77777777" w:rsidR="00D270E2" w:rsidRPr="00E80935" w:rsidRDefault="00D270E2" w:rsidP="00D270E2">
            <w:pPr>
              <w:widowControl/>
              <w:rPr>
                <w:rFonts w:ascii="Arial" w:hAnsi="Arial" w:cs="Arial"/>
                <w:sz w:val="20"/>
                <w:szCs w:val="20"/>
              </w:rPr>
            </w:pPr>
          </w:p>
        </w:tc>
        <w:tc>
          <w:tcPr>
            <w:tcW w:w="1170" w:type="dxa"/>
            <w:tcBorders>
              <w:top w:val="single" w:sz="6" w:space="0" w:color="auto"/>
              <w:left w:val="single" w:sz="6" w:space="0" w:color="FFFFFF"/>
              <w:bottom w:val="single" w:sz="6" w:space="0" w:color="FFFFFF"/>
              <w:right w:val="single" w:sz="6" w:space="0" w:color="FFFFFF"/>
            </w:tcBorders>
            <w:vAlign w:val="bottom"/>
          </w:tcPr>
          <w:p w14:paraId="323D64BD" w14:textId="6F26EF01" w:rsidR="00D270E2" w:rsidRPr="00E80935" w:rsidRDefault="00D270E2" w:rsidP="00D270E2">
            <w:pPr>
              <w:widowControl/>
              <w:jc w:val="right"/>
              <w:rPr>
                <w:rFonts w:ascii="Arial" w:hAnsi="Arial" w:cs="Arial"/>
                <w:strike/>
                <w:sz w:val="20"/>
                <w:szCs w:val="20"/>
              </w:rPr>
            </w:pPr>
            <w:r w:rsidRPr="00E80935">
              <w:rPr>
                <w:rFonts w:ascii="Arial" w:hAnsi="Arial" w:cs="Arial"/>
                <w:sz w:val="20"/>
                <w:szCs w:val="20"/>
              </w:rPr>
              <w:t>1,574</w:t>
            </w:r>
          </w:p>
        </w:tc>
        <w:tc>
          <w:tcPr>
            <w:tcW w:w="90" w:type="dxa"/>
            <w:tcBorders>
              <w:top w:val="single" w:sz="6" w:space="0" w:color="auto"/>
              <w:left w:val="single" w:sz="6" w:space="0" w:color="FFFFFF"/>
              <w:bottom w:val="single" w:sz="6" w:space="0" w:color="FFFFFF"/>
              <w:right w:val="single" w:sz="6" w:space="0" w:color="FFFFFF"/>
            </w:tcBorders>
            <w:vAlign w:val="bottom"/>
          </w:tcPr>
          <w:p w14:paraId="784E7A34" w14:textId="77777777" w:rsidR="00D270E2" w:rsidRPr="00E80935" w:rsidRDefault="00D270E2" w:rsidP="00D270E2">
            <w:pPr>
              <w:jc w:val="right"/>
              <w:rPr>
                <w:rFonts w:ascii="Arial" w:hAnsi="Arial" w:cs="Arial"/>
                <w:sz w:val="20"/>
                <w:szCs w:val="20"/>
              </w:rPr>
            </w:pPr>
          </w:p>
        </w:tc>
        <w:tc>
          <w:tcPr>
            <w:tcW w:w="990" w:type="dxa"/>
            <w:tcBorders>
              <w:top w:val="single" w:sz="6" w:space="0" w:color="auto"/>
              <w:left w:val="single" w:sz="6" w:space="0" w:color="FFFFFF"/>
              <w:bottom w:val="single" w:sz="6" w:space="0" w:color="FFFFFF"/>
              <w:right w:val="single" w:sz="6" w:space="0" w:color="FFFFFF"/>
            </w:tcBorders>
            <w:tcMar>
              <w:right w:w="144" w:type="dxa"/>
            </w:tcMar>
            <w:vAlign w:val="bottom"/>
          </w:tcPr>
          <w:p w14:paraId="75B30B08" w14:textId="77789784" w:rsidR="00D270E2" w:rsidRPr="00E80935" w:rsidRDefault="00D270E2" w:rsidP="00D270E2">
            <w:pPr>
              <w:jc w:val="right"/>
              <w:rPr>
                <w:rFonts w:ascii="Arial" w:hAnsi="Arial" w:cs="Arial"/>
                <w:sz w:val="20"/>
                <w:szCs w:val="20"/>
              </w:rPr>
            </w:pPr>
            <w:r w:rsidRPr="00E80935">
              <w:rPr>
                <w:rFonts w:ascii="Arial" w:hAnsi="Arial" w:cs="Arial"/>
                <w:sz w:val="20"/>
                <w:szCs w:val="20"/>
              </w:rPr>
              <w:t>1,540</w:t>
            </w:r>
          </w:p>
        </w:tc>
        <w:tc>
          <w:tcPr>
            <w:tcW w:w="900" w:type="dxa"/>
            <w:tcBorders>
              <w:top w:val="single" w:sz="6" w:space="0" w:color="auto"/>
              <w:left w:val="single" w:sz="6" w:space="0" w:color="FFFFFF"/>
              <w:bottom w:val="single" w:sz="6" w:space="0" w:color="FFFFFF"/>
              <w:right w:val="single" w:sz="6" w:space="0" w:color="FFFFFF"/>
            </w:tcBorders>
            <w:tcMar>
              <w:right w:w="72" w:type="dxa"/>
            </w:tcMar>
            <w:vAlign w:val="bottom"/>
          </w:tcPr>
          <w:p w14:paraId="58952CE2" w14:textId="6859954B" w:rsidR="00D270E2" w:rsidRPr="00E80935" w:rsidRDefault="00D270E2" w:rsidP="00D270E2">
            <w:pPr>
              <w:jc w:val="right"/>
              <w:rPr>
                <w:rFonts w:ascii="Arial" w:hAnsi="Arial" w:cs="Arial"/>
                <w:sz w:val="20"/>
                <w:szCs w:val="20"/>
              </w:rPr>
            </w:pPr>
            <w:r w:rsidRPr="00E80935">
              <w:rPr>
                <w:rFonts w:ascii="Arial" w:hAnsi="Arial" w:cs="Arial"/>
                <w:sz w:val="20"/>
                <w:szCs w:val="20"/>
              </w:rPr>
              <w:t>1,465</w:t>
            </w:r>
          </w:p>
        </w:tc>
        <w:tc>
          <w:tcPr>
            <w:tcW w:w="180" w:type="dxa"/>
            <w:tcBorders>
              <w:top w:val="single" w:sz="6" w:space="0" w:color="auto"/>
              <w:left w:val="single" w:sz="6" w:space="0" w:color="FFFFFF"/>
              <w:bottom w:val="single" w:sz="6" w:space="0" w:color="FFFFFF"/>
              <w:right w:val="single" w:sz="6" w:space="0" w:color="FFFFFF"/>
            </w:tcBorders>
            <w:vAlign w:val="bottom"/>
          </w:tcPr>
          <w:p w14:paraId="6DE7BFED" w14:textId="77777777" w:rsidR="00D270E2" w:rsidRPr="00E80935" w:rsidRDefault="00D270E2" w:rsidP="00D270E2">
            <w:pPr>
              <w:jc w:val="right"/>
              <w:rPr>
                <w:rFonts w:ascii="Arial" w:hAnsi="Arial" w:cs="Arial"/>
                <w:sz w:val="20"/>
                <w:szCs w:val="20"/>
              </w:rPr>
            </w:pPr>
          </w:p>
        </w:tc>
        <w:tc>
          <w:tcPr>
            <w:tcW w:w="990" w:type="dxa"/>
            <w:tcBorders>
              <w:top w:val="single" w:sz="6" w:space="0" w:color="auto"/>
              <w:left w:val="single" w:sz="6" w:space="0" w:color="FFFFFF"/>
              <w:bottom w:val="single" w:sz="6" w:space="0" w:color="FFFFFF"/>
            </w:tcBorders>
            <w:tcMar>
              <w:right w:w="288" w:type="dxa"/>
            </w:tcMar>
            <w:vAlign w:val="bottom"/>
          </w:tcPr>
          <w:p w14:paraId="6EBAE187" w14:textId="4FC13F47" w:rsidR="00D270E2" w:rsidRPr="00E80935" w:rsidRDefault="00D270E2" w:rsidP="00D270E2">
            <w:pPr>
              <w:jc w:val="right"/>
              <w:rPr>
                <w:rFonts w:ascii="Arial" w:hAnsi="Arial" w:cs="Arial"/>
                <w:sz w:val="20"/>
                <w:szCs w:val="20"/>
              </w:rPr>
            </w:pPr>
            <w:r w:rsidRPr="00E80935">
              <w:rPr>
                <w:rFonts w:ascii="Arial" w:hAnsi="Arial" w:cs="Arial"/>
                <w:sz w:val="20"/>
                <w:szCs w:val="20"/>
              </w:rPr>
              <w:t>75</w:t>
            </w:r>
          </w:p>
        </w:tc>
        <w:tc>
          <w:tcPr>
            <w:tcW w:w="90" w:type="dxa"/>
            <w:tcBorders>
              <w:top w:val="single" w:sz="4" w:space="0" w:color="auto"/>
            </w:tcBorders>
          </w:tcPr>
          <w:p w14:paraId="02937CB7" w14:textId="77777777" w:rsidR="00D270E2" w:rsidRPr="00E80935" w:rsidRDefault="00D270E2" w:rsidP="00D270E2">
            <w:pPr>
              <w:jc w:val="right"/>
              <w:rPr>
                <w:rFonts w:ascii="Arial" w:hAnsi="Arial" w:cs="Arial"/>
                <w:sz w:val="20"/>
                <w:szCs w:val="20"/>
              </w:rPr>
            </w:pPr>
          </w:p>
        </w:tc>
        <w:tc>
          <w:tcPr>
            <w:tcW w:w="990" w:type="dxa"/>
            <w:gridSpan w:val="2"/>
            <w:tcBorders>
              <w:top w:val="single" w:sz="4" w:space="0" w:color="auto"/>
            </w:tcBorders>
          </w:tcPr>
          <w:p w14:paraId="6D4AF612" w14:textId="43A56940" w:rsidR="00D270E2" w:rsidRPr="00E80935" w:rsidRDefault="00D270E2" w:rsidP="00D270E2">
            <w:pPr>
              <w:jc w:val="right"/>
              <w:rPr>
                <w:rFonts w:ascii="Arial" w:hAnsi="Arial" w:cs="Arial"/>
                <w:sz w:val="20"/>
                <w:szCs w:val="20"/>
              </w:rPr>
            </w:pPr>
            <w:r w:rsidRPr="00E80935">
              <w:rPr>
                <w:rFonts w:ascii="Arial" w:hAnsi="Arial" w:cs="Arial"/>
                <w:sz w:val="20"/>
                <w:szCs w:val="20"/>
              </w:rPr>
              <w:t>95%</w:t>
            </w:r>
          </w:p>
        </w:tc>
      </w:tr>
      <w:tr w:rsidR="00D270E2" w:rsidRPr="00E80935" w14:paraId="3CF49205" w14:textId="6FCF026D"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2BA2E791"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Prisons</w:t>
            </w:r>
          </w:p>
        </w:tc>
        <w:tc>
          <w:tcPr>
            <w:tcW w:w="720" w:type="dxa"/>
            <w:tcBorders>
              <w:top w:val="single" w:sz="6" w:space="0" w:color="FFFFFF"/>
              <w:left w:val="single" w:sz="6" w:space="0" w:color="FFFFFF"/>
              <w:bottom w:val="single" w:sz="6" w:space="0" w:color="FFFFFF"/>
              <w:right w:val="single" w:sz="6" w:space="0" w:color="FFFFFF"/>
            </w:tcBorders>
            <w:vAlign w:val="bottom"/>
          </w:tcPr>
          <w:p w14:paraId="239A7C25" w14:textId="77777777" w:rsidR="00D270E2" w:rsidRPr="00E80935" w:rsidRDefault="00D270E2" w:rsidP="00D270E2">
            <w:pPr>
              <w:widowControl/>
              <w:rPr>
                <w:rFonts w:ascii="Arial" w:hAnsi="Arial" w:cs="Arial"/>
                <w:sz w:val="20"/>
                <w:szCs w:val="20"/>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78996271"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2F628270"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7132C00D" w14:textId="77777777" w:rsidR="00D270E2" w:rsidRPr="00E80935" w:rsidRDefault="00D270E2" w:rsidP="00D270E2">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EC72F91" w14:textId="77777777" w:rsidR="00D270E2" w:rsidRPr="00E80935" w:rsidRDefault="00D270E2" w:rsidP="00D270E2">
            <w:pPr>
              <w:widowControl/>
              <w:jc w:val="right"/>
              <w:rPr>
                <w:rFonts w:ascii="Arial" w:hAnsi="Arial" w:cs="Arial"/>
                <w:sz w:val="20"/>
                <w:szCs w:val="20"/>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7A78B4EC"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03C1CD7B" w14:textId="77777777" w:rsidR="00D270E2" w:rsidRPr="00E80935" w:rsidRDefault="00D270E2" w:rsidP="00D270E2">
            <w:pPr>
              <w:widowControl/>
              <w:jc w:val="right"/>
              <w:rPr>
                <w:rFonts w:ascii="Arial" w:hAnsi="Arial" w:cs="Arial"/>
                <w:sz w:val="20"/>
                <w:szCs w:val="20"/>
              </w:rPr>
            </w:pPr>
          </w:p>
        </w:tc>
        <w:tc>
          <w:tcPr>
            <w:tcW w:w="90" w:type="dxa"/>
            <w:tcBorders>
              <w:left w:val="single" w:sz="6" w:space="0" w:color="FFFFFF"/>
              <w:bottom w:val="single" w:sz="6" w:space="0" w:color="FFFFFF"/>
              <w:right w:val="single" w:sz="6" w:space="0" w:color="FFFFFF"/>
            </w:tcBorders>
          </w:tcPr>
          <w:p w14:paraId="5BED6E33" w14:textId="77777777" w:rsidR="00D270E2" w:rsidRPr="00E80935" w:rsidRDefault="00D270E2" w:rsidP="00D270E2">
            <w:pPr>
              <w:widowControl/>
              <w:jc w:val="right"/>
              <w:rPr>
                <w:rFonts w:ascii="Arial" w:hAnsi="Arial" w:cs="Arial"/>
                <w:sz w:val="20"/>
                <w:szCs w:val="20"/>
              </w:rPr>
            </w:pPr>
          </w:p>
        </w:tc>
        <w:tc>
          <w:tcPr>
            <w:tcW w:w="990" w:type="dxa"/>
            <w:gridSpan w:val="2"/>
            <w:tcBorders>
              <w:left w:val="single" w:sz="6" w:space="0" w:color="FFFFFF"/>
              <w:bottom w:val="single" w:sz="6" w:space="0" w:color="FFFFFF"/>
              <w:right w:val="single" w:sz="6" w:space="0" w:color="FFFFFF"/>
            </w:tcBorders>
          </w:tcPr>
          <w:p w14:paraId="739D1365" w14:textId="77777777" w:rsidR="00D270E2" w:rsidRPr="00E80935" w:rsidRDefault="00D270E2" w:rsidP="00D270E2">
            <w:pPr>
              <w:widowControl/>
              <w:jc w:val="right"/>
              <w:rPr>
                <w:rFonts w:ascii="Arial" w:hAnsi="Arial" w:cs="Arial"/>
                <w:sz w:val="20"/>
                <w:szCs w:val="20"/>
              </w:rPr>
            </w:pPr>
          </w:p>
        </w:tc>
      </w:tr>
      <w:tr w:rsidR="00D270E2" w:rsidRPr="00E80935" w14:paraId="29AB42D6" w14:textId="6BFDF702" w:rsidTr="009C7F25">
        <w:trPr>
          <w:gridBefore w:val="1"/>
          <w:gridAfter w:val="1"/>
          <w:wBefore w:w="270" w:type="dxa"/>
          <w:wAfter w:w="180" w:type="dxa"/>
          <w:trHeight w:val="245"/>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0D929559"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Public – federal system</w:t>
            </w:r>
          </w:p>
        </w:tc>
        <w:tc>
          <w:tcPr>
            <w:tcW w:w="720" w:type="dxa"/>
            <w:tcBorders>
              <w:top w:val="single" w:sz="6" w:space="0" w:color="FFFFFF"/>
              <w:left w:val="single" w:sz="6" w:space="0" w:color="FFFFFF"/>
              <w:bottom w:val="single" w:sz="6" w:space="0" w:color="FFFFFF"/>
              <w:right w:val="single" w:sz="6" w:space="0" w:color="FFFFFF"/>
            </w:tcBorders>
            <w:vAlign w:val="bottom"/>
          </w:tcPr>
          <w:p w14:paraId="4B782E67"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SSV-1</w:t>
            </w:r>
          </w:p>
        </w:tc>
        <w:tc>
          <w:tcPr>
            <w:tcW w:w="1170" w:type="dxa"/>
            <w:tcBorders>
              <w:top w:val="single" w:sz="6" w:space="0" w:color="FFFFFF"/>
              <w:left w:val="single" w:sz="6" w:space="0" w:color="FFFFFF"/>
              <w:bottom w:val="single" w:sz="6" w:space="0" w:color="FFFFFF"/>
              <w:right w:val="single" w:sz="6" w:space="0" w:color="FFFFFF"/>
            </w:tcBorders>
            <w:vAlign w:val="bottom"/>
          </w:tcPr>
          <w:p w14:paraId="5C9912A9" w14:textId="43ABEF3A"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w:t>
            </w:r>
          </w:p>
        </w:tc>
        <w:tc>
          <w:tcPr>
            <w:tcW w:w="90" w:type="dxa"/>
            <w:tcBorders>
              <w:top w:val="single" w:sz="6" w:space="0" w:color="FFFFFF"/>
              <w:left w:val="single" w:sz="6" w:space="0" w:color="FFFFFF"/>
              <w:bottom w:val="single" w:sz="6" w:space="0" w:color="FFFFFF"/>
              <w:right w:val="single" w:sz="6" w:space="0" w:color="FFFFFF"/>
            </w:tcBorders>
            <w:vAlign w:val="bottom"/>
          </w:tcPr>
          <w:p w14:paraId="776DD726"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4BE3D360" w14:textId="3BC389A7"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5EA2627" w14:textId="5784977F"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w:t>
            </w:r>
          </w:p>
        </w:tc>
        <w:tc>
          <w:tcPr>
            <w:tcW w:w="180" w:type="dxa"/>
            <w:tcBorders>
              <w:top w:val="single" w:sz="6" w:space="0" w:color="FFFFFF"/>
              <w:left w:val="single" w:sz="6" w:space="0" w:color="FFFFFF"/>
              <w:bottom w:val="single" w:sz="6" w:space="0" w:color="FFFFFF"/>
              <w:right w:val="single" w:sz="6" w:space="0" w:color="FFFFFF"/>
            </w:tcBorders>
            <w:vAlign w:val="bottom"/>
          </w:tcPr>
          <w:p w14:paraId="72C66E05"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4177BD70" w14:textId="14B4B616"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0</w:t>
            </w:r>
          </w:p>
        </w:tc>
        <w:tc>
          <w:tcPr>
            <w:tcW w:w="90" w:type="dxa"/>
            <w:tcBorders>
              <w:top w:val="single" w:sz="6" w:space="0" w:color="FFFFFF"/>
              <w:left w:val="single" w:sz="6" w:space="0" w:color="FFFFFF"/>
              <w:bottom w:val="single" w:sz="6" w:space="0" w:color="FFFFFF"/>
              <w:right w:val="single" w:sz="6" w:space="0" w:color="FFFFFF"/>
            </w:tcBorders>
          </w:tcPr>
          <w:p w14:paraId="0854AFA2"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Pr>
          <w:p w14:paraId="08FA0888" w14:textId="73BA2063"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100%</w:t>
            </w:r>
          </w:p>
        </w:tc>
      </w:tr>
      <w:tr w:rsidR="00D270E2" w:rsidRPr="00E80935" w14:paraId="0C48A385" w14:textId="7B26062B" w:rsidTr="009C7F25">
        <w:trPr>
          <w:gridBefore w:val="1"/>
          <w:gridAfter w:val="1"/>
          <w:wBefore w:w="270" w:type="dxa"/>
          <w:wAfter w:w="180" w:type="dxa"/>
          <w:trHeight w:val="124"/>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2A2FDAB8"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Public – state systems</w:t>
            </w:r>
          </w:p>
        </w:tc>
        <w:tc>
          <w:tcPr>
            <w:tcW w:w="720" w:type="dxa"/>
            <w:tcBorders>
              <w:top w:val="single" w:sz="6" w:space="0" w:color="FFFFFF"/>
              <w:left w:val="single" w:sz="6" w:space="0" w:color="FFFFFF"/>
              <w:bottom w:val="single" w:sz="6" w:space="0" w:color="FFFFFF"/>
              <w:right w:val="single" w:sz="6" w:space="0" w:color="FFFFFF"/>
            </w:tcBorders>
            <w:vAlign w:val="bottom"/>
          </w:tcPr>
          <w:p w14:paraId="08E6898F"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SSV-2</w:t>
            </w:r>
          </w:p>
        </w:tc>
        <w:tc>
          <w:tcPr>
            <w:tcW w:w="1170" w:type="dxa"/>
            <w:tcBorders>
              <w:top w:val="single" w:sz="6" w:space="0" w:color="FFFFFF"/>
              <w:left w:val="single" w:sz="6" w:space="0" w:color="FFFFFF"/>
              <w:bottom w:val="single" w:sz="6" w:space="0" w:color="FFFFFF"/>
              <w:right w:val="single" w:sz="6" w:space="0" w:color="FFFFFF"/>
            </w:tcBorders>
            <w:vAlign w:val="bottom"/>
          </w:tcPr>
          <w:p w14:paraId="0F37D5B8" w14:textId="36055345"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50</w:t>
            </w:r>
          </w:p>
        </w:tc>
        <w:tc>
          <w:tcPr>
            <w:tcW w:w="90" w:type="dxa"/>
            <w:tcBorders>
              <w:top w:val="single" w:sz="6" w:space="0" w:color="FFFFFF"/>
              <w:left w:val="single" w:sz="6" w:space="0" w:color="FFFFFF"/>
              <w:bottom w:val="single" w:sz="6" w:space="0" w:color="FFFFFF"/>
              <w:right w:val="single" w:sz="6" w:space="0" w:color="FFFFFF"/>
            </w:tcBorders>
            <w:vAlign w:val="bottom"/>
          </w:tcPr>
          <w:p w14:paraId="6C0EB21B"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0AD3B3D7" w14:textId="46797139"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50</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00B76D25" w14:textId="3BF969E7"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50</w:t>
            </w:r>
          </w:p>
        </w:tc>
        <w:tc>
          <w:tcPr>
            <w:tcW w:w="180" w:type="dxa"/>
            <w:tcBorders>
              <w:top w:val="single" w:sz="6" w:space="0" w:color="FFFFFF"/>
              <w:left w:val="single" w:sz="6" w:space="0" w:color="FFFFFF"/>
              <w:bottom w:val="single" w:sz="6" w:space="0" w:color="FFFFFF"/>
              <w:right w:val="single" w:sz="6" w:space="0" w:color="FFFFFF"/>
            </w:tcBorders>
            <w:vAlign w:val="bottom"/>
          </w:tcPr>
          <w:p w14:paraId="17E2DFB6"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75AD1697" w14:textId="6A60A6B8"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0</w:t>
            </w:r>
          </w:p>
        </w:tc>
        <w:tc>
          <w:tcPr>
            <w:tcW w:w="90" w:type="dxa"/>
            <w:tcBorders>
              <w:top w:val="single" w:sz="6" w:space="0" w:color="FFFFFF"/>
              <w:left w:val="single" w:sz="6" w:space="0" w:color="FFFFFF"/>
              <w:bottom w:val="single" w:sz="6" w:space="0" w:color="FFFFFF"/>
              <w:right w:val="single" w:sz="6" w:space="0" w:color="FFFFFF"/>
            </w:tcBorders>
          </w:tcPr>
          <w:p w14:paraId="12DC3DA4"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Mar>
              <w:right w:w="173" w:type="dxa"/>
            </w:tcMar>
          </w:tcPr>
          <w:p w14:paraId="7CC7ABBC" w14:textId="18E8DEF3"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100</w:t>
            </w:r>
          </w:p>
        </w:tc>
      </w:tr>
      <w:tr w:rsidR="00D270E2" w:rsidRPr="00E80935" w14:paraId="790B3863" w14:textId="13143EEA"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59B5DC8A"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Private</w:t>
            </w:r>
          </w:p>
        </w:tc>
        <w:tc>
          <w:tcPr>
            <w:tcW w:w="720" w:type="dxa"/>
            <w:tcBorders>
              <w:top w:val="single" w:sz="6" w:space="0" w:color="FFFFFF"/>
              <w:left w:val="single" w:sz="6" w:space="0" w:color="FFFFFF"/>
              <w:bottom w:val="single" w:sz="6" w:space="0" w:color="FFFFFF"/>
              <w:right w:val="single" w:sz="6" w:space="0" w:color="FFFFFF"/>
            </w:tcBorders>
            <w:vAlign w:val="bottom"/>
          </w:tcPr>
          <w:p w14:paraId="30DA6EF4"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SSV-4</w:t>
            </w:r>
          </w:p>
        </w:tc>
        <w:tc>
          <w:tcPr>
            <w:tcW w:w="1170" w:type="dxa"/>
            <w:tcBorders>
              <w:top w:val="single" w:sz="6" w:space="0" w:color="FFFFFF"/>
              <w:left w:val="single" w:sz="6" w:space="0" w:color="FFFFFF"/>
              <w:bottom w:val="single" w:sz="6" w:space="0" w:color="FFFFFF"/>
              <w:right w:val="single" w:sz="6" w:space="0" w:color="FFFFFF"/>
            </w:tcBorders>
            <w:vAlign w:val="bottom"/>
          </w:tcPr>
          <w:p w14:paraId="46DF51CB" w14:textId="055857AF"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155</w:t>
            </w:r>
          </w:p>
        </w:tc>
        <w:tc>
          <w:tcPr>
            <w:tcW w:w="90" w:type="dxa"/>
            <w:tcBorders>
              <w:top w:val="single" w:sz="6" w:space="0" w:color="FFFFFF"/>
              <w:left w:val="single" w:sz="6" w:space="0" w:color="FFFFFF"/>
              <w:bottom w:val="single" w:sz="6" w:space="0" w:color="FFFFFF"/>
              <w:right w:val="single" w:sz="6" w:space="0" w:color="FFFFFF"/>
            </w:tcBorders>
            <w:vAlign w:val="bottom"/>
          </w:tcPr>
          <w:p w14:paraId="0051B9B5"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5A4E09E0" w14:textId="38BDDEA7"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143</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1E3EBA2E" w14:textId="6713865B"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139</w:t>
            </w:r>
          </w:p>
        </w:tc>
        <w:tc>
          <w:tcPr>
            <w:tcW w:w="180" w:type="dxa"/>
            <w:tcBorders>
              <w:top w:val="single" w:sz="6" w:space="0" w:color="FFFFFF"/>
              <w:left w:val="single" w:sz="6" w:space="0" w:color="FFFFFF"/>
              <w:bottom w:val="single" w:sz="6" w:space="0" w:color="FFFFFF"/>
              <w:right w:val="single" w:sz="6" w:space="0" w:color="FFFFFF"/>
            </w:tcBorders>
            <w:vAlign w:val="bottom"/>
          </w:tcPr>
          <w:p w14:paraId="67794875"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32DD90DD" w14:textId="73163B27"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4</w:t>
            </w:r>
          </w:p>
        </w:tc>
        <w:tc>
          <w:tcPr>
            <w:tcW w:w="90" w:type="dxa"/>
            <w:tcBorders>
              <w:top w:val="single" w:sz="6" w:space="0" w:color="FFFFFF"/>
              <w:left w:val="single" w:sz="6" w:space="0" w:color="FFFFFF"/>
              <w:bottom w:val="single" w:sz="6" w:space="0" w:color="FFFFFF"/>
              <w:right w:val="single" w:sz="6" w:space="0" w:color="FFFFFF"/>
            </w:tcBorders>
          </w:tcPr>
          <w:p w14:paraId="6EAAB1A1"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Mar>
              <w:right w:w="173" w:type="dxa"/>
            </w:tcMar>
          </w:tcPr>
          <w:p w14:paraId="0ABE54FA" w14:textId="36E84F2A"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97</w:t>
            </w:r>
          </w:p>
        </w:tc>
      </w:tr>
      <w:tr w:rsidR="00D270E2" w:rsidRPr="00E80935" w14:paraId="45E78CE0" w14:textId="42CEB69D"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3E7F2075"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Jails</w:t>
            </w:r>
          </w:p>
        </w:tc>
        <w:tc>
          <w:tcPr>
            <w:tcW w:w="720" w:type="dxa"/>
            <w:tcBorders>
              <w:top w:val="single" w:sz="6" w:space="0" w:color="FFFFFF"/>
              <w:left w:val="single" w:sz="6" w:space="0" w:color="FFFFFF"/>
              <w:bottom w:val="single" w:sz="6" w:space="0" w:color="FFFFFF"/>
              <w:right w:val="single" w:sz="6" w:space="0" w:color="FFFFFF"/>
            </w:tcBorders>
            <w:vAlign w:val="bottom"/>
          </w:tcPr>
          <w:p w14:paraId="2E0CF0F6" w14:textId="77777777" w:rsidR="00D270E2" w:rsidRPr="00E80935" w:rsidRDefault="00D270E2" w:rsidP="00D270E2">
            <w:pPr>
              <w:widowControl/>
              <w:rPr>
                <w:rFonts w:ascii="Arial" w:hAnsi="Arial" w:cs="Arial"/>
                <w:sz w:val="20"/>
                <w:szCs w:val="20"/>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4184D9A5"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209E6556"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77A25846" w14:textId="77777777" w:rsidR="00D270E2" w:rsidRPr="00E80935" w:rsidRDefault="00D270E2" w:rsidP="00D270E2">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60431E41" w14:textId="77777777" w:rsidR="00D270E2" w:rsidRPr="00E80935" w:rsidRDefault="00D270E2" w:rsidP="00D270E2">
            <w:pPr>
              <w:widowControl/>
              <w:jc w:val="right"/>
              <w:rPr>
                <w:rFonts w:ascii="Arial" w:hAnsi="Arial" w:cs="Arial"/>
                <w:sz w:val="20"/>
                <w:szCs w:val="20"/>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09EC7EE1"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0CC3A5B"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tcPr>
          <w:p w14:paraId="7118FC6D"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Pr>
          <w:p w14:paraId="0F407CEE" w14:textId="77777777" w:rsidR="00D270E2" w:rsidRPr="00E80935" w:rsidRDefault="00D270E2" w:rsidP="00D270E2">
            <w:pPr>
              <w:widowControl/>
              <w:jc w:val="right"/>
              <w:rPr>
                <w:rFonts w:ascii="Arial" w:hAnsi="Arial" w:cs="Arial"/>
                <w:sz w:val="20"/>
                <w:szCs w:val="20"/>
              </w:rPr>
            </w:pPr>
          </w:p>
        </w:tc>
      </w:tr>
      <w:tr w:rsidR="00D270E2" w:rsidRPr="00E80935" w14:paraId="7566D601" w14:textId="38056C69" w:rsidTr="009C7F25">
        <w:trPr>
          <w:gridBefore w:val="1"/>
          <w:gridAfter w:val="1"/>
          <w:wBefore w:w="270" w:type="dxa"/>
          <w:wAfter w:w="180" w:type="dxa"/>
          <w:trHeight w:val="162"/>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5F1442B7"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Public – local jurisdictions</w:t>
            </w:r>
          </w:p>
        </w:tc>
        <w:tc>
          <w:tcPr>
            <w:tcW w:w="720" w:type="dxa"/>
            <w:tcBorders>
              <w:top w:val="single" w:sz="6" w:space="0" w:color="FFFFFF"/>
              <w:left w:val="single" w:sz="6" w:space="0" w:color="FFFFFF"/>
              <w:bottom w:val="single" w:sz="6" w:space="0" w:color="FFFFFF"/>
              <w:right w:val="single" w:sz="6" w:space="0" w:color="FFFFFF"/>
            </w:tcBorders>
            <w:vAlign w:val="bottom"/>
          </w:tcPr>
          <w:p w14:paraId="2750626A"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SSV-3</w:t>
            </w:r>
          </w:p>
        </w:tc>
        <w:tc>
          <w:tcPr>
            <w:tcW w:w="1170" w:type="dxa"/>
            <w:tcBorders>
              <w:top w:val="single" w:sz="6" w:space="0" w:color="FFFFFF"/>
              <w:left w:val="single" w:sz="6" w:space="0" w:color="FFFFFF"/>
              <w:bottom w:val="single" w:sz="6" w:space="0" w:color="FFFFFF"/>
              <w:right w:val="single" w:sz="6" w:space="0" w:color="FFFFFF"/>
            </w:tcBorders>
            <w:vAlign w:val="bottom"/>
          </w:tcPr>
          <w:p w14:paraId="51DC409E" w14:textId="29289158"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700</w:t>
            </w:r>
          </w:p>
        </w:tc>
        <w:tc>
          <w:tcPr>
            <w:tcW w:w="90" w:type="dxa"/>
            <w:tcBorders>
              <w:top w:val="single" w:sz="6" w:space="0" w:color="FFFFFF"/>
              <w:left w:val="single" w:sz="6" w:space="0" w:color="FFFFFF"/>
              <w:bottom w:val="single" w:sz="6" w:space="0" w:color="FFFFFF"/>
              <w:right w:val="single" w:sz="6" w:space="0" w:color="FFFFFF"/>
            </w:tcBorders>
            <w:vAlign w:val="bottom"/>
          </w:tcPr>
          <w:p w14:paraId="09A7CB83"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05371977" w14:textId="0931CBD0"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698</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6960A359" w14:textId="56649DF6"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671</w:t>
            </w:r>
          </w:p>
        </w:tc>
        <w:tc>
          <w:tcPr>
            <w:tcW w:w="180" w:type="dxa"/>
            <w:tcBorders>
              <w:top w:val="single" w:sz="6" w:space="0" w:color="FFFFFF"/>
              <w:left w:val="single" w:sz="6" w:space="0" w:color="FFFFFF"/>
              <w:bottom w:val="single" w:sz="6" w:space="0" w:color="FFFFFF"/>
              <w:right w:val="single" w:sz="6" w:space="0" w:color="FFFFFF"/>
            </w:tcBorders>
            <w:vAlign w:val="bottom"/>
          </w:tcPr>
          <w:p w14:paraId="3B677688"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0B3B1A26" w14:textId="6D0CD76E"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27</w:t>
            </w:r>
          </w:p>
        </w:tc>
        <w:tc>
          <w:tcPr>
            <w:tcW w:w="90" w:type="dxa"/>
            <w:tcBorders>
              <w:top w:val="single" w:sz="6" w:space="0" w:color="FFFFFF"/>
              <w:left w:val="single" w:sz="6" w:space="0" w:color="FFFFFF"/>
              <w:bottom w:val="single" w:sz="6" w:space="0" w:color="FFFFFF"/>
              <w:right w:val="single" w:sz="6" w:space="0" w:color="FFFFFF"/>
            </w:tcBorders>
          </w:tcPr>
          <w:p w14:paraId="0FF08042"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Pr>
          <w:p w14:paraId="431CC997" w14:textId="20B19AD6"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96%</w:t>
            </w:r>
          </w:p>
        </w:tc>
      </w:tr>
      <w:tr w:rsidR="00D270E2" w:rsidRPr="00E80935" w14:paraId="6ADEEC35" w14:textId="426E90B4"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052CD908"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Private</w:t>
            </w:r>
          </w:p>
        </w:tc>
        <w:tc>
          <w:tcPr>
            <w:tcW w:w="720" w:type="dxa"/>
            <w:tcBorders>
              <w:top w:val="single" w:sz="6" w:space="0" w:color="FFFFFF"/>
              <w:left w:val="single" w:sz="6" w:space="0" w:color="FFFFFF"/>
              <w:bottom w:val="single" w:sz="6" w:space="0" w:color="FFFFFF"/>
              <w:right w:val="single" w:sz="6" w:space="0" w:color="FFFFFF"/>
            </w:tcBorders>
            <w:vAlign w:val="bottom"/>
          </w:tcPr>
          <w:p w14:paraId="248EB457"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SSV-4</w:t>
            </w:r>
          </w:p>
        </w:tc>
        <w:tc>
          <w:tcPr>
            <w:tcW w:w="1170" w:type="dxa"/>
            <w:tcBorders>
              <w:top w:val="single" w:sz="6" w:space="0" w:color="FFFFFF"/>
              <w:left w:val="single" w:sz="6" w:space="0" w:color="FFFFFF"/>
              <w:bottom w:val="single" w:sz="6" w:space="0" w:color="FFFFFF"/>
              <w:right w:val="single" w:sz="6" w:space="0" w:color="FFFFFF"/>
            </w:tcBorders>
            <w:vAlign w:val="bottom"/>
          </w:tcPr>
          <w:p w14:paraId="11A93C6F" w14:textId="145C9C5C"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15</w:t>
            </w:r>
          </w:p>
        </w:tc>
        <w:tc>
          <w:tcPr>
            <w:tcW w:w="90" w:type="dxa"/>
            <w:tcBorders>
              <w:top w:val="single" w:sz="6" w:space="0" w:color="FFFFFF"/>
              <w:left w:val="single" w:sz="6" w:space="0" w:color="FFFFFF"/>
              <w:bottom w:val="single" w:sz="6" w:space="0" w:color="FFFFFF"/>
              <w:right w:val="single" w:sz="6" w:space="0" w:color="FFFFFF"/>
            </w:tcBorders>
            <w:vAlign w:val="bottom"/>
          </w:tcPr>
          <w:p w14:paraId="24802519"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631C0174" w14:textId="588DD197"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15</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02AD587" w14:textId="53AE837E"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15</w:t>
            </w:r>
          </w:p>
        </w:tc>
        <w:tc>
          <w:tcPr>
            <w:tcW w:w="180" w:type="dxa"/>
            <w:tcBorders>
              <w:top w:val="single" w:sz="6" w:space="0" w:color="FFFFFF"/>
              <w:left w:val="single" w:sz="6" w:space="0" w:color="FFFFFF"/>
              <w:bottom w:val="single" w:sz="6" w:space="0" w:color="FFFFFF"/>
              <w:right w:val="single" w:sz="6" w:space="0" w:color="FFFFFF"/>
            </w:tcBorders>
            <w:vAlign w:val="bottom"/>
          </w:tcPr>
          <w:p w14:paraId="764E664B"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38B74BAD" w14:textId="68F7595B"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0</w:t>
            </w:r>
          </w:p>
        </w:tc>
        <w:tc>
          <w:tcPr>
            <w:tcW w:w="90" w:type="dxa"/>
            <w:tcBorders>
              <w:top w:val="single" w:sz="6" w:space="0" w:color="FFFFFF"/>
              <w:left w:val="single" w:sz="6" w:space="0" w:color="FFFFFF"/>
              <w:bottom w:val="single" w:sz="6" w:space="0" w:color="FFFFFF"/>
              <w:right w:val="single" w:sz="6" w:space="0" w:color="FFFFFF"/>
            </w:tcBorders>
          </w:tcPr>
          <w:p w14:paraId="5F8D2940"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Mar>
              <w:right w:w="173" w:type="dxa"/>
            </w:tcMar>
          </w:tcPr>
          <w:p w14:paraId="26B223FB" w14:textId="742BD711"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100</w:t>
            </w:r>
          </w:p>
        </w:tc>
      </w:tr>
      <w:tr w:rsidR="00D270E2" w:rsidRPr="00E80935" w14:paraId="73FB41F6" w14:textId="1B1B1ED1"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0518AE96"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Other adult facilities</w:t>
            </w:r>
          </w:p>
        </w:tc>
        <w:tc>
          <w:tcPr>
            <w:tcW w:w="720" w:type="dxa"/>
            <w:tcBorders>
              <w:top w:val="single" w:sz="6" w:space="0" w:color="FFFFFF"/>
              <w:left w:val="single" w:sz="6" w:space="0" w:color="FFFFFF"/>
              <w:bottom w:val="single" w:sz="6" w:space="0" w:color="FFFFFF"/>
              <w:right w:val="single" w:sz="6" w:space="0" w:color="FFFFFF"/>
            </w:tcBorders>
            <w:vAlign w:val="bottom"/>
          </w:tcPr>
          <w:p w14:paraId="1EEE5163" w14:textId="77777777" w:rsidR="00D270E2" w:rsidRPr="00E80935" w:rsidRDefault="00D270E2" w:rsidP="00D270E2">
            <w:pPr>
              <w:widowControl/>
              <w:rPr>
                <w:rFonts w:ascii="Arial" w:hAnsi="Arial" w:cs="Arial"/>
                <w:sz w:val="20"/>
                <w:szCs w:val="20"/>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37B512D7"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38A08DB5"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02693D29" w14:textId="77777777" w:rsidR="00D270E2" w:rsidRPr="00E80935" w:rsidRDefault="00D270E2" w:rsidP="00D270E2">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58F7D0CD" w14:textId="77777777" w:rsidR="00D270E2" w:rsidRPr="00E80935" w:rsidRDefault="00D270E2" w:rsidP="00D270E2">
            <w:pPr>
              <w:widowControl/>
              <w:jc w:val="right"/>
              <w:rPr>
                <w:rFonts w:ascii="Arial" w:hAnsi="Arial" w:cs="Arial"/>
                <w:sz w:val="20"/>
                <w:szCs w:val="20"/>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36123C2A"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749ADC1D"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tcPr>
          <w:p w14:paraId="1D36C996"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Pr>
          <w:p w14:paraId="7A79E81A" w14:textId="77777777" w:rsidR="00D270E2" w:rsidRPr="00E80935" w:rsidRDefault="00D270E2" w:rsidP="00D270E2">
            <w:pPr>
              <w:widowControl/>
              <w:jc w:val="right"/>
              <w:rPr>
                <w:rFonts w:ascii="Arial" w:hAnsi="Arial" w:cs="Arial"/>
                <w:sz w:val="20"/>
                <w:szCs w:val="20"/>
              </w:rPr>
            </w:pPr>
          </w:p>
        </w:tc>
      </w:tr>
      <w:tr w:rsidR="00D270E2" w:rsidRPr="00E80935" w14:paraId="07FEE510" w14:textId="31CA25C8"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091E7D45"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Indian country jails</w:t>
            </w:r>
          </w:p>
        </w:tc>
        <w:tc>
          <w:tcPr>
            <w:tcW w:w="720" w:type="dxa"/>
            <w:tcBorders>
              <w:top w:val="single" w:sz="6" w:space="0" w:color="FFFFFF"/>
              <w:left w:val="single" w:sz="6" w:space="0" w:color="FFFFFF"/>
              <w:bottom w:val="single" w:sz="6" w:space="0" w:color="FFFFFF"/>
              <w:right w:val="single" w:sz="6" w:space="0" w:color="FFFFFF"/>
            </w:tcBorders>
            <w:vAlign w:val="bottom"/>
          </w:tcPr>
          <w:p w14:paraId="71B88021"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SSV-4</w:t>
            </w:r>
          </w:p>
        </w:tc>
        <w:tc>
          <w:tcPr>
            <w:tcW w:w="1170" w:type="dxa"/>
            <w:tcBorders>
              <w:top w:val="single" w:sz="6" w:space="0" w:color="FFFFFF"/>
              <w:left w:val="single" w:sz="6" w:space="0" w:color="FFFFFF"/>
              <w:bottom w:val="single" w:sz="6" w:space="0" w:color="FFFFFF"/>
            </w:tcBorders>
            <w:vAlign w:val="bottom"/>
          </w:tcPr>
          <w:p w14:paraId="4E185771" w14:textId="3FE74286"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25</w:t>
            </w:r>
          </w:p>
        </w:tc>
        <w:tc>
          <w:tcPr>
            <w:tcW w:w="90" w:type="dxa"/>
            <w:vAlign w:val="bottom"/>
          </w:tcPr>
          <w:p w14:paraId="16DF61CB" w14:textId="77777777" w:rsidR="00D270E2" w:rsidRPr="00E80935" w:rsidRDefault="00D270E2" w:rsidP="00D270E2">
            <w:pPr>
              <w:widowControl/>
              <w:jc w:val="right"/>
              <w:rPr>
                <w:rFonts w:ascii="Arial" w:hAnsi="Arial" w:cs="Arial"/>
                <w:sz w:val="20"/>
                <w:szCs w:val="20"/>
              </w:rPr>
            </w:pPr>
          </w:p>
        </w:tc>
        <w:tc>
          <w:tcPr>
            <w:tcW w:w="990" w:type="dxa"/>
            <w:tcMar>
              <w:right w:w="144" w:type="dxa"/>
            </w:tcMar>
            <w:vAlign w:val="bottom"/>
          </w:tcPr>
          <w:p w14:paraId="12B77720" w14:textId="50E68D4D"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25</w:t>
            </w:r>
          </w:p>
        </w:tc>
        <w:tc>
          <w:tcPr>
            <w:tcW w:w="900" w:type="dxa"/>
            <w:tcMar>
              <w:right w:w="72" w:type="dxa"/>
            </w:tcMar>
            <w:vAlign w:val="bottom"/>
          </w:tcPr>
          <w:p w14:paraId="7727895F" w14:textId="37C7B2FE"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19</w:t>
            </w:r>
          </w:p>
        </w:tc>
        <w:tc>
          <w:tcPr>
            <w:tcW w:w="180" w:type="dxa"/>
            <w:vAlign w:val="bottom"/>
          </w:tcPr>
          <w:p w14:paraId="42CE0982"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nil"/>
            </w:tcBorders>
            <w:tcMar>
              <w:right w:w="288" w:type="dxa"/>
            </w:tcMar>
            <w:vAlign w:val="bottom"/>
          </w:tcPr>
          <w:p w14:paraId="754F8DC6" w14:textId="032A82F5"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6</w:t>
            </w:r>
          </w:p>
        </w:tc>
        <w:tc>
          <w:tcPr>
            <w:tcW w:w="90" w:type="dxa"/>
            <w:tcBorders>
              <w:top w:val="single" w:sz="6" w:space="0" w:color="FFFFFF"/>
              <w:left w:val="nil"/>
            </w:tcBorders>
          </w:tcPr>
          <w:p w14:paraId="0D011860"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nil"/>
            </w:tcBorders>
          </w:tcPr>
          <w:p w14:paraId="331838B5" w14:textId="10EEABD3"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76%</w:t>
            </w:r>
          </w:p>
        </w:tc>
      </w:tr>
      <w:tr w:rsidR="00D270E2" w:rsidRPr="00E80935" w14:paraId="55DDCEC9" w14:textId="4344436E"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58A63B4D"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Military systems</w:t>
            </w:r>
          </w:p>
        </w:tc>
        <w:tc>
          <w:tcPr>
            <w:tcW w:w="720" w:type="dxa"/>
            <w:tcBorders>
              <w:top w:val="single" w:sz="6" w:space="0" w:color="FFFFFF"/>
              <w:left w:val="single" w:sz="6" w:space="0" w:color="FFFFFF"/>
              <w:bottom w:val="single" w:sz="6" w:space="0" w:color="FFFFFF"/>
              <w:right w:val="single" w:sz="6" w:space="0" w:color="FFFFFF"/>
            </w:tcBorders>
            <w:vAlign w:val="bottom"/>
          </w:tcPr>
          <w:p w14:paraId="7C3DE46B"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SSV-4</w:t>
            </w:r>
          </w:p>
        </w:tc>
        <w:tc>
          <w:tcPr>
            <w:tcW w:w="1170" w:type="dxa"/>
            <w:tcBorders>
              <w:top w:val="single" w:sz="6" w:space="0" w:color="FFFFFF"/>
              <w:left w:val="single" w:sz="6" w:space="0" w:color="FFFFFF"/>
              <w:bottom w:val="single" w:sz="6" w:space="0" w:color="FFFFFF"/>
            </w:tcBorders>
            <w:vAlign w:val="bottom"/>
          </w:tcPr>
          <w:p w14:paraId="6D70C8D7" w14:textId="25EFE500"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4</w:t>
            </w:r>
          </w:p>
        </w:tc>
        <w:tc>
          <w:tcPr>
            <w:tcW w:w="90" w:type="dxa"/>
            <w:vAlign w:val="bottom"/>
          </w:tcPr>
          <w:p w14:paraId="1AD5D692" w14:textId="77777777" w:rsidR="00D270E2" w:rsidRPr="00E80935" w:rsidRDefault="00D270E2" w:rsidP="00D270E2">
            <w:pPr>
              <w:widowControl/>
              <w:jc w:val="right"/>
              <w:rPr>
                <w:rFonts w:ascii="Arial" w:hAnsi="Arial" w:cs="Arial"/>
                <w:sz w:val="20"/>
                <w:szCs w:val="20"/>
              </w:rPr>
            </w:pPr>
          </w:p>
        </w:tc>
        <w:tc>
          <w:tcPr>
            <w:tcW w:w="990" w:type="dxa"/>
            <w:tcMar>
              <w:right w:w="144" w:type="dxa"/>
            </w:tcMar>
            <w:vAlign w:val="bottom"/>
          </w:tcPr>
          <w:p w14:paraId="18955943" w14:textId="2F4287AF"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4</w:t>
            </w:r>
          </w:p>
        </w:tc>
        <w:tc>
          <w:tcPr>
            <w:tcW w:w="900" w:type="dxa"/>
            <w:tcMar>
              <w:right w:w="72" w:type="dxa"/>
            </w:tcMar>
            <w:vAlign w:val="bottom"/>
          </w:tcPr>
          <w:p w14:paraId="4A3B04AD" w14:textId="265C20BD"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4</w:t>
            </w:r>
          </w:p>
        </w:tc>
        <w:tc>
          <w:tcPr>
            <w:tcW w:w="180" w:type="dxa"/>
            <w:vAlign w:val="bottom"/>
          </w:tcPr>
          <w:p w14:paraId="552F2A6D"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nil"/>
            </w:tcBorders>
            <w:tcMar>
              <w:right w:w="288" w:type="dxa"/>
            </w:tcMar>
            <w:vAlign w:val="bottom"/>
          </w:tcPr>
          <w:p w14:paraId="0D7B7FAD" w14:textId="3760B62C"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0</w:t>
            </w:r>
          </w:p>
        </w:tc>
        <w:tc>
          <w:tcPr>
            <w:tcW w:w="90" w:type="dxa"/>
            <w:tcBorders>
              <w:top w:val="single" w:sz="6" w:space="0" w:color="FFFFFF"/>
              <w:left w:val="nil"/>
            </w:tcBorders>
          </w:tcPr>
          <w:p w14:paraId="6769F19D"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nil"/>
            </w:tcBorders>
            <w:tcMar>
              <w:right w:w="173" w:type="dxa"/>
            </w:tcMar>
          </w:tcPr>
          <w:p w14:paraId="2CDBBE56" w14:textId="143982B7"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100</w:t>
            </w:r>
          </w:p>
        </w:tc>
      </w:tr>
      <w:tr w:rsidR="00D270E2" w:rsidRPr="00E80935" w14:paraId="50F862D2" w14:textId="0521A7E3"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3952E50A"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ICE</w:t>
            </w:r>
          </w:p>
        </w:tc>
        <w:tc>
          <w:tcPr>
            <w:tcW w:w="720" w:type="dxa"/>
            <w:tcBorders>
              <w:top w:val="single" w:sz="6" w:space="0" w:color="FFFFFF"/>
              <w:left w:val="single" w:sz="6" w:space="0" w:color="FFFFFF"/>
              <w:bottom w:val="single" w:sz="6" w:space="0" w:color="FFFFFF"/>
              <w:right w:val="single" w:sz="6" w:space="0" w:color="FFFFFF"/>
            </w:tcBorders>
            <w:vAlign w:val="bottom"/>
          </w:tcPr>
          <w:p w14:paraId="3C297950"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SSV-4</w:t>
            </w:r>
          </w:p>
        </w:tc>
        <w:tc>
          <w:tcPr>
            <w:tcW w:w="1170" w:type="dxa"/>
            <w:tcBorders>
              <w:top w:val="single" w:sz="6" w:space="0" w:color="FFFFFF"/>
              <w:left w:val="single" w:sz="6" w:space="0" w:color="FFFFFF"/>
              <w:bottom w:val="single" w:sz="6" w:space="0" w:color="FFFFFF"/>
            </w:tcBorders>
            <w:vAlign w:val="bottom"/>
          </w:tcPr>
          <w:p w14:paraId="1E1FD33F" w14:textId="7F30EE10"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29</w:t>
            </w:r>
          </w:p>
        </w:tc>
        <w:tc>
          <w:tcPr>
            <w:tcW w:w="90" w:type="dxa"/>
            <w:vAlign w:val="bottom"/>
          </w:tcPr>
          <w:p w14:paraId="45F7E1EA" w14:textId="77777777" w:rsidR="00D270E2" w:rsidRPr="00E80935" w:rsidRDefault="00D270E2" w:rsidP="00D270E2">
            <w:pPr>
              <w:widowControl/>
              <w:jc w:val="right"/>
              <w:rPr>
                <w:rFonts w:ascii="Arial" w:hAnsi="Arial" w:cs="Arial"/>
                <w:sz w:val="20"/>
                <w:szCs w:val="20"/>
              </w:rPr>
            </w:pPr>
          </w:p>
        </w:tc>
        <w:tc>
          <w:tcPr>
            <w:tcW w:w="990" w:type="dxa"/>
            <w:tcMar>
              <w:right w:w="144" w:type="dxa"/>
            </w:tcMar>
            <w:vAlign w:val="bottom"/>
          </w:tcPr>
          <w:p w14:paraId="51A2B987" w14:textId="7D5859F4"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29</w:t>
            </w:r>
          </w:p>
        </w:tc>
        <w:tc>
          <w:tcPr>
            <w:tcW w:w="900" w:type="dxa"/>
            <w:tcMar>
              <w:right w:w="72" w:type="dxa"/>
            </w:tcMar>
            <w:vAlign w:val="bottom"/>
          </w:tcPr>
          <w:p w14:paraId="25462974" w14:textId="417FDDAD"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29</w:t>
            </w:r>
          </w:p>
        </w:tc>
        <w:tc>
          <w:tcPr>
            <w:tcW w:w="180" w:type="dxa"/>
            <w:vAlign w:val="bottom"/>
          </w:tcPr>
          <w:p w14:paraId="0FB0FAB2"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nil"/>
            </w:tcBorders>
            <w:tcMar>
              <w:right w:w="288" w:type="dxa"/>
            </w:tcMar>
            <w:vAlign w:val="bottom"/>
          </w:tcPr>
          <w:p w14:paraId="138E30F2" w14:textId="61680F63"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0</w:t>
            </w:r>
          </w:p>
        </w:tc>
        <w:tc>
          <w:tcPr>
            <w:tcW w:w="90" w:type="dxa"/>
            <w:tcBorders>
              <w:top w:val="single" w:sz="6" w:space="0" w:color="FFFFFF"/>
              <w:left w:val="nil"/>
            </w:tcBorders>
          </w:tcPr>
          <w:p w14:paraId="1821E0A2"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nil"/>
            </w:tcBorders>
            <w:tcMar>
              <w:right w:w="173" w:type="dxa"/>
            </w:tcMar>
          </w:tcPr>
          <w:p w14:paraId="77325D3E" w14:textId="70232520"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100</w:t>
            </w:r>
          </w:p>
        </w:tc>
      </w:tr>
      <w:tr w:rsidR="00D270E2" w:rsidRPr="00E80935" w14:paraId="5316B33D" w14:textId="6230130D" w:rsidTr="009C7F25">
        <w:trPr>
          <w:gridBefore w:val="1"/>
          <w:gridAfter w:val="1"/>
          <w:wBefore w:w="270" w:type="dxa"/>
          <w:wAfter w:w="180" w:type="dxa"/>
          <w:trHeight w:val="51"/>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63F3E0E3"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Juvenile facilities</w:t>
            </w:r>
          </w:p>
        </w:tc>
        <w:tc>
          <w:tcPr>
            <w:tcW w:w="720" w:type="dxa"/>
            <w:tcBorders>
              <w:top w:val="single" w:sz="6" w:space="0" w:color="FFFFFF"/>
              <w:left w:val="single" w:sz="6" w:space="0" w:color="FFFFFF"/>
              <w:bottom w:val="single" w:sz="6" w:space="0" w:color="FFFFFF"/>
              <w:right w:val="single" w:sz="6" w:space="0" w:color="FFFFFF"/>
            </w:tcBorders>
            <w:vAlign w:val="bottom"/>
          </w:tcPr>
          <w:p w14:paraId="1E075310" w14:textId="77777777" w:rsidR="00D270E2" w:rsidRPr="00E80935" w:rsidRDefault="00D270E2" w:rsidP="00D270E2">
            <w:pPr>
              <w:widowControl/>
              <w:rPr>
                <w:rFonts w:ascii="Arial" w:hAnsi="Arial" w:cs="Arial"/>
                <w:sz w:val="20"/>
                <w:szCs w:val="20"/>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1A0A4430"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6E6A1D5"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28DB2B4B" w14:textId="77777777" w:rsidR="00D270E2" w:rsidRPr="00E80935" w:rsidRDefault="00D270E2" w:rsidP="00D270E2">
            <w:pPr>
              <w:widowControl/>
              <w:jc w:val="right"/>
              <w:rPr>
                <w:rFonts w:ascii="Arial" w:hAnsi="Arial" w:cs="Arial"/>
                <w:sz w:val="20"/>
                <w:szCs w:val="20"/>
              </w:rPr>
            </w:pP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797C504C" w14:textId="77777777" w:rsidR="00D270E2" w:rsidRPr="00E80935" w:rsidRDefault="00D270E2" w:rsidP="00D270E2">
            <w:pPr>
              <w:widowControl/>
              <w:jc w:val="right"/>
              <w:rPr>
                <w:rFonts w:ascii="Arial" w:hAnsi="Arial" w:cs="Arial"/>
                <w:sz w:val="20"/>
                <w:szCs w:val="20"/>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312168B9"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9BB5773" w14:textId="77777777" w:rsidR="00D270E2" w:rsidRPr="00E80935" w:rsidRDefault="00D270E2" w:rsidP="00D270E2">
            <w:pPr>
              <w:widowControl/>
              <w:jc w:val="right"/>
              <w:rPr>
                <w:rFonts w:ascii="Arial" w:hAnsi="Arial" w:cs="Arial"/>
                <w:sz w:val="20"/>
                <w:szCs w:val="20"/>
              </w:rPr>
            </w:pPr>
          </w:p>
        </w:tc>
        <w:tc>
          <w:tcPr>
            <w:tcW w:w="90" w:type="dxa"/>
            <w:tcBorders>
              <w:top w:val="single" w:sz="6" w:space="0" w:color="FFFFFF"/>
              <w:left w:val="single" w:sz="6" w:space="0" w:color="FFFFFF"/>
              <w:bottom w:val="single" w:sz="6" w:space="0" w:color="FFFFFF"/>
              <w:right w:val="single" w:sz="6" w:space="0" w:color="FFFFFF"/>
            </w:tcBorders>
          </w:tcPr>
          <w:p w14:paraId="0AD94BF7"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Pr>
          <w:p w14:paraId="6957B98E" w14:textId="77777777" w:rsidR="00D270E2" w:rsidRPr="00E80935" w:rsidRDefault="00D270E2" w:rsidP="00D270E2">
            <w:pPr>
              <w:widowControl/>
              <w:jc w:val="right"/>
              <w:rPr>
                <w:rFonts w:ascii="Arial" w:hAnsi="Arial" w:cs="Arial"/>
                <w:sz w:val="20"/>
                <w:szCs w:val="20"/>
              </w:rPr>
            </w:pPr>
          </w:p>
        </w:tc>
      </w:tr>
      <w:tr w:rsidR="00D270E2" w:rsidRPr="00E80935" w14:paraId="64DDDD4A" w14:textId="657662A3" w:rsidTr="009C7F25">
        <w:trPr>
          <w:gridBefore w:val="1"/>
          <w:gridAfter w:val="1"/>
          <w:wBefore w:w="270" w:type="dxa"/>
          <w:wAfter w:w="180" w:type="dxa"/>
          <w:trHeight w:val="88"/>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28E70A8C" w14:textId="0A1B19A6"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Public – state/DC systems*</w:t>
            </w:r>
          </w:p>
        </w:tc>
        <w:tc>
          <w:tcPr>
            <w:tcW w:w="720" w:type="dxa"/>
            <w:tcBorders>
              <w:top w:val="single" w:sz="6" w:space="0" w:color="FFFFFF"/>
              <w:left w:val="single" w:sz="6" w:space="0" w:color="FFFFFF"/>
              <w:bottom w:val="single" w:sz="6" w:space="0" w:color="FFFFFF"/>
              <w:right w:val="single" w:sz="6" w:space="0" w:color="FFFFFF"/>
            </w:tcBorders>
            <w:vAlign w:val="bottom"/>
          </w:tcPr>
          <w:p w14:paraId="428C591A"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SSV-5</w:t>
            </w:r>
          </w:p>
        </w:tc>
        <w:tc>
          <w:tcPr>
            <w:tcW w:w="1170" w:type="dxa"/>
            <w:tcBorders>
              <w:top w:val="single" w:sz="6" w:space="0" w:color="FFFFFF"/>
              <w:left w:val="single" w:sz="6" w:space="0" w:color="FFFFFF"/>
              <w:bottom w:val="single" w:sz="6" w:space="0" w:color="FFFFFF"/>
              <w:right w:val="single" w:sz="6" w:space="0" w:color="FFFFFF"/>
            </w:tcBorders>
            <w:vAlign w:val="bottom"/>
          </w:tcPr>
          <w:p w14:paraId="1D4315C9" w14:textId="52AA14AF"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51</w:t>
            </w:r>
          </w:p>
        </w:tc>
        <w:tc>
          <w:tcPr>
            <w:tcW w:w="90" w:type="dxa"/>
            <w:tcBorders>
              <w:top w:val="single" w:sz="6" w:space="0" w:color="FFFFFF"/>
              <w:left w:val="single" w:sz="6" w:space="0" w:color="FFFFFF"/>
              <w:bottom w:val="single" w:sz="6" w:space="0" w:color="FFFFFF"/>
              <w:right w:val="single" w:sz="6" w:space="0" w:color="FFFFFF"/>
            </w:tcBorders>
            <w:vAlign w:val="bottom"/>
          </w:tcPr>
          <w:p w14:paraId="31A7839B"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0270A502" w14:textId="0F542681"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50</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0B7210AE" w14:textId="2A55C94E"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50</w:t>
            </w:r>
          </w:p>
        </w:tc>
        <w:tc>
          <w:tcPr>
            <w:tcW w:w="180" w:type="dxa"/>
            <w:tcBorders>
              <w:top w:val="single" w:sz="6" w:space="0" w:color="FFFFFF"/>
              <w:left w:val="single" w:sz="6" w:space="0" w:color="FFFFFF"/>
              <w:bottom w:val="single" w:sz="6" w:space="0" w:color="FFFFFF"/>
              <w:right w:val="single" w:sz="6" w:space="0" w:color="FFFFFF"/>
            </w:tcBorders>
            <w:vAlign w:val="bottom"/>
          </w:tcPr>
          <w:p w14:paraId="31F6A9B8"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ED9CEC2" w14:textId="38186FC8"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0</w:t>
            </w:r>
          </w:p>
        </w:tc>
        <w:tc>
          <w:tcPr>
            <w:tcW w:w="90" w:type="dxa"/>
            <w:tcBorders>
              <w:top w:val="single" w:sz="6" w:space="0" w:color="FFFFFF"/>
              <w:left w:val="single" w:sz="6" w:space="0" w:color="FFFFFF"/>
              <w:bottom w:val="single" w:sz="6" w:space="0" w:color="FFFFFF"/>
              <w:right w:val="single" w:sz="6" w:space="0" w:color="FFFFFF"/>
            </w:tcBorders>
          </w:tcPr>
          <w:p w14:paraId="4446158C"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Pr>
          <w:p w14:paraId="09B2F031" w14:textId="1C851936"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100%</w:t>
            </w:r>
          </w:p>
        </w:tc>
      </w:tr>
      <w:tr w:rsidR="00D270E2" w:rsidRPr="00E80935" w14:paraId="22580B46" w14:textId="30B54DA3" w:rsidTr="009C7F25">
        <w:trPr>
          <w:gridBefore w:val="1"/>
          <w:gridAfter w:val="1"/>
          <w:wBefore w:w="270" w:type="dxa"/>
          <w:wAfter w:w="180" w:type="dxa"/>
          <w:trHeight w:val="88"/>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2E7F408B"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Public – local </w:t>
            </w:r>
          </w:p>
        </w:tc>
        <w:tc>
          <w:tcPr>
            <w:tcW w:w="720" w:type="dxa"/>
            <w:tcBorders>
              <w:top w:val="single" w:sz="6" w:space="0" w:color="FFFFFF"/>
              <w:left w:val="single" w:sz="6" w:space="0" w:color="FFFFFF"/>
              <w:bottom w:val="single" w:sz="6" w:space="0" w:color="FFFFFF"/>
              <w:right w:val="single" w:sz="6" w:space="0" w:color="FFFFFF"/>
            </w:tcBorders>
            <w:vAlign w:val="bottom"/>
          </w:tcPr>
          <w:p w14:paraId="62DBD41C"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SSV-6</w:t>
            </w:r>
          </w:p>
        </w:tc>
        <w:tc>
          <w:tcPr>
            <w:tcW w:w="1170" w:type="dxa"/>
            <w:tcBorders>
              <w:top w:val="single" w:sz="6" w:space="0" w:color="FFFFFF"/>
              <w:left w:val="single" w:sz="6" w:space="0" w:color="FFFFFF"/>
              <w:bottom w:val="single" w:sz="6" w:space="0" w:color="FFFFFF"/>
              <w:right w:val="single" w:sz="6" w:space="0" w:color="FFFFFF"/>
            </w:tcBorders>
            <w:vAlign w:val="bottom"/>
          </w:tcPr>
          <w:p w14:paraId="2665182E" w14:textId="4820F4D1"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266</w:t>
            </w:r>
          </w:p>
        </w:tc>
        <w:tc>
          <w:tcPr>
            <w:tcW w:w="90" w:type="dxa"/>
            <w:tcBorders>
              <w:top w:val="single" w:sz="6" w:space="0" w:color="FFFFFF"/>
              <w:left w:val="single" w:sz="6" w:space="0" w:color="FFFFFF"/>
              <w:bottom w:val="single" w:sz="6" w:space="0" w:color="FFFFFF"/>
              <w:right w:val="single" w:sz="6" w:space="0" w:color="FFFFFF"/>
            </w:tcBorders>
            <w:vAlign w:val="bottom"/>
          </w:tcPr>
          <w:p w14:paraId="0F5D66AB"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0D386C51" w14:textId="3924E005"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257</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EA3495E" w14:textId="56B2EA85"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245</w:t>
            </w:r>
          </w:p>
        </w:tc>
        <w:tc>
          <w:tcPr>
            <w:tcW w:w="180" w:type="dxa"/>
            <w:tcBorders>
              <w:top w:val="single" w:sz="6" w:space="0" w:color="FFFFFF"/>
              <w:left w:val="single" w:sz="6" w:space="0" w:color="FFFFFF"/>
              <w:bottom w:val="single" w:sz="6" w:space="0" w:color="FFFFFF"/>
              <w:right w:val="single" w:sz="6" w:space="0" w:color="FFFFFF"/>
            </w:tcBorders>
            <w:vAlign w:val="bottom"/>
          </w:tcPr>
          <w:p w14:paraId="19427896"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618D960" w14:textId="28DBCDD4"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12</w:t>
            </w:r>
          </w:p>
        </w:tc>
        <w:tc>
          <w:tcPr>
            <w:tcW w:w="90" w:type="dxa"/>
            <w:tcBorders>
              <w:top w:val="single" w:sz="6" w:space="0" w:color="FFFFFF"/>
              <w:left w:val="single" w:sz="6" w:space="0" w:color="FFFFFF"/>
              <w:bottom w:val="single" w:sz="6" w:space="0" w:color="FFFFFF"/>
              <w:right w:val="single" w:sz="6" w:space="0" w:color="FFFFFF"/>
            </w:tcBorders>
          </w:tcPr>
          <w:p w14:paraId="7CC5047A"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Mar>
              <w:right w:w="173" w:type="dxa"/>
            </w:tcMar>
          </w:tcPr>
          <w:p w14:paraId="367024C8" w14:textId="13740BDF"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95</w:t>
            </w:r>
          </w:p>
        </w:tc>
      </w:tr>
      <w:tr w:rsidR="00D270E2" w:rsidRPr="00E80935" w14:paraId="35FB5D5E" w14:textId="073FD9D6" w:rsidTr="009C7F25">
        <w:trPr>
          <w:gridBefore w:val="1"/>
          <w:gridAfter w:val="1"/>
          <w:wBefore w:w="270" w:type="dxa"/>
          <w:wAfter w:w="180" w:type="dxa"/>
          <w:trHeight w:val="88"/>
        </w:trPr>
        <w:tc>
          <w:tcPr>
            <w:tcW w:w="2880" w:type="dxa"/>
            <w:gridSpan w:val="2"/>
            <w:tcBorders>
              <w:top w:val="single" w:sz="6" w:space="0" w:color="FFFFFF"/>
              <w:left w:val="single" w:sz="6" w:space="0" w:color="FFFFFF"/>
              <w:bottom w:val="single" w:sz="6" w:space="0" w:color="FFFFFF"/>
              <w:right w:val="single" w:sz="6" w:space="0" w:color="FFFFFF"/>
            </w:tcBorders>
            <w:vAlign w:val="bottom"/>
          </w:tcPr>
          <w:p w14:paraId="26B53647"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Private</w:t>
            </w:r>
          </w:p>
        </w:tc>
        <w:tc>
          <w:tcPr>
            <w:tcW w:w="720" w:type="dxa"/>
            <w:tcBorders>
              <w:top w:val="single" w:sz="6" w:space="0" w:color="FFFFFF"/>
              <w:left w:val="single" w:sz="6" w:space="0" w:color="FFFFFF"/>
              <w:bottom w:val="single" w:sz="6" w:space="0" w:color="FFFFFF"/>
              <w:right w:val="single" w:sz="6" w:space="0" w:color="FFFFFF"/>
            </w:tcBorders>
            <w:vAlign w:val="bottom"/>
          </w:tcPr>
          <w:p w14:paraId="10EFFDF7"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SSV-6</w:t>
            </w:r>
          </w:p>
        </w:tc>
        <w:tc>
          <w:tcPr>
            <w:tcW w:w="1170" w:type="dxa"/>
            <w:tcBorders>
              <w:top w:val="single" w:sz="6" w:space="0" w:color="FFFFFF"/>
              <w:left w:val="single" w:sz="6" w:space="0" w:color="FFFFFF"/>
              <w:bottom w:val="single" w:sz="6" w:space="0" w:color="FFFFFF"/>
              <w:right w:val="single" w:sz="6" w:space="0" w:color="FFFFFF"/>
            </w:tcBorders>
            <w:vAlign w:val="bottom"/>
          </w:tcPr>
          <w:p w14:paraId="61EE9ABC" w14:textId="335CDBAE"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264</w:t>
            </w:r>
          </w:p>
        </w:tc>
        <w:tc>
          <w:tcPr>
            <w:tcW w:w="90" w:type="dxa"/>
            <w:tcBorders>
              <w:top w:val="single" w:sz="6" w:space="0" w:color="FFFFFF"/>
              <w:left w:val="single" w:sz="6" w:space="0" w:color="FFFFFF"/>
              <w:bottom w:val="single" w:sz="6" w:space="0" w:color="FFFFFF"/>
              <w:right w:val="single" w:sz="6" w:space="0" w:color="FFFFFF"/>
            </w:tcBorders>
            <w:vAlign w:val="bottom"/>
          </w:tcPr>
          <w:p w14:paraId="19B30C5F"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144" w:type="dxa"/>
            </w:tcMar>
            <w:vAlign w:val="bottom"/>
          </w:tcPr>
          <w:p w14:paraId="04EE4579" w14:textId="65F812EC"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249</w:t>
            </w:r>
          </w:p>
        </w:tc>
        <w:tc>
          <w:tcPr>
            <w:tcW w:w="900" w:type="dxa"/>
            <w:tcBorders>
              <w:top w:val="single" w:sz="6" w:space="0" w:color="FFFFFF"/>
              <w:left w:val="single" w:sz="6" w:space="0" w:color="FFFFFF"/>
              <w:bottom w:val="single" w:sz="6" w:space="0" w:color="FFFFFF"/>
              <w:right w:val="single" w:sz="6" w:space="0" w:color="FFFFFF"/>
            </w:tcBorders>
            <w:tcMar>
              <w:right w:w="72" w:type="dxa"/>
            </w:tcMar>
            <w:vAlign w:val="bottom"/>
          </w:tcPr>
          <w:p w14:paraId="4BDD0308" w14:textId="78FAC850"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225</w:t>
            </w:r>
          </w:p>
        </w:tc>
        <w:tc>
          <w:tcPr>
            <w:tcW w:w="180" w:type="dxa"/>
            <w:tcBorders>
              <w:top w:val="single" w:sz="6" w:space="0" w:color="FFFFFF"/>
              <w:left w:val="single" w:sz="6" w:space="0" w:color="FFFFFF"/>
              <w:bottom w:val="single" w:sz="6" w:space="0" w:color="FFFFFF"/>
              <w:right w:val="single" w:sz="6" w:space="0" w:color="FFFFFF"/>
            </w:tcBorders>
            <w:vAlign w:val="bottom"/>
          </w:tcPr>
          <w:p w14:paraId="78CA1DE6"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7CE9F225" w14:textId="47E3AA6F"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24</w:t>
            </w:r>
          </w:p>
        </w:tc>
        <w:tc>
          <w:tcPr>
            <w:tcW w:w="90" w:type="dxa"/>
            <w:tcBorders>
              <w:top w:val="single" w:sz="6" w:space="0" w:color="FFFFFF"/>
              <w:left w:val="single" w:sz="6" w:space="0" w:color="FFFFFF"/>
              <w:bottom w:val="single" w:sz="6" w:space="0" w:color="FFFFFF"/>
              <w:right w:val="single" w:sz="6" w:space="0" w:color="FFFFFF"/>
            </w:tcBorders>
          </w:tcPr>
          <w:p w14:paraId="7E42CFE9"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6" w:space="0" w:color="FFFFFF"/>
              <w:right w:val="single" w:sz="6" w:space="0" w:color="FFFFFF"/>
            </w:tcBorders>
            <w:tcMar>
              <w:right w:w="173" w:type="dxa"/>
            </w:tcMar>
          </w:tcPr>
          <w:p w14:paraId="37949DAA" w14:textId="040E4A75"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90</w:t>
            </w:r>
          </w:p>
        </w:tc>
      </w:tr>
      <w:tr w:rsidR="00D270E2" w:rsidRPr="00E80935" w14:paraId="0BEA285F" w14:textId="5B716211" w:rsidTr="009C7F25">
        <w:trPr>
          <w:gridBefore w:val="1"/>
          <w:gridAfter w:val="1"/>
          <w:wBefore w:w="270" w:type="dxa"/>
          <w:wAfter w:w="180" w:type="dxa"/>
          <w:trHeight w:val="88"/>
        </w:trPr>
        <w:tc>
          <w:tcPr>
            <w:tcW w:w="2880" w:type="dxa"/>
            <w:gridSpan w:val="2"/>
            <w:tcBorders>
              <w:top w:val="single" w:sz="6" w:space="0" w:color="FFFFFF"/>
              <w:left w:val="single" w:sz="6" w:space="0" w:color="FFFFFF"/>
              <w:bottom w:val="single" w:sz="4" w:space="0" w:color="auto"/>
              <w:right w:val="single" w:sz="6" w:space="0" w:color="FFFFFF"/>
            </w:tcBorders>
            <w:vAlign w:val="bottom"/>
          </w:tcPr>
          <w:p w14:paraId="0739B698"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 xml:space="preserve">     Indian country </w:t>
            </w:r>
          </w:p>
        </w:tc>
        <w:tc>
          <w:tcPr>
            <w:tcW w:w="720" w:type="dxa"/>
            <w:tcBorders>
              <w:top w:val="single" w:sz="6" w:space="0" w:color="FFFFFF"/>
              <w:left w:val="single" w:sz="6" w:space="0" w:color="FFFFFF"/>
              <w:bottom w:val="single" w:sz="4" w:space="0" w:color="auto"/>
              <w:right w:val="single" w:sz="6" w:space="0" w:color="FFFFFF"/>
            </w:tcBorders>
            <w:vAlign w:val="bottom"/>
          </w:tcPr>
          <w:p w14:paraId="4C1E97B8" w14:textId="77777777" w:rsidR="00D270E2" w:rsidRPr="00E80935" w:rsidRDefault="00D270E2" w:rsidP="00D270E2">
            <w:pPr>
              <w:widowControl/>
              <w:rPr>
                <w:rFonts w:ascii="Arial" w:hAnsi="Arial" w:cs="Arial"/>
                <w:sz w:val="20"/>
                <w:szCs w:val="20"/>
              </w:rPr>
            </w:pPr>
            <w:r w:rsidRPr="00E80935">
              <w:rPr>
                <w:rFonts w:ascii="Arial" w:hAnsi="Arial" w:cs="Arial"/>
                <w:sz w:val="20"/>
                <w:szCs w:val="20"/>
              </w:rPr>
              <w:t>SSV-6</w:t>
            </w:r>
          </w:p>
        </w:tc>
        <w:tc>
          <w:tcPr>
            <w:tcW w:w="1170" w:type="dxa"/>
            <w:tcBorders>
              <w:top w:val="single" w:sz="6" w:space="0" w:color="FFFFFF"/>
              <w:left w:val="single" w:sz="6" w:space="0" w:color="FFFFFF"/>
              <w:bottom w:val="single" w:sz="4" w:space="0" w:color="auto"/>
              <w:right w:val="single" w:sz="6" w:space="0" w:color="FFFFFF"/>
            </w:tcBorders>
            <w:vAlign w:val="bottom"/>
          </w:tcPr>
          <w:p w14:paraId="4CAF5804" w14:textId="0C646F51"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19</w:t>
            </w:r>
          </w:p>
        </w:tc>
        <w:tc>
          <w:tcPr>
            <w:tcW w:w="90" w:type="dxa"/>
            <w:tcBorders>
              <w:top w:val="single" w:sz="6" w:space="0" w:color="FFFFFF"/>
              <w:left w:val="single" w:sz="6" w:space="0" w:color="FFFFFF"/>
              <w:bottom w:val="single" w:sz="4" w:space="0" w:color="auto"/>
              <w:right w:val="single" w:sz="6" w:space="0" w:color="FFFFFF"/>
            </w:tcBorders>
            <w:vAlign w:val="bottom"/>
          </w:tcPr>
          <w:p w14:paraId="7DD07A0D"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4" w:space="0" w:color="auto"/>
              <w:right w:val="single" w:sz="6" w:space="0" w:color="FFFFFF"/>
            </w:tcBorders>
            <w:tcMar>
              <w:right w:w="144" w:type="dxa"/>
            </w:tcMar>
            <w:vAlign w:val="bottom"/>
          </w:tcPr>
          <w:p w14:paraId="41E73471" w14:textId="334B0DB9"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19</w:t>
            </w:r>
          </w:p>
        </w:tc>
        <w:tc>
          <w:tcPr>
            <w:tcW w:w="900" w:type="dxa"/>
            <w:tcBorders>
              <w:top w:val="single" w:sz="6" w:space="0" w:color="FFFFFF"/>
              <w:left w:val="single" w:sz="6" w:space="0" w:color="FFFFFF"/>
              <w:bottom w:val="single" w:sz="4" w:space="0" w:color="auto"/>
              <w:right w:val="single" w:sz="6" w:space="0" w:color="FFFFFF"/>
            </w:tcBorders>
            <w:tcMar>
              <w:right w:w="72" w:type="dxa"/>
            </w:tcMar>
            <w:vAlign w:val="bottom"/>
          </w:tcPr>
          <w:p w14:paraId="1B9F83E2" w14:textId="615A33EB"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17</w:t>
            </w:r>
          </w:p>
        </w:tc>
        <w:tc>
          <w:tcPr>
            <w:tcW w:w="180" w:type="dxa"/>
            <w:tcBorders>
              <w:top w:val="single" w:sz="6" w:space="0" w:color="FFFFFF"/>
              <w:left w:val="single" w:sz="6" w:space="0" w:color="FFFFFF"/>
              <w:bottom w:val="single" w:sz="4" w:space="0" w:color="auto"/>
              <w:right w:val="single" w:sz="6" w:space="0" w:color="FFFFFF"/>
            </w:tcBorders>
            <w:vAlign w:val="bottom"/>
          </w:tcPr>
          <w:p w14:paraId="51933983" w14:textId="77777777" w:rsidR="00D270E2" w:rsidRPr="00E80935" w:rsidRDefault="00D270E2" w:rsidP="00D270E2">
            <w:pPr>
              <w:widowControl/>
              <w:jc w:val="right"/>
              <w:rPr>
                <w:rFonts w:ascii="Arial" w:hAnsi="Arial" w:cs="Arial"/>
                <w:sz w:val="20"/>
                <w:szCs w:val="20"/>
              </w:rPr>
            </w:pPr>
          </w:p>
        </w:tc>
        <w:tc>
          <w:tcPr>
            <w:tcW w:w="990" w:type="dxa"/>
            <w:tcBorders>
              <w:top w:val="single" w:sz="6" w:space="0" w:color="FFFFFF"/>
              <w:left w:val="single" w:sz="6" w:space="0" w:color="FFFFFF"/>
              <w:bottom w:val="single" w:sz="4" w:space="0" w:color="auto"/>
              <w:right w:val="single" w:sz="6" w:space="0" w:color="FFFFFF"/>
            </w:tcBorders>
            <w:tcMar>
              <w:right w:w="288" w:type="dxa"/>
            </w:tcMar>
            <w:vAlign w:val="bottom"/>
          </w:tcPr>
          <w:p w14:paraId="18122A36" w14:textId="5C86A3AC"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2</w:t>
            </w:r>
          </w:p>
        </w:tc>
        <w:tc>
          <w:tcPr>
            <w:tcW w:w="90" w:type="dxa"/>
            <w:tcBorders>
              <w:top w:val="single" w:sz="6" w:space="0" w:color="FFFFFF"/>
              <w:left w:val="single" w:sz="6" w:space="0" w:color="FFFFFF"/>
              <w:bottom w:val="single" w:sz="4" w:space="0" w:color="auto"/>
              <w:right w:val="single" w:sz="6" w:space="0" w:color="FFFFFF"/>
            </w:tcBorders>
          </w:tcPr>
          <w:p w14:paraId="7CA79606" w14:textId="77777777" w:rsidR="00D270E2" w:rsidRPr="00E80935" w:rsidRDefault="00D270E2" w:rsidP="00D270E2">
            <w:pPr>
              <w:widowControl/>
              <w:jc w:val="right"/>
              <w:rPr>
                <w:rFonts w:ascii="Arial" w:hAnsi="Arial" w:cs="Arial"/>
                <w:sz w:val="20"/>
                <w:szCs w:val="20"/>
              </w:rPr>
            </w:pPr>
          </w:p>
        </w:tc>
        <w:tc>
          <w:tcPr>
            <w:tcW w:w="990" w:type="dxa"/>
            <w:gridSpan w:val="2"/>
            <w:tcBorders>
              <w:top w:val="single" w:sz="6" w:space="0" w:color="FFFFFF"/>
              <w:left w:val="single" w:sz="6" w:space="0" w:color="FFFFFF"/>
              <w:bottom w:val="single" w:sz="4" w:space="0" w:color="auto"/>
              <w:right w:val="single" w:sz="6" w:space="0" w:color="FFFFFF"/>
            </w:tcBorders>
            <w:tcMar>
              <w:right w:w="173" w:type="dxa"/>
            </w:tcMar>
          </w:tcPr>
          <w:p w14:paraId="27CC01D1" w14:textId="3441ED81" w:rsidR="00D270E2" w:rsidRPr="00E80935" w:rsidRDefault="00D270E2" w:rsidP="00D270E2">
            <w:pPr>
              <w:widowControl/>
              <w:jc w:val="right"/>
              <w:rPr>
                <w:rFonts w:ascii="Arial" w:hAnsi="Arial" w:cs="Arial"/>
                <w:sz w:val="20"/>
                <w:szCs w:val="20"/>
              </w:rPr>
            </w:pPr>
            <w:r w:rsidRPr="00E80935">
              <w:rPr>
                <w:rFonts w:ascii="Arial" w:hAnsi="Arial" w:cs="Arial"/>
                <w:sz w:val="20"/>
                <w:szCs w:val="20"/>
              </w:rPr>
              <w:t>89</w:t>
            </w:r>
          </w:p>
        </w:tc>
      </w:tr>
      <w:tr w:rsidR="00132557" w:rsidRPr="00E80935" w14:paraId="57497673" w14:textId="77777777" w:rsidTr="009C7F25">
        <w:trPr>
          <w:gridBefore w:val="1"/>
          <w:gridAfter w:val="1"/>
          <w:wBefore w:w="270" w:type="dxa"/>
          <w:wAfter w:w="180" w:type="dxa"/>
          <w:trHeight w:val="273"/>
        </w:trPr>
        <w:tc>
          <w:tcPr>
            <w:tcW w:w="6750" w:type="dxa"/>
            <w:gridSpan w:val="7"/>
            <w:tcBorders>
              <w:top w:val="single" w:sz="4" w:space="0" w:color="auto"/>
              <w:left w:val="single" w:sz="6" w:space="0" w:color="FFFFFF"/>
              <w:bottom w:val="single" w:sz="6" w:space="0" w:color="FFFFFF"/>
              <w:right w:val="single" w:sz="6" w:space="0" w:color="FFFFFF"/>
            </w:tcBorders>
            <w:vAlign w:val="bottom"/>
          </w:tcPr>
          <w:p w14:paraId="4DFED7CB" w14:textId="037A6A3E" w:rsidR="00132557" w:rsidRPr="00E80935" w:rsidRDefault="00132557" w:rsidP="00132557">
            <w:pPr>
              <w:widowControl/>
              <w:rPr>
                <w:rFonts w:ascii="Arial" w:hAnsi="Arial" w:cs="Arial"/>
                <w:sz w:val="20"/>
                <w:szCs w:val="20"/>
              </w:rPr>
            </w:pPr>
            <w:r w:rsidRPr="00E80935">
              <w:rPr>
                <w:rFonts w:ascii="Arial" w:hAnsi="Arial" w:cs="Arial"/>
                <w:sz w:val="20"/>
                <w:szCs w:val="20"/>
              </w:rPr>
              <w:t>* In Arkansas, all state juvenile facilities were privately operated in 2016.</w:t>
            </w:r>
          </w:p>
        </w:tc>
        <w:tc>
          <w:tcPr>
            <w:tcW w:w="180" w:type="dxa"/>
            <w:tcBorders>
              <w:top w:val="single" w:sz="4" w:space="0" w:color="auto"/>
              <w:left w:val="single" w:sz="6" w:space="0" w:color="FFFFFF"/>
              <w:bottom w:val="single" w:sz="6" w:space="0" w:color="FFFFFF"/>
              <w:right w:val="single" w:sz="6" w:space="0" w:color="FFFFFF"/>
            </w:tcBorders>
            <w:vAlign w:val="bottom"/>
          </w:tcPr>
          <w:p w14:paraId="44A956B2" w14:textId="77777777" w:rsidR="00132557" w:rsidRPr="00E80935" w:rsidRDefault="00132557" w:rsidP="00595856">
            <w:pPr>
              <w:widowControl/>
              <w:jc w:val="right"/>
              <w:rPr>
                <w:rFonts w:ascii="Arial" w:hAnsi="Arial" w:cs="Arial"/>
                <w:sz w:val="20"/>
                <w:szCs w:val="20"/>
              </w:rPr>
            </w:pPr>
          </w:p>
        </w:tc>
        <w:tc>
          <w:tcPr>
            <w:tcW w:w="990" w:type="dxa"/>
            <w:tcBorders>
              <w:top w:val="single" w:sz="4" w:space="0" w:color="auto"/>
              <w:left w:val="single" w:sz="6" w:space="0" w:color="FFFFFF"/>
              <w:bottom w:val="single" w:sz="6" w:space="0" w:color="FFFFFF"/>
              <w:right w:val="single" w:sz="6" w:space="0" w:color="FFFFFF"/>
            </w:tcBorders>
            <w:tcMar>
              <w:right w:w="288" w:type="dxa"/>
            </w:tcMar>
            <w:vAlign w:val="bottom"/>
          </w:tcPr>
          <w:p w14:paraId="2F6FBD3D" w14:textId="77777777" w:rsidR="00132557" w:rsidRPr="00E80935" w:rsidRDefault="00132557" w:rsidP="00595856">
            <w:pPr>
              <w:widowControl/>
              <w:jc w:val="right"/>
              <w:rPr>
                <w:rFonts w:ascii="Arial" w:hAnsi="Arial" w:cs="Arial"/>
                <w:sz w:val="20"/>
                <w:szCs w:val="20"/>
              </w:rPr>
            </w:pPr>
          </w:p>
        </w:tc>
        <w:tc>
          <w:tcPr>
            <w:tcW w:w="90" w:type="dxa"/>
            <w:tcBorders>
              <w:top w:val="single" w:sz="4" w:space="0" w:color="auto"/>
              <w:left w:val="single" w:sz="6" w:space="0" w:color="FFFFFF"/>
              <w:bottom w:val="single" w:sz="6" w:space="0" w:color="FFFFFF"/>
              <w:right w:val="single" w:sz="6" w:space="0" w:color="FFFFFF"/>
            </w:tcBorders>
          </w:tcPr>
          <w:p w14:paraId="6CBB8714" w14:textId="77777777" w:rsidR="00132557" w:rsidRPr="00E80935" w:rsidRDefault="00132557" w:rsidP="00595856">
            <w:pPr>
              <w:widowControl/>
              <w:jc w:val="right"/>
              <w:rPr>
                <w:rFonts w:ascii="Arial" w:hAnsi="Arial" w:cs="Arial"/>
                <w:sz w:val="20"/>
                <w:szCs w:val="20"/>
              </w:rPr>
            </w:pPr>
          </w:p>
        </w:tc>
        <w:tc>
          <w:tcPr>
            <w:tcW w:w="990" w:type="dxa"/>
            <w:gridSpan w:val="2"/>
            <w:tcBorders>
              <w:top w:val="single" w:sz="4" w:space="0" w:color="auto"/>
              <w:left w:val="single" w:sz="6" w:space="0" w:color="FFFFFF"/>
              <w:bottom w:val="single" w:sz="6" w:space="0" w:color="FFFFFF"/>
              <w:right w:val="single" w:sz="6" w:space="0" w:color="FFFFFF"/>
            </w:tcBorders>
            <w:tcMar>
              <w:right w:w="173" w:type="dxa"/>
            </w:tcMar>
          </w:tcPr>
          <w:p w14:paraId="7139F3C3" w14:textId="77777777" w:rsidR="00132557" w:rsidRPr="00E80935" w:rsidRDefault="00132557" w:rsidP="00595856">
            <w:pPr>
              <w:widowControl/>
              <w:jc w:val="right"/>
              <w:rPr>
                <w:rFonts w:ascii="Arial" w:hAnsi="Arial" w:cs="Arial"/>
                <w:sz w:val="20"/>
                <w:szCs w:val="20"/>
              </w:rPr>
            </w:pPr>
          </w:p>
        </w:tc>
      </w:tr>
    </w:tbl>
    <w:p w14:paraId="311B7451" w14:textId="77777777" w:rsidR="00595856" w:rsidRPr="00E80935" w:rsidRDefault="00595856" w:rsidP="00394D48">
      <w:pPr>
        <w:widowControl/>
        <w:ind w:left="720"/>
        <w:rPr>
          <w:rFonts w:ascii="Times New Roman" w:hAnsi="Times New Roman"/>
          <w:color w:val="000000"/>
        </w:rPr>
      </w:pPr>
    </w:p>
    <w:p w14:paraId="4B182588" w14:textId="37864044" w:rsidR="00394D48" w:rsidRPr="00E80935" w:rsidRDefault="007000F4" w:rsidP="00394D48">
      <w:pPr>
        <w:widowControl/>
        <w:ind w:left="720"/>
        <w:rPr>
          <w:rFonts w:ascii="Times New Roman" w:hAnsi="Times New Roman"/>
          <w:color w:val="000000"/>
        </w:rPr>
      </w:pPr>
      <w:r w:rsidRPr="00E80935">
        <w:rPr>
          <w:rFonts w:ascii="Times New Roman" w:hAnsi="Times New Roman"/>
          <w:color w:val="000000"/>
        </w:rPr>
        <w:t>Significant</w:t>
      </w:r>
      <w:r w:rsidR="001839AB" w:rsidRPr="00E80935">
        <w:rPr>
          <w:rFonts w:ascii="Times New Roman" w:hAnsi="Times New Roman"/>
          <w:color w:val="000000"/>
        </w:rPr>
        <w:t xml:space="preserve"> effort is being made to make the survey materials clear and </w:t>
      </w:r>
      <w:r w:rsidR="00202F29" w:rsidRPr="00E80935">
        <w:rPr>
          <w:rFonts w:ascii="Times New Roman" w:hAnsi="Times New Roman"/>
          <w:color w:val="000000"/>
        </w:rPr>
        <w:t>straightforward</w:t>
      </w:r>
      <w:r w:rsidR="001839AB" w:rsidRPr="00E80935">
        <w:rPr>
          <w:rFonts w:ascii="Times New Roman" w:hAnsi="Times New Roman"/>
          <w:color w:val="000000"/>
        </w:rPr>
        <w:t xml:space="preserve">. </w:t>
      </w:r>
      <w:r w:rsidR="00394D48" w:rsidRPr="00E80935">
        <w:rPr>
          <w:rFonts w:ascii="Times New Roman" w:hAnsi="Times New Roman"/>
          <w:color w:val="000000"/>
        </w:rPr>
        <w:t>The SSV questionnaire</w:t>
      </w:r>
      <w:r w:rsidR="00FB2B86" w:rsidRPr="00E80935">
        <w:rPr>
          <w:rFonts w:ascii="Times New Roman" w:hAnsi="Times New Roman"/>
          <w:color w:val="000000"/>
        </w:rPr>
        <w:t>s</w:t>
      </w:r>
      <w:r w:rsidR="00394D48" w:rsidRPr="00E80935">
        <w:rPr>
          <w:rFonts w:ascii="Times New Roman" w:hAnsi="Times New Roman"/>
          <w:color w:val="000000"/>
        </w:rPr>
        <w:t xml:space="preserve"> </w:t>
      </w:r>
      <w:r w:rsidR="00FB2B86" w:rsidRPr="00E80935">
        <w:rPr>
          <w:rFonts w:ascii="Times New Roman" w:hAnsi="Times New Roman"/>
          <w:color w:val="000000"/>
        </w:rPr>
        <w:t>have</w:t>
      </w:r>
      <w:r w:rsidR="00394D48" w:rsidRPr="00E80935">
        <w:rPr>
          <w:rFonts w:ascii="Times New Roman" w:hAnsi="Times New Roman"/>
          <w:color w:val="000000"/>
        </w:rPr>
        <w:t xml:space="preserve"> been designed to make collection of the data as concise and easy for the respondents as possible. </w:t>
      </w:r>
      <w:r w:rsidRPr="00E80935">
        <w:rPr>
          <w:rFonts w:ascii="Times New Roman" w:hAnsi="Times New Roman"/>
          <w:color w:val="000000"/>
        </w:rPr>
        <w:t>U</w:t>
      </w:r>
      <w:r w:rsidR="00394D48" w:rsidRPr="00E80935">
        <w:rPr>
          <w:rFonts w:ascii="Times New Roman" w:hAnsi="Times New Roman"/>
          <w:color w:val="000000"/>
        </w:rPr>
        <w:t>niform definitions of terms and concepts as well as counting rules for item</w:t>
      </w:r>
      <w:r w:rsidR="006135E9" w:rsidRPr="00E80935">
        <w:rPr>
          <w:rFonts w:ascii="Times New Roman" w:hAnsi="Times New Roman"/>
          <w:color w:val="000000"/>
        </w:rPr>
        <w:t>s</w:t>
      </w:r>
      <w:r w:rsidR="00394D48" w:rsidRPr="00E80935">
        <w:rPr>
          <w:rFonts w:ascii="Times New Roman" w:hAnsi="Times New Roman"/>
          <w:color w:val="000000"/>
        </w:rPr>
        <w:t xml:space="preserve"> to be reported</w:t>
      </w:r>
      <w:r w:rsidR="00B440C2" w:rsidRPr="00E80935">
        <w:rPr>
          <w:rFonts w:ascii="Times New Roman" w:hAnsi="Times New Roman"/>
          <w:color w:val="000000"/>
        </w:rPr>
        <w:t xml:space="preserve"> are included on the forms</w:t>
      </w:r>
      <w:r w:rsidR="00394D48" w:rsidRPr="00E80935">
        <w:rPr>
          <w:rFonts w:ascii="Times New Roman" w:hAnsi="Times New Roman"/>
          <w:color w:val="000000"/>
        </w:rPr>
        <w:t xml:space="preserve">. </w:t>
      </w:r>
      <w:r w:rsidR="00B440C2" w:rsidRPr="00E80935">
        <w:rPr>
          <w:rFonts w:ascii="Times New Roman" w:hAnsi="Times New Roman"/>
          <w:color w:val="000000"/>
        </w:rPr>
        <w:t>T</w:t>
      </w:r>
      <w:r w:rsidR="00394D48" w:rsidRPr="00E80935">
        <w:rPr>
          <w:rFonts w:ascii="Times New Roman" w:hAnsi="Times New Roman"/>
          <w:color w:val="000000"/>
        </w:rPr>
        <w:t xml:space="preserve">he SSV </w:t>
      </w:r>
      <w:r w:rsidR="00B440C2" w:rsidRPr="00E80935">
        <w:rPr>
          <w:rFonts w:ascii="Times New Roman" w:hAnsi="Times New Roman"/>
          <w:color w:val="000000"/>
        </w:rPr>
        <w:t xml:space="preserve">also </w:t>
      </w:r>
      <w:r w:rsidR="00394D48" w:rsidRPr="00E80935">
        <w:rPr>
          <w:rFonts w:ascii="Times New Roman" w:hAnsi="Times New Roman"/>
          <w:color w:val="000000"/>
        </w:rPr>
        <w:t xml:space="preserve">uses some questions that have been </w:t>
      </w:r>
      <w:r w:rsidR="00202F29" w:rsidRPr="00E80935">
        <w:rPr>
          <w:rFonts w:ascii="Times New Roman" w:hAnsi="Times New Roman"/>
          <w:color w:val="000000"/>
        </w:rPr>
        <w:t xml:space="preserve">used </w:t>
      </w:r>
      <w:r w:rsidR="00394D48" w:rsidRPr="00E80935">
        <w:rPr>
          <w:rFonts w:ascii="Times New Roman" w:hAnsi="Times New Roman"/>
          <w:color w:val="000000"/>
        </w:rPr>
        <w:t>previously in other surveys and are easily reported by most respondents.</w:t>
      </w:r>
    </w:p>
    <w:p w14:paraId="606F08AB" w14:textId="77777777" w:rsidR="00595856" w:rsidRPr="00E80935" w:rsidRDefault="00595856" w:rsidP="00595856">
      <w:pPr>
        <w:rPr>
          <w:rFonts w:ascii="Times New Roman" w:hAnsi="Times New Roman"/>
        </w:rPr>
      </w:pPr>
    </w:p>
    <w:p w14:paraId="0F4BD44C" w14:textId="5E97013D" w:rsidR="00F62218" w:rsidRPr="00E80935" w:rsidRDefault="001252D6" w:rsidP="00F62218">
      <w:pPr>
        <w:tabs>
          <w:tab w:val="left" w:pos="720"/>
          <w:tab w:val="left" w:pos="1440"/>
          <w:tab w:val="left" w:pos="2160"/>
        </w:tabs>
        <w:ind w:left="720"/>
      </w:pPr>
      <w:r w:rsidRPr="00E80935">
        <w:t xml:space="preserve">Table </w:t>
      </w:r>
      <w:r w:rsidR="00AD07C1" w:rsidRPr="00E80935">
        <w:t>4</w:t>
      </w:r>
      <w:r w:rsidRPr="00E80935">
        <w:t xml:space="preserve"> </w:t>
      </w:r>
      <w:r w:rsidR="00FC0FC4" w:rsidRPr="00E80935">
        <w:t xml:space="preserve">(page </w:t>
      </w:r>
      <w:r w:rsidR="00056713" w:rsidRPr="00E80935">
        <w:t>7</w:t>
      </w:r>
      <w:r w:rsidR="00FC0FC4" w:rsidRPr="00E80935">
        <w:t xml:space="preserve">) </w:t>
      </w:r>
      <w:r w:rsidRPr="00E80935">
        <w:t xml:space="preserve">summarizes </w:t>
      </w:r>
      <w:r w:rsidR="00B440C2" w:rsidRPr="00E80935">
        <w:t xml:space="preserve">the </w:t>
      </w:r>
      <w:r w:rsidRPr="00E80935">
        <w:t xml:space="preserve">reporting capabilities of correctional authorities, by type of reported </w:t>
      </w:r>
      <w:r w:rsidR="00ED54D9" w:rsidRPr="00E80935">
        <w:t xml:space="preserve">sexual </w:t>
      </w:r>
      <w:r w:rsidR="00866924" w:rsidRPr="00E80935">
        <w:rPr>
          <w:rFonts w:ascii="Times New Roman" w:hAnsi="Times New Roman"/>
        </w:rPr>
        <w:t>victimization</w:t>
      </w:r>
      <w:r w:rsidRPr="00E80935">
        <w:t xml:space="preserve"> for collection year 20</w:t>
      </w:r>
      <w:r w:rsidR="00271C33" w:rsidRPr="00E80935">
        <w:t>16</w:t>
      </w:r>
      <w:r w:rsidRPr="00E80935">
        <w:t>.</w:t>
      </w:r>
      <w:r w:rsidR="00FF52FE" w:rsidRPr="00E80935">
        <w:rPr>
          <w:rStyle w:val="FootnoteReference"/>
          <w:vertAlign w:val="superscript"/>
        </w:rPr>
        <w:footnoteReference w:id="3"/>
      </w:r>
      <w:r w:rsidRPr="00E80935">
        <w:t xml:space="preserve"> This table demonstrates significant capacity to report data using uniform definitions and survey categories among </w:t>
      </w:r>
      <w:r w:rsidR="00DB5F94" w:rsidRPr="00E80935">
        <w:t>s</w:t>
      </w:r>
      <w:r w:rsidRPr="00E80935">
        <w:t xml:space="preserve">tate and </w:t>
      </w:r>
      <w:r w:rsidR="00DB5F94" w:rsidRPr="00E80935">
        <w:t>f</w:t>
      </w:r>
      <w:r w:rsidRPr="00E80935">
        <w:t>ederal prison systems</w:t>
      </w:r>
      <w:r w:rsidR="00F62218" w:rsidRPr="00E80935">
        <w:t xml:space="preserve"> and </w:t>
      </w:r>
      <w:r w:rsidR="00DB5F94" w:rsidRPr="00E80935">
        <w:t>s</w:t>
      </w:r>
      <w:r w:rsidR="00F62218" w:rsidRPr="00E80935">
        <w:t>tate juvenile systems</w:t>
      </w:r>
      <w:r w:rsidRPr="00E80935">
        <w:t>.</w:t>
      </w:r>
      <w:r w:rsidR="00B54A7D" w:rsidRPr="00E80935">
        <w:t xml:space="preserve"> </w:t>
      </w:r>
      <w:r w:rsidRPr="00E80935">
        <w:t>However, local jail</w:t>
      </w:r>
      <w:r w:rsidR="005866B8" w:rsidRPr="00E80935">
        <w:t>s</w:t>
      </w:r>
      <w:r w:rsidR="00F62218" w:rsidRPr="00E80935">
        <w:t xml:space="preserve"> and local</w:t>
      </w:r>
      <w:r w:rsidR="00BC2853" w:rsidRPr="00E80935">
        <w:t xml:space="preserve"> and </w:t>
      </w:r>
      <w:r w:rsidR="00F62218" w:rsidRPr="00E80935">
        <w:t>private juvenile facilities</w:t>
      </w:r>
      <w:r w:rsidRPr="00E80935">
        <w:t xml:space="preserve"> show </w:t>
      </w:r>
      <w:r w:rsidR="00B440C2" w:rsidRPr="00E80935">
        <w:t xml:space="preserve">somewhat </w:t>
      </w:r>
      <w:r w:rsidRPr="00E80935">
        <w:t>lower levels of conformity to data standards.</w:t>
      </w:r>
    </w:p>
    <w:p w14:paraId="62176AE2" w14:textId="77777777" w:rsidR="00B440C2" w:rsidRPr="00E80935" w:rsidRDefault="00B440C2" w:rsidP="00F62218">
      <w:pPr>
        <w:tabs>
          <w:tab w:val="left" w:pos="720"/>
          <w:tab w:val="left" w:pos="1440"/>
          <w:tab w:val="left" w:pos="2160"/>
        </w:tabs>
        <w:ind w:left="720"/>
      </w:pPr>
    </w:p>
    <w:p w14:paraId="33728832" w14:textId="2B4BF69A" w:rsidR="00844131" w:rsidRPr="00E80935" w:rsidRDefault="00F62218" w:rsidP="00B440C2">
      <w:pPr>
        <w:widowControl/>
        <w:ind w:left="720"/>
      </w:pPr>
      <w:r w:rsidRPr="00E80935">
        <w:t>In 20</w:t>
      </w:r>
      <w:r w:rsidR="00271C33" w:rsidRPr="00E80935">
        <w:t>16</w:t>
      </w:r>
      <w:r w:rsidRPr="00E80935">
        <w:t>, all</w:t>
      </w:r>
      <w:r w:rsidR="00056713" w:rsidRPr="00E80935">
        <w:t xml:space="preserve"> federal and state</w:t>
      </w:r>
      <w:r w:rsidRPr="00E80935">
        <w:t xml:space="preserve"> adult prison</w:t>
      </w:r>
      <w:r w:rsidR="00051046" w:rsidRPr="00E80935">
        <w:t xml:space="preserve"> </w:t>
      </w:r>
      <w:r w:rsidRPr="00E80935">
        <w:t xml:space="preserve">system </w:t>
      </w:r>
      <w:r w:rsidR="00056713" w:rsidRPr="00E80935">
        <w:t xml:space="preserve">authorities were able to report on </w:t>
      </w:r>
      <w:r w:rsidR="00342421" w:rsidRPr="00E80935">
        <w:t>each type of allegation; 4% could not separate allegations of abusive sexual contact from nonconsensual sexual acts</w:t>
      </w:r>
      <w:r w:rsidR="00561B8C" w:rsidRPr="00E80935">
        <w:t>; and 2% could not separate allegations of staff sexual harassment from staff sexual misconduct</w:t>
      </w:r>
      <w:r w:rsidR="00056713" w:rsidRPr="00E80935">
        <w:t xml:space="preserve">. </w:t>
      </w:r>
      <w:r w:rsidR="00A37293" w:rsidRPr="00E80935">
        <w:t>A</w:t>
      </w:r>
      <w:r w:rsidR="00056713" w:rsidRPr="00E80935">
        <w:t xml:space="preserve">ll </w:t>
      </w:r>
      <w:r w:rsidRPr="00E80935">
        <w:t xml:space="preserve">sampled jail </w:t>
      </w:r>
      <w:r w:rsidR="00B440C2" w:rsidRPr="00E80935">
        <w:t>jurisdiction</w:t>
      </w:r>
      <w:r w:rsidRPr="00E80935">
        <w:t xml:space="preserve"> authorities were able to report on nonconsensual sexual acts</w:t>
      </w:r>
      <w:r w:rsidR="00561B8C" w:rsidRPr="00E80935">
        <w:t xml:space="preserve"> (</w:t>
      </w:r>
      <w:r w:rsidR="00B440C2" w:rsidRPr="00E80935">
        <w:t>76% had full reporting</w:t>
      </w:r>
      <w:r w:rsidR="00561B8C" w:rsidRPr="00E80935">
        <w:t>,</w:t>
      </w:r>
      <w:r w:rsidR="00B440C2" w:rsidRPr="00E80935">
        <w:t xml:space="preserve"> 20% </w:t>
      </w:r>
      <w:r w:rsidR="00561B8C" w:rsidRPr="00E80935">
        <w:t xml:space="preserve">could not separate </w:t>
      </w:r>
      <w:r w:rsidR="00B440C2" w:rsidRPr="00E80935">
        <w:t xml:space="preserve">abusive sexual contact </w:t>
      </w:r>
      <w:r w:rsidR="00561B8C" w:rsidRPr="00E80935">
        <w:t>from</w:t>
      </w:r>
      <w:r w:rsidR="00B440C2" w:rsidRPr="00E80935">
        <w:t xml:space="preserve"> nonconsensual sexual acts, 2% reported only allegations that were substantiated or acts that were completed, and 1% had partial reporting</w:t>
      </w:r>
      <w:r w:rsidR="00561B8C" w:rsidRPr="00E80935">
        <w:t xml:space="preserve"> of nonconsensual sexual acts </w:t>
      </w:r>
      <w:r w:rsidR="00B440C2" w:rsidRPr="00E80935">
        <w:t>combined with abusive sexual contact)</w:t>
      </w:r>
      <w:r w:rsidR="007347FB" w:rsidRPr="00E80935">
        <w:t xml:space="preserve">; </w:t>
      </w:r>
      <w:r w:rsidR="005333A1" w:rsidRPr="00E80935">
        <w:t xml:space="preserve">at least </w:t>
      </w:r>
      <w:r w:rsidR="00B54A7D" w:rsidRPr="00E80935">
        <w:t xml:space="preserve">98% </w:t>
      </w:r>
      <w:r w:rsidR="005333A1" w:rsidRPr="00E80935">
        <w:t>of jails</w:t>
      </w:r>
      <w:r w:rsidR="00B54A7D" w:rsidRPr="00E80935">
        <w:t xml:space="preserve"> were able to report on </w:t>
      </w:r>
      <w:r w:rsidR="00561B8C" w:rsidRPr="00E80935">
        <w:t>each of the</w:t>
      </w:r>
      <w:r w:rsidR="00B54A7D" w:rsidRPr="00E80935">
        <w:t xml:space="preserve"> other types of allegations</w:t>
      </w:r>
      <w:r w:rsidR="005333A1" w:rsidRPr="00E80935">
        <w:t>:</w:t>
      </w:r>
      <w:r w:rsidR="005333A1" w:rsidRPr="00E80935">
        <w:rPr>
          <w:rFonts w:ascii="Times New Roman" w:hAnsi="Times New Roman"/>
        </w:rPr>
        <w:t xml:space="preserve"> </w:t>
      </w:r>
      <w:r w:rsidR="009249E6" w:rsidRPr="00E80935">
        <w:t xml:space="preserve">2% were unable to report on abusive sexual contact; </w:t>
      </w:r>
      <w:r w:rsidR="007347FB" w:rsidRPr="00E80935">
        <w:t>1% were unable to report on</w:t>
      </w:r>
      <w:r w:rsidRPr="00E80935">
        <w:t xml:space="preserve"> </w:t>
      </w:r>
      <w:r w:rsidR="009249E6" w:rsidRPr="00E80935">
        <w:t xml:space="preserve">inmate-on-inmate or </w:t>
      </w:r>
      <w:r w:rsidRPr="00E80935">
        <w:t>staff</w:t>
      </w:r>
      <w:r w:rsidR="009249E6" w:rsidRPr="00E80935">
        <w:t>-on-inmate</w:t>
      </w:r>
      <w:r w:rsidRPr="00E80935">
        <w:t xml:space="preserve"> sexual </w:t>
      </w:r>
      <w:r w:rsidR="007347FB" w:rsidRPr="00E80935">
        <w:t xml:space="preserve">harassment, and less than 0.5% were unable to report on </w:t>
      </w:r>
      <w:r w:rsidR="009249E6" w:rsidRPr="00E80935">
        <w:t>staff sexual misconduct</w:t>
      </w:r>
      <w:r w:rsidRPr="00E80935">
        <w:t xml:space="preserve">. </w:t>
      </w:r>
      <w:r w:rsidR="000120C9" w:rsidRPr="00E80935">
        <w:t>R</w:t>
      </w:r>
      <w:r w:rsidRPr="00E80935">
        <w:t xml:space="preserve">eporting </w:t>
      </w:r>
      <w:r w:rsidR="000120C9" w:rsidRPr="00E80935">
        <w:t>of nonconsensual sexual acts separate from abusive sexual contacts remains difficult for jails</w:t>
      </w:r>
      <w:r w:rsidR="005333A1" w:rsidRPr="00E80935">
        <w:t>,</w:t>
      </w:r>
      <w:r w:rsidR="000120C9" w:rsidRPr="00E80935">
        <w:t xml:space="preserve"> with 2</w:t>
      </w:r>
      <w:r w:rsidR="00342421" w:rsidRPr="00E80935">
        <w:t>1</w:t>
      </w:r>
      <w:r w:rsidR="000120C9" w:rsidRPr="00E80935">
        <w:t>% unable able to report separately in 20</w:t>
      </w:r>
      <w:r w:rsidR="00271C33" w:rsidRPr="00E80935">
        <w:t>16</w:t>
      </w:r>
      <w:r w:rsidR="000120C9" w:rsidRPr="00E80935">
        <w:t>.</w:t>
      </w:r>
    </w:p>
    <w:p w14:paraId="4BDFB450" w14:textId="77777777" w:rsidR="00844131" w:rsidRPr="00E80935" w:rsidRDefault="00844131" w:rsidP="00844131">
      <w:pPr>
        <w:widowControl/>
        <w:ind w:left="720"/>
      </w:pPr>
    </w:p>
    <w:p w14:paraId="60154C35" w14:textId="34A5E3B8" w:rsidR="00844131" w:rsidRPr="00E80935" w:rsidRDefault="00EC2D3C" w:rsidP="00844131">
      <w:pPr>
        <w:widowControl/>
        <w:ind w:left="720"/>
      </w:pPr>
      <w:r w:rsidRPr="00E80935">
        <w:t>A</w:t>
      </w:r>
      <w:r w:rsidR="00950622" w:rsidRPr="00E80935">
        <w:t xml:space="preserve">ll </w:t>
      </w:r>
      <w:r w:rsidR="00844131" w:rsidRPr="00E80935">
        <w:t xml:space="preserve">state </w:t>
      </w:r>
      <w:r w:rsidR="005333A1" w:rsidRPr="00E80935">
        <w:t xml:space="preserve">juvenile </w:t>
      </w:r>
      <w:r w:rsidR="00844131" w:rsidRPr="00E80935">
        <w:t xml:space="preserve">systems </w:t>
      </w:r>
      <w:r w:rsidR="00950622" w:rsidRPr="00E80935">
        <w:t xml:space="preserve">were </w:t>
      </w:r>
      <w:r w:rsidR="00844131" w:rsidRPr="00E80935">
        <w:t>able to report data on nonconsensual sexual acts</w:t>
      </w:r>
      <w:r w:rsidRPr="00E80935">
        <w:t xml:space="preserve"> in 2016, and</w:t>
      </w:r>
      <w:r w:rsidR="005333A1" w:rsidRPr="00E80935">
        <w:t xml:space="preserve"> 98% were able to report on </w:t>
      </w:r>
      <w:r w:rsidR="00561B8C" w:rsidRPr="00E80935">
        <w:t xml:space="preserve">each of </w:t>
      </w:r>
      <w:r w:rsidR="005333A1" w:rsidRPr="00E80935">
        <w:t>the remaining types of allegations</w:t>
      </w:r>
      <w:r w:rsidR="00950622" w:rsidRPr="00E80935">
        <w:t>. L</w:t>
      </w:r>
      <w:r w:rsidR="00844131" w:rsidRPr="00E80935">
        <w:t xml:space="preserve">ocal </w:t>
      </w:r>
      <w:r w:rsidR="00051046" w:rsidRPr="00E80935">
        <w:t>and</w:t>
      </w:r>
      <w:r w:rsidR="00844131" w:rsidRPr="00E80935">
        <w:t xml:space="preserve"> private juvenile facilities </w:t>
      </w:r>
      <w:r w:rsidRPr="00E80935">
        <w:t>were also able to report on most types of allegations</w:t>
      </w:r>
      <w:r w:rsidR="00950622" w:rsidRPr="00E80935">
        <w:t xml:space="preserve">. All </w:t>
      </w:r>
      <w:r w:rsidR="00844131" w:rsidRPr="00E80935">
        <w:t xml:space="preserve">were able to report data on </w:t>
      </w:r>
      <w:r w:rsidR="005333A1" w:rsidRPr="00E80935">
        <w:t xml:space="preserve">nonconsensual sexual acts and </w:t>
      </w:r>
      <w:r w:rsidR="00844131" w:rsidRPr="00E80935">
        <w:t>staff sexual misconduct</w:t>
      </w:r>
      <w:r w:rsidR="00950622" w:rsidRPr="00E80935">
        <w:t xml:space="preserve">, more than 99.5% were able to report on </w:t>
      </w:r>
      <w:r w:rsidR="005333A1" w:rsidRPr="00E80935">
        <w:t xml:space="preserve">abusive sexual contact, 99% </w:t>
      </w:r>
      <w:r w:rsidRPr="00E80935">
        <w:t xml:space="preserve">were able to report </w:t>
      </w:r>
      <w:r w:rsidR="005333A1" w:rsidRPr="00E80935">
        <w:t xml:space="preserve">on </w:t>
      </w:r>
      <w:r w:rsidR="00950622" w:rsidRPr="00E80935">
        <w:t>staff sexual harassment, and 98% were able to report on youth-on-youth sexual harassment</w:t>
      </w:r>
      <w:r w:rsidR="00844131" w:rsidRPr="00E80935">
        <w:t>.</w:t>
      </w:r>
    </w:p>
    <w:p w14:paraId="2C1983B8" w14:textId="77777777" w:rsidR="00844131" w:rsidRPr="00E80935" w:rsidRDefault="00844131" w:rsidP="00844131">
      <w:pPr>
        <w:widowControl/>
        <w:ind w:left="720"/>
      </w:pPr>
    </w:p>
    <w:tbl>
      <w:tblPr>
        <w:tblpPr w:leftFromText="187" w:rightFromText="187" w:vertAnchor="text" w:horzAnchor="page" w:tblpX="1340" w:tblpY="1"/>
        <w:tblOverlap w:val="never"/>
        <w:tblW w:w="9791" w:type="dxa"/>
        <w:tblLook w:val="04A0" w:firstRow="1" w:lastRow="0" w:firstColumn="1" w:lastColumn="0" w:noHBand="0" w:noVBand="1"/>
      </w:tblPr>
      <w:tblGrid>
        <w:gridCol w:w="720"/>
        <w:gridCol w:w="4320"/>
        <w:gridCol w:w="774"/>
        <w:gridCol w:w="374"/>
        <w:gridCol w:w="716"/>
        <w:gridCol w:w="76"/>
        <w:gridCol w:w="298"/>
        <w:gridCol w:w="192"/>
        <w:gridCol w:w="603"/>
        <w:gridCol w:w="374"/>
        <w:gridCol w:w="457"/>
        <w:gridCol w:w="217"/>
        <w:gridCol w:w="19"/>
        <w:gridCol w:w="69"/>
        <w:gridCol w:w="492"/>
        <w:gridCol w:w="90"/>
      </w:tblGrid>
      <w:tr w:rsidR="000B03C1" w:rsidRPr="00E80935" w14:paraId="1BA79E75" w14:textId="77777777" w:rsidTr="000B03C1">
        <w:trPr>
          <w:trHeight w:val="242"/>
        </w:trPr>
        <w:tc>
          <w:tcPr>
            <w:tcW w:w="9121" w:type="dxa"/>
            <w:gridSpan w:val="12"/>
            <w:tcBorders>
              <w:top w:val="nil"/>
              <w:left w:val="nil"/>
              <w:bottom w:val="nil"/>
              <w:right w:val="nil"/>
            </w:tcBorders>
            <w:shd w:val="clear" w:color="auto" w:fill="auto"/>
            <w:noWrap/>
            <w:vAlign w:val="bottom"/>
            <w:hideMark/>
          </w:tcPr>
          <w:p w14:paraId="4F0CA57B" w14:textId="1B49AFC9" w:rsidR="000B03C1" w:rsidRPr="00E80935" w:rsidRDefault="000B03C1" w:rsidP="002F3AE1">
            <w:pPr>
              <w:widowControl/>
              <w:autoSpaceDE/>
              <w:autoSpaceDN/>
              <w:adjustRightInd/>
              <w:rPr>
                <w:rFonts w:ascii="Calibri" w:hAnsi="Calibri"/>
                <w:color w:val="000000"/>
                <w:sz w:val="22"/>
                <w:szCs w:val="22"/>
              </w:rPr>
            </w:pPr>
            <w:r w:rsidRPr="00E80935">
              <w:rPr>
                <w:rFonts w:ascii="Calibri" w:hAnsi="Calibri"/>
                <w:b/>
                <w:bCs/>
                <w:color w:val="000000"/>
                <w:sz w:val="22"/>
                <w:szCs w:val="22"/>
              </w:rPr>
              <w:t>Table 4. Reporting capabilities of correctional authorities,  by type of sexual victimization, 2016</w:t>
            </w:r>
          </w:p>
        </w:tc>
        <w:tc>
          <w:tcPr>
            <w:tcW w:w="670" w:type="dxa"/>
            <w:gridSpan w:val="4"/>
            <w:tcBorders>
              <w:top w:val="nil"/>
              <w:left w:val="nil"/>
              <w:bottom w:val="nil"/>
              <w:right w:val="nil"/>
            </w:tcBorders>
            <w:shd w:val="clear" w:color="auto" w:fill="auto"/>
            <w:noWrap/>
            <w:vAlign w:val="bottom"/>
            <w:hideMark/>
          </w:tcPr>
          <w:p w14:paraId="333537BA" w14:textId="77777777" w:rsidR="000B03C1" w:rsidRPr="00E80935" w:rsidRDefault="000B03C1" w:rsidP="002F3AE1">
            <w:pPr>
              <w:widowControl/>
              <w:autoSpaceDE/>
              <w:autoSpaceDN/>
              <w:adjustRightInd/>
              <w:rPr>
                <w:rFonts w:ascii="Calibri" w:hAnsi="Calibri"/>
                <w:color w:val="000000"/>
                <w:sz w:val="22"/>
                <w:szCs w:val="22"/>
              </w:rPr>
            </w:pPr>
          </w:p>
        </w:tc>
      </w:tr>
      <w:tr w:rsidR="00E05CE6" w:rsidRPr="00E80935" w14:paraId="7086C24B" w14:textId="77777777" w:rsidTr="000B03C1">
        <w:trPr>
          <w:trHeight w:val="273"/>
        </w:trPr>
        <w:tc>
          <w:tcPr>
            <w:tcW w:w="720" w:type="dxa"/>
            <w:tcBorders>
              <w:left w:val="nil"/>
              <w:bottom w:val="nil"/>
              <w:right w:val="nil"/>
            </w:tcBorders>
            <w:shd w:val="clear" w:color="auto" w:fill="auto"/>
            <w:noWrap/>
            <w:vAlign w:val="bottom"/>
            <w:hideMark/>
          </w:tcPr>
          <w:p w14:paraId="3D9215DC"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left w:val="nil"/>
              <w:bottom w:val="nil"/>
              <w:right w:val="nil"/>
            </w:tcBorders>
            <w:shd w:val="clear" w:color="auto" w:fill="auto"/>
            <w:noWrap/>
            <w:vAlign w:val="bottom"/>
            <w:hideMark/>
          </w:tcPr>
          <w:p w14:paraId="285D7CF4" w14:textId="77777777" w:rsidR="00E05CE6" w:rsidRPr="00E80935" w:rsidRDefault="00E05CE6" w:rsidP="002F3AE1">
            <w:pPr>
              <w:widowControl/>
              <w:autoSpaceDE/>
              <w:autoSpaceDN/>
              <w:adjustRightInd/>
              <w:rPr>
                <w:rFonts w:ascii="Calibri" w:hAnsi="Calibri"/>
                <w:color w:val="000000"/>
                <w:sz w:val="22"/>
                <w:szCs w:val="22"/>
              </w:rPr>
            </w:pPr>
          </w:p>
        </w:tc>
        <w:tc>
          <w:tcPr>
            <w:tcW w:w="1940" w:type="dxa"/>
            <w:gridSpan w:val="4"/>
            <w:tcBorders>
              <w:left w:val="nil"/>
              <w:bottom w:val="single" w:sz="4" w:space="0" w:color="auto"/>
              <w:right w:val="nil"/>
            </w:tcBorders>
            <w:shd w:val="clear" w:color="auto" w:fill="auto"/>
            <w:noWrap/>
            <w:vAlign w:val="bottom"/>
          </w:tcPr>
          <w:p w14:paraId="258F62ED" w14:textId="71FDBEC2" w:rsidR="00E05CE6" w:rsidRPr="00E80935" w:rsidRDefault="0028451C" w:rsidP="002F3AE1">
            <w:pPr>
              <w:widowControl/>
              <w:autoSpaceDE/>
              <w:autoSpaceDN/>
              <w:adjustRightInd/>
              <w:jc w:val="center"/>
              <w:rPr>
                <w:rFonts w:ascii="Calibri" w:hAnsi="Calibri"/>
                <w:color w:val="000000"/>
                <w:sz w:val="22"/>
                <w:szCs w:val="22"/>
              </w:rPr>
            </w:pPr>
            <w:r w:rsidRPr="00E80935">
              <w:rPr>
                <w:rFonts w:ascii="Calibri" w:hAnsi="Calibri"/>
                <w:color w:val="000000"/>
                <w:sz w:val="22"/>
                <w:szCs w:val="22"/>
              </w:rPr>
              <w:t>Adult</w:t>
            </w:r>
          </w:p>
        </w:tc>
        <w:tc>
          <w:tcPr>
            <w:tcW w:w="490" w:type="dxa"/>
            <w:gridSpan w:val="2"/>
            <w:tcBorders>
              <w:left w:val="nil"/>
              <w:bottom w:val="nil"/>
              <w:right w:val="nil"/>
            </w:tcBorders>
            <w:shd w:val="clear" w:color="auto" w:fill="auto"/>
            <w:noWrap/>
            <w:vAlign w:val="bottom"/>
            <w:hideMark/>
          </w:tcPr>
          <w:p w14:paraId="08D2E01D" w14:textId="77777777" w:rsidR="00E05CE6" w:rsidRPr="00E80935" w:rsidRDefault="00E05CE6" w:rsidP="002F3AE1">
            <w:pPr>
              <w:widowControl/>
              <w:autoSpaceDE/>
              <w:autoSpaceDN/>
              <w:adjustRightInd/>
              <w:rPr>
                <w:rFonts w:ascii="Calibri" w:hAnsi="Calibri"/>
                <w:color w:val="000000"/>
                <w:sz w:val="22"/>
                <w:szCs w:val="22"/>
              </w:rPr>
            </w:pPr>
          </w:p>
        </w:tc>
        <w:tc>
          <w:tcPr>
            <w:tcW w:w="1739" w:type="dxa"/>
            <w:gridSpan w:val="6"/>
            <w:tcBorders>
              <w:left w:val="nil"/>
              <w:bottom w:val="single" w:sz="4" w:space="0" w:color="auto"/>
              <w:right w:val="nil"/>
            </w:tcBorders>
            <w:shd w:val="clear" w:color="auto" w:fill="auto"/>
            <w:noWrap/>
            <w:vAlign w:val="bottom"/>
          </w:tcPr>
          <w:p w14:paraId="351DDF15" w14:textId="50C0406D" w:rsidR="00E05CE6" w:rsidRPr="00E80935" w:rsidRDefault="0028451C" w:rsidP="002F3AE1">
            <w:pPr>
              <w:widowControl/>
              <w:autoSpaceDE/>
              <w:autoSpaceDN/>
              <w:adjustRightInd/>
              <w:jc w:val="center"/>
              <w:rPr>
                <w:rFonts w:ascii="Calibri" w:hAnsi="Calibri"/>
                <w:color w:val="000000"/>
                <w:sz w:val="22"/>
                <w:szCs w:val="22"/>
              </w:rPr>
            </w:pPr>
            <w:r w:rsidRPr="00E80935">
              <w:rPr>
                <w:rFonts w:ascii="Calibri" w:hAnsi="Calibri"/>
                <w:color w:val="000000"/>
                <w:sz w:val="22"/>
                <w:szCs w:val="22"/>
              </w:rPr>
              <w:t>Juvenile</w:t>
            </w:r>
          </w:p>
        </w:tc>
        <w:tc>
          <w:tcPr>
            <w:tcW w:w="582" w:type="dxa"/>
            <w:gridSpan w:val="2"/>
            <w:tcBorders>
              <w:left w:val="nil"/>
              <w:bottom w:val="nil"/>
              <w:right w:val="nil"/>
            </w:tcBorders>
            <w:shd w:val="clear" w:color="auto" w:fill="auto"/>
            <w:noWrap/>
            <w:vAlign w:val="bottom"/>
          </w:tcPr>
          <w:p w14:paraId="5603F2CF" w14:textId="77777777" w:rsidR="00E05CE6" w:rsidRPr="00E80935" w:rsidRDefault="00E05CE6" w:rsidP="002F3AE1">
            <w:pPr>
              <w:widowControl/>
              <w:autoSpaceDE/>
              <w:autoSpaceDN/>
              <w:adjustRightInd/>
              <w:rPr>
                <w:rFonts w:ascii="Calibri" w:hAnsi="Calibri"/>
                <w:color w:val="000000"/>
                <w:sz w:val="22"/>
                <w:szCs w:val="22"/>
              </w:rPr>
            </w:pPr>
          </w:p>
        </w:tc>
      </w:tr>
      <w:tr w:rsidR="00217F74" w:rsidRPr="00E80935" w14:paraId="6F29AD62" w14:textId="77777777" w:rsidTr="000B03C1">
        <w:trPr>
          <w:trHeight w:val="263"/>
        </w:trPr>
        <w:tc>
          <w:tcPr>
            <w:tcW w:w="5040" w:type="dxa"/>
            <w:gridSpan w:val="2"/>
            <w:tcBorders>
              <w:top w:val="nil"/>
              <w:left w:val="nil"/>
              <w:bottom w:val="single" w:sz="4" w:space="0" w:color="auto"/>
              <w:right w:val="nil"/>
            </w:tcBorders>
            <w:shd w:val="clear" w:color="auto" w:fill="auto"/>
            <w:noWrap/>
            <w:vAlign w:val="bottom"/>
            <w:hideMark/>
          </w:tcPr>
          <w:p w14:paraId="1DC98D91" w14:textId="70338C0C" w:rsidR="00217F74" w:rsidRPr="00E80935" w:rsidRDefault="00217F74"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Type of victimization </w:t>
            </w:r>
          </w:p>
        </w:tc>
        <w:tc>
          <w:tcPr>
            <w:tcW w:w="1148" w:type="dxa"/>
            <w:gridSpan w:val="2"/>
            <w:tcBorders>
              <w:top w:val="nil"/>
              <w:left w:val="nil"/>
              <w:bottom w:val="single" w:sz="4" w:space="0" w:color="auto"/>
              <w:right w:val="nil"/>
            </w:tcBorders>
            <w:shd w:val="clear" w:color="auto" w:fill="auto"/>
            <w:noWrap/>
            <w:vAlign w:val="bottom"/>
            <w:hideMark/>
          </w:tcPr>
          <w:p w14:paraId="5848C69F" w14:textId="77777777" w:rsidR="00217F74" w:rsidRPr="00E80935" w:rsidRDefault="00217F74"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Prisons</w:t>
            </w:r>
          </w:p>
        </w:tc>
        <w:tc>
          <w:tcPr>
            <w:tcW w:w="1090" w:type="dxa"/>
            <w:gridSpan w:val="3"/>
            <w:tcBorders>
              <w:top w:val="nil"/>
              <w:left w:val="nil"/>
              <w:bottom w:val="single" w:sz="4" w:space="0" w:color="auto"/>
              <w:right w:val="nil"/>
            </w:tcBorders>
            <w:shd w:val="clear" w:color="auto" w:fill="auto"/>
            <w:noWrap/>
            <w:vAlign w:val="bottom"/>
            <w:hideMark/>
          </w:tcPr>
          <w:p w14:paraId="7AF89E85" w14:textId="77777777" w:rsidR="00217F74" w:rsidRPr="00E80935" w:rsidRDefault="00217F74"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Jails</w:t>
            </w:r>
          </w:p>
        </w:tc>
        <w:tc>
          <w:tcPr>
            <w:tcW w:w="795" w:type="dxa"/>
            <w:gridSpan w:val="2"/>
            <w:tcBorders>
              <w:top w:val="nil"/>
              <w:left w:val="nil"/>
              <w:bottom w:val="single" w:sz="4" w:space="0" w:color="auto"/>
              <w:right w:val="nil"/>
            </w:tcBorders>
            <w:shd w:val="clear" w:color="auto" w:fill="auto"/>
            <w:noWrap/>
            <w:vAlign w:val="bottom"/>
          </w:tcPr>
          <w:p w14:paraId="2EE64F93" w14:textId="0477FB84" w:rsidR="00217F74" w:rsidRPr="00E80935" w:rsidRDefault="00217F74"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xml:space="preserve">  State</w:t>
            </w:r>
          </w:p>
        </w:tc>
        <w:tc>
          <w:tcPr>
            <w:tcW w:w="1718" w:type="dxa"/>
            <w:gridSpan w:val="7"/>
            <w:tcBorders>
              <w:top w:val="nil"/>
              <w:left w:val="nil"/>
              <w:bottom w:val="single" w:sz="4" w:space="0" w:color="auto"/>
              <w:right w:val="nil"/>
            </w:tcBorders>
            <w:shd w:val="clear" w:color="auto" w:fill="auto"/>
            <w:noWrap/>
            <w:vAlign w:val="bottom"/>
          </w:tcPr>
          <w:p w14:paraId="54878C99" w14:textId="0F1CBBAC" w:rsidR="00217F74" w:rsidRPr="00E80935" w:rsidRDefault="00217F74" w:rsidP="002F3AE1">
            <w:pPr>
              <w:widowControl/>
              <w:autoSpaceDE/>
              <w:autoSpaceDN/>
              <w:adjustRightInd/>
              <w:jc w:val="center"/>
              <w:rPr>
                <w:rFonts w:ascii="Calibri" w:hAnsi="Calibri"/>
                <w:color w:val="000000"/>
                <w:sz w:val="22"/>
                <w:szCs w:val="22"/>
              </w:rPr>
            </w:pPr>
            <w:r w:rsidRPr="00E80935">
              <w:rPr>
                <w:rFonts w:ascii="Calibri" w:hAnsi="Calibri"/>
                <w:color w:val="000000"/>
                <w:sz w:val="22"/>
                <w:szCs w:val="22"/>
              </w:rPr>
              <w:t>Local/Private</w:t>
            </w:r>
          </w:p>
        </w:tc>
      </w:tr>
      <w:tr w:rsidR="00E05CE6" w:rsidRPr="00E80935" w14:paraId="267BE070" w14:textId="77777777" w:rsidTr="000B03C1">
        <w:trPr>
          <w:trHeight w:val="242"/>
        </w:trPr>
        <w:tc>
          <w:tcPr>
            <w:tcW w:w="5040" w:type="dxa"/>
            <w:gridSpan w:val="2"/>
            <w:tcBorders>
              <w:top w:val="nil"/>
              <w:left w:val="nil"/>
              <w:bottom w:val="nil"/>
              <w:right w:val="nil"/>
            </w:tcBorders>
            <w:shd w:val="clear" w:color="auto" w:fill="auto"/>
            <w:noWrap/>
            <w:vAlign w:val="bottom"/>
            <w:hideMark/>
          </w:tcPr>
          <w:p w14:paraId="2CED86B5"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Nonconsensual sexual acts</w:t>
            </w:r>
          </w:p>
        </w:tc>
        <w:tc>
          <w:tcPr>
            <w:tcW w:w="774" w:type="dxa"/>
            <w:tcBorders>
              <w:top w:val="nil"/>
              <w:left w:val="nil"/>
              <w:bottom w:val="nil"/>
              <w:right w:val="nil"/>
            </w:tcBorders>
            <w:shd w:val="clear" w:color="auto" w:fill="auto"/>
            <w:noWrap/>
            <w:vAlign w:val="bottom"/>
            <w:hideMark/>
          </w:tcPr>
          <w:p w14:paraId="2F559C35" w14:textId="77777777" w:rsidR="00E05CE6" w:rsidRPr="00E80935" w:rsidRDefault="00E05CE6"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14:paraId="0256578D"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14:paraId="45697BD6" w14:textId="77777777" w:rsidR="00E05CE6" w:rsidRPr="00E80935" w:rsidRDefault="00E05CE6"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vAlign w:val="bottom"/>
            <w:hideMark/>
          </w:tcPr>
          <w:p w14:paraId="7AC0A2BF" w14:textId="77777777" w:rsidR="00E05CE6" w:rsidRPr="00E80935" w:rsidRDefault="00E05CE6"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vAlign w:val="bottom"/>
            <w:hideMark/>
          </w:tcPr>
          <w:p w14:paraId="4B3080B5" w14:textId="77777777" w:rsidR="00E05CE6" w:rsidRPr="00E80935" w:rsidRDefault="00E05CE6"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14:paraId="1EC67B65" w14:textId="77777777" w:rsidR="00E05CE6" w:rsidRPr="00E80935" w:rsidRDefault="00E05CE6"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vAlign w:val="bottom"/>
            <w:hideMark/>
          </w:tcPr>
          <w:p w14:paraId="3F788ACA" w14:textId="77777777" w:rsidR="00E05CE6" w:rsidRPr="00E80935" w:rsidRDefault="00E05CE6" w:rsidP="002F3AE1">
            <w:pPr>
              <w:widowControl/>
              <w:autoSpaceDE/>
              <w:autoSpaceDN/>
              <w:adjustRightInd/>
              <w:rPr>
                <w:rFonts w:ascii="Calibri" w:hAnsi="Calibri"/>
                <w:color w:val="000000"/>
                <w:sz w:val="22"/>
                <w:szCs w:val="22"/>
              </w:rPr>
            </w:pPr>
          </w:p>
        </w:tc>
        <w:tc>
          <w:tcPr>
            <w:tcW w:w="651" w:type="dxa"/>
            <w:gridSpan w:val="3"/>
            <w:tcBorders>
              <w:top w:val="nil"/>
              <w:left w:val="nil"/>
              <w:bottom w:val="nil"/>
              <w:right w:val="nil"/>
            </w:tcBorders>
            <w:shd w:val="clear" w:color="auto" w:fill="auto"/>
            <w:noWrap/>
            <w:vAlign w:val="bottom"/>
            <w:hideMark/>
          </w:tcPr>
          <w:p w14:paraId="0E712A99" w14:textId="77777777" w:rsidR="00E05CE6" w:rsidRPr="00E80935" w:rsidRDefault="00E05CE6" w:rsidP="002F3AE1">
            <w:pPr>
              <w:widowControl/>
              <w:autoSpaceDE/>
              <w:autoSpaceDN/>
              <w:adjustRightInd/>
              <w:rPr>
                <w:rFonts w:ascii="Calibri" w:hAnsi="Calibri"/>
                <w:color w:val="000000"/>
                <w:sz w:val="22"/>
                <w:szCs w:val="22"/>
              </w:rPr>
            </w:pPr>
          </w:p>
        </w:tc>
      </w:tr>
      <w:tr w:rsidR="00E05CE6" w:rsidRPr="00E80935" w14:paraId="387592F1" w14:textId="77777777" w:rsidTr="000B03C1">
        <w:trPr>
          <w:trHeight w:val="242"/>
        </w:trPr>
        <w:tc>
          <w:tcPr>
            <w:tcW w:w="720" w:type="dxa"/>
            <w:tcBorders>
              <w:top w:val="nil"/>
              <w:left w:val="nil"/>
              <w:bottom w:val="nil"/>
              <w:right w:val="nil"/>
            </w:tcBorders>
            <w:shd w:val="clear" w:color="auto" w:fill="auto"/>
            <w:noWrap/>
            <w:vAlign w:val="bottom"/>
            <w:hideMark/>
          </w:tcPr>
          <w:p w14:paraId="795DECA5"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234C6C7B"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Full reporting</w:t>
            </w:r>
          </w:p>
        </w:tc>
        <w:tc>
          <w:tcPr>
            <w:tcW w:w="774" w:type="dxa"/>
            <w:tcBorders>
              <w:top w:val="nil"/>
              <w:left w:val="nil"/>
              <w:bottom w:val="nil"/>
              <w:right w:val="nil"/>
            </w:tcBorders>
            <w:shd w:val="clear" w:color="auto" w:fill="auto"/>
            <w:noWrap/>
            <w:tcMar>
              <w:left w:w="29" w:type="dxa"/>
              <w:right w:w="29" w:type="dxa"/>
            </w:tcMar>
            <w:vAlign w:val="bottom"/>
            <w:hideMark/>
          </w:tcPr>
          <w:p w14:paraId="45EA6BF2" w14:textId="06D5304E" w:rsidR="00E05CE6" w:rsidRPr="00E80935" w:rsidRDefault="00E05CE6" w:rsidP="00F5793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w:t>
            </w:r>
            <w:r w:rsidR="00F57931" w:rsidRPr="00E80935">
              <w:rPr>
                <w:rFonts w:ascii="Calibri" w:hAnsi="Calibri"/>
                <w:color w:val="000000"/>
                <w:sz w:val="22"/>
                <w:szCs w:val="22"/>
              </w:rPr>
              <w:t>6</w:t>
            </w:r>
          </w:p>
        </w:tc>
        <w:tc>
          <w:tcPr>
            <w:tcW w:w="374" w:type="dxa"/>
            <w:tcBorders>
              <w:top w:val="nil"/>
              <w:left w:val="nil"/>
              <w:bottom w:val="nil"/>
              <w:right w:val="nil"/>
            </w:tcBorders>
            <w:shd w:val="clear" w:color="auto" w:fill="auto"/>
            <w:noWrap/>
            <w:tcMar>
              <w:left w:w="29" w:type="dxa"/>
              <w:right w:w="29" w:type="dxa"/>
            </w:tcMar>
            <w:vAlign w:val="bottom"/>
            <w:hideMark/>
          </w:tcPr>
          <w:p w14:paraId="4D3C04C5"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16" w:type="dxa"/>
            <w:tcBorders>
              <w:top w:val="nil"/>
              <w:left w:val="nil"/>
              <w:bottom w:val="nil"/>
              <w:right w:val="nil"/>
            </w:tcBorders>
            <w:shd w:val="clear" w:color="auto" w:fill="auto"/>
            <w:noWrap/>
            <w:tcMar>
              <w:left w:w="29" w:type="dxa"/>
              <w:right w:w="29" w:type="dxa"/>
            </w:tcMar>
            <w:vAlign w:val="bottom"/>
            <w:hideMark/>
          </w:tcPr>
          <w:p w14:paraId="128FDBF3" w14:textId="4823FA09" w:rsidR="00E05CE6" w:rsidRPr="00E80935" w:rsidRDefault="00E05CE6"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7</w:t>
            </w:r>
            <w:r w:rsidR="0093580E" w:rsidRPr="00E80935">
              <w:rPr>
                <w:rFonts w:ascii="Calibri" w:hAnsi="Calibri"/>
                <w:color w:val="000000"/>
                <w:sz w:val="22"/>
                <w:szCs w:val="22"/>
              </w:rPr>
              <w:t>6</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33F5BFB6"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75C87910" w14:textId="1DC82A37" w:rsidR="00E05CE6" w:rsidRPr="00E80935" w:rsidRDefault="0028451C"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w:t>
            </w:r>
            <w:r w:rsidR="00271C33"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26D953C0"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7A6EA6D1" w14:textId="1E64394A" w:rsidR="00E05CE6" w:rsidRPr="00E80935" w:rsidRDefault="0028451C"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7</w:t>
            </w:r>
            <w:r w:rsidR="00271C33" w:rsidRPr="00E80935">
              <w:rPr>
                <w:rFonts w:ascii="Calibri" w:hAnsi="Calibri"/>
                <w:color w:val="000000"/>
                <w:sz w:val="22"/>
                <w:szCs w:val="22"/>
              </w:rPr>
              <w:t>5</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0202975E"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r>
      <w:tr w:rsidR="00773D1A" w:rsidRPr="00E80935" w14:paraId="3D68084F" w14:textId="77777777" w:rsidTr="000B03C1">
        <w:trPr>
          <w:trHeight w:val="242"/>
        </w:trPr>
        <w:tc>
          <w:tcPr>
            <w:tcW w:w="720" w:type="dxa"/>
            <w:tcBorders>
              <w:top w:val="nil"/>
              <w:left w:val="nil"/>
              <w:bottom w:val="nil"/>
              <w:right w:val="nil"/>
            </w:tcBorders>
            <w:shd w:val="clear" w:color="auto" w:fill="auto"/>
            <w:noWrap/>
            <w:vAlign w:val="bottom"/>
          </w:tcPr>
          <w:p w14:paraId="0EEA40F2" w14:textId="77777777" w:rsidR="00773D1A" w:rsidRPr="00E80935" w:rsidRDefault="00773D1A"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4BCA4A45" w14:textId="082E4573" w:rsidR="00773D1A" w:rsidRPr="00E80935" w:rsidRDefault="00773D1A"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Includes abusive sexual contact</w:t>
            </w:r>
          </w:p>
        </w:tc>
        <w:tc>
          <w:tcPr>
            <w:tcW w:w="774" w:type="dxa"/>
            <w:tcBorders>
              <w:top w:val="nil"/>
              <w:left w:val="nil"/>
              <w:bottom w:val="nil"/>
              <w:right w:val="nil"/>
            </w:tcBorders>
            <w:shd w:val="clear" w:color="auto" w:fill="auto"/>
            <w:noWrap/>
            <w:tcMar>
              <w:left w:w="29" w:type="dxa"/>
              <w:right w:w="29" w:type="dxa"/>
            </w:tcMar>
            <w:vAlign w:val="bottom"/>
          </w:tcPr>
          <w:p w14:paraId="2A902869" w14:textId="722B1395" w:rsidR="00773D1A" w:rsidRPr="00E80935" w:rsidRDefault="00773D1A"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4</w:t>
            </w:r>
          </w:p>
        </w:tc>
        <w:tc>
          <w:tcPr>
            <w:tcW w:w="374" w:type="dxa"/>
            <w:tcBorders>
              <w:top w:val="nil"/>
              <w:left w:val="nil"/>
              <w:bottom w:val="nil"/>
              <w:right w:val="nil"/>
            </w:tcBorders>
            <w:shd w:val="clear" w:color="auto" w:fill="auto"/>
            <w:noWrap/>
            <w:tcMar>
              <w:left w:w="29" w:type="dxa"/>
              <w:right w:w="29" w:type="dxa"/>
            </w:tcMar>
            <w:vAlign w:val="bottom"/>
          </w:tcPr>
          <w:p w14:paraId="776B1AD5" w14:textId="77777777" w:rsidR="00773D1A" w:rsidRPr="00E80935" w:rsidRDefault="00773D1A"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62F163A6" w14:textId="799B2DEA" w:rsidR="00773D1A" w:rsidRPr="00E80935" w:rsidRDefault="00773D1A"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20</w:t>
            </w:r>
          </w:p>
        </w:tc>
        <w:tc>
          <w:tcPr>
            <w:tcW w:w="374" w:type="dxa"/>
            <w:gridSpan w:val="2"/>
            <w:tcBorders>
              <w:top w:val="nil"/>
              <w:left w:val="nil"/>
              <w:bottom w:val="nil"/>
              <w:right w:val="nil"/>
            </w:tcBorders>
            <w:shd w:val="clear" w:color="auto" w:fill="auto"/>
            <w:noWrap/>
            <w:tcMar>
              <w:left w:w="29" w:type="dxa"/>
              <w:right w:w="29" w:type="dxa"/>
            </w:tcMar>
            <w:vAlign w:val="bottom"/>
          </w:tcPr>
          <w:p w14:paraId="6188C453" w14:textId="77777777" w:rsidR="00773D1A" w:rsidRPr="00E80935" w:rsidRDefault="00773D1A"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tcPr>
          <w:p w14:paraId="56E08901" w14:textId="513D74B3" w:rsidR="00773D1A" w:rsidRPr="00E80935" w:rsidRDefault="00773D1A"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10</w:t>
            </w:r>
          </w:p>
        </w:tc>
        <w:tc>
          <w:tcPr>
            <w:tcW w:w="374" w:type="dxa"/>
            <w:tcBorders>
              <w:top w:val="nil"/>
              <w:left w:val="nil"/>
              <w:bottom w:val="nil"/>
              <w:right w:val="nil"/>
            </w:tcBorders>
            <w:shd w:val="clear" w:color="auto" w:fill="auto"/>
            <w:noWrap/>
            <w:tcMar>
              <w:left w:w="29" w:type="dxa"/>
              <w:right w:w="29" w:type="dxa"/>
            </w:tcMar>
            <w:vAlign w:val="bottom"/>
          </w:tcPr>
          <w:p w14:paraId="7EF4D7EE" w14:textId="77777777" w:rsidR="00773D1A" w:rsidRPr="00E80935" w:rsidRDefault="00773D1A"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tcPr>
          <w:p w14:paraId="120CCD3C" w14:textId="0CBDD62A" w:rsidR="00773D1A" w:rsidRPr="00E80935" w:rsidRDefault="00FC7D1D"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22</w:t>
            </w:r>
          </w:p>
        </w:tc>
        <w:tc>
          <w:tcPr>
            <w:tcW w:w="651" w:type="dxa"/>
            <w:gridSpan w:val="3"/>
            <w:tcBorders>
              <w:top w:val="nil"/>
              <w:left w:val="nil"/>
              <w:bottom w:val="nil"/>
              <w:right w:val="nil"/>
            </w:tcBorders>
            <w:shd w:val="clear" w:color="auto" w:fill="auto"/>
            <w:noWrap/>
            <w:tcMar>
              <w:left w:w="29" w:type="dxa"/>
              <w:right w:w="29" w:type="dxa"/>
            </w:tcMar>
            <w:vAlign w:val="bottom"/>
          </w:tcPr>
          <w:p w14:paraId="102A2F5F" w14:textId="77777777" w:rsidR="00773D1A" w:rsidRPr="00E80935" w:rsidRDefault="00773D1A" w:rsidP="002F3AE1">
            <w:pPr>
              <w:widowControl/>
              <w:autoSpaceDE/>
              <w:autoSpaceDN/>
              <w:adjustRightInd/>
              <w:rPr>
                <w:rFonts w:ascii="Calibri" w:hAnsi="Calibri"/>
                <w:color w:val="000000"/>
                <w:sz w:val="22"/>
                <w:szCs w:val="22"/>
              </w:rPr>
            </w:pPr>
          </w:p>
        </w:tc>
      </w:tr>
      <w:tr w:rsidR="00E05CE6" w:rsidRPr="00E80935" w14:paraId="779FF9D3" w14:textId="77777777" w:rsidTr="000B03C1">
        <w:trPr>
          <w:trHeight w:val="242"/>
        </w:trPr>
        <w:tc>
          <w:tcPr>
            <w:tcW w:w="720" w:type="dxa"/>
            <w:tcBorders>
              <w:top w:val="nil"/>
              <w:left w:val="nil"/>
              <w:bottom w:val="nil"/>
              <w:right w:val="nil"/>
            </w:tcBorders>
            <w:shd w:val="clear" w:color="auto" w:fill="auto"/>
            <w:noWrap/>
            <w:vAlign w:val="bottom"/>
            <w:hideMark/>
          </w:tcPr>
          <w:p w14:paraId="1192FE53"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4F33674E" w14:textId="4A4A4F28"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Partial</w:t>
            </w:r>
            <w:r w:rsidR="002A60E9" w:rsidRPr="00E80935">
              <w:rPr>
                <w:rFonts w:ascii="Calibri" w:hAnsi="Calibri"/>
                <w:color w:val="000000"/>
                <w:sz w:val="22"/>
                <w:szCs w:val="22"/>
              </w:rPr>
              <w:t xml:space="preserve"> reporting</w:t>
            </w:r>
            <w:r w:rsidRPr="00E80935">
              <w:rPr>
                <w:rFonts w:ascii="Calibri" w:hAnsi="Calibri"/>
                <w:color w:val="000000"/>
                <w:sz w:val="22"/>
                <w:szCs w:val="22"/>
              </w:rPr>
              <w:t>*</w:t>
            </w:r>
          </w:p>
        </w:tc>
        <w:tc>
          <w:tcPr>
            <w:tcW w:w="774" w:type="dxa"/>
            <w:tcBorders>
              <w:top w:val="nil"/>
              <w:left w:val="nil"/>
              <w:bottom w:val="nil"/>
              <w:right w:val="nil"/>
            </w:tcBorders>
            <w:shd w:val="clear" w:color="auto" w:fill="auto"/>
            <w:noWrap/>
            <w:tcMar>
              <w:left w:w="29" w:type="dxa"/>
              <w:right w:w="29" w:type="dxa"/>
            </w:tcMar>
            <w:vAlign w:val="bottom"/>
            <w:hideMark/>
          </w:tcPr>
          <w:p w14:paraId="020EFB2C" w14:textId="05F32899" w:rsidR="00E05CE6" w:rsidRPr="00E80935" w:rsidRDefault="00E05CE6"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13C686AD"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42295D76" w14:textId="398DAB38" w:rsidR="00E05CE6" w:rsidRPr="00E80935" w:rsidRDefault="00C17494"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7F354B4" w14:textId="77777777" w:rsidR="00E05CE6" w:rsidRPr="00E80935" w:rsidRDefault="00E05CE6"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5D055940" w14:textId="38892FEA" w:rsidR="00E05CE6"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313DE09D" w14:textId="77777777" w:rsidR="00E05CE6" w:rsidRPr="00E80935" w:rsidRDefault="00E05CE6"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2DDEC43F" w14:textId="5B36609D" w:rsidR="00E05CE6" w:rsidRPr="00E80935" w:rsidRDefault="008B047D"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561B7D3A" w14:textId="77777777" w:rsidR="00E05CE6" w:rsidRPr="00E80935" w:rsidRDefault="00E05CE6" w:rsidP="002F3AE1">
            <w:pPr>
              <w:widowControl/>
              <w:autoSpaceDE/>
              <w:autoSpaceDN/>
              <w:adjustRightInd/>
              <w:rPr>
                <w:rFonts w:ascii="Calibri" w:hAnsi="Calibri"/>
                <w:color w:val="000000"/>
                <w:sz w:val="22"/>
                <w:szCs w:val="22"/>
              </w:rPr>
            </w:pPr>
          </w:p>
        </w:tc>
      </w:tr>
      <w:tr w:rsidR="00C17494" w:rsidRPr="00E80935" w14:paraId="62A3537C" w14:textId="24DE85F5" w:rsidTr="000B03C1">
        <w:trPr>
          <w:trHeight w:val="242"/>
        </w:trPr>
        <w:tc>
          <w:tcPr>
            <w:tcW w:w="720" w:type="dxa"/>
            <w:tcBorders>
              <w:top w:val="nil"/>
              <w:left w:val="nil"/>
              <w:bottom w:val="nil"/>
              <w:right w:val="nil"/>
            </w:tcBorders>
            <w:shd w:val="clear" w:color="auto" w:fill="auto"/>
            <w:noWrap/>
            <w:vAlign w:val="bottom"/>
          </w:tcPr>
          <w:p w14:paraId="444D6F8A" w14:textId="114597D7" w:rsidR="00C17494" w:rsidRPr="00E80935" w:rsidRDefault="00C17494"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69BCD7AC" w14:textId="35DEC4EF" w:rsidR="00C17494" w:rsidRPr="00E80935" w:rsidRDefault="00C17494"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Partial and includes abusive sexual contact</w:t>
            </w:r>
          </w:p>
        </w:tc>
        <w:tc>
          <w:tcPr>
            <w:tcW w:w="774" w:type="dxa"/>
            <w:tcBorders>
              <w:top w:val="nil"/>
              <w:left w:val="nil"/>
              <w:bottom w:val="nil"/>
              <w:right w:val="nil"/>
            </w:tcBorders>
            <w:shd w:val="clear" w:color="auto" w:fill="auto"/>
            <w:noWrap/>
            <w:tcMar>
              <w:left w:w="29" w:type="dxa"/>
              <w:right w:w="29" w:type="dxa"/>
            </w:tcMar>
            <w:vAlign w:val="bottom"/>
          </w:tcPr>
          <w:p w14:paraId="0CAAD9D3" w14:textId="08815DAD" w:rsidR="00C17494" w:rsidRPr="00E80935" w:rsidRDefault="002A60E9"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tcPr>
          <w:p w14:paraId="11731C31" w14:textId="4EEBA00D" w:rsidR="00C17494" w:rsidRPr="00E80935" w:rsidRDefault="00C17494"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080D418C" w14:textId="4067DF3A" w:rsidR="00C17494" w:rsidRPr="00E80935" w:rsidRDefault="00C17494"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374" w:type="dxa"/>
            <w:gridSpan w:val="2"/>
            <w:tcBorders>
              <w:top w:val="nil"/>
              <w:left w:val="nil"/>
              <w:bottom w:val="nil"/>
              <w:right w:val="nil"/>
            </w:tcBorders>
            <w:shd w:val="clear" w:color="auto" w:fill="auto"/>
            <w:noWrap/>
            <w:tcMar>
              <w:left w:w="29" w:type="dxa"/>
              <w:right w:w="29" w:type="dxa"/>
            </w:tcMar>
            <w:vAlign w:val="bottom"/>
          </w:tcPr>
          <w:p w14:paraId="7F983EBE" w14:textId="6BEB7901" w:rsidR="00C17494" w:rsidRPr="00E80935" w:rsidRDefault="00C17494"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tcPr>
          <w:p w14:paraId="0EAC09A5" w14:textId="38A59665" w:rsidR="00C17494"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tcPr>
          <w:p w14:paraId="78FAB3EA" w14:textId="43878073" w:rsidR="00C17494" w:rsidRPr="00E80935" w:rsidRDefault="00C17494"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tcPr>
          <w:p w14:paraId="44D501F5" w14:textId="01627124" w:rsidR="00C17494" w:rsidRPr="00E80935" w:rsidRDefault="00FC7D1D"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651" w:type="dxa"/>
            <w:gridSpan w:val="3"/>
            <w:tcBorders>
              <w:top w:val="nil"/>
              <w:left w:val="nil"/>
              <w:bottom w:val="nil"/>
              <w:right w:val="nil"/>
            </w:tcBorders>
            <w:shd w:val="clear" w:color="auto" w:fill="auto"/>
            <w:noWrap/>
            <w:tcMar>
              <w:left w:w="29" w:type="dxa"/>
              <w:right w:w="29" w:type="dxa"/>
            </w:tcMar>
            <w:vAlign w:val="bottom"/>
          </w:tcPr>
          <w:p w14:paraId="3AB8E7D9" w14:textId="6231A046" w:rsidR="00C17494" w:rsidRPr="00E80935" w:rsidRDefault="00C17494" w:rsidP="002F3AE1">
            <w:pPr>
              <w:widowControl/>
              <w:autoSpaceDE/>
              <w:autoSpaceDN/>
              <w:adjustRightInd/>
              <w:rPr>
                <w:rFonts w:ascii="Calibri" w:hAnsi="Calibri"/>
                <w:color w:val="000000"/>
                <w:sz w:val="22"/>
                <w:szCs w:val="22"/>
              </w:rPr>
            </w:pPr>
          </w:p>
        </w:tc>
      </w:tr>
      <w:tr w:rsidR="00E05CE6" w:rsidRPr="00E80935" w14:paraId="5F8B80A1" w14:textId="77777777" w:rsidTr="000B03C1">
        <w:trPr>
          <w:trHeight w:val="242"/>
        </w:trPr>
        <w:tc>
          <w:tcPr>
            <w:tcW w:w="720" w:type="dxa"/>
            <w:tcBorders>
              <w:top w:val="nil"/>
              <w:left w:val="nil"/>
              <w:bottom w:val="nil"/>
              <w:right w:val="nil"/>
            </w:tcBorders>
            <w:shd w:val="clear" w:color="auto" w:fill="auto"/>
            <w:noWrap/>
            <w:vAlign w:val="bottom"/>
            <w:hideMark/>
          </w:tcPr>
          <w:p w14:paraId="50085838"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B2D2E50"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Unable to report</w:t>
            </w:r>
          </w:p>
        </w:tc>
        <w:tc>
          <w:tcPr>
            <w:tcW w:w="774" w:type="dxa"/>
            <w:tcBorders>
              <w:top w:val="nil"/>
              <w:left w:val="nil"/>
              <w:bottom w:val="nil"/>
              <w:right w:val="nil"/>
            </w:tcBorders>
            <w:shd w:val="clear" w:color="auto" w:fill="auto"/>
            <w:noWrap/>
            <w:tcMar>
              <w:left w:w="29" w:type="dxa"/>
              <w:right w:w="29" w:type="dxa"/>
            </w:tcMar>
            <w:vAlign w:val="bottom"/>
            <w:hideMark/>
          </w:tcPr>
          <w:p w14:paraId="3F56A853" w14:textId="7A415C92" w:rsidR="00E05CE6" w:rsidRPr="00E80935" w:rsidRDefault="00F57931" w:rsidP="00F5793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7A845C54"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42D6FD19" w14:textId="77777777" w:rsidR="00E05CE6" w:rsidRPr="00E80935" w:rsidRDefault="00E05CE6"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CB88837" w14:textId="77777777" w:rsidR="00E05CE6" w:rsidRPr="00E80935" w:rsidRDefault="00E05CE6"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5E4E818B" w14:textId="510F6ADD" w:rsidR="00E05CE6"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04CC89FE" w14:textId="77777777" w:rsidR="00E05CE6" w:rsidRPr="00E80935" w:rsidRDefault="00E05CE6"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35D6763E" w14:textId="64521ED8" w:rsidR="00E05CE6"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7F82FF5D" w14:textId="77777777" w:rsidR="00E05CE6" w:rsidRPr="00E80935" w:rsidRDefault="00E05CE6" w:rsidP="002F3AE1">
            <w:pPr>
              <w:widowControl/>
              <w:autoSpaceDE/>
              <w:autoSpaceDN/>
              <w:adjustRightInd/>
              <w:rPr>
                <w:rFonts w:ascii="Calibri" w:hAnsi="Calibri"/>
                <w:color w:val="000000"/>
                <w:sz w:val="22"/>
                <w:szCs w:val="22"/>
              </w:rPr>
            </w:pPr>
          </w:p>
        </w:tc>
      </w:tr>
      <w:tr w:rsidR="00E05CE6" w:rsidRPr="00E80935" w14:paraId="31AF291D" w14:textId="77777777" w:rsidTr="000B03C1">
        <w:trPr>
          <w:trHeight w:val="242"/>
        </w:trPr>
        <w:tc>
          <w:tcPr>
            <w:tcW w:w="5040" w:type="dxa"/>
            <w:gridSpan w:val="2"/>
            <w:tcBorders>
              <w:top w:val="nil"/>
              <w:left w:val="nil"/>
              <w:bottom w:val="nil"/>
              <w:right w:val="nil"/>
            </w:tcBorders>
            <w:shd w:val="clear" w:color="auto" w:fill="auto"/>
            <w:noWrap/>
            <w:vAlign w:val="bottom"/>
            <w:hideMark/>
          </w:tcPr>
          <w:p w14:paraId="05D2856C"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Abusive sexual contact</w:t>
            </w:r>
          </w:p>
        </w:tc>
        <w:tc>
          <w:tcPr>
            <w:tcW w:w="774" w:type="dxa"/>
            <w:tcBorders>
              <w:top w:val="nil"/>
              <w:left w:val="nil"/>
              <w:bottom w:val="nil"/>
              <w:right w:val="nil"/>
            </w:tcBorders>
            <w:shd w:val="clear" w:color="auto" w:fill="auto"/>
            <w:noWrap/>
            <w:tcMar>
              <w:left w:w="29" w:type="dxa"/>
              <w:right w:w="29" w:type="dxa"/>
            </w:tcMar>
            <w:vAlign w:val="bottom"/>
            <w:hideMark/>
          </w:tcPr>
          <w:p w14:paraId="7855270B" w14:textId="77777777" w:rsidR="00E05CE6" w:rsidRPr="00E80935" w:rsidRDefault="00E05CE6"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hideMark/>
          </w:tcPr>
          <w:p w14:paraId="75C7D4A4"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0E359D54" w14:textId="77777777" w:rsidR="00E05CE6" w:rsidRPr="00E80935" w:rsidRDefault="00E05CE6"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39E15BD5" w14:textId="77777777" w:rsidR="00E05CE6" w:rsidRPr="00E80935" w:rsidRDefault="00E05CE6"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158CDCB0" w14:textId="77777777" w:rsidR="00E05CE6" w:rsidRPr="00E80935" w:rsidRDefault="00E05CE6"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hideMark/>
          </w:tcPr>
          <w:p w14:paraId="57FB0B67" w14:textId="77777777" w:rsidR="00E05CE6" w:rsidRPr="00E80935" w:rsidRDefault="00E05CE6"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54F1427D" w14:textId="77777777" w:rsidR="00E05CE6" w:rsidRPr="00E80935" w:rsidRDefault="00E05CE6" w:rsidP="002F3AE1">
            <w:pPr>
              <w:widowControl/>
              <w:autoSpaceDE/>
              <w:autoSpaceDN/>
              <w:adjustRightInd/>
              <w:rPr>
                <w:rFonts w:ascii="Calibri" w:hAnsi="Calibri"/>
                <w:color w:val="000000"/>
                <w:sz w:val="22"/>
                <w:szCs w:val="22"/>
              </w:rPr>
            </w:pP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4690879B" w14:textId="77777777" w:rsidR="00E05CE6" w:rsidRPr="00E80935" w:rsidRDefault="00E05CE6" w:rsidP="002F3AE1">
            <w:pPr>
              <w:widowControl/>
              <w:autoSpaceDE/>
              <w:autoSpaceDN/>
              <w:adjustRightInd/>
              <w:rPr>
                <w:rFonts w:ascii="Calibri" w:hAnsi="Calibri"/>
                <w:color w:val="000000"/>
                <w:sz w:val="22"/>
                <w:szCs w:val="22"/>
              </w:rPr>
            </w:pPr>
          </w:p>
        </w:tc>
      </w:tr>
      <w:tr w:rsidR="00E05CE6" w:rsidRPr="00E80935" w14:paraId="46B0450A" w14:textId="77777777" w:rsidTr="000B03C1">
        <w:trPr>
          <w:trHeight w:val="242"/>
        </w:trPr>
        <w:tc>
          <w:tcPr>
            <w:tcW w:w="720" w:type="dxa"/>
            <w:tcBorders>
              <w:top w:val="nil"/>
              <w:left w:val="nil"/>
              <w:bottom w:val="nil"/>
              <w:right w:val="nil"/>
            </w:tcBorders>
            <w:shd w:val="clear" w:color="auto" w:fill="auto"/>
            <w:noWrap/>
            <w:vAlign w:val="bottom"/>
            <w:hideMark/>
          </w:tcPr>
          <w:p w14:paraId="27C91547"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842132A"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Full reporting</w:t>
            </w:r>
          </w:p>
        </w:tc>
        <w:tc>
          <w:tcPr>
            <w:tcW w:w="774" w:type="dxa"/>
            <w:tcBorders>
              <w:top w:val="nil"/>
              <w:left w:val="nil"/>
              <w:bottom w:val="nil"/>
              <w:right w:val="nil"/>
            </w:tcBorders>
            <w:shd w:val="clear" w:color="auto" w:fill="auto"/>
            <w:noWrap/>
            <w:tcMar>
              <w:left w:w="29" w:type="dxa"/>
              <w:right w:w="29" w:type="dxa"/>
            </w:tcMar>
            <w:vAlign w:val="bottom"/>
            <w:hideMark/>
          </w:tcPr>
          <w:p w14:paraId="49E6324F" w14:textId="26EBE272" w:rsidR="00E05CE6" w:rsidRPr="00E80935" w:rsidRDefault="00E05CE6"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w:t>
            </w:r>
            <w:r w:rsidR="0093580E" w:rsidRPr="00E80935">
              <w:rPr>
                <w:rFonts w:ascii="Calibri" w:hAnsi="Calibri"/>
                <w:color w:val="000000"/>
                <w:sz w:val="22"/>
                <w:szCs w:val="22"/>
              </w:rPr>
              <w:t>6</w:t>
            </w:r>
          </w:p>
        </w:tc>
        <w:tc>
          <w:tcPr>
            <w:tcW w:w="374" w:type="dxa"/>
            <w:tcBorders>
              <w:top w:val="nil"/>
              <w:left w:val="nil"/>
              <w:bottom w:val="nil"/>
              <w:right w:val="nil"/>
            </w:tcBorders>
            <w:shd w:val="clear" w:color="auto" w:fill="auto"/>
            <w:noWrap/>
            <w:tcMar>
              <w:left w:w="29" w:type="dxa"/>
              <w:right w:w="29" w:type="dxa"/>
            </w:tcMar>
            <w:vAlign w:val="bottom"/>
            <w:hideMark/>
          </w:tcPr>
          <w:p w14:paraId="1F24EACD"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16" w:type="dxa"/>
            <w:tcBorders>
              <w:top w:val="nil"/>
              <w:left w:val="nil"/>
              <w:bottom w:val="nil"/>
              <w:right w:val="nil"/>
            </w:tcBorders>
            <w:shd w:val="clear" w:color="auto" w:fill="auto"/>
            <w:noWrap/>
            <w:tcMar>
              <w:left w:w="29" w:type="dxa"/>
              <w:right w:w="29" w:type="dxa"/>
            </w:tcMar>
            <w:vAlign w:val="bottom"/>
            <w:hideMark/>
          </w:tcPr>
          <w:p w14:paraId="665075BD" w14:textId="3F5368DE" w:rsidR="00E05CE6" w:rsidRPr="00E80935" w:rsidRDefault="00E05CE6"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77</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37C1C780"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200F4C4C" w14:textId="0D1DDC02" w:rsidR="00E05CE6" w:rsidRPr="00E80935" w:rsidRDefault="00271C33"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88</w:t>
            </w:r>
          </w:p>
        </w:tc>
        <w:tc>
          <w:tcPr>
            <w:tcW w:w="374" w:type="dxa"/>
            <w:tcBorders>
              <w:top w:val="nil"/>
              <w:left w:val="nil"/>
              <w:bottom w:val="nil"/>
              <w:right w:val="nil"/>
            </w:tcBorders>
            <w:shd w:val="clear" w:color="auto" w:fill="auto"/>
            <w:noWrap/>
            <w:tcMar>
              <w:left w:w="29" w:type="dxa"/>
              <w:right w:w="29" w:type="dxa"/>
            </w:tcMar>
            <w:vAlign w:val="bottom"/>
            <w:hideMark/>
          </w:tcPr>
          <w:p w14:paraId="05EECE70"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35725576" w14:textId="37FDAC14" w:rsidR="00E05CE6" w:rsidRPr="00E80935" w:rsidRDefault="0028451C"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7</w:t>
            </w:r>
            <w:r w:rsidR="00FC7D1D" w:rsidRPr="00E80935">
              <w:rPr>
                <w:rFonts w:ascii="Calibri" w:hAnsi="Calibri"/>
                <w:color w:val="000000"/>
                <w:sz w:val="22"/>
                <w:szCs w:val="22"/>
              </w:rPr>
              <w:t>6</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7E45613C"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r>
      <w:tr w:rsidR="00E05CE6" w:rsidRPr="00E80935" w14:paraId="72831161" w14:textId="77777777" w:rsidTr="000B03C1">
        <w:trPr>
          <w:trHeight w:val="242"/>
        </w:trPr>
        <w:tc>
          <w:tcPr>
            <w:tcW w:w="720" w:type="dxa"/>
            <w:tcBorders>
              <w:top w:val="nil"/>
              <w:left w:val="nil"/>
              <w:bottom w:val="nil"/>
              <w:right w:val="nil"/>
            </w:tcBorders>
            <w:shd w:val="clear" w:color="auto" w:fill="auto"/>
            <w:noWrap/>
            <w:vAlign w:val="bottom"/>
            <w:hideMark/>
          </w:tcPr>
          <w:p w14:paraId="5A5418C7"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747712B"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Combined with nonconsensual sexual acts</w:t>
            </w:r>
          </w:p>
        </w:tc>
        <w:tc>
          <w:tcPr>
            <w:tcW w:w="774" w:type="dxa"/>
            <w:tcBorders>
              <w:top w:val="nil"/>
              <w:left w:val="nil"/>
              <w:bottom w:val="nil"/>
              <w:right w:val="nil"/>
            </w:tcBorders>
            <w:shd w:val="clear" w:color="auto" w:fill="auto"/>
            <w:noWrap/>
            <w:tcMar>
              <w:left w:w="29" w:type="dxa"/>
              <w:right w:w="29" w:type="dxa"/>
            </w:tcMar>
            <w:vAlign w:val="bottom"/>
            <w:hideMark/>
          </w:tcPr>
          <w:p w14:paraId="3ACD6785" w14:textId="1415847D" w:rsidR="00E05CE6"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4</w:t>
            </w:r>
          </w:p>
        </w:tc>
        <w:tc>
          <w:tcPr>
            <w:tcW w:w="374" w:type="dxa"/>
            <w:tcBorders>
              <w:top w:val="nil"/>
              <w:left w:val="nil"/>
              <w:bottom w:val="nil"/>
              <w:right w:val="nil"/>
            </w:tcBorders>
            <w:shd w:val="clear" w:color="auto" w:fill="auto"/>
            <w:noWrap/>
            <w:tcMar>
              <w:left w:w="29" w:type="dxa"/>
              <w:right w:w="29" w:type="dxa"/>
            </w:tcMar>
            <w:vAlign w:val="bottom"/>
            <w:hideMark/>
          </w:tcPr>
          <w:p w14:paraId="75093E8B"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7EB1438B" w14:textId="42399351" w:rsidR="00E05CE6" w:rsidRPr="00E80935" w:rsidRDefault="00E05CE6"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r w:rsidR="0093580E" w:rsidRPr="00E80935">
              <w:rPr>
                <w:rFonts w:ascii="Calibri" w:hAnsi="Calibri"/>
                <w:color w:val="000000"/>
                <w:sz w:val="22"/>
                <w:szCs w:val="22"/>
              </w:rPr>
              <w:t>1</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71791ECF" w14:textId="77777777" w:rsidR="00E05CE6" w:rsidRPr="00E80935" w:rsidRDefault="00E05CE6"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4E9FDA05" w14:textId="4D8DE05D" w:rsidR="00E05CE6" w:rsidRPr="00E80935" w:rsidRDefault="00271C33"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10</w:t>
            </w:r>
          </w:p>
        </w:tc>
        <w:tc>
          <w:tcPr>
            <w:tcW w:w="374" w:type="dxa"/>
            <w:tcBorders>
              <w:top w:val="nil"/>
              <w:left w:val="nil"/>
              <w:bottom w:val="nil"/>
              <w:right w:val="nil"/>
            </w:tcBorders>
            <w:shd w:val="clear" w:color="auto" w:fill="auto"/>
            <w:noWrap/>
            <w:tcMar>
              <w:left w:w="29" w:type="dxa"/>
              <w:right w:w="29" w:type="dxa"/>
            </w:tcMar>
            <w:vAlign w:val="bottom"/>
            <w:hideMark/>
          </w:tcPr>
          <w:p w14:paraId="657BBE2B" w14:textId="77777777" w:rsidR="00E05CE6" w:rsidRPr="00E80935" w:rsidRDefault="00E05CE6"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573B54FB" w14:textId="19BF400D" w:rsidR="00E05CE6" w:rsidRPr="00E80935" w:rsidRDefault="0028451C"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r w:rsidR="00FC7D1D" w:rsidRPr="00E80935">
              <w:rPr>
                <w:rFonts w:ascii="Calibri" w:hAnsi="Calibri"/>
                <w:color w:val="000000"/>
                <w:sz w:val="22"/>
                <w:szCs w:val="22"/>
              </w:rPr>
              <w:t>4</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1A380777" w14:textId="77777777" w:rsidR="00E05CE6" w:rsidRPr="00E80935" w:rsidRDefault="00E05CE6" w:rsidP="002F3AE1">
            <w:pPr>
              <w:widowControl/>
              <w:autoSpaceDE/>
              <w:autoSpaceDN/>
              <w:adjustRightInd/>
              <w:rPr>
                <w:rFonts w:ascii="Calibri" w:hAnsi="Calibri"/>
                <w:color w:val="000000"/>
                <w:sz w:val="22"/>
                <w:szCs w:val="22"/>
              </w:rPr>
            </w:pPr>
          </w:p>
        </w:tc>
      </w:tr>
      <w:tr w:rsidR="00E05CE6" w:rsidRPr="00E80935" w14:paraId="53219F8E" w14:textId="77777777" w:rsidTr="000B03C1">
        <w:trPr>
          <w:trHeight w:val="242"/>
        </w:trPr>
        <w:tc>
          <w:tcPr>
            <w:tcW w:w="720" w:type="dxa"/>
            <w:tcBorders>
              <w:top w:val="nil"/>
              <w:left w:val="nil"/>
              <w:bottom w:val="nil"/>
              <w:right w:val="nil"/>
            </w:tcBorders>
            <w:shd w:val="clear" w:color="auto" w:fill="auto"/>
            <w:noWrap/>
            <w:vAlign w:val="bottom"/>
            <w:hideMark/>
          </w:tcPr>
          <w:p w14:paraId="293EBC70" w14:textId="77777777" w:rsidR="00E05CE6" w:rsidRPr="00E80935"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6CFD473" w14:textId="77777777"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Unable to report</w:t>
            </w:r>
          </w:p>
        </w:tc>
        <w:tc>
          <w:tcPr>
            <w:tcW w:w="774" w:type="dxa"/>
            <w:tcBorders>
              <w:top w:val="nil"/>
              <w:left w:val="nil"/>
              <w:bottom w:val="nil"/>
              <w:right w:val="nil"/>
            </w:tcBorders>
            <w:shd w:val="clear" w:color="auto" w:fill="auto"/>
            <w:noWrap/>
            <w:tcMar>
              <w:left w:w="29" w:type="dxa"/>
              <w:right w:w="29" w:type="dxa"/>
            </w:tcMar>
            <w:vAlign w:val="bottom"/>
            <w:hideMark/>
          </w:tcPr>
          <w:p w14:paraId="4E162FB8" w14:textId="77777777" w:rsidR="00E05CE6" w:rsidRPr="00E80935" w:rsidRDefault="00E05CE6"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44318DEB"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3C1E55AD" w14:textId="6956DAFC" w:rsidR="00E05CE6" w:rsidRPr="00E80935" w:rsidRDefault="0093580E"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72C99780" w14:textId="77777777" w:rsidR="00E05CE6" w:rsidRPr="00E80935" w:rsidRDefault="00E05CE6"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3AC5F88B" w14:textId="56E52CFF" w:rsidR="00E05CE6" w:rsidRPr="00E80935" w:rsidRDefault="00271C33"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vAlign w:val="bottom"/>
            <w:hideMark/>
          </w:tcPr>
          <w:p w14:paraId="57DCCDD4" w14:textId="77777777" w:rsidR="00E05CE6" w:rsidRPr="00E80935" w:rsidRDefault="00E05CE6"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4CD115FB" w14:textId="2C6D219C" w:rsidR="00E05CE6" w:rsidRPr="00E80935" w:rsidRDefault="00FC7D1D"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&lt;</w:t>
            </w:r>
            <w:r w:rsidR="0028451C" w:rsidRPr="00E80935">
              <w:rPr>
                <w:rFonts w:ascii="Calibri" w:hAnsi="Calibri"/>
                <w:color w:val="000000"/>
                <w:sz w:val="22"/>
                <w:szCs w:val="22"/>
              </w:rPr>
              <w:t>0</w:t>
            </w:r>
            <w:r w:rsidRPr="00E80935">
              <w:rPr>
                <w:rFonts w:ascii="Calibri" w:hAnsi="Calibri"/>
                <w:color w:val="000000"/>
                <w:sz w:val="22"/>
                <w:szCs w:val="22"/>
              </w:rPr>
              <w:t>.5</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0C452178" w14:textId="77777777" w:rsidR="00E05CE6" w:rsidRPr="00E80935" w:rsidRDefault="00E05CE6" w:rsidP="002F3AE1">
            <w:pPr>
              <w:widowControl/>
              <w:autoSpaceDE/>
              <w:autoSpaceDN/>
              <w:adjustRightInd/>
              <w:rPr>
                <w:rFonts w:ascii="Calibri" w:hAnsi="Calibri"/>
                <w:color w:val="000000"/>
                <w:sz w:val="22"/>
                <w:szCs w:val="22"/>
              </w:rPr>
            </w:pPr>
          </w:p>
        </w:tc>
      </w:tr>
      <w:tr w:rsidR="00E05CE6" w:rsidRPr="00E80935" w14:paraId="3E38448C" w14:textId="77777777" w:rsidTr="000B03C1">
        <w:trPr>
          <w:trHeight w:val="242"/>
        </w:trPr>
        <w:tc>
          <w:tcPr>
            <w:tcW w:w="5040" w:type="dxa"/>
            <w:gridSpan w:val="2"/>
            <w:tcBorders>
              <w:top w:val="nil"/>
              <w:left w:val="nil"/>
              <w:bottom w:val="nil"/>
              <w:right w:val="nil"/>
            </w:tcBorders>
            <w:shd w:val="clear" w:color="auto" w:fill="auto"/>
            <w:noWrap/>
            <w:vAlign w:val="bottom"/>
          </w:tcPr>
          <w:p w14:paraId="6B6EE598" w14:textId="0585387C" w:rsidR="00E05CE6" w:rsidRPr="00E80935" w:rsidRDefault="00E05CE6"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Inmate-on-inmate sexual harassment</w:t>
            </w:r>
          </w:p>
        </w:tc>
        <w:tc>
          <w:tcPr>
            <w:tcW w:w="774" w:type="dxa"/>
            <w:tcBorders>
              <w:top w:val="nil"/>
              <w:left w:val="nil"/>
              <w:bottom w:val="nil"/>
              <w:right w:val="nil"/>
            </w:tcBorders>
            <w:shd w:val="clear" w:color="auto" w:fill="auto"/>
            <w:noWrap/>
            <w:tcMar>
              <w:left w:w="29" w:type="dxa"/>
              <w:right w:w="29" w:type="dxa"/>
            </w:tcMar>
            <w:vAlign w:val="bottom"/>
          </w:tcPr>
          <w:p w14:paraId="186ADD60" w14:textId="77777777" w:rsidR="00E05CE6" w:rsidRPr="00E80935" w:rsidRDefault="00E05CE6" w:rsidP="002F3AE1">
            <w:pPr>
              <w:widowControl/>
              <w:autoSpaceDE/>
              <w:autoSpaceDN/>
              <w:adjustRightInd/>
              <w:jc w:val="right"/>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tcPr>
          <w:p w14:paraId="56BB67BE" w14:textId="77777777" w:rsidR="00E05CE6" w:rsidRPr="00E80935" w:rsidRDefault="00E05CE6"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6E87C2E1" w14:textId="77777777" w:rsidR="00E05CE6" w:rsidRPr="00E80935" w:rsidRDefault="00E05CE6" w:rsidP="002F3AE1">
            <w:pPr>
              <w:widowControl/>
              <w:autoSpaceDE/>
              <w:autoSpaceDN/>
              <w:adjustRightInd/>
              <w:jc w:val="right"/>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tcPr>
          <w:p w14:paraId="694C304A" w14:textId="77777777" w:rsidR="00E05CE6" w:rsidRPr="00E80935" w:rsidRDefault="00E05CE6" w:rsidP="002F3AE1">
            <w:pPr>
              <w:widowControl/>
              <w:autoSpaceDE/>
              <w:autoSpaceDN/>
              <w:adjustRightInd/>
              <w:rPr>
                <w:rFonts w:ascii="Calibri" w:hAnsi="Calibri"/>
                <w:color w:val="000000"/>
                <w:sz w:val="22"/>
                <w:szCs w:val="22"/>
              </w:rPr>
            </w:pPr>
          </w:p>
        </w:tc>
        <w:tc>
          <w:tcPr>
            <w:tcW w:w="1626" w:type="dxa"/>
            <w:gridSpan w:val="4"/>
            <w:tcBorders>
              <w:top w:val="nil"/>
              <w:left w:val="nil"/>
              <w:bottom w:val="nil"/>
              <w:right w:val="nil"/>
            </w:tcBorders>
            <w:shd w:val="clear" w:color="auto" w:fill="auto"/>
            <w:noWrap/>
            <w:tcMar>
              <w:left w:w="29" w:type="dxa"/>
              <w:right w:w="29" w:type="dxa"/>
            </w:tcMar>
            <w:vAlign w:val="bottom"/>
          </w:tcPr>
          <w:p w14:paraId="070902BE" w14:textId="4024AB32" w:rsidR="00E05CE6" w:rsidRPr="00E80935" w:rsidRDefault="00E05CE6" w:rsidP="002F3AE1">
            <w:pPr>
              <w:widowControl/>
              <w:autoSpaceDE/>
              <w:autoSpaceDN/>
              <w:adjustRightInd/>
              <w:jc w:val="center"/>
              <w:rPr>
                <w:rFonts w:ascii="Calibri" w:hAnsi="Calibri"/>
                <w:color w:val="000000"/>
                <w:sz w:val="22"/>
                <w:szCs w:val="22"/>
              </w:rPr>
            </w:pPr>
          </w:p>
        </w:tc>
        <w:tc>
          <w:tcPr>
            <w:tcW w:w="887" w:type="dxa"/>
            <w:gridSpan w:val="5"/>
            <w:tcBorders>
              <w:top w:val="nil"/>
              <w:left w:val="nil"/>
              <w:bottom w:val="nil"/>
              <w:right w:val="nil"/>
            </w:tcBorders>
            <w:shd w:val="clear" w:color="auto" w:fill="auto"/>
            <w:noWrap/>
            <w:tcMar>
              <w:left w:w="29" w:type="dxa"/>
              <w:right w:w="29" w:type="dxa"/>
            </w:tcMar>
            <w:vAlign w:val="bottom"/>
          </w:tcPr>
          <w:p w14:paraId="7FBAD988" w14:textId="617CF8BF" w:rsidR="00E05CE6" w:rsidRPr="00E80935" w:rsidRDefault="00E05CE6" w:rsidP="002F3AE1">
            <w:pPr>
              <w:widowControl/>
              <w:autoSpaceDE/>
              <w:autoSpaceDN/>
              <w:adjustRightInd/>
              <w:rPr>
                <w:rFonts w:ascii="Calibri" w:hAnsi="Calibri"/>
                <w:color w:val="000000"/>
                <w:sz w:val="22"/>
                <w:szCs w:val="22"/>
              </w:rPr>
            </w:pPr>
          </w:p>
        </w:tc>
      </w:tr>
      <w:tr w:rsidR="00760507" w:rsidRPr="00E80935" w14:paraId="3D824C21" w14:textId="77777777" w:rsidTr="000B03C1">
        <w:trPr>
          <w:trHeight w:val="242"/>
        </w:trPr>
        <w:tc>
          <w:tcPr>
            <w:tcW w:w="720" w:type="dxa"/>
            <w:tcBorders>
              <w:top w:val="nil"/>
              <w:left w:val="nil"/>
              <w:bottom w:val="nil"/>
              <w:right w:val="nil"/>
            </w:tcBorders>
            <w:shd w:val="clear" w:color="auto" w:fill="auto"/>
            <w:noWrap/>
            <w:vAlign w:val="bottom"/>
          </w:tcPr>
          <w:p w14:paraId="66E579EA"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0C82EF10" w14:textId="40781A6B"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Full reporting</w:t>
            </w:r>
          </w:p>
        </w:tc>
        <w:tc>
          <w:tcPr>
            <w:tcW w:w="774" w:type="dxa"/>
            <w:tcBorders>
              <w:top w:val="nil"/>
              <w:left w:val="nil"/>
              <w:bottom w:val="nil"/>
              <w:right w:val="nil"/>
            </w:tcBorders>
            <w:shd w:val="clear" w:color="auto" w:fill="auto"/>
            <w:noWrap/>
            <w:tcMar>
              <w:left w:w="29" w:type="dxa"/>
              <w:right w:w="29" w:type="dxa"/>
            </w:tcMar>
            <w:vAlign w:val="bottom"/>
          </w:tcPr>
          <w:p w14:paraId="1619DF41" w14:textId="126A1637" w:rsidR="00760507"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100</w:t>
            </w:r>
          </w:p>
        </w:tc>
        <w:tc>
          <w:tcPr>
            <w:tcW w:w="374" w:type="dxa"/>
            <w:tcBorders>
              <w:top w:val="nil"/>
              <w:left w:val="nil"/>
              <w:bottom w:val="nil"/>
              <w:right w:val="nil"/>
            </w:tcBorders>
            <w:shd w:val="clear" w:color="auto" w:fill="auto"/>
            <w:noWrap/>
            <w:tcMar>
              <w:left w:w="29" w:type="dxa"/>
              <w:right w:w="29" w:type="dxa"/>
            </w:tcMar>
            <w:vAlign w:val="bottom"/>
          </w:tcPr>
          <w:p w14:paraId="79967B0E" w14:textId="3C2432A4"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16" w:type="dxa"/>
            <w:tcBorders>
              <w:top w:val="nil"/>
              <w:left w:val="nil"/>
              <w:bottom w:val="nil"/>
              <w:right w:val="nil"/>
            </w:tcBorders>
            <w:shd w:val="clear" w:color="auto" w:fill="auto"/>
            <w:noWrap/>
            <w:tcMar>
              <w:left w:w="29" w:type="dxa"/>
              <w:right w:w="29" w:type="dxa"/>
            </w:tcMar>
            <w:vAlign w:val="bottom"/>
          </w:tcPr>
          <w:p w14:paraId="1CFBBC01" w14:textId="3BCD257D" w:rsidR="00760507" w:rsidRPr="00E80935" w:rsidRDefault="00760507"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w:t>
            </w:r>
            <w:r w:rsidR="0093580E" w:rsidRPr="00E80935">
              <w:rPr>
                <w:rFonts w:ascii="Calibri" w:hAnsi="Calibri"/>
                <w:color w:val="000000"/>
                <w:sz w:val="22"/>
                <w:szCs w:val="22"/>
              </w:rPr>
              <w:t>6</w:t>
            </w:r>
          </w:p>
        </w:tc>
        <w:tc>
          <w:tcPr>
            <w:tcW w:w="374" w:type="dxa"/>
            <w:gridSpan w:val="2"/>
            <w:tcBorders>
              <w:top w:val="nil"/>
              <w:left w:val="nil"/>
              <w:bottom w:val="nil"/>
              <w:right w:val="nil"/>
            </w:tcBorders>
            <w:shd w:val="clear" w:color="auto" w:fill="auto"/>
            <w:noWrap/>
            <w:tcMar>
              <w:left w:w="29" w:type="dxa"/>
              <w:right w:w="29" w:type="dxa"/>
            </w:tcMar>
            <w:vAlign w:val="bottom"/>
          </w:tcPr>
          <w:p w14:paraId="006825D8" w14:textId="53B7A02F"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95" w:type="dxa"/>
            <w:gridSpan w:val="2"/>
            <w:tcBorders>
              <w:top w:val="nil"/>
              <w:left w:val="nil"/>
              <w:bottom w:val="nil"/>
              <w:right w:val="nil"/>
            </w:tcBorders>
            <w:shd w:val="clear" w:color="auto" w:fill="auto"/>
            <w:noWrap/>
            <w:tcMar>
              <w:left w:w="29" w:type="dxa"/>
              <w:right w:w="29" w:type="dxa"/>
            </w:tcMar>
          </w:tcPr>
          <w:p w14:paraId="36807AC7" w14:textId="3ECEC0EB" w:rsidR="00760507" w:rsidRPr="00E80935" w:rsidRDefault="0028451C"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w:t>
            </w:r>
            <w:r w:rsidR="00271C33" w:rsidRPr="00E80935">
              <w:rPr>
                <w:rFonts w:ascii="Calibri" w:hAnsi="Calibri"/>
                <w:color w:val="000000"/>
                <w:sz w:val="22"/>
                <w:szCs w:val="22"/>
              </w:rPr>
              <w:t>8</w:t>
            </w:r>
          </w:p>
        </w:tc>
        <w:tc>
          <w:tcPr>
            <w:tcW w:w="374" w:type="dxa"/>
            <w:tcBorders>
              <w:top w:val="nil"/>
              <w:left w:val="nil"/>
              <w:bottom w:val="nil"/>
              <w:right w:val="nil"/>
            </w:tcBorders>
            <w:shd w:val="clear" w:color="auto" w:fill="auto"/>
            <w:noWrap/>
            <w:tcMar>
              <w:left w:w="29" w:type="dxa"/>
              <w:right w:w="29" w:type="dxa"/>
            </w:tcMar>
          </w:tcPr>
          <w:p w14:paraId="79F2FDAE" w14:textId="11214DC6" w:rsidR="00760507" w:rsidRPr="00E80935" w:rsidRDefault="0028451C"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693" w:type="dxa"/>
            <w:gridSpan w:val="3"/>
            <w:tcBorders>
              <w:top w:val="nil"/>
              <w:left w:val="nil"/>
              <w:bottom w:val="nil"/>
              <w:right w:val="nil"/>
            </w:tcBorders>
            <w:shd w:val="clear" w:color="auto" w:fill="auto"/>
            <w:noWrap/>
            <w:tcMar>
              <w:left w:w="29" w:type="dxa"/>
              <w:right w:w="29" w:type="dxa"/>
            </w:tcMar>
          </w:tcPr>
          <w:p w14:paraId="79FAFF2F" w14:textId="590902D2" w:rsidR="00760507" w:rsidRPr="00E80935" w:rsidRDefault="0028451C"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w:t>
            </w:r>
            <w:r w:rsidR="00FC7D1D" w:rsidRPr="00E80935">
              <w:rPr>
                <w:rFonts w:ascii="Calibri" w:hAnsi="Calibri"/>
                <w:color w:val="000000"/>
                <w:sz w:val="22"/>
                <w:szCs w:val="22"/>
              </w:rPr>
              <w:t>6</w:t>
            </w:r>
          </w:p>
        </w:tc>
        <w:tc>
          <w:tcPr>
            <w:tcW w:w="651" w:type="dxa"/>
            <w:gridSpan w:val="3"/>
            <w:tcBorders>
              <w:top w:val="nil"/>
              <w:left w:val="nil"/>
              <w:bottom w:val="nil"/>
              <w:right w:val="nil"/>
            </w:tcBorders>
            <w:shd w:val="clear" w:color="auto" w:fill="auto"/>
            <w:noWrap/>
            <w:tcMar>
              <w:left w:w="29" w:type="dxa"/>
              <w:right w:w="29" w:type="dxa"/>
            </w:tcMar>
            <w:vAlign w:val="bottom"/>
          </w:tcPr>
          <w:p w14:paraId="2D1C9B65" w14:textId="43707339" w:rsidR="00760507" w:rsidRPr="00E80935" w:rsidRDefault="0028451C"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r>
      <w:tr w:rsidR="00760507" w:rsidRPr="00E80935" w14:paraId="23C21E7D" w14:textId="77777777" w:rsidTr="000B03C1">
        <w:trPr>
          <w:trHeight w:val="242"/>
        </w:trPr>
        <w:tc>
          <w:tcPr>
            <w:tcW w:w="720" w:type="dxa"/>
            <w:tcBorders>
              <w:top w:val="nil"/>
              <w:left w:val="nil"/>
              <w:bottom w:val="nil"/>
              <w:right w:val="nil"/>
            </w:tcBorders>
            <w:shd w:val="clear" w:color="auto" w:fill="auto"/>
            <w:noWrap/>
            <w:vAlign w:val="bottom"/>
          </w:tcPr>
          <w:p w14:paraId="7D306B1C"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458A17AB" w14:textId="1FCB866D"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Partial</w:t>
            </w:r>
            <w:r w:rsidR="002A60E9" w:rsidRPr="00E80935">
              <w:rPr>
                <w:rFonts w:ascii="Calibri" w:hAnsi="Calibri"/>
                <w:color w:val="000000"/>
                <w:sz w:val="22"/>
                <w:szCs w:val="22"/>
              </w:rPr>
              <w:t xml:space="preserve"> reporting</w:t>
            </w:r>
            <w:r w:rsidRPr="00E80935">
              <w:rPr>
                <w:rFonts w:ascii="Calibri" w:hAnsi="Calibri"/>
                <w:color w:val="000000"/>
                <w:sz w:val="22"/>
                <w:szCs w:val="22"/>
              </w:rPr>
              <w:t>*</w:t>
            </w:r>
          </w:p>
        </w:tc>
        <w:tc>
          <w:tcPr>
            <w:tcW w:w="774" w:type="dxa"/>
            <w:tcBorders>
              <w:top w:val="nil"/>
              <w:left w:val="nil"/>
              <w:bottom w:val="nil"/>
              <w:right w:val="nil"/>
            </w:tcBorders>
            <w:shd w:val="clear" w:color="auto" w:fill="auto"/>
            <w:noWrap/>
            <w:tcMar>
              <w:left w:w="29" w:type="dxa"/>
              <w:right w:w="29" w:type="dxa"/>
            </w:tcMar>
            <w:vAlign w:val="bottom"/>
          </w:tcPr>
          <w:p w14:paraId="5DBAD6C2" w14:textId="0AE2F05C" w:rsidR="00760507" w:rsidRPr="00E80935" w:rsidRDefault="0093580E"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tcPr>
          <w:p w14:paraId="63CDAFEF"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64E34D65" w14:textId="273C0C01" w:rsidR="00760507"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3</w:t>
            </w:r>
          </w:p>
        </w:tc>
        <w:tc>
          <w:tcPr>
            <w:tcW w:w="374" w:type="dxa"/>
            <w:gridSpan w:val="2"/>
            <w:tcBorders>
              <w:top w:val="nil"/>
              <w:left w:val="nil"/>
              <w:bottom w:val="nil"/>
              <w:right w:val="nil"/>
            </w:tcBorders>
            <w:shd w:val="clear" w:color="auto" w:fill="auto"/>
            <w:noWrap/>
            <w:tcMar>
              <w:left w:w="29" w:type="dxa"/>
              <w:right w:w="29" w:type="dxa"/>
            </w:tcMar>
            <w:vAlign w:val="bottom"/>
          </w:tcPr>
          <w:p w14:paraId="7F1D1945"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tcPr>
          <w:p w14:paraId="1A5F5664" w14:textId="3CA1EAC8" w:rsidR="00760507"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tcPr>
          <w:p w14:paraId="56820A93" w14:textId="64245744"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tcPr>
          <w:p w14:paraId="55DC97D8" w14:textId="49BE12CC" w:rsidR="00760507" w:rsidRPr="00E80935" w:rsidRDefault="00FC7D1D"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651" w:type="dxa"/>
            <w:gridSpan w:val="3"/>
            <w:tcBorders>
              <w:top w:val="nil"/>
              <w:left w:val="nil"/>
              <w:bottom w:val="nil"/>
              <w:right w:val="nil"/>
            </w:tcBorders>
            <w:shd w:val="clear" w:color="auto" w:fill="auto"/>
            <w:noWrap/>
            <w:tcMar>
              <w:left w:w="29" w:type="dxa"/>
              <w:right w:w="29" w:type="dxa"/>
            </w:tcMar>
            <w:vAlign w:val="bottom"/>
          </w:tcPr>
          <w:p w14:paraId="0ABA2FA2" w14:textId="77777777" w:rsidR="00760507" w:rsidRPr="00E80935" w:rsidRDefault="00760507" w:rsidP="002F3AE1">
            <w:pPr>
              <w:widowControl/>
              <w:autoSpaceDE/>
              <w:autoSpaceDN/>
              <w:adjustRightInd/>
              <w:rPr>
                <w:rFonts w:ascii="Calibri" w:hAnsi="Calibri"/>
                <w:color w:val="000000"/>
                <w:sz w:val="22"/>
                <w:szCs w:val="22"/>
              </w:rPr>
            </w:pPr>
          </w:p>
        </w:tc>
      </w:tr>
      <w:tr w:rsidR="00760507" w:rsidRPr="00E80935" w14:paraId="2030E5AA" w14:textId="77777777" w:rsidTr="000B03C1">
        <w:trPr>
          <w:trHeight w:val="242"/>
        </w:trPr>
        <w:tc>
          <w:tcPr>
            <w:tcW w:w="720" w:type="dxa"/>
            <w:tcBorders>
              <w:top w:val="nil"/>
              <w:left w:val="nil"/>
              <w:bottom w:val="nil"/>
              <w:right w:val="nil"/>
            </w:tcBorders>
            <w:shd w:val="clear" w:color="auto" w:fill="auto"/>
            <w:noWrap/>
            <w:vAlign w:val="bottom"/>
          </w:tcPr>
          <w:p w14:paraId="06178837"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4FD1582F" w14:textId="4F25F150"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Unable to report</w:t>
            </w:r>
          </w:p>
        </w:tc>
        <w:tc>
          <w:tcPr>
            <w:tcW w:w="774" w:type="dxa"/>
            <w:tcBorders>
              <w:top w:val="nil"/>
              <w:left w:val="nil"/>
              <w:bottom w:val="nil"/>
              <w:right w:val="nil"/>
            </w:tcBorders>
            <w:shd w:val="clear" w:color="auto" w:fill="auto"/>
            <w:noWrap/>
            <w:tcMar>
              <w:left w:w="29" w:type="dxa"/>
              <w:right w:w="29" w:type="dxa"/>
            </w:tcMar>
            <w:vAlign w:val="bottom"/>
          </w:tcPr>
          <w:p w14:paraId="2D30D160" w14:textId="3F2BABA0" w:rsidR="00760507"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tcPr>
          <w:p w14:paraId="44DD2299"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72850F6F" w14:textId="3D63E175" w:rsidR="00760507" w:rsidRPr="00E80935" w:rsidRDefault="0093580E"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374" w:type="dxa"/>
            <w:gridSpan w:val="2"/>
            <w:tcBorders>
              <w:top w:val="nil"/>
              <w:left w:val="nil"/>
              <w:bottom w:val="nil"/>
              <w:right w:val="nil"/>
            </w:tcBorders>
            <w:shd w:val="clear" w:color="auto" w:fill="auto"/>
            <w:noWrap/>
            <w:tcMar>
              <w:left w:w="29" w:type="dxa"/>
              <w:right w:w="29" w:type="dxa"/>
            </w:tcMar>
            <w:vAlign w:val="bottom"/>
          </w:tcPr>
          <w:p w14:paraId="75AE1CF1"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tcPr>
          <w:p w14:paraId="33994110" w14:textId="1CCBDFE6" w:rsidR="00760507" w:rsidRPr="00E80935" w:rsidRDefault="00271C33" w:rsidP="00271C33">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tcPr>
          <w:p w14:paraId="1961D1DD" w14:textId="6134A82A"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tcPr>
          <w:p w14:paraId="58BCD6F6" w14:textId="65605AFA" w:rsidR="00760507"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651" w:type="dxa"/>
            <w:gridSpan w:val="3"/>
            <w:tcBorders>
              <w:top w:val="nil"/>
              <w:left w:val="nil"/>
              <w:bottom w:val="nil"/>
              <w:right w:val="nil"/>
            </w:tcBorders>
            <w:shd w:val="clear" w:color="auto" w:fill="auto"/>
            <w:noWrap/>
            <w:tcMar>
              <w:left w:w="29" w:type="dxa"/>
              <w:right w:w="29" w:type="dxa"/>
            </w:tcMar>
            <w:vAlign w:val="bottom"/>
          </w:tcPr>
          <w:p w14:paraId="5F8F86BD" w14:textId="77777777" w:rsidR="00760507" w:rsidRPr="00E80935" w:rsidRDefault="00760507" w:rsidP="002F3AE1">
            <w:pPr>
              <w:widowControl/>
              <w:autoSpaceDE/>
              <w:autoSpaceDN/>
              <w:adjustRightInd/>
              <w:rPr>
                <w:rFonts w:ascii="Calibri" w:hAnsi="Calibri"/>
                <w:color w:val="000000"/>
                <w:sz w:val="22"/>
                <w:szCs w:val="22"/>
              </w:rPr>
            </w:pPr>
          </w:p>
        </w:tc>
      </w:tr>
      <w:tr w:rsidR="00760507" w:rsidRPr="00E80935" w14:paraId="6899BB8F" w14:textId="77777777" w:rsidTr="000B03C1">
        <w:trPr>
          <w:trHeight w:val="242"/>
        </w:trPr>
        <w:tc>
          <w:tcPr>
            <w:tcW w:w="5040" w:type="dxa"/>
            <w:gridSpan w:val="2"/>
            <w:tcBorders>
              <w:top w:val="nil"/>
              <w:left w:val="nil"/>
              <w:bottom w:val="nil"/>
              <w:right w:val="nil"/>
            </w:tcBorders>
            <w:shd w:val="clear" w:color="auto" w:fill="auto"/>
            <w:noWrap/>
            <w:vAlign w:val="bottom"/>
            <w:hideMark/>
          </w:tcPr>
          <w:p w14:paraId="4BF2F5CF"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Staff sexual misconduct</w:t>
            </w:r>
          </w:p>
        </w:tc>
        <w:tc>
          <w:tcPr>
            <w:tcW w:w="774" w:type="dxa"/>
            <w:tcBorders>
              <w:top w:val="nil"/>
              <w:left w:val="nil"/>
              <w:bottom w:val="nil"/>
              <w:right w:val="nil"/>
            </w:tcBorders>
            <w:shd w:val="clear" w:color="auto" w:fill="auto"/>
            <w:noWrap/>
            <w:tcMar>
              <w:left w:w="29" w:type="dxa"/>
              <w:right w:w="29" w:type="dxa"/>
            </w:tcMar>
            <w:vAlign w:val="bottom"/>
            <w:hideMark/>
          </w:tcPr>
          <w:p w14:paraId="42CCDD44" w14:textId="77777777" w:rsidR="00760507" w:rsidRPr="00E80935" w:rsidRDefault="00760507"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hideMark/>
          </w:tcPr>
          <w:p w14:paraId="48515617"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736088C5" w14:textId="77777777" w:rsidR="00760507" w:rsidRPr="00E80935" w:rsidRDefault="00760507"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596BD44B"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18BC1C49" w14:textId="77777777" w:rsidR="00760507" w:rsidRPr="00E80935" w:rsidRDefault="00760507"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hideMark/>
          </w:tcPr>
          <w:p w14:paraId="0395EA99" w14:textId="77777777"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2955AD66" w14:textId="77777777" w:rsidR="00760507" w:rsidRPr="00E80935" w:rsidRDefault="00760507" w:rsidP="002F3AE1">
            <w:pPr>
              <w:widowControl/>
              <w:autoSpaceDE/>
              <w:autoSpaceDN/>
              <w:adjustRightInd/>
              <w:rPr>
                <w:rFonts w:ascii="Calibri" w:hAnsi="Calibri"/>
                <w:color w:val="000000"/>
                <w:sz w:val="22"/>
                <w:szCs w:val="22"/>
              </w:rPr>
            </w:pP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56E9F646" w14:textId="77777777" w:rsidR="00760507" w:rsidRPr="00E80935" w:rsidRDefault="00760507" w:rsidP="002F3AE1">
            <w:pPr>
              <w:widowControl/>
              <w:autoSpaceDE/>
              <w:autoSpaceDN/>
              <w:adjustRightInd/>
              <w:rPr>
                <w:rFonts w:ascii="Calibri" w:hAnsi="Calibri"/>
                <w:color w:val="000000"/>
                <w:sz w:val="22"/>
                <w:szCs w:val="22"/>
              </w:rPr>
            </w:pPr>
          </w:p>
        </w:tc>
      </w:tr>
      <w:tr w:rsidR="00760507" w:rsidRPr="00E80935" w14:paraId="111E1883" w14:textId="77777777" w:rsidTr="000B03C1">
        <w:trPr>
          <w:trHeight w:val="242"/>
        </w:trPr>
        <w:tc>
          <w:tcPr>
            <w:tcW w:w="720" w:type="dxa"/>
            <w:tcBorders>
              <w:top w:val="nil"/>
              <w:left w:val="nil"/>
              <w:bottom w:val="nil"/>
              <w:right w:val="nil"/>
            </w:tcBorders>
            <w:shd w:val="clear" w:color="auto" w:fill="auto"/>
            <w:noWrap/>
            <w:vAlign w:val="bottom"/>
            <w:hideMark/>
          </w:tcPr>
          <w:p w14:paraId="6CBD5EDF"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37ED8FDE"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Full reporting</w:t>
            </w:r>
          </w:p>
        </w:tc>
        <w:tc>
          <w:tcPr>
            <w:tcW w:w="774" w:type="dxa"/>
            <w:tcBorders>
              <w:top w:val="nil"/>
              <w:left w:val="nil"/>
              <w:bottom w:val="nil"/>
              <w:right w:val="nil"/>
            </w:tcBorders>
            <w:shd w:val="clear" w:color="auto" w:fill="auto"/>
            <w:noWrap/>
            <w:tcMar>
              <w:left w:w="29" w:type="dxa"/>
              <w:right w:w="29" w:type="dxa"/>
            </w:tcMar>
            <w:vAlign w:val="bottom"/>
            <w:hideMark/>
          </w:tcPr>
          <w:p w14:paraId="2FB4FF0E" w14:textId="3EE59928" w:rsidR="00760507" w:rsidRPr="00E80935" w:rsidRDefault="00760507"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98</w:t>
            </w:r>
          </w:p>
        </w:tc>
        <w:tc>
          <w:tcPr>
            <w:tcW w:w="374" w:type="dxa"/>
            <w:tcBorders>
              <w:top w:val="nil"/>
              <w:left w:val="nil"/>
              <w:bottom w:val="nil"/>
              <w:right w:val="nil"/>
            </w:tcBorders>
            <w:shd w:val="clear" w:color="auto" w:fill="auto"/>
            <w:noWrap/>
            <w:tcMar>
              <w:left w:w="29" w:type="dxa"/>
              <w:right w:w="29" w:type="dxa"/>
            </w:tcMar>
            <w:vAlign w:val="bottom"/>
            <w:hideMark/>
          </w:tcPr>
          <w:p w14:paraId="4DA999E5"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16" w:type="dxa"/>
            <w:tcBorders>
              <w:top w:val="nil"/>
              <w:left w:val="nil"/>
              <w:bottom w:val="nil"/>
              <w:right w:val="nil"/>
            </w:tcBorders>
            <w:shd w:val="clear" w:color="auto" w:fill="auto"/>
            <w:noWrap/>
            <w:tcMar>
              <w:left w:w="29" w:type="dxa"/>
              <w:right w:w="29" w:type="dxa"/>
            </w:tcMar>
            <w:vAlign w:val="bottom"/>
            <w:hideMark/>
          </w:tcPr>
          <w:p w14:paraId="7E81CFE9" w14:textId="5D754B51" w:rsidR="00760507" w:rsidRPr="00E80935" w:rsidRDefault="00760507"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8</w:t>
            </w:r>
            <w:r w:rsidR="0093580E" w:rsidRPr="00E80935">
              <w:rPr>
                <w:rFonts w:ascii="Calibri" w:hAnsi="Calibri"/>
                <w:color w:val="000000"/>
                <w:sz w:val="22"/>
                <w:szCs w:val="22"/>
              </w:rPr>
              <w:t>5</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55122929"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34C1EC20" w14:textId="3C8F0BCD" w:rsidR="00760507"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98</w:t>
            </w:r>
          </w:p>
        </w:tc>
        <w:tc>
          <w:tcPr>
            <w:tcW w:w="374" w:type="dxa"/>
            <w:tcBorders>
              <w:top w:val="nil"/>
              <w:left w:val="nil"/>
              <w:bottom w:val="nil"/>
              <w:right w:val="nil"/>
            </w:tcBorders>
            <w:shd w:val="clear" w:color="auto" w:fill="auto"/>
            <w:noWrap/>
            <w:tcMar>
              <w:left w:w="29" w:type="dxa"/>
              <w:right w:w="29" w:type="dxa"/>
            </w:tcMar>
            <w:vAlign w:val="bottom"/>
            <w:hideMark/>
          </w:tcPr>
          <w:p w14:paraId="0E8C667D"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3B447B3D" w14:textId="1BE3F427" w:rsidR="00760507" w:rsidRPr="00E80935" w:rsidRDefault="0028451C"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8</w:t>
            </w:r>
            <w:r w:rsidR="00FC7D1D" w:rsidRPr="00E80935">
              <w:rPr>
                <w:rFonts w:ascii="Calibri" w:hAnsi="Calibri"/>
                <w:color w:val="000000"/>
                <w:sz w:val="22"/>
                <w:szCs w:val="22"/>
              </w:rPr>
              <w:t>4</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4D38A4FB"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r>
      <w:tr w:rsidR="00773D1A" w:rsidRPr="00E80935" w14:paraId="50F559C1" w14:textId="77777777" w:rsidTr="000B03C1">
        <w:trPr>
          <w:trHeight w:val="242"/>
        </w:trPr>
        <w:tc>
          <w:tcPr>
            <w:tcW w:w="720" w:type="dxa"/>
            <w:tcBorders>
              <w:top w:val="nil"/>
              <w:left w:val="nil"/>
              <w:bottom w:val="nil"/>
              <w:right w:val="nil"/>
            </w:tcBorders>
            <w:shd w:val="clear" w:color="auto" w:fill="auto"/>
            <w:noWrap/>
            <w:vAlign w:val="bottom"/>
          </w:tcPr>
          <w:p w14:paraId="6FB9E1A9" w14:textId="77777777" w:rsidR="00773D1A" w:rsidRPr="00E80935" w:rsidRDefault="00773D1A"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49130030" w14:textId="60BA9D4C" w:rsidR="00773D1A" w:rsidRPr="00E80935" w:rsidRDefault="00773D1A"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Includes sexual harassment</w:t>
            </w:r>
          </w:p>
        </w:tc>
        <w:tc>
          <w:tcPr>
            <w:tcW w:w="774" w:type="dxa"/>
            <w:tcBorders>
              <w:top w:val="nil"/>
              <w:left w:val="nil"/>
              <w:bottom w:val="nil"/>
              <w:right w:val="nil"/>
            </w:tcBorders>
            <w:shd w:val="clear" w:color="auto" w:fill="auto"/>
            <w:noWrap/>
            <w:tcMar>
              <w:left w:w="29" w:type="dxa"/>
              <w:right w:w="29" w:type="dxa"/>
            </w:tcMar>
            <w:vAlign w:val="bottom"/>
          </w:tcPr>
          <w:p w14:paraId="78FB0B93" w14:textId="72314552" w:rsidR="00773D1A" w:rsidRPr="00E80935" w:rsidRDefault="00773D1A"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vAlign w:val="bottom"/>
          </w:tcPr>
          <w:p w14:paraId="51F7F3F2" w14:textId="77777777" w:rsidR="00773D1A" w:rsidRPr="00E80935" w:rsidRDefault="00773D1A"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30567A55" w14:textId="673D5D63" w:rsidR="00773D1A" w:rsidRPr="00E80935" w:rsidRDefault="00773D1A"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13</w:t>
            </w:r>
          </w:p>
        </w:tc>
        <w:tc>
          <w:tcPr>
            <w:tcW w:w="374" w:type="dxa"/>
            <w:gridSpan w:val="2"/>
            <w:tcBorders>
              <w:top w:val="nil"/>
              <w:left w:val="nil"/>
              <w:bottom w:val="nil"/>
              <w:right w:val="nil"/>
            </w:tcBorders>
            <w:shd w:val="clear" w:color="auto" w:fill="auto"/>
            <w:noWrap/>
            <w:tcMar>
              <w:left w:w="29" w:type="dxa"/>
              <w:right w:w="29" w:type="dxa"/>
            </w:tcMar>
            <w:vAlign w:val="bottom"/>
          </w:tcPr>
          <w:p w14:paraId="009FEC8B" w14:textId="77777777" w:rsidR="00773D1A" w:rsidRPr="00E80935" w:rsidRDefault="00773D1A"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tcPr>
          <w:p w14:paraId="124245EC" w14:textId="38348FE2" w:rsidR="00773D1A" w:rsidRPr="00E80935" w:rsidRDefault="00773D1A"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vAlign w:val="bottom"/>
          </w:tcPr>
          <w:p w14:paraId="138135C5" w14:textId="77777777" w:rsidR="00773D1A" w:rsidRPr="00E80935" w:rsidRDefault="00773D1A"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tcPr>
          <w:p w14:paraId="5EF88D09" w14:textId="4F854208" w:rsidR="00773D1A" w:rsidRPr="00E80935" w:rsidRDefault="00773D1A"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r w:rsidR="00FC7D1D" w:rsidRPr="00E80935">
              <w:rPr>
                <w:rFonts w:ascii="Calibri" w:hAnsi="Calibri"/>
                <w:color w:val="000000"/>
                <w:sz w:val="22"/>
                <w:szCs w:val="22"/>
              </w:rPr>
              <w:t>5</w:t>
            </w:r>
          </w:p>
        </w:tc>
        <w:tc>
          <w:tcPr>
            <w:tcW w:w="651" w:type="dxa"/>
            <w:gridSpan w:val="3"/>
            <w:tcBorders>
              <w:top w:val="nil"/>
              <w:left w:val="nil"/>
              <w:bottom w:val="nil"/>
              <w:right w:val="nil"/>
            </w:tcBorders>
            <w:shd w:val="clear" w:color="auto" w:fill="auto"/>
            <w:noWrap/>
            <w:tcMar>
              <w:left w:w="29" w:type="dxa"/>
              <w:right w:w="29" w:type="dxa"/>
            </w:tcMar>
            <w:vAlign w:val="bottom"/>
          </w:tcPr>
          <w:p w14:paraId="004778E3" w14:textId="77777777" w:rsidR="00773D1A" w:rsidRPr="00E80935" w:rsidRDefault="00773D1A" w:rsidP="002F3AE1">
            <w:pPr>
              <w:widowControl/>
              <w:autoSpaceDE/>
              <w:autoSpaceDN/>
              <w:adjustRightInd/>
              <w:rPr>
                <w:rFonts w:ascii="Calibri" w:hAnsi="Calibri"/>
                <w:color w:val="000000"/>
                <w:sz w:val="22"/>
                <w:szCs w:val="22"/>
              </w:rPr>
            </w:pPr>
          </w:p>
        </w:tc>
      </w:tr>
      <w:tr w:rsidR="00760507" w:rsidRPr="00E80935" w14:paraId="2CE9AA54" w14:textId="77777777" w:rsidTr="000B03C1">
        <w:trPr>
          <w:trHeight w:val="242"/>
        </w:trPr>
        <w:tc>
          <w:tcPr>
            <w:tcW w:w="720" w:type="dxa"/>
            <w:tcBorders>
              <w:top w:val="nil"/>
              <w:left w:val="nil"/>
              <w:bottom w:val="nil"/>
              <w:right w:val="nil"/>
            </w:tcBorders>
            <w:shd w:val="clear" w:color="auto" w:fill="auto"/>
            <w:noWrap/>
            <w:vAlign w:val="bottom"/>
            <w:hideMark/>
          </w:tcPr>
          <w:p w14:paraId="4A9F1F93"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558B16E7" w14:textId="5DF0D5B8"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Partial</w:t>
            </w:r>
            <w:r w:rsidR="002A60E9" w:rsidRPr="00E80935">
              <w:rPr>
                <w:rFonts w:ascii="Calibri" w:hAnsi="Calibri"/>
                <w:color w:val="000000"/>
                <w:sz w:val="22"/>
                <w:szCs w:val="22"/>
              </w:rPr>
              <w:t xml:space="preserve"> reporting</w:t>
            </w:r>
            <w:r w:rsidRPr="00E80935">
              <w:rPr>
                <w:rFonts w:ascii="Calibri" w:hAnsi="Calibri"/>
                <w:color w:val="000000"/>
                <w:sz w:val="22"/>
                <w:szCs w:val="22"/>
              </w:rPr>
              <w:t>*</w:t>
            </w:r>
          </w:p>
        </w:tc>
        <w:tc>
          <w:tcPr>
            <w:tcW w:w="774" w:type="dxa"/>
            <w:tcBorders>
              <w:top w:val="nil"/>
              <w:left w:val="nil"/>
              <w:bottom w:val="nil"/>
              <w:right w:val="nil"/>
            </w:tcBorders>
            <w:shd w:val="clear" w:color="auto" w:fill="auto"/>
            <w:noWrap/>
            <w:tcMar>
              <w:left w:w="29" w:type="dxa"/>
              <w:right w:w="29" w:type="dxa"/>
            </w:tcMar>
            <w:vAlign w:val="bottom"/>
            <w:hideMark/>
          </w:tcPr>
          <w:p w14:paraId="53FA8737" w14:textId="074D7C87" w:rsidR="00760507"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4D222704"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323F9CB8" w14:textId="4C7C858B" w:rsidR="00760507" w:rsidRPr="00E80935" w:rsidRDefault="00760507"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D6C17A2"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46D3850E" w14:textId="56C48F4A" w:rsidR="00760507"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3BA456CF" w14:textId="77777777"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2AA30C2E" w14:textId="45E85C7B" w:rsidR="00760507" w:rsidRPr="00E80935" w:rsidRDefault="00FC7D1D"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4C171767" w14:textId="77777777" w:rsidR="00760507" w:rsidRPr="00E80935" w:rsidRDefault="00760507" w:rsidP="002F3AE1">
            <w:pPr>
              <w:widowControl/>
              <w:autoSpaceDE/>
              <w:autoSpaceDN/>
              <w:adjustRightInd/>
              <w:rPr>
                <w:rFonts w:ascii="Calibri" w:hAnsi="Calibri"/>
                <w:color w:val="000000"/>
                <w:sz w:val="22"/>
                <w:szCs w:val="22"/>
              </w:rPr>
            </w:pPr>
          </w:p>
        </w:tc>
      </w:tr>
      <w:tr w:rsidR="00C17494" w:rsidRPr="00E80935" w14:paraId="0029AB93" w14:textId="77777777" w:rsidTr="000B03C1">
        <w:trPr>
          <w:trHeight w:val="242"/>
        </w:trPr>
        <w:tc>
          <w:tcPr>
            <w:tcW w:w="720" w:type="dxa"/>
            <w:tcBorders>
              <w:top w:val="nil"/>
              <w:left w:val="nil"/>
              <w:bottom w:val="nil"/>
              <w:right w:val="nil"/>
            </w:tcBorders>
            <w:shd w:val="clear" w:color="auto" w:fill="auto"/>
            <w:noWrap/>
            <w:vAlign w:val="bottom"/>
          </w:tcPr>
          <w:p w14:paraId="69D069E4" w14:textId="77777777" w:rsidR="00C17494" w:rsidRPr="00E80935" w:rsidRDefault="00C17494"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7B7B4C95" w14:textId="59A7D395" w:rsidR="00C17494" w:rsidRPr="00E80935" w:rsidRDefault="00C17494"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Partial and includes sexual harassment</w:t>
            </w:r>
          </w:p>
        </w:tc>
        <w:tc>
          <w:tcPr>
            <w:tcW w:w="774" w:type="dxa"/>
            <w:tcBorders>
              <w:top w:val="nil"/>
              <w:left w:val="nil"/>
              <w:bottom w:val="nil"/>
              <w:right w:val="nil"/>
            </w:tcBorders>
            <w:shd w:val="clear" w:color="auto" w:fill="auto"/>
            <w:noWrap/>
            <w:tcMar>
              <w:left w:w="29" w:type="dxa"/>
              <w:right w:w="29" w:type="dxa"/>
            </w:tcMar>
            <w:vAlign w:val="bottom"/>
          </w:tcPr>
          <w:p w14:paraId="4435F188" w14:textId="047EE8D8" w:rsidR="00C17494" w:rsidRPr="00E80935" w:rsidRDefault="00C17494"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tcPr>
          <w:p w14:paraId="647FBC8E" w14:textId="77777777" w:rsidR="00C17494" w:rsidRPr="00E80935" w:rsidRDefault="00C17494"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tcPr>
          <w:p w14:paraId="13717EBD" w14:textId="1B1278A2" w:rsidR="00C17494"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&lt;</w:t>
            </w:r>
            <w:r w:rsidR="00C95861" w:rsidRPr="00E80935">
              <w:rPr>
                <w:rFonts w:ascii="Calibri" w:hAnsi="Calibri"/>
                <w:color w:val="000000"/>
                <w:sz w:val="22"/>
                <w:szCs w:val="22"/>
              </w:rPr>
              <w:t xml:space="preserve"> </w:t>
            </w:r>
            <w:r w:rsidRPr="00E80935">
              <w:rPr>
                <w:rFonts w:ascii="Calibri" w:hAnsi="Calibri"/>
                <w:color w:val="000000"/>
                <w:sz w:val="22"/>
                <w:szCs w:val="22"/>
              </w:rPr>
              <w:t>0.5</w:t>
            </w:r>
          </w:p>
        </w:tc>
        <w:tc>
          <w:tcPr>
            <w:tcW w:w="374" w:type="dxa"/>
            <w:gridSpan w:val="2"/>
            <w:tcBorders>
              <w:top w:val="nil"/>
              <w:left w:val="nil"/>
              <w:bottom w:val="nil"/>
              <w:right w:val="nil"/>
            </w:tcBorders>
            <w:shd w:val="clear" w:color="auto" w:fill="auto"/>
            <w:noWrap/>
            <w:tcMar>
              <w:left w:w="29" w:type="dxa"/>
              <w:right w:w="29" w:type="dxa"/>
            </w:tcMar>
            <w:vAlign w:val="bottom"/>
          </w:tcPr>
          <w:p w14:paraId="0417C266" w14:textId="77777777" w:rsidR="00C17494" w:rsidRPr="00E80935" w:rsidRDefault="00C17494"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tcPr>
          <w:p w14:paraId="1E897D34" w14:textId="6EB589A3" w:rsidR="00C17494"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tcPr>
          <w:p w14:paraId="1B94E592" w14:textId="77777777" w:rsidR="00C17494" w:rsidRPr="00E80935" w:rsidRDefault="00C17494"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tcPr>
          <w:p w14:paraId="3A37D5ED" w14:textId="0F33A145" w:rsidR="00C17494" w:rsidRPr="00E80935" w:rsidRDefault="00FC7D1D"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&lt;</w:t>
            </w:r>
            <w:r w:rsidR="0028451C" w:rsidRPr="00E80935">
              <w:rPr>
                <w:rFonts w:ascii="Calibri" w:hAnsi="Calibri"/>
                <w:color w:val="000000"/>
                <w:sz w:val="22"/>
                <w:szCs w:val="22"/>
              </w:rPr>
              <w:t>0</w:t>
            </w:r>
            <w:r w:rsidRPr="00E80935">
              <w:rPr>
                <w:rFonts w:ascii="Calibri" w:hAnsi="Calibri"/>
                <w:color w:val="000000"/>
                <w:sz w:val="22"/>
                <w:szCs w:val="22"/>
              </w:rPr>
              <w:t>.5</w:t>
            </w:r>
          </w:p>
        </w:tc>
        <w:tc>
          <w:tcPr>
            <w:tcW w:w="651" w:type="dxa"/>
            <w:gridSpan w:val="3"/>
            <w:tcBorders>
              <w:top w:val="nil"/>
              <w:left w:val="nil"/>
              <w:bottom w:val="nil"/>
              <w:right w:val="nil"/>
            </w:tcBorders>
            <w:shd w:val="clear" w:color="auto" w:fill="auto"/>
            <w:noWrap/>
            <w:tcMar>
              <w:left w:w="29" w:type="dxa"/>
              <w:right w:w="29" w:type="dxa"/>
            </w:tcMar>
            <w:vAlign w:val="bottom"/>
          </w:tcPr>
          <w:p w14:paraId="0B16AE4E" w14:textId="77777777" w:rsidR="00C17494" w:rsidRPr="00E80935" w:rsidRDefault="00C17494" w:rsidP="002F3AE1">
            <w:pPr>
              <w:widowControl/>
              <w:autoSpaceDE/>
              <w:autoSpaceDN/>
              <w:adjustRightInd/>
              <w:rPr>
                <w:rFonts w:ascii="Calibri" w:hAnsi="Calibri"/>
                <w:color w:val="000000"/>
                <w:sz w:val="22"/>
                <w:szCs w:val="22"/>
              </w:rPr>
            </w:pPr>
          </w:p>
        </w:tc>
      </w:tr>
      <w:tr w:rsidR="00760507" w:rsidRPr="00E80935" w14:paraId="6192B5C2" w14:textId="77777777" w:rsidTr="000B03C1">
        <w:trPr>
          <w:trHeight w:val="242"/>
        </w:trPr>
        <w:tc>
          <w:tcPr>
            <w:tcW w:w="720" w:type="dxa"/>
            <w:tcBorders>
              <w:top w:val="nil"/>
              <w:left w:val="nil"/>
              <w:bottom w:val="nil"/>
              <w:right w:val="nil"/>
            </w:tcBorders>
            <w:shd w:val="clear" w:color="auto" w:fill="auto"/>
            <w:noWrap/>
            <w:vAlign w:val="bottom"/>
            <w:hideMark/>
          </w:tcPr>
          <w:p w14:paraId="7EE5DA47"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52F3E07C"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Unable to report</w:t>
            </w:r>
          </w:p>
        </w:tc>
        <w:tc>
          <w:tcPr>
            <w:tcW w:w="774" w:type="dxa"/>
            <w:tcBorders>
              <w:top w:val="nil"/>
              <w:left w:val="nil"/>
              <w:bottom w:val="nil"/>
              <w:right w:val="nil"/>
            </w:tcBorders>
            <w:shd w:val="clear" w:color="auto" w:fill="auto"/>
            <w:noWrap/>
            <w:tcMar>
              <w:left w:w="29" w:type="dxa"/>
              <w:right w:w="29" w:type="dxa"/>
            </w:tcMar>
            <w:vAlign w:val="bottom"/>
            <w:hideMark/>
          </w:tcPr>
          <w:p w14:paraId="70F7D746" w14:textId="77777777" w:rsidR="00760507" w:rsidRPr="00E80935" w:rsidRDefault="00760507"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nil"/>
              <w:right w:val="nil"/>
            </w:tcBorders>
            <w:shd w:val="clear" w:color="auto" w:fill="auto"/>
            <w:noWrap/>
            <w:tcMar>
              <w:left w:w="29" w:type="dxa"/>
              <w:right w:w="29" w:type="dxa"/>
            </w:tcMar>
            <w:vAlign w:val="bottom"/>
            <w:hideMark/>
          </w:tcPr>
          <w:p w14:paraId="6F0A9DA6"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054EE803" w14:textId="15765DE2" w:rsidR="00760507" w:rsidRPr="00E80935" w:rsidRDefault="00760507"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&lt;</w:t>
            </w:r>
            <w:r w:rsidR="00C95861" w:rsidRPr="00E80935">
              <w:rPr>
                <w:rFonts w:ascii="Calibri" w:hAnsi="Calibri"/>
                <w:color w:val="000000"/>
                <w:sz w:val="22"/>
                <w:szCs w:val="22"/>
              </w:rPr>
              <w:t xml:space="preserve"> </w:t>
            </w:r>
            <w:r w:rsidRPr="00E80935">
              <w:rPr>
                <w:rFonts w:ascii="Calibri" w:hAnsi="Calibri"/>
                <w:color w:val="000000"/>
                <w:sz w:val="22"/>
                <w:szCs w:val="22"/>
              </w:rPr>
              <w:t>0.5</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3F27748F"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67AF7800" w14:textId="456E1CB0" w:rsidR="00760507"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vAlign w:val="bottom"/>
            <w:hideMark/>
          </w:tcPr>
          <w:p w14:paraId="519B80F9" w14:textId="77777777"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55AFBCA7" w14:textId="127B01C3" w:rsidR="00760507" w:rsidRPr="00E80935" w:rsidRDefault="0028451C"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51E53798" w14:textId="77777777" w:rsidR="00760507" w:rsidRPr="00E80935" w:rsidRDefault="00760507" w:rsidP="002F3AE1">
            <w:pPr>
              <w:widowControl/>
              <w:autoSpaceDE/>
              <w:autoSpaceDN/>
              <w:adjustRightInd/>
              <w:rPr>
                <w:rFonts w:ascii="Calibri" w:hAnsi="Calibri"/>
                <w:color w:val="000000"/>
                <w:sz w:val="22"/>
                <w:szCs w:val="22"/>
              </w:rPr>
            </w:pPr>
          </w:p>
        </w:tc>
      </w:tr>
      <w:tr w:rsidR="00760507" w:rsidRPr="00E80935" w14:paraId="739BCB18" w14:textId="77777777" w:rsidTr="000B03C1">
        <w:trPr>
          <w:trHeight w:val="242"/>
        </w:trPr>
        <w:tc>
          <w:tcPr>
            <w:tcW w:w="5040" w:type="dxa"/>
            <w:gridSpan w:val="2"/>
            <w:tcBorders>
              <w:top w:val="nil"/>
              <w:left w:val="nil"/>
              <w:bottom w:val="nil"/>
              <w:right w:val="nil"/>
            </w:tcBorders>
            <w:shd w:val="clear" w:color="auto" w:fill="auto"/>
            <w:noWrap/>
            <w:vAlign w:val="bottom"/>
            <w:hideMark/>
          </w:tcPr>
          <w:p w14:paraId="5453B0C3"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Staff sexual harassment</w:t>
            </w:r>
          </w:p>
        </w:tc>
        <w:tc>
          <w:tcPr>
            <w:tcW w:w="774" w:type="dxa"/>
            <w:tcBorders>
              <w:top w:val="nil"/>
              <w:left w:val="nil"/>
              <w:bottom w:val="nil"/>
              <w:right w:val="nil"/>
            </w:tcBorders>
            <w:shd w:val="clear" w:color="auto" w:fill="auto"/>
            <w:noWrap/>
            <w:tcMar>
              <w:left w:w="29" w:type="dxa"/>
              <w:right w:w="29" w:type="dxa"/>
            </w:tcMar>
            <w:vAlign w:val="bottom"/>
            <w:hideMark/>
          </w:tcPr>
          <w:p w14:paraId="29B10826" w14:textId="77777777" w:rsidR="00760507" w:rsidRPr="00E80935" w:rsidRDefault="00760507"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hideMark/>
          </w:tcPr>
          <w:p w14:paraId="07927572"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18B04F83" w14:textId="77777777" w:rsidR="00760507" w:rsidRPr="00E80935" w:rsidRDefault="00760507"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3EE717CD"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4288EAB0" w14:textId="77777777" w:rsidR="00760507" w:rsidRPr="00E80935" w:rsidRDefault="00760507" w:rsidP="002F3AE1">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tcMar>
              <w:left w:w="29" w:type="dxa"/>
              <w:right w:w="29" w:type="dxa"/>
            </w:tcMar>
            <w:vAlign w:val="bottom"/>
            <w:hideMark/>
          </w:tcPr>
          <w:p w14:paraId="19A04C43" w14:textId="77777777"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359A7684" w14:textId="77777777" w:rsidR="00760507" w:rsidRPr="00E80935" w:rsidRDefault="00760507" w:rsidP="002F3AE1">
            <w:pPr>
              <w:widowControl/>
              <w:autoSpaceDE/>
              <w:autoSpaceDN/>
              <w:adjustRightInd/>
              <w:rPr>
                <w:rFonts w:ascii="Calibri" w:hAnsi="Calibri"/>
                <w:color w:val="000000"/>
                <w:sz w:val="22"/>
                <w:szCs w:val="22"/>
              </w:rPr>
            </w:pP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01C16712" w14:textId="77777777" w:rsidR="00760507" w:rsidRPr="00E80935" w:rsidRDefault="00760507" w:rsidP="002F3AE1">
            <w:pPr>
              <w:widowControl/>
              <w:autoSpaceDE/>
              <w:autoSpaceDN/>
              <w:adjustRightInd/>
              <w:rPr>
                <w:rFonts w:ascii="Calibri" w:hAnsi="Calibri"/>
                <w:color w:val="000000"/>
                <w:sz w:val="22"/>
                <w:szCs w:val="22"/>
              </w:rPr>
            </w:pPr>
          </w:p>
        </w:tc>
      </w:tr>
      <w:tr w:rsidR="00760507" w:rsidRPr="00E80935" w14:paraId="4D7172D1" w14:textId="77777777" w:rsidTr="000B03C1">
        <w:trPr>
          <w:trHeight w:val="242"/>
        </w:trPr>
        <w:tc>
          <w:tcPr>
            <w:tcW w:w="720" w:type="dxa"/>
            <w:tcBorders>
              <w:top w:val="nil"/>
              <w:left w:val="nil"/>
              <w:bottom w:val="nil"/>
              <w:right w:val="nil"/>
            </w:tcBorders>
            <w:shd w:val="clear" w:color="auto" w:fill="auto"/>
            <w:noWrap/>
            <w:vAlign w:val="bottom"/>
            <w:hideMark/>
          </w:tcPr>
          <w:p w14:paraId="3ACB4258"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22BD06A8"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Full reporting</w:t>
            </w:r>
          </w:p>
        </w:tc>
        <w:tc>
          <w:tcPr>
            <w:tcW w:w="774" w:type="dxa"/>
            <w:tcBorders>
              <w:top w:val="nil"/>
              <w:left w:val="nil"/>
              <w:bottom w:val="nil"/>
              <w:right w:val="nil"/>
            </w:tcBorders>
            <w:shd w:val="clear" w:color="auto" w:fill="auto"/>
            <w:noWrap/>
            <w:tcMar>
              <w:left w:w="29" w:type="dxa"/>
              <w:right w:w="29" w:type="dxa"/>
            </w:tcMar>
            <w:vAlign w:val="bottom"/>
            <w:hideMark/>
          </w:tcPr>
          <w:p w14:paraId="48B528F5" w14:textId="3E3EB552" w:rsidR="00760507"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98</w:t>
            </w:r>
          </w:p>
        </w:tc>
        <w:tc>
          <w:tcPr>
            <w:tcW w:w="374" w:type="dxa"/>
            <w:tcBorders>
              <w:top w:val="nil"/>
              <w:left w:val="nil"/>
              <w:bottom w:val="nil"/>
              <w:right w:val="nil"/>
            </w:tcBorders>
            <w:shd w:val="clear" w:color="auto" w:fill="auto"/>
            <w:noWrap/>
            <w:tcMar>
              <w:left w:w="29" w:type="dxa"/>
              <w:right w:w="29" w:type="dxa"/>
            </w:tcMar>
            <w:vAlign w:val="bottom"/>
            <w:hideMark/>
          </w:tcPr>
          <w:p w14:paraId="68F1153F"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16" w:type="dxa"/>
            <w:tcBorders>
              <w:top w:val="nil"/>
              <w:left w:val="nil"/>
              <w:bottom w:val="nil"/>
              <w:right w:val="nil"/>
            </w:tcBorders>
            <w:shd w:val="clear" w:color="auto" w:fill="auto"/>
            <w:noWrap/>
            <w:tcMar>
              <w:left w:w="29" w:type="dxa"/>
              <w:right w:w="29" w:type="dxa"/>
            </w:tcMar>
            <w:vAlign w:val="bottom"/>
            <w:hideMark/>
          </w:tcPr>
          <w:p w14:paraId="03C8EE5A" w14:textId="3858B923" w:rsidR="00760507" w:rsidRPr="00E80935" w:rsidRDefault="00760507" w:rsidP="00687557">
            <w:pPr>
              <w:widowControl/>
              <w:autoSpaceDE/>
              <w:autoSpaceDN/>
              <w:adjustRightInd/>
              <w:jc w:val="right"/>
              <w:rPr>
                <w:rFonts w:ascii="Calibri" w:hAnsi="Calibri"/>
                <w:color w:val="000000"/>
                <w:sz w:val="22"/>
                <w:szCs w:val="22"/>
              </w:rPr>
            </w:pPr>
            <w:r w:rsidRPr="00E80935">
              <w:rPr>
                <w:rFonts w:ascii="Calibri" w:hAnsi="Calibri"/>
                <w:color w:val="000000"/>
                <w:sz w:val="22"/>
                <w:szCs w:val="22"/>
              </w:rPr>
              <w:t>8</w:t>
            </w:r>
            <w:r w:rsidR="00687557" w:rsidRPr="00E80935">
              <w:rPr>
                <w:rFonts w:ascii="Calibri" w:hAnsi="Calibri"/>
                <w:color w:val="000000"/>
                <w:sz w:val="22"/>
                <w:szCs w:val="22"/>
              </w:rPr>
              <w:t>6</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E6CABB7"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3A046E16" w14:textId="57E220F4" w:rsidR="00760507" w:rsidRPr="00E80935" w:rsidRDefault="00C95861"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96</w:t>
            </w:r>
          </w:p>
        </w:tc>
        <w:tc>
          <w:tcPr>
            <w:tcW w:w="374" w:type="dxa"/>
            <w:tcBorders>
              <w:top w:val="nil"/>
              <w:left w:val="nil"/>
              <w:bottom w:val="nil"/>
              <w:right w:val="nil"/>
            </w:tcBorders>
            <w:shd w:val="clear" w:color="auto" w:fill="auto"/>
            <w:noWrap/>
            <w:tcMar>
              <w:left w:w="29" w:type="dxa"/>
              <w:right w:w="29" w:type="dxa"/>
            </w:tcMar>
            <w:vAlign w:val="bottom"/>
            <w:hideMark/>
          </w:tcPr>
          <w:p w14:paraId="57001D54"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3A720977" w14:textId="7E30AE3A" w:rsidR="00760507" w:rsidRPr="00E80935" w:rsidRDefault="00C95861"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8</w:t>
            </w:r>
            <w:r w:rsidR="00FC7D1D" w:rsidRPr="00E80935">
              <w:rPr>
                <w:rFonts w:ascii="Calibri" w:hAnsi="Calibri"/>
                <w:color w:val="000000"/>
                <w:sz w:val="22"/>
                <w:szCs w:val="22"/>
              </w:rPr>
              <w:t>4</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43E1EDED"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w:t>
            </w:r>
          </w:p>
        </w:tc>
      </w:tr>
      <w:tr w:rsidR="00760507" w:rsidRPr="00E80935" w14:paraId="11D3F6B3" w14:textId="77777777" w:rsidTr="000B03C1">
        <w:trPr>
          <w:trHeight w:val="242"/>
        </w:trPr>
        <w:tc>
          <w:tcPr>
            <w:tcW w:w="720" w:type="dxa"/>
            <w:tcBorders>
              <w:top w:val="nil"/>
              <w:left w:val="nil"/>
              <w:bottom w:val="nil"/>
              <w:right w:val="nil"/>
            </w:tcBorders>
            <w:shd w:val="clear" w:color="auto" w:fill="auto"/>
            <w:noWrap/>
            <w:vAlign w:val="bottom"/>
            <w:hideMark/>
          </w:tcPr>
          <w:p w14:paraId="5ADCBBAE" w14:textId="77777777" w:rsidR="00760507" w:rsidRPr="00E80935"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118FB85"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Combined with sexual misconduct</w:t>
            </w:r>
          </w:p>
        </w:tc>
        <w:tc>
          <w:tcPr>
            <w:tcW w:w="774" w:type="dxa"/>
            <w:tcBorders>
              <w:top w:val="nil"/>
              <w:left w:val="nil"/>
              <w:bottom w:val="nil"/>
              <w:right w:val="nil"/>
            </w:tcBorders>
            <w:shd w:val="clear" w:color="auto" w:fill="auto"/>
            <w:noWrap/>
            <w:tcMar>
              <w:left w:w="29" w:type="dxa"/>
              <w:right w:w="29" w:type="dxa"/>
            </w:tcMar>
            <w:vAlign w:val="bottom"/>
            <w:hideMark/>
          </w:tcPr>
          <w:p w14:paraId="1675FA15" w14:textId="06BEE96D" w:rsidR="00760507" w:rsidRPr="00E80935" w:rsidRDefault="0093580E" w:rsidP="0093580E">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vAlign w:val="bottom"/>
            <w:hideMark/>
          </w:tcPr>
          <w:p w14:paraId="4707A629" w14:textId="77777777" w:rsidR="00760507" w:rsidRPr="00E80935" w:rsidRDefault="00760507" w:rsidP="002F3AE1">
            <w:pPr>
              <w:widowControl/>
              <w:autoSpaceDE/>
              <w:autoSpaceDN/>
              <w:adjustRightInd/>
              <w:rPr>
                <w:rFonts w:ascii="Calibri" w:hAnsi="Calibri"/>
                <w:color w:val="000000"/>
                <w:sz w:val="22"/>
                <w:szCs w:val="22"/>
              </w:rPr>
            </w:pPr>
          </w:p>
        </w:tc>
        <w:tc>
          <w:tcPr>
            <w:tcW w:w="716" w:type="dxa"/>
            <w:tcBorders>
              <w:top w:val="nil"/>
              <w:left w:val="nil"/>
              <w:bottom w:val="nil"/>
              <w:right w:val="nil"/>
            </w:tcBorders>
            <w:shd w:val="clear" w:color="auto" w:fill="auto"/>
            <w:noWrap/>
            <w:tcMar>
              <w:left w:w="29" w:type="dxa"/>
              <w:right w:w="29" w:type="dxa"/>
            </w:tcMar>
            <w:vAlign w:val="bottom"/>
            <w:hideMark/>
          </w:tcPr>
          <w:p w14:paraId="0B7E4505" w14:textId="3EC33D4B" w:rsidR="00760507" w:rsidRPr="00E80935" w:rsidRDefault="00760507" w:rsidP="00687557">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r w:rsidR="00687557" w:rsidRPr="00E80935">
              <w:rPr>
                <w:rFonts w:ascii="Calibri" w:hAnsi="Calibri"/>
                <w:color w:val="000000"/>
                <w:sz w:val="22"/>
                <w:szCs w:val="22"/>
              </w:rPr>
              <w:t>4</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062A874B" w14:textId="77777777" w:rsidR="00760507" w:rsidRPr="00E80935" w:rsidRDefault="00760507" w:rsidP="002F3AE1">
            <w:pPr>
              <w:widowControl/>
              <w:autoSpaceDE/>
              <w:autoSpaceDN/>
              <w:adjustRightInd/>
              <w:rPr>
                <w:rFonts w:ascii="Calibri" w:hAnsi="Calibri"/>
                <w:color w:val="000000"/>
                <w:sz w:val="22"/>
                <w:szCs w:val="22"/>
              </w:rPr>
            </w:pPr>
          </w:p>
        </w:tc>
        <w:tc>
          <w:tcPr>
            <w:tcW w:w="795" w:type="dxa"/>
            <w:gridSpan w:val="2"/>
            <w:tcBorders>
              <w:top w:val="nil"/>
              <w:left w:val="nil"/>
              <w:bottom w:val="nil"/>
              <w:right w:val="nil"/>
            </w:tcBorders>
            <w:shd w:val="clear" w:color="auto" w:fill="auto"/>
            <w:noWrap/>
            <w:tcMar>
              <w:left w:w="29" w:type="dxa"/>
              <w:right w:w="29" w:type="dxa"/>
            </w:tcMar>
            <w:vAlign w:val="bottom"/>
            <w:hideMark/>
          </w:tcPr>
          <w:p w14:paraId="2894FDBF" w14:textId="19171B31" w:rsidR="00760507" w:rsidRPr="00E80935" w:rsidRDefault="00C95861"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nil"/>
              <w:right w:val="nil"/>
            </w:tcBorders>
            <w:shd w:val="clear" w:color="auto" w:fill="auto"/>
            <w:noWrap/>
            <w:tcMar>
              <w:left w:w="29" w:type="dxa"/>
              <w:right w:w="29" w:type="dxa"/>
            </w:tcMar>
            <w:vAlign w:val="bottom"/>
            <w:hideMark/>
          </w:tcPr>
          <w:p w14:paraId="76D75662" w14:textId="77777777" w:rsidR="00760507" w:rsidRPr="00E80935" w:rsidRDefault="00760507" w:rsidP="002F3AE1">
            <w:pPr>
              <w:widowControl/>
              <w:autoSpaceDE/>
              <w:autoSpaceDN/>
              <w:adjustRightInd/>
              <w:rPr>
                <w:rFonts w:ascii="Calibri" w:hAnsi="Calibri"/>
                <w:color w:val="000000"/>
                <w:sz w:val="22"/>
                <w:szCs w:val="22"/>
              </w:rPr>
            </w:pPr>
          </w:p>
        </w:tc>
        <w:tc>
          <w:tcPr>
            <w:tcW w:w="693" w:type="dxa"/>
            <w:gridSpan w:val="3"/>
            <w:tcBorders>
              <w:top w:val="nil"/>
              <w:left w:val="nil"/>
              <w:bottom w:val="nil"/>
              <w:right w:val="nil"/>
            </w:tcBorders>
            <w:shd w:val="clear" w:color="auto" w:fill="auto"/>
            <w:noWrap/>
            <w:tcMar>
              <w:left w:w="29" w:type="dxa"/>
              <w:right w:w="29" w:type="dxa"/>
            </w:tcMar>
            <w:vAlign w:val="bottom"/>
            <w:hideMark/>
          </w:tcPr>
          <w:p w14:paraId="3E19F12D" w14:textId="2C98D537" w:rsidR="00760507" w:rsidRPr="00E80935" w:rsidRDefault="00C95861"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r w:rsidR="00FC7D1D" w:rsidRPr="00E80935">
              <w:rPr>
                <w:rFonts w:ascii="Calibri" w:hAnsi="Calibri"/>
                <w:color w:val="000000"/>
                <w:sz w:val="22"/>
                <w:szCs w:val="22"/>
              </w:rPr>
              <w:t>5</w:t>
            </w:r>
          </w:p>
        </w:tc>
        <w:tc>
          <w:tcPr>
            <w:tcW w:w="651" w:type="dxa"/>
            <w:gridSpan w:val="3"/>
            <w:tcBorders>
              <w:top w:val="nil"/>
              <w:left w:val="nil"/>
              <w:bottom w:val="nil"/>
              <w:right w:val="nil"/>
            </w:tcBorders>
            <w:shd w:val="clear" w:color="auto" w:fill="auto"/>
            <w:noWrap/>
            <w:tcMar>
              <w:left w:w="29" w:type="dxa"/>
              <w:right w:w="29" w:type="dxa"/>
            </w:tcMar>
            <w:vAlign w:val="bottom"/>
            <w:hideMark/>
          </w:tcPr>
          <w:p w14:paraId="044623B1" w14:textId="77777777" w:rsidR="00760507" w:rsidRPr="00E80935" w:rsidRDefault="00760507" w:rsidP="002F3AE1">
            <w:pPr>
              <w:widowControl/>
              <w:autoSpaceDE/>
              <w:autoSpaceDN/>
              <w:adjustRightInd/>
              <w:rPr>
                <w:rFonts w:ascii="Calibri" w:hAnsi="Calibri"/>
                <w:color w:val="000000"/>
                <w:sz w:val="22"/>
                <w:szCs w:val="22"/>
              </w:rPr>
            </w:pPr>
          </w:p>
        </w:tc>
      </w:tr>
      <w:tr w:rsidR="00760507" w:rsidRPr="00E80935" w14:paraId="6BACCD2D" w14:textId="77777777" w:rsidTr="000B03C1">
        <w:trPr>
          <w:trHeight w:val="242"/>
        </w:trPr>
        <w:tc>
          <w:tcPr>
            <w:tcW w:w="720" w:type="dxa"/>
            <w:tcBorders>
              <w:top w:val="nil"/>
              <w:left w:val="nil"/>
              <w:bottom w:val="single" w:sz="4" w:space="0" w:color="auto"/>
              <w:right w:val="nil"/>
            </w:tcBorders>
            <w:shd w:val="clear" w:color="auto" w:fill="auto"/>
            <w:noWrap/>
            <w:vAlign w:val="bottom"/>
            <w:hideMark/>
          </w:tcPr>
          <w:p w14:paraId="0BABE9C0"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w:t>
            </w:r>
          </w:p>
        </w:tc>
        <w:tc>
          <w:tcPr>
            <w:tcW w:w="4320" w:type="dxa"/>
            <w:tcBorders>
              <w:top w:val="nil"/>
              <w:left w:val="nil"/>
              <w:bottom w:val="single" w:sz="4" w:space="0" w:color="auto"/>
              <w:right w:val="nil"/>
            </w:tcBorders>
            <w:shd w:val="clear" w:color="auto" w:fill="auto"/>
            <w:noWrap/>
            <w:vAlign w:val="bottom"/>
            <w:hideMark/>
          </w:tcPr>
          <w:p w14:paraId="5D33317B"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Unable to report</w:t>
            </w:r>
          </w:p>
        </w:tc>
        <w:tc>
          <w:tcPr>
            <w:tcW w:w="774" w:type="dxa"/>
            <w:tcBorders>
              <w:top w:val="nil"/>
              <w:left w:val="nil"/>
              <w:bottom w:val="single" w:sz="4" w:space="0" w:color="auto"/>
              <w:right w:val="nil"/>
            </w:tcBorders>
            <w:shd w:val="clear" w:color="auto" w:fill="auto"/>
            <w:noWrap/>
            <w:tcMar>
              <w:left w:w="29" w:type="dxa"/>
              <w:right w:w="29" w:type="dxa"/>
            </w:tcMar>
            <w:vAlign w:val="bottom"/>
            <w:hideMark/>
          </w:tcPr>
          <w:p w14:paraId="0FFE2782" w14:textId="1B29AB31" w:rsidR="00760507" w:rsidRPr="00E80935" w:rsidRDefault="00760507"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0</w:t>
            </w:r>
          </w:p>
        </w:tc>
        <w:tc>
          <w:tcPr>
            <w:tcW w:w="374" w:type="dxa"/>
            <w:tcBorders>
              <w:top w:val="nil"/>
              <w:left w:val="nil"/>
              <w:bottom w:val="single" w:sz="4" w:space="0" w:color="auto"/>
              <w:right w:val="nil"/>
            </w:tcBorders>
            <w:shd w:val="clear" w:color="auto" w:fill="auto"/>
            <w:noWrap/>
            <w:tcMar>
              <w:left w:w="29" w:type="dxa"/>
              <w:right w:w="29" w:type="dxa"/>
            </w:tcMar>
            <w:vAlign w:val="bottom"/>
            <w:hideMark/>
          </w:tcPr>
          <w:p w14:paraId="243E6851"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w:t>
            </w:r>
          </w:p>
        </w:tc>
        <w:tc>
          <w:tcPr>
            <w:tcW w:w="716" w:type="dxa"/>
            <w:tcBorders>
              <w:top w:val="nil"/>
              <w:left w:val="nil"/>
              <w:bottom w:val="single" w:sz="4" w:space="0" w:color="auto"/>
              <w:right w:val="nil"/>
            </w:tcBorders>
            <w:shd w:val="clear" w:color="auto" w:fill="auto"/>
            <w:noWrap/>
            <w:tcMar>
              <w:left w:w="29" w:type="dxa"/>
              <w:right w:w="29" w:type="dxa"/>
            </w:tcMar>
            <w:vAlign w:val="bottom"/>
            <w:hideMark/>
          </w:tcPr>
          <w:p w14:paraId="0934A6D9" w14:textId="77777777" w:rsidR="00760507" w:rsidRPr="00E80935" w:rsidRDefault="00760507"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374" w:type="dxa"/>
            <w:gridSpan w:val="2"/>
            <w:tcBorders>
              <w:top w:val="nil"/>
              <w:left w:val="nil"/>
              <w:bottom w:val="single" w:sz="4" w:space="0" w:color="auto"/>
              <w:right w:val="nil"/>
            </w:tcBorders>
            <w:shd w:val="clear" w:color="auto" w:fill="auto"/>
            <w:noWrap/>
            <w:tcMar>
              <w:left w:w="29" w:type="dxa"/>
              <w:right w:w="29" w:type="dxa"/>
            </w:tcMar>
            <w:vAlign w:val="bottom"/>
            <w:hideMark/>
          </w:tcPr>
          <w:p w14:paraId="43F187E2"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w:t>
            </w:r>
          </w:p>
        </w:tc>
        <w:tc>
          <w:tcPr>
            <w:tcW w:w="795" w:type="dxa"/>
            <w:gridSpan w:val="2"/>
            <w:tcBorders>
              <w:top w:val="nil"/>
              <w:left w:val="nil"/>
              <w:bottom w:val="single" w:sz="4" w:space="0" w:color="auto"/>
              <w:right w:val="nil"/>
            </w:tcBorders>
            <w:shd w:val="clear" w:color="auto" w:fill="auto"/>
            <w:noWrap/>
            <w:tcMar>
              <w:left w:w="29" w:type="dxa"/>
              <w:right w:w="29" w:type="dxa"/>
            </w:tcMar>
            <w:vAlign w:val="bottom"/>
            <w:hideMark/>
          </w:tcPr>
          <w:p w14:paraId="23F6B3A8" w14:textId="267AE585" w:rsidR="00760507" w:rsidRPr="00E80935" w:rsidRDefault="00C95861" w:rsidP="002F3AE1">
            <w:pPr>
              <w:widowControl/>
              <w:autoSpaceDE/>
              <w:autoSpaceDN/>
              <w:adjustRightInd/>
              <w:jc w:val="right"/>
              <w:rPr>
                <w:rFonts w:ascii="Calibri" w:hAnsi="Calibri"/>
                <w:color w:val="000000"/>
                <w:sz w:val="22"/>
                <w:szCs w:val="22"/>
              </w:rPr>
            </w:pPr>
            <w:r w:rsidRPr="00E80935">
              <w:rPr>
                <w:rFonts w:ascii="Calibri" w:hAnsi="Calibri"/>
                <w:color w:val="000000"/>
                <w:sz w:val="22"/>
                <w:szCs w:val="22"/>
              </w:rPr>
              <w:t>2</w:t>
            </w:r>
          </w:p>
        </w:tc>
        <w:tc>
          <w:tcPr>
            <w:tcW w:w="374" w:type="dxa"/>
            <w:tcBorders>
              <w:top w:val="nil"/>
              <w:left w:val="nil"/>
              <w:bottom w:val="single" w:sz="4" w:space="0" w:color="auto"/>
              <w:right w:val="nil"/>
            </w:tcBorders>
            <w:shd w:val="clear" w:color="auto" w:fill="auto"/>
            <w:noWrap/>
            <w:tcMar>
              <w:left w:w="29" w:type="dxa"/>
              <w:right w:w="29" w:type="dxa"/>
            </w:tcMar>
            <w:vAlign w:val="bottom"/>
            <w:hideMark/>
          </w:tcPr>
          <w:p w14:paraId="4A57039B"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w:t>
            </w:r>
          </w:p>
        </w:tc>
        <w:tc>
          <w:tcPr>
            <w:tcW w:w="693" w:type="dxa"/>
            <w:gridSpan w:val="3"/>
            <w:tcBorders>
              <w:top w:val="nil"/>
              <w:left w:val="nil"/>
              <w:bottom w:val="single" w:sz="4" w:space="0" w:color="auto"/>
              <w:right w:val="nil"/>
            </w:tcBorders>
            <w:shd w:val="clear" w:color="auto" w:fill="auto"/>
            <w:noWrap/>
            <w:tcMar>
              <w:left w:w="29" w:type="dxa"/>
              <w:right w:w="29" w:type="dxa"/>
            </w:tcMar>
            <w:vAlign w:val="bottom"/>
            <w:hideMark/>
          </w:tcPr>
          <w:p w14:paraId="07322768" w14:textId="7E38796A" w:rsidR="00760507" w:rsidRPr="00E80935" w:rsidRDefault="00FC7D1D" w:rsidP="00FC7D1D">
            <w:pPr>
              <w:widowControl/>
              <w:autoSpaceDE/>
              <w:autoSpaceDN/>
              <w:adjustRightInd/>
              <w:jc w:val="right"/>
              <w:rPr>
                <w:rFonts w:ascii="Calibri" w:hAnsi="Calibri"/>
                <w:color w:val="000000"/>
                <w:sz w:val="22"/>
                <w:szCs w:val="22"/>
              </w:rPr>
            </w:pPr>
            <w:r w:rsidRPr="00E80935">
              <w:rPr>
                <w:rFonts w:ascii="Calibri" w:hAnsi="Calibri"/>
                <w:color w:val="000000"/>
                <w:sz w:val="22"/>
                <w:szCs w:val="22"/>
              </w:rPr>
              <w:t>1</w:t>
            </w:r>
          </w:p>
        </w:tc>
        <w:tc>
          <w:tcPr>
            <w:tcW w:w="651" w:type="dxa"/>
            <w:gridSpan w:val="3"/>
            <w:tcBorders>
              <w:top w:val="nil"/>
              <w:left w:val="nil"/>
              <w:bottom w:val="single" w:sz="4" w:space="0" w:color="auto"/>
              <w:right w:val="nil"/>
            </w:tcBorders>
            <w:shd w:val="clear" w:color="auto" w:fill="auto"/>
            <w:noWrap/>
            <w:tcMar>
              <w:left w:w="29" w:type="dxa"/>
              <w:right w:w="29" w:type="dxa"/>
            </w:tcMar>
            <w:vAlign w:val="bottom"/>
            <w:hideMark/>
          </w:tcPr>
          <w:p w14:paraId="2A1E68F2" w14:textId="77777777" w:rsidR="00760507" w:rsidRPr="00E80935" w:rsidRDefault="00760507" w:rsidP="002F3AE1">
            <w:pPr>
              <w:widowControl/>
              <w:autoSpaceDE/>
              <w:autoSpaceDN/>
              <w:adjustRightInd/>
              <w:rPr>
                <w:rFonts w:ascii="Calibri" w:hAnsi="Calibri"/>
                <w:color w:val="000000"/>
                <w:sz w:val="22"/>
                <w:szCs w:val="22"/>
              </w:rPr>
            </w:pPr>
            <w:r w:rsidRPr="00E80935">
              <w:rPr>
                <w:rFonts w:ascii="Calibri" w:hAnsi="Calibri"/>
                <w:color w:val="000000"/>
                <w:sz w:val="22"/>
                <w:szCs w:val="22"/>
              </w:rPr>
              <w:t> </w:t>
            </w:r>
          </w:p>
        </w:tc>
      </w:tr>
      <w:tr w:rsidR="00760507" w:rsidRPr="00E80935" w14:paraId="6BFBC26B" w14:textId="77777777" w:rsidTr="00514684">
        <w:trPr>
          <w:gridAfter w:val="1"/>
          <w:wAfter w:w="90" w:type="dxa"/>
          <w:trHeight w:val="380"/>
        </w:trPr>
        <w:tc>
          <w:tcPr>
            <w:tcW w:w="9701" w:type="dxa"/>
            <w:gridSpan w:val="15"/>
            <w:tcBorders>
              <w:top w:val="nil"/>
              <w:left w:val="nil"/>
              <w:bottom w:val="nil"/>
              <w:right w:val="nil"/>
            </w:tcBorders>
            <w:shd w:val="clear" w:color="auto" w:fill="auto"/>
            <w:noWrap/>
            <w:hideMark/>
          </w:tcPr>
          <w:p w14:paraId="5F481934" w14:textId="53B9C79F" w:rsidR="00760507" w:rsidRPr="00E80935" w:rsidRDefault="00760507" w:rsidP="0082676F">
            <w:pPr>
              <w:widowControl/>
              <w:autoSpaceDE/>
              <w:autoSpaceDN/>
              <w:adjustRightInd/>
              <w:spacing w:before="40" w:after="160"/>
              <w:rPr>
                <w:rFonts w:ascii="Calibri" w:hAnsi="Calibri"/>
                <w:color w:val="000000"/>
                <w:sz w:val="22"/>
                <w:szCs w:val="22"/>
              </w:rPr>
            </w:pPr>
            <w:r w:rsidRPr="00E80935">
              <w:rPr>
                <w:rFonts w:ascii="Calibri" w:hAnsi="Calibri"/>
                <w:color w:val="000000"/>
                <w:sz w:val="22"/>
                <w:szCs w:val="22"/>
              </w:rPr>
              <w:t xml:space="preserve">* Systems or facilities which report only </w:t>
            </w:r>
            <w:r w:rsidR="008334FE" w:rsidRPr="00E80935">
              <w:rPr>
                <w:rFonts w:ascii="Calibri" w:hAnsi="Calibri"/>
                <w:color w:val="000000"/>
                <w:sz w:val="22"/>
                <w:szCs w:val="22"/>
              </w:rPr>
              <w:t>allegations</w:t>
            </w:r>
            <w:r w:rsidRPr="00E80935">
              <w:rPr>
                <w:rFonts w:ascii="Calibri" w:hAnsi="Calibri"/>
                <w:color w:val="000000"/>
                <w:sz w:val="22"/>
                <w:szCs w:val="22"/>
              </w:rPr>
              <w:t xml:space="preserve"> that were substantiated</w:t>
            </w:r>
            <w:r w:rsidR="008334FE" w:rsidRPr="00E80935">
              <w:rPr>
                <w:rFonts w:ascii="Calibri" w:hAnsi="Calibri"/>
                <w:color w:val="000000"/>
                <w:sz w:val="22"/>
                <w:szCs w:val="22"/>
              </w:rPr>
              <w:t xml:space="preserve"> or acts that were completed</w:t>
            </w:r>
            <w:r w:rsidRPr="00E80935">
              <w:rPr>
                <w:rFonts w:ascii="Calibri" w:hAnsi="Calibri"/>
                <w:color w:val="000000"/>
                <w:sz w:val="22"/>
                <w:szCs w:val="22"/>
              </w:rPr>
              <w:t>.</w:t>
            </w:r>
          </w:p>
        </w:tc>
      </w:tr>
    </w:tbl>
    <w:p w14:paraId="44126B05" w14:textId="77777777" w:rsidR="00B56C26" w:rsidRPr="00E80935" w:rsidRDefault="00B56C26" w:rsidP="000B03C1">
      <w:pPr>
        <w:ind w:left="720"/>
      </w:pPr>
    </w:p>
    <w:p w14:paraId="5424D7FF" w14:textId="77777777" w:rsidR="00B56C26" w:rsidRPr="00E80935" w:rsidRDefault="00B56C26">
      <w:pPr>
        <w:widowControl/>
        <w:autoSpaceDE/>
        <w:autoSpaceDN/>
        <w:adjustRightInd/>
      </w:pPr>
      <w:r w:rsidRPr="00E80935">
        <w:br w:type="page"/>
      </w:r>
    </w:p>
    <w:p w14:paraId="1B04CF98" w14:textId="11A077E9" w:rsidR="00B46717" w:rsidRPr="00E80935" w:rsidRDefault="00FC0FC4" w:rsidP="000B03C1">
      <w:pPr>
        <w:ind w:left="720"/>
      </w:pPr>
      <w:r w:rsidRPr="00E80935">
        <w:t xml:space="preserve">Table </w:t>
      </w:r>
      <w:r w:rsidR="00A67DB5" w:rsidRPr="00E80935">
        <w:t>5</w:t>
      </w:r>
      <w:r w:rsidRPr="00E80935">
        <w:t xml:space="preserve"> </w:t>
      </w:r>
      <w:r w:rsidR="008B75A1" w:rsidRPr="00E80935">
        <w:t>presents</w:t>
      </w:r>
      <w:r w:rsidRPr="00E80935">
        <w:t xml:space="preserve"> non-response</w:t>
      </w:r>
      <w:r w:rsidR="009C7F25" w:rsidRPr="00E80935">
        <w:t xml:space="preserve"> rates</w:t>
      </w:r>
      <w:r w:rsidRPr="00E80935">
        <w:t xml:space="preserve"> </w:t>
      </w:r>
      <w:r w:rsidR="008B75A1" w:rsidRPr="00E80935">
        <w:t>for selected items</w:t>
      </w:r>
      <w:r w:rsidR="00F407D6" w:rsidRPr="00E80935">
        <w:t xml:space="preserve"> </w:t>
      </w:r>
      <w:r w:rsidRPr="00E80935">
        <w:t>on the SSV adult and juvenile</w:t>
      </w:r>
      <w:r w:rsidR="00AD07C1" w:rsidRPr="00E80935">
        <w:t xml:space="preserve"> Substantiated</w:t>
      </w:r>
      <w:r w:rsidRPr="00E80935">
        <w:t xml:space="preserve"> </w:t>
      </w:r>
      <w:r w:rsidR="00AD07C1" w:rsidRPr="00E80935">
        <w:t>I</w:t>
      </w:r>
      <w:r w:rsidRPr="00E80935">
        <w:t xml:space="preserve">ncident </w:t>
      </w:r>
      <w:r w:rsidR="002A068F" w:rsidRPr="00E80935">
        <w:t>F</w:t>
      </w:r>
      <w:r w:rsidR="00AD07C1" w:rsidRPr="00E80935">
        <w:t>orms</w:t>
      </w:r>
      <w:r w:rsidRPr="00E80935">
        <w:t>.</w:t>
      </w:r>
      <w:r w:rsidR="00B54A7D" w:rsidRPr="00E80935">
        <w:t xml:space="preserve"> </w:t>
      </w:r>
      <w:r w:rsidRPr="00E80935">
        <w:t xml:space="preserve">Overall, these data show </w:t>
      </w:r>
      <w:r w:rsidR="001801BB" w:rsidRPr="00E80935">
        <w:t xml:space="preserve">high </w:t>
      </w:r>
      <w:r w:rsidRPr="00E80935">
        <w:t>response rates for critical items</w:t>
      </w:r>
      <w:r w:rsidR="00561B8C" w:rsidRPr="00E80935">
        <w:t>, ranging from 0% non-response for several items to 6.6% nonresponse for location of staff-on-inmate incidents</w:t>
      </w:r>
      <w:r w:rsidR="003B4865" w:rsidRPr="00E80935">
        <w:t>.</w:t>
      </w:r>
    </w:p>
    <w:p w14:paraId="0EDC5B09" w14:textId="59040C9E" w:rsidR="00B26AA7" w:rsidRPr="00E80935" w:rsidRDefault="00B26AA7"/>
    <w:tbl>
      <w:tblPr>
        <w:tblW w:w="7290" w:type="dxa"/>
        <w:tblInd w:w="1350" w:type="dxa"/>
        <w:tblLayout w:type="fixed"/>
        <w:tblCellMar>
          <w:left w:w="29" w:type="dxa"/>
          <w:right w:w="29" w:type="dxa"/>
        </w:tblCellMar>
        <w:tblLook w:val="04A0" w:firstRow="1" w:lastRow="0" w:firstColumn="1" w:lastColumn="0" w:noHBand="0" w:noVBand="1"/>
      </w:tblPr>
      <w:tblGrid>
        <w:gridCol w:w="1170"/>
        <w:gridCol w:w="2250"/>
        <w:gridCol w:w="180"/>
        <w:gridCol w:w="945"/>
        <w:gridCol w:w="1035"/>
        <w:gridCol w:w="630"/>
        <w:gridCol w:w="540"/>
        <w:gridCol w:w="540"/>
      </w:tblGrid>
      <w:tr w:rsidR="000B03C1" w:rsidRPr="00E80935" w14:paraId="6CAAE7DD" w14:textId="77777777" w:rsidTr="009C65EA">
        <w:trPr>
          <w:trHeight w:val="255"/>
          <w:tblHeader/>
        </w:trPr>
        <w:tc>
          <w:tcPr>
            <w:tcW w:w="7290" w:type="dxa"/>
            <w:gridSpan w:val="8"/>
            <w:tcBorders>
              <w:top w:val="nil"/>
              <w:left w:val="nil"/>
              <w:bottom w:val="nil"/>
            </w:tcBorders>
            <w:shd w:val="clear" w:color="auto" w:fill="auto"/>
            <w:noWrap/>
            <w:vAlign w:val="bottom"/>
            <w:hideMark/>
          </w:tcPr>
          <w:p w14:paraId="24E7D389" w14:textId="43D41EEC" w:rsidR="000B03C1" w:rsidRPr="00E80935" w:rsidRDefault="000B03C1" w:rsidP="009C65EA">
            <w:r w:rsidRPr="00E80935">
              <w:rPr>
                <w:rFonts w:ascii="Arial" w:hAnsi="Arial" w:cs="Arial"/>
                <w:b/>
                <w:sz w:val="20"/>
                <w:szCs w:val="20"/>
              </w:rPr>
              <w:t>Table 5. Non-response for selected items by type of incident, 2016</w:t>
            </w:r>
          </w:p>
        </w:tc>
      </w:tr>
      <w:tr w:rsidR="00AB60A4" w:rsidRPr="00E80935" w14:paraId="7812C38D" w14:textId="77777777" w:rsidTr="009C65EA">
        <w:trPr>
          <w:trHeight w:val="387"/>
          <w:tblHeader/>
        </w:trPr>
        <w:tc>
          <w:tcPr>
            <w:tcW w:w="1170" w:type="dxa"/>
            <w:tcBorders>
              <w:top w:val="nil"/>
              <w:left w:val="nil"/>
              <w:bottom w:val="nil"/>
              <w:right w:val="nil"/>
            </w:tcBorders>
            <w:shd w:val="clear" w:color="auto" w:fill="auto"/>
            <w:noWrap/>
            <w:vAlign w:val="bottom"/>
            <w:hideMark/>
          </w:tcPr>
          <w:p w14:paraId="738DF2DB" w14:textId="77777777" w:rsidR="00AB60A4" w:rsidRPr="00E80935"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7AAB937" w14:textId="77777777" w:rsidR="00AB60A4" w:rsidRPr="00E80935" w:rsidRDefault="00AB60A4" w:rsidP="00DA0E16">
            <w:pPr>
              <w:widowControl/>
              <w:autoSpaceDE/>
              <w:autoSpaceDN/>
              <w:adjustRightInd/>
              <w:spacing w:line="19" w:lineRule="atLeast"/>
              <w:rPr>
                <w:rFonts w:ascii="Arial" w:hAnsi="Arial" w:cs="Arial"/>
                <w:sz w:val="18"/>
                <w:szCs w:val="18"/>
              </w:rPr>
            </w:pPr>
          </w:p>
        </w:tc>
        <w:tc>
          <w:tcPr>
            <w:tcW w:w="2160" w:type="dxa"/>
            <w:gridSpan w:val="3"/>
            <w:tcBorders>
              <w:top w:val="nil"/>
              <w:left w:val="nil"/>
              <w:bottom w:val="nil"/>
              <w:right w:val="nil"/>
            </w:tcBorders>
            <w:shd w:val="clear" w:color="auto" w:fill="auto"/>
            <w:vAlign w:val="bottom"/>
          </w:tcPr>
          <w:p w14:paraId="47A6BF91" w14:textId="3655B300" w:rsidR="00AB60A4" w:rsidRPr="00E80935" w:rsidRDefault="00AB60A4" w:rsidP="00AB60A4">
            <w:pPr>
              <w:widowControl/>
              <w:autoSpaceDE/>
              <w:autoSpaceDN/>
              <w:adjustRightInd/>
              <w:spacing w:line="19" w:lineRule="atLeast"/>
              <w:ind w:left="61"/>
              <w:rPr>
                <w:rFonts w:ascii="Arial" w:hAnsi="Arial" w:cs="Arial"/>
                <w:b/>
                <w:bCs/>
                <w:sz w:val="18"/>
                <w:szCs w:val="18"/>
                <w:u w:val="single"/>
              </w:rPr>
            </w:pPr>
            <w:r w:rsidRPr="00E80935">
              <w:rPr>
                <w:rFonts w:ascii="Arial" w:hAnsi="Arial" w:cs="Arial"/>
                <w:b/>
                <w:bCs/>
                <w:sz w:val="18"/>
                <w:szCs w:val="18"/>
                <w:u w:val="single"/>
              </w:rPr>
              <w:t>Adult (SSV-IA)</w:t>
            </w:r>
          </w:p>
        </w:tc>
        <w:tc>
          <w:tcPr>
            <w:tcW w:w="1710" w:type="dxa"/>
            <w:gridSpan w:val="3"/>
            <w:tcBorders>
              <w:top w:val="nil"/>
              <w:left w:val="nil"/>
              <w:bottom w:val="nil"/>
            </w:tcBorders>
            <w:shd w:val="clear" w:color="auto" w:fill="auto"/>
            <w:vAlign w:val="bottom"/>
          </w:tcPr>
          <w:p w14:paraId="63100167" w14:textId="6AD8D80D" w:rsidR="00AB60A4" w:rsidRPr="00E80935" w:rsidRDefault="00AB60A4" w:rsidP="00AB60A4">
            <w:pPr>
              <w:widowControl/>
              <w:autoSpaceDE/>
              <w:autoSpaceDN/>
              <w:adjustRightInd/>
              <w:spacing w:line="19" w:lineRule="atLeast"/>
              <w:ind w:left="106"/>
              <w:rPr>
                <w:rFonts w:ascii="Arial" w:hAnsi="Arial" w:cs="Arial"/>
                <w:b/>
                <w:bCs/>
                <w:sz w:val="18"/>
                <w:szCs w:val="18"/>
                <w:u w:val="single"/>
              </w:rPr>
            </w:pPr>
            <w:r w:rsidRPr="00E80935">
              <w:rPr>
                <w:rFonts w:ascii="Arial" w:hAnsi="Arial" w:cs="Arial"/>
                <w:b/>
                <w:bCs/>
                <w:sz w:val="18"/>
                <w:szCs w:val="18"/>
                <w:u w:val="single"/>
              </w:rPr>
              <w:t>Juvenile (SSV-IJ)</w:t>
            </w:r>
          </w:p>
        </w:tc>
      </w:tr>
      <w:tr w:rsidR="00AB60A4" w:rsidRPr="00E80935" w14:paraId="4CADE9FD" w14:textId="77777777" w:rsidTr="009C65EA">
        <w:trPr>
          <w:trHeight w:val="288"/>
          <w:tblHeader/>
        </w:trPr>
        <w:tc>
          <w:tcPr>
            <w:tcW w:w="1170" w:type="dxa"/>
            <w:tcBorders>
              <w:top w:val="nil"/>
              <w:left w:val="nil"/>
              <w:bottom w:val="nil"/>
              <w:right w:val="nil"/>
            </w:tcBorders>
            <w:shd w:val="clear" w:color="auto" w:fill="auto"/>
            <w:noWrap/>
            <w:vAlign w:val="bottom"/>
            <w:hideMark/>
          </w:tcPr>
          <w:p w14:paraId="02E4F116" w14:textId="77777777" w:rsidR="00AB60A4" w:rsidRPr="00E80935" w:rsidRDefault="00AB60A4" w:rsidP="00DA0E16">
            <w:pPr>
              <w:widowControl/>
              <w:autoSpaceDE/>
              <w:autoSpaceDN/>
              <w:adjustRightInd/>
              <w:spacing w:line="19" w:lineRule="atLeast"/>
              <w:rPr>
                <w:rFonts w:ascii="Arial" w:hAnsi="Arial" w:cs="Arial"/>
                <w:b/>
                <w:bCs/>
                <w:sz w:val="18"/>
                <w:szCs w:val="18"/>
              </w:rPr>
            </w:pPr>
          </w:p>
        </w:tc>
        <w:tc>
          <w:tcPr>
            <w:tcW w:w="2250" w:type="dxa"/>
            <w:tcBorders>
              <w:top w:val="nil"/>
              <w:left w:val="nil"/>
              <w:bottom w:val="nil"/>
              <w:right w:val="nil"/>
            </w:tcBorders>
            <w:shd w:val="clear" w:color="auto" w:fill="auto"/>
            <w:noWrap/>
            <w:vAlign w:val="bottom"/>
            <w:hideMark/>
          </w:tcPr>
          <w:p w14:paraId="24018C05" w14:textId="77777777" w:rsidR="00AB60A4" w:rsidRPr="00E80935" w:rsidRDefault="00AB60A4" w:rsidP="00DA0E16">
            <w:pPr>
              <w:widowControl/>
              <w:autoSpaceDE/>
              <w:autoSpaceDN/>
              <w:adjustRightInd/>
              <w:spacing w:line="19" w:lineRule="atLeast"/>
              <w:rPr>
                <w:rFonts w:ascii="Arial" w:hAnsi="Arial" w:cs="Arial"/>
                <w:sz w:val="18"/>
                <w:szCs w:val="18"/>
              </w:rPr>
            </w:pPr>
          </w:p>
        </w:tc>
        <w:tc>
          <w:tcPr>
            <w:tcW w:w="2160" w:type="dxa"/>
            <w:gridSpan w:val="3"/>
            <w:tcBorders>
              <w:top w:val="nil"/>
              <w:left w:val="nil"/>
              <w:bottom w:val="nil"/>
              <w:right w:val="nil"/>
            </w:tcBorders>
            <w:shd w:val="clear" w:color="auto" w:fill="auto"/>
            <w:noWrap/>
            <w:vAlign w:val="bottom"/>
            <w:hideMark/>
          </w:tcPr>
          <w:p w14:paraId="16835107" w14:textId="1FFED64C" w:rsidR="00AB60A4" w:rsidRPr="00E80935" w:rsidRDefault="00C052D6" w:rsidP="00AB60A4">
            <w:pPr>
              <w:widowControl/>
              <w:autoSpaceDE/>
              <w:autoSpaceDN/>
              <w:adjustRightInd/>
              <w:spacing w:line="19" w:lineRule="atLeast"/>
              <w:ind w:left="61"/>
              <w:rPr>
                <w:rFonts w:ascii="Arial" w:hAnsi="Arial" w:cs="Arial"/>
                <w:sz w:val="18"/>
                <w:szCs w:val="18"/>
              </w:rPr>
            </w:pPr>
            <w:r w:rsidRPr="00E80935">
              <w:rPr>
                <w:rFonts w:ascii="Arial" w:hAnsi="Arial" w:cs="Arial"/>
                <w:sz w:val="18"/>
                <w:szCs w:val="18"/>
              </w:rPr>
              <w:t xml:space="preserve"> </w:t>
            </w:r>
            <w:r w:rsidR="00AB60A4" w:rsidRPr="00E80935">
              <w:rPr>
                <w:rFonts w:ascii="Arial" w:hAnsi="Arial" w:cs="Arial"/>
                <w:sz w:val="18"/>
                <w:szCs w:val="18"/>
              </w:rPr>
              <w:t>Percent</w:t>
            </w:r>
          </w:p>
        </w:tc>
        <w:tc>
          <w:tcPr>
            <w:tcW w:w="1710" w:type="dxa"/>
            <w:gridSpan w:val="3"/>
            <w:tcBorders>
              <w:top w:val="nil"/>
              <w:left w:val="nil"/>
              <w:bottom w:val="nil"/>
            </w:tcBorders>
            <w:shd w:val="clear" w:color="auto" w:fill="auto"/>
            <w:noWrap/>
            <w:vAlign w:val="bottom"/>
            <w:hideMark/>
          </w:tcPr>
          <w:p w14:paraId="1CD90552" w14:textId="1A81F581" w:rsidR="00AB60A4" w:rsidRPr="00E80935" w:rsidRDefault="00C052D6" w:rsidP="00AB60A4">
            <w:pPr>
              <w:widowControl/>
              <w:autoSpaceDE/>
              <w:autoSpaceDN/>
              <w:adjustRightInd/>
              <w:spacing w:line="19" w:lineRule="atLeast"/>
              <w:ind w:left="106"/>
              <w:rPr>
                <w:rFonts w:ascii="Arial" w:hAnsi="Arial" w:cs="Arial"/>
                <w:sz w:val="18"/>
                <w:szCs w:val="18"/>
              </w:rPr>
            </w:pPr>
            <w:r w:rsidRPr="00E80935">
              <w:rPr>
                <w:rFonts w:ascii="Arial" w:hAnsi="Arial" w:cs="Arial"/>
                <w:sz w:val="18"/>
                <w:szCs w:val="18"/>
              </w:rPr>
              <w:t xml:space="preserve"> </w:t>
            </w:r>
            <w:r w:rsidR="00AB60A4" w:rsidRPr="00E80935">
              <w:rPr>
                <w:rFonts w:ascii="Arial" w:hAnsi="Arial" w:cs="Arial"/>
                <w:sz w:val="18"/>
                <w:szCs w:val="18"/>
              </w:rPr>
              <w:t>Percent</w:t>
            </w:r>
          </w:p>
        </w:tc>
      </w:tr>
      <w:tr w:rsidR="00AB60A4" w:rsidRPr="00E80935" w14:paraId="5019A2F0" w14:textId="77777777" w:rsidTr="009C65EA">
        <w:trPr>
          <w:trHeight w:val="153"/>
          <w:tblHeader/>
        </w:trPr>
        <w:tc>
          <w:tcPr>
            <w:tcW w:w="1170" w:type="dxa"/>
            <w:tcBorders>
              <w:top w:val="nil"/>
              <w:left w:val="nil"/>
              <w:bottom w:val="single" w:sz="8" w:space="0" w:color="auto"/>
              <w:right w:val="nil"/>
            </w:tcBorders>
            <w:shd w:val="clear" w:color="auto" w:fill="auto"/>
            <w:noWrap/>
            <w:vAlign w:val="bottom"/>
            <w:hideMark/>
          </w:tcPr>
          <w:p w14:paraId="46F66886" w14:textId="77777777" w:rsidR="00AB60A4" w:rsidRPr="00E80935" w:rsidRDefault="00AB60A4" w:rsidP="00DA0E16">
            <w:pPr>
              <w:widowControl/>
              <w:autoSpaceDE/>
              <w:autoSpaceDN/>
              <w:adjustRightInd/>
              <w:spacing w:line="19" w:lineRule="atLeast"/>
              <w:rPr>
                <w:rFonts w:ascii="Arial" w:hAnsi="Arial" w:cs="Arial"/>
                <w:sz w:val="18"/>
                <w:szCs w:val="18"/>
              </w:rPr>
            </w:pPr>
            <w:r w:rsidRPr="00E80935">
              <w:rPr>
                <w:rFonts w:ascii="Arial" w:hAnsi="Arial" w:cs="Arial"/>
                <w:sz w:val="18"/>
                <w:szCs w:val="18"/>
              </w:rPr>
              <w:t>Item</w:t>
            </w:r>
          </w:p>
        </w:tc>
        <w:tc>
          <w:tcPr>
            <w:tcW w:w="2250" w:type="dxa"/>
            <w:tcBorders>
              <w:top w:val="nil"/>
              <w:left w:val="nil"/>
              <w:bottom w:val="single" w:sz="8" w:space="0" w:color="auto"/>
              <w:right w:val="nil"/>
            </w:tcBorders>
            <w:shd w:val="clear" w:color="auto" w:fill="auto"/>
            <w:noWrap/>
            <w:vAlign w:val="bottom"/>
            <w:hideMark/>
          </w:tcPr>
          <w:p w14:paraId="7614BFCF" w14:textId="77777777" w:rsidR="00AB60A4" w:rsidRPr="00E80935" w:rsidRDefault="00AB60A4" w:rsidP="00DA0E16">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c>
          <w:tcPr>
            <w:tcW w:w="2160" w:type="dxa"/>
            <w:gridSpan w:val="3"/>
            <w:tcBorders>
              <w:top w:val="nil"/>
              <w:left w:val="nil"/>
              <w:bottom w:val="single" w:sz="8" w:space="0" w:color="auto"/>
              <w:right w:val="nil"/>
            </w:tcBorders>
            <w:shd w:val="clear" w:color="auto" w:fill="auto"/>
            <w:noWrap/>
            <w:vAlign w:val="bottom"/>
            <w:hideMark/>
          </w:tcPr>
          <w:p w14:paraId="072E56E5" w14:textId="386AF5CA" w:rsidR="00AB60A4" w:rsidRPr="00E80935" w:rsidRDefault="00C052D6" w:rsidP="00AB60A4">
            <w:pPr>
              <w:widowControl/>
              <w:autoSpaceDE/>
              <w:autoSpaceDN/>
              <w:adjustRightInd/>
              <w:spacing w:line="19" w:lineRule="atLeast"/>
              <w:ind w:left="61"/>
              <w:rPr>
                <w:rFonts w:ascii="Arial" w:hAnsi="Arial" w:cs="Arial"/>
                <w:sz w:val="18"/>
                <w:szCs w:val="18"/>
              </w:rPr>
            </w:pPr>
            <w:r w:rsidRPr="00E80935">
              <w:rPr>
                <w:rFonts w:ascii="Arial" w:hAnsi="Arial" w:cs="Arial"/>
                <w:sz w:val="18"/>
                <w:szCs w:val="18"/>
              </w:rPr>
              <w:t xml:space="preserve"> </w:t>
            </w:r>
            <w:r w:rsidR="00AB60A4" w:rsidRPr="00E80935">
              <w:rPr>
                <w:rFonts w:ascii="Arial" w:hAnsi="Arial" w:cs="Arial"/>
                <w:sz w:val="18"/>
                <w:szCs w:val="18"/>
              </w:rPr>
              <w:t>non-response</w:t>
            </w:r>
          </w:p>
        </w:tc>
        <w:tc>
          <w:tcPr>
            <w:tcW w:w="1710" w:type="dxa"/>
            <w:gridSpan w:val="3"/>
            <w:tcBorders>
              <w:top w:val="nil"/>
              <w:left w:val="nil"/>
              <w:bottom w:val="single" w:sz="8" w:space="0" w:color="auto"/>
            </w:tcBorders>
            <w:shd w:val="clear" w:color="auto" w:fill="auto"/>
            <w:noWrap/>
            <w:vAlign w:val="bottom"/>
            <w:hideMark/>
          </w:tcPr>
          <w:p w14:paraId="7A41F9D0" w14:textId="68B8DD0D" w:rsidR="00AB60A4" w:rsidRPr="00E80935" w:rsidRDefault="00C052D6" w:rsidP="00AB60A4">
            <w:pPr>
              <w:widowControl/>
              <w:autoSpaceDE/>
              <w:autoSpaceDN/>
              <w:adjustRightInd/>
              <w:spacing w:line="19" w:lineRule="atLeast"/>
              <w:ind w:left="106"/>
              <w:rPr>
                <w:rFonts w:ascii="Arial" w:hAnsi="Arial" w:cs="Arial"/>
                <w:sz w:val="18"/>
                <w:szCs w:val="18"/>
              </w:rPr>
            </w:pPr>
            <w:r w:rsidRPr="00E80935">
              <w:rPr>
                <w:rFonts w:ascii="Arial" w:hAnsi="Arial" w:cs="Arial"/>
                <w:sz w:val="18"/>
                <w:szCs w:val="18"/>
              </w:rPr>
              <w:t xml:space="preserve"> </w:t>
            </w:r>
            <w:r w:rsidR="00AB60A4" w:rsidRPr="00E80935">
              <w:rPr>
                <w:rFonts w:ascii="Arial" w:hAnsi="Arial" w:cs="Arial"/>
                <w:sz w:val="18"/>
                <w:szCs w:val="18"/>
              </w:rPr>
              <w:t>non-response</w:t>
            </w:r>
          </w:p>
        </w:tc>
      </w:tr>
      <w:tr w:rsidR="009C65EA" w:rsidRPr="00E80935" w14:paraId="0DF7C218" w14:textId="77777777" w:rsidTr="009C65EA">
        <w:trPr>
          <w:trHeight w:val="300"/>
        </w:trPr>
        <w:tc>
          <w:tcPr>
            <w:tcW w:w="1170" w:type="dxa"/>
            <w:tcBorders>
              <w:top w:val="nil"/>
              <w:left w:val="nil"/>
              <w:bottom w:val="nil"/>
              <w:right w:val="nil"/>
            </w:tcBorders>
            <w:shd w:val="clear" w:color="auto" w:fill="auto"/>
            <w:noWrap/>
            <w:vAlign w:val="bottom"/>
          </w:tcPr>
          <w:p w14:paraId="028CAD21" w14:textId="5A550BDC"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1. Date</w:t>
            </w:r>
          </w:p>
        </w:tc>
        <w:tc>
          <w:tcPr>
            <w:tcW w:w="2250" w:type="dxa"/>
            <w:tcBorders>
              <w:top w:val="nil"/>
              <w:left w:val="nil"/>
              <w:bottom w:val="nil"/>
              <w:right w:val="nil"/>
            </w:tcBorders>
            <w:shd w:val="clear" w:color="auto" w:fill="auto"/>
            <w:noWrap/>
            <w:vAlign w:val="bottom"/>
          </w:tcPr>
          <w:p w14:paraId="69DA7997" w14:textId="0CDF3C81"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sz w:val="18"/>
                <w:szCs w:val="18"/>
              </w:rPr>
              <w:t>Month</w:t>
            </w:r>
          </w:p>
        </w:tc>
        <w:tc>
          <w:tcPr>
            <w:tcW w:w="1125" w:type="dxa"/>
            <w:gridSpan w:val="2"/>
            <w:tcBorders>
              <w:top w:val="nil"/>
              <w:left w:val="nil"/>
              <w:bottom w:val="nil"/>
              <w:right w:val="nil"/>
            </w:tcBorders>
            <w:shd w:val="clear" w:color="auto" w:fill="auto"/>
            <w:noWrap/>
            <w:vAlign w:val="bottom"/>
          </w:tcPr>
          <w:p w14:paraId="6FA7E76A" w14:textId="6B20C93F"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0.1</w:t>
            </w:r>
          </w:p>
        </w:tc>
        <w:tc>
          <w:tcPr>
            <w:tcW w:w="1035" w:type="dxa"/>
            <w:tcBorders>
              <w:top w:val="nil"/>
              <w:left w:val="nil"/>
              <w:bottom w:val="nil"/>
              <w:right w:val="nil"/>
            </w:tcBorders>
            <w:shd w:val="clear" w:color="auto" w:fill="auto"/>
            <w:noWrap/>
            <w:vAlign w:val="bottom"/>
          </w:tcPr>
          <w:p w14:paraId="1765C71F" w14:textId="63D5726A" w:rsidR="009C65EA" w:rsidRPr="00E80935" w:rsidRDefault="009C65EA" w:rsidP="00905C0E">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shd w:val="clear" w:color="auto" w:fill="auto"/>
            <w:noWrap/>
            <w:vAlign w:val="bottom"/>
          </w:tcPr>
          <w:p w14:paraId="7E3AE843" w14:textId="0E934884"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80" w:type="dxa"/>
            <w:gridSpan w:val="2"/>
            <w:tcBorders>
              <w:top w:val="nil"/>
              <w:left w:val="nil"/>
              <w:bottom w:val="nil"/>
              <w:right w:val="nil"/>
            </w:tcBorders>
            <w:shd w:val="clear" w:color="auto" w:fill="auto"/>
            <w:noWrap/>
            <w:vAlign w:val="bottom"/>
          </w:tcPr>
          <w:p w14:paraId="34ED4834" w14:textId="4351BB08"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AB60A4" w:rsidRPr="00E80935" w14:paraId="5FF06E88" w14:textId="77777777" w:rsidTr="009C65EA">
        <w:trPr>
          <w:trHeight w:val="135"/>
        </w:trPr>
        <w:tc>
          <w:tcPr>
            <w:tcW w:w="1170" w:type="dxa"/>
            <w:tcBorders>
              <w:top w:val="nil"/>
              <w:left w:val="nil"/>
              <w:bottom w:val="nil"/>
              <w:right w:val="nil"/>
            </w:tcBorders>
            <w:shd w:val="clear" w:color="auto" w:fill="auto"/>
            <w:noWrap/>
            <w:vAlign w:val="bottom"/>
          </w:tcPr>
          <w:p w14:paraId="124CD2BF" w14:textId="77777777" w:rsidR="00AB60A4" w:rsidRPr="00E80935"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tcPr>
          <w:p w14:paraId="283D9320" w14:textId="7C1CF0E8" w:rsidR="00AB60A4" w:rsidRPr="00E80935" w:rsidRDefault="00AB60A4" w:rsidP="00DA0E16">
            <w:pPr>
              <w:widowControl/>
              <w:autoSpaceDE/>
              <w:autoSpaceDN/>
              <w:adjustRightInd/>
              <w:spacing w:line="19" w:lineRule="atLeast"/>
              <w:rPr>
                <w:rFonts w:ascii="Arial" w:hAnsi="Arial" w:cs="Arial"/>
                <w:sz w:val="18"/>
                <w:szCs w:val="18"/>
              </w:rPr>
            </w:pPr>
            <w:r w:rsidRPr="00E80935">
              <w:rPr>
                <w:rFonts w:ascii="Arial" w:hAnsi="Arial" w:cs="Arial"/>
                <w:sz w:val="18"/>
                <w:szCs w:val="18"/>
              </w:rPr>
              <w:t>Day</w:t>
            </w:r>
          </w:p>
        </w:tc>
        <w:tc>
          <w:tcPr>
            <w:tcW w:w="1125" w:type="dxa"/>
            <w:gridSpan w:val="2"/>
            <w:tcBorders>
              <w:top w:val="nil"/>
              <w:left w:val="nil"/>
              <w:bottom w:val="nil"/>
              <w:right w:val="nil"/>
            </w:tcBorders>
            <w:shd w:val="clear" w:color="auto" w:fill="auto"/>
            <w:noWrap/>
            <w:vAlign w:val="bottom"/>
          </w:tcPr>
          <w:p w14:paraId="4525199B" w14:textId="66AC53EF" w:rsidR="00AB60A4" w:rsidRPr="00E80935" w:rsidRDefault="00AB60A4" w:rsidP="00DA0E16">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0.5</w:t>
            </w:r>
          </w:p>
        </w:tc>
        <w:tc>
          <w:tcPr>
            <w:tcW w:w="1035" w:type="dxa"/>
            <w:tcBorders>
              <w:top w:val="nil"/>
              <w:left w:val="nil"/>
              <w:bottom w:val="nil"/>
              <w:right w:val="nil"/>
            </w:tcBorders>
            <w:shd w:val="clear" w:color="auto" w:fill="auto"/>
            <w:noWrap/>
            <w:vAlign w:val="bottom"/>
          </w:tcPr>
          <w:p w14:paraId="3B54398F" w14:textId="77777777" w:rsidR="00AB60A4" w:rsidRPr="00E80935"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tcPr>
          <w:p w14:paraId="54E07FC4" w14:textId="634B9BFE" w:rsidR="00AB60A4" w:rsidRPr="00E80935" w:rsidRDefault="00AB60A4" w:rsidP="00CD72FC">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w:t>
            </w:r>
            <w:r w:rsidR="00CD72FC" w:rsidRPr="00E80935">
              <w:rPr>
                <w:rFonts w:ascii="Arial" w:hAnsi="Arial" w:cs="Arial"/>
                <w:sz w:val="18"/>
                <w:szCs w:val="18"/>
              </w:rPr>
              <w:t>2</w:t>
            </w:r>
          </w:p>
        </w:tc>
        <w:tc>
          <w:tcPr>
            <w:tcW w:w="1080" w:type="dxa"/>
            <w:gridSpan w:val="2"/>
            <w:tcBorders>
              <w:top w:val="nil"/>
              <w:left w:val="nil"/>
              <w:bottom w:val="nil"/>
              <w:right w:val="nil"/>
            </w:tcBorders>
            <w:shd w:val="clear" w:color="auto" w:fill="auto"/>
            <w:noWrap/>
            <w:vAlign w:val="bottom"/>
          </w:tcPr>
          <w:p w14:paraId="439255C0" w14:textId="77777777" w:rsidR="00AB60A4" w:rsidRPr="00E80935" w:rsidRDefault="00AB60A4" w:rsidP="00841459">
            <w:pPr>
              <w:widowControl/>
              <w:autoSpaceDE/>
              <w:autoSpaceDN/>
              <w:adjustRightInd/>
              <w:spacing w:line="19" w:lineRule="atLeast"/>
              <w:rPr>
                <w:rFonts w:ascii="Arial" w:hAnsi="Arial" w:cs="Arial"/>
                <w:sz w:val="18"/>
                <w:szCs w:val="18"/>
              </w:rPr>
            </w:pPr>
          </w:p>
        </w:tc>
      </w:tr>
      <w:tr w:rsidR="00AB60A4" w:rsidRPr="00E80935" w14:paraId="5C87B2D7" w14:textId="77777777" w:rsidTr="009C65EA">
        <w:trPr>
          <w:trHeight w:val="80"/>
        </w:trPr>
        <w:tc>
          <w:tcPr>
            <w:tcW w:w="1170" w:type="dxa"/>
            <w:tcBorders>
              <w:top w:val="nil"/>
              <w:left w:val="nil"/>
              <w:bottom w:val="nil"/>
              <w:right w:val="nil"/>
            </w:tcBorders>
            <w:shd w:val="clear" w:color="auto" w:fill="auto"/>
            <w:noWrap/>
            <w:vAlign w:val="bottom"/>
          </w:tcPr>
          <w:p w14:paraId="25CD31B2" w14:textId="77777777" w:rsidR="00AB60A4" w:rsidRPr="00E80935"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tcPr>
          <w:p w14:paraId="4BF84EC8" w14:textId="79B77D69" w:rsidR="00AB60A4" w:rsidRPr="00E80935" w:rsidRDefault="00AB60A4" w:rsidP="00DA0E16">
            <w:pPr>
              <w:widowControl/>
              <w:autoSpaceDE/>
              <w:autoSpaceDN/>
              <w:adjustRightInd/>
              <w:spacing w:line="19" w:lineRule="atLeast"/>
              <w:rPr>
                <w:rFonts w:ascii="Arial" w:hAnsi="Arial" w:cs="Arial"/>
                <w:sz w:val="18"/>
                <w:szCs w:val="18"/>
              </w:rPr>
            </w:pPr>
            <w:r w:rsidRPr="00E80935">
              <w:rPr>
                <w:rFonts w:ascii="Arial" w:hAnsi="Arial" w:cs="Arial"/>
                <w:sz w:val="18"/>
                <w:szCs w:val="18"/>
              </w:rPr>
              <w:t>Year</w:t>
            </w:r>
          </w:p>
        </w:tc>
        <w:tc>
          <w:tcPr>
            <w:tcW w:w="1125" w:type="dxa"/>
            <w:gridSpan w:val="2"/>
            <w:tcBorders>
              <w:top w:val="nil"/>
              <w:left w:val="nil"/>
              <w:bottom w:val="nil"/>
              <w:right w:val="nil"/>
            </w:tcBorders>
            <w:shd w:val="clear" w:color="auto" w:fill="auto"/>
            <w:noWrap/>
            <w:vAlign w:val="bottom"/>
          </w:tcPr>
          <w:p w14:paraId="005F4B0D" w14:textId="40BEFB32" w:rsidR="00AB60A4" w:rsidRPr="00E80935" w:rsidRDefault="00AB60A4" w:rsidP="00DA0E16">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w:t>
            </w:r>
            <w:r w:rsidR="00404494" w:rsidRPr="00E80935">
              <w:rPr>
                <w:rFonts w:ascii="Arial" w:hAnsi="Arial" w:cs="Arial"/>
                <w:sz w:val="18"/>
                <w:szCs w:val="18"/>
              </w:rPr>
              <w:t>4</w:t>
            </w:r>
          </w:p>
        </w:tc>
        <w:tc>
          <w:tcPr>
            <w:tcW w:w="1035" w:type="dxa"/>
            <w:tcBorders>
              <w:top w:val="nil"/>
              <w:left w:val="nil"/>
              <w:bottom w:val="nil"/>
              <w:right w:val="nil"/>
            </w:tcBorders>
            <w:shd w:val="clear" w:color="auto" w:fill="auto"/>
            <w:noWrap/>
            <w:vAlign w:val="bottom"/>
          </w:tcPr>
          <w:p w14:paraId="62CEE858" w14:textId="77777777" w:rsidR="00AB60A4" w:rsidRPr="00E80935"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tcPr>
          <w:p w14:paraId="411796B6" w14:textId="6FC829D4" w:rsidR="00AB60A4" w:rsidRPr="00E80935" w:rsidRDefault="00AB60A4" w:rsidP="00DA0E16">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w:t>
            </w:r>
            <w:r w:rsidR="00404494" w:rsidRPr="00E80935">
              <w:rPr>
                <w:rFonts w:ascii="Arial" w:hAnsi="Arial" w:cs="Arial"/>
                <w:sz w:val="18"/>
                <w:szCs w:val="18"/>
              </w:rPr>
              <w:t>2</w:t>
            </w:r>
          </w:p>
        </w:tc>
        <w:tc>
          <w:tcPr>
            <w:tcW w:w="1080" w:type="dxa"/>
            <w:gridSpan w:val="2"/>
            <w:tcBorders>
              <w:top w:val="nil"/>
              <w:left w:val="nil"/>
              <w:bottom w:val="nil"/>
              <w:right w:val="nil"/>
            </w:tcBorders>
            <w:shd w:val="clear" w:color="auto" w:fill="auto"/>
            <w:noWrap/>
            <w:vAlign w:val="bottom"/>
          </w:tcPr>
          <w:p w14:paraId="40FD9D48" w14:textId="77777777" w:rsidR="00AB60A4" w:rsidRPr="00E80935" w:rsidRDefault="00AB60A4" w:rsidP="00841459">
            <w:pPr>
              <w:widowControl/>
              <w:autoSpaceDE/>
              <w:autoSpaceDN/>
              <w:adjustRightInd/>
              <w:spacing w:line="19" w:lineRule="atLeast"/>
              <w:rPr>
                <w:rFonts w:ascii="Arial" w:hAnsi="Arial" w:cs="Arial"/>
                <w:sz w:val="18"/>
                <w:szCs w:val="18"/>
              </w:rPr>
            </w:pPr>
          </w:p>
        </w:tc>
      </w:tr>
      <w:tr w:rsidR="00AB60A4" w:rsidRPr="00E80935" w14:paraId="4D428245" w14:textId="77777777" w:rsidTr="009C65EA">
        <w:trPr>
          <w:trHeight w:val="288"/>
        </w:trPr>
        <w:tc>
          <w:tcPr>
            <w:tcW w:w="1170" w:type="dxa"/>
            <w:tcBorders>
              <w:top w:val="nil"/>
              <w:left w:val="nil"/>
              <w:bottom w:val="nil"/>
              <w:right w:val="nil"/>
            </w:tcBorders>
            <w:shd w:val="clear" w:color="auto" w:fill="auto"/>
            <w:noWrap/>
            <w:vAlign w:val="bottom"/>
          </w:tcPr>
          <w:p w14:paraId="5CE4BA38" w14:textId="43EC4C68" w:rsidR="00AB60A4" w:rsidRPr="00E80935" w:rsidRDefault="00AB60A4" w:rsidP="00DA0E16">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2. Facility</w:t>
            </w:r>
          </w:p>
        </w:tc>
        <w:tc>
          <w:tcPr>
            <w:tcW w:w="2250" w:type="dxa"/>
            <w:tcBorders>
              <w:top w:val="nil"/>
              <w:left w:val="nil"/>
              <w:bottom w:val="nil"/>
              <w:right w:val="nil"/>
            </w:tcBorders>
            <w:shd w:val="clear" w:color="auto" w:fill="auto"/>
            <w:noWrap/>
            <w:vAlign w:val="bottom"/>
          </w:tcPr>
          <w:p w14:paraId="4DC8E78F" w14:textId="77777777" w:rsidR="00AB60A4" w:rsidRPr="00E80935" w:rsidRDefault="00AB60A4" w:rsidP="00DA0E16">
            <w:pPr>
              <w:widowControl/>
              <w:autoSpaceDE/>
              <w:autoSpaceDN/>
              <w:adjustRightInd/>
              <w:spacing w:line="19" w:lineRule="atLeast"/>
              <w:rPr>
                <w:rFonts w:ascii="Arial" w:hAnsi="Arial" w:cs="Arial"/>
                <w:b/>
                <w:bCs/>
                <w:sz w:val="18"/>
                <w:szCs w:val="18"/>
              </w:rPr>
            </w:pPr>
          </w:p>
        </w:tc>
        <w:tc>
          <w:tcPr>
            <w:tcW w:w="1125" w:type="dxa"/>
            <w:gridSpan w:val="2"/>
            <w:tcBorders>
              <w:top w:val="nil"/>
              <w:left w:val="nil"/>
              <w:bottom w:val="nil"/>
              <w:right w:val="nil"/>
            </w:tcBorders>
            <w:shd w:val="clear" w:color="auto" w:fill="auto"/>
            <w:noWrap/>
            <w:vAlign w:val="bottom"/>
          </w:tcPr>
          <w:p w14:paraId="4E14C2AA" w14:textId="012357CF" w:rsidR="00AB60A4" w:rsidRPr="00E80935" w:rsidRDefault="00AB60A4" w:rsidP="00DA0E16">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35" w:type="dxa"/>
            <w:tcBorders>
              <w:top w:val="nil"/>
              <w:left w:val="nil"/>
              <w:bottom w:val="nil"/>
              <w:right w:val="nil"/>
            </w:tcBorders>
            <w:shd w:val="clear" w:color="auto" w:fill="auto"/>
            <w:noWrap/>
            <w:vAlign w:val="bottom"/>
          </w:tcPr>
          <w:p w14:paraId="0D7CC3C9" w14:textId="77777777" w:rsidR="00AB60A4" w:rsidRPr="00E80935"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tcPr>
          <w:p w14:paraId="04BABF54" w14:textId="0F531398" w:rsidR="00AB60A4" w:rsidRPr="00E80935" w:rsidRDefault="00AB60A4" w:rsidP="00DA0E16">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80" w:type="dxa"/>
            <w:gridSpan w:val="2"/>
            <w:tcBorders>
              <w:top w:val="nil"/>
              <w:left w:val="nil"/>
              <w:bottom w:val="nil"/>
              <w:right w:val="nil"/>
            </w:tcBorders>
            <w:shd w:val="clear" w:color="auto" w:fill="auto"/>
            <w:noWrap/>
            <w:vAlign w:val="bottom"/>
          </w:tcPr>
          <w:p w14:paraId="0B4ABD08" w14:textId="77777777" w:rsidR="00AB60A4" w:rsidRPr="00E80935" w:rsidRDefault="00AB60A4" w:rsidP="00841459">
            <w:pPr>
              <w:widowControl/>
              <w:autoSpaceDE/>
              <w:autoSpaceDN/>
              <w:adjustRightInd/>
              <w:spacing w:line="19" w:lineRule="atLeast"/>
              <w:rPr>
                <w:rFonts w:ascii="Arial" w:hAnsi="Arial" w:cs="Arial"/>
                <w:sz w:val="18"/>
                <w:szCs w:val="18"/>
              </w:rPr>
            </w:pPr>
          </w:p>
        </w:tc>
      </w:tr>
      <w:tr w:rsidR="009C65EA" w:rsidRPr="00E80935" w14:paraId="6E35C054" w14:textId="77777777" w:rsidTr="009C65EA">
        <w:trPr>
          <w:trHeight w:val="270"/>
        </w:trPr>
        <w:tc>
          <w:tcPr>
            <w:tcW w:w="1170" w:type="dxa"/>
            <w:tcBorders>
              <w:top w:val="nil"/>
              <w:left w:val="nil"/>
              <w:bottom w:val="nil"/>
              <w:right w:val="nil"/>
            </w:tcBorders>
            <w:shd w:val="clear" w:color="auto" w:fill="auto"/>
            <w:noWrap/>
            <w:vAlign w:val="bottom"/>
            <w:hideMark/>
          </w:tcPr>
          <w:p w14:paraId="0B8C6AE9" w14:textId="332F397A" w:rsidR="009C65EA" w:rsidRPr="00E80935" w:rsidRDefault="009C65EA" w:rsidP="00561B8C">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 xml:space="preserve">3. </w:t>
            </w:r>
            <w:r w:rsidR="00561B8C" w:rsidRPr="00E80935">
              <w:rPr>
                <w:rFonts w:ascii="Arial" w:hAnsi="Arial" w:cs="Arial"/>
                <w:b/>
                <w:bCs/>
                <w:sz w:val="18"/>
                <w:szCs w:val="18"/>
              </w:rPr>
              <w:t xml:space="preserve">Location </w:t>
            </w:r>
          </w:p>
        </w:tc>
        <w:tc>
          <w:tcPr>
            <w:tcW w:w="2250" w:type="dxa"/>
            <w:tcBorders>
              <w:top w:val="nil"/>
              <w:left w:val="nil"/>
              <w:bottom w:val="nil"/>
              <w:right w:val="nil"/>
            </w:tcBorders>
            <w:shd w:val="clear" w:color="auto" w:fill="auto"/>
            <w:noWrap/>
            <w:vAlign w:val="bottom"/>
            <w:hideMark/>
          </w:tcPr>
          <w:p w14:paraId="24EE17F4" w14:textId="79B12029"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40A89222" w14:textId="1B2BC3D3"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2.1</w:t>
            </w:r>
          </w:p>
        </w:tc>
        <w:tc>
          <w:tcPr>
            <w:tcW w:w="1035" w:type="dxa"/>
            <w:tcBorders>
              <w:top w:val="nil"/>
              <w:left w:val="nil"/>
              <w:bottom w:val="nil"/>
              <w:right w:val="nil"/>
            </w:tcBorders>
            <w:shd w:val="clear" w:color="auto" w:fill="auto"/>
            <w:noWrap/>
            <w:vAlign w:val="bottom"/>
            <w:hideMark/>
          </w:tcPr>
          <w:p w14:paraId="1DFAEE1B" w14:textId="0062E342"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r w:rsidR="00905C0E" w:rsidRPr="00E80935">
              <w:rPr>
                <w:rFonts w:ascii="Arial" w:hAnsi="Arial" w:cs="Arial"/>
                <w:sz w:val="18"/>
                <w:szCs w:val="18"/>
              </w:rPr>
              <w:t xml:space="preserve"> n = 1,639</w:t>
            </w:r>
          </w:p>
        </w:tc>
        <w:tc>
          <w:tcPr>
            <w:tcW w:w="630" w:type="dxa"/>
            <w:tcBorders>
              <w:top w:val="nil"/>
              <w:left w:val="nil"/>
              <w:bottom w:val="nil"/>
              <w:right w:val="nil"/>
            </w:tcBorders>
            <w:shd w:val="clear" w:color="auto" w:fill="auto"/>
            <w:noWrap/>
            <w:vAlign w:val="bottom"/>
            <w:hideMark/>
          </w:tcPr>
          <w:p w14:paraId="4DEDF8E7" w14:textId="33B57A1B"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2.8</w:t>
            </w:r>
          </w:p>
        </w:tc>
        <w:tc>
          <w:tcPr>
            <w:tcW w:w="1080" w:type="dxa"/>
            <w:gridSpan w:val="2"/>
            <w:tcBorders>
              <w:top w:val="nil"/>
              <w:left w:val="nil"/>
              <w:bottom w:val="nil"/>
              <w:right w:val="nil"/>
            </w:tcBorders>
            <w:shd w:val="clear" w:color="auto" w:fill="auto"/>
            <w:noWrap/>
            <w:vAlign w:val="bottom"/>
            <w:hideMark/>
          </w:tcPr>
          <w:p w14:paraId="3D728A70" w14:textId="263C3BAA"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r w:rsidR="00905C0E" w:rsidRPr="00E80935">
              <w:rPr>
                <w:rFonts w:ascii="Arial" w:hAnsi="Arial" w:cs="Arial"/>
                <w:sz w:val="18"/>
                <w:szCs w:val="18"/>
              </w:rPr>
              <w:t xml:space="preserve"> n = 507</w:t>
            </w:r>
          </w:p>
        </w:tc>
      </w:tr>
      <w:tr w:rsidR="009C65EA" w:rsidRPr="00E80935" w14:paraId="5AC3C7A5" w14:textId="77777777" w:rsidTr="009C65EA">
        <w:trPr>
          <w:trHeight w:val="80"/>
        </w:trPr>
        <w:tc>
          <w:tcPr>
            <w:tcW w:w="1170" w:type="dxa"/>
            <w:tcBorders>
              <w:top w:val="nil"/>
              <w:left w:val="nil"/>
              <w:bottom w:val="single" w:sz="4" w:space="0" w:color="auto"/>
              <w:right w:val="nil"/>
            </w:tcBorders>
            <w:shd w:val="clear" w:color="auto" w:fill="auto"/>
            <w:noWrap/>
            <w:vAlign w:val="bottom"/>
            <w:hideMark/>
          </w:tcPr>
          <w:p w14:paraId="5A76188D" w14:textId="14463D0C" w:rsidR="009C65EA" w:rsidRPr="00E80935" w:rsidRDefault="00561B8C" w:rsidP="00561B8C">
            <w:pPr>
              <w:widowControl/>
              <w:autoSpaceDE/>
              <w:autoSpaceDN/>
              <w:adjustRightInd/>
              <w:spacing w:line="19" w:lineRule="atLeast"/>
              <w:rPr>
                <w:rFonts w:ascii="Arial" w:hAnsi="Arial" w:cs="Arial"/>
                <w:b/>
                <w:sz w:val="18"/>
                <w:szCs w:val="18"/>
              </w:rPr>
            </w:pPr>
            <w:r w:rsidRPr="00E80935">
              <w:rPr>
                <w:rFonts w:ascii="Arial" w:hAnsi="Arial" w:cs="Arial"/>
                <w:sz w:val="18"/>
                <w:szCs w:val="18"/>
              </w:rPr>
              <w:t xml:space="preserve">    </w:t>
            </w:r>
            <w:r w:rsidRPr="00E80935">
              <w:rPr>
                <w:rFonts w:ascii="Arial" w:hAnsi="Arial" w:cs="Arial"/>
                <w:b/>
                <w:sz w:val="18"/>
                <w:szCs w:val="18"/>
              </w:rPr>
              <w:t>of incident</w:t>
            </w:r>
          </w:p>
        </w:tc>
        <w:tc>
          <w:tcPr>
            <w:tcW w:w="2250" w:type="dxa"/>
            <w:tcBorders>
              <w:top w:val="nil"/>
              <w:left w:val="nil"/>
              <w:bottom w:val="single" w:sz="4" w:space="0" w:color="auto"/>
              <w:right w:val="nil"/>
            </w:tcBorders>
            <w:shd w:val="clear" w:color="auto" w:fill="auto"/>
            <w:noWrap/>
            <w:vAlign w:val="bottom"/>
            <w:hideMark/>
          </w:tcPr>
          <w:p w14:paraId="7F98C6B0"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1125" w:type="dxa"/>
            <w:gridSpan w:val="2"/>
            <w:tcBorders>
              <w:top w:val="nil"/>
              <w:left w:val="nil"/>
              <w:bottom w:val="single" w:sz="4" w:space="0" w:color="auto"/>
              <w:right w:val="nil"/>
            </w:tcBorders>
            <w:shd w:val="clear" w:color="auto" w:fill="auto"/>
            <w:noWrap/>
            <w:vAlign w:val="bottom"/>
            <w:hideMark/>
          </w:tcPr>
          <w:p w14:paraId="05EC53CB" w14:textId="7D5B54B5"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6.6</w:t>
            </w:r>
          </w:p>
        </w:tc>
        <w:tc>
          <w:tcPr>
            <w:tcW w:w="1035" w:type="dxa"/>
            <w:tcBorders>
              <w:top w:val="nil"/>
              <w:left w:val="nil"/>
              <w:bottom w:val="single" w:sz="4" w:space="0" w:color="auto"/>
              <w:right w:val="nil"/>
            </w:tcBorders>
            <w:shd w:val="clear" w:color="auto" w:fill="auto"/>
            <w:noWrap/>
            <w:vAlign w:val="bottom"/>
            <w:hideMark/>
          </w:tcPr>
          <w:p w14:paraId="56575009" w14:textId="4B2D5C56" w:rsidR="009C65EA" w:rsidRPr="00E80935" w:rsidRDefault="00905C0E" w:rsidP="00905C0E">
            <w:pPr>
              <w:widowControl/>
              <w:autoSpaceDE/>
              <w:autoSpaceDN/>
              <w:adjustRightInd/>
              <w:spacing w:line="19" w:lineRule="atLeast"/>
              <w:rPr>
                <w:rFonts w:ascii="Arial" w:hAnsi="Arial" w:cs="Arial"/>
                <w:sz w:val="18"/>
                <w:szCs w:val="18"/>
              </w:rPr>
            </w:pPr>
            <w:r w:rsidRPr="00E80935">
              <w:rPr>
                <w:rFonts w:ascii="Arial" w:hAnsi="Arial" w:cs="Arial"/>
                <w:sz w:val="18"/>
                <w:szCs w:val="18"/>
              </w:rPr>
              <w:t xml:space="preserve">    n = 624</w:t>
            </w:r>
          </w:p>
        </w:tc>
        <w:tc>
          <w:tcPr>
            <w:tcW w:w="630" w:type="dxa"/>
            <w:tcBorders>
              <w:top w:val="nil"/>
              <w:left w:val="nil"/>
              <w:bottom w:val="single" w:sz="4" w:space="0" w:color="auto"/>
              <w:right w:val="nil"/>
            </w:tcBorders>
            <w:shd w:val="clear" w:color="auto" w:fill="auto"/>
            <w:noWrap/>
            <w:vAlign w:val="bottom"/>
            <w:hideMark/>
          </w:tcPr>
          <w:p w14:paraId="7EC1F44D" w14:textId="79EE39CB"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5.8</w:t>
            </w:r>
          </w:p>
        </w:tc>
        <w:tc>
          <w:tcPr>
            <w:tcW w:w="1080" w:type="dxa"/>
            <w:gridSpan w:val="2"/>
            <w:tcBorders>
              <w:top w:val="nil"/>
              <w:left w:val="nil"/>
              <w:bottom w:val="single" w:sz="4" w:space="0" w:color="auto"/>
              <w:right w:val="nil"/>
            </w:tcBorders>
            <w:shd w:val="clear" w:color="auto" w:fill="auto"/>
            <w:noWrap/>
            <w:vAlign w:val="bottom"/>
            <w:hideMark/>
          </w:tcPr>
          <w:p w14:paraId="71C62D46" w14:textId="5294F9F8" w:rsidR="009C65EA" w:rsidRPr="00E80935" w:rsidRDefault="00905C0E" w:rsidP="00905C0E">
            <w:pPr>
              <w:widowControl/>
              <w:autoSpaceDE/>
              <w:autoSpaceDN/>
              <w:adjustRightInd/>
              <w:spacing w:line="19" w:lineRule="atLeast"/>
              <w:rPr>
                <w:rFonts w:ascii="Arial" w:hAnsi="Arial" w:cs="Arial"/>
                <w:sz w:val="18"/>
                <w:szCs w:val="18"/>
              </w:rPr>
            </w:pPr>
            <w:r w:rsidRPr="00E80935">
              <w:rPr>
                <w:rFonts w:ascii="Arial" w:hAnsi="Arial" w:cs="Arial"/>
                <w:sz w:val="18"/>
                <w:szCs w:val="18"/>
              </w:rPr>
              <w:t xml:space="preserve">    n = 86</w:t>
            </w:r>
          </w:p>
        </w:tc>
      </w:tr>
      <w:tr w:rsidR="009C65EA" w:rsidRPr="00E80935" w14:paraId="0C33C692" w14:textId="77777777" w:rsidTr="00CB6F5D">
        <w:trPr>
          <w:trHeight w:val="260"/>
        </w:trPr>
        <w:tc>
          <w:tcPr>
            <w:tcW w:w="3420" w:type="dxa"/>
            <w:gridSpan w:val="2"/>
            <w:tcBorders>
              <w:top w:val="single" w:sz="4" w:space="0" w:color="auto"/>
              <w:left w:val="nil"/>
              <w:bottom w:val="nil"/>
              <w:right w:val="nil"/>
            </w:tcBorders>
            <w:shd w:val="clear" w:color="auto" w:fill="auto"/>
            <w:noWrap/>
            <w:vAlign w:val="bottom"/>
          </w:tcPr>
          <w:p w14:paraId="42C7D1CA" w14:textId="5B3C1210"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6. # of victims</w:t>
            </w:r>
          </w:p>
        </w:tc>
        <w:tc>
          <w:tcPr>
            <w:tcW w:w="1125" w:type="dxa"/>
            <w:gridSpan w:val="2"/>
            <w:tcBorders>
              <w:top w:val="single" w:sz="4" w:space="0" w:color="auto"/>
              <w:left w:val="nil"/>
              <w:bottom w:val="nil"/>
              <w:right w:val="nil"/>
            </w:tcBorders>
            <w:shd w:val="clear" w:color="auto" w:fill="auto"/>
            <w:noWrap/>
            <w:vAlign w:val="bottom"/>
          </w:tcPr>
          <w:p w14:paraId="434D5B18"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single" w:sz="4" w:space="0" w:color="auto"/>
              <w:left w:val="nil"/>
              <w:bottom w:val="nil"/>
              <w:right w:val="nil"/>
            </w:tcBorders>
            <w:shd w:val="clear" w:color="auto" w:fill="auto"/>
            <w:noWrap/>
            <w:vAlign w:val="bottom"/>
          </w:tcPr>
          <w:p w14:paraId="09AC8AED"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single" w:sz="4" w:space="0" w:color="auto"/>
              <w:left w:val="nil"/>
              <w:bottom w:val="nil"/>
              <w:right w:val="nil"/>
            </w:tcBorders>
            <w:shd w:val="clear" w:color="auto" w:fill="auto"/>
            <w:noWrap/>
            <w:vAlign w:val="bottom"/>
          </w:tcPr>
          <w:p w14:paraId="16FF8D7D"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80" w:type="dxa"/>
            <w:gridSpan w:val="2"/>
            <w:tcBorders>
              <w:top w:val="single" w:sz="4" w:space="0" w:color="auto"/>
              <w:left w:val="nil"/>
              <w:bottom w:val="nil"/>
              <w:right w:val="nil"/>
            </w:tcBorders>
            <w:shd w:val="clear" w:color="auto" w:fill="auto"/>
            <w:noWrap/>
            <w:vAlign w:val="bottom"/>
          </w:tcPr>
          <w:p w14:paraId="64E3A4BD"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5BBB05AF" w14:textId="77777777" w:rsidTr="009C65EA">
        <w:trPr>
          <w:trHeight w:val="80"/>
        </w:trPr>
        <w:tc>
          <w:tcPr>
            <w:tcW w:w="1170" w:type="dxa"/>
            <w:tcBorders>
              <w:top w:val="nil"/>
              <w:left w:val="nil"/>
              <w:bottom w:val="nil"/>
              <w:right w:val="nil"/>
            </w:tcBorders>
            <w:shd w:val="clear" w:color="auto" w:fill="auto"/>
            <w:noWrap/>
            <w:vAlign w:val="bottom"/>
          </w:tcPr>
          <w:p w14:paraId="395595B2"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tcPr>
          <w:p w14:paraId="235CB285" w14:textId="39D2E4BE"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tcPr>
          <w:p w14:paraId="51EC1C16" w14:textId="7A08AC9C"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0.7</w:t>
            </w:r>
          </w:p>
        </w:tc>
        <w:tc>
          <w:tcPr>
            <w:tcW w:w="1035" w:type="dxa"/>
            <w:tcBorders>
              <w:top w:val="nil"/>
              <w:left w:val="nil"/>
              <w:bottom w:val="nil"/>
              <w:right w:val="nil"/>
            </w:tcBorders>
            <w:shd w:val="clear" w:color="auto" w:fill="auto"/>
            <w:noWrap/>
            <w:vAlign w:val="bottom"/>
          </w:tcPr>
          <w:p w14:paraId="69FE56ED" w14:textId="1332E86B"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shd w:val="clear" w:color="auto" w:fill="auto"/>
            <w:noWrap/>
            <w:vAlign w:val="bottom"/>
          </w:tcPr>
          <w:p w14:paraId="528C2EAD" w14:textId="208E6E8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2.0</w:t>
            </w:r>
          </w:p>
        </w:tc>
        <w:tc>
          <w:tcPr>
            <w:tcW w:w="1080" w:type="dxa"/>
            <w:gridSpan w:val="2"/>
            <w:tcBorders>
              <w:top w:val="nil"/>
              <w:left w:val="nil"/>
              <w:bottom w:val="nil"/>
              <w:right w:val="nil"/>
            </w:tcBorders>
            <w:shd w:val="clear" w:color="auto" w:fill="auto"/>
            <w:noWrap/>
            <w:vAlign w:val="bottom"/>
          </w:tcPr>
          <w:p w14:paraId="66E78A8C" w14:textId="2A8DE4C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002CB409" w14:textId="77777777" w:rsidTr="009C65EA">
        <w:trPr>
          <w:trHeight w:val="80"/>
        </w:trPr>
        <w:tc>
          <w:tcPr>
            <w:tcW w:w="1170" w:type="dxa"/>
            <w:tcBorders>
              <w:top w:val="nil"/>
              <w:left w:val="nil"/>
              <w:bottom w:val="nil"/>
              <w:right w:val="nil"/>
            </w:tcBorders>
            <w:shd w:val="clear" w:color="auto" w:fill="auto"/>
            <w:noWrap/>
            <w:vAlign w:val="bottom"/>
          </w:tcPr>
          <w:p w14:paraId="30D5E8D6"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tcPr>
          <w:p w14:paraId="1952208D" w14:textId="70511751"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tcPr>
          <w:p w14:paraId="62C1FDA2" w14:textId="1AC77145"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0.3</w:t>
            </w:r>
          </w:p>
        </w:tc>
        <w:tc>
          <w:tcPr>
            <w:tcW w:w="1035" w:type="dxa"/>
            <w:tcBorders>
              <w:top w:val="nil"/>
              <w:left w:val="nil"/>
              <w:bottom w:val="nil"/>
              <w:right w:val="nil"/>
            </w:tcBorders>
            <w:shd w:val="clear" w:color="auto" w:fill="auto"/>
            <w:noWrap/>
            <w:vAlign w:val="bottom"/>
          </w:tcPr>
          <w:p w14:paraId="472C1215"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tcPr>
          <w:p w14:paraId="296D299A" w14:textId="6A9E217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1.2</w:t>
            </w:r>
          </w:p>
        </w:tc>
        <w:tc>
          <w:tcPr>
            <w:tcW w:w="1080" w:type="dxa"/>
            <w:gridSpan w:val="2"/>
            <w:tcBorders>
              <w:top w:val="nil"/>
              <w:left w:val="nil"/>
              <w:bottom w:val="nil"/>
              <w:right w:val="nil"/>
            </w:tcBorders>
            <w:shd w:val="clear" w:color="auto" w:fill="auto"/>
            <w:noWrap/>
            <w:vAlign w:val="bottom"/>
          </w:tcPr>
          <w:p w14:paraId="5BE1CAC4"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57FED049" w14:textId="77777777" w:rsidTr="00CB6F5D">
        <w:trPr>
          <w:trHeight w:val="180"/>
        </w:trPr>
        <w:tc>
          <w:tcPr>
            <w:tcW w:w="3420" w:type="dxa"/>
            <w:gridSpan w:val="2"/>
            <w:tcBorders>
              <w:top w:val="nil"/>
              <w:left w:val="nil"/>
              <w:bottom w:val="nil"/>
              <w:right w:val="nil"/>
            </w:tcBorders>
            <w:shd w:val="clear" w:color="auto" w:fill="auto"/>
            <w:noWrap/>
            <w:vAlign w:val="bottom"/>
            <w:hideMark/>
          </w:tcPr>
          <w:p w14:paraId="4E036B93" w14:textId="40097E6B"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7. Victim #1 gender</w:t>
            </w:r>
          </w:p>
        </w:tc>
        <w:tc>
          <w:tcPr>
            <w:tcW w:w="1125" w:type="dxa"/>
            <w:gridSpan w:val="2"/>
            <w:tcBorders>
              <w:top w:val="nil"/>
              <w:left w:val="nil"/>
              <w:bottom w:val="nil"/>
              <w:right w:val="nil"/>
            </w:tcBorders>
            <w:shd w:val="clear" w:color="auto" w:fill="auto"/>
            <w:noWrap/>
            <w:vAlign w:val="bottom"/>
            <w:hideMark/>
          </w:tcPr>
          <w:p w14:paraId="414B99C5"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C56F083"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33D5B837"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80" w:type="dxa"/>
            <w:gridSpan w:val="2"/>
            <w:tcBorders>
              <w:top w:val="nil"/>
              <w:left w:val="nil"/>
              <w:bottom w:val="nil"/>
              <w:right w:val="nil"/>
            </w:tcBorders>
            <w:shd w:val="clear" w:color="auto" w:fill="auto"/>
            <w:noWrap/>
            <w:vAlign w:val="bottom"/>
            <w:hideMark/>
          </w:tcPr>
          <w:p w14:paraId="2908F72A"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22DCCAAB" w14:textId="77777777" w:rsidTr="009C65EA">
        <w:trPr>
          <w:trHeight w:val="80"/>
        </w:trPr>
        <w:tc>
          <w:tcPr>
            <w:tcW w:w="1170" w:type="dxa"/>
            <w:tcBorders>
              <w:top w:val="nil"/>
              <w:left w:val="nil"/>
              <w:bottom w:val="nil"/>
              <w:right w:val="nil"/>
            </w:tcBorders>
            <w:shd w:val="clear" w:color="auto" w:fill="auto"/>
            <w:noWrap/>
            <w:vAlign w:val="bottom"/>
            <w:hideMark/>
          </w:tcPr>
          <w:p w14:paraId="65896C0A"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6402AE92"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74A1CF3F" w14:textId="1CB9C94F"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1.3</w:t>
            </w:r>
          </w:p>
        </w:tc>
        <w:tc>
          <w:tcPr>
            <w:tcW w:w="1035" w:type="dxa"/>
            <w:tcBorders>
              <w:top w:val="nil"/>
              <w:left w:val="nil"/>
              <w:bottom w:val="nil"/>
              <w:right w:val="nil"/>
            </w:tcBorders>
            <w:shd w:val="clear" w:color="auto" w:fill="auto"/>
            <w:noWrap/>
            <w:vAlign w:val="bottom"/>
            <w:hideMark/>
          </w:tcPr>
          <w:p w14:paraId="7E98A2E3"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68979FA0" w14:textId="645901BE"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3.4</w:t>
            </w:r>
          </w:p>
        </w:tc>
        <w:tc>
          <w:tcPr>
            <w:tcW w:w="1080" w:type="dxa"/>
            <w:gridSpan w:val="2"/>
            <w:tcBorders>
              <w:top w:val="nil"/>
              <w:left w:val="nil"/>
              <w:bottom w:val="nil"/>
              <w:right w:val="nil"/>
            </w:tcBorders>
            <w:shd w:val="clear" w:color="auto" w:fill="auto"/>
            <w:noWrap/>
            <w:vAlign w:val="bottom"/>
            <w:hideMark/>
          </w:tcPr>
          <w:p w14:paraId="1BD3AE92"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1201A861" w14:textId="77777777" w:rsidTr="009C65EA">
        <w:trPr>
          <w:trHeight w:val="80"/>
        </w:trPr>
        <w:tc>
          <w:tcPr>
            <w:tcW w:w="1170" w:type="dxa"/>
            <w:tcBorders>
              <w:top w:val="nil"/>
              <w:left w:val="nil"/>
              <w:bottom w:val="nil"/>
              <w:right w:val="nil"/>
            </w:tcBorders>
            <w:shd w:val="clear" w:color="auto" w:fill="auto"/>
            <w:noWrap/>
            <w:vAlign w:val="bottom"/>
            <w:hideMark/>
          </w:tcPr>
          <w:p w14:paraId="0B57BB5F"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3FBBD64C"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6BD26F33" w14:textId="18909FCD"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0.6</w:t>
            </w:r>
          </w:p>
        </w:tc>
        <w:tc>
          <w:tcPr>
            <w:tcW w:w="1035" w:type="dxa"/>
            <w:tcBorders>
              <w:top w:val="nil"/>
              <w:left w:val="nil"/>
              <w:bottom w:val="nil"/>
              <w:right w:val="nil"/>
            </w:tcBorders>
            <w:shd w:val="clear" w:color="auto" w:fill="auto"/>
            <w:noWrap/>
            <w:vAlign w:val="bottom"/>
            <w:hideMark/>
          </w:tcPr>
          <w:p w14:paraId="0300E706"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54AAE015" w14:textId="42DB56FA"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80" w:type="dxa"/>
            <w:gridSpan w:val="2"/>
            <w:tcBorders>
              <w:top w:val="nil"/>
              <w:left w:val="nil"/>
              <w:bottom w:val="nil"/>
              <w:right w:val="nil"/>
            </w:tcBorders>
            <w:shd w:val="clear" w:color="auto" w:fill="auto"/>
            <w:noWrap/>
            <w:vAlign w:val="bottom"/>
            <w:hideMark/>
          </w:tcPr>
          <w:p w14:paraId="3A63640A"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2A94276B" w14:textId="77777777" w:rsidTr="009C65EA">
        <w:trPr>
          <w:trHeight w:val="80"/>
        </w:trPr>
        <w:tc>
          <w:tcPr>
            <w:tcW w:w="3420" w:type="dxa"/>
            <w:gridSpan w:val="2"/>
            <w:tcBorders>
              <w:top w:val="nil"/>
              <w:left w:val="nil"/>
              <w:bottom w:val="nil"/>
              <w:right w:val="nil"/>
            </w:tcBorders>
            <w:shd w:val="clear" w:color="auto" w:fill="auto"/>
            <w:noWrap/>
            <w:vAlign w:val="bottom"/>
            <w:hideMark/>
          </w:tcPr>
          <w:p w14:paraId="64A5556C" w14:textId="141C59B0"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8. Victim #1 age</w:t>
            </w:r>
          </w:p>
        </w:tc>
        <w:tc>
          <w:tcPr>
            <w:tcW w:w="1125" w:type="dxa"/>
            <w:gridSpan w:val="2"/>
            <w:tcBorders>
              <w:top w:val="nil"/>
              <w:left w:val="nil"/>
              <w:bottom w:val="nil"/>
              <w:right w:val="nil"/>
            </w:tcBorders>
            <w:shd w:val="clear" w:color="auto" w:fill="auto"/>
            <w:noWrap/>
            <w:vAlign w:val="bottom"/>
            <w:hideMark/>
          </w:tcPr>
          <w:p w14:paraId="4631D92D"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1656865"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25493E90"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80" w:type="dxa"/>
            <w:gridSpan w:val="2"/>
            <w:tcBorders>
              <w:top w:val="nil"/>
              <w:left w:val="nil"/>
              <w:bottom w:val="nil"/>
              <w:right w:val="nil"/>
            </w:tcBorders>
            <w:shd w:val="clear" w:color="auto" w:fill="auto"/>
            <w:noWrap/>
            <w:vAlign w:val="bottom"/>
            <w:hideMark/>
          </w:tcPr>
          <w:p w14:paraId="05F1DC11"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181D980C" w14:textId="77777777" w:rsidTr="009C65EA">
        <w:trPr>
          <w:trHeight w:val="80"/>
        </w:trPr>
        <w:tc>
          <w:tcPr>
            <w:tcW w:w="1170" w:type="dxa"/>
            <w:tcBorders>
              <w:top w:val="nil"/>
              <w:left w:val="nil"/>
              <w:bottom w:val="nil"/>
              <w:right w:val="nil"/>
            </w:tcBorders>
            <w:shd w:val="clear" w:color="auto" w:fill="auto"/>
            <w:noWrap/>
            <w:vAlign w:val="bottom"/>
            <w:hideMark/>
          </w:tcPr>
          <w:p w14:paraId="10B90EA6"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673BF2D"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7ABC9AB0" w14:textId="27C99A7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1.8</w:t>
            </w:r>
          </w:p>
        </w:tc>
        <w:tc>
          <w:tcPr>
            <w:tcW w:w="1035" w:type="dxa"/>
            <w:tcBorders>
              <w:top w:val="nil"/>
              <w:left w:val="nil"/>
              <w:bottom w:val="nil"/>
              <w:right w:val="nil"/>
            </w:tcBorders>
            <w:shd w:val="clear" w:color="auto" w:fill="auto"/>
            <w:noWrap/>
            <w:vAlign w:val="bottom"/>
            <w:hideMark/>
          </w:tcPr>
          <w:p w14:paraId="30873E6F"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0A3DD5E6" w14:textId="734A9851"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4.5</w:t>
            </w:r>
          </w:p>
        </w:tc>
        <w:tc>
          <w:tcPr>
            <w:tcW w:w="1080" w:type="dxa"/>
            <w:gridSpan w:val="2"/>
            <w:tcBorders>
              <w:top w:val="nil"/>
              <w:left w:val="nil"/>
              <w:bottom w:val="nil"/>
              <w:right w:val="nil"/>
            </w:tcBorders>
            <w:shd w:val="clear" w:color="auto" w:fill="auto"/>
            <w:noWrap/>
            <w:vAlign w:val="bottom"/>
            <w:hideMark/>
          </w:tcPr>
          <w:p w14:paraId="014390FB"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7B9C1424" w14:textId="77777777" w:rsidTr="009C65EA">
        <w:trPr>
          <w:trHeight w:val="80"/>
        </w:trPr>
        <w:tc>
          <w:tcPr>
            <w:tcW w:w="1170" w:type="dxa"/>
            <w:tcBorders>
              <w:top w:val="nil"/>
              <w:left w:val="nil"/>
              <w:bottom w:val="nil"/>
              <w:right w:val="nil"/>
            </w:tcBorders>
            <w:shd w:val="clear" w:color="auto" w:fill="auto"/>
            <w:noWrap/>
            <w:vAlign w:val="bottom"/>
            <w:hideMark/>
          </w:tcPr>
          <w:p w14:paraId="425EB3F1"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4629F0A4"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22BEC685" w14:textId="60B5EAA0"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1.0</w:t>
            </w:r>
          </w:p>
        </w:tc>
        <w:tc>
          <w:tcPr>
            <w:tcW w:w="1035" w:type="dxa"/>
            <w:tcBorders>
              <w:top w:val="nil"/>
              <w:left w:val="nil"/>
              <w:bottom w:val="nil"/>
              <w:right w:val="nil"/>
            </w:tcBorders>
            <w:shd w:val="clear" w:color="auto" w:fill="auto"/>
            <w:noWrap/>
            <w:vAlign w:val="bottom"/>
            <w:hideMark/>
          </w:tcPr>
          <w:p w14:paraId="0BD2A167"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0C688692" w14:textId="2D807EC1"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1.2</w:t>
            </w:r>
          </w:p>
        </w:tc>
        <w:tc>
          <w:tcPr>
            <w:tcW w:w="1080" w:type="dxa"/>
            <w:gridSpan w:val="2"/>
            <w:tcBorders>
              <w:top w:val="nil"/>
              <w:left w:val="nil"/>
              <w:bottom w:val="nil"/>
              <w:right w:val="nil"/>
            </w:tcBorders>
            <w:shd w:val="clear" w:color="auto" w:fill="auto"/>
            <w:noWrap/>
            <w:vAlign w:val="bottom"/>
            <w:hideMark/>
          </w:tcPr>
          <w:p w14:paraId="20FF4238"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6891BD61" w14:textId="77777777" w:rsidTr="009C65EA">
        <w:trPr>
          <w:trHeight w:val="80"/>
        </w:trPr>
        <w:tc>
          <w:tcPr>
            <w:tcW w:w="3420" w:type="dxa"/>
            <w:gridSpan w:val="2"/>
            <w:tcBorders>
              <w:top w:val="nil"/>
              <w:left w:val="nil"/>
              <w:bottom w:val="nil"/>
              <w:right w:val="nil"/>
            </w:tcBorders>
            <w:shd w:val="clear" w:color="auto" w:fill="auto"/>
            <w:noWrap/>
            <w:vAlign w:val="bottom"/>
            <w:hideMark/>
          </w:tcPr>
          <w:p w14:paraId="2DBD92F4" w14:textId="2E87BB49"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9. Victim #1 race</w:t>
            </w:r>
          </w:p>
        </w:tc>
        <w:tc>
          <w:tcPr>
            <w:tcW w:w="1125" w:type="dxa"/>
            <w:gridSpan w:val="2"/>
            <w:tcBorders>
              <w:top w:val="nil"/>
              <w:left w:val="nil"/>
              <w:bottom w:val="nil"/>
              <w:right w:val="nil"/>
            </w:tcBorders>
            <w:shd w:val="clear" w:color="auto" w:fill="auto"/>
            <w:noWrap/>
            <w:vAlign w:val="bottom"/>
            <w:hideMark/>
          </w:tcPr>
          <w:p w14:paraId="1C7C3ADC"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64EAD779"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14C981EA"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80" w:type="dxa"/>
            <w:gridSpan w:val="2"/>
            <w:tcBorders>
              <w:top w:val="nil"/>
              <w:left w:val="nil"/>
              <w:bottom w:val="nil"/>
              <w:right w:val="nil"/>
            </w:tcBorders>
            <w:shd w:val="clear" w:color="auto" w:fill="auto"/>
            <w:noWrap/>
            <w:vAlign w:val="bottom"/>
            <w:hideMark/>
          </w:tcPr>
          <w:p w14:paraId="1189A528"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2719ADE4" w14:textId="77777777" w:rsidTr="009C65EA">
        <w:trPr>
          <w:trHeight w:val="80"/>
        </w:trPr>
        <w:tc>
          <w:tcPr>
            <w:tcW w:w="1170" w:type="dxa"/>
            <w:tcBorders>
              <w:top w:val="nil"/>
              <w:left w:val="nil"/>
              <w:bottom w:val="nil"/>
              <w:right w:val="nil"/>
            </w:tcBorders>
            <w:shd w:val="clear" w:color="auto" w:fill="auto"/>
            <w:noWrap/>
            <w:vAlign w:val="bottom"/>
            <w:hideMark/>
          </w:tcPr>
          <w:p w14:paraId="3A1B27E0"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3ED59CF5"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46385338" w14:textId="27B5BCB6"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1.8</w:t>
            </w:r>
          </w:p>
        </w:tc>
        <w:tc>
          <w:tcPr>
            <w:tcW w:w="1035" w:type="dxa"/>
            <w:tcBorders>
              <w:top w:val="nil"/>
              <w:left w:val="nil"/>
              <w:bottom w:val="nil"/>
              <w:right w:val="nil"/>
            </w:tcBorders>
            <w:shd w:val="clear" w:color="auto" w:fill="auto"/>
            <w:noWrap/>
            <w:vAlign w:val="bottom"/>
            <w:hideMark/>
          </w:tcPr>
          <w:p w14:paraId="79DD54EC"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67BDEF93" w14:textId="7FEA5BB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3.4</w:t>
            </w:r>
          </w:p>
        </w:tc>
        <w:tc>
          <w:tcPr>
            <w:tcW w:w="1080" w:type="dxa"/>
            <w:gridSpan w:val="2"/>
            <w:tcBorders>
              <w:top w:val="nil"/>
              <w:left w:val="nil"/>
              <w:bottom w:val="nil"/>
              <w:right w:val="nil"/>
            </w:tcBorders>
            <w:shd w:val="clear" w:color="auto" w:fill="auto"/>
            <w:noWrap/>
            <w:vAlign w:val="bottom"/>
            <w:hideMark/>
          </w:tcPr>
          <w:p w14:paraId="7C9CD163"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38333774" w14:textId="77777777" w:rsidTr="009C65EA">
        <w:trPr>
          <w:trHeight w:val="80"/>
        </w:trPr>
        <w:tc>
          <w:tcPr>
            <w:tcW w:w="1170" w:type="dxa"/>
            <w:tcBorders>
              <w:top w:val="nil"/>
              <w:left w:val="nil"/>
              <w:bottom w:val="nil"/>
              <w:right w:val="nil"/>
            </w:tcBorders>
            <w:shd w:val="clear" w:color="auto" w:fill="auto"/>
            <w:noWrap/>
            <w:vAlign w:val="bottom"/>
            <w:hideMark/>
          </w:tcPr>
          <w:p w14:paraId="1F30BF19"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C1FEF8F"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15A05537" w14:textId="7F4F2AD3"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0.6</w:t>
            </w:r>
          </w:p>
        </w:tc>
        <w:tc>
          <w:tcPr>
            <w:tcW w:w="1035" w:type="dxa"/>
            <w:tcBorders>
              <w:top w:val="nil"/>
              <w:left w:val="nil"/>
              <w:bottom w:val="nil"/>
              <w:right w:val="nil"/>
            </w:tcBorders>
            <w:shd w:val="clear" w:color="auto" w:fill="auto"/>
            <w:noWrap/>
            <w:vAlign w:val="bottom"/>
            <w:hideMark/>
          </w:tcPr>
          <w:p w14:paraId="42F1D5C1"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30785EED" w14:textId="0AA903CD"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3.5</w:t>
            </w:r>
          </w:p>
        </w:tc>
        <w:tc>
          <w:tcPr>
            <w:tcW w:w="1080" w:type="dxa"/>
            <w:gridSpan w:val="2"/>
            <w:tcBorders>
              <w:top w:val="nil"/>
              <w:left w:val="nil"/>
              <w:bottom w:val="nil"/>
              <w:right w:val="nil"/>
            </w:tcBorders>
            <w:shd w:val="clear" w:color="auto" w:fill="auto"/>
            <w:noWrap/>
            <w:vAlign w:val="bottom"/>
            <w:hideMark/>
          </w:tcPr>
          <w:p w14:paraId="14DE88CF" w14:textId="7777777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37B6CA79" w14:textId="77777777" w:rsidTr="009C65EA">
        <w:trPr>
          <w:gridAfter w:val="1"/>
          <w:wAfter w:w="540" w:type="dxa"/>
          <w:trHeight w:val="225"/>
        </w:trPr>
        <w:tc>
          <w:tcPr>
            <w:tcW w:w="3600" w:type="dxa"/>
            <w:gridSpan w:val="3"/>
            <w:tcBorders>
              <w:top w:val="nil"/>
              <w:left w:val="nil"/>
              <w:bottom w:val="nil"/>
              <w:right w:val="nil"/>
            </w:tcBorders>
            <w:shd w:val="clear" w:color="auto" w:fill="auto"/>
            <w:noWrap/>
            <w:vAlign w:val="bottom"/>
          </w:tcPr>
          <w:p w14:paraId="2CBCE800" w14:textId="2EC943DD"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13. Victim injury</w:t>
            </w:r>
          </w:p>
        </w:tc>
        <w:tc>
          <w:tcPr>
            <w:tcW w:w="945" w:type="dxa"/>
            <w:tcBorders>
              <w:top w:val="nil"/>
              <w:left w:val="nil"/>
              <w:bottom w:val="nil"/>
              <w:right w:val="nil"/>
            </w:tcBorders>
            <w:shd w:val="clear" w:color="auto" w:fill="auto"/>
            <w:noWrap/>
            <w:vAlign w:val="bottom"/>
          </w:tcPr>
          <w:p w14:paraId="01A32097"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tcPr>
          <w:p w14:paraId="6A25F48E"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210E9FEC"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540" w:type="dxa"/>
            <w:tcBorders>
              <w:top w:val="nil"/>
              <w:left w:val="nil"/>
              <w:bottom w:val="nil"/>
              <w:right w:val="nil"/>
            </w:tcBorders>
            <w:shd w:val="clear" w:color="auto" w:fill="auto"/>
            <w:noWrap/>
            <w:vAlign w:val="bottom"/>
          </w:tcPr>
          <w:p w14:paraId="79792614" w14:textId="620CD32F"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4F1C9E44" w14:textId="77777777" w:rsidTr="009C65EA">
        <w:trPr>
          <w:gridAfter w:val="1"/>
          <w:wAfter w:w="540" w:type="dxa"/>
          <w:trHeight w:val="80"/>
        </w:trPr>
        <w:tc>
          <w:tcPr>
            <w:tcW w:w="1170" w:type="dxa"/>
            <w:tcBorders>
              <w:top w:val="nil"/>
              <w:left w:val="nil"/>
              <w:bottom w:val="nil"/>
              <w:right w:val="nil"/>
            </w:tcBorders>
            <w:shd w:val="clear" w:color="auto" w:fill="auto"/>
            <w:noWrap/>
            <w:vAlign w:val="bottom"/>
          </w:tcPr>
          <w:p w14:paraId="7A824B83"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tcPr>
          <w:p w14:paraId="7397CC55" w14:textId="768C96EB"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945" w:type="dxa"/>
            <w:tcBorders>
              <w:top w:val="nil"/>
              <w:left w:val="nil"/>
              <w:bottom w:val="nil"/>
              <w:right w:val="nil"/>
            </w:tcBorders>
            <w:shd w:val="clear" w:color="auto" w:fill="auto"/>
            <w:noWrap/>
            <w:vAlign w:val="bottom"/>
          </w:tcPr>
          <w:p w14:paraId="4E6DBEED" w14:textId="16A9436E"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35" w:type="dxa"/>
            <w:tcBorders>
              <w:top w:val="nil"/>
              <w:left w:val="nil"/>
              <w:bottom w:val="nil"/>
              <w:right w:val="nil"/>
            </w:tcBorders>
            <w:shd w:val="clear" w:color="auto" w:fill="auto"/>
            <w:noWrap/>
            <w:vAlign w:val="bottom"/>
          </w:tcPr>
          <w:p w14:paraId="634263DC" w14:textId="73942DAD"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vAlign w:val="bottom"/>
          </w:tcPr>
          <w:p w14:paraId="00929A69" w14:textId="1BFA7CD8"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2.0</w:t>
            </w:r>
          </w:p>
        </w:tc>
        <w:tc>
          <w:tcPr>
            <w:tcW w:w="540" w:type="dxa"/>
            <w:tcBorders>
              <w:top w:val="nil"/>
              <w:left w:val="nil"/>
              <w:bottom w:val="nil"/>
              <w:right w:val="nil"/>
            </w:tcBorders>
            <w:shd w:val="clear" w:color="auto" w:fill="auto"/>
            <w:noWrap/>
            <w:vAlign w:val="bottom"/>
          </w:tcPr>
          <w:p w14:paraId="40105F16" w14:textId="7A3D47DA"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2998E08E" w14:textId="77777777" w:rsidTr="009C65EA">
        <w:trPr>
          <w:gridAfter w:val="1"/>
          <w:wAfter w:w="540" w:type="dxa"/>
          <w:trHeight w:val="80"/>
        </w:trPr>
        <w:tc>
          <w:tcPr>
            <w:tcW w:w="1170" w:type="dxa"/>
            <w:tcBorders>
              <w:top w:val="nil"/>
              <w:left w:val="nil"/>
              <w:bottom w:val="nil"/>
              <w:right w:val="nil"/>
            </w:tcBorders>
            <w:shd w:val="clear" w:color="auto" w:fill="auto"/>
            <w:noWrap/>
            <w:vAlign w:val="bottom"/>
          </w:tcPr>
          <w:p w14:paraId="17F0774A"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tcPr>
          <w:p w14:paraId="7F1D0A86" w14:textId="53DE0823"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945" w:type="dxa"/>
            <w:tcBorders>
              <w:top w:val="nil"/>
              <w:left w:val="nil"/>
              <w:bottom w:val="nil"/>
              <w:right w:val="nil"/>
            </w:tcBorders>
            <w:shd w:val="clear" w:color="auto" w:fill="auto"/>
            <w:noWrap/>
            <w:vAlign w:val="bottom"/>
          </w:tcPr>
          <w:p w14:paraId="153138A4" w14:textId="6B7DCAE8"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35" w:type="dxa"/>
            <w:tcBorders>
              <w:top w:val="nil"/>
              <w:left w:val="nil"/>
              <w:bottom w:val="nil"/>
              <w:right w:val="nil"/>
            </w:tcBorders>
            <w:shd w:val="clear" w:color="auto" w:fill="auto"/>
            <w:noWrap/>
            <w:vAlign w:val="bottom"/>
          </w:tcPr>
          <w:p w14:paraId="1C56B443"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43804E43" w14:textId="0A86ABE9"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540" w:type="dxa"/>
            <w:tcBorders>
              <w:top w:val="nil"/>
              <w:left w:val="nil"/>
              <w:bottom w:val="nil"/>
              <w:right w:val="nil"/>
            </w:tcBorders>
            <w:shd w:val="clear" w:color="auto" w:fill="auto"/>
            <w:noWrap/>
            <w:vAlign w:val="bottom"/>
          </w:tcPr>
          <w:p w14:paraId="7607F041" w14:textId="133A6D50"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27268C3D" w14:textId="77777777" w:rsidTr="009C65EA">
        <w:trPr>
          <w:gridAfter w:val="1"/>
          <w:wAfter w:w="540" w:type="dxa"/>
          <w:trHeight w:val="80"/>
        </w:trPr>
        <w:tc>
          <w:tcPr>
            <w:tcW w:w="3600" w:type="dxa"/>
            <w:gridSpan w:val="3"/>
            <w:tcBorders>
              <w:top w:val="nil"/>
              <w:left w:val="nil"/>
              <w:bottom w:val="nil"/>
              <w:right w:val="nil"/>
            </w:tcBorders>
            <w:shd w:val="clear" w:color="auto" w:fill="auto"/>
            <w:noWrap/>
            <w:vAlign w:val="bottom"/>
          </w:tcPr>
          <w:p w14:paraId="3FA58D84" w14:textId="43F09A0F"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15. Medical follow up</w:t>
            </w:r>
          </w:p>
        </w:tc>
        <w:tc>
          <w:tcPr>
            <w:tcW w:w="945" w:type="dxa"/>
            <w:tcBorders>
              <w:top w:val="nil"/>
              <w:left w:val="nil"/>
              <w:bottom w:val="nil"/>
              <w:right w:val="nil"/>
            </w:tcBorders>
            <w:shd w:val="clear" w:color="auto" w:fill="auto"/>
            <w:noWrap/>
            <w:vAlign w:val="bottom"/>
          </w:tcPr>
          <w:p w14:paraId="2FF85256"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tcPr>
          <w:p w14:paraId="647B86C8"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578B0988"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540" w:type="dxa"/>
            <w:tcBorders>
              <w:top w:val="nil"/>
              <w:left w:val="nil"/>
              <w:bottom w:val="nil"/>
              <w:right w:val="nil"/>
            </w:tcBorders>
            <w:shd w:val="clear" w:color="auto" w:fill="auto"/>
            <w:noWrap/>
            <w:vAlign w:val="bottom"/>
          </w:tcPr>
          <w:p w14:paraId="133D0647" w14:textId="0D858D51"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3C9EA795" w14:textId="77777777" w:rsidTr="009C65EA">
        <w:trPr>
          <w:gridAfter w:val="1"/>
          <w:wAfter w:w="540" w:type="dxa"/>
          <w:trHeight w:val="80"/>
        </w:trPr>
        <w:tc>
          <w:tcPr>
            <w:tcW w:w="1170" w:type="dxa"/>
            <w:tcBorders>
              <w:top w:val="nil"/>
              <w:left w:val="nil"/>
              <w:bottom w:val="nil"/>
              <w:right w:val="nil"/>
            </w:tcBorders>
            <w:shd w:val="clear" w:color="auto" w:fill="auto"/>
            <w:noWrap/>
            <w:vAlign w:val="bottom"/>
          </w:tcPr>
          <w:p w14:paraId="0CDECDB7"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tcPr>
          <w:p w14:paraId="5A8698E1" w14:textId="37B33CE9"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945" w:type="dxa"/>
            <w:tcBorders>
              <w:top w:val="nil"/>
              <w:left w:val="nil"/>
              <w:bottom w:val="nil"/>
              <w:right w:val="nil"/>
            </w:tcBorders>
            <w:shd w:val="clear" w:color="auto" w:fill="auto"/>
            <w:noWrap/>
            <w:vAlign w:val="bottom"/>
          </w:tcPr>
          <w:p w14:paraId="41F41C59" w14:textId="3DE93C18"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0.8</w:t>
            </w:r>
          </w:p>
        </w:tc>
        <w:tc>
          <w:tcPr>
            <w:tcW w:w="1035" w:type="dxa"/>
            <w:tcBorders>
              <w:top w:val="nil"/>
              <w:left w:val="nil"/>
              <w:bottom w:val="nil"/>
              <w:right w:val="nil"/>
            </w:tcBorders>
            <w:shd w:val="clear" w:color="auto" w:fill="auto"/>
            <w:noWrap/>
            <w:vAlign w:val="bottom"/>
          </w:tcPr>
          <w:p w14:paraId="4CF0502F" w14:textId="03544B1C"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bottom w:val="nil"/>
              <w:right w:val="nil"/>
            </w:tcBorders>
            <w:vAlign w:val="bottom"/>
          </w:tcPr>
          <w:p w14:paraId="7FB96B89" w14:textId="3AF27A8D"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0.4</w:t>
            </w:r>
          </w:p>
        </w:tc>
        <w:tc>
          <w:tcPr>
            <w:tcW w:w="540" w:type="dxa"/>
            <w:tcBorders>
              <w:top w:val="nil"/>
              <w:left w:val="nil"/>
              <w:bottom w:val="nil"/>
              <w:right w:val="nil"/>
            </w:tcBorders>
            <w:shd w:val="clear" w:color="auto" w:fill="auto"/>
            <w:noWrap/>
            <w:vAlign w:val="bottom"/>
          </w:tcPr>
          <w:p w14:paraId="17734805" w14:textId="005302AD"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77C7C0FE" w14:textId="77777777" w:rsidTr="009C65EA">
        <w:trPr>
          <w:gridAfter w:val="1"/>
          <w:wAfter w:w="540" w:type="dxa"/>
          <w:trHeight w:val="80"/>
        </w:trPr>
        <w:tc>
          <w:tcPr>
            <w:tcW w:w="1170" w:type="dxa"/>
            <w:tcBorders>
              <w:top w:val="nil"/>
              <w:left w:val="nil"/>
              <w:bottom w:val="nil"/>
              <w:right w:val="nil"/>
            </w:tcBorders>
            <w:shd w:val="clear" w:color="auto" w:fill="auto"/>
            <w:noWrap/>
            <w:vAlign w:val="bottom"/>
          </w:tcPr>
          <w:p w14:paraId="2D8FC8B6"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tcPr>
          <w:p w14:paraId="0013AFD5" w14:textId="70DB4801"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945" w:type="dxa"/>
            <w:tcBorders>
              <w:top w:val="nil"/>
              <w:left w:val="nil"/>
              <w:bottom w:val="nil"/>
              <w:right w:val="nil"/>
            </w:tcBorders>
            <w:shd w:val="clear" w:color="auto" w:fill="auto"/>
            <w:noWrap/>
            <w:vAlign w:val="bottom"/>
          </w:tcPr>
          <w:p w14:paraId="44363C72" w14:textId="6464248E"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1.0</w:t>
            </w:r>
          </w:p>
        </w:tc>
        <w:tc>
          <w:tcPr>
            <w:tcW w:w="1035" w:type="dxa"/>
            <w:tcBorders>
              <w:top w:val="nil"/>
              <w:left w:val="nil"/>
              <w:bottom w:val="nil"/>
              <w:right w:val="nil"/>
            </w:tcBorders>
            <w:shd w:val="clear" w:color="auto" w:fill="auto"/>
            <w:noWrap/>
            <w:vAlign w:val="bottom"/>
          </w:tcPr>
          <w:p w14:paraId="6FB9B7BF"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713AB8FF" w14:textId="7234887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540" w:type="dxa"/>
            <w:tcBorders>
              <w:top w:val="nil"/>
              <w:left w:val="nil"/>
              <w:bottom w:val="nil"/>
              <w:right w:val="nil"/>
            </w:tcBorders>
            <w:shd w:val="clear" w:color="auto" w:fill="auto"/>
            <w:noWrap/>
            <w:vAlign w:val="bottom"/>
          </w:tcPr>
          <w:p w14:paraId="6BF02BA8" w14:textId="075F61E1"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1B969D91" w14:textId="77777777" w:rsidTr="009C65EA">
        <w:trPr>
          <w:gridAfter w:val="1"/>
          <w:wAfter w:w="540" w:type="dxa"/>
          <w:trHeight w:val="80"/>
        </w:trPr>
        <w:tc>
          <w:tcPr>
            <w:tcW w:w="3600" w:type="dxa"/>
            <w:gridSpan w:val="3"/>
            <w:tcBorders>
              <w:top w:val="nil"/>
              <w:left w:val="nil"/>
              <w:bottom w:val="nil"/>
              <w:right w:val="nil"/>
            </w:tcBorders>
            <w:shd w:val="clear" w:color="auto" w:fill="auto"/>
            <w:noWrap/>
            <w:vAlign w:val="bottom"/>
          </w:tcPr>
          <w:p w14:paraId="4543BEF1" w14:textId="27664833"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16. Victim housing change</w:t>
            </w:r>
          </w:p>
        </w:tc>
        <w:tc>
          <w:tcPr>
            <w:tcW w:w="945" w:type="dxa"/>
            <w:tcBorders>
              <w:top w:val="nil"/>
              <w:left w:val="nil"/>
              <w:bottom w:val="nil"/>
              <w:right w:val="nil"/>
            </w:tcBorders>
            <w:shd w:val="clear" w:color="auto" w:fill="auto"/>
            <w:noWrap/>
            <w:vAlign w:val="bottom"/>
          </w:tcPr>
          <w:p w14:paraId="69A9641E"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tcPr>
          <w:p w14:paraId="2272B86E"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1CB8E2B8" w14:textId="77777777" w:rsidR="009C65EA" w:rsidRPr="00E80935" w:rsidRDefault="009C65EA" w:rsidP="009C65EA">
            <w:pPr>
              <w:widowControl/>
              <w:autoSpaceDE/>
              <w:autoSpaceDN/>
              <w:adjustRightInd/>
              <w:spacing w:line="19" w:lineRule="atLeast"/>
              <w:jc w:val="right"/>
              <w:rPr>
                <w:rFonts w:ascii="Arial" w:hAnsi="Arial" w:cs="Arial"/>
                <w:sz w:val="18"/>
                <w:szCs w:val="18"/>
              </w:rPr>
            </w:pPr>
          </w:p>
        </w:tc>
        <w:tc>
          <w:tcPr>
            <w:tcW w:w="540" w:type="dxa"/>
            <w:tcBorders>
              <w:top w:val="nil"/>
              <w:left w:val="nil"/>
              <w:bottom w:val="nil"/>
              <w:right w:val="nil"/>
            </w:tcBorders>
            <w:shd w:val="clear" w:color="auto" w:fill="auto"/>
            <w:noWrap/>
            <w:vAlign w:val="bottom"/>
          </w:tcPr>
          <w:p w14:paraId="57A622EC" w14:textId="74D7FAAE"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78A51174" w14:textId="77777777" w:rsidTr="009C65EA">
        <w:trPr>
          <w:gridAfter w:val="1"/>
          <w:wAfter w:w="540" w:type="dxa"/>
          <w:trHeight w:val="80"/>
        </w:trPr>
        <w:tc>
          <w:tcPr>
            <w:tcW w:w="1170" w:type="dxa"/>
            <w:tcBorders>
              <w:top w:val="nil"/>
              <w:left w:val="nil"/>
              <w:right w:val="nil"/>
            </w:tcBorders>
            <w:shd w:val="clear" w:color="auto" w:fill="auto"/>
            <w:noWrap/>
            <w:vAlign w:val="bottom"/>
          </w:tcPr>
          <w:p w14:paraId="7C277161"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430" w:type="dxa"/>
            <w:gridSpan w:val="2"/>
            <w:tcBorders>
              <w:top w:val="nil"/>
              <w:left w:val="nil"/>
              <w:right w:val="nil"/>
            </w:tcBorders>
            <w:shd w:val="clear" w:color="auto" w:fill="auto"/>
            <w:noWrap/>
            <w:vAlign w:val="bottom"/>
          </w:tcPr>
          <w:p w14:paraId="10358ECD" w14:textId="330B5404"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Inmate/youth</w:t>
            </w:r>
          </w:p>
        </w:tc>
        <w:tc>
          <w:tcPr>
            <w:tcW w:w="945" w:type="dxa"/>
            <w:tcBorders>
              <w:top w:val="nil"/>
              <w:left w:val="nil"/>
              <w:right w:val="nil"/>
            </w:tcBorders>
            <w:shd w:val="clear" w:color="auto" w:fill="auto"/>
            <w:noWrap/>
            <w:vAlign w:val="bottom"/>
          </w:tcPr>
          <w:p w14:paraId="233CC79F" w14:textId="34E43D2A"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0.9</w:t>
            </w:r>
          </w:p>
        </w:tc>
        <w:tc>
          <w:tcPr>
            <w:tcW w:w="1035" w:type="dxa"/>
            <w:tcBorders>
              <w:top w:val="nil"/>
              <w:left w:val="nil"/>
              <w:right w:val="nil"/>
            </w:tcBorders>
            <w:shd w:val="clear" w:color="auto" w:fill="auto"/>
            <w:noWrap/>
            <w:vAlign w:val="bottom"/>
          </w:tcPr>
          <w:p w14:paraId="6DC2E903" w14:textId="7A47E81D"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nil"/>
              <w:left w:val="nil"/>
              <w:right w:val="nil"/>
            </w:tcBorders>
            <w:vAlign w:val="bottom"/>
          </w:tcPr>
          <w:p w14:paraId="1E91EAE9" w14:textId="5A473EFA"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2.4</w:t>
            </w:r>
          </w:p>
        </w:tc>
        <w:tc>
          <w:tcPr>
            <w:tcW w:w="540" w:type="dxa"/>
            <w:tcBorders>
              <w:top w:val="nil"/>
              <w:left w:val="nil"/>
              <w:right w:val="nil"/>
            </w:tcBorders>
            <w:shd w:val="clear" w:color="auto" w:fill="auto"/>
            <w:noWrap/>
            <w:vAlign w:val="bottom"/>
          </w:tcPr>
          <w:p w14:paraId="3E26FC2D" w14:textId="19EC8D7E"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7CBF7148" w14:textId="77777777" w:rsidTr="009C65EA">
        <w:trPr>
          <w:trHeight w:val="80"/>
        </w:trPr>
        <w:tc>
          <w:tcPr>
            <w:tcW w:w="1170" w:type="dxa"/>
            <w:tcBorders>
              <w:top w:val="nil"/>
              <w:left w:val="nil"/>
              <w:bottom w:val="single" w:sz="4" w:space="0" w:color="auto"/>
              <w:right w:val="nil"/>
            </w:tcBorders>
            <w:shd w:val="clear" w:color="auto" w:fill="auto"/>
            <w:noWrap/>
            <w:vAlign w:val="bottom"/>
          </w:tcPr>
          <w:p w14:paraId="6F9B7770"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single" w:sz="4" w:space="0" w:color="auto"/>
              <w:right w:val="nil"/>
            </w:tcBorders>
            <w:shd w:val="clear" w:color="auto" w:fill="auto"/>
            <w:noWrap/>
            <w:vAlign w:val="bottom"/>
          </w:tcPr>
          <w:p w14:paraId="3A41FDE5" w14:textId="39910A1C"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Staff</w:t>
            </w:r>
          </w:p>
        </w:tc>
        <w:tc>
          <w:tcPr>
            <w:tcW w:w="945" w:type="dxa"/>
            <w:tcBorders>
              <w:top w:val="nil"/>
              <w:left w:val="nil"/>
              <w:bottom w:val="single" w:sz="4" w:space="0" w:color="auto"/>
              <w:right w:val="nil"/>
            </w:tcBorders>
            <w:shd w:val="clear" w:color="auto" w:fill="auto"/>
            <w:noWrap/>
            <w:vAlign w:val="bottom"/>
          </w:tcPr>
          <w:p w14:paraId="35A6B782" w14:textId="0BBF00DE"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0.8</w:t>
            </w:r>
          </w:p>
        </w:tc>
        <w:tc>
          <w:tcPr>
            <w:tcW w:w="1035" w:type="dxa"/>
            <w:tcBorders>
              <w:top w:val="nil"/>
              <w:left w:val="nil"/>
              <w:bottom w:val="single" w:sz="4" w:space="0" w:color="auto"/>
              <w:right w:val="nil"/>
            </w:tcBorders>
            <w:shd w:val="clear" w:color="auto" w:fill="auto"/>
            <w:noWrap/>
            <w:vAlign w:val="bottom"/>
          </w:tcPr>
          <w:p w14:paraId="57DAC8B9"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single" w:sz="4" w:space="0" w:color="auto"/>
              <w:right w:val="nil"/>
            </w:tcBorders>
            <w:vAlign w:val="bottom"/>
          </w:tcPr>
          <w:p w14:paraId="5E8906E5" w14:textId="54A2FC89"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1.2</w:t>
            </w:r>
          </w:p>
        </w:tc>
        <w:tc>
          <w:tcPr>
            <w:tcW w:w="1080" w:type="dxa"/>
            <w:gridSpan w:val="2"/>
            <w:tcBorders>
              <w:top w:val="nil"/>
              <w:left w:val="nil"/>
              <w:bottom w:val="single" w:sz="4" w:space="0" w:color="auto"/>
              <w:right w:val="nil"/>
            </w:tcBorders>
            <w:shd w:val="clear" w:color="auto" w:fill="auto"/>
            <w:noWrap/>
            <w:vAlign w:val="bottom"/>
          </w:tcPr>
          <w:p w14:paraId="06CCE024" w14:textId="5EEDA969"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6A2CBFE6" w14:textId="77777777" w:rsidTr="009C7F25">
        <w:trPr>
          <w:gridAfter w:val="1"/>
          <w:wAfter w:w="540" w:type="dxa"/>
          <w:trHeight w:val="305"/>
        </w:trPr>
        <w:tc>
          <w:tcPr>
            <w:tcW w:w="3600" w:type="dxa"/>
            <w:gridSpan w:val="3"/>
            <w:tcBorders>
              <w:top w:val="single" w:sz="4" w:space="0" w:color="auto"/>
              <w:left w:val="nil"/>
              <w:bottom w:val="nil"/>
              <w:right w:val="nil"/>
            </w:tcBorders>
            <w:shd w:val="clear" w:color="auto" w:fill="auto"/>
            <w:noWrap/>
            <w:vAlign w:val="bottom"/>
            <w:hideMark/>
          </w:tcPr>
          <w:p w14:paraId="6360CCA5" w14:textId="4C7C5583" w:rsidR="009C65EA" w:rsidRPr="00E80935" w:rsidRDefault="009C65EA" w:rsidP="006709E0">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18. # of inmate</w:t>
            </w:r>
            <w:r w:rsidR="006709E0" w:rsidRPr="00E80935">
              <w:rPr>
                <w:rFonts w:ascii="Arial" w:hAnsi="Arial" w:cs="Arial"/>
                <w:b/>
                <w:bCs/>
                <w:sz w:val="18"/>
                <w:szCs w:val="18"/>
              </w:rPr>
              <w:t>/youth</w:t>
            </w:r>
            <w:r w:rsidRPr="00E80935">
              <w:rPr>
                <w:rFonts w:ascii="Arial" w:hAnsi="Arial" w:cs="Arial"/>
                <w:b/>
                <w:bCs/>
                <w:sz w:val="18"/>
                <w:szCs w:val="18"/>
              </w:rPr>
              <w:t xml:space="preserve"> perps</w:t>
            </w:r>
          </w:p>
        </w:tc>
        <w:tc>
          <w:tcPr>
            <w:tcW w:w="945" w:type="dxa"/>
            <w:tcBorders>
              <w:top w:val="single" w:sz="4" w:space="0" w:color="auto"/>
              <w:left w:val="nil"/>
              <w:bottom w:val="nil"/>
              <w:right w:val="nil"/>
            </w:tcBorders>
            <w:shd w:val="clear" w:color="auto" w:fill="auto"/>
            <w:noWrap/>
            <w:vAlign w:val="bottom"/>
            <w:hideMark/>
          </w:tcPr>
          <w:p w14:paraId="3E30D277" w14:textId="0955A5E2"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1.8</w:t>
            </w:r>
          </w:p>
        </w:tc>
        <w:tc>
          <w:tcPr>
            <w:tcW w:w="1035" w:type="dxa"/>
            <w:tcBorders>
              <w:top w:val="single" w:sz="4" w:space="0" w:color="auto"/>
              <w:left w:val="nil"/>
              <w:bottom w:val="nil"/>
              <w:right w:val="nil"/>
            </w:tcBorders>
            <w:shd w:val="clear" w:color="auto" w:fill="auto"/>
            <w:noWrap/>
            <w:vAlign w:val="bottom"/>
            <w:hideMark/>
          </w:tcPr>
          <w:p w14:paraId="7206F7B8"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single" w:sz="4" w:space="0" w:color="auto"/>
              <w:left w:val="nil"/>
              <w:bottom w:val="nil"/>
              <w:right w:val="nil"/>
            </w:tcBorders>
            <w:vAlign w:val="bottom"/>
          </w:tcPr>
          <w:p w14:paraId="63DC972B" w14:textId="0677143A"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2.0</w:t>
            </w:r>
          </w:p>
        </w:tc>
        <w:tc>
          <w:tcPr>
            <w:tcW w:w="540" w:type="dxa"/>
            <w:tcBorders>
              <w:top w:val="single" w:sz="4" w:space="0" w:color="auto"/>
              <w:left w:val="nil"/>
              <w:bottom w:val="nil"/>
              <w:right w:val="nil"/>
            </w:tcBorders>
            <w:shd w:val="clear" w:color="auto" w:fill="auto"/>
            <w:noWrap/>
            <w:vAlign w:val="bottom"/>
            <w:hideMark/>
          </w:tcPr>
          <w:p w14:paraId="695E854D" w14:textId="35E9C2A2"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0EBCD552" w14:textId="77777777" w:rsidTr="009C7F25">
        <w:trPr>
          <w:gridAfter w:val="1"/>
          <w:wAfter w:w="540" w:type="dxa"/>
          <w:trHeight w:val="270"/>
        </w:trPr>
        <w:tc>
          <w:tcPr>
            <w:tcW w:w="3600" w:type="dxa"/>
            <w:gridSpan w:val="3"/>
            <w:tcBorders>
              <w:top w:val="nil"/>
              <w:left w:val="nil"/>
              <w:bottom w:val="nil"/>
              <w:right w:val="nil"/>
            </w:tcBorders>
            <w:shd w:val="clear" w:color="auto" w:fill="auto"/>
            <w:noWrap/>
            <w:vAlign w:val="bottom"/>
            <w:hideMark/>
          </w:tcPr>
          <w:p w14:paraId="51CACE18" w14:textId="77777777"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19. Perp #1 gender</w:t>
            </w:r>
          </w:p>
        </w:tc>
        <w:tc>
          <w:tcPr>
            <w:tcW w:w="945" w:type="dxa"/>
            <w:tcBorders>
              <w:top w:val="nil"/>
              <w:left w:val="nil"/>
              <w:bottom w:val="nil"/>
              <w:right w:val="nil"/>
            </w:tcBorders>
            <w:shd w:val="clear" w:color="auto" w:fill="auto"/>
            <w:noWrap/>
            <w:vAlign w:val="bottom"/>
            <w:hideMark/>
          </w:tcPr>
          <w:p w14:paraId="05DDA1AD" w14:textId="28C63B24"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1.5</w:t>
            </w:r>
          </w:p>
        </w:tc>
        <w:tc>
          <w:tcPr>
            <w:tcW w:w="1035" w:type="dxa"/>
            <w:tcBorders>
              <w:top w:val="nil"/>
              <w:left w:val="nil"/>
              <w:bottom w:val="nil"/>
              <w:right w:val="nil"/>
            </w:tcBorders>
            <w:shd w:val="clear" w:color="auto" w:fill="auto"/>
            <w:noWrap/>
            <w:vAlign w:val="bottom"/>
            <w:hideMark/>
          </w:tcPr>
          <w:p w14:paraId="22901F20"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3C603DFC" w14:textId="6279480D"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1.4</w:t>
            </w:r>
          </w:p>
        </w:tc>
        <w:tc>
          <w:tcPr>
            <w:tcW w:w="540" w:type="dxa"/>
            <w:tcBorders>
              <w:top w:val="nil"/>
              <w:left w:val="nil"/>
              <w:bottom w:val="nil"/>
              <w:right w:val="nil"/>
            </w:tcBorders>
            <w:shd w:val="clear" w:color="auto" w:fill="auto"/>
            <w:noWrap/>
            <w:vAlign w:val="bottom"/>
            <w:hideMark/>
          </w:tcPr>
          <w:p w14:paraId="78772B16" w14:textId="20A0300E"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7D94F4A3" w14:textId="77777777" w:rsidTr="009C7F25">
        <w:trPr>
          <w:gridAfter w:val="1"/>
          <w:wAfter w:w="540" w:type="dxa"/>
          <w:trHeight w:val="270"/>
        </w:trPr>
        <w:tc>
          <w:tcPr>
            <w:tcW w:w="3600" w:type="dxa"/>
            <w:gridSpan w:val="3"/>
            <w:tcBorders>
              <w:top w:val="nil"/>
              <w:left w:val="nil"/>
              <w:right w:val="nil"/>
            </w:tcBorders>
            <w:shd w:val="clear" w:color="auto" w:fill="auto"/>
            <w:noWrap/>
            <w:vAlign w:val="bottom"/>
            <w:hideMark/>
          </w:tcPr>
          <w:p w14:paraId="7D5054AC" w14:textId="77777777"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20. Perp #1 age</w:t>
            </w:r>
          </w:p>
        </w:tc>
        <w:tc>
          <w:tcPr>
            <w:tcW w:w="945" w:type="dxa"/>
            <w:tcBorders>
              <w:top w:val="nil"/>
              <w:left w:val="nil"/>
              <w:right w:val="nil"/>
            </w:tcBorders>
            <w:shd w:val="clear" w:color="auto" w:fill="auto"/>
            <w:noWrap/>
            <w:vAlign w:val="bottom"/>
            <w:hideMark/>
          </w:tcPr>
          <w:p w14:paraId="150DD26A" w14:textId="27C7F0A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2.6</w:t>
            </w:r>
          </w:p>
        </w:tc>
        <w:tc>
          <w:tcPr>
            <w:tcW w:w="1035" w:type="dxa"/>
            <w:tcBorders>
              <w:top w:val="nil"/>
              <w:left w:val="nil"/>
              <w:right w:val="nil"/>
            </w:tcBorders>
            <w:shd w:val="clear" w:color="auto" w:fill="auto"/>
            <w:noWrap/>
            <w:vAlign w:val="bottom"/>
            <w:hideMark/>
          </w:tcPr>
          <w:p w14:paraId="4E4DD8B7"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right w:val="nil"/>
            </w:tcBorders>
            <w:vAlign w:val="bottom"/>
          </w:tcPr>
          <w:p w14:paraId="78C445DB" w14:textId="22202B28"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2.4</w:t>
            </w:r>
          </w:p>
        </w:tc>
        <w:tc>
          <w:tcPr>
            <w:tcW w:w="540" w:type="dxa"/>
            <w:tcBorders>
              <w:top w:val="nil"/>
              <w:left w:val="nil"/>
              <w:right w:val="nil"/>
            </w:tcBorders>
            <w:shd w:val="clear" w:color="auto" w:fill="auto"/>
            <w:noWrap/>
            <w:vAlign w:val="bottom"/>
            <w:hideMark/>
          </w:tcPr>
          <w:p w14:paraId="617917DA" w14:textId="5336CF87"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0340B06D" w14:textId="77777777" w:rsidTr="009C7F25">
        <w:trPr>
          <w:gridAfter w:val="1"/>
          <w:wAfter w:w="540" w:type="dxa"/>
          <w:trHeight w:val="270"/>
        </w:trPr>
        <w:tc>
          <w:tcPr>
            <w:tcW w:w="3600" w:type="dxa"/>
            <w:gridSpan w:val="3"/>
            <w:tcBorders>
              <w:top w:val="nil"/>
              <w:left w:val="nil"/>
              <w:right w:val="nil"/>
            </w:tcBorders>
            <w:shd w:val="clear" w:color="auto" w:fill="auto"/>
            <w:noWrap/>
            <w:vAlign w:val="bottom"/>
            <w:hideMark/>
          </w:tcPr>
          <w:p w14:paraId="567A0760" w14:textId="77777777"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21. Perp #1 race</w:t>
            </w:r>
          </w:p>
        </w:tc>
        <w:tc>
          <w:tcPr>
            <w:tcW w:w="945" w:type="dxa"/>
            <w:tcBorders>
              <w:top w:val="nil"/>
              <w:left w:val="nil"/>
              <w:right w:val="nil"/>
            </w:tcBorders>
            <w:shd w:val="clear" w:color="auto" w:fill="auto"/>
            <w:noWrap/>
            <w:vAlign w:val="bottom"/>
            <w:hideMark/>
          </w:tcPr>
          <w:p w14:paraId="3784AB68" w14:textId="7777777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1.9</w:t>
            </w:r>
          </w:p>
        </w:tc>
        <w:tc>
          <w:tcPr>
            <w:tcW w:w="1035" w:type="dxa"/>
            <w:tcBorders>
              <w:top w:val="nil"/>
              <w:left w:val="nil"/>
              <w:right w:val="nil"/>
            </w:tcBorders>
            <w:shd w:val="clear" w:color="auto" w:fill="auto"/>
            <w:noWrap/>
            <w:vAlign w:val="bottom"/>
            <w:hideMark/>
          </w:tcPr>
          <w:p w14:paraId="77B09968"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c>
          <w:tcPr>
            <w:tcW w:w="630" w:type="dxa"/>
            <w:tcBorders>
              <w:top w:val="nil"/>
              <w:left w:val="nil"/>
              <w:right w:val="nil"/>
            </w:tcBorders>
            <w:vAlign w:val="bottom"/>
          </w:tcPr>
          <w:p w14:paraId="7B33AC58" w14:textId="14846D0D"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2.8</w:t>
            </w:r>
          </w:p>
        </w:tc>
        <w:tc>
          <w:tcPr>
            <w:tcW w:w="540" w:type="dxa"/>
            <w:tcBorders>
              <w:top w:val="nil"/>
              <w:left w:val="nil"/>
              <w:right w:val="nil"/>
            </w:tcBorders>
            <w:shd w:val="clear" w:color="auto" w:fill="auto"/>
            <w:noWrap/>
            <w:vAlign w:val="bottom"/>
            <w:hideMark/>
          </w:tcPr>
          <w:p w14:paraId="780C19A4" w14:textId="1CB8DE45"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r>
      <w:tr w:rsidR="009C65EA" w:rsidRPr="00E80935" w14:paraId="471896EB" w14:textId="77777777" w:rsidTr="009C7F25">
        <w:trPr>
          <w:trHeight w:val="270"/>
        </w:trPr>
        <w:tc>
          <w:tcPr>
            <w:tcW w:w="3600" w:type="dxa"/>
            <w:gridSpan w:val="3"/>
            <w:tcBorders>
              <w:left w:val="nil"/>
              <w:bottom w:val="single" w:sz="4" w:space="0" w:color="auto"/>
              <w:right w:val="nil"/>
            </w:tcBorders>
            <w:shd w:val="clear" w:color="auto" w:fill="auto"/>
            <w:noWrap/>
            <w:vAlign w:val="bottom"/>
          </w:tcPr>
          <w:p w14:paraId="5E40B30C" w14:textId="1E5FD249"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26. Use of force (inmate/youth)</w:t>
            </w:r>
          </w:p>
        </w:tc>
        <w:tc>
          <w:tcPr>
            <w:tcW w:w="945" w:type="dxa"/>
            <w:tcBorders>
              <w:left w:val="nil"/>
              <w:bottom w:val="single" w:sz="4" w:space="0" w:color="auto"/>
              <w:right w:val="nil"/>
            </w:tcBorders>
            <w:shd w:val="clear" w:color="auto" w:fill="auto"/>
            <w:noWrap/>
            <w:vAlign w:val="bottom"/>
          </w:tcPr>
          <w:p w14:paraId="71E6A231" w14:textId="3945C78D"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1.3</w:t>
            </w:r>
          </w:p>
        </w:tc>
        <w:tc>
          <w:tcPr>
            <w:tcW w:w="1035" w:type="dxa"/>
            <w:tcBorders>
              <w:left w:val="nil"/>
              <w:bottom w:val="single" w:sz="4" w:space="0" w:color="auto"/>
              <w:right w:val="nil"/>
            </w:tcBorders>
            <w:shd w:val="clear" w:color="auto" w:fill="auto"/>
            <w:noWrap/>
            <w:vAlign w:val="bottom"/>
          </w:tcPr>
          <w:p w14:paraId="37E92305"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left w:val="nil"/>
              <w:bottom w:val="single" w:sz="4" w:space="0" w:color="auto"/>
              <w:right w:val="nil"/>
            </w:tcBorders>
            <w:vAlign w:val="bottom"/>
          </w:tcPr>
          <w:p w14:paraId="0AD73B03" w14:textId="34E70851"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1.8</w:t>
            </w:r>
          </w:p>
        </w:tc>
        <w:tc>
          <w:tcPr>
            <w:tcW w:w="1080" w:type="dxa"/>
            <w:gridSpan w:val="2"/>
            <w:tcBorders>
              <w:left w:val="nil"/>
              <w:bottom w:val="single" w:sz="4" w:space="0" w:color="auto"/>
              <w:right w:val="nil"/>
            </w:tcBorders>
            <w:shd w:val="clear" w:color="auto" w:fill="auto"/>
            <w:noWrap/>
            <w:vAlign w:val="bottom"/>
          </w:tcPr>
          <w:p w14:paraId="3A46BEF5" w14:textId="3D128724"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4558795D" w14:textId="77777777" w:rsidTr="009C7F25">
        <w:trPr>
          <w:gridAfter w:val="1"/>
          <w:wAfter w:w="540" w:type="dxa"/>
          <w:trHeight w:val="332"/>
        </w:trPr>
        <w:tc>
          <w:tcPr>
            <w:tcW w:w="3600" w:type="dxa"/>
            <w:gridSpan w:val="3"/>
            <w:tcBorders>
              <w:top w:val="single" w:sz="4" w:space="0" w:color="auto"/>
              <w:left w:val="nil"/>
              <w:right w:val="nil"/>
            </w:tcBorders>
            <w:shd w:val="clear" w:color="auto" w:fill="auto"/>
            <w:noWrap/>
            <w:vAlign w:val="bottom"/>
          </w:tcPr>
          <w:p w14:paraId="0B0933FA" w14:textId="5C337D9D"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 xml:space="preserve">28. </w:t>
            </w:r>
            <w:r w:rsidRPr="00E80935">
              <w:rPr>
                <w:rFonts w:ascii="Arial" w:hAnsi="Arial" w:cs="Arial"/>
                <w:b/>
                <w:sz w:val="18"/>
                <w:szCs w:val="18"/>
              </w:rPr>
              <w:t>Use of force (staff)</w:t>
            </w:r>
          </w:p>
        </w:tc>
        <w:tc>
          <w:tcPr>
            <w:tcW w:w="945" w:type="dxa"/>
            <w:tcBorders>
              <w:top w:val="single" w:sz="4" w:space="0" w:color="auto"/>
              <w:left w:val="nil"/>
              <w:right w:val="nil"/>
            </w:tcBorders>
            <w:shd w:val="clear" w:color="auto" w:fill="auto"/>
            <w:noWrap/>
            <w:vAlign w:val="bottom"/>
          </w:tcPr>
          <w:p w14:paraId="6FEC2819" w14:textId="489AA503"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1.6</w:t>
            </w:r>
          </w:p>
        </w:tc>
        <w:tc>
          <w:tcPr>
            <w:tcW w:w="1035" w:type="dxa"/>
            <w:tcBorders>
              <w:top w:val="single" w:sz="4" w:space="0" w:color="auto"/>
              <w:left w:val="nil"/>
              <w:right w:val="nil"/>
            </w:tcBorders>
            <w:shd w:val="clear" w:color="auto" w:fill="auto"/>
            <w:noWrap/>
            <w:vAlign w:val="bottom"/>
          </w:tcPr>
          <w:p w14:paraId="51CB408A" w14:textId="72C9F3CB"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c>
          <w:tcPr>
            <w:tcW w:w="630" w:type="dxa"/>
            <w:tcBorders>
              <w:top w:val="single" w:sz="4" w:space="0" w:color="auto"/>
              <w:left w:val="nil"/>
              <w:right w:val="nil"/>
            </w:tcBorders>
            <w:vAlign w:val="bottom"/>
          </w:tcPr>
          <w:p w14:paraId="2CB389DE" w14:textId="6319E097"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1.2</w:t>
            </w:r>
          </w:p>
        </w:tc>
        <w:tc>
          <w:tcPr>
            <w:tcW w:w="540" w:type="dxa"/>
            <w:tcBorders>
              <w:top w:val="single" w:sz="4" w:space="0" w:color="auto"/>
              <w:left w:val="nil"/>
              <w:right w:val="nil"/>
            </w:tcBorders>
            <w:shd w:val="clear" w:color="auto" w:fill="auto"/>
            <w:noWrap/>
            <w:vAlign w:val="bottom"/>
          </w:tcPr>
          <w:p w14:paraId="3173DFAB" w14:textId="5EC9143A"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w:t>
            </w:r>
          </w:p>
        </w:tc>
      </w:tr>
      <w:tr w:rsidR="009C65EA" w:rsidRPr="00E80935" w14:paraId="2D42EF1E" w14:textId="77777777" w:rsidTr="009C7F25">
        <w:trPr>
          <w:gridAfter w:val="1"/>
          <w:wAfter w:w="540" w:type="dxa"/>
          <w:trHeight w:val="288"/>
        </w:trPr>
        <w:tc>
          <w:tcPr>
            <w:tcW w:w="3600" w:type="dxa"/>
            <w:gridSpan w:val="3"/>
            <w:tcBorders>
              <w:top w:val="nil"/>
              <w:left w:val="nil"/>
              <w:right w:val="nil"/>
            </w:tcBorders>
            <w:shd w:val="clear" w:color="auto" w:fill="auto"/>
            <w:noWrap/>
            <w:vAlign w:val="bottom"/>
            <w:hideMark/>
          </w:tcPr>
          <w:p w14:paraId="6E34C13F" w14:textId="7A99ED55"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29. # of staff perps</w:t>
            </w:r>
          </w:p>
        </w:tc>
        <w:tc>
          <w:tcPr>
            <w:tcW w:w="945" w:type="dxa"/>
            <w:tcBorders>
              <w:top w:val="nil"/>
              <w:left w:val="nil"/>
              <w:right w:val="nil"/>
            </w:tcBorders>
            <w:shd w:val="clear" w:color="auto" w:fill="auto"/>
            <w:noWrap/>
            <w:vAlign w:val="bottom"/>
            <w:hideMark/>
          </w:tcPr>
          <w:p w14:paraId="3AFAD2BF" w14:textId="0DFE3709"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0.3</w:t>
            </w:r>
          </w:p>
        </w:tc>
        <w:tc>
          <w:tcPr>
            <w:tcW w:w="1035" w:type="dxa"/>
            <w:tcBorders>
              <w:top w:val="nil"/>
              <w:left w:val="nil"/>
              <w:right w:val="nil"/>
            </w:tcBorders>
            <w:shd w:val="clear" w:color="auto" w:fill="auto"/>
            <w:noWrap/>
            <w:vAlign w:val="bottom"/>
            <w:hideMark/>
          </w:tcPr>
          <w:p w14:paraId="4373CBC5"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c>
          <w:tcPr>
            <w:tcW w:w="630" w:type="dxa"/>
            <w:tcBorders>
              <w:top w:val="nil"/>
              <w:left w:val="nil"/>
              <w:right w:val="nil"/>
            </w:tcBorders>
            <w:vAlign w:val="bottom"/>
          </w:tcPr>
          <w:p w14:paraId="2B7671DD" w14:textId="4DFB57FA"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540" w:type="dxa"/>
            <w:tcBorders>
              <w:top w:val="nil"/>
              <w:left w:val="nil"/>
              <w:right w:val="nil"/>
            </w:tcBorders>
            <w:shd w:val="clear" w:color="auto" w:fill="auto"/>
            <w:noWrap/>
            <w:vAlign w:val="bottom"/>
            <w:hideMark/>
          </w:tcPr>
          <w:p w14:paraId="30BF12D9" w14:textId="7EBCC8F6"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r>
      <w:tr w:rsidR="009C65EA" w:rsidRPr="00E80935" w14:paraId="0F760E44" w14:textId="77777777" w:rsidTr="009C7F25">
        <w:trPr>
          <w:trHeight w:val="270"/>
        </w:trPr>
        <w:tc>
          <w:tcPr>
            <w:tcW w:w="3600" w:type="dxa"/>
            <w:gridSpan w:val="3"/>
            <w:tcBorders>
              <w:left w:val="nil"/>
              <w:bottom w:val="nil"/>
              <w:right w:val="nil"/>
            </w:tcBorders>
            <w:shd w:val="clear" w:color="auto" w:fill="auto"/>
            <w:noWrap/>
            <w:vAlign w:val="bottom"/>
            <w:hideMark/>
          </w:tcPr>
          <w:p w14:paraId="7BDC1508" w14:textId="77777777"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30. Perp #1 gender</w:t>
            </w:r>
          </w:p>
        </w:tc>
        <w:tc>
          <w:tcPr>
            <w:tcW w:w="945" w:type="dxa"/>
            <w:tcBorders>
              <w:left w:val="nil"/>
              <w:bottom w:val="nil"/>
              <w:right w:val="nil"/>
            </w:tcBorders>
            <w:shd w:val="clear" w:color="auto" w:fill="auto"/>
            <w:noWrap/>
            <w:vAlign w:val="bottom"/>
            <w:hideMark/>
          </w:tcPr>
          <w:p w14:paraId="6FA91878" w14:textId="13750C5C"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0.2</w:t>
            </w:r>
          </w:p>
        </w:tc>
        <w:tc>
          <w:tcPr>
            <w:tcW w:w="1035" w:type="dxa"/>
            <w:tcBorders>
              <w:left w:val="nil"/>
              <w:bottom w:val="nil"/>
              <w:right w:val="nil"/>
            </w:tcBorders>
            <w:shd w:val="clear" w:color="auto" w:fill="auto"/>
            <w:noWrap/>
            <w:vAlign w:val="bottom"/>
            <w:hideMark/>
          </w:tcPr>
          <w:p w14:paraId="451CB0B9"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2E176D43" w14:textId="52B864E2"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0.0</w:t>
            </w:r>
          </w:p>
        </w:tc>
        <w:tc>
          <w:tcPr>
            <w:tcW w:w="1080" w:type="dxa"/>
            <w:gridSpan w:val="2"/>
            <w:tcBorders>
              <w:top w:val="nil"/>
              <w:left w:val="nil"/>
              <w:bottom w:val="nil"/>
              <w:right w:val="nil"/>
            </w:tcBorders>
            <w:shd w:val="clear" w:color="auto" w:fill="auto"/>
            <w:noWrap/>
            <w:vAlign w:val="bottom"/>
            <w:hideMark/>
          </w:tcPr>
          <w:p w14:paraId="32AC1A34" w14:textId="79FB05B8"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1C170948" w14:textId="77777777" w:rsidTr="009C7F25">
        <w:trPr>
          <w:trHeight w:val="270"/>
        </w:trPr>
        <w:tc>
          <w:tcPr>
            <w:tcW w:w="3600" w:type="dxa"/>
            <w:gridSpan w:val="3"/>
            <w:tcBorders>
              <w:top w:val="nil"/>
              <w:left w:val="nil"/>
              <w:right w:val="nil"/>
            </w:tcBorders>
            <w:shd w:val="clear" w:color="auto" w:fill="auto"/>
            <w:noWrap/>
            <w:vAlign w:val="bottom"/>
            <w:hideMark/>
          </w:tcPr>
          <w:p w14:paraId="3F0E0438" w14:textId="77777777"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31. Perp #1 age</w:t>
            </w:r>
          </w:p>
        </w:tc>
        <w:tc>
          <w:tcPr>
            <w:tcW w:w="945" w:type="dxa"/>
            <w:tcBorders>
              <w:top w:val="nil"/>
              <w:left w:val="nil"/>
              <w:right w:val="nil"/>
            </w:tcBorders>
            <w:shd w:val="clear" w:color="auto" w:fill="auto"/>
            <w:noWrap/>
            <w:vAlign w:val="bottom"/>
            <w:hideMark/>
          </w:tcPr>
          <w:p w14:paraId="70AF5E56" w14:textId="6FF7CEF0"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3.0</w:t>
            </w:r>
          </w:p>
        </w:tc>
        <w:tc>
          <w:tcPr>
            <w:tcW w:w="1035" w:type="dxa"/>
            <w:tcBorders>
              <w:top w:val="nil"/>
              <w:left w:val="nil"/>
              <w:right w:val="nil"/>
            </w:tcBorders>
            <w:shd w:val="clear" w:color="auto" w:fill="auto"/>
            <w:noWrap/>
            <w:vAlign w:val="bottom"/>
            <w:hideMark/>
          </w:tcPr>
          <w:p w14:paraId="12C309AC" w14:textId="77777777" w:rsidR="009C65EA" w:rsidRPr="00E80935" w:rsidRDefault="009C65EA" w:rsidP="009C65EA">
            <w:pPr>
              <w:widowControl/>
              <w:autoSpaceDE/>
              <w:autoSpaceDN/>
              <w:adjustRightInd/>
              <w:spacing w:line="19" w:lineRule="atLeast"/>
              <w:rPr>
                <w:rFonts w:ascii="Arial" w:hAnsi="Arial" w:cs="Arial"/>
                <w:sz w:val="18"/>
                <w:szCs w:val="18"/>
              </w:rPr>
            </w:pPr>
          </w:p>
        </w:tc>
        <w:tc>
          <w:tcPr>
            <w:tcW w:w="630" w:type="dxa"/>
            <w:tcBorders>
              <w:top w:val="nil"/>
              <w:left w:val="nil"/>
              <w:right w:val="nil"/>
            </w:tcBorders>
            <w:vAlign w:val="bottom"/>
          </w:tcPr>
          <w:p w14:paraId="27DD9697" w14:textId="1106F74B"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1.2</w:t>
            </w:r>
          </w:p>
        </w:tc>
        <w:tc>
          <w:tcPr>
            <w:tcW w:w="1080" w:type="dxa"/>
            <w:gridSpan w:val="2"/>
            <w:tcBorders>
              <w:top w:val="nil"/>
              <w:left w:val="nil"/>
              <w:right w:val="nil"/>
            </w:tcBorders>
            <w:shd w:val="clear" w:color="auto" w:fill="auto"/>
            <w:noWrap/>
            <w:vAlign w:val="bottom"/>
            <w:hideMark/>
          </w:tcPr>
          <w:p w14:paraId="1AC53F38" w14:textId="53C78246" w:rsidR="009C65EA" w:rsidRPr="00E80935" w:rsidRDefault="009C65EA" w:rsidP="009C65EA">
            <w:pPr>
              <w:widowControl/>
              <w:autoSpaceDE/>
              <w:autoSpaceDN/>
              <w:adjustRightInd/>
              <w:spacing w:line="19" w:lineRule="atLeast"/>
              <w:rPr>
                <w:rFonts w:ascii="Arial" w:hAnsi="Arial" w:cs="Arial"/>
                <w:sz w:val="18"/>
                <w:szCs w:val="18"/>
              </w:rPr>
            </w:pPr>
          </w:p>
        </w:tc>
      </w:tr>
      <w:tr w:rsidR="009C65EA" w:rsidRPr="00E80935" w14:paraId="7B2AF179" w14:textId="77777777" w:rsidTr="009C7F25">
        <w:trPr>
          <w:trHeight w:val="270"/>
        </w:trPr>
        <w:tc>
          <w:tcPr>
            <w:tcW w:w="3600" w:type="dxa"/>
            <w:gridSpan w:val="3"/>
            <w:tcBorders>
              <w:top w:val="nil"/>
              <w:left w:val="nil"/>
              <w:bottom w:val="single" w:sz="4" w:space="0" w:color="auto"/>
              <w:right w:val="nil"/>
            </w:tcBorders>
            <w:shd w:val="clear" w:color="auto" w:fill="auto"/>
            <w:noWrap/>
            <w:vAlign w:val="bottom"/>
            <w:hideMark/>
          </w:tcPr>
          <w:p w14:paraId="3ACBE300" w14:textId="77777777" w:rsidR="009C65EA" w:rsidRPr="00E80935" w:rsidRDefault="009C65EA" w:rsidP="009C65EA">
            <w:pPr>
              <w:widowControl/>
              <w:autoSpaceDE/>
              <w:autoSpaceDN/>
              <w:adjustRightInd/>
              <w:spacing w:line="19" w:lineRule="atLeast"/>
              <w:rPr>
                <w:rFonts w:ascii="Arial" w:hAnsi="Arial" w:cs="Arial"/>
                <w:b/>
                <w:bCs/>
                <w:sz w:val="18"/>
                <w:szCs w:val="18"/>
              </w:rPr>
            </w:pPr>
            <w:r w:rsidRPr="00E80935">
              <w:rPr>
                <w:rFonts w:ascii="Arial" w:hAnsi="Arial" w:cs="Arial"/>
                <w:b/>
                <w:bCs/>
                <w:sz w:val="18"/>
                <w:szCs w:val="18"/>
              </w:rPr>
              <w:t>32. Perp #1 race</w:t>
            </w:r>
          </w:p>
        </w:tc>
        <w:tc>
          <w:tcPr>
            <w:tcW w:w="945" w:type="dxa"/>
            <w:tcBorders>
              <w:top w:val="nil"/>
              <w:left w:val="nil"/>
              <w:bottom w:val="single" w:sz="4" w:space="0" w:color="auto"/>
              <w:right w:val="nil"/>
            </w:tcBorders>
            <w:shd w:val="clear" w:color="auto" w:fill="auto"/>
            <w:noWrap/>
            <w:vAlign w:val="bottom"/>
            <w:hideMark/>
          </w:tcPr>
          <w:p w14:paraId="6632A8D5" w14:textId="2B4F9E14"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1.0</w:t>
            </w:r>
          </w:p>
        </w:tc>
        <w:tc>
          <w:tcPr>
            <w:tcW w:w="1035" w:type="dxa"/>
            <w:tcBorders>
              <w:top w:val="nil"/>
              <w:left w:val="nil"/>
              <w:bottom w:val="single" w:sz="4" w:space="0" w:color="auto"/>
              <w:right w:val="nil"/>
            </w:tcBorders>
            <w:shd w:val="clear" w:color="auto" w:fill="auto"/>
            <w:noWrap/>
            <w:vAlign w:val="bottom"/>
            <w:hideMark/>
          </w:tcPr>
          <w:p w14:paraId="4083F05C" w14:textId="77777777"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c>
          <w:tcPr>
            <w:tcW w:w="630" w:type="dxa"/>
            <w:tcBorders>
              <w:top w:val="nil"/>
              <w:left w:val="nil"/>
              <w:bottom w:val="single" w:sz="4" w:space="0" w:color="auto"/>
              <w:right w:val="nil"/>
            </w:tcBorders>
            <w:vAlign w:val="bottom"/>
          </w:tcPr>
          <w:p w14:paraId="080DEB4A" w14:textId="061C52E2" w:rsidR="009C65EA" w:rsidRPr="00E80935" w:rsidRDefault="009C65EA" w:rsidP="009C65EA">
            <w:pPr>
              <w:widowControl/>
              <w:autoSpaceDE/>
              <w:autoSpaceDN/>
              <w:adjustRightInd/>
              <w:spacing w:line="19" w:lineRule="atLeast"/>
              <w:jc w:val="right"/>
              <w:rPr>
                <w:rFonts w:ascii="Arial" w:hAnsi="Arial" w:cs="Arial"/>
                <w:sz w:val="18"/>
                <w:szCs w:val="18"/>
              </w:rPr>
            </w:pPr>
            <w:r w:rsidRPr="00E80935">
              <w:rPr>
                <w:rFonts w:ascii="Arial" w:hAnsi="Arial" w:cs="Arial"/>
                <w:sz w:val="18"/>
                <w:szCs w:val="18"/>
              </w:rPr>
              <w:t>1.2</w:t>
            </w:r>
          </w:p>
        </w:tc>
        <w:tc>
          <w:tcPr>
            <w:tcW w:w="1080" w:type="dxa"/>
            <w:gridSpan w:val="2"/>
            <w:tcBorders>
              <w:top w:val="nil"/>
              <w:left w:val="nil"/>
              <w:bottom w:val="single" w:sz="4" w:space="0" w:color="auto"/>
              <w:right w:val="nil"/>
            </w:tcBorders>
            <w:shd w:val="clear" w:color="auto" w:fill="auto"/>
            <w:noWrap/>
            <w:vAlign w:val="bottom"/>
            <w:hideMark/>
          </w:tcPr>
          <w:p w14:paraId="610AECCA" w14:textId="7AE6EC8E" w:rsidR="009C65EA" w:rsidRPr="00E80935" w:rsidRDefault="009C65EA" w:rsidP="009C65EA">
            <w:pPr>
              <w:widowControl/>
              <w:autoSpaceDE/>
              <w:autoSpaceDN/>
              <w:adjustRightInd/>
              <w:spacing w:line="19" w:lineRule="atLeast"/>
              <w:rPr>
                <w:rFonts w:ascii="Arial" w:hAnsi="Arial" w:cs="Arial"/>
                <w:sz w:val="18"/>
                <w:szCs w:val="18"/>
              </w:rPr>
            </w:pPr>
            <w:r w:rsidRPr="00E80935">
              <w:rPr>
                <w:rFonts w:ascii="Arial" w:hAnsi="Arial" w:cs="Arial"/>
                <w:sz w:val="18"/>
                <w:szCs w:val="18"/>
              </w:rPr>
              <w:t> </w:t>
            </w:r>
          </w:p>
        </w:tc>
      </w:tr>
    </w:tbl>
    <w:p w14:paraId="0E66313B" w14:textId="77777777" w:rsidR="009C7F25" w:rsidRPr="00E80935" w:rsidRDefault="009C7F25" w:rsidP="003B4865">
      <w:pPr>
        <w:ind w:left="720"/>
      </w:pPr>
    </w:p>
    <w:p w14:paraId="1D8AC3DF" w14:textId="77777777" w:rsidR="009C7F25" w:rsidRPr="00E80935" w:rsidRDefault="009C7F25">
      <w:pPr>
        <w:widowControl/>
        <w:autoSpaceDE/>
        <w:autoSpaceDN/>
        <w:adjustRightInd/>
      </w:pPr>
      <w:r w:rsidRPr="00E80935">
        <w:br w:type="page"/>
      </w:r>
    </w:p>
    <w:p w14:paraId="08280B66" w14:textId="32613EC9" w:rsidR="003B4865" w:rsidRPr="00E80935" w:rsidRDefault="00936A0A" w:rsidP="003B4865">
      <w:pPr>
        <w:ind w:left="720"/>
      </w:pPr>
      <w:r w:rsidRPr="00E80935">
        <w:t>A few</w:t>
      </w:r>
      <w:r w:rsidR="003B4865" w:rsidRPr="00E80935">
        <w:t xml:space="preserve"> items related to </w:t>
      </w:r>
      <w:r w:rsidRPr="00E80935">
        <w:t xml:space="preserve">the </w:t>
      </w:r>
      <w:r w:rsidR="003B4865" w:rsidRPr="00E80935">
        <w:t xml:space="preserve">details of incidents have non-response rates greater than </w:t>
      </w:r>
      <w:r w:rsidR="00EF553E" w:rsidRPr="00E80935">
        <w:t>5</w:t>
      </w:r>
      <w:r w:rsidR="003B4865" w:rsidRPr="00E80935">
        <w:t xml:space="preserve">%.  </w:t>
      </w:r>
      <w:r w:rsidR="00EF553E" w:rsidRPr="00E80935">
        <w:t xml:space="preserve">On the adult Substantiated Incident forms for SSV 2016, item non-response rates were greater than 5% </w:t>
      </w:r>
      <w:r w:rsidR="00BD766C" w:rsidRPr="00E80935">
        <w:t xml:space="preserve">for </w:t>
      </w:r>
      <w:r w:rsidR="00EF553E" w:rsidRPr="00E80935">
        <w:t>the following</w:t>
      </w:r>
      <w:r w:rsidR="00BD766C" w:rsidRPr="00E80935">
        <w:t xml:space="preserve"> items</w:t>
      </w:r>
      <w:r w:rsidR="00905C0E" w:rsidRPr="00E80935">
        <w:t xml:space="preserve"> (n’s are the same as </w:t>
      </w:r>
      <w:r w:rsidR="009C7F25" w:rsidRPr="00E80935">
        <w:t>in table 5</w:t>
      </w:r>
      <w:r w:rsidR="00905C0E" w:rsidRPr="00E80935">
        <w:t xml:space="preserve"> unless otherwise noted)</w:t>
      </w:r>
      <w:r w:rsidR="00BD766C" w:rsidRPr="00E80935">
        <w:t>:</w:t>
      </w:r>
      <w:r w:rsidR="00EF553E" w:rsidRPr="00E80935">
        <w:t xml:space="preserve"> </w:t>
      </w:r>
    </w:p>
    <w:p w14:paraId="4D104488" w14:textId="77777777" w:rsidR="00EF553E" w:rsidRPr="00E80935" w:rsidRDefault="00EF553E" w:rsidP="00EF553E">
      <w:pPr>
        <w:numPr>
          <w:ilvl w:val="1"/>
          <w:numId w:val="16"/>
        </w:numPr>
        <w:ind w:left="990" w:hanging="180"/>
      </w:pPr>
      <w:r w:rsidRPr="00E80935">
        <w:t xml:space="preserve">item 3, where incident occurred (6.6% for staff-on-inmate victimization); </w:t>
      </w:r>
    </w:p>
    <w:p w14:paraId="0421E0A3" w14:textId="23BE5502" w:rsidR="00EF553E" w:rsidRPr="00E80935" w:rsidRDefault="00EF553E" w:rsidP="00EF553E">
      <w:pPr>
        <w:numPr>
          <w:ilvl w:val="1"/>
          <w:numId w:val="16"/>
        </w:numPr>
        <w:ind w:left="990" w:hanging="180"/>
      </w:pPr>
      <w:r w:rsidRPr="00E80935">
        <w:t xml:space="preserve">item 4, video monitoring of location of incident (12.9% inmate-on-inmate and 20.8% staff-on-inmate); </w:t>
      </w:r>
    </w:p>
    <w:p w14:paraId="22B38EC7" w14:textId="61C50299" w:rsidR="00EF553E" w:rsidRPr="00E80935" w:rsidRDefault="00EF553E" w:rsidP="00EF553E">
      <w:pPr>
        <w:numPr>
          <w:ilvl w:val="1"/>
          <w:numId w:val="16"/>
        </w:numPr>
        <w:ind w:left="990" w:hanging="180"/>
      </w:pPr>
      <w:r w:rsidRPr="00E80935">
        <w:t xml:space="preserve">item 5, time of occurrence (21.3% inmate-on-inmate, 33.2% staff-on-inmate); </w:t>
      </w:r>
    </w:p>
    <w:p w14:paraId="5D793FA8" w14:textId="5E018E3B" w:rsidR="00EF553E" w:rsidRPr="00E80935" w:rsidRDefault="00EF553E" w:rsidP="00EF553E">
      <w:pPr>
        <w:numPr>
          <w:ilvl w:val="1"/>
          <w:numId w:val="16"/>
        </w:numPr>
        <w:ind w:left="990" w:hanging="180"/>
      </w:pPr>
      <w:r w:rsidRPr="00E80935">
        <w:t>item 13a, type of injury to victim (20.0% staff-on-inmate</w:t>
      </w:r>
      <w:r w:rsidR="00936A0A" w:rsidRPr="00E80935">
        <w:t>, n = 5</w:t>
      </w:r>
      <w:r w:rsidRPr="00E80935">
        <w:t xml:space="preserve">); </w:t>
      </w:r>
    </w:p>
    <w:p w14:paraId="0F8C084B" w14:textId="7CBA67CA" w:rsidR="00EF553E" w:rsidRPr="00E80935" w:rsidRDefault="00EF553E" w:rsidP="00EF553E">
      <w:pPr>
        <w:numPr>
          <w:ilvl w:val="1"/>
          <w:numId w:val="16"/>
        </w:numPr>
        <w:ind w:left="990" w:hanging="180"/>
      </w:pPr>
      <w:r w:rsidRPr="00E80935">
        <w:t>item 13b, treatment received by injured victim (12.5% inmate-on-inmate</w:t>
      </w:r>
      <w:r w:rsidR="00905C0E" w:rsidRPr="00E80935">
        <w:t>, n = 96</w:t>
      </w:r>
      <w:r w:rsidRPr="00E80935">
        <w:t xml:space="preserve">); </w:t>
      </w:r>
    </w:p>
    <w:p w14:paraId="0A26ED2E" w14:textId="162CA1FA" w:rsidR="00EF553E" w:rsidRPr="00E80935" w:rsidRDefault="00EF553E" w:rsidP="00EF553E">
      <w:pPr>
        <w:numPr>
          <w:ilvl w:val="1"/>
          <w:numId w:val="16"/>
        </w:numPr>
        <w:ind w:left="990" w:hanging="180"/>
      </w:pPr>
      <w:r w:rsidRPr="00E80935">
        <w:t>item 23, age of second inmate perpetrator (9.7% inmate-on-inmate</w:t>
      </w:r>
      <w:r w:rsidR="00905C0E" w:rsidRPr="00E80935">
        <w:t>, n = 103</w:t>
      </w:r>
      <w:r w:rsidRPr="00E80935">
        <w:t xml:space="preserve">); and </w:t>
      </w:r>
    </w:p>
    <w:p w14:paraId="1265BF93" w14:textId="494EB562" w:rsidR="00EF553E" w:rsidRPr="00E80935" w:rsidRDefault="00EF553E" w:rsidP="00EF553E">
      <w:pPr>
        <w:numPr>
          <w:ilvl w:val="1"/>
          <w:numId w:val="16"/>
        </w:numPr>
        <w:ind w:left="990" w:hanging="180"/>
      </w:pPr>
      <w:r w:rsidRPr="00E80935">
        <w:t>item 34, age of second staff perpetrator (13.0% staff-on-inmate</w:t>
      </w:r>
      <w:r w:rsidR="00905C0E" w:rsidRPr="00E80935">
        <w:t>, n = 23</w:t>
      </w:r>
      <w:r w:rsidRPr="00E80935">
        <w:t xml:space="preserve">). </w:t>
      </w:r>
    </w:p>
    <w:p w14:paraId="7E64518C" w14:textId="77777777" w:rsidR="00EF553E" w:rsidRPr="00E80935" w:rsidRDefault="00EF553E" w:rsidP="00EF553E"/>
    <w:p w14:paraId="7ACCBD16" w14:textId="48E77D0B" w:rsidR="00BD766C" w:rsidRPr="00E80935" w:rsidRDefault="00BD766C" w:rsidP="00BD766C">
      <w:pPr>
        <w:ind w:left="720"/>
      </w:pPr>
      <w:r w:rsidRPr="00E80935">
        <w:t>On the juvenile Substantiated Incident forms for SSV 2016, item non-response rates were greater than 5% for the following items</w:t>
      </w:r>
      <w:r w:rsidR="009C7F25" w:rsidRPr="00E80935">
        <w:t xml:space="preserve"> (n’s are the same as in table 5 unless otherwise noted)</w:t>
      </w:r>
      <w:r w:rsidRPr="00E80935">
        <w:t>:</w:t>
      </w:r>
    </w:p>
    <w:p w14:paraId="3C0C2D37" w14:textId="3AECCF3C" w:rsidR="00EF553E" w:rsidRPr="00E80935" w:rsidRDefault="00EF553E" w:rsidP="00EF553E">
      <w:pPr>
        <w:numPr>
          <w:ilvl w:val="1"/>
          <w:numId w:val="16"/>
        </w:numPr>
        <w:ind w:left="990" w:hanging="180"/>
      </w:pPr>
      <w:r w:rsidRPr="00E80935">
        <w:t>item 3, where incident occurred (5.8% for staff-on-</w:t>
      </w:r>
      <w:r w:rsidR="00905C0E" w:rsidRPr="00E80935">
        <w:t>youth</w:t>
      </w:r>
      <w:r w:rsidRPr="00E80935">
        <w:t xml:space="preserve"> victimization);</w:t>
      </w:r>
    </w:p>
    <w:p w14:paraId="3A2F62A9" w14:textId="29D6F4C2" w:rsidR="00EF553E" w:rsidRPr="00E80935" w:rsidRDefault="00EF553E" w:rsidP="00EF553E">
      <w:pPr>
        <w:numPr>
          <w:ilvl w:val="1"/>
          <w:numId w:val="16"/>
        </w:numPr>
        <w:ind w:left="990" w:hanging="180"/>
      </w:pPr>
      <w:r w:rsidRPr="00E80935">
        <w:t xml:space="preserve">item 4, video monitoring of location of incident (10.3% youth-on youth and 9.3% staff-on-youth); </w:t>
      </w:r>
    </w:p>
    <w:p w14:paraId="46E8B267" w14:textId="1718C648" w:rsidR="00EF553E" w:rsidRPr="00E80935" w:rsidRDefault="00EF553E" w:rsidP="00EF553E">
      <w:pPr>
        <w:numPr>
          <w:ilvl w:val="1"/>
          <w:numId w:val="16"/>
        </w:numPr>
        <w:ind w:left="990" w:hanging="180"/>
      </w:pPr>
      <w:r w:rsidRPr="00E80935">
        <w:t xml:space="preserve">item 5, time of occurrence (9.3% youth-on-youth, 30.2% staff-on youth); </w:t>
      </w:r>
    </w:p>
    <w:p w14:paraId="6810FE6B" w14:textId="191032AB" w:rsidR="00EF553E" w:rsidRPr="00E80935" w:rsidRDefault="00EF553E" w:rsidP="00EF553E">
      <w:pPr>
        <w:numPr>
          <w:ilvl w:val="1"/>
          <w:numId w:val="16"/>
        </w:numPr>
        <w:ind w:left="990" w:hanging="180"/>
      </w:pPr>
      <w:r w:rsidRPr="00E80935">
        <w:t>item 10, sex/gender identity of second victim (6.8% youth-on-youth</w:t>
      </w:r>
      <w:r w:rsidR="00905C0E" w:rsidRPr="00E80935">
        <w:t>, n = 59</w:t>
      </w:r>
      <w:r w:rsidRPr="00E80935">
        <w:t>);</w:t>
      </w:r>
    </w:p>
    <w:p w14:paraId="6EFD4960" w14:textId="1B282F8E" w:rsidR="00EF553E" w:rsidRPr="00E80935" w:rsidRDefault="00EF553E" w:rsidP="00905C0E">
      <w:pPr>
        <w:numPr>
          <w:ilvl w:val="1"/>
          <w:numId w:val="16"/>
        </w:numPr>
        <w:ind w:left="990" w:right="270" w:hanging="180"/>
      </w:pPr>
      <w:r w:rsidRPr="00E80935">
        <w:t>item 11, age of second victim (11.9% youth-on-youth</w:t>
      </w:r>
      <w:r w:rsidR="00905C0E" w:rsidRPr="00E80935">
        <w:t>, n = 59</w:t>
      </w:r>
      <w:r w:rsidRPr="00E80935">
        <w:t>, 9.1% staff-on-youth</w:t>
      </w:r>
      <w:r w:rsidR="00905C0E" w:rsidRPr="00E80935">
        <w:t>, n = 11</w:t>
      </w:r>
      <w:r w:rsidRPr="00E80935">
        <w:t xml:space="preserve">); </w:t>
      </w:r>
    </w:p>
    <w:p w14:paraId="05F4E768" w14:textId="217E6395" w:rsidR="00EF553E" w:rsidRPr="00E80935" w:rsidRDefault="00EF553E" w:rsidP="00EF553E">
      <w:pPr>
        <w:numPr>
          <w:ilvl w:val="1"/>
          <w:numId w:val="16"/>
        </w:numPr>
        <w:ind w:left="990" w:hanging="180"/>
      </w:pPr>
      <w:r w:rsidRPr="00E80935">
        <w:t>item 12, race of second victim (6.8% youth-on-youth</w:t>
      </w:r>
      <w:r w:rsidR="00905C0E" w:rsidRPr="00E80935">
        <w:t>, n = 59</w:t>
      </w:r>
      <w:r w:rsidRPr="00E80935">
        <w:t>);</w:t>
      </w:r>
    </w:p>
    <w:p w14:paraId="1F5E3A41" w14:textId="08BF067A" w:rsidR="00EF553E" w:rsidRPr="00E80935" w:rsidRDefault="00EF553E" w:rsidP="00EF553E">
      <w:pPr>
        <w:numPr>
          <w:ilvl w:val="1"/>
          <w:numId w:val="16"/>
        </w:numPr>
        <w:ind w:left="990" w:hanging="180"/>
      </w:pPr>
      <w:r w:rsidRPr="00E80935">
        <w:t>item 13a, type of injury to victim (20.0% youth-on-youth</w:t>
      </w:r>
      <w:r w:rsidR="00905C0E" w:rsidRPr="00E80935">
        <w:t>, n = 5</w:t>
      </w:r>
      <w:r w:rsidRPr="00E80935">
        <w:t>);</w:t>
      </w:r>
    </w:p>
    <w:p w14:paraId="7CED8F4D" w14:textId="367886A7" w:rsidR="00EF553E" w:rsidRPr="00E80935" w:rsidRDefault="00EF553E" w:rsidP="00EF553E">
      <w:pPr>
        <w:numPr>
          <w:ilvl w:val="1"/>
          <w:numId w:val="16"/>
        </w:numPr>
        <w:ind w:left="990" w:hanging="180"/>
      </w:pPr>
      <w:r w:rsidRPr="00E80935">
        <w:t>item 13b, treatment of injured victim (60.0% youth-on-youth (</w:t>
      </w:r>
      <w:r w:rsidR="00905C0E" w:rsidRPr="00E80935">
        <w:t xml:space="preserve">n = </w:t>
      </w:r>
      <w:r w:rsidRPr="00E80935">
        <w:t xml:space="preserve">5)); </w:t>
      </w:r>
    </w:p>
    <w:p w14:paraId="409F65F3" w14:textId="23682467" w:rsidR="00EF553E" w:rsidRPr="00E80935" w:rsidRDefault="00EF553E" w:rsidP="00EF553E">
      <w:pPr>
        <w:numPr>
          <w:ilvl w:val="1"/>
          <w:numId w:val="16"/>
        </w:numPr>
        <w:ind w:left="990" w:hanging="180"/>
      </w:pPr>
      <w:r w:rsidRPr="00E80935">
        <w:t xml:space="preserve">item 34, age of second staff </w:t>
      </w:r>
      <w:r w:rsidRPr="00E80935" w:rsidDel="006A0AAA">
        <w:t xml:space="preserve">perpetrator </w:t>
      </w:r>
      <w:r w:rsidRPr="00E80935">
        <w:t>(33% staff-on youth</w:t>
      </w:r>
      <w:r w:rsidR="00905C0E" w:rsidRPr="00E80935">
        <w:t>, n = 3</w:t>
      </w:r>
      <w:r w:rsidRPr="00E80935">
        <w:t>).</w:t>
      </w:r>
    </w:p>
    <w:p w14:paraId="741C990A" w14:textId="77777777" w:rsidR="003B4865" w:rsidRPr="00E80935" w:rsidRDefault="003B4865" w:rsidP="002A132B">
      <w:pPr>
        <w:widowControl/>
        <w:ind w:left="720"/>
      </w:pPr>
    </w:p>
    <w:p w14:paraId="301314E0" w14:textId="1FC86206" w:rsidR="002A132B" w:rsidRPr="00E80935" w:rsidRDefault="00895375" w:rsidP="002A132B">
      <w:pPr>
        <w:widowControl/>
        <w:ind w:left="720"/>
        <w:rPr>
          <w:rFonts w:ascii="Times New Roman" w:hAnsi="Times New Roman"/>
        </w:rPr>
      </w:pPr>
      <w:r w:rsidRPr="00E80935">
        <w:t>S</w:t>
      </w:r>
      <w:r w:rsidR="006A0F9E" w:rsidRPr="00E80935">
        <w:t xml:space="preserve">ome of these rates may be considered high, </w:t>
      </w:r>
      <w:r w:rsidRPr="00E80935">
        <w:t>however, it is important</w:t>
      </w:r>
      <w:r w:rsidR="006A0F9E" w:rsidRPr="00E80935">
        <w:t xml:space="preserve"> to track these characteristics. </w:t>
      </w:r>
      <w:r w:rsidR="009C7F25" w:rsidRPr="00E80935">
        <w:t>I</w:t>
      </w:r>
      <w:r w:rsidRPr="00E80935">
        <w:t>n m</w:t>
      </w:r>
      <w:r w:rsidR="001451A4" w:rsidRPr="00E80935">
        <w:t>any</w:t>
      </w:r>
      <w:r w:rsidR="006A0F9E" w:rsidRPr="00E80935">
        <w:t xml:space="preserve"> </w:t>
      </w:r>
      <w:r w:rsidRPr="00E80935">
        <w:t>cases</w:t>
      </w:r>
      <w:r w:rsidR="009C7F25" w:rsidRPr="00E80935">
        <w:t>,</w:t>
      </w:r>
      <w:r w:rsidRPr="00E80935">
        <w:t xml:space="preserve"> the </w:t>
      </w:r>
      <w:r w:rsidR="006A0F9E" w:rsidRPr="00E80935">
        <w:t xml:space="preserve">item specific non-response rates reflect an absence of information, even </w:t>
      </w:r>
      <w:r w:rsidRPr="00E80935">
        <w:t>after</w:t>
      </w:r>
      <w:r w:rsidR="006A0F9E" w:rsidRPr="00E80935">
        <w:t xml:space="preserve"> an investigation</w:t>
      </w:r>
      <w:r w:rsidRPr="00E80935">
        <w:t xml:space="preserve"> is complete</w:t>
      </w:r>
      <w:r w:rsidR="00F37CEF" w:rsidRPr="00E80935">
        <w:t>.</w:t>
      </w:r>
    </w:p>
    <w:p w14:paraId="6714A4DF" w14:textId="77777777" w:rsidR="002616AB" w:rsidRPr="00E80935" w:rsidRDefault="002616AB" w:rsidP="00715936">
      <w:pPr>
        <w:widowControl/>
        <w:rPr>
          <w:rFonts w:ascii="Times New Roman" w:hAnsi="Times New Roman"/>
          <w:color w:val="000000"/>
        </w:rPr>
      </w:pPr>
    </w:p>
    <w:p w14:paraId="03707DD6" w14:textId="759B24B7" w:rsidR="00F94572" w:rsidRPr="00E80935" w:rsidRDefault="00F94572" w:rsidP="00715936">
      <w:pPr>
        <w:widowControl/>
        <w:ind w:left="720"/>
        <w:rPr>
          <w:rFonts w:ascii="Times New Roman" w:hAnsi="Times New Roman"/>
          <w:color w:val="000000"/>
        </w:rPr>
      </w:pPr>
      <w:r w:rsidRPr="00E80935">
        <w:rPr>
          <w:rFonts w:ascii="Times New Roman" w:hAnsi="Times New Roman"/>
          <w:color w:val="000000"/>
        </w:rPr>
        <w:t xml:space="preserve">Three items relating to inmate-on-inmate sexual harassment </w:t>
      </w:r>
      <w:r w:rsidR="00F37CEF" w:rsidRPr="00E80935">
        <w:rPr>
          <w:rFonts w:ascii="Times New Roman" w:hAnsi="Times New Roman"/>
          <w:color w:val="000000"/>
        </w:rPr>
        <w:t xml:space="preserve">(items 7, 8, and 9 in SSV-1) </w:t>
      </w:r>
      <w:r w:rsidRPr="00E80935">
        <w:rPr>
          <w:rFonts w:ascii="Times New Roman" w:hAnsi="Times New Roman"/>
          <w:color w:val="000000"/>
        </w:rPr>
        <w:t>were added to the summary forms</w:t>
      </w:r>
      <w:r w:rsidR="00D27CEF" w:rsidRPr="00E80935">
        <w:rPr>
          <w:rFonts w:ascii="Times New Roman" w:hAnsi="Times New Roman"/>
          <w:color w:val="000000"/>
        </w:rPr>
        <w:t xml:space="preserve"> in 2013</w:t>
      </w:r>
      <w:r w:rsidRPr="00E80935">
        <w:rPr>
          <w:rFonts w:ascii="Times New Roman" w:hAnsi="Times New Roman"/>
          <w:color w:val="000000"/>
        </w:rPr>
        <w:t xml:space="preserve">. (See Attachment 2 for corresponding items in forms SSV-2, SSV-3, SSV-4, SSV-5, and SSV-6.) These items and related definitions were added to align the SSV with the PREA standards. </w:t>
      </w:r>
      <w:r w:rsidR="00342500" w:rsidRPr="00E80935">
        <w:rPr>
          <w:rFonts w:ascii="Times New Roman" w:hAnsi="Times New Roman"/>
          <w:color w:val="000000"/>
        </w:rPr>
        <w:t>In 20</w:t>
      </w:r>
      <w:r w:rsidR="00285389" w:rsidRPr="00E80935">
        <w:rPr>
          <w:rFonts w:ascii="Times New Roman" w:hAnsi="Times New Roman"/>
          <w:color w:val="000000"/>
        </w:rPr>
        <w:t>16</w:t>
      </w:r>
      <w:r w:rsidR="00342500" w:rsidRPr="00E80935">
        <w:rPr>
          <w:rFonts w:ascii="Times New Roman" w:hAnsi="Times New Roman"/>
          <w:color w:val="000000"/>
        </w:rPr>
        <w:t xml:space="preserve">, </w:t>
      </w:r>
      <w:r w:rsidR="00285389" w:rsidRPr="00E80935">
        <w:rPr>
          <w:rFonts w:ascii="Times New Roman" w:hAnsi="Times New Roman"/>
          <w:color w:val="000000"/>
        </w:rPr>
        <w:t>100</w:t>
      </w:r>
      <w:r w:rsidR="00342500" w:rsidRPr="00E80935">
        <w:rPr>
          <w:rFonts w:ascii="Times New Roman" w:hAnsi="Times New Roman"/>
          <w:color w:val="000000"/>
        </w:rPr>
        <w:t xml:space="preserve">% of adult correctional systems and </w:t>
      </w:r>
      <w:r w:rsidR="00285389" w:rsidRPr="00E80935">
        <w:rPr>
          <w:rFonts w:ascii="Times New Roman" w:hAnsi="Times New Roman"/>
          <w:color w:val="000000"/>
        </w:rPr>
        <w:t>96% of</w:t>
      </w:r>
      <w:r w:rsidR="00342500" w:rsidRPr="00E80935">
        <w:rPr>
          <w:rFonts w:ascii="Times New Roman" w:hAnsi="Times New Roman"/>
          <w:color w:val="000000"/>
        </w:rPr>
        <w:t xml:space="preserve"> local and private jails and other adult correctional facilities were able to answer these items (see table </w:t>
      </w:r>
      <w:r w:rsidR="00AD07C1" w:rsidRPr="00E80935">
        <w:rPr>
          <w:rFonts w:ascii="Times New Roman" w:hAnsi="Times New Roman"/>
          <w:color w:val="000000"/>
        </w:rPr>
        <w:t>4</w:t>
      </w:r>
      <w:r w:rsidR="00342500" w:rsidRPr="00E80935">
        <w:rPr>
          <w:rFonts w:ascii="Times New Roman" w:hAnsi="Times New Roman"/>
          <w:color w:val="000000"/>
        </w:rPr>
        <w:t xml:space="preserve"> above). During the same period, 9</w:t>
      </w:r>
      <w:r w:rsidR="00285389" w:rsidRPr="00E80935">
        <w:rPr>
          <w:rFonts w:ascii="Times New Roman" w:hAnsi="Times New Roman"/>
          <w:color w:val="000000"/>
        </w:rPr>
        <w:t>8</w:t>
      </w:r>
      <w:r w:rsidR="00342500" w:rsidRPr="00E80935">
        <w:rPr>
          <w:rFonts w:ascii="Times New Roman" w:hAnsi="Times New Roman"/>
          <w:color w:val="000000"/>
        </w:rPr>
        <w:t xml:space="preserve">% </w:t>
      </w:r>
      <w:r w:rsidR="001C4ED4" w:rsidRPr="00E80935">
        <w:rPr>
          <w:rFonts w:ascii="Times New Roman" w:hAnsi="Times New Roman"/>
          <w:color w:val="000000"/>
        </w:rPr>
        <w:t>o</w:t>
      </w:r>
      <w:r w:rsidR="00342500" w:rsidRPr="00E80935">
        <w:rPr>
          <w:rFonts w:ascii="Times New Roman" w:hAnsi="Times New Roman"/>
          <w:color w:val="000000"/>
        </w:rPr>
        <w:t>f juvenile correctional systems and 9</w:t>
      </w:r>
      <w:r w:rsidR="00285389" w:rsidRPr="00E80935">
        <w:rPr>
          <w:rFonts w:ascii="Times New Roman" w:hAnsi="Times New Roman"/>
          <w:color w:val="000000"/>
        </w:rPr>
        <w:t>6</w:t>
      </w:r>
      <w:r w:rsidR="00342500" w:rsidRPr="00E80935">
        <w:rPr>
          <w:rFonts w:ascii="Times New Roman" w:hAnsi="Times New Roman"/>
          <w:color w:val="000000"/>
        </w:rPr>
        <w:t xml:space="preserve">% of local and private juvenile correctional facilities were able to answer these items. </w:t>
      </w:r>
    </w:p>
    <w:p w14:paraId="0D983F4E" w14:textId="77777777" w:rsidR="00F94572" w:rsidRPr="00E80935" w:rsidRDefault="00F94572" w:rsidP="00715936">
      <w:pPr>
        <w:widowControl/>
        <w:ind w:left="720"/>
        <w:rPr>
          <w:rFonts w:ascii="Times New Roman" w:hAnsi="Times New Roman"/>
          <w:color w:val="000000"/>
        </w:rPr>
      </w:pPr>
    </w:p>
    <w:p w14:paraId="7598234D" w14:textId="5BDC86FA" w:rsidR="00CB1A80" w:rsidRPr="00E80935" w:rsidRDefault="00ED0D9B" w:rsidP="00ED0D9B">
      <w:pPr>
        <w:ind w:left="720"/>
        <w:rPr>
          <w:color w:val="000000" w:themeColor="text1"/>
        </w:rPr>
      </w:pPr>
      <w:r w:rsidRPr="00E80935">
        <w:rPr>
          <w:color w:val="000000" w:themeColor="text1"/>
        </w:rPr>
        <w:t xml:space="preserve">The </w:t>
      </w:r>
      <w:r w:rsidR="00BD766C" w:rsidRPr="00E80935">
        <w:rPr>
          <w:color w:val="000000" w:themeColor="text1"/>
        </w:rPr>
        <w:t>national</w:t>
      </w:r>
      <w:r w:rsidRPr="00E80935">
        <w:rPr>
          <w:color w:val="000000" w:themeColor="text1"/>
        </w:rPr>
        <w:t xml:space="preserve"> standards </w:t>
      </w:r>
      <w:r w:rsidR="00CB1A80" w:rsidRPr="00E80935">
        <w:t xml:space="preserve">issued in 2012 (28 C.F.R. Part 115) </w:t>
      </w:r>
      <w:r w:rsidRPr="00E80935">
        <w:rPr>
          <w:color w:val="000000" w:themeColor="text1"/>
        </w:rPr>
        <w:t>have extensive requirements related to the treatment of inmates who are transgender or intersex. To be compliant, correctional authorities need to know the sexual status of inmates.</w:t>
      </w:r>
      <w:r w:rsidR="00B54A7D" w:rsidRPr="00E80935">
        <w:rPr>
          <w:color w:val="000000" w:themeColor="text1"/>
        </w:rPr>
        <w:t xml:space="preserve"> </w:t>
      </w:r>
      <w:r w:rsidR="00F37CEF" w:rsidRPr="00E80935">
        <w:rPr>
          <w:color w:val="000000" w:themeColor="text1"/>
        </w:rPr>
        <w:t xml:space="preserve">The </w:t>
      </w:r>
      <w:r w:rsidR="001451A4" w:rsidRPr="00E80935">
        <w:rPr>
          <w:color w:val="000000" w:themeColor="text1"/>
        </w:rPr>
        <w:t>PREA s</w:t>
      </w:r>
      <w:r w:rsidRPr="00E80935">
        <w:rPr>
          <w:color w:val="000000" w:themeColor="text1"/>
        </w:rPr>
        <w:t>tandards specific to transgender and intersex prisoners include 115.15 (e) and (f), limits to cross-gender viewing; 115.31 (9), employee training; 115.41 (7), screening for risk; 115.42 (c), use of screening information</w:t>
      </w:r>
      <w:r w:rsidR="00963BE4" w:rsidRPr="00E80935">
        <w:rPr>
          <w:color w:val="000000" w:themeColor="text1"/>
        </w:rPr>
        <w:t>;</w:t>
      </w:r>
      <w:r w:rsidRPr="00E80935">
        <w:rPr>
          <w:color w:val="000000" w:themeColor="text1"/>
        </w:rPr>
        <w:t xml:space="preserve"> and 115.86</w:t>
      </w:r>
      <w:r w:rsidR="00963BE4" w:rsidRPr="00E80935">
        <w:rPr>
          <w:color w:val="000000" w:themeColor="text1"/>
        </w:rPr>
        <w:t>,</w:t>
      </w:r>
      <w:r w:rsidRPr="00E80935">
        <w:rPr>
          <w:color w:val="000000" w:themeColor="text1"/>
        </w:rPr>
        <w:t xml:space="preserve"> sexual abuse reviews.</w:t>
      </w:r>
      <w:r w:rsidR="00B54A7D" w:rsidRPr="00E80935">
        <w:rPr>
          <w:color w:val="000000" w:themeColor="text1"/>
        </w:rPr>
        <w:t xml:space="preserve"> </w:t>
      </w:r>
      <w:r w:rsidR="00963BE4" w:rsidRPr="00E80935">
        <w:rPr>
          <w:color w:val="000000" w:themeColor="text1"/>
        </w:rPr>
        <w:t>As such, correctional</w:t>
      </w:r>
      <w:r w:rsidRPr="00E80935">
        <w:rPr>
          <w:color w:val="000000" w:themeColor="text1"/>
        </w:rPr>
        <w:t xml:space="preserve"> authorities</w:t>
      </w:r>
      <w:r w:rsidR="00963BE4" w:rsidRPr="00E80935">
        <w:rPr>
          <w:color w:val="000000" w:themeColor="text1"/>
        </w:rPr>
        <w:t xml:space="preserve"> must track both victims and perpetrators who may be considered transgender or intersex.</w:t>
      </w:r>
      <w:r w:rsidR="00B54A7D" w:rsidRPr="00E80935">
        <w:rPr>
          <w:color w:val="000000" w:themeColor="text1"/>
        </w:rPr>
        <w:t xml:space="preserve"> </w:t>
      </w:r>
    </w:p>
    <w:p w14:paraId="5BCF80FE" w14:textId="77777777" w:rsidR="00CB1A80" w:rsidRPr="00E80935" w:rsidRDefault="00CB1A80" w:rsidP="00ED0D9B">
      <w:pPr>
        <w:ind w:left="720"/>
        <w:rPr>
          <w:color w:val="000000" w:themeColor="text1"/>
        </w:rPr>
      </w:pPr>
    </w:p>
    <w:p w14:paraId="6A720DDD" w14:textId="470A1937" w:rsidR="00CB1A80" w:rsidRPr="00E80935" w:rsidRDefault="00192F11" w:rsidP="00CB1A80">
      <w:pPr>
        <w:pStyle w:val="Default"/>
        <w:ind w:left="720"/>
      </w:pPr>
      <w:r w:rsidRPr="00E80935">
        <w:rPr>
          <w:color w:val="000000" w:themeColor="text1"/>
        </w:rPr>
        <w:t>T</w:t>
      </w:r>
      <w:r w:rsidR="00CB1A80" w:rsidRPr="00E80935">
        <w:rPr>
          <w:color w:val="000000" w:themeColor="text1"/>
        </w:rPr>
        <w:t>o help ensure compliance, t</w:t>
      </w:r>
      <w:r w:rsidR="00963BE4" w:rsidRPr="00E80935">
        <w:rPr>
          <w:color w:val="000000" w:themeColor="text1"/>
        </w:rPr>
        <w:t xml:space="preserve">he SSV </w:t>
      </w:r>
      <w:r w:rsidRPr="00E80935">
        <w:rPr>
          <w:color w:val="000000" w:themeColor="text1"/>
        </w:rPr>
        <w:t>2013 survey</w:t>
      </w:r>
      <w:r w:rsidR="00CB1A80" w:rsidRPr="00E80935">
        <w:rPr>
          <w:color w:val="000000" w:themeColor="text1"/>
        </w:rPr>
        <w:t xml:space="preserve"> </w:t>
      </w:r>
      <w:r w:rsidR="00895375" w:rsidRPr="00E80935">
        <w:rPr>
          <w:color w:val="000000" w:themeColor="text1"/>
        </w:rPr>
        <w:t>added</w:t>
      </w:r>
      <w:r w:rsidR="00CB1A80" w:rsidRPr="00E80935">
        <w:rPr>
          <w:color w:val="000000" w:themeColor="text1"/>
        </w:rPr>
        <w:t xml:space="preserve"> </w:t>
      </w:r>
      <w:r w:rsidR="00CB1A80" w:rsidRPr="00E80935">
        <w:t xml:space="preserve">two additional response categories related to the </w:t>
      </w:r>
      <w:r w:rsidR="00895375" w:rsidRPr="00E80935">
        <w:t>sex/</w:t>
      </w:r>
      <w:r w:rsidR="00CB1A80" w:rsidRPr="00E80935">
        <w:t>gender</w:t>
      </w:r>
      <w:r w:rsidR="00895375" w:rsidRPr="00E80935">
        <w:t xml:space="preserve"> identity</w:t>
      </w:r>
      <w:r w:rsidR="00CB1A80" w:rsidRPr="00E80935">
        <w:t xml:space="preserve"> of victims and inmate/youth perpetrators.</w:t>
      </w:r>
      <w:r w:rsidR="00B54A7D" w:rsidRPr="00E80935">
        <w:t xml:space="preserve"> </w:t>
      </w:r>
      <w:r w:rsidR="00CB1A80" w:rsidRPr="00E80935">
        <w:t xml:space="preserve">(See forms SSV-IA and SSV-IJ, items 7 and 10 for victims and items 19 and 22 for </w:t>
      </w:r>
      <w:r w:rsidR="00BD766C" w:rsidRPr="00E80935">
        <w:t xml:space="preserve">inmate/youth </w:t>
      </w:r>
      <w:r w:rsidR="00CB1A80" w:rsidRPr="00E80935">
        <w:t>perpetrators.) These</w:t>
      </w:r>
      <w:r w:rsidR="00BD766C" w:rsidRPr="00E80935">
        <w:t xml:space="preserve"> response</w:t>
      </w:r>
      <w:r w:rsidR="00CB1A80" w:rsidRPr="00E80935">
        <w:t xml:space="preserve"> categories include “transgender” and “intersex</w:t>
      </w:r>
      <w:r w:rsidR="00213D9E" w:rsidRPr="00E80935">
        <w:t>.</w:t>
      </w:r>
      <w:r w:rsidR="00CB1A80" w:rsidRPr="00E80935">
        <w:t xml:space="preserve">” </w:t>
      </w:r>
      <w:r w:rsidR="00285389" w:rsidRPr="00E80935">
        <w:t xml:space="preserve">In 2016, the question itself was reworded at OMB’s request, </w:t>
      </w:r>
      <w:r w:rsidR="00BD766C" w:rsidRPr="00E80935">
        <w:t xml:space="preserve">changing </w:t>
      </w:r>
      <w:r w:rsidR="00285389" w:rsidRPr="00E80935">
        <w:t xml:space="preserve">from </w:t>
      </w:r>
      <w:r w:rsidR="004E4E4B" w:rsidRPr="00E80935">
        <w:t>“</w:t>
      </w:r>
      <w:r w:rsidR="00BD766C" w:rsidRPr="00E80935">
        <w:t>What was the</w:t>
      </w:r>
      <w:r w:rsidR="00285389" w:rsidRPr="00E80935">
        <w:t xml:space="preserve"> sex</w:t>
      </w:r>
      <w:r w:rsidR="00BD766C" w:rsidRPr="00E80935">
        <w:t>”</w:t>
      </w:r>
      <w:r w:rsidR="00285389" w:rsidRPr="00E80935">
        <w:t xml:space="preserve"> to </w:t>
      </w:r>
      <w:r w:rsidR="00BD766C" w:rsidRPr="00E80935">
        <w:t xml:space="preserve">“What was the </w:t>
      </w:r>
      <w:r w:rsidR="00285389" w:rsidRPr="00E80935">
        <w:t xml:space="preserve">sex </w:t>
      </w:r>
      <w:r w:rsidR="00BD766C" w:rsidRPr="00E80935">
        <w:t>or</w:t>
      </w:r>
      <w:r w:rsidR="00285389" w:rsidRPr="00E80935">
        <w:t xml:space="preserve"> gender identity.</w:t>
      </w:r>
      <w:r w:rsidR="004E4E4B" w:rsidRPr="00E80935">
        <w:t>”</w:t>
      </w:r>
      <w:r w:rsidR="00285389" w:rsidRPr="00E80935">
        <w:t xml:space="preserve"> </w:t>
      </w:r>
      <w:r w:rsidR="00213D9E" w:rsidRPr="00E80935">
        <w:t>T</w:t>
      </w:r>
      <w:r w:rsidR="00CB1A80" w:rsidRPr="00E80935">
        <w:t xml:space="preserve">he PREA-specified definitions </w:t>
      </w:r>
      <w:r w:rsidR="00A6163D" w:rsidRPr="00E80935">
        <w:t>are</w:t>
      </w:r>
      <w:r w:rsidR="00CB1A80" w:rsidRPr="00E80935">
        <w:t xml:space="preserve"> provided on the forms</w:t>
      </w:r>
      <w:r w:rsidR="00213D9E" w:rsidRPr="00E80935">
        <w:t xml:space="preserve"> (s</w:t>
      </w:r>
      <w:r w:rsidR="00CB1A80" w:rsidRPr="00E80935">
        <w:t>ee page 5 o</w:t>
      </w:r>
      <w:r w:rsidR="00213D9E" w:rsidRPr="00E80935">
        <w:t>f</w:t>
      </w:r>
      <w:r w:rsidR="00CB1A80" w:rsidRPr="00E80935">
        <w:t xml:space="preserve"> SSV-IA and SSV-IJ.) </w:t>
      </w:r>
    </w:p>
    <w:p w14:paraId="2EE29FA4" w14:textId="77777777" w:rsidR="00BD766C" w:rsidRPr="00E80935" w:rsidRDefault="00BD766C" w:rsidP="00CB1A80">
      <w:pPr>
        <w:pStyle w:val="Default"/>
        <w:ind w:left="720"/>
      </w:pPr>
    </w:p>
    <w:p w14:paraId="7B7AB6A4" w14:textId="2E3914F1" w:rsidR="00D75D1D" w:rsidRPr="00E80935" w:rsidRDefault="000B2438" w:rsidP="000B2438">
      <w:pPr>
        <w:pStyle w:val="Default"/>
        <w:spacing w:after="120"/>
        <w:ind w:left="2160"/>
      </w:pPr>
      <w:r w:rsidRPr="00E80935">
        <w:rPr>
          <w:b/>
        </w:rPr>
        <w:t>Item 7</w:t>
      </w:r>
      <w:r w:rsidRPr="00E80935">
        <w:t xml:space="preserve"> (f</w:t>
      </w:r>
      <w:r w:rsidR="00D75D1D" w:rsidRPr="00E80935">
        <w:t>rom SSV-IA</w:t>
      </w:r>
      <w:r w:rsidR="002F228B" w:rsidRPr="00E80935">
        <w:t xml:space="preserve"> page 1</w:t>
      </w:r>
      <w:r w:rsidRPr="00E80935">
        <w:t>)</w:t>
      </w:r>
    </w:p>
    <w:p w14:paraId="5BFEC84D" w14:textId="33C12181" w:rsidR="00D75D1D" w:rsidRPr="00E80935" w:rsidRDefault="002F228B" w:rsidP="000B2438">
      <w:pPr>
        <w:pStyle w:val="Default"/>
        <w:ind w:left="2160"/>
        <w:rPr>
          <w:sz w:val="19"/>
          <w:szCs w:val="19"/>
        </w:rPr>
      </w:pPr>
      <w:r w:rsidRPr="00E80935">
        <w:rPr>
          <w:rFonts w:ascii="Univers-Black" w:hAnsi="Univers-Black" w:cs="Univers-Black"/>
          <w:b/>
          <w:bCs/>
          <w:sz w:val="19"/>
          <w:szCs w:val="19"/>
        </w:rPr>
        <w:t>7. Victim #1: What was the victim’s sex or gender</w:t>
      </w:r>
    </w:p>
    <w:p w14:paraId="585716C0" w14:textId="7928230D" w:rsidR="00D75D1D" w:rsidRPr="00E80935" w:rsidRDefault="002F228B" w:rsidP="000B2438">
      <w:pPr>
        <w:pStyle w:val="Default"/>
        <w:spacing w:after="120"/>
        <w:ind w:left="2340"/>
        <w:rPr>
          <w:sz w:val="19"/>
          <w:szCs w:val="19"/>
        </w:rPr>
      </w:pPr>
      <w:r w:rsidRPr="00E80935">
        <w:rPr>
          <w:rFonts w:ascii="Univers-Black" w:hAnsi="Univers-Black" w:cs="Univers-Black"/>
          <w:b/>
          <w:bCs/>
          <w:sz w:val="19"/>
          <w:szCs w:val="19"/>
        </w:rPr>
        <w:t xml:space="preserve">identity? </w:t>
      </w:r>
      <w:r w:rsidRPr="00E80935">
        <w:rPr>
          <w:rFonts w:ascii="Univers-Oblique" w:hAnsi="Univers-Oblique" w:cs="Univers-Oblique"/>
          <w:i/>
          <w:iCs/>
          <w:sz w:val="19"/>
          <w:szCs w:val="19"/>
        </w:rPr>
        <w:t>(See definitions on page 5.)</w:t>
      </w:r>
    </w:p>
    <w:p w14:paraId="271B0C6F" w14:textId="329857A9" w:rsidR="002F228B" w:rsidRPr="00E80935" w:rsidRDefault="002F228B" w:rsidP="000B2438">
      <w:pPr>
        <w:pStyle w:val="Default"/>
        <w:ind w:left="2340"/>
        <w:rPr>
          <w:rFonts w:ascii="Univers-Oblique" w:hAnsi="Univers-Oblique" w:cs="Univers-Oblique"/>
          <w:iCs/>
          <w:sz w:val="19"/>
          <w:szCs w:val="19"/>
        </w:rPr>
      </w:pPr>
      <w:r w:rsidRPr="00E80935">
        <w:rPr>
          <w:rFonts w:ascii="Univers-Oblique" w:hAnsi="Univers-Oblique" w:cs="Univers-Oblique"/>
          <w:iCs/>
          <w:sz w:val="16"/>
          <w:szCs w:val="16"/>
        </w:rPr>
        <w:t>01</w:t>
      </w:r>
      <w:r w:rsidRPr="00E80935">
        <w:rPr>
          <w:rFonts w:ascii="Univers-Oblique" w:hAnsi="Univers-Oblique" w:cs="Univers-Oblique"/>
          <w:iCs/>
          <w:sz w:val="19"/>
          <w:szCs w:val="19"/>
        </w:rPr>
        <w:t xml:space="preserve"> </w:t>
      </w:r>
      <w:r w:rsidRPr="00E80935">
        <w:rPr>
          <w:rFonts w:ascii="Univers-Oblique" w:hAnsi="Univers-Oblique" w:cs="Univers-Oblique"/>
          <w:iCs/>
          <w:sz w:val="22"/>
          <w:szCs w:val="22"/>
        </w:rPr>
        <w:sym w:font="Wingdings" w:char="F06F"/>
      </w:r>
      <w:r w:rsidRPr="00E80935">
        <w:rPr>
          <w:rFonts w:ascii="Univers-Oblique" w:hAnsi="Univers-Oblique" w:cs="Univers-Oblique"/>
          <w:iCs/>
          <w:sz w:val="19"/>
          <w:szCs w:val="19"/>
        </w:rPr>
        <w:t xml:space="preserve"> Male</w:t>
      </w:r>
      <w:r w:rsidRPr="00E80935">
        <w:rPr>
          <w:rFonts w:ascii="Univers-Oblique" w:hAnsi="Univers-Oblique" w:cs="Univers-Oblique"/>
          <w:iCs/>
          <w:sz w:val="19"/>
          <w:szCs w:val="19"/>
        </w:rPr>
        <w:tab/>
      </w:r>
      <w:r w:rsidRPr="00E80935">
        <w:rPr>
          <w:rFonts w:ascii="Univers-Oblique" w:hAnsi="Univers-Oblique" w:cs="Univers-Oblique"/>
          <w:iCs/>
          <w:sz w:val="19"/>
          <w:szCs w:val="19"/>
        </w:rPr>
        <w:tab/>
      </w:r>
      <w:r w:rsidRPr="00E80935">
        <w:rPr>
          <w:rFonts w:ascii="Univers-Oblique" w:hAnsi="Univers-Oblique" w:cs="Univers-Oblique"/>
          <w:iCs/>
          <w:sz w:val="16"/>
          <w:szCs w:val="16"/>
        </w:rPr>
        <w:t>03</w:t>
      </w:r>
      <w:r w:rsidRPr="00E80935">
        <w:rPr>
          <w:rFonts w:ascii="Univers-Oblique" w:hAnsi="Univers-Oblique" w:cs="Univers-Oblique"/>
          <w:iCs/>
          <w:sz w:val="19"/>
          <w:szCs w:val="19"/>
        </w:rPr>
        <w:t xml:space="preserve"> </w:t>
      </w:r>
      <w:r w:rsidRPr="00E80935">
        <w:rPr>
          <w:rFonts w:ascii="Univers-Oblique" w:hAnsi="Univers-Oblique" w:cs="Univers-Oblique"/>
          <w:iCs/>
          <w:sz w:val="22"/>
          <w:szCs w:val="22"/>
        </w:rPr>
        <w:sym w:font="Wingdings" w:char="F06F"/>
      </w:r>
      <w:r w:rsidRPr="00E80935">
        <w:rPr>
          <w:rFonts w:ascii="Univers-Oblique" w:hAnsi="Univers-Oblique" w:cs="Univers-Oblique"/>
          <w:iCs/>
          <w:sz w:val="19"/>
          <w:szCs w:val="19"/>
        </w:rPr>
        <w:t xml:space="preserve"> Transgender</w:t>
      </w:r>
    </w:p>
    <w:p w14:paraId="53B8CF78" w14:textId="1967BDD3" w:rsidR="002F228B" w:rsidRPr="00E80935" w:rsidRDefault="002F228B" w:rsidP="000B2438">
      <w:pPr>
        <w:pStyle w:val="Default"/>
        <w:ind w:left="2340"/>
        <w:rPr>
          <w:sz w:val="19"/>
          <w:szCs w:val="19"/>
        </w:rPr>
      </w:pPr>
      <w:r w:rsidRPr="00E80935">
        <w:rPr>
          <w:rFonts w:ascii="Univers-Oblique" w:hAnsi="Univers-Oblique" w:cs="Univers-Oblique"/>
          <w:iCs/>
          <w:sz w:val="16"/>
          <w:szCs w:val="16"/>
        </w:rPr>
        <w:t>02</w:t>
      </w:r>
      <w:r w:rsidRPr="00E80935">
        <w:rPr>
          <w:rFonts w:ascii="Univers-Oblique" w:hAnsi="Univers-Oblique" w:cs="Univers-Oblique"/>
          <w:iCs/>
          <w:sz w:val="19"/>
          <w:szCs w:val="19"/>
        </w:rPr>
        <w:t xml:space="preserve"> </w:t>
      </w:r>
      <w:r w:rsidRPr="00E80935">
        <w:rPr>
          <w:rFonts w:ascii="Univers-Oblique" w:hAnsi="Univers-Oblique" w:cs="Univers-Oblique"/>
          <w:iCs/>
          <w:sz w:val="22"/>
          <w:szCs w:val="22"/>
        </w:rPr>
        <w:sym w:font="Wingdings" w:char="F06F"/>
      </w:r>
      <w:r w:rsidRPr="00E80935">
        <w:rPr>
          <w:rFonts w:ascii="Univers-Oblique" w:hAnsi="Univers-Oblique" w:cs="Univers-Oblique"/>
          <w:iCs/>
          <w:sz w:val="19"/>
          <w:szCs w:val="19"/>
        </w:rPr>
        <w:t xml:space="preserve"> Female</w:t>
      </w:r>
      <w:r w:rsidRPr="00E80935">
        <w:rPr>
          <w:rFonts w:ascii="Univers-Oblique" w:hAnsi="Univers-Oblique" w:cs="Univers-Oblique"/>
          <w:iCs/>
          <w:sz w:val="19"/>
          <w:szCs w:val="19"/>
        </w:rPr>
        <w:tab/>
      </w:r>
      <w:r w:rsidRPr="00E80935">
        <w:rPr>
          <w:rFonts w:ascii="Univers-Oblique" w:hAnsi="Univers-Oblique" w:cs="Univers-Oblique"/>
          <w:iCs/>
          <w:sz w:val="19"/>
          <w:szCs w:val="19"/>
        </w:rPr>
        <w:tab/>
      </w:r>
      <w:r w:rsidRPr="00E80935">
        <w:rPr>
          <w:rFonts w:ascii="Univers-Oblique" w:hAnsi="Univers-Oblique" w:cs="Univers-Oblique"/>
          <w:iCs/>
          <w:sz w:val="16"/>
          <w:szCs w:val="16"/>
        </w:rPr>
        <w:t>04</w:t>
      </w:r>
      <w:r w:rsidRPr="00E80935">
        <w:rPr>
          <w:rFonts w:ascii="Univers-Oblique" w:hAnsi="Univers-Oblique" w:cs="Univers-Oblique"/>
          <w:iCs/>
          <w:sz w:val="19"/>
          <w:szCs w:val="19"/>
        </w:rPr>
        <w:t xml:space="preserve"> </w:t>
      </w:r>
      <w:r w:rsidRPr="00E80935">
        <w:rPr>
          <w:rFonts w:ascii="Univers-Oblique" w:hAnsi="Univers-Oblique" w:cs="Univers-Oblique"/>
          <w:iCs/>
          <w:sz w:val="22"/>
          <w:szCs w:val="22"/>
        </w:rPr>
        <w:sym w:font="Wingdings" w:char="F06F"/>
      </w:r>
      <w:r w:rsidRPr="00E80935">
        <w:rPr>
          <w:rFonts w:ascii="Univers-Oblique" w:hAnsi="Univers-Oblique" w:cs="Univers-Oblique"/>
          <w:iCs/>
          <w:sz w:val="19"/>
          <w:szCs w:val="19"/>
        </w:rPr>
        <w:t xml:space="preserve"> Intersex</w:t>
      </w:r>
    </w:p>
    <w:p w14:paraId="6F10B444" w14:textId="77777777" w:rsidR="00D75D1D" w:rsidRPr="00E80935" w:rsidRDefault="00D75D1D" w:rsidP="00F37CEF">
      <w:pPr>
        <w:pStyle w:val="Default"/>
        <w:spacing w:after="120"/>
        <w:ind w:left="2160"/>
        <w:rPr>
          <w:sz w:val="19"/>
          <w:szCs w:val="19"/>
        </w:rPr>
      </w:pPr>
    </w:p>
    <w:p w14:paraId="1D4D05E5" w14:textId="77777777" w:rsidR="00F37CEF" w:rsidRPr="00E80935" w:rsidRDefault="00D75D1D" w:rsidP="00F37CEF">
      <w:pPr>
        <w:widowControl/>
        <w:spacing w:after="120"/>
        <w:ind w:left="2160"/>
        <w:rPr>
          <w:rFonts w:ascii="Univers-Black" w:hAnsi="Univers-Black" w:cs="Univers-Black"/>
          <w:bCs/>
          <w:sz w:val="19"/>
          <w:szCs w:val="19"/>
        </w:rPr>
      </w:pPr>
      <w:r w:rsidRPr="00E80935">
        <w:rPr>
          <w:rFonts w:ascii="Univers-Black" w:hAnsi="Univers-Black" w:cs="Univers-Black"/>
          <w:b/>
          <w:bCs/>
          <w:sz w:val="19"/>
          <w:szCs w:val="19"/>
        </w:rPr>
        <w:t xml:space="preserve">Gender categories </w:t>
      </w:r>
      <w:r w:rsidRPr="00E80935">
        <w:rPr>
          <w:rFonts w:ascii="Univers-Black" w:hAnsi="Univers-Black" w:cs="Univers-Black"/>
          <w:bCs/>
          <w:sz w:val="19"/>
          <w:szCs w:val="19"/>
        </w:rPr>
        <w:t>(from SSV-IA page 5)</w:t>
      </w:r>
    </w:p>
    <w:p w14:paraId="0CCA6B3C" w14:textId="2EE7F703" w:rsidR="00D75D1D" w:rsidRPr="00E80935" w:rsidRDefault="00D75D1D" w:rsidP="000B2438">
      <w:pPr>
        <w:widowControl/>
        <w:ind w:left="2160"/>
        <w:rPr>
          <w:rFonts w:ascii="Univers" w:hAnsi="Univers" w:cs="Univers"/>
          <w:sz w:val="19"/>
          <w:szCs w:val="19"/>
        </w:rPr>
      </w:pPr>
      <w:r w:rsidRPr="00E80935">
        <w:rPr>
          <w:rFonts w:ascii="Univers-Black" w:hAnsi="Univers-Black" w:cs="Univers-Black"/>
          <w:b/>
          <w:bCs/>
          <w:sz w:val="19"/>
          <w:szCs w:val="19"/>
        </w:rPr>
        <w:t xml:space="preserve">TRANSGENDER: </w:t>
      </w:r>
      <w:r w:rsidRPr="00E80935">
        <w:rPr>
          <w:rFonts w:ascii="Univers" w:hAnsi="Univers" w:cs="Univers"/>
          <w:sz w:val="19"/>
          <w:szCs w:val="19"/>
        </w:rPr>
        <w:t>A person whose gender identity (i.e.,</w:t>
      </w:r>
    </w:p>
    <w:p w14:paraId="4C809179" w14:textId="77777777" w:rsidR="00D75D1D" w:rsidRPr="00E80935" w:rsidRDefault="00D75D1D" w:rsidP="000B2438">
      <w:pPr>
        <w:widowControl/>
        <w:ind w:left="2160"/>
        <w:rPr>
          <w:rFonts w:ascii="Univers" w:hAnsi="Univers" w:cs="Univers"/>
          <w:sz w:val="19"/>
          <w:szCs w:val="19"/>
        </w:rPr>
      </w:pPr>
      <w:r w:rsidRPr="00E80935">
        <w:rPr>
          <w:rFonts w:ascii="Univers" w:hAnsi="Univers" w:cs="Univers"/>
          <w:sz w:val="19"/>
          <w:szCs w:val="19"/>
        </w:rPr>
        <w:t>internal sense of feeling male or female) is different from</w:t>
      </w:r>
    </w:p>
    <w:p w14:paraId="30204B68" w14:textId="7B599D07" w:rsidR="00D75D1D" w:rsidRPr="00E80935" w:rsidRDefault="00D75D1D" w:rsidP="000B2438">
      <w:pPr>
        <w:widowControl/>
        <w:spacing w:after="120"/>
        <w:ind w:left="2160"/>
        <w:rPr>
          <w:rFonts w:ascii="Univers-Black" w:hAnsi="Univers-Black" w:cs="Univers-Black"/>
          <w:b/>
          <w:bCs/>
          <w:sz w:val="19"/>
          <w:szCs w:val="19"/>
        </w:rPr>
      </w:pPr>
      <w:r w:rsidRPr="00E80935">
        <w:rPr>
          <w:rFonts w:ascii="Univers" w:hAnsi="Univers" w:cs="Univers"/>
          <w:sz w:val="19"/>
          <w:szCs w:val="19"/>
        </w:rPr>
        <w:t>the person’s assigned sex at birth.</w:t>
      </w:r>
    </w:p>
    <w:p w14:paraId="3A81C1CA" w14:textId="77777777" w:rsidR="00D75D1D" w:rsidRPr="00E80935" w:rsidRDefault="00D75D1D" w:rsidP="000B2438">
      <w:pPr>
        <w:widowControl/>
        <w:ind w:left="2160"/>
        <w:rPr>
          <w:rFonts w:ascii="Univers" w:hAnsi="Univers" w:cs="Univers"/>
          <w:sz w:val="19"/>
          <w:szCs w:val="19"/>
        </w:rPr>
      </w:pPr>
      <w:r w:rsidRPr="00E80935">
        <w:rPr>
          <w:rFonts w:ascii="Univers-Black" w:hAnsi="Univers-Black" w:cs="Univers-Black"/>
          <w:b/>
          <w:bCs/>
          <w:sz w:val="19"/>
          <w:szCs w:val="19"/>
        </w:rPr>
        <w:t xml:space="preserve">INTERSEX: </w:t>
      </w:r>
      <w:r w:rsidRPr="00E80935">
        <w:rPr>
          <w:rFonts w:ascii="Univers" w:hAnsi="Univers" w:cs="Univers"/>
          <w:sz w:val="19"/>
          <w:szCs w:val="19"/>
        </w:rPr>
        <w:t>A person whose sexual or reproductive anatomy or</w:t>
      </w:r>
    </w:p>
    <w:p w14:paraId="1EF42E70" w14:textId="77777777" w:rsidR="00D75D1D" w:rsidRPr="00E80935" w:rsidRDefault="00D75D1D" w:rsidP="000B2438">
      <w:pPr>
        <w:widowControl/>
        <w:ind w:left="2160"/>
        <w:rPr>
          <w:rFonts w:ascii="Univers" w:hAnsi="Univers" w:cs="Univers"/>
          <w:sz w:val="19"/>
          <w:szCs w:val="19"/>
        </w:rPr>
      </w:pPr>
      <w:r w:rsidRPr="00E80935">
        <w:rPr>
          <w:rFonts w:ascii="Univers" w:hAnsi="Univers" w:cs="Univers"/>
          <w:sz w:val="19"/>
          <w:szCs w:val="19"/>
        </w:rPr>
        <w:t>chromosomal pattern does not seem to fit typical definitions of</w:t>
      </w:r>
    </w:p>
    <w:p w14:paraId="18A6402D" w14:textId="77777777" w:rsidR="00D75D1D" w:rsidRPr="00E80935" w:rsidRDefault="00D75D1D" w:rsidP="000B2438">
      <w:pPr>
        <w:widowControl/>
        <w:ind w:left="2160"/>
        <w:rPr>
          <w:rFonts w:ascii="Univers" w:hAnsi="Univers" w:cs="Univers"/>
          <w:sz w:val="19"/>
          <w:szCs w:val="19"/>
        </w:rPr>
      </w:pPr>
      <w:r w:rsidRPr="00E80935">
        <w:rPr>
          <w:rFonts w:ascii="Univers" w:hAnsi="Univers" w:cs="Univers"/>
          <w:sz w:val="19"/>
          <w:szCs w:val="19"/>
        </w:rPr>
        <w:t>male or female. Intersex medical conditions are sometimes</w:t>
      </w:r>
    </w:p>
    <w:p w14:paraId="74BCD987" w14:textId="3CF8CEBF" w:rsidR="00D75D1D" w:rsidRPr="00E80935" w:rsidRDefault="00D75D1D" w:rsidP="000B2438">
      <w:pPr>
        <w:pStyle w:val="Default"/>
        <w:ind w:left="2160"/>
        <w:rPr>
          <w:sz w:val="19"/>
          <w:szCs w:val="19"/>
        </w:rPr>
      </w:pPr>
      <w:r w:rsidRPr="00E80935">
        <w:rPr>
          <w:rFonts w:ascii="Univers" w:hAnsi="Univers" w:cs="Univers"/>
          <w:sz w:val="19"/>
          <w:szCs w:val="19"/>
        </w:rPr>
        <w:t>referred to as disorders of sex development.</w:t>
      </w:r>
    </w:p>
    <w:p w14:paraId="28BD2680" w14:textId="77777777" w:rsidR="00D75D1D" w:rsidRPr="00E80935" w:rsidRDefault="00D75D1D" w:rsidP="00D75D1D">
      <w:pPr>
        <w:pStyle w:val="Default"/>
        <w:ind w:left="1440"/>
      </w:pPr>
    </w:p>
    <w:p w14:paraId="41A0E2D2" w14:textId="0D323DFC" w:rsidR="00402285" w:rsidRPr="00E80935" w:rsidRDefault="00D75D1D" w:rsidP="00715936">
      <w:pPr>
        <w:widowControl/>
        <w:ind w:left="720"/>
        <w:rPr>
          <w:rFonts w:ascii="Times New Roman" w:hAnsi="Times New Roman"/>
          <w:color w:val="000000"/>
        </w:rPr>
      </w:pPr>
      <w:r w:rsidRPr="00E80935">
        <w:rPr>
          <w:rFonts w:ascii="Times New Roman" w:hAnsi="Times New Roman"/>
          <w:color w:val="000000"/>
        </w:rPr>
        <w:t>The</w:t>
      </w:r>
      <w:r w:rsidR="000102CC" w:rsidRPr="00E80935">
        <w:rPr>
          <w:rFonts w:ascii="Times New Roman" w:hAnsi="Times New Roman"/>
          <w:color w:val="000000"/>
        </w:rPr>
        <w:t xml:space="preserve"> SSV 2013 </w:t>
      </w:r>
      <w:r w:rsidRPr="00E80935">
        <w:rPr>
          <w:rFonts w:ascii="Times New Roman" w:hAnsi="Times New Roman"/>
          <w:color w:val="000000"/>
        </w:rPr>
        <w:t xml:space="preserve">added </w:t>
      </w:r>
      <w:r w:rsidR="000102CC" w:rsidRPr="00E80935">
        <w:rPr>
          <w:rFonts w:ascii="Times New Roman" w:hAnsi="Times New Roman"/>
          <w:color w:val="000000"/>
        </w:rPr>
        <w:t>t</w:t>
      </w:r>
      <w:r w:rsidR="00402285" w:rsidRPr="00E80935">
        <w:rPr>
          <w:rFonts w:ascii="Times New Roman" w:hAnsi="Times New Roman"/>
          <w:color w:val="000000"/>
        </w:rPr>
        <w:t xml:space="preserve">wo </w:t>
      </w:r>
      <w:r w:rsidR="00A6163D" w:rsidRPr="00E80935">
        <w:rPr>
          <w:rFonts w:ascii="Times New Roman" w:hAnsi="Times New Roman"/>
          <w:color w:val="000000"/>
        </w:rPr>
        <w:t xml:space="preserve">new </w:t>
      </w:r>
      <w:r w:rsidR="00402285" w:rsidRPr="00E80935">
        <w:rPr>
          <w:rFonts w:ascii="Times New Roman" w:hAnsi="Times New Roman"/>
          <w:color w:val="000000"/>
        </w:rPr>
        <w:t>items to the incident forms</w:t>
      </w:r>
      <w:r w:rsidR="00243569" w:rsidRPr="00E80935">
        <w:rPr>
          <w:rFonts w:ascii="Times New Roman" w:hAnsi="Times New Roman"/>
          <w:color w:val="000000"/>
        </w:rPr>
        <w:t xml:space="preserve"> in response to requests from external users to enhance our understanding of the circumstances surrounding incidents of sexual victimization. </w:t>
      </w:r>
      <w:r w:rsidR="001777B7" w:rsidRPr="00E80935">
        <w:rPr>
          <w:rFonts w:ascii="Times New Roman" w:hAnsi="Times New Roman"/>
          <w:color w:val="000000"/>
        </w:rPr>
        <w:t>The first</w:t>
      </w:r>
      <w:r w:rsidR="00402285" w:rsidRPr="00E80935">
        <w:rPr>
          <w:rFonts w:ascii="Times New Roman" w:hAnsi="Times New Roman"/>
          <w:color w:val="000000"/>
        </w:rPr>
        <w:t xml:space="preserve"> (item </w:t>
      </w:r>
      <w:r w:rsidR="002726E8" w:rsidRPr="00E80935">
        <w:rPr>
          <w:rFonts w:ascii="Times New Roman" w:hAnsi="Times New Roman"/>
          <w:color w:val="000000"/>
        </w:rPr>
        <w:t>4</w:t>
      </w:r>
      <w:r w:rsidR="001777B7" w:rsidRPr="00E80935">
        <w:rPr>
          <w:rFonts w:ascii="Times New Roman" w:hAnsi="Times New Roman"/>
          <w:color w:val="000000"/>
        </w:rPr>
        <w:t>)</w:t>
      </w:r>
      <w:r w:rsidR="00402285" w:rsidRPr="00E80935">
        <w:rPr>
          <w:rFonts w:ascii="Times New Roman" w:hAnsi="Times New Roman"/>
          <w:color w:val="000000"/>
        </w:rPr>
        <w:t xml:space="preserve"> relate</w:t>
      </w:r>
      <w:r w:rsidR="00A8341B" w:rsidRPr="00E80935">
        <w:rPr>
          <w:rFonts w:ascii="Times New Roman" w:hAnsi="Times New Roman"/>
          <w:color w:val="000000"/>
        </w:rPr>
        <w:t>s</w:t>
      </w:r>
      <w:r w:rsidR="00402285" w:rsidRPr="00E80935">
        <w:rPr>
          <w:rFonts w:ascii="Times New Roman" w:hAnsi="Times New Roman"/>
          <w:color w:val="000000"/>
        </w:rPr>
        <w:t xml:space="preserve"> to</w:t>
      </w:r>
      <w:r w:rsidR="002726E8" w:rsidRPr="00E80935">
        <w:rPr>
          <w:rFonts w:ascii="Times New Roman" w:hAnsi="Times New Roman"/>
          <w:color w:val="000000"/>
        </w:rPr>
        <w:t xml:space="preserve"> </w:t>
      </w:r>
      <w:r w:rsidR="001777B7" w:rsidRPr="00E80935">
        <w:rPr>
          <w:rFonts w:ascii="Times New Roman" w:hAnsi="Times New Roman"/>
          <w:color w:val="000000"/>
        </w:rPr>
        <w:t xml:space="preserve">video monitoring of the </w:t>
      </w:r>
      <w:r w:rsidR="002726E8" w:rsidRPr="00E80935">
        <w:rPr>
          <w:rFonts w:ascii="Times New Roman" w:hAnsi="Times New Roman"/>
          <w:color w:val="000000"/>
        </w:rPr>
        <w:t xml:space="preserve">place </w:t>
      </w:r>
      <w:r w:rsidR="00243569" w:rsidRPr="00E80935">
        <w:rPr>
          <w:rFonts w:ascii="Times New Roman" w:hAnsi="Times New Roman"/>
          <w:color w:val="000000"/>
        </w:rPr>
        <w:t>where the incident occurred.</w:t>
      </w:r>
      <w:r w:rsidR="00402285" w:rsidRPr="00E80935">
        <w:rPr>
          <w:rFonts w:ascii="Times New Roman" w:hAnsi="Times New Roman"/>
          <w:color w:val="000000"/>
        </w:rPr>
        <w:t xml:space="preserve"> </w:t>
      </w:r>
      <w:r w:rsidR="00F91825" w:rsidRPr="00E80935">
        <w:rPr>
          <w:rFonts w:ascii="Times New Roman" w:hAnsi="Times New Roman"/>
          <w:color w:val="000000"/>
        </w:rPr>
        <w:t>While this item had a relatively higher non-response rate, the results are still very informative.</w:t>
      </w:r>
      <w:r w:rsidR="00792BAD" w:rsidRPr="00E80935">
        <w:rPr>
          <w:rFonts w:ascii="Times New Roman" w:hAnsi="Times New Roman"/>
          <w:color w:val="000000"/>
        </w:rPr>
        <w:t xml:space="preserve"> </w:t>
      </w:r>
      <w:r w:rsidR="00BD766C" w:rsidRPr="00E80935">
        <w:rPr>
          <w:rFonts w:ascii="Times New Roman" w:hAnsi="Times New Roman"/>
          <w:color w:val="000000"/>
        </w:rPr>
        <w:t xml:space="preserve">BJS expects the response rate for this item to increase as systems and facilities begin to track the information. </w:t>
      </w:r>
      <w:r w:rsidR="001777B7" w:rsidRPr="00E80935">
        <w:rPr>
          <w:rFonts w:ascii="Times New Roman" w:hAnsi="Times New Roman"/>
          <w:color w:val="000000"/>
        </w:rPr>
        <w:t>The second (</w:t>
      </w:r>
      <w:r w:rsidR="00402285" w:rsidRPr="00E80935">
        <w:rPr>
          <w:rFonts w:ascii="Times New Roman" w:hAnsi="Times New Roman"/>
          <w:color w:val="000000"/>
        </w:rPr>
        <w:t>item 39</w:t>
      </w:r>
      <w:r w:rsidR="001777B7" w:rsidRPr="00E80935">
        <w:rPr>
          <w:rFonts w:ascii="Times New Roman" w:hAnsi="Times New Roman"/>
          <w:color w:val="000000"/>
        </w:rPr>
        <w:t>)</w:t>
      </w:r>
      <w:r w:rsidR="00402285" w:rsidRPr="00E80935">
        <w:rPr>
          <w:rFonts w:ascii="Times New Roman" w:hAnsi="Times New Roman"/>
          <w:color w:val="000000"/>
        </w:rPr>
        <w:t xml:space="preserve"> relate</w:t>
      </w:r>
      <w:r w:rsidR="00A8341B" w:rsidRPr="00E80935">
        <w:rPr>
          <w:rFonts w:ascii="Times New Roman" w:hAnsi="Times New Roman"/>
          <w:color w:val="000000"/>
        </w:rPr>
        <w:t>s</w:t>
      </w:r>
      <w:r w:rsidR="00402285" w:rsidRPr="00E80935">
        <w:rPr>
          <w:rFonts w:ascii="Times New Roman" w:hAnsi="Times New Roman"/>
          <w:color w:val="000000"/>
        </w:rPr>
        <w:t xml:space="preserve"> to</w:t>
      </w:r>
      <w:r w:rsidR="002726E8" w:rsidRPr="00E80935">
        <w:rPr>
          <w:rFonts w:ascii="Times New Roman" w:hAnsi="Times New Roman"/>
          <w:color w:val="000000"/>
        </w:rPr>
        <w:t xml:space="preserve"> </w:t>
      </w:r>
      <w:r w:rsidRPr="00E80935">
        <w:rPr>
          <w:rFonts w:ascii="Times New Roman" w:hAnsi="Times New Roman"/>
          <w:color w:val="000000"/>
        </w:rPr>
        <w:t xml:space="preserve">the </w:t>
      </w:r>
      <w:r w:rsidR="002726E8" w:rsidRPr="00E80935">
        <w:rPr>
          <w:rFonts w:ascii="Times New Roman" w:hAnsi="Times New Roman"/>
          <w:color w:val="000000"/>
        </w:rPr>
        <w:t>length of time staff perpetrator</w:t>
      </w:r>
      <w:r w:rsidR="00F37CEF" w:rsidRPr="00E80935">
        <w:rPr>
          <w:rFonts w:ascii="Times New Roman" w:hAnsi="Times New Roman"/>
          <w:color w:val="000000"/>
        </w:rPr>
        <w:t>s</w:t>
      </w:r>
      <w:r w:rsidR="002726E8" w:rsidRPr="00E80935">
        <w:rPr>
          <w:rFonts w:ascii="Times New Roman" w:hAnsi="Times New Roman"/>
          <w:color w:val="000000"/>
        </w:rPr>
        <w:t xml:space="preserve"> worked at the facility</w:t>
      </w:r>
      <w:r w:rsidR="00285389" w:rsidRPr="00E80935">
        <w:rPr>
          <w:rFonts w:ascii="Times New Roman" w:hAnsi="Times New Roman"/>
          <w:color w:val="000000"/>
        </w:rPr>
        <w:t>, and respondents were able to answer this in 2016</w:t>
      </w:r>
      <w:r w:rsidRPr="00E80935">
        <w:rPr>
          <w:rFonts w:ascii="Times New Roman" w:hAnsi="Times New Roman"/>
          <w:color w:val="000000"/>
        </w:rPr>
        <w:t xml:space="preserve"> (item response rate = 97%)</w:t>
      </w:r>
      <w:r w:rsidR="002726E8" w:rsidRPr="00E80935">
        <w:rPr>
          <w:rFonts w:ascii="Times New Roman" w:hAnsi="Times New Roman"/>
          <w:color w:val="000000"/>
        </w:rPr>
        <w:t>.</w:t>
      </w:r>
    </w:p>
    <w:p w14:paraId="542A5BF1" w14:textId="77777777" w:rsidR="00402285" w:rsidRPr="00E80935" w:rsidRDefault="00402285" w:rsidP="00715936">
      <w:pPr>
        <w:widowControl/>
        <w:ind w:left="720"/>
        <w:rPr>
          <w:rFonts w:ascii="Times New Roman" w:hAnsi="Times New Roman"/>
          <w:color w:val="000000"/>
        </w:rPr>
      </w:pPr>
    </w:p>
    <w:p w14:paraId="032D7768" w14:textId="5B80B321" w:rsidR="002337A5" w:rsidRPr="00E80935" w:rsidRDefault="00D75D1D" w:rsidP="000102CC">
      <w:pPr>
        <w:widowControl/>
        <w:tabs>
          <w:tab w:val="left" w:pos="4590"/>
        </w:tabs>
        <w:ind w:left="720"/>
        <w:rPr>
          <w:rFonts w:ascii="Times New Roman" w:hAnsi="Times New Roman"/>
          <w:color w:val="000000"/>
        </w:rPr>
      </w:pPr>
      <w:r w:rsidRPr="00E80935">
        <w:rPr>
          <w:rFonts w:ascii="Times New Roman" w:hAnsi="Times New Roman"/>
          <w:color w:val="000000"/>
        </w:rPr>
        <w:t>Also</w:t>
      </w:r>
      <w:r w:rsidR="002337A5" w:rsidRPr="00E80935">
        <w:rPr>
          <w:rFonts w:ascii="Times New Roman" w:hAnsi="Times New Roman"/>
          <w:color w:val="000000"/>
        </w:rPr>
        <w:t xml:space="preserve">, </w:t>
      </w:r>
      <w:r w:rsidR="00A67DB5" w:rsidRPr="00E80935">
        <w:rPr>
          <w:rFonts w:ascii="Times New Roman" w:hAnsi="Times New Roman"/>
          <w:color w:val="000000"/>
        </w:rPr>
        <w:t xml:space="preserve">in 2013 </w:t>
      </w:r>
      <w:r w:rsidR="002337A5" w:rsidRPr="00E80935">
        <w:rPr>
          <w:rFonts w:ascii="Times New Roman" w:hAnsi="Times New Roman"/>
          <w:color w:val="000000"/>
        </w:rPr>
        <w:t xml:space="preserve">on both the summary and </w:t>
      </w:r>
      <w:r w:rsidR="002A068F" w:rsidRPr="00E80935">
        <w:rPr>
          <w:rFonts w:ascii="Times New Roman" w:hAnsi="Times New Roman"/>
          <w:color w:val="000000"/>
        </w:rPr>
        <w:t>S</w:t>
      </w:r>
      <w:r w:rsidR="00A67DB5" w:rsidRPr="00E80935">
        <w:rPr>
          <w:rFonts w:ascii="Times New Roman" w:hAnsi="Times New Roman"/>
          <w:color w:val="000000"/>
        </w:rPr>
        <w:t xml:space="preserve">ubstantiated </w:t>
      </w:r>
      <w:r w:rsidR="002A068F" w:rsidRPr="00E80935">
        <w:rPr>
          <w:rFonts w:ascii="Times New Roman" w:hAnsi="Times New Roman"/>
          <w:color w:val="000000"/>
        </w:rPr>
        <w:t>I</w:t>
      </w:r>
      <w:r w:rsidR="002337A5" w:rsidRPr="00E80935">
        <w:rPr>
          <w:rFonts w:ascii="Times New Roman" w:hAnsi="Times New Roman"/>
          <w:color w:val="000000"/>
        </w:rPr>
        <w:t xml:space="preserve">ncident </w:t>
      </w:r>
      <w:r w:rsidR="002A068F" w:rsidRPr="00E80935">
        <w:rPr>
          <w:rFonts w:ascii="Times New Roman" w:hAnsi="Times New Roman"/>
          <w:color w:val="000000"/>
        </w:rPr>
        <w:t>F</w:t>
      </w:r>
      <w:r w:rsidR="002337A5" w:rsidRPr="00E80935">
        <w:rPr>
          <w:rFonts w:ascii="Times New Roman" w:hAnsi="Times New Roman"/>
          <w:color w:val="000000"/>
        </w:rPr>
        <w:t>orms, text was added to the definitions of sexual victimization to ensure that respondents understood that the SSV definitions and the PREA definitions are consistent.</w:t>
      </w:r>
      <w:r w:rsidR="00F94572" w:rsidRPr="00E80935">
        <w:rPr>
          <w:rFonts w:ascii="Times New Roman" w:hAnsi="Times New Roman"/>
          <w:color w:val="000000"/>
        </w:rPr>
        <w:t xml:space="preserve"> </w:t>
      </w:r>
      <w:r w:rsidR="00A67DB5" w:rsidRPr="00E80935">
        <w:rPr>
          <w:rFonts w:ascii="Times New Roman" w:hAnsi="Times New Roman"/>
          <w:color w:val="000000"/>
        </w:rPr>
        <w:t>These definitions have remained unchanged.</w:t>
      </w:r>
    </w:p>
    <w:p w14:paraId="3A052C45" w14:textId="77777777" w:rsidR="00D620D1" w:rsidRPr="00E80935" w:rsidRDefault="00D620D1" w:rsidP="000102CC">
      <w:pPr>
        <w:widowControl/>
        <w:tabs>
          <w:tab w:val="left" w:pos="4590"/>
        </w:tabs>
        <w:ind w:left="720"/>
        <w:rPr>
          <w:rFonts w:ascii="Times New Roman" w:hAnsi="Times New Roman"/>
          <w:color w:val="000000"/>
        </w:rPr>
      </w:pPr>
    </w:p>
    <w:p w14:paraId="081DB687" w14:textId="10775A1D" w:rsidR="009F5BED" w:rsidRPr="00E80935" w:rsidRDefault="00D620D1" w:rsidP="00D620D1">
      <w:pPr>
        <w:widowControl/>
        <w:ind w:left="720"/>
      </w:pPr>
      <w:r w:rsidRPr="00E80935">
        <w:t xml:space="preserve">OMB approved the SSV 2016 with a one-year conditional clearance. OMB requested more testing of items 7, 10, 19, and 22. The methods and results of this testing are described below in </w:t>
      </w:r>
      <w:r w:rsidRPr="00E80935">
        <w:rPr>
          <w:i/>
        </w:rPr>
        <w:t>Section 4,</w:t>
      </w:r>
      <w:r w:rsidRPr="00E80935">
        <w:t xml:space="preserve"> </w:t>
      </w:r>
      <w:r w:rsidRPr="00E80935">
        <w:rPr>
          <w:i/>
        </w:rPr>
        <w:t>Final Testing of Procedures</w:t>
      </w:r>
      <w:r w:rsidRPr="00E80935">
        <w:t>.</w:t>
      </w:r>
    </w:p>
    <w:p w14:paraId="70E80792" w14:textId="77777777" w:rsidR="00F37CEF" w:rsidRPr="00E80935" w:rsidRDefault="00F37CEF" w:rsidP="00402285">
      <w:pPr>
        <w:widowControl/>
        <w:ind w:left="720"/>
        <w:rPr>
          <w:rFonts w:ascii="Times New Roman" w:hAnsi="Times New Roman"/>
          <w:color w:val="000000"/>
        </w:rPr>
      </w:pPr>
    </w:p>
    <w:p w14:paraId="767299B2" w14:textId="77777777" w:rsidR="00F37CEF" w:rsidRPr="00E80935" w:rsidRDefault="00F37CEF">
      <w:pPr>
        <w:widowControl/>
        <w:autoSpaceDE/>
        <w:autoSpaceDN/>
        <w:adjustRightInd/>
        <w:rPr>
          <w:rFonts w:ascii="Times New Roman" w:hAnsi="Times New Roman"/>
          <w:color w:val="000000"/>
        </w:rPr>
      </w:pPr>
      <w:r w:rsidRPr="00E80935">
        <w:rPr>
          <w:rFonts w:ascii="Times New Roman" w:hAnsi="Times New Roman"/>
          <w:color w:val="000000"/>
        </w:rPr>
        <w:br w:type="page"/>
      </w:r>
    </w:p>
    <w:p w14:paraId="26B73DE8" w14:textId="73469943" w:rsidR="00404EC0" w:rsidRPr="00E80935" w:rsidRDefault="00404EC0" w:rsidP="00404EC0">
      <w:pPr>
        <w:widowControl/>
        <w:rPr>
          <w:rFonts w:ascii="Times New Roman" w:hAnsi="Times New Roman"/>
          <w:color w:val="000000"/>
        </w:rPr>
      </w:pPr>
      <w:r w:rsidRPr="00E80935">
        <w:rPr>
          <w:rFonts w:ascii="Times New Roman" w:hAnsi="Times New Roman"/>
          <w:color w:val="000000"/>
        </w:rPr>
        <w:t xml:space="preserve">4. </w:t>
      </w:r>
      <w:r w:rsidRPr="00E80935">
        <w:rPr>
          <w:rFonts w:ascii="Times New Roman" w:hAnsi="Times New Roman"/>
          <w:color w:val="000000"/>
        </w:rPr>
        <w:tab/>
      </w:r>
      <w:r w:rsidR="00630F31" w:rsidRPr="00E80935">
        <w:rPr>
          <w:rFonts w:ascii="Times New Roman" w:hAnsi="Times New Roman"/>
          <w:color w:val="000000"/>
          <w:u w:val="single"/>
        </w:rPr>
        <w:t xml:space="preserve">Final </w:t>
      </w:r>
      <w:r w:rsidRPr="00E80935">
        <w:rPr>
          <w:rFonts w:ascii="Times New Roman" w:hAnsi="Times New Roman"/>
          <w:color w:val="000000"/>
          <w:u w:val="single"/>
        </w:rPr>
        <w:t xml:space="preserve">Testing </w:t>
      </w:r>
      <w:r w:rsidR="00630F31" w:rsidRPr="00E80935">
        <w:rPr>
          <w:rFonts w:ascii="Times New Roman" w:hAnsi="Times New Roman"/>
          <w:color w:val="000000"/>
          <w:u w:val="single"/>
        </w:rPr>
        <w:t xml:space="preserve">of </w:t>
      </w:r>
      <w:r w:rsidRPr="00E80935">
        <w:rPr>
          <w:rFonts w:ascii="Times New Roman" w:hAnsi="Times New Roman"/>
          <w:color w:val="000000"/>
          <w:u w:val="single"/>
        </w:rPr>
        <w:t>Procedures</w:t>
      </w:r>
    </w:p>
    <w:p w14:paraId="5ECEAA92" w14:textId="77777777" w:rsidR="00404EC0" w:rsidRPr="00E80935" w:rsidRDefault="00404EC0" w:rsidP="00404EC0">
      <w:pPr>
        <w:widowControl/>
        <w:rPr>
          <w:rFonts w:ascii="Times New Roman" w:hAnsi="Times New Roman"/>
          <w:color w:val="000000"/>
        </w:rPr>
      </w:pPr>
      <w:r w:rsidRPr="00E80935">
        <w:rPr>
          <w:rFonts w:ascii="Times New Roman" w:hAnsi="Times New Roman"/>
          <w:color w:val="000000"/>
        </w:rPr>
        <w:tab/>
      </w:r>
    </w:p>
    <w:p w14:paraId="3B11AD5E" w14:textId="15A27001" w:rsidR="00951CB3" w:rsidRPr="00E80935" w:rsidRDefault="00951CB3" w:rsidP="00404EC0">
      <w:pPr>
        <w:widowControl/>
        <w:ind w:left="720"/>
        <w:rPr>
          <w:rFonts w:ascii="Times New Roman" w:hAnsi="Times New Roman"/>
          <w:color w:val="000000"/>
        </w:rPr>
      </w:pPr>
      <w:r w:rsidRPr="00E80935">
        <w:rPr>
          <w:rFonts w:ascii="Times New Roman" w:hAnsi="Times New Roman"/>
          <w:color w:val="000000"/>
        </w:rPr>
        <w:t xml:space="preserve">BJS </w:t>
      </w:r>
      <w:r w:rsidR="007665D0" w:rsidRPr="00E80935">
        <w:rPr>
          <w:rFonts w:ascii="Times New Roman" w:hAnsi="Times New Roman"/>
          <w:color w:val="000000"/>
        </w:rPr>
        <w:t>proposes</w:t>
      </w:r>
      <w:r w:rsidRPr="00E80935">
        <w:rPr>
          <w:rFonts w:ascii="Times New Roman" w:hAnsi="Times New Roman"/>
          <w:color w:val="000000"/>
        </w:rPr>
        <w:t xml:space="preserve"> </w:t>
      </w:r>
      <w:r w:rsidR="00C20A07" w:rsidRPr="00E80935">
        <w:rPr>
          <w:rFonts w:ascii="Times New Roman" w:hAnsi="Times New Roman"/>
          <w:color w:val="000000"/>
        </w:rPr>
        <w:t>no changes to the Summary forms (SSV-1, 2, 3, 4, 5, 6)</w:t>
      </w:r>
      <w:r w:rsidR="000B2438" w:rsidRPr="00E80935">
        <w:rPr>
          <w:rFonts w:ascii="Times New Roman" w:hAnsi="Times New Roman"/>
          <w:color w:val="000000"/>
        </w:rPr>
        <w:t>.</w:t>
      </w:r>
      <w:r w:rsidR="00C20A07" w:rsidRPr="00E80935">
        <w:rPr>
          <w:rFonts w:ascii="Times New Roman" w:hAnsi="Times New Roman"/>
          <w:color w:val="000000"/>
        </w:rPr>
        <w:t xml:space="preserve"> </w:t>
      </w:r>
      <w:r w:rsidR="00943E1F" w:rsidRPr="00E80935">
        <w:rPr>
          <w:rFonts w:ascii="Times New Roman" w:hAnsi="Times New Roman"/>
          <w:color w:val="000000"/>
        </w:rPr>
        <w:t xml:space="preserve">BJS proposes to remove one answer category from item 25 on </w:t>
      </w:r>
      <w:r w:rsidRPr="00E80935">
        <w:rPr>
          <w:rFonts w:ascii="Times New Roman" w:hAnsi="Times New Roman"/>
          <w:color w:val="000000"/>
        </w:rPr>
        <w:t xml:space="preserve">the Substantiated Incident </w:t>
      </w:r>
      <w:r w:rsidR="002A068F" w:rsidRPr="00E80935">
        <w:rPr>
          <w:rFonts w:ascii="Times New Roman" w:hAnsi="Times New Roman"/>
          <w:color w:val="000000"/>
        </w:rPr>
        <w:t>F</w:t>
      </w:r>
      <w:r w:rsidRPr="00E80935">
        <w:rPr>
          <w:rFonts w:ascii="Times New Roman" w:hAnsi="Times New Roman"/>
          <w:color w:val="000000"/>
        </w:rPr>
        <w:t xml:space="preserve">orms (SSV-IA and SSV-IJ, see Attachment 2). </w:t>
      </w:r>
      <w:r w:rsidR="00F37CEF" w:rsidRPr="00E80935">
        <w:rPr>
          <w:rFonts w:ascii="Times New Roman" w:hAnsi="Times New Roman"/>
          <w:color w:val="000000"/>
        </w:rPr>
        <w:t>I</w:t>
      </w:r>
      <w:r w:rsidRPr="00E80935">
        <w:rPr>
          <w:rFonts w:ascii="Times New Roman" w:hAnsi="Times New Roman"/>
          <w:color w:val="000000"/>
        </w:rPr>
        <w:t xml:space="preserve">tem </w:t>
      </w:r>
      <w:r w:rsidR="00F37CEF" w:rsidRPr="00E80935">
        <w:rPr>
          <w:rFonts w:ascii="Times New Roman" w:hAnsi="Times New Roman"/>
          <w:color w:val="000000"/>
        </w:rPr>
        <w:t>25 ask</w:t>
      </w:r>
      <w:r w:rsidR="000B2438" w:rsidRPr="00E80935">
        <w:rPr>
          <w:rFonts w:ascii="Times New Roman" w:hAnsi="Times New Roman"/>
          <w:color w:val="000000"/>
        </w:rPr>
        <w:t>s about the</w:t>
      </w:r>
      <w:r w:rsidRPr="00E80935">
        <w:rPr>
          <w:rFonts w:ascii="Times New Roman" w:hAnsi="Times New Roman"/>
          <w:color w:val="000000"/>
        </w:rPr>
        <w:t xml:space="preserve"> nature of inmate-on-inmate</w:t>
      </w:r>
      <w:r w:rsidR="00943E1F" w:rsidRPr="00E80935">
        <w:rPr>
          <w:rFonts w:ascii="Times New Roman" w:hAnsi="Times New Roman"/>
          <w:color w:val="000000"/>
        </w:rPr>
        <w:t xml:space="preserve"> or youth-on-youth</w:t>
      </w:r>
      <w:r w:rsidRPr="00E80935">
        <w:rPr>
          <w:rFonts w:ascii="Times New Roman" w:hAnsi="Times New Roman"/>
          <w:color w:val="000000"/>
        </w:rPr>
        <w:t xml:space="preserve"> sexual abuse</w:t>
      </w:r>
      <w:r w:rsidR="000B2438" w:rsidRPr="00E80935">
        <w:rPr>
          <w:rFonts w:ascii="Times New Roman" w:hAnsi="Times New Roman"/>
          <w:color w:val="000000"/>
        </w:rPr>
        <w:t>.</w:t>
      </w:r>
      <w:r w:rsidRPr="00E80935">
        <w:rPr>
          <w:rFonts w:ascii="Times New Roman" w:hAnsi="Times New Roman"/>
          <w:color w:val="000000"/>
        </w:rPr>
        <w:t xml:space="preserve"> </w:t>
      </w:r>
      <w:r w:rsidR="000B2438" w:rsidRPr="00E80935">
        <w:rPr>
          <w:rFonts w:ascii="Times New Roman" w:hAnsi="Times New Roman"/>
          <w:color w:val="000000"/>
        </w:rPr>
        <w:t>T</w:t>
      </w:r>
      <w:r w:rsidRPr="00E80935">
        <w:rPr>
          <w:rFonts w:ascii="Times New Roman" w:hAnsi="Times New Roman"/>
          <w:color w:val="000000"/>
        </w:rPr>
        <w:t xml:space="preserve">he </w:t>
      </w:r>
      <w:r w:rsidR="000B2438" w:rsidRPr="00E80935">
        <w:rPr>
          <w:rFonts w:ascii="Times New Roman" w:hAnsi="Times New Roman"/>
          <w:color w:val="000000"/>
        </w:rPr>
        <w:t xml:space="preserve">proposed </w:t>
      </w:r>
      <w:r w:rsidRPr="00E80935">
        <w:rPr>
          <w:rFonts w:ascii="Times New Roman" w:hAnsi="Times New Roman"/>
          <w:color w:val="000000"/>
        </w:rPr>
        <w:t>response category</w:t>
      </w:r>
      <w:r w:rsidR="000B2438" w:rsidRPr="00E80935">
        <w:rPr>
          <w:rFonts w:ascii="Times New Roman" w:hAnsi="Times New Roman"/>
          <w:color w:val="000000"/>
        </w:rPr>
        <w:t xml:space="preserve"> for removal</w:t>
      </w:r>
      <w:r w:rsidR="00943E1F" w:rsidRPr="00E80935">
        <w:rPr>
          <w:rFonts w:ascii="Times New Roman" w:hAnsi="Times New Roman"/>
          <w:color w:val="000000"/>
        </w:rPr>
        <w:t xml:space="preserve"> is</w:t>
      </w:r>
      <w:r w:rsidRPr="00E80935">
        <w:rPr>
          <w:rFonts w:ascii="Times New Roman" w:hAnsi="Times New Roman"/>
          <w:color w:val="000000"/>
        </w:rPr>
        <w:t xml:space="preserve"> </w:t>
      </w:r>
      <w:r w:rsidR="000B2438" w:rsidRPr="00E80935">
        <w:rPr>
          <w:rFonts w:ascii="Times New Roman" w:hAnsi="Times New Roman"/>
          <w:color w:val="000000"/>
        </w:rPr>
        <w:t>“</w:t>
      </w:r>
      <w:r w:rsidRPr="00E80935">
        <w:rPr>
          <w:rFonts w:ascii="Times New Roman" w:hAnsi="Times New Roman"/>
          <w:color w:val="000000"/>
        </w:rPr>
        <w:t>voluntary sexual contact between inmates/youth.</w:t>
      </w:r>
      <w:r w:rsidR="00F37CEF" w:rsidRPr="00E80935">
        <w:rPr>
          <w:rFonts w:ascii="Times New Roman" w:hAnsi="Times New Roman"/>
          <w:color w:val="000000"/>
        </w:rPr>
        <w:t>”</w:t>
      </w:r>
      <w:r w:rsidRPr="00E80935">
        <w:rPr>
          <w:rFonts w:ascii="Times New Roman" w:hAnsi="Times New Roman"/>
          <w:color w:val="000000"/>
        </w:rPr>
        <w:t xml:space="preserve"> </w:t>
      </w:r>
      <w:r w:rsidR="00943E1F" w:rsidRPr="00E80935">
        <w:rPr>
          <w:rFonts w:ascii="Times New Roman" w:hAnsi="Times New Roman"/>
          <w:color w:val="000000"/>
        </w:rPr>
        <w:t>This response option was</w:t>
      </w:r>
      <w:r w:rsidRPr="00E80935">
        <w:rPr>
          <w:rFonts w:ascii="Times New Roman" w:hAnsi="Times New Roman"/>
          <w:color w:val="000000"/>
        </w:rPr>
        <w:t xml:space="preserve"> included </w:t>
      </w:r>
      <w:r w:rsidR="00943E1F" w:rsidRPr="00E80935">
        <w:rPr>
          <w:rFonts w:ascii="Times New Roman" w:hAnsi="Times New Roman"/>
          <w:color w:val="000000"/>
        </w:rPr>
        <w:t>initially</w:t>
      </w:r>
      <w:r w:rsidRPr="00E80935">
        <w:rPr>
          <w:rFonts w:ascii="Times New Roman" w:hAnsi="Times New Roman"/>
          <w:color w:val="000000"/>
        </w:rPr>
        <w:t xml:space="preserve"> when PREA reporting first began</w:t>
      </w:r>
      <w:r w:rsidR="00943E1F" w:rsidRPr="00E80935">
        <w:rPr>
          <w:rFonts w:ascii="Times New Roman" w:hAnsi="Times New Roman"/>
          <w:color w:val="000000"/>
        </w:rPr>
        <w:t xml:space="preserve"> and</w:t>
      </w:r>
      <w:r w:rsidRPr="00E80935">
        <w:rPr>
          <w:rFonts w:ascii="Times New Roman" w:hAnsi="Times New Roman"/>
          <w:color w:val="000000"/>
        </w:rPr>
        <w:t xml:space="preserve"> facilities were reporting all sexual encounters that were investigated and found to have occurred</w:t>
      </w:r>
      <w:r w:rsidR="002A068F" w:rsidRPr="00E80935">
        <w:rPr>
          <w:rFonts w:ascii="Times New Roman" w:hAnsi="Times New Roman"/>
          <w:color w:val="000000"/>
        </w:rPr>
        <w:t>, even if they did not meet the standard for sexual abuse</w:t>
      </w:r>
      <w:r w:rsidRPr="00E80935">
        <w:rPr>
          <w:rFonts w:ascii="Times New Roman" w:hAnsi="Times New Roman"/>
          <w:color w:val="000000"/>
        </w:rPr>
        <w:t xml:space="preserve">. However, </w:t>
      </w:r>
      <w:r w:rsidRPr="00E80935">
        <w:rPr>
          <w:rFonts w:ascii="Times New Roman" w:hAnsi="Times New Roman"/>
          <w:i/>
          <w:color w:val="000000"/>
        </w:rPr>
        <w:t>voluntary</w:t>
      </w:r>
      <w:r w:rsidRPr="00E80935">
        <w:rPr>
          <w:rFonts w:ascii="Times New Roman" w:hAnsi="Times New Roman"/>
          <w:color w:val="000000"/>
        </w:rPr>
        <w:t xml:space="preserve"> contact between inmates </w:t>
      </w:r>
      <w:r w:rsidR="002A068F" w:rsidRPr="00E80935">
        <w:rPr>
          <w:rFonts w:ascii="Times New Roman" w:hAnsi="Times New Roman"/>
          <w:color w:val="000000"/>
        </w:rPr>
        <w:t xml:space="preserve">or between youth </w:t>
      </w:r>
      <w:r w:rsidRPr="00E80935">
        <w:rPr>
          <w:rFonts w:ascii="Times New Roman" w:hAnsi="Times New Roman"/>
          <w:color w:val="000000"/>
        </w:rPr>
        <w:t xml:space="preserve">is not </w:t>
      </w:r>
      <w:r w:rsidR="00943E1F" w:rsidRPr="00E80935">
        <w:rPr>
          <w:rFonts w:ascii="Times New Roman" w:hAnsi="Times New Roman"/>
          <w:color w:val="000000"/>
        </w:rPr>
        <w:t>covered by</w:t>
      </w:r>
      <w:r w:rsidRPr="00E80935">
        <w:rPr>
          <w:rFonts w:ascii="Times New Roman" w:hAnsi="Times New Roman"/>
          <w:color w:val="000000"/>
        </w:rPr>
        <w:t xml:space="preserve"> PREA. In 2013, the </w:t>
      </w:r>
      <w:r w:rsidR="00943E1F" w:rsidRPr="00E80935">
        <w:rPr>
          <w:rFonts w:ascii="Times New Roman" w:hAnsi="Times New Roman"/>
          <w:color w:val="000000"/>
        </w:rPr>
        <w:t>“v</w:t>
      </w:r>
      <w:r w:rsidRPr="00E80935">
        <w:rPr>
          <w:rFonts w:ascii="Times New Roman" w:hAnsi="Times New Roman"/>
          <w:color w:val="000000"/>
        </w:rPr>
        <w:t>oluntary</w:t>
      </w:r>
      <w:r w:rsidR="00943E1F" w:rsidRPr="00E80935">
        <w:rPr>
          <w:rFonts w:ascii="Times New Roman" w:hAnsi="Times New Roman"/>
          <w:color w:val="000000"/>
        </w:rPr>
        <w:t>” response option</w:t>
      </w:r>
      <w:r w:rsidRPr="00E80935">
        <w:rPr>
          <w:rFonts w:ascii="Times New Roman" w:hAnsi="Times New Roman"/>
          <w:color w:val="000000"/>
        </w:rPr>
        <w:t xml:space="preserve"> was removed from item 17, but not from item 25. In 2016, juvenile facilities did not select this response for any substantiated incidents. Adult facilities selected this response for </w:t>
      </w:r>
      <w:r w:rsidR="00C20A07" w:rsidRPr="00E80935">
        <w:rPr>
          <w:rFonts w:ascii="Times New Roman" w:hAnsi="Times New Roman"/>
          <w:color w:val="000000"/>
        </w:rPr>
        <w:t>18</w:t>
      </w:r>
      <w:r w:rsidRPr="00E80935">
        <w:rPr>
          <w:rFonts w:ascii="Times New Roman" w:hAnsi="Times New Roman"/>
          <w:color w:val="000000"/>
        </w:rPr>
        <w:t xml:space="preserve"> </w:t>
      </w:r>
      <w:r w:rsidR="00C20A07" w:rsidRPr="00E80935">
        <w:rPr>
          <w:rFonts w:ascii="Times New Roman" w:hAnsi="Times New Roman"/>
          <w:color w:val="000000"/>
        </w:rPr>
        <w:t>out of 1</w:t>
      </w:r>
      <w:r w:rsidR="00943E1F" w:rsidRPr="00E80935">
        <w:rPr>
          <w:rFonts w:ascii="Times New Roman" w:hAnsi="Times New Roman"/>
          <w:color w:val="000000"/>
        </w:rPr>
        <w:t>,</w:t>
      </w:r>
      <w:r w:rsidR="00C20A07" w:rsidRPr="00E80935">
        <w:rPr>
          <w:rFonts w:ascii="Times New Roman" w:hAnsi="Times New Roman"/>
          <w:color w:val="000000"/>
        </w:rPr>
        <w:t xml:space="preserve">360 </w:t>
      </w:r>
      <w:r w:rsidRPr="00E80935">
        <w:rPr>
          <w:rFonts w:ascii="Times New Roman" w:hAnsi="Times New Roman"/>
          <w:color w:val="000000"/>
        </w:rPr>
        <w:t>incidents</w:t>
      </w:r>
      <w:r w:rsidR="00C20A07" w:rsidRPr="00E80935">
        <w:rPr>
          <w:rFonts w:ascii="Times New Roman" w:hAnsi="Times New Roman"/>
          <w:color w:val="000000"/>
        </w:rPr>
        <w:t xml:space="preserve"> [it was also checked in an additional 22</w:t>
      </w:r>
      <w:r w:rsidRPr="00E80935">
        <w:rPr>
          <w:rFonts w:ascii="Times New Roman" w:hAnsi="Times New Roman"/>
          <w:color w:val="000000"/>
        </w:rPr>
        <w:t xml:space="preserve"> incidents</w:t>
      </w:r>
      <w:r w:rsidR="00C20A07" w:rsidRPr="00E80935">
        <w:rPr>
          <w:rFonts w:ascii="Times New Roman" w:hAnsi="Times New Roman"/>
          <w:color w:val="000000"/>
        </w:rPr>
        <w:t>, but</w:t>
      </w:r>
      <w:r w:rsidRPr="00E80935">
        <w:rPr>
          <w:rFonts w:ascii="Times New Roman" w:hAnsi="Times New Roman"/>
          <w:color w:val="000000"/>
        </w:rPr>
        <w:t xml:space="preserve"> other boxes were checked that indicated the contact was not voluntary (e.g., unwanted sexual contact)</w:t>
      </w:r>
      <w:r w:rsidR="00C20A07" w:rsidRPr="00E80935">
        <w:rPr>
          <w:rFonts w:ascii="Times New Roman" w:hAnsi="Times New Roman"/>
          <w:color w:val="000000"/>
        </w:rPr>
        <w:t>]</w:t>
      </w:r>
      <w:r w:rsidRPr="00E80935">
        <w:rPr>
          <w:rFonts w:ascii="Times New Roman" w:hAnsi="Times New Roman"/>
          <w:color w:val="000000"/>
        </w:rPr>
        <w:t xml:space="preserve">. </w:t>
      </w:r>
      <w:r w:rsidR="00C20A07" w:rsidRPr="00E80935">
        <w:rPr>
          <w:rFonts w:ascii="Times New Roman" w:hAnsi="Times New Roman"/>
          <w:color w:val="000000"/>
        </w:rPr>
        <w:t xml:space="preserve">This answer category is no longer </w:t>
      </w:r>
      <w:r w:rsidR="00943E1F" w:rsidRPr="00E80935">
        <w:rPr>
          <w:rFonts w:ascii="Times New Roman" w:hAnsi="Times New Roman"/>
          <w:color w:val="000000"/>
        </w:rPr>
        <w:t>needed</w:t>
      </w:r>
      <w:r w:rsidR="00C20A07" w:rsidRPr="00E80935">
        <w:rPr>
          <w:rFonts w:ascii="Times New Roman" w:hAnsi="Times New Roman"/>
          <w:color w:val="000000"/>
        </w:rPr>
        <w:t xml:space="preserve"> and </w:t>
      </w:r>
      <w:r w:rsidR="00943E1F" w:rsidRPr="00E80935">
        <w:rPr>
          <w:rFonts w:ascii="Times New Roman" w:hAnsi="Times New Roman"/>
          <w:color w:val="000000"/>
        </w:rPr>
        <w:t>can</w:t>
      </w:r>
      <w:r w:rsidR="00C20A07" w:rsidRPr="00E80935">
        <w:rPr>
          <w:rFonts w:ascii="Times New Roman" w:hAnsi="Times New Roman"/>
          <w:color w:val="000000"/>
        </w:rPr>
        <w:t xml:space="preserve"> be removed.</w:t>
      </w:r>
    </w:p>
    <w:p w14:paraId="7431E207" w14:textId="77777777" w:rsidR="00951CB3" w:rsidRPr="00E80935" w:rsidRDefault="00951CB3" w:rsidP="00404EC0">
      <w:pPr>
        <w:widowControl/>
        <w:ind w:left="720"/>
        <w:rPr>
          <w:rFonts w:ascii="Times New Roman" w:hAnsi="Times New Roman"/>
          <w:color w:val="000000"/>
        </w:rPr>
      </w:pPr>
    </w:p>
    <w:p w14:paraId="0930363F" w14:textId="5181083C" w:rsidR="00404EC0" w:rsidRPr="00E80935" w:rsidRDefault="000D56A5" w:rsidP="00404EC0">
      <w:pPr>
        <w:widowControl/>
        <w:ind w:left="720"/>
        <w:rPr>
          <w:rFonts w:ascii="Times New Roman" w:hAnsi="Times New Roman"/>
          <w:color w:val="000000"/>
        </w:rPr>
      </w:pPr>
      <w:r w:rsidRPr="00E80935">
        <w:rPr>
          <w:rFonts w:ascii="Times New Roman" w:hAnsi="Times New Roman"/>
          <w:color w:val="000000"/>
        </w:rPr>
        <w:t xml:space="preserve"> </w:t>
      </w:r>
      <w:r w:rsidR="00943E1F" w:rsidRPr="00E80935">
        <w:rPr>
          <w:rFonts w:ascii="Times New Roman" w:hAnsi="Times New Roman"/>
          <w:color w:val="000000"/>
        </w:rPr>
        <w:t xml:space="preserve">Changes </w:t>
      </w:r>
      <w:r w:rsidRPr="00E80935">
        <w:rPr>
          <w:rFonts w:ascii="Times New Roman" w:hAnsi="Times New Roman"/>
          <w:color w:val="000000"/>
        </w:rPr>
        <w:t>previously approved for collection in 2016 will not change</w:t>
      </w:r>
      <w:r w:rsidR="005836F9" w:rsidRPr="00E80935">
        <w:rPr>
          <w:rFonts w:ascii="Times New Roman" w:hAnsi="Times New Roman"/>
          <w:color w:val="000000"/>
        </w:rPr>
        <w:t xml:space="preserve"> and are described below</w:t>
      </w:r>
      <w:r w:rsidR="00404EC0" w:rsidRPr="00E80935">
        <w:rPr>
          <w:rFonts w:ascii="Times New Roman" w:hAnsi="Times New Roman"/>
          <w:color w:val="000000"/>
        </w:rPr>
        <w:t xml:space="preserve">. </w:t>
      </w:r>
      <w:r w:rsidR="000D2B6D" w:rsidRPr="00E80935">
        <w:rPr>
          <w:rFonts w:ascii="Times New Roman" w:hAnsi="Times New Roman"/>
          <w:color w:val="000000"/>
        </w:rPr>
        <w:t>(</w:t>
      </w:r>
      <w:r w:rsidR="005836F9" w:rsidRPr="00E80935">
        <w:rPr>
          <w:rFonts w:ascii="Times New Roman" w:hAnsi="Times New Roman"/>
          <w:color w:val="000000"/>
        </w:rPr>
        <w:t>See Attachment 2 for the 2016 forms.</w:t>
      </w:r>
      <w:r w:rsidR="000D2B6D" w:rsidRPr="00E80935">
        <w:rPr>
          <w:rFonts w:ascii="Times New Roman" w:hAnsi="Times New Roman"/>
          <w:color w:val="000000"/>
        </w:rPr>
        <w:t>)</w:t>
      </w:r>
    </w:p>
    <w:p w14:paraId="62AD77EF" w14:textId="77777777" w:rsidR="00404EC0" w:rsidRPr="00E80935" w:rsidRDefault="00404EC0" w:rsidP="00404EC0">
      <w:pPr>
        <w:widowControl/>
        <w:ind w:left="720"/>
        <w:rPr>
          <w:rFonts w:ascii="Times New Roman" w:hAnsi="Times New Roman"/>
          <w:color w:val="000000"/>
        </w:rPr>
      </w:pPr>
    </w:p>
    <w:p w14:paraId="37B26575" w14:textId="33ABA54C" w:rsidR="00404EC0" w:rsidRPr="00E80935" w:rsidRDefault="00943E1F" w:rsidP="00404EC0">
      <w:pPr>
        <w:widowControl/>
        <w:ind w:left="720"/>
        <w:rPr>
          <w:rFonts w:ascii="Times New Roman" w:hAnsi="Times New Roman"/>
          <w:color w:val="000000"/>
        </w:rPr>
      </w:pPr>
      <w:r w:rsidRPr="00E80935">
        <w:rPr>
          <w:rFonts w:ascii="Times New Roman" w:hAnsi="Times New Roman"/>
          <w:color w:val="000000"/>
        </w:rPr>
        <w:t>Minor w</w:t>
      </w:r>
      <w:r w:rsidR="00404EC0" w:rsidRPr="00E80935">
        <w:rPr>
          <w:rFonts w:ascii="Times New Roman" w:hAnsi="Times New Roman"/>
          <w:color w:val="000000"/>
        </w:rPr>
        <w:t xml:space="preserve">ording changes </w:t>
      </w:r>
      <w:r w:rsidRPr="00E80935">
        <w:rPr>
          <w:rFonts w:ascii="Times New Roman" w:hAnsi="Times New Roman"/>
          <w:color w:val="000000"/>
        </w:rPr>
        <w:t>were made to the instructions on</w:t>
      </w:r>
      <w:r w:rsidR="00404EC0" w:rsidRPr="00E80935">
        <w:rPr>
          <w:rFonts w:ascii="Times New Roman" w:hAnsi="Times New Roman"/>
          <w:color w:val="000000"/>
        </w:rPr>
        <w:t xml:space="preserve"> </w:t>
      </w:r>
      <w:r w:rsidRPr="00E80935">
        <w:rPr>
          <w:rFonts w:ascii="Times New Roman" w:hAnsi="Times New Roman"/>
          <w:color w:val="000000"/>
        </w:rPr>
        <w:t xml:space="preserve">the </w:t>
      </w:r>
      <w:r w:rsidR="004E4E4B" w:rsidRPr="00E80935">
        <w:rPr>
          <w:rFonts w:ascii="Times New Roman" w:hAnsi="Times New Roman"/>
          <w:color w:val="000000"/>
        </w:rPr>
        <w:t xml:space="preserve">SSV 2016 </w:t>
      </w:r>
      <w:r w:rsidR="00404EC0" w:rsidRPr="00E80935">
        <w:rPr>
          <w:rFonts w:ascii="Times New Roman" w:hAnsi="Times New Roman"/>
          <w:color w:val="000000"/>
        </w:rPr>
        <w:t xml:space="preserve">Summary </w:t>
      </w:r>
      <w:r w:rsidR="00474EA8" w:rsidRPr="00E80935">
        <w:rPr>
          <w:rFonts w:ascii="Times New Roman" w:hAnsi="Times New Roman"/>
          <w:color w:val="000000"/>
        </w:rPr>
        <w:t>F</w:t>
      </w:r>
      <w:r w:rsidR="00404EC0" w:rsidRPr="00E80935">
        <w:rPr>
          <w:rFonts w:ascii="Times New Roman" w:hAnsi="Times New Roman"/>
          <w:color w:val="000000"/>
        </w:rPr>
        <w:t>orms relate</w:t>
      </w:r>
      <w:r w:rsidR="0018650B" w:rsidRPr="00E80935">
        <w:rPr>
          <w:rFonts w:ascii="Times New Roman" w:hAnsi="Times New Roman"/>
          <w:color w:val="000000"/>
        </w:rPr>
        <w:t>d</w:t>
      </w:r>
      <w:r w:rsidR="00404EC0" w:rsidRPr="00E80935">
        <w:rPr>
          <w:rFonts w:ascii="Times New Roman" w:hAnsi="Times New Roman"/>
          <w:color w:val="000000"/>
        </w:rPr>
        <w:t xml:space="preserve"> to the </w:t>
      </w:r>
      <w:r w:rsidR="00404EC0" w:rsidRPr="00E80935">
        <w:rPr>
          <w:rFonts w:ascii="Times New Roman" w:hAnsi="Times New Roman"/>
          <w:smallCaps/>
          <w:color w:val="000000"/>
        </w:rPr>
        <w:t>inclusion</w:t>
      </w:r>
      <w:r w:rsidR="00404EC0" w:rsidRPr="00E80935">
        <w:rPr>
          <w:rFonts w:ascii="Times New Roman" w:hAnsi="Times New Roman"/>
          <w:color w:val="000000"/>
        </w:rPr>
        <w:t xml:space="preserve"> and </w:t>
      </w:r>
      <w:r w:rsidR="00404EC0" w:rsidRPr="00E80935">
        <w:rPr>
          <w:rFonts w:ascii="Times New Roman" w:hAnsi="Times New Roman"/>
          <w:smallCaps/>
          <w:color w:val="000000"/>
        </w:rPr>
        <w:t>exclusion</w:t>
      </w:r>
      <w:r w:rsidR="00404EC0" w:rsidRPr="00E80935">
        <w:rPr>
          <w:rFonts w:ascii="Times New Roman" w:hAnsi="Times New Roman"/>
          <w:color w:val="000000"/>
        </w:rPr>
        <w:t xml:space="preserve"> statements for SSV-3</w:t>
      </w:r>
      <w:r w:rsidR="00A37293" w:rsidRPr="00E80935">
        <w:rPr>
          <w:rFonts w:ascii="Times New Roman" w:hAnsi="Times New Roman"/>
          <w:color w:val="000000"/>
        </w:rPr>
        <w:t xml:space="preserve"> and </w:t>
      </w:r>
      <w:r w:rsidR="00404EC0" w:rsidRPr="00E80935">
        <w:rPr>
          <w:rFonts w:ascii="Times New Roman" w:hAnsi="Times New Roman"/>
          <w:color w:val="000000"/>
        </w:rPr>
        <w:t xml:space="preserve">SSV-4. </w:t>
      </w:r>
      <w:r w:rsidR="00A37293" w:rsidRPr="00E80935">
        <w:rPr>
          <w:rFonts w:ascii="Times New Roman" w:hAnsi="Times New Roman"/>
          <w:color w:val="000000"/>
        </w:rPr>
        <w:t>Due to c</w:t>
      </w:r>
      <w:r w:rsidR="00474EA8" w:rsidRPr="00E80935">
        <w:rPr>
          <w:rFonts w:ascii="Times New Roman" w:hAnsi="Times New Roman"/>
          <w:color w:val="000000"/>
        </w:rPr>
        <w:t xml:space="preserve">hanges </w:t>
      </w:r>
      <w:r w:rsidR="0018650B" w:rsidRPr="00E80935">
        <w:rPr>
          <w:rFonts w:ascii="Times New Roman" w:hAnsi="Times New Roman"/>
          <w:color w:val="000000"/>
        </w:rPr>
        <w:t>in</w:t>
      </w:r>
      <w:r w:rsidR="00474EA8" w:rsidRPr="00E80935">
        <w:rPr>
          <w:rFonts w:ascii="Times New Roman" w:hAnsi="Times New Roman"/>
          <w:color w:val="000000"/>
        </w:rPr>
        <w:t xml:space="preserve"> how multi-jurisdictional facilities </w:t>
      </w:r>
      <w:r w:rsidR="005836F9" w:rsidRPr="00E80935">
        <w:rPr>
          <w:rFonts w:ascii="Times New Roman" w:hAnsi="Times New Roman"/>
          <w:color w:val="000000"/>
        </w:rPr>
        <w:t>are</w:t>
      </w:r>
      <w:r w:rsidR="00474EA8" w:rsidRPr="00E80935">
        <w:rPr>
          <w:rFonts w:ascii="Times New Roman" w:hAnsi="Times New Roman"/>
          <w:color w:val="000000"/>
        </w:rPr>
        <w:t xml:space="preserve"> handled in the sampling frame</w:t>
      </w:r>
      <w:r w:rsidR="00A37293" w:rsidRPr="00E80935">
        <w:rPr>
          <w:rFonts w:ascii="Times New Roman" w:hAnsi="Times New Roman"/>
          <w:color w:val="000000"/>
        </w:rPr>
        <w:t xml:space="preserve"> (</w:t>
      </w:r>
      <w:r w:rsidR="00F37CEF" w:rsidRPr="00E80935">
        <w:rPr>
          <w:rFonts w:ascii="Times New Roman" w:hAnsi="Times New Roman"/>
          <w:color w:val="000000"/>
        </w:rPr>
        <w:t>MCI/</w:t>
      </w:r>
      <w:r w:rsidR="00A37293" w:rsidRPr="00E80935">
        <w:rPr>
          <w:rFonts w:ascii="Times New Roman" w:hAnsi="Times New Roman"/>
          <w:color w:val="000000"/>
        </w:rPr>
        <w:t>DCRP), multi-jurisdictional facilities may receive either the SSV-3 or the SSV4.</w:t>
      </w:r>
      <w:r w:rsidR="00474EA8" w:rsidRPr="00E80935">
        <w:rPr>
          <w:rFonts w:ascii="Times New Roman" w:hAnsi="Times New Roman"/>
          <w:color w:val="000000"/>
        </w:rPr>
        <w:t xml:space="preserve"> The </w:t>
      </w:r>
      <w:r w:rsidR="00474EA8" w:rsidRPr="00E80935">
        <w:rPr>
          <w:rFonts w:ascii="Times New Roman" w:hAnsi="Times New Roman"/>
          <w:smallCaps/>
          <w:color w:val="000000"/>
        </w:rPr>
        <w:t>inclusion</w:t>
      </w:r>
      <w:r w:rsidR="00474EA8" w:rsidRPr="00E80935">
        <w:rPr>
          <w:rFonts w:ascii="Times New Roman" w:hAnsi="Times New Roman"/>
          <w:color w:val="000000"/>
        </w:rPr>
        <w:t xml:space="preserve"> and </w:t>
      </w:r>
      <w:r w:rsidR="00474EA8" w:rsidRPr="00E80935">
        <w:rPr>
          <w:rFonts w:ascii="Times New Roman" w:hAnsi="Times New Roman"/>
          <w:smallCaps/>
          <w:color w:val="000000"/>
        </w:rPr>
        <w:t>exclusion</w:t>
      </w:r>
      <w:r w:rsidR="00474EA8" w:rsidRPr="00E80935">
        <w:rPr>
          <w:rFonts w:ascii="Times New Roman" w:hAnsi="Times New Roman"/>
          <w:color w:val="000000"/>
        </w:rPr>
        <w:t xml:space="preserve"> statements </w:t>
      </w:r>
      <w:r w:rsidR="0018650B" w:rsidRPr="00E80935">
        <w:rPr>
          <w:rFonts w:ascii="Times New Roman" w:hAnsi="Times New Roman"/>
          <w:color w:val="000000"/>
        </w:rPr>
        <w:t>were</w:t>
      </w:r>
      <w:r w:rsidR="00474EA8" w:rsidRPr="00E80935">
        <w:rPr>
          <w:rFonts w:ascii="Times New Roman" w:hAnsi="Times New Roman"/>
          <w:color w:val="000000"/>
        </w:rPr>
        <w:t xml:space="preserve"> adjusted on each of these forms to reflect this change. </w:t>
      </w:r>
    </w:p>
    <w:p w14:paraId="475E0906" w14:textId="77777777" w:rsidR="00474EA8" w:rsidRPr="00E80935" w:rsidRDefault="00474EA8" w:rsidP="00404EC0">
      <w:pPr>
        <w:widowControl/>
        <w:ind w:left="720"/>
        <w:rPr>
          <w:rFonts w:ascii="Times New Roman" w:hAnsi="Times New Roman"/>
          <w:color w:val="000000"/>
        </w:rPr>
      </w:pPr>
    </w:p>
    <w:p w14:paraId="773A8E48" w14:textId="1AF34278" w:rsidR="00474EA8" w:rsidRPr="00E80935" w:rsidRDefault="000D56A5" w:rsidP="00404EC0">
      <w:pPr>
        <w:widowControl/>
        <w:ind w:left="720"/>
        <w:rPr>
          <w:rFonts w:ascii="Times New Roman" w:hAnsi="Times New Roman"/>
          <w:color w:val="000000"/>
        </w:rPr>
      </w:pPr>
      <w:r w:rsidRPr="00E80935">
        <w:rPr>
          <w:rFonts w:ascii="Times New Roman" w:hAnsi="Times New Roman"/>
          <w:color w:val="000000"/>
        </w:rPr>
        <w:t xml:space="preserve">Three changes were made to the Incident forms (SSV-IA and SSV-IJ) for SSV 2016. </w:t>
      </w:r>
      <w:r w:rsidR="00051046" w:rsidRPr="00E80935">
        <w:rPr>
          <w:rFonts w:ascii="Times New Roman" w:hAnsi="Times New Roman"/>
          <w:color w:val="000000"/>
        </w:rPr>
        <w:t xml:space="preserve">The first </w:t>
      </w:r>
      <w:r w:rsidR="00474EA8" w:rsidRPr="00E80935">
        <w:rPr>
          <w:rFonts w:ascii="Times New Roman" w:hAnsi="Times New Roman"/>
          <w:color w:val="000000"/>
        </w:rPr>
        <w:t xml:space="preserve">change </w:t>
      </w:r>
      <w:r w:rsidR="0018650B" w:rsidRPr="00E80935">
        <w:rPr>
          <w:rFonts w:ascii="Times New Roman" w:hAnsi="Times New Roman"/>
          <w:color w:val="000000"/>
        </w:rPr>
        <w:t>was</w:t>
      </w:r>
      <w:r w:rsidR="00474EA8" w:rsidRPr="00E80935">
        <w:rPr>
          <w:rFonts w:ascii="Times New Roman" w:hAnsi="Times New Roman"/>
          <w:color w:val="000000"/>
        </w:rPr>
        <w:t xml:space="preserve"> the </w:t>
      </w:r>
      <w:r w:rsidR="00943E1F" w:rsidRPr="00E80935">
        <w:rPr>
          <w:rFonts w:ascii="Times New Roman" w:hAnsi="Times New Roman"/>
          <w:color w:val="000000"/>
        </w:rPr>
        <w:t xml:space="preserve">title of the </w:t>
      </w:r>
      <w:r w:rsidR="00474EA8" w:rsidRPr="00E80935">
        <w:rPr>
          <w:rFonts w:ascii="Times New Roman" w:hAnsi="Times New Roman"/>
          <w:color w:val="000000"/>
        </w:rPr>
        <w:t xml:space="preserve">form. </w:t>
      </w:r>
      <w:r w:rsidR="00943E1F" w:rsidRPr="00E80935">
        <w:rPr>
          <w:rFonts w:ascii="Times New Roman" w:hAnsi="Times New Roman"/>
          <w:color w:val="000000"/>
        </w:rPr>
        <w:t>In prior</w:t>
      </w:r>
      <w:r w:rsidR="00474EA8" w:rsidRPr="00E80935">
        <w:rPr>
          <w:rFonts w:ascii="Times New Roman" w:hAnsi="Times New Roman"/>
          <w:color w:val="000000"/>
        </w:rPr>
        <w:t xml:space="preserve"> year</w:t>
      </w:r>
      <w:r w:rsidR="00943E1F" w:rsidRPr="00E80935">
        <w:rPr>
          <w:rFonts w:ascii="Times New Roman" w:hAnsi="Times New Roman"/>
          <w:color w:val="000000"/>
        </w:rPr>
        <w:t>s</w:t>
      </w:r>
      <w:r w:rsidR="00474EA8" w:rsidRPr="00E80935">
        <w:rPr>
          <w:rFonts w:ascii="Times New Roman" w:hAnsi="Times New Roman"/>
          <w:color w:val="000000"/>
        </w:rPr>
        <w:t xml:space="preserve"> a few respondents complete</w:t>
      </w:r>
      <w:r w:rsidR="00F37CEF" w:rsidRPr="00E80935">
        <w:rPr>
          <w:rFonts w:ascii="Times New Roman" w:hAnsi="Times New Roman"/>
          <w:color w:val="000000"/>
        </w:rPr>
        <w:t>d</w:t>
      </w:r>
      <w:r w:rsidR="00474EA8" w:rsidRPr="00E80935">
        <w:rPr>
          <w:rFonts w:ascii="Times New Roman" w:hAnsi="Times New Roman"/>
          <w:color w:val="000000"/>
        </w:rPr>
        <w:t xml:space="preserve"> the Incident </w:t>
      </w:r>
      <w:r w:rsidR="00051046" w:rsidRPr="00E80935">
        <w:rPr>
          <w:rFonts w:ascii="Times New Roman" w:hAnsi="Times New Roman"/>
          <w:color w:val="000000"/>
        </w:rPr>
        <w:t>F</w:t>
      </w:r>
      <w:r w:rsidR="00474EA8" w:rsidRPr="00E80935">
        <w:rPr>
          <w:rFonts w:ascii="Times New Roman" w:hAnsi="Times New Roman"/>
          <w:color w:val="000000"/>
        </w:rPr>
        <w:t xml:space="preserve">orm for allegations that were unfounded, unsubstantiated, or still under investigation. In order to reduce </w:t>
      </w:r>
      <w:r w:rsidR="00001C5D" w:rsidRPr="00E80935">
        <w:rPr>
          <w:rFonts w:ascii="Times New Roman" w:hAnsi="Times New Roman"/>
          <w:color w:val="000000"/>
        </w:rPr>
        <w:t xml:space="preserve">respondent </w:t>
      </w:r>
      <w:r w:rsidR="00474EA8" w:rsidRPr="00E80935">
        <w:rPr>
          <w:rFonts w:ascii="Times New Roman" w:hAnsi="Times New Roman"/>
          <w:color w:val="000000"/>
        </w:rPr>
        <w:t>burden</w:t>
      </w:r>
      <w:r w:rsidR="00051046" w:rsidRPr="00E80935">
        <w:rPr>
          <w:rFonts w:ascii="Times New Roman" w:hAnsi="Times New Roman"/>
          <w:color w:val="000000"/>
        </w:rPr>
        <w:t xml:space="preserve"> and </w:t>
      </w:r>
      <w:r w:rsidR="00001C5D" w:rsidRPr="00E80935">
        <w:rPr>
          <w:rFonts w:ascii="Times New Roman" w:hAnsi="Times New Roman"/>
          <w:color w:val="000000"/>
        </w:rPr>
        <w:t>improve data quality</w:t>
      </w:r>
      <w:r w:rsidR="00474EA8" w:rsidRPr="00E80935">
        <w:rPr>
          <w:rFonts w:ascii="Times New Roman" w:hAnsi="Times New Roman"/>
          <w:color w:val="000000"/>
        </w:rPr>
        <w:t xml:space="preserve">, </w:t>
      </w:r>
      <w:r w:rsidR="00943E1F" w:rsidRPr="00E80935">
        <w:rPr>
          <w:rFonts w:ascii="Times New Roman" w:hAnsi="Times New Roman"/>
          <w:color w:val="000000"/>
        </w:rPr>
        <w:t>BJS</w:t>
      </w:r>
      <w:r w:rsidR="00474EA8" w:rsidRPr="00E80935">
        <w:rPr>
          <w:rFonts w:ascii="Times New Roman" w:hAnsi="Times New Roman"/>
          <w:color w:val="000000"/>
        </w:rPr>
        <w:t xml:space="preserve"> </w:t>
      </w:r>
      <w:r w:rsidR="0018650B" w:rsidRPr="00E80935">
        <w:rPr>
          <w:rFonts w:ascii="Times New Roman" w:hAnsi="Times New Roman"/>
          <w:color w:val="000000"/>
        </w:rPr>
        <w:t>added the word Substantiated</w:t>
      </w:r>
      <w:r w:rsidRPr="00E80935">
        <w:rPr>
          <w:rFonts w:ascii="Times New Roman" w:hAnsi="Times New Roman"/>
          <w:color w:val="000000"/>
        </w:rPr>
        <w:t xml:space="preserve"> to the title (i.e., </w:t>
      </w:r>
      <w:r w:rsidR="00474EA8" w:rsidRPr="00E80935">
        <w:rPr>
          <w:rFonts w:ascii="Times New Roman" w:hAnsi="Times New Roman"/>
          <w:color w:val="000000"/>
        </w:rPr>
        <w:t>Substantiated Incident Form</w:t>
      </w:r>
      <w:r w:rsidRPr="00E80935">
        <w:rPr>
          <w:rFonts w:ascii="Times New Roman" w:hAnsi="Times New Roman"/>
          <w:color w:val="000000"/>
        </w:rPr>
        <w:t>)</w:t>
      </w:r>
      <w:r w:rsidR="00474EA8" w:rsidRPr="00E80935">
        <w:rPr>
          <w:rFonts w:ascii="Times New Roman" w:hAnsi="Times New Roman"/>
          <w:color w:val="000000"/>
        </w:rPr>
        <w:t>.</w:t>
      </w:r>
      <w:r w:rsidR="00A37293" w:rsidRPr="00E80935">
        <w:rPr>
          <w:rFonts w:ascii="Times New Roman" w:hAnsi="Times New Roman"/>
          <w:color w:val="000000"/>
        </w:rPr>
        <w:t xml:space="preserve"> </w:t>
      </w:r>
      <w:r w:rsidR="00A53BBF" w:rsidRPr="00E80935">
        <w:rPr>
          <w:rFonts w:ascii="Times New Roman" w:hAnsi="Times New Roman"/>
          <w:color w:val="000000"/>
        </w:rPr>
        <w:t xml:space="preserve">The clarification was effective. For SSV 2016, all incident forms </w:t>
      </w:r>
      <w:r w:rsidR="004E4E4B" w:rsidRPr="00E80935">
        <w:rPr>
          <w:rFonts w:ascii="Times New Roman" w:hAnsi="Times New Roman"/>
          <w:color w:val="000000"/>
        </w:rPr>
        <w:t xml:space="preserve">received </w:t>
      </w:r>
      <w:r w:rsidR="00A53BBF" w:rsidRPr="00E80935">
        <w:rPr>
          <w:rFonts w:ascii="Times New Roman" w:hAnsi="Times New Roman"/>
          <w:color w:val="000000"/>
        </w:rPr>
        <w:t>were for substantiated incidents.</w:t>
      </w:r>
    </w:p>
    <w:p w14:paraId="74F5A8C0" w14:textId="77777777" w:rsidR="00051046" w:rsidRPr="00E80935" w:rsidRDefault="00051046" w:rsidP="00404EC0">
      <w:pPr>
        <w:widowControl/>
        <w:ind w:left="720"/>
        <w:rPr>
          <w:rFonts w:ascii="Times New Roman" w:hAnsi="Times New Roman"/>
          <w:color w:val="000000"/>
        </w:rPr>
      </w:pPr>
    </w:p>
    <w:p w14:paraId="47463445" w14:textId="79C4A630" w:rsidR="00AD7EB2" w:rsidRPr="00E80935" w:rsidRDefault="00051046" w:rsidP="00404EC0">
      <w:pPr>
        <w:widowControl/>
        <w:ind w:left="720"/>
        <w:rPr>
          <w:rFonts w:ascii="Times New Roman" w:hAnsi="Times New Roman"/>
          <w:color w:val="000000"/>
        </w:rPr>
      </w:pPr>
      <w:r w:rsidRPr="00E80935">
        <w:rPr>
          <w:rFonts w:ascii="Times New Roman" w:hAnsi="Times New Roman"/>
          <w:color w:val="000000"/>
        </w:rPr>
        <w:t>The second change relate</w:t>
      </w:r>
      <w:r w:rsidR="0018650B" w:rsidRPr="00E80935">
        <w:rPr>
          <w:rFonts w:ascii="Times New Roman" w:hAnsi="Times New Roman"/>
          <w:color w:val="000000"/>
        </w:rPr>
        <w:t>d</w:t>
      </w:r>
      <w:r w:rsidRPr="00E80935">
        <w:rPr>
          <w:rFonts w:ascii="Times New Roman" w:hAnsi="Times New Roman"/>
          <w:color w:val="000000"/>
        </w:rPr>
        <w:t xml:space="preserve"> to respondent error in completing </w:t>
      </w:r>
      <w:r w:rsidR="00943E1F" w:rsidRPr="00E80935">
        <w:rPr>
          <w:rFonts w:ascii="Times New Roman" w:hAnsi="Times New Roman"/>
          <w:color w:val="000000"/>
        </w:rPr>
        <w:t xml:space="preserve">the </w:t>
      </w:r>
      <w:r w:rsidRPr="00E80935">
        <w:rPr>
          <w:rFonts w:ascii="Times New Roman" w:hAnsi="Times New Roman"/>
          <w:color w:val="000000"/>
        </w:rPr>
        <w:t xml:space="preserve">perpetrator information. </w:t>
      </w:r>
      <w:r w:rsidR="00001C5D" w:rsidRPr="00E80935">
        <w:rPr>
          <w:rFonts w:ascii="Times New Roman" w:hAnsi="Times New Roman"/>
          <w:color w:val="000000"/>
        </w:rPr>
        <w:t xml:space="preserve">While incident and victim questions are the same regardless of the type of incident, </w:t>
      </w:r>
      <w:r w:rsidR="00943E1F" w:rsidRPr="00E80935">
        <w:rPr>
          <w:rFonts w:ascii="Times New Roman" w:hAnsi="Times New Roman"/>
          <w:color w:val="000000"/>
        </w:rPr>
        <w:t xml:space="preserve">the </w:t>
      </w:r>
      <w:r w:rsidR="00001C5D" w:rsidRPr="00E80935">
        <w:rPr>
          <w:rFonts w:ascii="Times New Roman" w:hAnsi="Times New Roman"/>
          <w:color w:val="000000"/>
        </w:rPr>
        <w:t>perpetrator questions for inmate-on</w:t>
      </w:r>
      <w:r w:rsidR="005045C5" w:rsidRPr="00E80935">
        <w:rPr>
          <w:rFonts w:ascii="Times New Roman" w:hAnsi="Times New Roman"/>
          <w:color w:val="000000"/>
        </w:rPr>
        <w:t>-i</w:t>
      </w:r>
      <w:r w:rsidR="00001C5D" w:rsidRPr="00E80935">
        <w:rPr>
          <w:rFonts w:ascii="Times New Roman" w:hAnsi="Times New Roman"/>
          <w:color w:val="000000"/>
        </w:rPr>
        <w:t xml:space="preserve">nmate victimizations (Section A) differ from those for staff-on-inmate victimizations (Section B). </w:t>
      </w:r>
      <w:r w:rsidR="00943E1F" w:rsidRPr="00E80935">
        <w:rPr>
          <w:rFonts w:ascii="Times New Roman" w:hAnsi="Times New Roman"/>
          <w:color w:val="000000"/>
        </w:rPr>
        <w:t>In prior</w:t>
      </w:r>
      <w:r w:rsidR="00001C5D" w:rsidRPr="00E80935">
        <w:rPr>
          <w:rFonts w:ascii="Times New Roman" w:hAnsi="Times New Roman"/>
          <w:color w:val="000000"/>
        </w:rPr>
        <w:t xml:space="preserve"> year</w:t>
      </w:r>
      <w:r w:rsidR="00943E1F" w:rsidRPr="00E80935">
        <w:rPr>
          <w:rFonts w:ascii="Times New Roman" w:hAnsi="Times New Roman"/>
          <w:color w:val="000000"/>
        </w:rPr>
        <w:t>s</w:t>
      </w:r>
      <w:r w:rsidR="00001C5D" w:rsidRPr="00E80935">
        <w:rPr>
          <w:rFonts w:ascii="Times New Roman" w:hAnsi="Times New Roman"/>
          <w:color w:val="000000"/>
        </w:rPr>
        <w:t xml:space="preserve"> </w:t>
      </w:r>
      <w:r w:rsidR="00943E1F" w:rsidRPr="00E80935">
        <w:rPr>
          <w:rFonts w:ascii="Times New Roman" w:hAnsi="Times New Roman"/>
          <w:color w:val="000000"/>
        </w:rPr>
        <w:t>BJS</w:t>
      </w:r>
      <w:r w:rsidR="00001C5D" w:rsidRPr="00E80935">
        <w:rPr>
          <w:rFonts w:ascii="Times New Roman" w:hAnsi="Times New Roman"/>
          <w:color w:val="000000"/>
        </w:rPr>
        <w:t xml:space="preserve"> receive</w:t>
      </w:r>
      <w:r w:rsidR="00943E1F" w:rsidRPr="00E80935">
        <w:rPr>
          <w:rFonts w:ascii="Times New Roman" w:hAnsi="Times New Roman"/>
          <w:color w:val="000000"/>
        </w:rPr>
        <w:t>d</w:t>
      </w:r>
      <w:r w:rsidR="00001C5D" w:rsidRPr="00E80935">
        <w:rPr>
          <w:rFonts w:ascii="Times New Roman" w:hAnsi="Times New Roman"/>
          <w:color w:val="000000"/>
        </w:rPr>
        <w:t xml:space="preserve"> forms with perpetrator information entered in</w:t>
      </w:r>
      <w:r w:rsidR="00196138" w:rsidRPr="00E80935">
        <w:rPr>
          <w:rFonts w:ascii="Times New Roman" w:hAnsi="Times New Roman"/>
          <w:color w:val="000000"/>
        </w:rPr>
        <w:t>to</w:t>
      </w:r>
      <w:r w:rsidR="00001C5D" w:rsidRPr="00E80935">
        <w:rPr>
          <w:rFonts w:ascii="Times New Roman" w:hAnsi="Times New Roman"/>
          <w:color w:val="000000"/>
        </w:rPr>
        <w:t xml:space="preserve"> the wrong section. Again, to reduce respondent burden and improve data quality, BJS </w:t>
      </w:r>
      <w:r w:rsidR="0018650B" w:rsidRPr="00E80935">
        <w:rPr>
          <w:rFonts w:ascii="Times New Roman" w:hAnsi="Times New Roman"/>
          <w:color w:val="000000"/>
        </w:rPr>
        <w:t>changed</w:t>
      </w:r>
      <w:r w:rsidR="00001C5D" w:rsidRPr="00E80935">
        <w:rPr>
          <w:rFonts w:ascii="Times New Roman" w:hAnsi="Times New Roman"/>
          <w:color w:val="000000"/>
        </w:rPr>
        <w:t xml:space="preserve"> the instructions </w:t>
      </w:r>
      <w:r w:rsidR="0018650B" w:rsidRPr="00E80935">
        <w:rPr>
          <w:rFonts w:ascii="Times New Roman" w:hAnsi="Times New Roman"/>
          <w:color w:val="000000"/>
        </w:rPr>
        <w:t xml:space="preserve">by </w:t>
      </w:r>
      <w:r w:rsidR="00001C5D" w:rsidRPr="00E80935">
        <w:rPr>
          <w:rFonts w:ascii="Times New Roman" w:hAnsi="Times New Roman"/>
          <w:color w:val="000000"/>
        </w:rPr>
        <w:t xml:space="preserve">directing respondents to the </w:t>
      </w:r>
      <w:r w:rsidR="00943E1F" w:rsidRPr="00E80935">
        <w:rPr>
          <w:rFonts w:ascii="Times New Roman" w:hAnsi="Times New Roman"/>
          <w:color w:val="000000"/>
        </w:rPr>
        <w:t xml:space="preserve">appropriate </w:t>
      </w:r>
      <w:r w:rsidR="00001C5D" w:rsidRPr="00E80935">
        <w:rPr>
          <w:rFonts w:ascii="Times New Roman" w:hAnsi="Times New Roman"/>
          <w:color w:val="000000"/>
        </w:rPr>
        <w:t>sections on inmate/youth and staff perpetrators.</w:t>
      </w:r>
      <w:r w:rsidR="0061282D" w:rsidRPr="00E80935">
        <w:rPr>
          <w:rFonts w:ascii="Times New Roman" w:hAnsi="Times New Roman"/>
          <w:color w:val="000000"/>
        </w:rPr>
        <w:t xml:space="preserve"> The section for inmate perpetrator information is </w:t>
      </w:r>
      <w:r w:rsidR="00943E1F" w:rsidRPr="00E80935">
        <w:rPr>
          <w:rFonts w:ascii="Times New Roman" w:hAnsi="Times New Roman"/>
          <w:color w:val="000000"/>
        </w:rPr>
        <w:t xml:space="preserve">presented </w:t>
      </w:r>
      <w:r w:rsidR="0061282D" w:rsidRPr="00E80935">
        <w:rPr>
          <w:rFonts w:ascii="Times New Roman" w:hAnsi="Times New Roman"/>
          <w:color w:val="000000"/>
        </w:rPr>
        <w:t xml:space="preserve">first, so </w:t>
      </w:r>
      <w:r w:rsidR="00943E1F" w:rsidRPr="00E80935">
        <w:rPr>
          <w:rFonts w:ascii="Times New Roman" w:hAnsi="Times New Roman"/>
          <w:color w:val="000000"/>
        </w:rPr>
        <w:t>it was</w:t>
      </w:r>
      <w:r w:rsidR="0061282D" w:rsidRPr="00E80935">
        <w:rPr>
          <w:rFonts w:ascii="Times New Roman" w:hAnsi="Times New Roman"/>
          <w:color w:val="000000"/>
        </w:rPr>
        <w:t xml:space="preserve"> more common for </w:t>
      </w:r>
      <w:r w:rsidR="00196138" w:rsidRPr="00E80935">
        <w:rPr>
          <w:rFonts w:ascii="Times New Roman" w:hAnsi="Times New Roman"/>
          <w:color w:val="000000"/>
        </w:rPr>
        <w:t xml:space="preserve">the </w:t>
      </w:r>
      <w:r w:rsidR="0061282D" w:rsidRPr="00E80935">
        <w:rPr>
          <w:rFonts w:ascii="Times New Roman" w:hAnsi="Times New Roman"/>
          <w:color w:val="000000"/>
        </w:rPr>
        <w:t xml:space="preserve">information </w:t>
      </w:r>
      <w:r w:rsidR="00196138" w:rsidRPr="00E80935">
        <w:rPr>
          <w:rFonts w:ascii="Times New Roman" w:hAnsi="Times New Roman"/>
          <w:color w:val="000000"/>
        </w:rPr>
        <w:t xml:space="preserve">on staff perpetrators </w:t>
      </w:r>
      <w:r w:rsidR="00943E1F" w:rsidRPr="00E80935">
        <w:rPr>
          <w:rFonts w:ascii="Times New Roman" w:hAnsi="Times New Roman"/>
          <w:color w:val="000000"/>
        </w:rPr>
        <w:t xml:space="preserve">to </w:t>
      </w:r>
      <w:r w:rsidR="0061282D" w:rsidRPr="00E80935">
        <w:rPr>
          <w:rFonts w:ascii="Times New Roman" w:hAnsi="Times New Roman"/>
          <w:color w:val="000000"/>
        </w:rPr>
        <w:t xml:space="preserve">be entered into </w:t>
      </w:r>
      <w:r w:rsidR="00196138" w:rsidRPr="00E80935">
        <w:rPr>
          <w:rFonts w:ascii="Times New Roman" w:hAnsi="Times New Roman"/>
          <w:color w:val="000000"/>
        </w:rPr>
        <w:t xml:space="preserve">the </w:t>
      </w:r>
      <w:r w:rsidR="0061282D" w:rsidRPr="00E80935">
        <w:rPr>
          <w:rFonts w:ascii="Times New Roman" w:hAnsi="Times New Roman"/>
          <w:color w:val="000000"/>
        </w:rPr>
        <w:t>inmate perpetrator fields. To resolve this in the web-based survey</w:t>
      </w:r>
      <w:r w:rsidR="00943E1F" w:rsidRPr="00E80935">
        <w:rPr>
          <w:rFonts w:ascii="Times New Roman" w:hAnsi="Times New Roman"/>
          <w:color w:val="000000"/>
        </w:rPr>
        <w:t xml:space="preserve"> for SSV 2017</w:t>
      </w:r>
      <w:r w:rsidR="0061282D" w:rsidRPr="00E80935">
        <w:rPr>
          <w:rFonts w:ascii="Times New Roman" w:hAnsi="Times New Roman"/>
          <w:color w:val="000000"/>
        </w:rPr>
        <w:t>, skip patterns will take the respondent to the correct section based on the type of incident marked in item 17.</w:t>
      </w:r>
    </w:p>
    <w:p w14:paraId="2ACBCA88" w14:textId="77777777" w:rsidR="00B54A7D" w:rsidRPr="00E80935" w:rsidRDefault="00B54A7D" w:rsidP="00404EC0">
      <w:pPr>
        <w:widowControl/>
        <w:ind w:left="720"/>
        <w:rPr>
          <w:rFonts w:ascii="Times New Roman" w:hAnsi="Times New Roman"/>
          <w:color w:val="000000"/>
        </w:rPr>
      </w:pPr>
    </w:p>
    <w:p w14:paraId="1FA2E234" w14:textId="766C9B1F" w:rsidR="000D56A5" w:rsidRPr="00E80935" w:rsidRDefault="000D56A5" w:rsidP="00402285">
      <w:pPr>
        <w:widowControl/>
        <w:ind w:left="720"/>
        <w:rPr>
          <w:rFonts w:ascii="Times New Roman" w:hAnsi="Times New Roman"/>
          <w:color w:val="000000"/>
        </w:rPr>
      </w:pPr>
      <w:r w:rsidRPr="00E80935">
        <w:rPr>
          <w:rFonts w:ascii="Times New Roman" w:hAnsi="Times New Roman"/>
          <w:color w:val="000000"/>
        </w:rPr>
        <w:t xml:space="preserve">The third change affected the wording of the question for items 7, 10, 19, and 22. </w:t>
      </w:r>
      <w:r w:rsidR="002A068F" w:rsidRPr="00E80935">
        <w:rPr>
          <w:rFonts w:ascii="Times New Roman" w:hAnsi="Times New Roman"/>
          <w:color w:val="000000"/>
        </w:rPr>
        <w:t xml:space="preserve">For SSV </w:t>
      </w:r>
      <w:r w:rsidR="005836F9" w:rsidRPr="00E80935">
        <w:rPr>
          <w:rFonts w:ascii="Times New Roman" w:hAnsi="Times New Roman"/>
          <w:color w:val="000000"/>
        </w:rPr>
        <w:t>2013-15, these items asked about the sex of victims and inmate</w:t>
      </w:r>
      <w:r w:rsidR="00791E55" w:rsidRPr="00E80935">
        <w:rPr>
          <w:rFonts w:ascii="Times New Roman" w:hAnsi="Times New Roman"/>
          <w:color w:val="000000"/>
        </w:rPr>
        <w:t>/</w:t>
      </w:r>
      <w:r w:rsidR="005836F9" w:rsidRPr="00E80935">
        <w:rPr>
          <w:rFonts w:ascii="Times New Roman" w:hAnsi="Times New Roman"/>
          <w:color w:val="000000"/>
        </w:rPr>
        <w:t>youth perpetrators. Two answer categories were added</w:t>
      </w:r>
      <w:r w:rsidR="00943E1F" w:rsidRPr="00E80935">
        <w:rPr>
          <w:rFonts w:ascii="Times New Roman" w:hAnsi="Times New Roman"/>
          <w:color w:val="000000"/>
        </w:rPr>
        <w:t xml:space="preserve"> in 2013</w:t>
      </w:r>
      <w:r w:rsidR="005836F9" w:rsidRPr="00E80935">
        <w:rPr>
          <w:rFonts w:ascii="Times New Roman" w:hAnsi="Times New Roman"/>
          <w:color w:val="000000"/>
        </w:rPr>
        <w:t>, transgender and intersex</w:t>
      </w:r>
      <w:r w:rsidR="000D2B6D" w:rsidRPr="00E80935">
        <w:rPr>
          <w:rFonts w:ascii="Times New Roman" w:hAnsi="Times New Roman"/>
          <w:color w:val="000000"/>
        </w:rPr>
        <w:t xml:space="preserve">. </w:t>
      </w:r>
      <w:r w:rsidR="002A068F" w:rsidRPr="00E80935">
        <w:rPr>
          <w:rFonts w:ascii="Times New Roman" w:hAnsi="Times New Roman"/>
          <w:color w:val="000000"/>
        </w:rPr>
        <w:t xml:space="preserve">For </w:t>
      </w:r>
      <w:r w:rsidR="000D2B6D" w:rsidRPr="00E80935">
        <w:rPr>
          <w:rFonts w:ascii="Times New Roman" w:hAnsi="Times New Roman"/>
          <w:color w:val="000000"/>
        </w:rPr>
        <w:t>SSV</w:t>
      </w:r>
      <w:r w:rsidR="005836F9" w:rsidRPr="00E80935">
        <w:rPr>
          <w:rFonts w:ascii="Times New Roman" w:hAnsi="Times New Roman"/>
          <w:color w:val="000000"/>
        </w:rPr>
        <w:t xml:space="preserve"> 2016, </w:t>
      </w:r>
      <w:r w:rsidR="00943E1F" w:rsidRPr="00E80935">
        <w:rPr>
          <w:rFonts w:ascii="Times New Roman" w:hAnsi="Times New Roman"/>
          <w:color w:val="000000"/>
        </w:rPr>
        <w:t xml:space="preserve">the wording of </w:t>
      </w:r>
      <w:r w:rsidR="005836F9" w:rsidRPr="00E80935">
        <w:rPr>
          <w:rFonts w:ascii="Times New Roman" w:hAnsi="Times New Roman"/>
          <w:color w:val="000000"/>
        </w:rPr>
        <w:t xml:space="preserve">these items </w:t>
      </w:r>
      <w:r w:rsidR="00943E1F" w:rsidRPr="00E80935">
        <w:rPr>
          <w:rFonts w:ascii="Times New Roman" w:hAnsi="Times New Roman"/>
          <w:color w:val="000000"/>
        </w:rPr>
        <w:t xml:space="preserve">was modified to </w:t>
      </w:r>
      <w:r w:rsidR="005836F9" w:rsidRPr="00E80935">
        <w:rPr>
          <w:rFonts w:ascii="Times New Roman" w:hAnsi="Times New Roman"/>
          <w:color w:val="000000"/>
        </w:rPr>
        <w:t xml:space="preserve">ask about the sex </w:t>
      </w:r>
      <w:r w:rsidR="005836F9" w:rsidRPr="00E80935">
        <w:rPr>
          <w:rFonts w:ascii="Times New Roman" w:hAnsi="Times New Roman"/>
          <w:i/>
          <w:color w:val="000000"/>
        </w:rPr>
        <w:t>or gender identity</w:t>
      </w:r>
      <w:r w:rsidR="005836F9" w:rsidRPr="00E80935">
        <w:rPr>
          <w:rFonts w:ascii="Times New Roman" w:hAnsi="Times New Roman"/>
          <w:color w:val="000000"/>
        </w:rPr>
        <w:t xml:space="preserve"> of </w:t>
      </w:r>
      <w:r w:rsidR="00791E55" w:rsidRPr="00E80935">
        <w:rPr>
          <w:rFonts w:ascii="Times New Roman" w:hAnsi="Times New Roman"/>
          <w:color w:val="000000"/>
        </w:rPr>
        <w:t>victims and inmate/</w:t>
      </w:r>
      <w:r w:rsidR="005836F9" w:rsidRPr="00E80935">
        <w:rPr>
          <w:rFonts w:ascii="Times New Roman" w:hAnsi="Times New Roman"/>
          <w:color w:val="000000"/>
        </w:rPr>
        <w:t xml:space="preserve">youth perpetrators. </w:t>
      </w:r>
      <w:r w:rsidR="00791E55" w:rsidRPr="00E80935">
        <w:rPr>
          <w:rFonts w:ascii="Times New Roman" w:hAnsi="Times New Roman"/>
          <w:color w:val="000000"/>
        </w:rPr>
        <w:t>T</w:t>
      </w:r>
      <w:r w:rsidR="005836F9" w:rsidRPr="00E80935">
        <w:rPr>
          <w:rFonts w:ascii="Times New Roman" w:hAnsi="Times New Roman"/>
          <w:color w:val="000000"/>
        </w:rPr>
        <w:t>he answer categories remained the same</w:t>
      </w:r>
      <w:r w:rsidR="00791E55" w:rsidRPr="00E80935">
        <w:rPr>
          <w:rFonts w:ascii="Times New Roman" w:hAnsi="Times New Roman"/>
          <w:color w:val="000000"/>
        </w:rPr>
        <w:t xml:space="preserve">. BJS received clearance of these four items </w:t>
      </w:r>
      <w:r w:rsidR="002A068F" w:rsidRPr="00E80935">
        <w:rPr>
          <w:rFonts w:ascii="Times New Roman" w:hAnsi="Times New Roman"/>
          <w:color w:val="000000"/>
        </w:rPr>
        <w:t xml:space="preserve">with the </w:t>
      </w:r>
      <w:r w:rsidR="00791E55" w:rsidRPr="00E80935">
        <w:rPr>
          <w:rFonts w:ascii="Times New Roman" w:hAnsi="Times New Roman"/>
          <w:color w:val="000000"/>
        </w:rPr>
        <w:t>condition</w:t>
      </w:r>
      <w:r w:rsidR="002A068F" w:rsidRPr="00E80935">
        <w:rPr>
          <w:rFonts w:ascii="Times New Roman" w:hAnsi="Times New Roman"/>
          <w:color w:val="000000"/>
        </w:rPr>
        <w:t xml:space="preserve"> that further testing be conducted</w:t>
      </w:r>
      <w:r w:rsidR="00791E55" w:rsidRPr="00E80935">
        <w:rPr>
          <w:rFonts w:ascii="Times New Roman" w:hAnsi="Times New Roman"/>
          <w:color w:val="000000"/>
        </w:rPr>
        <w:t>.</w:t>
      </w:r>
    </w:p>
    <w:p w14:paraId="28090A9B" w14:textId="77777777" w:rsidR="00903D5F" w:rsidRPr="00E80935" w:rsidRDefault="00903D5F" w:rsidP="00402285">
      <w:pPr>
        <w:widowControl/>
        <w:ind w:left="720"/>
        <w:rPr>
          <w:rFonts w:ascii="Times New Roman" w:hAnsi="Times New Roman"/>
          <w:color w:val="000000"/>
        </w:rPr>
      </w:pPr>
    </w:p>
    <w:p w14:paraId="58313916" w14:textId="1E2C8787" w:rsidR="00943E1F" w:rsidRPr="00E80935" w:rsidRDefault="00943E1F" w:rsidP="00402285">
      <w:pPr>
        <w:widowControl/>
        <w:ind w:left="720"/>
        <w:rPr>
          <w:rFonts w:ascii="Times New Roman" w:hAnsi="Times New Roman"/>
          <w:color w:val="000000"/>
        </w:rPr>
      </w:pPr>
      <w:r w:rsidRPr="00E80935">
        <w:rPr>
          <w:rFonts w:ascii="Times New Roman" w:hAnsi="Times New Roman"/>
          <w:color w:val="000000"/>
        </w:rPr>
        <w:t>In response to the terms of clearance, BJS 1) monitored the number of reports and response rates for these items, and 2) conducted record-keeping interviews with 9 respondents. The results are summarized below.</w:t>
      </w:r>
    </w:p>
    <w:p w14:paraId="71431A8F" w14:textId="77777777" w:rsidR="00943E1F" w:rsidRPr="00E80935" w:rsidRDefault="00943E1F" w:rsidP="00402285">
      <w:pPr>
        <w:widowControl/>
        <w:ind w:left="720"/>
        <w:rPr>
          <w:rFonts w:ascii="Times New Roman" w:hAnsi="Times New Roman"/>
          <w:color w:val="000000"/>
        </w:rPr>
      </w:pPr>
    </w:p>
    <w:p w14:paraId="7DE8B638" w14:textId="3F87F5AA" w:rsidR="00903D5F" w:rsidRPr="00E80935" w:rsidRDefault="00943E1F" w:rsidP="00196138">
      <w:pPr>
        <w:widowControl/>
        <w:ind w:left="720" w:right="90"/>
        <w:rPr>
          <w:rFonts w:ascii="Times New Roman" w:hAnsi="Times New Roman"/>
          <w:color w:val="000000"/>
        </w:rPr>
      </w:pPr>
      <w:r w:rsidRPr="00E80935">
        <w:rPr>
          <w:rFonts w:ascii="Times New Roman" w:hAnsi="Times New Roman"/>
          <w:color w:val="000000"/>
        </w:rPr>
        <w:t>Since the introduction of these two answer categories on the SSV, t</w:t>
      </w:r>
      <w:r w:rsidR="00903D5F" w:rsidRPr="00E80935">
        <w:rPr>
          <w:rFonts w:ascii="Times New Roman" w:hAnsi="Times New Roman"/>
          <w:color w:val="000000"/>
        </w:rPr>
        <w:t xml:space="preserve">he number of </w:t>
      </w:r>
      <w:r w:rsidR="0093288D" w:rsidRPr="00E80935">
        <w:rPr>
          <w:rFonts w:ascii="Times New Roman" w:hAnsi="Times New Roman"/>
          <w:color w:val="000000"/>
        </w:rPr>
        <w:t xml:space="preserve">reported </w:t>
      </w:r>
      <w:r w:rsidR="00903D5F" w:rsidRPr="00E80935">
        <w:rPr>
          <w:rFonts w:ascii="Times New Roman" w:hAnsi="Times New Roman"/>
          <w:color w:val="000000"/>
        </w:rPr>
        <w:t xml:space="preserve">intersex and transgender victim and perpetrators has increased each year from 2014 to 2016. </w:t>
      </w:r>
      <w:r w:rsidR="0093288D" w:rsidRPr="00E80935">
        <w:rPr>
          <w:rFonts w:ascii="Times New Roman" w:hAnsi="Times New Roman"/>
          <w:color w:val="000000"/>
        </w:rPr>
        <w:t>Overall, 182 transgender and intersex victims and inmate</w:t>
      </w:r>
      <w:r w:rsidR="005B7E6C" w:rsidRPr="00E80935">
        <w:rPr>
          <w:rFonts w:ascii="Times New Roman" w:hAnsi="Times New Roman"/>
          <w:color w:val="000000"/>
        </w:rPr>
        <w:t>/</w:t>
      </w:r>
      <w:r w:rsidR="0093288D" w:rsidRPr="00E80935">
        <w:rPr>
          <w:rFonts w:ascii="Times New Roman" w:hAnsi="Times New Roman"/>
          <w:color w:val="000000"/>
        </w:rPr>
        <w:t xml:space="preserve">youth perpetrators of sexual victimization in correctional facilities have been reported through SSV (see table </w:t>
      </w:r>
      <w:r w:rsidR="00D321E8" w:rsidRPr="00E80935">
        <w:rPr>
          <w:rFonts w:ascii="Times New Roman" w:hAnsi="Times New Roman"/>
          <w:color w:val="000000"/>
        </w:rPr>
        <w:t>6</w:t>
      </w:r>
      <w:r w:rsidR="0093288D" w:rsidRPr="00E80935">
        <w:rPr>
          <w:rFonts w:ascii="Times New Roman" w:hAnsi="Times New Roman"/>
          <w:color w:val="000000"/>
        </w:rPr>
        <w:t>).</w:t>
      </w:r>
      <w:r w:rsidR="00527902" w:rsidRPr="00E80935">
        <w:rPr>
          <w:rFonts w:ascii="Times New Roman" w:hAnsi="Times New Roman"/>
          <w:color w:val="000000"/>
        </w:rPr>
        <w:t xml:space="preserve"> </w:t>
      </w:r>
    </w:p>
    <w:p w14:paraId="252D8355" w14:textId="77777777" w:rsidR="00903D5F" w:rsidRPr="00E80935" w:rsidRDefault="00903D5F" w:rsidP="00402285">
      <w:pPr>
        <w:widowControl/>
        <w:ind w:left="720"/>
        <w:rPr>
          <w:rFonts w:ascii="Times New Roman" w:hAnsi="Times New Roman"/>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715"/>
        <w:gridCol w:w="720"/>
        <w:gridCol w:w="720"/>
        <w:gridCol w:w="715"/>
      </w:tblGrid>
      <w:tr w:rsidR="00F31AB3" w:rsidRPr="00E80935" w14:paraId="638545FF" w14:textId="77777777" w:rsidTr="00F31AB3">
        <w:tc>
          <w:tcPr>
            <w:tcW w:w="8630" w:type="dxa"/>
            <w:gridSpan w:val="5"/>
          </w:tcPr>
          <w:p w14:paraId="24C98F25" w14:textId="6A4F8B30" w:rsidR="00F31AB3" w:rsidRPr="00E80935" w:rsidRDefault="00F31AB3" w:rsidP="009C65EA">
            <w:pPr>
              <w:widowControl/>
              <w:rPr>
                <w:rFonts w:ascii="Times New Roman" w:hAnsi="Times New Roman"/>
                <w:b/>
                <w:color w:val="000000"/>
              </w:rPr>
            </w:pPr>
            <w:r w:rsidRPr="00E80935">
              <w:rPr>
                <w:rFonts w:ascii="Arial" w:hAnsi="Arial" w:cs="Arial"/>
                <w:b/>
                <w:color w:val="000000"/>
                <w:sz w:val="20"/>
                <w:szCs w:val="20"/>
              </w:rPr>
              <w:t xml:space="preserve">Table </w:t>
            </w:r>
            <w:r w:rsidR="00D321E8" w:rsidRPr="00E80935">
              <w:rPr>
                <w:rFonts w:ascii="Arial" w:hAnsi="Arial" w:cs="Arial"/>
                <w:b/>
                <w:color w:val="000000"/>
                <w:sz w:val="20"/>
                <w:szCs w:val="20"/>
              </w:rPr>
              <w:t>6</w:t>
            </w:r>
            <w:r w:rsidRPr="00E80935">
              <w:rPr>
                <w:rFonts w:ascii="Arial" w:hAnsi="Arial" w:cs="Arial"/>
                <w:b/>
                <w:color w:val="000000"/>
                <w:sz w:val="20"/>
                <w:szCs w:val="20"/>
              </w:rPr>
              <w:t xml:space="preserve">. Transgender or intersex victims </w:t>
            </w:r>
            <w:r w:rsidR="009C65EA" w:rsidRPr="00E80935">
              <w:rPr>
                <w:rFonts w:ascii="Arial" w:hAnsi="Arial" w:cs="Arial"/>
                <w:b/>
                <w:color w:val="000000"/>
                <w:sz w:val="20"/>
                <w:szCs w:val="20"/>
              </w:rPr>
              <w:t>and</w:t>
            </w:r>
            <w:r w:rsidRPr="00E80935">
              <w:rPr>
                <w:rFonts w:ascii="Arial" w:hAnsi="Arial" w:cs="Arial"/>
                <w:b/>
                <w:color w:val="000000"/>
                <w:sz w:val="20"/>
                <w:szCs w:val="20"/>
              </w:rPr>
              <w:t xml:space="preserve"> inmate/youth perpetrators reported in the Survey of Sexual Victimization, 2014-16</w:t>
            </w:r>
          </w:p>
        </w:tc>
      </w:tr>
      <w:tr w:rsidR="00903D5F" w:rsidRPr="00E80935" w14:paraId="36D246D9" w14:textId="77777777" w:rsidTr="008F036C">
        <w:tc>
          <w:tcPr>
            <w:tcW w:w="5760" w:type="dxa"/>
          </w:tcPr>
          <w:p w14:paraId="4345BDA4" w14:textId="77777777" w:rsidR="00903D5F" w:rsidRPr="00E80935" w:rsidRDefault="00903D5F" w:rsidP="00402285">
            <w:pPr>
              <w:widowControl/>
              <w:rPr>
                <w:rFonts w:ascii="Arial" w:hAnsi="Arial" w:cs="Arial"/>
                <w:color w:val="000000"/>
                <w:sz w:val="20"/>
                <w:szCs w:val="20"/>
              </w:rPr>
            </w:pPr>
          </w:p>
        </w:tc>
        <w:tc>
          <w:tcPr>
            <w:tcW w:w="715" w:type="dxa"/>
            <w:tcBorders>
              <w:bottom w:val="single" w:sz="4" w:space="0" w:color="auto"/>
            </w:tcBorders>
            <w:noWrap/>
            <w:tcMar>
              <w:left w:w="72" w:type="dxa"/>
              <w:right w:w="72" w:type="dxa"/>
            </w:tcMar>
          </w:tcPr>
          <w:p w14:paraId="65890961" w14:textId="5C3BD060" w:rsidR="00903D5F" w:rsidRPr="00E80935" w:rsidRDefault="00903D5F" w:rsidP="008F036C">
            <w:pPr>
              <w:widowControl/>
              <w:jc w:val="right"/>
              <w:rPr>
                <w:rFonts w:ascii="Arial" w:hAnsi="Arial" w:cs="Arial"/>
                <w:b/>
                <w:color w:val="000000"/>
                <w:sz w:val="20"/>
                <w:szCs w:val="20"/>
              </w:rPr>
            </w:pPr>
            <w:r w:rsidRPr="00E80935">
              <w:rPr>
                <w:rFonts w:ascii="Arial" w:hAnsi="Arial" w:cs="Arial"/>
                <w:b/>
                <w:color w:val="000000"/>
                <w:sz w:val="20"/>
                <w:szCs w:val="20"/>
              </w:rPr>
              <w:t>Total</w:t>
            </w:r>
          </w:p>
        </w:tc>
        <w:tc>
          <w:tcPr>
            <w:tcW w:w="720" w:type="dxa"/>
            <w:tcBorders>
              <w:bottom w:val="single" w:sz="4" w:space="0" w:color="auto"/>
            </w:tcBorders>
            <w:noWrap/>
            <w:tcMar>
              <w:left w:w="72" w:type="dxa"/>
              <w:right w:w="72" w:type="dxa"/>
            </w:tcMar>
          </w:tcPr>
          <w:p w14:paraId="5539AF0B" w14:textId="7DB5EA3B" w:rsidR="00903D5F" w:rsidRPr="00E80935" w:rsidRDefault="00903D5F" w:rsidP="008F036C">
            <w:pPr>
              <w:widowControl/>
              <w:jc w:val="right"/>
              <w:rPr>
                <w:rFonts w:ascii="Arial" w:hAnsi="Arial" w:cs="Arial"/>
                <w:b/>
                <w:color w:val="000000"/>
                <w:sz w:val="20"/>
                <w:szCs w:val="20"/>
              </w:rPr>
            </w:pPr>
            <w:r w:rsidRPr="00E80935">
              <w:rPr>
                <w:rFonts w:ascii="Arial" w:hAnsi="Arial" w:cs="Arial"/>
                <w:b/>
                <w:color w:val="000000"/>
                <w:sz w:val="20"/>
                <w:szCs w:val="20"/>
              </w:rPr>
              <w:t>2016</w:t>
            </w:r>
          </w:p>
        </w:tc>
        <w:tc>
          <w:tcPr>
            <w:tcW w:w="720" w:type="dxa"/>
            <w:tcBorders>
              <w:bottom w:val="single" w:sz="4" w:space="0" w:color="auto"/>
            </w:tcBorders>
            <w:noWrap/>
            <w:tcMar>
              <w:left w:w="72" w:type="dxa"/>
              <w:right w:w="72" w:type="dxa"/>
            </w:tcMar>
          </w:tcPr>
          <w:p w14:paraId="20FD2CEA" w14:textId="46E7E733" w:rsidR="00903D5F" w:rsidRPr="00E80935" w:rsidRDefault="00903D5F" w:rsidP="008F036C">
            <w:pPr>
              <w:widowControl/>
              <w:jc w:val="right"/>
              <w:rPr>
                <w:rFonts w:ascii="Arial" w:hAnsi="Arial" w:cs="Arial"/>
                <w:b/>
                <w:color w:val="000000"/>
                <w:sz w:val="20"/>
                <w:szCs w:val="20"/>
              </w:rPr>
            </w:pPr>
            <w:r w:rsidRPr="00E80935">
              <w:rPr>
                <w:rFonts w:ascii="Arial" w:hAnsi="Arial" w:cs="Arial"/>
                <w:b/>
                <w:color w:val="000000"/>
                <w:sz w:val="20"/>
                <w:szCs w:val="20"/>
              </w:rPr>
              <w:t>2015</w:t>
            </w:r>
          </w:p>
        </w:tc>
        <w:tc>
          <w:tcPr>
            <w:tcW w:w="715" w:type="dxa"/>
            <w:tcBorders>
              <w:bottom w:val="single" w:sz="4" w:space="0" w:color="auto"/>
            </w:tcBorders>
            <w:noWrap/>
            <w:tcMar>
              <w:left w:w="72" w:type="dxa"/>
              <w:right w:w="72" w:type="dxa"/>
            </w:tcMar>
          </w:tcPr>
          <w:p w14:paraId="2BB0C069" w14:textId="499D5C7A" w:rsidR="00903D5F" w:rsidRPr="00E80935" w:rsidRDefault="00903D5F" w:rsidP="008F036C">
            <w:pPr>
              <w:widowControl/>
              <w:jc w:val="right"/>
              <w:rPr>
                <w:rFonts w:ascii="Arial" w:hAnsi="Arial" w:cs="Arial"/>
                <w:b/>
                <w:color w:val="000000"/>
                <w:sz w:val="20"/>
                <w:szCs w:val="20"/>
              </w:rPr>
            </w:pPr>
            <w:r w:rsidRPr="00E80935">
              <w:rPr>
                <w:rFonts w:ascii="Arial" w:hAnsi="Arial" w:cs="Arial"/>
                <w:b/>
                <w:color w:val="000000"/>
                <w:sz w:val="20"/>
                <w:szCs w:val="20"/>
              </w:rPr>
              <w:t>2014</w:t>
            </w:r>
          </w:p>
        </w:tc>
      </w:tr>
      <w:tr w:rsidR="008F036C" w:rsidRPr="00E80935" w14:paraId="49C68EA8" w14:textId="77777777" w:rsidTr="008F036C">
        <w:tc>
          <w:tcPr>
            <w:tcW w:w="5760" w:type="dxa"/>
            <w:noWrap/>
            <w:tcMar>
              <w:left w:w="29" w:type="dxa"/>
              <w:right w:w="29" w:type="dxa"/>
            </w:tcMar>
          </w:tcPr>
          <w:p w14:paraId="3BF4D058" w14:textId="04A62CCC" w:rsidR="00903D5F" w:rsidRPr="00E80935" w:rsidRDefault="00903D5F" w:rsidP="00461C5D">
            <w:pPr>
              <w:widowControl/>
              <w:rPr>
                <w:rFonts w:ascii="Arial" w:hAnsi="Arial" w:cs="Arial"/>
                <w:b/>
                <w:color w:val="000000"/>
                <w:sz w:val="20"/>
                <w:szCs w:val="20"/>
              </w:rPr>
            </w:pPr>
            <w:r w:rsidRPr="00E80935">
              <w:rPr>
                <w:rFonts w:ascii="Arial" w:hAnsi="Arial" w:cs="Arial"/>
                <w:b/>
                <w:color w:val="000000"/>
                <w:sz w:val="20"/>
                <w:szCs w:val="20"/>
              </w:rPr>
              <w:t xml:space="preserve">All </w:t>
            </w:r>
            <w:r w:rsidR="00461C5D" w:rsidRPr="00E80935">
              <w:rPr>
                <w:rFonts w:ascii="Arial" w:hAnsi="Arial" w:cs="Arial"/>
                <w:b/>
                <w:color w:val="000000"/>
                <w:sz w:val="20"/>
                <w:szCs w:val="20"/>
              </w:rPr>
              <w:t xml:space="preserve">systems, jurisdictions, or </w:t>
            </w:r>
            <w:r w:rsidRPr="00E80935">
              <w:rPr>
                <w:rFonts w:ascii="Arial" w:hAnsi="Arial" w:cs="Arial"/>
                <w:b/>
                <w:color w:val="000000"/>
                <w:sz w:val="20"/>
                <w:szCs w:val="20"/>
              </w:rPr>
              <w:t xml:space="preserve">facilities </w:t>
            </w:r>
            <w:r w:rsidR="000E3996" w:rsidRPr="00E80935">
              <w:rPr>
                <w:rFonts w:ascii="Arial" w:hAnsi="Arial" w:cs="Arial"/>
                <w:b/>
                <w:color w:val="000000"/>
                <w:sz w:val="20"/>
                <w:szCs w:val="20"/>
              </w:rPr>
              <w:t>that--</w:t>
            </w:r>
          </w:p>
        </w:tc>
        <w:tc>
          <w:tcPr>
            <w:tcW w:w="715" w:type="dxa"/>
            <w:tcBorders>
              <w:top w:val="single" w:sz="4" w:space="0" w:color="auto"/>
            </w:tcBorders>
            <w:noWrap/>
            <w:tcMar>
              <w:left w:w="72" w:type="dxa"/>
              <w:right w:w="72" w:type="dxa"/>
            </w:tcMar>
          </w:tcPr>
          <w:p w14:paraId="39E98DD2" w14:textId="128BBD7B" w:rsidR="00903D5F" w:rsidRPr="00E80935" w:rsidRDefault="00903D5F" w:rsidP="008F036C">
            <w:pPr>
              <w:widowControl/>
              <w:jc w:val="right"/>
              <w:rPr>
                <w:rFonts w:ascii="Arial" w:hAnsi="Arial" w:cs="Arial"/>
                <w:b/>
                <w:color w:val="000000"/>
                <w:sz w:val="20"/>
                <w:szCs w:val="20"/>
              </w:rPr>
            </w:pPr>
          </w:p>
        </w:tc>
        <w:tc>
          <w:tcPr>
            <w:tcW w:w="720" w:type="dxa"/>
            <w:tcBorders>
              <w:top w:val="single" w:sz="4" w:space="0" w:color="auto"/>
            </w:tcBorders>
            <w:noWrap/>
            <w:tcMar>
              <w:left w:w="72" w:type="dxa"/>
              <w:right w:w="72" w:type="dxa"/>
            </w:tcMar>
          </w:tcPr>
          <w:p w14:paraId="4FF28090" w14:textId="65BCAED3" w:rsidR="00903D5F" w:rsidRPr="00E80935" w:rsidRDefault="00903D5F" w:rsidP="008F036C">
            <w:pPr>
              <w:widowControl/>
              <w:jc w:val="right"/>
              <w:rPr>
                <w:rFonts w:ascii="Arial" w:hAnsi="Arial" w:cs="Arial"/>
                <w:b/>
                <w:color w:val="000000"/>
                <w:sz w:val="20"/>
                <w:szCs w:val="20"/>
              </w:rPr>
            </w:pPr>
          </w:p>
        </w:tc>
        <w:tc>
          <w:tcPr>
            <w:tcW w:w="720" w:type="dxa"/>
            <w:tcBorders>
              <w:top w:val="single" w:sz="4" w:space="0" w:color="auto"/>
            </w:tcBorders>
            <w:noWrap/>
            <w:tcMar>
              <w:left w:w="72" w:type="dxa"/>
              <w:right w:w="72" w:type="dxa"/>
            </w:tcMar>
          </w:tcPr>
          <w:p w14:paraId="253AF4E6" w14:textId="1C4031A1" w:rsidR="00903D5F" w:rsidRPr="00E80935" w:rsidRDefault="00903D5F" w:rsidP="008F036C">
            <w:pPr>
              <w:widowControl/>
              <w:jc w:val="right"/>
              <w:rPr>
                <w:rFonts w:ascii="Arial" w:hAnsi="Arial" w:cs="Arial"/>
                <w:b/>
                <w:color w:val="000000"/>
                <w:sz w:val="20"/>
                <w:szCs w:val="20"/>
              </w:rPr>
            </w:pPr>
          </w:p>
        </w:tc>
        <w:tc>
          <w:tcPr>
            <w:tcW w:w="715" w:type="dxa"/>
            <w:tcBorders>
              <w:top w:val="single" w:sz="4" w:space="0" w:color="auto"/>
            </w:tcBorders>
            <w:noWrap/>
            <w:tcMar>
              <w:left w:w="72" w:type="dxa"/>
              <w:right w:w="72" w:type="dxa"/>
            </w:tcMar>
          </w:tcPr>
          <w:p w14:paraId="61D1D433" w14:textId="2DBF3AD1" w:rsidR="00903D5F" w:rsidRPr="00E80935" w:rsidRDefault="00903D5F" w:rsidP="008F036C">
            <w:pPr>
              <w:widowControl/>
              <w:jc w:val="right"/>
              <w:rPr>
                <w:rFonts w:ascii="Arial" w:hAnsi="Arial" w:cs="Arial"/>
                <w:b/>
                <w:color w:val="000000"/>
                <w:sz w:val="20"/>
                <w:szCs w:val="20"/>
              </w:rPr>
            </w:pPr>
          </w:p>
        </w:tc>
      </w:tr>
      <w:tr w:rsidR="000E3996" w:rsidRPr="00E80935" w14:paraId="45A9D4B8" w14:textId="77777777" w:rsidTr="008F036C">
        <w:tc>
          <w:tcPr>
            <w:tcW w:w="5760" w:type="dxa"/>
            <w:tcMar>
              <w:left w:w="360" w:type="dxa"/>
              <w:right w:w="115" w:type="dxa"/>
            </w:tcMar>
          </w:tcPr>
          <w:p w14:paraId="7DDEAA5D" w14:textId="4BAA6CC4"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Responded</w:t>
            </w:r>
          </w:p>
        </w:tc>
        <w:tc>
          <w:tcPr>
            <w:tcW w:w="715" w:type="dxa"/>
            <w:noWrap/>
            <w:tcMar>
              <w:left w:w="72" w:type="dxa"/>
              <w:right w:w="72" w:type="dxa"/>
            </w:tcMar>
          </w:tcPr>
          <w:p w14:paraId="623AAF24" w14:textId="2A740829"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6017</w:t>
            </w:r>
          </w:p>
        </w:tc>
        <w:tc>
          <w:tcPr>
            <w:tcW w:w="720" w:type="dxa"/>
            <w:noWrap/>
            <w:tcMar>
              <w:left w:w="72" w:type="dxa"/>
              <w:right w:w="72" w:type="dxa"/>
            </w:tcMar>
          </w:tcPr>
          <w:p w14:paraId="005DDB36" w14:textId="4069E3BD" w:rsidR="000E3996" w:rsidRPr="00E80935" w:rsidRDefault="000E3996" w:rsidP="008F036C">
            <w:pPr>
              <w:widowControl/>
              <w:jc w:val="right"/>
              <w:rPr>
                <w:rFonts w:ascii="Arial" w:hAnsi="Arial" w:cs="Arial"/>
                <w:color w:val="000000"/>
                <w:sz w:val="20"/>
                <w:szCs w:val="20"/>
              </w:rPr>
            </w:pPr>
            <w:r w:rsidRPr="00E80935">
              <w:rPr>
                <w:rFonts w:ascii="Arial" w:hAnsi="Arial" w:cs="Arial"/>
                <w:b/>
                <w:color w:val="000000"/>
                <w:sz w:val="20"/>
                <w:szCs w:val="20"/>
              </w:rPr>
              <w:t>1469</w:t>
            </w:r>
          </w:p>
        </w:tc>
        <w:tc>
          <w:tcPr>
            <w:tcW w:w="720" w:type="dxa"/>
            <w:noWrap/>
            <w:tcMar>
              <w:left w:w="72" w:type="dxa"/>
              <w:right w:w="72" w:type="dxa"/>
            </w:tcMar>
          </w:tcPr>
          <w:p w14:paraId="2BAF6602" w14:textId="39529124" w:rsidR="000E3996" w:rsidRPr="00E80935" w:rsidRDefault="000E3996" w:rsidP="008F036C">
            <w:pPr>
              <w:widowControl/>
              <w:jc w:val="right"/>
              <w:rPr>
                <w:rFonts w:ascii="Arial" w:hAnsi="Arial" w:cs="Arial"/>
                <w:color w:val="000000"/>
                <w:sz w:val="20"/>
                <w:szCs w:val="20"/>
              </w:rPr>
            </w:pPr>
            <w:r w:rsidRPr="00E80935">
              <w:rPr>
                <w:rFonts w:ascii="Arial" w:hAnsi="Arial" w:cs="Arial"/>
                <w:b/>
                <w:color w:val="000000"/>
                <w:sz w:val="20"/>
                <w:szCs w:val="20"/>
              </w:rPr>
              <w:t>1527</w:t>
            </w:r>
          </w:p>
        </w:tc>
        <w:tc>
          <w:tcPr>
            <w:tcW w:w="715" w:type="dxa"/>
            <w:noWrap/>
            <w:tcMar>
              <w:left w:w="72" w:type="dxa"/>
              <w:right w:w="72" w:type="dxa"/>
            </w:tcMar>
          </w:tcPr>
          <w:p w14:paraId="02E927D5" w14:textId="2F96F6DC" w:rsidR="000E3996" w:rsidRPr="00E80935" w:rsidRDefault="000E3996" w:rsidP="008F036C">
            <w:pPr>
              <w:widowControl/>
              <w:jc w:val="right"/>
              <w:rPr>
                <w:rFonts w:ascii="Arial" w:hAnsi="Arial" w:cs="Arial"/>
                <w:color w:val="000000"/>
                <w:sz w:val="20"/>
                <w:szCs w:val="20"/>
              </w:rPr>
            </w:pPr>
            <w:r w:rsidRPr="00E80935">
              <w:rPr>
                <w:rFonts w:ascii="Arial" w:hAnsi="Arial" w:cs="Arial"/>
                <w:b/>
                <w:color w:val="000000"/>
                <w:sz w:val="20"/>
                <w:szCs w:val="20"/>
              </w:rPr>
              <w:t>1519</w:t>
            </w:r>
          </w:p>
        </w:tc>
      </w:tr>
      <w:tr w:rsidR="008F036C" w:rsidRPr="00E80935" w14:paraId="5D193EEF" w14:textId="77777777" w:rsidTr="008F036C">
        <w:tc>
          <w:tcPr>
            <w:tcW w:w="5760" w:type="dxa"/>
            <w:tcMar>
              <w:left w:w="360" w:type="dxa"/>
              <w:right w:w="115" w:type="dxa"/>
            </w:tcMar>
          </w:tcPr>
          <w:p w14:paraId="7C7EA881" w14:textId="1003D470" w:rsidR="00903D5F" w:rsidRPr="00E80935" w:rsidRDefault="000E3996" w:rsidP="00402285">
            <w:pPr>
              <w:widowControl/>
              <w:rPr>
                <w:rFonts w:ascii="Arial" w:hAnsi="Arial" w:cs="Arial"/>
                <w:color w:val="000000"/>
                <w:sz w:val="20"/>
                <w:szCs w:val="20"/>
              </w:rPr>
            </w:pPr>
            <w:r w:rsidRPr="00E80935">
              <w:rPr>
                <w:rFonts w:ascii="Arial" w:hAnsi="Arial" w:cs="Arial"/>
                <w:color w:val="000000"/>
                <w:sz w:val="20"/>
                <w:szCs w:val="20"/>
              </w:rPr>
              <w:t>Had</w:t>
            </w:r>
            <w:r w:rsidR="00903D5F" w:rsidRPr="00E80935">
              <w:rPr>
                <w:rFonts w:ascii="Arial" w:hAnsi="Arial" w:cs="Arial"/>
                <w:color w:val="000000"/>
                <w:sz w:val="20"/>
                <w:szCs w:val="20"/>
              </w:rPr>
              <w:t xml:space="preserve"> </w:t>
            </w:r>
            <w:r w:rsidRPr="00E80935">
              <w:rPr>
                <w:rFonts w:ascii="Arial" w:hAnsi="Arial" w:cs="Arial"/>
                <w:color w:val="000000"/>
                <w:sz w:val="20"/>
                <w:szCs w:val="20"/>
              </w:rPr>
              <w:t xml:space="preserve">one or more </w:t>
            </w:r>
            <w:r w:rsidR="00903D5F" w:rsidRPr="00E80935">
              <w:rPr>
                <w:rFonts w:ascii="Arial" w:hAnsi="Arial" w:cs="Arial"/>
                <w:color w:val="000000"/>
                <w:sz w:val="20"/>
                <w:szCs w:val="20"/>
              </w:rPr>
              <w:t>substantiated incidents</w:t>
            </w:r>
          </w:p>
        </w:tc>
        <w:tc>
          <w:tcPr>
            <w:tcW w:w="715" w:type="dxa"/>
            <w:noWrap/>
            <w:tcMar>
              <w:left w:w="72" w:type="dxa"/>
              <w:right w:w="72" w:type="dxa"/>
            </w:tcMar>
          </w:tcPr>
          <w:p w14:paraId="22134863" w14:textId="480C5B14" w:rsidR="00903D5F" w:rsidRPr="00E80935" w:rsidRDefault="00461C5D" w:rsidP="008F036C">
            <w:pPr>
              <w:widowControl/>
              <w:jc w:val="right"/>
              <w:rPr>
                <w:rFonts w:ascii="Arial" w:hAnsi="Arial" w:cs="Arial"/>
                <w:b/>
                <w:color w:val="000000"/>
                <w:sz w:val="20"/>
                <w:szCs w:val="20"/>
              </w:rPr>
            </w:pPr>
            <w:r w:rsidRPr="00E80935">
              <w:rPr>
                <w:rFonts w:ascii="Arial" w:hAnsi="Arial" w:cs="Arial"/>
                <w:b/>
                <w:color w:val="000000"/>
                <w:sz w:val="20"/>
                <w:szCs w:val="20"/>
              </w:rPr>
              <w:t>1160</w:t>
            </w:r>
          </w:p>
        </w:tc>
        <w:tc>
          <w:tcPr>
            <w:tcW w:w="720" w:type="dxa"/>
            <w:noWrap/>
            <w:tcMar>
              <w:left w:w="72" w:type="dxa"/>
              <w:right w:w="72" w:type="dxa"/>
            </w:tcMar>
          </w:tcPr>
          <w:p w14:paraId="58CCCA9E" w14:textId="216CC827" w:rsidR="00903D5F" w:rsidRPr="00E80935" w:rsidRDefault="00903D5F" w:rsidP="008F036C">
            <w:pPr>
              <w:widowControl/>
              <w:jc w:val="right"/>
              <w:rPr>
                <w:rFonts w:ascii="Arial" w:hAnsi="Arial" w:cs="Arial"/>
                <w:color w:val="000000"/>
                <w:sz w:val="20"/>
                <w:szCs w:val="20"/>
              </w:rPr>
            </w:pPr>
            <w:r w:rsidRPr="00E80935">
              <w:rPr>
                <w:rFonts w:ascii="Arial" w:hAnsi="Arial" w:cs="Arial"/>
                <w:color w:val="000000"/>
                <w:sz w:val="20"/>
                <w:szCs w:val="20"/>
              </w:rPr>
              <w:t>405</w:t>
            </w:r>
          </w:p>
        </w:tc>
        <w:tc>
          <w:tcPr>
            <w:tcW w:w="720" w:type="dxa"/>
            <w:noWrap/>
            <w:tcMar>
              <w:left w:w="72" w:type="dxa"/>
              <w:right w:w="72" w:type="dxa"/>
            </w:tcMar>
          </w:tcPr>
          <w:p w14:paraId="4385E245" w14:textId="654753F0" w:rsidR="00903D5F" w:rsidRPr="00E80935" w:rsidRDefault="00903D5F" w:rsidP="008F036C">
            <w:pPr>
              <w:widowControl/>
              <w:jc w:val="right"/>
              <w:rPr>
                <w:rFonts w:ascii="Arial" w:hAnsi="Arial" w:cs="Arial"/>
                <w:color w:val="000000"/>
                <w:sz w:val="20"/>
                <w:szCs w:val="20"/>
              </w:rPr>
            </w:pPr>
            <w:r w:rsidRPr="00E80935">
              <w:rPr>
                <w:rFonts w:ascii="Arial" w:hAnsi="Arial" w:cs="Arial"/>
                <w:color w:val="000000"/>
                <w:sz w:val="20"/>
                <w:szCs w:val="20"/>
              </w:rPr>
              <w:t>375</w:t>
            </w:r>
          </w:p>
        </w:tc>
        <w:tc>
          <w:tcPr>
            <w:tcW w:w="715" w:type="dxa"/>
            <w:noWrap/>
            <w:tcMar>
              <w:left w:w="72" w:type="dxa"/>
              <w:right w:w="72" w:type="dxa"/>
            </w:tcMar>
          </w:tcPr>
          <w:p w14:paraId="024646DD" w14:textId="7C6BFADF" w:rsidR="00903D5F" w:rsidRPr="00E80935" w:rsidRDefault="00903D5F" w:rsidP="008F036C">
            <w:pPr>
              <w:widowControl/>
              <w:jc w:val="right"/>
              <w:rPr>
                <w:rFonts w:ascii="Arial" w:hAnsi="Arial" w:cs="Arial"/>
                <w:color w:val="000000"/>
                <w:sz w:val="20"/>
                <w:szCs w:val="20"/>
              </w:rPr>
            </w:pPr>
            <w:r w:rsidRPr="00E80935">
              <w:rPr>
                <w:rFonts w:ascii="Arial" w:hAnsi="Arial" w:cs="Arial"/>
                <w:color w:val="000000"/>
                <w:sz w:val="20"/>
                <w:szCs w:val="20"/>
              </w:rPr>
              <w:t>380</w:t>
            </w:r>
          </w:p>
        </w:tc>
      </w:tr>
      <w:tr w:rsidR="008F036C" w:rsidRPr="00E80935" w14:paraId="746896BD" w14:textId="77777777" w:rsidTr="008F036C">
        <w:tc>
          <w:tcPr>
            <w:tcW w:w="5760" w:type="dxa"/>
            <w:tcMar>
              <w:left w:w="360" w:type="dxa"/>
              <w:right w:w="115" w:type="dxa"/>
            </w:tcMar>
          </w:tcPr>
          <w:p w14:paraId="2C904EF0" w14:textId="7DF993B8" w:rsidR="00903D5F" w:rsidRPr="00E80935" w:rsidRDefault="000E3996" w:rsidP="00903D5F">
            <w:pPr>
              <w:widowControl/>
              <w:rPr>
                <w:rFonts w:ascii="Arial" w:hAnsi="Arial" w:cs="Arial"/>
                <w:color w:val="000000"/>
                <w:sz w:val="20"/>
                <w:szCs w:val="20"/>
              </w:rPr>
            </w:pPr>
            <w:r w:rsidRPr="00E80935">
              <w:rPr>
                <w:rFonts w:ascii="Arial" w:hAnsi="Arial" w:cs="Arial"/>
                <w:color w:val="000000"/>
                <w:sz w:val="20"/>
                <w:szCs w:val="20"/>
              </w:rPr>
              <w:t>Had a</w:t>
            </w:r>
            <w:r w:rsidR="00903D5F" w:rsidRPr="00E80935">
              <w:rPr>
                <w:rFonts w:ascii="Arial" w:hAnsi="Arial" w:cs="Arial"/>
                <w:color w:val="000000"/>
                <w:sz w:val="20"/>
                <w:szCs w:val="20"/>
              </w:rPr>
              <w:t xml:space="preserve"> transgender or intersex victim</w:t>
            </w:r>
            <w:r w:rsidRPr="00E80935">
              <w:rPr>
                <w:rFonts w:ascii="Arial" w:hAnsi="Arial" w:cs="Arial"/>
                <w:color w:val="000000"/>
                <w:sz w:val="20"/>
                <w:szCs w:val="20"/>
              </w:rPr>
              <w:t xml:space="preserve"> or perpetrator</w:t>
            </w:r>
          </w:p>
        </w:tc>
        <w:tc>
          <w:tcPr>
            <w:tcW w:w="715" w:type="dxa"/>
            <w:noWrap/>
            <w:tcMar>
              <w:left w:w="72" w:type="dxa"/>
              <w:right w:w="72" w:type="dxa"/>
            </w:tcMar>
          </w:tcPr>
          <w:p w14:paraId="37311E30" w14:textId="4D7913AC" w:rsidR="00903D5F" w:rsidRPr="00E80935" w:rsidRDefault="00461C5D" w:rsidP="008F036C">
            <w:pPr>
              <w:widowControl/>
              <w:jc w:val="right"/>
              <w:rPr>
                <w:rFonts w:ascii="Arial" w:hAnsi="Arial" w:cs="Arial"/>
                <w:b/>
                <w:color w:val="000000"/>
                <w:sz w:val="20"/>
                <w:szCs w:val="20"/>
              </w:rPr>
            </w:pPr>
            <w:r w:rsidRPr="00E80935">
              <w:rPr>
                <w:rFonts w:ascii="Arial" w:hAnsi="Arial" w:cs="Arial"/>
                <w:b/>
                <w:color w:val="000000"/>
                <w:sz w:val="20"/>
                <w:szCs w:val="20"/>
              </w:rPr>
              <w:t>108</w:t>
            </w:r>
          </w:p>
        </w:tc>
        <w:tc>
          <w:tcPr>
            <w:tcW w:w="720" w:type="dxa"/>
            <w:noWrap/>
            <w:tcMar>
              <w:left w:w="72" w:type="dxa"/>
              <w:right w:w="72" w:type="dxa"/>
            </w:tcMar>
          </w:tcPr>
          <w:p w14:paraId="725FD879" w14:textId="38F48DEB"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41</w:t>
            </w:r>
          </w:p>
        </w:tc>
        <w:tc>
          <w:tcPr>
            <w:tcW w:w="720" w:type="dxa"/>
            <w:noWrap/>
            <w:tcMar>
              <w:left w:w="72" w:type="dxa"/>
              <w:right w:w="72" w:type="dxa"/>
            </w:tcMar>
          </w:tcPr>
          <w:p w14:paraId="62008D45" w14:textId="18F54172"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34</w:t>
            </w:r>
          </w:p>
        </w:tc>
        <w:tc>
          <w:tcPr>
            <w:tcW w:w="715" w:type="dxa"/>
            <w:noWrap/>
            <w:tcMar>
              <w:left w:w="72" w:type="dxa"/>
              <w:right w:w="72" w:type="dxa"/>
            </w:tcMar>
          </w:tcPr>
          <w:p w14:paraId="4A387EE3" w14:textId="13DC7A6C"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23</w:t>
            </w:r>
          </w:p>
        </w:tc>
      </w:tr>
      <w:tr w:rsidR="008F036C" w:rsidRPr="00E80935" w14:paraId="1851BF7C" w14:textId="77777777" w:rsidTr="008F036C">
        <w:tc>
          <w:tcPr>
            <w:tcW w:w="5760" w:type="dxa"/>
            <w:noWrap/>
            <w:tcMar>
              <w:left w:w="29" w:type="dxa"/>
              <w:right w:w="29" w:type="dxa"/>
            </w:tcMar>
          </w:tcPr>
          <w:p w14:paraId="6B6BCD6A" w14:textId="356CC611" w:rsidR="00903D5F" w:rsidRPr="00E80935" w:rsidRDefault="008F036C" w:rsidP="00402285">
            <w:pPr>
              <w:widowControl/>
              <w:rPr>
                <w:rFonts w:ascii="Arial" w:hAnsi="Arial" w:cs="Arial"/>
                <w:color w:val="000000"/>
                <w:sz w:val="20"/>
                <w:szCs w:val="20"/>
              </w:rPr>
            </w:pPr>
            <w:r w:rsidRPr="00E80935">
              <w:rPr>
                <w:rFonts w:ascii="Arial" w:hAnsi="Arial" w:cs="Arial"/>
                <w:color w:val="000000"/>
                <w:sz w:val="20"/>
                <w:szCs w:val="20"/>
              </w:rPr>
              <w:t>Number of</w:t>
            </w:r>
            <w:r w:rsidR="00461C5D" w:rsidRPr="00E80935">
              <w:rPr>
                <w:rFonts w:ascii="Arial" w:hAnsi="Arial" w:cs="Arial"/>
                <w:color w:val="000000"/>
                <w:sz w:val="20"/>
                <w:szCs w:val="20"/>
              </w:rPr>
              <w:t xml:space="preserve"> transgender or intersex victims or perpetrators</w:t>
            </w:r>
          </w:p>
        </w:tc>
        <w:tc>
          <w:tcPr>
            <w:tcW w:w="715" w:type="dxa"/>
            <w:noWrap/>
            <w:tcMar>
              <w:left w:w="72" w:type="dxa"/>
              <w:right w:w="72" w:type="dxa"/>
            </w:tcMar>
          </w:tcPr>
          <w:p w14:paraId="21B445FC" w14:textId="1BAF309D" w:rsidR="00903D5F" w:rsidRPr="00E80935" w:rsidRDefault="00461C5D" w:rsidP="008F036C">
            <w:pPr>
              <w:widowControl/>
              <w:jc w:val="right"/>
              <w:rPr>
                <w:rFonts w:ascii="Arial" w:hAnsi="Arial" w:cs="Arial"/>
                <w:b/>
                <w:color w:val="000000"/>
                <w:sz w:val="20"/>
                <w:szCs w:val="20"/>
              </w:rPr>
            </w:pPr>
            <w:r w:rsidRPr="00E80935">
              <w:rPr>
                <w:rFonts w:ascii="Arial" w:hAnsi="Arial" w:cs="Arial"/>
                <w:b/>
                <w:color w:val="000000"/>
                <w:sz w:val="20"/>
                <w:szCs w:val="20"/>
              </w:rPr>
              <w:t>182</w:t>
            </w:r>
          </w:p>
        </w:tc>
        <w:tc>
          <w:tcPr>
            <w:tcW w:w="720" w:type="dxa"/>
            <w:noWrap/>
            <w:tcMar>
              <w:left w:w="72" w:type="dxa"/>
              <w:right w:w="72" w:type="dxa"/>
            </w:tcMar>
          </w:tcPr>
          <w:p w14:paraId="1BED8C5F" w14:textId="2AE8BCF2"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85</w:t>
            </w:r>
          </w:p>
        </w:tc>
        <w:tc>
          <w:tcPr>
            <w:tcW w:w="720" w:type="dxa"/>
            <w:noWrap/>
            <w:tcMar>
              <w:left w:w="72" w:type="dxa"/>
              <w:right w:w="72" w:type="dxa"/>
            </w:tcMar>
          </w:tcPr>
          <w:p w14:paraId="032ED85B" w14:textId="3DA55573"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55</w:t>
            </w:r>
          </w:p>
        </w:tc>
        <w:tc>
          <w:tcPr>
            <w:tcW w:w="715" w:type="dxa"/>
            <w:noWrap/>
            <w:tcMar>
              <w:left w:w="72" w:type="dxa"/>
              <w:right w:w="72" w:type="dxa"/>
            </w:tcMar>
          </w:tcPr>
          <w:p w14:paraId="372EC53E" w14:textId="0ACBE5D6"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30</w:t>
            </w:r>
          </w:p>
        </w:tc>
      </w:tr>
      <w:tr w:rsidR="008F036C" w:rsidRPr="00E80935" w14:paraId="7F10BF53" w14:textId="77777777" w:rsidTr="008F036C">
        <w:tc>
          <w:tcPr>
            <w:tcW w:w="5760" w:type="dxa"/>
            <w:tcMar>
              <w:left w:w="360" w:type="dxa"/>
              <w:right w:w="115" w:type="dxa"/>
            </w:tcMar>
          </w:tcPr>
          <w:p w14:paraId="132BA801" w14:textId="1D0EDB98" w:rsidR="00903D5F" w:rsidRPr="00E80935" w:rsidRDefault="00461C5D" w:rsidP="00402285">
            <w:pPr>
              <w:widowControl/>
              <w:rPr>
                <w:rFonts w:ascii="Arial" w:hAnsi="Arial" w:cs="Arial"/>
                <w:color w:val="000000"/>
                <w:sz w:val="20"/>
                <w:szCs w:val="20"/>
              </w:rPr>
            </w:pPr>
            <w:r w:rsidRPr="00E80935">
              <w:rPr>
                <w:rFonts w:ascii="Arial" w:hAnsi="Arial" w:cs="Arial"/>
                <w:color w:val="000000"/>
                <w:sz w:val="20"/>
                <w:szCs w:val="20"/>
              </w:rPr>
              <w:t>Victims</w:t>
            </w:r>
          </w:p>
        </w:tc>
        <w:tc>
          <w:tcPr>
            <w:tcW w:w="715" w:type="dxa"/>
            <w:noWrap/>
            <w:tcMar>
              <w:left w:w="72" w:type="dxa"/>
              <w:right w:w="72" w:type="dxa"/>
            </w:tcMar>
          </w:tcPr>
          <w:p w14:paraId="0CD8EB6F" w14:textId="5E0B1B14" w:rsidR="00903D5F" w:rsidRPr="00E80935" w:rsidRDefault="00461C5D" w:rsidP="008F036C">
            <w:pPr>
              <w:widowControl/>
              <w:jc w:val="right"/>
              <w:rPr>
                <w:rFonts w:ascii="Arial" w:hAnsi="Arial" w:cs="Arial"/>
                <w:b/>
                <w:color w:val="000000"/>
                <w:sz w:val="20"/>
                <w:szCs w:val="20"/>
              </w:rPr>
            </w:pPr>
            <w:r w:rsidRPr="00E80935">
              <w:rPr>
                <w:rFonts w:ascii="Arial" w:hAnsi="Arial" w:cs="Arial"/>
                <w:b/>
                <w:color w:val="000000"/>
                <w:sz w:val="20"/>
                <w:szCs w:val="20"/>
              </w:rPr>
              <w:t>132</w:t>
            </w:r>
          </w:p>
        </w:tc>
        <w:tc>
          <w:tcPr>
            <w:tcW w:w="720" w:type="dxa"/>
            <w:noWrap/>
            <w:tcMar>
              <w:left w:w="72" w:type="dxa"/>
              <w:right w:w="72" w:type="dxa"/>
            </w:tcMar>
          </w:tcPr>
          <w:p w14:paraId="78CCB638" w14:textId="6B1AA554"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60</w:t>
            </w:r>
          </w:p>
        </w:tc>
        <w:tc>
          <w:tcPr>
            <w:tcW w:w="720" w:type="dxa"/>
            <w:noWrap/>
            <w:tcMar>
              <w:left w:w="72" w:type="dxa"/>
              <w:right w:w="72" w:type="dxa"/>
            </w:tcMar>
          </w:tcPr>
          <w:p w14:paraId="60778BB0" w14:textId="78458A43"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42</w:t>
            </w:r>
          </w:p>
        </w:tc>
        <w:tc>
          <w:tcPr>
            <w:tcW w:w="715" w:type="dxa"/>
            <w:noWrap/>
            <w:tcMar>
              <w:left w:w="72" w:type="dxa"/>
              <w:right w:w="72" w:type="dxa"/>
            </w:tcMar>
          </w:tcPr>
          <w:p w14:paraId="6536B6D4" w14:textId="1ED62B32"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20</w:t>
            </w:r>
          </w:p>
        </w:tc>
      </w:tr>
      <w:tr w:rsidR="008F036C" w:rsidRPr="00E80935" w14:paraId="33FC0619" w14:textId="77777777" w:rsidTr="008F036C">
        <w:tc>
          <w:tcPr>
            <w:tcW w:w="5760" w:type="dxa"/>
            <w:tcMar>
              <w:left w:w="360" w:type="dxa"/>
              <w:right w:w="115" w:type="dxa"/>
            </w:tcMar>
          </w:tcPr>
          <w:p w14:paraId="4088CAF7" w14:textId="63F7C4BD" w:rsidR="00903D5F" w:rsidRPr="00E80935" w:rsidRDefault="00461C5D" w:rsidP="00461C5D">
            <w:pPr>
              <w:widowControl/>
              <w:rPr>
                <w:rFonts w:ascii="Arial" w:hAnsi="Arial" w:cs="Arial"/>
                <w:color w:val="000000"/>
                <w:sz w:val="20"/>
                <w:szCs w:val="20"/>
              </w:rPr>
            </w:pPr>
            <w:r w:rsidRPr="00E80935">
              <w:rPr>
                <w:rFonts w:ascii="Arial" w:hAnsi="Arial" w:cs="Arial"/>
                <w:color w:val="000000"/>
                <w:sz w:val="20"/>
                <w:szCs w:val="20"/>
              </w:rPr>
              <w:t>Inmate/youth perpetrators</w:t>
            </w:r>
          </w:p>
        </w:tc>
        <w:tc>
          <w:tcPr>
            <w:tcW w:w="715" w:type="dxa"/>
            <w:noWrap/>
            <w:tcMar>
              <w:left w:w="72" w:type="dxa"/>
              <w:right w:w="72" w:type="dxa"/>
            </w:tcMar>
          </w:tcPr>
          <w:p w14:paraId="5ADF2A4A" w14:textId="5CA492D9" w:rsidR="00903D5F" w:rsidRPr="00E80935" w:rsidRDefault="00461C5D" w:rsidP="008F036C">
            <w:pPr>
              <w:widowControl/>
              <w:jc w:val="right"/>
              <w:rPr>
                <w:rFonts w:ascii="Arial" w:hAnsi="Arial" w:cs="Arial"/>
                <w:b/>
                <w:color w:val="000000"/>
                <w:sz w:val="20"/>
                <w:szCs w:val="20"/>
              </w:rPr>
            </w:pPr>
            <w:r w:rsidRPr="00E80935">
              <w:rPr>
                <w:rFonts w:ascii="Arial" w:hAnsi="Arial" w:cs="Arial"/>
                <w:b/>
                <w:color w:val="000000"/>
                <w:sz w:val="20"/>
                <w:szCs w:val="20"/>
              </w:rPr>
              <w:t>50</w:t>
            </w:r>
          </w:p>
        </w:tc>
        <w:tc>
          <w:tcPr>
            <w:tcW w:w="720" w:type="dxa"/>
            <w:noWrap/>
            <w:tcMar>
              <w:left w:w="72" w:type="dxa"/>
              <w:right w:w="72" w:type="dxa"/>
            </w:tcMar>
          </w:tcPr>
          <w:p w14:paraId="3E663A71" w14:textId="334368BE"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25</w:t>
            </w:r>
          </w:p>
        </w:tc>
        <w:tc>
          <w:tcPr>
            <w:tcW w:w="720" w:type="dxa"/>
            <w:noWrap/>
            <w:tcMar>
              <w:left w:w="72" w:type="dxa"/>
              <w:right w:w="72" w:type="dxa"/>
            </w:tcMar>
          </w:tcPr>
          <w:p w14:paraId="72DCC78E" w14:textId="3C1611F2"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13</w:t>
            </w:r>
          </w:p>
        </w:tc>
        <w:tc>
          <w:tcPr>
            <w:tcW w:w="715" w:type="dxa"/>
            <w:noWrap/>
            <w:tcMar>
              <w:left w:w="72" w:type="dxa"/>
              <w:right w:w="72" w:type="dxa"/>
            </w:tcMar>
          </w:tcPr>
          <w:p w14:paraId="1AE08FDE" w14:textId="35BB5159" w:rsidR="00903D5F" w:rsidRPr="00E80935" w:rsidRDefault="00461C5D" w:rsidP="008F036C">
            <w:pPr>
              <w:widowControl/>
              <w:jc w:val="right"/>
              <w:rPr>
                <w:rFonts w:ascii="Arial" w:hAnsi="Arial" w:cs="Arial"/>
                <w:color w:val="000000"/>
                <w:sz w:val="20"/>
                <w:szCs w:val="20"/>
              </w:rPr>
            </w:pPr>
            <w:r w:rsidRPr="00E80935">
              <w:rPr>
                <w:rFonts w:ascii="Arial" w:hAnsi="Arial" w:cs="Arial"/>
                <w:color w:val="000000"/>
                <w:sz w:val="20"/>
                <w:szCs w:val="20"/>
              </w:rPr>
              <w:t>10</w:t>
            </w:r>
          </w:p>
        </w:tc>
      </w:tr>
      <w:tr w:rsidR="00461C5D" w:rsidRPr="00E80935" w14:paraId="2BC7B041" w14:textId="77777777" w:rsidTr="008F036C">
        <w:tc>
          <w:tcPr>
            <w:tcW w:w="5760" w:type="dxa"/>
            <w:noWrap/>
            <w:tcMar>
              <w:left w:w="29" w:type="dxa"/>
              <w:right w:w="29" w:type="dxa"/>
            </w:tcMar>
          </w:tcPr>
          <w:p w14:paraId="4B059021" w14:textId="7706E7D1" w:rsidR="00461C5D" w:rsidRPr="00E80935" w:rsidRDefault="00461C5D" w:rsidP="00461C5D">
            <w:pPr>
              <w:widowControl/>
              <w:rPr>
                <w:rFonts w:ascii="Arial" w:hAnsi="Arial" w:cs="Arial"/>
                <w:color w:val="000000"/>
                <w:sz w:val="20"/>
                <w:szCs w:val="20"/>
              </w:rPr>
            </w:pPr>
            <w:r w:rsidRPr="00E80935">
              <w:rPr>
                <w:rFonts w:ascii="Arial" w:hAnsi="Arial" w:cs="Arial"/>
                <w:b/>
                <w:color w:val="000000"/>
                <w:sz w:val="20"/>
                <w:szCs w:val="20"/>
              </w:rPr>
              <w:t xml:space="preserve">Adult systems, jurisdictions, or facilities </w:t>
            </w:r>
            <w:r w:rsidR="000E3996" w:rsidRPr="00E80935">
              <w:rPr>
                <w:rFonts w:ascii="Arial" w:hAnsi="Arial" w:cs="Arial"/>
                <w:b/>
                <w:color w:val="000000"/>
                <w:sz w:val="20"/>
                <w:szCs w:val="20"/>
              </w:rPr>
              <w:t>that--</w:t>
            </w:r>
          </w:p>
        </w:tc>
        <w:tc>
          <w:tcPr>
            <w:tcW w:w="715" w:type="dxa"/>
            <w:noWrap/>
            <w:tcMar>
              <w:left w:w="72" w:type="dxa"/>
              <w:right w:w="72" w:type="dxa"/>
            </w:tcMar>
          </w:tcPr>
          <w:p w14:paraId="2F771C21" w14:textId="77777777" w:rsidR="00461C5D" w:rsidRPr="00E80935" w:rsidRDefault="00461C5D" w:rsidP="008F036C">
            <w:pPr>
              <w:widowControl/>
              <w:jc w:val="right"/>
              <w:rPr>
                <w:rFonts w:ascii="Arial" w:hAnsi="Arial" w:cs="Arial"/>
                <w:b/>
                <w:color w:val="000000"/>
                <w:sz w:val="20"/>
                <w:szCs w:val="20"/>
              </w:rPr>
            </w:pPr>
          </w:p>
        </w:tc>
        <w:tc>
          <w:tcPr>
            <w:tcW w:w="720" w:type="dxa"/>
            <w:noWrap/>
            <w:tcMar>
              <w:left w:w="72" w:type="dxa"/>
              <w:right w:w="72" w:type="dxa"/>
            </w:tcMar>
          </w:tcPr>
          <w:p w14:paraId="077EE52D" w14:textId="77777777" w:rsidR="00461C5D" w:rsidRPr="00E80935" w:rsidRDefault="00461C5D" w:rsidP="008F036C">
            <w:pPr>
              <w:widowControl/>
              <w:jc w:val="right"/>
              <w:rPr>
                <w:rFonts w:ascii="Arial" w:hAnsi="Arial" w:cs="Arial"/>
                <w:color w:val="000000"/>
                <w:sz w:val="20"/>
                <w:szCs w:val="20"/>
              </w:rPr>
            </w:pPr>
          </w:p>
        </w:tc>
        <w:tc>
          <w:tcPr>
            <w:tcW w:w="720" w:type="dxa"/>
            <w:noWrap/>
            <w:tcMar>
              <w:left w:w="72" w:type="dxa"/>
              <w:right w:w="72" w:type="dxa"/>
            </w:tcMar>
          </w:tcPr>
          <w:p w14:paraId="2A2A91E4" w14:textId="77777777" w:rsidR="00461C5D" w:rsidRPr="00E80935" w:rsidRDefault="00461C5D" w:rsidP="008F036C">
            <w:pPr>
              <w:widowControl/>
              <w:jc w:val="right"/>
              <w:rPr>
                <w:rFonts w:ascii="Arial" w:hAnsi="Arial" w:cs="Arial"/>
                <w:color w:val="000000"/>
                <w:sz w:val="20"/>
                <w:szCs w:val="20"/>
              </w:rPr>
            </w:pPr>
          </w:p>
        </w:tc>
        <w:tc>
          <w:tcPr>
            <w:tcW w:w="715" w:type="dxa"/>
            <w:noWrap/>
            <w:tcMar>
              <w:left w:w="72" w:type="dxa"/>
              <w:right w:w="72" w:type="dxa"/>
            </w:tcMar>
          </w:tcPr>
          <w:p w14:paraId="3E2BA78D" w14:textId="77777777" w:rsidR="00461C5D" w:rsidRPr="00E80935" w:rsidRDefault="00461C5D" w:rsidP="008F036C">
            <w:pPr>
              <w:widowControl/>
              <w:jc w:val="right"/>
              <w:rPr>
                <w:rFonts w:ascii="Arial" w:hAnsi="Arial" w:cs="Arial"/>
                <w:color w:val="000000"/>
                <w:sz w:val="20"/>
                <w:szCs w:val="20"/>
              </w:rPr>
            </w:pPr>
          </w:p>
        </w:tc>
      </w:tr>
      <w:tr w:rsidR="000E3996" w:rsidRPr="00E80935" w14:paraId="4D3DEE44" w14:textId="77777777" w:rsidTr="008F036C">
        <w:tc>
          <w:tcPr>
            <w:tcW w:w="5760" w:type="dxa"/>
            <w:tcMar>
              <w:left w:w="360" w:type="dxa"/>
              <w:right w:w="115" w:type="dxa"/>
            </w:tcMar>
          </w:tcPr>
          <w:p w14:paraId="129554D2" w14:textId="461B8A9B"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Responded</w:t>
            </w:r>
          </w:p>
        </w:tc>
        <w:tc>
          <w:tcPr>
            <w:tcW w:w="715" w:type="dxa"/>
            <w:noWrap/>
            <w:tcMar>
              <w:left w:w="72" w:type="dxa"/>
              <w:right w:w="72" w:type="dxa"/>
            </w:tcMar>
          </w:tcPr>
          <w:p w14:paraId="05E3A5BA" w14:textId="6AA4E6AD"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3808</w:t>
            </w:r>
          </w:p>
        </w:tc>
        <w:tc>
          <w:tcPr>
            <w:tcW w:w="720" w:type="dxa"/>
            <w:noWrap/>
            <w:tcMar>
              <w:left w:w="72" w:type="dxa"/>
              <w:right w:w="72" w:type="dxa"/>
            </w:tcMar>
          </w:tcPr>
          <w:p w14:paraId="09599535" w14:textId="53326193"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979</w:t>
            </w:r>
          </w:p>
        </w:tc>
        <w:tc>
          <w:tcPr>
            <w:tcW w:w="720" w:type="dxa"/>
            <w:noWrap/>
            <w:tcMar>
              <w:left w:w="72" w:type="dxa"/>
              <w:right w:w="72" w:type="dxa"/>
            </w:tcMar>
          </w:tcPr>
          <w:p w14:paraId="4CBDD46A" w14:textId="4ED61F5D"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952</w:t>
            </w:r>
          </w:p>
        </w:tc>
        <w:tc>
          <w:tcPr>
            <w:tcW w:w="715" w:type="dxa"/>
            <w:noWrap/>
            <w:tcMar>
              <w:left w:w="72" w:type="dxa"/>
              <w:right w:w="72" w:type="dxa"/>
            </w:tcMar>
          </w:tcPr>
          <w:p w14:paraId="298ACF42" w14:textId="077E2042"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939</w:t>
            </w:r>
          </w:p>
        </w:tc>
      </w:tr>
      <w:tr w:rsidR="000E3996" w:rsidRPr="00E80935" w14:paraId="4BC69F24" w14:textId="77777777" w:rsidTr="008F036C">
        <w:tc>
          <w:tcPr>
            <w:tcW w:w="5760" w:type="dxa"/>
            <w:tcMar>
              <w:left w:w="360" w:type="dxa"/>
              <w:right w:w="115" w:type="dxa"/>
            </w:tcMar>
          </w:tcPr>
          <w:p w14:paraId="5A5CD767" w14:textId="287083EF"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Had substantiated incidents</w:t>
            </w:r>
          </w:p>
        </w:tc>
        <w:tc>
          <w:tcPr>
            <w:tcW w:w="715" w:type="dxa"/>
            <w:noWrap/>
            <w:tcMar>
              <w:left w:w="72" w:type="dxa"/>
              <w:right w:w="72" w:type="dxa"/>
            </w:tcMar>
          </w:tcPr>
          <w:p w14:paraId="36C0763E" w14:textId="0CA845EB"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1068</w:t>
            </w:r>
          </w:p>
        </w:tc>
        <w:tc>
          <w:tcPr>
            <w:tcW w:w="720" w:type="dxa"/>
            <w:noWrap/>
            <w:tcMar>
              <w:left w:w="72" w:type="dxa"/>
              <w:right w:w="72" w:type="dxa"/>
            </w:tcMar>
          </w:tcPr>
          <w:p w14:paraId="1084EA9D" w14:textId="2E8EF5DB"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293</w:t>
            </w:r>
          </w:p>
        </w:tc>
        <w:tc>
          <w:tcPr>
            <w:tcW w:w="720" w:type="dxa"/>
            <w:noWrap/>
            <w:tcMar>
              <w:left w:w="72" w:type="dxa"/>
              <w:right w:w="72" w:type="dxa"/>
            </w:tcMar>
          </w:tcPr>
          <w:p w14:paraId="56294474" w14:textId="3D7A8FDA"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269</w:t>
            </w:r>
          </w:p>
        </w:tc>
        <w:tc>
          <w:tcPr>
            <w:tcW w:w="715" w:type="dxa"/>
            <w:noWrap/>
            <w:tcMar>
              <w:left w:w="72" w:type="dxa"/>
              <w:right w:w="72" w:type="dxa"/>
            </w:tcMar>
          </w:tcPr>
          <w:p w14:paraId="0833F18F" w14:textId="21ED6800"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269</w:t>
            </w:r>
          </w:p>
        </w:tc>
      </w:tr>
      <w:tr w:rsidR="000E3996" w:rsidRPr="00E80935" w14:paraId="03185AC1" w14:textId="77777777" w:rsidTr="008F036C">
        <w:tc>
          <w:tcPr>
            <w:tcW w:w="5760" w:type="dxa"/>
            <w:tcMar>
              <w:left w:w="360" w:type="dxa"/>
              <w:right w:w="115" w:type="dxa"/>
            </w:tcMar>
          </w:tcPr>
          <w:p w14:paraId="660A8161" w14:textId="6E0A58E9"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Had a transgender or intersex victim or perpetrator</w:t>
            </w:r>
          </w:p>
        </w:tc>
        <w:tc>
          <w:tcPr>
            <w:tcW w:w="715" w:type="dxa"/>
            <w:noWrap/>
            <w:tcMar>
              <w:left w:w="72" w:type="dxa"/>
              <w:right w:w="72" w:type="dxa"/>
            </w:tcMar>
          </w:tcPr>
          <w:p w14:paraId="3C12531C" w14:textId="2BBB9E9E"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91</w:t>
            </w:r>
          </w:p>
        </w:tc>
        <w:tc>
          <w:tcPr>
            <w:tcW w:w="720" w:type="dxa"/>
            <w:noWrap/>
            <w:tcMar>
              <w:left w:w="72" w:type="dxa"/>
              <w:right w:w="72" w:type="dxa"/>
            </w:tcMar>
          </w:tcPr>
          <w:p w14:paraId="260B3017" w14:textId="57C0EC56"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31</w:t>
            </w:r>
          </w:p>
        </w:tc>
        <w:tc>
          <w:tcPr>
            <w:tcW w:w="720" w:type="dxa"/>
            <w:noWrap/>
            <w:tcMar>
              <w:left w:w="72" w:type="dxa"/>
              <w:right w:w="72" w:type="dxa"/>
            </w:tcMar>
          </w:tcPr>
          <w:p w14:paraId="1640B0CF" w14:textId="63DB5E3A"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&gt;28</w:t>
            </w:r>
          </w:p>
        </w:tc>
        <w:tc>
          <w:tcPr>
            <w:tcW w:w="715" w:type="dxa"/>
            <w:noWrap/>
            <w:tcMar>
              <w:left w:w="72" w:type="dxa"/>
              <w:right w:w="72" w:type="dxa"/>
            </w:tcMar>
          </w:tcPr>
          <w:p w14:paraId="4ACBAF7E" w14:textId="4153766B"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&gt;17</w:t>
            </w:r>
          </w:p>
        </w:tc>
      </w:tr>
      <w:tr w:rsidR="00461C5D" w:rsidRPr="00E80935" w14:paraId="3E7076DD" w14:textId="77777777" w:rsidTr="008F036C">
        <w:tc>
          <w:tcPr>
            <w:tcW w:w="5760" w:type="dxa"/>
            <w:noWrap/>
            <w:tcMar>
              <w:left w:w="29" w:type="dxa"/>
              <w:right w:w="29" w:type="dxa"/>
            </w:tcMar>
          </w:tcPr>
          <w:p w14:paraId="04490CEE" w14:textId="3EE47329" w:rsidR="00461C5D" w:rsidRPr="00E80935" w:rsidRDefault="008F036C" w:rsidP="00461C5D">
            <w:pPr>
              <w:widowControl/>
              <w:rPr>
                <w:rFonts w:ascii="Arial" w:hAnsi="Arial" w:cs="Arial"/>
                <w:color w:val="000000"/>
                <w:sz w:val="20"/>
                <w:szCs w:val="20"/>
              </w:rPr>
            </w:pPr>
            <w:r w:rsidRPr="00E80935">
              <w:rPr>
                <w:rFonts w:ascii="Arial" w:hAnsi="Arial" w:cs="Arial"/>
                <w:color w:val="000000"/>
                <w:sz w:val="20"/>
                <w:szCs w:val="20"/>
              </w:rPr>
              <w:t>Number of</w:t>
            </w:r>
            <w:r w:rsidR="0093288D" w:rsidRPr="00E80935">
              <w:rPr>
                <w:rFonts w:ascii="Arial" w:hAnsi="Arial" w:cs="Arial"/>
                <w:color w:val="000000"/>
                <w:sz w:val="20"/>
                <w:szCs w:val="20"/>
              </w:rPr>
              <w:t xml:space="preserve"> transgender or intersex victims or perpetrators</w:t>
            </w:r>
          </w:p>
        </w:tc>
        <w:tc>
          <w:tcPr>
            <w:tcW w:w="715" w:type="dxa"/>
            <w:noWrap/>
            <w:tcMar>
              <w:left w:w="72" w:type="dxa"/>
              <w:right w:w="72" w:type="dxa"/>
            </w:tcMar>
          </w:tcPr>
          <w:p w14:paraId="0181A70F" w14:textId="7897F48F" w:rsidR="00461C5D"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1</w:t>
            </w:r>
            <w:r w:rsidR="0093288D" w:rsidRPr="00E80935">
              <w:rPr>
                <w:rFonts w:ascii="Arial" w:hAnsi="Arial" w:cs="Arial"/>
                <w:b/>
                <w:color w:val="000000"/>
                <w:sz w:val="20"/>
                <w:szCs w:val="20"/>
              </w:rPr>
              <w:t>37</w:t>
            </w:r>
          </w:p>
        </w:tc>
        <w:tc>
          <w:tcPr>
            <w:tcW w:w="720" w:type="dxa"/>
            <w:noWrap/>
            <w:tcMar>
              <w:left w:w="72" w:type="dxa"/>
              <w:right w:w="72" w:type="dxa"/>
            </w:tcMar>
          </w:tcPr>
          <w:p w14:paraId="65F29E73" w14:textId="5A306F21" w:rsidR="00461C5D" w:rsidRPr="00E80935" w:rsidRDefault="0093288D" w:rsidP="008F036C">
            <w:pPr>
              <w:widowControl/>
              <w:jc w:val="right"/>
              <w:rPr>
                <w:rFonts w:ascii="Arial" w:hAnsi="Arial" w:cs="Arial"/>
                <w:color w:val="000000"/>
                <w:sz w:val="20"/>
                <w:szCs w:val="20"/>
              </w:rPr>
            </w:pPr>
            <w:r w:rsidRPr="00E80935">
              <w:rPr>
                <w:rFonts w:ascii="Arial" w:hAnsi="Arial" w:cs="Arial"/>
                <w:color w:val="000000"/>
                <w:sz w:val="20"/>
                <w:szCs w:val="20"/>
              </w:rPr>
              <w:t>60</w:t>
            </w:r>
          </w:p>
        </w:tc>
        <w:tc>
          <w:tcPr>
            <w:tcW w:w="720" w:type="dxa"/>
            <w:noWrap/>
            <w:tcMar>
              <w:left w:w="72" w:type="dxa"/>
              <w:right w:w="72" w:type="dxa"/>
            </w:tcMar>
          </w:tcPr>
          <w:p w14:paraId="27B57DDE" w14:textId="68B81B73" w:rsidR="00461C5D" w:rsidRPr="00E80935" w:rsidRDefault="0093288D" w:rsidP="008F036C">
            <w:pPr>
              <w:widowControl/>
              <w:jc w:val="right"/>
              <w:rPr>
                <w:rFonts w:ascii="Arial" w:hAnsi="Arial" w:cs="Arial"/>
                <w:color w:val="000000"/>
                <w:sz w:val="20"/>
                <w:szCs w:val="20"/>
              </w:rPr>
            </w:pPr>
            <w:r w:rsidRPr="00E80935">
              <w:rPr>
                <w:rFonts w:ascii="Arial" w:hAnsi="Arial" w:cs="Arial"/>
                <w:color w:val="000000"/>
                <w:sz w:val="20"/>
                <w:szCs w:val="20"/>
              </w:rPr>
              <w:t>38</w:t>
            </w:r>
          </w:p>
        </w:tc>
        <w:tc>
          <w:tcPr>
            <w:tcW w:w="715" w:type="dxa"/>
            <w:noWrap/>
            <w:tcMar>
              <w:left w:w="72" w:type="dxa"/>
              <w:right w:w="72" w:type="dxa"/>
            </w:tcMar>
          </w:tcPr>
          <w:p w14:paraId="78AA75A7" w14:textId="6A6B9DDB" w:rsidR="00461C5D" w:rsidRPr="00E80935" w:rsidRDefault="0093288D" w:rsidP="008F036C">
            <w:pPr>
              <w:widowControl/>
              <w:jc w:val="right"/>
              <w:rPr>
                <w:rFonts w:ascii="Arial" w:hAnsi="Arial" w:cs="Arial"/>
                <w:color w:val="000000"/>
                <w:sz w:val="20"/>
                <w:szCs w:val="20"/>
              </w:rPr>
            </w:pPr>
            <w:r w:rsidRPr="00E80935">
              <w:rPr>
                <w:rFonts w:ascii="Arial" w:hAnsi="Arial" w:cs="Arial"/>
                <w:color w:val="000000"/>
                <w:sz w:val="20"/>
                <w:szCs w:val="20"/>
              </w:rPr>
              <w:t>&gt;24</w:t>
            </w:r>
          </w:p>
        </w:tc>
      </w:tr>
      <w:tr w:rsidR="000E3996" w:rsidRPr="00E80935" w14:paraId="641DBB39" w14:textId="77777777" w:rsidTr="008F036C">
        <w:tc>
          <w:tcPr>
            <w:tcW w:w="5760" w:type="dxa"/>
            <w:noWrap/>
            <w:tcMar>
              <w:left w:w="29" w:type="dxa"/>
              <w:right w:w="29" w:type="dxa"/>
            </w:tcMar>
          </w:tcPr>
          <w:p w14:paraId="356D61DC" w14:textId="259C86BA" w:rsidR="000E3996" w:rsidRPr="00E80935" w:rsidRDefault="000E3996" w:rsidP="000E3996">
            <w:pPr>
              <w:widowControl/>
              <w:rPr>
                <w:rFonts w:ascii="Arial" w:hAnsi="Arial" w:cs="Arial"/>
                <w:color w:val="000000"/>
                <w:sz w:val="20"/>
                <w:szCs w:val="20"/>
              </w:rPr>
            </w:pPr>
            <w:r w:rsidRPr="00E80935">
              <w:rPr>
                <w:rFonts w:ascii="Arial" w:hAnsi="Arial" w:cs="Arial"/>
                <w:b/>
                <w:color w:val="000000"/>
                <w:sz w:val="20"/>
                <w:szCs w:val="20"/>
              </w:rPr>
              <w:t>Juvenile systems or facilities that--</w:t>
            </w:r>
          </w:p>
        </w:tc>
        <w:tc>
          <w:tcPr>
            <w:tcW w:w="715" w:type="dxa"/>
            <w:noWrap/>
            <w:tcMar>
              <w:left w:w="72" w:type="dxa"/>
              <w:right w:w="72" w:type="dxa"/>
            </w:tcMar>
          </w:tcPr>
          <w:p w14:paraId="404FF4D6" w14:textId="77777777" w:rsidR="000E3996" w:rsidRPr="00E80935" w:rsidRDefault="000E3996" w:rsidP="008F036C">
            <w:pPr>
              <w:widowControl/>
              <w:jc w:val="right"/>
              <w:rPr>
                <w:rFonts w:ascii="Arial" w:hAnsi="Arial" w:cs="Arial"/>
                <w:b/>
                <w:color w:val="000000"/>
                <w:sz w:val="20"/>
                <w:szCs w:val="20"/>
              </w:rPr>
            </w:pPr>
          </w:p>
        </w:tc>
        <w:tc>
          <w:tcPr>
            <w:tcW w:w="720" w:type="dxa"/>
            <w:noWrap/>
            <w:tcMar>
              <w:left w:w="72" w:type="dxa"/>
              <w:right w:w="72" w:type="dxa"/>
            </w:tcMar>
          </w:tcPr>
          <w:p w14:paraId="56708D42" w14:textId="77777777" w:rsidR="000E3996" w:rsidRPr="00E80935" w:rsidRDefault="000E3996" w:rsidP="008F036C">
            <w:pPr>
              <w:widowControl/>
              <w:jc w:val="right"/>
              <w:rPr>
                <w:rFonts w:ascii="Arial" w:hAnsi="Arial" w:cs="Arial"/>
                <w:color w:val="000000"/>
                <w:sz w:val="20"/>
                <w:szCs w:val="20"/>
              </w:rPr>
            </w:pPr>
          </w:p>
        </w:tc>
        <w:tc>
          <w:tcPr>
            <w:tcW w:w="720" w:type="dxa"/>
            <w:noWrap/>
            <w:tcMar>
              <w:left w:w="72" w:type="dxa"/>
              <w:right w:w="72" w:type="dxa"/>
            </w:tcMar>
          </w:tcPr>
          <w:p w14:paraId="36E7FCD0" w14:textId="77777777" w:rsidR="000E3996" w:rsidRPr="00E80935" w:rsidRDefault="000E3996" w:rsidP="008F036C">
            <w:pPr>
              <w:widowControl/>
              <w:jc w:val="right"/>
              <w:rPr>
                <w:rFonts w:ascii="Arial" w:hAnsi="Arial" w:cs="Arial"/>
                <w:color w:val="000000"/>
                <w:sz w:val="20"/>
                <w:szCs w:val="20"/>
              </w:rPr>
            </w:pPr>
          </w:p>
        </w:tc>
        <w:tc>
          <w:tcPr>
            <w:tcW w:w="715" w:type="dxa"/>
            <w:noWrap/>
            <w:tcMar>
              <w:left w:w="72" w:type="dxa"/>
              <w:right w:w="72" w:type="dxa"/>
            </w:tcMar>
          </w:tcPr>
          <w:p w14:paraId="7CDA7740" w14:textId="77777777" w:rsidR="000E3996" w:rsidRPr="00E80935" w:rsidRDefault="000E3996" w:rsidP="008F036C">
            <w:pPr>
              <w:widowControl/>
              <w:jc w:val="right"/>
              <w:rPr>
                <w:rFonts w:ascii="Arial" w:hAnsi="Arial" w:cs="Arial"/>
                <w:color w:val="000000"/>
                <w:sz w:val="20"/>
                <w:szCs w:val="20"/>
              </w:rPr>
            </w:pPr>
          </w:p>
        </w:tc>
      </w:tr>
      <w:tr w:rsidR="000E3996" w:rsidRPr="00E80935" w14:paraId="06F87B15" w14:textId="77777777" w:rsidTr="008F036C">
        <w:tc>
          <w:tcPr>
            <w:tcW w:w="5760" w:type="dxa"/>
            <w:tcMar>
              <w:left w:w="360" w:type="dxa"/>
              <w:right w:w="115" w:type="dxa"/>
            </w:tcMar>
          </w:tcPr>
          <w:p w14:paraId="314A2857" w14:textId="09BAD910"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Responded</w:t>
            </w:r>
          </w:p>
        </w:tc>
        <w:tc>
          <w:tcPr>
            <w:tcW w:w="715" w:type="dxa"/>
            <w:noWrap/>
            <w:tcMar>
              <w:left w:w="72" w:type="dxa"/>
              <w:right w:w="72" w:type="dxa"/>
            </w:tcMar>
          </w:tcPr>
          <w:p w14:paraId="04FA6AB3" w14:textId="322BD531"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2209</w:t>
            </w:r>
          </w:p>
        </w:tc>
        <w:tc>
          <w:tcPr>
            <w:tcW w:w="720" w:type="dxa"/>
            <w:noWrap/>
            <w:tcMar>
              <w:left w:w="72" w:type="dxa"/>
              <w:right w:w="72" w:type="dxa"/>
            </w:tcMar>
          </w:tcPr>
          <w:p w14:paraId="15DC0762" w14:textId="569E85AD"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490</w:t>
            </w:r>
          </w:p>
        </w:tc>
        <w:tc>
          <w:tcPr>
            <w:tcW w:w="720" w:type="dxa"/>
            <w:noWrap/>
            <w:tcMar>
              <w:left w:w="72" w:type="dxa"/>
              <w:right w:w="72" w:type="dxa"/>
            </w:tcMar>
          </w:tcPr>
          <w:p w14:paraId="3513F07A" w14:textId="1A7B25A0"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575</w:t>
            </w:r>
          </w:p>
        </w:tc>
        <w:tc>
          <w:tcPr>
            <w:tcW w:w="715" w:type="dxa"/>
            <w:noWrap/>
            <w:tcMar>
              <w:left w:w="72" w:type="dxa"/>
              <w:right w:w="72" w:type="dxa"/>
            </w:tcMar>
          </w:tcPr>
          <w:p w14:paraId="58FD42CC" w14:textId="015F348F"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580</w:t>
            </w:r>
          </w:p>
        </w:tc>
      </w:tr>
      <w:tr w:rsidR="000E3996" w:rsidRPr="00E80935" w14:paraId="085BAD29" w14:textId="77777777" w:rsidTr="008F036C">
        <w:tc>
          <w:tcPr>
            <w:tcW w:w="5760" w:type="dxa"/>
            <w:tcMar>
              <w:left w:w="360" w:type="dxa"/>
              <w:right w:w="115" w:type="dxa"/>
            </w:tcMar>
          </w:tcPr>
          <w:p w14:paraId="3991EC51" w14:textId="57CCC5F2"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Had one or more substantiated incidents</w:t>
            </w:r>
          </w:p>
        </w:tc>
        <w:tc>
          <w:tcPr>
            <w:tcW w:w="715" w:type="dxa"/>
            <w:noWrap/>
            <w:tcMar>
              <w:left w:w="72" w:type="dxa"/>
              <w:right w:w="72" w:type="dxa"/>
            </w:tcMar>
          </w:tcPr>
          <w:p w14:paraId="2E23A423" w14:textId="5E72D4B0"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419</w:t>
            </w:r>
          </w:p>
        </w:tc>
        <w:tc>
          <w:tcPr>
            <w:tcW w:w="720" w:type="dxa"/>
            <w:noWrap/>
            <w:tcMar>
              <w:left w:w="72" w:type="dxa"/>
              <w:right w:w="72" w:type="dxa"/>
            </w:tcMar>
          </w:tcPr>
          <w:p w14:paraId="285C9BD9" w14:textId="6F70C6BF"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112</w:t>
            </w:r>
          </w:p>
        </w:tc>
        <w:tc>
          <w:tcPr>
            <w:tcW w:w="720" w:type="dxa"/>
            <w:noWrap/>
            <w:tcMar>
              <w:left w:w="72" w:type="dxa"/>
              <w:right w:w="72" w:type="dxa"/>
            </w:tcMar>
          </w:tcPr>
          <w:p w14:paraId="03D3921A" w14:textId="2195D730"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106</w:t>
            </w:r>
          </w:p>
        </w:tc>
        <w:tc>
          <w:tcPr>
            <w:tcW w:w="715" w:type="dxa"/>
            <w:noWrap/>
            <w:tcMar>
              <w:left w:w="72" w:type="dxa"/>
              <w:right w:w="72" w:type="dxa"/>
            </w:tcMar>
          </w:tcPr>
          <w:p w14:paraId="6698A0BF" w14:textId="0C6D22E9"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111</w:t>
            </w:r>
          </w:p>
        </w:tc>
      </w:tr>
      <w:tr w:rsidR="000E3996" w:rsidRPr="00E80935" w14:paraId="67256547" w14:textId="77777777" w:rsidTr="0082676F">
        <w:tc>
          <w:tcPr>
            <w:tcW w:w="5760" w:type="dxa"/>
            <w:tcMar>
              <w:left w:w="360" w:type="dxa"/>
              <w:right w:w="115" w:type="dxa"/>
            </w:tcMar>
          </w:tcPr>
          <w:p w14:paraId="1FF8A7DE" w14:textId="288CD191" w:rsidR="000E3996" w:rsidRPr="00E80935" w:rsidRDefault="000E3996" w:rsidP="000E3996">
            <w:pPr>
              <w:widowControl/>
              <w:rPr>
                <w:rFonts w:ascii="Arial" w:hAnsi="Arial" w:cs="Arial"/>
                <w:color w:val="000000"/>
                <w:sz w:val="20"/>
                <w:szCs w:val="20"/>
              </w:rPr>
            </w:pPr>
            <w:r w:rsidRPr="00E80935">
              <w:rPr>
                <w:rFonts w:ascii="Arial" w:hAnsi="Arial" w:cs="Arial"/>
                <w:color w:val="000000"/>
                <w:sz w:val="20"/>
                <w:szCs w:val="20"/>
              </w:rPr>
              <w:t>Had a transgender or intersex victim or perpetrator</w:t>
            </w:r>
          </w:p>
        </w:tc>
        <w:tc>
          <w:tcPr>
            <w:tcW w:w="715" w:type="dxa"/>
            <w:noWrap/>
            <w:tcMar>
              <w:left w:w="72" w:type="dxa"/>
              <w:right w:w="72" w:type="dxa"/>
            </w:tcMar>
          </w:tcPr>
          <w:p w14:paraId="214CBC9A" w14:textId="76565A2C" w:rsidR="000E3996" w:rsidRPr="00E80935" w:rsidRDefault="000E3996" w:rsidP="008F036C">
            <w:pPr>
              <w:widowControl/>
              <w:jc w:val="right"/>
              <w:rPr>
                <w:rFonts w:ascii="Arial" w:hAnsi="Arial" w:cs="Arial"/>
                <w:b/>
                <w:color w:val="000000"/>
                <w:sz w:val="20"/>
                <w:szCs w:val="20"/>
              </w:rPr>
            </w:pPr>
            <w:r w:rsidRPr="00E80935">
              <w:rPr>
                <w:rFonts w:ascii="Arial" w:hAnsi="Arial" w:cs="Arial"/>
                <w:b/>
                <w:color w:val="000000"/>
                <w:sz w:val="20"/>
                <w:szCs w:val="20"/>
              </w:rPr>
              <w:t>17</w:t>
            </w:r>
          </w:p>
        </w:tc>
        <w:tc>
          <w:tcPr>
            <w:tcW w:w="720" w:type="dxa"/>
            <w:noWrap/>
            <w:tcMar>
              <w:left w:w="72" w:type="dxa"/>
              <w:right w:w="72" w:type="dxa"/>
            </w:tcMar>
          </w:tcPr>
          <w:p w14:paraId="17EC2854" w14:textId="69CE3BF3"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10</w:t>
            </w:r>
          </w:p>
        </w:tc>
        <w:tc>
          <w:tcPr>
            <w:tcW w:w="720" w:type="dxa"/>
            <w:noWrap/>
            <w:tcMar>
              <w:left w:w="72" w:type="dxa"/>
              <w:right w:w="72" w:type="dxa"/>
            </w:tcMar>
          </w:tcPr>
          <w:p w14:paraId="59D3E3D3" w14:textId="27DEBDC2"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&lt;5</w:t>
            </w:r>
          </w:p>
        </w:tc>
        <w:tc>
          <w:tcPr>
            <w:tcW w:w="715" w:type="dxa"/>
            <w:noWrap/>
            <w:tcMar>
              <w:left w:w="72" w:type="dxa"/>
              <w:right w:w="72" w:type="dxa"/>
            </w:tcMar>
          </w:tcPr>
          <w:p w14:paraId="30D7F02B" w14:textId="27228535" w:rsidR="000E3996" w:rsidRPr="00E80935" w:rsidRDefault="000E3996" w:rsidP="008F036C">
            <w:pPr>
              <w:widowControl/>
              <w:jc w:val="right"/>
              <w:rPr>
                <w:rFonts w:ascii="Arial" w:hAnsi="Arial" w:cs="Arial"/>
                <w:color w:val="000000"/>
                <w:sz w:val="20"/>
                <w:szCs w:val="20"/>
              </w:rPr>
            </w:pPr>
            <w:r w:rsidRPr="00E80935">
              <w:rPr>
                <w:rFonts w:ascii="Arial" w:hAnsi="Arial" w:cs="Arial"/>
                <w:color w:val="000000"/>
                <w:sz w:val="20"/>
                <w:szCs w:val="20"/>
              </w:rPr>
              <w:t>&lt;5</w:t>
            </w:r>
          </w:p>
        </w:tc>
      </w:tr>
      <w:tr w:rsidR="000E3996" w:rsidRPr="00E80935" w14:paraId="65008D4E" w14:textId="77777777" w:rsidTr="0082676F">
        <w:tc>
          <w:tcPr>
            <w:tcW w:w="5760" w:type="dxa"/>
            <w:tcBorders>
              <w:bottom w:val="single" w:sz="4" w:space="0" w:color="auto"/>
            </w:tcBorders>
            <w:noWrap/>
            <w:tcMar>
              <w:left w:w="29" w:type="dxa"/>
              <w:right w:w="29" w:type="dxa"/>
            </w:tcMar>
          </w:tcPr>
          <w:p w14:paraId="0F1BC934" w14:textId="7DCFB5DF" w:rsidR="000E3996" w:rsidRPr="00E80935" w:rsidRDefault="008F036C" w:rsidP="000E3996">
            <w:pPr>
              <w:widowControl/>
              <w:rPr>
                <w:rFonts w:ascii="Arial" w:hAnsi="Arial" w:cs="Arial"/>
                <w:color w:val="000000"/>
                <w:sz w:val="20"/>
                <w:szCs w:val="20"/>
              </w:rPr>
            </w:pPr>
            <w:r w:rsidRPr="00E80935">
              <w:rPr>
                <w:rFonts w:ascii="Arial" w:hAnsi="Arial" w:cs="Arial"/>
                <w:color w:val="000000"/>
                <w:sz w:val="20"/>
                <w:szCs w:val="20"/>
              </w:rPr>
              <w:t>Number of</w:t>
            </w:r>
            <w:r w:rsidR="0093288D" w:rsidRPr="00E80935">
              <w:rPr>
                <w:rFonts w:ascii="Arial" w:hAnsi="Arial" w:cs="Arial"/>
                <w:color w:val="000000"/>
                <w:sz w:val="20"/>
                <w:szCs w:val="20"/>
              </w:rPr>
              <w:t xml:space="preserve"> transgender or intersex victims or perpetrators</w:t>
            </w:r>
          </w:p>
        </w:tc>
        <w:tc>
          <w:tcPr>
            <w:tcW w:w="715" w:type="dxa"/>
            <w:tcBorders>
              <w:bottom w:val="single" w:sz="4" w:space="0" w:color="auto"/>
            </w:tcBorders>
            <w:noWrap/>
            <w:tcMar>
              <w:left w:w="72" w:type="dxa"/>
              <w:right w:w="72" w:type="dxa"/>
            </w:tcMar>
          </w:tcPr>
          <w:p w14:paraId="38028697" w14:textId="369D2479" w:rsidR="000E3996" w:rsidRPr="00E80935" w:rsidRDefault="0093288D" w:rsidP="008F036C">
            <w:pPr>
              <w:widowControl/>
              <w:jc w:val="right"/>
              <w:rPr>
                <w:rFonts w:ascii="Arial" w:hAnsi="Arial" w:cs="Arial"/>
                <w:b/>
                <w:color w:val="000000"/>
                <w:sz w:val="20"/>
                <w:szCs w:val="20"/>
              </w:rPr>
            </w:pPr>
            <w:r w:rsidRPr="00E80935">
              <w:rPr>
                <w:rFonts w:ascii="Arial" w:hAnsi="Arial" w:cs="Arial"/>
                <w:b/>
                <w:color w:val="000000"/>
                <w:sz w:val="20"/>
                <w:szCs w:val="20"/>
              </w:rPr>
              <w:t>45</w:t>
            </w:r>
          </w:p>
        </w:tc>
        <w:tc>
          <w:tcPr>
            <w:tcW w:w="720" w:type="dxa"/>
            <w:tcBorders>
              <w:bottom w:val="single" w:sz="4" w:space="0" w:color="auto"/>
            </w:tcBorders>
            <w:noWrap/>
            <w:tcMar>
              <w:left w:w="72" w:type="dxa"/>
              <w:right w:w="72" w:type="dxa"/>
            </w:tcMar>
          </w:tcPr>
          <w:p w14:paraId="53F21942" w14:textId="6D6B605E" w:rsidR="000E3996" w:rsidRPr="00E80935" w:rsidRDefault="0093288D" w:rsidP="008F036C">
            <w:pPr>
              <w:widowControl/>
              <w:jc w:val="right"/>
              <w:rPr>
                <w:rFonts w:ascii="Arial" w:hAnsi="Arial" w:cs="Arial"/>
                <w:color w:val="000000"/>
                <w:sz w:val="20"/>
                <w:szCs w:val="20"/>
              </w:rPr>
            </w:pPr>
            <w:r w:rsidRPr="00E80935">
              <w:rPr>
                <w:rFonts w:ascii="Arial" w:hAnsi="Arial" w:cs="Arial"/>
                <w:color w:val="000000"/>
                <w:sz w:val="20"/>
                <w:szCs w:val="20"/>
              </w:rPr>
              <w:t>25</w:t>
            </w:r>
          </w:p>
        </w:tc>
        <w:tc>
          <w:tcPr>
            <w:tcW w:w="720" w:type="dxa"/>
            <w:tcBorders>
              <w:bottom w:val="single" w:sz="4" w:space="0" w:color="auto"/>
            </w:tcBorders>
            <w:noWrap/>
            <w:tcMar>
              <w:left w:w="72" w:type="dxa"/>
              <w:right w:w="72" w:type="dxa"/>
            </w:tcMar>
          </w:tcPr>
          <w:p w14:paraId="09BFE0FB" w14:textId="54E407FD" w:rsidR="000E3996" w:rsidRPr="00E80935" w:rsidRDefault="0093288D" w:rsidP="008F036C">
            <w:pPr>
              <w:widowControl/>
              <w:jc w:val="right"/>
              <w:rPr>
                <w:rFonts w:ascii="Arial" w:hAnsi="Arial" w:cs="Arial"/>
                <w:color w:val="000000"/>
                <w:sz w:val="20"/>
                <w:szCs w:val="20"/>
              </w:rPr>
            </w:pPr>
            <w:r w:rsidRPr="00E80935">
              <w:rPr>
                <w:rFonts w:ascii="Arial" w:hAnsi="Arial" w:cs="Arial"/>
                <w:color w:val="000000"/>
                <w:sz w:val="20"/>
                <w:szCs w:val="20"/>
              </w:rPr>
              <w:t>17</w:t>
            </w:r>
          </w:p>
        </w:tc>
        <w:tc>
          <w:tcPr>
            <w:tcW w:w="715" w:type="dxa"/>
            <w:tcBorders>
              <w:bottom w:val="single" w:sz="4" w:space="0" w:color="auto"/>
            </w:tcBorders>
            <w:noWrap/>
            <w:tcMar>
              <w:left w:w="72" w:type="dxa"/>
              <w:right w:w="72" w:type="dxa"/>
            </w:tcMar>
          </w:tcPr>
          <w:p w14:paraId="2126B528" w14:textId="42A9406B" w:rsidR="000E3996" w:rsidRPr="00E80935" w:rsidRDefault="0093288D" w:rsidP="008F036C">
            <w:pPr>
              <w:widowControl/>
              <w:jc w:val="right"/>
              <w:rPr>
                <w:rFonts w:ascii="Arial" w:hAnsi="Arial" w:cs="Arial"/>
                <w:color w:val="000000"/>
                <w:sz w:val="20"/>
                <w:szCs w:val="20"/>
              </w:rPr>
            </w:pPr>
            <w:r w:rsidRPr="00E80935">
              <w:rPr>
                <w:rFonts w:ascii="Arial" w:hAnsi="Arial" w:cs="Arial"/>
                <w:color w:val="000000"/>
                <w:sz w:val="20"/>
                <w:szCs w:val="20"/>
              </w:rPr>
              <w:t>&lt;5</w:t>
            </w:r>
          </w:p>
        </w:tc>
      </w:tr>
    </w:tbl>
    <w:p w14:paraId="348AA277" w14:textId="77777777" w:rsidR="000D56A5" w:rsidRPr="00E80935" w:rsidRDefault="000D56A5" w:rsidP="00402285">
      <w:pPr>
        <w:widowControl/>
        <w:ind w:left="720"/>
        <w:rPr>
          <w:rFonts w:ascii="Times New Roman" w:hAnsi="Times New Roman"/>
          <w:color w:val="000000"/>
        </w:rPr>
      </w:pPr>
    </w:p>
    <w:p w14:paraId="37ECDD82" w14:textId="77777777" w:rsidR="00943E1F" w:rsidRPr="00E80935" w:rsidRDefault="00943E1F" w:rsidP="00402285">
      <w:pPr>
        <w:widowControl/>
        <w:ind w:left="720"/>
        <w:rPr>
          <w:rFonts w:ascii="Times New Roman" w:hAnsi="Times New Roman"/>
          <w:color w:val="000000"/>
        </w:rPr>
      </w:pPr>
    </w:p>
    <w:p w14:paraId="2CDE0DA4" w14:textId="77777777" w:rsidR="00196138" w:rsidRPr="00E80935" w:rsidRDefault="00196138">
      <w:pPr>
        <w:widowControl/>
        <w:autoSpaceDE/>
        <w:autoSpaceDN/>
        <w:adjustRightInd/>
        <w:rPr>
          <w:rFonts w:ascii="Times New Roman" w:hAnsi="Times New Roman"/>
          <w:color w:val="000000"/>
        </w:rPr>
      </w:pPr>
      <w:r w:rsidRPr="00E80935">
        <w:rPr>
          <w:rFonts w:ascii="Times New Roman" w:hAnsi="Times New Roman"/>
          <w:color w:val="000000"/>
        </w:rPr>
        <w:br w:type="page"/>
      </w:r>
    </w:p>
    <w:p w14:paraId="10AFE88E" w14:textId="77777777" w:rsidR="00196138" w:rsidRPr="00E80935" w:rsidRDefault="0061282D" w:rsidP="00402285">
      <w:pPr>
        <w:widowControl/>
        <w:ind w:left="720"/>
        <w:rPr>
          <w:rFonts w:ascii="Times New Roman" w:hAnsi="Times New Roman"/>
          <w:color w:val="000000"/>
        </w:rPr>
      </w:pPr>
      <w:r w:rsidRPr="00E80935">
        <w:rPr>
          <w:rFonts w:ascii="Times New Roman" w:hAnsi="Times New Roman"/>
          <w:color w:val="000000"/>
        </w:rPr>
        <w:t>BJS developed a</w:t>
      </w:r>
      <w:r w:rsidR="000D2B6D" w:rsidRPr="00E80935">
        <w:rPr>
          <w:rFonts w:ascii="Times New Roman" w:hAnsi="Times New Roman"/>
          <w:color w:val="000000"/>
        </w:rPr>
        <w:t xml:space="preserve"> Record-Keeping I</w:t>
      </w:r>
      <w:r w:rsidRPr="00E80935">
        <w:rPr>
          <w:rFonts w:ascii="Times New Roman" w:hAnsi="Times New Roman"/>
          <w:color w:val="000000"/>
        </w:rPr>
        <w:t>nterview protocol</w:t>
      </w:r>
      <w:r w:rsidR="004E4E4B" w:rsidRPr="00E80935">
        <w:rPr>
          <w:rFonts w:ascii="Times New Roman" w:hAnsi="Times New Roman"/>
          <w:color w:val="000000"/>
        </w:rPr>
        <w:t xml:space="preserve"> to </w:t>
      </w:r>
      <w:r w:rsidR="0057248D" w:rsidRPr="00E80935">
        <w:rPr>
          <w:rFonts w:ascii="Times New Roman" w:hAnsi="Times New Roman"/>
          <w:color w:val="000000"/>
        </w:rPr>
        <w:t>gain a better understanding of</w:t>
      </w:r>
      <w:r w:rsidR="004E4E4B" w:rsidRPr="00E80935">
        <w:rPr>
          <w:rFonts w:ascii="Times New Roman" w:hAnsi="Times New Roman"/>
          <w:color w:val="000000"/>
        </w:rPr>
        <w:t xml:space="preserve"> broader record-keeping practices</w:t>
      </w:r>
      <w:r w:rsidR="0057248D" w:rsidRPr="00E80935">
        <w:rPr>
          <w:rFonts w:ascii="Times New Roman" w:hAnsi="Times New Roman"/>
          <w:color w:val="000000"/>
        </w:rPr>
        <w:t xml:space="preserve"> among the various correctional systems and facilities</w:t>
      </w:r>
      <w:r w:rsidR="000D2B6D" w:rsidRPr="00E80935">
        <w:rPr>
          <w:rFonts w:ascii="Times New Roman" w:hAnsi="Times New Roman"/>
          <w:color w:val="000000"/>
        </w:rPr>
        <w:t>.</w:t>
      </w:r>
      <w:r w:rsidRPr="00E80935">
        <w:rPr>
          <w:rFonts w:ascii="Times New Roman" w:hAnsi="Times New Roman"/>
          <w:color w:val="000000"/>
        </w:rPr>
        <w:t xml:space="preserve"> (</w:t>
      </w:r>
      <w:r w:rsidR="000D2B6D" w:rsidRPr="00E80935">
        <w:rPr>
          <w:rFonts w:ascii="Times New Roman" w:hAnsi="Times New Roman"/>
          <w:color w:val="000000"/>
        </w:rPr>
        <w:t xml:space="preserve">See </w:t>
      </w:r>
      <w:r w:rsidRPr="00E80935">
        <w:rPr>
          <w:rFonts w:ascii="Times New Roman" w:hAnsi="Times New Roman"/>
          <w:color w:val="000000"/>
        </w:rPr>
        <w:t xml:space="preserve">Attachment </w:t>
      </w:r>
      <w:r w:rsidR="002A068F" w:rsidRPr="00E80935">
        <w:rPr>
          <w:rFonts w:ascii="Times New Roman" w:hAnsi="Times New Roman"/>
          <w:color w:val="000000"/>
        </w:rPr>
        <w:t>9</w:t>
      </w:r>
      <w:r w:rsidR="000D2B6D" w:rsidRPr="00E80935">
        <w:rPr>
          <w:rFonts w:ascii="Times New Roman" w:hAnsi="Times New Roman"/>
          <w:color w:val="000000"/>
        </w:rPr>
        <w:t>.</w:t>
      </w:r>
      <w:r w:rsidRPr="00E80935">
        <w:rPr>
          <w:rFonts w:ascii="Times New Roman" w:hAnsi="Times New Roman"/>
          <w:color w:val="000000"/>
        </w:rPr>
        <w:t xml:space="preserve">) Nine </w:t>
      </w:r>
      <w:r w:rsidR="00DD028F" w:rsidRPr="00E80935">
        <w:rPr>
          <w:rFonts w:ascii="Times New Roman" w:hAnsi="Times New Roman"/>
          <w:color w:val="000000"/>
        </w:rPr>
        <w:t xml:space="preserve">correctional </w:t>
      </w:r>
      <w:r w:rsidR="002A068F" w:rsidRPr="00E80935">
        <w:rPr>
          <w:rFonts w:ascii="Times New Roman" w:hAnsi="Times New Roman"/>
          <w:color w:val="000000"/>
        </w:rPr>
        <w:t xml:space="preserve">systems, jurisdictions, or </w:t>
      </w:r>
      <w:r w:rsidR="00DD028F" w:rsidRPr="00E80935">
        <w:rPr>
          <w:rFonts w:ascii="Times New Roman" w:hAnsi="Times New Roman"/>
          <w:color w:val="000000"/>
        </w:rPr>
        <w:t>facilities (herein, fa</w:t>
      </w:r>
      <w:r w:rsidRPr="00E80935">
        <w:rPr>
          <w:rFonts w:ascii="Times New Roman" w:hAnsi="Times New Roman"/>
          <w:color w:val="000000"/>
        </w:rPr>
        <w:t>cilities</w:t>
      </w:r>
      <w:r w:rsidR="00DD028F" w:rsidRPr="00E80935">
        <w:rPr>
          <w:rFonts w:ascii="Times New Roman" w:hAnsi="Times New Roman"/>
          <w:color w:val="000000"/>
        </w:rPr>
        <w:t>)</w:t>
      </w:r>
      <w:r w:rsidRPr="00E80935">
        <w:rPr>
          <w:rFonts w:ascii="Times New Roman" w:hAnsi="Times New Roman"/>
          <w:color w:val="000000"/>
        </w:rPr>
        <w:t xml:space="preserve"> were selected </w:t>
      </w:r>
      <w:r w:rsidR="00FA14FB" w:rsidRPr="00E80935">
        <w:rPr>
          <w:rFonts w:ascii="Times New Roman" w:hAnsi="Times New Roman"/>
          <w:color w:val="000000"/>
        </w:rPr>
        <w:t>(s</w:t>
      </w:r>
      <w:r w:rsidRPr="00E80935">
        <w:rPr>
          <w:rFonts w:ascii="Times New Roman" w:hAnsi="Times New Roman"/>
          <w:color w:val="000000"/>
        </w:rPr>
        <w:t xml:space="preserve">ee table </w:t>
      </w:r>
      <w:r w:rsidR="00D321E8" w:rsidRPr="00E80935">
        <w:rPr>
          <w:rFonts w:ascii="Times New Roman" w:hAnsi="Times New Roman"/>
          <w:color w:val="000000"/>
        </w:rPr>
        <w:t>7</w:t>
      </w:r>
      <w:r w:rsidR="00FA14FB" w:rsidRPr="00E80935">
        <w:rPr>
          <w:rFonts w:ascii="Times New Roman" w:hAnsi="Times New Roman"/>
          <w:color w:val="000000"/>
        </w:rPr>
        <w:t xml:space="preserve"> for a list of facilities</w:t>
      </w:r>
      <w:r w:rsidR="00D321E8" w:rsidRPr="00E80935">
        <w:rPr>
          <w:rFonts w:ascii="Times New Roman" w:hAnsi="Times New Roman"/>
          <w:color w:val="000000"/>
        </w:rPr>
        <w:t xml:space="preserve"> and their characteristics</w:t>
      </w:r>
      <w:r w:rsidR="00FA14FB" w:rsidRPr="00E80935">
        <w:rPr>
          <w:rFonts w:ascii="Times New Roman" w:hAnsi="Times New Roman"/>
          <w:color w:val="000000"/>
        </w:rPr>
        <w:t>)</w:t>
      </w:r>
      <w:r w:rsidRPr="00E80935">
        <w:rPr>
          <w:rFonts w:ascii="Times New Roman" w:hAnsi="Times New Roman"/>
          <w:color w:val="000000"/>
        </w:rPr>
        <w:t>.</w:t>
      </w:r>
    </w:p>
    <w:p w14:paraId="7B8447AB" w14:textId="47794C21" w:rsidR="00285389" w:rsidRPr="00E80935" w:rsidRDefault="00B54A7D" w:rsidP="00402285">
      <w:pPr>
        <w:widowControl/>
        <w:ind w:left="720"/>
        <w:rPr>
          <w:rFonts w:ascii="Times New Roman" w:hAnsi="Times New Roman"/>
          <w:color w:val="000000"/>
        </w:rPr>
      </w:pPr>
      <w:r w:rsidRPr="00E80935">
        <w:rPr>
          <w:rFonts w:ascii="Times New Roman" w:hAnsi="Times New Roman"/>
          <w:color w:val="000000"/>
        </w:rPr>
        <w:t xml:space="preserve"> </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Pr>
      <w:tblGrid>
        <w:gridCol w:w="4500"/>
        <w:gridCol w:w="630"/>
        <w:gridCol w:w="720"/>
        <w:gridCol w:w="630"/>
        <w:gridCol w:w="720"/>
        <w:gridCol w:w="1620"/>
      </w:tblGrid>
      <w:tr w:rsidR="000D2B6D" w:rsidRPr="00E80935" w14:paraId="709FEFCC" w14:textId="77777777" w:rsidTr="00A32720">
        <w:tc>
          <w:tcPr>
            <w:tcW w:w="8820" w:type="dxa"/>
            <w:gridSpan w:val="6"/>
          </w:tcPr>
          <w:p w14:paraId="693D52D7" w14:textId="5DBE1E8C" w:rsidR="000D2B6D" w:rsidRPr="00E80935" w:rsidRDefault="00514684" w:rsidP="00D321E8">
            <w:pPr>
              <w:widowControl/>
              <w:rPr>
                <w:rFonts w:ascii="Arial" w:hAnsi="Arial" w:cs="Arial"/>
                <w:b/>
                <w:color w:val="000000"/>
                <w:sz w:val="20"/>
                <w:szCs w:val="20"/>
              </w:rPr>
            </w:pPr>
            <w:r w:rsidRPr="00E80935">
              <w:rPr>
                <w:rFonts w:ascii="Times New Roman" w:hAnsi="Times New Roman"/>
                <w:color w:val="000000"/>
              </w:rPr>
              <w:br w:type="page"/>
            </w:r>
            <w:r w:rsidR="000D2B6D" w:rsidRPr="00E80935">
              <w:rPr>
                <w:rFonts w:ascii="Arial" w:hAnsi="Arial" w:cs="Arial"/>
                <w:b/>
                <w:color w:val="000000"/>
                <w:sz w:val="20"/>
                <w:szCs w:val="20"/>
              </w:rPr>
              <w:t xml:space="preserve">Table </w:t>
            </w:r>
            <w:r w:rsidR="00D321E8" w:rsidRPr="00E80935">
              <w:rPr>
                <w:rFonts w:ascii="Arial" w:hAnsi="Arial" w:cs="Arial"/>
                <w:b/>
                <w:color w:val="000000"/>
                <w:sz w:val="20"/>
                <w:szCs w:val="20"/>
              </w:rPr>
              <w:t>7. Characteristics of s</w:t>
            </w:r>
            <w:r w:rsidR="000D2B6D" w:rsidRPr="00E80935">
              <w:rPr>
                <w:rFonts w:ascii="Arial" w:hAnsi="Arial" w:cs="Arial"/>
                <w:b/>
                <w:color w:val="000000"/>
                <w:sz w:val="20"/>
                <w:szCs w:val="20"/>
              </w:rPr>
              <w:t>ample</w:t>
            </w:r>
            <w:r w:rsidR="00D321E8" w:rsidRPr="00E80935">
              <w:rPr>
                <w:rFonts w:ascii="Arial" w:hAnsi="Arial" w:cs="Arial"/>
                <w:b/>
                <w:color w:val="000000"/>
                <w:sz w:val="20"/>
                <w:szCs w:val="20"/>
              </w:rPr>
              <w:t>d</w:t>
            </w:r>
            <w:r w:rsidR="000D2B6D" w:rsidRPr="00E80935">
              <w:rPr>
                <w:rFonts w:ascii="Arial" w:hAnsi="Arial" w:cs="Arial"/>
                <w:b/>
                <w:color w:val="000000"/>
                <w:sz w:val="20"/>
                <w:szCs w:val="20"/>
              </w:rPr>
              <w:t xml:space="preserve"> facilities for SSV Record-Keeping Interview</w:t>
            </w:r>
          </w:p>
        </w:tc>
      </w:tr>
      <w:tr w:rsidR="000D2B6D" w:rsidRPr="00E80935" w14:paraId="10D393AE" w14:textId="77777777" w:rsidTr="00A32720">
        <w:trPr>
          <w:trHeight w:val="544"/>
        </w:trPr>
        <w:tc>
          <w:tcPr>
            <w:tcW w:w="4500" w:type="dxa"/>
            <w:tcBorders>
              <w:bottom w:val="single" w:sz="4" w:space="0" w:color="auto"/>
            </w:tcBorders>
            <w:vAlign w:val="bottom"/>
          </w:tcPr>
          <w:p w14:paraId="42BF6251" w14:textId="293C0C6F" w:rsidR="000D2B6D" w:rsidRPr="00E80935" w:rsidRDefault="000D2B6D" w:rsidP="00402285">
            <w:pPr>
              <w:widowControl/>
              <w:rPr>
                <w:rFonts w:ascii="Arial" w:hAnsi="Arial" w:cs="Arial"/>
                <w:b/>
                <w:color w:val="000000"/>
                <w:sz w:val="20"/>
                <w:szCs w:val="20"/>
              </w:rPr>
            </w:pPr>
            <w:r w:rsidRPr="00E80935">
              <w:rPr>
                <w:rFonts w:ascii="Arial" w:hAnsi="Arial" w:cs="Arial"/>
                <w:b/>
                <w:color w:val="000000"/>
                <w:sz w:val="20"/>
                <w:szCs w:val="20"/>
              </w:rPr>
              <w:t>Name</w:t>
            </w:r>
          </w:p>
        </w:tc>
        <w:tc>
          <w:tcPr>
            <w:tcW w:w="630" w:type="dxa"/>
            <w:tcBorders>
              <w:bottom w:val="single" w:sz="4" w:space="0" w:color="auto"/>
            </w:tcBorders>
            <w:vAlign w:val="bottom"/>
          </w:tcPr>
          <w:p w14:paraId="432B84FC" w14:textId="7FB5C61A" w:rsidR="000D2B6D" w:rsidRPr="00E80935" w:rsidRDefault="000D2B6D" w:rsidP="000D2B6D">
            <w:pPr>
              <w:widowControl/>
              <w:jc w:val="center"/>
              <w:rPr>
                <w:rFonts w:ascii="Arial" w:hAnsi="Arial" w:cs="Arial"/>
                <w:b/>
                <w:color w:val="000000"/>
                <w:sz w:val="20"/>
                <w:szCs w:val="20"/>
              </w:rPr>
            </w:pPr>
            <w:r w:rsidRPr="00E80935">
              <w:rPr>
                <w:rFonts w:ascii="Arial" w:hAnsi="Arial" w:cs="Arial"/>
                <w:b/>
                <w:color w:val="000000"/>
                <w:sz w:val="20"/>
                <w:szCs w:val="20"/>
              </w:rPr>
              <w:t>State</w:t>
            </w:r>
          </w:p>
        </w:tc>
        <w:tc>
          <w:tcPr>
            <w:tcW w:w="720" w:type="dxa"/>
            <w:tcBorders>
              <w:bottom w:val="single" w:sz="4" w:space="0" w:color="auto"/>
            </w:tcBorders>
            <w:vAlign w:val="bottom"/>
          </w:tcPr>
          <w:p w14:paraId="77997CED" w14:textId="7B7DD418" w:rsidR="000D2B6D" w:rsidRPr="00E80935" w:rsidRDefault="000D2B6D" w:rsidP="00402285">
            <w:pPr>
              <w:widowControl/>
              <w:rPr>
                <w:rFonts w:ascii="Arial" w:hAnsi="Arial" w:cs="Arial"/>
                <w:b/>
                <w:color w:val="000000"/>
                <w:sz w:val="20"/>
                <w:szCs w:val="20"/>
              </w:rPr>
            </w:pPr>
            <w:r w:rsidRPr="00E80935">
              <w:rPr>
                <w:rFonts w:ascii="Arial" w:hAnsi="Arial" w:cs="Arial"/>
                <w:b/>
                <w:color w:val="000000"/>
                <w:sz w:val="20"/>
                <w:szCs w:val="20"/>
              </w:rPr>
              <w:t>Type</w:t>
            </w:r>
          </w:p>
        </w:tc>
        <w:tc>
          <w:tcPr>
            <w:tcW w:w="630" w:type="dxa"/>
            <w:tcBorders>
              <w:bottom w:val="single" w:sz="4" w:space="0" w:color="auto"/>
            </w:tcBorders>
            <w:vAlign w:val="bottom"/>
          </w:tcPr>
          <w:p w14:paraId="565A97F1" w14:textId="42E525BB" w:rsidR="000D2B6D" w:rsidRPr="00E80935" w:rsidRDefault="000D2B6D" w:rsidP="00402285">
            <w:pPr>
              <w:widowControl/>
              <w:rPr>
                <w:rFonts w:ascii="Arial" w:hAnsi="Arial" w:cs="Arial"/>
                <w:b/>
                <w:color w:val="000000"/>
                <w:sz w:val="20"/>
                <w:szCs w:val="20"/>
              </w:rPr>
            </w:pPr>
            <w:r w:rsidRPr="00E80935">
              <w:rPr>
                <w:rFonts w:ascii="Arial" w:hAnsi="Arial" w:cs="Arial"/>
                <w:b/>
                <w:color w:val="000000"/>
                <w:sz w:val="20"/>
                <w:szCs w:val="20"/>
              </w:rPr>
              <w:t>Popu-lation</w:t>
            </w:r>
          </w:p>
        </w:tc>
        <w:tc>
          <w:tcPr>
            <w:tcW w:w="720" w:type="dxa"/>
            <w:tcBorders>
              <w:bottom w:val="single" w:sz="4" w:space="0" w:color="auto"/>
            </w:tcBorders>
            <w:vAlign w:val="bottom"/>
          </w:tcPr>
          <w:p w14:paraId="6C83DE87" w14:textId="556D86B2" w:rsidR="000D2B6D" w:rsidRPr="00E80935" w:rsidRDefault="000D2B6D" w:rsidP="00402285">
            <w:pPr>
              <w:widowControl/>
              <w:rPr>
                <w:rFonts w:ascii="Arial" w:hAnsi="Arial" w:cs="Arial"/>
                <w:b/>
                <w:color w:val="000000"/>
                <w:sz w:val="20"/>
                <w:szCs w:val="20"/>
              </w:rPr>
            </w:pPr>
            <w:r w:rsidRPr="00E80935">
              <w:rPr>
                <w:rFonts w:ascii="Arial" w:hAnsi="Arial" w:cs="Arial"/>
                <w:b/>
                <w:color w:val="000000"/>
                <w:sz w:val="20"/>
                <w:szCs w:val="20"/>
              </w:rPr>
              <w:t>ADP</w:t>
            </w:r>
          </w:p>
        </w:tc>
        <w:tc>
          <w:tcPr>
            <w:tcW w:w="1620" w:type="dxa"/>
            <w:tcBorders>
              <w:bottom w:val="single" w:sz="4" w:space="0" w:color="auto"/>
            </w:tcBorders>
            <w:tcMar>
              <w:left w:w="86" w:type="dxa"/>
            </w:tcMar>
            <w:vAlign w:val="bottom"/>
          </w:tcPr>
          <w:p w14:paraId="19FCC30D" w14:textId="22A2FCE0" w:rsidR="000D2B6D" w:rsidRPr="00E80935" w:rsidRDefault="00A32720" w:rsidP="00402285">
            <w:pPr>
              <w:widowControl/>
              <w:rPr>
                <w:rFonts w:ascii="Arial" w:hAnsi="Arial" w:cs="Arial"/>
                <w:b/>
                <w:color w:val="000000"/>
                <w:sz w:val="20"/>
                <w:szCs w:val="20"/>
              </w:rPr>
            </w:pPr>
            <w:r w:rsidRPr="00E80935">
              <w:rPr>
                <w:rFonts w:ascii="Arial" w:hAnsi="Arial" w:cs="Arial"/>
                <w:b/>
                <w:color w:val="000000"/>
                <w:sz w:val="20"/>
                <w:szCs w:val="20"/>
              </w:rPr>
              <w:t>Response of i</w:t>
            </w:r>
            <w:r w:rsidR="000D2B6D" w:rsidRPr="00E80935">
              <w:rPr>
                <w:rFonts w:ascii="Arial" w:hAnsi="Arial" w:cs="Arial"/>
                <w:b/>
                <w:color w:val="000000"/>
                <w:sz w:val="20"/>
                <w:szCs w:val="20"/>
              </w:rPr>
              <w:t>ntersex or transgender</w:t>
            </w:r>
          </w:p>
        </w:tc>
      </w:tr>
      <w:tr w:rsidR="000D2B6D" w:rsidRPr="00E80935" w14:paraId="39CAD485" w14:textId="77777777" w:rsidTr="00A32720">
        <w:tc>
          <w:tcPr>
            <w:tcW w:w="4500" w:type="dxa"/>
            <w:tcBorders>
              <w:top w:val="single" w:sz="4" w:space="0" w:color="auto"/>
            </w:tcBorders>
            <w:vAlign w:val="center"/>
          </w:tcPr>
          <w:p w14:paraId="1FD53867" w14:textId="6EC63804"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New York Dept. of Corrections and Community Supervision</w:t>
            </w:r>
          </w:p>
        </w:tc>
        <w:tc>
          <w:tcPr>
            <w:tcW w:w="630" w:type="dxa"/>
            <w:tcBorders>
              <w:top w:val="single" w:sz="4" w:space="0" w:color="auto"/>
            </w:tcBorders>
            <w:vAlign w:val="center"/>
          </w:tcPr>
          <w:p w14:paraId="51E1981D" w14:textId="76F3591C"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NY</w:t>
            </w:r>
          </w:p>
        </w:tc>
        <w:tc>
          <w:tcPr>
            <w:tcW w:w="720" w:type="dxa"/>
            <w:tcBorders>
              <w:top w:val="single" w:sz="4" w:space="0" w:color="auto"/>
            </w:tcBorders>
            <w:vAlign w:val="center"/>
          </w:tcPr>
          <w:p w14:paraId="5695826D" w14:textId="7207E975"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State</w:t>
            </w:r>
          </w:p>
        </w:tc>
        <w:tc>
          <w:tcPr>
            <w:tcW w:w="630" w:type="dxa"/>
            <w:tcBorders>
              <w:top w:val="single" w:sz="4" w:space="0" w:color="auto"/>
            </w:tcBorders>
            <w:vAlign w:val="center"/>
          </w:tcPr>
          <w:p w14:paraId="40B96D09" w14:textId="09CCB769"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Adult</w:t>
            </w:r>
          </w:p>
        </w:tc>
        <w:tc>
          <w:tcPr>
            <w:tcW w:w="720" w:type="dxa"/>
            <w:tcBorders>
              <w:top w:val="single" w:sz="4" w:space="0" w:color="auto"/>
            </w:tcBorders>
            <w:vAlign w:val="center"/>
          </w:tcPr>
          <w:p w14:paraId="2498B927" w14:textId="3C5D3F55"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51,485</w:t>
            </w:r>
          </w:p>
        </w:tc>
        <w:tc>
          <w:tcPr>
            <w:tcW w:w="1620" w:type="dxa"/>
            <w:tcBorders>
              <w:top w:val="single" w:sz="4" w:space="0" w:color="auto"/>
            </w:tcBorders>
            <w:tcMar>
              <w:left w:w="86" w:type="dxa"/>
            </w:tcMar>
            <w:vAlign w:val="center"/>
          </w:tcPr>
          <w:p w14:paraId="1203E091" w14:textId="0D6E4102"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Transgender</w:t>
            </w:r>
          </w:p>
        </w:tc>
      </w:tr>
      <w:tr w:rsidR="000D2B6D" w:rsidRPr="00E80935" w14:paraId="6BE58A11" w14:textId="77777777" w:rsidTr="00A32720">
        <w:tc>
          <w:tcPr>
            <w:tcW w:w="4500" w:type="dxa"/>
            <w:vAlign w:val="center"/>
          </w:tcPr>
          <w:p w14:paraId="3547D4D9" w14:textId="02A1C455"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George W. Hill Correctional Facility (GEO Group)</w:t>
            </w:r>
          </w:p>
        </w:tc>
        <w:tc>
          <w:tcPr>
            <w:tcW w:w="630" w:type="dxa"/>
            <w:vAlign w:val="center"/>
          </w:tcPr>
          <w:p w14:paraId="1FBD5D34" w14:textId="12F5A256"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PA</w:t>
            </w:r>
          </w:p>
        </w:tc>
        <w:tc>
          <w:tcPr>
            <w:tcW w:w="720" w:type="dxa"/>
            <w:vAlign w:val="center"/>
          </w:tcPr>
          <w:p w14:paraId="3EAD5B99" w14:textId="11957BA4"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Private</w:t>
            </w:r>
          </w:p>
        </w:tc>
        <w:tc>
          <w:tcPr>
            <w:tcW w:w="630" w:type="dxa"/>
            <w:vAlign w:val="center"/>
          </w:tcPr>
          <w:p w14:paraId="1B9FCFE8" w14:textId="0DA4E7DA"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Adult</w:t>
            </w:r>
          </w:p>
        </w:tc>
        <w:tc>
          <w:tcPr>
            <w:tcW w:w="720" w:type="dxa"/>
            <w:vAlign w:val="center"/>
          </w:tcPr>
          <w:p w14:paraId="5CF7AA28" w14:textId="2623F3DF"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1,883</w:t>
            </w:r>
          </w:p>
        </w:tc>
        <w:tc>
          <w:tcPr>
            <w:tcW w:w="1620" w:type="dxa"/>
            <w:tcMar>
              <w:left w:w="86" w:type="dxa"/>
            </w:tcMar>
            <w:vAlign w:val="center"/>
          </w:tcPr>
          <w:p w14:paraId="2447A72F" w14:textId="75F8DF88"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Transgender</w:t>
            </w:r>
          </w:p>
        </w:tc>
      </w:tr>
      <w:tr w:rsidR="000D2B6D" w:rsidRPr="00E80935" w14:paraId="1B67819B" w14:textId="77777777" w:rsidTr="00A32720">
        <w:tc>
          <w:tcPr>
            <w:tcW w:w="4500" w:type="dxa"/>
            <w:vAlign w:val="center"/>
          </w:tcPr>
          <w:p w14:paraId="5FEE9FC4" w14:textId="60537AEB"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Stutsman Co. Correctional Center</w:t>
            </w:r>
          </w:p>
        </w:tc>
        <w:tc>
          <w:tcPr>
            <w:tcW w:w="630" w:type="dxa"/>
            <w:vAlign w:val="center"/>
          </w:tcPr>
          <w:p w14:paraId="60740A21" w14:textId="285564E8"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ND</w:t>
            </w:r>
          </w:p>
        </w:tc>
        <w:tc>
          <w:tcPr>
            <w:tcW w:w="720" w:type="dxa"/>
            <w:vAlign w:val="center"/>
          </w:tcPr>
          <w:p w14:paraId="5EB56B5A" w14:textId="6F5AFE02"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Local</w:t>
            </w:r>
          </w:p>
        </w:tc>
        <w:tc>
          <w:tcPr>
            <w:tcW w:w="630" w:type="dxa"/>
            <w:vAlign w:val="center"/>
          </w:tcPr>
          <w:p w14:paraId="70E453F4" w14:textId="0A5F4C39"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Adult</w:t>
            </w:r>
          </w:p>
        </w:tc>
        <w:tc>
          <w:tcPr>
            <w:tcW w:w="720" w:type="dxa"/>
            <w:vAlign w:val="center"/>
          </w:tcPr>
          <w:p w14:paraId="0275A5F0" w14:textId="526BF4A1"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70</w:t>
            </w:r>
          </w:p>
        </w:tc>
        <w:tc>
          <w:tcPr>
            <w:tcW w:w="1620" w:type="dxa"/>
            <w:tcMar>
              <w:left w:w="86" w:type="dxa"/>
            </w:tcMar>
            <w:vAlign w:val="center"/>
          </w:tcPr>
          <w:p w14:paraId="766BAA0C" w14:textId="20C00551"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Intersex</w:t>
            </w:r>
          </w:p>
        </w:tc>
      </w:tr>
      <w:tr w:rsidR="000D2B6D" w:rsidRPr="00E80935" w14:paraId="335F5D30" w14:textId="77777777" w:rsidTr="00A32720">
        <w:tc>
          <w:tcPr>
            <w:tcW w:w="4500" w:type="dxa"/>
            <w:vAlign w:val="center"/>
          </w:tcPr>
          <w:p w14:paraId="6CE3C96F" w14:textId="7D9F6E72"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Los Angeles Co. Jail</w:t>
            </w:r>
          </w:p>
        </w:tc>
        <w:tc>
          <w:tcPr>
            <w:tcW w:w="630" w:type="dxa"/>
            <w:vAlign w:val="center"/>
          </w:tcPr>
          <w:p w14:paraId="79B39504" w14:textId="6F0CF1BE"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CA</w:t>
            </w:r>
          </w:p>
        </w:tc>
        <w:tc>
          <w:tcPr>
            <w:tcW w:w="720" w:type="dxa"/>
            <w:vAlign w:val="center"/>
          </w:tcPr>
          <w:p w14:paraId="7968B7A8" w14:textId="0BF69B8D"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Local</w:t>
            </w:r>
          </w:p>
        </w:tc>
        <w:tc>
          <w:tcPr>
            <w:tcW w:w="630" w:type="dxa"/>
            <w:vAlign w:val="center"/>
          </w:tcPr>
          <w:p w14:paraId="415A95F4" w14:textId="04FBD8C3"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Adult</w:t>
            </w:r>
          </w:p>
        </w:tc>
        <w:tc>
          <w:tcPr>
            <w:tcW w:w="720" w:type="dxa"/>
            <w:vAlign w:val="center"/>
          </w:tcPr>
          <w:p w14:paraId="4B377719" w14:textId="12949677"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17,054</w:t>
            </w:r>
          </w:p>
        </w:tc>
        <w:tc>
          <w:tcPr>
            <w:tcW w:w="1620" w:type="dxa"/>
            <w:tcMar>
              <w:left w:w="86" w:type="dxa"/>
            </w:tcMar>
            <w:vAlign w:val="center"/>
          </w:tcPr>
          <w:p w14:paraId="29E0E289" w14:textId="0198AA27"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Neither</w:t>
            </w:r>
          </w:p>
        </w:tc>
      </w:tr>
      <w:tr w:rsidR="000D2B6D" w:rsidRPr="00E80935" w14:paraId="4DAF0DCB" w14:textId="77777777" w:rsidTr="00A32720">
        <w:tc>
          <w:tcPr>
            <w:tcW w:w="4500" w:type="dxa"/>
            <w:vAlign w:val="center"/>
          </w:tcPr>
          <w:p w14:paraId="6C86D5D9" w14:textId="4765A9F6" w:rsidR="000D2B6D" w:rsidRPr="00E80935" w:rsidRDefault="000D2B6D" w:rsidP="000D2B6D">
            <w:pPr>
              <w:widowControl/>
              <w:rPr>
                <w:rFonts w:ascii="Arial" w:hAnsi="Arial" w:cs="Arial"/>
                <w:color w:val="000000"/>
                <w:sz w:val="20"/>
                <w:szCs w:val="20"/>
              </w:rPr>
            </w:pPr>
            <w:r w:rsidRPr="00E80935">
              <w:rPr>
                <w:rFonts w:ascii="Arial" w:hAnsi="Arial" w:cs="Arial"/>
                <w:color w:val="000000"/>
                <w:sz w:val="20"/>
                <w:szCs w:val="20"/>
              </w:rPr>
              <w:t>Louisiana Dept. of Public Safety and Corrections</w:t>
            </w:r>
          </w:p>
        </w:tc>
        <w:tc>
          <w:tcPr>
            <w:tcW w:w="630" w:type="dxa"/>
            <w:vAlign w:val="center"/>
          </w:tcPr>
          <w:p w14:paraId="0BC6D6C1" w14:textId="5EA30194"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LA</w:t>
            </w:r>
          </w:p>
        </w:tc>
        <w:tc>
          <w:tcPr>
            <w:tcW w:w="720" w:type="dxa"/>
            <w:vAlign w:val="center"/>
          </w:tcPr>
          <w:p w14:paraId="66295366" w14:textId="01713215"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State</w:t>
            </w:r>
          </w:p>
        </w:tc>
        <w:tc>
          <w:tcPr>
            <w:tcW w:w="630" w:type="dxa"/>
            <w:vAlign w:val="center"/>
          </w:tcPr>
          <w:p w14:paraId="5A714D1D" w14:textId="4CB77134"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Adult</w:t>
            </w:r>
          </w:p>
        </w:tc>
        <w:tc>
          <w:tcPr>
            <w:tcW w:w="720" w:type="dxa"/>
            <w:vAlign w:val="center"/>
          </w:tcPr>
          <w:p w14:paraId="47A8424D" w14:textId="2F33724F"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15,295</w:t>
            </w:r>
          </w:p>
        </w:tc>
        <w:tc>
          <w:tcPr>
            <w:tcW w:w="1620" w:type="dxa"/>
            <w:tcMar>
              <w:left w:w="86" w:type="dxa"/>
            </w:tcMar>
            <w:vAlign w:val="center"/>
          </w:tcPr>
          <w:p w14:paraId="1D046BFA" w14:textId="3BAB6CA9"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Neither</w:t>
            </w:r>
          </w:p>
        </w:tc>
      </w:tr>
      <w:tr w:rsidR="000D2B6D" w:rsidRPr="00E80935" w14:paraId="26DCABC5" w14:textId="77777777" w:rsidTr="00A32720">
        <w:tc>
          <w:tcPr>
            <w:tcW w:w="4500" w:type="dxa"/>
            <w:vAlign w:val="center"/>
          </w:tcPr>
          <w:p w14:paraId="4FB0F285" w14:textId="22362FB1"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Wayne Co. Jail</w:t>
            </w:r>
          </w:p>
        </w:tc>
        <w:tc>
          <w:tcPr>
            <w:tcW w:w="630" w:type="dxa"/>
            <w:vAlign w:val="center"/>
          </w:tcPr>
          <w:p w14:paraId="5254C6FC" w14:textId="2E8078D6"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MI</w:t>
            </w:r>
          </w:p>
        </w:tc>
        <w:tc>
          <w:tcPr>
            <w:tcW w:w="720" w:type="dxa"/>
            <w:vAlign w:val="center"/>
          </w:tcPr>
          <w:p w14:paraId="19629641" w14:textId="694C63EB"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Local</w:t>
            </w:r>
          </w:p>
        </w:tc>
        <w:tc>
          <w:tcPr>
            <w:tcW w:w="630" w:type="dxa"/>
            <w:vAlign w:val="center"/>
          </w:tcPr>
          <w:p w14:paraId="762AF3E2" w14:textId="347EB2DB"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Adult</w:t>
            </w:r>
          </w:p>
        </w:tc>
        <w:tc>
          <w:tcPr>
            <w:tcW w:w="720" w:type="dxa"/>
            <w:vAlign w:val="center"/>
          </w:tcPr>
          <w:p w14:paraId="68DB0EC0" w14:textId="33E50788"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2,069</w:t>
            </w:r>
          </w:p>
        </w:tc>
        <w:tc>
          <w:tcPr>
            <w:tcW w:w="1620" w:type="dxa"/>
            <w:tcMar>
              <w:left w:w="86" w:type="dxa"/>
            </w:tcMar>
            <w:vAlign w:val="center"/>
          </w:tcPr>
          <w:p w14:paraId="36D1BA16" w14:textId="3A745CA5"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Neither</w:t>
            </w:r>
          </w:p>
        </w:tc>
      </w:tr>
      <w:tr w:rsidR="000D2B6D" w:rsidRPr="00E80935" w14:paraId="104A24B7" w14:textId="77777777" w:rsidTr="00A32720">
        <w:tc>
          <w:tcPr>
            <w:tcW w:w="4500" w:type="dxa"/>
            <w:vAlign w:val="center"/>
          </w:tcPr>
          <w:p w14:paraId="52D71ACD" w14:textId="13D04D4E"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Texas Juvenile Justice Department</w:t>
            </w:r>
          </w:p>
        </w:tc>
        <w:tc>
          <w:tcPr>
            <w:tcW w:w="630" w:type="dxa"/>
            <w:vAlign w:val="center"/>
          </w:tcPr>
          <w:p w14:paraId="212BFEFE" w14:textId="11A87D11"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TX</w:t>
            </w:r>
          </w:p>
        </w:tc>
        <w:tc>
          <w:tcPr>
            <w:tcW w:w="720" w:type="dxa"/>
            <w:vAlign w:val="center"/>
          </w:tcPr>
          <w:p w14:paraId="2FE22BEB" w14:textId="70EF52C2"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State</w:t>
            </w:r>
          </w:p>
        </w:tc>
        <w:tc>
          <w:tcPr>
            <w:tcW w:w="630" w:type="dxa"/>
            <w:vAlign w:val="center"/>
          </w:tcPr>
          <w:p w14:paraId="12BBA174" w14:textId="7BA042AA"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Juve</w:t>
            </w:r>
          </w:p>
        </w:tc>
        <w:tc>
          <w:tcPr>
            <w:tcW w:w="720" w:type="dxa"/>
            <w:vAlign w:val="center"/>
          </w:tcPr>
          <w:p w14:paraId="432D92C4" w14:textId="745EC797"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1,212</w:t>
            </w:r>
          </w:p>
        </w:tc>
        <w:tc>
          <w:tcPr>
            <w:tcW w:w="1620" w:type="dxa"/>
            <w:tcMar>
              <w:left w:w="86" w:type="dxa"/>
            </w:tcMar>
            <w:vAlign w:val="center"/>
          </w:tcPr>
          <w:p w14:paraId="466448D0" w14:textId="1D130A33"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Neither</w:t>
            </w:r>
          </w:p>
        </w:tc>
      </w:tr>
      <w:tr w:rsidR="000D2B6D" w:rsidRPr="00E80935" w14:paraId="082AB4F5" w14:textId="77777777" w:rsidTr="0082676F">
        <w:tc>
          <w:tcPr>
            <w:tcW w:w="4500" w:type="dxa"/>
            <w:vAlign w:val="center"/>
          </w:tcPr>
          <w:p w14:paraId="436E54C6" w14:textId="39325F0F"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Oregon Youth Authority</w:t>
            </w:r>
          </w:p>
        </w:tc>
        <w:tc>
          <w:tcPr>
            <w:tcW w:w="630" w:type="dxa"/>
            <w:vAlign w:val="center"/>
          </w:tcPr>
          <w:p w14:paraId="7AB719A6" w14:textId="07D2A80E"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OR</w:t>
            </w:r>
          </w:p>
        </w:tc>
        <w:tc>
          <w:tcPr>
            <w:tcW w:w="720" w:type="dxa"/>
            <w:vAlign w:val="center"/>
          </w:tcPr>
          <w:p w14:paraId="5D6000D2" w14:textId="3A6D8DBE"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State</w:t>
            </w:r>
          </w:p>
        </w:tc>
        <w:tc>
          <w:tcPr>
            <w:tcW w:w="630" w:type="dxa"/>
            <w:vAlign w:val="center"/>
          </w:tcPr>
          <w:p w14:paraId="470C5A85" w14:textId="759243E6"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Juve</w:t>
            </w:r>
          </w:p>
        </w:tc>
        <w:tc>
          <w:tcPr>
            <w:tcW w:w="720" w:type="dxa"/>
            <w:vAlign w:val="center"/>
          </w:tcPr>
          <w:p w14:paraId="3FF97F2D" w14:textId="731BEE3A"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566</w:t>
            </w:r>
          </w:p>
        </w:tc>
        <w:tc>
          <w:tcPr>
            <w:tcW w:w="1620" w:type="dxa"/>
            <w:tcMar>
              <w:left w:w="86" w:type="dxa"/>
            </w:tcMar>
            <w:vAlign w:val="center"/>
          </w:tcPr>
          <w:p w14:paraId="6190B989" w14:textId="291EE18F"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Both</w:t>
            </w:r>
          </w:p>
        </w:tc>
      </w:tr>
      <w:tr w:rsidR="000D2B6D" w:rsidRPr="00E80935" w14:paraId="5A366FD1" w14:textId="77777777" w:rsidTr="0082676F">
        <w:tc>
          <w:tcPr>
            <w:tcW w:w="4500" w:type="dxa"/>
            <w:tcBorders>
              <w:bottom w:val="single" w:sz="4" w:space="0" w:color="auto"/>
            </w:tcBorders>
            <w:vAlign w:val="center"/>
          </w:tcPr>
          <w:p w14:paraId="33B53E10" w14:textId="5C75A55A"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Juvenile Detention Center</w:t>
            </w:r>
          </w:p>
        </w:tc>
        <w:tc>
          <w:tcPr>
            <w:tcW w:w="630" w:type="dxa"/>
            <w:tcBorders>
              <w:bottom w:val="single" w:sz="4" w:space="0" w:color="auto"/>
            </w:tcBorders>
            <w:vAlign w:val="center"/>
          </w:tcPr>
          <w:p w14:paraId="4B1AA8A7" w14:textId="3785E160" w:rsidR="000D2B6D" w:rsidRPr="00E80935" w:rsidRDefault="000D2B6D" w:rsidP="000D2B6D">
            <w:pPr>
              <w:widowControl/>
              <w:jc w:val="center"/>
              <w:rPr>
                <w:rFonts w:ascii="Arial" w:hAnsi="Arial" w:cs="Arial"/>
                <w:color w:val="000000"/>
                <w:sz w:val="20"/>
                <w:szCs w:val="20"/>
              </w:rPr>
            </w:pPr>
            <w:r w:rsidRPr="00E80935">
              <w:rPr>
                <w:rFonts w:ascii="Arial" w:hAnsi="Arial" w:cs="Arial"/>
                <w:color w:val="000000"/>
                <w:sz w:val="20"/>
                <w:szCs w:val="20"/>
              </w:rPr>
              <w:t>MO</w:t>
            </w:r>
          </w:p>
        </w:tc>
        <w:tc>
          <w:tcPr>
            <w:tcW w:w="720" w:type="dxa"/>
            <w:tcBorders>
              <w:bottom w:val="single" w:sz="4" w:space="0" w:color="auto"/>
            </w:tcBorders>
            <w:vAlign w:val="center"/>
          </w:tcPr>
          <w:p w14:paraId="58C4FB63" w14:textId="4711E13A"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Local</w:t>
            </w:r>
          </w:p>
        </w:tc>
        <w:tc>
          <w:tcPr>
            <w:tcW w:w="630" w:type="dxa"/>
            <w:tcBorders>
              <w:bottom w:val="single" w:sz="4" w:space="0" w:color="auto"/>
            </w:tcBorders>
            <w:vAlign w:val="center"/>
          </w:tcPr>
          <w:p w14:paraId="17ECF450" w14:textId="0743BEBA"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Juve</w:t>
            </w:r>
          </w:p>
        </w:tc>
        <w:tc>
          <w:tcPr>
            <w:tcW w:w="720" w:type="dxa"/>
            <w:tcBorders>
              <w:bottom w:val="single" w:sz="4" w:space="0" w:color="auto"/>
            </w:tcBorders>
            <w:vAlign w:val="center"/>
          </w:tcPr>
          <w:p w14:paraId="78655163" w14:textId="118F2960" w:rsidR="000D2B6D" w:rsidRPr="00E80935" w:rsidRDefault="000D2B6D" w:rsidP="000D2B6D">
            <w:pPr>
              <w:widowControl/>
              <w:jc w:val="right"/>
              <w:rPr>
                <w:rFonts w:ascii="Arial" w:hAnsi="Arial" w:cs="Arial"/>
                <w:color w:val="000000"/>
                <w:sz w:val="20"/>
                <w:szCs w:val="20"/>
              </w:rPr>
            </w:pPr>
            <w:r w:rsidRPr="00E80935">
              <w:rPr>
                <w:rFonts w:ascii="Arial" w:hAnsi="Arial" w:cs="Arial"/>
                <w:color w:val="000000"/>
                <w:sz w:val="20"/>
                <w:szCs w:val="20"/>
              </w:rPr>
              <w:t>44</w:t>
            </w:r>
          </w:p>
        </w:tc>
        <w:tc>
          <w:tcPr>
            <w:tcW w:w="1620" w:type="dxa"/>
            <w:tcBorders>
              <w:bottom w:val="single" w:sz="4" w:space="0" w:color="auto"/>
            </w:tcBorders>
            <w:tcMar>
              <w:left w:w="86" w:type="dxa"/>
            </w:tcMar>
            <w:vAlign w:val="center"/>
          </w:tcPr>
          <w:p w14:paraId="61F0493C" w14:textId="67A46761" w:rsidR="000D2B6D" w:rsidRPr="00E80935" w:rsidRDefault="000D2B6D" w:rsidP="00402285">
            <w:pPr>
              <w:widowControl/>
              <w:rPr>
                <w:rFonts w:ascii="Arial" w:hAnsi="Arial" w:cs="Arial"/>
                <w:color w:val="000000"/>
                <w:sz w:val="20"/>
                <w:szCs w:val="20"/>
              </w:rPr>
            </w:pPr>
            <w:r w:rsidRPr="00E80935">
              <w:rPr>
                <w:rFonts w:ascii="Arial" w:hAnsi="Arial" w:cs="Arial"/>
                <w:color w:val="000000"/>
                <w:sz w:val="20"/>
                <w:szCs w:val="20"/>
              </w:rPr>
              <w:t>Transgender</w:t>
            </w:r>
          </w:p>
        </w:tc>
      </w:tr>
    </w:tbl>
    <w:p w14:paraId="6AA32A15" w14:textId="77777777" w:rsidR="000D2B6D" w:rsidRPr="00E80935" w:rsidRDefault="000D2B6D" w:rsidP="00402285">
      <w:pPr>
        <w:widowControl/>
        <w:ind w:left="720"/>
        <w:rPr>
          <w:rFonts w:ascii="Times New Roman" w:hAnsi="Times New Roman"/>
          <w:color w:val="000000"/>
        </w:rPr>
      </w:pPr>
    </w:p>
    <w:p w14:paraId="24F82461" w14:textId="50554A7C" w:rsidR="000102CC" w:rsidRPr="00E80935" w:rsidRDefault="0057248D" w:rsidP="00402285">
      <w:pPr>
        <w:widowControl/>
        <w:ind w:left="720"/>
        <w:rPr>
          <w:rFonts w:ascii="Times New Roman" w:hAnsi="Times New Roman"/>
          <w:color w:val="000000"/>
        </w:rPr>
      </w:pPr>
      <w:r w:rsidRPr="00E80935">
        <w:rPr>
          <w:rFonts w:ascii="Times New Roman" w:hAnsi="Times New Roman"/>
          <w:color w:val="000000"/>
        </w:rPr>
        <w:t>BJS called e</w:t>
      </w:r>
      <w:r w:rsidR="000102CC" w:rsidRPr="00E80935">
        <w:rPr>
          <w:rFonts w:ascii="Times New Roman" w:hAnsi="Times New Roman"/>
          <w:color w:val="000000"/>
        </w:rPr>
        <w:t xml:space="preserve">ach </w:t>
      </w:r>
      <w:r w:rsidRPr="00E80935">
        <w:rPr>
          <w:rFonts w:ascii="Times New Roman" w:hAnsi="Times New Roman"/>
          <w:color w:val="000000"/>
        </w:rPr>
        <w:t xml:space="preserve">selected </w:t>
      </w:r>
      <w:r w:rsidR="000102CC" w:rsidRPr="00E80935">
        <w:rPr>
          <w:rFonts w:ascii="Times New Roman" w:hAnsi="Times New Roman"/>
          <w:color w:val="000000"/>
        </w:rPr>
        <w:t xml:space="preserve">facility to request their participation and schedule the interview. </w:t>
      </w:r>
      <w:r w:rsidRPr="00E80935">
        <w:rPr>
          <w:rFonts w:ascii="Times New Roman" w:hAnsi="Times New Roman"/>
          <w:color w:val="000000"/>
        </w:rPr>
        <w:t>The</w:t>
      </w:r>
      <w:r w:rsidR="000102CC" w:rsidRPr="00E80935">
        <w:rPr>
          <w:rFonts w:ascii="Times New Roman" w:hAnsi="Times New Roman"/>
          <w:color w:val="000000"/>
        </w:rPr>
        <w:t xml:space="preserve"> interview</w:t>
      </w:r>
      <w:r w:rsidRPr="00E80935">
        <w:rPr>
          <w:rFonts w:ascii="Times New Roman" w:hAnsi="Times New Roman"/>
          <w:color w:val="000000"/>
        </w:rPr>
        <w:t>s</w:t>
      </w:r>
      <w:r w:rsidR="000102CC" w:rsidRPr="00E80935">
        <w:rPr>
          <w:rFonts w:ascii="Times New Roman" w:hAnsi="Times New Roman"/>
          <w:color w:val="000000"/>
        </w:rPr>
        <w:t xml:space="preserve"> lasted about 35 minutes. </w:t>
      </w:r>
      <w:r w:rsidRPr="00E80935">
        <w:rPr>
          <w:rFonts w:ascii="Times New Roman" w:hAnsi="Times New Roman"/>
          <w:color w:val="000000"/>
        </w:rPr>
        <w:t>R</w:t>
      </w:r>
      <w:r w:rsidR="000102CC" w:rsidRPr="00E80935">
        <w:rPr>
          <w:rFonts w:ascii="Times New Roman" w:hAnsi="Times New Roman"/>
          <w:color w:val="000000"/>
        </w:rPr>
        <w:t xml:space="preserve">esults </w:t>
      </w:r>
      <w:r w:rsidRPr="00E80935">
        <w:rPr>
          <w:rFonts w:ascii="Times New Roman" w:hAnsi="Times New Roman"/>
          <w:color w:val="000000"/>
        </w:rPr>
        <w:t xml:space="preserve">of the study </w:t>
      </w:r>
      <w:r w:rsidR="000102CC" w:rsidRPr="00E80935">
        <w:rPr>
          <w:rFonts w:ascii="Times New Roman" w:hAnsi="Times New Roman"/>
          <w:color w:val="000000"/>
        </w:rPr>
        <w:t>are summarized below.</w:t>
      </w:r>
    </w:p>
    <w:p w14:paraId="166B567D" w14:textId="77777777" w:rsidR="000102CC" w:rsidRPr="00E80935" w:rsidRDefault="000102CC" w:rsidP="00402285">
      <w:pPr>
        <w:widowControl/>
        <w:ind w:left="720"/>
        <w:rPr>
          <w:rFonts w:ascii="Times New Roman" w:hAnsi="Times New Roman"/>
          <w:color w:val="000000"/>
        </w:rPr>
      </w:pPr>
    </w:p>
    <w:p w14:paraId="10925913" w14:textId="73174A5D" w:rsidR="000D2B6D" w:rsidRPr="00E80935" w:rsidRDefault="00706B2F" w:rsidP="00402285">
      <w:pPr>
        <w:widowControl/>
        <w:ind w:left="720"/>
        <w:rPr>
          <w:rFonts w:ascii="Times New Roman" w:hAnsi="Times New Roman"/>
          <w:color w:val="000000"/>
        </w:rPr>
      </w:pPr>
      <w:r w:rsidRPr="00E80935">
        <w:rPr>
          <w:rFonts w:ascii="Times New Roman" w:hAnsi="Times New Roman"/>
          <w:color w:val="000000"/>
        </w:rPr>
        <w:t xml:space="preserve">All </w:t>
      </w:r>
      <w:r w:rsidR="0057248D" w:rsidRPr="00E80935">
        <w:rPr>
          <w:rFonts w:ascii="Times New Roman" w:hAnsi="Times New Roman"/>
          <w:color w:val="000000"/>
        </w:rPr>
        <w:t xml:space="preserve">nine </w:t>
      </w:r>
      <w:r w:rsidRPr="00E80935">
        <w:rPr>
          <w:rFonts w:ascii="Times New Roman" w:hAnsi="Times New Roman"/>
          <w:color w:val="000000"/>
        </w:rPr>
        <w:t xml:space="preserve">facilities stored the data in a central location, but </w:t>
      </w:r>
      <w:r w:rsidR="0057248D" w:rsidRPr="00E80935">
        <w:rPr>
          <w:rFonts w:ascii="Times New Roman" w:hAnsi="Times New Roman"/>
          <w:color w:val="000000"/>
        </w:rPr>
        <w:t xml:space="preserve">the </w:t>
      </w:r>
      <w:r w:rsidRPr="00E80935">
        <w:rPr>
          <w:rFonts w:ascii="Times New Roman" w:hAnsi="Times New Roman"/>
          <w:color w:val="000000"/>
        </w:rPr>
        <w:t>types of storage varied. M</w:t>
      </w:r>
      <w:r w:rsidR="00527902" w:rsidRPr="00E80935">
        <w:rPr>
          <w:rFonts w:ascii="Times New Roman" w:hAnsi="Times New Roman"/>
          <w:color w:val="000000"/>
        </w:rPr>
        <w:t xml:space="preserve">ost facilities used either a records management system (RMS) or spreadsheets or a combination of the two. A few referred to electronic or paper copies of investigation reports. The RMSs, spreadsheets, and investigation reports contained all of the information needed to respond to </w:t>
      </w:r>
      <w:r w:rsidR="0057248D" w:rsidRPr="00E80935">
        <w:rPr>
          <w:rFonts w:ascii="Times New Roman" w:hAnsi="Times New Roman"/>
          <w:color w:val="000000"/>
        </w:rPr>
        <w:t xml:space="preserve">the </w:t>
      </w:r>
      <w:r w:rsidR="00527902" w:rsidRPr="00E80935">
        <w:rPr>
          <w:rFonts w:ascii="Times New Roman" w:hAnsi="Times New Roman"/>
          <w:color w:val="000000"/>
        </w:rPr>
        <w:t xml:space="preserve">SSV. Most contained additional information not covered by </w:t>
      </w:r>
      <w:r w:rsidR="0057248D" w:rsidRPr="00E80935">
        <w:rPr>
          <w:rFonts w:ascii="Times New Roman" w:hAnsi="Times New Roman"/>
          <w:color w:val="000000"/>
        </w:rPr>
        <w:t xml:space="preserve">the </w:t>
      </w:r>
      <w:r w:rsidR="00527902" w:rsidRPr="00E80935">
        <w:rPr>
          <w:rFonts w:ascii="Times New Roman" w:hAnsi="Times New Roman"/>
          <w:color w:val="000000"/>
        </w:rPr>
        <w:t xml:space="preserve">SSV, </w:t>
      </w:r>
      <w:r w:rsidR="0057248D" w:rsidRPr="00E80935">
        <w:rPr>
          <w:rFonts w:ascii="Times New Roman" w:hAnsi="Times New Roman"/>
          <w:color w:val="000000"/>
        </w:rPr>
        <w:t>such as</w:t>
      </w:r>
      <w:r w:rsidR="00527902" w:rsidRPr="00E80935">
        <w:rPr>
          <w:rFonts w:ascii="Times New Roman" w:hAnsi="Times New Roman"/>
          <w:color w:val="000000"/>
        </w:rPr>
        <w:t xml:space="preserve"> names of victims.</w:t>
      </w:r>
    </w:p>
    <w:p w14:paraId="73FC2900" w14:textId="77777777" w:rsidR="00364C9C" w:rsidRPr="00E80935" w:rsidRDefault="00364C9C" w:rsidP="00402285">
      <w:pPr>
        <w:widowControl/>
        <w:ind w:left="720"/>
        <w:rPr>
          <w:rFonts w:ascii="Times New Roman" w:hAnsi="Times New Roman"/>
          <w:color w:val="000000"/>
        </w:rPr>
      </w:pPr>
    </w:p>
    <w:p w14:paraId="66892739" w14:textId="3849A9B1" w:rsidR="00527902" w:rsidRPr="00E80935" w:rsidRDefault="00527902" w:rsidP="00402285">
      <w:pPr>
        <w:widowControl/>
        <w:ind w:left="720"/>
        <w:rPr>
          <w:rFonts w:ascii="Times New Roman" w:hAnsi="Times New Roman"/>
          <w:color w:val="000000"/>
        </w:rPr>
      </w:pPr>
      <w:r w:rsidRPr="00E80935">
        <w:rPr>
          <w:rFonts w:ascii="Times New Roman" w:hAnsi="Times New Roman"/>
          <w:color w:val="000000"/>
        </w:rPr>
        <w:t xml:space="preserve">All </w:t>
      </w:r>
      <w:r w:rsidR="0057248D" w:rsidRPr="00E80935">
        <w:rPr>
          <w:rFonts w:ascii="Times New Roman" w:hAnsi="Times New Roman"/>
          <w:color w:val="000000"/>
        </w:rPr>
        <w:t xml:space="preserve">nine </w:t>
      </w:r>
      <w:r w:rsidRPr="00E80935">
        <w:rPr>
          <w:rFonts w:ascii="Times New Roman" w:hAnsi="Times New Roman"/>
          <w:color w:val="000000"/>
        </w:rPr>
        <w:t xml:space="preserve">facilities </w:t>
      </w:r>
      <w:r w:rsidR="00DD028F" w:rsidRPr="00E80935">
        <w:rPr>
          <w:rFonts w:ascii="Times New Roman" w:hAnsi="Times New Roman"/>
          <w:color w:val="000000"/>
        </w:rPr>
        <w:t xml:space="preserve">said the information was easy to access. Some of the larger facilities mentioned that it was very time-consuming. Four facilities needed to go to a single source of information to complete the SSV Substantiated Incident </w:t>
      </w:r>
      <w:r w:rsidR="002A068F" w:rsidRPr="00E80935">
        <w:rPr>
          <w:rFonts w:ascii="Times New Roman" w:hAnsi="Times New Roman"/>
          <w:color w:val="000000"/>
        </w:rPr>
        <w:t>F</w:t>
      </w:r>
      <w:r w:rsidR="00DD028F" w:rsidRPr="00E80935">
        <w:rPr>
          <w:rFonts w:ascii="Times New Roman" w:hAnsi="Times New Roman"/>
          <w:color w:val="000000"/>
        </w:rPr>
        <w:t xml:space="preserve">orm (SSV-IA or SSV-IJ), and five needed </w:t>
      </w:r>
      <w:r w:rsidR="0057248D" w:rsidRPr="00E80935">
        <w:rPr>
          <w:rFonts w:ascii="Times New Roman" w:hAnsi="Times New Roman"/>
          <w:color w:val="000000"/>
        </w:rPr>
        <w:t xml:space="preserve">to go to </w:t>
      </w:r>
      <w:r w:rsidR="00DD028F" w:rsidRPr="00E80935">
        <w:rPr>
          <w:rFonts w:ascii="Times New Roman" w:hAnsi="Times New Roman"/>
          <w:color w:val="000000"/>
        </w:rPr>
        <w:t xml:space="preserve">multiple sources, e.g., their RMS and their incident reports. Regardless of where the data are stored, all </w:t>
      </w:r>
      <w:r w:rsidR="0057248D" w:rsidRPr="00E80935">
        <w:rPr>
          <w:rFonts w:ascii="Times New Roman" w:hAnsi="Times New Roman"/>
          <w:color w:val="000000"/>
        </w:rPr>
        <w:t xml:space="preserve">nine </w:t>
      </w:r>
      <w:r w:rsidR="00DD028F" w:rsidRPr="00E80935">
        <w:rPr>
          <w:rFonts w:ascii="Times New Roman" w:hAnsi="Times New Roman"/>
          <w:color w:val="000000"/>
        </w:rPr>
        <w:t xml:space="preserve">facilities review </w:t>
      </w:r>
      <w:r w:rsidR="00BE202C" w:rsidRPr="00E80935">
        <w:rPr>
          <w:rFonts w:ascii="Times New Roman" w:hAnsi="Times New Roman"/>
          <w:color w:val="000000"/>
        </w:rPr>
        <w:t>each incident and complete each SSV-IA or -IJ individually. Some of the smaller facilities complete the form on a flow basis after an incident has been substantiated.</w:t>
      </w:r>
      <w:r w:rsidR="003B1791" w:rsidRPr="00E80935">
        <w:rPr>
          <w:rFonts w:ascii="Times New Roman" w:hAnsi="Times New Roman"/>
          <w:color w:val="000000"/>
        </w:rPr>
        <w:t xml:space="preserve"> Two of the state systems </w:t>
      </w:r>
      <w:r w:rsidR="0057248D" w:rsidRPr="00E80935">
        <w:rPr>
          <w:rFonts w:ascii="Times New Roman" w:hAnsi="Times New Roman"/>
          <w:color w:val="000000"/>
        </w:rPr>
        <w:t>require</w:t>
      </w:r>
      <w:r w:rsidR="003B1791" w:rsidRPr="00E80935">
        <w:rPr>
          <w:rFonts w:ascii="Times New Roman" w:hAnsi="Times New Roman"/>
          <w:color w:val="000000"/>
        </w:rPr>
        <w:t xml:space="preserve"> multiple levels of review before submitting their incident forms to </w:t>
      </w:r>
      <w:r w:rsidR="0057248D" w:rsidRPr="00E80935">
        <w:rPr>
          <w:rFonts w:ascii="Times New Roman" w:hAnsi="Times New Roman"/>
          <w:color w:val="000000"/>
        </w:rPr>
        <w:t>BJS</w:t>
      </w:r>
      <w:r w:rsidR="003B1791" w:rsidRPr="00E80935">
        <w:rPr>
          <w:rFonts w:ascii="Times New Roman" w:hAnsi="Times New Roman"/>
          <w:color w:val="000000"/>
        </w:rPr>
        <w:t>.</w:t>
      </w:r>
    </w:p>
    <w:p w14:paraId="6854FFE8" w14:textId="77777777" w:rsidR="003B0FE3" w:rsidRPr="00E80935" w:rsidRDefault="000D2B6D" w:rsidP="00402285">
      <w:pPr>
        <w:widowControl/>
        <w:ind w:left="720"/>
        <w:rPr>
          <w:rFonts w:ascii="Times New Roman" w:hAnsi="Times New Roman"/>
          <w:color w:val="000000"/>
        </w:rPr>
      </w:pPr>
      <w:r w:rsidRPr="00E80935">
        <w:rPr>
          <w:rFonts w:ascii="Times New Roman" w:hAnsi="Times New Roman"/>
          <w:color w:val="000000"/>
        </w:rPr>
        <w:t xml:space="preserve"> </w:t>
      </w:r>
    </w:p>
    <w:p w14:paraId="27BD6644" w14:textId="7757C84A" w:rsidR="00903D5F" w:rsidRPr="00E80935" w:rsidRDefault="00706B2F" w:rsidP="00402285">
      <w:pPr>
        <w:widowControl/>
        <w:ind w:left="720"/>
        <w:rPr>
          <w:rFonts w:ascii="Times New Roman" w:hAnsi="Times New Roman"/>
          <w:color w:val="000000"/>
        </w:rPr>
      </w:pPr>
      <w:r w:rsidRPr="00E80935">
        <w:rPr>
          <w:rFonts w:ascii="Times New Roman" w:hAnsi="Times New Roman"/>
          <w:color w:val="000000"/>
        </w:rPr>
        <w:t xml:space="preserve">The items on sex and gender identity of victims and inmate/youth perpetrators were </w:t>
      </w:r>
      <w:r w:rsidR="003B1791" w:rsidRPr="00E80935">
        <w:rPr>
          <w:rFonts w:ascii="Times New Roman" w:hAnsi="Times New Roman"/>
          <w:color w:val="000000"/>
        </w:rPr>
        <w:t xml:space="preserve">easy to answer for </w:t>
      </w:r>
      <w:r w:rsidRPr="00E80935">
        <w:rPr>
          <w:rFonts w:ascii="Times New Roman" w:hAnsi="Times New Roman"/>
          <w:color w:val="000000"/>
        </w:rPr>
        <w:t xml:space="preserve">all </w:t>
      </w:r>
      <w:r w:rsidR="0057248D" w:rsidRPr="00E80935">
        <w:rPr>
          <w:rFonts w:ascii="Times New Roman" w:hAnsi="Times New Roman"/>
          <w:color w:val="000000"/>
        </w:rPr>
        <w:t xml:space="preserve">nine </w:t>
      </w:r>
      <w:r w:rsidRPr="00E80935">
        <w:rPr>
          <w:rFonts w:ascii="Times New Roman" w:hAnsi="Times New Roman"/>
          <w:color w:val="000000"/>
        </w:rPr>
        <w:t>facilities</w:t>
      </w:r>
      <w:r w:rsidR="003B1791" w:rsidRPr="00E80935">
        <w:rPr>
          <w:rFonts w:ascii="Times New Roman" w:hAnsi="Times New Roman"/>
          <w:color w:val="000000"/>
        </w:rPr>
        <w:t xml:space="preserve">. Two states noted that while it was easy, it was time-consuming. All </w:t>
      </w:r>
      <w:r w:rsidR="0057248D" w:rsidRPr="00E80935">
        <w:rPr>
          <w:rFonts w:ascii="Times New Roman" w:hAnsi="Times New Roman"/>
          <w:color w:val="000000"/>
        </w:rPr>
        <w:t xml:space="preserve">nine </w:t>
      </w:r>
      <w:r w:rsidR="003B1791" w:rsidRPr="00E80935">
        <w:rPr>
          <w:rFonts w:ascii="Times New Roman" w:hAnsi="Times New Roman"/>
          <w:color w:val="000000"/>
        </w:rPr>
        <w:t>facilities use the PREA definitions of intersex and transgender. No facilities use other terms for the concepts of intersex or transgender. However, one juvenile facility use</w:t>
      </w:r>
      <w:r w:rsidR="0057248D" w:rsidRPr="00E80935">
        <w:rPr>
          <w:rFonts w:ascii="Times New Roman" w:hAnsi="Times New Roman"/>
          <w:color w:val="000000"/>
        </w:rPr>
        <w:t>s</w:t>
      </w:r>
      <w:r w:rsidR="003B1791" w:rsidRPr="00E80935">
        <w:rPr>
          <w:rFonts w:ascii="Times New Roman" w:hAnsi="Times New Roman"/>
          <w:color w:val="000000"/>
        </w:rPr>
        <w:t xml:space="preserve"> whatever term a youth prefers when speaking to that youth. Another juvenile facility also collects data on gender non-conforming youth. Although none of their gender non-conforming youth have been the victim or perpetrator of a sexual assault while in their facility, if that occurred the facility said they would include gender non-conforming </w:t>
      </w:r>
      <w:r w:rsidR="005B7E6C" w:rsidRPr="00E80935">
        <w:rPr>
          <w:rFonts w:ascii="Times New Roman" w:hAnsi="Times New Roman"/>
          <w:color w:val="000000"/>
        </w:rPr>
        <w:t>with</w:t>
      </w:r>
      <w:r w:rsidR="003B1791" w:rsidRPr="00E80935">
        <w:rPr>
          <w:rFonts w:ascii="Times New Roman" w:hAnsi="Times New Roman"/>
          <w:color w:val="000000"/>
        </w:rPr>
        <w:t xml:space="preserve"> transgender for SSV purposes.</w:t>
      </w:r>
      <w:r w:rsidR="00333CF2" w:rsidRPr="00E80935">
        <w:rPr>
          <w:rFonts w:ascii="Times New Roman" w:hAnsi="Times New Roman"/>
          <w:color w:val="000000"/>
        </w:rPr>
        <w:t xml:space="preserve"> This facility also mentioned that they mark “Transgender” for transgender victims or perpetrators, even though they could also mark Male or Female.</w:t>
      </w:r>
    </w:p>
    <w:p w14:paraId="1DDF4DE3" w14:textId="77777777" w:rsidR="005B7E6C" w:rsidRPr="00E80935" w:rsidRDefault="005B7E6C" w:rsidP="00402285">
      <w:pPr>
        <w:widowControl/>
        <w:ind w:left="720"/>
        <w:rPr>
          <w:rFonts w:ascii="Times New Roman" w:hAnsi="Times New Roman"/>
          <w:color w:val="000000"/>
        </w:rPr>
      </w:pPr>
    </w:p>
    <w:p w14:paraId="3A88605D" w14:textId="7FA83436" w:rsidR="0080605C" w:rsidRPr="00E80935" w:rsidRDefault="00036459" w:rsidP="00402285">
      <w:pPr>
        <w:widowControl/>
        <w:ind w:left="720"/>
        <w:rPr>
          <w:rFonts w:ascii="Times New Roman" w:hAnsi="Times New Roman"/>
          <w:color w:val="000000"/>
        </w:rPr>
      </w:pPr>
      <w:r w:rsidRPr="00E80935">
        <w:rPr>
          <w:rFonts w:ascii="Times New Roman" w:hAnsi="Times New Roman"/>
          <w:color w:val="000000"/>
        </w:rPr>
        <w:t xml:space="preserve">Data on intersex and gender identity were relatively complete for all </w:t>
      </w:r>
      <w:r w:rsidR="0057248D" w:rsidRPr="00E80935">
        <w:rPr>
          <w:rFonts w:ascii="Times New Roman" w:hAnsi="Times New Roman"/>
          <w:color w:val="000000"/>
        </w:rPr>
        <w:t xml:space="preserve">nine </w:t>
      </w:r>
      <w:r w:rsidRPr="00E80935">
        <w:rPr>
          <w:rFonts w:ascii="Times New Roman" w:hAnsi="Times New Roman"/>
          <w:color w:val="000000"/>
        </w:rPr>
        <w:t xml:space="preserve">facilities. </w:t>
      </w:r>
      <w:r w:rsidR="005B7E6C" w:rsidRPr="00E80935">
        <w:rPr>
          <w:rFonts w:ascii="Times New Roman" w:hAnsi="Times New Roman"/>
          <w:color w:val="000000"/>
        </w:rPr>
        <w:t xml:space="preserve">All </w:t>
      </w:r>
      <w:r w:rsidR="0057248D" w:rsidRPr="00E80935">
        <w:rPr>
          <w:rFonts w:ascii="Times New Roman" w:hAnsi="Times New Roman"/>
          <w:color w:val="000000"/>
        </w:rPr>
        <w:t xml:space="preserve">nine </w:t>
      </w:r>
      <w:r w:rsidR="005B7E6C" w:rsidRPr="00E80935">
        <w:rPr>
          <w:rFonts w:ascii="Times New Roman" w:hAnsi="Times New Roman"/>
          <w:color w:val="000000"/>
        </w:rPr>
        <w:t xml:space="preserve">facilities gather information on sex </w:t>
      </w:r>
      <w:r w:rsidR="0057248D" w:rsidRPr="00E80935">
        <w:rPr>
          <w:rFonts w:ascii="Times New Roman" w:hAnsi="Times New Roman"/>
          <w:color w:val="000000"/>
        </w:rPr>
        <w:t xml:space="preserve">(male/female) </w:t>
      </w:r>
      <w:r w:rsidR="005B7E6C" w:rsidRPr="00E80935">
        <w:rPr>
          <w:rFonts w:ascii="Times New Roman" w:hAnsi="Times New Roman"/>
          <w:color w:val="000000"/>
        </w:rPr>
        <w:t xml:space="preserve">for all inmates/youth at intake. Sex (male/female) is generally determined by observation or arrest or court records. All but one facility screen all inmates/youth for being intersex or transgender at intake, either through observation or through a series of questions. The facility that does not screen everyone for gender identity at intake is small and screens those who do not appear to be obviously male or female. </w:t>
      </w:r>
      <w:r w:rsidR="0080605C" w:rsidRPr="00E80935">
        <w:rPr>
          <w:rFonts w:ascii="Times New Roman" w:hAnsi="Times New Roman"/>
          <w:color w:val="000000"/>
        </w:rPr>
        <w:t>Gender identity is usually self-reported by the inmate/youth. It is usually taken at face value and sometimes verified through family or friends</w:t>
      </w:r>
      <w:r w:rsidR="00F83EF6" w:rsidRPr="00E80935">
        <w:rPr>
          <w:rFonts w:ascii="Times New Roman" w:hAnsi="Times New Roman"/>
          <w:color w:val="000000"/>
        </w:rPr>
        <w:t xml:space="preserve"> (without revealing information the family or friends did not already know)</w:t>
      </w:r>
      <w:r w:rsidR="0080605C" w:rsidRPr="00E80935">
        <w:rPr>
          <w:rFonts w:ascii="Times New Roman" w:hAnsi="Times New Roman"/>
          <w:color w:val="000000"/>
        </w:rPr>
        <w:t xml:space="preserve">. Court, medical, and housing records </w:t>
      </w:r>
      <w:r w:rsidR="00EB3943" w:rsidRPr="00E80935">
        <w:rPr>
          <w:rFonts w:ascii="Times New Roman" w:hAnsi="Times New Roman"/>
          <w:color w:val="000000"/>
        </w:rPr>
        <w:t>are sometimes</w:t>
      </w:r>
      <w:r w:rsidR="0080605C" w:rsidRPr="00E80935">
        <w:rPr>
          <w:rFonts w:ascii="Times New Roman" w:hAnsi="Times New Roman"/>
          <w:color w:val="000000"/>
        </w:rPr>
        <w:t xml:space="preserve"> used as sources </w:t>
      </w:r>
      <w:r w:rsidR="00EB3943" w:rsidRPr="00E80935">
        <w:rPr>
          <w:rFonts w:ascii="Times New Roman" w:hAnsi="Times New Roman"/>
          <w:color w:val="000000"/>
        </w:rPr>
        <w:t>for information on</w:t>
      </w:r>
      <w:r w:rsidR="0080605C" w:rsidRPr="00E80935">
        <w:rPr>
          <w:rFonts w:ascii="Times New Roman" w:hAnsi="Times New Roman"/>
          <w:color w:val="000000"/>
        </w:rPr>
        <w:t xml:space="preserve"> gender identity. </w:t>
      </w:r>
    </w:p>
    <w:p w14:paraId="31A650ED" w14:textId="77777777" w:rsidR="0080605C" w:rsidRPr="00E80935" w:rsidRDefault="0080605C" w:rsidP="00402285">
      <w:pPr>
        <w:widowControl/>
        <w:ind w:left="720"/>
        <w:rPr>
          <w:rFonts w:ascii="Times New Roman" w:hAnsi="Times New Roman"/>
          <w:color w:val="000000"/>
        </w:rPr>
      </w:pPr>
    </w:p>
    <w:p w14:paraId="0644C00B" w14:textId="3CF48D06" w:rsidR="0080605C" w:rsidRPr="00E80935" w:rsidRDefault="0080605C" w:rsidP="00402285">
      <w:pPr>
        <w:widowControl/>
        <w:ind w:left="720"/>
        <w:rPr>
          <w:rFonts w:ascii="Times New Roman" w:hAnsi="Times New Roman"/>
          <w:color w:val="000000"/>
        </w:rPr>
      </w:pPr>
      <w:r w:rsidRPr="00E80935">
        <w:rPr>
          <w:rFonts w:ascii="Times New Roman" w:hAnsi="Times New Roman"/>
          <w:color w:val="000000"/>
        </w:rPr>
        <w:t>Seven facilities collect information from everyone at intake on whether an inmate/youth is intersex. Two collect th</w:t>
      </w:r>
      <w:r w:rsidR="005E37A2" w:rsidRPr="00E80935">
        <w:rPr>
          <w:rFonts w:ascii="Times New Roman" w:hAnsi="Times New Roman"/>
          <w:color w:val="000000"/>
        </w:rPr>
        <w:t>is</w:t>
      </w:r>
      <w:r w:rsidRPr="00E80935">
        <w:rPr>
          <w:rFonts w:ascii="Times New Roman" w:hAnsi="Times New Roman"/>
          <w:color w:val="000000"/>
        </w:rPr>
        <w:t xml:space="preserve"> information i</w:t>
      </w:r>
      <w:r w:rsidR="005E37A2" w:rsidRPr="00E80935">
        <w:rPr>
          <w:rFonts w:ascii="Times New Roman" w:hAnsi="Times New Roman"/>
          <w:color w:val="000000"/>
        </w:rPr>
        <w:t>f</w:t>
      </w:r>
      <w:r w:rsidRPr="00E80935">
        <w:rPr>
          <w:rFonts w:ascii="Times New Roman" w:hAnsi="Times New Roman"/>
          <w:color w:val="000000"/>
        </w:rPr>
        <w:t xml:space="preserve"> </w:t>
      </w:r>
      <w:r w:rsidR="00EB3943" w:rsidRPr="00E80935">
        <w:rPr>
          <w:rFonts w:ascii="Times New Roman" w:hAnsi="Times New Roman"/>
          <w:color w:val="000000"/>
        </w:rPr>
        <w:t>sex (male/female) is not obvious. Again, this information is collected primarily through self-report. Mental health evaluations and medical records are sometimes used</w:t>
      </w:r>
      <w:r w:rsidR="0057248D" w:rsidRPr="00E80935">
        <w:rPr>
          <w:rFonts w:ascii="Times New Roman" w:hAnsi="Times New Roman"/>
          <w:color w:val="000000"/>
        </w:rPr>
        <w:t>.</w:t>
      </w:r>
      <w:r w:rsidR="00EB3943" w:rsidRPr="00E80935">
        <w:rPr>
          <w:rFonts w:ascii="Times New Roman" w:hAnsi="Times New Roman"/>
          <w:color w:val="000000"/>
        </w:rPr>
        <w:t xml:space="preserve"> </w:t>
      </w:r>
      <w:r w:rsidR="0057248D" w:rsidRPr="00E80935">
        <w:rPr>
          <w:rFonts w:ascii="Times New Roman" w:hAnsi="Times New Roman"/>
          <w:color w:val="000000"/>
        </w:rPr>
        <w:t>M</w:t>
      </w:r>
      <w:r w:rsidR="00EB3943" w:rsidRPr="00E80935">
        <w:rPr>
          <w:rFonts w:ascii="Times New Roman" w:hAnsi="Times New Roman"/>
          <w:color w:val="000000"/>
        </w:rPr>
        <w:t>edical examinations are rarely used.</w:t>
      </w:r>
      <w:r w:rsidR="00552847" w:rsidRPr="00E80935">
        <w:rPr>
          <w:rFonts w:ascii="Times New Roman" w:hAnsi="Times New Roman"/>
          <w:color w:val="000000"/>
        </w:rPr>
        <w:t xml:space="preserve"> Facilities that held inmates/youth who were incarcerated prior to the passage of the national standards in 2012 either went back and screened each inmate/youth or picked up the information during regular mental health evaluations or counseling sessions.</w:t>
      </w:r>
    </w:p>
    <w:p w14:paraId="43776AEA" w14:textId="77777777" w:rsidR="00EB3943" w:rsidRPr="00E80935" w:rsidRDefault="00EB3943" w:rsidP="00402285">
      <w:pPr>
        <w:widowControl/>
        <w:ind w:left="720"/>
        <w:rPr>
          <w:rFonts w:ascii="Times New Roman" w:hAnsi="Times New Roman"/>
          <w:color w:val="000000"/>
        </w:rPr>
      </w:pPr>
    </w:p>
    <w:p w14:paraId="2E35DDFF" w14:textId="3B4087A8" w:rsidR="00F83EF6" w:rsidRPr="00E80935" w:rsidRDefault="00EB3943" w:rsidP="00EB3943">
      <w:pPr>
        <w:widowControl/>
        <w:ind w:left="720"/>
        <w:rPr>
          <w:rFonts w:ascii="Times New Roman" w:hAnsi="Times New Roman"/>
          <w:color w:val="000000"/>
        </w:rPr>
      </w:pPr>
      <w:r w:rsidRPr="00E80935">
        <w:rPr>
          <w:rFonts w:ascii="Times New Roman" w:hAnsi="Times New Roman"/>
          <w:color w:val="000000"/>
        </w:rPr>
        <w:t xml:space="preserve">Even though </w:t>
      </w:r>
      <w:r w:rsidR="00F83EF6" w:rsidRPr="00E80935">
        <w:rPr>
          <w:rFonts w:ascii="Times New Roman" w:hAnsi="Times New Roman"/>
          <w:color w:val="000000"/>
        </w:rPr>
        <w:t xml:space="preserve">all </w:t>
      </w:r>
      <w:r w:rsidRPr="00E80935">
        <w:rPr>
          <w:rFonts w:ascii="Times New Roman" w:hAnsi="Times New Roman"/>
          <w:color w:val="000000"/>
        </w:rPr>
        <w:t xml:space="preserve">inmates/youth have the opportunity at intake to disclose </w:t>
      </w:r>
      <w:r w:rsidR="005E37A2" w:rsidRPr="00E80935">
        <w:rPr>
          <w:rFonts w:ascii="Times New Roman" w:hAnsi="Times New Roman"/>
          <w:color w:val="000000"/>
        </w:rPr>
        <w:t>whether</w:t>
      </w:r>
      <w:r w:rsidRPr="00E80935">
        <w:rPr>
          <w:rFonts w:ascii="Times New Roman" w:hAnsi="Times New Roman"/>
          <w:color w:val="000000"/>
        </w:rPr>
        <w:t xml:space="preserve"> they are intersex or transgender, some </w:t>
      </w:r>
      <w:r w:rsidR="00F83EF6" w:rsidRPr="00E80935">
        <w:rPr>
          <w:rFonts w:ascii="Times New Roman" w:hAnsi="Times New Roman"/>
          <w:color w:val="000000"/>
        </w:rPr>
        <w:t>do</w:t>
      </w:r>
      <w:r w:rsidRPr="00E80935">
        <w:rPr>
          <w:rFonts w:ascii="Times New Roman" w:hAnsi="Times New Roman"/>
          <w:color w:val="000000"/>
        </w:rPr>
        <w:t xml:space="preserve"> not. It is not uncommon for an inmate/youth to disclose their gender identity at a later time</w:t>
      </w:r>
      <w:r w:rsidR="005E37A2" w:rsidRPr="00E80935">
        <w:rPr>
          <w:rFonts w:ascii="Times New Roman" w:hAnsi="Times New Roman"/>
          <w:color w:val="000000"/>
        </w:rPr>
        <w:t>. This is done most frequently during a regular meeting with mental health staff or counselors (most facilities have these for all inmates/youth) or during a conversation with correctional or medical staff.</w:t>
      </w:r>
      <w:r w:rsidR="00552847" w:rsidRPr="00E80935">
        <w:rPr>
          <w:rFonts w:ascii="Times New Roman" w:hAnsi="Times New Roman"/>
          <w:color w:val="000000"/>
        </w:rPr>
        <w:t xml:space="preserve"> </w:t>
      </w:r>
      <w:r w:rsidR="00F83EF6" w:rsidRPr="00E80935">
        <w:rPr>
          <w:rFonts w:ascii="Times New Roman" w:hAnsi="Times New Roman"/>
          <w:color w:val="000000"/>
        </w:rPr>
        <w:t xml:space="preserve">Six facilities said information on sex or gender identity is sometimes uncovered or corrected during an investigation. </w:t>
      </w:r>
    </w:p>
    <w:p w14:paraId="155B4F69" w14:textId="77777777" w:rsidR="00EB3943" w:rsidRPr="00E80935" w:rsidRDefault="00EB3943" w:rsidP="00EB3943">
      <w:pPr>
        <w:widowControl/>
        <w:ind w:left="720"/>
        <w:rPr>
          <w:rFonts w:ascii="Times New Roman" w:hAnsi="Times New Roman"/>
          <w:color w:val="000000"/>
        </w:rPr>
      </w:pPr>
    </w:p>
    <w:p w14:paraId="71661901" w14:textId="5DF303FB" w:rsidR="003B0FE3" w:rsidRPr="00E80935" w:rsidRDefault="00036459" w:rsidP="00402285">
      <w:pPr>
        <w:widowControl/>
        <w:ind w:left="720"/>
        <w:rPr>
          <w:rFonts w:ascii="Times New Roman" w:hAnsi="Times New Roman"/>
          <w:color w:val="000000"/>
        </w:rPr>
      </w:pPr>
      <w:r w:rsidRPr="00E80935">
        <w:rPr>
          <w:rFonts w:ascii="Times New Roman" w:hAnsi="Times New Roman"/>
          <w:color w:val="000000"/>
        </w:rPr>
        <w:t xml:space="preserve">Data </w:t>
      </w:r>
      <w:r w:rsidR="00706B2F" w:rsidRPr="00E80935">
        <w:rPr>
          <w:rFonts w:ascii="Times New Roman" w:hAnsi="Times New Roman"/>
          <w:color w:val="000000"/>
        </w:rPr>
        <w:t xml:space="preserve">on intersex and gender identity </w:t>
      </w:r>
      <w:r w:rsidRPr="00E80935">
        <w:rPr>
          <w:rFonts w:ascii="Times New Roman" w:hAnsi="Times New Roman"/>
          <w:color w:val="000000"/>
        </w:rPr>
        <w:t xml:space="preserve">were available for all </w:t>
      </w:r>
      <w:r w:rsidR="0057248D" w:rsidRPr="00E80935">
        <w:rPr>
          <w:rFonts w:ascii="Times New Roman" w:hAnsi="Times New Roman"/>
          <w:color w:val="000000"/>
        </w:rPr>
        <w:t xml:space="preserve">nine </w:t>
      </w:r>
      <w:r w:rsidRPr="00E80935">
        <w:rPr>
          <w:rFonts w:ascii="Times New Roman" w:hAnsi="Times New Roman"/>
          <w:color w:val="000000"/>
        </w:rPr>
        <w:t>facilities</w:t>
      </w:r>
      <w:r w:rsidR="00706B2F" w:rsidRPr="00E80935">
        <w:rPr>
          <w:rFonts w:ascii="Times New Roman" w:hAnsi="Times New Roman"/>
          <w:color w:val="000000"/>
        </w:rPr>
        <w:t>. Access was straightforward in most cases</w:t>
      </w:r>
      <w:r w:rsidRPr="00E80935">
        <w:rPr>
          <w:rFonts w:ascii="Times New Roman" w:hAnsi="Times New Roman"/>
          <w:color w:val="000000"/>
        </w:rPr>
        <w:t xml:space="preserve">, but </w:t>
      </w:r>
      <w:r w:rsidR="00706B2F" w:rsidRPr="00E80935">
        <w:rPr>
          <w:rFonts w:ascii="Times New Roman" w:hAnsi="Times New Roman"/>
          <w:color w:val="000000"/>
        </w:rPr>
        <w:t>was</w:t>
      </w:r>
      <w:r w:rsidRPr="00E80935">
        <w:rPr>
          <w:rFonts w:ascii="Times New Roman" w:hAnsi="Times New Roman"/>
          <w:color w:val="000000"/>
        </w:rPr>
        <w:t xml:space="preserve"> more time-consuming for </w:t>
      </w:r>
      <w:r w:rsidR="00706B2F" w:rsidRPr="00E80935">
        <w:rPr>
          <w:rFonts w:ascii="Times New Roman" w:hAnsi="Times New Roman"/>
          <w:color w:val="000000"/>
        </w:rPr>
        <w:t>larger facilities with more substantiated incidents</w:t>
      </w:r>
      <w:r w:rsidRPr="00E80935">
        <w:rPr>
          <w:rFonts w:ascii="Times New Roman" w:hAnsi="Times New Roman"/>
          <w:color w:val="000000"/>
        </w:rPr>
        <w:t>. F</w:t>
      </w:r>
      <w:r w:rsidR="003B0FE3" w:rsidRPr="00E80935">
        <w:rPr>
          <w:rFonts w:ascii="Times New Roman" w:hAnsi="Times New Roman"/>
          <w:color w:val="000000"/>
        </w:rPr>
        <w:t xml:space="preserve">ive of the nine facilities store information on sex and gender identity in </w:t>
      </w:r>
      <w:r w:rsidR="00196138" w:rsidRPr="00E80935">
        <w:rPr>
          <w:rFonts w:ascii="Times New Roman" w:hAnsi="Times New Roman"/>
          <w:color w:val="000000"/>
        </w:rPr>
        <w:t xml:space="preserve">the </w:t>
      </w:r>
      <w:r w:rsidR="003B0FE3" w:rsidRPr="00E80935">
        <w:rPr>
          <w:rFonts w:ascii="Times New Roman" w:hAnsi="Times New Roman"/>
          <w:color w:val="000000"/>
        </w:rPr>
        <w:t xml:space="preserve">same place as the other information needed to complete a </w:t>
      </w:r>
      <w:r w:rsidR="002A068F" w:rsidRPr="00E80935">
        <w:rPr>
          <w:rFonts w:ascii="Times New Roman" w:hAnsi="Times New Roman"/>
          <w:color w:val="000000"/>
        </w:rPr>
        <w:t>Substantiated Incident Form</w:t>
      </w:r>
      <w:r w:rsidR="003B0FE3" w:rsidRPr="00E80935">
        <w:rPr>
          <w:rFonts w:ascii="Times New Roman" w:hAnsi="Times New Roman"/>
          <w:color w:val="000000"/>
        </w:rPr>
        <w:t xml:space="preserve">. Two facilities usually store all the information together, but sometimes it is not entered into the main RMS/spreadsheet, and two </w:t>
      </w:r>
      <w:r w:rsidR="0057248D" w:rsidRPr="00E80935">
        <w:rPr>
          <w:rFonts w:ascii="Times New Roman" w:hAnsi="Times New Roman"/>
          <w:color w:val="000000"/>
        </w:rPr>
        <w:t xml:space="preserve">facilities </w:t>
      </w:r>
      <w:r w:rsidR="003B0FE3" w:rsidRPr="00E80935">
        <w:rPr>
          <w:rFonts w:ascii="Times New Roman" w:hAnsi="Times New Roman"/>
          <w:color w:val="000000"/>
        </w:rPr>
        <w:t xml:space="preserve">always store the information on sex and gender identity separate from the other information. </w:t>
      </w:r>
    </w:p>
    <w:p w14:paraId="57E8CC5A" w14:textId="77777777" w:rsidR="003B0FE3" w:rsidRPr="00E80935" w:rsidRDefault="003B0FE3" w:rsidP="00402285">
      <w:pPr>
        <w:widowControl/>
        <w:ind w:left="720"/>
        <w:rPr>
          <w:rFonts w:ascii="Times New Roman" w:hAnsi="Times New Roman"/>
          <w:color w:val="000000"/>
        </w:rPr>
      </w:pPr>
    </w:p>
    <w:p w14:paraId="18F47FE0" w14:textId="3072685A" w:rsidR="003B0FE3" w:rsidRPr="00E80935" w:rsidRDefault="003B0FE3" w:rsidP="00402285">
      <w:pPr>
        <w:widowControl/>
        <w:ind w:left="720"/>
        <w:rPr>
          <w:rFonts w:ascii="Times New Roman" w:hAnsi="Times New Roman"/>
          <w:color w:val="000000"/>
        </w:rPr>
      </w:pPr>
      <w:r w:rsidRPr="00E80935">
        <w:rPr>
          <w:rFonts w:ascii="Times New Roman" w:hAnsi="Times New Roman"/>
          <w:color w:val="000000"/>
        </w:rPr>
        <w:t xml:space="preserve">Eight facilities keep the information in a centralized RMS or centralized spreadsheet. One keeps it in hard copies of investigation reports. </w:t>
      </w:r>
      <w:r w:rsidR="0057248D" w:rsidRPr="00E80935">
        <w:rPr>
          <w:rFonts w:ascii="Times New Roman" w:hAnsi="Times New Roman"/>
          <w:color w:val="000000"/>
        </w:rPr>
        <w:t>Eight facilities</w:t>
      </w:r>
      <w:r w:rsidRPr="00E80935">
        <w:rPr>
          <w:rFonts w:ascii="Times New Roman" w:hAnsi="Times New Roman"/>
          <w:color w:val="000000"/>
        </w:rPr>
        <w:t xml:space="preserve"> need to refer to individual incident reports</w:t>
      </w:r>
      <w:r w:rsidR="0057248D" w:rsidRPr="00E80935">
        <w:rPr>
          <w:rFonts w:ascii="Times New Roman" w:hAnsi="Times New Roman"/>
          <w:color w:val="000000"/>
        </w:rPr>
        <w:t>.</w:t>
      </w:r>
      <w:r w:rsidRPr="00E80935">
        <w:rPr>
          <w:rFonts w:ascii="Times New Roman" w:hAnsi="Times New Roman"/>
          <w:color w:val="000000"/>
        </w:rPr>
        <w:t xml:space="preserve"> </w:t>
      </w:r>
      <w:r w:rsidR="0057248D" w:rsidRPr="00E80935">
        <w:rPr>
          <w:rFonts w:ascii="Times New Roman" w:hAnsi="Times New Roman"/>
          <w:color w:val="000000"/>
        </w:rPr>
        <w:t xml:space="preserve">All nine facilities </w:t>
      </w:r>
      <w:r w:rsidRPr="00E80935">
        <w:rPr>
          <w:rFonts w:ascii="Times New Roman" w:hAnsi="Times New Roman"/>
          <w:color w:val="000000"/>
        </w:rPr>
        <w:t xml:space="preserve">complete each </w:t>
      </w:r>
      <w:r w:rsidR="002A068F" w:rsidRPr="00E80935">
        <w:rPr>
          <w:rFonts w:ascii="Times New Roman" w:hAnsi="Times New Roman"/>
          <w:color w:val="000000"/>
        </w:rPr>
        <w:t>Substantiated Incident Form</w:t>
      </w:r>
      <w:r w:rsidRPr="00E80935">
        <w:rPr>
          <w:rFonts w:ascii="Times New Roman" w:hAnsi="Times New Roman"/>
          <w:color w:val="000000"/>
        </w:rPr>
        <w:t xml:space="preserve"> separately.</w:t>
      </w:r>
    </w:p>
    <w:p w14:paraId="63738F18" w14:textId="77777777" w:rsidR="003B0FE3" w:rsidRPr="00E80935" w:rsidRDefault="003B0FE3" w:rsidP="00402285">
      <w:pPr>
        <w:widowControl/>
        <w:ind w:left="720"/>
        <w:rPr>
          <w:rFonts w:ascii="Times New Roman" w:hAnsi="Times New Roman"/>
          <w:color w:val="000000"/>
        </w:rPr>
      </w:pPr>
    </w:p>
    <w:p w14:paraId="63458912" w14:textId="044B08F2" w:rsidR="003B0FE3" w:rsidRPr="00E80935" w:rsidRDefault="003B0FE3" w:rsidP="00402285">
      <w:pPr>
        <w:widowControl/>
        <w:ind w:left="720"/>
        <w:rPr>
          <w:rFonts w:ascii="Times New Roman" w:hAnsi="Times New Roman"/>
          <w:color w:val="000000"/>
        </w:rPr>
      </w:pPr>
      <w:r w:rsidRPr="00E80935">
        <w:rPr>
          <w:rFonts w:ascii="Times New Roman" w:hAnsi="Times New Roman"/>
          <w:color w:val="000000"/>
        </w:rPr>
        <w:t xml:space="preserve">All </w:t>
      </w:r>
      <w:r w:rsidR="0057248D" w:rsidRPr="00E80935">
        <w:rPr>
          <w:rFonts w:ascii="Times New Roman" w:hAnsi="Times New Roman"/>
          <w:color w:val="000000"/>
        </w:rPr>
        <w:t xml:space="preserve">nine </w:t>
      </w:r>
      <w:r w:rsidRPr="00E80935">
        <w:rPr>
          <w:rFonts w:ascii="Times New Roman" w:hAnsi="Times New Roman"/>
          <w:color w:val="000000"/>
        </w:rPr>
        <w:t xml:space="preserve">facilities </w:t>
      </w:r>
      <w:r w:rsidR="0057248D" w:rsidRPr="00E80935">
        <w:rPr>
          <w:rFonts w:ascii="Times New Roman" w:hAnsi="Times New Roman"/>
          <w:color w:val="000000"/>
        </w:rPr>
        <w:t>said</w:t>
      </w:r>
      <w:r w:rsidRPr="00E80935">
        <w:rPr>
          <w:rFonts w:ascii="Times New Roman" w:hAnsi="Times New Roman"/>
          <w:color w:val="000000"/>
        </w:rPr>
        <w:t xml:space="preserve"> the data on sex and gender identity </w:t>
      </w:r>
      <w:r w:rsidR="0057248D" w:rsidRPr="00E80935">
        <w:rPr>
          <w:rFonts w:ascii="Times New Roman" w:hAnsi="Times New Roman"/>
          <w:color w:val="000000"/>
        </w:rPr>
        <w:t>were neither</w:t>
      </w:r>
      <w:r w:rsidRPr="00E80935">
        <w:rPr>
          <w:rFonts w:ascii="Times New Roman" w:hAnsi="Times New Roman"/>
          <w:color w:val="000000"/>
        </w:rPr>
        <w:t xml:space="preserve"> easier no</w:t>
      </w:r>
      <w:r w:rsidR="0057248D" w:rsidRPr="00E80935">
        <w:rPr>
          <w:rFonts w:ascii="Times New Roman" w:hAnsi="Times New Roman"/>
          <w:color w:val="000000"/>
        </w:rPr>
        <w:t>r</w:t>
      </w:r>
      <w:r w:rsidRPr="00E80935">
        <w:rPr>
          <w:rFonts w:ascii="Times New Roman" w:hAnsi="Times New Roman"/>
          <w:color w:val="000000"/>
        </w:rPr>
        <w:t xml:space="preserve"> harder to access than the other required information. All </w:t>
      </w:r>
      <w:r w:rsidR="0057248D" w:rsidRPr="00E80935">
        <w:rPr>
          <w:rFonts w:ascii="Times New Roman" w:hAnsi="Times New Roman"/>
          <w:color w:val="000000"/>
        </w:rPr>
        <w:t xml:space="preserve">nine </w:t>
      </w:r>
      <w:r w:rsidRPr="00E80935">
        <w:rPr>
          <w:rFonts w:ascii="Times New Roman" w:hAnsi="Times New Roman"/>
          <w:color w:val="000000"/>
        </w:rPr>
        <w:t xml:space="preserve">keep data on intersex and gender identity in the same place as the information on sex (male/female). </w:t>
      </w:r>
    </w:p>
    <w:p w14:paraId="14ADB076" w14:textId="77777777" w:rsidR="003B0FE3" w:rsidRPr="00E80935" w:rsidRDefault="003B0FE3" w:rsidP="00402285">
      <w:pPr>
        <w:widowControl/>
        <w:ind w:left="720"/>
        <w:rPr>
          <w:rFonts w:ascii="Times New Roman" w:hAnsi="Times New Roman"/>
          <w:color w:val="000000"/>
        </w:rPr>
      </w:pPr>
    </w:p>
    <w:p w14:paraId="2A259F38" w14:textId="4DA2E1C9" w:rsidR="00A3687E" w:rsidRPr="00E80935" w:rsidRDefault="00636FDD" w:rsidP="00DA0F17">
      <w:pPr>
        <w:widowControl/>
        <w:spacing w:after="80"/>
        <w:ind w:left="720"/>
        <w:rPr>
          <w:rFonts w:ascii="Times New Roman" w:hAnsi="Times New Roman"/>
          <w:color w:val="000000"/>
        </w:rPr>
      </w:pPr>
      <w:r w:rsidRPr="00E80935">
        <w:rPr>
          <w:rFonts w:ascii="Times New Roman" w:hAnsi="Times New Roman"/>
          <w:color w:val="000000"/>
        </w:rPr>
        <w:t xml:space="preserve">All facilities thought the questions in the protocol covered everything that needed to be covered. </w:t>
      </w:r>
      <w:r w:rsidR="00A3687E" w:rsidRPr="00E80935">
        <w:rPr>
          <w:rFonts w:ascii="Times New Roman" w:hAnsi="Times New Roman"/>
          <w:color w:val="000000"/>
        </w:rPr>
        <w:t>Several</w:t>
      </w:r>
      <w:r w:rsidR="003E10F7" w:rsidRPr="00E80935">
        <w:rPr>
          <w:rFonts w:ascii="Times New Roman" w:hAnsi="Times New Roman"/>
          <w:color w:val="000000"/>
        </w:rPr>
        <w:t xml:space="preserve"> shared </w:t>
      </w:r>
      <w:r w:rsidR="00A3687E" w:rsidRPr="00E80935">
        <w:rPr>
          <w:rFonts w:ascii="Times New Roman" w:hAnsi="Times New Roman"/>
          <w:color w:val="000000"/>
        </w:rPr>
        <w:t xml:space="preserve">an experience or </w:t>
      </w:r>
      <w:r w:rsidR="003E10F7" w:rsidRPr="00E80935">
        <w:rPr>
          <w:rFonts w:ascii="Times New Roman" w:hAnsi="Times New Roman"/>
          <w:color w:val="000000"/>
        </w:rPr>
        <w:t>observ</w:t>
      </w:r>
      <w:r w:rsidR="00A3687E" w:rsidRPr="00E80935">
        <w:rPr>
          <w:rFonts w:ascii="Times New Roman" w:hAnsi="Times New Roman"/>
          <w:color w:val="000000"/>
        </w:rPr>
        <w:t>ation:</w:t>
      </w:r>
    </w:p>
    <w:p w14:paraId="477E4FDD" w14:textId="7ADADA26" w:rsidR="00A3687E" w:rsidRPr="00E80935" w:rsidRDefault="00A3687E" w:rsidP="00DA0F17">
      <w:pPr>
        <w:pStyle w:val="ListParagraph"/>
        <w:numPr>
          <w:ilvl w:val="0"/>
          <w:numId w:val="17"/>
        </w:numPr>
        <w:spacing w:after="80"/>
        <w:ind w:left="1260"/>
        <w:contextualSpacing w:val="0"/>
        <w:rPr>
          <w:rFonts w:ascii="Times New Roman" w:hAnsi="Times New Roman"/>
          <w:color w:val="000000"/>
          <w:sz w:val="24"/>
          <w:szCs w:val="24"/>
        </w:rPr>
      </w:pPr>
      <w:r w:rsidRPr="00E80935">
        <w:rPr>
          <w:rFonts w:ascii="Times New Roman" w:hAnsi="Times New Roman"/>
          <w:color w:val="000000"/>
          <w:sz w:val="24"/>
          <w:szCs w:val="24"/>
        </w:rPr>
        <w:t>Having</w:t>
      </w:r>
      <w:r w:rsidR="003E10F7" w:rsidRPr="00E80935">
        <w:rPr>
          <w:rFonts w:ascii="Times New Roman" w:hAnsi="Times New Roman"/>
          <w:color w:val="000000"/>
          <w:sz w:val="24"/>
          <w:szCs w:val="24"/>
        </w:rPr>
        <w:t xml:space="preserve"> used paper, Web, and fillable PDFs to respond to SSV, the fillable PDFs </w:t>
      </w:r>
      <w:r w:rsidRPr="00E80935">
        <w:rPr>
          <w:rFonts w:ascii="Times New Roman" w:hAnsi="Times New Roman"/>
          <w:color w:val="000000"/>
          <w:sz w:val="24"/>
          <w:szCs w:val="24"/>
        </w:rPr>
        <w:t xml:space="preserve">were preferable </w:t>
      </w:r>
      <w:r w:rsidR="003E10F7" w:rsidRPr="00E80935">
        <w:rPr>
          <w:rFonts w:ascii="Times New Roman" w:hAnsi="Times New Roman"/>
          <w:color w:val="000000"/>
          <w:sz w:val="24"/>
          <w:szCs w:val="24"/>
        </w:rPr>
        <w:t xml:space="preserve">because they’re the easiest to store and print. </w:t>
      </w:r>
    </w:p>
    <w:p w14:paraId="6057BD7D" w14:textId="1E0700D4" w:rsidR="00636FDD" w:rsidRPr="00E80935" w:rsidRDefault="00A3687E" w:rsidP="00DA0F17">
      <w:pPr>
        <w:pStyle w:val="ListParagraph"/>
        <w:numPr>
          <w:ilvl w:val="0"/>
          <w:numId w:val="17"/>
        </w:numPr>
        <w:spacing w:after="80"/>
        <w:ind w:left="1260"/>
        <w:contextualSpacing w:val="0"/>
        <w:rPr>
          <w:rFonts w:ascii="Times New Roman" w:hAnsi="Times New Roman"/>
          <w:color w:val="000000"/>
          <w:sz w:val="24"/>
          <w:szCs w:val="24"/>
        </w:rPr>
      </w:pPr>
      <w:r w:rsidRPr="00E80935">
        <w:rPr>
          <w:rFonts w:ascii="Times New Roman" w:hAnsi="Times New Roman"/>
          <w:color w:val="000000"/>
          <w:sz w:val="24"/>
          <w:szCs w:val="24"/>
        </w:rPr>
        <w:t>S</w:t>
      </w:r>
      <w:r w:rsidR="003E10F7" w:rsidRPr="00E80935">
        <w:rPr>
          <w:rFonts w:ascii="Times New Roman" w:hAnsi="Times New Roman"/>
          <w:color w:val="000000"/>
          <w:sz w:val="24"/>
          <w:szCs w:val="24"/>
        </w:rPr>
        <w:t>ex and gender identity is an important issue, and recent training heightened their awareness and made them more proactive.</w:t>
      </w:r>
      <w:r w:rsidRPr="00E80935">
        <w:rPr>
          <w:rFonts w:ascii="Times New Roman" w:hAnsi="Times New Roman"/>
          <w:color w:val="000000"/>
          <w:sz w:val="24"/>
          <w:szCs w:val="24"/>
        </w:rPr>
        <w:t xml:space="preserve"> </w:t>
      </w:r>
    </w:p>
    <w:p w14:paraId="4D06784B" w14:textId="34E00B66" w:rsidR="00A3687E" w:rsidRPr="00E80935" w:rsidRDefault="00A3687E" w:rsidP="00DA0F17">
      <w:pPr>
        <w:pStyle w:val="ListParagraph"/>
        <w:numPr>
          <w:ilvl w:val="0"/>
          <w:numId w:val="17"/>
        </w:numPr>
        <w:spacing w:after="80"/>
        <w:ind w:left="1260"/>
        <w:contextualSpacing w:val="0"/>
        <w:rPr>
          <w:rFonts w:ascii="Times New Roman" w:hAnsi="Times New Roman"/>
          <w:color w:val="000000"/>
          <w:sz w:val="24"/>
          <w:szCs w:val="24"/>
        </w:rPr>
      </w:pPr>
      <w:r w:rsidRPr="00E80935">
        <w:rPr>
          <w:rFonts w:ascii="Times New Roman" w:hAnsi="Times New Roman"/>
          <w:color w:val="000000"/>
          <w:sz w:val="24"/>
          <w:szCs w:val="24"/>
        </w:rPr>
        <w:t>It is helpful when their system’s Transgender, Gender Non-Conforming, Intersex Committee includes the PREA Coordinator in its membership.</w:t>
      </w:r>
    </w:p>
    <w:p w14:paraId="52B5EA06" w14:textId="04C44580" w:rsidR="00A3687E" w:rsidRPr="00E80935" w:rsidRDefault="00A3687E" w:rsidP="00DA0F17">
      <w:pPr>
        <w:pStyle w:val="ListParagraph"/>
        <w:numPr>
          <w:ilvl w:val="0"/>
          <w:numId w:val="17"/>
        </w:numPr>
        <w:spacing w:after="80"/>
        <w:ind w:left="1260"/>
        <w:contextualSpacing w:val="0"/>
        <w:rPr>
          <w:rFonts w:ascii="Times New Roman" w:hAnsi="Times New Roman"/>
          <w:color w:val="000000"/>
          <w:sz w:val="24"/>
          <w:szCs w:val="24"/>
        </w:rPr>
      </w:pPr>
      <w:r w:rsidRPr="00E80935">
        <w:rPr>
          <w:rFonts w:ascii="Times New Roman" w:hAnsi="Times New Roman"/>
          <w:color w:val="000000"/>
          <w:sz w:val="24"/>
          <w:szCs w:val="24"/>
        </w:rPr>
        <w:t>The SSV is a helpful annual review.</w:t>
      </w:r>
    </w:p>
    <w:p w14:paraId="140E6F71" w14:textId="77777777" w:rsidR="00636FDD" w:rsidRPr="00E80935" w:rsidRDefault="00636FDD" w:rsidP="00636FDD">
      <w:pPr>
        <w:widowControl/>
        <w:ind w:left="720"/>
        <w:rPr>
          <w:rFonts w:ascii="Times New Roman" w:hAnsi="Times New Roman"/>
          <w:color w:val="000000"/>
        </w:rPr>
      </w:pPr>
    </w:p>
    <w:p w14:paraId="3A307377" w14:textId="5CCBB717" w:rsidR="003B0FE3" w:rsidRPr="00E80935" w:rsidRDefault="00636FDD" w:rsidP="00636FDD">
      <w:pPr>
        <w:widowControl/>
        <w:ind w:left="720"/>
        <w:rPr>
          <w:rFonts w:ascii="Times New Roman" w:hAnsi="Times New Roman"/>
          <w:color w:val="000000"/>
        </w:rPr>
      </w:pPr>
      <w:r w:rsidRPr="00E80935">
        <w:rPr>
          <w:rFonts w:ascii="Times New Roman" w:hAnsi="Times New Roman"/>
          <w:color w:val="000000"/>
        </w:rPr>
        <w:t xml:space="preserve">Two </w:t>
      </w:r>
      <w:r w:rsidR="0057248D" w:rsidRPr="00E80935">
        <w:rPr>
          <w:rFonts w:ascii="Times New Roman" w:hAnsi="Times New Roman"/>
          <w:color w:val="000000"/>
        </w:rPr>
        <w:t xml:space="preserve">facilities </w:t>
      </w:r>
      <w:r w:rsidRPr="00E80935">
        <w:rPr>
          <w:rFonts w:ascii="Times New Roman" w:hAnsi="Times New Roman"/>
          <w:color w:val="000000"/>
        </w:rPr>
        <w:t xml:space="preserve">had other issues they </w:t>
      </w:r>
      <w:r w:rsidR="005B10D7" w:rsidRPr="00E80935">
        <w:rPr>
          <w:rFonts w:ascii="Times New Roman" w:hAnsi="Times New Roman"/>
          <w:color w:val="000000"/>
        </w:rPr>
        <w:t>wanted</w:t>
      </w:r>
      <w:r w:rsidRPr="00E80935">
        <w:rPr>
          <w:rFonts w:ascii="Times New Roman" w:hAnsi="Times New Roman"/>
          <w:color w:val="000000"/>
        </w:rPr>
        <w:t xml:space="preserve"> to discuss. One said they would be sending comments during the 60-day notice (</w:t>
      </w:r>
      <w:r w:rsidR="002A068F" w:rsidRPr="00E80935">
        <w:rPr>
          <w:rFonts w:ascii="Times New Roman" w:hAnsi="Times New Roman"/>
          <w:color w:val="000000"/>
        </w:rPr>
        <w:t>these were summarized and addressed in Part A</w:t>
      </w:r>
      <w:r w:rsidRPr="00E80935">
        <w:rPr>
          <w:rFonts w:ascii="Times New Roman" w:hAnsi="Times New Roman"/>
          <w:color w:val="000000"/>
        </w:rPr>
        <w:t>). The other mentioned that PREA required specific staffing ratios for juvenile facilities, one during awake hours and another during sleeping hours (sleeping hours may differ by facility, theirs are 10 pm to 6 am). They noted that one time-frame response category on the SSV-IJ (6 pm to midnight) included both awake and sleeping hours, so it was not useful to them for planning or analytic purposes. They requested that we consider adding a question to the SSV-IJ on whether the incident occurred during awake or sleeping hours.</w:t>
      </w:r>
    </w:p>
    <w:p w14:paraId="421E04DF" w14:textId="77777777" w:rsidR="003B0FE3" w:rsidRPr="00E80935" w:rsidRDefault="003B0FE3" w:rsidP="00402285">
      <w:pPr>
        <w:widowControl/>
        <w:ind w:left="720"/>
        <w:rPr>
          <w:rFonts w:ascii="Times New Roman" w:hAnsi="Times New Roman"/>
          <w:color w:val="000000"/>
        </w:rPr>
      </w:pPr>
    </w:p>
    <w:p w14:paraId="7CD1CAB4" w14:textId="0E3BDB5B" w:rsidR="00333CF2" w:rsidRPr="00E80935" w:rsidRDefault="005B10D7" w:rsidP="00DA0F17">
      <w:pPr>
        <w:widowControl/>
        <w:spacing w:after="120"/>
        <w:ind w:left="720"/>
        <w:rPr>
          <w:rFonts w:ascii="Times New Roman" w:hAnsi="Times New Roman"/>
          <w:color w:val="000000"/>
        </w:rPr>
      </w:pPr>
      <w:r w:rsidRPr="00E80935">
        <w:rPr>
          <w:rFonts w:ascii="Times New Roman" w:hAnsi="Times New Roman"/>
          <w:color w:val="000000"/>
        </w:rPr>
        <w:t xml:space="preserve">Based on the reported responses to SSV and the nine interviews, </w:t>
      </w:r>
      <w:r w:rsidR="002A068F" w:rsidRPr="00E80935">
        <w:rPr>
          <w:rFonts w:ascii="Times New Roman" w:hAnsi="Times New Roman"/>
          <w:color w:val="000000"/>
        </w:rPr>
        <w:t xml:space="preserve">BJS </w:t>
      </w:r>
      <w:r w:rsidRPr="00E80935">
        <w:rPr>
          <w:rFonts w:ascii="Times New Roman" w:hAnsi="Times New Roman"/>
          <w:color w:val="000000"/>
        </w:rPr>
        <w:t>found</w:t>
      </w:r>
      <w:r w:rsidR="002A068F" w:rsidRPr="00E80935">
        <w:rPr>
          <w:rFonts w:ascii="Times New Roman" w:hAnsi="Times New Roman"/>
          <w:color w:val="000000"/>
        </w:rPr>
        <w:t>:</w:t>
      </w:r>
      <w:r w:rsidR="00552847" w:rsidRPr="00E80935">
        <w:rPr>
          <w:rFonts w:ascii="Times New Roman" w:hAnsi="Times New Roman"/>
          <w:color w:val="000000"/>
        </w:rPr>
        <w:t xml:space="preserve"> </w:t>
      </w:r>
    </w:p>
    <w:p w14:paraId="78DB9DFF" w14:textId="72895AC6" w:rsidR="00333CF2" w:rsidRPr="00E80935" w:rsidRDefault="00333CF2" w:rsidP="00DA0F17">
      <w:pPr>
        <w:pStyle w:val="ListParagraph"/>
        <w:numPr>
          <w:ilvl w:val="0"/>
          <w:numId w:val="18"/>
        </w:numPr>
        <w:spacing w:after="120"/>
        <w:contextualSpacing w:val="0"/>
        <w:rPr>
          <w:rFonts w:ascii="Times New Roman" w:hAnsi="Times New Roman"/>
          <w:color w:val="000000"/>
        </w:rPr>
      </w:pPr>
      <w:r w:rsidRPr="00E80935">
        <w:rPr>
          <w:rFonts w:ascii="Times New Roman" w:hAnsi="Times New Roman"/>
          <w:color w:val="000000"/>
        </w:rPr>
        <w:t xml:space="preserve">The </w:t>
      </w:r>
      <w:r w:rsidR="002A068F" w:rsidRPr="00E80935">
        <w:rPr>
          <w:rFonts w:ascii="Times New Roman" w:hAnsi="Times New Roman"/>
          <w:color w:val="000000"/>
        </w:rPr>
        <w:t>items on sex and gender identity</w:t>
      </w:r>
      <w:r w:rsidRPr="00E80935">
        <w:rPr>
          <w:rFonts w:ascii="Times New Roman" w:hAnsi="Times New Roman"/>
          <w:color w:val="000000"/>
        </w:rPr>
        <w:t xml:space="preserve"> </w:t>
      </w:r>
      <w:r w:rsidR="002A068F" w:rsidRPr="00E80935">
        <w:rPr>
          <w:rFonts w:ascii="Times New Roman" w:hAnsi="Times New Roman"/>
          <w:color w:val="000000"/>
        </w:rPr>
        <w:t>are</w:t>
      </w:r>
      <w:r w:rsidRPr="00E80935">
        <w:rPr>
          <w:rFonts w:ascii="Times New Roman" w:hAnsi="Times New Roman"/>
          <w:color w:val="000000"/>
        </w:rPr>
        <w:t xml:space="preserve"> understood by respondents</w:t>
      </w:r>
      <w:r w:rsidR="002A068F" w:rsidRPr="00E80935">
        <w:rPr>
          <w:rFonts w:ascii="Times New Roman" w:hAnsi="Times New Roman"/>
          <w:color w:val="000000"/>
        </w:rPr>
        <w:t>. The items are being answered consistent</w:t>
      </w:r>
      <w:r w:rsidR="005B10D7" w:rsidRPr="00E80935">
        <w:rPr>
          <w:rFonts w:ascii="Times New Roman" w:hAnsi="Times New Roman"/>
          <w:color w:val="000000"/>
        </w:rPr>
        <w:t>ly and</w:t>
      </w:r>
      <w:r w:rsidR="002A068F" w:rsidRPr="00E80935">
        <w:rPr>
          <w:rFonts w:ascii="Times New Roman" w:hAnsi="Times New Roman"/>
          <w:color w:val="000000"/>
        </w:rPr>
        <w:t xml:space="preserve"> how they were </w:t>
      </w:r>
      <w:r w:rsidRPr="00E80935">
        <w:rPr>
          <w:rFonts w:ascii="Times New Roman" w:hAnsi="Times New Roman"/>
          <w:color w:val="000000"/>
        </w:rPr>
        <w:t xml:space="preserve">intended to be answered. </w:t>
      </w:r>
    </w:p>
    <w:p w14:paraId="50EE65D1" w14:textId="2CB1A5D8" w:rsidR="00552847" w:rsidRPr="00E80935" w:rsidRDefault="00333CF2" w:rsidP="00DA0F17">
      <w:pPr>
        <w:pStyle w:val="ListParagraph"/>
        <w:numPr>
          <w:ilvl w:val="0"/>
          <w:numId w:val="18"/>
        </w:numPr>
        <w:spacing w:after="120"/>
        <w:contextualSpacing w:val="0"/>
        <w:rPr>
          <w:rFonts w:ascii="Times New Roman" w:hAnsi="Times New Roman"/>
          <w:color w:val="000000"/>
        </w:rPr>
      </w:pPr>
      <w:r w:rsidRPr="00E80935">
        <w:rPr>
          <w:rFonts w:ascii="Times New Roman" w:hAnsi="Times New Roman"/>
          <w:color w:val="000000"/>
        </w:rPr>
        <w:t>A</w:t>
      </w:r>
      <w:r w:rsidR="00552847" w:rsidRPr="00E80935">
        <w:rPr>
          <w:rFonts w:ascii="Times New Roman" w:hAnsi="Times New Roman"/>
          <w:color w:val="000000"/>
        </w:rPr>
        <w:t xml:space="preserve">ll </w:t>
      </w:r>
      <w:r w:rsidR="0087426C" w:rsidRPr="00E80935">
        <w:rPr>
          <w:rFonts w:ascii="Times New Roman" w:hAnsi="Times New Roman"/>
          <w:color w:val="000000"/>
        </w:rPr>
        <w:t>interviewed</w:t>
      </w:r>
      <w:r w:rsidR="00552847" w:rsidRPr="00E80935">
        <w:rPr>
          <w:rFonts w:ascii="Times New Roman" w:hAnsi="Times New Roman"/>
          <w:color w:val="000000"/>
        </w:rPr>
        <w:t xml:space="preserve"> facilities collect and maintain information on sex</w:t>
      </w:r>
      <w:r w:rsidRPr="00E80935">
        <w:rPr>
          <w:rFonts w:ascii="Times New Roman" w:hAnsi="Times New Roman"/>
          <w:color w:val="000000"/>
        </w:rPr>
        <w:t>, intersex,</w:t>
      </w:r>
      <w:r w:rsidR="00552847" w:rsidRPr="00E80935">
        <w:rPr>
          <w:rFonts w:ascii="Times New Roman" w:hAnsi="Times New Roman"/>
          <w:color w:val="000000"/>
        </w:rPr>
        <w:t xml:space="preserve"> and gender identity </w:t>
      </w:r>
      <w:r w:rsidR="0087426C" w:rsidRPr="00E80935">
        <w:rPr>
          <w:rFonts w:ascii="Times New Roman" w:hAnsi="Times New Roman"/>
          <w:color w:val="000000"/>
        </w:rPr>
        <w:t>for</w:t>
      </w:r>
      <w:r w:rsidR="00552847" w:rsidRPr="00E80935">
        <w:rPr>
          <w:rFonts w:ascii="Times New Roman" w:hAnsi="Times New Roman"/>
          <w:color w:val="000000"/>
        </w:rPr>
        <w:t xml:space="preserve"> all inmates/youth </w:t>
      </w:r>
      <w:r w:rsidR="0087426C" w:rsidRPr="00E80935">
        <w:rPr>
          <w:rFonts w:ascii="Times New Roman" w:hAnsi="Times New Roman"/>
          <w:color w:val="000000"/>
        </w:rPr>
        <w:t>to the best of their ability without being intrusive with the inmate/youth</w:t>
      </w:r>
      <w:r w:rsidR="00552847" w:rsidRPr="00E80935">
        <w:rPr>
          <w:rFonts w:ascii="Times New Roman" w:hAnsi="Times New Roman"/>
          <w:color w:val="000000"/>
        </w:rPr>
        <w:t xml:space="preserve">. </w:t>
      </w:r>
      <w:r w:rsidR="0087426C" w:rsidRPr="00E80935">
        <w:rPr>
          <w:rFonts w:ascii="Times New Roman" w:hAnsi="Times New Roman"/>
          <w:color w:val="000000"/>
        </w:rPr>
        <w:t xml:space="preserve">Those that do not screen every inmate/youth for gender identity are small facilities, and they screen those that present visual or behavioral cues of being transgender. </w:t>
      </w:r>
      <w:r w:rsidR="00552847" w:rsidRPr="00E80935">
        <w:rPr>
          <w:rFonts w:ascii="Times New Roman" w:hAnsi="Times New Roman"/>
          <w:color w:val="000000"/>
        </w:rPr>
        <w:t>If an inmate/youth chooses not to disclose that they are transgender or intersex (some</w:t>
      </w:r>
      <w:r w:rsidRPr="00E80935">
        <w:rPr>
          <w:rFonts w:ascii="Times New Roman" w:hAnsi="Times New Roman"/>
          <w:color w:val="000000"/>
        </w:rPr>
        <w:t>times</w:t>
      </w:r>
      <w:r w:rsidR="00552847" w:rsidRPr="00E80935">
        <w:rPr>
          <w:rFonts w:ascii="Times New Roman" w:hAnsi="Times New Roman"/>
          <w:color w:val="000000"/>
        </w:rPr>
        <w:t xml:space="preserve"> intersex is chromosomal with no obvious physical or biological indicators), the</w:t>
      </w:r>
      <w:r w:rsidR="002A068F" w:rsidRPr="00E80935">
        <w:rPr>
          <w:rFonts w:ascii="Times New Roman" w:hAnsi="Times New Roman"/>
          <w:color w:val="000000"/>
        </w:rPr>
        <w:t xml:space="preserve"> inmate/youth has</w:t>
      </w:r>
      <w:r w:rsidR="00552847" w:rsidRPr="00E80935">
        <w:rPr>
          <w:rFonts w:ascii="Times New Roman" w:hAnsi="Times New Roman"/>
          <w:color w:val="000000"/>
        </w:rPr>
        <w:t xml:space="preserve"> multiple opportunities to do so at a later time.</w:t>
      </w:r>
    </w:p>
    <w:p w14:paraId="72987096" w14:textId="1CFE8140" w:rsidR="00333CF2" w:rsidRPr="00E80935" w:rsidRDefault="00333CF2" w:rsidP="00DA0F17">
      <w:pPr>
        <w:pStyle w:val="ListParagraph"/>
        <w:numPr>
          <w:ilvl w:val="0"/>
          <w:numId w:val="18"/>
        </w:numPr>
        <w:spacing w:after="120"/>
        <w:contextualSpacing w:val="0"/>
        <w:rPr>
          <w:rFonts w:ascii="Times New Roman" w:hAnsi="Times New Roman"/>
          <w:color w:val="000000"/>
        </w:rPr>
      </w:pPr>
      <w:r w:rsidRPr="00E80935">
        <w:rPr>
          <w:rFonts w:ascii="Times New Roman" w:hAnsi="Times New Roman"/>
          <w:color w:val="000000"/>
        </w:rPr>
        <w:t xml:space="preserve">The items on sex, intersex, and transgender are </w:t>
      </w:r>
      <w:r w:rsidR="003817EC" w:rsidRPr="00E80935">
        <w:rPr>
          <w:rFonts w:ascii="Times New Roman" w:hAnsi="Times New Roman"/>
          <w:color w:val="000000"/>
        </w:rPr>
        <w:t>on par</w:t>
      </w:r>
      <w:r w:rsidRPr="00E80935">
        <w:rPr>
          <w:rFonts w:ascii="Times New Roman" w:hAnsi="Times New Roman"/>
          <w:color w:val="000000"/>
        </w:rPr>
        <w:t xml:space="preserve"> </w:t>
      </w:r>
      <w:r w:rsidR="003817EC" w:rsidRPr="00E80935">
        <w:rPr>
          <w:rFonts w:ascii="Times New Roman" w:hAnsi="Times New Roman"/>
          <w:color w:val="000000"/>
        </w:rPr>
        <w:t>with</w:t>
      </w:r>
      <w:r w:rsidRPr="00E80935">
        <w:rPr>
          <w:rFonts w:ascii="Times New Roman" w:hAnsi="Times New Roman"/>
          <w:color w:val="000000"/>
        </w:rPr>
        <w:t xml:space="preserve"> the other items on the </w:t>
      </w:r>
      <w:r w:rsidR="002A068F" w:rsidRPr="00E80935">
        <w:rPr>
          <w:rFonts w:ascii="Times New Roman" w:hAnsi="Times New Roman"/>
          <w:color w:val="000000"/>
        </w:rPr>
        <w:t>Substantiated Incident Form</w:t>
      </w:r>
      <w:r w:rsidR="003817EC" w:rsidRPr="00E80935">
        <w:rPr>
          <w:rFonts w:ascii="Times New Roman" w:hAnsi="Times New Roman"/>
          <w:color w:val="000000"/>
        </w:rPr>
        <w:t xml:space="preserve"> </w:t>
      </w:r>
      <w:r w:rsidR="0087426C" w:rsidRPr="00E80935">
        <w:rPr>
          <w:rFonts w:ascii="Times New Roman" w:hAnsi="Times New Roman"/>
          <w:color w:val="000000"/>
        </w:rPr>
        <w:t>regarding</w:t>
      </w:r>
      <w:r w:rsidR="003817EC" w:rsidRPr="00E80935">
        <w:rPr>
          <w:rFonts w:ascii="Times New Roman" w:hAnsi="Times New Roman"/>
          <w:color w:val="000000"/>
        </w:rPr>
        <w:t xml:space="preserve"> ease</w:t>
      </w:r>
      <w:r w:rsidR="00883239" w:rsidRPr="00E80935">
        <w:rPr>
          <w:rFonts w:ascii="Times New Roman" w:hAnsi="Times New Roman"/>
          <w:color w:val="000000"/>
        </w:rPr>
        <w:t xml:space="preserve"> or </w:t>
      </w:r>
      <w:r w:rsidR="0087426C" w:rsidRPr="00E80935">
        <w:rPr>
          <w:rFonts w:ascii="Times New Roman" w:hAnsi="Times New Roman"/>
          <w:color w:val="000000"/>
        </w:rPr>
        <w:t>difficulty in</w:t>
      </w:r>
      <w:r w:rsidR="003817EC" w:rsidRPr="00E80935">
        <w:rPr>
          <w:rFonts w:ascii="Times New Roman" w:hAnsi="Times New Roman"/>
          <w:color w:val="000000"/>
        </w:rPr>
        <w:t xml:space="preserve"> </w:t>
      </w:r>
      <w:r w:rsidR="0087426C" w:rsidRPr="00E80935">
        <w:rPr>
          <w:rFonts w:ascii="Times New Roman" w:hAnsi="Times New Roman"/>
          <w:color w:val="000000"/>
        </w:rPr>
        <w:t xml:space="preserve">accessing the information and </w:t>
      </w:r>
      <w:r w:rsidR="003817EC" w:rsidRPr="00E80935">
        <w:rPr>
          <w:rFonts w:ascii="Times New Roman" w:hAnsi="Times New Roman"/>
          <w:color w:val="000000"/>
        </w:rPr>
        <w:t xml:space="preserve">answering </w:t>
      </w:r>
      <w:r w:rsidR="0087426C" w:rsidRPr="00E80935">
        <w:rPr>
          <w:rFonts w:ascii="Times New Roman" w:hAnsi="Times New Roman"/>
          <w:color w:val="000000"/>
        </w:rPr>
        <w:t>the item</w:t>
      </w:r>
      <w:r w:rsidRPr="00E80935">
        <w:rPr>
          <w:rFonts w:ascii="Times New Roman" w:hAnsi="Times New Roman"/>
          <w:color w:val="000000"/>
        </w:rPr>
        <w:t xml:space="preserve">. </w:t>
      </w:r>
    </w:p>
    <w:p w14:paraId="658E5D44" w14:textId="1A6C6421" w:rsidR="00333CF2" w:rsidRPr="00E80935" w:rsidRDefault="003817EC" w:rsidP="00DA0F17">
      <w:pPr>
        <w:pStyle w:val="ListParagraph"/>
        <w:numPr>
          <w:ilvl w:val="0"/>
          <w:numId w:val="18"/>
        </w:numPr>
        <w:spacing w:after="120"/>
        <w:contextualSpacing w:val="0"/>
        <w:rPr>
          <w:rFonts w:ascii="Times New Roman" w:hAnsi="Times New Roman"/>
          <w:color w:val="000000"/>
        </w:rPr>
      </w:pPr>
      <w:r w:rsidRPr="00E80935">
        <w:rPr>
          <w:rFonts w:ascii="Times New Roman" w:hAnsi="Times New Roman"/>
          <w:color w:val="000000"/>
        </w:rPr>
        <w:t>Issues of burden for larger systems</w:t>
      </w:r>
      <w:r w:rsidR="0087426C" w:rsidRPr="00E80935">
        <w:rPr>
          <w:rFonts w:ascii="Times New Roman" w:hAnsi="Times New Roman"/>
          <w:color w:val="000000"/>
        </w:rPr>
        <w:t>/facilities are due to PREA requirements for compliance rather than time or effort to complete the SSV forms</w:t>
      </w:r>
      <w:r w:rsidR="00883239" w:rsidRPr="00E80935">
        <w:rPr>
          <w:rFonts w:ascii="Times New Roman" w:hAnsi="Times New Roman"/>
          <w:color w:val="000000"/>
        </w:rPr>
        <w:t xml:space="preserve"> in general or answer the items on sex and gender identity in particular</w:t>
      </w:r>
      <w:r w:rsidR="0087426C" w:rsidRPr="00E80935">
        <w:rPr>
          <w:rFonts w:ascii="Times New Roman" w:hAnsi="Times New Roman"/>
          <w:color w:val="000000"/>
        </w:rPr>
        <w:t xml:space="preserve">. </w:t>
      </w:r>
      <w:r w:rsidR="005B10D7" w:rsidRPr="00E80935">
        <w:rPr>
          <w:rFonts w:ascii="Times New Roman" w:hAnsi="Times New Roman"/>
          <w:color w:val="000000"/>
        </w:rPr>
        <w:t>One way</w:t>
      </w:r>
      <w:r w:rsidR="0087426C" w:rsidRPr="00E80935">
        <w:rPr>
          <w:rFonts w:ascii="Times New Roman" w:hAnsi="Times New Roman"/>
          <w:color w:val="000000"/>
        </w:rPr>
        <w:t xml:space="preserve"> BJS is addressing issues of </w:t>
      </w:r>
      <w:r w:rsidR="00883239" w:rsidRPr="00E80935">
        <w:rPr>
          <w:rFonts w:ascii="Times New Roman" w:hAnsi="Times New Roman"/>
          <w:color w:val="000000"/>
        </w:rPr>
        <w:t xml:space="preserve">burden related to </w:t>
      </w:r>
      <w:r w:rsidR="0087426C" w:rsidRPr="00E80935">
        <w:rPr>
          <w:rFonts w:ascii="Times New Roman" w:hAnsi="Times New Roman"/>
          <w:color w:val="000000"/>
        </w:rPr>
        <w:t>data submission by</w:t>
      </w:r>
      <w:r w:rsidRPr="00E80935">
        <w:rPr>
          <w:rFonts w:ascii="Times New Roman" w:hAnsi="Times New Roman"/>
          <w:color w:val="000000"/>
        </w:rPr>
        <w:t xml:space="preserve"> </w:t>
      </w:r>
      <w:r w:rsidR="0087426C" w:rsidRPr="00E80935">
        <w:rPr>
          <w:rFonts w:ascii="Times New Roman" w:hAnsi="Times New Roman"/>
          <w:color w:val="000000"/>
        </w:rPr>
        <w:t>developing the capability to upload PDFs. BJS is also planning on investigating the feasibility of developing electronic reporting whereby a system/facility can provide information in database, spreadsheet, or some other electronic format.</w:t>
      </w:r>
      <w:r w:rsidRPr="00E80935">
        <w:rPr>
          <w:rFonts w:ascii="Times New Roman" w:hAnsi="Times New Roman"/>
          <w:color w:val="000000"/>
        </w:rPr>
        <w:t xml:space="preserve"> </w:t>
      </w:r>
    </w:p>
    <w:p w14:paraId="68071408" w14:textId="71CB86B1" w:rsidR="00333CF2" w:rsidRPr="00E80935" w:rsidRDefault="005B10D7" w:rsidP="005B10D7">
      <w:pPr>
        <w:spacing w:after="120"/>
        <w:ind w:left="1080"/>
        <w:rPr>
          <w:rFonts w:ascii="Times New Roman" w:hAnsi="Times New Roman"/>
          <w:color w:val="000000"/>
        </w:rPr>
      </w:pPr>
      <w:r w:rsidRPr="00E80935">
        <w:rPr>
          <w:rFonts w:ascii="Times New Roman" w:hAnsi="Times New Roman"/>
          <w:color w:val="000000"/>
        </w:rPr>
        <w:t xml:space="preserve">BJS proposes that the questions and answer categories for </w:t>
      </w:r>
      <w:r w:rsidR="005530E9" w:rsidRPr="00E80935">
        <w:rPr>
          <w:rFonts w:ascii="Times New Roman" w:hAnsi="Times New Roman"/>
          <w:color w:val="000000"/>
        </w:rPr>
        <w:t xml:space="preserve">the </w:t>
      </w:r>
      <w:r w:rsidR="00883239" w:rsidRPr="00E80935">
        <w:rPr>
          <w:rFonts w:ascii="Times New Roman" w:hAnsi="Times New Roman"/>
          <w:color w:val="000000"/>
        </w:rPr>
        <w:t>items on sex and gender identity of victims and inmate/youth perpetrators (items 7, 10, 19, and 22</w:t>
      </w:r>
      <w:r w:rsidR="005530E9" w:rsidRPr="00E80935">
        <w:rPr>
          <w:rFonts w:ascii="Times New Roman" w:hAnsi="Times New Roman"/>
          <w:color w:val="000000"/>
        </w:rPr>
        <w:t>) remain as the</w:t>
      </w:r>
      <w:r w:rsidR="00AD07C1" w:rsidRPr="00E80935">
        <w:rPr>
          <w:rFonts w:ascii="Times New Roman" w:hAnsi="Times New Roman"/>
          <w:color w:val="000000"/>
        </w:rPr>
        <w:t>y</w:t>
      </w:r>
      <w:r w:rsidR="005530E9" w:rsidRPr="00E80935">
        <w:rPr>
          <w:rFonts w:ascii="Times New Roman" w:hAnsi="Times New Roman"/>
          <w:color w:val="000000"/>
        </w:rPr>
        <w:t xml:space="preserve"> were on the SSV 2016 </w:t>
      </w:r>
      <w:r w:rsidR="002A068F" w:rsidRPr="00E80935">
        <w:rPr>
          <w:rFonts w:ascii="Times New Roman" w:hAnsi="Times New Roman"/>
          <w:color w:val="000000"/>
        </w:rPr>
        <w:t>Substantiated Incident Form</w:t>
      </w:r>
      <w:r w:rsidR="005530E9" w:rsidRPr="00E80935">
        <w:rPr>
          <w:rFonts w:ascii="Times New Roman" w:hAnsi="Times New Roman"/>
          <w:color w:val="000000"/>
        </w:rPr>
        <w:t xml:space="preserve">s. </w:t>
      </w:r>
    </w:p>
    <w:p w14:paraId="277658A8" w14:textId="77777777" w:rsidR="00715936" w:rsidRPr="00E80935" w:rsidRDefault="00715936" w:rsidP="00715936">
      <w:pPr>
        <w:widowControl/>
        <w:rPr>
          <w:rFonts w:ascii="Times New Roman" w:hAnsi="Times New Roman"/>
          <w:color w:val="000000"/>
          <w:u w:val="single"/>
        </w:rPr>
      </w:pPr>
      <w:r w:rsidRPr="00E80935">
        <w:rPr>
          <w:rFonts w:ascii="Times New Roman" w:hAnsi="Times New Roman"/>
          <w:color w:val="000000"/>
        </w:rPr>
        <w:t xml:space="preserve">5. </w:t>
      </w:r>
      <w:r w:rsidRPr="00E80935">
        <w:rPr>
          <w:rFonts w:ascii="Times New Roman" w:hAnsi="Times New Roman"/>
          <w:color w:val="000000"/>
        </w:rPr>
        <w:tab/>
      </w:r>
      <w:r w:rsidRPr="00E80935">
        <w:rPr>
          <w:rFonts w:ascii="Times New Roman" w:hAnsi="Times New Roman"/>
          <w:color w:val="000000"/>
          <w:u w:val="single"/>
        </w:rPr>
        <w:t>Contacts for Statistical Aspects of Data Collection</w:t>
      </w:r>
    </w:p>
    <w:p w14:paraId="0233E0C1" w14:textId="77777777" w:rsidR="00715936" w:rsidRPr="00E80935" w:rsidRDefault="00715936" w:rsidP="00715936">
      <w:pPr>
        <w:widowControl/>
        <w:rPr>
          <w:rFonts w:ascii="Times New Roman" w:hAnsi="Times New Roman"/>
          <w:color w:val="000000"/>
        </w:rPr>
      </w:pPr>
      <w:r w:rsidRPr="00E80935">
        <w:rPr>
          <w:rFonts w:ascii="Times New Roman" w:hAnsi="Times New Roman"/>
          <w:color w:val="000000"/>
        </w:rPr>
        <w:tab/>
      </w:r>
    </w:p>
    <w:p w14:paraId="6C9E1F5F" w14:textId="5723C9DE" w:rsidR="00B54A7D" w:rsidRPr="00E80935" w:rsidRDefault="00715936" w:rsidP="00502E0E">
      <w:pPr>
        <w:widowControl/>
        <w:ind w:left="720"/>
        <w:rPr>
          <w:rFonts w:ascii="Times New Roman" w:hAnsi="Times New Roman"/>
          <w:color w:val="000000"/>
        </w:rPr>
      </w:pPr>
      <w:r w:rsidRPr="00E80935">
        <w:rPr>
          <w:rFonts w:ascii="Times New Roman" w:hAnsi="Times New Roman"/>
          <w:color w:val="000000"/>
        </w:rPr>
        <w:t xml:space="preserve">BJS takes responsibility for the overall design and management of the survey, including sampling procedures, development of the questionnaires, and the analysis and publication of the data. The BJS </w:t>
      </w:r>
      <w:r w:rsidR="00692457" w:rsidRPr="00E80935">
        <w:rPr>
          <w:rFonts w:ascii="Times New Roman" w:hAnsi="Times New Roman"/>
          <w:color w:val="000000"/>
        </w:rPr>
        <w:t xml:space="preserve">contacts </w:t>
      </w:r>
      <w:r w:rsidR="00285389" w:rsidRPr="00E80935">
        <w:rPr>
          <w:rFonts w:ascii="Times New Roman" w:hAnsi="Times New Roman"/>
          <w:color w:val="000000"/>
        </w:rPr>
        <w:t>is</w:t>
      </w:r>
      <w:r w:rsidR="00B54A7D" w:rsidRPr="00E80935">
        <w:rPr>
          <w:rFonts w:ascii="Times New Roman" w:hAnsi="Times New Roman"/>
          <w:color w:val="000000"/>
        </w:rPr>
        <w:t>—</w:t>
      </w:r>
    </w:p>
    <w:p w14:paraId="2F8928DB" w14:textId="1C59A4A4" w:rsidR="001B0209" w:rsidRPr="00E80935" w:rsidRDefault="00715936" w:rsidP="00715936">
      <w:pPr>
        <w:widowControl/>
        <w:rPr>
          <w:rFonts w:ascii="Times New Roman" w:hAnsi="Times New Roman"/>
          <w:color w:val="000000"/>
        </w:rPr>
      </w:pPr>
      <w:r w:rsidRPr="00E80935">
        <w:rPr>
          <w:rFonts w:ascii="Times New Roman" w:hAnsi="Times New Roman"/>
          <w:color w:val="000000"/>
        </w:rPr>
        <w:tab/>
      </w:r>
    </w:p>
    <w:p w14:paraId="142F2756" w14:textId="195E69C8" w:rsidR="001B0209" w:rsidRPr="00E80935" w:rsidRDefault="00E206C5" w:rsidP="00E206C5">
      <w:pPr>
        <w:widowControl/>
        <w:tabs>
          <w:tab w:val="left" w:pos="4950"/>
        </w:tabs>
        <w:ind w:left="720"/>
        <w:rPr>
          <w:rFonts w:ascii="Times New Roman" w:hAnsi="Times New Roman"/>
          <w:color w:val="000000"/>
        </w:rPr>
      </w:pPr>
      <w:r w:rsidRPr="00E80935">
        <w:rPr>
          <w:rFonts w:ascii="Times New Roman" w:hAnsi="Times New Roman"/>
        </w:rPr>
        <w:t>Ramona Rantala, Statistician</w:t>
      </w:r>
    </w:p>
    <w:p w14:paraId="685EDAF9" w14:textId="560CECB4" w:rsidR="001B0209" w:rsidRPr="00E80935" w:rsidRDefault="00E206C5" w:rsidP="00E206C5">
      <w:pPr>
        <w:widowControl/>
        <w:tabs>
          <w:tab w:val="left" w:pos="4950"/>
        </w:tabs>
        <w:ind w:left="720"/>
        <w:rPr>
          <w:rFonts w:ascii="Times New Roman" w:hAnsi="Times New Roman"/>
          <w:color w:val="000000"/>
        </w:rPr>
      </w:pPr>
      <w:r w:rsidRPr="00E80935">
        <w:rPr>
          <w:rFonts w:ascii="Times New Roman" w:hAnsi="Times New Roman"/>
        </w:rPr>
        <w:t>Bureau of Justice Statistic</w:t>
      </w:r>
    </w:p>
    <w:p w14:paraId="33E4D148" w14:textId="2236EF04" w:rsidR="001B0209" w:rsidRPr="00E80935" w:rsidRDefault="001B0209" w:rsidP="00FF52FE">
      <w:pPr>
        <w:widowControl/>
        <w:tabs>
          <w:tab w:val="left" w:pos="4950"/>
        </w:tabs>
        <w:rPr>
          <w:rFonts w:ascii="Times New Roman" w:hAnsi="Times New Roman"/>
          <w:color w:val="000000"/>
        </w:rPr>
        <w:sectPr w:rsidR="001B0209" w:rsidRPr="00E80935" w:rsidSect="001B0209">
          <w:headerReference w:type="default" r:id="rId9"/>
          <w:footerReference w:type="even" r:id="rId10"/>
          <w:footerReference w:type="default" r:id="rId11"/>
          <w:type w:val="continuous"/>
          <w:pgSz w:w="12240" w:h="15840"/>
          <w:pgMar w:top="1440" w:right="1440" w:bottom="864" w:left="1440" w:header="1260" w:footer="864" w:gutter="0"/>
          <w:cols w:space="144"/>
          <w:noEndnote/>
          <w:docGrid w:linePitch="326"/>
        </w:sectPr>
      </w:pPr>
    </w:p>
    <w:p w14:paraId="451E4AE8" w14:textId="48E1A76E" w:rsidR="00304BB1" w:rsidRPr="00E80935" w:rsidRDefault="00E206C5" w:rsidP="00E206C5">
      <w:pPr>
        <w:widowControl/>
        <w:tabs>
          <w:tab w:val="left" w:pos="4950"/>
        </w:tabs>
        <w:ind w:left="720"/>
        <w:rPr>
          <w:rFonts w:ascii="Times New Roman" w:hAnsi="Times New Roman"/>
          <w:color w:val="000000"/>
        </w:rPr>
      </w:pPr>
      <w:r w:rsidRPr="00E80935">
        <w:rPr>
          <w:rFonts w:ascii="Times New Roman" w:hAnsi="Times New Roman"/>
        </w:rPr>
        <w:t>810 Seventh St., N.W.</w:t>
      </w:r>
    </w:p>
    <w:p w14:paraId="0F837EE3" w14:textId="13E11256" w:rsidR="001B0209" w:rsidRPr="00E80935" w:rsidRDefault="00E206C5" w:rsidP="00E206C5">
      <w:pPr>
        <w:widowControl/>
        <w:tabs>
          <w:tab w:val="left" w:pos="4950"/>
        </w:tabs>
        <w:ind w:left="720"/>
        <w:rPr>
          <w:rFonts w:ascii="Times New Roman" w:hAnsi="Times New Roman"/>
          <w:color w:val="000000"/>
        </w:rPr>
      </w:pPr>
      <w:r w:rsidRPr="00E80935">
        <w:rPr>
          <w:rFonts w:ascii="Times New Roman" w:hAnsi="Times New Roman"/>
        </w:rPr>
        <w:t>Washington, DC 20531</w:t>
      </w:r>
    </w:p>
    <w:p w14:paraId="2FD38A00" w14:textId="4AEAB70D" w:rsidR="001B0209" w:rsidRPr="00E80935" w:rsidRDefault="00FF52FE" w:rsidP="00E206C5">
      <w:pPr>
        <w:widowControl/>
        <w:tabs>
          <w:tab w:val="left" w:pos="4950"/>
        </w:tabs>
        <w:ind w:left="720"/>
        <w:rPr>
          <w:rFonts w:ascii="Times New Roman" w:hAnsi="Times New Roman"/>
          <w:color w:val="000000"/>
        </w:rPr>
      </w:pPr>
      <w:r w:rsidRPr="00E80935">
        <w:rPr>
          <w:rFonts w:ascii="Times New Roman" w:hAnsi="Times New Roman"/>
        </w:rPr>
        <w:t>(202) 307-6170</w:t>
      </w:r>
    </w:p>
    <w:p w14:paraId="2583F06D" w14:textId="4CC6B07C" w:rsidR="001B0209" w:rsidRPr="00E80935" w:rsidRDefault="00370E2E" w:rsidP="00E206C5">
      <w:pPr>
        <w:widowControl/>
        <w:tabs>
          <w:tab w:val="left" w:pos="4950"/>
        </w:tabs>
        <w:ind w:left="720"/>
        <w:rPr>
          <w:rStyle w:val="Hyperlink"/>
          <w:rFonts w:ascii="Times New Roman" w:hAnsi="Times New Roman"/>
          <w:color w:val="auto"/>
          <w:u w:val="none"/>
        </w:rPr>
      </w:pPr>
      <w:hyperlink r:id="rId12" w:history="1">
        <w:r w:rsidR="00285389" w:rsidRPr="00E80935">
          <w:rPr>
            <w:rStyle w:val="Hyperlink"/>
            <w:rFonts w:ascii="Times New Roman" w:hAnsi="Times New Roman"/>
          </w:rPr>
          <w:t>Ramona.Rantala@usdoj.gov</w:t>
        </w:r>
      </w:hyperlink>
    </w:p>
    <w:p w14:paraId="6AF21904" w14:textId="77777777" w:rsidR="001B0209" w:rsidRPr="00E80935" w:rsidRDefault="001B0209" w:rsidP="001B0209">
      <w:pPr>
        <w:widowControl/>
        <w:rPr>
          <w:rFonts w:ascii="Times New Roman" w:hAnsi="Times New Roman"/>
          <w:color w:val="000000"/>
        </w:rPr>
        <w:sectPr w:rsidR="001B0209" w:rsidRPr="00E80935" w:rsidSect="001B0209">
          <w:type w:val="continuous"/>
          <w:pgSz w:w="12240" w:h="15840"/>
          <w:pgMar w:top="1440" w:right="1440" w:bottom="864" w:left="1440" w:header="1260" w:footer="864" w:gutter="0"/>
          <w:cols w:space="720"/>
          <w:noEndnote/>
          <w:docGrid w:linePitch="326"/>
        </w:sectPr>
      </w:pPr>
    </w:p>
    <w:p w14:paraId="141E4C69" w14:textId="77777777" w:rsidR="00791E55" w:rsidRPr="00E80935" w:rsidRDefault="00791E55" w:rsidP="001B0209">
      <w:pPr>
        <w:widowControl/>
        <w:ind w:left="720"/>
        <w:rPr>
          <w:rFonts w:ascii="Times New Roman" w:hAnsi="Times New Roman"/>
        </w:rPr>
      </w:pPr>
    </w:p>
    <w:p w14:paraId="3E2871D2" w14:textId="03530C82" w:rsidR="00715936" w:rsidRPr="00E80935" w:rsidRDefault="00D6749C" w:rsidP="001B0209">
      <w:pPr>
        <w:widowControl/>
        <w:ind w:left="720"/>
        <w:rPr>
          <w:rFonts w:ascii="Times New Roman" w:hAnsi="Times New Roman"/>
        </w:rPr>
      </w:pPr>
      <w:r w:rsidRPr="00E80935">
        <w:rPr>
          <w:rFonts w:ascii="Times New Roman" w:hAnsi="Times New Roman"/>
        </w:rPr>
        <w:t xml:space="preserve">The Economic Reimbursable Surveys Division at the Census Bureau is the collection </w:t>
      </w:r>
      <w:r w:rsidR="00715936" w:rsidRPr="00E80935">
        <w:rPr>
          <w:rFonts w:ascii="Times New Roman" w:hAnsi="Times New Roman"/>
        </w:rPr>
        <w:t xml:space="preserve">agent and is responsible for the collection of all data. </w:t>
      </w:r>
      <w:r w:rsidR="00593F4E" w:rsidRPr="00E80935">
        <w:rPr>
          <w:rFonts w:ascii="Times New Roman" w:hAnsi="Times New Roman"/>
        </w:rPr>
        <w:t xml:space="preserve">The Economic Statistical Methods Division is responsible for drawing the samples. </w:t>
      </w:r>
      <w:r w:rsidR="00715936" w:rsidRPr="00E80935">
        <w:rPr>
          <w:rFonts w:ascii="Times New Roman" w:hAnsi="Times New Roman"/>
        </w:rPr>
        <w:t xml:space="preserve">The Census Bureau </w:t>
      </w:r>
      <w:r w:rsidR="0097486D" w:rsidRPr="00E80935">
        <w:rPr>
          <w:rFonts w:ascii="Times New Roman" w:hAnsi="Times New Roman"/>
        </w:rPr>
        <w:t>contact</w:t>
      </w:r>
      <w:r w:rsidR="00285389" w:rsidRPr="00E80935">
        <w:rPr>
          <w:rFonts w:ascii="Times New Roman" w:hAnsi="Times New Roman"/>
        </w:rPr>
        <w:t xml:space="preserve"> i</w:t>
      </w:r>
      <w:r w:rsidR="001B25C7" w:rsidRPr="00E80935">
        <w:rPr>
          <w:rFonts w:ascii="Times New Roman" w:hAnsi="Times New Roman"/>
        </w:rPr>
        <w:t>s</w:t>
      </w:r>
      <w:r w:rsidR="00285389" w:rsidRPr="00E80935">
        <w:rPr>
          <w:rFonts w:ascii="Times New Roman" w:hAnsi="Times New Roman"/>
        </w:rPr>
        <w:t>—</w:t>
      </w:r>
      <w:r w:rsidR="00502E0E" w:rsidRPr="00E80935">
        <w:rPr>
          <w:rFonts w:ascii="Times New Roman" w:hAnsi="Times New Roman"/>
          <w:color w:val="000000"/>
        </w:rPr>
        <w:t xml:space="preserve"> </w:t>
      </w:r>
    </w:p>
    <w:p w14:paraId="30A35FCE" w14:textId="77777777" w:rsidR="00715936" w:rsidRPr="00E80935" w:rsidRDefault="00715936" w:rsidP="00715936">
      <w:pPr>
        <w:widowControl/>
        <w:rPr>
          <w:rFonts w:ascii="Times New Roman" w:hAnsi="Times New Roman"/>
        </w:rPr>
      </w:pPr>
    </w:p>
    <w:p w14:paraId="7DBCE8DB" w14:textId="77777777" w:rsidR="001B25C7" w:rsidRPr="00E80935" w:rsidRDefault="001B25C7" w:rsidP="001B25C7">
      <w:pPr>
        <w:widowControl/>
        <w:ind w:left="720"/>
        <w:rPr>
          <w:rFonts w:ascii="Times New Roman" w:hAnsi="Times New Roman"/>
        </w:rPr>
        <w:sectPr w:rsidR="001B25C7" w:rsidRPr="00E80935" w:rsidSect="00791C9F">
          <w:headerReference w:type="default" r:id="rId13"/>
          <w:footerReference w:type="even" r:id="rId14"/>
          <w:footerReference w:type="default" r:id="rId15"/>
          <w:type w:val="continuous"/>
          <w:pgSz w:w="12240" w:h="15840"/>
          <w:pgMar w:top="1440" w:right="1440" w:bottom="864" w:left="1440" w:header="1440" w:footer="864" w:gutter="0"/>
          <w:cols w:space="720"/>
          <w:noEndnote/>
        </w:sectPr>
      </w:pPr>
    </w:p>
    <w:p w14:paraId="069F2580" w14:textId="1A710AED" w:rsidR="00715936" w:rsidRPr="00E80935" w:rsidRDefault="00EA0E05" w:rsidP="001B25C7">
      <w:pPr>
        <w:widowControl/>
        <w:ind w:left="720"/>
        <w:rPr>
          <w:rFonts w:ascii="Times New Roman" w:hAnsi="Times New Roman"/>
        </w:rPr>
      </w:pPr>
      <w:r w:rsidRPr="00E80935">
        <w:rPr>
          <w:rFonts w:ascii="Times New Roman" w:hAnsi="Times New Roman"/>
        </w:rPr>
        <w:t>Greta Clark</w:t>
      </w:r>
      <w:r w:rsidR="00715936" w:rsidRPr="00E80935">
        <w:rPr>
          <w:rFonts w:ascii="Times New Roman" w:hAnsi="Times New Roman"/>
        </w:rPr>
        <w:t xml:space="preserve">, </w:t>
      </w:r>
      <w:r w:rsidRPr="00E80935">
        <w:rPr>
          <w:rFonts w:ascii="Times New Roman" w:hAnsi="Times New Roman"/>
        </w:rPr>
        <w:t>Survey Statistician</w:t>
      </w:r>
    </w:p>
    <w:p w14:paraId="226E53CD" w14:textId="60FAB7E2" w:rsidR="00715936" w:rsidRPr="00E80935" w:rsidRDefault="00715936" w:rsidP="001B25C7">
      <w:pPr>
        <w:widowControl/>
        <w:ind w:left="720"/>
        <w:rPr>
          <w:rFonts w:ascii="Times New Roman" w:hAnsi="Times New Roman"/>
        </w:rPr>
      </w:pPr>
      <w:r w:rsidRPr="00E80935">
        <w:rPr>
          <w:rFonts w:ascii="Times New Roman" w:hAnsi="Times New Roman"/>
        </w:rPr>
        <w:t>Criminal Justice Statistics Branch</w:t>
      </w:r>
    </w:p>
    <w:p w14:paraId="7D91B111" w14:textId="2BA487C4" w:rsidR="00715936" w:rsidRPr="00E80935" w:rsidRDefault="00404EC0" w:rsidP="001B25C7">
      <w:pPr>
        <w:widowControl/>
        <w:ind w:left="720"/>
        <w:rPr>
          <w:rFonts w:ascii="Times New Roman" w:hAnsi="Times New Roman"/>
        </w:rPr>
      </w:pPr>
      <w:r w:rsidRPr="00E80935">
        <w:rPr>
          <w:rFonts w:ascii="Times New Roman" w:hAnsi="Times New Roman"/>
        </w:rPr>
        <w:t>Economic Reimbursable Surveys</w:t>
      </w:r>
      <w:r w:rsidR="00715936" w:rsidRPr="00E80935">
        <w:rPr>
          <w:rFonts w:ascii="Times New Roman" w:hAnsi="Times New Roman"/>
        </w:rPr>
        <w:t xml:space="preserve"> Div</w:t>
      </w:r>
      <w:r w:rsidR="001B25C7" w:rsidRPr="00E80935">
        <w:rPr>
          <w:rFonts w:ascii="Times New Roman" w:hAnsi="Times New Roman"/>
        </w:rPr>
        <w:t>.</w:t>
      </w:r>
    </w:p>
    <w:p w14:paraId="5942D1F5" w14:textId="77777777" w:rsidR="00715936" w:rsidRPr="00E80935" w:rsidRDefault="00715936" w:rsidP="001B25C7">
      <w:pPr>
        <w:widowControl/>
        <w:ind w:left="720"/>
        <w:rPr>
          <w:rFonts w:ascii="Times New Roman" w:hAnsi="Times New Roman"/>
        </w:rPr>
      </w:pPr>
      <w:r w:rsidRPr="00E80935">
        <w:rPr>
          <w:rFonts w:ascii="Times New Roman" w:hAnsi="Times New Roman"/>
        </w:rPr>
        <w:t>U.S. Census Bureau</w:t>
      </w:r>
    </w:p>
    <w:p w14:paraId="737D9CB6" w14:textId="77777777" w:rsidR="00EA0E05" w:rsidRPr="00E80935" w:rsidRDefault="00EA0E05" w:rsidP="001B25C7">
      <w:pPr>
        <w:widowControl/>
        <w:ind w:left="720"/>
        <w:rPr>
          <w:rFonts w:ascii="Times New Roman" w:hAnsi="Times New Roman"/>
        </w:rPr>
      </w:pPr>
      <w:r w:rsidRPr="00E80935">
        <w:rPr>
          <w:rFonts w:ascii="Times New Roman" w:hAnsi="Times New Roman"/>
        </w:rPr>
        <w:t>4600 Silver Hill Road</w:t>
      </w:r>
    </w:p>
    <w:p w14:paraId="34F1E3DC" w14:textId="77777777" w:rsidR="00715936" w:rsidRPr="00E80935" w:rsidRDefault="00715936" w:rsidP="001B25C7">
      <w:pPr>
        <w:widowControl/>
        <w:ind w:left="720"/>
        <w:rPr>
          <w:rFonts w:ascii="Times New Roman" w:hAnsi="Times New Roman"/>
        </w:rPr>
      </w:pPr>
      <w:r w:rsidRPr="00E80935">
        <w:rPr>
          <w:rFonts w:ascii="Times New Roman" w:hAnsi="Times New Roman"/>
        </w:rPr>
        <w:t>Washington, DC 20233-6800</w:t>
      </w:r>
    </w:p>
    <w:p w14:paraId="3EBF3E92" w14:textId="77777777" w:rsidR="00715936" w:rsidRPr="00E80935" w:rsidRDefault="00715936" w:rsidP="001B25C7">
      <w:pPr>
        <w:widowControl/>
        <w:ind w:left="720"/>
        <w:rPr>
          <w:rFonts w:ascii="Times New Roman" w:hAnsi="Times New Roman"/>
        </w:rPr>
      </w:pPr>
      <w:r w:rsidRPr="00E80935">
        <w:rPr>
          <w:rFonts w:ascii="Times New Roman" w:hAnsi="Times New Roman"/>
        </w:rPr>
        <w:t>(301) 763-</w:t>
      </w:r>
      <w:r w:rsidR="00EA0E05" w:rsidRPr="00E80935">
        <w:rPr>
          <w:rFonts w:ascii="Times New Roman" w:hAnsi="Times New Roman"/>
        </w:rPr>
        <w:t>2586</w:t>
      </w:r>
    </w:p>
    <w:p w14:paraId="16E03530" w14:textId="6C384D18" w:rsidR="00285389" w:rsidRPr="00A32720" w:rsidRDefault="00370E2E" w:rsidP="00A32720">
      <w:pPr>
        <w:widowControl/>
        <w:ind w:left="720"/>
        <w:rPr>
          <w:rFonts w:ascii="Times New Roman" w:hAnsi="Times New Roman"/>
          <w:color w:val="0000FF"/>
          <w:u w:val="single"/>
        </w:rPr>
      </w:pPr>
      <w:hyperlink r:id="rId16" w:history="1">
        <w:r w:rsidR="00EA0E05" w:rsidRPr="00E80935">
          <w:rPr>
            <w:rStyle w:val="Hyperlink"/>
            <w:rFonts w:ascii="Times New Roman" w:hAnsi="Times New Roman"/>
          </w:rPr>
          <w:t>Greta.B.Clark@census.gov</w:t>
        </w:r>
      </w:hyperlink>
    </w:p>
    <w:sectPr w:rsidR="00285389" w:rsidRPr="00A32720" w:rsidSect="00285389">
      <w:type w:val="continuous"/>
      <w:pgSz w:w="12240" w:h="15840"/>
      <w:pgMar w:top="1440" w:right="1440" w:bottom="864" w:left="1440" w:header="1440" w:footer="864" w:gutter="0"/>
      <w:cols w:space="720" w:equalWidth="0">
        <w:col w:w="9360" w:space="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1237" w14:textId="77777777" w:rsidR="00640342" w:rsidRDefault="00640342">
      <w:r>
        <w:separator/>
      </w:r>
    </w:p>
  </w:endnote>
  <w:endnote w:type="continuationSeparator" w:id="0">
    <w:p w14:paraId="145B807F" w14:textId="77777777" w:rsidR="00640342" w:rsidRDefault="0064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Black">
    <w:panose1 w:val="00000000000000000000"/>
    <w:charset w:val="00"/>
    <w:family w:val="swiss"/>
    <w:notTrueType/>
    <w:pitch w:val="default"/>
    <w:sig w:usb0="00000003" w:usb1="00000000" w:usb2="00000000" w:usb3="00000000" w:csb0="00000001" w:csb1="00000000"/>
  </w:font>
  <w:font w:name="Univers-Oblique">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407C9" w14:textId="77777777" w:rsidR="00640342" w:rsidRDefault="00640342"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B9B64" w14:textId="77777777" w:rsidR="00640342" w:rsidRDefault="00640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6246" w14:textId="77777777" w:rsidR="00640342" w:rsidRDefault="00640342"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E2E">
      <w:rPr>
        <w:rStyle w:val="PageNumber"/>
        <w:noProof/>
      </w:rPr>
      <w:t>1</w:t>
    </w:r>
    <w:r>
      <w:rPr>
        <w:rStyle w:val="PageNumber"/>
      </w:rPr>
      <w:fldChar w:fldCharType="end"/>
    </w:r>
  </w:p>
  <w:p w14:paraId="75D90EA3" w14:textId="77777777" w:rsidR="00640342" w:rsidRDefault="00640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8DBB4" w14:textId="77777777" w:rsidR="00640342" w:rsidRDefault="00640342"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148FB" w14:textId="77777777" w:rsidR="00640342" w:rsidRDefault="006403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3D70B" w14:textId="77777777" w:rsidR="00640342" w:rsidRDefault="00640342"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5FDAA6D" w14:textId="77777777" w:rsidR="00640342" w:rsidRDefault="00640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43608" w14:textId="77777777" w:rsidR="00640342" w:rsidRDefault="00640342">
      <w:r>
        <w:separator/>
      </w:r>
    </w:p>
  </w:footnote>
  <w:footnote w:type="continuationSeparator" w:id="0">
    <w:p w14:paraId="340081CE" w14:textId="77777777" w:rsidR="00640342" w:rsidRDefault="00640342">
      <w:r>
        <w:continuationSeparator/>
      </w:r>
    </w:p>
  </w:footnote>
  <w:footnote w:id="1">
    <w:p w14:paraId="006ABF8B" w14:textId="77777777" w:rsidR="00640342" w:rsidRDefault="00640342" w:rsidP="00F23540">
      <w:pPr>
        <w:pStyle w:val="FootnoteText"/>
        <w:ind w:left="720"/>
      </w:pPr>
      <w:r w:rsidRPr="00C62F83">
        <w:rPr>
          <w:rStyle w:val="FootnoteReference"/>
          <w:vertAlign w:val="superscript"/>
        </w:rPr>
        <w:footnoteRef/>
      </w:r>
      <w:r w:rsidRPr="00C62F83">
        <w:rPr>
          <w:vertAlign w:val="superscript"/>
        </w:rPr>
        <w:t xml:space="preserve"> </w:t>
      </w:r>
      <w:r>
        <w:t>The Coast Guard does not have its own facilities, relying instead on those operated by other branches of the Armed Forces, primarily the Navy.</w:t>
      </w:r>
    </w:p>
  </w:footnote>
  <w:footnote w:id="2">
    <w:p w14:paraId="27E0D182" w14:textId="7F763275" w:rsidR="00640342" w:rsidRDefault="00640342" w:rsidP="00FE1233">
      <w:pPr>
        <w:pStyle w:val="FootnoteText"/>
        <w:ind w:left="720"/>
      </w:pPr>
      <w:r w:rsidRPr="00C62F83">
        <w:rPr>
          <w:rStyle w:val="FootnoteReference"/>
          <w:vertAlign w:val="superscript"/>
        </w:rPr>
        <w:footnoteRef/>
      </w:r>
      <w:r>
        <w:t xml:space="preserve"> </w:t>
      </w:r>
      <w:r>
        <w:rPr>
          <w:rFonts w:cs="Minion Pro"/>
          <w:color w:val="221E1F"/>
          <w:sz w:val="16"/>
          <w:szCs w:val="16"/>
        </w:rPr>
        <w:t>Five states with combined jail/prison systems had no public jails: Connecticut, Delaware, Hawaii, Rhode Island, and Vermont.</w:t>
      </w:r>
    </w:p>
  </w:footnote>
  <w:footnote w:id="3">
    <w:p w14:paraId="6DD8ABD8" w14:textId="68788A6F" w:rsidR="00640342" w:rsidRDefault="00640342">
      <w:pPr>
        <w:pStyle w:val="FootnoteText"/>
      </w:pPr>
      <w:r w:rsidRPr="00FF52FE">
        <w:rPr>
          <w:rStyle w:val="FootnoteReference"/>
          <w:vertAlign w:val="superscript"/>
        </w:rPr>
        <w:footnoteRef/>
      </w:r>
      <w:r>
        <w:t xml:space="preserve"> Results for SSV 2012-2014 from adult correctional facilities are scheduled for publication in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11ED7" w14:textId="77777777" w:rsidR="00640342" w:rsidRDefault="00640342" w:rsidP="002E027C">
    <w:pPr>
      <w:framePr w:w="9361" w:wrap="notBeside" w:vAnchor="text" w:hAnchor="page" w:x="1582" w:y="-659"/>
      <w:jc w:val="right"/>
      <w:rPr>
        <w:rFonts w:cs="CG Times"/>
        <w:sz w:val="22"/>
        <w:szCs w:val="22"/>
      </w:rPr>
    </w:pPr>
  </w:p>
  <w:p w14:paraId="1B18F998" w14:textId="77777777" w:rsidR="00640342" w:rsidRDefault="00640342" w:rsidP="002E027C">
    <w:pPr>
      <w:framePr w:w="9361" w:wrap="notBeside" w:vAnchor="text" w:hAnchor="page" w:x="1582" w:y="-659"/>
      <w:jc w:val="right"/>
      <w:rPr>
        <w:rFonts w:cs="CG Times"/>
        <w:sz w:val="22"/>
        <w:szCs w:val="22"/>
      </w:rPr>
    </w:pPr>
  </w:p>
  <w:p w14:paraId="282C0DBE" w14:textId="77777777" w:rsidR="00640342" w:rsidRDefault="00640342" w:rsidP="00B026D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5216" w14:textId="77777777" w:rsidR="00640342" w:rsidRDefault="00640342" w:rsidP="002E027C">
    <w:pPr>
      <w:framePr w:w="9361" w:wrap="notBeside" w:vAnchor="text" w:hAnchor="page" w:x="1582" w:y="-659"/>
      <w:jc w:val="right"/>
      <w:rPr>
        <w:rFonts w:cs="CG Times"/>
        <w:sz w:val="22"/>
        <w:szCs w:val="22"/>
      </w:rPr>
    </w:pPr>
  </w:p>
  <w:p w14:paraId="15F3F90D" w14:textId="77777777" w:rsidR="00640342" w:rsidRDefault="00640342" w:rsidP="002E027C">
    <w:pPr>
      <w:framePr w:w="9361" w:wrap="notBeside" w:vAnchor="text" w:hAnchor="page" w:x="1582" w:y="-659"/>
      <w:jc w:val="right"/>
      <w:rPr>
        <w:rFonts w:cs="CG Times"/>
        <w:sz w:val="22"/>
        <w:szCs w:val="22"/>
      </w:rPr>
    </w:pPr>
  </w:p>
  <w:p w14:paraId="4BA62025" w14:textId="77777777" w:rsidR="00640342" w:rsidRDefault="00640342" w:rsidP="00B026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BA1826"/>
    <w:multiLevelType w:val="hybridMultilevel"/>
    <w:tmpl w:val="525E5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560647"/>
    <w:multiLevelType w:val="hybridMultilevel"/>
    <w:tmpl w:val="06764EE2"/>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A0CEB"/>
    <w:multiLevelType w:val="hybridMultilevel"/>
    <w:tmpl w:val="EA704944"/>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E46A75"/>
    <w:multiLevelType w:val="hybridMultilevel"/>
    <w:tmpl w:val="0DE43164"/>
    <w:lvl w:ilvl="0" w:tplc="04090001">
      <w:start w:val="1"/>
      <w:numFmt w:val="bullet"/>
      <w:lvlText w:val=""/>
      <w:lvlJc w:val="left"/>
      <w:pPr>
        <w:ind w:left="2160" w:hanging="360"/>
      </w:pPr>
      <w:rPr>
        <w:rFonts w:ascii="Symbol" w:hAnsi="Symbol" w:hint="default"/>
      </w:rPr>
    </w:lvl>
    <w:lvl w:ilvl="1" w:tplc="B148C70C">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576949"/>
    <w:multiLevelType w:val="hybridMultilevel"/>
    <w:tmpl w:val="21A4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9029CD"/>
    <w:multiLevelType w:val="hybridMultilevel"/>
    <w:tmpl w:val="D5F4964E"/>
    <w:lvl w:ilvl="0" w:tplc="57583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366039E2"/>
    <w:multiLevelType w:val="hybridMultilevel"/>
    <w:tmpl w:val="C180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41FC185F"/>
    <w:multiLevelType w:val="hybridMultilevel"/>
    <w:tmpl w:val="510A742C"/>
    <w:lvl w:ilvl="0" w:tplc="1CDA462E">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A2210D1"/>
    <w:multiLevelType w:val="hybridMultilevel"/>
    <w:tmpl w:val="C066B21A"/>
    <w:lvl w:ilvl="0" w:tplc="6E54161E">
      <w:start w:val="5"/>
      <w:numFmt w:val="bullet"/>
      <w:lvlText w:val=""/>
      <w:lvlJc w:val="left"/>
      <w:pPr>
        <w:ind w:left="2070" w:hanging="360"/>
      </w:pPr>
      <w:rPr>
        <w:rFonts w:ascii="Wingdings" w:eastAsia="Times New Roman" w:hAnsi="Wingdings" w:cs="Times New Roman" w:hint="default"/>
        <w:b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nsid w:val="63631C1A"/>
    <w:multiLevelType w:val="hybridMultilevel"/>
    <w:tmpl w:val="B14C4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7D06526"/>
    <w:multiLevelType w:val="multilevel"/>
    <w:tmpl w:val="4B08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9"/>
  </w:num>
  <w:num w:numId="4">
    <w:abstractNumId w:val="13"/>
  </w:num>
  <w:num w:numId="5">
    <w:abstractNumId w:val="17"/>
  </w:num>
  <w:num w:numId="6">
    <w:abstractNumId w:val="5"/>
  </w:num>
  <w:num w:numId="7">
    <w:abstractNumId w:val="18"/>
  </w:num>
  <w:num w:numId="8">
    <w:abstractNumId w:val="7"/>
  </w:num>
  <w:num w:numId="9">
    <w:abstractNumId w:val="16"/>
  </w:num>
  <w:num w:numId="10">
    <w:abstractNumId w:val="14"/>
  </w:num>
  <w:num w:numId="11">
    <w:abstractNumId w:val="3"/>
  </w:num>
  <w:num w:numId="12">
    <w:abstractNumId w:val="2"/>
  </w:num>
  <w:num w:numId="13">
    <w:abstractNumId w:val="12"/>
  </w:num>
  <w:num w:numId="14">
    <w:abstractNumId w:val="6"/>
  </w:num>
  <w:num w:numId="15">
    <w:abstractNumId w:val="8"/>
  </w:num>
  <w:num w:numId="16">
    <w:abstractNumId w:val="4"/>
  </w:num>
  <w:num w:numId="17">
    <w:abstractNumId w:val="15"/>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9F"/>
    <w:rsid w:val="00001C5D"/>
    <w:rsid w:val="00001C9E"/>
    <w:rsid w:val="00001DB2"/>
    <w:rsid w:val="000046C1"/>
    <w:rsid w:val="000079F9"/>
    <w:rsid w:val="000102CC"/>
    <w:rsid w:val="000120C9"/>
    <w:rsid w:val="00014E15"/>
    <w:rsid w:val="00017902"/>
    <w:rsid w:val="0002277A"/>
    <w:rsid w:val="00027828"/>
    <w:rsid w:val="00030B6F"/>
    <w:rsid w:val="00032A38"/>
    <w:rsid w:val="00032EBE"/>
    <w:rsid w:val="00036459"/>
    <w:rsid w:val="00040450"/>
    <w:rsid w:val="00043417"/>
    <w:rsid w:val="000451B8"/>
    <w:rsid w:val="00046B9C"/>
    <w:rsid w:val="00047219"/>
    <w:rsid w:val="00047C2C"/>
    <w:rsid w:val="00050570"/>
    <w:rsid w:val="00051046"/>
    <w:rsid w:val="000527D0"/>
    <w:rsid w:val="00052EA8"/>
    <w:rsid w:val="00056713"/>
    <w:rsid w:val="0006025F"/>
    <w:rsid w:val="00066729"/>
    <w:rsid w:val="000717F5"/>
    <w:rsid w:val="000737EB"/>
    <w:rsid w:val="00077BC0"/>
    <w:rsid w:val="00081AF6"/>
    <w:rsid w:val="00084839"/>
    <w:rsid w:val="0009249F"/>
    <w:rsid w:val="00092BFD"/>
    <w:rsid w:val="00094872"/>
    <w:rsid w:val="000A24C9"/>
    <w:rsid w:val="000A32CB"/>
    <w:rsid w:val="000A7824"/>
    <w:rsid w:val="000B03C1"/>
    <w:rsid w:val="000B2438"/>
    <w:rsid w:val="000B38F2"/>
    <w:rsid w:val="000B3997"/>
    <w:rsid w:val="000B3E82"/>
    <w:rsid w:val="000B5946"/>
    <w:rsid w:val="000C3C67"/>
    <w:rsid w:val="000C4F85"/>
    <w:rsid w:val="000C5C35"/>
    <w:rsid w:val="000C6D17"/>
    <w:rsid w:val="000C790B"/>
    <w:rsid w:val="000C7F47"/>
    <w:rsid w:val="000D2B6D"/>
    <w:rsid w:val="000D3F6E"/>
    <w:rsid w:val="000D56A5"/>
    <w:rsid w:val="000D6C24"/>
    <w:rsid w:val="000E0181"/>
    <w:rsid w:val="000E15BD"/>
    <w:rsid w:val="000E3996"/>
    <w:rsid w:val="000E5A6B"/>
    <w:rsid w:val="000E7D0E"/>
    <w:rsid w:val="000F0933"/>
    <w:rsid w:val="000F3AD7"/>
    <w:rsid w:val="000F3E24"/>
    <w:rsid w:val="000F56DC"/>
    <w:rsid w:val="000F57F5"/>
    <w:rsid w:val="000F5D10"/>
    <w:rsid w:val="0010380E"/>
    <w:rsid w:val="00104B6C"/>
    <w:rsid w:val="001050BB"/>
    <w:rsid w:val="00111FC7"/>
    <w:rsid w:val="00114005"/>
    <w:rsid w:val="001142F3"/>
    <w:rsid w:val="00114590"/>
    <w:rsid w:val="0011562F"/>
    <w:rsid w:val="00115C14"/>
    <w:rsid w:val="0011686C"/>
    <w:rsid w:val="00122ACB"/>
    <w:rsid w:val="001252D6"/>
    <w:rsid w:val="00130AFC"/>
    <w:rsid w:val="00132557"/>
    <w:rsid w:val="00135501"/>
    <w:rsid w:val="00135538"/>
    <w:rsid w:val="0013553B"/>
    <w:rsid w:val="00143640"/>
    <w:rsid w:val="00143D8F"/>
    <w:rsid w:val="00144122"/>
    <w:rsid w:val="001445F3"/>
    <w:rsid w:val="001447E1"/>
    <w:rsid w:val="001451A4"/>
    <w:rsid w:val="00150122"/>
    <w:rsid w:val="0015088F"/>
    <w:rsid w:val="00151FA0"/>
    <w:rsid w:val="00153107"/>
    <w:rsid w:val="0015394A"/>
    <w:rsid w:val="00155C6E"/>
    <w:rsid w:val="0016037F"/>
    <w:rsid w:val="00160AEF"/>
    <w:rsid w:val="00160CE2"/>
    <w:rsid w:val="00165003"/>
    <w:rsid w:val="00165CC8"/>
    <w:rsid w:val="00166BCD"/>
    <w:rsid w:val="00166D50"/>
    <w:rsid w:val="001701AD"/>
    <w:rsid w:val="001701C1"/>
    <w:rsid w:val="00171C4F"/>
    <w:rsid w:val="00172892"/>
    <w:rsid w:val="001740EE"/>
    <w:rsid w:val="00175868"/>
    <w:rsid w:val="001777B7"/>
    <w:rsid w:val="00177A45"/>
    <w:rsid w:val="001801BB"/>
    <w:rsid w:val="00180DF3"/>
    <w:rsid w:val="00181ED9"/>
    <w:rsid w:val="00182B15"/>
    <w:rsid w:val="001839AB"/>
    <w:rsid w:val="0018650B"/>
    <w:rsid w:val="00187C30"/>
    <w:rsid w:val="001913EA"/>
    <w:rsid w:val="00192F11"/>
    <w:rsid w:val="00196138"/>
    <w:rsid w:val="0019763C"/>
    <w:rsid w:val="001A091F"/>
    <w:rsid w:val="001A3733"/>
    <w:rsid w:val="001A3D64"/>
    <w:rsid w:val="001A7B58"/>
    <w:rsid w:val="001B0209"/>
    <w:rsid w:val="001B1980"/>
    <w:rsid w:val="001B25C7"/>
    <w:rsid w:val="001B25DD"/>
    <w:rsid w:val="001B3408"/>
    <w:rsid w:val="001B79BD"/>
    <w:rsid w:val="001C3EB4"/>
    <w:rsid w:val="001C4ED4"/>
    <w:rsid w:val="001C5464"/>
    <w:rsid w:val="001C6E6B"/>
    <w:rsid w:val="001D1C2C"/>
    <w:rsid w:val="001E05B3"/>
    <w:rsid w:val="001E0D8A"/>
    <w:rsid w:val="001E1688"/>
    <w:rsid w:val="001E17D1"/>
    <w:rsid w:val="001E2642"/>
    <w:rsid w:val="001E3416"/>
    <w:rsid w:val="001E437A"/>
    <w:rsid w:val="001E6CC1"/>
    <w:rsid w:val="001F07FC"/>
    <w:rsid w:val="001F16E4"/>
    <w:rsid w:val="001F22BA"/>
    <w:rsid w:val="001F256B"/>
    <w:rsid w:val="001F2C2C"/>
    <w:rsid w:val="001F72CC"/>
    <w:rsid w:val="0020194C"/>
    <w:rsid w:val="00201A13"/>
    <w:rsid w:val="00202F29"/>
    <w:rsid w:val="00203A57"/>
    <w:rsid w:val="0020550F"/>
    <w:rsid w:val="002068F3"/>
    <w:rsid w:val="0020758A"/>
    <w:rsid w:val="00207770"/>
    <w:rsid w:val="00211CDD"/>
    <w:rsid w:val="00213D9E"/>
    <w:rsid w:val="00214B1A"/>
    <w:rsid w:val="00217F74"/>
    <w:rsid w:val="002209D1"/>
    <w:rsid w:val="00223733"/>
    <w:rsid w:val="002337A5"/>
    <w:rsid w:val="00236DBA"/>
    <w:rsid w:val="00237AC8"/>
    <w:rsid w:val="00237FA4"/>
    <w:rsid w:val="00240C24"/>
    <w:rsid w:val="0024159A"/>
    <w:rsid w:val="00241B25"/>
    <w:rsid w:val="00242610"/>
    <w:rsid w:val="00243569"/>
    <w:rsid w:val="0024712D"/>
    <w:rsid w:val="002479C7"/>
    <w:rsid w:val="00251829"/>
    <w:rsid w:val="00251DC6"/>
    <w:rsid w:val="00253207"/>
    <w:rsid w:val="002616AB"/>
    <w:rsid w:val="0026455D"/>
    <w:rsid w:val="00264786"/>
    <w:rsid w:val="00264BA8"/>
    <w:rsid w:val="00271C33"/>
    <w:rsid w:val="002726E8"/>
    <w:rsid w:val="002733AE"/>
    <w:rsid w:val="0027509C"/>
    <w:rsid w:val="0027650C"/>
    <w:rsid w:val="00276DC4"/>
    <w:rsid w:val="00277746"/>
    <w:rsid w:val="0028015C"/>
    <w:rsid w:val="00280555"/>
    <w:rsid w:val="002834C8"/>
    <w:rsid w:val="0028451C"/>
    <w:rsid w:val="0028502F"/>
    <w:rsid w:val="00285117"/>
    <w:rsid w:val="002852AF"/>
    <w:rsid w:val="00285389"/>
    <w:rsid w:val="002875E5"/>
    <w:rsid w:val="0029252D"/>
    <w:rsid w:val="002952E4"/>
    <w:rsid w:val="002978CB"/>
    <w:rsid w:val="002A068F"/>
    <w:rsid w:val="002A132B"/>
    <w:rsid w:val="002A3472"/>
    <w:rsid w:val="002A60E9"/>
    <w:rsid w:val="002B0FBA"/>
    <w:rsid w:val="002B1308"/>
    <w:rsid w:val="002B1F5A"/>
    <w:rsid w:val="002B4855"/>
    <w:rsid w:val="002B68D4"/>
    <w:rsid w:val="002B789B"/>
    <w:rsid w:val="002B7CC8"/>
    <w:rsid w:val="002C0623"/>
    <w:rsid w:val="002C1AB0"/>
    <w:rsid w:val="002C28C5"/>
    <w:rsid w:val="002C2D8B"/>
    <w:rsid w:val="002C2F9B"/>
    <w:rsid w:val="002C704F"/>
    <w:rsid w:val="002D3AD2"/>
    <w:rsid w:val="002D5F55"/>
    <w:rsid w:val="002D64BF"/>
    <w:rsid w:val="002E027C"/>
    <w:rsid w:val="002E2196"/>
    <w:rsid w:val="002E3A46"/>
    <w:rsid w:val="002F00D0"/>
    <w:rsid w:val="002F228B"/>
    <w:rsid w:val="002F3AE1"/>
    <w:rsid w:val="002F5402"/>
    <w:rsid w:val="00301B11"/>
    <w:rsid w:val="00301F68"/>
    <w:rsid w:val="003040BD"/>
    <w:rsid w:val="0030476F"/>
    <w:rsid w:val="00304A2B"/>
    <w:rsid w:val="00304BB1"/>
    <w:rsid w:val="003056E1"/>
    <w:rsid w:val="003101DE"/>
    <w:rsid w:val="003144A8"/>
    <w:rsid w:val="0031544F"/>
    <w:rsid w:val="00320020"/>
    <w:rsid w:val="003208E8"/>
    <w:rsid w:val="0032698A"/>
    <w:rsid w:val="00326C4E"/>
    <w:rsid w:val="00326D10"/>
    <w:rsid w:val="003273EC"/>
    <w:rsid w:val="00327789"/>
    <w:rsid w:val="00331994"/>
    <w:rsid w:val="00333CF2"/>
    <w:rsid w:val="00335742"/>
    <w:rsid w:val="00337E22"/>
    <w:rsid w:val="003405A8"/>
    <w:rsid w:val="00342421"/>
    <w:rsid w:val="00342500"/>
    <w:rsid w:val="00345576"/>
    <w:rsid w:val="0034627A"/>
    <w:rsid w:val="00347FF9"/>
    <w:rsid w:val="003553B2"/>
    <w:rsid w:val="00357003"/>
    <w:rsid w:val="0036119F"/>
    <w:rsid w:val="00361EDF"/>
    <w:rsid w:val="00363A6E"/>
    <w:rsid w:val="00364C9C"/>
    <w:rsid w:val="00366740"/>
    <w:rsid w:val="00370E2E"/>
    <w:rsid w:val="003720E6"/>
    <w:rsid w:val="00372DBB"/>
    <w:rsid w:val="003738F5"/>
    <w:rsid w:val="00375E07"/>
    <w:rsid w:val="003813E2"/>
    <w:rsid w:val="003817EC"/>
    <w:rsid w:val="00383744"/>
    <w:rsid w:val="00383CC4"/>
    <w:rsid w:val="00387967"/>
    <w:rsid w:val="003903B7"/>
    <w:rsid w:val="00392EB0"/>
    <w:rsid w:val="00394D48"/>
    <w:rsid w:val="003967B8"/>
    <w:rsid w:val="003A10E9"/>
    <w:rsid w:val="003A6C48"/>
    <w:rsid w:val="003A7E59"/>
    <w:rsid w:val="003B0079"/>
    <w:rsid w:val="003B0FE3"/>
    <w:rsid w:val="003B1791"/>
    <w:rsid w:val="003B25EA"/>
    <w:rsid w:val="003B4865"/>
    <w:rsid w:val="003B536D"/>
    <w:rsid w:val="003B6466"/>
    <w:rsid w:val="003B6C37"/>
    <w:rsid w:val="003C2E03"/>
    <w:rsid w:val="003C2E70"/>
    <w:rsid w:val="003C43CB"/>
    <w:rsid w:val="003C53D4"/>
    <w:rsid w:val="003D32A5"/>
    <w:rsid w:val="003D661A"/>
    <w:rsid w:val="003E07A5"/>
    <w:rsid w:val="003E10F7"/>
    <w:rsid w:val="003E1510"/>
    <w:rsid w:val="003F136C"/>
    <w:rsid w:val="003F4744"/>
    <w:rsid w:val="003F53F9"/>
    <w:rsid w:val="003F5C8E"/>
    <w:rsid w:val="003F7E50"/>
    <w:rsid w:val="00402285"/>
    <w:rsid w:val="00403BA0"/>
    <w:rsid w:val="00404494"/>
    <w:rsid w:val="00404CDA"/>
    <w:rsid w:val="00404EC0"/>
    <w:rsid w:val="00405102"/>
    <w:rsid w:val="00405EA4"/>
    <w:rsid w:val="00413152"/>
    <w:rsid w:val="00413A88"/>
    <w:rsid w:val="004160E7"/>
    <w:rsid w:val="0041668A"/>
    <w:rsid w:val="00417078"/>
    <w:rsid w:val="004201CB"/>
    <w:rsid w:val="00421B48"/>
    <w:rsid w:val="00425033"/>
    <w:rsid w:val="0042665B"/>
    <w:rsid w:val="0043314C"/>
    <w:rsid w:val="00434803"/>
    <w:rsid w:val="00436137"/>
    <w:rsid w:val="0044091D"/>
    <w:rsid w:val="00442C1B"/>
    <w:rsid w:val="004434DE"/>
    <w:rsid w:val="00443EFA"/>
    <w:rsid w:val="004442E7"/>
    <w:rsid w:val="00444E4B"/>
    <w:rsid w:val="00453313"/>
    <w:rsid w:val="0045434C"/>
    <w:rsid w:val="00454C82"/>
    <w:rsid w:val="00455CCF"/>
    <w:rsid w:val="00455E09"/>
    <w:rsid w:val="00457695"/>
    <w:rsid w:val="0045788B"/>
    <w:rsid w:val="00461C5D"/>
    <w:rsid w:val="004622D0"/>
    <w:rsid w:val="004640B2"/>
    <w:rsid w:val="0046501B"/>
    <w:rsid w:val="0046628E"/>
    <w:rsid w:val="00471BE4"/>
    <w:rsid w:val="00472D8D"/>
    <w:rsid w:val="00474445"/>
    <w:rsid w:val="00474D81"/>
    <w:rsid w:val="00474EA8"/>
    <w:rsid w:val="004764F8"/>
    <w:rsid w:val="00480709"/>
    <w:rsid w:val="00483156"/>
    <w:rsid w:val="00487813"/>
    <w:rsid w:val="00490E1F"/>
    <w:rsid w:val="00491C5A"/>
    <w:rsid w:val="00493353"/>
    <w:rsid w:val="00493D01"/>
    <w:rsid w:val="004942EC"/>
    <w:rsid w:val="00495BB8"/>
    <w:rsid w:val="00496D1F"/>
    <w:rsid w:val="00497FBF"/>
    <w:rsid w:val="004A16D4"/>
    <w:rsid w:val="004A19E9"/>
    <w:rsid w:val="004A2513"/>
    <w:rsid w:val="004A610A"/>
    <w:rsid w:val="004B0535"/>
    <w:rsid w:val="004B1D31"/>
    <w:rsid w:val="004B3B07"/>
    <w:rsid w:val="004B42B8"/>
    <w:rsid w:val="004B68D5"/>
    <w:rsid w:val="004B70A8"/>
    <w:rsid w:val="004C08E0"/>
    <w:rsid w:val="004C356C"/>
    <w:rsid w:val="004C35A5"/>
    <w:rsid w:val="004D1A20"/>
    <w:rsid w:val="004D4079"/>
    <w:rsid w:val="004D7BAE"/>
    <w:rsid w:val="004E4E4B"/>
    <w:rsid w:val="004E7E4F"/>
    <w:rsid w:val="004F4B1C"/>
    <w:rsid w:val="004F7D2E"/>
    <w:rsid w:val="00502648"/>
    <w:rsid w:val="00502E0E"/>
    <w:rsid w:val="005045C5"/>
    <w:rsid w:val="0050650D"/>
    <w:rsid w:val="00507B9E"/>
    <w:rsid w:val="005122D7"/>
    <w:rsid w:val="00513CAF"/>
    <w:rsid w:val="00514684"/>
    <w:rsid w:val="00516AB0"/>
    <w:rsid w:val="00520686"/>
    <w:rsid w:val="00521DC9"/>
    <w:rsid w:val="005231F7"/>
    <w:rsid w:val="005271BA"/>
    <w:rsid w:val="00527902"/>
    <w:rsid w:val="00530CF3"/>
    <w:rsid w:val="00531163"/>
    <w:rsid w:val="00532DA5"/>
    <w:rsid w:val="005333A1"/>
    <w:rsid w:val="005334A9"/>
    <w:rsid w:val="00535A91"/>
    <w:rsid w:val="00544B54"/>
    <w:rsid w:val="00550BA5"/>
    <w:rsid w:val="00551590"/>
    <w:rsid w:val="005522FC"/>
    <w:rsid w:val="00552847"/>
    <w:rsid w:val="005530E9"/>
    <w:rsid w:val="005540E6"/>
    <w:rsid w:val="0056090C"/>
    <w:rsid w:val="00561B8C"/>
    <w:rsid w:val="00563258"/>
    <w:rsid w:val="00565E58"/>
    <w:rsid w:val="00565F62"/>
    <w:rsid w:val="00566109"/>
    <w:rsid w:val="00566849"/>
    <w:rsid w:val="00566987"/>
    <w:rsid w:val="00570FA1"/>
    <w:rsid w:val="00570FE0"/>
    <w:rsid w:val="0057115A"/>
    <w:rsid w:val="0057248D"/>
    <w:rsid w:val="005734DE"/>
    <w:rsid w:val="00573836"/>
    <w:rsid w:val="00577A88"/>
    <w:rsid w:val="005820D6"/>
    <w:rsid w:val="005824C3"/>
    <w:rsid w:val="00582529"/>
    <w:rsid w:val="005836F9"/>
    <w:rsid w:val="00583ED3"/>
    <w:rsid w:val="005849DC"/>
    <w:rsid w:val="00584B58"/>
    <w:rsid w:val="00585895"/>
    <w:rsid w:val="005866B8"/>
    <w:rsid w:val="00587976"/>
    <w:rsid w:val="00591C19"/>
    <w:rsid w:val="00593650"/>
    <w:rsid w:val="0059386E"/>
    <w:rsid w:val="00593F4E"/>
    <w:rsid w:val="00594289"/>
    <w:rsid w:val="00595856"/>
    <w:rsid w:val="005A00B8"/>
    <w:rsid w:val="005A5F8F"/>
    <w:rsid w:val="005A6AAF"/>
    <w:rsid w:val="005A7152"/>
    <w:rsid w:val="005B10D7"/>
    <w:rsid w:val="005B3901"/>
    <w:rsid w:val="005B3CE7"/>
    <w:rsid w:val="005B7E6C"/>
    <w:rsid w:val="005C0DE6"/>
    <w:rsid w:val="005C51A0"/>
    <w:rsid w:val="005C51E3"/>
    <w:rsid w:val="005C5229"/>
    <w:rsid w:val="005C6B89"/>
    <w:rsid w:val="005C786E"/>
    <w:rsid w:val="005D323D"/>
    <w:rsid w:val="005D3AED"/>
    <w:rsid w:val="005D5BD1"/>
    <w:rsid w:val="005D61AD"/>
    <w:rsid w:val="005D634C"/>
    <w:rsid w:val="005E262A"/>
    <w:rsid w:val="005E2739"/>
    <w:rsid w:val="005E37A2"/>
    <w:rsid w:val="005E5DD6"/>
    <w:rsid w:val="005E5E46"/>
    <w:rsid w:val="005E6290"/>
    <w:rsid w:val="005E7590"/>
    <w:rsid w:val="005E75E6"/>
    <w:rsid w:val="005F196F"/>
    <w:rsid w:val="005F3708"/>
    <w:rsid w:val="005F6745"/>
    <w:rsid w:val="005F7508"/>
    <w:rsid w:val="00603FB0"/>
    <w:rsid w:val="0060568E"/>
    <w:rsid w:val="00607C15"/>
    <w:rsid w:val="00607F05"/>
    <w:rsid w:val="006109D1"/>
    <w:rsid w:val="0061282D"/>
    <w:rsid w:val="00613478"/>
    <w:rsid w:val="006135E9"/>
    <w:rsid w:val="00614CCB"/>
    <w:rsid w:val="00623BD4"/>
    <w:rsid w:val="00627901"/>
    <w:rsid w:val="006309D8"/>
    <w:rsid w:val="00630F31"/>
    <w:rsid w:val="00633CB9"/>
    <w:rsid w:val="0063444C"/>
    <w:rsid w:val="006348CF"/>
    <w:rsid w:val="00636FDD"/>
    <w:rsid w:val="00640342"/>
    <w:rsid w:val="00640C51"/>
    <w:rsid w:val="00644B72"/>
    <w:rsid w:val="00645C85"/>
    <w:rsid w:val="006558B2"/>
    <w:rsid w:val="0066156E"/>
    <w:rsid w:val="00661999"/>
    <w:rsid w:val="00662B19"/>
    <w:rsid w:val="00663199"/>
    <w:rsid w:val="00665110"/>
    <w:rsid w:val="00665655"/>
    <w:rsid w:val="006709E0"/>
    <w:rsid w:val="006728A4"/>
    <w:rsid w:val="006731BD"/>
    <w:rsid w:val="00675B4A"/>
    <w:rsid w:val="00677391"/>
    <w:rsid w:val="00680903"/>
    <w:rsid w:val="00681723"/>
    <w:rsid w:val="0068189A"/>
    <w:rsid w:val="00681C0C"/>
    <w:rsid w:val="00682B00"/>
    <w:rsid w:val="00683347"/>
    <w:rsid w:val="00683443"/>
    <w:rsid w:val="00684FD2"/>
    <w:rsid w:val="00687557"/>
    <w:rsid w:val="006904D1"/>
    <w:rsid w:val="00690BD9"/>
    <w:rsid w:val="00691A3E"/>
    <w:rsid w:val="00692457"/>
    <w:rsid w:val="00693B28"/>
    <w:rsid w:val="00695874"/>
    <w:rsid w:val="006A0AAA"/>
    <w:rsid w:val="006A0F9E"/>
    <w:rsid w:val="006A1936"/>
    <w:rsid w:val="006A38C5"/>
    <w:rsid w:val="006A49C1"/>
    <w:rsid w:val="006A5050"/>
    <w:rsid w:val="006A6DB6"/>
    <w:rsid w:val="006B2039"/>
    <w:rsid w:val="006B469E"/>
    <w:rsid w:val="006B489B"/>
    <w:rsid w:val="006B5022"/>
    <w:rsid w:val="006C0938"/>
    <w:rsid w:val="006C119E"/>
    <w:rsid w:val="006C1B03"/>
    <w:rsid w:val="006C4058"/>
    <w:rsid w:val="006C64C8"/>
    <w:rsid w:val="006D5824"/>
    <w:rsid w:val="006D5BF9"/>
    <w:rsid w:val="006D6EA2"/>
    <w:rsid w:val="006D700C"/>
    <w:rsid w:val="006E01C6"/>
    <w:rsid w:val="006E1CAB"/>
    <w:rsid w:val="006E2681"/>
    <w:rsid w:val="006E358C"/>
    <w:rsid w:val="006E73D2"/>
    <w:rsid w:val="006F1084"/>
    <w:rsid w:val="006F1B07"/>
    <w:rsid w:val="006F29C2"/>
    <w:rsid w:val="006F632D"/>
    <w:rsid w:val="007000F4"/>
    <w:rsid w:val="007026BF"/>
    <w:rsid w:val="00703742"/>
    <w:rsid w:val="00703E85"/>
    <w:rsid w:val="007054B8"/>
    <w:rsid w:val="00706B2F"/>
    <w:rsid w:val="00706FF1"/>
    <w:rsid w:val="00710103"/>
    <w:rsid w:val="00711178"/>
    <w:rsid w:val="00715936"/>
    <w:rsid w:val="00727213"/>
    <w:rsid w:val="007312DD"/>
    <w:rsid w:val="00731469"/>
    <w:rsid w:val="00732B39"/>
    <w:rsid w:val="0073323C"/>
    <w:rsid w:val="007347FB"/>
    <w:rsid w:val="0074146F"/>
    <w:rsid w:val="007447DD"/>
    <w:rsid w:val="007452E0"/>
    <w:rsid w:val="0075145C"/>
    <w:rsid w:val="007552D2"/>
    <w:rsid w:val="0075691C"/>
    <w:rsid w:val="00757EFA"/>
    <w:rsid w:val="00760507"/>
    <w:rsid w:val="00761823"/>
    <w:rsid w:val="0076243C"/>
    <w:rsid w:val="007665D0"/>
    <w:rsid w:val="0076677D"/>
    <w:rsid w:val="00773D1A"/>
    <w:rsid w:val="007747A9"/>
    <w:rsid w:val="00774BC9"/>
    <w:rsid w:val="00775D51"/>
    <w:rsid w:val="00781A78"/>
    <w:rsid w:val="00786A6D"/>
    <w:rsid w:val="00791C9F"/>
    <w:rsid w:val="00791E55"/>
    <w:rsid w:val="00792BAD"/>
    <w:rsid w:val="0079301A"/>
    <w:rsid w:val="00795437"/>
    <w:rsid w:val="00796893"/>
    <w:rsid w:val="007A2165"/>
    <w:rsid w:val="007A2543"/>
    <w:rsid w:val="007A59DC"/>
    <w:rsid w:val="007A602D"/>
    <w:rsid w:val="007A6BCA"/>
    <w:rsid w:val="007B0216"/>
    <w:rsid w:val="007B1952"/>
    <w:rsid w:val="007B1D1B"/>
    <w:rsid w:val="007B2665"/>
    <w:rsid w:val="007C04DC"/>
    <w:rsid w:val="007C0741"/>
    <w:rsid w:val="007C1164"/>
    <w:rsid w:val="007C20A3"/>
    <w:rsid w:val="007C5761"/>
    <w:rsid w:val="007D2B12"/>
    <w:rsid w:val="007D6A2C"/>
    <w:rsid w:val="007E0781"/>
    <w:rsid w:val="007E3F61"/>
    <w:rsid w:val="007E6E4E"/>
    <w:rsid w:val="007E7224"/>
    <w:rsid w:val="007F1C18"/>
    <w:rsid w:val="007F202F"/>
    <w:rsid w:val="00800FD9"/>
    <w:rsid w:val="00802708"/>
    <w:rsid w:val="008030B8"/>
    <w:rsid w:val="008044F6"/>
    <w:rsid w:val="00805325"/>
    <w:rsid w:val="0080605C"/>
    <w:rsid w:val="00806C03"/>
    <w:rsid w:val="00812D3F"/>
    <w:rsid w:val="00821F32"/>
    <w:rsid w:val="0082386F"/>
    <w:rsid w:val="00824549"/>
    <w:rsid w:val="00824BDD"/>
    <w:rsid w:val="0082586C"/>
    <w:rsid w:val="0082676F"/>
    <w:rsid w:val="00826F0A"/>
    <w:rsid w:val="008275FE"/>
    <w:rsid w:val="00830103"/>
    <w:rsid w:val="008315A9"/>
    <w:rsid w:val="00831882"/>
    <w:rsid w:val="008334FE"/>
    <w:rsid w:val="00835364"/>
    <w:rsid w:val="00840ADC"/>
    <w:rsid w:val="0084142A"/>
    <w:rsid w:val="00841459"/>
    <w:rsid w:val="00842117"/>
    <w:rsid w:val="00844131"/>
    <w:rsid w:val="00846F18"/>
    <w:rsid w:val="008473D1"/>
    <w:rsid w:val="00847A54"/>
    <w:rsid w:val="00847BE1"/>
    <w:rsid w:val="00847FD9"/>
    <w:rsid w:val="00854F7C"/>
    <w:rsid w:val="00866924"/>
    <w:rsid w:val="00866C62"/>
    <w:rsid w:val="00870AC3"/>
    <w:rsid w:val="0087426C"/>
    <w:rsid w:val="00876818"/>
    <w:rsid w:val="00880E22"/>
    <w:rsid w:val="00881029"/>
    <w:rsid w:val="00882552"/>
    <w:rsid w:val="00883239"/>
    <w:rsid w:val="00884898"/>
    <w:rsid w:val="00885D9B"/>
    <w:rsid w:val="0088756C"/>
    <w:rsid w:val="008900F4"/>
    <w:rsid w:val="00890A16"/>
    <w:rsid w:val="00892DC3"/>
    <w:rsid w:val="00894BEC"/>
    <w:rsid w:val="00895133"/>
    <w:rsid w:val="00895375"/>
    <w:rsid w:val="008958E5"/>
    <w:rsid w:val="00895C5E"/>
    <w:rsid w:val="00896E37"/>
    <w:rsid w:val="008A1C15"/>
    <w:rsid w:val="008B047D"/>
    <w:rsid w:val="008B10D8"/>
    <w:rsid w:val="008B2B34"/>
    <w:rsid w:val="008B4649"/>
    <w:rsid w:val="008B4FB6"/>
    <w:rsid w:val="008B5D1E"/>
    <w:rsid w:val="008B75A1"/>
    <w:rsid w:val="008B764A"/>
    <w:rsid w:val="008C070C"/>
    <w:rsid w:val="008C124F"/>
    <w:rsid w:val="008C1567"/>
    <w:rsid w:val="008C1871"/>
    <w:rsid w:val="008C5026"/>
    <w:rsid w:val="008C574B"/>
    <w:rsid w:val="008C5E18"/>
    <w:rsid w:val="008C7826"/>
    <w:rsid w:val="008E2E1D"/>
    <w:rsid w:val="008E503D"/>
    <w:rsid w:val="008E56D6"/>
    <w:rsid w:val="008E5B91"/>
    <w:rsid w:val="008E66EC"/>
    <w:rsid w:val="008F036C"/>
    <w:rsid w:val="008F086E"/>
    <w:rsid w:val="008F2794"/>
    <w:rsid w:val="008F34AF"/>
    <w:rsid w:val="008F4942"/>
    <w:rsid w:val="008F549C"/>
    <w:rsid w:val="008F7D01"/>
    <w:rsid w:val="00903D5F"/>
    <w:rsid w:val="00905C0E"/>
    <w:rsid w:val="00906327"/>
    <w:rsid w:val="009078CE"/>
    <w:rsid w:val="00912C73"/>
    <w:rsid w:val="00913FD7"/>
    <w:rsid w:val="009147F3"/>
    <w:rsid w:val="00917687"/>
    <w:rsid w:val="0092172A"/>
    <w:rsid w:val="009249E6"/>
    <w:rsid w:val="0093288D"/>
    <w:rsid w:val="009328A1"/>
    <w:rsid w:val="0093324A"/>
    <w:rsid w:val="00934033"/>
    <w:rsid w:val="00934604"/>
    <w:rsid w:val="0093580E"/>
    <w:rsid w:val="00936A0A"/>
    <w:rsid w:val="00943E1F"/>
    <w:rsid w:val="00944EA2"/>
    <w:rsid w:val="00945DFA"/>
    <w:rsid w:val="00946D74"/>
    <w:rsid w:val="00947910"/>
    <w:rsid w:val="00947B98"/>
    <w:rsid w:val="0095040A"/>
    <w:rsid w:val="00950622"/>
    <w:rsid w:val="00950625"/>
    <w:rsid w:val="009508ED"/>
    <w:rsid w:val="0095099C"/>
    <w:rsid w:val="00951360"/>
    <w:rsid w:val="00951CB3"/>
    <w:rsid w:val="00954084"/>
    <w:rsid w:val="00960A18"/>
    <w:rsid w:val="00961FEC"/>
    <w:rsid w:val="00963224"/>
    <w:rsid w:val="009633F3"/>
    <w:rsid w:val="00963BE4"/>
    <w:rsid w:val="0096523F"/>
    <w:rsid w:val="0096568B"/>
    <w:rsid w:val="00966A65"/>
    <w:rsid w:val="00967D8F"/>
    <w:rsid w:val="00972BC7"/>
    <w:rsid w:val="0097486D"/>
    <w:rsid w:val="00980432"/>
    <w:rsid w:val="00982EC5"/>
    <w:rsid w:val="00985497"/>
    <w:rsid w:val="00986AED"/>
    <w:rsid w:val="00990BE1"/>
    <w:rsid w:val="009913E0"/>
    <w:rsid w:val="00996333"/>
    <w:rsid w:val="009A6E86"/>
    <w:rsid w:val="009A7222"/>
    <w:rsid w:val="009A754F"/>
    <w:rsid w:val="009B0CA6"/>
    <w:rsid w:val="009B19B1"/>
    <w:rsid w:val="009B4B5B"/>
    <w:rsid w:val="009B5C2E"/>
    <w:rsid w:val="009B69A5"/>
    <w:rsid w:val="009C2BBA"/>
    <w:rsid w:val="009C3E36"/>
    <w:rsid w:val="009C4BE0"/>
    <w:rsid w:val="009C65EA"/>
    <w:rsid w:val="009C7F25"/>
    <w:rsid w:val="009D1E9B"/>
    <w:rsid w:val="009D20F6"/>
    <w:rsid w:val="009D2F49"/>
    <w:rsid w:val="009D2FA4"/>
    <w:rsid w:val="009D39A8"/>
    <w:rsid w:val="009D629E"/>
    <w:rsid w:val="009D6517"/>
    <w:rsid w:val="009D6D80"/>
    <w:rsid w:val="009D6F7A"/>
    <w:rsid w:val="009E17BA"/>
    <w:rsid w:val="009E5D0E"/>
    <w:rsid w:val="009E6C2B"/>
    <w:rsid w:val="009F0771"/>
    <w:rsid w:val="009F2C15"/>
    <w:rsid w:val="009F4ABF"/>
    <w:rsid w:val="009F4B18"/>
    <w:rsid w:val="009F5BED"/>
    <w:rsid w:val="00A02E46"/>
    <w:rsid w:val="00A0427D"/>
    <w:rsid w:val="00A043C4"/>
    <w:rsid w:val="00A05519"/>
    <w:rsid w:val="00A06FCD"/>
    <w:rsid w:val="00A07CF7"/>
    <w:rsid w:val="00A14C4F"/>
    <w:rsid w:val="00A167A0"/>
    <w:rsid w:val="00A1694B"/>
    <w:rsid w:val="00A22BE3"/>
    <w:rsid w:val="00A237A6"/>
    <w:rsid w:val="00A24836"/>
    <w:rsid w:val="00A25815"/>
    <w:rsid w:val="00A25D1A"/>
    <w:rsid w:val="00A3006E"/>
    <w:rsid w:val="00A32720"/>
    <w:rsid w:val="00A3348B"/>
    <w:rsid w:val="00A35168"/>
    <w:rsid w:val="00A35440"/>
    <w:rsid w:val="00A35C7F"/>
    <w:rsid w:val="00A3687E"/>
    <w:rsid w:val="00A37293"/>
    <w:rsid w:val="00A4105D"/>
    <w:rsid w:val="00A42B89"/>
    <w:rsid w:val="00A4467A"/>
    <w:rsid w:val="00A46631"/>
    <w:rsid w:val="00A47735"/>
    <w:rsid w:val="00A505F1"/>
    <w:rsid w:val="00A508AB"/>
    <w:rsid w:val="00A51C0D"/>
    <w:rsid w:val="00A53BBF"/>
    <w:rsid w:val="00A54EF3"/>
    <w:rsid w:val="00A579D3"/>
    <w:rsid w:val="00A57B14"/>
    <w:rsid w:val="00A60239"/>
    <w:rsid w:val="00A6163D"/>
    <w:rsid w:val="00A61950"/>
    <w:rsid w:val="00A67B73"/>
    <w:rsid w:val="00A67DB5"/>
    <w:rsid w:val="00A71A56"/>
    <w:rsid w:val="00A71BCC"/>
    <w:rsid w:val="00A73DA6"/>
    <w:rsid w:val="00A750AB"/>
    <w:rsid w:val="00A76DA6"/>
    <w:rsid w:val="00A7769E"/>
    <w:rsid w:val="00A77A4E"/>
    <w:rsid w:val="00A8058D"/>
    <w:rsid w:val="00A80F80"/>
    <w:rsid w:val="00A82E0D"/>
    <w:rsid w:val="00A8341B"/>
    <w:rsid w:val="00A83556"/>
    <w:rsid w:val="00A84038"/>
    <w:rsid w:val="00A84969"/>
    <w:rsid w:val="00A84C8B"/>
    <w:rsid w:val="00A90E7F"/>
    <w:rsid w:val="00A922C3"/>
    <w:rsid w:val="00A92BC7"/>
    <w:rsid w:val="00A9388E"/>
    <w:rsid w:val="00A96E72"/>
    <w:rsid w:val="00AA057C"/>
    <w:rsid w:val="00AA47CD"/>
    <w:rsid w:val="00AA5FA1"/>
    <w:rsid w:val="00AB457B"/>
    <w:rsid w:val="00AB4B56"/>
    <w:rsid w:val="00AB5780"/>
    <w:rsid w:val="00AB60A4"/>
    <w:rsid w:val="00AB66B7"/>
    <w:rsid w:val="00AB7015"/>
    <w:rsid w:val="00AB7353"/>
    <w:rsid w:val="00AC119A"/>
    <w:rsid w:val="00AC49A8"/>
    <w:rsid w:val="00AC7532"/>
    <w:rsid w:val="00AD0481"/>
    <w:rsid w:val="00AD07C1"/>
    <w:rsid w:val="00AD4C79"/>
    <w:rsid w:val="00AD7EB2"/>
    <w:rsid w:val="00AD7FB6"/>
    <w:rsid w:val="00AE0502"/>
    <w:rsid w:val="00AE1A55"/>
    <w:rsid w:val="00AE333C"/>
    <w:rsid w:val="00AE3791"/>
    <w:rsid w:val="00AF1158"/>
    <w:rsid w:val="00AF13F9"/>
    <w:rsid w:val="00AF2252"/>
    <w:rsid w:val="00AF40EC"/>
    <w:rsid w:val="00AF6A8E"/>
    <w:rsid w:val="00AF70B1"/>
    <w:rsid w:val="00AF7462"/>
    <w:rsid w:val="00B01D5B"/>
    <w:rsid w:val="00B0232B"/>
    <w:rsid w:val="00B026D0"/>
    <w:rsid w:val="00B028A5"/>
    <w:rsid w:val="00B03A87"/>
    <w:rsid w:val="00B047A8"/>
    <w:rsid w:val="00B04F5D"/>
    <w:rsid w:val="00B07CF8"/>
    <w:rsid w:val="00B124C4"/>
    <w:rsid w:val="00B16AD8"/>
    <w:rsid w:val="00B16FDC"/>
    <w:rsid w:val="00B23C26"/>
    <w:rsid w:val="00B26AA7"/>
    <w:rsid w:val="00B31A0C"/>
    <w:rsid w:val="00B3499A"/>
    <w:rsid w:val="00B359B0"/>
    <w:rsid w:val="00B3738B"/>
    <w:rsid w:val="00B37F11"/>
    <w:rsid w:val="00B417A4"/>
    <w:rsid w:val="00B440C2"/>
    <w:rsid w:val="00B44276"/>
    <w:rsid w:val="00B46717"/>
    <w:rsid w:val="00B46AF3"/>
    <w:rsid w:val="00B47FE2"/>
    <w:rsid w:val="00B54A7D"/>
    <w:rsid w:val="00B54D20"/>
    <w:rsid w:val="00B56C26"/>
    <w:rsid w:val="00B5718C"/>
    <w:rsid w:val="00B57952"/>
    <w:rsid w:val="00B63FF7"/>
    <w:rsid w:val="00B64E95"/>
    <w:rsid w:val="00B71A09"/>
    <w:rsid w:val="00B74752"/>
    <w:rsid w:val="00B7501E"/>
    <w:rsid w:val="00B831EF"/>
    <w:rsid w:val="00B8488F"/>
    <w:rsid w:val="00B86D3E"/>
    <w:rsid w:val="00B90ECF"/>
    <w:rsid w:val="00B915A9"/>
    <w:rsid w:val="00B9428E"/>
    <w:rsid w:val="00B96B7B"/>
    <w:rsid w:val="00B97E8D"/>
    <w:rsid w:val="00BA110E"/>
    <w:rsid w:val="00BA1481"/>
    <w:rsid w:val="00BA1F79"/>
    <w:rsid w:val="00BA211A"/>
    <w:rsid w:val="00BA2CAD"/>
    <w:rsid w:val="00BA34C0"/>
    <w:rsid w:val="00BA3771"/>
    <w:rsid w:val="00BA401A"/>
    <w:rsid w:val="00BA4F7E"/>
    <w:rsid w:val="00BA50BB"/>
    <w:rsid w:val="00BA62B3"/>
    <w:rsid w:val="00BA7726"/>
    <w:rsid w:val="00BB41C4"/>
    <w:rsid w:val="00BB4EAD"/>
    <w:rsid w:val="00BB531C"/>
    <w:rsid w:val="00BB6614"/>
    <w:rsid w:val="00BB6ECF"/>
    <w:rsid w:val="00BB727F"/>
    <w:rsid w:val="00BC02A3"/>
    <w:rsid w:val="00BC0574"/>
    <w:rsid w:val="00BC1FF4"/>
    <w:rsid w:val="00BC2853"/>
    <w:rsid w:val="00BC3289"/>
    <w:rsid w:val="00BC3B29"/>
    <w:rsid w:val="00BC4CDC"/>
    <w:rsid w:val="00BC56FE"/>
    <w:rsid w:val="00BC6523"/>
    <w:rsid w:val="00BD2939"/>
    <w:rsid w:val="00BD2FA9"/>
    <w:rsid w:val="00BD3ECA"/>
    <w:rsid w:val="00BD6760"/>
    <w:rsid w:val="00BD766C"/>
    <w:rsid w:val="00BD7F64"/>
    <w:rsid w:val="00BE202C"/>
    <w:rsid w:val="00BE2116"/>
    <w:rsid w:val="00BE2D45"/>
    <w:rsid w:val="00BE328C"/>
    <w:rsid w:val="00BE66BC"/>
    <w:rsid w:val="00BE7831"/>
    <w:rsid w:val="00BF0CD2"/>
    <w:rsid w:val="00BF692D"/>
    <w:rsid w:val="00C01E81"/>
    <w:rsid w:val="00C052D6"/>
    <w:rsid w:val="00C06D6E"/>
    <w:rsid w:val="00C10967"/>
    <w:rsid w:val="00C11D4C"/>
    <w:rsid w:val="00C1225D"/>
    <w:rsid w:val="00C17494"/>
    <w:rsid w:val="00C17ECC"/>
    <w:rsid w:val="00C20A07"/>
    <w:rsid w:val="00C21F78"/>
    <w:rsid w:val="00C21FE6"/>
    <w:rsid w:val="00C27E03"/>
    <w:rsid w:val="00C27EFF"/>
    <w:rsid w:val="00C311A5"/>
    <w:rsid w:val="00C3155D"/>
    <w:rsid w:val="00C34B3C"/>
    <w:rsid w:val="00C35917"/>
    <w:rsid w:val="00C369DC"/>
    <w:rsid w:val="00C417F0"/>
    <w:rsid w:val="00C43732"/>
    <w:rsid w:val="00C44D18"/>
    <w:rsid w:val="00C4525A"/>
    <w:rsid w:val="00C457B0"/>
    <w:rsid w:val="00C45970"/>
    <w:rsid w:val="00C45F4B"/>
    <w:rsid w:val="00C46B0E"/>
    <w:rsid w:val="00C4781A"/>
    <w:rsid w:val="00C5031D"/>
    <w:rsid w:val="00C507EB"/>
    <w:rsid w:val="00C5196D"/>
    <w:rsid w:val="00C52FE6"/>
    <w:rsid w:val="00C57702"/>
    <w:rsid w:val="00C60BF7"/>
    <w:rsid w:val="00C6212F"/>
    <w:rsid w:val="00C62F83"/>
    <w:rsid w:val="00C63549"/>
    <w:rsid w:val="00C66A8E"/>
    <w:rsid w:val="00C759A2"/>
    <w:rsid w:val="00C80044"/>
    <w:rsid w:val="00C803F8"/>
    <w:rsid w:val="00C818D1"/>
    <w:rsid w:val="00C86F54"/>
    <w:rsid w:val="00C86FEB"/>
    <w:rsid w:val="00C87B3E"/>
    <w:rsid w:val="00C90452"/>
    <w:rsid w:val="00C90A20"/>
    <w:rsid w:val="00C917B1"/>
    <w:rsid w:val="00C929F4"/>
    <w:rsid w:val="00C95861"/>
    <w:rsid w:val="00C96DB7"/>
    <w:rsid w:val="00C97400"/>
    <w:rsid w:val="00CA0562"/>
    <w:rsid w:val="00CA06CB"/>
    <w:rsid w:val="00CA0F1C"/>
    <w:rsid w:val="00CA57B9"/>
    <w:rsid w:val="00CA5AF5"/>
    <w:rsid w:val="00CB0FB2"/>
    <w:rsid w:val="00CB1A80"/>
    <w:rsid w:val="00CB3395"/>
    <w:rsid w:val="00CB456A"/>
    <w:rsid w:val="00CB6F5D"/>
    <w:rsid w:val="00CB7958"/>
    <w:rsid w:val="00CC2B29"/>
    <w:rsid w:val="00CC30B6"/>
    <w:rsid w:val="00CC32D7"/>
    <w:rsid w:val="00CC3344"/>
    <w:rsid w:val="00CC3B23"/>
    <w:rsid w:val="00CD0268"/>
    <w:rsid w:val="00CD6184"/>
    <w:rsid w:val="00CD72FC"/>
    <w:rsid w:val="00CD75F0"/>
    <w:rsid w:val="00CE0529"/>
    <w:rsid w:val="00CE1507"/>
    <w:rsid w:val="00CE1FE2"/>
    <w:rsid w:val="00CE3167"/>
    <w:rsid w:val="00CE6D89"/>
    <w:rsid w:val="00CF0426"/>
    <w:rsid w:val="00CF12D6"/>
    <w:rsid w:val="00D00912"/>
    <w:rsid w:val="00D03F84"/>
    <w:rsid w:val="00D048E6"/>
    <w:rsid w:val="00D04B3B"/>
    <w:rsid w:val="00D064A3"/>
    <w:rsid w:val="00D10389"/>
    <w:rsid w:val="00D10609"/>
    <w:rsid w:val="00D10A30"/>
    <w:rsid w:val="00D11979"/>
    <w:rsid w:val="00D127FA"/>
    <w:rsid w:val="00D1530C"/>
    <w:rsid w:val="00D174AF"/>
    <w:rsid w:val="00D20C7D"/>
    <w:rsid w:val="00D2460B"/>
    <w:rsid w:val="00D255FB"/>
    <w:rsid w:val="00D26052"/>
    <w:rsid w:val="00D270E2"/>
    <w:rsid w:val="00D27A4F"/>
    <w:rsid w:val="00D27CEF"/>
    <w:rsid w:val="00D321E8"/>
    <w:rsid w:val="00D32366"/>
    <w:rsid w:val="00D3511A"/>
    <w:rsid w:val="00D3543E"/>
    <w:rsid w:val="00D3602F"/>
    <w:rsid w:val="00D368F3"/>
    <w:rsid w:val="00D4381A"/>
    <w:rsid w:val="00D44FC4"/>
    <w:rsid w:val="00D46D52"/>
    <w:rsid w:val="00D53EF7"/>
    <w:rsid w:val="00D56535"/>
    <w:rsid w:val="00D6069F"/>
    <w:rsid w:val="00D60908"/>
    <w:rsid w:val="00D60CD0"/>
    <w:rsid w:val="00D620D1"/>
    <w:rsid w:val="00D62F53"/>
    <w:rsid w:val="00D64EF5"/>
    <w:rsid w:val="00D657EC"/>
    <w:rsid w:val="00D66CCF"/>
    <w:rsid w:val="00D6749C"/>
    <w:rsid w:val="00D702BA"/>
    <w:rsid w:val="00D7210E"/>
    <w:rsid w:val="00D75270"/>
    <w:rsid w:val="00D75665"/>
    <w:rsid w:val="00D75D1D"/>
    <w:rsid w:val="00D76BA4"/>
    <w:rsid w:val="00D76BB7"/>
    <w:rsid w:val="00D771F7"/>
    <w:rsid w:val="00D7788B"/>
    <w:rsid w:val="00D80EB9"/>
    <w:rsid w:val="00D84389"/>
    <w:rsid w:val="00D84421"/>
    <w:rsid w:val="00D868EE"/>
    <w:rsid w:val="00D8753D"/>
    <w:rsid w:val="00D875CC"/>
    <w:rsid w:val="00D903C7"/>
    <w:rsid w:val="00D90C0D"/>
    <w:rsid w:val="00D9166C"/>
    <w:rsid w:val="00D91A5F"/>
    <w:rsid w:val="00D92989"/>
    <w:rsid w:val="00D929E6"/>
    <w:rsid w:val="00D953DE"/>
    <w:rsid w:val="00DA077C"/>
    <w:rsid w:val="00DA0E16"/>
    <w:rsid w:val="00DA0F17"/>
    <w:rsid w:val="00DA1549"/>
    <w:rsid w:val="00DA3A21"/>
    <w:rsid w:val="00DA581C"/>
    <w:rsid w:val="00DA7FAA"/>
    <w:rsid w:val="00DB157D"/>
    <w:rsid w:val="00DB1744"/>
    <w:rsid w:val="00DB2404"/>
    <w:rsid w:val="00DB5F94"/>
    <w:rsid w:val="00DC41DA"/>
    <w:rsid w:val="00DC7348"/>
    <w:rsid w:val="00DC7B26"/>
    <w:rsid w:val="00DD028F"/>
    <w:rsid w:val="00DD0B18"/>
    <w:rsid w:val="00DD29D3"/>
    <w:rsid w:val="00DD4A3E"/>
    <w:rsid w:val="00DD4DC8"/>
    <w:rsid w:val="00DE53C0"/>
    <w:rsid w:val="00DE7C63"/>
    <w:rsid w:val="00DF01C6"/>
    <w:rsid w:val="00DF1F41"/>
    <w:rsid w:val="00DF205E"/>
    <w:rsid w:val="00DF5A3C"/>
    <w:rsid w:val="00DF7992"/>
    <w:rsid w:val="00DF7D0D"/>
    <w:rsid w:val="00E00004"/>
    <w:rsid w:val="00E00D5F"/>
    <w:rsid w:val="00E01B53"/>
    <w:rsid w:val="00E024AC"/>
    <w:rsid w:val="00E04CD1"/>
    <w:rsid w:val="00E05CE6"/>
    <w:rsid w:val="00E073A3"/>
    <w:rsid w:val="00E0789B"/>
    <w:rsid w:val="00E13C9B"/>
    <w:rsid w:val="00E149ED"/>
    <w:rsid w:val="00E15EFD"/>
    <w:rsid w:val="00E1615F"/>
    <w:rsid w:val="00E17397"/>
    <w:rsid w:val="00E179EE"/>
    <w:rsid w:val="00E206C5"/>
    <w:rsid w:val="00E21721"/>
    <w:rsid w:val="00E21C1D"/>
    <w:rsid w:val="00E25894"/>
    <w:rsid w:val="00E32DB8"/>
    <w:rsid w:val="00E348C5"/>
    <w:rsid w:val="00E34CD6"/>
    <w:rsid w:val="00E374BA"/>
    <w:rsid w:val="00E44461"/>
    <w:rsid w:val="00E513A8"/>
    <w:rsid w:val="00E51F79"/>
    <w:rsid w:val="00E52AB2"/>
    <w:rsid w:val="00E53100"/>
    <w:rsid w:val="00E541FB"/>
    <w:rsid w:val="00E54B89"/>
    <w:rsid w:val="00E572A8"/>
    <w:rsid w:val="00E625A0"/>
    <w:rsid w:val="00E64866"/>
    <w:rsid w:val="00E656DD"/>
    <w:rsid w:val="00E6740C"/>
    <w:rsid w:val="00E7292C"/>
    <w:rsid w:val="00E73A84"/>
    <w:rsid w:val="00E74458"/>
    <w:rsid w:val="00E80935"/>
    <w:rsid w:val="00E81E9D"/>
    <w:rsid w:val="00E822F3"/>
    <w:rsid w:val="00E831E2"/>
    <w:rsid w:val="00E85D67"/>
    <w:rsid w:val="00E862E9"/>
    <w:rsid w:val="00E93D94"/>
    <w:rsid w:val="00E947BD"/>
    <w:rsid w:val="00E95463"/>
    <w:rsid w:val="00E965ED"/>
    <w:rsid w:val="00E972F8"/>
    <w:rsid w:val="00EA0E05"/>
    <w:rsid w:val="00EA145F"/>
    <w:rsid w:val="00EA29AF"/>
    <w:rsid w:val="00EA337D"/>
    <w:rsid w:val="00EB01F6"/>
    <w:rsid w:val="00EB0A6C"/>
    <w:rsid w:val="00EB12B8"/>
    <w:rsid w:val="00EB1EA0"/>
    <w:rsid w:val="00EB3943"/>
    <w:rsid w:val="00EB5198"/>
    <w:rsid w:val="00EB67FB"/>
    <w:rsid w:val="00EB72BA"/>
    <w:rsid w:val="00EB7640"/>
    <w:rsid w:val="00EC0027"/>
    <w:rsid w:val="00EC2D3C"/>
    <w:rsid w:val="00EC2F37"/>
    <w:rsid w:val="00EC5BCB"/>
    <w:rsid w:val="00EC67AF"/>
    <w:rsid w:val="00ED0D9B"/>
    <w:rsid w:val="00ED25AD"/>
    <w:rsid w:val="00ED365B"/>
    <w:rsid w:val="00ED41D3"/>
    <w:rsid w:val="00ED54D9"/>
    <w:rsid w:val="00ED6A03"/>
    <w:rsid w:val="00EE0EB0"/>
    <w:rsid w:val="00EE2293"/>
    <w:rsid w:val="00EF0B6C"/>
    <w:rsid w:val="00EF3C3A"/>
    <w:rsid w:val="00EF553E"/>
    <w:rsid w:val="00EF79A9"/>
    <w:rsid w:val="00F03341"/>
    <w:rsid w:val="00F050B3"/>
    <w:rsid w:val="00F05A71"/>
    <w:rsid w:val="00F10777"/>
    <w:rsid w:val="00F1294D"/>
    <w:rsid w:val="00F16F95"/>
    <w:rsid w:val="00F177DA"/>
    <w:rsid w:val="00F2041C"/>
    <w:rsid w:val="00F2069F"/>
    <w:rsid w:val="00F23540"/>
    <w:rsid w:val="00F246FC"/>
    <w:rsid w:val="00F2484C"/>
    <w:rsid w:val="00F25AE3"/>
    <w:rsid w:val="00F31AB3"/>
    <w:rsid w:val="00F31C93"/>
    <w:rsid w:val="00F32934"/>
    <w:rsid w:val="00F3360C"/>
    <w:rsid w:val="00F33991"/>
    <w:rsid w:val="00F33D9F"/>
    <w:rsid w:val="00F35DCA"/>
    <w:rsid w:val="00F37B1A"/>
    <w:rsid w:val="00F37CEF"/>
    <w:rsid w:val="00F401DA"/>
    <w:rsid w:val="00F407D6"/>
    <w:rsid w:val="00F506D5"/>
    <w:rsid w:val="00F53169"/>
    <w:rsid w:val="00F54A84"/>
    <w:rsid w:val="00F56BE2"/>
    <w:rsid w:val="00F57931"/>
    <w:rsid w:val="00F61607"/>
    <w:rsid w:val="00F61A5B"/>
    <w:rsid w:val="00F62218"/>
    <w:rsid w:val="00F63D53"/>
    <w:rsid w:val="00F7219A"/>
    <w:rsid w:val="00F80AD4"/>
    <w:rsid w:val="00F83EF6"/>
    <w:rsid w:val="00F84961"/>
    <w:rsid w:val="00F84A83"/>
    <w:rsid w:val="00F87399"/>
    <w:rsid w:val="00F87971"/>
    <w:rsid w:val="00F910FA"/>
    <w:rsid w:val="00F91825"/>
    <w:rsid w:val="00F91D2F"/>
    <w:rsid w:val="00F92436"/>
    <w:rsid w:val="00F93CEE"/>
    <w:rsid w:val="00F94572"/>
    <w:rsid w:val="00F95130"/>
    <w:rsid w:val="00F96068"/>
    <w:rsid w:val="00F96A6E"/>
    <w:rsid w:val="00FA14FB"/>
    <w:rsid w:val="00FA1614"/>
    <w:rsid w:val="00FA4364"/>
    <w:rsid w:val="00FA4594"/>
    <w:rsid w:val="00FA6AF7"/>
    <w:rsid w:val="00FA6B65"/>
    <w:rsid w:val="00FB02BE"/>
    <w:rsid w:val="00FB1B36"/>
    <w:rsid w:val="00FB1F9A"/>
    <w:rsid w:val="00FB2B86"/>
    <w:rsid w:val="00FB59E0"/>
    <w:rsid w:val="00FC0FC4"/>
    <w:rsid w:val="00FC45BE"/>
    <w:rsid w:val="00FC6CC4"/>
    <w:rsid w:val="00FC76E1"/>
    <w:rsid w:val="00FC7D1D"/>
    <w:rsid w:val="00FD327F"/>
    <w:rsid w:val="00FD540D"/>
    <w:rsid w:val="00FE0040"/>
    <w:rsid w:val="00FE033E"/>
    <w:rsid w:val="00FE1233"/>
    <w:rsid w:val="00FE24F2"/>
    <w:rsid w:val="00FF41F6"/>
    <w:rsid w:val="00FF4824"/>
    <w:rsid w:val="00FF4FE5"/>
    <w:rsid w:val="00FF52AC"/>
    <w:rsid w:val="00FF52FE"/>
    <w:rsid w:val="00FF5C4D"/>
    <w:rsid w:val="00FF5E48"/>
    <w:rsid w:val="00FF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4BEB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25"/>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 w:type="paragraph" w:customStyle="1" w:styleId="Default">
    <w:name w:val="Default"/>
    <w:rsid w:val="00ED0D9B"/>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CC32D7"/>
    <w:rPr>
      <w:sz w:val="20"/>
      <w:szCs w:val="20"/>
    </w:rPr>
  </w:style>
  <w:style w:type="character" w:customStyle="1" w:styleId="EndnoteTextChar">
    <w:name w:val="Endnote Text Char"/>
    <w:basedOn w:val="DefaultParagraphFont"/>
    <w:link w:val="EndnoteText"/>
    <w:uiPriority w:val="99"/>
    <w:semiHidden/>
    <w:rsid w:val="00CC32D7"/>
    <w:rPr>
      <w:rFonts w:ascii="CG Times" w:hAnsi="CG Times"/>
    </w:rPr>
  </w:style>
  <w:style w:type="character" w:styleId="EndnoteReference">
    <w:name w:val="endnote reference"/>
    <w:basedOn w:val="DefaultParagraphFont"/>
    <w:uiPriority w:val="99"/>
    <w:semiHidden/>
    <w:unhideWhenUsed/>
    <w:rsid w:val="00CC32D7"/>
    <w:rPr>
      <w:vertAlign w:val="superscript"/>
    </w:rPr>
  </w:style>
  <w:style w:type="character" w:customStyle="1" w:styleId="A11">
    <w:name w:val="A11"/>
    <w:uiPriority w:val="99"/>
    <w:rsid w:val="00FE1233"/>
    <w:rPr>
      <w:rFonts w:cs="Minion Pro"/>
      <w:color w:val="221E1F"/>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25"/>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 w:type="paragraph" w:customStyle="1" w:styleId="Default">
    <w:name w:val="Default"/>
    <w:rsid w:val="00ED0D9B"/>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CC32D7"/>
    <w:rPr>
      <w:sz w:val="20"/>
      <w:szCs w:val="20"/>
    </w:rPr>
  </w:style>
  <w:style w:type="character" w:customStyle="1" w:styleId="EndnoteTextChar">
    <w:name w:val="Endnote Text Char"/>
    <w:basedOn w:val="DefaultParagraphFont"/>
    <w:link w:val="EndnoteText"/>
    <w:uiPriority w:val="99"/>
    <w:semiHidden/>
    <w:rsid w:val="00CC32D7"/>
    <w:rPr>
      <w:rFonts w:ascii="CG Times" w:hAnsi="CG Times"/>
    </w:rPr>
  </w:style>
  <w:style w:type="character" w:styleId="EndnoteReference">
    <w:name w:val="endnote reference"/>
    <w:basedOn w:val="DefaultParagraphFont"/>
    <w:uiPriority w:val="99"/>
    <w:semiHidden/>
    <w:unhideWhenUsed/>
    <w:rsid w:val="00CC32D7"/>
    <w:rPr>
      <w:vertAlign w:val="superscript"/>
    </w:rPr>
  </w:style>
  <w:style w:type="character" w:customStyle="1" w:styleId="A11">
    <w:name w:val="A11"/>
    <w:uiPriority w:val="99"/>
    <w:rsid w:val="00FE1233"/>
    <w:rPr>
      <w:rFonts w:cs="Minion Pro"/>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313">
      <w:bodyDiv w:val="1"/>
      <w:marLeft w:val="0"/>
      <w:marRight w:val="0"/>
      <w:marTop w:val="0"/>
      <w:marBottom w:val="0"/>
      <w:divBdr>
        <w:top w:val="none" w:sz="0" w:space="0" w:color="auto"/>
        <w:left w:val="none" w:sz="0" w:space="0" w:color="auto"/>
        <w:bottom w:val="none" w:sz="0" w:space="0" w:color="auto"/>
        <w:right w:val="none" w:sz="0" w:space="0" w:color="auto"/>
      </w:divBdr>
    </w:div>
    <w:div w:id="325669130">
      <w:bodyDiv w:val="1"/>
      <w:marLeft w:val="0"/>
      <w:marRight w:val="0"/>
      <w:marTop w:val="0"/>
      <w:marBottom w:val="0"/>
      <w:divBdr>
        <w:top w:val="none" w:sz="0" w:space="0" w:color="auto"/>
        <w:left w:val="none" w:sz="0" w:space="0" w:color="auto"/>
        <w:bottom w:val="none" w:sz="0" w:space="0" w:color="auto"/>
        <w:right w:val="none" w:sz="0" w:space="0" w:color="auto"/>
      </w:divBdr>
    </w:div>
    <w:div w:id="336154335">
      <w:bodyDiv w:val="1"/>
      <w:marLeft w:val="0"/>
      <w:marRight w:val="0"/>
      <w:marTop w:val="0"/>
      <w:marBottom w:val="0"/>
      <w:divBdr>
        <w:top w:val="none" w:sz="0" w:space="0" w:color="auto"/>
        <w:left w:val="none" w:sz="0" w:space="0" w:color="auto"/>
        <w:bottom w:val="none" w:sz="0" w:space="0" w:color="auto"/>
        <w:right w:val="none" w:sz="0" w:space="0" w:color="auto"/>
      </w:divBdr>
    </w:div>
    <w:div w:id="578251548">
      <w:bodyDiv w:val="1"/>
      <w:marLeft w:val="0"/>
      <w:marRight w:val="0"/>
      <w:marTop w:val="0"/>
      <w:marBottom w:val="0"/>
      <w:divBdr>
        <w:top w:val="none" w:sz="0" w:space="0" w:color="auto"/>
        <w:left w:val="none" w:sz="0" w:space="0" w:color="auto"/>
        <w:bottom w:val="none" w:sz="0" w:space="0" w:color="auto"/>
        <w:right w:val="none" w:sz="0" w:space="0" w:color="auto"/>
      </w:divBdr>
      <w:divsChild>
        <w:div w:id="864441144">
          <w:marLeft w:val="0"/>
          <w:marRight w:val="0"/>
          <w:marTop w:val="0"/>
          <w:marBottom w:val="0"/>
          <w:divBdr>
            <w:top w:val="none" w:sz="0" w:space="0" w:color="auto"/>
            <w:left w:val="none" w:sz="0" w:space="0" w:color="auto"/>
            <w:bottom w:val="none" w:sz="0" w:space="0" w:color="auto"/>
            <w:right w:val="none" w:sz="0" w:space="0" w:color="auto"/>
          </w:divBdr>
          <w:divsChild>
            <w:div w:id="36202818">
              <w:marLeft w:val="0"/>
              <w:marRight w:val="0"/>
              <w:marTop w:val="0"/>
              <w:marBottom w:val="0"/>
              <w:divBdr>
                <w:top w:val="none" w:sz="0" w:space="0" w:color="auto"/>
                <w:left w:val="none" w:sz="0" w:space="0" w:color="auto"/>
                <w:bottom w:val="none" w:sz="0" w:space="0" w:color="auto"/>
                <w:right w:val="none" w:sz="0" w:space="0" w:color="auto"/>
              </w:divBdr>
              <w:divsChild>
                <w:div w:id="1888444186">
                  <w:marLeft w:val="0"/>
                  <w:marRight w:val="0"/>
                  <w:marTop w:val="0"/>
                  <w:marBottom w:val="0"/>
                  <w:divBdr>
                    <w:top w:val="none" w:sz="0" w:space="0" w:color="auto"/>
                    <w:left w:val="none" w:sz="0" w:space="0" w:color="auto"/>
                    <w:bottom w:val="none" w:sz="0" w:space="0" w:color="auto"/>
                    <w:right w:val="none" w:sz="0" w:space="0" w:color="auto"/>
                  </w:divBdr>
                  <w:divsChild>
                    <w:div w:id="859660031">
                      <w:marLeft w:val="0"/>
                      <w:marRight w:val="0"/>
                      <w:marTop w:val="0"/>
                      <w:marBottom w:val="0"/>
                      <w:divBdr>
                        <w:top w:val="none" w:sz="0" w:space="0" w:color="auto"/>
                        <w:left w:val="none" w:sz="0" w:space="0" w:color="auto"/>
                        <w:bottom w:val="none" w:sz="0" w:space="0" w:color="auto"/>
                        <w:right w:val="none" w:sz="0" w:space="0" w:color="auto"/>
                      </w:divBdr>
                      <w:divsChild>
                        <w:div w:id="925721989">
                          <w:marLeft w:val="0"/>
                          <w:marRight w:val="0"/>
                          <w:marTop w:val="0"/>
                          <w:marBottom w:val="0"/>
                          <w:divBdr>
                            <w:top w:val="none" w:sz="0" w:space="0" w:color="auto"/>
                            <w:left w:val="none" w:sz="0" w:space="0" w:color="auto"/>
                            <w:bottom w:val="none" w:sz="0" w:space="0" w:color="auto"/>
                            <w:right w:val="none" w:sz="0" w:space="0" w:color="auto"/>
                          </w:divBdr>
                          <w:divsChild>
                            <w:div w:id="524682662">
                              <w:marLeft w:val="0"/>
                              <w:marRight w:val="0"/>
                              <w:marTop w:val="0"/>
                              <w:marBottom w:val="0"/>
                              <w:divBdr>
                                <w:top w:val="none" w:sz="0" w:space="0" w:color="auto"/>
                                <w:left w:val="none" w:sz="0" w:space="0" w:color="auto"/>
                                <w:bottom w:val="none" w:sz="0" w:space="0" w:color="auto"/>
                                <w:right w:val="none" w:sz="0" w:space="0" w:color="auto"/>
                              </w:divBdr>
                              <w:divsChild>
                                <w:div w:id="1158381554">
                                  <w:marLeft w:val="0"/>
                                  <w:marRight w:val="0"/>
                                  <w:marTop w:val="0"/>
                                  <w:marBottom w:val="240"/>
                                  <w:divBdr>
                                    <w:top w:val="none" w:sz="0" w:space="0" w:color="auto"/>
                                    <w:left w:val="none" w:sz="0" w:space="0" w:color="auto"/>
                                    <w:bottom w:val="none" w:sz="0" w:space="0" w:color="auto"/>
                                    <w:right w:val="none" w:sz="0" w:space="0" w:color="auto"/>
                                  </w:divBdr>
                                  <w:divsChild>
                                    <w:div w:id="2912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290531">
      <w:bodyDiv w:val="1"/>
      <w:marLeft w:val="0"/>
      <w:marRight w:val="0"/>
      <w:marTop w:val="0"/>
      <w:marBottom w:val="0"/>
      <w:divBdr>
        <w:top w:val="none" w:sz="0" w:space="0" w:color="auto"/>
        <w:left w:val="none" w:sz="0" w:space="0" w:color="auto"/>
        <w:bottom w:val="none" w:sz="0" w:space="0" w:color="auto"/>
        <w:right w:val="none" w:sz="0" w:space="0" w:color="auto"/>
      </w:divBdr>
    </w:div>
    <w:div w:id="1153179790">
      <w:bodyDiv w:val="1"/>
      <w:marLeft w:val="0"/>
      <w:marRight w:val="0"/>
      <w:marTop w:val="0"/>
      <w:marBottom w:val="0"/>
      <w:divBdr>
        <w:top w:val="none" w:sz="0" w:space="0" w:color="auto"/>
        <w:left w:val="none" w:sz="0" w:space="0" w:color="auto"/>
        <w:bottom w:val="none" w:sz="0" w:space="0" w:color="auto"/>
        <w:right w:val="none" w:sz="0" w:space="0" w:color="auto"/>
      </w:divBdr>
    </w:div>
    <w:div w:id="1391226971">
      <w:bodyDiv w:val="1"/>
      <w:marLeft w:val="0"/>
      <w:marRight w:val="0"/>
      <w:marTop w:val="0"/>
      <w:marBottom w:val="0"/>
      <w:divBdr>
        <w:top w:val="none" w:sz="0" w:space="0" w:color="auto"/>
        <w:left w:val="none" w:sz="0" w:space="0" w:color="auto"/>
        <w:bottom w:val="none" w:sz="0" w:space="0" w:color="auto"/>
        <w:right w:val="none" w:sz="0" w:space="0" w:color="auto"/>
      </w:divBdr>
    </w:div>
    <w:div w:id="1442647466">
      <w:bodyDiv w:val="1"/>
      <w:marLeft w:val="0"/>
      <w:marRight w:val="0"/>
      <w:marTop w:val="0"/>
      <w:marBottom w:val="0"/>
      <w:divBdr>
        <w:top w:val="none" w:sz="0" w:space="0" w:color="auto"/>
        <w:left w:val="none" w:sz="0" w:space="0" w:color="auto"/>
        <w:bottom w:val="none" w:sz="0" w:space="0" w:color="auto"/>
        <w:right w:val="none" w:sz="0" w:space="0" w:color="auto"/>
      </w:divBdr>
    </w:div>
    <w:div w:id="1669136645">
      <w:bodyDiv w:val="1"/>
      <w:marLeft w:val="0"/>
      <w:marRight w:val="0"/>
      <w:marTop w:val="0"/>
      <w:marBottom w:val="0"/>
      <w:divBdr>
        <w:top w:val="none" w:sz="0" w:space="0" w:color="auto"/>
        <w:left w:val="none" w:sz="0" w:space="0" w:color="auto"/>
        <w:bottom w:val="none" w:sz="0" w:space="0" w:color="auto"/>
        <w:right w:val="none" w:sz="0" w:space="0" w:color="auto"/>
      </w:divBdr>
    </w:div>
    <w:div w:id="1856798343">
      <w:bodyDiv w:val="1"/>
      <w:marLeft w:val="0"/>
      <w:marRight w:val="0"/>
      <w:marTop w:val="0"/>
      <w:marBottom w:val="0"/>
      <w:divBdr>
        <w:top w:val="none" w:sz="0" w:space="0" w:color="auto"/>
        <w:left w:val="none" w:sz="0" w:space="0" w:color="auto"/>
        <w:bottom w:val="none" w:sz="0" w:space="0" w:color="auto"/>
        <w:right w:val="none" w:sz="0" w:space="0" w:color="auto"/>
      </w:divBdr>
    </w:div>
    <w:div w:id="1973367095">
      <w:bodyDiv w:val="1"/>
      <w:marLeft w:val="0"/>
      <w:marRight w:val="0"/>
      <w:marTop w:val="0"/>
      <w:marBottom w:val="0"/>
      <w:divBdr>
        <w:top w:val="none" w:sz="0" w:space="0" w:color="auto"/>
        <w:left w:val="none" w:sz="0" w:space="0" w:color="auto"/>
        <w:bottom w:val="none" w:sz="0" w:space="0" w:color="auto"/>
        <w:right w:val="none" w:sz="0" w:space="0" w:color="auto"/>
      </w:divBdr>
    </w:div>
    <w:div w:id="19911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mona.Rantala@usdoj.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eta.B.Clark@censu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A668-82EF-47BB-B38B-78B50C6D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6755</Words>
  <Characters>38509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45174</CharactersWithSpaces>
  <SharedDoc>false</SharedDoc>
  <HLinks>
    <vt:vector size="18" baseType="variant">
      <vt:variant>
        <vt:i4>3342352</vt:i4>
      </vt:variant>
      <vt:variant>
        <vt:i4>12</vt:i4>
      </vt:variant>
      <vt:variant>
        <vt:i4>0</vt:i4>
      </vt:variant>
      <vt:variant>
        <vt:i4>5</vt:i4>
      </vt:variant>
      <vt:variant>
        <vt:lpwstr>mailto:Greta.B.Clark@census.gov</vt:lpwstr>
      </vt:variant>
      <vt:variant>
        <vt:lpwstr/>
      </vt:variant>
      <vt:variant>
        <vt:i4>5832741</vt:i4>
      </vt:variant>
      <vt:variant>
        <vt:i4>9</vt:i4>
      </vt:variant>
      <vt:variant>
        <vt:i4>0</vt:i4>
      </vt:variant>
      <vt:variant>
        <vt:i4>5</vt:i4>
      </vt:variant>
      <vt:variant>
        <vt:lpwstr>mailto:Ramona.Rantala@usdoj.gov</vt:lpwstr>
      </vt:variant>
      <vt:variant>
        <vt:lpwstr/>
      </vt:variant>
      <vt:variant>
        <vt:i4>1900671</vt:i4>
      </vt:variant>
      <vt:variant>
        <vt:i4>6</vt:i4>
      </vt:variant>
      <vt:variant>
        <vt:i4>0</vt:i4>
      </vt:variant>
      <vt:variant>
        <vt:i4>5</vt:i4>
      </vt:variant>
      <vt:variant>
        <vt:lpwstr>mailto:Allen.Beck@usdoj.gov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SYSTEM</cp:lastModifiedBy>
  <cp:revision>2</cp:revision>
  <cp:lastPrinted>2018-07-03T14:56:00Z</cp:lastPrinted>
  <dcterms:created xsi:type="dcterms:W3CDTF">2018-07-31T14:32:00Z</dcterms:created>
  <dcterms:modified xsi:type="dcterms:W3CDTF">2018-07-31T14:32:00Z</dcterms:modified>
</cp:coreProperties>
</file>