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F23D0" w14:textId="73A9E175" w:rsidR="00CC7266" w:rsidRDefault="00A4004D" w:rsidP="00CC7266">
      <w:pPr>
        <w:pStyle w:val="MarkforAttachment"/>
        <w:widowControl w:val="0"/>
        <w:tabs>
          <w:tab w:val="clear" w:pos="432"/>
        </w:tabs>
        <w:autoSpaceDE w:val="0"/>
        <w:autoSpaceDN w:val="0"/>
        <w:adjustRightInd w:val="0"/>
        <w:rPr>
          <w:b w:val="0"/>
          <w:szCs w:val="24"/>
        </w:rPr>
      </w:pPr>
      <w:bookmarkStart w:id="0" w:name="_Toc94322825"/>
      <w:bookmarkStart w:id="1" w:name="_Toc113416503"/>
      <w:bookmarkStart w:id="2" w:name="_GoBack"/>
      <w:bookmarkEnd w:id="2"/>
      <w:r w:rsidRPr="00187713">
        <w:rPr>
          <w:caps w:val="0"/>
          <w:szCs w:val="24"/>
        </w:rPr>
        <w:t>SUPPORTING STATEMENT</w:t>
      </w:r>
    </w:p>
    <w:p w14:paraId="2F6F4B30" w14:textId="2B6EF3F1" w:rsidR="00CC7266" w:rsidRPr="00CC7266" w:rsidRDefault="00CC7266" w:rsidP="00CC7266">
      <w:pPr>
        <w:pStyle w:val="Header"/>
        <w:jc w:val="center"/>
        <w:rPr>
          <w:b/>
          <w:snapToGrid/>
          <w:szCs w:val="24"/>
        </w:rPr>
      </w:pPr>
      <w:r w:rsidRPr="00CC7266">
        <w:rPr>
          <w:b/>
          <w:snapToGrid/>
          <w:szCs w:val="24"/>
        </w:rPr>
        <w:t>TRADE ADJUSTMENT ASSISTANCE COMMUNITY COLLEGE AND CAREER TRAINING GRANT PROGRAM REPORTING REQUIREMENTS</w:t>
      </w:r>
    </w:p>
    <w:p w14:paraId="3429BA37" w14:textId="613BCF46" w:rsidR="00A4004D" w:rsidRDefault="00710C1E" w:rsidP="00CC7266">
      <w:pPr>
        <w:jc w:val="center"/>
        <w:rPr>
          <w:b/>
          <w:szCs w:val="24"/>
        </w:rPr>
      </w:pPr>
      <w:r w:rsidRPr="00187713">
        <w:rPr>
          <w:b/>
          <w:szCs w:val="24"/>
        </w:rPr>
        <w:t xml:space="preserve">OMB </w:t>
      </w:r>
      <w:r w:rsidR="00882FFC">
        <w:rPr>
          <w:b/>
          <w:szCs w:val="24"/>
        </w:rPr>
        <w:t xml:space="preserve">Control Number </w:t>
      </w:r>
      <w:r w:rsidRPr="00187713">
        <w:rPr>
          <w:b/>
          <w:szCs w:val="24"/>
        </w:rPr>
        <w:t>1205-0489</w:t>
      </w:r>
    </w:p>
    <w:p w14:paraId="2F9B8F16" w14:textId="77777777" w:rsidR="00882FFC" w:rsidRPr="00187713" w:rsidRDefault="00882FFC" w:rsidP="00CC7266">
      <w:pPr>
        <w:jc w:val="center"/>
        <w:rPr>
          <w:b/>
          <w:szCs w:val="24"/>
        </w:rPr>
      </w:pPr>
    </w:p>
    <w:p w14:paraId="1B82D867" w14:textId="4CFE5DCE" w:rsidR="00A4004D" w:rsidRDefault="00882FFC" w:rsidP="00882FFC">
      <w:pPr>
        <w:jc w:val="left"/>
        <w:rPr>
          <w:b/>
          <w:szCs w:val="24"/>
          <w:u w:val="single"/>
        </w:rPr>
      </w:pPr>
      <w:r w:rsidRPr="00882FFC">
        <w:rPr>
          <w:b/>
          <w:szCs w:val="24"/>
        </w:rPr>
        <w:t xml:space="preserve">A. </w:t>
      </w:r>
      <w:r w:rsidRPr="00882FFC">
        <w:rPr>
          <w:b/>
          <w:szCs w:val="24"/>
        </w:rPr>
        <w:tab/>
      </w:r>
      <w:r w:rsidRPr="00882FFC">
        <w:rPr>
          <w:b/>
          <w:szCs w:val="24"/>
          <w:u w:val="single"/>
        </w:rPr>
        <w:t>Justification.</w:t>
      </w:r>
      <w:bookmarkEnd w:id="0"/>
      <w:bookmarkEnd w:id="1"/>
    </w:p>
    <w:p w14:paraId="5561935B" w14:textId="77777777" w:rsidR="00882FFC" w:rsidRPr="00187713" w:rsidRDefault="00882FFC" w:rsidP="00882FFC">
      <w:pPr>
        <w:jc w:val="left"/>
        <w:rPr>
          <w:szCs w:val="24"/>
        </w:rPr>
      </w:pPr>
    </w:p>
    <w:p w14:paraId="05B4BABE" w14:textId="5969875B" w:rsidR="003348D2" w:rsidRPr="00187713" w:rsidRDefault="006C26F2" w:rsidP="000E0C36">
      <w:pPr>
        <w:pStyle w:val="BodyText2"/>
        <w:jc w:val="left"/>
        <w:rPr>
          <w:rFonts w:ascii="Times New Roman" w:hAnsi="Times New Roman"/>
          <w:szCs w:val="24"/>
        </w:rPr>
      </w:pPr>
      <w:bookmarkStart w:id="3" w:name="_Toc94322826"/>
      <w:r w:rsidRPr="00D64961">
        <w:rPr>
          <w:rFonts w:ascii="Times New Roman" w:hAnsi="Times New Roman"/>
          <w:szCs w:val="24"/>
        </w:rPr>
        <w:t xml:space="preserve">This </w:t>
      </w:r>
      <w:r w:rsidR="005848DF" w:rsidRPr="00D64961">
        <w:rPr>
          <w:rFonts w:ascii="Times New Roman" w:hAnsi="Times New Roman"/>
          <w:szCs w:val="24"/>
        </w:rPr>
        <w:t xml:space="preserve">revision </w:t>
      </w:r>
      <w:r w:rsidR="00882FFC" w:rsidRPr="00D64961">
        <w:rPr>
          <w:rFonts w:ascii="Times New Roman" w:hAnsi="Times New Roman"/>
          <w:szCs w:val="24"/>
        </w:rPr>
        <w:t xml:space="preserve">information collection request (ICR) </w:t>
      </w:r>
      <w:r w:rsidR="00051414" w:rsidRPr="00D64961">
        <w:rPr>
          <w:rFonts w:ascii="Times New Roman" w:hAnsi="Times New Roman"/>
          <w:szCs w:val="24"/>
        </w:rPr>
        <w:t xml:space="preserve">extends the currently approved </w:t>
      </w:r>
      <w:r w:rsidR="00A4004D" w:rsidRPr="00D64961">
        <w:rPr>
          <w:rFonts w:ascii="Times New Roman" w:hAnsi="Times New Roman"/>
          <w:szCs w:val="24"/>
        </w:rPr>
        <w:t xml:space="preserve">reporting requirements for </w:t>
      </w:r>
      <w:r w:rsidR="0065619A" w:rsidRPr="00D64961">
        <w:rPr>
          <w:rFonts w:ascii="Times New Roman" w:hAnsi="Times New Roman"/>
          <w:szCs w:val="24"/>
        </w:rPr>
        <w:t>R</w:t>
      </w:r>
      <w:r w:rsidR="000E0C36" w:rsidRPr="00D64961">
        <w:rPr>
          <w:rFonts w:ascii="Times New Roman" w:hAnsi="Times New Roman"/>
          <w:szCs w:val="24"/>
        </w:rPr>
        <w:t xml:space="preserve">ound </w:t>
      </w:r>
      <w:r w:rsidR="0065619A" w:rsidRPr="00D64961">
        <w:rPr>
          <w:rFonts w:ascii="Times New Roman" w:hAnsi="Times New Roman"/>
          <w:szCs w:val="24"/>
        </w:rPr>
        <w:t xml:space="preserve">2, 3 and 4 </w:t>
      </w:r>
      <w:r w:rsidRPr="00D64961">
        <w:rPr>
          <w:rFonts w:ascii="Times New Roman" w:hAnsi="Times New Roman"/>
          <w:szCs w:val="24"/>
        </w:rPr>
        <w:t xml:space="preserve">grantees of </w:t>
      </w:r>
      <w:r w:rsidR="00A4004D" w:rsidRPr="00D64961">
        <w:rPr>
          <w:rFonts w:ascii="Times New Roman" w:hAnsi="Times New Roman"/>
          <w:szCs w:val="24"/>
        </w:rPr>
        <w:t xml:space="preserve">the </w:t>
      </w:r>
      <w:r w:rsidR="005B13E0" w:rsidRPr="00D64961">
        <w:rPr>
          <w:rFonts w:ascii="Times New Roman" w:hAnsi="Times New Roman"/>
          <w:szCs w:val="24"/>
        </w:rPr>
        <w:t xml:space="preserve">Trade Adjustment Assistance Community College and Career Training </w:t>
      </w:r>
      <w:r w:rsidR="00A4004D" w:rsidRPr="00D64961">
        <w:rPr>
          <w:rFonts w:ascii="Times New Roman" w:hAnsi="Times New Roman"/>
          <w:szCs w:val="24"/>
        </w:rPr>
        <w:t>(</w:t>
      </w:r>
      <w:r w:rsidR="005B13E0" w:rsidRPr="00D64961">
        <w:rPr>
          <w:rFonts w:ascii="Times New Roman" w:hAnsi="Times New Roman"/>
          <w:szCs w:val="24"/>
        </w:rPr>
        <w:t>TAACCCT</w:t>
      </w:r>
      <w:r w:rsidR="00A4004D" w:rsidRPr="00D64961">
        <w:rPr>
          <w:rFonts w:ascii="Times New Roman" w:hAnsi="Times New Roman"/>
          <w:szCs w:val="24"/>
        </w:rPr>
        <w:t xml:space="preserve">) </w:t>
      </w:r>
      <w:r w:rsidR="005B13E0" w:rsidRPr="00D64961">
        <w:rPr>
          <w:rFonts w:ascii="Times New Roman" w:hAnsi="Times New Roman"/>
          <w:szCs w:val="24"/>
        </w:rPr>
        <w:t>grant program</w:t>
      </w:r>
      <w:r w:rsidR="00051414" w:rsidRPr="00D64961">
        <w:rPr>
          <w:rFonts w:ascii="Times New Roman" w:hAnsi="Times New Roman"/>
          <w:szCs w:val="24"/>
        </w:rPr>
        <w:t>.</w:t>
      </w:r>
      <w:r w:rsidR="003348D2" w:rsidRPr="00D64961">
        <w:rPr>
          <w:rFonts w:ascii="Times New Roman" w:hAnsi="Times New Roman"/>
          <w:szCs w:val="24"/>
        </w:rPr>
        <w:t xml:space="preserve">  </w:t>
      </w:r>
      <w:r w:rsidR="0065619A" w:rsidRPr="00D64961">
        <w:rPr>
          <w:rFonts w:ascii="Times New Roman" w:hAnsi="Times New Roman"/>
          <w:szCs w:val="24"/>
        </w:rPr>
        <w:t xml:space="preserve">The ICR was </w:t>
      </w:r>
      <w:r w:rsidR="00D64961">
        <w:rPr>
          <w:rFonts w:ascii="Times New Roman" w:hAnsi="Times New Roman"/>
          <w:szCs w:val="24"/>
        </w:rPr>
        <w:t>originally approved in 2012</w:t>
      </w:r>
      <w:r w:rsidR="0065619A" w:rsidRPr="00D64961">
        <w:rPr>
          <w:rFonts w:ascii="Times New Roman" w:hAnsi="Times New Roman"/>
          <w:szCs w:val="24"/>
        </w:rPr>
        <w:t xml:space="preserve">; subsequent extensions and non-substantive changes were requested to a) extend the ICR </w:t>
      </w:r>
      <w:r w:rsidR="00770F88" w:rsidRPr="00D64961">
        <w:rPr>
          <w:rFonts w:ascii="Times New Roman" w:hAnsi="Times New Roman"/>
          <w:szCs w:val="24"/>
        </w:rPr>
        <w:t xml:space="preserve">throughout the grantees’ periods of performance; </w:t>
      </w:r>
      <w:r w:rsidR="0065619A" w:rsidRPr="00D64961">
        <w:rPr>
          <w:rFonts w:ascii="Times New Roman" w:hAnsi="Times New Roman"/>
          <w:szCs w:val="24"/>
        </w:rPr>
        <w:t>b) clarify certain language in the instructions; and c) remove sections of forms that only related to Round 1 grantees after that Round ended on September 30, 2015.  The revisions</w:t>
      </w:r>
      <w:r w:rsidR="0065619A" w:rsidRPr="002802C0">
        <w:rPr>
          <w:rFonts w:ascii="Times New Roman" w:hAnsi="Times New Roman"/>
          <w:szCs w:val="24"/>
        </w:rPr>
        <w:t xml:space="preserve"> </w:t>
      </w:r>
      <w:r w:rsidR="00770F88" w:rsidRPr="002802C0">
        <w:rPr>
          <w:rFonts w:ascii="Times New Roman" w:hAnsi="Times New Roman"/>
          <w:szCs w:val="24"/>
        </w:rPr>
        <w:t xml:space="preserve">included in this request will update the </w:t>
      </w:r>
      <w:r w:rsidR="00D64961">
        <w:rPr>
          <w:rFonts w:ascii="Times New Roman" w:hAnsi="Times New Roman"/>
          <w:szCs w:val="24"/>
        </w:rPr>
        <w:t>forms</w:t>
      </w:r>
      <w:r w:rsidR="00770F88" w:rsidRPr="002802C0">
        <w:rPr>
          <w:rFonts w:ascii="Times New Roman" w:hAnsi="Times New Roman"/>
          <w:szCs w:val="24"/>
        </w:rPr>
        <w:t>; the revisions are summarized below.</w:t>
      </w:r>
      <w:r w:rsidR="00770F88">
        <w:rPr>
          <w:rFonts w:ascii="Times New Roman" w:hAnsi="Times New Roman"/>
          <w:szCs w:val="24"/>
        </w:rPr>
        <w:t xml:space="preserve">  </w:t>
      </w:r>
      <w:r w:rsidR="0065619A">
        <w:rPr>
          <w:rFonts w:ascii="Times New Roman" w:hAnsi="Times New Roman"/>
          <w:szCs w:val="24"/>
        </w:rPr>
        <w:t xml:space="preserve">  </w:t>
      </w:r>
      <w:r w:rsidR="00DD1729" w:rsidRPr="00187713">
        <w:rPr>
          <w:rFonts w:ascii="Times New Roman" w:hAnsi="Times New Roman"/>
          <w:szCs w:val="24"/>
        </w:rPr>
        <w:t xml:space="preserve">  </w:t>
      </w:r>
    </w:p>
    <w:p w14:paraId="016CBDE7" w14:textId="77777777" w:rsidR="004E3852" w:rsidRPr="00187713" w:rsidRDefault="004E3852" w:rsidP="00933363">
      <w:pPr>
        <w:pStyle w:val="BodyText2"/>
        <w:jc w:val="left"/>
        <w:rPr>
          <w:rFonts w:ascii="Times New Roman" w:hAnsi="Times New Roman"/>
          <w:szCs w:val="24"/>
        </w:rPr>
      </w:pPr>
    </w:p>
    <w:p w14:paraId="5F40C84A" w14:textId="3F20DB19" w:rsidR="0065619A" w:rsidRDefault="00770F88" w:rsidP="001D70AC">
      <w:pPr>
        <w:rPr>
          <w:rFonts w:eastAsia="Calibri"/>
          <w:szCs w:val="24"/>
        </w:rPr>
      </w:pPr>
      <w:r>
        <w:rPr>
          <w:rFonts w:eastAsia="Calibri"/>
          <w:szCs w:val="24"/>
        </w:rPr>
        <w:t xml:space="preserve">The U.S. Department of Labor, Employment and Training Administration (ETA) originally requested this ICR for all </w:t>
      </w:r>
      <w:r w:rsidR="001D70AC" w:rsidRPr="00187713">
        <w:rPr>
          <w:rFonts w:eastAsia="Calibri"/>
          <w:szCs w:val="24"/>
        </w:rPr>
        <w:t>four (4) rounds of TAACCCT grants</w:t>
      </w:r>
      <w:r>
        <w:rPr>
          <w:rFonts w:eastAsia="Calibri"/>
          <w:szCs w:val="24"/>
        </w:rPr>
        <w:t>.</w:t>
      </w:r>
      <w:r w:rsidR="0065619A">
        <w:rPr>
          <w:rFonts w:eastAsia="Calibri"/>
          <w:szCs w:val="24"/>
        </w:rPr>
        <w:t xml:space="preserve"> </w:t>
      </w:r>
      <w:r>
        <w:rPr>
          <w:rFonts w:eastAsia="Calibri"/>
          <w:szCs w:val="24"/>
        </w:rPr>
        <w:t xml:space="preserve"> A</w:t>
      </w:r>
      <w:r w:rsidR="0065619A">
        <w:rPr>
          <w:rFonts w:eastAsia="Calibri"/>
          <w:szCs w:val="24"/>
        </w:rPr>
        <w:t xml:space="preserve">s of July 31, 2018 only </w:t>
      </w:r>
      <w:r w:rsidR="001D70AC" w:rsidRPr="00187713">
        <w:rPr>
          <w:rFonts w:eastAsia="Calibri"/>
          <w:szCs w:val="24"/>
        </w:rPr>
        <w:t>the fourth and final round of grants is still active</w:t>
      </w:r>
      <w:r w:rsidR="0065619A">
        <w:rPr>
          <w:rFonts w:eastAsia="Calibri"/>
          <w:szCs w:val="24"/>
        </w:rPr>
        <w:t xml:space="preserve"> and </w:t>
      </w:r>
      <w:r>
        <w:rPr>
          <w:rFonts w:eastAsia="Calibri"/>
          <w:szCs w:val="24"/>
        </w:rPr>
        <w:t xml:space="preserve">Round 4 grantees </w:t>
      </w:r>
      <w:r w:rsidR="0065619A">
        <w:rPr>
          <w:rFonts w:eastAsia="Calibri"/>
          <w:szCs w:val="24"/>
        </w:rPr>
        <w:t>have one more reporting period</w:t>
      </w:r>
      <w:r>
        <w:rPr>
          <w:rFonts w:eastAsia="Calibri"/>
          <w:szCs w:val="24"/>
        </w:rPr>
        <w:t xml:space="preserve"> that ends September 30, 2018</w:t>
      </w:r>
      <w:r w:rsidR="00D64961">
        <w:rPr>
          <w:rFonts w:eastAsia="Calibri"/>
          <w:szCs w:val="24"/>
        </w:rPr>
        <w:t xml:space="preserve">. </w:t>
      </w:r>
      <w:r>
        <w:rPr>
          <w:rFonts w:eastAsia="Calibri"/>
          <w:szCs w:val="24"/>
        </w:rPr>
        <w:t xml:space="preserve">When that reporting period is complete ETA will request </w:t>
      </w:r>
      <w:r w:rsidR="0065619A">
        <w:rPr>
          <w:rFonts w:eastAsia="Calibri"/>
          <w:szCs w:val="24"/>
        </w:rPr>
        <w:t xml:space="preserve">a discontinuance </w:t>
      </w:r>
      <w:r>
        <w:rPr>
          <w:rFonts w:eastAsia="Calibri"/>
          <w:szCs w:val="24"/>
        </w:rPr>
        <w:t xml:space="preserve">to end this ICR on September 30, 2019.  </w:t>
      </w:r>
    </w:p>
    <w:p w14:paraId="014B307F" w14:textId="77777777" w:rsidR="0065619A" w:rsidRDefault="0065619A" w:rsidP="001D70AC">
      <w:pPr>
        <w:rPr>
          <w:rFonts w:eastAsia="Calibri"/>
          <w:szCs w:val="24"/>
        </w:rPr>
      </w:pPr>
    </w:p>
    <w:p w14:paraId="43BE0735" w14:textId="62E83521" w:rsidR="003348D2" w:rsidRPr="00187713" w:rsidRDefault="001D70AC" w:rsidP="001D70AC">
      <w:pPr>
        <w:rPr>
          <w:szCs w:val="24"/>
        </w:rPr>
      </w:pPr>
      <w:r w:rsidRPr="00187713">
        <w:rPr>
          <w:szCs w:val="24"/>
        </w:rPr>
        <w:t xml:space="preserve">ETA requires grantees to submit Quarterly Progress Reports with a narrative summary each quarter.  </w:t>
      </w:r>
      <w:r w:rsidR="00A84624" w:rsidRPr="00187713">
        <w:rPr>
          <w:szCs w:val="24"/>
        </w:rPr>
        <w:t>Every fourth quarter</w:t>
      </w:r>
      <w:r w:rsidR="004F51D2" w:rsidRPr="00187713">
        <w:rPr>
          <w:szCs w:val="24"/>
        </w:rPr>
        <w:t>, grant</w:t>
      </w:r>
      <w:r w:rsidR="00DC7B4E" w:rsidRPr="00187713">
        <w:rPr>
          <w:szCs w:val="24"/>
        </w:rPr>
        <w:t xml:space="preserve">ees submit </w:t>
      </w:r>
      <w:r w:rsidR="0055113A" w:rsidRPr="00187713">
        <w:rPr>
          <w:szCs w:val="24"/>
        </w:rPr>
        <w:t xml:space="preserve">an Annual Performance Report with </w:t>
      </w:r>
      <w:r w:rsidR="00593129" w:rsidRPr="00187713">
        <w:rPr>
          <w:szCs w:val="24"/>
        </w:rPr>
        <w:t>standardized</w:t>
      </w:r>
      <w:r w:rsidR="00A84624" w:rsidRPr="00187713">
        <w:rPr>
          <w:szCs w:val="24"/>
        </w:rPr>
        <w:t xml:space="preserve"> outcome measure</w:t>
      </w:r>
      <w:r w:rsidR="0055113A" w:rsidRPr="00187713">
        <w:rPr>
          <w:szCs w:val="24"/>
        </w:rPr>
        <w:t>s</w:t>
      </w:r>
      <w:r w:rsidR="00593129" w:rsidRPr="00187713">
        <w:rPr>
          <w:szCs w:val="24"/>
        </w:rPr>
        <w:t xml:space="preserve"> that will </w:t>
      </w:r>
      <w:r w:rsidR="00A84624" w:rsidRPr="00187713">
        <w:rPr>
          <w:szCs w:val="24"/>
        </w:rPr>
        <w:t xml:space="preserve">include </w:t>
      </w:r>
      <w:r w:rsidR="00360B95" w:rsidRPr="00187713">
        <w:rPr>
          <w:szCs w:val="24"/>
        </w:rPr>
        <w:t xml:space="preserve">aggregate </w:t>
      </w:r>
      <w:r w:rsidR="00A84624" w:rsidRPr="00187713">
        <w:rPr>
          <w:szCs w:val="24"/>
        </w:rPr>
        <w:t>data for program participants</w:t>
      </w:r>
      <w:r w:rsidR="008F1CF3" w:rsidRPr="00187713">
        <w:rPr>
          <w:szCs w:val="24"/>
        </w:rPr>
        <w:t xml:space="preserve"> </w:t>
      </w:r>
      <w:r w:rsidR="00A84624" w:rsidRPr="00187713">
        <w:rPr>
          <w:szCs w:val="24"/>
        </w:rPr>
        <w:t xml:space="preserve">for the following </w:t>
      </w:r>
      <w:r w:rsidR="00051414" w:rsidRPr="00187713">
        <w:rPr>
          <w:szCs w:val="24"/>
        </w:rPr>
        <w:t>ten outcome measures:  unique participants served/enrolled; total number of participants who have completed a grant-funded program of study; total number still retained in their programs of study; total number retained in other education programs; total number of credit hours completed; total number of earned credentials; total number pursuing further education after program of study completion; total number employed after program of study completion; total number retained in employment after program of study completion; and the total number of those employed at enrollment who receive a wage increase post-enrollment.</w:t>
      </w:r>
      <w:bookmarkEnd w:id="3"/>
    </w:p>
    <w:p w14:paraId="6C27503F" w14:textId="77777777" w:rsidR="004E3852" w:rsidRPr="00187713" w:rsidRDefault="004E3852" w:rsidP="00933363">
      <w:pPr>
        <w:pStyle w:val="BodyText2"/>
        <w:jc w:val="left"/>
        <w:rPr>
          <w:rFonts w:ascii="Times New Roman" w:hAnsi="Times New Roman"/>
          <w:szCs w:val="24"/>
        </w:rPr>
      </w:pPr>
    </w:p>
    <w:p w14:paraId="44D64959" w14:textId="25523CBB" w:rsidR="002802C0" w:rsidRPr="00247A43" w:rsidRDefault="00FB2627" w:rsidP="00933363">
      <w:pPr>
        <w:pStyle w:val="BodyText2"/>
        <w:jc w:val="left"/>
        <w:rPr>
          <w:rFonts w:ascii="Times New Roman" w:hAnsi="Times New Roman"/>
          <w:szCs w:val="24"/>
        </w:rPr>
      </w:pPr>
      <w:r>
        <w:rPr>
          <w:rFonts w:ascii="Times New Roman" w:hAnsi="Times New Roman"/>
          <w:szCs w:val="24"/>
        </w:rPr>
        <w:t>The</w:t>
      </w:r>
      <w:r w:rsidR="005848DF">
        <w:rPr>
          <w:rFonts w:ascii="Times New Roman" w:hAnsi="Times New Roman"/>
          <w:szCs w:val="24"/>
        </w:rPr>
        <w:t xml:space="preserve"> </w:t>
      </w:r>
      <w:r w:rsidR="00770F88">
        <w:rPr>
          <w:rFonts w:ascii="Times New Roman" w:hAnsi="Times New Roman"/>
          <w:szCs w:val="24"/>
        </w:rPr>
        <w:t xml:space="preserve">current revision </w:t>
      </w:r>
      <w:r w:rsidR="00534C9E" w:rsidRPr="00187713">
        <w:rPr>
          <w:rFonts w:ascii="Times New Roman" w:hAnsi="Times New Roman"/>
          <w:szCs w:val="24"/>
        </w:rPr>
        <w:t xml:space="preserve">is necessary </w:t>
      </w:r>
      <w:r w:rsidR="001D70AC" w:rsidRPr="00187713">
        <w:rPr>
          <w:rFonts w:ascii="Times New Roman" w:hAnsi="Times New Roman"/>
          <w:szCs w:val="24"/>
        </w:rPr>
        <w:t>to collect the final Quarterly Progress Repo</w:t>
      </w:r>
      <w:r w:rsidR="002D4697" w:rsidRPr="00187713">
        <w:rPr>
          <w:rFonts w:ascii="Times New Roman" w:hAnsi="Times New Roman"/>
          <w:szCs w:val="24"/>
        </w:rPr>
        <w:t>rt and the final Annual Performance</w:t>
      </w:r>
      <w:r w:rsidR="001D70AC" w:rsidRPr="00187713">
        <w:rPr>
          <w:rFonts w:ascii="Times New Roman" w:hAnsi="Times New Roman"/>
          <w:szCs w:val="24"/>
        </w:rPr>
        <w:t xml:space="preserve"> Report from the fourth </w:t>
      </w:r>
      <w:r w:rsidR="00770F88">
        <w:rPr>
          <w:rFonts w:ascii="Times New Roman" w:hAnsi="Times New Roman"/>
          <w:szCs w:val="24"/>
        </w:rPr>
        <w:t xml:space="preserve">and final </w:t>
      </w:r>
      <w:r w:rsidR="001D70AC" w:rsidRPr="00187713">
        <w:rPr>
          <w:rFonts w:ascii="Times New Roman" w:hAnsi="Times New Roman"/>
          <w:szCs w:val="24"/>
        </w:rPr>
        <w:t>round of TAACCCT grants</w:t>
      </w:r>
      <w:r w:rsidR="00770F88">
        <w:rPr>
          <w:rFonts w:ascii="Times New Roman" w:hAnsi="Times New Roman"/>
          <w:szCs w:val="24"/>
        </w:rPr>
        <w:t xml:space="preserve">. </w:t>
      </w:r>
      <w:r w:rsidR="001B1055" w:rsidRPr="00247A43">
        <w:rPr>
          <w:rFonts w:ascii="Times New Roman" w:hAnsi="Times New Roman"/>
          <w:szCs w:val="24"/>
        </w:rPr>
        <w:t xml:space="preserve">This ICR is </w:t>
      </w:r>
      <w:r w:rsidR="00770F88" w:rsidRPr="00247A43">
        <w:rPr>
          <w:rFonts w:ascii="Times New Roman" w:hAnsi="Times New Roman"/>
          <w:szCs w:val="24"/>
        </w:rPr>
        <w:t>a revisi</w:t>
      </w:r>
      <w:r w:rsidR="002802C0" w:rsidRPr="00247A43">
        <w:rPr>
          <w:rFonts w:ascii="Times New Roman" w:hAnsi="Times New Roman"/>
          <w:szCs w:val="24"/>
        </w:rPr>
        <w:t xml:space="preserve">on with </w:t>
      </w:r>
      <w:r w:rsidR="00C02CFB" w:rsidRPr="00247A43">
        <w:rPr>
          <w:rFonts w:ascii="Times New Roman" w:hAnsi="Times New Roman"/>
          <w:szCs w:val="24"/>
        </w:rPr>
        <w:t xml:space="preserve">no changes to the data collection elements, and only </w:t>
      </w:r>
      <w:r w:rsidR="002802C0" w:rsidRPr="00247A43">
        <w:rPr>
          <w:rFonts w:ascii="Times New Roman" w:hAnsi="Times New Roman"/>
          <w:szCs w:val="24"/>
        </w:rPr>
        <w:t xml:space="preserve">the following </w:t>
      </w:r>
      <w:r w:rsidR="00C02CFB" w:rsidRPr="00247A43">
        <w:rPr>
          <w:rFonts w:ascii="Times New Roman" w:hAnsi="Times New Roman"/>
          <w:szCs w:val="24"/>
        </w:rPr>
        <w:t xml:space="preserve">minor </w:t>
      </w:r>
      <w:r w:rsidR="002802C0" w:rsidRPr="00247A43">
        <w:rPr>
          <w:rFonts w:ascii="Times New Roman" w:hAnsi="Times New Roman"/>
          <w:szCs w:val="24"/>
        </w:rPr>
        <w:t xml:space="preserve">changes: </w:t>
      </w:r>
    </w:p>
    <w:p w14:paraId="36804BA0" w14:textId="77777777" w:rsidR="002802C0" w:rsidRPr="00247A43" w:rsidRDefault="002802C0" w:rsidP="00933363">
      <w:pPr>
        <w:pStyle w:val="BodyText2"/>
        <w:jc w:val="left"/>
        <w:rPr>
          <w:rFonts w:ascii="Times New Roman" w:hAnsi="Times New Roman"/>
          <w:szCs w:val="24"/>
        </w:rPr>
      </w:pPr>
    </w:p>
    <w:p w14:paraId="3D401266" w14:textId="77777777" w:rsidR="002802C0" w:rsidRPr="00247A43" w:rsidRDefault="002802C0" w:rsidP="002802C0">
      <w:pPr>
        <w:rPr>
          <w:rFonts w:asciiTheme="minorHAnsi" w:hAnsiTheme="minorHAnsi" w:cstheme="minorHAnsi"/>
          <w:b/>
          <w:color w:val="000000" w:themeColor="text1"/>
          <w:szCs w:val="24"/>
        </w:rPr>
      </w:pPr>
      <w:r w:rsidRPr="00247A43">
        <w:rPr>
          <w:rFonts w:asciiTheme="minorHAnsi" w:hAnsiTheme="minorHAnsi" w:cstheme="minorHAnsi"/>
          <w:b/>
          <w:color w:val="000000" w:themeColor="text1"/>
          <w:szCs w:val="24"/>
        </w:rPr>
        <w:t>Grantee Reporting Handbook</w:t>
      </w:r>
    </w:p>
    <w:p w14:paraId="5E0EB6EF" w14:textId="77777777" w:rsidR="002802C0" w:rsidRPr="00247A43" w:rsidRDefault="002802C0" w:rsidP="002802C0">
      <w:pPr>
        <w:pStyle w:val="ListParagraph"/>
        <w:numPr>
          <w:ilvl w:val="0"/>
          <w:numId w:val="17"/>
        </w:numPr>
        <w:rPr>
          <w:rFonts w:asciiTheme="minorHAnsi" w:hAnsiTheme="minorHAnsi" w:cstheme="minorHAnsi"/>
          <w:color w:val="000000" w:themeColor="text1"/>
          <w:sz w:val="24"/>
          <w:szCs w:val="24"/>
        </w:rPr>
      </w:pPr>
      <w:r w:rsidRPr="00247A43">
        <w:rPr>
          <w:rFonts w:asciiTheme="minorHAnsi" w:hAnsiTheme="minorHAnsi" w:cstheme="minorHAnsi"/>
          <w:color w:val="000000" w:themeColor="text1"/>
          <w:sz w:val="24"/>
          <w:szCs w:val="24"/>
        </w:rPr>
        <w:t>Corrected expiration date from 7/30/2018 to 7/31/2018</w:t>
      </w:r>
    </w:p>
    <w:p w14:paraId="758CCD88" w14:textId="5EF09871" w:rsidR="002802C0" w:rsidRPr="00247A43" w:rsidRDefault="002802C0" w:rsidP="002802C0">
      <w:pPr>
        <w:pStyle w:val="ListParagraph"/>
        <w:numPr>
          <w:ilvl w:val="0"/>
          <w:numId w:val="17"/>
        </w:numPr>
        <w:rPr>
          <w:rFonts w:asciiTheme="minorHAnsi" w:hAnsiTheme="minorHAnsi" w:cstheme="minorHAnsi"/>
          <w:sz w:val="24"/>
          <w:szCs w:val="24"/>
        </w:rPr>
      </w:pPr>
      <w:r w:rsidRPr="00247A43">
        <w:rPr>
          <w:rFonts w:asciiTheme="minorHAnsi" w:hAnsiTheme="minorHAnsi" w:cstheme="minorHAnsi"/>
          <w:color w:val="000000" w:themeColor="text1"/>
          <w:sz w:val="24"/>
          <w:szCs w:val="24"/>
        </w:rPr>
        <w:t>Renamed the document title for clarity, to “</w:t>
      </w:r>
      <w:r w:rsidRPr="00247A43">
        <w:rPr>
          <w:rFonts w:asciiTheme="minorHAnsi" w:hAnsiTheme="minorHAnsi" w:cstheme="minorHAnsi"/>
          <w:sz w:val="24"/>
          <w:szCs w:val="24"/>
        </w:rPr>
        <w:t xml:space="preserve">TAACCCT Round 2-3-4 Reporting Handbook </w:t>
      </w:r>
      <w:r w:rsidR="00CB024C" w:rsidRPr="00247A43">
        <w:rPr>
          <w:rFonts w:asciiTheme="minorHAnsi" w:hAnsiTheme="minorHAnsi" w:cstheme="minorHAnsi"/>
          <w:sz w:val="24"/>
          <w:szCs w:val="24"/>
        </w:rPr>
        <w:t>2018</w:t>
      </w:r>
      <w:r w:rsidRPr="00247A43">
        <w:rPr>
          <w:rFonts w:asciiTheme="minorHAnsi" w:hAnsiTheme="minorHAnsi" w:cstheme="minorHAnsi"/>
          <w:sz w:val="24"/>
          <w:szCs w:val="24"/>
        </w:rPr>
        <w:t>”</w:t>
      </w:r>
    </w:p>
    <w:p w14:paraId="35B5CB06" w14:textId="77777777" w:rsidR="002802C0" w:rsidRPr="00247A43" w:rsidRDefault="002802C0" w:rsidP="002802C0">
      <w:pPr>
        <w:pStyle w:val="ListParagraph"/>
        <w:numPr>
          <w:ilvl w:val="0"/>
          <w:numId w:val="17"/>
        </w:numPr>
        <w:rPr>
          <w:rFonts w:asciiTheme="minorHAnsi" w:hAnsiTheme="minorHAnsi" w:cstheme="minorHAnsi"/>
          <w:color w:val="000000" w:themeColor="text1"/>
          <w:sz w:val="24"/>
          <w:szCs w:val="24"/>
        </w:rPr>
      </w:pPr>
      <w:r w:rsidRPr="00247A43">
        <w:rPr>
          <w:rFonts w:asciiTheme="minorHAnsi" w:hAnsiTheme="minorHAnsi" w:cstheme="minorHAnsi"/>
          <w:color w:val="000000" w:themeColor="text1"/>
          <w:sz w:val="24"/>
          <w:szCs w:val="24"/>
        </w:rPr>
        <w:t>Reworded reference to Attachments throughout to eliminate confusion</w:t>
      </w:r>
    </w:p>
    <w:p w14:paraId="1A3A7F52" w14:textId="3F909267" w:rsidR="002802C0" w:rsidRPr="00247A43" w:rsidRDefault="002802C0" w:rsidP="002802C0">
      <w:pPr>
        <w:pStyle w:val="ListParagraph"/>
        <w:numPr>
          <w:ilvl w:val="0"/>
          <w:numId w:val="17"/>
        </w:numPr>
        <w:rPr>
          <w:rFonts w:asciiTheme="minorHAnsi" w:hAnsiTheme="minorHAnsi" w:cstheme="minorHAnsi"/>
          <w:color w:val="000000" w:themeColor="text1"/>
          <w:sz w:val="24"/>
          <w:szCs w:val="24"/>
        </w:rPr>
      </w:pPr>
      <w:r w:rsidRPr="00247A43">
        <w:rPr>
          <w:rFonts w:asciiTheme="minorHAnsi" w:hAnsiTheme="minorHAnsi" w:cstheme="minorHAnsi"/>
          <w:color w:val="000000" w:themeColor="text1"/>
          <w:sz w:val="24"/>
          <w:szCs w:val="24"/>
        </w:rPr>
        <w:t xml:space="preserve">Added list of accompanying </w:t>
      </w:r>
      <w:r w:rsidR="00247A43">
        <w:rPr>
          <w:rFonts w:asciiTheme="minorHAnsi" w:hAnsiTheme="minorHAnsi" w:cstheme="minorHAnsi"/>
          <w:color w:val="000000" w:themeColor="text1"/>
          <w:sz w:val="24"/>
          <w:szCs w:val="24"/>
        </w:rPr>
        <w:t>documents</w:t>
      </w:r>
      <w:r w:rsidRPr="00247A43">
        <w:rPr>
          <w:rFonts w:asciiTheme="minorHAnsi" w:hAnsiTheme="minorHAnsi" w:cstheme="minorHAnsi"/>
          <w:color w:val="000000" w:themeColor="text1"/>
          <w:sz w:val="24"/>
          <w:szCs w:val="24"/>
        </w:rPr>
        <w:t>, with revised document names, specifically:</w:t>
      </w:r>
    </w:p>
    <w:p w14:paraId="513333F8" w14:textId="4F14FDF8" w:rsidR="002802C0" w:rsidRPr="00247A43" w:rsidRDefault="002802C0" w:rsidP="002802C0">
      <w:pPr>
        <w:numPr>
          <w:ilvl w:val="1"/>
          <w:numId w:val="17"/>
        </w:numPr>
        <w:tabs>
          <w:tab w:val="clear" w:pos="432"/>
        </w:tabs>
        <w:autoSpaceDE w:val="0"/>
        <w:autoSpaceDN w:val="0"/>
        <w:adjustRightInd w:val="0"/>
        <w:jc w:val="left"/>
        <w:rPr>
          <w:rFonts w:asciiTheme="minorHAnsi" w:hAnsiTheme="minorHAnsi" w:cstheme="minorHAnsi"/>
          <w:color w:val="000000" w:themeColor="text1"/>
          <w:szCs w:val="24"/>
        </w:rPr>
      </w:pPr>
      <w:r w:rsidRPr="00247A43">
        <w:rPr>
          <w:rFonts w:asciiTheme="minorHAnsi" w:hAnsiTheme="minorHAnsi" w:cstheme="minorHAnsi"/>
          <w:color w:val="000000" w:themeColor="text1"/>
          <w:szCs w:val="24"/>
        </w:rPr>
        <w:t xml:space="preserve">TAACCCT Round 2-3-4 APR Form </w:t>
      </w:r>
      <w:r w:rsidR="00CB024C" w:rsidRPr="00247A43">
        <w:rPr>
          <w:rFonts w:asciiTheme="minorHAnsi" w:hAnsiTheme="minorHAnsi" w:cstheme="minorHAnsi"/>
          <w:color w:val="000000" w:themeColor="text1"/>
          <w:szCs w:val="24"/>
        </w:rPr>
        <w:t>2018</w:t>
      </w:r>
      <w:r w:rsidRPr="00247A43" w:rsidDel="000F29A8">
        <w:rPr>
          <w:rFonts w:asciiTheme="minorHAnsi" w:hAnsiTheme="minorHAnsi" w:cstheme="minorHAnsi"/>
          <w:color w:val="000000" w:themeColor="text1"/>
          <w:szCs w:val="24"/>
        </w:rPr>
        <w:t xml:space="preserve"> </w:t>
      </w:r>
    </w:p>
    <w:p w14:paraId="345DA05D" w14:textId="735FE18A" w:rsidR="002802C0" w:rsidRPr="00247A43" w:rsidRDefault="002802C0" w:rsidP="002802C0">
      <w:pPr>
        <w:numPr>
          <w:ilvl w:val="1"/>
          <w:numId w:val="17"/>
        </w:numPr>
        <w:tabs>
          <w:tab w:val="clear" w:pos="432"/>
        </w:tabs>
        <w:autoSpaceDE w:val="0"/>
        <w:autoSpaceDN w:val="0"/>
        <w:adjustRightInd w:val="0"/>
        <w:jc w:val="left"/>
        <w:rPr>
          <w:rFonts w:asciiTheme="minorHAnsi" w:hAnsiTheme="minorHAnsi" w:cstheme="minorHAnsi"/>
          <w:color w:val="000000" w:themeColor="text1"/>
          <w:szCs w:val="24"/>
        </w:rPr>
      </w:pPr>
      <w:r w:rsidRPr="00247A43">
        <w:rPr>
          <w:rFonts w:asciiTheme="minorHAnsi" w:hAnsiTheme="minorHAnsi" w:cstheme="minorHAnsi"/>
          <w:color w:val="000000" w:themeColor="text1"/>
          <w:szCs w:val="24"/>
        </w:rPr>
        <w:t xml:space="preserve">TAACCCT Round 2-3-4 Participant-Level Data Elements </w:t>
      </w:r>
      <w:r w:rsidR="00CB024C" w:rsidRPr="00247A43">
        <w:rPr>
          <w:rFonts w:asciiTheme="minorHAnsi" w:hAnsiTheme="minorHAnsi" w:cstheme="minorHAnsi"/>
          <w:color w:val="000000" w:themeColor="text1"/>
          <w:szCs w:val="24"/>
        </w:rPr>
        <w:t>2018</w:t>
      </w:r>
    </w:p>
    <w:p w14:paraId="08D46242" w14:textId="40FE9043" w:rsidR="002802C0" w:rsidRDefault="002802C0" w:rsidP="002802C0">
      <w:pPr>
        <w:numPr>
          <w:ilvl w:val="1"/>
          <w:numId w:val="17"/>
        </w:numPr>
        <w:tabs>
          <w:tab w:val="clear" w:pos="432"/>
        </w:tabs>
        <w:autoSpaceDE w:val="0"/>
        <w:autoSpaceDN w:val="0"/>
        <w:adjustRightInd w:val="0"/>
        <w:jc w:val="left"/>
        <w:rPr>
          <w:rFonts w:asciiTheme="minorHAnsi" w:hAnsiTheme="minorHAnsi" w:cstheme="minorHAnsi"/>
          <w:color w:val="000000" w:themeColor="text1"/>
          <w:szCs w:val="24"/>
        </w:rPr>
      </w:pPr>
      <w:r w:rsidRPr="00247A43">
        <w:rPr>
          <w:rFonts w:asciiTheme="minorHAnsi" w:hAnsiTheme="minorHAnsi" w:cstheme="minorHAnsi"/>
          <w:color w:val="000000" w:themeColor="text1"/>
          <w:szCs w:val="24"/>
        </w:rPr>
        <w:lastRenderedPageBreak/>
        <w:t xml:space="preserve">TAACCCT Round 2-3-4 QNPR Form </w:t>
      </w:r>
      <w:r w:rsidR="00CB024C" w:rsidRPr="00247A43">
        <w:rPr>
          <w:rFonts w:asciiTheme="minorHAnsi" w:hAnsiTheme="minorHAnsi" w:cstheme="minorHAnsi"/>
          <w:color w:val="000000" w:themeColor="text1"/>
          <w:szCs w:val="24"/>
        </w:rPr>
        <w:t>2018</w:t>
      </w:r>
    </w:p>
    <w:p w14:paraId="00F1281F" w14:textId="77777777" w:rsidR="00247A43" w:rsidRPr="00247A43" w:rsidRDefault="00247A43" w:rsidP="00247A43">
      <w:pPr>
        <w:tabs>
          <w:tab w:val="clear" w:pos="432"/>
        </w:tabs>
        <w:autoSpaceDE w:val="0"/>
        <w:autoSpaceDN w:val="0"/>
        <w:adjustRightInd w:val="0"/>
        <w:ind w:left="1440"/>
        <w:jc w:val="left"/>
        <w:rPr>
          <w:rFonts w:asciiTheme="minorHAnsi" w:hAnsiTheme="minorHAnsi" w:cstheme="minorHAnsi"/>
          <w:color w:val="000000" w:themeColor="text1"/>
          <w:szCs w:val="24"/>
        </w:rPr>
      </w:pPr>
    </w:p>
    <w:p w14:paraId="56CA4442" w14:textId="77777777" w:rsidR="002802C0" w:rsidRPr="00247A43" w:rsidRDefault="002802C0" w:rsidP="002802C0">
      <w:pPr>
        <w:rPr>
          <w:rFonts w:asciiTheme="minorHAnsi" w:hAnsiTheme="minorHAnsi" w:cstheme="minorHAnsi"/>
          <w:b/>
          <w:color w:val="000000" w:themeColor="text1"/>
          <w:szCs w:val="24"/>
        </w:rPr>
      </w:pPr>
      <w:r w:rsidRPr="00247A43">
        <w:rPr>
          <w:rFonts w:asciiTheme="minorHAnsi" w:hAnsiTheme="minorHAnsi" w:cstheme="minorHAnsi"/>
          <w:b/>
          <w:color w:val="000000" w:themeColor="text1"/>
          <w:szCs w:val="24"/>
        </w:rPr>
        <w:t>Annual Performance Report (APR) Form</w:t>
      </w:r>
    </w:p>
    <w:p w14:paraId="28A9805A" w14:textId="77777777" w:rsidR="002802C0" w:rsidRPr="00247A43" w:rsidRDefault="002802C0" w:rsidP="002802C0">
      <w:pPr>
        <w:pStyle w:val="ListParagraph"/>
        <w:numPr>
          <w:ilvl w:val="0"/>
          <w:numId w:val="17"/>
        </w:numPr>
        <w:rPr>
          <w:rFonts w:asciiTheme="minorHAnsi" w:hAnsiTheme="minorHAnsi" w:cstheme="minorHAnsi"/>
          <w:color w:val="000000" w:themeColor="text1"/>
          <w:sz w:val="24"/>
          <w:szCs w:val="24"/>
        </w:rPr>
      </w:pPr>
      <w:r w:rsidRPr="00247A43">
        <w:rPr>
          <w:rFonts w:asciiTheme="minorHAnsi" w:hAnsiTheme="minorHAnsi" w:cstheme="minorHAnsi"/>
          <w:color w:val="000000" w:themeColor="text1"/>
          <w:sz w:val="24"/>
          <w:szCs w:val="24"/>
        </w:rPr>
        <w:t>Corrected expiration date from 7/30/2018 to 7/31/2018</w:t>
      </w:r>
    </w:p>
    <w:p w14:paraId="09ADD783" w14:textId="3594284C" w:rsidR="002802C0" w:rsidRPr="00247A43" w:rsidRDefault="002802C0" w:rsidP="002802C0">
      <w:pPr>
        <w:pStyle w:val="ListParagraph"/>
        <w:numPr>
          <w:ilvl w:val="0"/>
          <w:numId w:val="17"/>
        </w:numPr>
        <w:rPr>
          <w:rFonts w:asciiTheme="minorHAnsi" w:hAnsiTheme="minorHAnsi" w:cstheme="minorHAnsi"/>
          <w:color w:val="000000" w:themeColor="text1"/>
          <w:sz w:val="24"/>
          <w:szCs w:val="24"/>
        </w:rPr>
      </w:pPr>
      <w:r w:rsidRPr="00247A43">
        <w:rPr>
          <w:rFonts w:asciiTheme="minorHAnsi" w:hAnsiTheme="minorHAnsi" w:cstheme="minorHAnsi"/>
          <w:color w:val="000000" w:themeColor="text1"/>
          <w:sz w:val="24"/>
          <w:szCs w:val="24"/>
        </w:rPr>
        <w:t>Renamed the document title for clarity, to “</w:t>
      </w:r>
      <w:r w:rsidRPr="00247A43">
        <w:rPr>
          <w:rFonts w:asciiTheme="minorHAnsi" w:hAnsiTheme="minorHAnsi" w:cstheme="minorHAnsi"/>
          <w:sz w:val="24"/>
          <w:szCs w:val="24"/>
        </w:rPr>
        <w:t xml:space="preserve">TAACCCT Round 2-3-4 APR Form </w:t>
      </w:r>
      <w:r w:rsidR="00CB024C" w:rsidRPr="00247A43">
        <w:rPr>
          <w:rFonts w:asciiTheme="minorHAnsi" w:hAnsiTheme="minorHAnsi" w:cstheme="minorHAnsi"/>
          <w:sz w:val="24"/>
          <w:szCs w:val="24"/>
        </w:rPr>
        <w:t>2018</w:t>
      </w:r>
      <w:r w:rsidRPr="00247A43">
        <w:rPr>
          <w:rFonts w:asciiTheme="minorHAnsi" w:hAnsiTheme="minorHAnsi" w:cstheme="minorHAnsi"/>
          <w:sz w:val="24"/>
          <w:szCs w:val="24"/>
        </w:rPr>
        <w:t>”</w:t>
      </w:r>
    </w:p>
    <w:p w14:paraId="1D7F8405" w14:textId="77777777" w:rsidR="002802C0" w:rsidRPr="00247A43" w:rsidRDefault="002802C0" w:rsidP="002802C0">
      <w:pPr>
        <w:rPr>
          <w:rFonts w:asciiTheme="minorHAnsi" w:hAnsiTheme="minorHAnsi" w:cstheme="minorHAnsi"/>
          <w:color w:val="000000" w:themeColor="text1"/>
          <w:szCs w:val="24"/>
        </w:rPr>
      </w:pPr>
    </w:p>
    <w:p w14:paraId="3FF88710" w14:textId="77777777" w:rsidR="002802C0" w:rsidRPr="00247A43" w:rsidRDefault="002802C0" w:rsidP="002802C0">
      <w:pPr>
        <w:rPr>
          <w:rFonts w:asciiTheme="minorHAnsi" w:hAnsiTheme="minorHAnsi" w:cstheme="minorHAnsi"/>
          <w:b/>
          <w:color w:val="000000" w:themeColor="text1"/>
          <w:szCs w:val="24"/>
        </w:rPr>
      </w:pPr>
      <w:r w:rsidRPr="00247A43">
        <w:rPr>
          <w:rFonts w:asciiTheme="minorHAnsi" w:hAnsiTheme="minorHAnsi" w:cstheme="minorHAnsi"/>
          <w:b/>
          <w:color w:val="000000" w:themeColor="text1"/>
          <w:szCs w:val="24"/>
        </w:rPr>
        <w:t>Participant-level Data Elements</w:t>
      </w:r>
    </w:p>
    <w:p w14:paraId="3C624316" w14:textId="5465DA83" w:rsidR="002802C0" w:rsidRPr="00247A43" w:rsidRDefault="002802C0" w:rsidP="002802C0">
      <w:pPr>
        <w:pStyle w:val="NormalSS"/>
        <w:numPr>
          <w:ilvl w:val="0"/>
          <w:numId w:val="14"/>
        </w:numPr>
        <w:jc w:val="left"/>
        <w:rPr>
          <w:rFonts w:asciiTheme="minorHAnsi" w:hAnsiTheme="minorHAnsi" w:cstheme="minorHAnsi"/>
          <w:szCs w:val="24"/>
        </w:rPr>
      </w:pPr>
      <w:r w:rsidRPr="00247A43">
        <w:rPr>
          <w:rFonts w:asciiTheme="minorHAnsi" w:hAnsiTheme="minorHAnsi" w:cstheme="minorHAnsi"/>
          <w:color w:val="000000" w:themeColor="text1"/>
          <w:szCs w:val="24"/>
        </w:rPr>
        <w:t>Renamed the document title for clarity, to “</w:t>
      </w:r>
      <w:r w:rsidRPr="00247A43">
        <w:rPr>
          <w:rFonts w:asciiTheme="minorHAnsi" w:hAnsiTheme="minorHAnsi" w:cstheme="minorHAnsi"/>
          <w:szCs w:val="24"/>
        </w:rPr>
        <w:t xml:space="preserve">TAACCCT Round 2-3-4 Participant-Level Data Elements </w:t>
      </w:r>
      <w:r w:rsidR="00CB024C" w:rsidRPr="00247A43">
        <w:rPr>
          <w:rFonts w:asciiTheme="minorHAnsi" w:hAnsiTheme="minorHAnsi" w:cstheme="minorHAnsi"/>
          <w:szCs w:val="24"/>
        </w:rPr>
        <w:t>2018</w:t>
      </w:r>
      <w:r w:rsidRPr="00247A43">
        <w:rPr>
          <w:rFonts w:asciiTheme="minorHAnsi" w:hAnsiTheme="minorHAnsi" w:cstheme="minorHAnsi"/>
          <w:szCs w:val="24"/>
        </w:rPr>
        <w:t>”</w:t>
      </w:r>
    </w:p>
    <w:p w14:paraId="20B46767" w14:textId="77777777" w:rsidR="002802C0" w:rsidRPr="00247A43" w:rsidRDefault="002802C0" w:rsidP="002802C0">
      <w:pPr>
        <w:rPr>
          <w:rFonts w:asciiTheme="minorHAnsi" w:hAnsiTheme="minorHAnsi" w:cstheme="minorHAnsi"/>
          <w:color w:val="000000" w:themeColor="text1"/>
          <w:szCs w:val="24"/>
        </w:rPr>
      </w:pPr>
    </w:p>
    <w:p w14:paraId="43EFAE0A" w14:textId="77777777" w:rsidR="002802C0" w:rsidRPr="00247A43" w:rsidRDefault="002802C0" w:rsidP="002802C0">
      <w:pPr>
        <w:rPr>
          <w:rFonts w:asciiTheme="minorHAnsi" w:hAnsiTheme="minorHAnsi" w:cstheme="minorHAnsi"/>
          <w:b/>
          <w:color w:val="000000" w:themeColor="text1"/>
          <w:szCs w:val="24"/>
        </w:rPr>
      </w:pPr>
      <w:r w:rsidRPr="00247A43">
        <w:rPr>
          <w:rFonts w:asciiTheme="minorHAnsi" w:hAnsiTheme="minorHAnsi" w:cstheme="minorHAnsi"/>
          <w:b/>
          <w:color w:val="000000" w:themeColor="text1"/>
          <w:szCs w:val="24"/>
        </w:rPr>
        <w:t>Quarterly Narrative Progress Report Form</w:t>
      </w:r>
    </w:p>
    <w:p w14:paraId="5CF48462" w14:textId="77777777" w:rsidR="002802C0" w:rsidRPr="00247A43" w:rsidRDefault="002802C0" w:rsidP="002802C0">
      <w:pPr>
        <w:pStyle w:val="ListParagraph"/>
        <w:numPr>
          <w:ilvl w:val="0"/>
          <w:numId w:val="17"/>
        </w:numPr>
        <w:rPr>
          <w:rFonts w:asciiTheme="minorHAnsi" w:hAnsiTheme="minorHAnsi" w:cstheme="minorHAnsi"/>
          <w:color w:val="000000" w:themeColor="text1"/>
          <w:sz w:val="24"/>
          <w:szCs w:val="24"/>
        </w:rPr>
      </w:pPr>
      <w:r w:rsidRPr="00247A43">
        <w:rPr>
          <w:rFonts w:asciiTheme="minorHAnsi" w:hAnsiTheme="minorHAnsi" w:cstheme="minorHAnsi"/>
          <w:color w:val="000000" w:themeColor="text1"/>
          <w:sz w:val="24"/>
          <w:szCs w:val="24"/>
        </w:rPr>
        <w:t>Corrected expiration date from 7/30/2018 to 7/31/2018</w:t>
      </w:r>
    </w:p>
    <w:p w14:paraId="2B8779C5" w14:textId="65CDF2D8" w:rsidR="002802C0" w:rsidRPr="00247A43" w:rsidRDefault="002802C0" w:rsidP="002802C0">
      <w:pPr>
        <w:pStyle w:val="ListParagraph"/>
        <w:numPr>
          <w:ilvl w:val="0"/>
          <w:numId w:val="17"/>
        </w:numPr>
        <w:rPr>
          <w:rFonts w:asciiTheme="minorHAnsi" w:hAnsiTheme="minorHAnsi" w:cstheme="minorHAnsi"/>
          <w:color w:val="000000" w:themeColor="text1"/>
          <w:sz w:val="24"/>
          <w:szCs w:val="24"/>
        </w:rPr>
      </w:pPr>
      <w:r w:rsidRPr="00247A43">
        <w:rPr>
          <w:rFonts w:asciiTheme="minorHAnsi" w:hAnsiTheme="minorHAnsi" w:cstheme="minorHAnsi"/>
          <w:color w:val="000000" w:themeColor="text1"/>
          <w:sz w:val="24"/>
          <w:szCs w:val="24"/>
        </w:rPr>
        <w:t xml:space="preserve">Renamed the document title for clarity, to “TAACCCT Round 2-3-4 QNPR Form </w:t>
      </w:r>
      <w:r w:rsidR="00CB024C" w:rsidRPr="00247A43">
        <w:rPr>
          <w:rFonts w:asciiTheme="minorHAnsi" w:hAnsiTheme="minorHAnsi" w:cstheme="minorHAnsi"/>
          <w:color w:val="000000" w:themeColor="text1"/>
          <w:sz w:val="24"/>
          <w:szCs w:val="24"/>
        </w:rPr>
        <w:t>2018</w:t>
      </w:r>
      <w:r w:rsidRPr="00247A43">
        <w:rPr>
          <w:rFonts w:asciiTheme="minorHAnsi" w:hAnsiTheme="minorHAnsi" w:cstheme="minorHAnsi"/>
          <w:color w:val="000000" w:themeColor="text1"/>
          <w:sz w:val="24"/>
          <w:szCs w:val="24"/>
        </w:rPr>
        <w:t>"</w:t>
      </w:r>
    </w:p>
    <w:p w14:paraId="11351A6C" w14:textId="321BEE4F" w:rsidR="00770F88" w:rsidRPr="00247A43" w:rsidRDefault="00770F88" w:rsidP="00933363">
      <w:pPr>
        <w:pStyle w:val="BodyText2"/>
        <w:jc w:val="left"/>
        <w:rPr>
          <w:rFonts w:ascii="Times New Roman" w:hAnsi="Times New Roman"/>
          <w:szCs w:val="24"/>
        </w:rPr>
      </w:pPr>
    </w:p>
    <w:p w14:paraId="3B3E7DF1" w14:textId="1C7007CB" w:rsidR="00A4004D" w:rsidRPr="00D64961" w:rsidRDefault="00770F88" w:rsidP="00933363">
      <w:pPr>
        <w:pStyle w:val="BodyText2"/>
        <w:jc w:val="left"/>
        <w:rPr>
          <w:rFonts w:ascii="Times New Roman" w:hAnsi="Times New Roman"/>
          <w:szCs w:val="24"/>
        </w:rPr>
      </w:pPr>
      <w:r w:rsidRPr="00D64961">
        <w:rPr>
          <w:rFonts w:ascii="Times New Roman" w:hAnsi="Times New Roman"/>
          <w:szCs w:val="24"/>
        </w:rPr>
        <w:t xml:space="preserve">Revised </w:t>
      </w:r>
      <w:r w:rsidR="00FB2627" w:rsidRPr="00D64961">
        <w:rPr>
          <w:rFonts w:ascii="Times New Roman" w:hAnsi="Times New Roman"/>
          <w:szCs w:val="24"/>
        </w:rPr>
        <w:t>Information Collection instruments</w:t>
      </w:r>
      <w:r w:rsidR="002575E4" w:rsidRPr="00D64961">
        <w:rPr>
          <w:rFonts w:ascii="Times New Roman" w:hAnsi="Times New Roman"/>
          <w:szCs w:val="24"/>
        </w:rPr>
        <w:t xml:space="preserve"> are attached</w:t>
      </w:r>
      <w:r w:rsidRPr="00D64961">
        <w:rPr>
          <w:rFonts w:ascii="Times New Roman" w:hAnsi="Times New Roman"/>
          <w:szCs w:val="24"/>
        </w:rPr>
        <w:t xml:space="preserve">.  </w:t>
      </w:r>
    </w:p>
    <w:p w14:paraId="309CE947" w14:textId="77777777" w:rsidR="002575E4" w:rsidRPr="00D64961" w:rsidRDefault="002575E4" w:rsidP="00933363">
      <w:pPr>
        <w:pStyle w:val="BodyText2"/>
        <w:jc w:val="left"/>
        <w:rPr>
          <w:rFonts w:ascii="Times New Roman" w:hAnsi="Times New Roman"/>
          <w:szCs w:val="24"/>
        </w:rPr>
      </w:pPr>
    </w:p>
    <w:p w14:paraId="1510F157" w14:textId="35F5C0CA" w:rsidR="00D97349" w:rsidRPr="00D64961" w:rsidRDefault="00D97349" w:rsidP="00D97349">
      <w:pPr>
        <w:pStyle w:val="NormalSS"/>
        <w:numPr>
          <w:ilvl w:val="0"/>
          <w:numId w:val="14"/>
        </w:numPr>
        <w:jc w:val="left"/>
        <w:rPr>
          <w:szCs w:val="24"/>
        </w:rPr>
      </w:pPr>
      <w:r w:rsidRPr="00D64961">
        <w:rPr>
          <w:szCs w:val="24"/>
        </w:rPr>
        <w:t>TAACCCT Round 2</w:t>
      </w:r>
      <w:r w:rsidR="00D1618D" w:rsidRPr="00D64961">
        <w:rPr>
          <w:szCs w:val="24"/>
        </w:rPr>
        <w:t>-3-4 Reporting Handbook</w:t>
      </w:r>
      <w:r w:rsidR="005262C4" w:rsidRPr="00D64961">
        <w:rPr>
          <w:szCs w:val="24"/>
        </w:rPr>
        <w:t xml:space="preserve"> </w:t>
      </w:r>
      <w:r w:rsidR="00FD7038">
        <w:rPr>
          <w:szCs w:val="24"/>
        </w:rPr>
        <w:t>2018</w:t>
      </w:r>
    </w:p>
    <w:p w14:paraId="2985ED93" w14:textId="14E169F8" w:rsidR="00D97349" w:rsidRPr="00D64961" w:rsidRDefault="00D97349" w:rsidP="00D97349">
      <w:pPr>
        <w:pStyle w:val="NormalSS"/>
        <w:numPr>
          <w:ilvl w:val="0"/>
          <w:numId w:val="14"/>
        </w:numPr>
        <w:jc w:val="left"/>
        <w:rPr>
          <w:szCs w:val="24"/>
        </w:rPr>
      </w:pPr>
      <w:r w:rsidRPr="00D64961">
        <w:rPr>
          <w:szCs w:val="24"/>
        </w:rPr>
        <w:t>TAACCCT Round 2-3-4 Partic</w:t>
      </w:r>
      <w:r w:rsidR="00D1618D" w:rsidRPr="00D64961">
        <w:rPr>
          <w:szCs w:val="24"/>
        </w:rPr>
        <w:t>ipant-Level Data Elements</w:t>
      </w:r>
      <w:r w:rsidR="00FD7038">
        <w:rPr>
          <w:szCs w:val="24"/>
        </w:rPr>
        <w:t xml:space="preserve"> 2018</w:t>
      </w:r>
    </w:p>
    <w:p w14:paraId="0ABAF7C4" w14:textId="28AA7714" w:rsidR="00D97349" w:rsidRPr="00D64961" w:rsidRDefault="00D97349" w:rsidP="00882FFC">
      <w:pPr>
        <w:pStyle w:val="NormalSS"/>
        <w:numPr>
          <w:ilvl w:val="0"/>
          <w:numId w:val="14"/>
        </w:numPr>
        <w:jc w:val="left"/>
        <w:rPr>
          <w:szCs w:val="24"/>
        </w:rPr>
      </w:pPr>
      <w:r w:rsidRPr="00D64961">
        <w:rPr>
          <w:szCs w:val="24"/>
        </w:rPr>
        <w:t>TAACC</w:t>
      </w:r>
      <w:r w:rsidR="00D1618D" w:rsidRPr="00D64961">
        <w:rPr>
          <w:szCs w:val="24"/>
        </w:rPr>
        <w:t>CT Round 2-3-4 APR Form</w:t>
      </w:r>
      <w:r w:rsidR="00FD7038">
        <w:rPr>
          <w:szCs w:val="24"/>
        </w:rPr>
        <w:t xml:space="preserve"> 2018</w:t>
      </w:r>
    </w:p>
    <w:p w14:paraId="76FC3083" w14:textId="4A9A9791" w:rsidR="00882FFC" w:rsidRPr="002802C0" w:rsidRDefault="00D97349" w:rsidP="00882FFC">
      <w:pPr>
        <w:pStyle w:val="NormalSS"/>
        <w:numPr>
          <w:ilvl w:val="0"/>
          <w:numId w:val="14"/>
        </w:numPr>
        <w:jc w:val="left"/>
        <w:rPr>
          <w:szCs w:val="24"/>
        </w:rPr>
      </w:pPr>
      <w:r w:rsidRPr="00D64961">
        <w:rPr>
          <w:szCs w:val="24"/>
        </w:rPr>
        <w:t>TAAC</w:t>
      </w:r>
      <w:r w:rsidR="00D1618D" w:rsidRPr="00D64961">
        <w:rPr>
          <w:szCs w:val="24"/>
        </w:rPr>
        <w:t>CCT Round 2-3-4 QNPR Form</w:t>
      </w:r>
      <w:r w:rsidR="00FD7038">
        <w:rPr>
          <w:szCs w:val="24"/>
        </w:rPr>
        <w:t xml:space="preserve"> 2018</w:t>
      </w:r>
    </w:p>
    <w:p w14:paraId="7D7F7BC2" w14:textId="77777777" w:rsidR="00D97349" w:rsidRPr="00D97349" w:rsidRDefault="00D97349" w:rsidP="00D97349">
      <w:pPr>
        <w:pStyle w:val="NormalSS"/>
        <w:ind w:left="720"/>
        <w:jc w:val="left"/>
        <w:rPr>
          <w:szCs w:val="24"/>
        </w:rPr>
      </w:pPr>
    </w:p>
    <w:p w14:paraId="404EB5CE" w14:textId="201FBC25" w:rsidR="001B1055" w:rsidRPr="00187713" w:rsidRDefault="00882FFC" w:rsidP="00933363">
      <w:pPr>
        <w:pStyle w:val="NormalSS"/>
        <w:jc w:val="left"/>
        <w:rPr>
          <w:szCs w:val="24"/>
        </w:rPr>
      </w:pPr>
      <w:r w:rsidRPr="00882FFC">
        <w:rPr>
          <w:i/>
          <w:szCs w:val="24"/>
        </w:rPr>
        <w:t>1.</w:t>
      </w:r>
      <w:r w:rsidRPr="00882FFC">
        <w:rPr>
          <w:i/>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794EE2E" w14:textId="77777777" w:rsidR="00F2719B" w:rsidRPr="00187713" w:rsidRDefault="00F2719B" w:rsidP="001D70AC">
      <w:pPr>
        <w:pStyle w:val="NormalWeb"/>
      </w:pPr>
      <w:r w:rsidRPr="00187713">
        <w:t xml:space="preserve">ETA’s statutory authority to administer this program, issue guidelines including performance reporting by </w:t>
      </w:r>
      <w:r w:rsidRPr="00187713">
        <w:rPr>
          <w:color w:val="000000"/>
        </w:rPr>
        <w:t xml:space="preserve">grantees, </w:t>
      </w:r>
      <w:r w:rsidRPr="00187713">
        <w:t xml:space="preserve">and </w:t>
      </w:r>
      <w:r w:rsidRPr="00187713">
        <w:rPr>
          <w:color w:val="000000"/>
        </w:rPr>
        <w:t>assess the impact of each award on workers served by</w:t>
      </w:r>
      <w:r w:rsidRPr="00187713">
        <w:rPr>
          <w:color w:val="800000"/>
        </w:rPr>
        <w:t xml:space="preserve"> </w:t>
      </w:r>
      <w:r w:rsidRPr="00187713">
        <w:t>grantees comes from section 1872 of the Trade and Globalization Adjustment Assistance Act of 2009 (Division B, Title I, Subtitle I of the American Recovery and Reinvestment Act of 2009, Public Law 111-5</w:t>
      </w:r>
      <w:r w:rsidRPr="00187713">
        <w:rPr>
          <w:color w:val="000000"/>
        </w:rPr>
        <w:t>) (19 U.S.C 2372a), as amended by the Hea</w:t>
      </w:r>
      <w:r w:rsidRPr="00187713">
        <w:t>lth Care and Education Reconciliation Act of 2010, Public Law 111-152.</w:t>
      </w:r>
    </w:p>
    <w:p w14:paraId="39C20FE9" w14:textId="1E11B526" w:rsidR="00A4004D" w:rsidRPr="00187713" w:rsidRDefault="00A72D43" w:rsidP="00FB2627">
      <w:pPr>
        <w:pStyle w:val="NormalWeb"/>
      </w:pPr>
      <w:r w:rsidRPr="00187713">
        <w:t xml:space="preserve">Specifically, </w:t>
      </w:r>
      <w:r w:rsidR="001D70AC" w:rsidRPr="00187713">
        <w:t xml:space="preserve">19 U.S.C. 2372 – 2372 </w:t>
      </w:r>
      <w:r w:rsidR="00A4004D" w:rsidRPr="00187713">
        <w:t xml:space="preserve"> </w:t>
      </w:r>
      <w:r w:rsidR="00AF796A" w:rsidRPr="00187713">
        <w:t xml:space="preserve">requires that the Secretary prepare and submit to Congress an annual report regarding the programs and activities carried out under </w:t>
      </w:r>
      <w:r w:rsidR="00396598" w:rsidRPr="00187713">
        <w:t>the TAACCCT grant program</w:t>
      </w:r>
      <w:r w:rsidR="00AF796A" w:rsidRPr="00187713">
        <w:t xml:space="preserve">, </w:t>
      </w:r>
      <w:r w:rsidR="00022EC5" w:rsidRPr="00187713">
        <w:t>providing</w:t>
      </w:r>
      <w:r w:rsidR="00396598" w:rsidRPr="00187713">
        <w:t>:</w:t>
      </w:r>
      <w:r w:rsidR="00A4004D" w:rsidRPr="00187713">
        <w:t xml:space="preserve"> </w:t>
      </w:r>
    </w:p>
    <w:p w14:paraId="64E93EAD" w14:textId="77777777" w:rsidR="00396598" w:rsidRPr="00187713" w:rsidRDefault="00AF796A" w:rsidP="00933363">
      <w:pPr>
        <w:pStyle w:val="Bullet"/>
        <w:numPr>
          <w:ilvl w:val="0"/>
          <w:numId w:val="9"/>
        </w:numPr>
        <w:jc w:val="left"/>
        <w:rPr>
          <w:szCs w:val="24"/>
        </w:rPr>
      </w:pPr>
      <w:r w:rsidRPr="00187713">
        <w:rPr>
          <w:szCs w:val="24"/>
        </w:rPr>
        <w:t xml:space="preserve">A </w:t>
      </w:r>
      <w:r w:rsidR="00396598" w:rsidRPr="00187713">
        <w:rPr>
          <w:szCs w:val="24"/>
        </w:rPr>
        <w:t>descri</w:t>
      </w:r>
      <w:r w:rsidRPr="00187713">
        <w:rPr>
          <w:szCs w:val="24"/>
        </w:rPr>
        <w:t>ption</w:t>
      </w:r>
      <w:r w:rsidR="00396598" w:rsidRPr="00187713">
        <w:rPr>
          <w:szCs w:val="24"/>
        </w:rPr>
        <w:t xml:space="preserve"> </w:t>
      </w:r>
      <w:r w:rsidRPr="00187713">
        <w:rPr>
          <w:szCs w:val="24"/>
        </w:rPr>
        <w:t xml:space="preserve">of </w:t>
      </w:r>
      <w:r w:rsidR="00396598" w:rsidRPr="00187713">
        <w:rPr>
          <w:szCs w:val="24"/>
        </w:rPr>
        <w:t>each grant awarded during the preceding fiscal year</w:t>
      </w:r>
    </w:p>
    <w:p w14:paraId="6316554D" w14:textId="77777777" w:rsidR="00396598" w:rsidRPr="00187713" w:rsidRDefault="00AF796A" w:rsidP="00933363">
      <w:pPr>
        <w:pStyle w:val="Bullet"/>
        <w:numPr>
          <w:ilvl w:val="0"/>
          <w:numId w:val="9"/>
        </w:numPr>
        <w:jc w:val="left"/>
        <w:rPr>
          <w:b/>
          <w:szCs w:val="24"/>
        </w:rPr>
      </w:pPr>
      <w:r w:rsidRPr="00187713">
        <w:rPr>
          <w:szCs w:val="24"/>
        </w:rPr>
        <w:t xml:space="preserve">An </w:t>
      </w:r>
      <w:r w:rsidR="00396598" w:rsidRPr="00187713">
        <w:rPr>
          <w:szCs w:val="24"/>
        </w:rPr>
        <w:t>assess</w:t>
      </w:r>
      <w:r w:rsidRPr="00187713">
        <w:rPr>
          <w:szCs w:val="24"/>
        </w:rPr>
        <w:t>ment of</w:t>
      </w:r>
      <w:r w:rsidR="00396598" w:rsidRPr="00187713">
        <w:rPr>
          <w:szCs w:val="24"/>
        </w:rPr>
        <w:t xml:space="preserve"> the impact of each award in a fiscal year preceding the fiscal year referred to in paragraph (1) on workers receiving training under </w:t>
      </w:r>
      <w:r w:rsidRPr="00187713">
        <w:rPr>
          <w:szCs w:val="24"/>
        </w:rPr>
        <w:t>the TAA for Workers Program</w:t>
      </w:r>
    </w:p>
    <w:p w14:paraId="49E6447D" w14:textId="3BA44754" w:rsidR="004F51D2" w:rsidRDefault="002F2BAC" w:rsidP="008867E4">
      <w:pPr>
        <w:pStyle w:val="NormalSS"/>
        <w:jc w:val="left"/>
        <w:rPr>
          <w:szCs w:val="24"/>
        </w:rPr>
      </w:pPr>
      <w:r w:rsidRPr="00187713">
        <w:rPr>
          <w:szCs w:val="24"/>
        </w:rPr>
        <w:t xml:space="preserve">The data collection is </w:t>
      </w:r>
      <w:r w:rsidR="00E642F4" w:rsidRPr="00187713">
        <w:rPr>
          <w:szCs w:val="24"/>
        </w:rPr>
        <w:t xml:space="preserve">also </w:t>
      </w:r>
      <w:r w:rsidRPr="00187713">
        <w:rPr>
          <w:szCs w:val="24"/>
        </w:rPr>
        <w:t xml:space="preserve">designed to help ETA and grantees assess progress made against the grant statements of work, or grant plans, as submitted to ETA during consideration for funding.  </w:t>
      </w:r>
      <w:r w:rsidR="00891B1F" w:rsidRPr="00187713">
        <w:rPr>
          <w:szCs w:val="24"/>
        </w:rPr>
        <w:lastRenderedPageBreak/>
        <w:t xml:space="preserve">The </w:t>
      </w:r>
      <w:r w:rsidR="001D70AC" w:rsidRPr="00187713">
        <w:rPr>
          <w:szCs w:val="24"/>
        </w:rPr>
        <w:t xml:space="preserve">descriptions of </w:t>
      </w:r>
      <w:r w:rsidR="00DC7B4E" w:rsidRPr="00187713">
        <w:rPr>
          <w:szCs w:val="24"/>
        </w:rPr>
        <w:t>capacity-building, activities, and deliverables in</w:t>
      </w:r>
      <w:r w:rsidR="001D70AC" w:rsidRPr="00187713">
        <w:rPr>
          <w:szCs w:val="24"/>
        </w:rPr>
        <w:t xml:space="preserve"> the Quarterly Progress R</w:t>
      </w:r>
      <w:r w:rsidR="00DC7B4E" w:rsidRPr="00187713">
        <w:rPr>
          <w:szCs w:val="24"/>
        </w:rPr>
        <w:t>eport</w:t>
      </w:r>
      <w:r w:rsidR="00891B1F" w:rsidRPr="00187713">
        <w:rPr>
          <w:szCs w:val="24"/>
        </w:rPr>
        <w:t xml:space="preserve"> allows</w:t>
      </w:r>
      <w:r w:rsidR="001D70AC" w:rsidRPr="00187713">
        <w:rPr>
          <w:szCs w:val="24"/>
        </w:rPr>
        <w:t xml:space="preserve"> </w:t>
      </w:r>
      <w:r w:rsidR="00891B1F" w:rsidRPr="00187713">
        <w:rPr>
          <w:szCs w:val="24"/>
        </w:rPr>
        <w:t>grantees flexibility to show success</w:t>
      </w:r>
      <w:r w:rsidR="001D70AC" w:rsidRPr="00187713">
        <w:rPr>
          <w:szCs w:val="24"/>
        </w:rPr>
        <w:t>es</w:t>
      </w:r>
      <w:r w:rsidR="00891B1F" w:rsidRPr="00187713">
        <w:rPr>
          <w:szCs w:val="24"/>
        </w:rPr>
        <w:t xml:space="preserve"> or challenges against their own unique programs.  In addition, ETA </w:t>
      </w:r>
      <w:r w:rsidR="001E0B8A" w:rsidRPr="00187713">
        <w:rPr>
          <w:szCs w:val="24"/>
        </w:rPr>
        <w:t>re</w:t>
      </w:r>
      <w:r w:rsidR="00891B1F" w:rsidRPr="00187713">
        <w:rPr>
          <w:szCs w:val="24"/>
        </w:rPr>
        <w:t>quire</w:t>
      </w:r>
      <w:r w:rsidR="001E0B8A" w:rsidRPr="00187713">
        <w:rPr>
          <w:szCs w:val="24"/>
        </w:rPr>
        <w:t>s</w:t>
      </w:r>
      <w:r w:rsidR="00891B1F" w:rsidRPr="00187713">
        <w:rPr>
          <w:szCs w:val="24"/>
        </w:rPr>
        <w:t xml:space="preserve"> standard quantitative data collection in order to help monitor participants served and outcomes achieved across grants in a similar way.  </w:t>
      </w:r>
      <w:r w:rsidR="00D74DBF" w:rsidRPr="00187713">
        <w:rPr>
          <w:szCs w:val="24"/>
        </w:rPr>
        <w:t>ETA require</w:t>
      </w:r>
      <w:r w:rsidR="00D32EB1" w:rsidRPr="00187713">
        <w:rPr>
          <w:szCs w:val="24"/>
        </w:rPr>
        <w:t>s</w:t>
      </w:r>
      <w:r w:rsidR="00D74DBF" w:rsidRPr="00187713">
        <w:rPr>
          <w:szCs w:val="24"/>
        </w:rPr>
        <w:t xml:space="preserve"> grantees to collect and report on the common performance measures that are applied across other programs administered by ETA.  </w:t>
      </w:r>
      <w:r w:rsidR="004F51D2" w:rsidRPr="00187713">
        <w:rPr>
          <w:szCs w:val="24"/>
        </w:rPr>
        <w:t xml:space="preserve">The common measures </w:t>
      </w:r>
      <w:r w:rsidR="00B636C7" w:rsidRPr="00187713">
        <w:rPr>
          <w:szCs w:val="24"/>
        </w:rPr>
        <w:t>help to describe the core purposes of related investments:</w:t>
      </w:r>
      <w:r w:rsidR="004F51D2" w:rsidRPr="00187713">
        <w:rPr>
          <w:szCs w:val="24"/>
        </w:rPr>
        <w:t xml:space="preserve">  How many people found jobs?  Did people stay employed?  </w:t>
      </w:r>
      <w:r w:rsidRPr="00187713">
        <w:rPr>
          <w:szCs w:val="24"/>
        </w:rPr>
        <w:t>What were the average earnings?</w:t>
      </w:r>
    </w:p>
    <w:p w14:paraId="28512D6B" w14:textId="77777777" w:rsidR="009376C7" w:rsidRPr="00187713" w:rsidRDefault="009376C7" w:rsidP="008867E4">
      <w:pPr>
        <w:pStyle w:val="NormalSS"/>
        <w:jc w:val="left"/>
        <w:rPr>
          <w:b/>
          <w:szCs w:val="24"/>
        </w:rPr>
      </w:pPr>
    </w:p>
    <w:p w14:paraId="0DE7E884" w14:textId="73E99A95" w:rsidR="00083CB2" w:rsidRPr="009376C7" w:rsidRDefault="009376C7" w:rsidP="009376C7">
      <w:pPr>
        <w:pStyle w:val="Heading3"/>
        <w:jc w:val="left"/>
        <w:rPr>
          <w:szCs w:val="24"/>
          <w:u w:val="single"/>
        </w:rPr>
      </w:pPr>
      <w:bookmarkStart w:id="4" w:name="_Toc94322830"/>
      <w:bookmarkStart w:id="5" w:name="_Toc113416505"/>
      <w:bookmarkStart w:id="6" w:name="_Toc137001963"/>
      <w:bookmarkStart w:id="7" w:name="_Toc94322831"/>
      <w:bookmarkStart w:id="8" w:name="_Toc113416506"/>
      <w:bookmarkStart w:id="9" w:name="_Toc94322832"/>
      <w:bookmarkStart w:id="10" w:name="_Toc113416507"/>
      <w:bookmarkStart w:id="11" w:name="_Toc113416508"/>
      <w:bookmarkStart w:id="12" w:name="_Toc94322835"/>
      <w:bookmarkStart w:id="13" w:name="_Toc113416509"/>
      <w:bookmarkStart w:id="14" w:name="_Toc94322837"/>
      <w:bookmarkStart w:id="15" w:name="_Toc113416510"/>
      <w:r w:rsidRPr="009376C7">
        <w:rPr>
          <w:b w:val="0"/>
          <w:i/>
          <w:szCs w:val="24"/>
        </w:rPr>
        <w:t xml:space="preserve">2. </w:t>
      </w:r>
      <w:r w:rsidRPr="009376C7">
        <w:rPr>
          <w:b w:val="0"/>
          <w:i/>
          <w:szCs w:val="24"/>
        </w:rPr>
        <w:tab/>
        <w:t>Indicate how, by whom, and for what purpose the information is to be used.  Except for a new collection, indicate the actual use the agency has made of the information received from the current collection.</w:t>
      </w:r>
      <w:bookmarkEnd w:id="4"/>
      <w:bookmarkEnd w:id="5"/>
      <w:bookmarkEnd w:id="6"/>
    </w:p>
    <w:p w14:paraId="5911D732" w14:textId="77777777" w:rsidR="00A4004D" w:rsidRPr="00187713" w:rsidRDefault="00215D21" w:rsidP="00933363">
      <w:pPr>
        <w:pStyle w:val="NormalSS"/>
        <w:jc w:val="left"/>
        <w:rPr>
          <w:szCs w:val="24"/>
        </w:rPr>
      </w:pPr>
      <w:r w:rsidRPr="00187713">
        <w:rPr>
          <w:szCs w:val="24"/>
        </w:rPr>
        <w:t xml:space="preserve">ETA uses </w:t>
      </w:r>
      <w:r w:rsidR="00A4004D" w:rsidRPr="00187713">
        <w:rPr>
          <w:szCs w:val="24"/>
        </w:rPr>
        <w:t xml:space="preserve">the information </w:t>
      </w:r>
      <w:r w:rsidRPr="00187713">
        <w:rPr>
          <w:szCs w:val="24"/>
        </w:rPr>
        <w:t xml:space="preserve">that </w:t>
      </w:r>
      <w:r w:rsidR="00A4004D" w:rsidRPr="00187713">
        <w:rPr>
          <w:szCs w:val="24"/>
        </w:rPr>
        <w:t>grantees report for the following purposes:</w:t>
      </w:r>
    </w:p>
    <w:p w14:paraId="1C797601" w14:textId="77777777" w:rsidR="00A4004D" w:rsidRPr="00187713" w:rsidRDefault="00A4004D" w:rsidP="00933363">
      <w:pPr>
        <w:pStyle w:val="NormalSS"/>
        <w:jc w:val="left"/>
        <w:rPr>
          <w:szCs w:val="24"/>
        </w:rPr>
      </w:pPr>
    </w:p>
    <w:p w14:paraId="7AB0B9DC" w14:textId="77777777" w:rsidR="00A4004D" w:rsidRPr="00187713" w:rsidRDefault="00A4004D" w:rsidP="00933363">
      <w:pPr>
        <w:pStyle w:val="NumberedBullet"/>
        <w:tabs>
          <w:tab w:val="clear" w:pos="360"/>
          <w:tab w:val="num" w:pos="792"/>
        </w:tabs>
        <w:jc w:val="left"/>
        <w:rPr>
          <w:szCs w:val="24"/>
        </w:rPr>
      </w:pPr>
      <w:r w:rsidRPr="00187713">
        <w:rPr>
          <w:szCs w:val="24"/>
        </w:rPr>
        <w:t xml:space="preserve">To provide program and performance information to stakeholders, including participants, </w:t>
      </w:r>
      <w:r w:rsidR="00B46D99" w:rsidRPr="00187713">
        <w:rPr>
          <w:szCs w:val="24"/>
        </w:rPr>
        <w:t>employers</w:t>
      </w:r>
      <w:r w:rsidRPr="00187713">
        <w:rPr>
          <w:szCs w:val="24"/>
        </w:rPr>
        <w:t>, taxpayers, Congress, and others</w:t>
      </w:r>
      <w:r w:rsidR="00B46D99" w:rsidRPr="00187713">
        <w:rPr>
          <w:szCs w:val="24"/>
        </w:rPr>
        <w:t>;</w:t>
      </w:r>
    </w:p>
    <w:p w14:paraId="68D72149" w14:textId="77777777" w:rsidR="00A4004D" w:rsidRPr="00187713" w:rsidRDefault="00A4004D" w:rsidP="00933363">
      <w:pPr>
        <w:pStyle w:val="NumberedBullet"/>
        <w:tabs>
          <w:tab w:val="clear" w:pos="360"/>
          <w:tab w:val="num" w:pos="792"/>
        </w:tabs>
        <w:jc w:val="left"/>
        <w:rPr>
          <w:szCs w:val="24"/>
        </w:rPr>
      </w:pPr>
      <w:r w:rsidRPr="00187713">
        <w:rPr>
          <w:szCs w:val="24"/>
        </w:rPr>
        <w:t xml:space="preserve">To </w:t>
      </w:r>
      <w:r w:rsidR="00EB38B9" w:rsidRPr="00187713">
        <w:rPr>
          <w:szCs w:val="24"/>
        </w:rPr>
        <w:t xml:space="preserve">inform continuous improvement of </w:t>
      </w:r>
      <w:r w:rsidRPr="00187713">
        <w:rPr>
          <w:szCs w:val="24"/>
        </w:rPr>
        <w:t>the quality, effectiveness, and efficiency of the programs</w:t>
      </w:r>
      <w:r w:rsidR="00EB38B9" w:rsidRPr="00187713">
        <w:rPr>
          <w:szCs w:val="24"/>
        </w:rPr>
        <w:t xml:space="preserve">; </w:t>
      </w:r>
    </w:p>
    <w:p w14:paraId="2024CACF" w14:textId="77777777" w:rsidR="00A4004D" w:rsidRPr="00187713" w:rsidRDefault="00A4004D" w:rsidP="00933363">
      <w:pPr>
        <w:pStyle w:val="NumberedBullet"/>
        <w:tabs>
          <w:tab w:val="clear" w:pos="360"/>
          <w:tab w:val="num" w:pos="792"/>
        </w:tabs>
        <w:jc w:val="left"/>
        <w:rPr>
          <w:szCs w:val="24"/>
        </w:rPr>
      </w:pPr>
      <w:r w:rsidRPr="00187713">
        <w:rPr>
          <w:szCs w:val="24"/>
        </w:rPr>
        <w:t>To provide management information for use in Federal program administration and oversight, including grant-specific participation and outcome summaries</w:t>
      </w:r>
      <w:r w:rsidR="00EB38B9" w:rsidRPr="00187713">
        <w:rPr>
          <w:szCs w:val="24"/>
        </w:rPr>
        <w:t xml:space="preserve">; and, </w:t>
      </w:r>
    </w:p>
    <w:p w14:paraId="3E852025" w14:textId="0F0BE3B8" w:rsidR="001D70AC" w:rsidRDefault="00A4004D" w:rsidP="00882FFC">
      <w:pPr>
        <w:pStyle w:val="NumberedBullet"/>
        <w:tabs>
          <w:tab w:val="clear" w:pos="360"/>
          <w:tab w:val="num" w:pos="792"/>
          <w:tab w:val="left" w:pos="5280"/>
        </w:tabs>
        <w:spacing w:after="0"/>
        <w:jc w:val="left"/>
        <w:rPr>
          <w:szCs w:val="24"/>
        </w:rPr>
      </w:pPr>
      <w:r w:rsidRPr="00187713">
        <w:rPr>
          <w:szCs w:val="24"/>
        </w:rPr>
        <w:t>To fulfill ETA’s compliance with the Government Performance and Results Act (GPRA) and to complete the OMB Performance Assessment Rating Tool (PART) review</w:t>
      </w:r>
      <w:r w:rsidR="00EB38B9" w:rsidRPr="00187713">
        <w:rPr>
          <w:szCs w:val="24"/>
        </w:rPr>
        <w:t xml:space="preserve"> as required</w:t>
      </w:r>
      <w:r w:rsidRPr="00187713">
        <w:rPr>
          <w:szCs w:val="24"/>
        </w:rPr>
        <w:t>.</w:t>
      </w:r>
    </w:p>
    <w:p w14:paraId="562BD3CC" w14:textId="77777777" w:rsidR="00882FFC" w:rsidRPr="00187713" w:rsidRDefault="00882FFC" w:rsidP="00882FFC">
      <w:pPr>
        <w:pStyle w:val="NumberedBullet"/>
        <w:numPr>
          <w:ilvl w:val="0"/>
          <w:numId w:val="0"/>
        </w:numPr>
        <w:tabs>
          <w:tab w:val="clear" w:pos="360"/>
          <w:tab w:val="left" w:pos="5280"/>
        </w:tabs>
        <w:spacing w:after="0"/>
        <w:jc w:val="left"/>
        <w:rPr>
          <w:szCs w:val="24"/>
        </w:rPr>
      </w:pPr>
    </w:p>
    <w:p w14:paraId="4A023B42" w14:textId="77777777" w:rsidR="00882FFC" w:rsidRDefault="001D70AC" w:rsidP="00882FFC">
      <w:pPr>
        <w:pStyle w:val="NumberedBullet"/>
        <w:numPr>
          <w:ilvl w:val="0"/>
          <w:numId w:val="0"/>
        </w:numPr>
        <w:spacing w:after="0"/>
        <w:ind w:right="0"/>
        <w:jc w:val="left"/>
        <w:rPr>
          <w:szCs w:val="24"/>
        </w:rPr>
      </w:pPr>
      <w:r w:rsidRPr="00187713">
        <w:rPr>
          <w:szCs w:val="24"/>
        </w:rPr>
        <w:t>If the current OMB-approved package is discontinued upon</w:t>
      </w:r>
      <w:r w:rsidR="00425D64" w:rsidRPr="00187713">
        <w:rPr>
          <w:szCs w:val="24"/>
        </w:rPr>
        <w:t xml:space="preserve"> current</w:t>
      </w:r>
      <w:r w:rsidR="00FB2627">
        <w:rPr>
          <w:szCs w:val="24"/>
        </w:rPr>
        <w:t xml:space="preserve"> expiration (July 31</w:t>
      </w:r>
      <w:r w:rsidRPr="00187713">
        <w:rPr>
          <w:szCs w:val="24"/>
        </w:rPr>
        <w:t>, 2018), ETA will be unable to collect final performance data from the fourth and final round of TAACCCT grants fo</w:t>
      </w:r>
      <w:r w:rsidR="00FB2627">
        <w:rPr>
          <w:szCs w:val="24"/>
        </w:rPr>
        <w:t>r the purposes described above.</w:t>
      </w:r>
      <w:r w:rsidRPr="00187713">
        <w:rPr>
          <w:szCs w:val="24"/>
        </w:rPr>
        <w:t xml:space="preserve">  Further, because this is the final round of gr</w:t>
      </w:r>
      <w:r w:rsidR="00FB2627">
        <w:rPr>
          <w:szCs w:val="24"/>
        </w:rPr>
        <w:t>ants, the discontinuance of OMB control number</w:t>
      </w:r>
      <w:r w:rsidRPr="00187713">
        <w:rPr>
          <w:szCs w:val="24"/>
        </w:rPr>
        <w:t xml:space="preserve"> 1205-0489 will also prevent ETA from reporting on the success of the TAACCCT grants as a whole met their goals for successful implementation of the programs they anticipated developing. </w:t>
      </w:r>
    </w:p>
    <w:p w14:paraId="142F0715" w14:textId="17559A04" w:rsidR="001D70AC" w:rsidRPr="00187713" w:rsidRDefault="001D70AC" w:rsidP="00882FFC">
      <w:pPr>
        <w:pStyle w:val="NumberedBullet"/>
        <w:numPr>
          <w:ilvl w:val="0"/>
          <w:numId w:val="0"/>
        </w:numPr>
        <w:spacing w:after="0"/>
        <w:ind w:right="0"/>
        <w:jc w:val="left"/>
        <w:rPr>
          <w:szCs w:val="24"/>
        </w:rPr>
      </w:pPr>
      <w:r w:rsidRPr="00187713">
        <w:rPr>
          <w:szCs w:val="24"/>
        </w:rPr>
        <w:t xml:space="preserve"> </w:t>
      </w:r>
    </w:p>
    <w:p w14:paraId="5B49BF41" w14:textId="77777777" w:rsidR="009376C7" w:rsidRDefault="001D70AC" w:rsidP="00083CB2">
      <w:pPr>
        <w:pStyle w:val="NumberedBullet"/>
        <w:numPr>
          <w:ilvl w:val="0"/>
          <w:numId w:val="0"/>
        </w:numPr>
        <w:spacing w:after="0"/>
        <w:ind w:right="0"/>
        <w:rPr>
          <w:szCs w:val="24"/>
        </w:rPr>
      </w:pPr>
      <w:r w:rsidRPr="00187713">
        <w:rPr>
          <w:szCs w:val="24"/>
        </w:rPr>
        <w:t xml:space="preserve">In addition, a disruption in data collection would have very dire consequences to an ongoing TAACCCT program outcomes evaluation. </w:t>
      </w:r>
      <w:r w:rsidR="00AE00DB">
        <w:rPr>
          <w:szCs w:val="24"/>
        </w:rPr>
        <w:t xml:space="preserve"> </w:t>
      </w:r>
      <w:r w:rsidRPr="00187713">
        <w:rPr>
          <w:szCs w:val="24"/>
        </w:rPr>
        <w:t xml:space="preserve">The TAACCCT Evaluation, being conducted by an independent external evaluation firm overseen by DOL’s Chief Evaluation office, includes an implementation study that will provide lessons on the design, implementation, and operation of these programs, and an outcomes study which will examine participants’ educational attainment, employment and earnings.  </w:t>
      </w:r>
      <w:r w:rsidR="00425D64" w:rsidRPr="00187713">
        <w:rPr>
          <w:szCs w:val="24"/>
        </w:rPr>
        <w:t>Both the Annual Performance R</w:t>
      </w:r>
      <w:r w:rsidRPr="00187713">
        <w:rPr>
          <w:szCs w:val="24"/>
        </w:rPr>
        <w:t xml:space="preserve">eport and the quarterly narrative information reported by grantees are used in the evaluation.  Significant resources have been dedicated to the study.  The outcomes study and this investment would be put at risk if the study is unable to continue or lacks the power to detect program outcomes. </w:t>
      </w:r>
    </w:p>
    <w:p w14:paraId="372A0352" w14:textId="12F0D6B0" w:rsidR="00083CB2" w:rsidRDefault="001D70AC" w:rsidP="00083CB2">
      <w:pPr>
        <w:pStyle w:val="NumberedBullet"/>
        <w:numPr>
          <w:ilvl w:val="0"/>
          <w:numId w:val="0"/>
        </w:numPr>
        <w:spacing w:after="0"/>
        <w:ind w:right="0"/>
        <w:rPr>
          <w:szCs w:val="24"/>
        </w:rPr>
      </w:pPr>
      <w:r w:rsidRPr="00187713">
        <w:rPr>
          <w:szCs w:val="24"/>
        </w:rPr>
        <w:t xml:space="preserve"> </w:t>
      </w:r>
    </w:p>
    <w:p w14:paraId="3C68DF33" w14:textId="77777777" w:rsidR="00247A43" w:rsidRDefault="00247A43" w:rsidP="00083CB2">
      <w:pPr>
        <w:pStyle w:val="NumberedBullet"/>
        <w:numPr>
          <w:ilvl w:val="0"/>
          <w:numId w:val="0"/>
        </w:numPr>
        <w:spacing w:after="0"/>
        <w:ind w:right="0"/>
        <w:rPr>
          <w:szCs w:val="24"/>
        </w:rPr>
      </w:pPr>
    </w:p>
    <w:p w14:paraId="1D7C2223" w14:textId="3D9C59A5" w:rsidR="00083CB2" w:rsidRPr="00187713" w:rsidRDefault="009376C7" w:rsidP="00083CB2">
      <w:pPr>
        <w:pStyle w:val="NumberedBullet"/>
        <w:numPr>
          <w:ilvl w:val="0"/>
          <w:numId w:val="0"/>
        </w:numPr>
        <w:spacing w:after="0"/>
        <w:ind w:right="0"/>
        <w:rPr>
          <w:szCs w:val="24"/>
        </w:rPr>
      </w:pPr>
      <w:r w:rsidRPr="009376C7">
        <w:rPr>
          <w:i/>
          <w:szCs w:val="24"/>
        </w:rPr>
        <w:t>3.</w:t>
      </w:r>
      <w:r w:rsidRPr="009376C7">
        <w:rPr>
          <w:i/>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7"/>
    <w:bookmarkEnd w:id="8"/>
    <w:p w14:paraId="235C1DB5" w14:textId="4C51FA86" w:rsidR="00083CB2" w:rsidRPr="002221A7" w:rsidRDefault="00083CB2" w:rsidP="009376C7">
      <w:pPr>
        <w:tabs>
          <w:tab w:val="right" w:pos="360"/>
        </w:tabs>
        <w:autoSpaceDE w:val="0"/>
        <w:autoSpaceDN w:val="0"/>
        <w:adjustRightInd w:val="0"/>
        <w:ind w:left="540" w:hanging="540"/>
        <w:rPr>
          <w:i/>
        </w:rPr>
      </w:pPr>
    </w:p>
    <w:p w14:paraId="31EEA735" w14:textId="196A72F6" w:rsidR="00425D64" w:rsidRDefault="007C5D40" w:rsidP="00933363">
      <w:pPr>
        <w:pStyle w:val="NormalSS"/>
        <w:jc w:val="left"/>
        <w:rPr>
          <w:szCs w:val="24"/>
        </w:rPr>
      </w:pPr>
      <w:r w:rsidRPr="00187713">
        <w:rPr>
          <w:szCs w:val="24"/>
        </w:rPr>
        <w:t>To comply with the Government Paperwork Elimination Act, collection of aggregate data and the preparation of quarterly reports is consistent with report formats and data definitions to grantees across ETA programs.  All the TAACCCT reports are submitted to ETA via the Internet.  It is left to grantees to select the technology to collect aggregate data according to their unique circumstances and resource availability.</w:t>
      </w:r>
    </w:p>
    <w:p w14:paraId="23C91405" w14:textId="77777777" w:rsidR="009376C7" w:rsidRPr="00187713" w:rsidRDefault="009376C7" w:rsidP="00933363">
      <w:pPr>
        <w:pStyle w:val="NormalSS"/>
        <w:jc w:val="left"/>
        <w:rPr>
          <w:szCs w:val="24"/>
        </w:rPr>
      </w:pPr>
    </w:p>
    <w:p w14:paraId="2B91684F" w14:textId="26967FEC" w:rsidR="00425D64" w:rsidRPr="00187713" w:rsidRDefault="009376C7" w:rsidP="00933363">
      <w:pPr>
        <w:pStyle w:val="NormalSS"/>
        <w:jc w:val="left"/>
        <w:rPr>
          <w:szCs w:val="24"/>
        </w:rPr>
      </w:pPr>
      <w:r w:rsidRPr="009376C7">
        <w:rPr>
          <w:i/>
          <w:szCs w:val="24"/>
        </w:rPr>
        <w:t>4.</w:t>
      </w:r>
      <w:r w:rsidRPr="009376C7">
        <w:rPr>
          <w:i/>
          <w:szCs w:val="24"/>
        </w:rPr>
        <w:tab/>
        <w:t>Describe efforts to identify duplication.  Show specifically why any similar information already available cannot be used or modified for use for the purposes described in Item 2 above.</w:t>
      </w:r>
    </w:p>
    <w:p w14:paraId="6852C4BC" w14:textId="36D734B7" w:rsidR="00083CB2" w:rsidRPr="002221A7" w:rsidRDefault="00083CB2" w:rsidP="009376C7">
      <w:pPr>
        <w:tabs>
          <w:tab w:val="right" w:pos="360"/>
          <w:tab w:val="left" w:pos="540"/>
        </w:tabs>
        <w:autoSpaceDE w:val="0"/>
        <w:autoSpaceDN w:val="0"/>
        <w:adjustRightInd w:val="0"/>
        <w:ind w:left="540" w:hanging="540"/>
        <w:rPr>
          <w:i/>
        </w:rPr>
      </w:pPr>
      <w:bookmarkStart w:id="16" w:name="_Toc94322833"/>
      <w:bookmarkEnd w:id="9"/>
      <w:bookmarkEnd w:id="10"/>
    </w:p>
    <w:p w14:paraId="0A6E22FB" w14:textId="06185597" w:rsidR="00A4004D" w:rsidRDefault="00F36073" w:rsidP="00933363">
      <w:pPr>
        <w:pStyle w:val="NormalSS"/>
        <w:jc w:val="left"/>
        <w:rPr>
          <w:szCs w:val="24"/>
        </w:rPr>
      </w:pPr>
      <w:r w:rsidRPr="00187713">
        <w:rPr>
          <w:szCs w:val="24"/>
        </w:rPr>
        <w:t xml:space="preserve">TAACCCT grantees submit quarterly financial reports.  </w:t>
      </w:r>
      <w:r w:rsidR="00A756DC" w:rsidRPr="00187713">
        <w:rPr>
          <w:szCs w:val="24"/>
        </w:rPr>
        <w:t>T</w:t>
      </w:r>
      <w:r w:rsidR="00A4004D" w:rsidRPr="00187713">
        <w:rPr>
          <w:szCs w:val="24"/>
        </w:rPr>
        <w:t>he</w:t>
      </w:r>
      <w:r w:rsidR="00A756DC" w:rsidRPr="00187713">
        <w:rPr>
          <w:szCs w:val="24"/>
        </w:rPr>
        <w:t>se</w:t>
      </w:r>
      <w:r w:rsidR="00A4004D" w:rsidRPr="00187713">
        <w:rPr>
          <w:szCs w:val="24"/>
        </w:rPr>
        <w:t xml:space="preserve"> report</w:t>
      </w:r>
      <w:r w:rsidRPr="00187713">
        <w:rPr>
          <w:szCs w:val="24"/>
        </w:rPr>
        <w:t>s are</w:t>
      </w:r>
      <w:r w:rsidR="00A4004D" w:rsidRPr="00187713">
        <w:rPr>
          <w:szCs w:val="24"/>
        </w:rPr>
        <w:t xml:space="preserve"> the only report</w:t>
      </w:r>
      <w:r w:rsidRPr="00187713">
        <w:rPr>
          <w:szCs w:val="24"/>
        </w:rPr>
        <w:t>s</w:t>
      </w:r>
      <w:r w:rsidR="00A4004D" w:rsidRPr="00187713">
        <w:rPr>
          <w:szCs w:val="24"/>
        </w:rPr>
        <w:t xml:space="preserve"> currently required for </w:t>
      </w:r>
      <w:r w:rsidR="00723EE6" w:rsidRPr="00187713">
        <w:rPr>
          <w:szCs w:val="24"/>
        </w:rPr>
        <w:t>TAACCCT</w:t>
      </w:r>
      <w:r w:rsidR="00A4004D" w:rsidRPr="00187713">
        <w:rPr>
          <w:szCs w:val="24"/>
        </w:rPr>
        <w:t xml:space="preserve"> grant</w:t>
      </w:r>
      <w:bookmarkEnd w:id="16"/>
      <w:r w:rsidR="00A4004D" w:rsidRPr="00187713">
        <w:rPr>
          <w:szCs w:val="24"/>
        </w:rPr>
        <w:t>ees</w:t>
      </w:r>
      <w:r w:rsidR="00360B95" w:rsidRPr="00187713">
        <w:rPr>
          <w:szCs w:val="24"/>
        </w:rPr>
        <w:t xml:space="preserve"> </w:t>
      </w:r>
      <w:r w:rsidRPr="00187713">
        <w:rPr>
          <w:szCs w:val="24"/>
        </w:rPr>
        <w:t xml:space="preserve">to report on program performance.  </w:t>
      </w:r>
      <w:r w:rsidR="00A4004D" w:rsidRPr="00187713">
        <w:rPr>
          <w:szCs w:val="24"/>
        </w:rPr>
        <w:t xml:space="preserve">Other ETA reports may track some </w:t>
      </w:r>
      <w:r w:rsidR="00723EE6" w:rsidRPr="00187713">
        <w:rPr>
          <w:szCs w:val="24"/>
        </w:rPr>
        <w:t>TAACCCT</w:t>
      </w:r>
      <w:r w:rsidR="00A4004D" w:rsidRPr="00187713">
        <w:rPr>
          <w:szCs w:val="24"/>
        </w:rPr>
        <w:t xml:space="preserve"> participants if they participate in other ETA-funded programs.</w:t>
      </w:r>
    </w:p>
    <w:p w14:paraId="6E98243F" w14:textId="77777777" w:rsidR="009376C7" w:rsidRPr="00187713" w:rsidRDefault="009376C7" w:rsidP="00933363">
      <w:pPr>
        <w:pStyle w:val="NormalSS"/>
        <w:jc w:val="left"/>
        <w:rPr>
          <w:szCs w:val="24"/>
        </w:rPr>
      </w:pPr>
    </w:p>
    <w:p w14:paraId="3E40AB7C" w14:textId="536F040D" w:rsidR="00723EE6" w:rsidRPr="00187713" w:rsidRDefault="009376C7" w:rsidP="00933363">
      <w:pPr>
        <w:pStyle w:val="NormalSS"/>
        <w:jc w:val="left"/>
        <w:rPr>
          <w:szCs w:val="24"/>
        </w:rPr>
      </w:pPr>
      <w:r w:rsidRPr="009376C7">
        <w:rPr>
          <w:i/>
          <w:szCs w:val="24"/>
        </w:rPr>
        <w:t>5.</w:t>
      </w:r>
      <w:r w:rsidRPr="009376C7">
        <w:rPr>
          <w:i/>
          <w:szCs w:val="24"/>
        </w:rPr>
        <w:tab/>
        <w:t>If the collection of information impacts small businesses or other small entities, describe any methods used to minimize burden.</w:t>
      </w:r>
    </w:p>
    <w:bookmarkEnd w:id="11"/>
    <w:p w14:paraId="5A092A48" w14:textId="27F6EAB2" w:rsidR="00083CB2" w:rsidRPr="002221A7" w:rsidRDefault="00083CB2" w:rsidP="009376C7">
      <w:pPr>
        <w:tabs>
          <w:tab w:val="right" w:pos="360"/>
          <w:tab w:val="left" w:pos="540"/>
        </w:tabs>
        <w:autoSpaceDE w:val="0"/>
        <w:autoSpaceDN w:val="0"/>
        <w:adjustRightInd w:val="0"/>
        <w:ind w:left="540" w:hanging="540"/>
        <w:rPr>
          <w:i/>
        </w:rPr>
      </w:pPr>
      <w:r w:rsidRPr="002221A7">
        <w:rPr>
          <w:i/>
        </w:rPr>
        <w:tab/>
      </w:r>
    </w:p>
    <w:p w14:paraId="52B6DD5D" w14:textId="26604621" w:rsidR="00A4004D" w:rsidRDefault="00A4004D" w:rsidP="00083CB2">
      <w:pPr>
        <w:pStyle w:val="NormalSS"/>
        <w:jc w:val="left"/>
        <w:rPr>
          <w:szCs w:val="24"/>
        </w:rPr>
      </w:pPr>
      <w:r w:rsidRPr="00187713">
        <w:rPr>
          <w:szCs w:val="24"/>
        </w:rPr>
        <w:t xml:space="preserve">Some small businesses may be contacted </w:t>
      </w:r>
      <w:r w:rsidR="00A84624" w:rsidRPr="00187713">
        <w:rPr>
          <w:szCs w:val="24"/>
        </w:rPr>
        <w:t xml:space="preserve">by grantees </w:t>
      </w:r>
      <w:r w:rsidRPr="00187713">
        <w:rPr>
          <w:szCs w:val="24"/>
        </w:rPr>
        <w:t xml:space="preserve">to obtain information on participants’ outcomes, such as </w:t>
      </w:r>
      <w:r w:rsidR="00A84624" w:rsidRPr="00187713">
        <w:rPr>
          <w:szCs w:val="24"/>
        </w:rPr>
        <w:t>post-program employment and earnings information</w:t>
      </w:r>
      <w:r w:rsidRPr="00187713">
        <w:rPr>
          <w:szCs w:val="24"/>
        </w:rPr>
        <w:t>.  Grantees can reduce a portion of this burden by collecting information directly from participants</w:t>
      </w:r>
      <w:r w:rsidR="001D04E3" w:rsidRPr="00187713">
        <w:rPr>
          <w:szCs w:val="24"/>
        </w:rPr>
        <w:t xml:space="preserve"> or via administrative wage records</w:t>
      </w:r>
      <w:r w:rsidRPr="00187713">
        <w:rPr>
          <w:szCs w:val="24"/>
        </w:rPr>
        <w:t>.</w:t>
      </w:r>
    </w:p>
    <w:p w14:paraId="566F26A5" w14:textId="77777777" w:rsidR="009376C7" w:rsidRDefault="009376C7" w:rsidP="00083CB2">
      <w:pPr>
        <w:pStyle w:val="NormalSS"/>
        <w:jc w:val="left"/>
        <w:rPr>
          <w:szCs w:val="24"/>
        </w:rPr>
      </w:pPr>
    </w:p>
    <w:p w14:paraId="4C570B22" w14:textId="3D911E35" w:rsidR="00A4004D" w:rsidRPr="00187713" w:rsidRDefault="009376C7" w:rsidP="00083CB2">
      <w:pPr>
        <w:pStyle w:val="Heading3"/>
        <w:spacing w:after="0"/>
        <w:ind w:left="0" w:firstLine="0"/>
        <w:jc w:val="left"/>
        <w:rPr>
          <w:szCs w:val="24"/>
        </w:rPr>
      </w:pPr>
      <w:r w:rsidRPr="009376C7">
        <w:rPr>
          <w:b w:val="0"/>
          <w:i/>
          <w:szCs w:val="24"/>
        </w:rPr>
        <w:t>6.</w:t>
      </w:r>
      <w:r w:rsidRPr="009376C7">
        <w:rPr>
          <w:b w:val="0"/>
          <w:i/>
          <w:szCs w:val="24"/>
        </w:rPr>
        <w:tab/>
        <w:t>Describe the consequence to Federal program or policy activities if the collection is not conducted or is conducted less frequently, as well as any technical or legal obstacles to reducing burden.</w:t>
      </w:r>
    </w:p>
    <w:p w14:paraId="132DF463" w14:textId="6E3BD038" w:rsidR="00083CB2" w:rsidRPr="002221A7" w:rsidRDefault="00083CB2" w:rsidP="009376C7">
      <w:pPr>
        <w:tabs>
          <w:tab w:val="right" w:pos="360"/>
          <w:tab w:val="left" w:pos="540"/>
        </w:tabs>
        <w:autoSpaceDE w:val="0"/>
        <w:autoSpaceDN w:val="0"/>
        <w:adjustRightInd w:val="0"/>
        <w:ind w:left="540" w:hanging="540"/>
        <w:rPr>
          <w:i/>
        </w:rPr>
      </w:pPr>
      <w:bookmarkStart w:id="17" w:name="_Toc94322836"/>
      <w:bookmarkEnd w:id="12"/>
      <w:bookmarkEnd w:id="13"/>
    </w:p>
    <w:p w14:paraId="6A7E4472" w14:textId="13CADE03" w:rsidR="00A4004D" w:rsidRDefault="00A4004D" w:rsidP="00FB2627">
      <w:pPr>
        <w:pStyle w:val="NormalSS"/>
        <w:jc w:val="left"/>
        <w:rPr>
          <w:szCs w:val="24"/>
        </w:rPr>
      </w:pPr>
      <w:r w:rsidRPr="00187713">
        <w:rPr>
          <w:szCs w:val="24"/>
        </w:rPr>
        <w:t xml:space="preserve">The data are needed both for program monitoring efforts to assist grantees and for </w:t>
      </w:r>
      <w:r w:rsidR="001D04E3" w:rsidRPr="00187713">
        <w:rPr>
          <w:szCs w:val="24"/>
        </w:rPr>
        <w:t>ETA to provide information to the public on this program</w:t>
      </w:r>
      <w:r w:rsidRPr="00187713">
        <w:rPr>
          <w:szCs w:val="24"/>
        </w:rPr>
        <w:t xml:space="preserve">.  If grantees do not report quarterly, ETA will be unable to discern problems and identify grantees needing technical assistance.  Ultimately, the quality of these programs could be compromised to the detriment of participating workers and employers.  ETA’s responsibility for reporting, oversight, and monitoring would be hampered because there is no other vehicle for judging </w:t>
      </w:r>
      <w:r w:rsidR="0055113A" w:rsidRPr="00187713">
        <w:rPr>
          <w:szCs w:val="24"/>
        </w:rPr>
        <w:t xml:space="preserve">the progress and </w:t>
      </w:r>
      <w:r w:rsidRPr="00187713">
        <w:rPr>
          <w:szCs w:val="24"/>
        </w:rPr>
        <w:t xml:space="preserve">performance </w:t>
      </w:r>
      <w:r w:rsidR="0055113A" w:rsidRPr="00187713">
        <w:rPr>
          <w:szCs w:val="24"/>
        </w:rPr>
        <w:t>of</w:t>
      </w:r>
      <w:r w:rsidRPr="00187713">
        <w:rPr>
          <w:szCs w:val="24"/>
        </w:rPr>
        <w:t xml:space="preserve"> </w:t>
      </w:r>
      <w:r w:rsidR="00A84624" w:rsidRPr="00187713">
        <w:rPr>
          <w:szCs w:val="24"/>
        </w:rPr>
        <w:t>TAACCCT grants</w:t>
      </w:r>
      <w:r w:rsidRPr="00187713">
        <w:rPr>
          <w:szCs w:val="24"/>
        </w:rPr>
        <w:t>.  The agency would be unable to fulfill its responsibilities under GPRA or to submit required information to OMB for completion of the PART</w:t>
      </w:r>
      <w:r w:rsidR="00813659" w:rsidRPr="00187713">
        <w:rPr>
          <w:szCs w:val="24"/>
        </w:rPr>
        <w:t xml:space="preserve"> as required</w:t>
      </w:r>
      <w:r w:rsidRPr="00187713">
        <w:rPr>
          <w:szCs w:val="24"/>
        </w:rPr>
        <w:t>.</w:t>
      </w:r>
      <w:bookmarkEnd w:id="17"/>
    </w:p>
    <w:p w14:paraId="68B3D268" w14:textId="77777777" w:rsidR="009376C7" w:rsidRDefault="009376C7" w:rsidP="00FB2627">
      <w:pPr>
        <w:pStyle w:val="NormalSS"/>
        <w:jc w:val="left"/>
        <w:rPr>
          <w:szCs w:val="24"/>
        </w:rPr>
      </w:pPr>
    </w:p>
    <w:p w14:paraId="04663450" w14:textId="5CB2A75F" w:rsidR="00FB2627" w:rsidRPr="00187713" w:rsidRDefault="009376C7" w:rsidP="00FB2627">
      <w:pPr>
        <w:pStyle w:val="NormalSS"/>
        <w:jc w:val="left"/>
        <w:rPr>
          <w:szCs w:val="24"/>
        </w:rPr>
      </w:pPr>
      <w:r w:rsidRPr="009376C7">
        <w:rPr>
          <w:i/>
          <w:szCs w:val="24"/>
        </w:rPr>
        <w:t>7.</w:t>
      </w:r>
      <w:r w:rsidRPr="009376C7">
        <w:rPr>
          <w:i/>
          <w:szCs w:val="24"/>
        </w:rPr>
        <w:tab/>
        <w:t>Explain any special circumstances that would cause an information collection to be conducted in a manner that requires further explanation pursuant to regulations 5 CFR 1320.5.</w:t>
      </w:r>
    </w:p>
    <w:bookmarkEnd w:id="14"/>
    <w:bookmarkEnd w:id="15"/>
    <w:p w14:paraId="4B50147E" w14:textId="7C5B523A" w:rsidR="00083CB2" w:rsidRPr="002221A7" w:rsidRDefault="00083CB2" w:rsidP="009376C7">
      <w:pPr>
        <w:autoSpaceDE w:val="0"/>
        <w:autoSpaceDN w:val="0"/>
        <w:adjustRightInd w:val="0"/>
        <w:rPr>
          <w:i/>
        </w:rPr>
      </w:pPr>
    </w:p>
    <w:p w14:paraId="7C739BF2" w14:textId="372A3621" w:rsidR="00A4004D" w:rsidRDefault="00D84FEB" w:rsidP="00933363">
      <w:pPr>
        <w:pStyle w:val="Default"/>
      </w:pPr>
      <w:r w:rsidRPr="00187713">
        <w:t xml:space="preserve">There are no special circumstances for data collection related to the quarterly narrative or aggregate data reported every fourth quarter under the grant agreement.  </w:t>
      </w:r>
      <w:r w:rsidR="00A4004D" w:rsidRPr="00187713">
        <w:t xml:space="preserve">Any adjustments necessary for using supplemental information as the data source will be addressed in separate program guidance. </w:t>
      </w:r>
    </w:p>
    <w:p w14:paraId="696B68C7" w14:textId="77777777" w:rsidR="009376C7" w:rsidRPr="00187713" w:rsidRDefault="009376C7" w:rsidP="00933363">
      <w:pPr>
        <w:pStyle w:val="Default"/>
      </w:pPr>
    </w:p>
    <w:p w14:paraId="091901EF" w14:textId="77777777" w:rsidR="009376C7" w:rsidRPr="009376C7" w:rsidRDefault="009376C7" w:rsidP="009376C7">
      <w:pPr>
        <w:pStyle w:val="NormalSS"/>
        <w:rPr>
          <w:i/>
          <w:szCs w:val="24"/>
        </w:rPr>
      </w:pPr>
      <w:r w:rsidRPr="009376C7">
        <w:rPr>
          <w:i/>
          <w:szCs w:val="24"/>
        </w:rPr>
        <w:t>8.</w:t>
      </w:r>
      <w:r w:rsidRPr="009376C7">
        <w:rPr>
          <w:i/>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1F6BD0BE" w14:textId="77777777" w:rsidR="009376C7" w:rsidRPr="009376C7" w:rsidRDefault="009376C7" w:rsidP="009376C7">
      <w:pPr>
        <w:pStyle w:val="NormalSS"/>
        <w:rPr>
          <w:i/>
          <w:szCs w:val="24"/>
        </w:rPr>
      </w:pPr>
    </w:p>
    <w:p w14:paraId="0633D53B" w14:textId="77777777" w:rsidR="009376C7" w:rsidRPr="009376C7" w:rsidRDefault="009376C7" w:rsidP="009376C7">
      <w:pPr>
        <w:pStyle w:val="NormalSS"/>
        <w:rPr>
          <w:i/>
          <w:szCs w:val="24"/>
        </w:rPr>
      </w:pPr>
      <w:r w:rsidRPr="009376C7">
        <w:rPr>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D87E17F" w14:textId="77777777" w:rsidR="009376C7" w:rsidRPr="009376C7" w:rsidRDefault="009376C7" w:rsidP="009376C7">
      <w:pPr>
        <w:pStyle w:val="NormalSS"/>
        <w:rPr>
          <w:i/>
          <w:szCs w:val="24"/>
        </w:rPr>
      </w:pPr>
    </w:p>
    <w:p w14:paraId="01C9D1A5" w14:textId="30E28D4B" w:rsidR="00A4004D" w:rsidRPr="00187713" w:rsidRDefault="009376C7" w:rsidP="009376C7">
      <w:pPr>
        <w:pStyle w:val="NormalSS"/>
        <w:jc w:val="left"/>
        <w:rPr>
          <w:szCs w:val="24"/>
        </w:rPr>
      </w:pPr>
      <w:r w:rsidRPr="009376C7">
        <w:rPr>
          <w:i/>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73693708" w14:textId="65D50A52" w:rsidR="00083CB2" w:rsidRPr="002221A7" w:rsidRDefault="00083CB2" w:rsidP="009376C7">
      <w:pPr>
        <w:tabs>
          <w:tab w:val="right" w:pos="360"/>
          <w:tab w:val="left" w:pos="540"/>
        </w:tabs>
        <w:autoSpaceDE w:val="0"/>
        <w:autoSpaceDN w:val="0"/>
        <w:adjustRightInd w:val="0"/>
        <w:ind w:left="540" w:hanging="540"/>
        <w:rPr>
          <w:i/>
        </w:rPr>
      </w:pPr>
      <w:r w:rsidRPr="002221A7">
        <w:rPr>
          <w:i/>
        </w:rPr>
        <w:tab/>
      </w:r>
    </w:p>
    <w:p w14:paraId="2BF627D5" w14:textId="6CDC5C48" w:rsidR="00425D64" w:rsidRDefault="00425D64" w:rsidP="00425D64">
      <w:pPr>
        <w:pStyle w:val="NormalSS"/>
        <w:jc w:val="left"/>
        <w:rPr>
          <w:szCs w:val="24"/>
        </w:rPr>
      </w:pPr>
      <w:r w:rsidRPr="00187713">
        <w:rPr>
          <w:szCs w:val="24"/>
        </w:rPr>
        <w:t xml:space="preserve">In accordance with the Paperwork Reduction Act of 1995, the public was given 60 days to comment on the Federal Register Notice published </w:t>
      </w:r>
      <w:r w:rsidR="009376C7">
        <w:rPr>
          <w:szCs w:val="24"/>
        </w:rPr>
        <w:t xml:space="preserve">on </w:t>
      </w:r>
      <w:r w:rsidR="00D34598" w:rsidRPr="00187713">
        <w:rPr>
          <w:szCs w:val="24"/>
        </w:rPr>
        <w:t>February 2, 2018</w:t>
      </w:r>
      <w:r w:rsidR="009376C7">
        <w:rPr>
          <w:szCs w:val="24"/>
        </w:rPr>
        <w:t xml:space="preserve"> (83 FR 4926)</w:t>
      </w:r>
      <w:r w:rsidR="00D34598" w:rsidRPr="00187713">
        <w:rPr>
          <w:szCs w:val="24"/>
        </w:rPr>
        <w:t xml:space="preserve">.  </w:t>
      </w:r>
      <w:r w:rsidRPr="00187713">
        <w:rPr>
          <w:szCs w:val="24"/>
        </w:rPr>
        <w:t xml:space="preserve">No </w:t>
      </w:r>
      <w:r w:rsidR="009376C7">
        <w:rPr>
          <w:szCs w:val="24"/>
        </w:rPr>
        <w:t xml:space="preserve">public </w:t>
      </w:r>
      <w:r w:rsidRPr="00187713">
        <w:rPr>
          <w:szCs w:val="24"/>
        </w:rPr>
        <w:t>comments were received</w:t>
      </w:r>
      <w:r w:rsidR="009376C7">
        <w:rPr>
          <w:szCs w:val="24"/>
        </w:rPr>
        <w:t>.</w:t>
      </w:r>
      <w:r w:rsidRPr="00187713">
        <w:rPr>
          <w:szCs w:val="24"/>
        </w:rPr>
        <w:t xml:space="preserve"> </w:t>
      </w:r>
    </w:p>
    <w:p w14:paraId="5CCD2712" w14:textId="77777777" w:rsidR="00882FFC" w:rsidRPr="00187713" w:rsidRDefault="00882FFC" w:rsidP="00425D64">
      <w:pPr>
        <w:pStyle w:val="NormalSS"/>
        <w:jc w:val="left"/>
        <w:rPr>
          <w:szCs w:val="24"/>
        </w:rPr>
      </w:pPr>
    </w:p>
    <w:p w14:paraId="1D62EF9F" w14:textId="496B573B" w:rsidR="00A4004D" w:rsidRPr="00187713" w:rsidRDefault="00882FFC" w:rsidP="00933363">
      <w:pPr>
        <w:pStyle w:val="NormalSS"/>
        <w:jc w:val="left"/>
        <w:rPr>
          <w:szCs w:val="24"/>
        </w:rPr>
      </w:pPr>
      <w:r w:rsidRPr="00882FFC">
        <w:rPr>
          <w:i/>
          <w:szCs w:val="24"/>
        </w:rPr>
        <w:t>9.</w:t>
      </w:r>
      <w:r w:rsidRPr="00882FFC">
        <w:rPr>
          <w:i/>
          <w:szCs w:val="24"/>
        </w:rPr>
        <w:tab/>
        <w:t>Explain any decision to provide any payment or gift to respondents, other than remuneration of contractors or grantees.</w:t>
      </w:r>
    </w:p>
    <w:p w14:paraId="16B2B8FE" w14:textId="489B8915" w:rsidR="00083CB2" w:rsidRPr="008F4D44" w:rsidRDefault="00083CB2" w:rsidP="00882FFC">
      <w:pPr>
        <w:tabs>
          <w:tab w:val="right" w:pos="360"/>
          <w:tab w:val="left" w:pos="540"/>
        </w:tabs>
        <w:autoSpaceDE w:val="0"/>
        <w:autoSpaceDN w:val="0"/>
        <w:adjustRightInd w:val="0"/>
        <w:ind w:left="540" w:hanging="540"/>
        <w:rPr>
          <w:i/>
        </w:rPr>
      </w:pPr>
      <w:r w:rsidRPr="008F4D44">
        <w:rPr>
          <w:i/>
        </w:rPr>
        <w:tab/>
      </w:r>
    </w:p>
    <w:p w14:paraId="537131B7" w14:textId="77777777" w:rsidR="00A4004D" w:rsidRPr="00187713" w:rsidRDefault="00A4004D" w:rsidP="00933363">
      <w:pPr>
        <w:pStyle w:val="NormalSS"/>
        <w:jc w:val="left"/>
        <w:rPr>
          <w:szCs w:val="24"/>
        </w:rPr>
      </w:pPr>
      <w:r w:rsidRPr="00187713">
        <w:rPr>
          <w:szCs w:val="24"/>
        </w:rPr>
        <w:t>There are no payments to respondents other than the funds provided under the grant agreement.</w:t>
      </w:r>
    </w:p>
    <w:p w14:paraId="388D2B26" w14:textId="77777777" w:rsidR="00425D64" w:rsidRPr="00187713" w:rsidRDefault="00425D64" w:rsidP="00933363">
      <w:pPr>
        <w:pStyle w:val="NormalSS"/>
        <w:jc w:val="left"/>
        <w:rPr>
          <w:szCs w:val="24"/>
        </w:rPr>
      </w:pPr>
    </w:p>
    <w:p w14:paraId="1ABD1956" w14:textId="3C816D8E" w:rsidR="00C62552" w:rsidRPr="00187713" w:rsidRDefault="00882FFC" w:rsidP="00933363">
      <w:pPr>
        <w:pStyle w:val="NormalSS"/>
        <w:jc w:val="left"/>
        <w:rPr>
          <w:szCs w:val="24"/>
        </w:rPr>
      </w:pPr>
      <w:r w:rsidRPr="00882FFC">
        <w:rPr>
          <w:i/>
          <w:szCs w:val="24"/>
        </w:rPr>
        <w:t>10.</w:t>
      </w:r>
      <w:r w:rsidRPr="00882FFC">
        <w:rPr>
          <w:i/>
          <w:szCs w:val="24"/>
        </w:rPr>
        <w:tab/>
        <w:t>Describe any assurance of confidentiality provided to respondents and the basis for the assurance in statute, regulation, or agency policy.</w:t>
      </w:r>
    </w:p>
    <w:p w14:paraId="08ACDE2E" w14:textId="77777777" w:rsidR="00083CB2" w:rsidRPr="008F4D44" w:rsidRDefault="00083CB2" w:rsidP="00083CB2">
      <w:pPr>
        <w:tabs>
          <w:tab w:val="right" w:pos="360"/>
          <w:tab w:val="left" w:pos="540"/>
        </w:tabs>
        <w:autoSpaceDE w:val="0"/>
        <w:autoSpaceDN w:val="0"/>
        <w:adjustRightInd w:val="0"/>
        <w:ind w:left="540" w:hanging="540"/>
        <w:rPr>
          <w:i/>
        </w:rPr>
      </w:pPr>
    </w:p>
    <w:p w14:paraId="05684CAF" w14:textId="1AE5828A" w:rsidR="000B0B75" w:rsidRDefault="000B0B75" w:rsidP="005D7EF2">
      <w:pPr>
        <w:jc w:val="left"/>
        <w:rPr>
          <w:szCs w:val="24"/>
        </w:rPr>
      </w:pPr>
      <w:r w:rsidRPr="00187713">
        <w:rPr>
          <w:szCs w:val="24"/>
        </w:rPr>
        <w:t>While this information collection makes no express assurance of confidentiality, ETA is responsible for protecting the privacy of the T</w:t>
      </w:r>
      <w:r w:rsidR="001751FD" w:rsidRPr="00187713">
        <w:rPr>
          <w:szCs w:val="24"/>
        </w:rPr>
        <w:t>A</w:t>
      </w:r>
      <w:r w:rsidRPr="00187713">
        <w:rPr>
          <w:szCs w:val="24"/>
        </w:rPr>
        <w:t>A</w:t>
      </w:r>
      <w:r w:rsidR="001751FD" w:rsidRPr="00187713">
        <w:rPr>
          <w:szCs w:val="24"/>
        </w:rPr>
        <w:t>CC</w:t>
      </w:r>
      <w:r w:rsidRPr="00187713">
        <w:rPr>
          <w:szCs w:val="24"/>
        </w:rPr>
        <w:t>CT participant and performance data and will maintain the data in accordance with all applicable Federal laws, with particular emphasis on compliance with the provisions of the Privacy a</w:t>
      </w:r>
      <w:r w:rsidR="00281125">
        <w:rPr>
          <w:szCs w:val="24"/>
        </w:rPr>
        <w:t>nd Freedom of Information Acts.</w:t>
      </w:r>
      <w:r w:rsidRPr="00187713">
        <w:rPr>
          <w:szCs w:val="24"/>
        </w:rPr>
        <w:t xml:space="preserve">  This data is covered by a System of Records Notice, DOL/ETA-15, published April 8, 2002 (67 FR 16898 et seq).  The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privacy of the data.  The aggregate information collected through this request will not contain any individually identifying information.</w:t>
      </w:r>
    </w:p>
    <w:p w14:paraId="71CD9A1B" w14:textId="19C4B9B0" w:rsidR="00247A43" w:rsidRDefault="00247A43" w:rsidP="005D7EF2">
      <w:pPr>
        <w:jc w:val="left"/>
        <w:rPr>
          <w:szCs w:val="24"/>
        </w:rPr>
      </w:pPr>
    </w:p>
    <w:p w14:paraId="2B1443B2" w14:textId="553D4450" w:rsidR="00247A43" w:rsidRDefault="00247A43" w:rsidP="005D7EF2">
      <w:pPr>
        <w:jc w:val="left"/>
        <w:rPr>
          <w:szCs w:val="24"/>
        </w:rPr>
      </w:pPr>
    </w:p>
    <w:p w14:paraId="2A72A6C7" w14:textId="37660C60" w:rsidR="00247A43" w:rsidRDefault="00247A43" w:rsidP="005D7EF2">
      <w:pPr>
        <w:jc w:val="left"/>
        <w:rPr>
          <w:szCs w:val="24"/>
        </w:rPr>
      </w:pPr>
    </w:p>
    <w:p w14:paraId="60F588C1" w14:textId="77777777" w:rsidR="00247A43" w:rsidRPr="00187713" w:rsidRDefault="00247A43" w:rsidP="005D7EF2">
      <w:pPr>
        <w:jc w:val="left"/>
        <w:rPr>
          <w:szCs w:val="24"/>
        </w:rPr>
      </w:pPr>
    </w:p>
    <w:p w14:paraId="0D5299FD" w14:textId="77777777" w:rsidR="00425D64" w:rsidRPr="00187713" w:rsidRDefault="00425D64" w:rsidP="005D7EF2">
      <w:pPr>
        <w:jc w:val="left"/>
        <w:rPr>
          <w:szCs w:val="24"/>
        </w:rPr>
      </w:pPr>
    </w:p>
    <w:p w14:paraId="34EA2C2B" w14:textId="6ADAC8D2" w:rsidR="00117D10" w:rsidRPr="00187713" w:rsidRDefault="00882FFC" w:rsidP="00933363">
      <w:pPr>
        <w:pStyle w:val="NormalSS"/>
        <w:jc w:val="left"/>
        <w:rPr>
          <w:szCs w:val="24"/>
        </w:rPr>
      </w:pPr>
      <w:r w:rsidRPr="00882FFC">
        <w:rPr>
          <w:i/>
          <w:szCs w:val="24"/>
        </w:rPr>
        <w:t>11.</w:t>
      </w:r>
      <w:r w:rsidRPr="00882FFC">
        <w:rPr>
          <w:i/>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9439649" w14:textId="77777777" w:rsidR="00083CB2" w:rsidRPr="008F4D44" w:rsidRDefault="00083CB2" w:rsidP="00083CB2">
      <w:pPr>
        <w:tabs>
          <w:tab w:val="right" w:pos="360"/>
          <w:tab w:val="left" w:pos="540"/>
        </w:tabs>
        <w:autoSpaceDE w:val="0"/>
        <w:autoSpaceDN w:val="0"/>
        <w:adjustRightInd w:val="0"/>
        <w:ind w:left="540" w:hanging="540"/>
        <w:rPr>
          <w:i/>
        </w:rPr>
      </w:pPr>
    </w:p>
    <w:p w14:paraId="0EF1DEAF" w14:textId="77777777" w:rsidR="00A4004D" w:rsidRPr="00187713" w:rsidRDefault="00A4004D" w:rsidP="00933363">
      <w:pPr>
        <w:pStyle w:val="NormalSS"/>
        <w:jc w:val="left"/>
        <w:rPr>
          <w:szCs w:val="24"/>
        </w:rPr>
      </w:pPr>
      <w:r w:rsidRPr="00187713">
        <w:rPr>
          <w:szCs w:val="24"/>
        </w:rPr>
        <w:t xml:space="preserve">While grantees will ask sensitive questions of participants in the proposed data collection for the purpose of collecting demographic </w:t>
      </w:r>
      <w:r w:rsidR="00E15063" w:rsidRPr="00187713">
        <w:rPr>
          <w:szCs w:val="24"/>
        </w:rPr>
        <w:t xml:space="preserve">and outcome </w:t>
      </w:r>
      <w:r w:rsidRPr="00187713">
        <w:rPr>
          <w:szCs w:val="24"/>
        </w:rPr>
        <w:t xml:space="preserve">data, ETA will only </w:t>
      </w:r>
      <w:r w:rsidR="00117D10" w:rsidRPr="00187713">
        <w:rPr>
          <w:szCs w:val="24"/>
        </w:rPr>
        <w:t xml:space="preserve">collect aggregate data </w:t>
      </w:r>
      <w:r w:rsidR="00E15063" w:rsidRPr="00187713">
        <w:rPr>
          <w:szCs w:val="24"/>
        </w:rPr>
        <w:t xml:space="preserve">summarizing participants and their experiences </w:t>
      </w:r>
      <w:r w:rsidR="00117D10" w:rsidRPr="00187713">
        <w:rPr>
          <w:szCs w:val="24"/>
        </w:rPr>
        <w:t>every fourth quarter</w:t>
      </w:r>
      <w:r w:rsidR="00117D10" w:rsidRPr="00187713" w:rsidDel="00117D10">
        <w:rPr>
          <w:szCs w:val="24"/>
        </w:rPr>
        <w:t xml:space="preserve"> </w:t>
      </w:r>
      <w:r w:rsidR="00117D10" w:rsidRPr="00187713">
        <w:rPr>
          <w:szCs w:val="24"/>
        </w:rPr>
        <w:t xml:space="preserve">as part of the </w:t>
      </w:r>
      <w:r w:rsidR="0055113A" w:rsidRPr="00187713">
        <w:rPr>
          <w:szCs w:val="24"/>
        </w:rPr>
        <w:t>A</w:t>
      </w:r>
      <w:r w:rsidR="006C4D98" w:rsidRPr="00187713">
        <w:rPr>
          <w:szCs w:val="24"/>
        </w:rPr>
        <w:t xml:space="preserve">nnual </w:t>
      </w:r>
      <w:r w:rsidR="0055113A" w:rsidRPr="00187713">
        <w:rPr>
          <w:szCs w:val="24"/>
        </w:rPr>
        <w:t>P</w:t>
      </w:r>
      <w:r w:rsidR="006C4D98" w:rsidRPr="00187713">
        <w:rPr>
          <w:szCs w:val="24"/>
        </w:rPr>
        <w:t xml:space="preserve">erformance </w:t>
      </w:r>
      <w:r w:rsidR="0055113A" w:rsidRPr="00187713">
        <w:rPr>
          <w:szCs w:val="24"/>
        </w:rPr>
        <w:t>R</w:t>
      </w:r>
      <w:r w:rsidR="006C4D98" w:rsidRPr="00187713">
        <w:rPr>
          <w:szCs w:val="24"/>
        </w:rPr>
        <w:t>eport</w:t>
      </w:r>
      <w:r w:rsidRPr="00187713">
        <w:rPr>
          <w:szCs w:val="24"/>
        </w:rPr>
        <w:t>.  Participant responses to these sensitive questions will allow ETA</w:t>
      </w:r>
      <w:r w:rsidR="00E15063" w:rsidRPr="00187713">
        <w:rPr>
          <w:szCs w:val="24"/>
        </w:rPr>
        <w:t xml:space="preserve"> and the grantees</w:t>
      </w:r>
      <w:r w:rsidRPr="00187713">
        <w:rPr>
          <w:szCs w:val="24"/>
        </w:rPr>
        <w:t xml:space="preserve"> to comprehensively evaluate the effectiveness of the </w:t>
      </w:r>
      <w:r w:rsidR="00857DAC" w:rsidRPr="00187713">
        <w:rPr>
          <w:szCs w:val="24"/>
        </w:rPr>
        <w:t>TAACCCT grant</w:t>
      </w:r>
      <w:r w:rsidRPr="00187713">
        <w:rPr>
          <w:szCs w:val="24"/>
        </w:rPr>
        <w:t xml:space="preserve"> program. </w:t>
      </w:r>
    </w:p>
    <w:p w14:paraId="6FF88EB4" w14:textId="77777777" w:rsidR="00A4004D" w:rsidRPr="00187713" w:rsidRDefault="00A4004D" w:rsidP="00933363">
      <w:pPr>
        <w:pStyle w:val="Default"/>
      </w:pPr>
    </w:p>
    <w:p w14:paraId="2D8772E6" w14:textId="2D902D25" w:rsidR="00A4004D" w:rsidRPr="00187713" w:rsidRDefault="00882FFC" w:rsidP="00933363">
      <w:pPr>
        <w:pStyle w:val="NormalSS"/>
        <w:jc w:val="left"/>
        <w:rPr>
          <w:szCs w:val="24"/>
        </w:rPr>
      </w:pPr>
      <w:r w:rsidRPr="00882FFC">
        <w:rPr>
          <w:i/>
          <w:szCs w:val="24"/>
        </w:rPr>
        <w:t>12.</w:t>
      </w:r>
      <w:r w:rsidRPr="00882FFC">
        <w:rPr>
          <w:i/>
          <w:szCs w:val="24"/>
        </w:rPr>
        <w:tab/>
        <w:t>Provide estimates of the hour burden of the collection of information.</w:t>
      </w:r>
    </w:p>
    <w:p w14:paraId="58E44429" w14:textId="77777777" w:rsidR="00083CB2" w:rsidRPr="008F4D44" w:rsidRDefault="00083CB2" w:rsidP="00882FFC">
      <w:pPr>
        <w:autoSpaceDE w:val="0"/>
        <w:autoSpaceDN w:val="0"/>
        <w:adjustRightInd w:val="0"/>
        <w:rPr>
          <w:i/>
        </w:rPr>
      </w:pPr>
      <w:bookmarkStart w:id="18" w:name="_Toc94322852"/>
    </w:p>
    <w:p w14:paraId="49571718" w14:textId="6F23DB51" w:rsidR="00AE7F74" w:rsidRPr="00187713" w:rsidRDefault="00AE7F74" w:rsidP="00AE7F74">
      <w:pPr>
        <w:pStyle w:val="NormalSS"/>
        <w:jc w:val="left"/>
        <w:rPr>
          <w:szCs w:val="24"/>
        </w:rPr>
      </w:pPr>
      <w:r w:rsidRPr="00187713">
        <w:rPr>
          <w:szCs w:val="24"/>
        </w:rPr>
        <w:t>The annual national burden for the TAACCCT grants has three components:  (1) the burden for collection of data on individual participants in order to calculate</w:t>
      </w:r>
      <w:r w:rsidR="00882FFC">
        <w:rPr>
          <w:szCs w:val="24"/>
        </w:rPr>
        <w:t xml:space="preserve"> the Annual Performance Report </w:t>
      </w:r>
      <w:r w:rsidRPr="00187713">
        <w:rPr>
          <w:szCs w:val="24"/>
        </w:rPr>
        <w:t xml:space="preserve">(APR), (2) </w:t>
      </w:r>
      <w:r w:rsidR="003B2D03" w:rsidRPr="00AC5641">
        <w:rPr>
          <w:szCs w:val="24"/>
        </w:rPr>
        <w:t>the burden of preparing the APR</w:t>
      </w:r>
      <w:r w:rsidR="003B2D03">
        <w:rPr>
          <w:szCs w:val="24"/>
        </w:rPr>
        <w:t xml:space="preserve">, (3) </w:t>
      </w:r>
      <w:r w:rsidRPr="00187713">
        <w:rPr>
          <w:szCs w:val="24"/>
        </w:rPr>
        <w:t>the burden of preparing the narrative for the Quarterly Narrative Progress Report (QNPR)</w:t>
      </w:r>
      <w:r w:rsidR="003B2D03">
        <w:rPr>
          <w:szCs w:val="24"/>
        </w:rPr>
        <w:t xml:space="preserve">. </w:t>
      </w:r>
      <w:r w:rsidR="008B22AA">
        <w:rPr>
          <w:szCs w:val="24"/>
        </w:rPr>
        <w:t>The total burden is reflected in the chart at the end of this section.</w:t>
      </w:r>
    </w:p>
    <w:p w14:paraId="6B247B77" w14:textId="4382E298" w:rsidR="00EB2B5A" w:rsidRPr="00187713" w:rsidRDefault="00EB2B5A" w:rsidP="00AE7F74">
      <w:pPr>
        <w:pStyle w:val="NormalSS"/>
        <w:jc w:val="left"/>
        <w:rPr>
          <w:szCs w:val="24"/>
        </w:rPr>
      </w:pPr>
    </w:p>
    <w:p w14:paraId="71A16B8E" w14:textId="77777777" w:rsidR="00AE7F74" w:rsidRPr="00187713" w:rsidRDefault="00AE7F74" w:rsidP="00AE7F74">
      <w:pPr>
        <w:pStyle w:val="NormalSS"/>
        <w:jc w:val="left"/>
        <w:rPr>
          <w:b/>
          <w:szCs w:val="24"/>
        </w:rPr>
      </w:pPr>
      <w:r w:rsidRPr="00187713">
        <w:rPr>
          <w:b/>
          <w:szCs w:val="24"/>
        </w:rPr>
        <w:t>1) Participant Data Collection Burden.</w:t>
      </w:r>
      <w:r w:rsidRPr="00187713">
        <w:rPr>
          <w:szCs w:val="24"/>
        </w:rPr>
        <w:t xml:space="preserve">  </w:t>
      </w:r>
    </w:p>
    <w:p w14:paraId="58A81302" w14:textId="77777777" w:rsidR="00AE7F74" w:rsidRPr="00187713" w:rsidRDefault="00AE7F74" w:rsidP="00AE7F74">
      <w:pPr>
        <w:pStyle w:val="NormalSS"/>
        <w:jc w:val="left"/>
        <w:rPr>
          <w:szCs w:val="24"/>
        </w:rPr>
      </w:pPr>
    </w:p>
    <w:p w14:paraId="1D936A2D" w14:textId="1E4EE2CE" w:rsidR="008B22AA" w:rsidRDefault="00AE7F74" w:rsidP="00882FFC">
      <w:pPr>
        <w:pStyle w:val="NormalSS"/>
        <w:contextualSpacing/>
        <w:jc w:val="left"/>
        <w:rPr>
          <w:szCs w:val="24"/>
        </w:rPr>
      </w:pPr>
      <w:r w:rsidRPr="00187713">
        <w:rPr>
          <w:bCs/>
          <w:iCs/>
          <w:szCs w:val="24"/>
        </w:rPr>
        <w:t>The participant data collection burden</w:t>
      </w:r>
      <w:r w:rsidRPr="00187713">
        <w:rPr>
          <w:szCs w:val="24"/>
        </w:rPr>
        <w:t xml:space="preserve"> considers both the amount of individual participant information collected that is necessary for a grantee to provide aggregate annual data as reflected in the Annual Performance Report (APR), and the amount of information provided by participants.  </w:t>
      </w:r>
      <w:r w:rsidR="003B2D03">
        <w:rPr>
          <w:szCs w:val="24"/>
        </w:rPr>
        <w:t>T</w:t>
      </w:r>
      <w:r w:rsidRPr="00187713">
        <w:rPr>
          <w:szCs w:val="24"/>
        </w:rPr>
        <w:t>he chart below</w:t>
      </w:r>
      <w:r w:rsidR="003B2D03">
        <w:rPr>
          <w:szCs w:val="24"/>
        </w:rPr>
        <w:t xml:space="preserve"> reflects </w:t>
      </w:r>
      <w:r w:rsidRPr="00187713">
        <w:rPr>
          <w:szCs w:val="24"/>
        </w:rPr>
        <w:t xml:space="preserve">the figures for the </w:t>
      </w:r>
      <w:r w:rsidR="00EB2B5A" w:rsidRPr="00187713">
        <w:rPr>
          <w:szCs w:val="24"/>
        </w:rPr>
        <w:t>remaining TAACCCT grants affected by an extension.</w:t>
      </w:r>
    </w:p>
    <w:p w14:paraId="535FCA35" w14:textId="77777777" w:rsidR="00882FFC" w:rsidRDefault="00882FFC" w:rsidP="00882FFC">
      <w:pPr>
        <w:pStyle w:val="NormalSS"/>
        <w:contextualSpacing/>
        <w:jc w:val="left"/>
        <w:rPr>
          <w:szCs w:val="24"/>
        </w:rPr>
      </w:pPr>
    </w:p>
    <w:p w14:paraId="474637C9" w14:textId="6757B481" w:rsidR="00187713" w:rsidRDefault="009C4489" w:rsidP="00187713">
      <w:pPr>
        <w:rPr>
          <w:szCs w:val="24"/>
        </w:rPr>
      </w:pPr>
      <w:r w:rsidRPr="00187713">
        <w:rPr>
          <w:szCs w:val="24"/>
        </w:rPr>
        <w:t xml:space="preserve">Only </w:t>
      </w:r>
      <w:r w:rsidR="003B2D03">
        <w:rPr>
          <w:szCs w:val="24"/>
        </w:rPr>
        <w:t xml:space="preserve">71 </w:t>
      </w:r>
      <w:r w:rsidRPr="00187713">
        <w:rPr>
          <w:szCs w:val="24"/>
        </w:rPr>
        <w:t>Round 4 will still be active during the extension.  Based on projecti</w:t>
      </w:r>
      <w:r w:rsidR="00C944D0">
        <w:rPr>
          <w:szCs w:val="24"/>
        </w:rPr>
        <w:t>ons from previous rounds, 86,676</w:t>
      </w:r>
      <w:r w:rsidRPr="00187713">
        <w:rPr>
          <w:szCs w:val="24"/>
        </w:rPr>
        <w:t xml:space="preserve"> participants will be served by these grants.  We assume</w:t>
      </w:r>
      <w:r w:rsidR="00A43973">
        <w:rPr>
          <w:szCs w:val="24"/>
        </w:rPr>
        <w:t xml:space="preserve"> that the grantees will spend </w:t>
      </w:r>
      <w:r w:rsidRPr="00187713">
        <w:rPr>
          <w:szCs w:val="24"/>
        </w:rPr>
        <w:t>3</w:t>
      </w:r>
      <w:r w:rsidR="00A43973">
        <w:rPr>
          <w:szCs w:val="24"/>
        </w:rPr>
        <w:t>.0</w:t>
      </w:r>
      <w:r w:rsidRPr="00187713">
        <w:rPr>
          <w:szCs w:val="24"/>
        </w:rPr>
        <w:t xml:space="preserve"> minutes to collect each element, and</w:t>
      </w:r>
      <w:r w:rsidR="00A43973">
        <w:rPr>
          <w:szCs w:val="24"/>
        </w:rPr>
        <w:t xml:space="preserve"> that participants will spend </w:t>
      </w:r>
      <w:r w:rsidRPr="00187713">
        <w:rPr>
          <w:szCs w:val="24"/>
        </w:rPr>
        <w:t>3</w:t>
      </w:r>
      <w:r w:rsidR="00A43973">
        <w:rPr>
          <w:szCs w:val="24"/>
        </w:rPr>
        <w:t>.0</w:t>
      </w:r>
      <w:r w:rsidRPr="00187713">
        <w:rPr>
          <w:szCs w:val="24"/>
        </w:rPr>
        <w:t xml:space="preserve"> minutes to provide each el</w:t>
      </w:r>
      <w:r w:rsidR="00A43973">
        <w:rPr>
          <w:szCs w:val="24"/>
        </w:rPr>
        <w:t xml:space="preserve">ement for a combined total of </w:t>
      </w:r>
      <w:r w:rsidRPr="00187713">
        <w:rPr>
          <w:szCs w:val="24"/>
        </w:rPr>
        <w:t>6</w:t>
      </w:r>
      <w:r w:rsidR="00A43973">
        <w:rPr>
          <w:szCs w:val="24"/>
        </w:rPr>
        <w:t>.0</w:t>
      </w:r>
      <w:r w:rsidRPr="00187713">
        <w:rPr>
          <w:szCs w:val="24"/>
        </w:rPr>
        <w:t xml:space="preserve"> minutes per data element.  </w:t>
      </w:r>
      <w:r w:rsidR="00636FC4">
        <w:rPr>
          <w:szCs w:val="24"/>
        </w:rPr>
        <w:t xml:space="preserve">These estimates are based on other grant reporting packages we have submitted and we have not received any comments from grantees indicating otherwise. </w:t>
      </w:r>
      <w:r w:rsidRPr="00187713">
        <w:rPr>
          <w:szCs w:val="24"/>
        </w:rPr>
        <w:t>Grantees will need to collect 10 data elements per participant to complete the Annual Performance Report.  This leads to an estimate of three minutes per record for the grantees and three minutes per record for the participants</w:t>
      </w:r>
      <w:r w:rsidR="003B2D03">
        <w:rPr>
          <w:szCs w:val="24"/>
        </w:rPr>
        <w:t>, or six minutes total</w:t>
      </w:r>
      <w:r w:rsidRPr="00187713">
        <w:rPr>
          <w:szCs w:val="24"/>
        </w:rPr>
        <w:t xml:space="preserve">.  </w:t>
      </w:r>
    </w:p>
    <w:p w14:paraId="571D1CC8" w14:textId="77777777" w:rsidR="00187713" w:rsidRDefault="00187713" w:rsidP="00187713">
      <w:pPr>
        <w:rPr>
          <w:szCs w:val="24"/>
        </w:rPr>
      </w:pPr>
    </w:p>
    <w:p w14:paraId="3135A8E2" w14:textId="5D67158D" w:rsidR="008B22AA" w:rsidRPr="00187713" w:rsidRDefault="009C4489" w:rsidP="00187713">
      <w:pPr>
        <w:rPr>
          <w:szCs w:val="24"/>
        </w:rPr>
      </w:pPr>
      <w:r w:rsidRPr="00187713">
        <w:rPr>
          <w:szCs w:val="24"/>
        </w:rPr>
        <w:t>The hourly rates used to calculate cost depend upon the type of organization administering the program.  For private nonprofit grantees, we use the estimated hourly rate of the average hourly earnings in the Census Bureau’s social assistance industry category</w:t>
      </w:r>
      <w:r w:rsidR="003B2D03">
        <w:rPr>
          <w:szCs w:val="24"/>
        </w:rPr>
        <w:t xml:space="preserve">, </w:t>
      </w:r>
      <w:r w:rsidR="003B2D03" w:rsidRPr="00187713">
        <w:rPr>
          <w:szCs w:val="24"/>
        </w:rPr>
        <w:t>which is $1</w:t>
      </w:r>
      <w:r w:rsidR="00131D0E" w:rsidRPr="00187713">
        <w:rPr>
          <w:szCs w:val="24"/>
        </w:rPr>
        <w:t>6.58</w:t>
      </w:r>
      <w:r w:rsidR="003B2D03" w:rsidRPr="00187713">
        <w:rPr>
          <w:szCs w:val="24"/>
        </w:rPr>
        <w:t>.</w:t>
      </w:r>
      <w:r w:rsidRPr="00187713">
        <w:rPr>
          <w:szCs w:val="24"/>
        </w:rPr>
        <w:t xml:space="preserve"> (</w:t>
      </w:r>
      <w:r w:rsidR="00131D0E" w:rsidRPr="00187713">
        <w:t xml:space="preserve">Source: Bureau of Labor Statistics, Quarterly Census of Employment and Wages </w:t>
      </w:r>
      <w:r w:rsidR="00187713" w:rsidRPr="00187713">
        <w:t xml:space="preserve">as of May 2018 </w:t>
      </w:r>
      <w:hyperlink r:id="rId9" w:history="1">
        <w:r w:rsidR="00131D0E" w:rsidRPr="00187713">
          <w:rPr>
            <w:rStyle w:val="Hyperlink"/>
          </w:rPr>
          <w:t>https://www.bls.gov/iag/tgs/iag624.htm</w:t>
        </w:r>
      </w:hyperlink>
      <w:r w:rsidRPr="00187713">
        <w:rPr>
          <w:szCs w:val="24"/>
        </w:rPr>
        <w:t xml:space="preserve">). </w:t>
      </w:r>
    </w:p>
    <w:p w14:paraId="25D5AD46" w14:textId="2F1538F6" w:rsidR="002B0F19" w:rsidRDefault="009C4489" w:rsidP="008B22AA">
      <w:pPr>
        <w:pStyle w:val="BulletLAST"/>
        <w:tabs>
          <w:tab w:val="clear" w:pos="360"/>
        </w:tabs>
        <w:spacing w:after="240"/>
        <w:ind w:left="0" w:firstLine="0"/>
        <w:contextualSpacing/>
        <w:jc w:val="left"/>
        <w:rPr>
          <w:szCs w:val="24"/>
        </w:rPr>
      </w:pPr>
      <w:r w:rsidRPr="00187713">
        <w:rPr>
          <w:szCs w:val="24"/>
        </w:rPr>
        <w:t xml:space="preserve"> </w:t>
      </w:r>
    </w:p>
    <w:p w14:paraId="5C370D55" w14:textId="1428CF66" w:rsidR="00991ACF" w:rsidRDefault="00991ACF" w:rsidP="00991ACF"/>
    <w:p w14:paraId="7CA92C9B" w14:textId="77777777" w:rsidR="00991ACF" w:rsidRPr="00991ACF" w:rsidRDefault="00991ACF" w:rsidP="00991ACF"/>
    <w:p w14:paraId="7A4B5326" w14:textId="435DACA8" w:rsidR="00AE7F74" w:rsidRPr="00187713" w:rsidRDefault="003B2D03" w:rsidP="008B22AA">
      <w:pPr>
        <w:pStyle w:val="BulletLAST"/>
        <w:tabs>
          <w:tab w:val="clear" w:pos="360"/>
        </w:tabs>
        <w:spacing w:after="240"/>
        <w:ind w:left="0" w:firstLine="0"/>
        <w:jc w:val="left"/>
        <w:rPr>
          <w:szCs w:val="24"/>
        </w:rPr>
      </w:pPr>
      <w:r>
        <w:rPr>
          <w:b/>
          <w:szCs w:val="24"/>
        </w:rPr>
        <w:t>2</w:t>
      </w:r>
      <w:r w:rsidR="00AE7F74" w:rsidRPr="00187713">
        <w:rPr>
          <w:b/>
          <w:szCs w:val="24"/>
        </w:rPr>
        <w:t>) Annual Performance Report Burden.</w:t>
      </w:r>
      <w:r w:rsidR="00AE7F74" w:rsidRPr="00187713">
        <w:rPr>
          <w:szCs w:val="24"/>
        </w:rPr>
        <w:t xml:space="preserve">  </w:t>
      </w:r>
    </w:p>
    <w:p w14:paraId="4444C3C5" w14:textId="77777777" w:rsidR="003752A3" w:rsidRPr="00187713" w:rsidRDefault="00AE7F74" w:rsidP="00AE7F74">
      <w:pPr>
        <w:pStyle w:val="NormalSS"/>
        <w:tabs>
          <w:tab w:val="left" w:pos="6380"/>
        </w:tabs>
        <w:jc w:val="left"/>
        <w:rPr>
          <w:szCs w:val="24"/>
        </w:rPr>
      </w:pPr>
      <w:r w:rsidRPr="00187713">
        <w:rPr>
          <w:szCs w:val="24"/>
        </w:rPr>
        <w:t>The TAACCCT</w:t>
      </w:r>
      <w:r w:rsidRPr="00187713">
        <w:rPr>
          <w:bCs/>
          <w:iCs/>
          <w:szCs w:val="24"/>
        </w:rPr>
        <w:t xml:space="preserve"> annual report burden </w:t>
      </w:r>
      <w:r w:rsidRPr="00187713">
        <w:rPr>
          <w:szCs w:val="24"/>
        </w:rPr>
        <w:t xml:space="preserve">includes program run times, checking, formatting, and transmitting the annual performance reports to ETA.  </w:t>
      </w:r>
    </w:p>
    <w:p w14:paraId="36306A18" w14:textId="77777777" w:rsidR="00FC0EF5" w:rsidRPr="00187713" w:rsidRDefault="00FC0EF5" w:rsidP="00AE7F74">
      <w:pPr>
        <w:rPr>
          <w:szCs w:val="24"/>
        </w:rPr>
      </w:pPr>
    </w:p>
    <w:p w14:paraId="7A62F5C1" w14:textId="5835D4A9" w:rsidR="005A5684" w:rsidRDefault="00636FC4" w:rsidP="009C3AB1">
      <w:pPr>
        <w:pStyle w:val="NormalSS"/>
        <w:tabs>
          <w:tab w:val="left" w:pos="6380"/>
        </w:tabs>
        <w:jc w:val="left"/>
        <w:rPr>
          <w:szCs w:val="24"/>
        </w:rPr>
      </w:pPr>
      <w:r>
        <w:rPr>
          <w:szCs w:val="24"/>
        </w:rPr>
        <w:t>Based on past experience, t</w:t>
      </w:r>
      <w:r w:rsidR="00570D39" w:rsidRPr="00187713">
        <w:rPr>
          <w:szCs w:val="24"/>
        </w:rPr>
        <w:t>he annual rep</w:t>
      </w:r>
      <w:r w:rsidR="00C42EBF" w:rsidRPr="00187713">
        <w:rPr>
          <w:szCs w:val="24"/>
        </w:rPr>
        <w:t>ort produced will require about</w:t>
      </w:r>
      <w:r w:rsidR="00570D39" w:rsidRPr="00187713">
        <w:rPr>
          <w:szCs w:val="24"/>
        </w:rPr>
        <w:t xml:space="preserve"> </w:t>
      </w:r>
      <w:r w:rsidR="00713FD2">
        <w:rPr>
          <w:szCs w:val="24"/>
        </w:rPr>
        <w:t>48</w:t>
      </w:r>
      <w:r w:rsidR="00731C7A" w:rsidRPr="00187713">
        <w:rPr>
          <w:szCs w:val="24"/>
        </w:rPr>
        <w:t xml:space="preserve"> </w:t>
      </w:r>
      <w:r w:rsidR="00570D39" w:rsidRPr="00187713">
        <w:rPr>
          <w:szCs w:val="24"/>
        </w:rPr>
        <w:t xml:space="preserve">hours to prepare, generating an annual burden of </w:t>
      </w:r>
      <w:r w:rsidR="00713FD2">
        <w:rPr>
          <w:szCs w:val="24"/>
        </w:rPr>
        <w:t>48</w:t>
      </w:r>
      <w:r w:rsidR="00570D39" w:rsidRPr="00187713">
        <w:rPr>
          <w:szCs w:val="24"/>
        </w:rPr>
        <w:t xml:space="preserve"> hours per grantee, as only one report is required per year.  </w:t>
      </w:r>
      <w:r w:rsidR="00731C7A" w:rsidRPr="00187713">
        <w:rPr>
          <w:szCs w:val="24"/>
        </w:rPr>
        <w:t xml:space="preserve">Because the fourth round is the only active round, </w:t>
      </w:r>
      <w:r w:rsidR="004B216F" w:rsidRPr="00187713">
        <w:rPr>
          <w:szCs w:val="24"/>
        </w:rPr>
        <w:t xml:space="preserve">it is </w:t>
      </w:r>
      <w:r w:rsidR="00731C7A" w:rsidRPr="00187713">
        <w:rPr>
          <w:szCs w:val="24"/>
        </w:rPr>
        <w:t>the only round that will submit an annua</w:t>
      </w:r>
      <w:r w:rsidR="00713FD2">
        <w:rPr>
          <w:szCs w:val="24"/>
        </w:rPr>
        <w:t>l report during the extension.</w:t>
      </w:r>
    </w:p>
    <w:p w14:paraId="4A5C4D63" w14:textId="2B7E31BC" w:rsidR="003B2D03" w:rsidRDefault="003B2D03" w:rsidP="009C3AB1">
      <w:pPr>
        <w:pStyle w:val="NormalSS"/>
        <w:tabs>
          <w:tab w:val="left" w:pos="6380"/>
        </w:tabs>
        <w:jc w:val="left"/>
        <w:rPr>
          <w:szCs w:val="24"/>
        </w:rPr>
      </w:pPr>
    </w:p>
    <w:p w14:paraId="51135CEF" w14:textId="14F896DC" w:rsidR="003B2D03" w:rsidRPr="00187713" w:rsidRDefault="003B2D03" w:rsidP="003B2D03">
      <w:pPr>
        <w:pStyle w:val="NormalSS"/>
        <w:jc w:val="left"/>
        <w:rPr>
          <w:szCs w:val="24"/>
        </w:rPr>
      </w:pPr>
      <w:r>
        <w:rPr>
          <w:b/>
          <w:szCs w:val="24"/>
        </w:rPr>
        <w:t>3</w:t>
      </w:r>
      <w:r w:rsidRPr="00187713">
        <w:rPr>
          <w:b/>
          <w:szCs w:val="24"/>
        </w:rPr>
        <w:t>) Quarterly Progress Report Burden.</w:t>
      </w:r>
      <w:r w:rsidRPr="00187713">
        <w:rPr>
          <w:szCs w:val="24"/>
        </w:rPr>
        <w:t xml:space="preserve">  </w:t>
      </w:r>
    </w:p>
    <w:p w14:paraId="6EE12D10" w14:textId="77777777" w:rsidR="003B2D03" w:rsidRPr="00187713" w:rsidRDefault="003B2D03" w:rsidP="003B2D03">
      <w:pPr>
        <w:pStyle w:val="NormalSS"/>
        <w:jc w:val="left"/>
        <w:rPr>
          <w:szCs w:val="24"/>
        </w:rPr>
      </w:pPr>
    </w:p>
    <w:p w14:paraId="195E87BC" w14:textId="7A8D77A9" w:rsidR="003B2D03" w:rsidRPr="00187713" w:rsidRDefault="003B2D03" w:rsidP="00187713">
      <w:pPr>
        <w:pStyle w:val="NormalSS"/>
        <w:tabs>
          <w:tab w:val="left" w:pos="6380"/>
        </w:tabs>
        <w:jc w:val="left"/>
        <w:rPr>
          <w:b/>
          <w:szCs w:val="24"/>
        </w:rPr>
      </w:pPr>
      <w:r w:rsidRPr="00187713">
        <w:rPr>
          <w:szCs w:val="24"/>
        </w:rPr>
        <w:t>The burden to produce the TAACCCT</w:t>
      </w:r>
      <w:r w:rsidRPr="00187713">
        <w:rPr>
          <w:bCs/>
          <w:iCs/>
          <w:szCs w:val="24"/>
        </w:rPr>
        <w:t xml:space="preserve"> narrative for the quarterly progress report </w:t>
      </w:r>
      <w:r w:rsidRPr="00187713">
        <w:rPr>
          <w:szCs w:val="24"/>
        </w:rPr>
        <w:t xml:space="preserve">includes the time it takes to write, review, and submit the report.  </w:t>
      </w:r>
    </w:p>
    <w:p w14:paraId="35AB8D15" w14:textId="77777777" w:rsidR="003B2D03" w:rsidRPr="00187713" w:rsidRDefault="003B2D03" w:rsidP="003B2D03">
      <w:pPr>
        <w:rPr>
          <w:szCs w:val="24"/>
        </w:rPr>
      </w:pPr>
    </w:p>
    <w:p w14:paraId="1150376C" w14:textId="37D3C07F" w:rsidR="003B2D03" w:rsidRDefault="003B2D03" w:rsidP="003B2D03">
      <w:pPr>
        <w:rPr>
          <w:szCs w:val="24"/>
        </w:rPr>
      </w:pPr>
      <w:r w:rsidRPr="00187713">
        <w:rPr>
          <w:szCs w:val="24"/>
        </w:rPr>
        <w:t xml:space="preserve">Only Round 4 will be active during the extension, and only one quarterly progress report will be required during this time period due to the remaining time in the period of performance.  Using an average of </w:t>
      </w:r>
      <w:r w:rsidR="00713FD2">
        <w:rPr>
          <w:szCs w:val="24"/>
        </w:rPr>
        <w:t>66</w:t>
      </w:r>
      <w:r w:rsidRPr="00187713">
        <w:rPr>
          <w:szCs w:val="24"/>
        </w:rPr>
        <w:t xml:space="preserve"> minutes per sub-section, we calculated a total of </w:t>
      </w:r>
      <w:r w:rsidR="00713FD2">
        <w:rPr>
          <w:szCs w:val="24"/>
        </w:rPr>
        <w:t>22</w:t>
      </w:r>
      <w:r w:rsidRPr="00187713">
        <w:rPr>
          <w:szCs w:val="24"/>
        </w:rPr>
        <w:t xml:space="preserve"> hours to complete the report</w:t>
      </w:r>
      <w:r w:rsidR="00636FC4">
        <w:rPr>
          <w:szCs w:val="24"/>
        </w:rPr>
        <w:t>, based on past experience</w:t>
      </w:r>
      <w:r w:rsidRPr="00187713">
        <w:rPr>
          <w:szCs w:val="24"/>
        </w:rPr>
        <w:t>.</w:t>
      </w:r>
      <w:r w:rsidRPr="00187713" w:rsidDel="002C421F">
        <w:rPr>
          <w:szCs w:val="24"/>
        </w:rPr>
        <w:t xml:space="preserve"> </w:t>
      </w:r>
    </w:p>
    <w:p w14:paraId="010817B3" w14:textId="77777777" w:rsidR="00281125" w:rsidRPr="00187713" w:rsidRDefault="00281125" w:rsidP="003B2D03">
      <w:pPr>
        <w:rPr>
          <w:szCs w:val="24"/>
        </w:rPr>
      </w:pPr>
    </w:p>
    <w:p w14:paraId="4D6AE713" w14:textId="40DB1454" w:rsidR="003B2D03" w:rsidRPr="00187713" w:rsidRDefault="00281125" w:rsidP="003B2D03">
      <w:pPr>
        <w:rPr>
          <w:szCs w:val="24"/>
        </w:rPr>
      </w:pPr>
      <w:r w:rsidRPr="00281125">
        <w:rPr>
          <w:i/>
          <w:szCs w:val="24"/>
        </w:rPr>
        <w:t>The following table can be used as a guide to calculate the total burden of an information collection.</w:t>
      </w:r>
    </w:p>
    <w:p w14:paraId="637DCA21" w14:textId="09F865E5" w:rsidR="00C42EBF" w:rsidRPr="00187713" w:rsidRDefault="00C42EBF" w:rsidP="00727147">
      <w:pPr>
        <w:tabs>
          <w:tab w:val="right" w:pos="5040"/>
          <w:tab w:val="right" w:pos="6840"/>
          <w:tab w:val="right" w:pos="8640"/>
        </w:tabs>
        <w:rPr>
          <w:b/>
          <w:szCs w:val="24"/>
          <w:u w:val="single"/>
        </w:rPr>
      </w:pPr>
    </w:p>
    <w:tbl>
      <w:tblPr>
        <w:tblW w:w="10226" w:type="dxa"/>
        <w:tblInd w:w="-442" w:type="dxa"/>
        <w:tblCellMar>
          <w:left w:w="0" w:type="dxa"/>
          <w:right w:w="0" w:type="dxa"/>
        </w:tblCellMar>
        <w:tblLook w:val="04A0" w:firstRow="1" w:lastRow="0" w:firstColumn="1" w:lastColumn="0" w:noHBand="0" w:noVBand="1"/>
      </w:tblPr>
      <w:tblGrid>
        <w:gridCol w:w="1550"/>
        <w:gridCol w:w="1523"/>
        <w:gridCol w:w="1310"/>
        <w:gridCol w:w="1270"/>
        <w:gridCol w:w="1177"/>
        <w:gridCol w:w="1016"/>
        <w:gridCol w:w="950"/>
        <w:gridCol w:w="1430"/>
      </w:tblGrid>
      <w:tr w:rsidR="002642D8" w14:paraId="2228BBA1" w14:textId="77777777" w:rsidTr="00281125">
        <w:trPr>
          <w:trHeight w:val="667"/>
        </w:trPr>
        <w:tc>
          <w:tcPr>
            <w:tcW w:w="155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0690B71F" w14:textId="77777777" w:rsidR="002642D8" w:rsidRDefault="002642D8" w:rsidP="00187713">
            <w:pPr>
              <w:spacing w:line="276" w:lineRule="auto"/>
              <w:jc w:val="left"/>
              <w:rPr>
                <w:b/>
                <w:bCs/>
                <w:sz w:val="22"/>
              </w:rPr>
            </w:pPr>
            <w:r>
              <w:rPr>
                <w:b/>
                <w:bCs/>
              </w:rPr>
              <w:t>Activity</w:t>
            </w:r>
          </w:p>
        </w:tc>
        <w:tc>
          <w:tcPr>
            <w:tcW w:w="1523"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78CDE112" w14:textId="77777777" w:rsidR="002642D8" w:rsidRDefault="002642D8" w:rsidP="00187713">
            <w:pPr>
              <w:spacing w:line="276" w:lineRule="auto"/>
              <w:jc w:val="left"/>
              <w:rPr>
                <w:rFonts w:ascii="Calibri" w:hAnsi="Calibri" w:cs="Calibri"/>
                <w:b/>
                <w:bCs/>
              </w:rPr>
            </w:pPr>
            <w:r>
              <w:rPr>
                <w:b/>
                <w:bCs/>
              </w:rPr>
              <w:t>Number of Respondents</w:t>
            </w:r>
          </w:p>
        </w:tc>
        <w:tc>
          <w:tcPr>
            <w:tcW w:w="131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0D407451" w14:textId="151BCB7C" w:rsidR="002642D8" w:rsidRDefault="002642D8" w:rsidP="00187713">
            <w:pPr>
              <w:spacing w:line="276" w:lineRule="auto"/>
              <w:jc w:val="left"/>
              <w:rPr>
                <w:b/>
                <w:bCs/>
              </w:rPr>
            </w:pPr>
            <w:r>
              <w:rPr>
                <w:b/>
                <w:bCs/>
              </w:rPr>
              <w:t>Frequency</w:t>
            </w:r>
          </w:p>
        </w:tc>
        <w:tc>
          <w:tcPr>
            <w:tcW w:w="127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7CBAF5CE" w14:textId="77777777" w:rsidR="002642D8" w:rsidRDefault="002642D8" w:rsidP="00187713">
            <w:pPr>
              <w:spacing w:line="276" w:lineRule="auto"/>
              <w:jc w:val="left"/>
              <w:rPr>
                <w:b/>
                <w:bCs/>
              </w:rPr>
            </w:pPr>
            <w:r>
              <w:rPr>
                <w:b/>
                <w:bCs/>
              </w:rPr>
              <w:t>Total Annual Responses</w:t>
            </w:r>
          </w:p>
        </w:tc>
        <w:tc>
          <w:tcPr>
            <w:tcW w:w="1177"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2B74CA63" w14:textId="77777777" w:rsidR="002642D8" w:rsidRDefault="002642D8" w:rsidP="00187713">
            <w:pPr>
              <w:spacing w:line="276" w:lineRule="auto"/>
              <w:jc w:val="left"/>
              <w:rPr>
                <w:b/>
                <w:bCs/>
              </w:rPr>
            </w:pPr>
            <w:r>
              <w:rPr>
                <w:b/>
                <w:bCs/>
              </w:rPr>
              <w:t>Time Per Response</w:t>
            </w:r>
          </w:p>
        </w:tc>
        <w:tc>
          <w:tcPr>
            <w:tcW w:w="1016"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3A84F6D5" w14:textId="77777777" w:rsidR="002642D8" w:rsidRDefault="002642D8" w:rsidP="00187713">
            <w:pPr>
              <w:spacing w:line="276" w:lineRule="auto"/>
              <w:jc w:val="left"/>
              <w:rPr>
                <w:b/>
                <w:bCs/>
              </w:rPr>
            </w:pPr>
            <w:r>
              <w:rPr>
                <w:b/>
                <w:bCs/>
              </w:rPr>
              <w:t>Total Annual Burden (Hours)</w:t>
            </w:r>
          </w:p>
        </w:tc>
        <w:tc>
          <w:tcPr>
            <w:tcW w:w="95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19FE0C11" w14:textId="77777777" w:rsidR="002642D8" w:rsidRDefault="002642D8" w:rsidP="00187713">
            <w:pPr>
              <w:spacing w:line="276" w:lineRule="auto"/>
              <w:jc w:val="left"/>
              <w:rPr>
                <w:b/>
                <w:bCs/>
              </w:rPr>
            </w:pPr>
            <w:r>
              <w:rPr>
                <w:b/>
                <w:bCs/>
              </w:rPr>
              <w:t>Hourly Rate*</w:t>
            </w:r>
          </w:p>
        </w:tc>
        <w:tc>
          <w:tcPr>
            <w:tcW w:w="143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hideMark/>
          </w:tcPr>
          <w:p w14:paraId="4221B4FA" w14:textId="0DD4234F" w:rsidR="002642D8" w:rsidRDefault="002642D8" w:rsidP="00187713">
            <w:pPr>
              <w:spacing w:line="276" w:lineRule="auto"/>
              <w:jc w:val="left"/>
              <w:rPr>
                <w:b/>
                <w:bCs/>
              </w:rPr>
            </w:pPr>
            <w:r>
              <w:rPr>
                <w:b/>
                <w:bCs/>
              </w:rPr>
              <w:t>Monetized Value of Respondent Time</w:t>
            </w:r>
          </w:p>
        </w:tc>
      </w:tr>
      <w:tr w:rsidR="002642D8" w14:paraId="711F2B68" w14:textId="77777777" w:rsidTr="00281125">
        <w:trPr>
          <w:trHeight w:val="164"/>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B2DD0B" w14:textId="1732EF11" w:rsidR="002642D8" w:rsidRDefault="002642D8" w:rsidP="00882FFC">
            <w:pPr>
              <w:spacing w:line="276" w:lineRule="auto"/>
              <w:jc w:val="center"/>
            </w:pPr>
            <w:r>
              <w:t>Participants Data Collection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D6A265" w14:textId="6AC9DA90" w:rsidR="002642D8" w:rsidRDefault="00630A39" w:rsidP="00882FFC">
            <w:pPr>
              <w:spacing w:line="276" w:lineRule="auto"/>
              <w:jc w:val="center"/>
            </w:pPr>
            <w:r>
              <w:t>86,676</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20EDC2" w14:textId="77777777" w:rsidR="002642D8" w:rsidRDefault="002642D8" w:rsidP="00882FFC">
            <w:pPr>
              <w:spacing w:line="276" w:lineRule="auto"/>
              <w:jc w:val="center"/>
            </w:pPr>
            <w:r>
              <w:t>1</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4E08FE" w14:textId="2AE5A1E9" w:rsidR="002642D8" w:rsidRDefault="00630A39" w:rsidP="00882FFC">
            <w:pPr>
              <w:spacing w:line="276" w:lineRule="auto"/>
              <w:jc w:val="center"/>
            </w:pPr>
            <w:r>
              <w:t>86,676</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BB9FC2" w14:textId="0791B28B" w:rsidR="002642D8" w:rsidRDefault="00630A39" w:rsidP="00882FFC">
            <w:pPr>
              <w:spacing w:line="276" w:lineRule="auto"/>
              <w:jc w:val="center"/>
            </w:pPr>
            <w:r>
              <w:t>6</w:t>
            </w:r>
            <w:r w:rsidR="002642D8">
              <w:t xml:space="preserve"> minutes</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ECCB1D" w14:textId="77777777" w:rsidR="002642D8" w:rsidRDefault="002642D8" w:rsidP="00882FFC">
            <w:pPr>
              <w:spacing w:line="276" w:lineRule="auto"/>
              <w:jc w:val="center"/>
            </w:pPr>
            <w:r>
              <w:t>8,668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38F81E" w14:textId="17C2FE33" w:rsidR="002642D8" w:rsidRDefault="002642D8" w:rsidP="00882FFC">
            <w:pPr>
              <w:spacing w:line="276" w:lineRule="auto"/>
              <w:jc w:val="center"/>
            </w:pPr>
            <w:r>
              <w:t>$</w:t>
            </w:r>
            <w:r w:rsidR="00131D0E">
              <w:t>16.58</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9375E8" w14:textId="2E9EA26D" w:rsidR="002642D8" w:rsidRDefault="002642D8" w:rsidP="00882FFC">
            <w:pPr>
              <w:spacing w:line="276" w:lineRule="auto"/>
              <w:jc w:val="center"/>
            </w:pPr>
            <w:r>
              <w:t>$1</w:t>
            </w:r>
            <w:r w:rsidR="00131D0E">
              <w:t>43,715</w:t>
            </w:r>
          </w:p>
        </w:tc>
      </w:tr>
      <w:tr w:rsidR="002642D8" w14:paraId="084E46A1" w14:textId="77777777" w:rsidTr="00281125">
        <w:trPr>
          <w:trHeight w:val="164"/>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D124B9" w14:textId="77777777" w:rsidR="002642D8" w:rsidRDefault="002642D8" w:rsidP="00882FFC">
            <w:pPr>
              <w:spacing w:line="276" w:lineRule="auto"/>
              <w:jc w:val="center"/>
            </w:pPr>
            <w:r>
              <w:t>Annual Performance Report</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7AB56F" w14:textId="77777777" w:rsidR="002642D8" w:rsidRDefault="002642D8" w:rsidP="00882FFC">
            <w:pPr>
              <w:spacing w:line="276" w:lineRule="auto"/>
              <w:jc w:val="center"/>
            </w:pPr>
            <w:r>
              <w:t>71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8F3034" w14:textId="77777777" w:rsidR="002642D8" w:rsidRDefault="002642D8" w:rsidP="00882FFC">
            <w:pPr>
              <w:spacing w:line="276" w:lineRule="auto"/>
              <w:jc w:val="center"/>
            </w:pPr>
            <w:r>
              <w:t>1</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38FC4D" w14:textId="77777777" w:rsidR="002642D8" w:rsidRDefault="002642D8" w:rsidP="00882FFC">
            <w:pPr>
              <w:spacing w:line="276" w:lineRule="auto"/>
              <w:jc w:val="center"/>
            </w:pPr>
            <w:r>
              <w:t>71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3405C4" w14:textId="1D69F52B" w:rsidR="002642D8" w:rsidRDefault="0075730E" w:rsidP="00882FFC">
            <w:pPr>
              <w:spacing w:line="276" w:lineRule="auto"/>
              <w:jc w:val="center"/>
            </w:pPr>
            <w:r>
              <w:t>48</w:t>
            </w:r>
            <w:r w:rsidR="002642D8">
              <w:t xml:space="preserve"> hours</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CE0A57" w14:textId="37A05370" w:rsidR="002642D8" w:rsidRDefault="0075730E" w:rsidP="00882FFC">
            <w:pPr>
              <w:spacing w:line="276" w:lineRule="auto"/>
              <w:jc w:val="center"/>
            </w:pPr>
            <w:r>
              <w:t>3,408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6F9926" w14:textId="61175749" w:rsidR="002642D8" w:rsidRDefault="002642D8" w:rsidP="00882FFC">
            <w:pPr>
              <w:spacing w:line="276" w:lineRule="auto"/>
              <w:jc w:val="center"/>
            </w:pPr>
            <w:r>
              <w:t>$1</w:t>
            </w:r>
            <w:r w:rsidR="00131D0E">
              <w:t>6.58</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533612" w14:textId="427FD30B" w:rsidR="0075730E" w:rsidRDefault="002642D8" w:rsidP="0075730E">
            <w:pPr>
              <w:spacing w:line="276" w:lineRule="auto"/>
              <w:jc w:val="center"/>
            </w:pPr>
            <w:r>
              <w:t>$</w:t>
            </w:r>
            <w:r w:rsidR="0075730E">
              <w:t>56,505</w:t>
            </w:r>
          </w:p>
        </w:tc>
      </w:tr>
      <w:tr w:rsidR="002642D8" w14:paraId="73E9586A" w14:textId="77777777" w:rsidTr="00281125">
        <w:trPr>
          <w:trHeight w:val="164"/>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DF84C28" w14:textId="77777777" w:rsidR="002642D8" w:rsidRDefault="002642D8" w:rsidP="00882FFC">
            <w:pPr>
              <w:spacing w:line="276" w:lineRule="auto"/>
              <w:jc w:val="center"/>
            </w:pPr>
            <w:r>
              <w:t>Quarterly Progress Report</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8E60D0" w14:textId="77777777" w:rsidR="002642D8" w:rsidRDefault="002642D8" w:rsidP="00882FFC">
            <w:pPr>
              <w:spacing w:line="276" w:lineRule="auto"/>
              <w:jc w:val="center"/>
            </w:pPr>
            <w:r>
              <w:t>71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24F3F0" w14:textId="2AF20CBB" w:rsidR="002642D8" w:rsidRDefault="002642D8" w:rsidP="00882FFC">
            <w:pPr>
              <w:spacing w:line="276" w:lineRule="auto"/>
              <w:jc w:val="center"/>
            </w:pPr>
            <w:r>
              <w:t>1</w:t>
            </w:r>
            <w:r w:rsidR="00282CF4">
              <w:t>*</w:t>
            </w:r>
            <w:r w:rsidR="007B573F">
              <w:t>*</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AF1914" w14:textId="77777777" w:rsidR="002642D8" w:rsidRDefault="002642D8" w:rsidP="00882FFC">
            <w:pPr>
              <w:spacing w:line="276" w:lineRule="auto"/>
              <w:jc w:val="center"/>
            </w:pPr>
            <w:r>
              <w:t>71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61D469" w14:textId="7B018E93" w:rsidR="002642D8" w:rsidRDefault="0075730E" w:rsidP="00882FFC">
            <w:pPr>
              <w:spacing w:line="276" w:lineRule="auto"/>
              <w:jc w:val="center"/>
            </w:pPr>
            <w:r>
              <w:t>22</w:t>
            </w:r>
            <w:r w:rsidR="002642D8">
              <w:t xml:space="preserve"> hours</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1E5FD6" w14:textId="72BD3881" w:rsidR="002642D8" w:rsidRDefault="0075730E" w:rsidP="00882FFC">
            <w:pPr>
              <w:spacing w:line="276" w:lineRule="auto"/>
              <w:jc w:val="center"/>
            </w:pPr>
            <w:r>
              <w:t>1,562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4F8E93" w14:textId="1C1A8F9D" w:rsidR="002642D8" w:rsidRDefault="002642D8" w:rsidP="00882FFC">
            <w:pPr>
              <w:spacing w:line="276" w:lineRule="auto"/>
              <w:jc w:val="center"/>
            </w:pPr>
            <w:r>
              <w:t>$1</w:t>
            </w:r>
            <w:r w:rsidR="00131D0E">
              <w:t>6.58</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1D9BA7" w14:textId="53F564B5" w:rsidR="002642D8" w:rsidRDefault="002642D8" w:rsidP="0075730E">
            <w:pPr>
              <w:spacing w:line="276" w:lineRule="auto"/>
              <w:jc w:val="center"/>
            </w:pPr>
            <w:r>
              <w:t>$</w:t>
            </w:r>
            <w:r w:rsidR="0075730E">
              <w:t>25,898</w:t>
            </w:r>
          </w:p>
        </w:tc>
      </w:tr>
      <w:tr w:rsidR="002642D8" w14:paraId="3E1D3CD1" w14:textId="77777777" w:rsidTr="00281125">
        <w:trPr>
          <w:trHeight w:val="330"/>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1D95C" w14:textId="77777777" w:rsidR="002642D8" w:rsidRDefault="002642D8">
            <w:pPr>
              <w:spacing w:line="276" w:lineRule="auto"/>
              <w:rPr>
                <w:b/>
                <w:bCs/>
                <w:i/>
                <w:iCs/>
              </w:rPr>
            </w:pPr>
            <w:r>
              <w:rPr>
                <w:b/>
                <w:bCs/>
                <w:i/>
                <w:iCs/>
              </w:rPr>
              <w:t>Unduplicated Totals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14:paraId="2E2C8C31" w14:textId="364D09CA" w:rsidR="002642D8" w:rsidRDefault="00882FFC" w:rsidP="00882FFC">
            <w:pPr>
              <w:spacing w:line="276" w:lineRule="auto"/>
              <w:jc w:val="center"/>
              <w:rPr>
                <w:b/>
                <w:bCs/>
                <w:i/>
                <w:iCs/>
              </w:rPr>
            </w:pPr>
            <w:r>
              <w:rPr>
                <w:b/>
                <w:bCs/>
                <w:i/>
                <w:iCs/>
              </w:rPr>
              <w:t>--</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14:paraId="7E0B119C" w14:textId="7D11970F" w:rsidR="002642D8" w:rsidRDefault="00882FFC" w:rsidP="00882FFC">
            <w:pPr>
              <w:spacing w:line="276" w:lineRule="auto"/>
              <w:jc w:val="center"/>
              <w:rPr>
                <w:b/>
                <w:bCs/>
                <w:i/>
                <w:iCs/>
              </w:rPr>
            </w:pPr>
            <w:r>
              <w:rPr>
                <w:b/>
                <w:bCs/>
                <w:i/>
                <w:iCs/>
              </w:rPr>
              <w:t>--</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tcPr>
          <w:p w14:paraId="09AF7766" w14:textId="50A7F878" w:rsidR="002642D8" w:rsidRDefault="00C34615" w:rsidP="00882FFC">
            <w:pPr>
              <w:spacing w:line="276" w:lineRule="auto"/>
              <w:jc w:val="center"/>
              <w:rPr>
                <w:b/>
                <w:bCs/>
                <w:i/>
                <w:iCs/>
              </w:rPr>
            </w:pPr>
            <w:r>
              <w:rPr>
                <w:b/>
                <w:bCs/>
                <w:i/>
                <w:iCs/>
              </w:rPr>
              <w:t>86,818</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bottom"/>
          </w:tcPr>
          <w:p w14:paraId="2B8442EC" w14:textId="16D79238" w:rsidR="002642D8" w:rsidRDefault="00882FFC" w:rsidP="00882FFC">
            <w:pPr>
              <w:spacing w:line="276" w:lineRule="auto"/>
              <w:jc w:val="center"/>
              <w:rPr>
                <w:b/>
                <w:bCs/>
                <w:i/>
                <w:iCs/>
              </w:rPr>
            </w:pPr>
            <w:r>
              <w:rPr>
                <w:b/>
                <w:bCs/>
                <w:i/>
                <w:iCs/>
              </w:rPr>
              <w:t>varies</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081A6D" w14:textId="2E8E596D" w:rsidR="002642D8" w:rsidRDefault="00882FFC" w:rsidP="0075730E">
            <w:pPr>
              <w:spacing w:line="276" w:lineRule="auto"/>
              <w:jc w:val="center"/>
              <w:rPr>
                <w:b/>
                <w:bCs/>
                <w:i/>
                <w:iCs/>
              </w:rPr>
            </w:pPr>
            <w:r>
              <w:rPr>
                <w:b/>
                <w:bCs/>
                <w:i/>
                <w:iCs/>
              </w:rPr>
              <w:t>1</w:t>
            </w:r>
            <w:r w:rsidR="0075730E">
              <w:rPr>
                <w:b/>
                <w:bCs/>
                <w:i/>
                <w:iCs/>
              </w:rPr>
              <w:t>3,638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EA6E0A" w14:textId="19323BDD" w:rsidR="002642D8" w:rsidRDefault="00882FFC" w:rsidP="00882FFC">
            <w:pPr>
              <w:spacing w:line="276" w:lineRule="auto"/>
              <w:jc w:val="center"/>
              <w:rPr>
                <w:b/>
                <w:bCs/>
                <w:i/>
                <w:iCs/>
              </w:rPr>
            </w:pPr>
            <w:r>
              <w:rPr>
                <w:b/>
                <w:bCs/>
                <w:i/>
                <w:iCs/>
              </w:rPr>
              <w:t>--</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8C3014" w14:textId="36DA342C" w:rsidR="002642D8" w:rsidRDefault="002642D8" w:rsidP="0075730E">
            <w:pPr>
              <w:spacing w:line="276" w:lineRule="auto"/>
              <w:jc w:val="center"/>
              <w:rPr>
                <w:b/>
                <w:bCs/>
                <w:i/>
                <w:iCs/>
              </w:rPr>
            </w:pPr>
            <w:r>
              <w:rPr>
                <w:b/>
                <w:bCs/>
                <w:i/>
                <w:iCs/>
              </w:rPr>
              <w:t>$</w:t>
            </w:r>
            <w:r w:rsidR="0075730E">
              <w:rPr>
                <w:b/>
                <w:bCs/>
                <w:i/>
                <w:iCs/>
              </w:rPr>
              <w:t>226,11</w:t>
            </w:r>
            <w:r w:rsidR="00D1618D">
              <w:rPr>
                <w:b/>
                <w:bCs/>
                <w:i/>
                <w:iCs/>
              </w:rPr>
              <w:t>8</w:t>
            </w:r>
          </w:p>
        </w:tc>
      </w:tr>
    </w:tbl>
    <w:p w14:paraId="36D37D9A" w14:textId="1BF2DDC8" w:rsidR="002363ED" w:rsidRDefault="002363ED" w:rsidP="002363ED">
      <w:pPr>
        <w:rPr>
          <w:color w:val="1F497D"/>
          <w:sz w:val="18"/>
          <w:szCs w:val="18"/>
        </w:rPr>
      </w:pPr>
      <w:r w:rsidRPr="00882FFC">
        <w:rPr>
          <w:b/>
          <w:bCs/>
          <w:color w:val="000000"/>
          <w:sz w:val="18"/>
          <w:szCs w:val="18"/>
        </w:rPr>
        <w:t>*</w:t>
      </w:r>
      <w:r w:rsidRPr="00882FFC">
        <w:rPr>
          <w:color w:val="000000"/>
          <w:sz w:val="18"/>
          <w:szCs w:val="18"/>
        </w:rPr>
        <w:t>SOURCE: Bureau of Labor Statistics, Quarterly Census of Employment and Wages, “Industries at a Glance, Social Assistance: NAICS 624,”</w:t>
      </w:r>
      <w:r w:rsidR="00202FF6" w:rsidRPr="00882FFC">
        <w:rPr>
          <w:color w:val="000000"/>
          <w:sz w:val="18"/>
          <w:szCs w:val="18"/>
        </w:rPr>
        <w:t xml:space="preserve"> as of May 2018. </w:t>
      </w:r>
      <w:r w:rsidR="00281125">
        <w:rPr>
          <w:color w:val="000000"/>
          <w:sz w:val="18"/>
          <w:szCs w:val="18"/>
        </w:rPr>
        <w:t xml:space="preserve"> </w:t>
      </w:r>
      <w:hyperlink r:id="rId10" w:history="1">
        <w:r w:rsidRPr="00882FFC">
          <w:rPr>
            <w:rStyle w:val="Hyperlink"/>
            <w:sz w:val="18"/>
            <w:szCs w:val="18"/>
          </w:rPr>
          <w:t>https://www.bls.gov/iag/tgs/iag624.htm</w:t>
        </w:r>
      </w:hyperlink>
      <w:r w:rsidRPr="00882FFC">
        <w:rPr>
          <w:color w:val="1F497D"/>
          <w:sz w:val="18"/>
          <w:szCs w:val="18"/>
        </w:rPr>
        <w:t>.</w:t>
      </w:r>
    </w:p>
    <w:p w14:paraId="7A455E69" w14:textId="76947ADC" w:rsidR="00731C7A" w:rsidRDefault="00282CF4" w:rsidP="00D1618D">
      <w:pPr>
        <w:rPr>
          <w:color w:val="000000" w:themeColor="text1"/>
          <w:sz w:val="18"/>
          <w:szCs w:val="18"/>
        </w:rPr>
      </w:pPr>
      <w:r w:rsidRPr="00282CF4">
        <w:rPr>
          <w:color w:val="000000" w:themeColor="text1"/>
          <w:sz w:val="18"/>
          <w:szCs w:val="18"/>
        </w:rPr>
        <w:t>*</w:t>
      </w:r>
      <w:r w:rsidR="007B573F">
        <w:rPr>
          <w:color w:val="000000" w:themeColor="text1"/>
          <w:sz w:val="18"/>
          <w:szCs w:val="18"/>
        </w:rPr>
        <w:t>*</w:t>
      </w:r>
      <w:r w:rsidRPr="00282CF4">
        <w:rPr>
          <w:color w:val="000000" w:themeColor="text1"/>
          <w:sz w:val="18"/>
          <w:szCs w:val="18"/>
        </w:rPr>
        <w:t>Although grantees report quarterly, only one reporting quar</w:t>
      </w:r>
      <w:r>
        <w:rPr>
          <w:color w:val="000000" w:themeColor="text1"/>
          <w:sz w:val="18"/>
          <w:szCs w:val="18"/>
        </w:rPr>
        <w:t>ter remains for TAACCCT Round 4 within the extension period.</w:t>
      </w:r>
    </w:p>
    <w:p w14:paraId="393A3273" w14:textId="77777777" w:rsidR="007C65C7" w:rsidRPr="007C65C7" w:rsidRDefault="007C65C7" w:rsidP="00D1618D">
      <w:pPr>
        <w:rPr>
          <w:color w:val="000000" w:themeColor="text1"/>
          <w:szCs w:val="24"/>
        </w:rPr>
      </w:pPr>
    </w:p>
    <w:p w14:paraId="5EEA3987" w14:textId="7CBD46A2" w:rsidR="00131D0E" w:rsidRPr="00187713" w:rsidRDefault="00281125" w:rsidP="00933363">
      <w:pPr>
        <w:pStyle w:val="NormalSS"/>
        <w:jc w:val="left"/>
        <w:rPr>
          <w:szCs w:val="24"/>
        </w:rPr>
      </w:pPr>
      <w:r w:rsidRPr="00281125">
        <w:rPr>
          <w:i/>
          <w:szCs w:val="24"/>
        </w:rPr>
        <w:t>13.</w:t>
      </w:r>
      <w:r w:rsidRPr="00281125">
        <w:rPr>
          <w:i/>
          <w:szCs w:val="24"/>
        </w:rPr>
        <w:tab/>
        <w:t>Provide an estimate for the total annual cost burden to respondents or record keepers resulting from the collection of information.  (Do not include the cost of any hour burden already reflected on the burden worksheet).</w:t>
      </w:r>
    </w:p>
    <w:bookmarkEnd w:id="18"/>
    <w:p w14:paraId="22829C36" w14:textId="77777777" w:rsidR="00083CB2" w:rsidRPr="008F4D44" w:rsidRDefault="00083CB2" w:rsidP="00083CB2">
      <w:pPr>
        <w:autoSpaceDE w:val="0"/>
        <w:autoSpaceDN w:val="0"/>
        <w:adjustRightInd w:val="0"/>
        <w:ind w:left="720" w:hanging="180"/>
        <w:rPr>
          <w:i/>
        </w:rPr>
      </w:pPr>
    </w:p>
    <w:p w14:paraId="1254D663" w14:textId="77777777" w:rsidR="00A4004D" w:rsidRPr="00187713" w:rsidRDefault="000B2946" w:rsidP="00933363">
      <w:pPr>
        <w:pStyle w:val="NormalSS"/>
        <w:jc w:val="left"/>
        <w:rPr>
          <w:color w:val="0000FF"/>
          <w:szCs w:val="24"/>
        </w:rPr>
      </w:pPr>
      <w:r w:rsidRPr="00187713">
        <w:rPr>
          <w:szCs w:val="24"/>
        </w:rPr>
        <w:t>Grantees can use grant funds</w:t>
      </w:r>
      <w:r w:rsidR="007A601C" w:rsidRPr="00187713">
        <w:rPr>
          <w:szCs w:val="24"/>
        </w:rPr>
        <w:t xml:space="preserve"> to comply with Federal reporting </w:t>
      </w:r>
      <w:r w:rsidRPr="00187713">
        <w:rPr>
          <w:szCs w:val="24"/>
        </w:rPr>
        <w:t>r</w:t>
      </w:r>
      <w:r w:rsidR="007A601C" w:rsidRPr="00187713">
        <w:rPr>
          <w:szCs w:val="24"/>
        </w:rPr>
        <w:t>equirements</w:t>
      </w:r>
      <w:r w:rsidR="00E815D1" w:rsidRPr="00187713">
        <w:rPr>
          <w:szCs w:val="24"/>
        </w:rPr>
        <w:t xml:space="preserve">; as such, </w:t>
      </w:r>
      <w:r w:rsidR="007A601C" w:rsidRPr="00187713">
        <w:rPr>
          <w:szCs w:val="24"/>
        </w:rPr>
        <w:t>costs are considered to be $0 per grantee.</w:t>
      </w:r>
      <w:r w:rsidR="007A601C" w:rsidRPr="00187713">
        <w:rPr>
          <w:color w:val="0000FF"/>
          <w:szCs w:val="24"/>
        </w:rPr>
        <w:t> </w:t>
      </w:r>
    </w:p>
    <w:p w14:paraId="5BB15D8B" w14:textId="77777777" w:rsidR="00731C7A" w:rsidRPr="00187713" w:rsidRDefault="00731C7A" w:rsidP="00933363">
      <w:pPr>
        <w:pStyle w:val="NormalSS"/>
        <w:jc w:val="left"/>
        <w:rPr>
          <w:szCs w:val="24"/>
        </w:rPr>
      </w:pPr>
    </w:p>
    <w:p w14:paraId="3E5E8592" w14:textId="6B0A6458" w:rsidR="007A601C" w:rsidRPr="00187713" w:rsidRDefault="00281125" w:rsidP="00933363">
      <w:pPr>
        <w:pStyle w:val="NormalSS"/>
        <w:jc w:val="left"/>
        <w:rPr>
          <w:szCs w:val="24"/>
        </w:rPr>
      </w:pPr>
      <w:r w:rsidRPr="00281125">
        <w:rPr>
          <w:i/>
          <w:szCs w:val="24"/>
        </w:rPr>
        <w:t>14.</w:t>
      </w:r>
      <w:r w:rsidRPr="00281125">
        <w:rPr>
          <w:i/>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58A29D56" w14:textId="007B91F0" w:rsidR="00083CB2" w:rsidRPr="00083CB2" w:rsidRDefault="00083CB2" w:rsidP="00281125">
      <w:pPr>
        <w:tabs>
          <w:tab w:val="right" w:pos="360"/>
        </w:tabs>
        <w:autoSpaceDE w:val="0"/>
        <w:autoSpaceDN w:val="0"/>
        <w:adjustRightInd w:val="0"/>
        <w:ind w:left="540" w:hanging="540"/>
        <w:rPr>
          <w:i/>
        </w:rPr>
      </w:pPr>
      <w:r w:rsidRPr="008F4D44">
        <w:rPr>
          <w:i/>
        </w:rPr>
        <w:tab/>
      </w:r>
    </w:p>
    <w:p w14:paraId="1B8754A0" w14:textId="26595EAE" w:rsidR="00A4004D" w:rsidRDefault="007A601C" w:rsidP="00083CB2">
      <w:pPr>
        <w:pStyle w:val="Default"/>
        <w:rPr>
          <w:color w:val="auto"/>
        </w:rPr>
      </w:pPr>
      <w:r w:rsidRPr="00187713">
        <w:rPr>
          <w:color w:val="auto"/>
        </w:rPr>
        <w:t xml:space="preserve">ETA collects and maintains all quarterly reports through its Office of </w:t>
      </w:r>
      <w:r w:rsidR="000B2946" w:rsidRPr="00187713">
        <w:rPr>
          <w:color w:val="auto"/>
        </w:rPr>
        <w:t>Information Security and Technology</w:t>
      </w:r>
      <w:r w:rsidRPr="00187713">
        <w:rPr>
          <w:color w:val="auto"/>
        </w:rPr>
        <w:t xml:space="preserve">’s on-line Enterprise Business Support System (EBSS).  Since the electronic mechanisms for collecting and storing grantee performance data on a quarterly basis are already in place to support other ETA programs, the annualized cost to the Federal government (maintaining the quarterly </w:t>
      </w:r>
      <w:r w:rsidR="006C4D98" w:rsidRPr="00187713">
        <w:rPr>
          <w:color w:val="auto"/>
        </w:rPr>
        <w:t xml:space="preserve">and annual </w:t>
      </w:r>
      <w:r w:rsidRPr="00187713">
        <w:rPr>
          <w:color w:val="auto"/>
        </w:rPr>
        <w:t>reports and records through EBSS, matching SIR data with state UI wage records and other Federal employment databases, generating quarterly performance reports and any program close-out activities) for TAACCCT grant reports is minimal.</w:t>
      </w:r>
    </w:p>
    <w:p w14:paraId="4D921380" w14:textId="77777777" w:rsidR="00083CB2" w:rsidRDefault="00083CB2" w:rsidP="00083CB2">
      <w:pPr>
        <w:pStyle w:val="Default"/>
        <w:rPr>
          <w:color w:val="auto"/>
        </w:rPr>
      </w:pPr>
    </w:p>
    <w:p w14:paraId="31C646CE" w14:textId="2DF6A598" w:rsidR="00C42EBF" w:rsidRPr="00187713" w:rsidRDefault="00281125" w:rsidP="00083CB2">
      <w:pPr>
        <w:pStyle w:val="Heading3"/>
        <w:spacing w:after="0"/>
        <w:jc w:val="left"/>
        <w:rPr>
          <w:szCs w:val="24"/>
          <w:u w:val="single"/>
        </w:rPr>
      </w:pPr>
      <w:bookmarkStart w:id="19" w:name="_Toc94322854"/>
      <w:bookmarkStart w:id="20" w:name="_Toc113416527"/>
      <w:bookmarkStart w:id="21" w:name="_Toc137001976"/>
      <w:r w:rsidRPr="00281125">
        <w:rPr>
          <w:b w:val="0"/>
          <w:i/>
          <w:szCs w:val="24"/>
        </w:rPr>
        <w:t>15.</w:t>
      </w:r>
      <w:r w:rsidRPr="00281125">
        <w:rPr>
          <w:b w:val="0"/>
          <w:i/>
          <w:szCs w:val="24"/>
        </w:rPr>
        <w:tab/>
        <w:t>Explain the reasons for any program changes or adjustments reported on the burden worksheet.</w:t>
      </w:r>
    </w:p>
    <w:bookmarkEnd w:id="19"/>
    <w:bookmarkEnd w:id="20"/>
    <w:bookmarkEnd w:id="21"/>
    <w:p w14:paraId="6EECAC11" w14:textId="4FAA0E96" w:rsidR="00083CB2" w:rsidRPr="008F4D44" w:rsidRDefault="00083CB2" w:rsidP="00281125">
      <w:pPr>
        <w:tabs>
          <w:tab w:val="right" w:pos="360"/>
        </w:tabs>
        <w:autoSpaceDE w:val="0"/>
        <w:autoSpaceDN w:val="0"/>
        <w:adjustRightInd w:val="0"/>
        <w:ind w:left="540" w:hanging="540"/>
        <w:rPr>
          <w:i/>
        </w:rPr>
      </w:pPr>
    </w:p>
    <w:p w14:paraId="28CD3FD9" w14:textId="05503325" w:rsidR="00A4004D" w:rsidRDefault="00B655BB" w:rsidP="00C42EBF">
      <w:pPr>
        <w:rPr>
          <w:szCs w:val="24"/>
        </w:rPr>
      </w:pPr>
      <w:r w:rsidRPr="00F658D3">
        <w:rPr>
          <w:szCs w:val="24"/>
        </w:rPr>
        <w:t xml:space="preserve">Because three of the four rounds of TAACCCT grants have ended, and the fourth round will have only one quarterly progress report and one annual performance report </w:t>
      </w:r>
      <w:r w:rsidR="004B216F" w:rsidRPr="00F658D3">
        <w:rPr>
          <w:szCs w:val="24"/>
        </w:rPr>
        <w:t>left to submit</w:t>
      </w:r>
      <w:r w:rsidRPr="00F658D3">
        <w:rPr>
          <w:szCs w:val="24"/>
        </w:rPr>
        <w:t xml:space="preserve"> during the extension, the burden has been reduced.  The new totals have change</w:t>
      </w:r>
      <w:r w:rsidRPr="00AE00DB">
        <w:rPr>
          <w:szCs w:val="24"/>
        </w:rPr>
        <w:t>d from 848,032</w:t>
      </w:r>
      <w:r w:rsidR="004B216F" w:rsidRPr="00AE00DB">
        <w:rPr>
          <w:szCs w:val="24"/>
        </w:rPr>
        <w:t xml:space="preserve"> annual</w:t>
      </w:r>
      <w:r w:rsidRPr="00AE00DB">
        <w:rPr>
          <w:szCs w:val="24"/>
        </w:rPr>
        <w:t xml:space="preserve"> responses to </w:t>
      </w:r>
      <w:r w:rsidR="00D8339F">
        <w:rPr>
          <w:szCs w:val="24"/>
        </w:rPr>
        <w:t>86,818</w:t>
      </w:r>
      <w:r w:rsidR="00E52C84">
        <w:rPr>
          <w:szCs w:val="24"/>
        </w:rPr>
        <w:t xml:space="preserve"> </w:t>
      </w:r>
      <w:r w:rsidR="00D8339F">
        <w:rPr>
          <w:szCs w:val="24"/>
        </w:rPr>
        <w:t xml:space="preserve">total annual </w:t>
      </w:r>
      <w:r w:rsidRPr="00AE00DB">
        <w:rPr>
          <w:szCs w:val="24"/>
        </w:rPr>
        <w:t>responses</w:t>
      </w:r>
      <w:r w:rsidR="00E52C84">
        <w:rPr>
          <w:szCs w:val="24"/>
        </w:rPr>
        <w:t>,</w:t>
      </w:r>
      <w:r w:rsidR="00534C9E" w:rsidRPr="00AE00DB">
        <w:rPr>
          <w:szCs w:val="24"/>
        </w:rPr>
        <w:t xml:space="preserve"> </w:t>
      </w:r>
      <w:r w:rsidRPr="00AE00DB">
        <w:rPr>
          <w:szCs w:val="24"/>
        </w:rPr>
        <w:t xml:space="preserve">and </w:t>
      </w:r>
      <w:r w:rsidR="00E52C84">
        <w:rPr>
          <w:szCs w:val="24"/>
        </w:rPr>
        <w:t xml:space="preserve">from </w:t>
      </w:r>
      <w:r w:rsidR="00C944D0">
        <w:rPr>
          <w:szCs w:val="24"/>
        </w:rPr>
        <w:t>66,390 burden hours to 13,638</w:t>
      </w:r>
      <w:r w:rsidRPr="00AE00DB">
        <w:rPr>
          <w:szCs w:val="24"/>
        </w:rPr>
        <w:t xml:space="preserve"> burden hours. </w:t>
      </w:r>
    </w:p>
    <w:p w14:paraId="65117D96" w14:textId="77777777" w:rsidR="00281125" w:rsidRPr="00AE00DB" w:rsidRDefault="00281125" w:rsidP="00C42EBF">
      <w:pPr>
        <w:rPr>
          <w:szCs w:val="24"/>
        </w:rPr>
      </w:pPr>
    </w:p>
    <w:p w14:paraId="0AA54F1B" w14:textId="172338A5" w:rsidR="00083CB2" w:rsidRPr="00281125" w:rsidRDefault="00281125" w:rsidP="00281125">
      <w:pPr>
        <w:pStyle w:val="Heading3"/>
        <w:jc w:val="left"/>
        <w:rPr>
          <w:szCs w:val="24"/>
          <w:u w:val="single"/>
        </w:rPr>
      </w:pPr>
      <w:bookmarkStart w:id="22" w:name="_Toc94322855"/>
      <w:bookmarkStart w:id="23" w:name="_Toc113416528"/>
      <w:bookmarkStart w:id="24" w:name="_Toc137001977"/>
      <w:r w:rsidRPr="00281125">
        <w:rPr>
          <w:b w:val="0"/>
          <w:i/>
          <w:szCs w:val="24"/>
        </w:rPr>
        <w:t>16.</w:t>
      </w:r>
      <w:r w:rsidRPr="00281125">
        <w:rPr>
          <w:b w:val="0"/>
          <w:i/>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22"/>
      <w:bookmarkEnd w:id="23"/>
      <w:bookmarkEnd w:id="24"/>
    </w:p>
    <w:p w14:paraId="1D6D6C00" w14:textId="6725A657" w:rsidR="00933363" w:rsidRDefault="00933363" w:rsidP="007C65C7">
      <w:pPr>
        <w:rPr>
          <w:szCs w:val="24"/>
        </w:rPr>
      </w:pPr>
      <w:r w:rsidRPr="00187713">
        <w:rPr>
          <w:szCs w:val="24"/>
        </w:rPr>
        <w:t xml:space="preserve">Grantees submit quarterly </w:t>
      </w:r>
      <w:r w:rsidR="006C4D98" w:rsidRPr="00187713">
        <w:rPr>
          <w:szCs w:val="24"/>
        </w:rPr>
        <w:t>progress</w:t>
      </w:r>
      <w:r w:rsidRPr="00187713">
        <w:rPr>
          <w:szCs w:val="24"/>
        </w:rPr>
        <w:t xml:space="preserve"> reports </w:t>
      </w:r>
      <w:r w:rsidR="0038009D" w:rsidRPr="00187713">
        <w:rPr>
          <w:szCs w:val="24"/>
        </w:rPr>
        <w:t>through ETA’s on</w:t>
      </w:r>
      <w:r w:rsidRPr="00187713">
        <w:rPr>
          <w:szCs w:val="24"/>
        </w:rPr>
        <w:t xml:space="preserve">line reporting system to ETA within 45 days of the end of each quarter.  </w:t>
      </w:r>
      <w:r w:rsidR="0038009D" w:rsidRPr="00187713">
        <w:rPr>
          <w:szCs w:val="24"/>
        </w:rPr>
        <w:t xml:space="preserve">Annual Performance Reports are submitted through ETA’s online reporting system to ETA within 45 days of the end of the fourth quarter.  </w:t>
      </w:r>
      <w:r w:rsidRPr="00187713">
        <w:rPr>
          <w:szCs w:val="24"/>
        </w:rPr>
        <w:t xml:space="preserve">Quarterly </w:t>
      </w:r>
      <w:r w:rsidR="006C4D98" w:rsidRPr="00187713">
        <w:rPr>
          <w:szCs w:val="24"/>
        </w:rPr>
        <w:t>progress</w:t>
      </w:r>
      <w:r w:rsidRPr="00187713">
        <w:rPr>
          <w:szCs w:val="24"/>
        </w:rPr>
        <w:t xml:space="preserve"> and annual p</w:t>
      </w:r>
      <w:r w:rsidR="006C4D98" w:rsidRPr="00187713">
        <w:rPr>
          <w:szCs w:val="24"/>
        </w:rPr>
        <w:t>erformance</w:t>
      </w:r>
      <w:r w:rsidRPr="00187713">
        <w:rPr>
          <w:szCs w:val="24"/>
        </w:rPr>
        <w:t xml:space="preserve"> report data is analyzed by ETA staff and used to evaluate outcomes and program effectiveness.  </w:t>
      </w:r>
    </w:p>
    <w:p w14:paraId="2A6B3AF6" w14:textId="77777777" w:rsidR="00991ACF" w:rsidRPr="00187713" w:rsidRDefault="00991ACF" w:rsidP="007C65C7">
      <w:pPr>
        <w:rPr>
          <w:szCs w:val="24"/>
        </w:rPr>
      </w:pPr>
    </w:p>
    <w:p w14:paraId="09D4EE48" w14:textId="77777777" w:rsidR="00A4004D" w:rsidRPr="00187713" w:rsidRDefault="00933363" w:rsidP="00933363">
      <w:pPr>
        <w:pStyle w:val="NormalSS"/>
        <w:jc w:val="left"/>
        <w:rPr>
          <w:szCs w:val="24"/>
        </w:rPr>
      </w:pPr>
      <w:r w:rsidRPr="00187713">
        <w:rPr>
          <w:szCs w:val="24"/>
        </w:rPr>
        <w:t xml:space="preserve">Each year, ETA issues a report summarizing program performance based on the Secretary’s goals.  Data contained in the quarterly </w:t>
      </w:r>
      <w:r w:rsidR="006C4D98" w:rsidRPr="00187713">
        <w:rPr>
          <w:szCs w:val="24"/>
        </w:rPr>
        <w:t xml:space="preserve">and annual </w:t>
      </w:r>
      <w:r w:rsidRPr="00187713">
        <w:rPr>
          <w:szCs w:val="24"/>
        </w:rPr>
        <w:t xml:space="preserve">reports may be included in these reports.  The data </w:t>
      </w:r>
      <w:r w:rsidR="00CF1B86" w:rsidRPr="00187713">
        <w:rPr>
          <w:szCs w:val="24"/>
        </w:rPr>
        <w:t xml:space="preserve">is also </w:t>
      </w:r>
      <w:r w:rsidRPr="00187713">
        <w:rPr>
          <w:szCs w:val="24"/>
        </w:rPr>
        <w:t>used to prepare management and budget reports, and other ad hoc reports, which are available on the internet and accessible to the public.</w:t>
      </w:r>
    </w:p>
    <w:p w14:paraId="48C5EF10" w14:textId="73C0922A" w:rsidR="00A4004D" w:rsidRDefault="00A4004D" w:rsidP="00933363">
      <w:pPr>
        <w:pStyle w:val="NormalSS"/>
        <w:jc w:val="left"/>
        <w:rPr>
          <w:szCs w:val="24"/>
        </w:rPr>
      </w:pPr>
    </w:p>
    <w:p w14:paraId="3DB442CE" w14:textId="78D24F93" w:rsidR="00083CB2" w:rsidRPr="00187713" w:rsidRDefault="00281125" w:rsidP="00933363">
      <w:pPr>
        <w:pStyle w:val="NormalSS"/>
        <w:jc w:val="left"/>
        <w:rPr>
          <w:szCs w:val="24"/>
        </w:rPr>
      </w:pPr>
      <w:r w:rsidRPr="00281125">
        <w:rPr>
          <w:i/>
          <w:szCs w:val="24"/>
        </w:rPr>
        <w:t>17.</w:t>
      </w:r>
      <w:r w:rsidRPr="00281125">
        <w:rPr>
          <w:i/>
          <w:szCs w:val="24"/>
        </w:rPr>
        <w:tab/>
        <w:t>If seeking approval not to display the expiration date for OMB approval of the information collection, explain the reasons that display would be inappropriate.</w:t>
      </w:r>
    </w:p>
    <w:p w14:paraId="4F3D9A45" w14:textId="77777777" w:rsidR="00083CB2" w:rsidRPr="00030FA0" w:rsidRDefault="00083CB2" w:rsidP="00083CB2">
      <w:pPr>
        <w:tabs>
          <w:tab w:val="right" w:pos="360"/>
        </w:tabs>
        <w:autoSpaceDE w:val="0"/>
        <w:autoSpaceDN w:val="0"/>
        <w:adjustRightInd w:val="0"/>
        <w:ind w:left="540" w:hanging="540"/>
        <w:rPr>
          <w:i/>
        </w:rPr>
      </w:pPr>
    </w:p>
    <w:p w14:paraId="473635BD" w14:textId="372F208E" w:rsidR="00A4004D" w:rsidRPr="00187713" w:rsidRDefault="00A4004D" w:rsidP="00933363">
      <w:pPr>
        <w:pStyle w:val="BodyText2"/>
        <w:tabs>
          <w:tab w:val="left" w:pos="9360"/>
          <w:tab w:val="left" w:pos="9900"/>
        </w:tabs>
        <w:jc w:val="left"/>
        <w:rPr>
          <w:rFonts w:ascii="Times New Roman" w:hAnsi="Times New Roman"/>
          <w:szCs w:val="24"/>
        </w:rPr>
      </w:pPr>
      <w:r w:rsidRPr="00187713">
        <w:rPr>
          <w:rFonts w:ascii="Times New Roman" w:hAnsi="Times New Roman"/>
          <w:szCs w:val="24"/>
        </w:rPr>
        <w:t>The expirati</w:t>
      </w:r>
      <w:r w:rsidR="00D1618D">
        <w:rPr>
          <w:rFonts w:ascii="Times New Roman" w:hAnsi="Times New Roman"/>
          <w:szCs w:val="24"/>
        </w:rPr>
        <w:t xml:space="preserve">on date for OMB approval </w:t>
      </w:r>
      <w:r w:rsidR="00281125">
        <w:rPr>
          <w:rFonts w:ascii="Times New Roman" w:hAnsi="Times New Roman"/>
          <w:szCs w:val="24"/>
        </w:rPr>
        <w:t>is</w:t>
      </w:r>
      <w:r w:rsidRPr="00187713">
        <w:rPr>
          <w:rFonts w:ascii="Times New Roman" w:hAnsi="Times New Roman"/>
          <w:szCs w:val="24"/>
        </w:rPr>
        <w:t xml:space="preserve"> displayed.  </w:t>
      </w:r>
    </w:p>
    <w:p w14:paraId="05B87166" w14:textId="77777777" w:rsidR="00A4004D" w:rsidRPr="00187713" w:rsidRDefault="00A4004D" w:rsidP="00933363">
      <w:pPr>
        <w:tabs>
          <w:tab w:val="left" w:pos="9360"/>
          <w:tab w:val="left" w:pos="9900"/>
        </w:tabs>
        <w:jc w:val="left"/>
        <w:rPr>
          <w:szCs w:val="24"/>
        </w:rPr>
      </w:pPr>
    </w:p>
    <w:p w14:paraId="0FE31273" w14:textId="1012912B" w:rsidR="00A4004D" w:rsidRPr="00187713" w:rsidRDefault="00281125" w:rsidP="0093336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szCs w:val="24"/>
        </w:rPr>
      </w:pPr>
      <w:r w:rsidRPr="00281125">
        <w:rPr>
          <w:rFonts w:ascii="Times New Roman" w:hAnsi="Times New Roman"/>
          <w:i/>
          <w:szCs w:val="24"/>
        </w:rPr>
        <w:t>18.</w:t>
      </w:r>
      <w:r>
        <w:rPr>
          <w:rFonts w:ascii="Times New Roman" w:hAnsi="Times New Roman"/>
          <w:i/>
          <w:szCs w:val="24"/>
        </w:rPr>
        <w:t xml:space="preserve">  </w:t>
      </w:r>
      <w:r w:rsidRPr="00281125">
        <w:rPr>
          <w:rFonts w:ascii="Times New Roman" w:hAnsi="Times New Roman"/>
          <w:i/>
          <w:szCs w:val="24"/>
        </w:rPr>
        <w:t>Explain each exception to the topics of the certification statement identified in “Certification for Paperwork Reduction Act Submissions.”</w:t>
      </w:r>
    </w:p>
    <w:p w14:paraId="0CDC9765" w14:textId="77777777" w:rsidR="00083CB2" w:rsidRDefault="00083CB2" w:rsidP="00083CB2">
      <w:pPr>
        <w:tabs>
          <w:tab w:val="right" w:pos="360"/>
        </w:tabs>
        <w:ind w:left="540" w:hanging="540"/>
        <w:rPr>
          <w:i/>
        </w:rPr>
      </w:pPr>
      <w:bookmarkStart w:id="25" w:name="_Toc94322860"/>
      <w:bookmarkStart w:id="26" w:name="_Toc113416531"/>
      <w:bookmarkStart w:id="27" w:name="_Toc137001980"/>
    </w:p>
    <w:p w14:paraId="7453A9A4" w14:textId="77777777" w:rsidR="00933363" w:rsidRPr="00187713" w:rsidRDefault="00933363" w:rsidP="00933363">
      <w:pPr>
        <w:jc w:val="left"/>
        <w:rPr>
          <w:szCs w:val="24"/>
        </w:rPr>
      </w:pPr>
      <w:r w:rsidRPr="00187713">
        <w:rPr>
          <w:szCs w:val="24"/>
        </w:rPr>
        <w:t>There are no exceptions to the certification statement.</w:t>
      </w:r>
    </w:p>
    <w:p w14:paraId="489FF363" w14:textId="1E62F174" w:rsidR="00933363" w:rsidRDefault="00933363" w:rsidP="00933363">
      <w:pPr>
        <w:jc w:val="left"/>
        <w:rPr>
          <w:szCs w:val="24"/>
        </w:rPr>
      </w:pPr>
    </w:p>
    <w:p w14:paraId="54D5B486" w14:textId="77777777" w:rsidR="00281125" w:rsidRPr="00187713" w:rsidRDefault="00281125" w:rsidP="00933363">
      <w:pPr>
        <w:jc w:val="left"/>
        <w:rPr>
          <w:szCs w:val="24"/>
        </w:rPr>
      </w:pPr>
    </w:p>
    <w:p w14:paraId="12046AF2" w14:textId="77777777" w:rsidR="00281125" w:rsidRPr="00281125" w:rsidRDefault="00281125" w:rsidP="00281125">
      <w:pPr>
        <w:tabs>
          <w:tab w:val="clear" w:pos="432"/>
          <w:tab w:val="right" w:pos="360"/>
        </w:tabs>
        <w:ind w:left="540" w:hanging="540"/>
        <w:jc w:val="left"/>
        <w:rPr>
          <w:i/>
          <w:szCs w:val="24"/>
        </w:rPr>
      </w:pPr>
      <w:r w:rsidRPr="00281125">
        <w:rPr>
          <w:b/>
          <w:szCs w:val="24"/>
        </w:rPr>
        <w:t xml:space="preserve">B. </w:t>
      </w:r>
      <w:r w:rsidRPr="00281125">
        <w:rPr>
          <w:b/>
          <w:szCs w:val="24"/>
        </w:rPr>
        <w:tab/>
        <w:t>Collections of Information Employing Statistical Methods</w:t>
      </w:r>
    </w:p>
    <w:p w14:paraId="4E877D10" w14:textId="77777777" w:rsidR="00281125" w:rsidRPr="00281125" w:rsidRDefault="00281125" w:rsidP="00281125">
      <w:pPr>
        <w:tabs>
          <w:tab w:val="clear" w:pos="432"/>
        </w:tabs>
        <w:jc w:val="left"/>
        <w:rPr>
          <w:szCs w:val="24"/>
        </w:rPr>
      </w:pPr>
    </w:p>
    <w:p w14:paraId="3B48EBB7" w14:textId="3ED59CAA" w:rsidR="00933363" w:rsidRPr="00187713" w:rsidRDefault="00281125" w:rsidP="00281125">
      <w:pPr>
        <w:jc w:val="left"/>
        <w:rPr>
          <w:szCs w:val="24"/>
        </w:rPr>
      </w:pPr>
      <w:r w:rsidRPr="00281125">
        <w:rPr>
          <w:szCs w:val="24"/>
        </w:rPr>
        <w:t>This information collection does not employ statistical methods.</w:t>
      </w:r>
    </w:p>
    <w:bookmarkEnd w:id="25"/>
    <w:bookmarkEnd w:id="26"/>
    <w:bookmarkEnd w:id="27"/>
    <w:p w14:paraId="4ED458EC" w14:textId="3329910B" w:rsidR="001B1055" w:rsidRPr="00187713" w:rsidRDefault="001B1055" w:rsidP="00281125">
      <w:pPr>
        <w:pStyle w:val="Heading3"/>
        <w:spacing w:after="0"/>
        <w:jc w:val="left"/>
        <w:rPr>
          <w:szCs w:val="24"/>
        </w:rPr>
      </w:pPr>
    </w:p>
    <w:sectPr w:rsidR="001B1055" w:rsidRPr="00187713" w:rsidSect="00FB2627">
      <w:headerReference w:type="default" r:id="rId11"/>
      <w:footerReference w:type="default" r:id="rId12"/>
      <w:endnotePr>
        <w:numFmt w:val="decimal"/>
      </w:endnotePr>
      <w:pgSz w:w="12240" w:h="15840" w:code="1"/>
      <w:pgMar w:top="1440" w:right="1440" w:bottom="576"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37BEA" w14:textId="77777777" w:rsidR="004C40D3" w:rsidRDefault="004C40D3"/>
  </w:endnote>
  <w:endnote w:type="continuationSeparator" w:id="0">
    <w:p w14:paraId="7A1DC20F" w14:textId="77777777" w:rsidR="004C40D3" w:rsidRDefault="004C40D3"/>
  </w:endnote>
  <w:endnote w:type="continuationNotice" w:id="1">
    <w:p w14:paraId="4B7B8396" w14:textId="77777777" w:rsidR="004C40D3" w:rsidRDefault="004C40D3"/>
    <w:p w14:paraId="5C73EB8E" w14:textId="77777777" w:rsidR="004C40D3" w:rsidRDefault="004C40D3"/>
    <w:p w14:paraId="66208D29" w14:textId="77777777" w:rsidR="004C40D3" w:rsidRDefault="004C40D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C:\Users\Milstead.Kristen\Desktop\Extension 2017.docx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5988" w14:textId="4A809C21" w:rsidR="00727147" w:rsidRDefault="00727147">
    <w:pPr>
      <w:pStyle w:val="Footer"/>
      <w:tabs>
        <w:tab w:val="clear" w:pos="432"/>
        <w:tab w:val="clear" w:pos="4320"/>
        <w:tab w:val="clear" w:pos="8640"/>
        <w:tab w:val="center" w:pos="4770"/>
        <w:tab w:val="right" w:pos="9360"/>
      </w:tabs>
      <w:spacing w:before="36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5F7FB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18B1F" w14:textId="77777777" w:rsidR="004C40D3" w:rsidRDefault="004C40D3">
      <w:r>
        <w:separator/>
      </w:r>
    </w:p>
  </w:footnote>
  <w:footnote w:type="continuationSeparator" w:id="0">
    <w:p w14:paraId="02308D1A" w14:textId="77777777" w:rsidR="004C40D3" w:rsidRDefault="004C40D3">
      <w:r>
        <w:separator/>
      </w:r>
    </w:p>
    <w:p w14:paraId="1BA1CBDB" w14:textId="77777777" w:rsidR="004C40D3" w:rsidRDefault="004C40D3">
      <w:pPr>
        <w:rPr>
          <w:i/>
        </w:rPr>
      </w:pPr>
      <w:r>
        <w:rPr>
          <w:i/>
        </w:rPr>
        <w:t>(continued)</w:t>
      </w:r>
    </w:p>
  </w:footnote>
  <w:footnote w:type="continuationNotice" w:id="1">
    <w:p w14:paraId="56AA3107" w14:textId="77777777" w:rsidR="004C40D3" w:rsidRDefault="004C40D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1494" w14:textId="446E840C" w:rsidR="00481EBE" w:rsidRPr="00083CB2" w:rsidRDefault="00083CB2" w:rsidP="00083CB2">
    <w:pPr>
      <w:pStyle w:val="Header"/>
      <w:jc w:val="both"/>
      <w:rPr>
        <w:sz w:val="20"/>
      </w:rPr>
    </w:pPr>
    <w:r w:rsidRPr="00083CB2">
      <w:rPr>
        <w:sz w:val="20"/>
      </w:rPr>
      <w:t>Trade Adjustment Assistance Community College and Career Training Grant Program Reporting Requirements</w:t>
    </w:r>
  </w:p>
  <w:p w14:paraId="052060AA" w14:textId="1846D392" w:rsidR="00481EBE" w:rsidRPr="00D45FEA" w:rsidRDefault="00FB2627" w:rsidP="00481EBE">
    <w:pPr>
      <w:pStyle w:val="Header"/>
      <w:jc w:val="both"/>
      <w:rPr>
        <w:sz w:val="20"/>
      </w:rPr>
    </w:pPr>
    <w:r>
      <w:rPr>
        <w:sz w:val="20"/>
      </w:rPr>
      <w:t>OMB Control No.</w:t>
    </w:r>
    <w:r w:rsidR="00481EBE">
      <w:rPr>
        <w:sz w:val="20"/>
      </w:rPr>
      <w:t xml:space="preserve"> 1205-0489</w:t>
    </w:r>
  </w:p>
  <w:p w14:paraId="68AB4D49" w14:textId="2AB0F6FE" w:rsidR="00481EBE" w:rsidRDefault="00FB2627" w:rsidP="00481EBE">
    <w:pPr>
      <w:pStyle w:val="Header"/>
      <w:jc w:val="both"/>
      <w:rPr>
        <w:sz w:val="20"/>
      </w:rPr>
    </w:pPr>
    <w:r>
      <w:rPr>
        <w:sz w:val="20"/>
      </w:rPr>
      <w:t xml:space="preserve">July </w:t>
    </w:r>
    <w:r w:rsidR="00481EBE">
      <w:rPr>
        <w:sz w:val="20"/>
      </w:rPr>
      <w:t>2018</w:t>
    </w:r>
  </w:p>
  <w:p w14:paraId="608B061E" w14:textId="77777777" w:rsidR="00481EBE" w:rsidRPr="00FB2627" w:rsidRDefault="00481EBE" w:rsidP="00481EBE">
    <w:pPr>
      <w:pStyle w:val="Header"/>
      <w:jc w:val="both"/>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648B84"/>
    <w:lvl w:ilvl="0">
      <w:start w:val="1"/>
      <w:numFmt w:val="decimal"/>
      <w:pStyle w:val="ListNumber"/>
      <w:lvlText w:val="%1."/>
      <w:lvlJc w:val="left"/>
      <w:pPr>
        <w:tabs>
          <w:tab w:val="num" w:pos="360"/>
        </w:tabs>
        <w:ind w:left="360" w:hanging="360"/>
      </w:pPr>
    </w:lvl>
  </w:abstractNum>
  <w:abstractNum w:abstractNumId="1">
    <w:nsid w:val="FFFFFF89"/>
    <w:multiLevelType w:val="singleLevel"/>
    <w:tmpl w:val="9EB2BC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AE4D83"/>
    <w:multiLevelType w:val="hybridMultilevel"/>
    <w:tmpl w:val="D45EB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9E35A58"/>
    <w:multiLevelType w:val="hybridMultilevel"/>
    <w:tmpl w:val="6144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17162"/>
    <w:multiLevelType w:val="hybridMultilevel"/>
    <w:tmpl w:val="1366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9">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44A821CC"/>
    <w:multiLevelType w:val="hybridMultilevel"/>
    <w:tmpl w:val="7CBE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157F5A"/>
    <w:multiLevelType w:val="hybridMultilevel"/>
    <w:tmpl w:val="C3E6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8C67F9"/>
    <w:multiLevelType w:val="hybridMultilevel"/>
    <w:tmpl w:val="2A9E43CA"/>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4">
    <w:nsid w:val="5A152B4D"/>
    <w:multiLevelType w:val="hybridMultilevel"/>
    <w:tmpl w:val="BFBE89A0"/>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5">
    <w:nsid w:val="6BDD5B83"/>
    <w:multiLevelType w:val="hybridMultilevel"/>
    <w:tmpl w:val="575C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F0662B7"/>
    <w:multiLevelType w:val="hybridMultilevel"/>
    <w:tmpl w:val="BE7C23D6"/>
    <w:lvl w:ilvl="0" w:tplc="E2D229F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num>
  <w:num w:numId="6">
    <w:abstractNumId w:val="8"/>
  </w:num>
  <w:num w:numId="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4"/>
  </w:num>
  <w:num w:numId="9">
    <w:abstractNumId w:val="9"/>
  </w:num>
  <w:num w:numId="10">
    <w:abstractNumId w:val="12"/>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0"/>
  </w:num>
  <w:num w:numId="15">
    <w:abstractNumId w:val="7"/>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20"/>
    <w:rsid w:val="000034BA"/>
    <w:rsid w:val="0000528E"/>
    <w:rsid w:val="000139FA"/>
    <w:rsid w:val="00016F76"/>
    <w:rsid w:val="000202C9"/>
    <w:rsid w:val="00020C08"/>
    <w:rsid w:val="00022EC5"/>
    <w:rsid w:val="0004285B"/>
    <w:rsid w:val="000439BB"/>
    <w:rsid w:val="00051414"/>
    <w:rsid w:val="000530FE"/>
    <w:rsid w:val="0005644C"/>
    <w:rsid w:val="00061EB7"/>
    <w:rsid w:val="0006522F"/>
    <w:rsid w:val="000743EA"/>
    <w:rsid w:val="00082BE3"/>
    <w:rsid w:val="00083CA1"/>
    <w:rsid w:val="00083CB2"/>
    <w:rsid w:val="00090578"/>
    <w:rsid w:val="00095379"/>
    <w:rsid w:val="00096A66"/>
    <w:rsid w:val="000A197A"/>
    <w:rsid w:val="000B0B75"/>
    <w:rsid w:val="000B2946"/>
    <w:rsid w:val="000C1A77"/>
    <w:rsid w:val="000C75CC"/>
    <w:rsid w:val="000E0C36"/>
    <w:rsid w:val="000E5444"/>
    <w:rsid w:val="000F0328"/>
    <w:rsid w:val="000F5882"/>
    <w:rsid w:val="000F5F5C"/>
    <w:rsid w:val="000F7655"/>
    <w:rsid w:val="00103535"/>
    <w:rsid w:val="00117AA1"/>
    <w:rsid w:val="00117D10"/>
    <w:rsid w:val="0012677D"/>
    <w:rsid w:val="00131D0E"/>
    <w:rsid w:val="00134BEF"/>
    <w:rsid w:val="00147A49"/>
    <w:rsid w:val="0016038E"/>
    <w:rsid w:val="001604E6"/>
    <w:rsid w:val="001607D7"/>
    <w:rsid w:val="00165FB8"/>
    <w:rsid w:val="001751FD"/>
    <w:rsid w:val="00180193"/>
    <w:rsid w:val="001835C6"/>
    <w:rsid w:val="00187713"/>
    <w:rsid w:val="00190A07"/>
    <w:rsid w:val="00192CE8"/>
    <w:rsid w:val="0019790B"/>
    <w:rsid w:val="001A3A6D"/>
    <w:rsid w:val="001A745A"/>
    <w:rsid w:val="001B0C16"/>
    <w:rsid w:val="001B1055"/>
    <w:rsid w:val="001B7115"/>
    <w:rsid w:val="001B71F0"/>
    <w:rsid w:val="001C079F"/>
    <w:rsid w:val="001D0369"/>
    <w:rsid w:val="001D04E3"/>
    <w:rsid w:val="001D70AC"/>
    <w:rsid w:val="001E0B8A"/>
    <w:rsid w:val="001E24D7"/>
    <w:rsid w:val="001F498E"/>
    <w:rsid w:val="001F4B09"/>
    <w:rsid w:val="001F505A"/>
    <w:rsid w:val="00200FE0"/>
    <w:rsid w:val="00202FF6"/>
    <w:rsid w:val="0020561B"/>
    <w:rsid w:val="00205C8F"/>
    <w:rsid w:val="002072FB"/>
    <w:rsid w:val="00211EA5"/>
    <w:rsid w:val="00213BD1"/>
    <w:rsid w:val="00215D21"/>
    <w:rsid w:val="00215F6D"/>
    <w:rsid w:val="002163FA"/>
    <w:rsid w:val="002221EF"/>
    <w:rsid w:val="002236BD"/>
    <w:rsid w:val="002268FB"/>
    <w:rsid w:val="002363ED"/>
    <w:rsid w:val="00244928"/>
    <w:rsid w:val="00245C73"/>
    <w:rsid w:val="00247A43"/>
    <w:rsid w:val="00253796"/>
    <w:rsid w:val="002575E4"/>
    <w:rsid w:val="0026049A"/>
    <w:rsid w:val="002642D8"/>
    <w:rsid w:val="00275718"/>
    <w:rsid w:val="002759C9"/>
    <w:rsid w:val="00277FEF"/>
    <w:rsid w:val="002802C0"/>
    <w:rsid w:val="00281125"/>
    <w:rsid w:val="00282CF4"/>
    <w:rsid w:val="002837F9"/>
    <w:rsid w:val="00284EAC"/>
    <w:rsid w:val="0029481B"/>
    <w:rsid w:val="002A4CC8"/>
    <w:rsid w:val="002B0F19"/>
    <w:rsid w:val="002B2AE5"/>
    <w:rsid w:val="002B46A0"/>
    <w:rsid w:val="002B4E10"/>
    <w:rsid w:val="002B7CA5"/>
    <w:rsid w:val="002C421F"/>
    <w:rsid w:val="002C620B"/>
    <w:rsid w:val="002D4697"/>
    <w:rsid w:val="002D4F7E"/>
    <w:rsid w:val="002E0374"/>
    <w:rsid w:val="002F2BAC"/>
    <w:rsid w:val="003001BE"/>
    <w:rsid w:val="00312EB8"/>
    <w:rsid w:val="003143F2"/>
    <w:rsid w:val="00315980"/>
    <w:rsid w:val="003249C1"/>
    <w:rsid w:val="0033273D"/>
    <w:rsid w:val="00332E54"/>
    <w:rsid w:val="003348D2"/>
    <w:rsid w:val="00360AB6"/>
    <w:rsid w:val="00360B95"/>
    <w:rsid w:val="00364129"/>
    <w:rsid w:val="003652EC"/>
    <w:rsid w:val="003752A3"/>
    <w:rsid w:val="0038009D"/>
    <w:rsid w:val="00394845"/>
    <w:rsid w:val="003956EF"/>
    <w:rsid w:val="00396598"/>
    <w:rsid w:val="003A3C7A"/>
    <w:rsid w:val="003A7E4C"/>
    <w:rsid w:val="003B2D03"/>
    <w:rsid w:val="003B43F9"/>
    <w:rsid w:val="003C3219"/>
    <w:rsid w:val="003D4ECF"/>
    <w:rsid w:val="003E2A48"/>
    <w:rsid w:val="003E4EF3"/>
    <w:rsid w:val="003F6082"/>
    <w:rsid w:val="00403294"/>
    <w:rsid w:val="00414E59"/>
    <w:rsid w:val="00420D24"/>
    <w:rsid w:val="00425BE4"/>
    <w:rsid w:val="00425D64"/>
    <w:rsid w:val="004475A0"/>
    <w:rsid w:val="004506DD"/>
    <w:rsid w:val="00455E83"/>
    <w:rsid w:val="0045766C"/>
    <w:rsid w:val="00481EBE"/>
    <w:rsid w:val="00483099"/>
    <w:rsid w:val="00483A45"/>
    <w:rsid w:val="004A15F0"/>
    <w:rsid w:val="004A254D"/>
    <w:rsid w:val="004A7517"/>
    <w:rsid w:val="004B1D09"/>
    <w:rsid w:val="004B216F"/>
    <w:rsid w:val="004B34C6"/>
    <w:rsid w:val="004C1747"/>
    <w:rsid w:val="004C3158"/>
    <w:rsid w:val="004C40D3"/>
    <w:rsid w:val="004D0FF9"/>
    <w:rsid w:val="004D6603"/>
    <w:rsid w:val="004E3852"/>
    <w:rsid w:val="004E5880"/>
    <w:rsid w:val="004E6B65"/>
    <w:rsid w:val="004F51D2"/>
    <w:rsid w:val="0050602A"/>
    <w:rsid w:val="00521E1B"/>
    <w:rsid w:val="005262C4"/>
    <w:rsid w:val="005319FD"/>
    <w:rsid w:val="00532A20"/>
    <w:rsid w:val="00534C9E"/>
    <w:rsid w:val="0055113A"/>
    <w:rsid w:val="005600EF"/>
    <w:rsid w:val="0056374D"/>
    <w:rsid w:val="00570D39"/>
    <w:rsid w:val="00571E10"/>
    <w:rsid w:val="00575F5B"/>
    <w:rsid w:val="005803FE"/>
    <w:rsid w:val="005848DF"/>
    <w:rsid w:val="00593129"/>
    <w:rsid w:val="005A3938"/>
    <w:rsid w:val="005A5684"/>
    <w:rsid w:val="005B13E0"/>
    <w:rsid w:val="005B4708"/>
    <w:rsid w:val="005B600A"/>
    <w:rsid w:val="005C3725"/>
    <w:rsid w:val="005C6F0C"/>
    <w:rsid w:val="005D3560"/>
    <w:rsid w:val="005D4612"/>
    <w:rsid w:val="005D6930"/>
    <w:rsid w:val="005D7EF2"/>
    <w:rsid w:val="005F2940"/>
    <w:rsid w:val="005F5DA0"/>
    <w:rsid w:val="005F7FB8"/>
    <w:rsid w:val="006070E9"/>
    <w:rsid w:val="006129AA"/>
    <w:rsid w:val="00612C24"/>
    <w:rsid w:val="00617BCC"/>
    <w:rsid w:val="00620401"/>
    <w:rsid w:val="00630A39"/>
    <w:rsid w:val="006319F4"/>
    <w:rsid w:val="00636FC4"/>
    <w:rsid w:val="0063714A"/>
    <w:rsid w:val="00644F11"/>
    <w:rsid w:val="0065086D"/>
    <w:rsid w:val="00650E7B"/>
    <w:rsid w:val="00653CE0"/>
    <w:rsid w:val="006554F8"/>
    <w:rsid w:val="0065619A"/>
    <w:rsid w:val="0066198E"/>
    <w:rsid w:val="00661B8F"/>
    <w:rsid w:val="00664A6A"/>
    <w:rsid w:val="00667592"/>
    <w:rsid w:val="00674D1A"/>
    <w:rsid w:val="00680050"/>
    <w:rsid w:val="006817C4"/>
    <w:rsid w:val="00683D69"/>
    <w:rsid w:val="006A3AB0"/>
    <w:rsid w:val="006A6123"/>
    <w:rsid w:val="006A7E08"/>
    <w:rsid w:val="006B44F5"/>
    <w:rsid w:val="006C26F2"/>
    <w:rsid w:val="006C28F7"/>
    <w:rsid w:val="006C4D98"/>
    <w:rsid w:val="006D1931"/>
    <w:rsid w:val="006D2FFF"/>
    <w:rsid w:val="006D487C"/>
    <w:rsid w:val="006D6A57"/>
    <w:rsid w:val="006F3D1D"/>
    <w:rsid w:val="00706C5B"/>
    <w:rsid w:val="00710C1E"/>
    <w:rsid w:val="00711D0B"/>
    <w:rsid w:val="00713FD2"/>
    <w:rsid w:val="0071637A"/>
    <w:rsid w:val="00717E2A"/>
    <w:rsid w:val="00723EE6"/>
    <w:rsid w:val="00727147"/>
    <w:rsid w:val="00731C7A"/>
    <w:rsid w:val="0073266D"/>
    <w:rsid w:val="007378BD"/>
    <w:rsid w:val="00747239"/>
    <w:rsid w:val="0075144A"/>
    <w:rsid w:val="0075730E"/>
    <w:rsid w:val="00757CA8"/>
    <w:rsid w:val="007602DB"/>
    <w:rsid w:val="00764221"/>
    <w:rsid w:val="00770F88"/>
    <w:rsid w:val="00771F94"/>
    <w:rsid w:val="0077207C"/>
    <w:rsid w:val="00773E65"/>
    <w:rsid w:val="00774969"/>
    <w:rsid w:val="00793C5A"/>
    <w:rsid w:val="00794520"/>
    <w:rsid w:val="007957DC"/>
    <w:rsid w:val="007A537D"/>
    <w:rsid w:val="007A601C"/>
    <w:rsid w:val="007A7780"/>
    <w:rsid w:val="007B2112"/>
    <w:rsid w:val="007B573F"/>
    <w:rsid w:val="007C2FFA"/>
    <w:rsid w:val="007C5D40"/>
    <w:rsid w:val="007C65C7"/>
    <w:rsid w:val="007D48E8"/>
    <w:rsid w:val="007E56A7"/>
    <w:rsid w:val="007E78BE"/>
    <w:rsid w:val="007E7E2D"/>
    <w:rsid w:val="00801D1A"/>
    <w:rsid w:val="00813659"/>
    <w:rsid w:val="008201E1"/>
    <w:rsid w:val="008202DD"/>
    <w:rsid w:val="00823689"/>
    <w:rsid w:val="00827B4B"/>
    <w:rsid w:val="00836869"/>
    <w:rsid w:val="0085057C"/>
    <w:rsid w:val="00857DAC"/>
    <w:rsid w:val="008617C0"/>
    <w:rsid w:val="00873184"/>
    <w:rsid w:val="0087639A"/>
    <w:rsid w:val="00882FFC"/>
    <w:rsid w:val="008867E4"/>
    <w:rsid w:val="00891B1F"/>
    <w:rsid w:val="00893877"/>
    <w:rsid w:val="008954C9"/>
    <w:rsid w:val="00897C5E"/>
    <w:rsid w:val="008B1C4D"/>
    <w:rsid w:val="008B22AA"/>
    <w:rsid w:val="008C223B"/>
    <w:rsid w:val="008C3753"/>
    <w:rsid w:val="008E0FB3"/>
    <w:rsid w:val="008F13C2"/>
    <w:rsid w:val="008F1CF3"/>
    <w:rsid w:val="00902012"/>
    <w:rsid w:val="00933363"/>
    <w:rsid w:val="00933BC1"/>
    <w:rsid w:val="00934029"/>
    <w:rsid w:val="009360C2"/>
    <w:rsid w:val="009376C7"/>
    <w:rsid w:val="00950620"/>
    <w:rsid w:val="00963980"/>
    <w:rsid w:val="009654CE"/>
    <w:rsid w:val="00973528"/>
    <w:rsid w:val="00980FFB"/>
    <w:rsid w:val="00991ACF"/>
    <w:rsid w:val="00993223"/>
    <w:rsid w:val="009A25C5"/>
    <w:rsid w:val="009B6C16"/>
    <w:rsid w:val="009C10DB"/>
    <w:rsid w:val="009C13C2"/>
    <w:rsid w:val="009C3AB1"/>
    <w:rsid w:val="009C4489"/>
    <w:rsid w:val="009E764E"/>
    <w:rsid w:val="009F0238"/>
    <w:rsid w:val="009F0A0A"/>
    <w:rsid w:val="009F5C53"/>
    <w:rsid w:val="00A07CD6"/>
    <w:rsid w:val="00A117C7"/>
    <w:rsid w:val="00A13F4B"/>
    <w:rsid w:val="00A224E0"/>
    <w:rsid w:val="00A22F3E"/>
    <w:rsid w:val="00A3444B"/>
    <w:rsid w:val="00A35814"/>
    <w:rsid w:val="00A35D4C"/>
    <w:rsid w:val="00A4004D"/>
    <w:rsid w:val="00A437C6"/>
    <w:rsid w:val="00A43973"/>
    <w:rsid w:val="00A5516A"/>
    <w:rsid w:val="00A55B99"/>
    <w:rsid w:val="00A56590"/>
    <w:rsid w:val="00A62C85"/>
    <w:rsid w:val="00A64734"/>
    <w:rsid w:val="00A72D43"/>
    <w:rsid w:val="00A756DC"/>
    <w:rsid w:val="00A8188D"/>
    <w:rsid w:val="00A83C39"/>
    <w:rsid w:val="00A84624"/>
    <w:rsid w:val="00A90B01"/>
    <w:rsid w:val="00A94443"/>
    <w:rsid w:val="00AC1332"/>
    <w:rsid w:val="00AD4FF8"/>
    <w:rsid w:val="00AD6459"/>
    <w:rsid w:val="00AE00DB"/>
    <w:rsid w:val="00AE4A7F"/>
    <w:rsid w:val="00AE7F74"/>
    <w:rsid w:val="00AF2369"/>
    <w:rsid w:val="00AF796A"/>
    <w:rsid w:val="00B0591B"/>
    <w:rsid w:val="00B1103F"/>
    <w:rsid w:val="00B1153F"/>
    <w:rsid w:val="00B1221A"/>
    <w:rsid w:val="00B154C5"/>
    <w:rsid w:val="00B2214A"/>
    <w:rsid w:val="00B22BA5"/>
    <w:rsid w:val="00B27F2C"/>
    <w:rsid w:val="00B336DB"/>
    <w:rsid w:val="00B339F0"/>
    <w:rsid w:val="00B34B76"/>
    <w:rsid w:val="00B36CC3"/>
    <w:rsid w:val="00B40CC7"/>
    <w:rsid w:val="00B41E5C"/>
    <w:rsid w:val="00B42515"/>
    <w:rsid w:val="00B43322"/>
    <w:rsid w:val="00B46D99"/>
    <w:rsid w:val="00B62271"/>
    <w:rsid w:val="00B636C7"/>
    <w:rsid w:val="00B655BB"/>
    <w:rsid w:val="00B8516B"/>
    <w:rsid w:val="00B93D16"/>
    <w:rsid w:val="00B95845"/>
    <w:rsid w:val="00B97E72"/>
    <w:rsid w:val="00BA2642"/>
    <w:rsid w:val="00BA3DE6"/>
    <w:rsid w:val="00BA65E7"/>
    <w:rsid w:val="00BA7862"/>
    <w:rsid w:val="00BB53B9"/>
    <w:rsid w:val="00BC28DE"/>
    <w:rsid w:val="00BD024D"/>
    <w:rsid w:val="00BD1994"/>
    <w:rsid w:val="00BD6D02"/>
    <w:rsid w:val="00BE2D26"/>
    <w:rsid w:val="00BF44D8"/>
    <w:rsid w:val="00C02CFB"/>
    <w:rsid w:val="00C22DB9"/>
    <w:rsid w:val="00C232C0"/>
    <w:rsid w:val="00C34615"/>
    <w:rsid w:val="00C42EBF"/>
    <w:rsid w:val="00C444AD"/>
    <w:rsid w:val="00C44B9C"/>
    <w:rsid w:val="00C54914"/>
    <w:rsid w:val="00C60FEF"/>
    <w:rsid w:val="00C62552"/>
    <w:rsid w:val="00C63163"/>
    <w:rsid w:val="00C719B5"/>
    <w:rsid w:val="00C71F2C"/>
    <w:rsid w:val="00C74554"/>
    <w:rsid w:val="00C76AF1"/>
    <w:rsid w:val="00C77D83"/>
    <w:rsid w:val="00C8275D"/>
    <w:rsid w:val="00C87BC1"/>
    <w:rsid w:val="00C944D0"/>
    <w:rsid w:val="00C96ACF"/>
    <w:rsid w:val="00CA08D6"/>
    <w:rsid w:val="00CA0E80"/>
    <w:rsid w:val="00CA31AE"/>
    <w:rsid w:val="00CA4390"/>
    <w:rsid w:val="00CB024C"/>
    <w:rsid w:val="00CB3F27"/>
    <w:rsid w:val="00CB5FF7"/>
    <w:rsid w:val="00CC7266"/>
    <w:rsid w:val="00CD249C"/>
    <w:rsid w:val="00CD2976"/>
    <w:rsid w:val="00CE2F60"/>
    <w:rsid w:val="00CE3624"/>
    <w:rsid w:val="00CE44DB"/>
    <w:rsid w:val="00CE7D65"/>
    <w:rsid w:val="00CF010F"/>
    <w:rsid w:val="00CF0CB8"/>
    <w:rsid w:val="00CF1387"/>
    <w:rsid w:val="00CF1B86"/>
    <w:rsid w:val="00D0348B"/>
    <w:rsid w:val="00D07E89"/>
    <w:rsid w:val="00D13414"/>
    <w:rsid w:val="00D14A62"/>
    <w:rsid w:val="00D1618D"/>
    <w:rsid w:val="00D32EB1"/>
    <w:rsid w:val="00D34598"/>
    <w:rsid w:val="00D3730D"/>
    <w:rsid w:val="00D4115A"/>
    <w:rsid w:val="00D41D3E"/>
    <w:rsid w:val="00D420FC"/>
    <w:rsid w:val="00D44B44"/>
    <w:rsid w:val="00D62E67"/>
    <w:rsid w:val="00D648FB"/>
    <w:rsid w:val="00D64961"/>
    <w:rsid w:val="00D74DBF"/>
    <w:rsid w:val="00D8339F"/>
    <w:rsid w:val="00D84FEB"/>
    <w:rsid w:val="00D91D67"/>
    <w:rsid w:val="00D93253"/>
    <w:rsid w:val="00D97349"/>
    <w:rsid w:val="00DA3680"/>
    <w:rsid w:val="00DB682C"/>
    <w:rsid w:val="00DC031C"/>
    <w:rsid w:val="00DC1F7F"/>
    <w:rsid w:val="00DC604E"/>
    <w:rsid w:val="00DC71B3"/>
    <w:rsid w:val="00DC7B4E"/>
    <w:rsid w:val="00DD1729"/>
    <w:rsid w:val="00DE4661"/>
    <w:rsid w:val="00DF1592"/>
    <w:rsid w:val="00E019B2"/>
    <w:rsid w:val="00E05E30"/>
    <w:rsid w:val="00E0683E"/>
    <w:rsid w:val="00E14550"/>
    <w:rsid w:val="00E15063"/>
    <w:rsid w:val="00E20615"/>
    <w:rsid w:val="00E273A8"/>
    <w:rsid w:val="00E27B19"/>
    <w:rsid w:val="00E51132"/>
    <w:rsid w:val="00E52C84"/>
    <w:rsid w:val="00E57077"/>
    <w:rsid w:val="00E642F4"/>
    <w:rsid w:val="00E72018"/>
    <w:rsid w:val="00E74B70"/>
    <w:rsid w:val="00E74DD8"/>
    <w:rsid w:val="00E804DA"/>
    <w:rsid w:val="00E815D1"/>
    <w:rsid w:val="00E826D9"/>
    <w:rsid w:val="00E942EA"/>
    <w:rsid w:val="00EA23B0"/>
    <w:rsid w:val="00EA7D2B"/>
    <w:rsid w:val="00EB021C"/>
    <w:rsid w:val="00EB2B5A"/>
    <w:rsid w:val="00EB38B9"/>
    <w:rsid w:val="00EB4279"/>
    <w:rsid w:val="00ED0EE1"/>
    <w:rsid w:val="00ED2FB2"/>
    <w:rsid w:val="00ED4F03"/>
    <w:rsid w:val="00ED5D17"/>
    <w:rsid w:val="00EE3BA5"/>
    <w:rsid w:val="00EF28A6"/>
    <w:rsid w:val="00F136A5"/>
    <w:rsid w:val="00F148FB"/>
    <w:rsid w:val="00F2719B"/>
    <w:rsid w:val="00F32781"/>
    <w:rsid w:val="00F36073"/>
    <w:rsid w:val="00F374C1"/>
    <w:rsid w:val="00F45B30"/>
    <w:rsid w:val="00F4689A"/>
    <w:rsid w:val="00F4707D"/>
    <w:rsid w:val="00F50A4D"/>
    <w:rsid w:val="00F52DB9"/>
    <w:rsid w:val="00F57539"/>
    <w:rsid w:val="00F6162D"/>
    <w:rsid w:val="00F61E2A"/>
    <w:rsid w:val="00F6544F"/>
    <w:rsid w:val="00F658D3"/>
    <w:rsid w:val="00F66D7A"/>
    <w:rsid w:val="00F72AFF"/>
    <w:rsid w:val="00F7406F"/>
    <w:rsid w:val="00F7726B"/>
    <w:rsid w:val="00F77A49"/>
    <w:rsid w:val="00F801E8"/>
    <w:rsid w:val="00F821DF"/>
    <w:rsid w:val="00F83BD6"/>
    <w:rsid w:val="00F8543B"/>
    <w:rsid w:val="00F95269"/>
    <w:rsid w:val="00F952AC"/>
    <w:rsid w:val="00FA197C"/>
    <w:rsid w:val="00FA310C"/>
    <w:rsid w:val="00FA6B6A"/>
    <w:rsid w:val="00FA7EE9"/>
    <w:rsid w:val="00FB15D3"/>
    <w:rsid w:val="00FB2627"/>
    <w:rsid w:val="00FC0EF5"/>
    <w:rsid w:val="00FC2527"/>
    <w:rsid w:val="00FD7038"/>
    <w:rsid w:val="00FD7B0D"/>
    <w:rsid w:val="00FF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FA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A5"/>
    <w:pPr>
      <w:tabs>
        <w:tab w:val="left" w:pos="432"/>
      </w:tabs>
      <w:jc w:val="both"/>
    </w:pPr>
    <w:rPr>
      <w:sz w:val="24"/>
    </w:rPr>
  </w:style>
  <w:style w:type="paragraph" w:styleId="Heading1">
    <w:name w:val="heading 1"/>
    <w:basedOn w:val="Normal"/>
    <w:next w:val="Normal"/>
    <w:qFormat/>
    <w:rsid w:val="00EE3BA5"/>
    <w:pPr>
      <w:spacing w:after="840"/>
      <w:jc w:val="center"/>
      <w:outlineLvl w:val="0"/>
    </w:pPr>
    <w:rPr>
      <w:b/>
      <w:caps/>
    </w:rPr>
  </w:style>
  <w:style w:type="paragraph" w:styleId="Heading2">
    <w:name w:val="heading 2"/>
    <w:basedOn w:val="Normal"/>
    <w:next w:val="Normal"/>
    <w:qFormat/>
    <w:rsid w:val="00EE3BA5"/>
    <w:pPr>
      <w:keepNext/>
      <w:spacing w:after="240"/>
      <w:ind w:left="432" w:hanging="432"/>
      <w:outlineLvl w:val="1"/>
    </w:pPr>
    <w:rPr>
      <w:b/>
      <w:caps/>
    </w:rPr>
  </w:style>
  <w:style w:type="paragraph" w:styleId="Heading3">
    <w:name w:val="heading 3"/>
    <w:basedOn w:val="Normal"/>
    <w:next w:val="Normal"/>
    <w:qFormat/>
    <w:rsid w:val="00EE3BA5"/>
    <w:pPr>
      <w:keepNext/>
      <w:spacing w:after="240"/>
      <w:ind w:left="432" w:hanging="432"/>
      <w:outlineLvl w:val="2"/>
    </w:pPr>
    <w:rPr>
      <w:b/>
    </w:rPr>
  </w:style>
  <w:style w:type="paragraph" w:styleId="Heading4">
    <w:name w:val="heading 4"/>
    <w:aliases w:val="Heading 4 (business proposal only)"/>
    <w:basedOn w:val="Normal"/>
    <w:next w:val="Normal"/>
    <w:qFormat/>
    <w:rsid w:val="00EE3BA5"/>
    <w:pPr>
      <w:spacing w:after="240"/>
      <w:ind w:left="432" w:hanging="432"/>
      <w:outlineLvl w:val="3"/>
    </w:pPr>
    <w:rPr>
      <w:b/>
    </w:rPr>
  </w:style>
  <w:style w:type="paragraph" w:styleId="Heading5">
    <w:name w:val="heading 5"/>
    <w:aliases w:val="Heading 5 (business proposal only)"/>
    <w:basedOn w:val="Normal"/>
    <w:next w:val="Normal"/>
    <w:qFormat/>
    <w:rsid w:val="00EE3BA5"/>
    <w:pPr>
      <w:spacing w:after="240"/>
      <w:ind w:left="432" w:hanging="432"/>
      <w:outlineLvl w:val="4"/>
    </w:pPr>
    <w:rPr>
      <w:b/>
    </w:rPr>
  </w:style>
  <w:style w:type="paragraph" w:styleId="Heading6">
    <w:name w:val="heading 6"/>
    <w:aliases w:val="Heading 6 (business proposal only)"/>
    <w:basedOn w:val="Normal"/>
    <w:next w:val="Normal"/>
    <w:qFormat/>
    <w:rsid w:val="00EE3BA5"/>
    <w:pPr>
      <w:outlineLvl w:val="5"/>
    </w:pPr>
  </w:style>
  <w:style w:type="paragraph" w:styleId="Heading7">
    <w:name w:val="heading 7"/>
    <w:aliases w:val="Heading 7 (business proposal only)"/>
    <w:basedOn w:val="Normal"/>
    <w:next w:val="Normal"/>
    <w:qFormat/>
    <w:rsid w:val="00EE3BA5"/>
    <w:pPr>
      <w:outlineLvl w:val="6"/>
    </w:pPr>
  </w:style>
  <w:style w:type="paragraph" w:styleId="Heading8">
    <w:name w:val="heading 8"/>
    <w:aliases w:val="Heading 8 (business proposal only)"/>
    <w:basedOn w:val="Normal"/>
    <w:next w:val="Normal"/>
    <w:qFormat/>
    <w:rsid w:val="00EE3BA5"/>
    <w:pPr>
      <w:outlineLvl w:val="7"/>
    </w:pPr>
  </w:style>
  <w:style w:type="paragraph" w:styleId="Heading9">
    <w:name w:val="heading 9"/>
    <w:aliases w:val="Heading 9 (business proposal only)"/>
    <w:basedOn w:val="Normal"/>
    <w:next w:val="Normal"/>
    <w:qFormat/>
    <w:rsid w:val="00EE3B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EE3BA5"/>
    <w:pPr>
      <w:tabs>
        <w:tab w:val="center" w:pos="432"/>
        <w:tab w:val="left" w:pos="1008"/>
        <w:tab w:val="right" w:leader="dot" w:pos="9360"/>
      </w:tabs>
      <w:jc w:val="both"/>
    </w:pPr>
    <w:rPr>
      <w:caps/>
      <w:sz w:val="24"/>
    </w:rPr>
  </w:style>
  <w:style w:type="paragraph" w:customStyle="1" w:styleId="NormalSS">
    <w:name w:val="NormalSS"/>
    <w:basedOn w:val="Normal"/>
    <w:rsid w:val="00EE3BA5"/>
  </w:style>
  <w:style w:type="paragraph" w:styleId="Footer">
    <w:name w:val="footer"/>
    <w:basedOn w:val="Normal"/>
    <w:link w:val="FooterChar"/>
    <w:uiPriority w:val="99"/>
    <w:rsid w:val="00EE3BA5"/>
    <w:pPr>
      <w:tabs>
        <w:tab w:val="center" w:pos="4320"/>
        <w:tab w:val="right" w:pos="8640"/>
      </w:tabs>
    </w:pPr>
  </w:style>
  <w:style w:type="character" w:styleId="PageNumber">
    <w:name w:val="page number"/>
    <w:basedOn w:val="DefaultParagraphFont"/>
    <w:rsid w:val="00EE3BA5"/>
  </w:style>
  <w:style w:type="paragraph" w:customStyle="1" w:styleId="Bullet">
    <w:name w:val="Bullet"/>
    <w:rsid w:val="00EE3BA5"/>
    <w:pPr>
      <w:tabs>
        <w:tab w:val="num" w:pos="360"/>
      </w:tabs>
      <w:spacing w:after="180"/>
      <w:ind w:left="720" w:right="360" w:hanging="288"/>
      <w:jc w:val="both"/>
    </w:pPr>
    <w:rPr>
      <w:sz w:val="24"/>
    </w:rPr>
  </w:style>
  <w:style w:type="paragraph" w:customStyle="1" w:styleId="BulletLAST">
    <w:name w:val="Bullet (LAST)"/>
    <w:next w:val="Normal"/>
    <w:rsid w:val="00EE3BA5"/>
    <w:pPr>
      <w:tabs>
        <w:tab w:val="num" w:pos="360"/>
      </w:tabs>
      <w:spacing w:after="480"/>
      <w:ind w:left="720" w:right="360" w:hanging="288"/>
      <w:jc w:val="both"/>
    </w:pPr>
    <w:rPr>
      <w:sz w:val="24"/>
    </w:rPr>
  </w:style>
  <w:style w:type="paragraph" w:customStyle="1" w:styleId="ParagraphLAST">
    <w:name w:val="Paragraph (LAST)"/>
    <w:basedOn w:val="Normal"/>
    <w:next w:val="Normal"/>
    <w:rsid w:val="00EE3BA5"/>
    <w:pPr>
      <w:spacing w:after="240"/>
    </w:pPr>
  </w:style>
  <w:style w:type="paragraph" w:styleId="TOC2">
    <w:name w:val="toc 2"/>
    <w:next w:val="Normal"/>
    <w:autoRedefine/>
    <w:semiHidden/>
    <w:rsid w:val="00EE3BA5"/>
    <w:pPr>
      <w:tabs>
        <w:tab w:val="left" w:pos="1008"/>
        <w:tab w:val="left" w:pos="1440"/>
        <w:tab w:val="left" w:pos="1915"/>
        <w:tab w:val="right" w:leader="dot" w:pos="9360"/>
      </w:tabs>
      <w:ind w:left="1008" w:right="475" w:hanging="576"/>
    </w:pPr>
    <w:rPr>
      <w:caps/>
      <w:noProof/>
      <w:sz w:val="24"/>
      <w:szCs w:val="24"/>
    </w:rPr>
  </w:style>
  <w:style w:type="paragraph" w:customStyle="1" w:styleId="Center">
    <w:name w:val="Center"/>
    <w:basedOn w:val="Normal"/>
    <w:rsid w:val="00EE3BA5"/>
    <w:pPr>
      <w:jc w:val="center"/>
    </w:pPr>
  </w:style>
  <w:style w:type="paragraph" w:styleId="TOC3">
    <w:name w:val="toc 3"/>
    <w:next w:val="Normal"/>
    <w:autoRedefine/>
    <w:semiHidden/>
    <w:rsid w:val="00EE3BA5"/>
    <w:pPr>
      <w:tabs>
        <w:tab w:val="left" w:pos="1008"/>
        <w:tab w:val="left" w:pos="1440"/>
        <w:tab w:val="left" w:pos="1915"/>
        <w:tab w:val="right" w:leader="dot" w:pos="9360"/>
      </w:tabs>
      <w:ind w:left="1483" w:right="475" w:hanging="475"/>
      <w:jc w:val="both"/>
    </w:pPr>
    <w:rPr>
      <w:noProof/>
      <w:sz w:val="24"/>
      <w:szCs w:val="24"/>
    </w:rPr>
  </w:style>
  <w:style w:type="paragraph" w:styleId="TOC4">
    <w:name w:val="toc 4"/>
    <w:next w:val="Normal"/>
    <w:autoRedefine/>
    <w:semiHidden/>
    <w:rsid w:val="00EE3BA5"/>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uiPriority w:val="99"/>
    <w:rsid w:val="00EE3BA5"/>
    <w:pPr>
      <w:spacing w:after="240"/>
    </w:pPr>
    <w:rPr>
      <w:rFonts w:ascii="Times" w:hAnsi="Times"/>
      <w:sz w:val="20"/>
    </w:rPr>
  </w:style>
  <w:style w:type="paragraph" w:customStyle="1" w:styleId="Dash">
    <w:name w:val="Dash"/>
    <w:rsid w:val="00EE3BA5"/>
    <w:pPr>
      <w:tabs>
        <w:tab w:val="num" w:pos="1080"/>
      </w:tabs>
      <w:spacing w:after="120"/>
      <w:ind w:left="1080" w:right="720" w:hanging="360"/>
      <w:jc w:val="both"/>
    </w:pPr>
    <w:rPr>
      <w:sz w:val="24"/>
    </w:rPr>
  </w:style>
  <w:style w:type="paragraph" w:customStyle="1" w:styleId="DashLAST">
    <w:name w:val="Dash (LAST)"/>
    <w:next w:val="Normal"/>
    <w:rsid w:val="00EE3BA5"/>
    <w:pPr>
      <w:tabs>
        <w:tab w:val="num" w:pos="1080"/>
      </w:tabs>
      <w:spacing w:after="480"/>
      <w:ind w:left="1080" w:right="720" w:hanging="360"/>
      <w:jc w:val="both"/>
    </w:pPr>
    <w:rPr>
      <w:sz w:val="24"/>
    </w:rPr>
  </w:style>
  <w:style w:type="paragraph" w:customStyle="1" w:styleId="NumberedBullet">
    <w:name w:val="Numbered Bullet"/>
    <w:rsid w:val="00EE3BA5"/>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EE3BA5"/>
    <w:pPr>
      <w:tabs>
        <w:tab w:val="clear" w:pos="432"/>
      </w:tabs>
      <w:spacing w:after="240"/>
      <w:ind w:left="720" w:hanging="720"/>
    </w:pPr>
  </w:style>
  <w:style w:type="character" w:styleId="FootnoteReference">
    <w:name w:val="footnote reference"/>
    <w:basedOn w:val="DefaultParagraphFont"/>
    <w:uiPriority w:val="99"/>
    <w:semiHidden/>
    <w:rsid w:val="00EE3BA5"/>
    <w:rPr>
      <w:spacing w:val="0"/>
      <w:position w:val="0"/>
      <w:u w:color="000080"/>
      <w:effect w:val="none"/>
      <w:vertAlign w:val="superscript"/>
    </w:rPr>
  </w:style>
  <w:style w:type="paragraph" w:styleId="EndnoteText">
    <w:name w:val="endnote text"/>
    <w:basedOn w:val="Normal"/>
    <w:semiHidden/>
    <w:rsid w:val="00EE3BA5"/>
    <w:pPr>
      <w:spacing w:after="240"/>
    </w:pPr>
  </w:style>
  <w:style w:type="character" w:styleId="EndnoteReference">
    <w:name w:val="endnote reference"/>
    <w:basedOn w:val="DefaultParagraphFont"/>
    <w:semiHidden/>
    <w:rsid w:val="00EE3BA5"/>
    <w:rPr>
      <w:vertAlign w:val="superscript"/>
    </w:rPr>
  </w:style>
  <w:style w:type="paragraph" w:customStyle="1" w:styleId="MarkforTable">
    <w:name w:val="Mark for Table"/>
    <w:next w:val="Normal"/>
    <w:rsid w:val="00EE3BA5"/>
    <w:pPr>
      <w:spacing w:line="480" w:lineRule="auto"/>
      <w:jc w:val="center"/>
    </w:pPr>
    <w:rPr>
      <w:caps/>
      <w:sz w:val="24"/>
    </w:rPr>
  </w:style>
  <w:style w:type="paragraph" w:customStyle="1" w:styleId="ParagraphSSLAST">
    <w:name w:val="ParagraphSS (LAST)"/>
    <w:basedOn w:val="NormalSS"/>
    <w:next w:val="Normal"/>
    <w:rsid w:val="00EE3BA5"/>
    <w:pPr>
      <w:spacing w:after="480"/>
    </w:pPr>
  </w:style>
  <w:style w:type="paragraph" w:customStyle="1" w:styleId="References">
    <w:name w:val="References"/>
    <w:basedOn w:val="Normal"/>
    <w:next w:val="Normal"/>
    <w:rsid w:val="00EE3BA5"/>
    <w:pPr>
      <w:spacing w:after="240"/>
      <w:ind w:left="432" w:hanging="432"/>
    </w:pPr>
  </w:style>
  <w:style w:type="paragraph" w:customStyle="1" w:styleId="MarkforFigure">
    <w:name w:val="Mark for Figure"/>
    <w:basedOn w:val="Normal"/>
    <w:next w:val="Normal"/>
    <w:rsid w:val="00EE3BA5"/>
    <w:pPr>
      <w:jc w:val="center"/>
    </w:pPr>
    <w:rPr>
      <w:caps/>
    </w:rPr>
  </w:style>
  <w:style w:type="paragraph" w:customStyle="1" w:styleId="MarkforExhibit">
    <w:name w:val="Mark for Exhibit"/>
    <w:basedOn w:val="Normal"/>
    <w:next w:val="Normal"/>
    <w:rsid w:val="00EE3BA5"/>
    <w:pPr>
      <w:jc w:val="center"/>
    </w:pPr>
    <w:rPr>
      <w:caps/>
    </w:rPr>
  </w:style>
  <w:style w:type="paragraph" w:customStyle="1" w:styleId="MarkforAttachment">
    <w:name w:val="Mark for Attachment"/>
    <w:basedOn w:val="Normal"/>
    <w:next w:val="Normal"/>
    <w:rsid w:val="00EE3BA5"/>
    <w:pPr>
      <w:jc w:val="center"/>
    </w:pPr>
    <w:rPr>
      <w:b/>
      <w:caps/>
    </w:rPr>
  </w:style>
  <w:style w:type="paragraph" w:styleId="TableofFigures">
    <w:name w:val="table of figures"/>
    <w:basedOn w:val="Normal"/>
    <w:next w:val="Normal"/>
    <w:semiHidden/>
    <w:rsid w:val="00EE3BA5"/>
    <w:pPr>
      <w:tabs>
        <w:tab w:val="clear" w:pos="432"/>
      </w:tabs>
      <w:ind w:left="480" w:hanging="480"/>
    </w:pPr>
  </w:style>
  <w:style w:type="paragraph" w:styleId="Header">
    <w:name w:val="header"/>
    <w:basedOn w:val="Normal"/>
    <w:link w:val="HeaderChar"/>
    <w:uiPriority w:val="99"/>
    <w:rsid w:val="00EE3BA5"/>
    <w:pPr>
      <w:widowControl w:val="0"/>
      <w:tabs>
        <w:tab w:val="clear" w:pos="432"/>
        <w:tab w:val="center" w:pos="4320"/>
        <w:tab w:val="right" w:pos="8640"/>
      </w:tabs>
      <w:jc w:val="left"/>
    </w:pPr>
    <w:rPr>
      <w:snapToGrid w:val="0"/>
    </w:rPr>
  </w:style>
  <w:style w:type="paragraph" w:customStyle="1" w:styleId="Level1">
    <w:name w:val="Level 1"/>
    <w:basedOn w:val="Normal"/>
    <w:rsid w:val="00EE3BA5"/>
    <w:pPr>
      <w:widowControl w:val="0"/>
      <w:numPr>
        <w:numId w:val="4"/>
      </w:numPr>
      <w:tabs>
        <w:tab w:val="clear" w:pos="432"/>
      </w:tabs>
      <w:autoSpaceDE w:val="0"/>
      <w:autoSpaceDN w:val="0"/>
      <w:adjustRightInd w:val="0"/>
      <w:jc w:val="left"/>
      <w:outlineLvl w:val="0"/>
    </w:pPr>
    <w:rPr>
      <w:szCs w:val="24"/>
    </w:rPr>
  </w:style>
  <w:style w:type="character" w:customStyle="1" w:styleId="MTEquationSection">
    <w:name w:val="MTEquationSection"/>
    <w:basedOn w:val="DefaultParagraphFont"/>
    <w:rsid w:val="00EE3BA5"/>
    <w:rPr>
      <w:vanish w:val="0"/>
      <w:color w:val="FF0000"/>
    </w:rPr>
  </w:style>
  <w:style w:type="paragraph" w:customStyle="1" w:styleId="MarkforAppendix">
    <w:name w:val="Mark for Appendix"/>
    <w:basedOn w:val="Normal"/>
    <w:rsid w:val="00EE3BA5"/>
    <w:pPr>
      <w:jc w:val="center"/>
    </w:pPr>
    <w:rPr>
      <w:b/>
      <w:caps/>
    </w:rPr>
  </w:style>
  <w:style w:type="paragraph" w:customStyle="1" w:styleId="List-1stLevel">
    <w:name w:val="List - 1st Level"/>
    <w:basedOn w:val="Normal"/>
    <w:rsid w:val="00EE3BA5"/>
    <w:pPr>
      <w:numPr>
        <w:numId w:val="5"/>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EE3BA5"/>
    <w:pPr>
      <w:numPr>
        <w:numId w:val="6"/>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EE3BA5"/>
    <w:pPr>
      <w:numPr>
        <w:numId w:val="1"/>
      </w:numPr>
      <w:tabs>
        <w:tab w:val="clear" w:pos="432"/>
      </w:tabs>
      <w:spacing w:line="260" w:lineRule="atLeast"/>
      <w:jc w:val="left"/>
    </w:pPr>
    <w:rPr>
      <w:rFonts w:ascii="Times" w:hAnsi="Times"/>
    </w:rPr>
  </w:style>
  <w:style w:type="paragraph" w:styleId="ListNumber">
    <w:name w:val="List Number"/>
    <w:basedOn w:val="Normal"/>
    <w:rsid w:val="00EE3BA5"/>
    <w:pPr>
      <w:numPr>
        <w:numId w:val="3"/>
      </w:numPr>
      <w:tabs>
        <w:tab w:val="clear" w:pos="432"/>
      </w:tabs>
      <w:spacing w:line="260" w:lineRule="atLeast"/>
      <w:jc w:val="left"/>
    </w:pPr>
    <w:rPr>
      <w:rFonts w:ascii="Times" w:hAnsi="Times"/>
    </w:rPr>
  </w:style>
  <w:style w:type="paragraph" w:customStyle="1" w:styleId="Level2">
    <w:name w:val="Level 2"/>
    <w:basedOn w:val="Normal"/>
    <w:rsid w:val="00EE3BA5"/>
    <w:pPr>
      <w:widowControl w:val="0"/>
      <w:numPr>
        <w:ilvl w:val="1"/>
        <w:numId w:val="7"/>
      </w:numPr>
      <w:tabs>
        <w:tab w:val="clear" w:pos="432"/>
      </w:tabs>
      <w:autoSpaceDE w:val="0"/>
      <w:autoSpaceDN w:val="0"/>
      <w:adjustRightInd w:val="0"/>
      <w:ind w:left="1440" w:hanging="720"/>
      <w:jc w:val="left"/>
      <w:outlineLvl w:val="1"/>
    </w:pPr>
  </w:style>
  <w:style w:type="paragraph" w:styleId="BodyText">
    <w:name w:val="Body Text"/>
    <w:basedOn w:val="Normal"/>
    <w:rsid w:val="00EE3BA5"/>
    <w:pPr>
      <w:widowControl w:val="0"/>
      <w:tabs>
        <w:tab w:val="clear" w:pos="432"/>
      </w:tabs>
      <w:autoSpaceDE w:val="0"/>
      <w:autoSpaceDN w:val="0"/>
      <w:adjustRightInd w:val="0"/>
    </w:pPr>
    <w:rPr>
      <w:sz w:val="22"/>
      <w:szCs w:val="19"/>
    </w:rPr>
  </w:style>
  <w:style w:type="paragraph" w:styleId="BodyText2">
    <w:name w:val="Body Text 2"/>
    <w:basedOn w:val="Normal"/>
    <w:rsid w:val="00EE3BA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EE3BA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EE3BA5"/>
    <w:pPr>
      <w:tabs>
        <w:tab w:val="clear" w:pos="432"/>
      </w:tabs>
      <w:spacing w:before="100" w:after="100"/>
      <w:jc w:val="right"/>
    </w:pPr>
  </w:style>
  <w:style w:type="paragraph" w:styleId="DocumentMap">
    <w:name w:val="Document Map"/>
    <w:basedOn w:val="Normal"/>
    <w:semiHidden/>
    <w:rsid w:val="00EE3BA5"/>
    <w:pPr>
      <w:shd w:val="clear" w:color="auto" w:fill="000080"/>
    </w:pPr>
    <w:rPr>
      <w:rFonts w:ascii="Tahoma" w:hAnsi="Tahoma" w:cs="Tahoma"/>
    </w:rPr>
  </w:style>
  <w:style w:type="character" w:styleId="CommentReference">
    <w:name w:val="annotation reference"/>
    <w:basedOn w:val="DefaultParagraphFont"/>
    <w:semiHidden/>
    <w:rsid w:val="00EE3BA5"/>
    <w:rPr>
      <w:sz w:val="16"/>
      <w:szCs w:val="16"/>
    </w:rPr>
  </w:style>
  <w:style w:type="paragraph" w:styleId="CommentText">
    <w:name w:val="annotation text"/>
    <w:basedOn w:val="Normal"/>
    <w:semiHidden/>
    <w:rsid w:val="00EE3BA5"/>
    <w:rPr>
      <w:sz w:val="20"/>
    </w:rPr>
  </w:style>
  <w:style w:type="character" w:styleId="Hyperlink">
    <w:name w:val="Hyperlink"/>
    <w:basedOn w:val="DefaultParagraphFont"/>
    <w:rsid w:val="00EE3BA5"/>
    <w:rPr>
      <w:color w:val="0000FF"/>
      <w:u w:val="single"/>
    </w:rPr>
  </w:style>
  <w:style w:type="character" w:styleId="FollowedHyperlink">
    <w:name w:val="FollowedHyperlink"/>
    <w:basedOn w:val="DefaultParagraphFont"/>
    <w:rsid w:val="00EE3BA5"/>
    <w:rPr>
      <w:color w:val="800080"/>
      <w:u w:val="single"/>
    </w:rPr>
  </w:style>
  <w:style w:type="paragraph" w:customStyle="1" w:styleId="Default">
    <w:name w:val="Default"/>
    <w:rsid w:val="00EE3BA5"/>
    <w:pPr>
      <w:autoSpaceDE w:val="0"/>
      <w:autoSpaceDN w:val="0"/>
      <w:adjustRightInd w:val="0"/>
    </w:pPr>
    <w:rPr>
      <w:color w:val="000000"/>
      <w:sz w:val="24"/>
      <w:szCs w:val="24"/>
    </w:rPr>
  </w:style>
  <w:style w:type="paragraph" w:styleId="HTMLPreformatted">
    <w:name w:val="HTML Preformatted"/>
    <w:basedOn w:val="Normal"/>
    <w:rsid w:val="00EE3BA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paragraph" w:styleId="BalloonText">
    <w:name w:val="Balloon Text"/>
    <w:basedOn w:val="Normal"/>
    <w:semiHidden/>
    <w:rsid w:val="00EE3BA5"/>
    <w:rPr>
      <w:rFonts w:ascii="Tahoma" w:hAnsi="Tahoma" w:cs="Tahoma"/>
      <w:sz w:val="16"/>
      <w:szCs w:val="16"/>
    </w:rPr>
  </w:style>
  <w:style w:type="paragraph" w:customStyle="1" w:styleId="font5">
    <w:name w:val="font5"/>
    <w:basedOn w:val="Normal"/>
    <w:rsid w:val="00EE3BA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basedOn w:val="DefaultParagraphFont"/>
    <w:semiHidden/>
    <w:rsid w:val="00AE4A7F"/>
    <w:rPr>
      <w:rFonts w:ascii="Arial" w:hAnsi="Arial" w:cs="Arial"/>
      <w:color w:val="000080"/>
      <w:sz w:val="20"/>
      <w:szCs w:val="20"/>
    </w:rPr>
  </w:style>
  <w:style w:type="paragraph" w:styleId="NormalWeb">
    <w:name w:val="Normal (Web)"/>
    <w:basedOn w:val="Normal"/>
    <w:uiPriority w:val="99"/>
    <w:unhideWhenUsed/>
    <w:rsid w:val="00F2719B"/>
    <w:pPr>
      <w:tabs>
        <w:tab w:val="clear" w:pos="432"/>
      </w:tabs>
      <w:spacing w:before="100" w:beforeAutospacing="1" w:after="100" w:afterAutospacing="1"/>
      <w:jc w:val="left"/>
    </w:pPr>
    <w:rPr>
      <w:rFonts w:eastAsia="Calibri"/>
      <w:szCs w:val="24"/>
    </w:rPr>
  </w:style>
  <w:style w:type="character" w:customStyle="1" w:styleId="FooterChar">
    <w:name w:val="Footer Char"/>
    <w:basedOn w:val="DefaultParagraphFont"/>
    <w:link w:val="Footer"/>
    <w:uiPriority w:val="99"/>
    <w:rsid w:val="00DA3680"/>
    <w:rPr>
      <w:sz w:val="24"/>
    </w:rPr>
  </w:style>
  <w:style w:type="character" w:customStyle="1" w:styleId="FootnoteTextChar">
    <w:name w:val="Footnote Text Char"/>
    <w:basedOn w:val="DefaultParagraphFont"/>
    <w:link w:val="FootnoteText"/>
    <w:uiPriority w:val="99"/>
    <w:rsid w:val="00AE7F74"/>
    <w:rPr>
      <w:rFonts w:ascii="Times" w:hAnsi="Times"/>
    </w:rPr>
  </w:style>
  <w:style w:type="paragraph" w:styleId="ListParagraph">
    <w:name w:val="List Paragraph"/>
    <w:basedOn w:val="Normal"/>
    <w:uiPriority w:val="34"/>
    <w:qFormat/>
    <w:rsid w:val="00AE7F74"/>
    <w:pPr>
      <w:tabs>
        <w:tab w:val="clear" w:pos="432"/>
      </w:tabs>
      <w:ind w:left="720"/>
      <w:jc w:val="left"/>
    </w:pPr>
    <w:rPr>
      <w:rFonts w:ascii="Calibri" w:eastAsia="Calibri" w:hAnsi="Calibri"/>
      <w:sz w:val="22"/>
      <w:szCs w:val="22"/>
    </w:rPr>
  </w:style>
  <w:style w:type="paragraph" w:styleId="Revision">
    <w:name w:val="Revision"/>
    <w:hidden/>
    <w:uiPriority w:val="99"/>
    <w:semiHidden/>
    <w:rsid w:val="00C71F2C"/>
    <w:rPr>
      <w:sz w:val="24"/>
    </w:rPr>
  </w:style>
  <w:style w:type="character" w:customStyle="1" w:styleId="HeaderChar">
    <w:name w:val="Header Char"/>
    <w:basedOn w:val="DefaultParagraphFont"/>
    <w:link w:val="Header"/>
    <w:uiPriority w:val="99"/>
    <w:rsid w:val="00481EBE"/>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A5"/>
    <w:pPr>
      <w:tabs>
        <w:tab w:val="left" w:pos="432"/>
      </w:tabs>
      <w:jc w:val="both"/>
    </w:pPr>
    <w:rPr>
      <w:sz w:val="24"/>
    </w:rPr>
  </w:style>
  <w:style w:type="paragraph" w:styleId="Heading1">
    <w:name w:val="heading 1"/>
    <w:basedOn w:val="Normal"/>
    <w:next w:val="Normal"/>
    <w:qFormat/>
    <w:rsid w:val="00EE3BA5"/>
    <w:pPr>
      <w:spacing w:after="840"/>
      <w:jc w:val="center"/>
      <w:outlineLvl w:val="0"/>
    </w:pPr>
    <w:rPr>
      <w:b/>
      <w:caps/>
    </w:rPr>
  </w:style>
  <w:style w:type="paragraph" w:styleId="Heading2">
    <w:name w:val="heading 2"/>
    <w:basedOn w:val="Normal"/>
    <w:next w:val="Normal"/>
    <w:qFormat/>
    <w:rsid w:val="00EE3BA5"/>
    <w:pPr>
      <w:keepNext/>
      <w:spacing w:after="240"/>
      <w:ind w:left="432" w:hanging="432"/>
      <w:outlineLvl w:val="1"/>
    </w:pPr>
    <w:rPr>
      <w:b/>
      <w:caps/>
    </w:rPr>
  </w:style>
  <w:style w:type="paragraph" w:styleId="Heading3">
    <w:name w:val="heading 3"/>
    <w:basedOn w:val="Normal"/>
    <w:next w:val="Normal"/>
    <w:qFormat/>
    <w:rsid w:val="00EE3BA5"/>
    <w:pPr>
      <w:keepNext/>
      <w:spacing w:after="240"/>
      <w:ind w:left="432" w:hanging="432"/>
      <w:outlineLvl w:val="2"/>
    </w:pPr>
    <w:rPr>
      <w:b/>
    </w:rPr>
  </w:style>
  <w:style w:type="paragraph" w:styleId="Heading4">
    <w:name w:val="heading 4"/>
    <w:aliases w:val="Heading 4 (business proposal only)"/>
    <w:basedOn w:val="Normal"/>
    <w:next w:val="Normal"/>
    <w:qFormat/>
    <w:rsid w:val="00EE3BA5"/>
    <w:pPr>
      <w:spacing w:after="240"/>
      <w:ind w:left="432" w:hanging="432"/>
      <w:outlineLvl w:val="3"/>
    </w:pPr>
    <w:rPr>
      <w:b/>
    </w:rPr>
  </w:style>
  <w:style w:type="paragraph" w:styleId="Heading5">
    <w:name w:val="heading 5"/>
    <w:aliases w:val="Heading 5 (business proposal only)"/>
    <w:basedOn w:val="Normal"/>
    <w:next w:val="Normal"/>
    <w:qFormat/>
    <w:rsid w:val="00EE3BA5"/>
    <w:pPr>
      <w:spacing w:after="240"/>
      <w:ind w:left="432" w:hanging="432"/>
      <w:outlineLvl w:val="4"/>
    </w:pPr>
    <w:rPr>
      <w:b/>
    </w:rPr>
  </w:style>
  <w:style w:type="paragraph" w:styleId="Heading6">
    <w:name w:val="heading 6"/>
    <w:aliases w:val="Heading 6 (business proposal only)"/>
    <w:basedOn w:val="Normal"/>
    <w:next w:val="Normal"/>
    <w:qFormat/>
    <w:rsid w:val="00EE3BA5"/>
    <w:pPr>
      <w:outlineLvl w:val="5"/>
    </w:pPr>
  </w:style>
  <w:style w:type="paragraph" w:styleId="Heading7">
    <w:name w:val="heading 7"/>
    <w:aliases w:val="Heading 7 (business proposal only)"/>
    <w:basedOn w:val="Normal"/>
    <w:next w:val="Normal"/>
    <w:qFormat/>
    <w:rsid w:val="00EE3BA5"/>
    <w:pPr>
      <w:outlineLvl w:val="6"/>
    </w:pPr>
  </w:style>
  <w:style w:type="paragraph" w:styleId="Heading8">
    <w:name w:val="heading 8"/>
    <w:aliases w:val="Heading 8 (business proposal only)"/>
    <w:basedOn w:val="Normal"/>
    <w:next w:val="Normal"/>
    <w:qFormat/>
    <w:rsid w:val="00EE3BA5"/>
    <w:pPr>
      <w:outlineLvl w:val="7"/>
    </w:pPr>
  </w:style>
  <w:style w:type="paragraph" w:styleId="Heading9">
    <w:name w:val="heading 9"/>
    <w:aliases w:val="Heading 9 (business proposal only)"/>
    <w:basedOn w:val="Normal"/>
    <w:next w:val="Normal"/>
    <w:qFormat/>
    <w:rsid w:val="00EE3B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EE3BA5"/>
    <w:pPr>
      <w:tabs>
        <w:tab w:val="center" w:pos="432"/>
        <w:tab w:val="left" w:pos="1008"/>
        <w:tab w:val="right" w:leader="dot" w:pos="9360"/>
      </w:tabs>
      <w:jc w:val="both"/>
    </w:pPr>
    <w:rPr>
      <w:caps/>
      <w:sz w:val="24"/>
    </w:rPr>
  </w:style>
  <w:style w:type="paragraph" w:customStyle="1" w:styleId="NormalSS">
    <w:name w:val="NormalSS"/>
    <w:basedOn w:val="Normal"/>
    <w:rsid w:val="00EE3BA5"/>
  </w:style>
  <w:style w:type="paragraph" w:styleId="Footer">
    <w:name w:val="footer"/>
    <w:basedOn w:val="Normal"/>
    <w:link w:val="FooterChar"/>
    <w:uiPriority w:val="99"/>
    <w:rsid w:val="00EE3BA5"/>
    <w:pPr>
      <w:tabs>
        <w:tab w:val="center" w:pos="4320"/>
        <w:tab w:val="right" w:pos="8640"/>
      </w:tabs>
    </w:pPr>
  </w:style>
  <w:style w:type="character" w:styleId="PageNumber">
    <w:name w:val="page number"/>
    <w:basedOn w:val="DefaultParagraphFont"/>
    <w:rsid w:val="00EE3BA5"/>
  </w:style>
  <w:style w:type="paragraph" w:customStyle="1" w:styleId="Bullet">
    <w:name w:val="Bullet"/>
    <w:rsid w:val="00EE3BA5"/>
    <w:pPr>
      <w:tabs>
        <w:tab w:val="num" w:pos="360"/>
      </w:tabs>
      <w:spacing w:after="180"/>
      <w:ind w:left="720" w:right="360" w:hanging="288"/>
      <w:jc w:val="both"/>
    </w:pPr>
    <w:rPr>
      <w:sz w:val="24"/>
    </w:rPr>
  </w:style>
  <w:style w:type="paragraph" w:customStyle="1" w:styleId="BulletLAST">
    <w:name w:val="Bullet (LAST)"/>
    <w:next w:val="Normal"/>
    <w:rsid w:val="00EE3BA5"/>
    <w:pPr>
      <w:tabs>
        <w:tab w:val="num" w:pos="360"/>
      </w:tabs>
      <w:spacing w:after="480"/>
      <w:ind w:left="720" w:right="360" w:hanging="288"/>
      <w:jc w:val="both"/>
    </w:pPr>
    <w:rPr>
      <w:sz w:val="24"/>
    </w:rPr>
  </w:style>
  <w:style w:type="paragraph" w:customStyle="1" w:styleId="ParagraphLAST">
    <w:name w:val="Paragraph (LAST)"/>
    <w:basedOn w:val="Normal"/>
    <w:next w:val="Normal"/>
    <w:rsid w:val="00EE3BA5"/>
    <w:pPr>
      <w:spacing w:after="240"/>
    </w:pPr>
  </w:style>
  <w:style w:type="paragraph" w:styleId="TOC2">
    <w:name w:val="toc 2"/>
    <w:next w:val="Normal"/>
    <w:autoRedefine/>
    <w:semiHidden/>
    <w:rsid w:val="00EE3BA5"/>
    <w:pPr>
      <w:tabs>
        <w:tab w:val="left" w:pos="1008"/>
        <w:tab w:val="left" w:pos="1440"/>
        <w:tab w:val="left" w:pos="1915"/>
        <w:tab w:val="right" w:leader="dot" w:pos="9360"/>
      </w:tabs>
      <w:ind w:left="1008" w:right="475" w:hanging="576"/>
    </w:pPr>
    <w:rPr>
      <w:caps/>
      <w:noProof/>
      <w:sz w:val="24"/>
      <w:szCs w:val="24"/>
    </w:rPr>
  </w:style>
  <w:style w:type="paragraph" w:customStyle="1" w:styleId="Center">
    <w:name w:val="Center"/>
    <w:basedOn w:val="Normal"/>
    <w:rsid w:val="00EE3BA5"/>
    <w:pPr>
      <w:jc w:val="center"/>
    </w:pPr>
  </w:style>
  <w:style w:type="paragraph" w:styleId="TOC3">
    <w:name w:val="toc 3"/>
    <w:next w:val="Normal"/>
    <w:autoRedefine/>
    <w:semiHidden/>
    <w:rsid w:val="00EE3BA5"/>
    <w:pPr>
      <w:tabs>
        <w:tab w:val="left" w:pos="1008"/>
        <w:tab w:val="left" w:pos="1440"/>
        <w:tab w:val="left" w:pos="1915"/>
        <w:tab w:val="right" w:leader="dot" w:pos="9360"/>
      </w:tabs>
      <w:ind w:left="1483" w:right="475" w:hanging="475"/>
      <w:jc w:val="both"/>
    </w:pPr>
    <w:rPr>
      <w:noProof/>
      <w:sz w:val="24"/>
      <w:szCs w:val="24"/>
    </w:rPr>
  </w:style>
  <w:style w:type="paragraph" w:styleId="TOC4">
    <w:name w:val="toc 4"/>
    <w:next w:val="Normal"/>
    <w:autoRedefine/>
    <w:semiHidden/>
    <w:rsid w:val="00EE3BA5"/>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uiPriority w:val="99"/>
    <w:rsid w:val="00EE3BA5"/>
    <w:pPr>
      <w:spacing w:after="240"/>
    </w:pPr>
    <w:rPr>
      <w:rFonts w:ascii="Times" w:hAnsi="Times"/>
      <w:sz w:val="20"/>
    </w:rPr>
  </w:style>
  <w:style w:type="paragraph" w:customStyle="1" w:styleId="Dash">
    <w:name w:val="Dash"/>
    <w:rsid w:val="00EE3BA5"/>
    <w:pPr>
      <w:tabs>
        <w:tab w:val="num" w:pos="1080"/>
      </w:tabs>
      <w:spacing w:after="120"/>
      <w:ind w:left="1080" w:right="720" w:hanging="360"/>
      <w:jc w:val="both"/>
    </w:pPr>
    <w:rPr>
      <w:sz w:val="24"/>
    </w:rPr>
  </w:style>
  <w:style w:type="paragraph" w:customStyle="1" w:styleId="DashLAST">
    <w:name w:val="Dash (LAST)"/>
    <w:next w:val="Normal"/>
    <w:rsid w:val="00EE3BA5"/>
    <w:pPr>
      <w:tabs>
        <w:tab w:val="num" w:pos="1080"/>
      </w:tabs>
      <w:spacing w:after="480"/>
      <w:ind w:left="1080" w:right="720" w:hanging="360"/>
      <w:jc w:val="both"/>
    </w:pPr>
    <w:rPr>
      <w:sz w:val="24"/>
    </w:rPr>
  </w:style>
  <w:style w:type="paragraph" w:customStyle="1" w:styleId="NumberedBullet">
    <w:name w:val="Numbered Bullet"/>
    <w:rsid w:val="00EE3BA5"/>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EE3BA5"/>
    <w:pPr>
      <w:tabs>
        <w:tab w:val="clear" w:pos="432"/>
      </w:tabs>
      <w:spacing w:after="240"/>
      <w:ind w:left="720" w:hanging="720"/>
    </w:pPr>
  </w:style>
  <w:style w:type="character" w:styleId="FootnoteReference">
    <w:name w:val="footnote reference"/>
    <w:basedOn w:val="DefaultParagraphFont"/>
    <w:uiPriority w:val="99"/>
    <w:semiHidden/>
    <w:rsid w:val="00EE3BA5"/>
    <w:rPr>
      <w:spacing w:val="0"/>
      <w:position w:val="0"/>
      <w:u w:color="000080"/>
      <w:effect w:val="none"/>
      <w:vertAlign w:val="superscript"/>
    </w:rPr>
  </w:style>
  <w:style w:type="paragraph" w:styleId="EndnoteText">
    <w:name w:val="endnote text"/>
    <w:basedOn w:val="Normal"/>
    <w:semiHidden/>
    <w:rsid w:val="00EE3BA5"/>
    <w:pPr>
      <w:spacing w:after="240"/>
    </w:pPr>
  </w:style>
  <w:style w:type="character" w:styleId="EndnoteReference">
    <w:name w:val="endnote reference"/>
    <w:basedOn w:val="DefaultParagraphFont"/>
    <w:semiHidden/>
    <w:rsid w:val="00EE3BA5"/>
    <w:rPr>
      <w:vertAlign w:val="superscript"/>
    </w:rPr>
  </w:style>
  <w:style w:type="paragraph" w:customStyle="1" w:styleId="MarkforTable">
    <w:name w:val="Mark for Table"/>
    <w:next w:val="Normal"/>
    <w:rsid w:val="00EE3BA5"/>
    <w:pPr>
      <w:spacing w:line="480" w:lineRule="auto"/>
      <w:jc w:val="center"/>
    </w:pPr>
    <w:rPr>
      <w:caps/>
      <w:sz w:val="24"/>
    </w:rPr>
  </w:style>
  <w:style w:type="paragraph" w:customStyle="1" w:styleId="ParagraphSSLAST">
    <w:name w:val="ParagraphSS (LAST)"/>
    <w:basedOn w:val="NormalSS"/>
    <w:next w:val="Normal"/>
    <w:rsid w:val="00EE3BA5"/>
    <w:pPr>
      <w:spacing w:after="480"/>
    </w:pPr>
  </w:style>
  <w:style w:type="paragraph" w:customStyle="1" w:styleId="References">
    <w:name w:val="References"/>
    <w:basedOn w:val="Normal"/>
    <w:next w:val="Normal"/>
    <w:rsid w:val="00EE3BA5"/>
    <w:pPr>
      <w:spacing w:after="240"/>
      <w:ind w:left="432" w:hanging="432"/>
    </w:pPr>
  </w:style>
  <w:style w:type="paragraph" w:customStyle="1" w:styleId="MarkforFigure">
    <w:name w:val="Mark for Figure"/>
    <w:basedOn w:val="Normal"/>
    <w:next w:val="Normal"/>
    <w:rsid w:val="00EE3BA5"/>
    <w:pPr>
      <w:jc w:val="center"/>
    </w:pPr>
    <w:rPr>
      <w:caps/>
    </w:rPr>
  </w:style>
  <w:style w:type="paragraph" w:customStyle="1" w:styleId="MarkforExhibit">
    <w:name w:val="Mark for Exhibit"/>
    <w:basedOn w:val="Normal"/>
    <w:next w:val="Normal"/>
    <w:rsid w:val="00EE3BA5"/>
    <w:pPr>
      <w:jc w:val="center"/>
    </w:pPr>
    <w:rPr>
      <w:caps/>
    </w:rPr>
  </w:style>
  <w:style w:type="paragraph" w:customStyle="1" w:styleId="MarkforAttachment">
    <w:name w:val="Mark for Attachment"/>
    <w:basedOn w:val="Normal"/>
    <w:next w:val="Normal"/>
    <w:rsid w:val="00EE3BA5"/>
    <w:pPr>
      <w:jc w:val="center"/>
    </w:pPr>
    <w:rPr>
      <w:b/>
      <w:caps/>
    </w:rPr>
  </w:style>
  <w:style w:type="paragraph" w:styleId="TableofFigures">
    <w:name w:val="table of figures"/>
    <w:basedOn w:val="Normal"/>
    <w:next w:val="Normal"/>
    <w:semiHidden/>
    <w:rsid w:val="00EE3BA5"/>
    <w:pPr>
      <w:tabs>
        <w:tab w:val="clear" w:pos="432"/>
      </w:tabs>
      <w:ind w:left="480" w:hanging="480"/>
    </w:pPr>
  </w:style>
  <w:style w:type="paragraph" w:styleId="Header">
    <w:name w:val="header"/>
    <w:basedOn w:val="Normal"/>
    <w:link w:val="HeaderChar"/>
    <w:uiPriority w:val="99"/>
    <w:rsid w:val="00EE3BA5"/>
    <w:pPr>
      <w:widowControl w:val="0"/>
      <w:tabs>
        <w:tab w:val="clear" w:pos="432"/>
        <w:tab w:val="center" w:pos="4320"/>
        <w:tab w:val="right" w:pos="8640"/>
      </w:tabs>
      <w:jc w:val="left"/>
    </w:pPr>
    <w:rPr>
      <w:snapToGrid w:val="0"/>
    </w:rPr>
  </w:style>
  <w:style w:type="paragraph" w:customStyle="1" w:styleId="Level1">
    <w:name w:val="Level 1"/>
    <w:basedOn w:val="Normal"/>
    <w:rsid w:val="00EE3BA5"/>
    <w:pPr>
      <w:widowControl w:val="0"/>
      <w:numPr>
        <w:numId w:val="4"/>
      </w:numPr>
      <w:tabs>
        <w:tab w:val="clear" w:pos="432"/>
      </w:tabs>
      <w:autoSpaceDE w:val="0"/>
      <w:autoSpaceDN w:val="0"/>
      <w:adjustRightInd w:val="0"/>
      <w:jc w:val="left"/>
      <w:outlineLvl w:val="0"/>
    </w:pPr>
    <w:rPr>
      <w:szCs w:val="24"/>
    </w:rPr>
  </w:style>
  <w:style w:type="character" w:customStyle="1" w:styleId="MTEquationSection">
    <w:name w:val="MTEquationSection"/>
    <w:basedOn w:val="DefaultParagraphFont"/>
    <w:rsid w:val="00EE3BA5"/>
    <w:rPr>
      <w:vanish w:val="0"/>
      <w:color w:val="FF0000"/>
    </w:rPr>
  </w:style>
  <w:style w:type="paragraph" w:customStyle="1" w:styleId="MarkforAppendix">
    <w:name w:val="Mark for Appendix"/>
    <w:basedOn w:val="Normal"/>
    <w:rsid w:val="00EE3BA5"/>
    <w:pPr>
      <w:jc w:val="center"/>
    </w:pPr>
    <w:rPr>
      <w:b/>
      <w:caps/>
    </w:rPr>
  </w:style>
  <w:style w:type="paragraph" w:customStyle="1" w:styleId="List-1stLevel">
    <w:name w:val="List - 1st Level"/>
    <w:basedOn w:val="Normal"/>
    <w:rsid w:val="00EE3BA5"/>
    <w:pPr>
      <w:numPr>
        <w:numId w:val="5"/>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EE3BA5"/>
    <w:pPr>
      <w:numPr>
        <w:numId w:val="6"/>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EE3BA5"/>
    <w:pPr>
      <w:numPr>
        <w:numId w:val="1"/>
      </w:numPr>
      <w:tabs>
        <w:tab w:val="clear" w:pos="432"/>
      </w:tabs>
      <w:spacing w:line="260" w:lineRule="atLeast"/>
      <w:jc w:val="left"/>
    </w:pPr>
    <w:rPr>
      <w:rFonts w:ascii="Times" w:hAnsi="Times"/>
    </w:rPr>
  </w:style>
  <w:style w:type="paragraph" w:styleId="ListNumber">
    <w:name w:val="List Number"/>
    <w:basedOn w:val="Normal"/>
    <w:rsid w:val="00EE3BA5"/>
    <w:pPr>
      <w:numPr>
        <w:numId w:val="3"/>
      </w:numPr>
      <w:tabs>
        <w:tab w:val="clear" w:pos="432"/>
      </w:tabs>
      <w:spacing w:line="260" w:lineRule="atLeast"/>
      <w:jc w:val="left"/>
    </w:pPr>
    <w:rPr>
      <w:rFonts w:ascii="Times" w:hAnsi="Times"/>
    </w:rPr>
  </w:style>
  <w:style w:type="paragraph" w:customStyle="1" w:styleId="Level2">
    <w:name w:val="Level 2"/>
    <w:basedOn w:val="Normal"/>
    <w:rsid w:val="00EE3BA5"/>
    <w:pPr>
      <w:widowControl w:val="0"/>
      <w:numPr>
        <w:ilvl w:val="1"/>
        <w:numId w:val="7"/>
      </w:numPr>
      <w:tabs>
        <w:tab w:val="clear" w:pos="432"/>
      </w:tabs>
      <w:autoSpaceDE w:val="0"/>
      <w:autoSpaceDN w:val="0"/>
      <w:adjustRightInd w:val="0"/>
      <w:ind w:left="1440" w:hanging="720"/>
      <w:jc w:val="left"/>
      <w:outlineLvl w:val="1"/>
    </w:pPr>
  </w:style>
  <w:style w:type="paragraph" w:styleId="BodyText">
    <w:name w:val="Body Text"/>
    <w:basedOn w:val="Normal"/>
    <w:rsid w:val="00EE3BA5"/>
    <w:pPr>
      <w:widowControl w:val="0"/>
      <w:tabs>
        <w:tab w:val="clear" w:pos="432"/>
      </w:tabs>
      <w:autoSpaceDE w:val="0"/>
      <w:autoSpaceDN w:val="0"/>
      <w:adjustRightInd w:val="0"/>
    </w:pPr>
    <w:rPr>
      <w:sz w:val="22"/>
      <w:szCs w:val="19"/>
    </w:rPr>
  </w:style>
  <w:style w:type="paragraph" w:styleId="BodyText2">
    <w:name w:val="Body Text 2"/>
    <w:basedOn w:val="Normal"/>
    <w:rsid w:val="00EE3BA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EE3BA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EE3BA5"/>
    <w:pPr>
      <w:tabs>
        <w:tab w:val="clear" w:pos="432"/>
      </w:tabs>
      <w:spacing w:before="100" w:after="100"/>
      <w:jc w:val="right"/>
    </w:pPr>
  </w:style>
  <w:style w:type="paragraph" w:styleId="DocumentMap">
    <w:name w:val="Document Map"/>
    <w:basedOn w:val="Normal"/>
    <w:semiHidden/>
    <w:rsid w:val="00EE3BA5"/>
    <w:pPr>
      <w:shd w:val="clear" w:color="auto" w:fill="000080"/>
    </w:pPr>
    <w:rPr>
      <w:rFonts w:ascii="Tahoma" w:hAnsi="Tahoma" w:cs="Tahoma"/>
    </w:rPr>
  </w:style>
  <w:style w:type="character" w:styleId="CommentReference">
    <w:name w:val="annotation reference"/>
    <w:basedOn w:val="DefaultParagraphFont"/>
    <w:semiHidden/>
    <w:rsid w:val="00EE3BA5"/>
    <w:rPr>
      <w:sz w:val="16"/>
      <w:szCs w:val="16"/>
    </w:rPr>
  </w:style>
  <w:style w:type="paragraph" w:styleId="CommentText">
    <w:name w:val="annotation text"/>
    <w:basedOn w:val="Normal"/>
    <w:semiHidden/>
    <w:rsid w:val="00EE3BA5"/>
    <w:rPr>
      <w:sz w:val="20"/>
    </w:rPr>
  </w:style>
  <w:style w:type="character" w:styleId="Hyperlink">
    <w:name w:val="Hyperlink"/>
    <w:basedOn w:val="DefaultParagraphFont"/>
    <w:rsid w:val="00EE3BA5"/>
    <w:rPr>
      <w:color w:val="0000FF"/>
      <w:u w:val="single"/>
    </w:rPr>
  </w:style>
  <w:style w:type="character" w:styleId="FollowedHyperlink">
    <w:name w:val="FollowedHyperlink"/>
    <w:basedOn w:val="DefaultParagraphFont"/>
    <w:rsid w:val="00EE3BA5"/>
    <w:rPr>
      <w:color w:val="800080"/>
      <w:u w:val="single"/>
    </w:rPr>
  </w:style>
  <w:style w:type="paragraph" w:customStyle="1" w:styleId="Default">
    <w:name w:val="Default"/>
    <w:rsid w:val="00EE3BA5"/>
    <w:pPr>
      <w:autoSpaceDE w:val="0"/>
      <w:autoSpaceDN w:val="0"/>
      <w:adjustRightInd w:val="0"/>
    </w:pPr>
    <w:rPr>
      <w:color w:val="000000"/>
      <w:sz w:val="24"/>
      <w:szCs w:val="24"/>
    </w:rPr>
  </w:style>
  <w:style w:type="paragraph" w:styleId="HTMLPreformatted">
    <w:name w:val="HTML Preformatted"/>
    <w:basedOn w:val="Normal"/>
    <w:rsid w:val="00EE3BA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paragraph" w:styleId="BalloonText">
    <w:name w:val="Balloon Text"/>
    <w:basedOn w:val="Normal"/>
    <w:semiHidden/>
    <w:rsid w:val="00EE3BA5"/>
    <w:rPr>
      <w:rFonts w:ascii="Tahoma" w:hAnsi="Tahoma" w:cs="Tahoma"/>
      <w:sz w:val="16"/>
      <w:szCs w:val="16"/>
    </w:rPr>
  </w:style>
  <w:style w:type="paragraph" w:customStyle="1" w:styleId="font5">
    <w:name w:val="font5"/>
    <w:basedOn w:val="Normal"/>
    <w:rsid w:val="00EE3BA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basedOn w:val="DefaultParagraphFont"/>
    <w:semiHidden/>
    <w:rsid w:val="00AE4A7F"/>
    <w:rPr>
      <w:rFonts w:ascii="Arial" w:hAnsi="Arial" w:cs="Arial"/>
      <w:color w:val="000080"/>
      <w:sz w:val="20"/>
      <w:szCs w:val="20"/>
    </w:rPr>
  </w:style>
  <w:style w:type="paragraph" w:styleId="NormalWeb">
    <w:name w:val="Normal (Web)"/>
    <w:basedOn w:val="Normal"/>
    <w:uiPriority w:val="99"/>
    <w:unhideWhenUsed/>
    <w:rsid w:val="00F2719B"/>
    <w:pPr>
      <w:tabs>
        <w:tab w:val="clear" w:pos="432"/>
      </w:tabs>
      <w:spacing w:before="100" w:beforeAutospacing="1" w:after="100" w:afterAutospacing="1"/>
      <w:jc w:val="left"/>
    </w:pPr>
    <w:rPr>
      <w:rFonts w:eastAsia="Calibri"/>
      <w:szCs w:val="24"/>
    </w:rPr>
  </w:style>
  <w:style w:type="character" w:customStyle="1" w:styleId="FooterChar">
    <w:name w:val="Footer Char"/>
    <w:basedOn w:val="DefaultParagraphFont"/>
    <w:link w:val="Footer"/>
    <w:uiPriority w:val="99"/>
    <w:rsid w:val="00DA3680"/>
    <w:rPr>
      <w:sz w:val="24"/>
    </w:rPr>
  </w:style>
  <w:style w:type="character" w:customStyle="1" w:styleId="FootnoteTextChar">
    <w:name w:val="Footnote Text Char"/>
    <w:basedOn w:val="DefaultParagraphFont"/>
    <w:link w:val="FootnoteText"/>
    <w:uiPriority w:val="99"/>
    <w:rsid w:val="00AE7F74"/>
    <w:rPr>
      <w:rFonts w:ascii="Times" w:hAnsi="Times"/>
    </w:rPr>
  </w:style>
  <w:style w:type="paragraph" w:styleId="ListParagraph">
    <w:name w:val="List Paragraph"/>
    <w:basedOn w:val="Normal"/>
    <w:uiPriority w:val="34"/>
    <w:qFormat/>
    <w:rsid w:val="00AE7F74"/>
    <w:pPr>
      <w:tabs>
        <w:tab w:val="clear" w:pos="432"/>
      </w:tabs>
      <w:ind w:left="720"/>
      <w:jc w:val="left"/>
    </w:pPr>
    <w:rPr>
      <w:rFonts w:ascii="Calibri" w:eastAsia="Calibri" w:hAnsi="Calibri"/>
      <w:sz w:val="22"/>
      <w:szCs w:val="22"/>
    </w:rPr>
  </w:style>
  <w:style w:type="paragraph" w:styleId="Revision">
    <w:name w:val="Revision"/>
    <w:hidden/>
    <w:uiPriority w:val="99"/>
    <w:semiHidden/>
    <w:rsid w:val="00C71F2C"/>
    <w:rPr>
      <w:sz w:val="24"/>
    </w:rPr>
  </w:style>
  <w:style w:type="character" w:customStyle="1" w:styleId="HeaderChar">
    <w:name w:val="Header Char"/>
    <w:basedOn w:val="DefaultParagraphFont"/>
    <w:link w:val="Header"/>
    <w:uiPriority w:val="99"/>
    <w:rsid w:val="00481EB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1965">
      <w:bodyDiv w:val="1"/>
      <w:marLeft w:val="0"/>
      <w:marRight w:val="0"/>
      <w:marTop w:val="0"/>
      <w:marBottom w:val="0"/>
      <w:divBdr>
        <w:top w:val="none" w:sz="0" w:space="0" w:color="auto"/>
        <w:left w:val="none" w:sz="0" w:space="0" w:color="auto"/>
        <w:bottom w:val="none" w:sz="0" w:space="0" w:color="auto"/>
        <w:right w:val="none" w:sz="0" w:space="0" w:color="auto"/>
      </w:divBdr>
    </w:div>
    <w:div w:id="277687363">
      <w:bodyDiv w:val="1"/>
      <w:marLeft w:val="0"/>
      <w:marRight w:val="0"/>
      <w:marTop w:val="0"/>
      <w:marBottom w:val="0"/>
      <w:divBdr>
        <w:top w:val="none" w:sz="0" w:space="0" w:color="auto"/>
        <w:left w:val="none" w:sz="0" w:space="0" w:color="auto"/>
        <w:bottom w:val="none" w:sz="0" w:space="0" w:color="auto"/>
        <w:right w:val="none" w:sz="0" w:space="0" w:color="auto"/>
      </w:divBdr>
    </w:div>
    <w:div w:id="388647474">
      <w:bodyDiv w:val="1"/>
      <w:marLeft w:val="0"/>
      <w:marRight w:val="0"/>
      <w:marTop w:val="0"/>
      <w:marBottom w:val="0"/>
      <w:divBdr>
        <w:top w:val="none" w:sz="0" w:space="0" w:color="auto"/>
        <w:left w:val="none" w:sz="0" w:space="0" w:color="auto"/>
        <w:bottom w:val="none" w:sz="0" w:space="0" w:color="auto"/>
        <w:right w:val="none" w:sz="0" w:space="0" w:color="auto"/>
      </w:divBdr>
    </w:div>
    <w:div w:id="745223152">
      <w:bodyDiv w:val="1"/>
      <w:marLeft w:val="0"/>
      <w:marRight w:val="0"/>
      <w:marTop w:val="0"/>
      <w:marBottom w:val="0"/>
      <w:divBdr>
        <w:top w:val="none" w:sz="0" w:space="0" w:color="auto"/>
        <w:left w:val="none" w:sz="0" w:space="0" w:color="auto"/>
        <w:bottom w:val="none" w:sz="0" w:space="0" w:color="auto"/>
        <w:right w:val="none" w:sz="0" w:space="0" w:color="auto"/>
      </w:divBdr>
    </w:div>
    <w:div w:id="1269005859">
      <w:bodyDiv w:val="1"/>
      <w:marLeft w:val="0"/>
      <w:marRight w:val="0"/>
      <w:marTop w:val="0"/>
      <w:marBottom w:val="0"/>
      <w:divBdr>
        <w:top w:val="none" w:sz="0" w:space="0" w:color="auto"/>
        <w:left w:val="none" w:sz="0" w:space="0" w:color="auto"/>
        <w:bottom w:val="none" w:sz="0" w:space="0" w:color="auto"/>
        <w:right w:val="none" w:sz="0" w:space="0" w:color="auto"/>
      </w:divBdr>
    </w:div>
    <w:div w:id="1598059350">
      <w:bodyDiv w:val="1"/>
      <w:marLeft w:val="0"/>
      <w:marRight w:val="0"/>
      <w:marTop w:val="0"/>
      <w:marBottom w:val="0"/>
      <w:divBdr>
        <w:top w:val="none" w:sz="0" w:space="0" w:color="auto"/>
        <w:left w:val="none" w:sz="0" w:space="0" w:color="auto"/>
        <w:bottom w:val="none" w:sz="0" w:space="0" w:color="auto"/>
        <w:right w:val="none" w:sz="0" w:space="0" w:color="auto"/>
      </w:divBdr>
    </w:div>
    <w:div w:id="21210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iag/tgs/iag624.htm" TargetMode="External"/><Relationship Id="rId4" Type="http://schemas.microsoft.com/office/2007/relationships/stylesWithEffects" Target="stylesWithEffects.xml"/><Relationship Id="rId9" Type="http://schemas.openxmlformats.org/officeDocument/2006/relationships/hyperlink" Target="https://www.bls.gov/iag/tgs/iag62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95A4A-880F-4237-A747-F4FC76FD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22107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William Garrett</dc:creator>
  <cp:lastModifiedBy>SYSTEM</cp:lastModifiedBy>
  <cp:revision>2</cp:revision>
  <cp:lastPrinted>2017-12-13T19:47:00Z</cp:lastPrinted>
  <dcterms:created xsi:type="dcterms:W3CDTF">2018-07-19T11:47:00Z</dcterms:created>
  <dcterms:modified xsi:type="dcterms:W3CDTF">2018-07-19T11:47:00Z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1284086808</vt:i4>
  </property>
  <property fmtid="{D5CDD505-2E9C-101B-9397-08002B2CF9AE}" pid="3" name="_ReviewCycleID">
    <vt:i4>1284086808</vt:i4>
  </property>
  <property fmtid="{D5CDD505-2E9C-101B-9397-08002B2CF9AE}" pid="4" name="_NewReviewCycle">
    <vt:lpwstr/>
  </property>
  <property fmtid="{D5CDD505-2E9C-101B-9397-08002B2CF9AE}" pid="5" name="_EmailEntryID">
    <vt:lpwstr>0000000020EAB33F1E51B041836481B6EBF3CE880700F23A8AD1417756438C103B73A9F5EF0900000048CB5B00009110149C113E5940A759F776D0B8141F00000110CE720000</vt:lpwstr>
  </property>
  <property fmtid="{D5CDD505-2E9C-101B-9397-08002B2CF9AE}" pid="6" name="_EmailStoreID">
    <vt:lpwstr>0000000038A1BB1005E5101AA1BB08002B2A56C200006D737073742E646C6C00000000004E495441F9BFB80100AA0037D96E000000433A5C506572736F6E616C20466F6C646572732831292E70737400</vt:lpwstr>
  </property>
  <property fmtid="{D5CDD505-2E9C-101B-9397-08002B2CF9AE}" pid="7" name="_ReviewingToolsShownOnce">
    <vt:lpwstr/>
  </property>
</Properties>
</file>