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8E" w:rsidRPr="0063179A" w:rsidRDefault="00117E21" w:rsidP="0084578E">
      <w:pPr>
        <w:pStyle w:val="Title"/>
        <w:rPr>
          <w:b/>
        </w:rPr>
      </w:pPr>
      <w:bookmarkStart w:id="0" w:name="_Toc481485253"/>
      <w:bookmarkStart w:id="1" w:name="_GoBack"/>
      <w:bookmarkEnd w:id="1"/>
      <w:r w:rsidRPr="0063179A">
        <w:t xml:space="preserve">ETA 204 – </w:t>
      </w:r>
      <w:r w:rsidR="0084578E" w:rsidRPr="0063179A">
        <w:t>EXPERIENCE RATING</w:t>
      </w:r>
      <w:bookmarkEnd w:id="0"/>
    </w:p>
    <w:p w:rsidR="0084578E" w:rsidRPr="0063179A" w:rsidRDefault="0084578E" w:rsidP="0084578E">
      <w:pPr>
        <w:pStyle w:val="Heading3"/>
        <w:jc w:val="center"/>
        <w:rPr>
          <w:rFonts w:ascii="Arial" w:hAnsi="Arial"/>
          <w:sz w:val="24"/>
          <w:szCs w:val="24"/>
        </w:rPr>
      </w:pPr>
      <w:bookmarkStart w:id="2" w:name="_Toc481485254"/>
      <w:r w:rsidRPr="0063179A">
        <w:rPr>
          <w:rFonts w:ascii="Arial" w:hAnsi="Arial"/>
          <w:webHidden/>
          <w:sz w:val="24"/>
          <w:szCs w:val="24"/>
        </w:rPr>
        <w:t>Section II-2</w:t>
      </w:r>
      <w:bookmarkEnd w:id="2"/>
    </w:p>
    <w:p w:rsidR="0084578E" w:rsidRPr="0063179A" w:rsidRDefault="0084578E">
      <w:pPr>
        <w:pStyle w:val="TOC1"/>
        <w:tabs>
          <w:tab w:val="left" w:pos="600"/>
          <w:tab w:val="right" w:leader="dot" w:pos="9350"/>
        </w:tabs>
        <w:rPr>
          <w:rFonts w:ascii="Arial" w:eastAsiaTheme="minorEastAsia" w:hAnsi="Arial" w:cs="Arial"/>
          <w:noProof/>
          <w:sz w:val="22"/>
          <w:szCs w:val="22"/>
        </w:rPr>
      </w:pPr>
      <w:r w:rsidRPr="0063179A">
        <w:rPr>
          <w:rFonts w:ascii="Arial" w:hAnsi="Arial" w:cs="Arial"/>
          <w:noProof/>
          <w:sz w:val="24"/>
          <w:szCs w:val="24"/>
        </w:rPr>
        <w:fldChar w:fldCharType="begin"/>
      </w:r>
      <w:r w:rsidRPr="0063179A">
        <w:rPr>
          <w:rFonts w:ascii="Arial" w:hAnsi="Arial" w:cs="Arial"/>
          <w:noProof/>
          <w:sz w:val="24"/>
          <w:szCs w:val="24"/>
        </w:rPr>
        <w:instrText xml:space="preserve"> TOC \f \h \z \t "Heading 1,1,Heading 2,2,Heading 4,3" </w:instrText>
      </w:r>
      <w:r w:rsidRPr="0063179A">
        <w:rPr>
          <w:rFonts w:ascii="Arial" w:hAnsi="Arial" w:cs="Arial"/>
          <w:noProof/>
          <w:sz w:val="24"/>
          <w:szCs w:val="24"/>
        </w:rPr>
        <w:fldChar w:fldCharType="separate"/>
      </w:r>
      <w:hyperlink w:anchor="_Toc484773102" w:history="1">
        <w:r w:rsidRPr="0063179A">
          <w:rPr>
            <w:rStyle w:val="Hyperlink"/>
            <w:rFonts w:ascii="Arial" w:hAnsi="Arial" w:cs="Arial"/>
            <w:noProof/>
          </w:rPr>
          <w:t>A.</w:t>
        </w:r>
        <w:r w:rsidRPr="0063179A">
          <w:rPr>
            <w:rFonts w:ascii="Arial" w:eastAsiaTheme="minorEastAsia" w:hAnsi="Arial" w:cs="Arial"/>
            <w:noProof/>
            <w:sz w:val="22"/>
            <w:szCs w:val="22"/>
          </w:rPr>
          <w:tab/>
        </w:r>
        <w:r w:rsidRPr="0063179A">
          <w:rPr>
            <w:rStyle w:val="Hyperlink"/>
            <w:rFonts w:ascii="Arial" w:hAnsi="Arial" w:cs="Arial"/>
            <w:noProof/>
          </w:rPr>
          <w:t>Facsimile of Form</w:t>
        </w:r>
        <w:r w:rsidRPr="0063179A">
          <w:rPr>
            <w:rFonts w:ascii="Arial" w:hAnsi="Arial" w:cs="Arial"/>
            <w:noProof/>
            <w:webHidden/>
          </w:rPr>
          <w:tab/>
        </w:r>
        <w:r w:rsidRPr="0063179A">
          <w:rPr>
            <w:rFonts w:ascii="Arial" w:hAnsi="Arial" w:cs="Arial"/>
            <w:noProof/>
            <w:webHidden/>
          </w:rPr>
          <w:fldChar w:fldCharType="begin"/>
        </w:r>
        <w:r w:rsidRPr="0063179A">
          <w:rPr>
            <w:rFonts w:ascii="Arial" w:hAnsi="Arial" w:cs="Arial"/>
            <w:noProof/>
            <w:webHidden/>
          </w:rPr>
          <w:instrText xml:space="preserve"> PAGEREF _Toc484773102 \h </w:instrText>
        </w:r>
        <w:r w:rsidRPr="0063179A">
          <w:rPr>
            <w:rFonts w:ascii="Arial" w:hAnsi="Arial" w:cs="Arial"/>
            <w:noProof/>
            <w:webHidden/>
          </w:rPr>
        </w:r>
        <w:r w:rsidRPr="0063179A">
          <w:rPr>
            <w:rFonts w:ascii="Arial" w:hAnsi="Arial" w:cs="Arial"/>
            <w:noProof/>
            <w:webHidden/>
          </w:rPr>
          <w:fldChar w:fldCharType="separate"/>
        </w:r>
        <w:r w:rsidR="00C7144F">
          <w:rPr>
            <w:rFonts w:ascii="Arial" w:hAnsi="Arial" w:cs="Arial"/>
            <w:noProof/>
            <w:webHidden/>
          </w:rPr>
          <w:t>2</w:t>
        </w:r>
        <w:r w:rsidRPr="0063179A">
          <w:rPr>
            <w:rFonts w:ascii="Arial" w:hAnsi="Arial" w:cs="Arial"/>
            <w:noProof/>
            <w:webHidden/>
          </w:rPr>
          <w:fldChar w:fldCharType="end"/>
        </w:r>
      </w:hyperlink>
    </w:p>
    <w:p w:rsidR="0084578E" w:rsidRPr="0063179A" w:rsidRDefault="00584EF4">
      <w:pPr>
        <w:pStyle w:val="TOC1"/>
        <w:tabs>
          <w:tab w:val="left" w:pos="600"/>
          <w:tab w:val="right" w:leader="dot" w:pos="9350"/>
        </w:tabs>
        <w:rPr>
          <w:rFonts w:ascii="Arial" w:eastAsiaTheme="minorEastAsia" w:hAnsi="Arial" w:cs="Arial"/>
          <w:noProof/>
          <w:sz w:val="22"/>
          <w:szCs w:val="22"/>
        </w:rPr>
      </w:pPr>
      <w:hyperlink w:anchor="_Toc484773103" w:history="1">
        <w:r w:rsidR="0084578E" w:rsidRPr="0063179A">
          <w:rPr>
            <w:rStyle w:val="Hyperlink"/>
            <w:rFonts w:ascii="Arial" w:hAnsi="Arial" w:cs="Arial"/>
            <w:noProof/>
          </w:rPr>
          <w:t>B.</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Purpose</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_Toc484773103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7</w:t>
        </w:r>
        <w:r w:rsidR="0084578E" w:rsidRPr="0063179A">
          <w:rPr>
            <w:rFonts w:ascii="Arial" w:hAnsi="Arial" w:cs="Arial"/>
            <w:noProof/>
            <w:webHidden/>
          </w:rPr>
          <w:fldChar w:fldCharType="end"/>
        </w:r>
      </w:hyperlink>
    </w:p>
    <w:p w:rsidR="0084578E" w:rsidRPr="0063179A" w:rsidRDefault="00584EF4">
      <w:pPr>
        <w:pStyle w:val="TOC1"/>
        <w:tabs>
          <w:tab w:val="left" w:pos="600"/>
          <w:tab w:val="right" w:leader="dot" w:pos="9350"/>
        </w:tabs>
        <w:rPr>
          <w:rFonts w:ascii="Arial" w:eastAsiaTheme="minorEastAsia" w:hAnsi="Arial" w:cs="Arial"/>
          <w:noProof/>
          <w:sz w:val="22"/>
          <w:szCs w:val="22"/>
        </w:rPr>
      </w:pPr>
      <w:hyperlink w:anchor="_Toc484773104" w:history="1">
        <w:r w:rsidR="0084578E" w:rsidRPr="0063179A">
          <w:rPr>
            <w:rStyle w:val="Hyperlink"/>
            <w:rFonts w:ascii="Arial" w:hAnsi="Arial" w:cs="Arial"/>
            <w:noProof/>
          </w:rPr>
          <w:t>C.</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Due Date and Transmittal</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_Toc484773104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7</w:t>
        </w:r>
        <w:r w:rsidR="0084578E" w:rsidRPr="0063179A">
          <w:rPr>
            <w:rFonts w:ascii="Arial" w:hAnsi="Arial" w:cs="Arial"/>
            <w:noProof/>
            <w:webHidden/>
          </w:rPr>
          <w:fldChar w:fldCharType="end"/>
        </w:r>
      </w:hyperlink>
    </w:p>
    <w:p w:rsidR="0084578E" w:rsidRPr="0063179A" w:rsidRDefault="00584EF4">
      <w:pPr>
        <w:pStyle w:val="TOC1"/>
        <w:tabs>
          <w:tab w:val="left" w:pos="600"/>
          <w:tab w:val="right" w:leader="dot" w:pos="9350"/>
        </w:tabs>
        <w:rPr>
          <w:rFonts w:ascii="Arial" w:eastAsiaTheme="minorEastAsia" w:hAnsi="Arial" w:cs="Arial"/>
          <w:noProof/>
          <w:sz w:val="22"/>
          <w:szCs w:val="22"/>
        </w:rPr>
      </w:pPr>
      <w:hyperlink w:anchor="_Toc484773105" w:history="1">
        <w:r w:rsidR="0084578E" w:rsidRPr="0063179A">
          <w:rPr>
            <w:rStyle w:val="Hyperlink"/>
            <w:rFonts w:ascii="Arial" w:hAnsi="Arial" w:cs="Arial"/>
            <w:noProof/>
          </w:rPr>
          <w:t>D. </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General Reporting Instructions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_Toc484773105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8</w:t>
        </w:r>
        <w:r w:rsidR="0084578E" w:rsidRPr="0063179A">
          <w:rPr>
            <w:rFonts w:ascii="Arial" w:hAnsi="Arial" w:cs="Arial"/>
            <w:noProof/>
            <w:webHidden/>
          </w:rPr>
          <w:fldChar w:fldCharType="end"/>
        </w:r>
      </w:hyperlink>
    </w:p>
    <w:p w:rsidR="0084578E" w:rsidRPr="0063179A" w:rsidRDefault="00584EF4">
      <w:pPr>
        <w:pStyle w:val="TOC1"/>
        <w:tabs>
          <w:tab w:val="right" w:leader="dot" w:pos="9350"/>
        </w:tabs>
        <w:rPr>
          <w:rFonts w:ascii="Arial" w:eastAsiaTheme="minorEastAsia" w:hAnsi="Arial" w:cs="Arial"/>
          <w:noProof/>
          <w:sz w:val="22"/>
          <w:szCs w:val="22"/>
        </w:rPr>
      </w:pPr>
      <w:hyperlink w:anchor="_Toc484773106" w:history="1">
        <w:r w:rsidR="0084578E" w:rsidRPr="0063179A">
          <w:rPr>
            <w:rStyle w:val="Hyperlink"/>
            <w:rFonts w:ascii="Arial" w:hAnsi="Arial" w:cs="Arial"/>
            <w:noProof/>
          </w:rPr>
          <w:t>E.    Definitions.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_Toc484773106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8</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07" w:history="1">
        <w:r w:rsidR="0084578E" w:rsidRPr="0063179A">
          <w:rPr>
            <w:rStyle w:val="Hyperlink"/>
            <w:rFonts w:ascii="Arial" w:hAnsi="Arial" w:cs="Arial"/>
            <w:noProof/>
          </w:rPr>
          <w:t>1.</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All Subject Accounts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_Toc484773107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8</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08" w:history="1">
        <w:r w:rsidR="0084578E" w:rsidRPr="0063179A">
          <w:rPr>
            <w:rStyle w:val="Hyperlink"/>
            <w:rFonts w:ascii="Arial" w:hAnsi="Arial" w:cs="Arial"/>
            <w:noProof/>
          </w:rPr>
          <w:t>2.</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Total Payroll.</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_Toc484773108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09" w:history="1">
        <w:r w:rsidR="0084578E" w:rsidRPr="0063179A">
          <w:rPr>
            <w:rStyle w:val="Hyperlink"/>
            <w:rFonts w:ascii="Arial" w:hAnsi="Arial" w:cs="Arial"/>
            <w:noProof/>
          </w:rPr>
          <w:t>3.</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Taxable Payroll.</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_Toc484773109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0" w:history="1">
        <w:r w:rsidR="0084578E" w:rsidRPr="0063179A">
          <w:rPr>
            <w:rStyle w:val="Hyperlink"/>
            <w:rFonts w:ascii="Arial" w:hAnsi="Arial" w:cs="Arial"/>
            <w:noProof/>
          </w:rPr>
          <w:t>4.</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Eligible Accounts.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_Toc484773110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1" w:history="1">
        <w:r w:rsidR="0084578E" w:rsidRPr="0063179A">
          <w:rPr>
            <w:rStyle w:val="Hyperlink"/>
            <w:rFonts w:ascii="Arial" w:hAnsi="Arial" w:cs="Arial"/>
            <w:noProof/>
          </w:rPr>
          <w:t>5.</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Ineligible Accounts.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_Toc484773111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2" w:history="1">
        <w:r w:rsidR="0084578E" w:rsidRPr="0063179A">
          <w:rPr>
            <w:rStyle w:val="Hyperlink"/>
            <w:rFonts w:ascii="Arial" w:hAnsi="Arial" w:cs="Arial"/>
            <w:noProof/>
          </w:rPr>
          <w:t>6.</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Benefits (or Benefit Wages) Charged</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_Toc484773112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3" w:history="1">
        <w:r w:rsidR="0084578E" w:rsidRPr="0063179A">
          <w:rPr>
            <w:rStyle w:val="Hyperlink"/>
            <w:rFonts w:ascii="Arial" w:hAnsi="Arial" w:cs="Arial"/>
            <w:noProof/>
          </w:rPr>
          <w:t>7.</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Benefits (or Benefit Wages) Not Charged.</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_Toc484773113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4" w:history="1">
        <w:r w:rsidR="0084578E" w:rsidRPr="0063179A">
          <w:rPr>
            <w:rStyle w:val="Hyperlink"/>
            <w:rFonts w:ascii="Arial" w:hAnsi="Arial" w:cs="Arial"/>
            <w:noProof/>
          </w:rPr>
          <w:t>8.</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Active Employers.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_Toc484773114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5" w:history="1">
        <w:r w:rsidR="0084578E" w:rsidRPr="0063179A">
          <w:rPr>
            <w:rStyle w:val="Hyperlink"/>
            <w:rFonts w:ascii="Arial" w:hAnsi="Arial" w:cs="Arial"/>
            <w:noProof/>
          </w:rPr>
          <w:t>9.</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Inactive Employers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_Toc484773115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1100"/>
          <w:tab w:val="right" w:leader="dot" w:pos="9350"/>
        </w:tabs>
        <w:rPr>
          <w:rFonts w:ascii="Arial" w:eastAsiaTheme="minorEastAsia" w:hAnsi="Arial" w:cs="Arial"/>
          <w:noProof/>
          <w:sz w:val="22"/>
          <w:szCs w:val="22"/>
        </w:rPr>
      </w:pPr>
      <w:hyperlink w:anchor="_Toc484773116" w:history="1">
        <w:r w:rsidR="0084578E" w:rsidRPr="0063179A">
          <w:rPr>
            <w:rStyle w:val="Hyperlink"/>
            <w:rFonts w:ascii="Arial" w:hAnsi="Arial" w:cs="Arial"/>
            <w:noProof/>
          </w:rPr>
          <w:t>10.</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Positive/Negative Balance Accounts (Reserve Ratio States Only).</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_Toc484773116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7" w:history="1">
        <w:r w:rsidR="0084578E" w:rsidRPr="0063179A">
          <w:rPr>
            <w:rStyle w:val="Hyperlink"/>
            <w:rFonts w:ascii="Arial" w:hAnsi="Arial" w:cs="Arial"/>
            <w:noProof/>
          </w:rPr>
          <w:t>11.</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Tax Rates.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_Toc484773117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9</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8" w:history="1">
        <w:r w:rsidR="0084578E" w:rsidRPr="0063179A">
          <w:rPr>
            <w:rStyle w:val="Hyperlink"/>
            <w:rFonts w:ascii="Arial" w:hAnsi="Arial" w:cs="Arial"/>
            <w:noProof/>
          </w:rPr>
          <w:t>12.</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Regularly Rated Accounts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_Toc484773118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19" w:history="1">
        <w:r w:rsidR="0084578E" w:rsidRPr="0063179A">
          <w:rPr>
            <w:rStyle w:val="Hyperlink"/>
            <w:rFonts w:ascii="Arial" w:hAnsi="Arial" w:cs="Arial"/>
            <w:noProof/>
          </w:rPr>
          <w:t>13.</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Specially Taxed Accounts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_Toc484773119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0" w:history="1">
        <w:r w:rsidR="0084578E" w:rsidRPr="0063179A">
          <w:rPr>
            <w:rStyle w:val="Hyperlink"/>
            <w:rFonts w:ascii="Arial" w:hAnsi="Arial" w:cs="Arial"/>
            <w:noProof/>
          </w:rPr>
          <w:t>14.</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Computation Date</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_Toc484773120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1" w:history="1">
        <w:r w:rsidR="0084578E" w:rsidRPr="0063179A">
          <w:rPr>
            <w:rStyle w:val="Hyperlink"/>
            <w:rFonts w:ascii="Arial" w:hAnsi="Arial" w:cs="Arial"/>
            <w:noProof/>
          </w:rPr>
          <w:t>15.</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Rate Year Ending</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_Toc484773121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1100"/>
          <w:tab w:val="right" w:leader="dot" w:pos="9350"/>
        </w:tabs>
        <w:rPr>
          <w:rFonts w:ascii="Arial" w:eastAsiaTheme="minorEastAsia" w:hAnsi="Arial" w:cs="Arial"/>
          <w:noProof/>
          <w:sz w:val="22"/>
          <w:szCs w:val="22"/>
        </w:rPr>
      </w:pPr>
      <w:hyperlink w:anchor="_Toc484773122" w:history="1">
        <w:r w:rsidR="0084578E" w:rsidRPr="0063179A">
          <w:rPr>
            <w:rStyle w:val="Hyperlink"/>
            <w:rFonts w:ascii="Arial" w:hAnsi="Arial" w:cs="Arial"/>
            <w:noProof/>
          </w:rPr>
          <w:t>16.</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Experience Factor.</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_Toc484773122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3" w:history="1">
        <w:r w:rsidR="0084578E" w:rsidRPr="0063179A">
          <w:rPr>
            <w:rStyle w:val="Hyperlink"/>
            <w:rFonts w:ascii="Arial" w:hAnsi="Arial" w:cs="Arial"/>
            <w:noProof/>
          </w:rPr>
          <w:t>17.</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Average Employer Tax Rate on Total Wages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_Toc484773123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4" w:history="1">
        <w:r w:rsidR="0084578E" w:rsidRPr="0063179A">
          <w:rPr>
            <w:rStyle w:val="Hyperlink"/>
            <w:rFonts w:ascii="Arial" w:hAnsi="Arial" w:cs="Arial"/>
            <w:noProof/>
          </w:rPr>
          <w:t>18.</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Average Employer Tax Rate on Taxable Wages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_Toc484773124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5" w:history="1">
        <w:r w:rsidR="0084578E" w:rsidRPr="0063179A">
          <w:rPr>
            <w:rStyle w:val="Hyperlink"/>
            <w:rFonts w:ascii="Arial" w:hAnsi="Arial" w:cs="Arial"/>
            <w:noProof/>
          </w:rPr>
          <w:t>19.</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Employee Tax Rate on Total Wages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_Toc484773125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10</w:t>
        </w:r>
        <w:r w:rsidR="0084578E" w:rsidRPr="0063179A">
          <w:rPr>
            <w:rFonts w:ascii="Arial" w:hAnsi="Arial" w:cs="Arial"/>
            <w:noProof/>
            <w:webHidden/>
          </w:rPr>
          <w:fldChar w:fldCharType="end"/>
        </w:r>
      </w:hyperlink>
    </w:p>
    <w:p w:rsidR="0084578E" w:rsidRPr="0063179A" w:rsidRDefault="00584EF4">
      <w:pPr>
        <w:pStyle w:val="TOC1"/>
        <w:tabs>
          <w:tab w:val="left" w:pos="600"/>
          <w:tab w:val="right" w:leader="dot" w:pos="9350"/>
        </w:tabs>
        <w:rPr>
          <w:rFonts w:ascii="Arial" w:eastAsiaTheme="minorEastAsia" w:hAnsi="Arial" w:cs="Arial"/>
          <w:noProof/>
          <w:sz w:val="22"/>
          <w:szCs w:val="22"/>
        </w:rPr>
      </w:pPr>
      <w:hyperlink w:anchor="_Toc484773126" w:history="1">
        <w:r w:rsidR="0084578E" w:rsidRPr="0063179A">
          <w:rPr>
            <w:rStyle w:val="Hyperlink"/>
            <w:rFonts w:ascii="Arial" w:hAnsi="Arial" w:cs="Arial"/>
            <w:noProof/>
          </w:rPr>
          <w:t>F.</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Item by Item Instructions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_Toc484773126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11</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7" w:history="1">
        <w:r w:rsidR="0084578E" w:rsidRPr="0063179A">
          <w:rPr>
            <w:rStyle w:val="Hyperlink"/>
            <w:rFonts w:ascii="Arial" w:hAnsi="Arial" w:cs="Arial"/>
            <w:noProof/>
          </w:rPr>
          <w:t>1.</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Section A. Item 3 and Item 4.  Subject Accounts with Positive Balance and Subject Accounts with Negative Balance</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_Toc484773127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11</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8" w:history="1">
        <w:r w:rsidR="0084578E" w:rsidRPr="0063179A">
          <w:rPr>
            <w:rStyle w:val="Hyperlink"/>
            <w:rFonts w:ascii="Arial" w:hAnsi="Arial" w:cs="Arial"/>
            <w:noProof/>
          </w:rPr>
          <w:t>2.</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Section B. Summary of Benefits Paid, Charged, and Noncharged.</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_Toc484773128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11</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29" w:history="1">
        <w:r w:rsidR="0084578E" w:rsidRPr="0063179A">
          <w:rPr>
            <w:rStyle w:val="Hyperlink"/>
            <w:rFonts w:ascii="Arial" w:hAnsi="Arial" w:cs="Arial"/>
            <w:noProof/>
          </w:rPr>
          <w:t>3.</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Section C.  All Taxable Subject Accounts: Selected Data.</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_Toc484773129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12</w:t>
        </w:r>
        <w:r w:rsidR="0084578E" w:rsidRPr="0063179A">
          <w:rPr>
            <w:rFonts w:ascii="Arial" w:hAnsi="Arial" w:cs="Arial"/>
            <w:noProof/>
            <w:webHidden/>
          </w:rPr>
          <w:fldChar w:fldCharType="end"/>
        </w:r>
      </w:hyperlink>
    </w:p>
    <w:p w:rsidR="0084578E" w:rsidRPr="0063179A" w:rsidRDefault="00584EF4">
      <w:pPr>
        <w:pStyle w:val="TOC3"/>
        <w:tabs>
          <w:tab w:val="left" w:pos="880"/>
          <w:tab w:val="right" w:leader="dot" w:pos="9350"/>
        </w:tabs>
        <w:rPr>
          <w:rFonts w:ascii="Arial" w:eastAsiaTheme="minorEastAsia" w:hAnsi="Arial" w:cs="Arial"/>
          <w:noProof/>
          <w:sz w:val="22"/>
          <w:szCs w:val="22"/>
        </w:rPr>
      </w:pPr>
      <w:hyperlink w:anchor="_Toc484773130" w:history="1">
        <w:r w:rsidR="0084578E" w:rsidRPr="0063179A">
          <w:rPr>
            <w:rStyle w:val="Hyperlink"/>
            <w:rFonts w:ascii="Arial" w:hAnsi="Arial" w:cs="Arial"/>
            <w:noProof/>
          </w:rPr>
          <w:t>4.</w:t>
        </w:r>
        <w:r w:rsidR="0084578E" w:rsidRPr="0063179A">
          <w:rPr>
            <w:rFonts w:ascii="Arial" w:eastAsiaTheme="minorEastAsia" w:hAnsi="Arial" w:cs="Arial"/>
            <w:noProof/>
            <w:sz w:val="22"/>
            <w:szCs w:val="22"/>
          </w:rPr>
          <w:tab/>
        </w:r>
        <w:r w:rsidR="0084578E" w:rsidRPr="0063179A">
          <w:rPr>
            <w:rStyle w:val="Hyperlink"/>
            <w:rFonts w:ascii="Arial" w:hAnsi="Arial" w:cs="Arial"/>
            <w:noProof/>
          </w:rPr>
          <w:t>Comments</w:t>
        </w:r>
        <w:r w:rsidR="0084578E" w:rsidRPr="0063179A">
          <w:rPr>
            <w:rFonts w:ascii="Arial" w:hAnsi="Arial" w:cs="Arial"/>
            <w:noProof/>
            <w:webHidden/>
          </w:rPr>
          <w:tab/>
        </w:r>
        <w:r w:rsidR="0084578E" w:rsidRPr="0063179A">
          <w:rPr>
            <w:rFonts w:ascii="Arial" w:hAnsi="Arial" w:cs="Arial"/>
            <w:noProof/>
            <w:webHidden/>
          </w:rPr>
          <w:fldChar w:fldCharType="begin"/>
        </w:r>
        <w:r w:rsidR="0084578E" w:rsidRPr="0063179A">
          <w:rPr>
            <w:rFonts w:ascii="Arial" w:hAnsi="Arial" w:cs="Arial"/>
            <w:noProof/>
            <w:webHidden/>
          </w:rPr>
          <w:instrText xml:space="preserve"> PAGEREF _Toc484773130 \h </w:instrText>
        </w:r>
        <w:r w:rsidR="0084578E" w:rsidRPr="0063179A">
          <w:rPr>
            <w:rFonts w:ascii="Arial" w:hAnsi="Arial" w:cs="Arial"/>
            <w:noProof/>
            <w:webHidden/>
          </w:rPr>
        </w:r>
        <w:r w:rsidR="0084578E" w:rsidRPr="0063179A">
          <w:rPr>
            <w:rFonts w:ascii="Arial" w:hAnsi="Arial" w:cs="Arial"/>
            <w:noProof/>
            <w:webHidden/>
          </w:rPr>
          <w:fldChar w:fldCharType="separate"/>
        </w:r>
        <w:r w:rsidR="00C7144F">
          <w:rPr>
            <w:rFonts w:ascii="Arial" w:hAnsi="Arial" w:cs="Arial"/>
            <w:noProof/>
            <w:webHidden/>
          </w:rPr>
          <w:t>13</w:t>
        </w:r>
        <w:r w:rsidR="0084578E" w:rsidRPr="0063179A">
          <w:rPr>
            <w:rFonts w:ascii="Arial" w:hAnsi="Arial" w:cs="Arial"/>
            <w:noProof/>
            <w:webHidden/>
          </w:rPr>
          <w:fldChar w:fldCharType="end"/>
        </w:r>
      </w:hyperlink>
    </w:p>
    <w:p w:rsidR="0084578E" w:rsidRPr="0063179A" w:rsidRDefault="0084578E" w:rsidP="0084578E">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3179A">
        <w:rPr>
          <w:rFonts w:ascii="Arial" w:hAnsi="Arial" w:cs="Arial"/>
          <w:noProof/>
          <w:sz w:val="24"/>
          <w:szCs w:val="24"/>
        </w:rPr>
        <w:fldChar w:fldCharType="end"/>
      </w:r>
      <w:r w:rsidRPr="0063179A">
        <w:rPr>
          <w:rFonts w:ascii="Arial" w:hAnsi="Arial" w:cs="Arial"/>
          <w:sz w:val="24"/>
          <w:szCs w:val="24"/>
        </w:rPr>
        <w:t xml:space="preserve"> </w:t>
      </w:r>
    </w:p>
    <w:p w:rsidR="0084578E" w:rsidRPr="0063179A" w:rsidRDefault="0084578E" w:rsidP="0084578E">
      <w:pPr>
        <w:widowControl/>
        <w:autoSpaceDE/>
        <w:autoSpaceDN/>
        <w:adjustRightInd/>
        <w:rPr>
          <w:rFonts w:ascii="Arial" w:hAnsi="Arial" w:cs="Arial"/>
          <w:b/>
          <w:bCs/>
          <w:sz w:val="24"/>
          <w:szCs w:val="24"/>
        </w:rPr>
      </w:pPr>
      <w:bookmarkStart w:id="3" w:name="_Toc481055286"/>
      <w:bookmarkStart w:id="4" w:name="_Toc481055886"/>
      <w:bookmarkStart w:id="5" w:name="_Toc480896898"/>
      <w:bookmarkStart w:id="6" w:name="_Toc480898204"/>
      <w:bookmarkStart w:id="7" w:name="_Toc480898681"/>
      <w:r w:rsidRPr="0063179A">
        <w:rPr>
          <w:rFonts w:ascii="Arial" w:hAnsi="Arial" w:cs="Arial"/>
          <w:sz w:val="24"/>
          <w:szCs w:val="24"/>
        </w:rPr>
        <w:br w:type="page"/>
      </w:r>
    </w:p>
    <w:p w:rsidR="0084578E" w:rsidRPr="0063179A" w:rsidRDefault="00117E21" w:rsidP="0084578E">
      <w:pPr>
        <w:pStyle w:val="Title"/>
        <w:rPr>
          <w:rStyle w:val="Strong"/>
        </w:rPr>
      </w:pPr>
      <w:bookmarkStart w:id="8" w:name="_Toc481059059"/>
      <w:bookmarkStart w:id="9" w:name="_Toc481485255"/>
      <w:bookmarkEnd w:id="3"/>
      <w:bookmarkEnd w:id="4"/>
      <w:r w:rsidRPr="0063179A">
        <w:rPr>
          <w:rStyle w:val="Strong"/>
        </w:rPr>
        <w:lastRenderedPageBreak/>
        <w:t>ETA 204</w:t>
      </w:r>
      <w:r w:rsidRPr="0063179A">
        <w:t xml:space="preserve"> – </w:t>
      </w:r>
      <w:r w:rsidR="0084578E" w:rsidRPr="0063179A">
        <w:rPr>
          <w:rStyle w:val="Strong"/>
        </w:rPr>
        <w:t>EXPERIENCE RATING</w:t>
      </w:r>
      <w:bookmarkEnd w:id="5"/>
      <w:bookmarkEnd w:id="6"/>
      <w:bookmarkEnd w:id="7"/>
      <w:bookmarkEnd w:id="8"/>
      <w:bookmarkEnd w:id="9"/>
    </w:p>
    <w:p w:rsidR="0084578E" w:rsidRPr="0063179A" w:rsidRDefault="0084578E" w:rsidP="0084578E">
      <w:pPr>
        <w:pStyle w:val="Heading1"/>
        <w:rPr>
          <w:szCs w:val="24"/>
        </w:rPr>
      </w:pPr>
      <w:bookmarkStart w:id="10" w:name="_Toc484773102"/>
      <w:r w:rsidRPr="0063179A">
        <w:t>A.</w:t>
      </w:r>
      <w:r w:rsidRPr="0063179A">
        <w:tab/>
        <w:t>Facsimile of Form</w:t>
      </w:r>
      <w:bookmarkEnd w:id="10"/>
    </w:p>
    <w:p w:rsidR="0084578E" w:rsidRPr="0063179A" w:rsidRDefault="0084578E" w:rsidP="0084578E">
      <w:pPr>
        <w:jc w:val="both"/>
        <w:rPr>
          <w:rFonts w:ascii="Arial" w:hAnsi="Arial" w:cs="Arial"/>
          <w:szCs w:val="24"/>
        </w:rPr>
      </w:pPr>
      <w:r w:rsidRPr="0063179A">
        <w:rPr>
          <w:rFonts w:ascii="Arial" w:hAnsi="Arial" w:cs="Arial"/>
          <w:b/>
          <w:bCs/>
          <w:sz w:val="26"/>
          <w:szCs w:val="26"/>
        </w:rPr>
        <w:t> </w:t>
      </w:r>
    </w:p>
    <w:p w:rsidR="0084578E" w:rsidRPr="0063179A" w:rsidRDefault="0084578E" w:rsidP="0084578E">
      <w:pPr>
        <w:rPr>
          <w:rFonts w:ascii="Arial" w:hAnsi="Arial" w:cs="Arial"/>
          <w:szCs w:val="24"/>
        </w:rPr>
      </w:pPr>
      <w:r w:rsidRPr="0063179A">
        <w:rPr>
          <w:rFonts w:ascii="Arial" w:hAnsi="Arial" w:cs="Arial"/>
          <w:sz w:val="24"/>
          <w:szCs w:val="24"/>
        </w:rPr>
        <w:fldChar w:fldCharType="begin"/>
      </w:r>
      <w:r w:rsidRPr="0063179A">
        <w:rPr>
          <w:rFonts w:ascii="Arial" w:hAnsi="Arial" w:cs="Arial"/>
          <w:sz w:val="24"/>
          <w:szCs w:val="24"/>
        </w:rPr>
        <w:instrText xml:space="preserve"> TC “</w:instrText>
      </w:r>
      <w:r w:rsidRPr="0063179A">
        <w:rPr>
          <w:rFonts w:ascii="Arial" w:hAnsi="Arial" w:cs="Arial"/>
          <w:sz w:val="22"/>
          <w:szCs w:val="22"/>
        </w:rPr>
        <w:instrText>1.  Sections A and B</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r w:rsidRPr="0063179A">
        <w:rPr>
          <w:rFonts w:ascii="Arial" w:hAnsi="Arial" w:cs="Arial"/>
          <w:sz w:val="22"/>
          <w:szCs w:val="22"/>
        </w:rPr>
        <w:t xml:space="preserve">1.  Sections A and B </w:t>
      </w:r>
    </w:p>
    <w:tbl>
      <w:tblPr>
        <w:tblW w:w="4969"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136"/>
        <w:gridCol w:w="2721"/>
        <w:gridCol w:w="3624"/>
      </w:tblGrid>
      <w:tr w:rsidR="0084578E" w:rsidRPr="0063179A" w:rsidTr="004661C4">
        <w:trPr>
          <w:trHeight w:val="301"/>
          <w:tblCellSpacing w:w="0" w:type="dxa"/>
          <w:jc w:val="center"/>
        </w:trPr>
        <w:tc>
          <w:tcPr>
            <w:tcW w:w="165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STATE: </w:t>
            </w:r>
          </w:p>
        </w:tc>
        <w:tc>
          <w:tcPr>
            <w:tcW w:w="1435"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REGION:</w:t>
            </w:r>
          </w:p>
        </w:tc>
        <w:tc>
          <w:tcPr>
            <w:tcW w:w="1911"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REPORT FOR PERIOD ENDING: </w:t>
            </w:r>
          </w:p>
        </w:tc>
      </w:tr>
    </w:tbl>
    <w:p w:rsidR="0084578E" w:rsidRPr="0063179A" w:rsidRDefault="0084578E" w:rsidP="0084578E">
      <w:pPr>
        <w:jc w:val="center"/>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93"/>
        <w:gridCol w:w="3445"/>
        <w:gridCol w:w="2772"/>
      </w:tblGrid>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RATE YEAR ENDING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COMPUTATION DATE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RATING SYSTEM</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bl>
    <w:p w:rsidR="0084578E" w:rsidRPr="0063179A" w:rsidRDefault="0084578E" w:rsidP="0084578E">
      <w:pPr>
        <w:jc w:val="center"/>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85"/>
        <w:gridCol w:w="4089"/>
        <w:gridCol w:w="951"/>
        <w:gridCol w:w="1141"/>
        <w:gridCol w:w="1522"/>
        <w:gridCol w:w="1522"/>
      </w:tblGrid>
      <w:tr w:rsidR="0084578E" w:rsidRPr="0063179A" w:rsidTr="004661C4">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SECTION A.   All SUBJECT ACCOUNTS: NUMBER &amp; AMOUNTS OF TOTAL &amp; TAXABLE PAYROLL</w:t>
            </w:r>
          </w:p>
        </w:tc>
      </w:tr>
      <w:tr w:rsidR="0084578E" w:rsidRPr="0063179A" w:rsidTr="004661C4">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Number As Of:</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Payroll 12 Months Ending:</w:t>
            </w:r>
          </w:p>
        </w:tc>
      </w:tr>
      <w:tr w:rsidR="0084578E" w:rsidRPr="0063179A" w:rsidTr="004661C4">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p w:rsidR="0084578E" w:rsidRPr="0063179A" w:rsidRDefault="0084578E" w:rsidP="004661C4">
            <w:pPr>
              <w:jc w:val="center"/>
              <w:rPr>
                <w:rFonts w:ascii="Arial" w:hAnsi="Arial" w:cs="Arial"/>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p>
          <w:p w:rsidR="0084578E" w:rsidRPr="0063179A" w:rsidRDefault="0084578E" w:rsidP="004661C4">
            <w:pPr>
              <w:jc w:val="center"/>
              <w:rPr>
                <w:rFonts w:ascii="Arial" w:hAnsi="Arial" w:cs="Arial"/>
                <w:b/>
                <w:bCs/>
                <w:sz w:val="16"/>
                <w:szCs w:val="16"/>
              </w:rPr>
            </w:pPr>
          </w:p>
          <w:p w:rsidR="0084578E" w:rsidRPr="0063179A" w:rsidRDefault="0084578E" w:rsidP="004661C4">
            <w:pPr>
              <w:jc w:val="center"/>
              <w:rPr>
                <w:rFonts w:ascii="Arial" w:hAnsi="Arial" w:cs="Arial"/>
                <w:b/>
                <w:bCs/>
                <w:sz w:val="16"/>
                <w:szCs w:val="16"/>
              </w:rPr>
            </w:pPr>
          </w:p>
          <w:p w:rsidR="0084578E" w:rsidRPr="0063179A" w:rsidRDefault="0084578E" w:rsidP="004661C4">
            <w:pPr>
              <w:jc w:val="center"/>
              <w:rPr>
                <w:rFonts w:ascii="Arial" w:hAnsi="Arial" w:cs="Arial"/>
                <w:b/>
                <w:bCs/>
                <w:sz w:val="16"/>
                <w:szCs w:val="16"/>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Line  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Taxable</w:t>
            </w:r>
          </w:p>
        </w:tc>
      </w:tr>
      <w:tr w:rsidR="0084578E" w:rsidRPr="0063179A" w:rsidTr="004661C4">
        <w:trPr>
          <w:trHeight w:val="301"/>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w:t>
            </w:r>
          </w:p>
        </w:tc>
      </w:tr>
      <w:tr w:rsidR="0084578E" w:rsidRPr="0063179A" w:rsidTr="004661C4">
        <w:trPr>
          <w:trHeight w:val="301"/>
          <w:tblCellSpacing w:w="0" w:type="dxa"/>
          <w:jc w:val="center"/>
        </w:trPr>
        <w:tc>
          <w:tcPr>
            <w:tcW w:w="15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1.</w:t>
            </w:r>
          </w:p>
        </w:tc>
        <w:tc>
          <w:tcPr>
            <w:tcW w:w="215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Taxable Accounts, Total</w:t>
            </w:r>
          </w:p>
        </w:tc>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101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 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b. Ineligible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103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Reimbursable 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104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RESERVE RATIO STATES ONLY:</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Subject Accounts (Positive Or Zero Balance)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p w:rsidR="0084578E" w:rsidRPr="0063179A" w:rsidRDefault="0084578E" w:rsidP="004661C4">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xml:space="preserve">a. Eligible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p w:rsidR="0084578E" w:rsidRPr="0063179A" w:rsidRDefault="0084578E" w:rsidP="004661C4">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b. Ineligible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p w:rsidR="0084578E" w:rsidRPr="0063179A" w:rsidRDefault="0084578E" w:rsidP="004661C4">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Subject Accounts (Negative Balance)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p w:rsidR="0084578E" w:rsidRPr="0063179A" w:rsidRDefault="0084578E" w:rsidP="004661C4">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 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p w:rsidR="0084578E" w:rsidRPr="0063179A" w:rsidRDefault="0084578E" w:rsidP="004661C4">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b. Ineligible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206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r w:rsidRPr="0063179A">
              <w:rPr>
                <w:rFonts w:ascii="Arial" w:hAnsi="Arial" w:cs="Arial"/>
                <w:sz w:val="16"/>
                <w:szCs w:val="16"/>
              </w:rPr>
              <w:t> </w:t>
            </w:r>
          </w:p>
        </w:tc>
      </w:tr>
      <w:tr w:rsidR="0084578E" w:rsidRPr="0063179A" w:rsidTr="004661C4">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SECTION B.   SUMMARY OF BENEFITS PAID, CHARGED, AND NONCHARGED</w:t>
            </w:r>
          </w:p>
        </w:tc>
      </w:tr>
      <w:tr w:rsidR="0084578E" w:rsidRPr="0063179A" w:rsidTr="004661C4">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Line  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Amount     </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84578E" w:rsidRPr="0063179A" w:rsidRDefault="0084578E" w:rsidP="004661C4">
            <w:pPr>
              <w:rPr>
                <w:rFonts w:ascii="Arial" w:hAnsi="Arial" w:cs="Arial"/>
                <w:b/>
                <w:bCs/>
                <w:sz w:val="16"/>
                <w:szCs w:val="16"/>
              </w:rPr>
            </w:pPr>
            <w:r w:rsidRPr="0063179A">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84578E" w:rsidRPr="0063179A" w:rsidRDefault="0084578E" w:rsidP="004661C4">
            <w:pPr>
              <w:rPr>
                <w:rFonts w:ascii="Arial" w:hAnsi="Arial" w:cs="Arial"/>
                <w:b/>
                <w:bCs/>
                <w:sz w:val="16"/>
                <w:szCs w:val="16"/>
              </w:rPr>
            </w:pPr>
            <w:r w:rsidRPr="0063179A">
              <w:rPr>
                <w:rFonts w:ascii="Arial" w:hAnsi="Arial" w:cs="Arial"/>
                <w:b/>
                <w:bCs/>
                <w:sz w:val="16"/>
                <w:szCs w:val="16"/>
              </w:rPr>
              <w:t>Total Benefits (Or Benefit Wages) Paid</w:t>
            </w:r>
            <w:r w:rsidRPr="0063179A">
              <w:rPr>
                <w:rFonts w:ascii="Arial" w:hAnsi="Arial" w:cs="Arial"/>
                <w:b/>
                <w:bCs/>
                <w:sz w:val="16"/>
                <w:szCs w:val="16"/>
              </w:rPr>
              <w:br/>
              <w:t xml:space="preserve">During 12 Months Ending: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bottom"/>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Taxable Employer 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p>
          <w:p w:rsidR="0084578E" w:rsidRPr="0063179A" w:rsidRDefault="0084578E" w:rsidP="004661C4">
            <w:pPr>
              <w:rPr>
                <w:rFonts w:ascii="Arial" w:hAnsi="Arial" w:cs="Arial"/>
                <w:sz w:val="16"/>
                <w:szCs w:val="16"/>
              </w:rPr>
            </w:pPr>
          </w:p>
          <w:p w:rsidR="0084578E" w:rsidRPr="0063179A" w:rsidRDefault="0084578E" w:rsidP="004661C4">
            <w:pP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 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303</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1. Active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304</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2. Inactive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b. Noncharged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306</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Reimbursable Employer 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 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308</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b. Noncharged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309</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sz w:val="16"/>
                <w:szCs w:val="16"/>
              </w:rPr>
            </w:pPr>
            <w:r w:rsidRPr="0063179A">
              <w:rPr>
                <w:rFonts w:ascii="Arial" w:hAnsi="Arial" w:cs="Arial"/>
                <w:b/>
                <w:bCs/>
                <w:sz w:val="16"/>
                <w:szCs w:val="16"/>
              </w:rPr>
              <w:t>ESTIMATED CALENDAR YEAR (CY) AVERAGE TAX RATES</w:t>
            </w: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Average Tax Rate on Taxable Wages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401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r w:rsidR="0084578E" w:rsidRPr="0063179A" w:rsidTr="004661C4">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Average Tax Rate on Total Wages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402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r>
    </w:tbl>
    <w:p w:rsidR="0084578E" w:rsidRPr="0063179A" w:rsidRDefault="0084578E" w:rsidP="0084578E">
      <w:pPr>
        <w:jc w:val="center"/>
        <w:rPr>
          <w:rFonts w:ascii="Arial" w:hAnsi="Arial" w:cs="Arial"/>
          <w:vanish/>
          <w:sz w:val="16"/>
          <w:szCs w:val="16"/>
        </w:rPr>
      </w:pPr>
    </w:p>
    <w:tbl>
      <w:tblPr>
        <w:tblW w:w="4875" w:type="pct"/>
        <w:jc w:val="center"/>
        <w:tblCellSpacing w:w="0" w:type="dxa"/>
        <w:tblCellMar>
          <w:top w:w="45" w:type="dxa"/>
          <w:left w:w="45" w:type="dxa"/>
          <w:bottom w:w="45" w:type="dxa"/>
          <w:right w:w="45" w:type="dxa"/>
        </w:tblCellMar>
        <w:tblLook w:val="0000" w:firstRow="0" w:lastRow="0" w:firstColumn="0" w:lastColumn="0" w:noHBand="0" w:noVBand="0"/>
      </w:tblPr>
      <w:tblGrid>
        <w:gridCol w:w="9214"/>
      </w:tblGrid>
      <w:tr w:rsidR="0084578E" w:rsidRPr="0063179A" w:rsidTr="004661C4">
        <w:trPr>
          <w:trHeight w:val="301"/>
          <w:tblCellSpacing w:w="0" w:type="dxa"/>
          <w:jc w:val="center"/>
        </w:trPr>
        <w:tc>
          <w:tcPr>
            <w:tcW w:w="5000" w:type="pct"/>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Comments:</w:t>
            </w:r>
          </w:p>
        </w:tc>
      </w:tr>
      <w:tr w:rsidR="0084578E" w:rsidRPr="0063179A" w:rsidTr="004661C4">
        <w:trPr>
          <w:trHeight w:val="301"/>
          <w:tblCellSpacing w:w="0" w:type="dxa"/>
          <w:jc w:val="center"/>
        </w:trPr>
        <w:tc>
          <w:tcPr>
            <w:tcW w:w="5000" w:type="pct"/>
            <w:shd w:val="clear" w:color="auto" w:fill="auto"/>
            <w:vAlign w:val="center"/>
          </w:tcPr>
          <w:p w:rsidR="0084578E" w:rsidRPr="0063179A" w:rsidRDefault="0084578E" w:rsidP="004661C4">
            <w:pPr>
              <w:rPr>
                <w:rFonts w:ascii="Arial" w:hAnsi="Arial" w:cs="Arial"/>
                <w:sz w:val="16"/>
                <w:szCs w:val="16"/>
              </w:rPr>
            </w:pPr>
          </w:p>
        </w:tc>
      </w:tr>
    </w:tbl>
    <w:p w:rsidR="0084578E" w:rsidRPr="0063179A" w:rsidRDefault="0084578E" w:rsidP="0084578E">
      <w:pPr>
        <w:rPr>
          <w:rFonts w:ascii="Arial" w:hAnsi="Arial" w:cs="Arial"/>
          <w:sz w:val="16"/>
          <w:szCs w:val="16"/>
        </w:rPr>
      </w:pPr>
      <w:r w:rsidRPr="0063179A">
        <w:rPr>
          <w:rFonts w:ascii="Arial" w:hAnsi="Arial" w:cs="Arial"/>
          <w:sz w:val="16"/>
          <w:szCs w:val="16"/>
        </w:rPr>
        <w:t> </w:t>
      </w:r>
    </w:p>
    <w:p w:rsidR="0084578E" w:rsidRPr="0063179A" w:rsidRDefault="0084578E" w:rsidP="0084578E">
      <w:pPr>
        <w:ind w:firstLine="540"/>
        <w:rPr>
          <w:rFonts w:ascii="Arial" w:hAnsi="Arial" w:cs="Arial"/>
          <w:sz w:val="16"/>
          <w:szCs w:val="16"/>
        </w:rPr>
      </w:pPr>
      <w:r w:rsidRPr="0063179A">
        <w:rPr>
          <w:rFonts w:ascii="Arial" w:hAnsi="Arial" w:cs="Arial"/>
          <w:sz w:val="16"/>
          <w:szCs w:val="16"/>
        </w:rPr>
        <w:br w:type="page"/>
      </w:r>
      <w:r w:rsidRPr="0063179A">
        <w:rPr>
          <w:rFonts w:ascii="Arial" w:hAnsi="Arial" w:cs="Arial"/>
          <w:sz w:val="16"/>
          <w:szCs w:val="16"/>
        </w:rPr>
        <w:fldChar w:fldCharType="begin"/>
      </w:r>
      <w:r w:rsidRPr="0063179A">
        <w:rPr>
          <w:rFonts w:ascii="Arial" w:hAnsi="Arial" w:cs="Arial"/>
          <w:sz w:val="16"/>
          <w:szCs w:val="16"/>
        </w:rPr>
        <w:instrText xml:space="preserve"> TC “2.  </w:instrText>
      </w:r>
      <w:r w:rsidRPr="0063179A">
        <w:rPr>
          <w:rFonts w:ascii="Arial" w:hAnsi="Arial" w:cs="Arial"/>
          <w:sz w:val="16"/>
          <w:szCs w:val="16"/>
          <w:u w:val="single"/>
        </w:rPr>
        <w:instrText>Section C.  Reserve Ratio</w:instrText>
      </w:r>
      <w:r w:rsidRPr="0063179A">
        <w:rPr>
          <w:rFonts w:ascii="Arial" w:hAnsi="Arial" w:cs="Arial"/>
          <w:sz w:val="16"/>
          <w:szCs w:val="16"/>
        </w:rPr>
        <w:instrText xml:space="preserve">” \f 1 \l 1 </w:instrText>
      </w:r>
      <w:r w:rsidRPr="0063179A">
        <w:rPr>
          <w:rFonts w:ascii="Arial" w:hAnsi="Arial" w:cs="Arial"/>
          <w:sz w:val="16"/>
          <w:szCs w:val="16"/>
        </w:rPr>
        <w:fldChar w:fldCharType="end"/>
      </w:r>
      <w:r w:rsidRPr="0063179A">
        <w:rPr>
          <w:rFonts w:ascii="Arial" w:hAnsi="Arial" w:cs="Arial"/>
          <w:sz w:val="16"/>
          <w:szCs w:val="16"/>
        </w:rPr>
        <w:t xml:space="preserve">2.  </w:t>
      </w:r>
      <w:r w:rsidRPr="0063179A">
        <w:rPr>
          <w:rFonts w:ascii="Arial" w:hAnsi="Arial" w:cs="Arial"/>
          <w:sz w:val="16"/>
          <w:szCs w:val="16"/>
          <w:u w:val="single"/>
        </w:rPr>
        <w:t>Section C.  Reserve Ratio</w:t>
      </w:r>
    </w:p>
    <w:p w:rsidR="0084578E" w:rsidRPr="0063179A" w:rsidRDefault="0084578E" w:rsidP="0084578E">
      <w:pPr>
        <w:rPr>
          <w:rFonts w:ascii="Arial" w:hAnsi="Arial" w:cs="Arial"/>
          <w:sz w:val="16"/>
          <w:szCs w:val="16"/>
        </w:rPr>
      </w:pPr>
      <w:r w:rsidRPr="0063179A">
        <w:rPr>
          <w:rFonts w:ascii="Arial" w:hAnsi="Arial" w:cs="Arial"/>
          <w:sz w:val="16"/>
          <w:szCs w:val="16"/>
        </w:rPr>
        <w:t> </w:t>
      </w:r>
    </w:p>
    <w:p w:rsidR="0084578E" w:rsidRPr="0063179A" w:rsidRDefault="0084578E" w:rsidP="0084578E">
      <w:pPr>
        <w:jc w:val="center"/>
        <w:rPr>
          <w:rFonts w:ascii="Arial" w:hAnsi="Arial" w:cs="Arial"/>
          <w:sz w:val="16"/>
          <w:szCs w:val="16"/>
        </w:rPr>
      </w:pPr>
      <w:r w:rsidRPr="0063179A">
        <w:rPr>
          <w:rFonts w:ascii="Arial" w:hAnsi="Arial" w:cs="Arial"/>
          <w:sz w:val="16"/>
          <w:szCs w:val="16"/>
        </w:rPr>
        <w:t>ETA 204 EXPERIENCE RATING</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84578E" w:rsidRPr="0063179A" w:rsidTr="004661C4">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b/>
                <w:bCs/>
                <w:sz w:val="16"/>
                <w:szCs w:val="16"/>
              </w:rPr>
            </w:pPr>
            <w:r w:rsidRPr="0063179A">
              <w:rPr>
                <w:rFonts w:ascii="Arial" w:hAnsi="Arial" w:cs="Arial"/>
                <w:b/>
                <w:bCs/>
                <w:sz w:val="16"/>
                <w:szCs w:val="16"/>
              </w:rPr>
              <w:t xml:space="preserve">REPORT FOR RATE YEAR ENDING: </w:t>
            </w:r>
          </w:p>
        </w:tc>
      </w:tr>
    </w:tbl>
    <w:p w:rsidR="0084578E" w:rsidRPr="0063179A" w:rsidRDefault="0084578E" w:rsidP="0084578E">
      <w:pPr>
        <w:jc w:val="center"/>
        <w:rPr>
          <w:rFonts w:ascii="Arial" w:hAnsi="Arial" w:cs="Arial"/>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70"/>
        <w:gridCol w:w="628"/>
        <w:gridCol w:w="1167"/>
        <w:gridCol w:w="1171"/>
        <w:gridCol w:w="1390"/>
        <w:gridCol w:w="1390"/>
        <w:gridCol w:w="1171"/>
        <w:gridCol w:w="1291"/>
      </w:tblGrid>
      <w:tr w:rsidR="0084578E" w:rsidRPr="0063179A" w:rsidTr="004661C4">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SECTION C. RESERVE RATIO METHOD OF TAXATION</w:t>
            </w: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Experience</w:t>
            </w:r>
            <w:r w:rsidRPr="0063179A">
              <w:rPr>
                <w:rFonts w:ascii="Arial" w:hAnsi="Arial" w:cs="Arial"/>
                <w:b/>
                <w:bCs/>
                <w:sz w:val="16"/>
                <w:szCs w:val="16"/>
              </w:rPr>
              <w:br/>
              <w:t>Factor</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Average</w:t>
            </w:r>
            <w:r w:rsidRPr="0063179A">
              <w:rPr>
                <w:rFonts w:ascii="Arial" w:hAnsi="Arial" w:cs="Arial"/>
                <w:b/>
                <w:bCs/>
                <w:sz w:val="16"/>
                <w:szCs w:val="16"/>
              </w:rPr>
              <w:br/>
              <w:t>Tax</w:t>
            </w:r>
            <w:r w:rsidRPr="0063179A">
              <w:rPr>
                <w:rFonts w:ascii="Arial" w:hAnsi="Arial" w:cs="Arial"/>
                <w:b/>
                <w:bCs/>
                <w:sz w:val="16"/>
                <w:szCs w:val="16"/>
              </w:rPr>
              <w:br/>
              <w:t>Rate</w:t>
            </w:r>
            <w:r w:rsidRPr="0063179A">
              <w:rPr>
                <w:rFonts w:ascii="Arial" w:hAnsi="Arial" w:cs="Arial"/>
                <w:b/>
                <w:bCs/>
                <w:sz w:val="16"/>
                <w:szCs w:val="16"/>
              </w:rPr>
              <w:br/>
              <w:t>(1)</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Number</w:t>
            </w:r>
          </w:p>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 of</w:t>
            </w:r>
            <w:r w:rsidRPr="0063179A">
              <w:rPr>
                <w:rFonts w:ascii="Arial" w:hAnsi="Arial" w:cs="Arial"/>
                <w:b/>
                <w:bCs/>
                <w:sz w:val="16"/>
                <w:szCs w:val="16"/>
              </w:rPr>
              <w:br/>
              <w:t>Accounts</w:t>
            </w:r>
            <w:r w:rsidRPr="0063179A">
              <w:rPr>
                <w:rFonts w:ascii="Arial" w:hAnsi="Arial" w:cs="Arial"/>
                <w:b/>
                <w:bCs/>
                <w:sz w:val="16"/>
                <w:szCs w:val="16"/>
              </w:rPr>
              <w:br/>
              <w:t> (2)</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w:t>
            </w:r>
            <w:r w:rsidRPr="0063179A">
              <w:rPr>
                <w:rFonts w:ascii="Arial" w:hAnsi="Arial" w:cs="Arial"/>
                <w:b/>
                <w:bCs/>
                <w:sz w:val="16"/>
                <w:szCs w:val="16"/>
              </w:rPr>
              <w:br/>
              <w:t>Payroll</w:t>
            </w:r>
            <w:r w:rsidRPr="0063179A">
              <w:rPr>
                <w:rFonts w:ascii="Arial" w:hAnsi="Arial" w:cs="Arial"/>
                <w:b/>
                <w:bCs/>
                <w:sz w:val="16"/>
                <w:szCs w:val="16"/>
              </w:rPr>
              <w:br/>
              <w:t>(000)</w:t>
            </w:r>
            <w:r w:rsidRPr="0063179A">
              <w:rPr>
                <w:rFonts w:ascii="Arial" w:hAnsi="Arial" w:cs="Arial"/>
                <w:b/>
                <w:bCs/>
                <w:sz w:val="16"/>
                <w:szCs w:val="16"/>
              </w:rPr>
              <w:br/>
              <w:t>(3)</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Taxable</w:t>
            </w:r>
            <w:r w:rsidRPr="0063179A">
              <w:rPr>
                <w:rFonts w:ascii="Arial" w:hAnsi="Arial" w:cs="Arial"/>
                <w:b/>
                <w:bCs/>
                <w:sz w:val="16"/>
                <w:szCs w:val="16"/>
              </w:rPr>
              <w:br/>
              <w:t>Payroll</w:t>
            </w:r>
            <w:r w:rsidRPr="0063179A">
              <w:rPr>
                <w:rFonts w:ascii="Arial" w:hAnsi="Arial" w:cs="Arial"/>
                <w:b/>
                <w:bCs/>
                <w:sz w:val="16"/>
                <w:szCs w:val="16"/>
              </w:rPr>
              <w:br/>
              <w:t>(000)</w:t>
            </w:r>
            <w:r w:rsidRPr="0063179A">
              <w:rPr>
                <w:rFonts w:ascii="Arial" w:hAnsi="Arial" w:cs="Arial"/>
                <w:b/>
                <w:bCs/>
                <w:sz w:val="16"/>
                <w:szCs w:val="16"/>
              </w:rPr>
              <w:br/>
              <w:t>(4)</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Benefits</w:t>
            </w:r>
            <w:r w:rsidRPr="0063179A">
              <w:rPr>
                <w:rFonts w:ascii="Arial" w:hAnsi="Arial" w:cs="Arial"/>
                <w:b/>
                <w:bCs/>
                <w:sz w:val="16"/>
                <w:szCs w:val="16"/>
              </w:rPr>
              <w:br/>
              <w:t>Charged</w:t>
            </w:r>
            <w:r w:rsidRPr="0063179A">
              <w:rPr>
                <w:rFonts w:ascii="Arial" w:hAnsi="Arial" w:cs="Arial"/>
                <w:b/>
                <w:bCs/>
                <w:sz w:val="16"/>
                <w:szCs w:val="16"/>
              </w:rPr>
              <w:br/>
              <w:t>(000)</w:t>
            </w:r>
            <w:r w:rsidRPr="0063179A">
              <w:rPr>
                <w:rFonts w:ascii="Arial" w:hAnsi="Arial" w:cs="Arial"/>
                <w:b/>
                <w:bCs/>
                <w:sz w:val="16"/>
                <w:szCs w:val="16"/>
              </w:rPr>
              <w:br/>
              <w:t>(5)</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Estimated</w:t>
            </w:r>
            <w:r w:rsidRPr="0063179A">
              <w:rPr>
                <w:rFonts w:ascii="Arial" w:hAnsi="Arial" w:cs="Arial"/>
                <w:b/>
                <w:bCs/>
                <w:sz w:val="16"/>
                <w:szCs w:val="16"/>
              </w:rPr>
              <w:br/>
              <w:t>Contributions</w:t>
            </w:r>
            <w:r w:rsidRPr="0063179A">
              <w:rPr>
                <w:rFonts w:ascii="Arial" w:hAnsi="Arial" w:cs="Arial"/>
                <w:b/>
                <w:bCs/>
                <w:sz w:val="16"/>
                <w:szCs w:val="16"/>
              </w:rPr>
              <w:br/>
              <w:t>(000)</w:t>
            </w:r>
            <w:r w:rsidRPr="0063179A">
              <w:rPr>
                <w:rFonts w:ascii="Arial" w:hAnsi="Arial" w:cs="Arial"/>
                <w:b/>
                <w:bCs/>
                <w:sz w:val="16"/>
                <w:szCs w:val="16"/>
              </w:rPr>
              <w:br/>
              <w:t>(6)</w:t>
            </w:r>
          </w:p>
        </w:tc>
      </w:tr>
      <w:tr w:rsidR="0084578E" w:rsidRPr="0063179A" w:rsidTr="004661C4">
        <w:trPr>
          <w:trHeight w:val="301"/>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Greater</w:t>
            </w:r>
            <w:r w:rsidRPr="0063179A">
              <w:rPr>
                <w:rFonts w:ascii="Arial" w:hAnsi="Arial" w:cs="Arial"/>
                <w:b/>
                <w:bCs/>
                <w:sz w:val="16"/>
                <w:szCs w:val="16"/>
              </w:rPr>
              <w:br/>
              <w:t>than</w:t>
            </w:r>
          </w:p>
        </w:tc>
        <w:tc>
          <w:tcPr>
            <w:tcW w:w="35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Less</w:t>
            </w:r>
            <w:r w:rsidRPr="0063179A">
              <w:rPr>
                <w:rFonts w:ascii="Arial" w:hAnsi="Arial" w:cs="Arial"/>
                <w:b/>
                <w:bCs/>
                <w:sz w:val="16"/>
                <w:szCs w:val="16"/>
              </w:rPr>
              <w:br/>
              <w:t>Than Or</w:t>
            </w:r>
            <w:r w:rsidRPr="0063179A">
              <w:rPr>
                <w:rFonts w:ascii="Arial" w:hAnsi="Arial" w:cs="Arial"/>
                <w:b/>
                <w:bCs/>
                <w:sz w:val="16"/>
                <w:szCs w:val="16"/>
              </w:rPr>
              <w:br/>
              <w:t>Equal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r>
      <w:tr w:rsidR="0084578E" w:rsidRPr="0063179A" w:rsidTr="004661C4">
        <w:trPr>
          <w:trHeight w:val="198"/>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ELIGIBLE – REGULARLY RATED BY FACTOR</w:t>
            </w: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-60.0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-60.0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-40.0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-40.0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-20.0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-4.5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0.5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15.0 </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25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SUBTOTAL</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ELIGIBLE-SPECIALLY</w:t>
            </w:r>
            <w:r w:rsidRPr="0063179A">
              <w:rPr>
                <w:rFonts w:ascii="Arial" w:hAnsi="Arial" w:cs="Arial"/>
                <w:b/>
                <w:bCs/>
                <w:sz w:val="16"/>
                <w:szCs w:val="16"/>
              </w:rPr>
              <w:br/>
              <w:t>TAXED</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INELIGIBLE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ALL SUBJECT</w:t>
            </w:r>
            <w:r w:rsidRPr="0063179A">
              <w:rPr>
                <w:rFonts w:ascii="Arial" w:hAnsi="Arial" w:cs="Arial"/>
                <w:b/>
                <w:bCs/>
                <w:sz w:val="16"/>
                <w:szCs w:val="16"/>
              </w:rPr>
              <w:br/>
              <w:t>ACCOUNTS</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bl>
    <w:p w:rsidR="0084578E" w:rsidRPr="0063179A" w:rsidRDefault="0084578E" w:rsidP="0084578E">
      <w:pPr>
        <w:jc w:val="center"/>
        <w:rPr>
          <w:rFonts w:ascii="Arial" w:hAnsi="Arial" w:cs="Arial"/>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84578E" w:rsidRPr="0063179A" w:rsidTr="004661C4">
        <w:trPr>
          <w:trHeight w:val="301"/>
          <w:tblCellSpacing w:w="0" w:type="dxa"/>
          <w:jc w:val="center"/>
        </w:trPr>
        <w:tc>
          <w:tcPr>
            <w:tcW w:w="0" w:type="auto"/>
            <w:shd w:val="clear" w:color="auto" w:fill="auto"/>
            <w:vAlign w:val="center"/>
          </w:tcPr>
          <w:p w:rsidR="0084578E" w:rsidRPr="0063179A" w:rsidRDefault="0084578E" w:rsidP="004661C4">
            <w:pPr>
              <w:rPr>
                <w:rFonts w:ascii="Arial" w:hAnsi="Arial" w:cs="Arial"/>
                <w:sz w:val="18"/>
                <w:szCs w:val="18"/>
              </w:rPr>
            </w:pPr>
            <w:r w:rsidRPr="0063179A">
              <w:rPr>
                <w:rFonts w:ascii="Arial" w:hAnsi="Arial" w:cs="Arial"/>
                <w:sz w:val="18"/>
                <w:szCs w:val="18"/>
              </w:rPr>
              <w:t>Comments:</w:t>
            </w:r>
          </w:p>
        </w:tc>
      </w:tr>
      <w:tr w:rsidR="0084578E" w:rsidRPr="0063179A" w:rsidTr="004661C4">
        <w:trPr>
          <w:trHeight w:val="301"/>
          <w:tblCellSpacing w:w="0" w:type="dxa"/>
          <w:jc w:val="center"/>
        </w:trPr>
        <w:tc>
          <w:tcPr>
            <w:tcW w:w="0" w:type="auto"/>
            <w:shd w:val="clear" w:color="auto" w:fill="auto"/>
            <w:vAlign w:val="center"/>
          </w:tcPr>
          <w:p w:rsidR="0084578E" w:rsidRPr="0063179A" w:rsidRDefault="0084578E" w:rsidP="004661C4">
            <w:pPr>
              <w:jc w:val="both"/>
              <w:rPr>
                <w:rFonts w:ascii="Arial" w:hAnsi="Arial" w:cs="Arial"/>
                <w:sz w:val="16"/>
                <w:szCs w:val="16"/>
              </w:rPr>
            </w:pPr>
            <w:r w:rsidRPr="0063179A">
              <w:rPr>
                <w:rFonts w:ascii="Arial" w:hAnsi="Arial" w:cs="Arial"/>
                <w:b/>
                <w:bCs/>
                <w:sz w:val="16"/>
                <w:szCs w:val="16"/>
              </w:rPr>
              <w:t>O M B No.:</w:t>
            </w:r>
            <w:r w:rsidRPr="0063179A">
              <w:rPr>
                <w:rFonts w:ascii="Arial" w:hAnsi="Arial" w:cs="Arial"/>
                <w:sz w:val="16"/>
                <w:szCs w:val="16"/>
              </w:rPr>
              <w:t xml:space="preserve"> 1205-0164      </w:t>
            </w:r>
            <w:r w:rsidRPr="0063179A">
              <w:rPr>
                <w:rFonts w:ascii="Arial" w:hAnsi="Arial" w:cs="Arial"/>
                <w:b/>
                <w:bCs/>
                <w:sz w:val="16"/>
                <w:szCs w:val="16"/>
              </w:rPr>
              <w:t>O M B Expiration Date:</w:t>
            </w:r>
            <w:r w:rsidR="006E4C51">
              <w:rPr>
                <w:rFonts w:ascii="Arial" w:hAnsi="Arial" w:cs="Arial"/>
                <w:sz w:val="16"/>
                <w:szCs w:val="16"/>
              </w:rPr>
              <w:t xml:space="preserve"> 08</w:t>
            </w:r>
            <w:r w:rsidRPr="0063179A">
              <w:rPr>
                <w:rFonts w:ascii="Arial" w:hAnsi="Arial" w:cs="Arial"/>
                <w:sz w:val="16"/>
                <w:szCs w:val="16"/>
              </w:rPr>
              <w:t xml:space="preserve">/31/2018     </w:t>
            </w:r>
            <w:r w:rsidRPr="0063179A">
              <w:rPr>
                <w:rFonts w:ascii="Arial" w:hAnsi="Arial" w:cs="Arial"/>
                <w:b/>
                <w:bCs/>
                <w:sz w:val="16"/>
                <w:szCs w:val="16"/>
              </w:rPr>
              <w:t xml:space="preserve">Av Est Response Time: ETA 204, A,B and C: </w:t>
            </w:r>
            <w:r w:rsidRPr="0063179A">
              <w:rPr>
                <w:rFonts w:ascii="Arial" w:hAnsi="Arial" w:cs="Arial"/>
                <w:sz w:val="16"/>
                <w:szCs w:val="16"/>
              </w:rPr>
              <w:t>30 minutes</w:t>
            </w:r>
          </w:p>
          <w:p w:rsidR="0084578E" w:rsidRPr="0063179A" w:rsidRDefault="0084578E" w:rsidP="004661C4">
            <w:pPr>
              <w:jc w:val="both"/>
              <w:rPr>
                <w:rFonts w:ascii="Arial" w:hAnsi="Arial" w:cs="Arial"/>
                <w:sz w:val="16"/>
                <w:szCs w:val="16"/>
              </w:rPr>
            </w:pPr>
            <w:r w:rsidRPr="0063179A">
              <w:rPr>
                <w:rFonts w:ascii="Arial" w:hAnsi="Arial" w:cs="Arial"/>
                <w:sz w:val="16"/>
                <w:szCs w:val="16"/>
              </w:rPr>
              <w:br/>
            </w:r>
            <w:r w:rsidRPr="0063179A">
              <w:rPr>
                <w:rFonts w:ascii="Arial" w:hAnsi="Arial" w:cs="Arial"/>
                <w:b/>
                <w:bCs/>
                <w:sz w:val="16"/>
                <w:szCs w:val="16"/>
              </w:rPr>
              <w:t>O M B Burden Statement:</w:t>
            </w:r>
            <w:r w:rsidRPr="0063179A">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4578E" w:rsidRPr="0063179A" w:rsidRDefault="0084578E" w:rsidP="004661C4">
            <w:pPr>
              <w:jc w:val="both"/>
              <w:rPr>
                <w:rFonts w:ascii="Arial" w:hAnsi="Arial" w:cs="Arial"/>
                <w:sz w:val="16"/>
                <w:szCs w:val="16"/>
              </w:rPr>
            </w:pPr>
          </w:p>
        </w:tc>
      </w:tr>
    </w:tbl>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widowControl/>
        <w:autoSpaceDE/>
        <w:autoSpaceDN/>
        <w:adjustRightInd/>
        <w:rPr>
          <w:rFonts w:ascii="Arial" w:hAnsi="Arial" w:cs="Arial"/>
          <w:sz w:val="24"/>
          <w:szCs w:val="24"/>
        </w:rPr>
      </w:pPr>
      <w:r w:rsidRPr="0063179A">
        <w:rPr>
          <w:rFonts w:ascii="Arial" w:hAnsi="Arial" w:cs="Arial"/>
          <w:sz w:val="24"/>
          <w:szCs w:val="24"/>
        </w:rPr>
        <w:br w:type="page"/>
      </w:r>
    </w:p>
    <w:p w:rsidR="0084578E" w:rsidRPr="0063179A" w:rsidRDefault="0084578E" w:rsidP="0084578E">
      <w:pPr>
        <w:ind w:firstLine="540"/>
        <w:rPr>
          <w:rFonts w:ascii="Arial" w:hAnsi="Arial" w:cs="Arial"/>
          <w:szCs w:val="24"/>
          <w:u w:val="single"/>
        </w:rPr>
      </w:pPr>
      <w:r w:rsidRPr="0063179A">
        <w:rPr>
          <w:rFonts w:ascii="Arial" w:hAnsi="Arial" w:cs="Arial"/>
          <w:sz w:val="24"/>
          <w:szCs w:val="24"/>
        </w:rPr>
        <w:fldChar w:fldCharType="begin"/>
      </w:r>
      <w:r w:rsidRPr="0063179A">
        <w:rPr>
          <w:rFonts w:ascii="Arial" w:hAnsi="Arial" w:cs="Arial"/>
          <w:sz w:val="24"/>
          <w:szCs w:val="24"/>
        </w:rPr>
        <w:instrText xml:space="preserve"> TC “</w:instrText>
      </w:r>
      <w:r w:rsidRPr="0063179A">
        <w:rPr>
          <w:rFonts w:ascii="Arial" w:hAnsi="Arial" w:cs="Arial"/>
          <w:szCs w:val="24"/>
        </w:rPr>
        <w:instrText xml:space="preserve">3.  </w:instrText>
      </w:r>
      <w:r w:rsidRPr="0063179A">
        <w:rPr>
          <w:rFonts w:ascii="Arial" w:hAnsi="Arial" w:cs="Arial"/>
          <w:szCs w:val="24"/>
          <w:u w:val="single"/>
        </w:rPr>
        <w:instrText>Section C. Benefit Ratio</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r w:rsidRPr="0063179A">
        <w:rPr>
          <w:rFonts w:ascii="Arial" w:hAnsi="Arial" w:cs="Arial"/>
          <w:szCs w:val="24"/>
        </w:rPr>
        <w:t xml:space="preserve">3.  </w:t>
      </w:r>
      <w:r w:rsidRPr="0063179A">
        <w:rPr>
          <w:rFonts w:ascii="Arial" w:hAnsi="Arial" w:cs="Arial"/>
          <w:szCs w:val="24"/>
          <w:u w:val="single"/>
        </w:rPr>
        <w:t xml:space="preserve">Section C. Benefit Ratio </w:t>
      </w:r>
    </w:p>
    <w:p w:rsidR="0084578E" w:rsidRPr="0063179A" w:rsidRDefault="0084578E" w:rsidP="0084578E">
      <w:pPr>
        <w:jc w:val="center"/>
        <w:rPr>
          <w:rFonts w:ascii="Arial" w:hAnsi="Arial" w:cs="Arial"/>
        </w:rPr>
      </w:pPr>
      <w:bookmarkStart w:id="11" w:name="_Toc481485260"/>
      <w:r w:rsidRPr="0063179A">
        <w:rPr>
          <w:rFonts w:ascii="Arial" w:hAnsi="Arial" w:cs="Arial"/>
        </w:rPr>
        <w:t>ETA 204 EXPERIENCE RATING</w:t>
      </w:r>
      <w:bookmarkEnd w:id="11"/>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84578E" w:rsidRPr="0063179A" w:rsidTr="004661C4">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REPORT FOR RATE YEAR ENDING: </w:t>
            </w:r>
          </w:p>
        </w:tc>
      </w:tr>
    </w:tbl>
    <w:p w:rsidR="0084578E" w:rsidRPr="0063179A" w:rsidRDefault="0084578E" w:rsidP="0084578E">
      <w:pPr>
        <w:jc w:val="center"/>
        <w:rPr>
          <w:rFonts w:ascii="Arial" w:hAnsi="Arial" w:cs="Arial"/>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18"/>
        <w:gridCol w:w="718"/>
        <w:gridCol w:w="1257"/>
        <w:gridCol w:w="1257"/>
        <w:gridCol w:w="1257"/>
        <w:gridCol w:w="1257"/>
        <w:gridCol w:w="1257"/>
        <w:gridCol w:w="1257"/>
      </w:tblGrid>
      <w:tr w:rsidR="0084578E" w:rsidRPr="0063179A" w:rsidTr="004661C4">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SECTION C. BENEFIT RATIO METHOD OF TAXATION</w:t>
            </w: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Experience</w:t>
            </w:r>
            <w:r w:rsidRPr="0063179A">
              <w:rPr>
                <w:rFonts w:ascii="Arial" w:hAnsi="Arial" w:cs="Arial"/>
                <w:b/>
                <w:bCs/>
                <w:sz w:val="16"/>
                <w:szCs w:val="16"/>
              </w:rPr>
              <w:br/>
              <w:t>Factor</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Average</w:t>
            </w:r>
            <w:r w:rsidRPr="0063179A">
              <w:rPr>
                <w:rFonts w:ascii="Arial" w:hAnsi="Arial" w:cs="Arial"/>
                <w:b/>
                <w:bCs/>
                <w:sz w:val="16"/>
                <w:szCs w:val="16"/>
              </w:rPr>
              <w:br/>
              <w:t>Tax</w:t>
            </w:r>
            <w:r w:rsidRPr="0063179A">
              <w:rPr>
                <w:rFonts w:ascii="Arial" w:hAnsi="Arial" w:cs="Arial"/>
                <w:b/>
                <w:bCs/>
                <w:sz w:val="16"/>
                <w:szCs w:val="16"/>
              </w:rPr>
              <w:br/>
              <w:t>Rate</w:t>
            </w:r>
            <w:r w:rsidRPr="0063179A">
              <w:rPr>
                <w:rFonts w:ascii="Arial" w:hAnsi="Arial" w:cs="Arial"/>
                <w:b/>
                <w:bCs/>
                <w:sz w:val="16"/>
                <w:szCs w:val="16"/>
              </w:rPr>
              <w:br/>
              <w:t>(1)</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Number </w:t>
            </w:r>
          </w:p>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 xml:space="preserve"> of</w:t>
            </w:r>
            <w:r w:rsidRPr="0063179A">
              <w:rPr>
                <w:rFonts w:ascii="Arial" w:hAnsi="Arial" w:cs="Arial"/>
                <w:b/>
                <w:bCs/>
                <w:sz w:val="16"/>
                <w:szCs w:val="16"/>
              </w:rPr>
              <w:br/>
              <w:t>Accounts</w:t>
            </w:r>
            <w:r w:rsidRPr="0063179A">
              <w:rPr>
                <w:rFonts w:ascii="Arial" w:hAnsi="Arial" w:cs="Arial"/>
                <w:b/>
                <w:bCs/>
                <w:sz w:val="16"/>
                <w:szCs w:val="16"/>
              </w:rPr>
              <w:br/>
              <w:t> (2)</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w:t>
            </w:r>
            <w:r w:rsidRPr="0063179A">
              <w:rPr>
                <w:rFonts w:ascii="Arial" w:hAnsi="Arial" w:cs="Arial"/>
                <w:b/>
                <w:bCs/>
                <w:sz w:val="16"/>
                <w:szCs w:val="16"/>
              </w:rPr>
              <w:br/>
              <w:t>Payroll</w:t>
            </w:r>
            <w:r w:rsidRPr="0063179A">
              <w:rPr>
                <w:rFonts w:ascii="Arial" w:hAnsi="Arial" w:cs="Arial"/>
                <w:b/>
                <w:bCs/>
                <w:sz w:val="16"/>
                <w:szCs w:val="16"/>
              </w:rPr>
              <w:br/>
              <w:t>(000)</w:t>
            </w:r>
            <w:r w:rsidRPr="0063179A">
              <w:rPr>
                <w:rFonts w:ascii="Arial" w:hAnsi="Arial" w:cs="Arial"/>
                <w:b/>
                <w:bCs/>
                <w:sz w:val="16"/>
                <w:szCs w:val="16"/>
              </w:rPr>
              <w:br/>
              <w:t>(3)</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Taxable</w:t>
            </w:r>
            <w:r w:rsidRPr="0063179A">
              <w:rPr>
                <w:rFonts w:ascii="Arial" w:hAnsi="Arial" w:cs="Arial"/>
                <w:b/>
                <w:bCs/>
                <w:sz w:val="16"/>
                <w:szCs w:val="16"/>
              </w:rPr>
              <w:br/>
              <w:t>Payroll</w:t>
            </w:r>
            <w:r w:rsidRPr="0063179A">
              <w:rPr>
                <w:rFonts w:ascii="Arial" w:hAnsi="Arial" w:cs="Arial"/>
                <w:b/>
                <w:bCs/>
                <w:sz w:val="16"/>
                <w:szCs w:val="16"/>
              </w:rPr>
              <w:br/>
              <w:t>(000)</w:t>
            </w:r>
            <w:r w:rsidRPr="0063179A">
              <w:rPr>
                <w:rFonts w:ascii="Arial" w:hAnsi="Arial" w:cs="Arial"/>
                <w:b/>
                <w:bCs/>
                <w:sz w:val="16"/>
                <w:szCs w:val="16"/>
              </w:rPr>
              <w:br/>
              <w:t>(4)</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Benefits</w:t>
            </w:r>
            <w:r w:rsidRPr="0063179A">
              <w:rPr>
                <w:rFonts w:ascii="Arial" w:hAnsi="Arial" w:cs="Arial"/>
                <w:b/>
                <w:bCs/>
                <w:sz w:val="16"/>
                <w:szCs w:val="16"/>
              </w:rPr>
              <w:br/>
              <w:t>Charged</w:t>
            </w:r>
            <w:r w:rsidRPr="0063179A">
              <w:rPr>
                <w:rFonts w:ascii="Arial" w:hAnsi="Arial" w:cs="Arial"/>
                <w:b/>
                <w:bCs/>
                <w:sz w:val="16"/>
                <w:szCs w:val="16"/>
              </w:rPr>
              <w:br/>
              <w:t>(000)</w:t>
            </w:r>
            <w:r w:rsidRPr="0063179A">
              <w:rPr>
                <w:rFonts w:ascii="Arial" w:hAnsi="Arial" w:cs="Arial"/>
                <w:b/>
                <w:bCs/>
                <w:sz w:val="16"/>
                <w:szCs w:val="16"/>
              </w:rPr>
              <w:br/>
              <w:t>(5)</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Estimated</w:t>
            </w:r>
            <w:r w:rsidRPr="0063179A">
              <w:rPr>
                <w:rFonts w:ascii="Arial" w:hAnsi="Arial" w:cs="Arial"/>
                <w:b/>
                <w:bCs/>
                <w:sz w:val="16"/>
                <w:szCs w:val="16"/>
              </w:rPr>
              <w:br/>
              <w:t>Contributions</w:t>
            </w:r>
            <w:r w:rsidRPr="0063179A">
              <w:rPr>
                <w:rFonts w:ascii="Arial" w:hAnsi="Arial" w:cs="Arial"/>
                <w:b/>
                <w:bCs/>
                <w:sz w:val="16"/>
                <w:szCs w:val="16"/>
              </w:rPr>
              <w:br/>
              <w:t>(000)</w:t>
            </w:r>
            <w:r w:rsidRPr="0063179A">
              <w:rPr>
                <w:rFonts w:ascii="Arial" w:hAnsi="Arial" w:cs="Arial"/>
                <w:b/>
                <w:bCs/>
                <w:sz w:val="16"/>
                <w:szCs w:val="16"/>
              </w:rPr>
              <w:br/>
              <w:t>(6)</w:t>
            </w: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Greater</w:t>
            </w:r>
            <w:r w:rsidRPr="0063179A">
              <w:rPr>
                <w:rFonts w:ascii="Arial" w:hAnsi="Arial" w:cs="Arial"/>
                <w:b/>
                <w:bCs/>
                <w:sz w:val="16"/>
                <w:szCs w:val="16"/>
              </w:rPr>
              <w:br/>
              <w:t>than</w:t>
            </w:r>
          </w:p>
        </w:tc>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Less</w:t>
            </w:r>
            <w:r w:rsidRPr="0063179A">
              <w:rPr>
                <w:rFonts w:ascii="Arial" w:hAnsi="Arial" w:cs="Arial"/>
                <w:b/>
                <w:bCs/>
                <w:sz w:val="16"/>
                <w:szCs w:val="16"/>
              </w:rPr>
              <w:br/>
              <w:t>Than Or</w:t>
            </w:r>
            <w:r w:rsidRPr="0063179A">
              <w:rPr>
                <w:rFonts w:ascii="Arial" w:hAnsi="Arial" w:cs="Arial"/>
                <w:b/>
                <w:bCs/>
                <w:sz w:val="16"/>
                <w:szCs w:val="16"/>
              </w:rPr>
              <w:br/>
              <w:t>Equal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rPr>
                <w:rFonts w:ascii="Arial" w:hAnsi="Arial" w:cs="Arial"/>
                <w:b/>
                <w:bCs/>
                <w:sz w:val="16"/>
                <w:szCs w:val="16"/>
              </w:rPr>
            </w:pPr>
          </w:p>
        </w:tc>
      </w:tr>
      <w:tr w:rsidR="0084578E" w:rsidRPr="0063179A" w:rsidTr="004661C4">
        <w:trPr>
          <w:trHeight w:val="301"/>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rPr>
                <w:rFonts w:ascii="Arial" w:hAnsi="Arial" w:cs="Arial"/>
                <w:sz w:val="16"/>
                <w:szCs w:val="16"/>
              </w:rPr>
            </w:pPr>
            <w:r w:rsidRPr="0063179A">
              <w:rPr>
                <w:rFonts w:ascii="Arial" w:hAnsi="Arial" w:cs="Arial"/>
                <w:sz w:val="16"/>
                <w:szCs w:val="16"/>
              </w:rPr>
              <w:t>ELIGIBLE – REGULARLY RATED</w:t>
            </w: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0.1</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0.2</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0.3</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7.9</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8.5</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8.5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9.0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15.0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center"/>
              <w:rPr>
                <w:rFonts w:ascii="Arial" w:hAnsi="Arial" w:cs="Arial"/>
                <w:sz w:val="16"/>
                <w:szCs w:val="16"/>
              </w:rPr>
            </w:pPr>
            <w:r w:rsidRPr="0063179A">
              <w:rPr>
                <w:rFonts w:ascii="Arial" w:hAnsi="Arial" w:cs="Arial"/>
                <w:sz w:val="16"/>
                <w:szCs w:val="16"/>
              </w:rPr>
              <w:t> </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SUBTOTAL</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ELIGIBLE-SPECIALLY</w:t>
            </w:r>
            <w:r w:rsidRPr="0063179A">
              <w:rPr>
                <w:rFonts w:ascii="Arial" w:hAnsi="Arial" w:cs="Arial"/>
                <w:b/>
                <w:bCs/>
                <w:sz w:val="16"/>
                <w:szCs w:val="16"/>
              </w:rPr>
              <w:br/>
              <w:t>TAXED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INELIGIBLE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r w:rsidR="0084578E" w:rsidRPr="0063179A" w:rsidTr="004661C4">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4578E" w:rsidRPr="0063179A" w:rsidRDefault="0084578E" w:rsidP="004661C4">
            <w:pPr>
              <w:jc w:val="center"/>
              <w:rPr>
                <w:rFonts w:ascii="Arial" w:hAnsi="Arial" w:cs="Arial"/>
                <w:b/>
                <w:bCs/>
                <w:sz w:val="16"/>
                <w:szCs w:val="16"/>
              </w:rPr>
            </w:pPr>
            <w:r w:rsidRPr="0063179A">
              <w:rPr>
                <w:rFonts w:ascii="Arial" w:hAnsi="Arial" w:cs="Arial"/>
                <w:b/>
                <w:bCs/>
                <w:sz w:val="16"/>
                <w:szCs w:val="16"/>
              </w:rPr>
              <w:t>TOTAL ALL SUBJECT</w:t>
            </w:r>
            <w:r w:rsidRPr="0063179A">
              <w:rPr>
                <w:rFonts w:ascii="Arial" w:hAnsi="Arial" w:cs="Arial"/>
                <w:b/>
                <w:bCs/>
                <w:sz w:val="16"/>
                <w:szCs w:val="16"/>
              </w:rPr>
              <w:br/>
              <w:t>ACCOUNTS</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84578E" w:rsidRPr="0063179A" w:rsidRDefault="0084578E" w:rsidP="004661C4">
            <w:pPr>
              <w:jc w:val="right"/>
              <w:rPr>
                <w:rFonts w:ascii="Arial" w:hAnsi="Arial" w:cs="Arial"/>
                <w:sz w:val="16"/>
                <w:szCs w:val="16"/>
              </w:rPr>
            </w:pPr>
          </w:p>
        </w:tc>
      </w:tr>
    </w:tbl>
    <w:p w:rsidR="0084578E" w:rsidRPr="0063179A" w:rsidRDefault="0084578E" w:rsidP="0084578E">
      <w:pPr>
        <w:jc w:val="center"/>
        <w:rPr>
          <w:rFonts w:ascii="Arial" w:hAnsi="Arial" w:cs="Arial"/>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84578E" w:rsidRPr="0063179A" w:rsidTr="004661C4">
        <w:trPr>
          <w:trHeight w:val="301"/>
          <w:tblCellSpacing w:w="0" w:type="dxa"/>
          <w:jc w:val="center"/>
        </w:trPr>
        <w:tc>
          <w:tcPr>
            <w:tcW w:w="0" w:type="auto"/>
            <w:shd w:val="clear" w:color="auto" w:fill="auto"/>
            <w:vAlign w:val="center"/>
          </w:tcPr>
          <w:p w:rsidR="0084578E" w:rsidRPr="0063179A" w:rsidRDefault="0084578E" w:rsidP="004661C4">
            <w:pPr>
              <w:rPr>
                <w:rFonts w:ascii="Arial" w:hAnsi="Arial" w:cs="Arial"/>
                <w:sz w:val="18"/>
                <w:szCs w:val="18"/>
              </w:rPr>
            </w:pPr>
            <w:r w:rsidRPr="0063179A">
              <w:rPr>
                <w:rFonts w:ascii="Arial" w:hAnsi="Arial" w:cs="Arial"/>
                <w:sz w:val="18"/>
                <w:szCs w:val="18"/>
              </w:rPr>
              <w:t>Comments:</w:t>
            </w:r>
          </w:p>
        </w:tc>
      </w:tr>
      <w:tr w:rsidR="0084578E" w:rsidRPr="0063179A" w:rsidTr="004661C4">
        <w:trPr>
          <w:trHeight w:val="301"/>
          <w:tblCellSpacing w:w="0" w:type="dxa"/>
          <w:jc w:val="center"/>
        </w:trPr>
        <w:tc>
          <w:tcPr>
            <w:tcW w:w="0" w:type="auto"/>
            <w:shd w:val="clear" w:color="auto" w:fill="auto"/>
            <w:vAlign w:val="center"/>
          </w:tcPr>
          <w:p w:rsidR="0084578E" w:rsidRPr="0063179A" w:rsidRDefault="0084578E" w:rsidP="004661C4">
            <w:pPr>
              <w:jc w:val="both"/>
              <w:rPr>
                <w:rFonts w:ascii="Arial" w:hAnsi="Arial" w:cs="Arial"/>
                <w:sz w:val="16"/>
                <w:szCs w:val="16"/>
              </w:rPr>
            </w:pPr>
            <w:r w:rsidRPr="0063179A">
              <w:rPr>
                <w:rFonts w:ascii="Arial" w:hAnsi="Arial" w:cs="Arial"/>
                <w:sz w:val="16"/>
                <w:szCs w:val="16"/>
              </w:rPr>
              <w:br/>
            </w:r>
            <w:r w:rsidRPr="0063179A">
              <w:rPr>
                <w:rFonts w:ascii="Arial" w:hAnsi="Arial" w:cs="Arial"/>
                <w:b/>
                <w:bCs/>
                <w:sz w:val="16"/>
                <w:szCs w:val="16"/>
              </w:rPr>
              <w:t>O M B No.:</w:t>
            </w:r>
            <w:r w:rsidRPr="0063179A">
              <w:rPr>
                <w:rFonts w:ascii="Arial" w:hAnsi="Arial" w:cs="Arial"/>
                <w:sz w:val="16"/>
                <w:szCs w:val="16"/>
              </w:rPr>
              <w:t xml:space="preserve"> 1205-0164      </w:t>
            </w:r>
            <w:r w:rsidRPr="0063179A">
              <w:rPr>
                <w:rFonts w:ascii="Arial" w:hAnsi="Arial" w:cs="Arial"/>
                <w:b/>
                <w:bCs/>
                <w:sz w:val="16"/>
                <w:szCs w:val="16"/>
              </w:rPr>
              <w:t>O M B Expiration Date:</w:t>
            </w:r>
            <w:r w:rsidR="00B55891">
              <w:rPr>
                <w:rFonts w:ascii="Arial" w:hAnsi="Arial" w:cs="Arial"/>
                <w:sz w:val="16"/>
                <w:szCs w:val="16"/>
              </w:rPr>
              <w:t xml:space="preserve"> 08</w:t>
            </w:r>
            <w:r w:rsidRPr="0063179A">
              <w:rPr>
                <w:rFonts w:ascii="Arial" w:hAnsi="Arial" w:cs="Arial"/>
                <w:sz w:val="16"/>
                <w:szCs w:val="16"/>
              </w:rPr>
              <w:t xml:space="preserve">/31/2018     </w:t>
            </w:r>
            <w:r w:rsidRPr="0063179A">
              <w:rPr>
                <w:rFonts w:ascii="Arial" w:hAnsi="Arial" w:cs="Arial"/>
                <w:b/>
                <w:bCs/>
                <w:sz w:val="16"/>
                <w:szCs w:val="16"/>
              </w:rPr>
              <w:t xml:space="preserve">Average Estimated Response Time: </w:t>
            </w:r>
            <w:r w:rsidRPr="0063179A">
              <w:rPr>
                <w:rFonts w:ascii="Arial" w:hAnsi="Arial" w:cs="Arial"/>
                <w:sz w:val="16"/>
                <w:szCs w:val="16"/>
              </w:rPr>
              <w:t>15 minutes</w:t>
            </w:r>
            <w:r w:rsidRPr="0063179A">
              <w:rPr>
                <w:rFonts w:ascii="Arial" w:hAnsi="Arial" w:cs="Arial"/>
                <w:sz w:val="16"/>
                <w:szCs w:val="16"/>
              </w:rPr>
              <w:br/>
              <w:t xml:space="preserve"> </w:t>
            </w:r>
            <w:r w:rsidRPr="0063179A">
              <w:rPr>
                <w:rFonts w:ascii="Arial" w:hAnsi="Arial" w:cs="Arial"/>
                <w:sz w:val="16"/>
                <w:szCs w:val="16"/>
              </w:rPr>
              <w:br/>
            </w:r>
            <w:r w:rsidRPr="0063179A">
              <w:rPr>
                <w:rFonts w:ascii="Arial" w:hAnsi="Arial" w:cs="Arial"/>
                <w:b/>
                <w:bCs/>
                <w:sz w:val="16"/>
                <w:szCs w:val="16"/>
              </w:rPr>
              <w:t>O M B Burden Statement:</w:t>
            </w:r>
            <w:r w:rsidRPr="0063179A">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4578E" w:rsidRPr="0063179A" w:rsidRDefault="0084578E" w:rsidP="004661C4">
            <w:pPr>
              <w:jc w:val="both"/>
              <w:rPr>
                <w:rFonts w:ascii="Arial" w:hAnsi="Arial" w:cs="Arial"/>
                <w:sz w:val="16"/>
                <w:szCs w:val="16"/>
              </w:rPr>
            </w:pPr>
          </w:p>
        </w:tc>
      </w:tr>
    </w:tbl>
    <w:p w:rsidR="0084578E" w:rsidRPr="0063179A" w:rsidRDefault="0084578E" w:rsidP="0084578E">
      <w:pPr>
        <w:ind w:firstLine="540"/>
        <w:rPr>
          <w:rFonts w:ascii="Arial" w:hAnsi="Arial" w:cs="Arial"/>
          <w:szCs w:val="24"/>
        </w:rPr>
      </w:pPr>
    </w:p>
    <w:p w:rsidR="0084578E" w:rsidRPr="0063179A" w:rsidRDefault="0084578E" w:rsidP="0084578E">
      <w:pPr>
        <w:ind w:firstLine="540"/>
        <w:rPr>
          <w:rFonts w:ascii="Arial" w:hAnsi="Arial" w:cs="Arial"/>
          <w:szCs w:val="24"/>
        </w:rPr>
      </w:pPr>
    </w:p>
    <w:p w:rsidR="0084578E" w:rsidRPr="0063179A" w:rsidRDefault="0084578E" w:rsidP="0084578E">
      <w:pPr>
        <w:widowControl/>
        <w:autoSpaceDE/>
        <w:autoSpaceDN/>
        <w:adjustRightInd/>
        <w:rPr>
          <w:rFonts w:ascii="Arial" w:hAnsi="Arial" w:cs="Arial"/>
          <w:b/>
          <w:sz w:val="16"/>
          <w:szCs w:val="16"/>
        </w:rPr>
      </w:pPr>
      <w:r w:rsidRPr="0063179A">
        <w:rPr>
          <w:rFonts w:ascii="Arial" w:hAnsi="Arial" w:cs="Arial"/>
          <w:sz w:val="16"/>
          <w:szCs w:val="16"/>
        </w:rPr>
        <w:br w:type="page"/>
      </w:r>
    </w:p>
    <w:p w:rsidR="0084578E" w:rsidRPr="0063179A" w:rsidRDefault="0084578E" w:rsidP="0084578E">
      <w:pPr>
        <w:pStyle w:val="Heading1"/>
        <w:rPr>
          <w:sz w:val="24"/>
          <w:szCs w:val="24"/>
        </w:rPr>
      </w:pPr>
      <w:r w:rsidRPr="0063179A">
        <w:rPr>
          <w:sz w:val="24"/>
          <w:szCs w:val="24"/>
        </w:rPr>
        <w:t>  </w:t>
      </w:r>
      <w:bookmarkStart w:id="12" w:name="_Toc484773103"/>
      <w:r w:rsidRPr="0063179A">
        <w:rPr>
          <w:sz w:val="24"/>
          <w:szCs w:val="24"/>
        </w:rPr>
        <w:t>B.</w:t>
      </w:r>
      <w:r w:rsidRPr="0063179A">
        <w:rPr>
          <w:sz w:val="24"/>
          <w:szCs w:val="24"/>
        </w:rPr>
        <w:tab/>
        <w:t>Purpose</w:t>
      </w:r>
      <w:bookmarkEnd w:id="12"/>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The data submitted annually on the ETA 204 will enable the Employment and Training Administration (ETA) to project revenues for the Unemployment Insurance (UI) program on a state by state basis and to measure the variations in assigned contribution rates which result from different experience rating systems.  When used in conjunction with data from the Quarterly Census of Employment and Wages (QCEW), the ETA 204 data will assist in determining the effects of various factors (e.g., seasonality, stabilization, expansion, or contraction in employment and payroll, etc.) on the employment experience of various groups of employers.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ind w:left="540"/>
        <w:jc w:val="both"/>
        <w:rPr>
          <w:rFonts w:ascii="Arial" w:hAnsi="Arial" w:cs="Arial"/>
          <w:sz w:val="24"/>
          <w:szCs w:val="24"/>
        </w:rPr>
      </w:pPr>
      <w:r w:rsidRPr="0063179A">
        <w:rPr>
          <w:rFonts w:ascii="Arial" w:hAnsi="Arial" w:cs="Arial"/>
          <w:sz w:val="24"/>
          <w:szCs w:val="24"/>
        </w:rPr>
        <w:t>The data will also provide to states and the National Office an early signal for potential solvency problems, be useful in analyzing factors which give rise to the potential problems, and permit an evaluation of the effectiveness of the various approaches available to correct the problems detected.  Moreover, the data are required as a basis for estimating state average tax rates for the rate year.  Finally, the data are key components to the Significant Tax Measures Report.  The Significant Tax Measures Report provides the information necessary to evaluate and compare state U.I. tax systems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ind w:left="540"/>
        <w:jc w:val="both"/>
        <w:rPr>
          <w:rFonts w:ascii="Arial" w:hAnsi="Arial" w:cs="Arial"/>
          <w:sz w:val="24"/>
          <w:szCs w:val="24"/>
        </w:rPr>
      </w:pPr>
      <w:r w:rsidRPr="0063179A">
        <w:rPr>
          <w:rFonts w:ascii="Arial" w:hAnsi="Arial" w:cs="Arial"/>
          <w:sz w:val="24"/>
          <w:szCs w:val="24"/>
        </w:rPr>
        <w:t>Thus, the foregoing information is of value to ETA in analyzing statutory provisions regarding experience rating, in preparing recommendations or advising states on proposed legislation involving experience rating, and in responding to inquiries from state agencies, employer groups, unions and others.  Further, the data are a vital part of a state's management information system and a tool for the administrator and legislators to enhance the state experience rating system.</w:t>
      </w:r>
    </w:p>
    <w:p w:rsidR="0084578E" w:rsidRPr="0063179A" w:rsidRDefault="0084578E" w:rsidP="0084578E">
      <w:pPr>
        <w:ind w:left="540"/>
        <w:jc w:val="both"/>
        <w:rPr>
          <w:rFonts w:ascii="Arial" w:hAnsi="Arial" w:cs="Arial"/>
          <w:sz w:val="24"/>
          <w:szCs w:val="24"/>
        </w:rPr>
      </w:pP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 xml:space="preserve">The average employer tax rate data reflects annual information about the taxing efforts in states relative to both taxable and total wages and allows comparison between states.  It is of use to the National Office, state agencies and the public.  For those states which have an employee tax, the amount of those taxes collected should be shown in the comments section of the report. </w:t>
      </w:r>
    </w:p>
    <w:p w:rsidR="0084578E" w:rsidRPr="0063179A" w:rsidRDefault="0084578E" w:rsidP="0084578E">
      <w:pPr>
        <w:ind w:left="540"/>
        <w:jc w:val="both"/>
        <w:rPr>
          <w:rFonts w:ascii="Arial" w:hAnsi="Arial" w:cs="Arial"/>
          <w:sz w:val="24"/>
          <w:szCs w:val="24"/>
        </w:rPr>
      </w:pP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Heading1"/>
        <w:rPr>
          <w:sz w:val="24"/>
          <w:szCs w:val="24"/>
        </w:rPr>
      </w:pPr>
      <w:bookmarkStart w:id="13" w:name="_Toc484773104"/>
      <w:r w:rsidRPr="0063179A">
        <w:rPr>
          <w:sz w:val="24"/>
          <w:szCs w:val="24"/>
        </w:rPr>
        <w:t>C.</w:t>
      </w:r>
      <w:r w:rsidRPr="0063179A">
        <w:rPr>
          <w:sz w:val="24"/>
          <w:szCs w:val="24"/>
        </w:rPr>
        <w:tab/>
        <w:t>Due Date and Transmittal</w:t>
      </w:r>
      <w:bookmarkEnd w:id="13"/>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All states permitting rate variations based on experience rating (i.e., have an experience rating system in place) should submit ETA 204 reports.  If experience rating is suspended for a given year, only sections A and B need be submitted.  Notification of the suspension should be indicated in the comments section.</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This report is due in the National Office on the 30</w:t>
      </w:r>
      <w:r w:rsidRPr="0063179A">
        <w:rPr>
          <w:rFonts w:ascii="Arial" w:hAnsi="Arial" w:cs="Arial"/>
          <w:sz w:val="24"/>
          <w:szCs w:val="24"/>
          <w:vertAlign w:val="superscript"/>
        </w:rPr>
        <w:t>th</w:t>
      </w:r>
      <w:r w:rsidRPr="0063179A">
        <w:rPr>
          <w:rFonts w:ascii="Arial" w:hAnsi="Arial" w:cs="Arial"/>
          <w:sz w:val="24"/>
          <w:szCs w:val="24"/>
        </w:rPr>
        <w:t xml:space="preserve"> day of the 4th month (April 30 for most states) of the rate year to which the report relates.  All states are required to submit lines 401 &amp; 402 by April 30 of the calendar year to which those lines relate.  For example, a state with a rate year starting July 1 must report average tax rates for the current calendar year by April 30 even though the full report is not due until October 31.  All sections of the ETA204 report, including Section C, must be reported electronically.  Sections A &amp; B must be transmitted before Section C can be transmitted.</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Heading1"/>
        <w:rPr>
          <w:sz w:val="24"/>
          <w:szCs w:val="24"/>
        </w:rPr>
      </w:pPr>
      <w:bookmarkStart w:id="14" w:name="_Toc484773105"/>
      <w:r w:rsidRPr="0063179A">
        <w:rPr>
          <w:sz w:val="24"/>
          <w:szCs w:val="24"/>
        </w:rPr>
        <w:t>D. </w:t>
      </w:r>
      <w:r w:rsidRPr="0063179A">
        <w:rPr>
          <w:sz w:val="24"/>
          <w:szCs w:val="24"/>
        </w:rPr>
        <w:tab/>
        <w:t>General Reporting Instructions</w:t>
      </w:r>
      <w:bookmarkEnd w:id="14"/>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Sections A, B, and C of the report should follow the format prescribed in these instructions.  States that use a combination of experience rating methods should decide which system is the predominant system, and report as if the state used the predominant system. In the absence of significant changes in state UI laws from year to year, it is important that states in this situation should be consistent in choosing which experience rating system predominates.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Alaska, with a Payroll Decline system of experience rating, and Delaware and Oklahoma, with Benefit Wage Ratio systems of experience rating, are exempt from filing section C of this report.</w:t>
      </w:r>
    </w:p>
    <w:p w:rsidR="0084578E" w:rsidRPr="0063179A" w:rsidRDefault="0084578E" w:rsidP="0084578E">
      <w:pPr>
        <w:jc w:val="both"/>
        <w:rPr>
          <w:rFonts w:ascii="Arial" w:hAnsi="Arial" w:cs="Arial"/>
          <w:sz w:val="24"/>
          <w:szCs w:val="24"/>
        </w:rPr>
      </w:pPr>
      <w:bookmarkStart w:id="15" w:name="QuickMark"/>
      <w:bookmarkEnd w:id="15"/>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For Section C only, columns 3 through 6 must be expressed in thousands.  Subtotals and totals are required for all columns, and they are calculated by summing the appropriate column.  The sum of Section C, Column 5 (Benefits Charged) should equal or be very close to the total benefits charged reported in Section B.6.a.1.</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540"/>
        </w:tabs>
        <w:ind w:left="540"/>
        <w:jc w:val="both"/>
        <w:rPr>
          <w:rFonts w:ascii="Arial" w:hAnsi="Arial" w:cs="Arial"/>
          <w:sz w:val="24"/>
          <w:szCs w:val="24"/>
        </w:rPr>
      </w:pPr>
      <w:r w:rsidRPr="0063179A">
        <w:rPr>
          <w:rFonts w:ascii="Arial" w:hAnsi="Arial" w:cs="Arial"/>
          <w:sz w:val="24"/>
          <w:szCs w:val="24"/>
        </w:rPr>
        <w:t xml:space="preserve">Entries should be made for all items.   If no activity corresponding to the items occurred during the report period, a zero should be entered.  A report containing missing data cannot be sent to the National Office.  Edit checks can be found in Handbook 402, Unemployment Insurance Required Reports User’s Manual, Appendix C. </w:t>
      </w:r>
    </w:p>
    <w:p w:rsidR="0084578E" w:rsidRPr="0063179A" w:rsidRDefault="0084578E" w:rsidP="0084578E">
      <w:pPr>
        <w:ind w:firstLine="540"/>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Heading1"/>
        <w:rPr>
          <w:sz w:val="24"/>
          <w:szCs w:val="24"/>
        </w:rPr>
      </w:pPr>
      <w:bookmarkStart w:id="16" w:name="_Toc484773106"/>
      <w:r w:rsidRPr="0063179A">
        <w:rPr>
          <w:sz w:val="24"/>
          <w:szCs w:val="24"/>
        </w:rPr>
        <w:t>E.    Definitions.</w:t>
      </w:r>
      <w:bookmarkEnd w:id="16"/>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“1.All Subject Accounts. ” \f 1 \l 1 </w:instrText>
      </w:r>
      <w:r w:rsidRPr="0063179A">
        <w:rPr>
          <w:rStyle w:val="Heading4Char"/>
        </w:rPr>
        <w:fldChar w:fldCharType="end"/>
      </w:r>
      <w:bookmarkStart w:id="17" w:name="_Toc484773107"/>
      <w:r w:rsidRPr="0063179A">
        <w:rPr>
          <w:rStyle w:val="Heading4Char"/>
        </w:rPr>
        <w:t>All Subject Accounts</w:t>
      </w:r>
      <w:bookmarkEnd w:id="17"/>
      <w:r w:rsidRPr="0063179A">
        <w:rPr>
          <w:rFonts w:ascii="Arial" w:hAnsi="Arial" w:cs="Arial"/>
          <w:sz w:val="24"/>
          <w:szCs w:val="24"/>
        </w:rPr>
        <w:t>.  Subject Accounts, for purposes of the ETA 204 report, should consist only of the accounts of those active employers who were declared accountable or subject prior to either the beginning of the new rate year or the date designated by law as the computation date.  Accounts of state or local governments, or their instrumentalities, or other units which make payments in lieu of contributions on a reimbursable basis should be included only in sections A.2., B.5., and B.7 of the report.  These reimbursable accounts should be excluded from all other entries.  Thus, all accounts for employers who were declared accountable or subject to the state law prior to the date chosen, and who were active in all or part of the 12-month period covered by the report and were charged or chargeable for benefits (or benefit wages) during that period, are included.  All subject accounts for active employers declared accountable or subject on or subsequent to the date chosen are excluded.</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“2.Total Payroll. ” \f 1 \l 1 </w:instrText>
      </w:r>
      <w:r w:rsidRPr="0063179A">
        <w:rPr>
          <w:rStyle w:val="Heading4Char"/>
        </w:rPr>
        <w:fldChar w:fldCharType="end"/>
      </w:r>
      <w:bookmarkStart w:id="18" w:name="_Toc484773108"/>
      <w:r w:rsidRPr="0063179A">
        <w:rPr>
          <w:rStyle w:val="Heading4Char"/>
        </w:rPr>
        <w:t>Total Payroll.</w:t>
      </w:r>
      <w:bookmarkEnd w:id="18"/>
      <w:r w:rsidRPr="0063179A">
        <w:rPr>
          <w:rFonts w:ascii="Arial" w:hAnsi="Arial" w:cs="Arial"/>
          <w:sz w:val="24"/>
          <w:szCs w:val="24"/>
        </w:rPr>
        <w:t>  Total payroll is the total amount of wages paid or payable (depending on the wording of the state law) to covered workers by employers subject to the provisions of the state unemployment insurance law for services performed during the 12 months ending with the computation date.  Total wages include both taxable wages, defined below, and the amount of wages which are in excess of the wages subject to the contribution provisions of the state law.</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“3.Taxable Payroll.” \f 1 \l 1 </w:instrText>
      </w:r>
      <w:r w:rsidRPr="0063179A">
        <w:rPr>
          <w:rStyle w:val="Heading4Char"/>
        </w:rPr>
        <w:fldChar w:fldCharType="end"/>
      </w:r>
      <w:bookmarkStart w:id="19" w:name="_Toc484773109"/>
      <w:r w:rsidRPr="0063179A">
        <w:rPr>
          <w:rStyle w:val="Heading4Char"/>
        </w:rPr>
        <w:t>Taxable Payroll.</w:t>
      </w:r>
      <w:bookmarkEnd w:id="19"/>
      <w:r w:rsidRPr="0063179A">
        <w:rPr>
          <w:rStyle w:val="Heading4Char"/>
        </w:rPr>
        <w:t> </w:t>
      </w:r>
      <w:r w:rsidRPr="0063179A">
        <w:rPr>
          <w:rFonts w:ascii="Arial" w:hAnsi="Arial" w:cs="Arial"/>
          <w:sz w:val="24"/>
          <w:szCs w:val="24"/>
        </w:rPr>
        <w:t xml:space="preserve"> Taxable payroll is the part of total payroll which is subject to the contribution provisions of the state unemployment insurance law (i.e., wages up to and including the state's taxable wage base).</w:t>
      </w:r>
    </w:p>
    <w:p w:rsidR="0084578E" w:rsidRPr="0063179A" w:rsidRDefault="0084578E" w:rsidP="0084578E">
      <w:pPr>
        <w:tabs>
          <w:tab w:val="left" w:pos="1080"/>
        </w:tabs>
        <w:ind w:left="1080" w:hanging="540"/>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“4.Eligible Accounts.” \f 1 \l 1 </w:instrText>
      </w:r>
      <w:r w:rsidRPr="0063179A">
        <w:rPr>
          <w:rStyle w:val="Heading4Char"/>
        </w:rPr>
        <w:fldChar w:fldCharType="end"/>
      </w:r>
      <w:bookmarkStart w:id="20" w:name="_Toc484773110"/>
      <w:r w:rsidRPr="0063179A">
        <w:rPr>
          <w:rStyle w:val="Heading4Char"/>
        </w:rPr>
        <w:t>Eligible Accounts.</w:t>
      </w:r>
      <w:bookmarkEnd w:id="20"/>
      <w:r w:rsidRPr="0063179A">
        <w:rPr>
          <w:rFonts w:ascii="Arial" w:hAnsi="Arial" w:cs="Arial"/>
          <w:sz w:val="24"/>
          <w:szCs w:val="24"/>
        </w:rPr>
        <w:t>  An account is termed eligible if it has had a sufficient period of experience as of the computation date to qualify for an experience rating computation under state law.  In addition to accounts for which rates are assigned under the regular experience rating provisions of state law, this category includes: accounts delinquent in paying contributions to which the maximum rate or another special rate has been assigned, accounts which have been suspended from coverage (but not inactivated) because of temporary cessation of operations, and seasonal employers who qualify for special rates.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“5.Ineligible Accounts.” \f 1 \l 1 </w:instrText>
      </w:r>
      <w:r w:rsidRPr="0063179A">
        <w:rPr>
          <w:rStyle w:val="Heading4Char"/>
        </w:rPr>
        <w:fldChar w:fldCharType="end"/>
      </w:r>
      <w:bookmarkStart w:id="21" w:name="_Toc484773111"/>
      <w:r w:rsidRPr="0063179A">
        <w:rPr>
          <w:rStyle w:val="Heading4Char"/>
        </w:rPr>
        <w:t>Ineligible Accounts.</w:t>
      </w:r>
      <w:bookmarkEnd w:id="21"/>
      <w:r w:rsidRPr="0063179A">
        <w:rPr>
          <w:rStyle w:val="Heading4Char"/>
        </w:rPr>
        <w:t> </w:t>
      </w:r>
      <w:r w:rsidRPr="0063179A">
        <w:rPr>
          <w:rFonts w:ascii="Arial" w:hAnsi="Arial" w:cs="Arial"/>
          <w:sz w:val="24"/>
          <w:szCs w:val="24"/>
        </w:rPr>
        <w:t xml:space="preserve"> An account that does not meet the definition for eligible accounts is considered ineligible.  Therefore, an ineligible account is one that has had an insufficient period of experience as of the computation date to qualify for an experience rating computation.</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“6.Benefits (or Benefit Wages) Charged.” \f 1 \l 1 </w:instrText>
      </w:r>
      <w:r w:rsidRPr="0063179A">
        <w:rPr>
          <w:rStyle w:val="Heading4Char"/>
        </w:rPr>
        <w:fldChar w:fldCharType="end"/>
      </w:r>
      <w:bookmarkStart w:id="22" w:name="_Toc484773112"/>
      <w:r w:rsidRPr="0063179A">
        <w:rPr>
          <w:rStyle w:val="Heading4Char"/>
        </w:rPr>
        <w:t>Benefits (or Benefit Wages) Charged</w:t>
      </w:r>
      <w:bookmarkEnd w:id="22"/>
      <w:r w:rsidRPr="0063179A">
        <w:rPr>
          <w:rFonts w:ascii="Arial" w:hAnsi="Arial" w:cs="Arial"/>
          <w:sz w:val="24"/>
          <w:szCs w:val="24"/>
        </w:rPr>
        <w:t>.  The total amount of benefit payments (or benefit wages) charged to employer accounts (before voluntary contributions are applied).</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“7.Benefits (or Benefit Wages) Not Charged.” \f 1 \l 1 </w:instrText>
      </w:r>
      <w:r w:rsidRPr="0063179A">
        <w:rPr>
          <w:rStyle w:val="Heading4Char"/>
        </w:rPr>
        <w:fldChar w:fldCharType="end"/>
      </w:r>
      <w:bookmarkStart w:id="23" w:name="_Toc484773113"/>
      <w:r w:rsidRPr="0063179A">
        <w:rPr>
          <w:rStyle w:val="Heading4Char"/>
        </w:rPr>
        <w:t>Benefits (or Benefit Wages) Not Charged.</w:t>
      </w:r>
      <w:bookmarkEnd w:id="23"/>
      <w:r w:rsidRPr="0063179A">
        <w:rPr>
          <w:rFonts w:ascii="Arial" w:hAnsi="Arial" w:cs="Arial"/>
          <w:sz w:val="24"/>
          <w:szCs w:val="24"/>
        </w:rPr>
        <w:t>  The total amount of benefit payments (or benefit wages) not charged to the account of any employer.</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“8.Active Employers.” \f 1 \l 1 </w:instrText>
      </w:r>
      <w:r w:rsidRPr="0063179A">
        <w:rPr>
          <w:rStyle w:val="Heading4Char"/>
        </w:rPr>
        <w:fldChar w:fldCharType="end"/>
      </w:r>
      <w:bookmarkStart w:id="24" w:name="_Toc484773114"/>
      <w:r w:rsidRPr="0063179A">
        <w:rPr>
          <w:rStyle w:val="Heading4Char"/>
        </w:rPr>
        <w:t>Active Employers.</w:t>
      </w:r>
      <w:bookmarkEnd w:id="24"/>
      <w:r w:rsidRPr="0063179A">
        <w:rPr>
          <w:rFonts w:ascii="Arial" w:hAnsi="Arial" w:cs="Arial"/>
          <w:sz w:val="24"/>
          <w:szCs w:val="24"/>
        </w:rPr>
        <w:t xml:space="preserve">  An active employer is one that meets the definition of an active employer for the ETA 581 report.  </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“9.Inactive Employers.” \f 1 \l 1 </w:instrText>
      </w:r>
      <w:r w:rsidRPr="0063179A">
        <w:rPr>
          <w:rStyle w:val="Heading4Char"/>
        </w:rPr>
        <w:fldChar w:fldCharType="end"/>
      </w:r>
      <w:bookmarkStart w:id="25" w:name="_Toc484773115"/>
      <w:r w:rsidRPr="0063179A">
        <w:rPr>
          <w:rStyle w:val="Heading4Char"/>
        </w:rPr>
        <w:t>Inactive Employers</w:t>
      </w:r>
      <w:bookmarkEnd w:id="25"/>
      <w:r w:rsidRPr="0063179A">
        <w:rPr>
          <w:rFonts w:ascii="Arial" w:hAnsi="Arial" w:cs="Arial"/>
          <w:sz w:val="24"/>
          <w:szCs w:val="24"/>
        </w:rPr>
        <w:t>. An inactive employer is one who does not meet the definition of an active employer.</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“10.Positive/Negative Balance Accounts (Reserve Ratio States Only).” \f 1 \l 1 </w:instrText>
      </w:r>
      <w:r w:rsidRPr="0063179A">
        <w:rPr>
          <w:rStyle w:val="Heading4Char"/>
        </w:rPr>
        <w:fldChar w:fldCharType="end"/>
      </w:r>
      <w:bookmarkStart w:id="26" w:name="_Toc484773116"/>
      <w:r w:rsidRPr="0063179A">
        <w:rPr>
          <w:rStyle w:val="Heading4Char"/>
        </w:rPr>
        <w:t>Positive/Negative Balance Accounts (Reserve Ratio States Only).</w:t>
      </w:r>
      <w:bookmarkEnd w:id="26"/>
      <w:r w:rsidRPr="0063179A">
        <w:rPr>
          <w:rFonts w:ascii="Arial" w:hAnsi="Arial" w:cs="Arial"/>
          <w:sz w:val="24"/>
          <w:szCs w:val="24"/>
        </w:rPr>
        <w:t>  The balance shown for each employer's account, i.e., total contributions minus total benefit charges, is termed a positive balance if the figure is positive or zero, or a negative balance if the figure is negative.</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“11.Tax Rates.” \f 1 \l 1 </w:instrText>
      </w:r>
      <w:r w:rsidRPr="0063179A">
        <w:rPr>
          <w:rStyle w:val="Heading4Char"/>
        </w:rPr>
        <w:fldChar w:fldCharType="end"/>
      </w:r>
      <w:bookmarkStart w:id="27" w:name="_Toc484773117"/>
      <w:r w:rsidRPr="0063179A">
        <w:rPr>
          <w:rStyle w:val="Heading4Char"/>
        </w:rPr>
        <w:t>Tax Rates.</w:t>
      </w:r>
      <w:bookmarkEnd w:id="27"/>
      <w:r w:rsidRPr="0063179A">
        <w:rPr>
          <w:rFonts w:ascii="Arial" w:hAnsi="Arial" w:cs="Arial"/>
          <w:sz w:val="24"/>
          <w:szCs w:val="24"/>
        </w:rPr>
        <w:t xml:space="preserve">  The </w:t>
      </w:r>
      <w:r w:rsidR="004661C4">
        <w:rPr>
          <w:rFonts w:ascii="Arial" w:hAnsi="Arial" w:cs="Arial"/>
          <w:sz w:val="24"/>
          <w:szCs w:val="24"/>
        </w:rPr>
        <w:t xml:space="preserve">tax </w:t>
      </w:r>
      <w:r w:rsidRPr="0063179A">
        <w:rPr>
          <w:rFonts w:ascii="Arial" w:hAnsi="Arial" w:cs="Arial"/>
          <w:sz w:val="24"/>
          <w:szCs w:val="24"/>
        </w:rPr>
        <w:t xml:space="preserve">rates </w:t>
      </w:r>
      <w:r w:rsidR="004661C4">
        <w:rPr>
          <w:rFonts w:ascii="Arial" w:hAnsi="Arial" w:cs="Arial"/>
          <w:sz w:val="24"/>
          <w:szCs w:val="24"/>
        </w:rPr>
        <w:t>entered</w:t>
      </w:r>
      <w:r w:rsidR="004661C4" w:rsidRPr="0063179A">
        <w:rPr>
          <w:rFonts w:ascii="Arial" w:hAnsi="Arial" w:cs="Arial"/>
          <w:sz w:val="24"/>
          <w:szCs w:val="24"/>
        </w:rPr>
        <w:t xml:space="preserve"> </w:t>
      </w:r>
      <w:r w:rsidRPr="0063179A">
        <w:rPr>
          <w:rFonts w:ascii="Arial" w:hAnsi="Arial" w:cs="Arial"/>
          <w:sz w:val="24"/>
          <w:szCs w:val="24"/>
        </w:rPr>
        <w:t>in section C should be the</w:t>
      </w:r>
      <w:r w:rsidR="004661C4">
        <w:rPr>
          <w:rFonts w:ascii="Arial" w:hAnsi="Arial" w:cs="Arial"/>
          <w:sz w:val="24"/>
          <w:szCs w:val="24"/>
        </w:rPr>
        <w:t xml:space="preserve"> current rate year’s</w:t>
      </w:r>
      <w:r w:rsidRPr="0063179A">
        <w:rPr>
          <w:rFonts w:ascii="Arial" w:hAnsi="Arial" w:cs="Arial"/>
          <w:sz w:val="24"/>
          <w:szCs w:val="24"/>
        </w:rPr>
        <w:t xml:space="preserve"> final assigned rates upon which contributions will be paid (including solvency and other rate adjustments, where applicable, but excluding employee contributions) after all adjustments, both individual and overall, have been made, and which 1) reflect the effect of employer voluntary contributions on tax rates, and, 2) were effective at the beginning of the </w:t>
      </w:r>
      <w:r w:rsidR="004661C4">
        <w:rPr>
          <w:rFonts w:ascii="Arial" w:hAnsi="Arial" w:cs="Arial"/>
          <w:sz w:val="24"/>
          <w:szCs w:val="24"/>
        </w:rPr>
        <w:t xml:space="preserve">current </w:t>
      </w:r>
      <w:r w:rsidRPr="0063179A">
        <w:rPr>
          <w:rFonts w:ascii="Arial" w:hAnsi="Arial" w:cs="Arial"/>
          <w:sz w:val="24"/>
          <w:szCs w:val="24"/>
        </w:rPr>
        <w:t xml:space="preserve">rate year </w:t>
      </w:r>
      <w:r w:rsidR="004661C4">
        <w:rPr>
          <w:rFonts w:ascii="Arial" w:hAnsi="Arial" w:cs="Arial"/>
          <w:sz w:val="24"/>
          <w:szCs w:val="24"/>
        </w:rPr>
        <w:t xml:space="preserve">(year in which the report is submitted), either January for states with calendar year rates, or July for those program year states. </w:t>
      </w:r>
    </w:p>
    <w:p w:rsidR="0084578E" w:rsidRPr="0063179A" w:rsidRDefault="0084578E" w:rsidP="0084578E">
      <w:pPr>
        <w:ind w:left="1080"/>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“12.Regularly Rated Accounts.” \f 1 \l 1 </w:instrText>
      </w:r>
      <w:r w:rsidRPr="0063179A">
        <w:rPr>
          <w:rStyle w:val="Heading4Char"/>
        </w:rPr>
        <w:fldChar w:fldCharType="end"/>
      </w:r>
      <w:bookmarkStart w:id="28" w:name="_Toc484773118"/>
      <w:r w:rsidRPr="0063179A">
        <w:rPr>
          <w:rStyle w:val="Heading4Char"/>
        </w:rPr>
        <w:t>Regularly Rated Accounts</w:t>
      </w:r>
      <w:bookmarkEnd w:id="28"/>
      <w:r w:rsidRPr="0063179A">
        <w:rPr>
          <w:rFonts w:ascii="Arial" w:hAnsi="Arial" w:cs="Arial"/>
          <w:sz w:val="24"/>
          <w:szCs w:val="24"/>
        </w:rPr>
        <w:t>.  An eligible account is termed "regularly rated" in section C if the rate assigned to the account resulted from a formula computation (of an experience factor) under regular experience-rating provisions of the state law</w:t>
      </w:r>
      <w:r w:rsidR="004661C4">
        <w:rPr>
          <w:rFonts w:ascii="Arial" w:hAnsi="Arial" w:cs="Arial"/>
          <w:sz w:val="24"/>
          <w:szCs w:val="24"/>
        </w:rPr>
        <w:t xml:space="preserve"> (not including any reimbursement rates)</w:t>
      </w:r>
      <w:r w:rsidRPr="0063179A">
        <w:rPr>
          <w:rFonts w:ascii="Arial" w:hAnsi="Arial" w:cs="Arial"/>
          <w:sz w:val="24"/>
          <w:szCs w:val="24"/>
        </w:rPr>
        <w:t>.</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“13.Specially Taxed Accounts.” \f 1 \l 1 </w:instrText>
      </w:r>
      <w:r w:rsidRPr="0063179A">
        <w:rPr>
          <w:rStyle w:val="Heading4Char"/>
        </w:rPr>
        <w:fldChar w:fldCharType="end"/>
      </w:r>
      <w:bookmarkStart w:id="29" w:name="_Toc484773119"/>
      <w:r w:rsidRPr="0063179A">
        <w:rPr>
          <w:rStyle w:val="Heading4Char"/>
        </w:rPr>
        <w:t>Specially Taxed Accounts</w:t>
      </w:r>
      <w:bookmarkEnd w:id="29"/>
      <w:r w:rsidRPr="0063179A">
        <w:rPr>
          <w:rFonts w:ascii="Arial" w:hAnsi="Arial" w:cs="Arial"/>
          <w:color w:val="000000"/>
          <w:sz w:val="24"/>
          <w:szCs w:val="24"/>
        </w:rPr>
        <w:t xml:space="preserve">.  An eligible account is considered specially taxed for section C if the rate assigned to the account did not result directly from a formula computation under </w:t>
      </w:r>
      <w:r w:rsidRPr="0063179A">
        <w:rPr>
          <w:rFonts w:ascii="Arial" w:hAnsi="Arial" w:cs="Arial"/>
          <w:color w:val="000000"/>
          <w:sz w:val="24"/>
          <w:szCs w:val="24"/>
          <w:u w:val="single"/>
        </w:rPr>
        <w:t>regular</w:t>
      </w:r>
      <w:r w:rsidRPr="0063179A">
        <w:rPr>
          <w:rFonts w:ascii="Arial" w:hAnsi="Arial" w:cs="Arial"/>
          <w:color w:val="000000"/>
          <w:sz w:val="24"/>
          <w:szCs w:val="24"/>
        </w:rPr>
        <w:t xml:space="preserve"> experience-rating provisions of the state law.  Examples are:  1) an account of a seasonal employer which has been given a special rate provided by law or regulation, 2) a state or local government entity taxed according to a special rate schedule, or 3) a delinquent employer assigned a special rate.</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“14.Computation Date.” \f 1 \l 1 </w:instrText>
      </w:r>
      <w:r w:rsidRPr="0063179A">
        <w:rPr>
          <w:rStyle w:val="Heading4Char"/>
        </w:rPr>
        <w:fldChar w:fldCharType="end"/>
      </w:r>
      <w:bookmarkStart w:id="30" w:name="_Toc484773120"/>
      <w:r w:rsidRPr="0063179A">
        <w:rPr>
          <w:rStyle w:val="Heading4Char"/>
        </w:rPr>
        <w:t>Computation Date</w:t>
      </w:r>
      <w:bookmarkEnd w:id="30"/>
      <w:r w:rsidRPr="0063179A">
        <w:rPr>
          <w:rFonts w:ascii="Arial" w:hAnsi="Arial" w:cs="Arial"/>
          <w:sz w:val="24"/>
          <w:szCs w:val="24"/>
        </w:rPr>
        <w:t>.  The date as of which employer’s experience is measured for the purpose of determining tax rates.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1"/>
        </w:numPr>
        <w:tabs>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“15.Rate Year Ending.” \f 1 \l 1 </w:instrText>
      </w:r>
      <w:r w:rsidRPr="0063179A">
        <w:rPr>
          <w:rStyle w:val="Heading4Char"/>
        </w:rPr>
        <w:fldChar w:fldCharType="end"/>
      </w:r>
      <w:bookmarkStart w:id="31" w:name="_Toc484773121"/>
      <w:r w:rsidRPr="0063179A">
        <w:rPr>
          <w:rStyle w:val="Heading4Char"/>
        </w:rPr>
        <w:t>Rate Year Ending</w:t>
      </w:r>
      <w:bookmarkEnd w:id="31"/>
      <w:r w:rsidRPr="0063179A">
        <w:rPr>
          <w:rFonts w:ascii="Arial" w:hAnsi="Arial" w:cs="Arial"/>
          <w:sz w:val="24"/>
          <w:szCs w:val="24"/>
        </w:rPr>
        <w:t xml:space="preserve">.  </w:t>
      </w:r>
      <w:r w:rsidRPr="0063179A">
        <w:rPr>
          <w:rFonts w:ascii="Arial" w:hAnsi="Arial" w:cs="Arial"/>
          <w:color w:val="000000"/>
          <w:sz w:val="24"/>
          <w:szCs w:val="24"/>
        </w:rPr>
        <w:t xml:space="preserve">The ending date of the period for which tax rates are being assigned based on the computation date.  As an example; assuming the computation date is June 30, 2013, and the rates are being calculated to be applied on January 1, 2014, the rate year end date would be 12/31/2014. </w:t>
      </w:r>
    </w:p>
    <w:p w:rsidR="0084578E" w:rsidRPr="0063179A" w:rsidRDefault="0084578E" w:rsidP="0084578E">
      <w:pPr>
        <w:ind w:left="1080" w:hanging="540"/>
        <w:jc w:val="both"/>
        <w:rPr>
          <w:rFonts w:ascii="Arial" w:hAnsi="Arial" w:cs="Arial"/>
          <w:sz w:val="24"/>
          <w:szCs w:val="24"/>
        </w:rPr>
      </w:pPr>
      <w:r w:rsidRPr="0063179A">
        <w:rPr>
          <w:rFonts w:ascii="Arial" w:hAnsi="Arial" w:cs="Arial"/>
          <w:color w:val="000000"/>
          <w:sz w:val="24"/>
          <w:szCs w:val="24"/>
        </w:rPr>
        <w:t> </w:t>
      </w:r>
      <w:r w:rsidRPr="0063179A">
        <w:rPr>
          <w:rFonts w:ascii="Arial" w:hAnsi="Arial" w:cs="Arial"/>
          <w:sz w:val="24"/>
          <w:szCs w:val="24"/>
        </w:rPr>
        <w:fldChar w:fldCharType="begin"/>
      </w:r>
      <w:r w:rsidRPr="0063179A">
        <w:rPr>
          <w:rFonts w:ascii="Arial" w:hAnsi="Arial" w:cs="Arial"/>
          <w:sz w:val="24"/>
          <w:szCs w:val="24"/>
        </w:rPr>
        <w:instrText xml:space="preserve"> TC “16.</w:instrText>
      </w:r>
      <w:r w:rsidRPr="0063179A">
        <w:rPr>
          <w:rFonts w:ascii="Arial" w:hAnsi="Arial" w:cs="Arial"/>
          <w:color w:val="000000"/>
          <w:sz w:val="24"/>
          <w:szCs w:val="24"/>
          <w:u w:val="single"/>
        </w:rPr>
        <w:instrText>Experience Factor</w:instrText>
      </w:r>
      <w:r w:rsidRPr="0063179A">
        <w:rPr>
          <w:rFonts w:ascii="Arial" w:hAnsi="Arial" w:cs="Arial"/>
          <w:color w:val="000000"/>
          <w:sz w:val="24"/>
          <w:szCs w:val="24"/>
        </w:rPr>
        <w:instrText>.</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p>
    <w:p w:rsidR="0084578E" w:rsidRPr="0063179A" w:rsidRDefault="0084578E" w:rsidP="0084578E">
      <w:pPr>
        <w:pStyle w:val="ListParagraph"/>
        <w:widowControl/>
        <w:numPr>
          <w:ilvl w:val="0"/>
          <w:numId w:val="11"/>
        </w:numPr>
        <w:adjustRightInd/>
        <w:jc w:val="both"/>
        <w:rPr>
          <w:rFonts w:ascii="Arial" w:hAnsi="Arial" w:cs="Arial"/>
          <w:color w:val="000000"/>
          <w:sz w:val="24"/>
          <w:szCs w:val="24"/>
        </w:rPr>
      </w:pPr>
      <w:bookmarkStart w:id="32" w:name="_Toc484773122"/>
      <w:r w:rsidRPr="0063179A">
        <w:rPr>
          <w:rStyle w:val="Heading4Char"/>
        </w:rPr>
        <w:t>Experience Factor.</w:t>
      </w:r>
      <w:bookmarkEnd w:id="32"/>
      <w:r w:rsidRPr="0063179A">
        <w:rPr>
          <w:rFonts w:ascii="Arial" w:hAnsi="Arial" w:cs="Arial"/>
          <w:color w:val="000000"/>
          <w:sz w:val="24"/>
          <w:szCs w:val="24"/>
        </w:rPr>
        <w:t>  Reserve ratio or benefit ratio, as appropriate.</w:t>
      </w:r>
    </w:p>
    <w:p w:rsidR="0084578E" w:rsidRPr="0063179A" w:rsidRDefault="0084578E" w:rsidP="0084578E">
      <w:pPr>
        <w:tabs>
          <w:tab w:val="left" w:pos="1080"/>
        </w:tabs>
        <w:ind w:left="540"/>
        <w:jc w:val="both"/>
        <w:rPr>
          <w:rFonts w:ascii="Arial" w:hAnsi="Arial" w:cs="Arial"/>
          <w:color w:val="000000"/>
          <w:sz w:val="24"/>
          <w:szCs w:val="24"/>
        </w:rPr>
      </w:pPr>
      <w:r w:rsidRPr="0063179A">
        <w:rPr>
          <w:rFonts w:ascii="Arial" w:hAnsi="Arial" w:cs="Arial"/>
          <w:sz w:val="24"/>
          <w:szCs w:val="24"/>
        </w:rPr>
        <w:fldChar w:fldCharType="begin"/>
      </w:r>
      <w:r w:rsidRPr="0063179A">
        <w:rPr>
          <w:rFonts w:ascii="Arial" w:hAnsi="Arial" w:cs="Arial"/>
          <w:sz w:val="24"/>
          <w:szCs w:val="24"/>
        </w:rPr>
        <w:instrText xml:space="preserve"> TC “17.</w:instrText>
      </w:r>
      <w:r w:rsidRPr="0063179A">
        <w:rPr>
          <w:rFonts w:ascii="Arial" w:hAnsi="Arial" w:cs="Arial"/>
          <w:sz w:val="24"/>
          <w:szCs w:val="24"/>
          <w:u w:val="single"/>
        </w:rPr>
        <w:instrText>Average Employer Tax Rate on Total Wages</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p>
    <w:p w:rsidR="0084578E" w:rsidRPr="0063179A" w:rsidRDefault="0084578E" w:rsidP="0084578E">
      <w:pPr>
        <w:pStyle w:val="ListParagraph"/>
        <w:widowControl/>
        <w:numPr>
          <w:ilvl w:val="0"/>
          <w:numId w:val="11"/>
        </w:numPr>
        <w:adjustRightInd/>
        <w:jc w:val="both"/>
        <w:rPr>
          <w:rFonts w:ascii="Arial" w:hAnsi="Arial" w:cs="Arial"/>
          <w:sz w:val="24"/>
          <w:szCs w:val="24"/>
        </w:rPr>
      </w:pPr>
      <w:bookmarkStart w:id="33" w:name="_Toc484773123"/>
      <w:r w:rsidRPr="0063179A">
        <w:rPr>
          <w:rStyle w:val="Heading4Char"/>
        </w:rPr>
        <w:t>Average Employer Tax Rate on Total Wages</w:t>
      </w:r>
      <w:bookmarkEnd w:id="33"/>
      <w:r w:rsidRPr="0063179A">
        <w:rPr>
          <w:rFonts w:ascii="Arial" w:hAnsi="Arial" w:cs="Arial"/>
          <w:sz w:val="24"/>
          <w:szCs w:val="24"/>
        </w:rPr>
        <w:t>.  Compute by dividing the sum of estimated contributions for all taxable employers by the sum of estimated total wages for all taxable employers.</w:t>
      </w:r>
    </w:p>
    <w:p w:rsidR="0084578E" w:rsidRPr="0063179A" w:rsidRDefault="0084578E" w:rsidP="0084578E">
      <w:pPr>
        <w:ind w:firstLine="540"/>
        <w:jc w:val="both"/>
        <w:rPr>
          <w:rFonts w:ascii="Arial" w:hAnsi="Arial" w:cs="Arial"/>
          <w:sz w:val="24"/>
          <w:szCs w:val="24"/>
        </w:rPr>
      </w:pPr>
      <w:r w:rsidRPr="0063179A">
        <w:rPr>
          <w:rFonts w:ascii="Arial" w:hAnsi="Arial" w:cs="Arial"/>
          <w:sz w:val="24"/>
          <w:szCs w:val="24"/>
        </w:rPr>
        <w:fldChar w:fldCharType="begin"/>
      </w:r>
      <w:r w:rsidRPr="0063179A">
        <w:rPr>
          <w:rFonts w:ascii="Arial" w:hAnsi="Arial" w:cs="Arial"/>
          <w:sz w:val="24"/>
          <w:szCs w:val="24"/>
        </w:rPr>
        <w:instrText xml:space="preserve"> TC “18.</w:instrText>
      </w:r>
      <w:r w:rsidRPr="0063179A">
        <w:rPr>
          <w:rFonts w:ascii="Arial" w:hAnsi="Arial" w:cs="Arial"/>
          <w:sz w:val="24"/>
          <w:szCs w:val="24"/>
          <w:u w:val="single"/>
        </w:rPr>
        <w:instrText>Average Employer Tax Rate on Taxable Wages</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p>
    <w:p w:rsidR="0084578E" w:rsidRPr="0063179A" w:rsidRDefault="0084578E" w:rsidP="0084578E">
      <w:pPr>
        <w:pStyle w:val="ListParagraph"/>
        <w:widowControl/>
        <w:numPr>
          <w:ilvl w:val="0"/>
          <w:numId w:val="11"/>
        </w:numPr>
        <w:adjustRightInd/>
        <w:jc w:val="both"/>
        <w:rPr>
          <w:rFonts w:ascii="Arial" w:hAnsi="Arial" w:cs="Arial"/>
          <w:sz w:val="24"/>
          <w:szCs w:val="24"/>
        </w:rPr>
      </w:pPr>
      <w:bookmarkStart w:id="34" w:name="_Toc484773124"/>
      <w:r w:rsidRPr="0063179A">
        <w:rPr>
          <w:rStyle w:val="Heading4Char"/>
        </w:rPr>
        <w:t>Average Employer Tax Rate on Taxable Wages</w:t>
      </w:r>
      <w:bookmarkEnd w:id="34"/>
      <w:r w:rsidRPr="0063179A">
        <w:rPr>
          <w:rFonts w:ascii="Arial" w:hAnsi="Arial" w:cs="Arial"/>
          <w:sz w:val="24"/>
          <w:szCs w:val="24"/>
        </w:rPr>
        <w:t>.  Compute by dividing the sum of estimated contributions for all taxable employers by the sum of estimated taxable wages for all taxable employers.</w:t>
      </w:r>
    </w:p>
    <w:p w:rsidR="0084578E" w:rsidRPr="0063179A" w:rsidRDefault="0084578E" w:rsidP="0084578E">
      <w:pPr>
        <w:ind w:left="540"/>
        <w:jc w:val="both"/>
        <w:rPr>
          <w:rFonts w:ascii="Arial" w:hAnsi="Arial" w:cs="Arial"/>
          <w:sz w:val="24"/>
          <w:szCs w:val="24"/>
        </w:rPr>
      </w:pPr>
      <w:r w:rsidRPr="0063179A">
        <w:rPr>
          <w:rFonts w:ascii="Arial" w:hAnsi="Arial" w:cs="Arial"/>
          <w:sz w:val="24"/>
          <w:szCs w:val="24"/>
        </w:rPr>
        <w:fldChar w:fldCharType="begin"/>
      </w:r>
      <w:r w:rsidRPr="0063179A">
        <w:rPr>
          <w:rFonts w:ascii="Arial" w:hAnsi="Arial" w:cs="Arial"/>
          <w:sz w:val="24"/>
          <w:szCs w:val="24"/>
        </w:rPr>
        <w:instrText xml:space="preserve"> TC “19.</w:instrText>
      </w:r>
      <w:r w:rsidRPr="0063179A">
        <w:rPr>
          <w:rFonts w:ascii="Arial" w:hAnsi="Arial" w:cs="Arial"/>
          <w:sz w:val="24"/>
          <w:szCs w:val="24"/>
          <w:u w:val="single"/>
        </w:rPr>
        <w:instrText>Employee Tax Rate on Total Wages</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p>
    <w:p w:rsidR="0084578E" w:rsidRPr="0063179A" w:rsidRDefault="0084578E" w:rsidP="0084578E">
      <w:pPr>
        <w:pStyle w:val="ListParagraph"/>
        <w:widowControl/>
        <w:numPr>
          <w:ilvl w:val="0"/>
          <w:numId w:val="11"/>
        </w:numPr>
        <w:adjustRightInd/>
        <w:jc w:val="both"/>
        <w:rPr>
          <w:rFonts w:ascii="Arial" w:hAnsi="Arial" w:cs="Arial"/>
          <w:sz w:val="24"/>
          <w:szCs w:val="24"/>
        </w:rPr>
      </w:pPr>
      <w:bookmarkStart w:id="35" w:name="_Toc484773125"/>
      <w:r w:rsidRPr="0063179A">
        <w:rPr>
          <w:rStyle w:val="Heading4Char"/>
        </w:rPr>
        <w:t>Employee Tax Rate on Total Wages</w:t>
      </w:r>
      <w:bookmarkEnd w:id="35"/>
      <w:r w:rsidRPr="0063179A">
        <w:rPr>
          <w:rFonts w:ascii="Arial" w:hAnsi="Arial" w:cs="Arial"/>
          <w:sz w:val="24"/>
          <w:szCs w:val="24"/>
        </w:rPr>
        <w:t>.  For those states which have an employee tax in place, report, in the comments section, the employee tax rate on total wages by dividing the sum of estimated employee contributions by the sum of estimated total wages for all employees.</w:t>
      </w:r>
    </w:p>
    <w:p w:rsidR="0084578E" w:rsidRPr="0063179A" w:rsidRDefault="0084578E" w:rsidP="0084578E">
      <w:pPr>
        <w:jc w:val="both"/>
        <w:rPr>
          <w:rFonts w:ascii="Arial" w:hAnsi="Arial" w:cs="Arial"/>
          <w:sz w:val="24"/>
          <w:szCs w:val="24"/>
        </w:rPr>
      </w:pPr>
    </w:p>
    <w:p w:rsidR="0084578E" w:rsidRDefault="0084578E" w:rsidP="0084578E">
      <w:pPr>
        <w:jc w:val="both"/>
        <w:rPr>
          <w:rFonts w:ascii="Arial" w:hAnsi="Arial" w:cs="Arial"/>
          <w:sz w:val="24"/>
          <w:szCs w:val="24"/>
        </w:rPr>
      </w:pPr>
    </w:p>
    <w:p w:rsidR="0063238B" w:rsidRPr="0063179A" w:rsidRDefault="0063238B" w:rsidP="0084578E">
      <w:pPr>
        <w:jc w:val="both"/>
        <w:rPr>
          <w:rFonts w:ascii="Arial" w:hAnsi="Arial" w:cs="Arial"/>
          <w:sz w:val="24"/>
          <w:szCs w:val="24"/>
        </w:rPr>
      </w:pPr>
    </w:p>
    <w:p w:rsidR="0084578E" w:rsidRPr="0063179A" w:rsidRDefault="0084578E" w:rsidP="0084578E">
      <w:pPr>
        <w:pStyle w:val="Heading1"/>
        <w:rPr>
          <w:sz w:val="24"/>
          <w:szCs w:val="24"/>
        </w:rPr>
      </w:pPr>
      <w:bookmarkStart w:id="36" w:name="_Toc484773126"/>
      <w:r w:rsidRPr="0063179A">
        <w:rPr>
          <w:sz w:val="24"/>
          <w:szCs w:val="24"/>
        </w:rPr>
        <w:t>F.</w:t>
      </w:r>
      <w:r w:rsidRPr="0063179A">
        <w:rPr>
          <w:sz w:val="24"/>
          <w:szCs w:val="24"/>
        </w:rPr>
        <w:tab/>
        <w:t>Item by Item Instructions</w:t>
      </w:r>
      <w:bookmarkEnd w:id="36"/>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ind w:left="540"/>
        <w:jc w:val="both"/>
        <w:rPr>
          <w:rFonts w:ascii="Arial" w:hAnsi="Arial" w:cs="Arial"/>
          <w:sz w:val="24"/>
          <w:szCs w:val="24"/>
        </w:rPr>
      </w:pPr>
      <w:r w:rsidRPr="0063179A">
        <w:rPr>
          <w:rFonts w:ascii="Arial" w:hAnsi="Arial" w:cs="Arial"/>
          <w:sz w:val="24"/>
          <w:szCs w:val="24"/>
        </w:rPr>
        <w:t>Specific instructions are given only to the extent necessary to supplement the titles of the items.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ListParagraph"/>
        <w:numPr>
          <w:ilvl w:val="0"/>
          <w:numId w:val="12"/>
        </w:numPr>
        <w:tabs>
          <w:tab w:val="left" w:pos="540"/>
          <w:tab w:val="left" w:pos="1080"/>
        </w:tabs>
        <w:jc w:val="both"/>
        <w:rPr>
          <w:rFonts w:ascii="Arial" w:hAnsi="Arial" w:cs="Arial"/>
          <w:sz w:val="24"/>
          <w:szCs w:val="24"/>
        </w:rPr>
      </w:pPr>
      <w:r w:rsidRPr="0063179A">
        <w:rPr>
          <w:rStyle w:val="Heading4Char"/>
        </w:rPr>
        <w:fldChar w:fldCharType="begin"/>
      </w:r>
      <w:r w:rsidRPr="0063179A">
        <w:rPr>
          <w:rStyle w:val="Heading4Char"/>
        </w:rPr>
        <w:instrText xml:space="preserve"> TC “1.Section A. Item 3 and Item 4.  Subject Accounts with Positive Balance and Subject Accounts with Negative Balance. ” \f 1 \l 1 </w:instrText>
      </w:r>
      <w:r w:rsidRPr="0063179A">
        <w:rPr>
          <w:rStyle w:val="Heading4Char"/>
        </w:rPr>
        <w:fldChar w:fldCharType="end"/>
      </w:r>
      <w:bookmarkStart w:id="37" w:name="_Toc484773127"/>
      <w:r w:rsidRPr="0063179A">
        <w:rPr>
          <w:rStyle w:val="Heading4Char"/>
        </w:rPr>
        <w:t>Section A. Item 3 and Item 4.  Subject Accounts with Positive Balance and Subject Accounts with Negative Balance</w:t>
      </w:r>
      <w:bookmarkEnd w:id="37"/>
      <w:r w:rsidRPr="0063179A">
        <w:rPr>
          <w:rFonts w:ascii="Arial" w:hAnsi="Arial" w:cs="Arial"/>
          <w:sz w:val="24"/>
          <w:szCs w:val="24"/>
        </w:rPr>
        <w:t>.  These items should be filled in only by states using Reserve Ratio systems.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Heading4"/>
        <w:numPr>
          <w:ilvl w:val="0"/>
          <w:numId w:val="12"/>
        </w:numPr>
      </w:pPr>
      <w:r w:rsidRPr="0063179A">
        <w:fldChar w:fldCharType="begin"/>
      </w:r>
      <w:r w:rsidRPr="0063179A">
        <w:instrText xml:space="preserve"> TC “2.Section B. Summary of Benefits Paid, Charged, and Noncharged.” \f 1 \l 1 </w:instrText>
      </w:r>
      <w:r w:rsidRPr="0063179A">
        <w:fldChar w:fldCharType="end"/>
      </w:r>
      <w:bookmarkStart w:id="38" w:name="_Toc484773128"/>
      <w:r w:rsidRPr="0063179A">
        <w:t>Section B. Summary of Benefits Paid, Charged, and Noncharged.</w:t>
      </w:r>
      <w:bookmarkEnd w:id="38"/>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1089"/>
          <w:tab w:val="left" w:pos="1440"/>
        </w:tabs>
        <w:ind w:left="1440" w:hanging="360"/>
        <w:jc w:val="both"/>
        <w:rPr>
          <w:rFonts w:ascii="Arial" w:hAnsi="Arial" w:cs="Arial"/>
          <w:sz w:val="24"/>
          <w:szCs w:val="24"/>
        </w:rPr>
      </w:pPr>
      <w:r w:rsidRPr="0063179A">
        <w:rPr>
          <w:rFonts w:ascii="Arial" w:hAnsi="Arial" w:cs="Arial"/>
          <w:sz w:val="24"/>
          <w:szCs w:val="24"/>
        </w:rPr>
        <w:t>a.</w:t>
      </w:r>
      <w:r w:rsidRPr="0063179A">
        <w:rPr>
          <w:rFonts w:ascii="Arial" w:hAnsi="Arial" w:cs="Arial"/>
          <w:sz w:val="24"/>
          <w:szCs w:val="24"/>
        </w:rPr>
        <w:tab/>
      </w:r>
      <w:r w:rsidRPr="0063179A">
        <w:rPr>
          <w:rFonts w:ascii="Arial" w:hAnsi="Arial" w:cs="Arial"/>
          <w:sz w:val="24"/>
          <w:szCs w:val="24"/>
          <w:u w:val="single"/>
        </w:rPr>
        <w:t>Item 5. Benefits (or Benefit Wages) Paid, During 12 Months Ending:</w:t>
      </w:r>
      <w:r w:rsidRPr="0063179A">
        <w:rPr>
          <w:rFonts w:ascii="Arial" w:hAnsi="Arial" w:cs="Arial"/>
          <w:sz w:val="24"/>
          <w:szCs w:val="24"/>
        </w:rPr>
        <w:t>  Enter the ending date (usually the computation date) of the last 12-month period used in the formula to measure benefit charges, and the total amount paid (both charged and noncharged) during the period.  Include any benefits paid which impact the state trust fund accounts, (e.g., benefits under regular state UI, the state portion of Extended Benefits, and the state's liability for combined wage claim (CWC) payments).  Exclude benefits paid under any program other than the state unemployment insurance program (e.g., benefits paid to Puerto Rican sugar workers).  Exclude CWC payments for which other states are liable.  In states using the benefit wage ratio system of experience rating, total benefit wages are entered instead of total benefits.  This entry should be equal to the sums of items 6 and 7.  It also should be approximately equal to total state benefits during the corresponding period as shown on the ETA-2112 report (sum these items: Net U.I Benefits, Net State Share EB, Reimbursable Local Government, Reimbursable State Government, Reimbursable Non-profit, and Interstate Benefits).</w:t>
      </w:r>
    </w:p>
    <w:p w:rsidR="0084578E" w:rsidRPr="0063179A" w:rsidRDefault="0084578E" w:rsidP="0084578E">
      <w:pPr>
        <w:tabs>
          <w:tab w:val="left" w:pos="1089"/>
          <w:tab w:val="left" w:pos="1440"/>
        </w:tabs>
        <w:ind w:left="1440" w:hanging="360"/>
        <w:jc w:val="both"/>
        <w:rPr>
          <w:rFonts w:ascii="Arial" w:hAnsi="Arial" w:cs="Arial"/>
          <w:sz w:val="24"/>
          <w:szCs w:val="24"/>
        </w:rPr>
      </w:pPr>
    </w:p>
    <w:p w:rsidR="0084578E" w:rsidRPr="0063179A" w:rsidRDefault="0084578E" w:rsidP="0084578E">
      <w:pPr>
        <w:tabs>
          <w:tab w:val="left" w:pos="1089"/>
          <w:tab w:val="left" w:pos="1440"/>
        </w:tabs>
        <w:ind w:left="1440" w:hanging="360"/>
        <w:jc w:val="both"/>
        <w:rPr>
          <w:rFonts w:ascii="Arial" w:hAnsi="Arial" w:cs="Arial"/>
          <w:sz w:val="24"/>
          <w:szCs w:val="24"/>
        </w:rPr>
      </w:pPr>
      <w:r w:rsidRPr="0063179A">
        <w:rPr>
          <w:rFonts w:ascii="Arial" w:hAnsi="Arial" w:cs="Arial"/>
          <w:sz w:val="24"/>
          <w:szCs w:val="24"/>
        </w:rPr>
        <w:t>b.</w:t>
      </w:r>
      <w:r w:rsidRPr="0063179A">
        <w:rPr>
          <w:rFonts w:ascii="Arial" w:hAnsi="Arial" w:cs="Arial"/>
          <w:sz w:val="24"/>
          <w:szCs w:val="24"/>
        </w:rPr>
        <w:tab/>
      </w:r>
      <w:r w:rsidRPr="0063179A">
        <w:rPr>
          <w:rFonts w:ascii="Arial" w:hAnsi="Arial" w:cs="Arial"/>
          <w:sz w:val="24"/>
          <w:szCs w:val="24"/>
          <w:u w:val="single"/>
        </w:rPr>
        <w:t>Item 6(a). Charged</w:t>
      </w:r>
      <w:r w:rsidRPr="0063179A">
        <w:rPr>
          <w:rFonts w:ascii="Arial" w:hAnsi="Arial" w:cs="Arial"/>
          <w:sz w:val="24"/>
          <w:szCs w:val="24"/>
        </w:rPr>
        <w:t>.  Enter the amount of benefits (or benefit wages) included in item 6 which were shown as a charge to any taxable employer's account.  Exclude amounts which were charged during the 12-month period but removed before computing the experience rate.  Benefit Charges should not reflect any reduction for voluntary contributions.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widowControl/>
        <w:numPr>
          <w:ilvl w:val="0"/>
          <w:numId w:val="7"/>
        </w:numPr>
        <w:tabs>
          <w:tab w:val="left" w:pos="1089"/>
        </w:tabs>
        <w:adjustRightInd/>
        <w:jc w:val="both"/>
        <w:rPr>
          <w:rFonts w:ascii="Arial" w:hAnsi="Arial" w:cs="Arial"/>
          <w:sz w:val="24"/>
          <w:szCs w:val="24"/>
        </w:rPr>
      </w:pPr>
      <w:r w:rsidRPr="0063179A">
        <w:rPr>
          <w:rFonts w:ascii="Arial" w:hAnsi="Arial" w:cs="Arial"/>
          <w:sz w:val="24"/>
          <w:szCs w:val="24"/>
          <w:u w:val="single"/>
        </w:rPr>
        <w:t>Item 6(b). Noncharged</w:t>
      </w:r>
      <w:r w:rsidRPr="0063179A">
        <w:rPr>
          <w:rFonts w:ascii="Arial" w:hAnsi="Arial" w:cs="Arial"/>
          <w:sz w:val="24"/>
          <w:szCs w:val="24"/>
        </w:rPr>
        <w:t>.  Enter the amount of benefits (or benefit wages) included in item 6 which is attributable to taxable employer accounts but is not charged to such accounts.  Exclude CWC payments for which other states are liable.</w:t>
      </w:r>
    </w:p>
    <w:p w:rsidR="0084578E" w:rsidRPr="0063179A" w:rsidRDefault="0084578E" w:rsidP="0084578E">
      <w:pPr>
        <w:tabs>
          <w:tab w:val="left" w:pos="1089"/>
          <w:tab w:val="left" w:pos="1440"/>
        </w:tabs>
        <w:ind w:left="1080"/>
        <w:jc w:val="both"/>
        <w:rPr>
          <w:rFonts w:ascii="Arial" w:hAnsi="Arial" w:cs="Arial"/>
          <w:sz w:val="24"/>
          <w:szCs w:val="24"/>
        </w:rPr>
      </w:pPr>
    </w:p>
    <w:p w:rsidR="0084578E" w:rsidRPr="0063179A" w:rsidRDefault="0084578E" w:rsidP="0084578E">
      <w:pPr>
        <w:widowControl/>
        <w:numPr>
          <w:ilvl w:val="0"/>
          <w:numId w:val="7"/>
        </w:numPr>
        <w:tabs>
          <w:tab w:val="left" w:pos="1089"/>
        </w:tabs>
        <w:adjustRightInd/>
        <w:jc w:val="both"/>
        <w:rPr>
          <w:rFonts w:ascii="Arial" w:hAnsi="Arial" w:cs="Arial"/>
          <w:sz w:val="24"/>
          <w:szCs w:val="24"/>
        </w:rPr>
      </w:pPr>
      <w:r w:rsidRPr="0063179A">
        <w:rPr>
          <w:rFonts w:ascii="Arial" w:hAnsi="Arial" w:cs="Arial"/>
          <w:sz w:val="24"/>
          <w:szCs w:val="24"/>
          <w:u w:val="single"/>
        </w:rPr>
        <w:t xml:space="preserve">Item 8.  </w:t>
      </w:r>
      <w:r w:rsidRPr="0063179A">
        <w:rPr>
          <w:rFonts w:ascii="Arial" w:hAnsi="Arial" w:cs="Arial"/>
          <w:bCs/>
          <w:sz w:val="24"/>
          <w:szCs w:val="24"/>
          <w:u w:val="single"/>
        </w:rPr>
        <w:t>Average Tax Rate on Taxable Wages</w:t>
      </w:r>
      <w:r w:rsidRPr="0063179A">
        <w:rPr>
          <w:rFonts w:ascii="Arial" w:hAnsi="Arial" w:cs="Arial"/>
          <w:bCs/>
          <w:sz w:val="24"/>
          <w:szCs w:val="24"/>
        </w:rPr>
        <w:t>.  Enter the estimated average tax rate for the calendar year referenced by the report on line 401 as a percentage (i.e. 2.3) with one decimal place, as opposed to a rate (0.023).  This rate should be consistent with data reported in Section C.</w:t>
      </w:r>
    </w:p>
    <w:p w:rsidR="0084578E" w:rsidRPr="0063179A" w:rsidRDefault="0084578E" w:rsidP="0084578E">
      <w:pPr>
        <w:tabs>
          <w:tab w:val="left" w:pos="1089"/>
        </w:tabs>
        <w:jc w:val="both"/>
        <w:rPr>
          <w:rFonts w:ascii="Arial" w:hAnsi="Arial" w:cs="Arial"/>
          <w:sz w:val="24"/>
          <w:szCs w:val="24"/>
        </w:rPr>
      </w:pPr>
    </w:p>
    <w:p w:rsidR="0084578E" w:rsidRPr="0063179A" w:rsidRDefault="0084578E" w:rsidP="0084578E">
      <w:pPr>
        <w:widowControl/>
        <w:numPr>
          <w:ilvl w:val="0"/>
          <w:numId w:val="7"/>
        </w:numPr>
        <w:tabs>
          <w:tab w:val="left" w:pos="1089"/>
        </w:tabs>
        <w:adjustRightInd/>
        <w:jc w:val="both"/>
        <w:rPr>
          <w:rFonts w:ascii="Arial" w:hAnsi="Arial" w:cs="Arial"/>
          <w:sz w:val="24"/>
          <w:szCs w:val="24"/>
        </w:rPr>
      </w:pPr>
      <w:r w:rsidRPr="0063179A">
        <w:rPr>
          <w:rFonts w:ascii="Arial" w:hAnsi="Arial" w:cs="Arial"/>
          <w:sz w:val="24"/>
          <w:szCs w:val="24"/>
          <w:u w:val="single"/>
        </w:rPr>
        <w:t xml:space="preserve">Item 9.  </w:t>
      </w:r>
      <w:r w:rsidRPr="0063179A">
        <w:rPr>
          <w:rFonts w:ascii="Arial" w:hAnsi="Arial" w:cs="Arial"/>
          <w:bCs/>
          <w:sz w:val="24"/>
          <w:szCs w:val="24"/>
          <w:u w:val="single"/>
        </w:rPr>
        <w:t>Average Tax Rate on Total Wages</w:t>
      </w:r>
      <w:r w:rsidRPr="0063179A">
        <w:rPr>
          <w:rFonts w:ascii="Arial" w:hAnsi="Arial" w:cs="Arial"/>
          <w:bCs/>
          <w:sz w:val="24"/>
          <w:szCs w:val="24"/>
        </w:rPr>
        <w:t>.  Enter the estimated average tax rate for the calendar year referenced by the report on line 402 as a percentage (i.e. 2.3) with one decimal place, as opposed to a rate (0.023).  This rate should be consistent with data reported in Section C.</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pStyle w:val="Heading4"/>
        <w:numPr>
          <w:ilvl w:val="0"/>
          <w:numId w:val="12"/>
        </w:numPr>
      </w:pPr>
      <w:r w:rsidRPr="0063179A">
        <w:fldChar w:fldCharType="begin"/>
      </w:r>
      <w:r w:rsidRPr="0063179A">
        <w:instrText xml:space="preserve"> TC “3.Section C.  All Taxable Subject Accounts: Selected Data.” \f 1 \l 1 </w:instrText>
      </w:r>
      <w:r w:rsidRPr="0063179A">
        <w:fldChar w:fldCharType="end"/>
      </w:r>
      <w:bookmarkStart w:id="39" w:name="_Toc484773129"/>
      <w:r w:rsidRPr="0063179A">
        <w:t>Section C.  All Taxable Subject Accounts: Selected Data.</w:t>
      </w:r>
      <w:bookmarkEnd w:id="39"/>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3166A8" w:rsidRDefault="0084578E" w:rsidP="00865789">
      <w:pPr>
        <w:pStyle w:val="ListParagraph"/>
        <w:numPr>
          <w:ilvl w:val="0"/>
          <w:numId w:val="13"/>
        </w:numPr>
        <w:tabs>
          <w:tab w:val="left" w:pos="1089"/>
          <w:tab w:val="left" w:pos="1440"/>
        </w:tabs>
        <w:jc w:val="both"/>
        <w:rPr>
          <w:rFonts w:ascii="Arial" w:hAnsi="Arial" w:cs="Arial"/>
          <w:sz w:val="24"/>
          <w:szCs w:val="24"/>
        </w:rPr>
      </w:pPr>
      <w:r w:rsidRPr="00865789">
        <w:rPr>
          <w:rFonts w:ascii="Arial" w:hAnsi="Arial" w:cs="Arial"/>
          <w:sz w:val="24"/>
          <w:szCs w:val="24"/>
          <w:u w:val="single"/>
        </w:rPr>
        <w:t>Column 1. Average Tax Rate</w:t>
      </w:r>
      <w:r w:rsidRPr="00865789">
        <w:rPr>
          <w:rFonts w:ascii="Arial" w:hAnsi="Arial" w:cs="Arial"/>
          <w:sz w:val="24"/>
          <w:szCs w:val="24"/>
        </w:rPr>
        <w:t>.  Enter the final assigned employer tax rate that corresponds with the Experience Factor column</w:t>
      </w:r>
      <w:r w:rsidR="004661C4" w:rsidRPr="00865789">
        <w:rPr>
          <w:rFonts w:ascii="Arial" w:hAnsi="Arial" w:cs="Arial"/>
          <w:sz w:val="24"/>
          <w:szCs w:val="24"/>
        </w:rPr>
        <w:t xml:space="preserve"> and the experience factor interval in state law</w:t>
      </w:r>
      <w:r w:rsidRPr="00865789">
        <w:rPr>
          <w:rFonts w:ascii="Arial" w:hAnsi="Arial" w:cs="Arial"/>
          <w:sz w:val="24"/>
          <w:szCs w:val="24"/>
        </w:rPr>
        <w:t>. </w:t>
      </w:r>
      <w:r w:rsidR="004661C4" w:rsidRPr="00865789">
        <w:rPr>
          <w:rFonts w:ascii="Arial" w:hAnsi="Arial" w:cs="Arial"/>
          <w:sz w:val="24"/>
          <w:szCs w:val="24"/>
        </w:rPr>
        <w:t xml:space="preserve"> In entering the rates, if the 204 experience rating intervals, which correspond to a specific tax rate, are contained within the state’s experience rating intervals the</w:t>
      </w:r>
      <w:r w:rsidR="00315584">
        <w:rPr>
          <w:rFonts w:ascii="Arial" w:hAnsi="Arial" w:cs="Arial"/>
          <w:sz w:val="24"/>
          <w:szCs w:val="24"/>
        </w:rPr>
        <w:t>n</w:t>
      </w:r>
      <w:r w:rsidR="004661C4" w:rsidRPr="00865789">
        <w:rPr>
          <w:rFonts w:ascii="Arial" w:hAnsi="Arial" w:cs="Arial"/>
          <w:sz w:val="24"/>
          <w:szCs w:val="24"/>
        </w:rPr>
        <w:t xml:space="preserve"> the assigned tax rate would be place in that interval.  If the 204 intervals are larger than the state’s intervals (encompassing more than one interval) then the state tax rates should be averaged.  For example, if a res</w:t>
      </w:r>
      <w:r w:rsidR="00315584">
        <w:rPr>
          <w:rFonts w:ascii="Arial" w:hAnsi="Arial" w:cs="Arial"/>
          <w:sz w:val="24"/>
          <w:szCs w:val="24"/>
        </w:rPr>
        <w:t>erve ratio interval in state law</w:t>
      </w:r>
      <w:r w:rsidR="004661C4" w:rsidRPr="00865789">
        <w:rPr>
          <w:rFonts w:ascii="Arial" w:hAnsi="Arial" w:cs="Arial"/>
          <w:sz w:val="24"/>
          <w:szCs w:val="24"/>
        </w:rPr>
        <w:t xml:space="preserve"> of -5.0% to -5.5% corresponds to a tax rate of 2.0% and a -5.5 to </w:t>
      </w:r>
      <w:r w:rsidR="003166A8" w:rsidRPr="00865789">
        <w:rPr>
          <w:rFonts w:ascii="Arial" w:hAnsi="Arial" w:cs="Arial"/>
          <w:sz w:val="24"/>
          <w:szCs w:val="24"/>
        </w:rPr>
        <w:t>-6.0% corresponds to a rate of 2.5% then the rate of 2.25% should be placed in the section C under the interval -5.0% to -6.0%.</w:t>
      </w:r>
      <w:r w:rsidRPr="00865789">
        <w:rPr>
          <w:rFonts w:ascii="Arial" w:hAnsi="Arial" w:cs="Arial"/>
          <w:sz w:val="24"/>
          <w:szCs w:val="24"/>
        </w:rPr>
        <w:t xml:space="preserve"> </w:t>
      </w:r>
    </w:p>
    <w:p w:rsidR="003166A8" w:rsidRPr="00865789" w:rsidRDefault="003166A8" w:rsidP="00865789">
      <w:pPr>
        <w:pStyle w:val="ListParagraph"/>
        <w:tabs>
          <w:tab w:val="left" w:pos="1089"/>
          <w:tab w:val="left" w:pos="1440"/>
        </w:tabs>
        <w:ind w:left="1440"/>
        <w:jc w:val="both"/>
        <w:rPr>
          <w:rFonts w:ascii="Arial" w:hAnsi="Arial" w:cs="Arial"/>
          <w:sz w:val="24"/>
          <w:szCs w:val="24"/>
        </w:rPr>
      </w:pPr>
    </w:p>
    <w:p w:rsidR="003166A8" w:rsidRPr="00865789" w:rsidRDefault="003166A8" w:rsidP="00865789">
      <w:pPr>
        <w:pStyle w:val="ListParagraph"/>
        <w:numPr>
          <w:ilvl w:val="0"/>
          <w:numId w:val="13"/>
        </w:numPr>
        <w:tabs>
          <w:tab w:val="left" w:pos="1089"/>
          <w:tab w:val="left" w:pos="1440"/>
        </w:tabs>
        <w:jc w:val="both"/>
        <w:rPr>
          <w:rFonts w:ascii="Arial" w:hAnsi="Arial" w:cs="Arial"/>
          <w:sz w:val="24"/>
          <w:szCs w:val="24"/>
        </w:rPr>
      </w:pPr>
      <w:r>
        <w:rPr>
          <w:rFonts w:ascii="Arial" w:hAnsi="Arial" w:cs="Arial"/>
          <w:sz w:val="24"/>
          <w:szCs w:val="24"/>
          <w:u w:val="single"/>
        </w:rPr>
        <w:t>Column 2. Number of Accounts.</w:t>
      </w:r>
      <w:r w:rsidRPr="00865789">
        <w:rPr>
          <w:rFonts w:ascii="Arial" w:hAnsi="Arial" w:cs="Arial"/>
          <w:sz w:val="24"/>
          <w:szCs w:val="24"/>
        </w:rPr>
        <w:t xml:space="preserve">  In reserve ratio states and benefit ratio states enter the sum of eligible accounts that have been placed into each experience factor category during the 12 month period ending with the computation date.  Also, for ineligible accounts and specially taxed accounts enter the sum of all the accounts placed into these categories.</w:t>
      </w:r>
    </w:p>
    <w:p w:rsidR="003166A8" w:rsidRPr="00865789" w:rsidRDefault="003166A8" w:rsidP="00865789">
      <w:pPr>
        <w:tabs>
          <w:tab w:val="left" w:pos="1089"/>
          <w:tab w:val="left" w:pos="1440"/>
        </w:tabs>
        <w:jc w:val="both"/>
        <w:rPr>
          <w:rFonts w:ascii="Arial" w:hAnsi="Arial" w:cs="Arial"/>
          <w:sz w:val="24"/>
          <w:szCs w:val="24"/>
        </w:rPr>
      </w:pPr>
    </w:p>
    <w:p w:rsidR="003166A8" w:rsidRDefault="003166A8" w:rsidP="00865789">
      <w:pPr>
        <w:pStyle w:val="ListParagraph"/>
        <w:numPr>
          <w:ilvl w:val="0"/>
          <w:numId w:val="13"/>
        </w:numPr>
        <w:tabs>
          <w:tab w:val="left" w:pos="1089"/>
          <w:tab w:val="left" w:pos="1440"/>
        </w:tabs>
        <w:jc w:val="both"/>
        <w:rPr>
          <w:rFonts w:ascii="Arial" w:hAnsi="Arial" w:cs="Arial"/>
          <w:sz w:val="24"/>
          <w:szCs w:val="24"/>
        </w:rPr>
      </w:pPr>
      <w:r w:rsidRPr="00865789">
        <w:rPr>
          <w:rFonts w:ascii="Arial" w:hAnsi="Arial" w:cs="Arial"/>
          <w:sz w:val="24"/>
          <w:szCs w:val="24"/>
          <w:u w:val="single"/>
        </w:rPr>
        <w:t>Column 3. Total Payroll.</w:t>
      </w:r>
      <w:r>
        <w:rPr>
          <w:rFonts w:ascii="Arial" w:hAnsi="Arial" w:cs="Arial"/>
          <w:sz w:val="24"/>
          <w:szCs w:val="24"/>
        </w:rPr>
        <w:t xml:space="preserve">  In reserve ratio states and benefit ratio states, for each experience factor category, and for ineligible accounts and specially taxed accounts, enter the sum of all employer’</w:t>
      </w:r>
      <w:r w:rsidR="00315584">
        <w:rPr>
          <w:rFonts w:ascii="Arial" w:hAnsi="Arial" w:cs="Arial"/>
          <w:sz w:val="24"/>
          <w:szCs w:val="24"/>
        </w:rPr>
        <w:t xml:space="preserve">s actual total </w:t>
      </w:r>
      <w:r>
        <w:rPr>
          <w:rFonts w:ascii="Arial" w:hAnsi="Arial" w:cs="Arial"/>
          <w:sz w:val="24"/>
          <w:szCs w:val="24"/>
        </w:rPr>
        <w:t xml:space="preserve">payroll paid or payable during the 12 month period ending with the computation date. </w:t>
      </w:r>
    </w:p>
    <w:p w:rsidR="003166A8" w:rsidRPr="00865789" w:rsidRDefault="003166A8" w:rsidP="00865789">
      <w:pPr>
        <w:pStyle w:val="ListParagraph"/>
        <w:rPr>
          <w:rFonts w:ascii="Arial" w:hAnsi="Arial" w:cs="Arial"/>
          <w:sz w:val="24"/>
          <w:szCs w:val="24"/>
        </w:rPr>
      </w:pPr>
    </w:p>
    <w:p w:rsidR="00507EE5" w:rsidRDefault="003166A8" w:rsidP="00865789">
      <w:pPr>
        <w:pStyle w:val="ListParagraph"/>
        <w:numPr>
          <w:ilvl w:val="0"/>
          <w:numId w:val="13"/>
        </w:numPr>
        <w:tabs>
          <w:tab w:val="left" w:pos="1089"/>
          <w:tab w:val="left" w:pos="1440"/>
        </w:tabs>
        <w:jc w:val="both"/>
        <w:rPr>
          <w:rFonts w:ascii="Arial" w:hAnsi="Arial" w:cs="Arial"/>
          <w:sz w:val="24"/>
          <w:szCs w:val="24"/>
        </w:rPr>
      </w:pPr>
      <w:r w:rsidRPr="00865789">
        <w:rPr>
          <w:rFonts w:ascii="Arial" w:hAnsi="Arial" w:cs="Arial"/>
          <w:sz w:val="24"/>
          <w:szCs w:val="24"/>
          <w:u w:val="single"/>
        </w:rPr>
        <w:t>Column 4. Taxable Payroll.</w:t>
      </w:r>
      <w:r>
        <w:rPr>
          <w:rFonts w:ascii="Arial" w:hAnsi="Arial" w:cs="Arial"/>
          <w:sz w:val="24"/>
          <w:szCs w:val="24"/>
        </w:rPr>
        <w:t xml:space="preserve"> In reserve ratio states and benefit ratio st</w:t>
      </w:r>
      <w:r w:rsidR="00315584">
        <w:rPr>
          <w:rFonts w:ascii="Arial" w:hAnsi="Arial" w:cs="Arial"/>
          <w:sz w:val="24"/>
          <w:szCs w:val="24"/>
        </w:rPr>
        <w:t>a</w:t>
      </w:r>
      <w:r>
        <w:rPr>
          <w:rFonts w:ascii="Arial" w:hAnsi="Arial" w:cs="Arial"/>
          <w:sz w:val="24"/>
          <w:szCs w:val="24"/>
        </w:rPr>
        <w:t xml:space="preserve">tes, for each experience factor category and for ineligible accounts and specially taxed accounts, enter the sum of all employer’s actual taxable payroll paid or payable during the 12 month period ending with the computation date. </w:t>
      </w:r>
    </w:p>
    <w:p w:rsidR="00507EE5" w:rsidRPr="00865789" w:rsidRDefault="00507EE5" w:rsidP="00865789">
      <w:pPr>
        <w:pStyle w:val="ListParagraph"/>
        <w:rPr>
          <w:rFonts w:ascii="Arial" w:hAnsi="Arial" w:cs="Arial"/>
          <w:sz w:val="24"/>
          <w:szCs w:val="24"/>
        </w:rPr>
      </w:pPr>
    </w:p>
    <w:p w:rsidR="00507EE5" w:rsidRDefault="00507EE5" w:rsidP="00865789">
      <w:pPr>
        <w:pStyle w:val="ListParagraph"/>
        <w:numPr>
          <w:ilvl w:val="0"/>
          <w:numId w:val="13"/>
        </w:numPr>
        <w:tabs>
          <w:tab w:val="left" w:pos="1089"/>
          <w:tab w:val="left" w:pos="1440"/>
        </w:tabs>
        <w:jc w:val="both"/>
        <w:rPr>
          <w:rFonts w:ascii="Arial" w:hAnsi="Arial" w:cs="Arial"/>
          <w:sz w:val="24"/>
          <w:szCs w:val="24"/>
        </w:rPr>
      </w:pPr>
      <w:r w:rsidRPr="0063179A">
        <w:rPr>
          <w:rFonts w:ascii="Arial" w:hAnsi="Arial" w:cs="Arial"/>
          <w:sz w:val="24"/>
          <w:szCs w:val="24"/>
          <w:u w:val="single"/>
        </w:rPr>
        <w:t>Column 5. Benefits Charged (Adjusted Benefit Wages Charged)</w:t>
      </w:r>
      <w:r w:rsidRPr="0063179A">
        <w:rPr>
          <w:rFonts w:ascii="Arial" w:hAnsi="Arial" w:cs="Arial"/>
          <w:sz w:val="24"/>
          <w:szCs w:val="24"/>
        </w:rPr>
        <w:t>.  In reserve ratio and benefit ratio states, for each experience factor category and for ineligible accounts and specially taxed accounts, enter actual benefits charged (before voluntary contributions are applied) during the 12-month period ending with the computation date.   The sum of this column should equal or be very close to the total benefits charged reported in Section B.6.a.1.</w:t>
      </w:r>
    </w:p>
    <w:p w:rsidR="00507EE5" w:rsidRPr="00865789" w:rsidRDefault="00507EE5" w:rsidP="00865789">
      <w:pPr>
        <w:pStyle w:val="ListParagraph"/>
        <w:rPr>
          <w:rFonts w:ascii="Arial" w:hAnsi="Arial" w:cs="Arial"/>
          <w:sz w:val="24"/>
          <w:szCs w:val="24"/>
        </w:rPr>
      </w:pPr>
    </w:p>
    <w:p w:rsidR="0084578E" w:rsidRPr="00865789" w:rsidRDefault="00507EE5" w:rsidP="00865789">
      <w:pPr>
        <w:pStyle w:val="ListParagraph"/>
        <w:numPr>
          <w:ilvl w:val="0"/>
          <w:numId w:val="13"/>
        </w:numPr>
        <w:tabs>
          <w:tab w:val="left" w:pos="1089"/>
          <w:tab w:val="left" w:pos="1440"/>
        </w:tabs>
        <w:jc w:val="both"/>
        <w:rPr>
          <w:rFonts w:ascii="Arial" w:hAnsi="Arial" w:cs="Arial"/>
          <w:sz w:val="24"/>
          <w:szCs w:val="24"/>
        </w:rPr>
      </w:pPr>
      <w:r w:rsidRPr="0063179A">
        <w:rPr>
          <w:rFonts w:ascii="Arial" w:hAnsi="Arial" w:cs="Arial"/>
          <w:sz w:val="24"/>
          <w:szCs w:val="24"/>
          <w:u w:val="single"/>
        </w:rPr>
        <w:t>Column 6. Estimated Contributions</w:t>
      </w:r>
      <w:r w:rsidRPr="0063179A">
        <w:rPr>
          <w:rFonts w:ascii="Arial" w:hAnsi="Arial" w:cs="Arial"/>
          <w:sz w:val="24"/>
          <w:szCs w:val="24"/>
        </w:rPr>
        <w:t>.</w:t>
      </w:r>
      <w:r w:rsidRPr="0063179A">
        <w:rPr>
          <w:rFonts w:ascii="Arial" w:hAnsi="Arial" w:cs="Arial"/>
          <w:color w:val="000000"/>
          <w:sz w:val="24"/>
          <w:szCs w:val="24"/>
        </w:rPr>
        <w:t xml:space="preserve">  Contributions for the rate year of this report are not yet known and must be estimated.  </w:t>
      </w:r>
      <w:r w:rsidRPr="0063179A">
        <w:rPr>
          <w:rFonts w:ascii="Arial" w:hAnsi="Arial" w:cs="Arial"/>
          <w:sz w:val="24"/>
          <w:szCs w:val="24"/>
        </w:rPr>
        <w:t xml:space="preserve">Estimated contributions </w:t>
      </w:r>
      <w:r>
        <w:rPr>
          <w:rFonts w:ascii="Arial" w:hAnsi="Arial" w:cs="Arial"/>
          <w:sz w:val="24"/>
          <w:szCs w:val="24"/>
        </w:rPr>
        <w:t>are entered for each experience rating interval by takin</w:t>
      </w:r>
      <w:r w:rsidR="00315584">
        <w:rPr>
          <w:rFonts w:ascii="Arial" w:hAnsi="Arial" w:cs="Arial"/>
          <w:sz w:val="24"/>
          <w:szCs w:val="24"/>
        </w:rPr>
        <w:t>g</w:t>
      </w:r>
      <w:r>
        <w:rPr>
          <w:rFonts w:ascii="Arial" w:hAnsi="Arial" w:cs="Arial"/>
          <w:sz w:val="24"/>
          <w:szCs w:val="24"/>
        </w:rPr>
        <w:t xml:space="preserve"> the taxable wages for the 12 months ending on the computation date from column 4 and multiplying by the interval’s assigned tax rate in column 1. </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65789">
      <w:pPr>
        <w:widowControl/>
        <w:tabs>
          <w:tab w:val="left" w:pos="1071"/>
        </w:tabs>
        <w:adjustRightInd/>
        <w:ind w:left="1080"/>
        <w:jc w:val="both"/>
        <w:rPr>
          <w:rFonts w:ascii="Arial" w:hAnsi="Arial" w:cs="Arial"/>
          <w:sz w:val="24"/>
          <w:szCs w:val="24"/>
        </w:rPr>
      </w:pPr>
      <w:r w:rsidRPr="0063179A">
        <w:rPr>
          <w:rFonts w:ascii="Arial" w:hAnsi="Arial" w:cs="Arial"/>
          <w:sz w:val="24"/>
          <w:szCs w:val="24"/>
        </w:rPr>
        <w:t xml:space="preserve">  </w:t>
      </w:r>
      <w:r w:rsidRPr="0063179A">
        <w:rPr>
          <w:rFonts w:ascii="Arial" w:hAnsi="Arial" w:cs="Arial"/>
          <w:color w:val="FF0000"/>
          <w:sz w:val="24"/>
          <w:szCs w:val="24"/>
        </w:rPr>
        <w:t> </w:t>
      </w:r>
    </w:p>
    <w:p w:rsidR="0084578E" w:rsidRPr="0063179A" w:rsidRDefault="0084578E" w:rsidP="0084578E">
      <w:pPr>
        <w:pStyle w:val="ListParagraph"/>
        <w:numPr>
          <w:ilvl w:val="0"/>
          <w:numId w:val="12"/>
        </w:numPr>
        <w:tabs>
          <w:tab w:val="left" w:pos="540"/>
          <w:tab w:val="left" w:pos="1080"/>
        </w:tabs>
        <w:jc w:val="both"/>
        <w:rPr>
          <w:rFonts w:ascii="Arial" w:hAnsi="Arial" w:cs="Arial"/>
          <w:sz w:val="24"/>
          <w:szCs w:val="24"/>
        </w:rPr>
      </w:pPr>
      <w:r w:rsidRPr="0063179A">
        <w:rPr>
          <w:rFonts w:ascii="Arial" w:hAnsi="Arial" w:cs="Arial"/>
          <w:sz w:val="24"/>
          <w:szCs w:val="24"/>
        </w:rPr>
        <w:fldChar w:fldCharType="begin"/>
      </w:r>
      <w:r w:rsidRPr="0063179A">
        <w:rPr>
          <w:rFonts w:ascii="Arial" w:hAnsi="Arial" w:cs="Arial"/>
          <w:sz w:val="24"/>
          <w:szCs w:val="24"/>
        </w:rPr>
        <w:instrText xml:space="preserve"> TC “4.</w:instrText>
      </w:r>
      <w:r w:rsidRPr="0063179A">
        <w:rPr>
          <w:rFonts w:ascii="Arial" w:hAnsi="Arial" w:cs="Arial"/>
          <w:sz w:val="24"/>
          <w:szCs w:val="24"/>
          <w:u w:val="single"/>
        </w:rPr>
        <w:instrText>Comments</w:instrText>
      </w:r>
      <w:r w:rsidRPr="0063179A">
        <w:rPr>
          <w:rFonts w:ascii="Arial" w:hAnsi="Arial" w:cs="Arial"/>
          <w:sz w:val="24"/>
          <w:szCs w:val="24"/>
        </w:rPr>
        <w:instrText xml:space="preserve">.” \f 1 \l 1 </w:instrText>
      </w:r>
      <w:r w:rsidRPr="0063179A">
        <w:rPr>
          <w:rFonts w:ascii="Arial" w:hAnsi="Arial" w:cs="Arial"/>
          <w:sz w:val="24"/>
          <w:szCs w:val="24"/>
        </w:rPr>
        <w:fldChar w:fldCharType="end"/>
      </w:r>
      <w:bookmarkStart w:id="40" w:name="_Toc484773130"/>
      <w:r w:rsidRPr="0063179A">
        <w:rPr>
          <w:rStyle w:val="Heading4Char"/>
        </w:rPr>
        <w:t>Comments</w:t>
      </w:r>
      <w:bookmarkEnd w:id="40"/>
      <w:r w:rsidRPr="0063179A">
        <w:rPr>
          <w:rFonts w:ascii="Arial" w:hAnsi="Arial" w:cs="Arial"/>
          <w:sz w:val="24"/>
          <w:szCs w:val="24"/>
        </w:rPr>
        <w:t>.  Comments should be provided to explain any significant administrative, legal, or economic factors that may affect the data reported.  In particular, states should explain significant changes from the prior year in noncharges (Sections B.6.b and B.7.b) and charges to inactive accounts (Section B.6.a.2).  Electronic reporting allows for four screen lines of comments.</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tabs>
          <w:tab w:val="left" w:pos="1089"/>
          <w:tab w:val="left" w:pos="1440"/>
        </w:tabs>
        <w:ind w:left="1440" w:hanging="360"/>
        <w:jc w:val="both"/>
        <w:rPr>
          <w:rFonts w:ascii="Arial" w:hAnsi="Arial" w:cs="Arial"/>
          <w:sz w:val="24"/>
          <w:szCs w:val="24"/>
        </w:rPr>
      </w:pPr>
      <w:r w:rsidRPr="0063179A">
        <w:rPr>
          <w:rFonts w:ascii="Arial" w:hAnsi="Arial" w:cs="Arial"/>
          <w:sz w:val="24"/>
          <w:szCs w:val="24"/>
        </w:rPr>
        <w:t>a.</w:t>
      </w:r>
      <w:r w:rsidRPr="0063179A">
        <w:rPr>
          <w:rFonts w:ascii="Arial" w:hAnsi="Arial" w:cs="Arial"/>
          <w:sz w:val="24"/>
          <w:szCs w:val="24"/>
        </w:rPr>
        <w:tab/>
      </w:r>
      <w:r w:rsidRPr="0063179A">
        <w:rPr>
          <w:rFonts w:ascii="Arial" w:hAnsi="Arial" w:cs="Arial"/>
          <w:sz w:val="24"/>
          <w:szCs w:val="24"/>
          <w:u w:val="single"/>
        </w:rPr>
        <w:t>Administrative Factors Affecting Data Reported on the Tabulation</w:t>
      </w:r>
      <w:r w:rsidRPr="0063179A">
        <w:rPr>
          <w:rFonts w:ascii="Arial" w:hAnsi="Arial" w:cs="Arial"/>
          <w:sz w:val="24"/>
          <w:szCs w:val="24"/>
        </w:rPr>
        <w:t>.  Describe any administrative factors such as rules and regulations which may affect the data reported in such a way that they will lack comparability with data submitted on prior reports.</w:t>
      </w:r>
    </w:p>
    <w:p w:rsidR="0084578E" w:rsidRPr="0063179A" w:rsidRDefault="0084578E" w:rsidP="0084578E">
      <w:pPr>
        <w:jc w:val="both"/>
        <w:rPr>
          <w:rFonts w:ascii="Arial" w:hAnsi="Arial" w:cs="Arial"/>
          <w:sz w:val="24"/>
          <w:szCs w:val="24"/>
        </w:rPr>
      </w:pPr>
      <w:r w:rsidRPr="0063179A">
        <w:rPr>
          <w:rFonts w:ascii="Arial" w:hAnsi="Arial" w:cs="Arial"/>
          <w:sz w:val="24"/>
          <w:szCs w:val="24"/>
        </w:rPr>
        <w:t xml:space="preserve">  </w:t>
      </w:r>
    </w:p>
    <w:p w:rsidR="0084578E" w:rsidRPr="0063179A" w:rsidRDefault="0084578E" w:rsidP="0084578E">
      <w:pPr>
        <w:tabs>
          <w:tab w:val="left" w:pos="1071"/>
          <w:tab w:val="left" w:pos="1440"/>
        </w:tabs>
        <w:ind w:left="1440" w:hanging="360"/>
        <w:jc w:val="both"/>
        <w:rPr>
          <w:rFonts w:ascii="Arial" w:hAnsi="Arial" w:cs="Arial"/>
          <w:sz w:val="24"/>
          <w:szCs w:val="24"/>
        </w:rPr>
      </w:pPr>
      <w:r w:rsidRPr="0063179A">
        <w:rPr>
          <w:rFonts w:ascii="Arial" w:hAnsi="Arial" w:cs="Arial"/>
          <w:sz w:val="24"/>
          <w:szCs w:val="24"/>
        </w:rPr>
        <w:t>b.</w:t>
      </w:r>
      <w:r w:rsidRPr="0063179A">
        <w:rPr>
          <w:rFonts w:ascii="Arial" w:hAnsi="Arial" w:cs="Arial"/>
          <w:sz w:val="24"/>
          <w:szCs w:val="24"/>
        </w:rPr>
        <w:tab/>
      </w:r>
      <w:r w:rsidRPr="0063179A">
        <w:rPr>
          <w:rFonts w:ascii="Arial" w:hAnsi="Arial" w:cs="Arial"/>
          <w:sz w:val="24"/>
          <w:szCs w:val="24"/>
          <w:u w:val="single"/>
        </w:rPr>
        <w:t>Legal Factors Affecting Data Reported on Tabulations</w:t>
      </w:r>
      <w:r w:rsidRPr="0063179A">
        <w:rPr>
          <w:rFonts w:ascii="Arial" w:hAnsi="Arial" w:cs="Arial"/>
          <w:sz w:val="24"/>
          <w:szCs w:val="24"/>
        </w:rPr>
        <w:t>.  Describe any legal factors such as new laws or amendments to the state unemployment insurance law which may affect the data reported in such a way that they lack comparability with the data submitted on prior reports.  For example, changes in tax schedules, either legislated or automatic, should be explained.</w:t>
      </w:r>
    </w:p>
    <w:p w:rsidR="0084578E" w:rsidRPr="0063179A" w:rsidRDefault="0084578E" w:rsidP="0084578E">
      <w:pPr>
        <w:jc w:val="both"/>
        <w:rPr>
          <w:rFonts w:ascii="Arial" w:hAnsi="Arial" w:cs="Arial"/>
          <w:sz w:val="24"/>
          <w:szCs w:val="24"/>
        </w:rPr>
      </w:pPr>
      <w:r w:rsidRPr="0063179A">
        <w:rPr>
          <w:rFonts w:ascii="Arial" w:hAnsi="Arial" w:cs="Arial"/>
          <w:sz w:val="24"/>
          <w:szCs w:val="24"/>
        </w:rPr>
        <w:t> </w:t>
      </w:r>
    </w:p>
    <w:p w:rsidR="0084578E" w:rsidRPr="0063179A" w:rsidRDefault="0084578E" w:rsidP="0084578E">
      <w:pPr>
        <w:widowControl/>
        <w:numPr>
          <w:ilvl w:val="0"/>
          <w:numId w:val="9"/>
        </w:numPr>
        <w:tabs>
          <w:tab w:val="left" w:pos="1089"/>
        </w:tabs>
        <w:adjustRightInd/>
        <w:jc w:val="both"/>
        <w:rPr>
          <w:rFonts w:ascii="Arial" w:hAnsi="Arial" w:cs="Arial"/>
          <w:sz w:val="24"/>
          <w:szCs w:val="24"/>
        </w:rPr>
      </w:pPr>
      <w:r w:rsidRPr="0063179A">
        <w:rPr>
          <w:rFonts w:ascii="Arial" w:hAnsi="Arial" w:cs="Arial"/>
          <w:sz w:val="24"/>
          <w:szCs w:val="24"/>
          <w:u w:val="single"/>
        </w:rPr>
        <w:t>Economic Factors Affecting Data Reported on Tabulations</w:t>
      </w:r>
      <w:r w:rsidRPr="0063179A">
        <w:rPr>
          <w:rFonts w:ascii="Arial" w:hAnsi="Arial" w:cs="Arial"/>
          <w:sz w:val="24"/>
          <w:szCs w:val="24"/>
        </w:rPr>
        <w:t>.  Describe any economic factors, such as recession in key industries or major plant closings, which may affect the data reported.</w:t>
      </w:r>
    </w:p>
    <w:p w:rsidR="0084578E" w:rsidRPr="0063179A" w:rsidRDefault="0084578E" w:rsidP="0084578E">
      <w:pPr>
        <w:tabs>
          <w:tab w:val="left" w:pos="1089"/>
          <w:tab w:val="left" w:pos="1440"/>
        </w:tabs>
        <w:ind w:left="1440" w:hanging="360"/>
        <w:jc w:val="both"/>
        <w:rPr>
          <w:rFonts w:ascii="Arial" w:hAnsi="Arial" w:cs="Arial"/>
          <w:sz w:val="24"/>
          <w:szCs w:val="24"/>
        </w:rPr>
      </w:pPr>
    </w:p>
    <w:p w:rsidR="00D37464" w:rsidRPr="00EA7B0F" w:rsidRDefault="00D37464" w:rsidP="00EA7B0F">
      <w:pPr>
        <w:widowControl/>
        <w:autoSpaceDE/>
        <w:autoSpaceDN/>
        <w:adjustRightInd/>
        <w:rPr>
          <w:rFonts w:ascii="Arial" w:hAnsi="Arial" w:cs="Arial"/>
          <w:sz w:val="24"/>
          <w:szCs w:val="24"/>
        </w:rPr>
      </w:pPr>
    </w:p>
    <w:sectPr w:rsidR="00D37464" w:rsidRPr="00EA7B0F"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745" w:rsidRDefault="00F77745">
      <w:r>
        <w:separator/>
      </w:r>
    </w:p>
  </w:endnote>
  <w:endnote w:type="continuationSeparator" w:id="0">
    <w:p w:rsidR="00F77745" w:rsidRDefault="00F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C4" w:rsidRPr="00FE4F56" w:rsidRDefault="004661C4"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584EF4" w:rsidRPr="00584EF4">
      <w:rPr>
        <w:rFonts w:ascii="Arial" w:hAnsi="Arial" w:cs="Arial"/>
        <w:b/>
        <w:bCs/>
        <w:noProof/>
      </w:rPr>
      <w:t>Section II-2</w:t>
    </w:r>
    <w:r w:rsidRPr="004928A8">
      <w:rPr>
        <w:rFonts w:ascii="Arial" w:hAnsi="Arial" w:cs="Arial"/>
      </w:rPr>
      <w:fldChar w:fldCharType="end"/>
    </w:r>
    <w:r>
      <w:rPr>
        <w:rFonts w:ascii="Arial" w:hAnsi="Arial" w:cs="Arial"/>
      </w:rPr>
      <w:t>-</w:t>
    </w:r>
    <w:r w:rsidRPr="00FE4F56">
      <w:rPr>
        <w:rFonts w:ascii="Arial" w:hAnsi="Arial" w:cs="Arial"/>
      </w:rPr>
      <w:pgNum/>
    </w:r>
  </w:p>
  <w:p w:rsidR="004661C4" w:rsidRPr="00FE4F56" w:rsidRDefault="004661C4" w:rsidP="009D4785">
    <w:pPr>
      <w:tabs>
        <w:tab w:val="center" w:pos="0"/>
      </w:tabs>
      <w:jc w:val="center"/>
    </w:pPr>
    <w:r>
      <w:rPr>
        <w:rFonts w:ascii="Arial" w:hAnsi="Arial" w:cs="Arial"/>
      </w:rPr>
      <w:t>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745" w:rsidRDefault="00F77745">
      <w:r>
        <w:separator/>
      </w:r>
    </w:p>
  </w:footnote>
  <w:footnote w:type="continuationSeparator" w:id="0">
    <w:p w:rsidR="00F77745" w:rsidRDefault="00F7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C4" w:rsidRPr="00C26BA2" w:rsidRDefault="004661C4"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4661C4" w:rsidRPr="00C26BA2" w:rsidTr="00695C5C">
      <w:trPr>
        <w:trHeight w:val="146"/>
      </w:trPr>
      <w:tc>
        <w:tcPr>
          <w:tcW w:w="9831" w:type="dxa"/>
        </w:tcPr>
        <w:p w:rsidR="004661C4" w:rsidRPr="00C26BA2" w:rsidRDefault="004661C4"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584EF4">
            <w:rPr>
              <w:rFonts w:ascii="Arial" w:hAnsi="Arial" w:cs="Arial"/>
              <w:noProof/>
              <w:sz w:val="16"/>
              <w:szCs w:val="16"/>
            </w:rPr>
            <w:t>ETA 204 – EXPERIENCE RATING</w:t>
          </w:r>
          <w:r w:rsidRPr="00C26BA2">
            <w:rPr>
              <w:rFonts w:ascii="Arial" w:hAnsi="Arial" w:cs="Arial"/>
              <w:sz w:val="16"/>
              <w:szCs w:val="16"/>
            </w:rPr>
            <w:fldChar w:fldCharType="end"/>
          </w:r>
        </w:p>
      </w:tc>
    </w:tr>
  </w:tbl>
  <w:p w:rsidR="004661C4" w:rsidRDefault="004661C4"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7FD"/>
    <w:multiLevelType w:val="hybridMultilevel"/>
    <w:tmpl w:val="6BD06AF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81EA5"/>
    <w:multiLevelType w:val="hybridMultilevel"/>
    <w:tmpl w:val="F7E6FF32"/>
    <w:lvl w:ilvl="0" w:tplc="D2327C62">
      <w:start w:val="16"/>
      <w:numFmt w:val="decimal"/>
      <w:lvlText w:val="%1."/>
      <w:lvlJc w:val="left"/>
      <w:pPr>
        <w:tabs>
          <w:tab w:val="num" w:pos="1080"/>
        </w:tabs>
        <w:ind w:left="1080" w:hanging="540"/>
      </w:pPr>
      <w:rPr>
        <w:rFonts w:ascii="Arial" w:hAnsi="Arial" w:cs="Aria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657379D"/>
    <w:multiLevelType w:val="hybridMultilevel"/>
    <w:tmpl w:val="36304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C5B00"/>
    <w:multiLevelType w:val="hybridMultilevel"/>
    <w:tmpl w:val="4590F59E"/>
    <w:lvl w:ilvl="0" w:tplc="D7683108">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00D14"/>
    <w:multiLevelType w:val="hybridMultilevel"/>
    <w:tmpl w:val="02BEA722"/>
    <w:lvl w:ilvl="0" w:tplc="89BA255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A740723"/>
    <w:multiLevelType w:val="hybridMultilevel"/>
    <w:tmpl w:val="DC2C3754"/>
    <w:lvl w:ilvl="0" w:tplc="C5BAE9B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65C408A"/>
    <w:multiLevelType w:val="hybridMultilevel"/>
    <w:tmpl w:val="9C8C1558"/>
    <w:lvl w:ilvl="0" w:tplc="2E2248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E760F0"/>
    <w:multiLevelType w:val="hybridMultilevel"/>
    <w:tmpl w:val="363041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2">
    <w:nsid w:val="7E32188F"/>
    <w:multiLevelType w:val="hybridMultilevel"/>
    <w:tmpl w:val="8F808C86"/>
    <w:lvl w:ilvl="0" w:tplc="F300DFD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4"/>
  </w:num>
  <w:num w:numId="3">
    <w:abstractNumId w:val="1"/>
  </w:num>
  <w:num w:numId="4">
    <w:abstractNumId w:val="7"/>
  </w:num>
  <w:num w:numId="5">
    <w:abstractNumId w:val="5"/>
  </w:num>
  <w:num w:numId="6">
    <w:abstractNumId w:val="2"/>
  </w:num>
  <w:num w:numId="7">
    <w:abstractNumId w:val="6"/>
  </w:num>
  <w:num w:numId="8">
    <w:abstractNumId w:val="8"/>
  </w:num>
  <w:num w:numId="9">
    <w:abstractNumId w:val="12"/>
  </w:num>
  <w:num w:numId="10">
    <w:abstractNumId w:val="0"/>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17E21"/>
    <w:rsid w:val="00132197"/>
    <w:rsid w:val="00153BDA"/>
    <w:rsid w:val="00157146"/>
    <w:rsid w:val="00193F6F"/>
    <w:rsid w:val="001A39C4"/>
    <w:rsid w:val="001E3722"/>
    <w:rsid w:val="00225C27"/>
    <w:rsid w:val="00247F46"/>
    <w:rsid w:val="00253ED4"/>
    <w:rsid w:val="00282FB4"/>
    <w:rsid w:val="002864DA"/>
    <w:rsid w:val="00303402"/>
    <w:rsid w:val="00315584"/>
    <w:rsid w:val="003166A8"/>
    <w:rsid w:val="0033170C"/>
    <w:rsid w:val="00333E94"/>
    <w:rsid w:val="003728F9"/>
    <w:rsid w:val="003933EF"/>
    <w:rsid w:val="003D1830"/>
    <w:rsid w:val="003F7D05"/>
    <w:rsid w:val="00404C20"/>
    <w:rsid w:val="00442C23"/>
    <w:rsid w:val="004567ED"/>
    <w:rsid w:val="00460282"/>
    <w:rsid w:val="004661C4"/>
    <w:rsid w:val="00482E4A"/>
    <w:rsid w:val="004838B7"/>
    <w:rsid w:val="004920F9"/>
    <w:rsid w:val="004928A8"/>
    <w:rsid w:val="004A316F"/>
    <w:rsid w:val="00507EE5"/>
    <w:rsid w:val="00516DC7"/>
    <w:rsid w:val="00527B96"/>
    <w:rsid w:val="00543E50"/>
    <w:rsid w:val="005546EF"/>
    <w:rsid w:val="00563DD7"/>
    <w:rsid w:val="00571B6F"/>
    <w:rsid w:val="00584EF4"/>
    <w:rsid w:val="00585093"/>
    <w:rsid w:val="00593C82"/>
    <w:rsid w:val="005A512C"/>
    <w:rsid w:val="0063179A"/>
    <w:rsid w:val="0063238B"/>
    <w:rsid w:val="00636082"/>
    <w:rsid w:val="0065437D"/>
    <w:rsid w:val="0066573C"/>
    <w:rsid w:val="00695C5C"/>
    <w:rsid w:val="006A0CA9"/>
    <w:rsid w:val="006A74A9"/>
    <w:rsid w:val="006C3432"/>
    <w:rsid w:val="006E4C51"/>
    <w:rsid w:val="006F1F13"/>
    <w:rsid w:val="006F44B3"/>
    <w:rsid w:val="007111BB"/>
    <w:rsid w:val="00746873"/>
    <w:rsid w:val="007F2B38"/>
    <w:rsid w:val="008058D6"/>
    <w:rsid w:val="0084578E"/>
    <w:rsid w:val="00865789"/>
    <w:rsid w:val="008720B1"/>
    <w:rsid w:val="008746AF"/>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55891"/>
    <w:rsid w:val="00B621D2"/>
    <w:rsid w:val="00B75A79"/>
    <w:rsid w:val="00BE1310"/>
    <w:rsid w:val="00C26BA2"/>
    <w:rsid w:val="00C41D2E"/>
    <w:rsid w:val="00C5624E"/>
    <w:rsid w:val="00C56621"/>
    <w:rsid w:val="00C710DB"/>
    <w:rsid w:val="00C7144F"/>
    <w:rsid w:val="00C75703"/>
    <w:rsid w:val="00C82AB5"/>
    <w:rsid w:val="00CA7793"/>
    <w:rsid w:val="00CD0F44"/>
    <w:rsid w:val="00CD129E"/>
    <w:rsid w:val="00D37464"/>
    <w:rsid w:val="00D5240E"/>
    <w:rsid w:val="00DA2BA9"/>
    <w:rsid w:val="00DA6E2B"/>
    <w:rsid w:val="00DA7D86"/>
    <w:rsid w:val="00DB3D78"/>
    <w:rsid w:val="00DE196F"/>
    <w:rsid w:val="00E0591E"/>
    <w:rsid w:val="00E900DB"/>
    <w:rsid w:val="00EA7B0F"/>
    <w:rsid w:val="00EB594E"/>
    <w:rsid w:val="00EC747C"/>
    <w:rsid w:val="00ED0B20"/>
    <w:rsid w:val="00ED139F"/>
    <w:rsid w:val="00ED3E8F"/>
    <w:rsid w:val="00EF3F49"/>
    <w:rsid w:val="00F031AA"/>
    <w:rsid w:val="00F34337"/>
    <w:rsid w:val="00F442FE"/>
    <w:rsid w:val="00F74417"/>
    <w:rsid w:val="00F77745"/>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578E"/>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578E"/>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C5D09DD-638D-4A99-B32A-DCDCFEE7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2018-03-05T17:01:00Z</cp:lastPrinted>
  <dcterms:created xsi:type="dcterms:W3CDTF">2018-08-07T12:14:00Z</dcterms:created>
  <dcterms:modified xsi:type="dcterms:W3CDTF">2018-08-07T12:14:00Z</dcterms:modified>
</cp:coreProperties>
</file>