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3E" w:rsidRPr="001813DD" w:rsidRDefault="00205A3E" w:rsidP="00205A3E">
      <w:pPr>
        <w:rPr>
          <w:rFonts w:ascii="Verdana" w:hAnsi="Verdana"/>
          <w:b/>
          <w:sz w:val="20"/>
          <w:szCs w:val="20"/>
        </w:rPr>
      </w:pPr>
      <w:bookmarkStart w:id="0" w:name="_GoBack"/>
      <w:bookmarkEnd w:id="0"/>
      <w:r w:rsidRPr="001813DD">
        <w:rPr>
          <w:rFonts w:ascii="Verdana" w:hAnsi="Verdana"/>
          <w:b/>
          <w:sz w:val="20"/>
          <w:szCs w:val="20"/>
        </w:rPr>
        <w:t>SEC. 2. Congressional Findings and Purpose</w:t>
      </w:r>
    </w:p>
    <w:p w:rsidR="00205A3E" w:rsidRPr="001813DD" w:rsidRDefault="00205A3E" w:rsidP="00205A3E">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205A3E" w:rsidRPr="001813DD" w:rsidRDefault="00205A3E" w:rsidP="00205A3E">
      <w:pPr>
        <w:rPr>
          <w:rFonts w:ascii="Verdana" w:hAnsi="Verdana"/>
          <w:sz w:val="20"/>
          <w:szCs w:val="20"/>
        </w:rPr>
      </w:pPr>
      <w:r w:rsidRPr="001813DD">
        <w:rPr>
          <w:rFonts w:ascii="Verdana" w:hAnsi="Verdana"/>
          <w:sz w:val="20"/>
          <w:szCs w:val="20"/>
        </w:rPr>
        <w:t>29 USC 651</w:t>
      </w:r>
    </w:p>
    <w:p w:rsidR="00205A3E" w:rsidRPr="001813DD" w:rsidRDefault="00205A3E" w:rsidP="00205A3E">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05A3E" w:rsidRDefault="00205A3E" w:rsidP="00205A3E">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205A3E" w:rsidRDefault="00205A3E" w:rsidP="00205A3E">
      <w:pPr>
        <w:rPr>
          <w:rFonts w:ascii="Verdana" w:hAnsi="Verdana"/>
          <w:sz w:val="20"/>
          <w:szCs w:val="20"/>
        </w:rPr>
      </w:pPr>
    </w:p>
    <w:p w:rsidR="00695956" w:rsidRDefault="00695956"/>
    <w:sectPr w:rsidR="0069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E"/>
    <w:rsid w:val="00205A3E"/>
    <w:rsid w:val="00415C98"/>
    <w:rsid w:val="0069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A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2018-07-25T19:54:00Z</dcterms:created>
  <dcterms:modified xsi:type="dcterms:W3CDTF">2018-07-25T19:54:00Z</dcterms:modified>
</cp:coreProperties>
</file>