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AE6" w:rsidRPr="000A1AC8" w:rsidRDefault="00CA6AE6" w:rsidP="00AE34E0">
      <w:pPr>
        <w:pStyle w:val="Title"/>
        <w:ind w:right="-480"/>
        <w:rPr>
          <w:rFonts w:ascii="Times New Roman" w:hAnsi="Times New Roman"/>
          <w:b/>
          <w:bCs/>
          <w:szCs w:val="24"/>
        </w:rPr>
      </w:pPr>
      <w:bookmarkStart w:id="0" w:name="_GoBack"/>
      <w:bookmarkEnd w:id="0"/>
      <w:r w:rsidRPr="000A1AC8">
        <w:rPr>
          <w:rFonts w:ascii="Times New Roman" w:hAnsi="Times New Roman"/>
          <w:b/>
          <w:bCs/>
          <w:szCs w:val="24"/>
        </w:rPr>
        <w:t>Supporting Statement for</w:t>
      </w:r>
    </w:p>
    <w:p w:rsidR="00CA6AE6" w:rsidRDefault="00CA6AE6" w:rsidP="00AE34E0">
      <w:pPr>
        <w:ind w:right="-480"/>
        <w:jc w:val="center"/>
        <w:rPr>
          <w:b/>
          <w:bCs/>
        </w:rPr>
      </w:pPr>
      <w:r w:rsidRPr="000A1AC8">
        <w:rPr>
          <w:b/>
          <w:bCs/>
        </w:rPr>
        <w:t xml:space="preserve">Consolidated Reports of Condition and Income </w:t>
      </w:r>
    </w:p>
    <w:p w:rsidR="00CA6AE6" w:rsidRPr="000A1AC8" w:rsidRDefault="00CA6AE6" w:rsidP="00AE34E0">
      <w:pPr>
        <w:ind w:right="-480"/>
        <w:jc w:val="center"/>
        <w:rPr>
          <w:b/>
          <w:bCs/>
        </w:rPr>
      </w:pPr>
      <w:r w:rsidRPr="000A1AC8">
        <w:rPr>
          <w:b/>
          <w:bCs/>
        </w:rPr>
        <w:t>(Interagency Call Report)</w:t>
      </w:r>
    </w:p>
    <w:p w:rsidR="00CA6AE6" w:rsidRPr="000A1AC8" w:rsidRDefault="00CA6AE6" w:rsidP="00AE34E0">
      <w:pPr>
        <w:ind w:right="-480"/>
        <w:jc w:val="center"/>
        <w:rPr>
          <w:b/>
          <w:bCs/>
        </w:rPr>
      </w:pPr>
      <w:r w:rsidRPr="000A1AC8">
        <w:rPr>
          <w:b/>
          <w:bCs/>
        </w:rPr>
        <w:t>OMB Control No. 1557-0081</w:t>
      </w:r>
    </w:p>
    <w:p w:rsidR="00BD5798" w:rsidRDefault="00BD5798" w:rsidP="00BD5798">
      <w:pPr>
        <w:rPr>
          <w:szCs w:val="20"/>
        </w:rPr>
      </w:pPr>
    </w:p>
    <w:p w:rsidR="00F17EC0" w:rsidRDefault="00F17EC0" w:rsidP="00BD5798">
      <w:pPr>
        <w:rPr>
          <w:color w:val="000000"/>
          <w:szCs w:val="20"/>
        </w:rPr>
      </w:pPr>
    </w:p>
    <w:p w:rsidR="00BD5798" w:rsidRDefault="00BD5798" w:rsidP="00BD5798">
      <w:pPr>
        <w:ind w:firstLine="720"/>
        <w:rPr>
          <w:color w:val="000000"/>
          <w:szCs w:val="20"/>
        </w:rPr>
      </w:pPr>
      <w:r>
        <w:rPr>
          <w:color w:val="000000"/>
          <w:szCs w:val="20"/>
        </w:rPr>
        <w:t>The Office of the Comptroller of the Currency (OCC), in coordination with the Federal Deposit Insurance Corporation (FDIC) and the Board of Governors of the Federal Reserve System (Board), each of which is submitting a separate request, hereby requests approval by July 30, 2018, for revisions to the following currently approved collections of information pursuant to the Office of Management and Budget’s (OMB) Paperwork Reduction Act (PRA) emergency processing procedures at 5 CFR § 1320.13</w:t>
      </w:r>
      <w:r w:rsidR="00F17EC0" w:rsidRPr="00F17EC0">
        <w:rPr>
          <w:color w:val="000000"/>
          <w:szCs w:val="20"/>
        </w:rPr>
        <w:t xml:space="preserve"> </w:t>
      </w:r>
      <w:r w:rsidR="00F17EC0">
        <w:rPr>
          <w:color w:val="000000"/>
          <w:szCs w:val="20"/>
        </w:rPr>
        <w:t>for revisions made June 30, 2018, to the</w:t>
      </w:r>
      <w:r w:rsidR="00F17EC0">
        <w:t xml:space="preserve"> </w:t>
      </w:r>
      <w:r w:rsidR="00F17EC0">
        <w:rPr>
          <w:color w:val="000000"/>
          <w:szCs w:val="20"/>
        </w:rPr>
        <w:t>Consolidated Reports of Condition and Income (Call Report), Control No. 1557-0081, which is a currently approved collection of information.</w:t>
      </w:r>
    </w:p>
    <w:p w:rsidR="00BD5798" w:rsidRDefault="00BD5798" w:rsidP="00BD5798">
      <w:pPr>
        <w:ind w:firstLine="720"/>
        <w:rPr>
          <w:color w:val="000000"/>
          <w:szCs w:val="20"/>
        </w:rPr>
      </w:pPr>
    </w:p>
    <w:p w:rsidR="00BD5798" w:rsidRDefault="00BD5798" w:rsidP="00BD5798">
      <w:pPr>
        <w:ind w:firstLine="720"/>
        <w:rPr>
          <w:color w:val="000000"/>
          <w:szCs w:val="20"/>
        </w:rPr>
      </w:pPr>
      <w:r>
        <w:rPr>
          <w:color w:val="000000"/>
          <w:szCs w:val="20"/>
        </w:rPr>
        <w:t>The agencies have determined that (1) the collection of information within the scope of this request is needed prior to the expiration of time periods established under 5 C.F.R. § 1320.10; (2) this collection of information is essential to the mission of the agencies; and (3) the agencies cannot reasonably comply with the normal clearance procedures because an unanticipated event has occurred and the use of normal clearance procedures is reasonably likely to prevent or disrupt the collection of information.</w:t>
      </w:r>
    </w:p>
    <w:p w:rsidR="00BD5798" w:rsidRDefault="00BD5798" w:rsidP="00BD5798">
      <w:pPr>
        <w:ind w:firstLine="720"/>
        <w:rPr>
          <w:color w:val="000000"/>
          <w:szCs w:val="20"/>
        </w:rPr>
      </w:pPr>
    </w:p>
    <w:p w:rsidR="00BD5798" w:rsidRDefault="00BD5798" w:rsidP="00BD5798">
      <w:pPr>
        <w:ind w:firstLine="720"/>
        <w:rPr>
          <w:color w:val="000000"/>
          <w:szCs w:val="20"/>
        </w:rPr>
      </w:pPr>
      <w:r>
        <w:rPr>
          <w:color w:val="000000"/>
          <w:szCs w:val="20"/>
        </w:rPr>
        <w:t>These revisions arise from Congressional enactment of the Economic Growth, Regulatory Relief, and Consumer Protection Act (EGRRCPA)</w:t>
      </w:r>
      <w:r>
        <w:t>.  Section 202 of EGRRCPA requires the FDIC to adjust the definition of reciprocal deposits and brokered deposits reported on the Call Report. Section 214 of EGRRCPA requires the OCC, FDIC, and FRB to revise the definition of high volatility commercial real estate (HVCRE) that banks use to calculate risk-based capital. These provisions became effective automatically when the law was signed on May 24, 2018.</w:t>
      </w:r>
    </w:p>
    <w:p w:rsidR="00BD5798" w:rsidRDefault="00BD5798" w:rsidP="00BD5798">
      <w:pPr>
        <w:rPr>
          <w:color w:val="000000"/>
          <w:szCs w:val="20"/>
        </w:rPr>
      </w:pPr>
    </w:p>
    <w:p w:rsidR="00BD5798" w:rsidRDefault="00BD5798" w:rsidP="00BD5798">
      <w:pPr>
        <w:rPr>
          <w:color w:val="000000"/>
        </w:rPr>
      </w:pPr>
      <w:r>
        <w:rPr>
          <w:color w:val="000000"/>
          <w:szCs w:val="20"/>
        </w:rPr>
        <w:tab/>
        <w:t xml:space="preserve">The agencies must receive data from the quarterly Call Reports as part of their missions to supervise the safety and soundness of financial institutions. The next reports are due at the end of July 2018, based on information available as of June 30, 2018. </w:t>
      </w:r>
      <w:r>
        <w:rPr>
          <w:color w:val="000000"/>
        </w:rPr>
        <w:t>In order for the agencies to implement Sections 202 and 214 as required by law, the agencies cannot comply with the normal clearance process and still receive the June 30, 2018, financial data in a timely manner.</w:t>
      </w:r>
    </w:p>
    <w:p w:rsidR="00A47273" w:rsidRDefault="00A47273" w:rsidP="00A47273">
      <w:pPr>
        <w:rPr>
          <w:color w:val="000000"/>
        </w:rPr>
      </w:pPr>
      <w:r>
        <w:rPr>
          <w:color w:val="000000"/>
        </w:rPr>
        <w:t>Section 214 of EGRRCPA adds a new Section 51 to the FDI Act governing the requirements for certain acquisition, development, or construction (ADC) loans.  The agencies may only require a depository institution to assign a heightened risk weight to an HVCRE exposure if such exposure is an “HVCRE ADC Loan,” as defined in section 214 of EGRRCPA.</w:t>
      </w:r>
    </w:p>
    <w:p w:rsidR="00A47273" w:rsidRDefault="00A47273" w:rsidP="00A47273">
      <w:pPr>
        <w:rPr>
          <w:color w:val="000000"/>
        </w:rPr>
      </w:pPr>
    </w:p>
    <w:p w:rsidR="00A47273" w:rsidRDefault="00A47273" w:rsidP="00A47273">
      <w:pPr>
        <w:ind w:firstLine="720"/>
        <w:rPr>
          <w:color w:val="000000"/>
        </w:rPr>
      </w:pPr>
      <w:r>
        <w:rPr>
          <w:color w:val="000000"/>
        </w:rPr>
        <w:t xml:space="preserve">To avoid the regulatory burden associated with applying different definitions for HVCRE exposures within a single organization, the OCC proposes to allow an institution to estimate and report HVCRE exposures on Schedule RC-R, Part II, of the Call Reports using the definition under Section 214 effective for the June 30, 2018, report date. Alternatively, institutions may report HVCRE exposures using the prior definition contained in the agencies’ regulatory capital </w:t>
      </w:r>
      <w:r>
        <w:rPr>
          <w:color w:val="000000"/>
        </w:rPr>
        <w:lastRenderedPageBreak/>
        <w:t>rules until such time as the agencies amend those rules. At that time, all institutions would need to report HVCRE exposures under the definition in Section 214.</w:t>
      </w:r>
    </w:p>
    <w:p w:rsidR="00BD5798" w:rsidRDefault="00BD5798" w:rsidP="00BD5798">
      <w:pPr>
        <w:rPr>
          <w:color w:val="000000"/>
        </w:rPr>
      </w:pPr>
    </w:p>
    <w:p w:rsidR="00B06EB8" w:rsidRDefault="00B06EB8" w:rsidP="00B06EB8">
      <w:pPr>
        <w:rPr>
          <w:b/>
        </w:rPr>
      </w:pPr>
      <w:r>
        <w:rPr>
          <w:b/>
        </w:rPr>
        <w:t>Reciprocal Deposits</w:t>
      </w:r>
    </w:p>
    <w:p w:rsidR="00B06EB8" w:rsidRDefault="00B06EB8" w:rsidP="00B06EB8"/>
    <w:p w:rsidR="00B06EB8" w:rsidRDefault="00B06EB8" w:rsidP="00B06EB8">
      <w:r>
        <w:t xml:space="preserve">            Section 202 of EGRRCPA amends Section 29 of the FDI Act (12 U.S.C. 1831f) to exclude a capped amount of reciprocal deposits from treatment as brokered deposits for qualifying institutions.  Section 202 also defines “reciprocal deposits” to mean “deposits received by an agent institution through a deposit placement network with the same maturity (if any) and in the same aggregate amount as covered deposits placed by the agent institution in other network member banks.”  The terms “agent institution,” “deposit placement network,” “covered deposit,” and “network member bank,” all of which are used in the definition of “reciprocal deposit,” also are defined in Section 202.  </w:t>
      </w:r>
    </w:p>
    <w:p w:rsidR="00B06EB8" w:rsidRDefault="00B06EB8" w:rsidP="00B06EB8"/>
    <w:p w:rsidR="00B06EB8" w:rsidRDefault="00B06EB8" w:rsidP="00B06EB8">
      <w:r>
        <w:t xml:space="preserve">In particular, an “agent institution” is an FDIC-insured depository institution that meets at least one of the following criteria:   </w:t>
      </w:r>
    </w:p>
    <w:p w:rsidR="00B06EB8" w:rsidRDefault="00B06EB8" w:rsidP="00B06EB8">
      <w:pPr>
        <w:pStyle w:val="ListParagraph"/>
        <w:numPr>
          <w:ilvl w:val="0"/>
          <w:numId w:val="26"/>
        </w:numPr>
        <w:rPr>
          <w:szCs w:val="22"/>
        </w:rPr>
      </w:pPr>
      <w:r>
        <w:rPr>
          <w:szCs w:val="22"/>
        </w:rPr>
        <w:t xml:space="preserve">The institution is well-capitalized </w:t>
      </w:r>
      <w:r>
        <w:rPr>
          <w:szCs w:val="22"/>
          <w:u w:val="single"/>
        </w:rPr>
        <w:t>and</w:t>
      </w:r>
      <w:r>
        <w:rPr>
          <w:szCs w:val="22"/>
        </w:rPr>
        <w:t xml:space="preserve"> has a composite condition of “outstanding” or “good” when most recently examined under Section 10(d) of the FDI Act (12 U.S.C. 1820(d)); or</w:t>
      </w:r>
    </w:p>
    <w:p w:rsidR="00B06EB8" w:rsidRDefault="00B06EB8" w:rsidP="00B06EB8">
      <w:pPr>
        <w:numPr>
          <w:ilvl w:val="0"/>
          <w:numId w:val="26"/>
        </w:numPr>
        <w:spacing w:after="200"/>
        <w:contextualSpacing/>
        <w:rPr>
          <w:szCs w:val="22"/>
        </w:rPr>
      </w:pPr>
      <w:r>
        <w:rPr>
          <w:szCs w:val="22"/>
        </w:rPr>
        <w:t>The institution has obtained a waiver from the FDIC to accept, renew, or roll over brokered deposits pursuant to Section 29(c) of the FDI Act (12 U.S.C. 1831f(c)); or</w:t>
      </w:r>
    </w:p>
    <w:p w:rsidR="00B06EB8" w:rsidRDefault="00B06EB8" w:rsidP="00B06EB8">
      <w:pPr>
        <w:numPr>
          <w:ilvl w:val="0"/>
          <w:numId w:val="26"/>
        </w:numPr>
        <w:spacing w:after="200"/>
        <w:contextualSpacing/>
        <w:rPr>
          <w:szCs w:val="22"/>
        </w:rPr>
      </w:pPr>
      <w:r>
        <w:rPr>
          <w:szCs w:val="22"/>
        </w:rPr>
        <w:t xml:space="preserve">The institution does not receive reciprocal deposits in an amount that is greater than an “additional cap” (discussed below).    </w:t>
      </w:r>
    </w:p>
    <w:p w:rsidR="00B06EB8" w:rsidRDefault="00B06EB8" w:rsidP="00B06EB8"/>
    <w:p w:rsidR="00B06EB8" w:rsidRDefault="00B06EB8" w:rsidP="00B06EB8">
      <w:pPr>
        <w:rPr>
          <w:szCs w:val="22"/>
        </w:rPr>
      </w:pPr>
      <w:r>
        <w:t xml:space="preserve">            Under the “general cap” set forth in Section 202, a</w:t>
      </w:r>
      <w:r>
        <w:rPr>
          <w:szCs w:val="22"/>
        </w:rPr>
        <w:t>n agent institution may classify reciprocal deposits up to the lesser of the following amounts as non-brokered reciprocal deposits:</w:t>
      </w:r>
    </w:p>
    <w:p w:rsidR="00B06EB8" w:rsidRDefault="00B06EB8" w:rsidP="00B06EB8">
      <w:pPr>
        <w:rPr>
          <w:szCs w:val="22"/>
        </w:rPr>
      </w:pPr>
    </w:p>
    <w:p w:rsidR="00B06EB8" w:rsidRDefault="00B06EB8" w:rsidP="00B06EB8">
      <w:pPr>
        <w:numPr>
          <w:ilvl w:val="0"/>
          <w:numId w:val="27"/>
        </w:numPr>
        <w:spacing w:after="200"/>
        <w:contextualSpacing/>
        <w:rPr>
          <w:szCs w:val="22"/>
        </w:rPr>
      </w:pPr>
      <w:r>
        <w:rPr>
          <w:szCs w:val="22"/>
        </w:rPr>
        <w:t xml:space="preserve">$5 billion, or </w:t>
      </w:r>
    </w:p>
    <w:p w:rsidR="00B06EB8" w:rsidRDefault="00B06EB8" w:rsidP="00B06EB8">
      <w:pPr>
        <w:numPr>
          <w:ilvl w:val="0"/>
          <w:numId w:val="27"/>
        </w:numPr>
        <w:spacing w:after="200"/>
        <w:contextualSpacing/>
        <w:rPr>
          <w:szCs w:val="22"/>
        </w:rPr>
      </w:pPr>
      <w:r>
        <w:rPr>
          <w:szCs w:val="22"/>
        </w:rPr>
        <w:t>An amount equal to 20 percent of the agent institution’s total liabilities.</w:t>
      </w:r>
    </w:p>
    <w:p w:rsidR="00B06EB8" w:rsidRDefault="00B06EB8" w:rsidP="00B06EB8">
      <w:pPr>
        <w:spacing w:after="200"/>
        <w:contextualSpacing/>
        <w:rPr>
          <w:szCs w:val="22"/>
        </w:rPr>
      </w:pPr>
    </w:p>
    <w:p w:rsidR="00B06EB8" w:rsidRDefault="00B06EB8" w:rsidP="00B06EB8">
      <w:r>
        <w:rPr>
          <w:szCs w:val="22"/>
        </w:rPr>
        <w:t xml:space="preserve">            However, if an agent institution is</w:t>
      </w:r>
      <w:r>
        <w:t xml:space="preserve"> either </w:t>
      </w:r>
      <w:r>
        <w:rPr>
          <w:u w:val="single"/>
        </w:rPr>
        <w:t>not</w:t>
      </w:r>
      <w:r>
        <w:t xml:space="preserve"> “well-rated” or </w:t>
      </w:r>
      <w:r>
        <w:rPr>
          <w:u w:val="single"/>
        </w:rPr>
        <w:t>not</w:t>
      </w:r>
      <w:r>
        <w:t xml:space="preserve"> well-capitalized, the institution may classify reciprocal deposits as non-brokered in an amount up to lesser of the “general cap” or the average amount of reciprocal deposits held during the last four quarters since the institution was well-capitalized </w:t>
      </w:r>
      <w:r>
        <w:rPr>
          <w:u w:val="single"/>
        </w:rPr>
        <w:t>and</w:t>
      </w:r>
      <w:r>
        <w:t xml:space="preserve"> in “outstanding” or “good” condition.</w:t>
      </w:r>
    </w:p>
    <w:p w:rsidR="00B06EB8" w:rsidRDefault="00B06EB8" w:rsidP="00B06EB8">
      <w:pPr>
        <w:pStyle w:val="ListParagraph"/>
        <w:ind w:left="360"/>
      </w:pPr>
    </w:p>
    <w:p w:rsidR="00B06EB8" w:rsidRDefault="00B06EB8" w:rsidP="00B06EB8">
      <w:pPr>
        <w:spacing w:after="200"/>
        <w:contextualSpacing/>
        <w:rPr>
          <w:szCs w:val="22"/>
        </w:rPr>
      </w:pPr>
      <w:r>
        <w:rPr>
          <w:szCs w:val="22"/>
        </w:rPr>
        <w:t xml:space="preserve">            An agent institution’s reciprocal deposits in excess of the “general cap” or the “additional cap,” as applicable, must treat the excess reciprocal deposits as brokered deposits.</w:t>
      </w:r>
    </w:p>
    <w:p w:rsidR="00B06EB8" w:rsidRDefault="00B06EB8" w:rsidP="00B06EB8"/>
    <w:p w:rsidR="00B06EB8" w:rsidRDefault="00107C52" w:rsidP="00B06EB8">
      <w:r>
        <w:t xml:space="preserve">            </w:t>
      </w:r>
      <w:r w:rsidR="00B06EB8">
        <w:t xml:space="preserve">The current Call Report instructions, consistent with the law prior to the enactment of EGRRCPA, treat all reciprocal deposits as brokered deposits.  The FDIC proposes to allow institutions to report pursuant to the new law for the June 30, 2018, Call Report by applying the newly defined terms and other provisions of Section 202 of EGRRCPA to determine whether an institution and its reciprocal deposits are eligible for the statutory exclusion from being treated as brokered deposits.  Qualifying institutions may use available information to then reasonably estimate and report as brokered deposits (in Schedule RC-E, Memorandum items 1.b through 1.d), and reciprocal brokered deposits (in Schedule RC-O, item 9 and, if applicable, item 9.a), only those reciprocal deposits that are still considered brokered deposits under the new law.  </w:t>
      </w:r>
    </w:p>
    <w:p w:rsidR="00B06EB8" w:rsidRDefault="00B06EB8" w:rsidP="00B06EB8"/>
    <w:p w:rsidR="00B06EB8" w:rsidRDefault="00107C52" w:rsidP="00B06EB8">
      <w:r>
        <w:t xml:space="preserve">            </w:t>
      </w:r>
      <w:r w:rsidR="00B06EB8">
        <w:t xml:space="preserve">Alternatively, when reporting as of June 30, 2018, institutions may continue to report reciprocal deposits in Schedules RC-E and RC-O consistent with the current Call Report instructions (i.e., those instructions in effect prior to passage of EGRRCPA). </w:t>
      </w:r>
    </w:p>
    <w:p w:rsidR="00B06EB8" w:rsidRDefault="00B06EB8" w:rsidP="00B06EB8"/>
    <w:p w:rsidR="00B06EB8" w:rsidRDefault="00107C52" w:rsidP="00B06EB8">
      <w:r>
        <w:t xml:space="preserve">            </w:t>
      </w:r>
      <w:r w:rsidR="00B06EB8">
        <w:t>The FDIC, acting jointly with the other FFIEC member entities, proposes to issue additional instructions regarding the application of Section 202 to reciprocal deposits for purposes of reporting in the Call Report effective for the September 30, 2018, report date, including revising the existing instructions for the brokered deposit items in Schedule RC-E and the reciprocal brokered deposit items in Schedule RC-O to conform to the new law.  In addition, the FDIC proposes to add a new Memorandum item 1.g to Schedule RC-E effective for the September 30, 2018, report date in which institutions would report their “Total reciprocal deposits” (as of the report date) in accordance with the definition of this term in Section 202.  For the September 30, 2018, report date only, the FDIC further proposes to add a new Memorandum item 1.h to Schedule RC-E in which institutions would report on a one-time basis their “Total reciprocal deposits as of June 30, 2018.”</w:t>
      </w:r>
    </w:p>
    <w:p w:rsidR="00B06EB8" w:rsidRDefault="00B06EB8" w:rsidP="00B06EB8"/>
    <w:p w:rsidR="00B06EB8" w:rsidRDefault="00107C52" w:rsidP="00B06EB8">
      <w:r>
        <w:t xml:space="preserve">            </w:t>
      </w:r>
      <w:r w:rsidR="00B06EB8">
        <w:t xml:space="preserve">Because the measurement of an institution’s “additional cap” is based in part on the average amount of reciprocal deposits held during the last four quarters since the institution was well-capitalized </w:t>
      </w:r>
      <w:r w:rsidR="00B06EB8">
        <w:rPr>
          <w:u w:val="single"/>
        </w:rPr>
        <w:t>and</w:t>
      </w:r>
      <w:r w:rsidR="00B06EB8">
        <w:t xml:space="preserve"> in “outstanding” or “good” condition, the amounts of “Total reciprocal deposits” reported in proposed new Schedule RC-E, Memorandum item 1.g, for those four quarters would be an input to the calculation of the “additional cap” by an institution that no longer meets both of these conditions.  The FDIC would also be able to use the reported amounts of “Total reciprocal deposits” to verify the institution’s determination of its “additional cap.”  With Section 202 effective upon enactment, the Call Report for June 30, 2018, did not include a data item in which institutions would report the quarter-end amount of their “Total reciprocal deposits” as of that report date.  The proposed one-time only Memorandum item 1.h of Schedule RC-E would provide this amount (in the Call Report for September 30, 2018) for both institutions and the FDIC should an institution become either </w:t>
      </w:r>
      <w:r w:rsidR="00B06EB8">
        <w:rPr>
          <w:u w:val="single"/>
        </w:rPr>
        <w:t>not</w:t>
      </w:r>
      <w:r w:rsidR="00B06EB8">
        <w:t xml:space="preserve"> “well-rated” or </w:t>
      </w:r>
      <w:r w:rsidR="00B06EB8">
        <w:rPr>
          <w:u w:val="single"/>
        </w:rPr>
        <w:t>not</w:t>
      </w:r>
      <w:r w:rsidR="00B06EB8">
        <w:t xml:space="preserve"> well-capitalized at a future date when the four-quarter look-back period used to calculate its “additional cap” would include June 30, 2018.</w:t>
      </w:r>
    </w:p>
    <w:p w:rsidR="00B06EB8" w:rsidRDefault="00B06EB8" w:rsidP="00B06EB8"/>
    <w:p w:rsidR="00B06EB8" w:rsidRDefault="00107C52" w:rsidP="00B06EB8">
      <w:pPr>
        <w:spacing w:after="200"/>
      </w:pPr>
      <w:r>
        <w:t xml:space="preserve">            </w:t>
      </w:r>
      <w:r w:rsidR="00B06EB8">
        <w:t>From a supervisory perspective, a funding concentration could arise if a significant amount of an institution’s deposits comes from reciprocal deposits obtained through a single deposit placement network, regardless of whether the reciprocal deposits are treated as brokered under Section 202.  The FDIC’s examination staff reviews funding concentrations on an institution-by-institution basis.  In this regard, to the extent that reciprocal deposits depend upon the existence of a network, these deposits are vulnerable to the financial health of the network.  If the network were to fail or exclude an institution from continued use of the network because of deterioration in its condition, the institution could experience liquidity problems.  An institution that is a member of a deposit placement network could attract deposits in excess of the deposit insurance limit from customers with whom the institution has no customer relationships.  By using the network to place the uninsured portion of these deposits with other institutions and receive equal amounts of insured deposits in return, the institution could use reciprocal deposits to grow rapidly, but it may have more funds than it can prudently lend or otherwise invest</w:t>
      </w:r>
      <w:r w:rsidR="00B06EB8">
        <w:rPr>
          <w:sz w:val="23"/>
          <w:szCs w:val="23"/>
        </w:rPr>
        <w:t>.  By collecting data on an institution’s “Total reciprocal deposits,” as proposed, the identification of significant changes in the reported amounts of such deposits at an institution from would trigger supervisory follow-up.</w:t>
      </w:r>
    </w:p>
    <w:p w:rsidR="00BD5798" w:rsidRDefault="00BD5798" w:rsidP="00AE34E0">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20"/>
        <w:rPr>
          <w:rFonts w:ascii="Times New Roman" w:hAnsi="Times New Roman"/>
          <w:sz w:val="24"/>
        </w:rPr>
      </w:pPr>
    </w:p>
    <w:p w:rsidR="00CA6AE6" w:rsidRPr="0057093A" w:rsidRDefault="00CA6AE6" w:rsidP="00AE34E0">
      <w:pPr>
        <w:rPr>
          <w:color w:val="000000"/>
          <w:szCs w:val="20"/>
        </w:rPr>
      </w:pPr>
      <w:r w:rsidRPr="0057093A">
        <w:rPr>
          <w:color w:val="000000"/>
          <w:szCs w:val="20"/>
        </w:rPr>
        <w:t>A.</w:t>
      </w:r>
      <w:r w:rsidRPr="0057093A">
        <w:rPr>
          <w:color w:val="000000"/>
          <w:szCs w:val="20"/>
        </w:rPr>
        <w:tab/>
      </w:r>
      <w:r w:rsidRPr="0057093A">
        <w:rPr>
          <w:color w:val="000000"/>
          <w:szCs w:val="20"/>
          <w:u w:val="single"/>
        </w:rPr>
        <w:t>JUSTIFICATION</w:t>
      </w:r>
    </w:p>
    <w:p w:rsidR="00CA6AE6" w:rsidRPr="0057093A" w:rsidRDefault="00CA6AE6" w:rsidP="00AE34E0">
      <w:pPr>
        <w:tabs>
          <w:tab w:val="left" w:pos="432"/>
          <w:tab w:val="left" w:pos="1296"/>
          <w:tab w:val="left" w:pos="1728"/>
          <w:tab w:val="left" w:pos="4176"/>
        </w:tabs>
        <w:ind w:left="432" w:hanging="432"/>
        <w:rPr>
          <w:color w:val="000000"/>
          <w:szCs w:val="20"/>
        </w:rPr>
      </w:pPr>
    </w:p>
    <w:p w:rsidR="00CA6AE6" w:rsidRDefault="00CA6AE6" w:rsidP="00AE34E0">
      <w:pPr>
        <w:numPr>
          <w:ilvl w:val="0"/>
          <w:numId w:val="5"/>
        </w:numPr>
        <w:tabs>
          <w:tab w:val="left" w:pos="432"/>
          <w:tab w:val="left" w:pos="1728"/>
          <w:tab w:val="left" w:pos="4176"/>
        </w:tabs>
        <w:ind w:left="432" w:hanging="432"/>
        <w:rPr>
          <w:color w:val="000000"/>
          <w:szCs w:val="20"/>
          <w:u w:val="single"/>
        </w:rPr>
      </w:pPr>
      <w:r w:rsidRPr="0057093A">
        <w:rPr>
          <w:color w:val="000000"/>
          <w:szCs w:val="20"/>
          <w:u w:val="single"/>
        </w:rPr>
        <w:t>Circumstances and Need</w:t>
      </w:r>
    </w:p>
    <w:p w:rsidR="00A45144" w:rsidRDefault="00A45144" w:rsidP="00AE34E0">
      <w:pPr>
        <w:tabs>
          <w:tab w:val="left" w:pos="432"/>
          <w:tab w:val="left" w:pos="1728"/>
          <w:tab w:val="left" w:pos="4176"/>
        </w:tabs>
        <w:rPr>
          <w:color w:val="000000"/>
          <w:szCs w:val="20"/>
          <w:u w:val="single"/>
        </w:rPr>
      </w:pPr>
    </w:p>
    <w:p w:rsidR="00DD3684" w:rsidRDefault="00A45144" w:rsidP="000D3228">
      <w:pPr>
        <w:tabs>
          <w:tab w:val="left" w:pos="432"/>
          <w:tab w:val="left" w:pos="720"/>
          <w:tab w:val="left" w:pos="1728"/>
          <w:tab w:val="left" w:pos="4176"/>
        </w:tabs>
      </w:pPr>
      <w:r>
        <w:tab/>
        <w:t xml:space="preserve">    </w:t>
      </w:r>
      <w:r w:rsidRPr="001212C3">
        <w:t xml:space="preserve">Institutions submit </w:t>
      </w:r>
      <w:r w:rsidR="000F15CC">
        <w:t>Consolidated Reports of Condition and Income (</w:t>
      </w:r>
      <w:r w:rsidRPr="001212C3">
        <w:t>Call Report</w:t>
      </w:r>
      <w:r w:rsidR="000F15CC">
        <w:t>)</w:t>
      </w:r>
      <w:r w:rsidRPr="001212C3">
        <w:t xml:space="preserve"> data to the agencies each quarter for the agencies’ use in monitoring the condition, performance, and risk profile of individual institutions and the industry as a whole.  Call Report data provide the most current statistical data available for evaluating institutions</w:t>
      </w:r>
      <w:r w:rsidRPr="001212C3">
        <w:rPr>
          <w:color w:val="000000"/>
        </w:rPr>
        <w:t>’</w:t>
      </w:r>
      <w:r w:rsidRPr="001212C3">
        <w:t xml:space="preserve"> corporate applications, identifying areas of focus for on-site and off-site examinations, and monetary and other public policy purposes.  The agencies use Call</w:t>
      </w:r>
      <w:r>
        <w:t> </w:t>
      </w:r>
      <w:r w:rsidRPr="001212C3">
        <w:t xml:space="preserve">Report </w:t>
      </w:r>
      <w:r>
        <w:t>d</w:t>
      </w:r>
      <w:r w:rsidRPr="001212C3">
        <w:t xml:space="preserve">ata in evaluating interstate merger and acquisition applications to determine, as required by law, whether the resulting institution would control more than </w:t>
      </w:r>
      <w:r>
        <w:t>ten</w:t>
      </w:r>
      <w:r w:rsidRPr="001212C3">
        <w:t xml:space="preserve"> percent of the total amount of deposits of insured depository institutions in the United States.</w:t>
      </w:r>
      <w:r>
        <w:t xml:space="preserve">  </w:t>
      </w:r>
      <w:r w:rsidRPr="001212C3">
        <w:t xml:space="preserve">Call Report data </w:t>
      </w:r>
      <w:r>
        <w:t xml:space="preserve">are </w:t>
      </w:r>
      <w:r w:rsidR="00320518">
        <w:t xml:space="preserve">also </w:t>
      </w:r>
      <w:r w:rsidRPr="001212C3">
        <w:t>used to calculate institutions</w:t>
      </w:r>
      <w:r w:rsidRPr="001212C3">
        <w:rPr>
          <w:color w:val="000000"/>
        </w:rPr>
        <w:t>’</w:t>
      </w:r>
      <w:r w:rsidRPr="001212C3">
        <w:t xml:space="preserve"> deposit insurance and Financing Corporation assessments</w:t>
      </w:r>
      <w:r>
        <w:t xml:space="preserve"> and </w:t>
      </w:r>
      <w:r w:rsidRPr="001212C3">
        <w:t xml:space="preserve">national banks’ </w:t>
      </w:r>
      <w:r>
        <w:t xml:space="preserve">and federal savings associations’ </w:t>
      </w:r>
      <w:r w:rsidRPr="001212C3">
        <w:t>semiannual</w:t>
      </w:r>
      <w:r>
        <w:t xml:space="preserve"> </w:t>
      </w:r>
      <w:r w:rsidRPr="001212C3">
        <w:t>assessment fees</w:t>
      </w:r>
      <w:r w:rsidRPr="000F373C">
        <w:t>.</w:t>
      </w:r>
      <w:r w:rsidR="00DD3684" w:rsidRPr="00A60F2B">
        <w:t xml:space="preserve"> </w:t>
      </w:r>
    </w:p>
    <w:p w:rsidR="000A457D" w:rsidRDefault="000A457D" w:rsidP="000D3228">
      <w:pPr>
        <w:tabs>
          <w:tab w:val="left" w:pos="432"/>
          <w:tab w:val="left" w:pos="720"/>
          <w:tab w:val="left" w:pos="1728"/>
          <w:tab w:val="left" w:pos="4176"/>
        </w:tabs>
      </w:pPr>
    </w:p>
    <w:p w:rsidR="000A457D" w:rsidRPr="000D3228" w:rsidRDefault="000A457D" w:rsidP="003206CB">
      <w:pPr>
        <w:tabs>
          <w:tab w:val="left" w:pos="432"/>
          <w:tab w:val="left" w:pos="720"/>
          <w:tab w:val="left" w:pos="1728"/>
          <w:tab w:val="left" w:pos="4176"/>
        </w:tabs>
        <w:rPr>
          <w:color w:val="000000"/>
          <w:szCs w:val="20"/>
          <w:u w:val="single"/>
        </w:rPr>
      </w:pPr>
      <w:r>
        <w:tab/>
      </w:r>
      <w:r w:rsidR="003206CB">
        <w:t xml:space="preserve">    </w:t>
      </w:r>
      <w:r>
        <w:t>The agencies are making changes</w:t>
      </w:r>
      <w:r w:rsidRPr="00A60F2B">
        <w:t xml:space="preserve"> to </w:t>
      </w:r>
      <w:r w:rsidR="000F15CC">
        <w:t>various sections of the Call Report to eliminate data items that are no longer relevant</w:t>
      </w:r>
      <w:r w:rsidR="008F01A1">
        <w:t xml:space="preserve"> or reducing the frequency from quarterly to semiannual or annual.</w:t>
      </w:r>
      <w:r w:rsidRPr="00A60F2B">
        <w:t xml:space="preserve">  </w:t>
      </w:r>
    </w:p>
    <w:p w:rsidR="002B641E" w:rsidRDefault="002B641E" w:rsidP="00AE34E0">
      <w:pPr>
        <w:pStyle w:val="Preformatted"/>
        <w:tabs>
          <w:tab w:val="clear" w:pos="959"/>
          <w:tab w:val="clear" w:pos="1918"/>
          <w:tab w:val="clear" w:pos="2877"/>
          <w:tab w:val="clear" w:pos="3836"/>
          <w:tab w:val="clear" w:pos="4795"/>
          <w:tab w:val="clear" w:pos="5754"/>
          <w:tab w:val="clear" w:pos="6713"/>
          <w:tab w:val="clear" w:pos="7672"/>
          <w:tab w:val="clear" w:pos="8631"/>
          <w:tab w:val="clear" w:pos="9590"/>
          <w:tab w:val="left" w:pos="1296"/>
          <w:tab w:val="left" w:pos="1728"/>
          <w:tab w:val="left" w:pos="4176"/>
        </w:tabs>
        <w:rPr>
          <w:rFonts w:ascii="Times New Roman" w:hAnsi="Times New Roman"/>
          <w:color w:val="000000"/>
          <w:sz w:val="24"/>
          <w:szCs w:val="24"/>
        </w:rPr>
      </w:pPr>
    </w:p>
    <w:p w:rsidR="0086663A" w:rsidRPr="00F25659" w:rsidRDefault="00CA6AE6" w:rsidP="00AE34E0">
      <w:pPr>
        <w:pStyle w:val="Preformatted"/>
        <w:tabs>
          <w:tab w:val="clear" w:pos="959"/>
          <w:tab w:val="clear" w:pos="1918"/>
          <w:tab w:val="clear" w:pos="2877"/>
          <w:tab w:val="clear" w:pos="3836"/>
          <w:tab w:val="clear" w:pos="4795"/>
          <w:tab w:val="clear" w:pos="5754"/>
          <w:tab w:val="clear" w:pos="6713"/>
          <w:tab w:val="clear" w:pos="7672"/>
          <w:tab w:val="clear" w:pos="8631"/>
          <w:tab w:val="clear" w:pos="9590"/>
          <w:tab w:val="left" w:pos="1296"/>
          <w:tab w:val="left" w:pos="1728"/>
          <w:tab w:val="left" w:pos="4176"/>
        </w:tabs>
        <w:rPr>
          <w:rFonts w:ascii="Times New Roman" w:hAnsi="Times New Roman"/>
          <w:color w:val="000000"/>
          <w:sz w:val="24"/>
          <w:szCs w:val="24"/>
          <w:u w:val="single"/>
        </w:rPr>
      </w:pPr>
      <w:r w:rsidRPr="00F25659">
        <w:rPr>
          <w:rFonts w:ascii="Times New Roman" w:hAnsi="Times New Roman"/>
          <w:color w:val="000000"/>
          <w:sz w:val="24"/>
          <w:szCs w:val="24"/>
        </w:rPr>
        <w:t>2.</w:t>
      </w:r>
      <w:r w:rsidR="00A34FBA" w:rsidRPr="00F25659">
        <w:rPr>
          <w:rFonts w:ascii="Times New Roman" w:hAnsi="Times New Roman"/>
          <w:color w:val="000000"/>
          <w:sz w:val="24"/>
          <w:szCs w:val="24"/>
        </w:rPr>
        <w:t xml:space="preserve">    </w:t>
      </w:r>
      <w:r w:rsidRPr="00F25659">
        <w:rPr>
          <w:rFonts w:ascii="Times New Roman" w:hAnsi="Times New Roman"/>
          <w:color w:val="000000"/>
          <w:sz w:val="24"/>
          <w:szCs w:val="24"/>
          <w:u w:val="single"/>
        </w:rPr>
        <w:t>Use of Information Collected</w:t>
      </w:r>
    </w:p>
    <w:p w:rsidR="0086663A" w:rsidRPr="00F25659" w:rsidRDefault="0086663A" w:rsidP="00AE34E0">
      <w:pPr>
        <w:pStyle w:val="Preformatted"/>
        <w:tabs>
          <w:tab w:val="clear" w:pos="959"/>
          <w:tab w:val="clear" w:pos="1918"/>
          <w:tab w:val="clear" w:pos="2877"/>
          <w:tab w:val="clear" w:pos="3836"/>
          <w:tab w:val="clear" w:pos="4795"/>
          <w:tab w:val="clear" w:pos="5754"/>
          <w:tab w:val="clear" w:pos="6713"/>
          <w:tab w:val="clear" w:pos="7672"/>
          <w:tab w:val="clear" w:pos="8631"/>
          <w:tab w:val="clear" w:pos="9590"/>
          <w:tab w:val="left" w:pos="1296"/>
          <w:tab w:val="left" w:pos="1728"/>
          <w:tab w:val="left" w:pos="4176"/>
        </w:tabs>
        <w:rPr>
          <w:rFonts w:ascii="Times New Roman" w:hAnsi="Times New Roman"/>
          <w:color w:val="000000"/>
          <w:sz w:val="24"/>
          <w:szCs w:val="24"/>
          <w:u w:val="single"/>
        </w:rPr>
      </w:pPr>
    </w:p>
    <w:p w:rsidR="003206CB" w:rsidRPr="0098622E" w:rsidRDefault="003206CB" w:rsidP="003206CB">
      <w:pPr>
        <w:pStyle w:val="HTMLPreformatted"/>
        <w:tabs>
          <w:tab w:val="left" w:pos="720"/>
        </w:tabs>
        <w:rPr>
          <w:rFonts w:ascii="Times New Roman" w:hAnsi="Times New Roman" w:cs="Times New Roman"/>
          <w:sz w:val="24"/>
          <w:szCs w:val="24"/>
        </w:rPr>
      </w:pPr>
      <w:r>
        <w:rPr>
          <w:rFonts w:ascii="Times New Roman" w:hAnsi="Times New Roman" w:cs="Times New Roman"/>
          <w:sz w:val="24"/>
          <w:szCs w:val="24"/>
        </w:rPr>
        <w:t xml:space="preserve">          </w:t>
      </w:r>
      <w:r w:rsidR="0098622E" w:rsidRPr="0098622E">
        <w:rPr>
          <w:rFonts w:ascii="Times New Roman" w:hAnsi="Times New Roman" w:cs="Times New Roman"/>
          <w:sz w:val="24"/>
          <w:szCs w:val="24"/>
        </w:rPr>
        <w:t>Institutions submit Consolidated Reports of Condition and Income (Call Report) data to the agencies each quarter for the agencies’ use in monitoring the condition, performance, and risk profile of individual institutions and the industry as a whole.  Call Report data provide the most current statistical data available for evaluating institutions</w:t>
      </w:r>
      <w:r w:rsidR="0098622E" w:rsidRPr="0098622E">
        <w:rPr>
          <w:rFonts w:ascii="Times New Roman" w:hAnsi="Times New Roman" w:cs="Times New Roman"/>
          <w:color w:val="000000"/>
          <w:sz w:val="24"/>
          <w:szCs w:val="24"/>
        </w:rPr>
        <w:t>’</w:t>
      </w:r>
      <w:r w:rsidR="0098622E" w:rsidRPr="0098622E">
        <w:rPr>
          <w:rFonts w:ascii="Times New Roman" w:hAnsi="Times New Roman" w:cs="Times New Roman"/>
          <w:sz w:val="24"/>
          <w:szCs w:val="24"/>
        </w:rPr>
        <w:t xml:space="preserve"> corporate applications, identifying areas of focus for on-site and off-site examinations, and monetary and other public policy purposes.  The agencies use Call Report data in evaluating interstate merger and acquisition applications to determine, as required by law, whether the resulting institution would control more than ten percent of the total amount of deposits of insured depository institutions in the United States.  Call Report data are also used to calculate institutions</w:t>
      </w:r>
      <w:r w:rsidR="0098622E" w:rsidRPr="0098622E">
        <w:rPr>
          <w:rFonts w:ascii="Times New Roman" w:hAnsi="Times New Roman" w:cs="Times New Roman"/>
          <w:color w:val="000000"/>
          <w:sz w:val="24"/>
          <w:szCs w:val="24"/>
        </w:rPr>
        <w:t>’</w:t>
      </w:r>
      <w:r w:rsidR="0098622E" w:rsidRPr="0098622E">
        <w:rPr>
          <w:rFonts w:ascii="Times New Roman" w:hAnsi="Times New Roman" w:cs="Times New Roman"/>
          <w:sz w:val="24"/>
          <w:szCs w:val="24"/>
        </w:rPr>
        <w:t xml:space="preserve"> deposit insurance and Financing Corporation assessments and national banks’ and federal savings associations’ semiannual assessment fees.</w:t>
      </w:r>
    </w:p>
    <w:p w:rsidR="003206CB" w:rsidRPr="003206CB" w:rsidRDefault="003206CB" w:rsidP="003206CB">
      <w:pPr>
        <w:pStyle w:val="HTMLPreformatted"/>
        <w:rPr>
          <w:rFonts w:ascii="Times New Roman" w:hAnsi="Times New Roman" w:cs="Times New Roman"/>
          <w:sz w:val="24"/>
          <w:szCs w:val="24"/>
        </w:rPr>
      </w:pPr>
    </w:p>
    <w:p w:rsidR="00CA6AE6" w:rsidRPr="00F25659" w:rsidRDefault="00CA6AE6" w:rsidP="0098622E">
      <w:pPr>
        <w:pStyle w:val="HTMLPreformatted"/>
        <w:tabs>
          <w:tab w:val="left" w:pos="720"/>
        </w:tabs>
        <w:rPr>
          <w:rFonts w:ascii="Times New Roman" w:hAnsi="Times New Roman" w:cs="Times New Roman"/>
          <w:color w:val="000000"/>
          <w:sz w:val="24"/>
          <w:szCs w:val="24"/>
        </w:rPr>
      </w:pPr>
      <w:r w:rsidRPr="00F25659">
        <w:rPr>
          <w:rFonts w:ascii="Times New Roman" w:hAnsi="Times New Roman" w:cs="Times New Roman"/>
          <w:color w:val="000000"/>
          <w:sz w:val="24"/>
          <w:szCs w:val="24"/>
        </w:rPr>
        <w:t>3.</w:t>
      </w:r>
      <w:r w:rsidR="00AB120E" w:rsidRPr="00F25659">
        <w:rPr>
          <w:rFonts w:ascii="Times New Roman" w:hAnsi="Times New Roman" w:cs="Times New Roman"/>
          <w:color w:val="000000"/>
          <w:sz w:val="24"/>
          <w:szCs w:val="24"/>
        </w:rPr>
        <w:t xml:space="preserve">    </w:t>
      </w:r>
      <w:r w:rsidRPr="00F25659">
        <w:rPr>
          <w:rFonts w:ascii="Times New Roman" w:hAnsi="Times New Roman" w:cs="Times New Roman"/>
          <w:color w:val="000000"/>
          <w:sz w:val="24"/>
          <w:szCs w:val="24"/>
          <w:u w:val="single"/>
        </w:rPr>
        <w:t xml:space="preserve">Use of Technology to Reduce Burden </w:t>
      </w:r>
    </w:p>
    <w:p w:rsidR="00CA6AE6" w:rsidRPr="00F25659" w:rsidRDefault="00CA6AE6" w:rsidP="00AE34E0">
      <w:pPr>
        <w:rPr>
          <w:color w:val="000000"/>
          <w:szCs w:val="20"/>
        </w:rPr>
      </w:pPr>
    </w:p>
    <w:p w:rsidR="00CA6AE6" w:rsidRPr="00F25659" w:rsidRDefault="00CA6AE6" w:rsidP="00AE34E0">
      <w:pPr>
        <w:widowControl w:val="0"/>
        <w:ind w:firstLine="720"/>
        <w:rPr>
          <w:szCs w:val="20"/>
        </w:rPr>
      </w:pPr>
      <w:r w:rsidRPr="00F25659">
        <w:rPr>
          <w:szCs w:val="20"/>
        </w:rPr>
        <w:t>All banks and savings associations are subject to an electronic fili</w:t>
      </w:r>
      <w:r w:rsidR="00784C0B" w:rsidRPr="00F25659">
        <w:rPr>
          <w:szCs w:val="20"/>
        </w:rPr>
        <w:t>ng requirement for Call Reports</w:t>
      </w:r>
      <w:r w:rsidRPr="00F25659">
        <w:rPr>
          <w:szCs w:val="20"/>
        </w:rPr>
        <w:t>.  Institutions may use information technology to the extent feasible to maintain required records.</w:t>
      </w:r>
    </w:p>
    <w:p w:rsidR="00CA6AE6" w:rsidRPr="00F25659" w:rsidRDefault="00CA6AE6" w:rsidP="00AE34E0">
      <w:pPr>
        <w:ind w:left="1296"/>
        <w:rPr>
          <w:color w:val="000000"/>
        </w:rPr>
      </w:pPr>
    </w:p>
    <w:p w:rsidR="00CA6AE6" w:rsidRPr="00F25659" w:rsidRDefault="00CA6AE6" w:rsidP="00AE34E0">
      <w:pPr>
        <w:numPr>
          <w:ilvl w:val="0"/>
          <w:numId w:val="6"/>
        </w:numPr>
        <w:tabs>
          <w:tab w:val="left" w:pos="432"/>
          <w:tab w:val="left" w:pos="1728"/>
          <w:tab w:val="left" w:pos="4176"/>
        </w:tabs>
        <w:ind w:left="432" w:hanging="432"/>
        <w:rPr>
          <w:color w:val="000000"/>
          <w:szCs w:val="20"/>
          <w:u w:val="single"/>
        </w:rPr>
      </w:pPr>
      <w:r w:rsidRPr="00F25659">
        <w:rPr>
          <w:color w:val="000000"/>
          <w:szCs w:val="20"/>
          <w:u w:val="single"/>
        </w:rPr>
        <w:t xml:space="preserve">Efforts to Identify Duplication </w:t>
      </w:r>
    </w:p>
    <w:p w:rsidR="00CA6AE6" w:rsidRPr="00F25659" w:rsidRDefault="00CA6AE6" w:rsidP="00AE34E0">
      <w:pPr>
        <w:ind w:left="432"/>
        <w:rPr>
          <w:color w:val="000000"/>
        </w:rPr>
      </w:pPr>
    </w:p>
    <w:p w:rsidR="00657DEF" w:rsidRPr="00F25659" w:rsidRDefault="00657DEF" w:rsidP="00AE34E0">
      <w:pPr>
        <w:pStyle w:val="BodyText"/>
        <w:ind w:right="-480" w:firstLine="720"/>
      </w:pPr>
      <w:r w:rsidRPr="00F25659">
        <w:t>This information is unique because no other report or a series of reports provides all the Call Report data in a consistent and timely manner.</w:t>
      </w:r>
    </w:p>
    <w:p w:rsidR="00CA6AE6" w:rsidRPr="00F25659" w:rsidRDefault="00CA6AE6" w:rsidP="00AE34E0">
      <w:pPr>
        <w:rPr>
          <w:color w:val="000000"/>
        </w:rPr>
      </w:pPr>
    </w:p>
    <w:p w:rsidR="00CA6AE6" w:rsidRPr="00F25659" w:rsidRDefault="00CA6AE6" w:rsidP="00AE34E0">
      <w:pPr>
        <w:keepNext/>
        <w:numPr>
          <w:ilvl w:val="0"/>
          <w:numId w:val="1"/>
        </w:numPr>
        <w:tabs>
          <w:tab w:val="left" w:pos="432"/>
          <w:tab w:val="left" w:pos="1728"/>
          <w:tab w:val="left" w:pos="4176"/>
        </w:tabs>
        <w:ind w:left="432" w:hanging="432"/>
        <w:rPr>
          <w:color w:val="000000"/>
          <w:szCs w:val="20"/>
          <w:u w:val="single"/>
        </w:rPr>
      </w:pPr>
      <w:r w:rsidRPr="00F25659">
        <w:rPr>
          <w:color w:val="000000"/>
          <w:szCs w:val="20"/>
          <w:u w:val="single"/>
        </w:rPr>
        <w:t>Minimizing the Burden on Small Entities</w:t>
      </w:r>
    </w:p>
    <w:p w:rsidR="00CA6AE6" w:rsidRPr="00F25659" w:rsidRDefault="00CA6AE6" w:rsidP="00AE34E0">
      <w:pPr>
        <w:keepNext/>
        <w:ind w:left="1282"/>
        <w:rPr>
          <w:color w:val="000000"/>
          <w:szCs w:val="20"/>
        </w:rPr>
      </w:pPr>
    </w:p>
    <w:p w:rsidR="00C0119C" w:rsidRPr="00F25659" w:rsidRDefault="00456357" w:rsidP="00AE34E0">
      <w:pPr>
        <w:pStyle w:val="BodyText"/>
        <w:ind w:right="-480" w:firstLine="720"/>
      </w:pPr>
      <w:r>
        <w:t xml:space="preserve">The agencies attempt to limit the information collected to </w:t>
      </w:r>
      <w:r w:rsidR="00C0119C" w:rsidRPr="00F25659">
        <w:t xml:space="preserve">the minimum information needed to evaluate the condition of an institution, regardless of size. </w:t>
      </w:r>
      <w:r w:rsidR="008F01A1">
        <w:t>The FFIEC 051 is specifically designed to collect information relevant to the agencies’ supervision of small entities, and eliminates many data items that are not relevant to, or less useful in, supervising smaller banks</w:t>
      </w:r>
      <w:r w:rsidR="0098622E">
        <w:t>.</w:t>
      </w:r>
    </w:p>
    <w:p w:rsidR="004324DE" w:rsidRDefault="004324DE" w:rsidP="00AE34E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color w:val="000000"/>
          <w:szCs w:val="20"/>
        </w:rPr>
      </w:pPr>
    </w:p>
    <w:p w:rsidR="00CA6AE6" w:rsidRPr="00F25659" w:rsidRDefault="00CA6AE6" w:rsidP="00AE34E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color w:val="000000"/>
          <w:szCs w:val="20"/>
          <w:u w:val="single"/>
        </w:rPr>
      </w:pPr>
      <w:r w:rsidRPr="00F25659">
        <w:rPr>
          <w:color w:val="000000"/>
          <w:szCs w:val="20"/>
        </w:rPr>
        <w:t xml:space="preserve">6.  </w:t>
      </w:r>
      <w:r w:rsidRPr="00F25659">
        <w:rPr>
          <w:color w:val="000000"/>
          <w:szCs w:val="20"/>
        </w:rPr>
        <w:tab/>
      </w:r>
      <w:r w:rsidRPr="00F25659">
        <w:rPr>
          <w:color w:val="000000"/>
          <w:szCs w:val="20"/>
          <w:u w:val="single"/>
        </w:rPr>
        <w:t>Consequences of Less Frequent Collection</w:t>
      </w:r>
    </w:p>
    <w:p w:rsidR="00CA6AE6" w:rsidRPr="00F25659" w:rsidRDefault="00CA6AE6" w:rsidP="00AE34E0">
      <w:pPr>
        <w:widowControl w:val="0"/>
        <w:ind w:left="1282" w:hanging="850"/>
        <w:rPr>
          <w:szCs w:val="20"/>
        </w:rPr>
      </w:pPr>
    </w:p>
    <w:p w:rsidR="009872D2" w:rsidRPr="00F25659" w:rsidRDefault="00D16310" w:rsidP="002A25A0">
      <w:pPr>
        <w:pStyle w:val="BodyText"/>
        <w:ind w:right="-480" w:firstLine="720"/>
      </w:pPr>
      <w:r w:rsidRPr="00F25659">
        <w:t>The Federal financial regulatory agencies must have condition and income data at least quarterly to properly monitor individual bank and industry trends</w:t>
      </w:r>
      <w:r w:rsidR="00456357">
        <w:t xml:space="preserve"> and to comply with </w:t>
      </w:r>
      <w:r w:rsidR="005D738A">
        <w:t xml:space="preserve">a </w:t>
      </w:r>
      <w:r w:rsidR="00456357">
        <w:t xml:space="preserve">statutory requirement to obtain </w:t>
      </w:r>
      <w:r w:rsidR="005D738A">
        <w:t>four reports of condition per year. 12 U.S.C. § 1817(a)(3)</w:t>
      </w:r>
      <w:r w:rsidRPr="00F25659">
        <w:t xml:space="preserve">.  Less frequent collection of this information would impair the agencies' ability to monitor financial institutions and could delay regulatory response. </w:t>
      </w:r>
    </w:p>
    <w:p w:rsidR="004324DE" w:rsidRDefault="004324DE" w:rsidP="002A25A0">
      <w:pPr>
        <w:tabs>
          <w:tab w:val="left" w:pos="432"/>
          <w:tab w:val="left" w:pos="1296"/>
          <w:tab w:val="left" w:pos="1728"/>
          <w:tab w:val="left" w:pos="4176"/>
        </w:tabs>
        <w:ind w:left="432" w:hanging="432"/>
        <w:rPr>
          <w:color w:val="000000"/>
          <w:szCs w:val="20"/>
        </w:rPr>
      </w:pPr>
    </w:p>
    <w:p w:rsidR="00CA6AE6" w:rsidRPr="00F25659" w:rsidRDefault="00CA6AE6" w:rsidP="002A25A0">
      <w:pPr>
        <w:tabs>
          <w:tab w:val="left" w:pos="432"/>
          <w:tab w:val="left" w:pos="1296"/>
          <w:tab w:val="left" w:pos="1728"/>
          <w:tab w:val="left" w:pos="4176"/>
        </w:tabs>
        <w:ind w:left="432" w:hanging="432"/>
        <w:rPr>
          <w:color w:val="000000"/>
          <w:szCs w:val="20"/>
        </w:rPr>
      </w:pPr>
      <w:r w:rsidRPr="00F25659">
        <w:rPr>
          <w:color w:val="000000"/>
          <w:szCs w:val="20"/>
        </w:rPr>
        <w:t>7.</w:t>
      </w:r>
      <w:r w:rsidRPr="00F25659">
        <w:rPr>
          <w:color w:val="000000"/>
          <w:szCs w:val="20"/>
        </w:rPr>
        <w:tab/>
      </w:r>
      <w:r w:rsidRPr="00F25659">
        <w:rPr>
          <w:color w:val="000000"/>
          <w:szCs w:val="20"/>
          <w:u w:val="single"/>
        </w:rPr>
        <w:t>Special Circumstances</w:t>
      </w:r>
    </w:p>
    <w:p w:rsidR="00CA6AE6" w:rsidRPr="00F25659" w:rsidRDefault="00CA6AE6" w:rsidP="002A25A0">
      <w:pPr>
        <w:rPr>
          <w:color w:val="000000"/>
          <w:szCs w:val="20"/>
        </w:rPr>
      </w:pPr>
    </w:p>
    <w:p w:rsidR="00CA6AE6" w:rsidRPr="00F25659" w:rsidRDefault="00CA6AE6" w:rsidP="002A25A0">
      <w:pPr>
        <w:ind w:firstLine="720"/>
        <w:rPr>
          <w:color w:val="000000"/>
          <w:szCs w:val="20"/>
        </w:rPr>
      </w:pPr>
      <w:r w:rsidRPr="00F25659">
        <w:rPr>
          <w:color w:val="000000"/>
          <w:szCs w:val="20"/>
        </w:rPr>
        <w:t xml:space="preserve">There are no special circumstances.  </w:t>
      </w:r>
    </w:p>
    <w:p w:rsidR="00CA6AE6" w:rsidRPr="00F25659" w:rsidRDefault="00CA6AE6" w:rsidP="002A25A0">
      <w:pPr>
        <w:rPr>
          <w:color w:val="000000"/>
          <w:szCs w:val="20"/>
        </w:rPr>
      </w:pPr>
    </w:p>
    <w:p w:rsidR="00CA6AE6" w:rsidRPr="0057093A" w:rsidRDefault="00CA6AE6" w:rsidP="002A25A0">
      <w:pPr>
        <w:tabs>
          <w:tab w:val="left" w:pos="432"/>
          <w:tab w:val="left" w:pos="1296"/>
          <w:tab w:val="left" w:pos="1728"/>
          <w:tab w:val="left" w:pos="4176"/>
        </w:tabs>
        <w:ind w:left="432" w:hanging="432"/>
        <w:rPr>
          <w:color w:val="000000"/>
          <w:szCs w:val="20"/>
        </w:rPr>
      </w:pPr>
      <w:r w:rsidRPr="0057093A">
        <w:rPr>
          <w:color w:val="000000"/>
          <w:szCs w:val="20"/>
        </w:rPr>
        <w:t>8.</w:t>
      </w:r>
      <w:r w:rsidRPr="0057093A">
        <w:rPr>
          <w:color w:val="000000"/>
          <w:szCs w:val="20"/>
        </w:rPr>
        <w:tab/>
      </w:r>
      <w:r w:rsidRPr="0057093A">
        <w:rPr>
          <w:color w:val="000000"/>
          <w:szCs w:val="20"/>
          <w:u w:val="single"/>
        </w:rPr>
        <w:t xml:space="preserve">Consultation with Persons Outside the </w:t>
      </w:r>
      <w:r>
        <w:rPr>
          <w:color w:val="000000"/>
          <w:szCs w:val="20"/>
          <w:u w:val="single"/>
        </w:rPr>
        <w:t>OCC</w:t>
      </w:r>
    </w:p>
    <w:p w:rsidR="00F11281" w:rsidRPr="00736455" w:rsidRDefault="00F11281" w:rsidP="002A25A0">
      <w:pPr>
        <w:pStyle w:val="ListParagraph"/>
        <w:ind w:left="0" w:firstLine="720"/>
      </w:pPr>
    </w:p>
    <w:p w:rsidR="00CA6AE6" w:rsidRPr="0057093A" w:rsidRDefault="00CA6AE6" w:rsidP="00AE34E0">
      <w:pPr>
        <w:tabs>
          <w:tab w:val="left" w:pos="432"/>
          <w:tab w:val="left" w:pos="1296"/>
          <w:tab w:val="left" w:pos="1728"/>
          <w:tab w:val="left" w:pos="4176"/>
        </w:tabs>
        <w:ind w:left="1290"/>
        <w:rPr>
          <w:color w:val="000000"/>
          <w:szCs w:val="20"/>
        </w:rPr>
      </w:pPr>
    </w:p>
    <w:p w:rsidR="008F01A1" w:rsidRPr="008F01A1" w:rsidRDefault="008F01A1" w:rsidP="00AE34E0">
      <w:pPr>
        <w:tabs>
          <w:tab w:val="left" w:pos="432"/>
          <w:tab w:val="left" w:pos="1296"/>
          <w:tab w:val="left" w:pos="1728"/>
          <w:tab w:val="left" w:pos="4176"/>
        </w:tabs>
        <w:rPr>
          <w:color w:val="000000"/>
          <w:szCs w:val="20"/>
          <w:u w:val="single"/>
        </w:rPr>
      </w:pPr>
      <w:r>
        <w:rPr>
          <w:color w:val="000000"/>
          <w:szCs w:val="20"/>
        </w:rPr>
        <w:t xml:space="preserve">9. </w:t>
      </w:r>
      <w:r>
        <w:rPr>
          <w:color w:val="000000"/>
          <w:szCs w:val="20"/>
          <w:u w:val="single"/>
        </w:rPr>
        <w:t>Payment or Gift to Respondents</w:t>
      </w:r>
    </w:p>
    <w:p w:rsidR="008F01A1" w:rsidRDefault="008F01A1" w:rsidP="00AE34E0">
      <w:pPr>
        <w:tabs>
          <w:tab w:val="left" w:pos="432"/>
          <w:tab w:val="left" w:pos="1296"/>
          <w:tab w:val="left" w:pos="1728"/>
          <w:tab w:val="left" w:pos="4176"/>
        </w:tabs>
        <w:rPr>
          <w:color w:val="000000"/>
          <w:szCs w:val="20"/>
        </w:rPr>
      </w:pPr>
    </w:p>
    <w:p w:rsidR="00CA6AE6" w:rsidRDefault="00CA6AE6" w:rsidP="00AE34E0">
      <w:pPr>
        <w:tabs>
          <w:tab w:val="left" w:pos="432"/>
          <w:tab w:val="left" w:pos="1296"/>
          <w:tab w:val="left" w:pos="1728"/>
          <w:tab w:val="left" w:pos="4176"/>
        </w:tabs>
        <w:rPr>
          <w:color w:val="000000"/>
          <w:szCs w:val="20"/>
        </w:rPr>
      </w:pPr>
      <w:r>
        <w:rPr>
          <w:color w:val="000000"/>
          <w:szCs w:val="20"/>
        </w:rPr>
        <w:t xml:space="preserve">          </w:t>
      </w:r>
      <w:r w:rsidRPr="0057093A">
        <w:rPr>
          <w:color w:val="000000"/>
          <w:szCs w:val="20"/>
        </w:rPr>
        <w:t xml:space="preserve">No </w:t>
      </w:r>
      <w:r w:rsidR="00EF610E">
        <w:rPr>
          <w:color w:val="000000"/>
          <w:szCs w:val="20"/>
        </w:rPr>
        <w:t xml:space="preserve">payments or </w:t>
      </w:r>
      <w:r w:rsidRPr="0057093A">
        <w:rPr>
          <w:color w:val="000000"/>
          <w:szCs w:val="20"/>
        </w:rPr>
        <w:t xml:space="preserve">gifts will be given to respondents.  </w:t>
      </w:r>
    </w:p>
    <w:p w:rsidR="00CA6AE6" w:rsidRPr="0057093A" w:rsidRDefault="00CA6AE6" w:rsidP="00AE34E0">
      <w:pPr>
        <w:tabs>
          <w:tab w:val="left" w:pos="432"/>
          <w:tab w:val="left" w:pos="1296"/>
          <w:tab w:val="left" w:pos="1728"/>
          <w:tab w:val="left" w:pos="4176"/>
        </w:tabs>
        <w:ind w:left="1290"/>
        <w:rPr>
          <w:color w:val="000000"/>
          <w:szCs w:val="20"/>
        </w:rPr>
      </w:pPr>
    </w:p>
    <w:p w:rsidR="00CA6AE6" w:rsidRPr="0057093A" w:rsidRDefault="00CA6AE6" w:rsidP="00AE34E0">
      <w:pPr>
        <w:tabs>
          <w:tab w:val="left" w:pos="432"/>
          <w:tab w:val="left" w:pos="1296"/>
          <w:tab w:val="left" w:pos="1728"/>
          <w:tab w:val="left" w:pos="4176"/>
        </w:tabs>
        <w:ind w:left="432" w:hanging="432"/>
        <w:rPr>
          <w:color w:val="000000"/>
          <w:szCs w:val="20"/>
        </w:rPr>
      </w:pPr>
      <w:r w:rsidRPr="0057093A">
        <w:rPr>
          <w:color w:val="000000"/>
          <w:szCs w:val="20"/>
        </w:rPr>
        <w:t>10.</w:t>
      </w:r>
      <w:r w:rsidRPr="0057093A">
        <w:rPr>
          <w:color w:val="000000"/>
          <w:szCs w:val="20"/>
        </w:rPr>
        <w:tab/>
      </w:r>
      <w:r w:rsidRPr="0057093A">
        <w:rPr>
          <w:color w:val="000000"/>
          <w:szCs w:val="20"/>
          <w:u w:val="single"/>
        </w:rPr>
        <w:t>Confidentiality</w:t>
      </w:r>
    </w:p>
    <w:p w:rsidR="00CA6AE6" w:rsidRPr="0057093A" w:rsidRDefault="00CA6AE6" w:rsidP="00AE34E0">
      <w:pPr>
        <w:tabs>
          <w:tab w:val="left" w:pos="432"/>
          <w:tab w:val="left" w:pos="1296"/>
          <w:tab w:val="left" w:pos="1728"/>
          <w:tab w:val="left" w:pos="4176"/>
        </w:tabs>
        <w:rPr>
          <w:color w:val="000000"/>
          <w:szCs w:val="20"/>
        </w:rPr>
      </w:pPr>
    </w:p>
    <w:p w:rsidR="00883889" w:rsidRDefault="00CA6AE6" w:rsidP="00AE34E0">
      <w:pPr>
        <w:rPr>
          <w:snapToGrid w:val="0"/>
        </w:rPr>
      </w:pPr>
      <w:r>
        <w:rPr>
          <w:color w:val="000000"/>
          <w:szCs w:val="20"/>
        </w:rPr>
        <w:t xml:space="preserve">          </w:t>
      </w:r>
      <w:r w:rsidR="00BC2CD0">
        <w:rPr>
          <w:snapToGrid w:val="0"/>
        </w:rPr>
        <w:t>E</w:t>
      </w:r>
      <w:r w:rsidR="00BC2CD0" w:rsidRPr="00A33182">
        <w:t xml:space="preserve">xcept for selected data items, </w:t>
      </w:r>
      <w:r w:rsidR="00BC2CD0">
        <w:t>the Call Report is</w:t>
      </w:r>
      <w:r w:rsidR="00BC2CD0" w:rsidRPr="00A33182">
        <w:t xml:space="preserve"> not given confidential treatment</w:t>
      </w:r>
      <w:r w:rsidR="00BC2CD0" w:rsidRPr="00A33182">
        <w:rPr>
          <w:snapToGrid w:val="0"/>
        </w:rPr>
        <w:t>.</w:t>
      </w:r>
    </w:p>
    <w:p w:rsidR="00EF610E" w:rsidRDefault="00EF610E" w:rsidP="00AE34E0">
      <w:pPr>
        <w:rPr>
          <w:snapToGrid w:val="0"/>
        </w:rPr>
      </w:pPr>
    </w:p>
    <w:p w:rsidR="00CA6AE6" w:rsidRPr="00883889" w:rsidRDefault="00CA6AE6" w:rsidP="00AE34E0">
      <w:pPr>
        <w:rPr>
          <w:snapToGrid w:val="0"/>
        </w:rPr>
      </w:pPr>
      <w:r w:rsidRPr="0057093A">
        <w:rPr>
          <w:color w:val="000000"/>
          <w:szCs w:val="20"/>
        </w:rPr>
        <w:t>11.</w:t>
      </w:r>
      <w:r w:rsidR="000D3228">
        <w:rPr>
          <w:color w:val="000000"/>
          <w:szCs w:val="20"/>
        </w:rPr>
        <w:t xml:space="preserve">   </w:t>
      </w:r>
      <w:r w:rsidRPr="0057093A">
        <w:rPr>
          <w:color w:val="000000"/>
          <w:szCs w:val="20"/>
          <w:u w:val="single"/>
        </w:rPr>
        <w:t>Information of a Sensitive Nature</w:t>
      </w:r>
    </w:p>
    <w:p w:rsidR="00CA6AE6" w:rsidRPr="0057093A" w:rsidRDefault="00CA6AE6" w:rsidP="00AE34E0">
      <w:pPr>
        <w:tabs>
          <w:tab w:val="left" w:pos="432"/>
          <w:tab w:val="left" w:pos="1296"/>
          <w:tab w:val="left" w:pos="1728"/>
          <w:tab w:val="left" w:pos="4176"/>
        </w:tabs>
        <w:rPr>
          <w:color w:val="000000"/>
          <w:szCs w:val="20"/>
        </w:rPr>
      </w:pPr>
    </w:p>
    <w:p w:rsidR="00CA6AE6" w:rsidRPr="0057093A" w:rsidRDefault="00CA6AE6" w:rsidP="00AE34E0">
      <w:pPr>
        <w:tabs>
          <w:tab w:val="left" w:pos="432"/>
          <w:tab w:val="left" w:pos="1296"/>
          <w:tab w:val="left" w:pos="1728"/>
          <w:tab w:val="left" w:pos="4176"/>
        </w:tabs>
        <w:rPr>
          <w:color w:val="000000"/>
          <w:szCs w:val="20"/>
        </w:rPr>
      </w:pPr>
      <w:r>
        <w:rPr>
          <w:color w:val="000000"/>
          <w:szCs w:val="20"/>
        </w:rPr>
        <w:t xml:space="preserve">          </w:t>
      </w:r>
      <w:r w:rsidRPr="0057093A">
        <w:rPr>
          <w:color w:val="000000"/>
          <w:szCs w:val="20"/>
        </w:rPr>
        <w:t xml:space="preserve">No information of a sensitive nature is requested. </w:t>
      </w:r>
    </w:p>
    <w:p w:rsidR="00CA6AE6" w:rsidRPr="0057093A" w:rsidRDefault="00CA6AE6" w:rsidP="00AE34E0">
      <w:pPr>
        <w:tabs>
          <w:tab w:val="left" w:pos="432"/>
          <w:tab w:val="left" w:pos="1296"/>
          <w:tab w:val="left" w:pos="1728"/>
          <w:tab w:val="left" w:pos="4176"/>
        </w:tabs>
        <w:rPr>
          <w:color w:val="000000"/>
          <w:szCs w:val="20"/>
        </w:rPr>
      </w:pPr>
    </w:p>
    <w:p w:rsidR="004D05FB" w:rsidRDefault="00CA6AE6" w:rsidP="00AE34E0">
      <w:pPr>
        <w:keepLines/>
        <w:numPr>
          <w:ilvl w:val="0"/>
          <w:numId w:val="7"/>
        </w:numPr>
        <w:tabs>
          <w:tab w:val="left" w:pos="432"/>
          <w:tab w:val="left" w:pos="1728"/>
          <w:tab w:val="left" w:pos="4176"/>
        </w:tabs>
        <w:ind w:left="432" w:hanging="432"/>
        <w:rPr>
          <w:color w:val="000000"/>
          <w:szCs w:val="20"/>
          <w:u w:val="single"/>
        </w:rPr>
      </w:pPr>
      <w:r w:rsidRPr="0057093A">
        <w:rPr>
          <w:color w:val="000000"/>
          <w:szCs w:val="20"/>
          <w:u w:val="single"/>
        </w:rPr>
        <w:t>Estimate of Annual Burden</w:t>
      </w:r>
    </w:p>
    <w:p w:rsidR="006A71AF" w:rsidRDefault="006A71AF" w:rsidP="006A71AF">
      <w:pPr>
        <w:keepLines/>
        <w:tabs>
          <w:tab w:val="left" w:pos="432"/>
          <w:tab w:val="left" w:pos="1728"/>
          <w:tab w:val="left" w:pos="4176"/>
        </w:tabs>
        <w:rPr>
          <w:color w:val="000000"/>
          <w:szCs w:val="20"/>
          <w:u w:val="single"/>
        </w:rPr>
      </w:pPr>
    </w:p>
    <w:p w:rsidR="006A71AF" w:rsidRPr="006A71AF" w:rsidRDefault="00561D75" w:rsidP="00561D75">
      <w:pPr>
        <w:ind w:left="720" w:hanging="274"/>
        <w:rPr>
          <w:snapToGrid w:val="0"/>
        </w:rPr>
      </w:pPr>
      <w:r>
        <w:rPr>
          <w:snapToGrid w:val="0"/>
        </w:rPr>
        <w:t xml:space="preserve"> </w:t>
      </w:r>
      <w:r w:rsidR="000D3228">
        <w:rPr>
          <w:snapToGrid w:val="0"/>
        </w:rPr>
        <w:t xml:space="preserve">  </w:t>
      </w:r>
      <w:r w:rsidR="006A71AF" w:rsidRPr="006A71AF">
        <w:rPr>
          <w:snapToGrid w:val="0"/>
        </w:rPr>
        <w:t>Estimated Number of Respondents:  1,</w:t>
      </w:r>
      <w:r w:rsidR="00E51390">
        <w:rPr>
          <w:snapToGrid w:val="0"/>
        </w:rPr>
        <w:t>2</w:t>
      </w:r>
      <w:r w:rsidR="00F9219D">
        <w:rPr>
          <w:snapToGrid w:val="0"/>
        </w:rPr>
        <w:t>69</w:t>
      </w:r>
      <w:r w:rsidR="006A71AF" w:rsidRPr="006A71AF">
        <w:rPr>
          <w:snapToGrid w:val="0"/>
        </w:rPr>
        <w:t xml:space="preserve"> national banks and federal savings </w:t>
      </w:r>
    </w:p>
    <w:p w:rsidR="00561D75" w:rsidRDefault="006A71AF" w:rsidP="00561D75">
      <w:pPr>
        <w:ind w:left="720" w:hanging="274"/>
        <w:rPr>
          <w:snapToGrid w:val="0"/>
        </w:rPr>
      </w:pPr>
      <w:r w:rsidRPr="006A71AF">
        <w:rPr>
          <w:snapToGrid w:val="0"/>
        </w:rPr>
        <w:tab/>
      </w:r>
      <w:r w:rsidRPr="006A71AF">
        <w:rPr>
          <w:snapToGrid w:val="0"/>
        </w:rPr>
        <w:tab/>
      </w:r>
      <w:r w:rsidRPr="006A71AF">
        <w:rPr>
          <w:snapToGrid w:val="0"/>
        </w:rPr>
        <w:tab/>
      </w:r>
      <w:r w:rsidRPr="006A71AF">
        <w:rPr>
          <w:snapToGrid w:val="0"/>
        </w:rPr>
        <w:tab/>
      </w:r>
      <w:r w:rsidRPr="006A71AF">
        <w:rPr>
          <w:snapToGrid w:val="0"/>
        </w:rPr>
        <w:tab/>
        <w:t xml:space="preserve">associations.     </w:t>
      </w:r>
    </w:p>
    <w:p w:rsidR="006A71AF" w:rsidRPr="006A71AF" w:rsidRDefault="006A71AF" w:rsidP="00561D75">
      <w:pPr>
        <w:ind w:left="720" w:hanging="274"/>
        <w:rPr>
          <w:snapToGrid w:val="0"/>
        </w:rPr>
      </w:pPr>
      <w:r w:rsidRPr="006A71AF">
        <w:rPr>
          <w:snapToGrid w:val="0"/>
        </w:rPr>
        <w:t xml:space="preserve">               </w:t>
      </w:r>
    </w:p>
    <w:p w:rsidR="006A71AF" w:rsidRPr="006A71AF" w:rsidRDefault="006A71AF" w:rsidP="006A71AF">
      <w:pPr>
        <w:spacing w:line="480" w:lineRule="auto"/>
        <w:ind w:hanging="270"/>
        <w:rPr>
          <w:snapToGrid w:val="0"/>
        </w:rPr>
      </w:pPr>
      <w:r w:rsidRPr="006A71AF">
        <w:rPr>
          <w:snapToGrid w:val="0"/>
        </w:rPr>
        <w:t xml:space="preserve"> </w:t>
      </w:r>
      <w:r w:rsidRPr="006A71AF">
        <w:rPr>
          <w:snapToGrid w:val="0"/>
        </w:rPr>
        <w:tab/>
      </w:r>
      <w:r w:rsidR="000D3228">
        <w:rPr>
          <w:snapToGrid w:val="0"/>
        </w:rPr>
        <w:t xml:space="preserve">          </w:t>
      </w:r>
      <w:r w:rsidRPr="006A71AF">
        <w:rPr>
          <w:snapToGrid w:val="0"/>
        </w:rPr>
        <w:t>Est</w:t>
      </w:r>
      <w:r w:rsidR="004707AE">
        <w:rPr>
          <w:snapToGrid w:val="0"/>
        </w:rPr>
        <w:t xml:space="preserve">imated Time per Response:  </w:t>
      </w:r>
      <w:r w:rsidR="00E51390">
        <w:rPr>
          <w:snapToGrid w:val="0"/>
        </w:rPr>
        <w:t>4</w:t>
      </w:r>
      <w:r w:rsidR="00F9219D">
        <w:rPr>
          <w:snapToGrid w:val="0"/>
        </w:rPr>
        <w:t>5.83</w:t>
      </w:r>
      <w:r w:rsidRPr="006A71AF">
        <w:rPr>
          <w:snapToGrid w:val="0"/>
        </w:rPr>
        <w:t xml:space="preserve"> burden hours per quarter to file.</w:t>
      </w:r>
    </w:p>
    <w:p w:rsidR="006A71AF" w:rsidRPr="00BF1941" w:rsidRDefault="006A71AF" w:rsidP="006A71AF">
      <w:pPr>
        <w:tabs>
          <w:tab w:val="left" w:pos="720"/>
          <w:tab w:val="left" w:pos="3960"/>
        </w:tabs>
        <w:autoSpaceDE w:val="0"/>
        <w:autoSpaceDN w:val="0"/>
        <w:adjustRightInd w:val="0"/>
        <w:spacing w:line="480" w:lineRule="auto"/>
        <w:ind w:hanging="270"/>
        <w:rPr>
          <w:snapToGrid w:val="0"/>
        </w:rPr>
      </w:pPr>
      <w:r w:rsidRPr="006A71AF">
        <w:rPr>
          <w:snapToGrid w:val="0"/>
        </w:rPr>
        <w:tab/>
      </w:r>
      <w:r w:rsidR="000D3228">
        <w:rPr>
          <w:snapToGrid w:val="0"/>
        </w:rPr>
        <w:t xml:space="preserve">          </w:t>
      </w:r>
      <w:r w:rsidRPr="006A71AF">
        <w:rPr>
          <w:snapToGrid w:val="0"/>
        </w:rPr>
        <w:t xml:space="preserve">Estimated Total Annual Burden:  </w:t>
      </w:r>
      <w:r w:rsidR="00E51390">
        <w:rPr>
          <w:snapToGrid w:val="0"/>
        </w:rPr>
        <w:t>2</w:t>
      </w:r>
      <w:r w:rsidR="00F9219D">
        <w:rPr>
          <w:snapToGrid w:val="0"/>
        </w:rPr>
        <w:t>32,633</w:t>
      </w:r>
      <w:r w:rsidRPr="000C4F3A">
        <w:rPr>
          <w:snapToGrid w:val="0"/>
        </w:rPr>
        <w:t xml:space="preserve"> burden hours to file.</w:t>
      </w:r>
      <w:r w:rsidRPr="00BF1941">
        <w:rPr>
          <w:snapToGrid w:val="0"/>
        </w:rPr>
        <w:t xml:space="preserve">   </w:t>
      </w:r>
    </w:p>
    <w:p w:rsidR="004F2D31" w:rsidRPr="006A71AF" w:rsidRDefault="004F2D31" w:rsidP="006A71AF">
      <w:pPr>
        <w:keepLines/>
        <w:tabs>
          <w:tab w:val="left" w:pos="432"/>
          <w:tab w:val="left" w:pos="1728"/>
          <w:tab w:val="left" w:pos="4176"/>
        </w:tabs>
        <w:ind w:left="432"/>
        <w:rPr>
          <w:color w:val="000000"/>
          <w:szCs w:val="20"/>
          <w:u w:val="single"/>
        </w:rPr>
      </w:pPr>
    </w:p>
    <w:p w:rsidR="00CA6AE6" w:rsidRDefault="00CA6AE6" w:rsidP="00AE34E0">
      <w:pPr>
        <w:ind w:right="-480"/>
        <w:rPr>
          <w:lang w:val="en-CA"/>
        </w:rPr>
      </w:pPr>
      <w:r w:rsidRPr="000A1AC8">
        <w:rPr>
          <w:lang w:val="en-CA"/>
        </w:rPr>
        <w:t>The OCC estimates the cost of the hour burden to respondents as follows:</w:t>
      </w:r>
    </w:p>
    <w:p w:rsidR="00CA6AE6" w:rsidRPr="000A1AC8" w:rsidRDefault="00CA6AE6" w:rsidP="00AE34E0">
      <w:pPr>
        <w:ind w:right="-480"/>
        <w:rPr>
          <w:lang w:val="en-CA"/>
        </w:rPr>
      </w:pPr>
    </w:p>
    <w:p w:rsidR="00CA6AE6" w:rsidRPr="000A1AC8" w:rsidRDefault="00CA6AE6" w:rsidP="00AE34E0">
      <w:pPr>
        <w:ind w:right="-480"/>
        <w:rPr>
          <w:color w:val="000000"/>
        </w:rPr>
      </w:pPr>
      <w:r w:rsidRPr="000A1AC8">
        <w:rPr>
          <w:color w:val="000000"/>
        </w:rPr>
        <w:t xml:space="preserve">Clerical:  </w:t>
      </w:r>
      <w:r w:rsidRPr="000A1AC8">
        <w:rPr>
          <w:color w:val="000000"/>
        </w:rPr>
        <w:tab/>
      </w:r>
      <w:r w:rsidRPr="000A1AC8">
        <w:rPr>
          <w:color w:val="000000"/>
        </w:rPr>
        <w:tab/>
      </w:r>
      <w:r w:rsidRPr="000A1AC8">
        <w:rPr>
          <w:color w:val="000000"/>
        </w:rPr>
        <w:tab/>
      </w:r>
      <w:bookmarkStart w:id="1" w:name="OLE_LINK1"/>
      <w:r w:rsidRPr="000A1AC8">
        <w:rPr>
          <w:color w:val="000000"/>
        </w:rPr>
        <w:t xml:space="preserve">20% x </w:t>
      </w:r>
      <w:r w:rsidR="00E51390">
        <w:rPr>
          <w:snapToGrid w:val="0"/>
        </w:rPr>
        <w:t>2</w:t>
      </w:r>
      <w:r w:rsidR="006A137A">
        <w:rPr>
          <w:snapToGrid w:val="0"/>
        </w:rPr>
        <w:t>32</w:t>
      </w:r>
      <w:r w:rsidR="00E51390">
        <w:rPr>
          <w:snapToGrid w:val="0"/>
        </w:rPr>
        <w:t>,</w:t>
      </w:r>
      <w:r w:rsidR="006A137A">
        <w:rPr>
          <w:snapToGrid w:val="0"/>
        </w:rPr>
        <w:t>633</w:t>
      </w:r>
      <w:r w:rsidR="00317260" w:rsidRPr="00317260">
        <w:rPr>
          <w:snapToGrid w:val="0"/>
        </w:rPr>
        <w:t xml:space="preserve"> </w:t>
      </w:r>
      <w:r w:rsidRPr="000A1AC8">
        <w:rPr>
          <w:color w:val="000000"/>
        </w:rPr>
        <w:t xml:space="preserve">=   </w:t>
      </w:r>
      <w:r w:rsidR="003C0E89">
        <w:rPr>
          <w:color w:val="000000"/>
        </w:rPr>
        <w:t xml:space="preserve"> </w:t>
      </w:r>
      <w:r w:rsidR="00E503F2">
        <w:rPr>
          <w:color w:val="000000"/>
        </w:rPr>
        <w:t xml:space="preserve"> </w:t>
      </w:r>
      <w:r w:rsidR="003C0E89">
        <w:rPr>
          <w:color w:val="000000"/>
        </w:rPr>
        <w:t xml:space="preserve"> </w:t>
      </w:r>
      <w:r w:rsidR="00D345F1">
        <w:rPr>
          <w:color w:val="000000"/>
        </w:rPr>
        <w:t xml:space="preserve">  4</w:t>
      </w:r>
      <w:r w:rsidR="008F3DD1">
        <w:rPr>
          <w:color w:val="000000"/>
        </w:rPr>
        <w:t>6</w:t>
      </w:r>
      <w:r w:rsidR="00D345F1">
        <w:rPr>
          <w:color w:val="000000"/>
        </w:rPr>
        <w:t>,</w:t>
      </w:r>
      <w:r w:rsidR="008F3DD1">
        <w:rPr>
          <w:color w:val="000000"/>
        </w:rPr>
        <w:t>527</w:t>
      </w:r>
      <w:r w:rsidR="008550E6">
        <w:rPr>
          <w:color w:val="000000"/>
        </w:rPr>
        <w:t xml:space="preserve"> </w:t>
      </w:r>
      <w:r>
        <w:rPr>
          <w:color w:val="000000"/>
        </w:rPr>
        <w:t xml:space="preserve"> </w:t>
      </w:r>
      <w:r w:rsidR="006A71AF">
        <w:rPr>
          <w:color w:val="000000"/>
        </w:rPr>
        <w:t xml:space="preserve"> </w:t>
      </w:r>
      <w:r>
        <w:rPr>
          <w:color w:val="000000"/>
        </w:rPr>
        <w:t xml:space="preserve">@ $20 </w:t>
      </w:r>
      <w:r w:rsidR="00333A85">
        <w:rPr>
          <w:color w:val="000000"/>
        </w:rPr>
        <w:t xml:space="preserve">  </w:t>
      </w:r>
      <w:r w:rsidR="003C0E89">
        <w:rPr>
          <w:color w:val="000000"/>
        </w:rPr>
        <w:t xml:space="preserve"> </w:t>
      </w:r>
      <w:r>
        <w:rPr>
          <w:color w:val="000000"/>
        </w:rPr>
        <w:t xml:space="preserve">= </w:t>
      </w:r>
      <w:r w:rsidR="00333A85">
        <w:rPr>
          <w:color w:val="000000"/>
        </w:rPr>
        <w:t xml:space="preserve">  </w:t>
      </w:r>
      <w:r>
        <w:rPr>
          <w:color w:val="000000"/>
        </w:rPr>
        <w:t xml:space="preserve">$ </w:t>
      </w:r>
      <w:r w:rsidR="00333A85">
        <w:rPr>
          <w:color w:val="000000"/>
        </w:rPr>
        <w:t xml:space="preserve">  </w:t>
      </w:r>
      <w:r>
        <w:rPr>
          <w:color w:val="000000"/>
        </w:rPr>
        <w:t xml:space="preserve"> </w:t>
      </w:r>
      <w:bookmarkEnd w:id="1"/>
      <w:r w:rsidR="00B57916">
        <w:rPr>
          <w:color w:val="000000"/>
        </w:rPr>
        <w:t xml:space="preserve"> </w:t>
      </w:r>
      <w:r w:rsidR="006A71AF">
        <w:rPr>
          <w:color w:val="000000"/>
        </w:rPr>
        <w:t xml:space="preserve">  </w:t>
      </w:r>
      <w:r w:rsidR="008550E6">
        <w:rPr>
          <w:color w:val="000000"/>
        </w:rPr>
        <w:t xml:space="preserve"> </w:t>
      </w:r>
      <w:r w:rsidR="00D345F1">
        <w:rPr>
          <w:color w:val="000000"/>
        </w:rPr>
        <w:t xml:space="preserve">   9</w:t>
      </w:r>
      <w:r w:rsidR="008F3DD1">
        <w:rPr>
          <w:color w:val="000000"/>
        </w:rPr>
        <w:t>30</w:t>
      </w:r>
      <w:r w:rsidR="00D345F1">
        <w:rPr>
          <w:color w:val="000000"/>
        </w:rPr>
        <w:t>,</w:t>
      </w:r>
      <w:r w:rsidR="008F3DD1">
        <w:rPr>
          <w:color w:val="000000"/>
        </w:rPr>
        <w:t>54</w:t>
      </w:r>
      <w:r w:rsidR="00D345F1">
        <w:rPr>
          <w:color w:val="000000"/>
        </w:rPr>
        <w:t>0</w:t>
      </w:r>
    </w:p>
    <w:p w:rsidR="00CA6AE6" w:rsidRPr="000A1AC8" w:rsidRDefault="00CA6AE6" w:rsidP="00AE34E0">
      <w:pPr>
        <w:ind w:right="-480"/>
        <w:rPr>
          <w:color w:val="000000"/>
        </w:rPr>
      </w:pPr>
      <w:r w:rsidRPr="000A1AC8">
        <w:rPr>
          <w:color w:val="000000"/>
        </w:rPr>
        <w:t>Managerial/technical:</w:t>
      </w:r>
      <w:r w:rsidRPr="000A1AC8">
        <w:rPr>
          <w:color w:val="000000"/>
        </w:rPr>
        <w:tab/>
      </w:r>
      <w:r w:rsidRPr="000A1AC8">
        <w:rPr>
          <w:color w:val="000000"/>
        </w:rPr>
        <w:tab/>
      </w:r>
      <w:bookmarkStart w:id="2" w:name="OLE_LINK2"/>
      <w:r w:rsidRPr="000A1AC8">
        <w:rPr>
          <w:color w:val="000000"/>
        </w:rPr>
        <w:t xml:space="preserve">65% x </w:t>
      </w:r>
      <w:r w:rsidR="00E51390">
        <w:rPr>
          <w:snapToGrid w:val="0"/>
        </w:rPr>
        <w:t>2</w:t>
      </w:r>
      <w:r w:rsidR="006A137A">
        <w:rPr>
          <w:snapToGrid w:val="0"/>
        </w:rPr>
        <w:t>32</w:t>
      </w:r>
      <w:r w:rsidR="00E51390">
        <w:rPr>
          <w:snapToGrid w:val="0"/>
        </w:rPr>
        <w:t>,</w:t>
      </w:r>
      <w:r w:rsidR="006A137A">
        <w:rPr>
          <w:snapToGrid w:val="0"/>
        </w:rPr>
        <w:t>633</w:t>
      </w:r>
      <w:r w:rsidR="00317260" w:rsidRPr="00317260">
        <w:rPr>
          <w:snapToGrid w:val="0"/>
        </w:rPr>
        <w:t xml:space="preserve"> </w:t>
      </w:r>
      <w:r w:rsidRPr="000A1AC8">
        <w:rPr>
          <w:color w:val="000000"/>
        </w:rPr>
        <w:t xml:space="preserve">= </w:t>
      </w:r>
      <w:r>
        <w:rPr>
          <w:color w:val="000000"/>
        </w:rPr>
        <w:t xml:space="preserve">  </w:t>
      </w:r>
      <w:r w:rsidR="008550E6">
        <w:rPr>
          <w:color w:val="000000"/>
        </w:rPr>
        <w:t xml:space="preserve">   </w:t>
      </w:r>
      <w:r w:rsidR="008F3DD1">
        <w:rPr>
          <w:color w:val="000000"/>
        </w:rPr>
        <w:t>15</w:t>
      </w:r>
      <w:r w:rsidR="00D345F1">
        <w:rPr>
          <w:color w:val="000000"/>
        </w:rPr>
        <w:t>1,</w:t>
      </w:r>
      <w:r w:rsidR="008F3DD1">
        <w:rPr>
          <w:color w:val="000000"/>
        </w:rPr>
        <w:t>211</w:t>
      </w:r>
      <w:r w:rsidRPr="000A1AC8">
        <w:rPr>
          <w:color w:val="000000"/>
        </w:rPr>
        <w:t xml:space="preserve"> </w:t>
      </w:r>
      <w:r w:rsidR="006A71AF">
        <w:rPr>
          <w:color w:val="000000"/>
        </w:rPr>
        <w:t xml:space="preserve"> </w:t>
      </w:r>
      <w:r w:rsidR="00E503F2">
        <w:rPr>
          <w:color w:val="000000"/>
        </w:rPr>
        <w:t xml:space="preserve"> </w:t>
      </w:r>
      <w:r w:rsidRPr="000A1AC8">
        <w:rPr>
          <w:color w:val="000000"/>
        </w:rPr>
        <w:t>@ $40</w:t>
      </w:r>
      <w:r w:rsidR="002370D8">
        <w:rPr>
          <w:color w:val="000000"/>
        </w:rPr>
        <w:t xml:space="preserve"> </w:t>
      </w:r>
      <w:r w:rsidR="003C0E89">
        <w:rPr>
          <w:color w:val="000000"/>
        </w:rPr>
        <w:t xml:space="preserve">   </w:t>
      </w:r>
      <w:r w:rsidR="002370D8">
        <w:rPr>
          <w:color w:val="000000"/>
        </w:rPr>
        <w:t xml:space="preserve">= </w:t>
      </w:r>
      <w:r w:rsidR="003C0E89">
        <w:rPr>
          <w:color w:val="000000"/>
        </w:rPr>
        <w:t xml:space="preserve">  </w:t>
      </w:r>
      <w:r w:rsidR="002370D8">
        <w:rPr>
          <w:color w:val="000000"/>
        </w:rPr>
        <w:t xml:space="preserve">$ </w:t>
      </w:r>
      <w:r w:rsidR="00F66B04">
        <w:rPr>
          <w:color w:val="000000"/>
        </w:rPr>
        <w:t xml:space="preserve">  </w:t>
      </w:r>
      <w:r w:rsidR="0013638D">
        <w:rPr>
          <w:color w:val="000000"/>
        </w:rPr>
        <w:t xml:space="preserve">  </w:t>
      </w:r>
      <w:r w:rsidR="0076599A">
        <w:rPr>
          <w:color w:val="000000"/>
        </w:rPr>
        <w:t xml:space="preserve">   </w:t>
      </w:r>
      <w:bookmarkEnd w:id="2"/>
      <w:r w:rsidR="00D345F1">
        <w:rPr>
          <w:color w:val="000000"/>
        </w:rPr>
        <w:t>6</w:t>
      </w:r>
      <w:r w:rsidR="008550E6">
        <w:rPr>
          <w:color w:val="000000"/>
        </w:rPr>
        <w:t>,</w:t>
      </w:r>
      <w:r w:rsidR="008F3DD1">
        <w:rPr>
          <w:color w:val="000000"/>
        </w:rPr>
        <w:t>048</w:t>
      </w:r>
      <w:r w:rsidR="00D345F1">
        <w:rPr>
          <w:color w:val="000000"/>
        </w:rPr>
        <w:t>,</w:t>
      </w:r>
      <w:r w:rsidR="008F3DD1">
        <w:rPr>
          <w:color w:val="000000"/>
        </w:rPr>
        <w:t>44</w:t>
      </w:r>
      <w:r w:rsidR="00D345F1">
        <w:rPr>
          <w:color w:val="000000"/>
        </w:rPr>
        <w:t>0</w:t>
      </w:r>
    </w:p>
    <w:p w:rsidR="00CA6AE6" w:rsidRPr="000A1AC8" w:rsidRDefault="00CA6AE6" w:rsidP="00AE34E0">
      <w:pPr>
        <w:ind w:right="-480"/>
        <w:rPr>
          <w:color w:val="000000"/>
        </w:rPr>
      </w:pPr>
      <w:r w:rsidRPr="000A1AC8">
        <w:rPr>
          <w:color w:val="000000"/>
        </w:rPr>
        <w:t>Senior mgmt/professional:</w:t>
      </w:r>
      <w:r w:rsidRPr="000A1AC8">
        <w:rPr>
          <w:color w:val="000000"/>
        </w:rPr>
        <w:tab/>
      </w:r>
      <w:bookmarkStart w:id="3" w:name="OLE_LINK3"/>
      <w:bookmarkStart w:id="4" w:name="OLE_LINK4"/>
      <w:bookmarkStart w:id="5" w:name="OLE_LINK5"/>
      <w:bookmarkStart w:id="6" w:name="OLE_LINK6"/>
      <w:bookmarkStart w:id="7" w:name="OLE_LINK8"/>
      <w:r w:rsidRPr="000A1AC8">
        <w:rPr>
          <w:color w:val="000000"/>
        </w:rPr>
        <w:t xml:space="preserve">14% x </w:t>
      </w:r>
      <w:r w:rsidR="008F01A1">
        <w:rPr>
          <w:snapToGrid w:val="0"/>
        </w:rPr>
        <w:t>2</w:t>
      </w:r>
      <w:r w:rsidR="006A137A">
        <w:rPr>
          <w:snapToGrid w:val="0"/>
        </w:rPr>
        <w:t>32</w:t>
      </w:r>
      <w:r w:rsidR="00E51390">
        <w:rPr>
          <w:snapToGrid w:val="0"/>
        </w:rPr>
        <w:t>,</w:t>
      </w:r>
      <w:r w:rsidR="006A137A">
        <w:rPr>
          <w:snapToGrid w:val="0"/>
        </w:rPr>
        <w:t>633</w:t>
      </w:r>
      <w:r w:rsidR="006A71AF">
        <w:rPr>
          <w:snapToGrid w:val="0"/>
        </w:rPr>
        <w:t xml:space="preserve"> </w:t>
      </w:r>
      <w:r>
        <w:rPr>
          <w:color w:val="000000"/>
        </w:rPr>
        <w:t xml:space="preserve">=  </w:t>
      </w:r>
      <w:r w:rsidR="003C0E89">
        <w:rPr>
          <w:color w:val="000000"/>
        </w:rPr>
        <w:t xml:space="preserve">   </w:t>
      </w:r>
      <w:r>
        <w:rPr>
          <w:color w:val="000000"/>
        </w:rPr>
        <w:t xml:space="preserve"> </w:t>
      </w:r>
      <w:r w:rsidR="00D345F1">
        <w:rPr>
          <w:color w:val="000000"/>
        </w:rPr>
        <w:t xml:space="preserve">  3</w:t>
      </w:r>
      <w:r w:rsidR="008F3DD1">
        <w:rPr>
          <w:color w:val="000000"/>
        </w:rPr>
        <w:t>2</w:t>
      </w:r>
      <w:r w:rsidR="00D345F1">
        <w:rPr>
          <w:color w:val="000000"/>
        </w:rPr>
        <w:t>,</w:t>
      </w:r>
      <w:r w:rsidR="008F3DD1">
        <w:rPr>
          <w:color w:val="000000"/>
        </w:rPr>
        <w:t>569</w:t>
      </w:r>
      <w:r w:rsidR="008550E6">
        <w:rPr>
          <w:color w:val="000000"/>
        </w:rPr>
        <w:t xml:space="preserve">  </w:t>
      </w:r>
      <w:r w:rsidR="003C0E89">
        <w:rPr>
          <w:color w:val="000000"/>
        </w:rPr>
        <w:t xml:space="preserve"> @ $80    </w:t>
      </w:r>
      <w:r w:rsidRPr="000A1AC8">
        <w:rPr>
          <w:color w:val="000000"/>
        </w:rPr>
        <w:t>=</w:t>
      </w:r>
      <w:r w:rsidR="003C0E89">
        <w:rPr>
          <w:color w:val="000000"/>
        </w:rPr>
        <w:t xml:space="preserve">  </w:t>
      </w:r>
      <w:r w:rsidRPr="000A1AC8">
        <w:rPr>
          <w:color w:val="000000"/>
        </w:rPr>
        <w:t xml:space="preserve"> $   </w:t>
      </w:r>
      <w:r w:rsidR="002C6EB7">
        <w:rPr>
          <w:color w:val="000000"/>
        </w:rPr>
        <w:t xml:space="preserve"> </w:t>
      </w:r>
      <w:r w:rsidR="006A71AF">
        <w:rPr>
          <w:color w:val="000000"/>
        </w:rPr>
        <w:t xml:space="preserve">  </w:t>
      </w:r>
      <w:r w:rsidR="008550E6">
        <w:rPr>
          <w:color w:val="000000"/>
        </w:rPr>
        <w:t xml:space="preserve"> </w:t>
      </w:r>
      <w:r w:rsidR="006A71AF">
        <w:rPr>
          <w:color w:val="000000"/>
        </w:rPr>
        <w:t xml:space="preserve"> </w:t>
      </w:r>
      <w:r w:rsidR="00D345F1">
        <w:rPr>
          <w:color w:val="000000"/>
        </w:rPr>
        <w:t>2</w:t>
      </w:r>
      <w:r w:rsidR="006A71AF">
        <w:rPr>
          <w:color w:val="000000"/>
        </w:rPr>
        <w:t>,</w:t>
      </w:r>
      <w:r w:rsidR="008F3DD1">
        <w:rPr>
          <w:color w:val="000000"/>
        </w:rPr>
        <w:t>605</w:t>
      </w:r>
      <w:r w:rsidR="00D345F1">
        <w:rPr>
          <w:color w:val="000000"/>
        </w:rPr>
        <w:t>,</w:t>
      </w:r>
      <w:r w:rsidR="008F3DD1">
        <w:rPr>
          <w:color w:val="000000"/>
        </w:rPr>
        <w:t>52</w:t>
      </w:r>
      <w:r w:rsidR="00D345F1">
        <w:rPr>
          <w:color w:val="000000"/>
        </w:rPr>
        <w:t>0</w:t>
      </w:r>
    </w:p>
    <w:bookmarkEnd w:id="3"/>
    <w:bookmarkEnd w:id="4"/>
    <w:bookmarkEnd w:id="5"/>
    <w:bookmarkEnd w:id="6"/>
    <w:bookmarkEnd w:id="7"/>
    <w:p w:rsidR="00CA6AE6" w:rsidRPr="000A1AC8" w:rsidRDefault="00CA6AE6" w:rsidP="00AE34E0">
      <w:pPr>
        <w:pStyle w:val="BodyText"/>
        <w:ind w:right="-480"/>
        <w:rPr>
          <w:color w:val="000000"/>
        </w:rPr>
      </w:pPr>
      <w:r w:rsidRPr="000A1AC8">
        <w:rPr>
          <w:color w:val="000000"/>
        </w:rPr>
        <w:t>Legal:</w:t>
      </w:r>
      <w:r w:rsidRPr="000A1AC8">
        <w:rPr>
          <w:color w:val="000000"/>
        </w:rPr>
        <w:tab/>
      </w:r>
      <w:r w:rsidRPr="000A1AC8">
        <w:rPr>
          <w:color w:val="000000"/>
        </w:rPr>
        <w:tab/>
      </w:r>
      <w:r w:rsidRPr="000A1AC8">
        <w:rPr>
          <w:color w:val="000000"/>
        </w:rPr>
        <w:tab/>
      </w:r>
      <w:r w:rsidRPr="000A1AC8">
        <w:rPr>
          <w:color w:val="000000"/>
        </w:rPr>
        <w:tab/>
      </w:r>
      <w:bookmarkStart w:id="8" w:name="OLE_LINK7"/>
      <w:r w:rsidRPr="000A1AC8">
        <w:rPr>
          <w:color w:val="000000"/>
        </w:rPr>
        <w:t xml:space="preserve">01% x </w:t>
      </w:r>
      <w:r w:rsidR="008F01A1">
        <w:rPr>
          <w:snapToGrid w:val="0"/>
        </w:rPr>
        <w:t>2</w:t>
      </w:r>
      <w:r w:rsidR="006A137A">
        <w:rPr>
          <w:snapToGrid w:val="0"/>
        </w:rPr>
        <w:t>32</w:t>
      </w:r>
      <w:r w:rsidR="00E51390">
        <w:rPr>
          <w:snapToGrid w:val="0"/>
        </w:rPr>
        <w:t>,</w:t>
      </w:r>
      <w:r w:rsidR="006A137A">
        <w:rPr>
          <w:snapToGrid w:val="0"/>
        </w:rPr>
        <w:t>633</w:t>
      </w:r>
      <w:r w:rsidR="00317260" w:rsidRPr="00317260">
        <w:rPr>
          <w:snapToGrid w:val="0"/>
        </w:rPr>
        <w:t xml:space="preserve"> </w:t>
      </w:r>
      <w:r w:rsidRPr="000A1AC8">
        <w:rPr>
          <w:color w:val="000000"/>
        </w:rPr>
        <w:t xml:space="preserve">=     </w:t>
      </w:r>
      <w:r w:rsidR="006A71AF">
        <w:rPr>
          <w:color w:val="000000"/>
        </w:rPr>
        <w:t xml:space="preserve"> </w:t>
      </w:r>
      <w:r w:rsidR="00D84DF8">
        <w:rPr>
          <w:color w:val="000000"/>
        </w:rPr>
        <w:t xml:space="preserve">    </w:t>
      </w:r>
      <w:r w:rsidR="008F01A1">
        <w:rPr>
          <w:color w:val="000000"/>
        </w:rPr>
        <w:t>2,</w:t>
      </w:r>
      <w:r w:rsidR="006A137A">
        <w:rPr>
          <w:color w:val="000000"/>
        </w:rPr>
        <w:t>326</w:t>
      </w:r>
      <w:r w:rsidRPr="000A1AC8">
        <w:rPr>
          <w:color w:val="000000"/>
        </w:rPr>
        <w:t xml:space="preserve"> </w:t>
      </w:r>
      <w:r w:rsidR="008550E6">
        <w:rPr>
          <w:color w:val="000000"/>
        </w:rPr>
        <w:t xml:space="preserve">  </w:t>
      </w:r>
      <w:r w:rsidRPr="000A1AC8">
        <w:rPr>
          <w:color w:val="000000"/>
        </w:rPr>
        <w:t xml:space="preserve">@ $100 </w:t>
      </w:r>
      <w:r w:rsidR="003C0E89">
        <w:rPr>
          <w:color w:val="000000"/>
        </w:rPr>
        <w:t xml:space="preserve"> </w:t>
      </w:r>
      <w:r w:rsidRPr="000A1AC8">
        <w:rPr>
          <w:color w:val="000000"/>
        </w:rPr>
        <w:t xml:space="preserve">= </w:t>
      </w:r>
      <w:r w:rsidR="00333A85">
        <w:rPr>
          <w:color w:val="000000"/>
        </w:rPr>
        <w:t xml:space="preserve">  </w:t>
      </w:r>
      <w:r w:rsidRPr="000A1AC8">
        <w:rPr>
          <w:color w:val="000000"/>
          <w:u w:val="single"/>
        </w:rPr>
        <w:t xml:space="preserve">$  </w:t>
      </w:r>
      <w:r w:rsidR="00761714">
        <w:rPr>
          <w:color w:val="000000"/>
          <w:u w:val="single"/>
        </w:rPr>
        <w:t xml:space="preserve">     </w:t>
      </w:r>
      <w:r w:rsidR="008550E6">
        <w:rPr>
          <w:color w:val="000000"/>
          <w:u w:val="single"/>
        </w:rPr>
        <w:t xml:space="preserve"> </w:t>
      </w:r>
      <w:r w:rsidR="003C0E89">
        <w:rPr>
          <w:color w:val="000000"/>
          <w:u w:val="single"/>
        </w:rPr>
        <w:t xml:space="preserve">  </w:t>
      </w:r>
      <w:r w:rsidR="0013638D">
        <w:rPr>
          <w:color w:val="000000"/>
          <w:u w:val="single"/>
        </w:rPr>
        <w:t xml:space="preserve"> </w:t>
      </w:r>
      <w:bookmarkEnd w:id="8"/>
      <w:r w:rsidR="008F01A1">
        <w:rPr>
          <w:color w:val="000000"/>
          <w:u w:val="single"/>
        </w:rPr>
        <w:t>2</w:t>
      </w:r>
      <w:r w:rsidR="006A137A">
        <w:rPr>
          <w:color w:val="000000"/>
          <w:u w:val="single"/>
        </w:rPr>
        <w:t>32</w:t>
      </w:r>
      <w:r w:rsidR="00D84DF8">
        <w:rPr>
          <w:color w:val="000000"/>
          <w:u w:val="single"/>
        </w:rPr>
        <w:t>,</w:t>
      </w:r>
      <w:r w:rsidR="006A137A">
        <w:rPr>
          <w:color w:val="000000"/>
          <w:u w:val="single"/>
        </w:rPr>
        <w:t>6</w:t>
      </w:r>
      <w:r w:rsidR="008550E6">
        <w:rPr>
          <w:color w:val="000000"/>
          <w:u w:val="single"/>
        </w:rPr>
        <w:t>00</w:t>
      </w:r>
      <w:r w:rsidRPr="000A1AC8">
        <w:rPr>
          <w:color w:val="000000"/>
          <w:u w:val="single"/>
        </w:rPr>
        <w:t xml:space="preserve">   </w:t>
      </w:r>
    </w:p>
    <w:p w:rsidR="00CA6AE6" w:rsidRPr="000A1AC8" w:rsidRDefault="00CA6AE6" w:rsidP="00AE34E0">
      <w:pPr>
        <w:pStyle w:val="BodyText"/>
        <w:ind w:right="-480"/>
        <w:rPr>
          <w:color w:val="000000"/>
        </w:rPr>
      </w:pPr>
      <w:r w:rsidRPr="000A1AC8">
        <w:rPr>
          <w:color w:val="000000"/>
        </w:rPr>
        <w:t>Total:</w:t>
      </w:r>
      <w:r w:rsidRPr="000A1AC8">
        <w:rPr>
          <w:color w:val="000000"/>
        </w:rPr>
        <w:tab/>
      </w:r>
      <w:r w:rsidRPr="000A1AC8">
        <w:rPr>
          <w:color w:val="000000"/>
        </w:rPr>
        <w:tab/>
      </w:r>
      <w:r w:rsidRPr="000A1AC8">
        <w:rPr>
          <w:color w:val="000000"/>
        </w:rPr>
        <w:tab/>
      </w:r>
      <w:r w:rsidRPr="000A1AC8">
        <w:rPr>
          <w:color w:val="000000"/>
        </w:rPr>
        <w:tab/>
      </w:r>
      <w:r w:rsidRPr="000A1AC8">
        <w:rPr>
          <w:color w:val="000000"/>
        </w:rPr>
        <w:tab/>
      </w:r>
      <w:r w:rsidRPr="000A1AC8">
        <w:rPr>
          <w:color w:val="000000"/>
        </w:rPr>
        <w:tab/>
      </w:r>
      <w:r w:rsidRPr="000A1AC8">
        <w:rPr>
          <w:color w:val="000000"/>
        </w:rPr>
        <w:tab/>
      </w:r>
      <w:r w:rsidRPr="000A1AC8">
        <w:rPr>
          <w:color w:val="000000"/>
        </w:rPr>
        <w:tab/>
      </w:r>
      <w:r w:rsidRPr="000A1AC8">
        <w:rPr>
          <w:color w:val="000000"/>
        </w:rPr>
        <w:tab/>
        <w:t xml:space="preserve">   </w:t>
      </w:r>
      <w:r w:rsidR="00333A85">
        <w:rPr>
          <w:color w:val="000000"/>
        </w:rPr>
        <w:t xml:space="preserve"> </w:t>
      </w:r>
      <w:r w:rsidRPr="000A1AC8">
        <w:rPr>
          <w:color w:val="000000"/>
        </w:rPr>
        <w:t xml:space="preserve"> </w:t>
      </w:r>
      <w:r w:rsidR="00B57916">
        <w:rPr>
          <w:color w:val="000000"/>
        </w:rPr>
        <w:t xml:space="preserve">  </w:t>
      </w:r>
      <w:r w:rsidR="003C0E89">
        <w:rPr>
          <w:color w:val="000000"/>
        </w:rPr>
        <w:t xml:space="preserve">   </w:t>
      </w:r>
      <w:r w:rsidRPr="000A1AC8">
        <w:rPr>
          <w:color w:val="000000"/>
        </w:rPr>
        <w:t xml:space="preserve">$ </w:t>
      </w:r>
      <w:r w:rsidR="0013638D">
        <w:rPr>
          <w:color w:val="000000"/>
        </w:rPr>
        <w:t xml:space="preserve"> </w:t>
      </w:r>
      <w:r w:rsidR="003C0E89">
        <w:rPr>
          <w:color w:val="000000"/>
        </w:rPr>
        <w:t xml:space="preserve">  </w:t>
      </w:r>
      <w:r w:rsidR="002C6EB7">
        <w:rPr>
          <w:color w:val="000000"/>
        </w:rPr>
        <w:t xml:space="preserve"> </w:t>
      </w:r>
      <w:r w:rsidR="008F3DD1">
        <w:rPr>
          <w:color w:val="000000"/>
        </w:rPr>
        <w:t xml:space="preserve">  9</w:t>
      </w:r>
      <w:r w:rsidR="002C6EB7">
        <w:rPr>
          <w:color w:val="000000"/>
        </w:rPr>
        <w:t>,</w:t>
      </w:r>
      <w:r w:rsidR="008F3DD1">
        <w:rPr>
          <w:color w:val="000000"/>
        </w:rPr>
        <w:t>817</w:t>
      </w:r>
      <w:r w:rsidR="00D84DF8">
        <w:rPr>
          <w:color w:val="000000"/>
        </w:rPr>
        <w:t>,</w:t>
      </w:r>
      <w:r w:rsidR="008F3DD1">
        <w:rPr>
          <w:color w:val="000000"/>
        </w:rPr>
        <w:t>10</w:t>
      </w:r>
      <w:r w:rsidR="00D84DF8">
        <w:rPr>
          <w:color w:val="000000"/>
        </w:rPr>
        <w:t>0</w:t>
      </w:r>
    </w:p>
    <w:p w:rsidR="00CA6AE6" w:rsidRPr="0057093A" w:rsidRDefault="00CA6AE6" w:rsidP="00AE34E0">
      <w:pPr>
        <w:keepLines/>
        <w:tabs>
          <w:tab w:val="left" w:pos="432"/>
          <w:tab w:val="left" w:pos="1296"/>
          <w:tab w:val="left" w:pos="1728"/>
          <w:tab w:val="left" w:pos="4176"/>
        </w:tabs>
        <w:rPr>
          <w:szCs w:val="20"/>
        </w:rPr>
      </w:pPr>
    </w:p>
    <w:p w:rsidR="00CA6AE6" w:rsidRPr="0057093A" w:rsidRDefault="00CA6AE6" w:rsidP="00AE34E0">
      <w:pPr>
        <w:tabs>
          <w:tab w:val="left" w:pos="432"/>
          <w:tab w:val="left" w:pos="1296"/>
          <w:tab w:val="left" w:pos="1728"/>
          <w:tab w:val="left" w:pos="4176"/>
        </w:tabs>
        <w:ind w:left="432" w:hanging="432"/>
        <w:rPr>
          <w:color w:val="000000"/>
          <w:szCs w:val="20"/>
        </w:rPr>
      </w:pPr>
      <w:r w:rsidRPr="0057093A">
        <w:rPr>
          <w:color w:val="000000"/>
          <w:szCs w:val="20"/>
        </w:rPr>
        <w:t>13.</w:t>
      </w:r>
      <w:r w:rsidRPr="0057093A">
        <w:rPr>
          <w:color w:val="000000"/>
          <w:szCs w:val="20"/>
        </w:rPr>
        <w:tab/>
      </w:r>
      <w:r w:rsidRPr="0057093A">
        <w:rPr>
          <w:color w:val="000000"/>
          <w:szCs w:val="20"/>
          <w:u w:val="single"/>
        </w:rPr>
        <w:t>Capital, Start-up, and Operating Costs</w:t>
      </w:r>
    </w:p>
    <w:p w:rsidR="00CA6AE6" w:rsidRDefault="00CA6AE6" w:rsidP="00AE34E0">
      <w:pPr>
        <w:pStyle w:val="BodyText"/>
        <w:ind w:right="-480"/>
      </w:pPr>
      <w:r>
        <w:t xml:space="preserve">          </w:t>
      </w:r>
    </w:p>
    <w:p w:rsidR="00CA6AE6" w:rsidRDefault="00A759DF" w:rsidP="00AE34E0">
      <w:pPr>
        <w:pStyle w:val="BodyText"/>
        <w:tabs>
          <w:tab w:val="left" w:pos="720"/>
        </w:tabs>
        <w:ind w:firstLine="720"/>
      </w:pPr>
      <w:r>
        <w:t>Not applicable.</w:t>
      </w:r>
    </w:p>
    <w:p w:rsidR="00CA6AE6" w:rsidRDefault="00CA6AE6" w:rsidP="00AE34E0">
      <w:pPr>
        <w:pStyle w:val="BodyText"/>
        <w:spacing w:after="0"/>
      </w:pPr>
    </w:p>
    <w:p w:rsidR="00CA6AE6" w:rsidRPr="0057093A" w:rsidRDefault="00CA6AE6" w:rsidP="00AE34E0">
      <w:pPr>
        <w:numPr>
          <w:ilvl w:val="0"/>
          <w:numId w:val="3"/>
        </w:numPr>
        <w:tabs>
          <w:tab w:val="left" w:pos="432"/>
          <w:tab w:val="left" w:pos="1728"/>
          <w:tab w:val="left" w:pos="4176"/>
        </w:tabs>
        <w:ind w:left="432" w:hanging="432"/>
        <w:rPr>
          <w:color w:val="000000"/>
          <w:szCs w:val="20"/>
        </w:rPr>
      </w:pPr>
      <w:r w:rsidRPr="0057093A">
        <w:rPr>
          <w:color w:val="000000"/>
          <w:szCs w:val="20"/>
          <w:u w:val="single"/>
        </w:rPr>
        <w:t>Estimates of Annualized Cost to the Federal Government</w:t>
      </w:r>
    </w:p>
    <w:p w:rsidR="00CA6AE6" w:rsidRPr="0057093A" w:rsidRDefault="00CA6AE6" w:rsidP="00AE34E0">
      <w:pPr>
        <w:tabs>
          <w:tab w:val="left" w:pos="432"/>
          <w:tab w:val="left" w:pos="1296"/>
          <w:tab w:val="left" w:pos="1728"/>
          <w:tab w:val="left" w:pos="4176"/>
        </w:tabs>
        <w:rPr>
          <w:color w:val="000000"/>
          <w:szCs w:val="20"/>
        </w:rPr>
      </w:pPr>
    </w:p>
    <w:p w:rsidR="00CA6AE6" w:rsidRPr="0057093A" w:rsidRDefault="00676FA2" w:rsidP="00AE34E0">
      <w:pPr>
        <w:tabs>
          <w:tab w:val="left" w:pos="432"/>
          <w:tab w:val="left" w:pos="1296"/>
          <w:tab w:val="left" w:pos="1728"/>
          <w:tab w:val="left" w:pos="4176"/>
        </w:tabs>
        <w:ind w:left="360"/>
        <w:rPr>
          <w:color w:val="000000"/>
          <w:szCs w:val="20"/>
        </w:rPr>
      </w:pPr>
      <w:r>
        <w:rPr>
          <w:color w:val="000000"/>
          <w:szCs w:val="20"/>
        </w:rPr>
        <w:tab/>
        <w:t xml:space="preserve">    </w:t>
      </w:r>
      <w:r w:rsidR="00A759DF">
        <w:rPr>
          <w:color w:val="000000"/>
          <w:szCs w:val="20"/>
        </w:rPr>
        <w:t>Not applicable.</w:t>
      </w:r>
    </w:p>
    <w:p w:rsidR="00CA6AE6" w:rsidRPr="0057093A" w:rsidRDefault="00CA6AE6" w:rsidP="00AE34E0">
      <w:pPr>
        <w:rPr>
          <w:color w:val="000000"/>
          <w:szCs w:val="20"/>
        </w:rPr>
      </w:pPr>
    </w:p>
    <w:p w:rsidR="00CA6AE6" w:rsidRPr="00C73C7B" w:rsidRDefault="00CA6AE6" w:rsidP="00AE34E0">
      <w:pPr>
        <w:tabs>
          <w:tab w:val="left" w:pos="432"/>
          <w:tab w:val="left" w:pos="1728"/>
          <w:tab w:val="left" w:pos="4176"/>
        </w:tabs>
        <w:rPr>
          <w:color w:val="000000"/>
          <w:szCs w:val="20"/>
          <w:u w:val="single"/>
        </w:rPr>
      </w:pPr>
      <w:r w:rsidRPr="00C73C7B">
        <w:rPr>
          <w:color w:val="000000"/>
          <w:szCs w:val="20"/>
        </w:rPr>
        <w:t xml:space="preserve">15. </w:t>
      </w:r>
      <w:r w:rsidRPr="00C73C7B">
        <w:rPr>
          <w:color w:val="000000"/>
          <w:szCs w:val="20"/>
          <w:u w:val="single"/>
        </w:rPr>
        <w:t>Change in Burden</w:t>
      </w:r>
    </w:p>
    <w:p w:rsidR="00CA6AE6" w:rsidRPr="00A33182" w:rsidRDefault="00CA6AE6" w:rsidP="00AE34E0">
      <w:pPr>
        <w:autoSpaceDE w:val="0"/>
        <w:autoSpaceDN w:val="0"/>
        <w:adjustRightInd w:val="0"/>
        <w:rPr>
          <w:snapToGrid w:val="0"/>
        </w:rPr>
      </w:pPr>
    </w:p>
    <w:p w:rsidR="00CA6AE6" w:rsidRPr="000A1AC8" w:rsidRDefault="00CA6AE6" w:rsidP="00AE34E0">
      <w:pPr>
        <w:pStyle w:val="BodyText"/>
        <w:ind w:right="-480"/>
      </w:pPr>
      <w:r w:rsidRPr="000A1AC8">
        <w:rPr>
          <w:u w:val="single"/>
        </w:rPr>
        <w:t>Former burden:</w:t>
      </w:r>
      <w:r>
        <w:tab/>
      </w:r>
      <w:r w:rsidR="006A137A">
        <w:t>248</w:t>
      </w:r>
      <w:r w:rsidR="008B7C8E">
        <w:t>,</w:t>
      </w:r>
      <w:r w:rsidR="006A137A">
        <w:t>298</w:t>
      </w:r>
      <w:r w:rsidR="000D3228">
        <w:t xml:space="preserve"> </w:t>
      </w:r>
      <w:r w:rsidR="00317260">
        <w:t>burden hours.</w:t>
      </w:r>
      <w:r>
        <w:t xml:space="preserve"> </w:t>
      </w:r>
    </w:p>
    <w:p w:rsidR="00CA6AE6" w:rsidRPr="000A1AC8" w:rsidRDefault="00CA6AE6" w:rsidP="00AE34E0">
      <w:pPr>
        <w:pStyle w:val="BodyText"/>
        <w:ind w:right="-480"/>
      </w:pPr>
      <w:r w:rsidRPr="000A1AC8">
        <w:rPr>
          <w:u w:val="single"/>
        </w:rPr>
        <w:t>New burden:</w:t>
      </w:r>
      <w:r w:rsidRPr="000A1AC8">
        <w:tab/>
      </w:r>
      <w:r w:rsidRPr="000A1AC8">
        <w:tab/>
      </w:r>
      <w:r w:rsidR="008B7C8E">
        <w:t>2</w:t>
      </w:r>
      <w:r w:rsidR="006A137A">
        <w:t>32</w:t>
      </w:r>
      <w:r w:rsidR="008B7C8E">
        <w:t>,</w:t>
      </w:r>
      <w:r w:rsidR="006A137A">
        <w:t>633</w:t>
      </w:r>
      <w:r w:rsidR="000D3228">
        <w:t xml:space="preserve"> </w:t>
      </w:r>
      <w:r w:rsidR="00317260">
        <w:t>burden hours</w:t>
      </w:r>
      <w:r w:rsidR="00DC6A94">
        <w:t>.</w:t>
      </w:r>
    </w:p>
    <w:p w:rsidR="00E6276E" w:rsidRPr="008508DF" w:rsidRDefault="00CA6AE6" w:rsidP="00AE34E0">
      <w:pPr>
        <w:pStyle w:val="BodyText"/>
        <w:ind w:right="-480"/>
      </w:pPr>
      <w:r w:rsidRPr="000A1AC8">
        <w:rPr>
          <w:u w:val="single"/>
        </w:rPr>
        <w:t>Change:</w:t>
      </w:r>
      <w:r w:rsidRPr="000A1AC8">
        <w:tab/>
        <w:t xml:space="preserve">           </w:t>
      </w:r>
      <w:r w:rsidR="00317260">
        <w:t xml:space="preserve"> </w:t>
      </w:r>
      <w:r w:rsidR="000D3228">
        <w:t xml:space="preserve">- </w:t>
      </w:r>
      <w:r w:rsidR="006A137A">
        <w:t>15</w:t>
      </w:r>
      <w:r w:rsidR="008B7C8E">
        <w:t>,</w:t>
      </w:r>
      <w:r w:rsidR="006A137A">
        <w:t>665</w:t>
      </w:r>
      <w:r w:rsidR="00FF2455">
        <w:t xml:space="preserve"> </w:t>
      </w:r>
      <w:r w:rsidRPr="000A1AC8">
        <w:t>burden hours</w:t>
      </w:r>
      <w:r w:rsidR="000E78BD">
        <w:t>.</w:t>
      </w:r>
    </w:p>
    <w:p w:rsidR="00E6276E" w:rsidRPr="0057093A" w:rsidRDefault="00E6276E" w:rsidP="00AE34E0">
      <w:pPr>
        <w:tabs>
          <w:tab w:val="left" w:pos="432"/>
          <w:tab w:val="left" w:pos="1296"/>
          <w:tab w:val="left" w:pos="1728"/>
          <w:tab w:val="left" w:pos="4176"/>
        </w:tabs>
        <w:rPr>
          <w:color w:val="000000"/>
          <w:szCs w:val="20"/>
        </w:rPr>
      </w:pPr>
    </w:p>
    <w:p w:rsidR="00C847CC" w:rsidRDefault="00B531C6" w:rsidP="00AE34E0">
      <w:pPr>
        <w:tabs>
          <w:tab w:val="left" w:pos="0"/>
          <w:tab w:val="left" w:pos="1296"/>
          <w:tab w:val="left" w:pos="1728"/>
          <w:tab w:val="left" w:pos="4176"/>
        </w:tabs>
        <w:rPr>
          <w:color w:val="000000"/>
          <w:szCs w:val="20"/>
        </w:rPr>
      </w:pPr>
      <w:r>
        <w:rPr>
          <w:color w:val="000000"/>
          <w:szCs w:val="20"/>
        </w:rPr>
        <w:t xml:space="preserve">There was a net reduction of </w:t>
      </w:r>
      <w:r w:rsidR="006A137A">
        <w:rPr>
          <w:color w:val="000000"/>
          <w:szCs w:val="20"/>
        </w:rPr>
        <w:t>15</w:t>
      </w:r>
      <w:r>
        <w:rPr>
          <w:color w:val="000000"/>
          <w:szCs w:val="20"/>
        </w:rPr>
        <w:t>,</w:t>
      </w:r>
      <w:r w:rsidR="006A137A">
        <w:rPr>
          <w:color w:val="000000"/>
          <w:szCs w:val="20"/>
        </w:rPr>
        <w:t>665</w:t>
      </w:r>
      <w:r>
        <w:rPr>
          <w:color w:val="000000"/>
          <w:szCs w:val="20"/>
        </w:rPr>
        <w:t xml:space="preserve"> burden hours. </w:t>
      </w:r>
      <w:r w:rsidR="00561D75">
        <w:rPr>
          <w:color w:val="000000"/>
          <w:szCs w:val="20"/>
        </w:rPr>
        <w:t xml:space="preserve">The revisions to the </w:t>
      </w:r>
      <w:r w:rsidR="001E2844">
        <w:rPr>
          <w:color w:val="000000"/>
          <w:szCs w:val="20"/>
        </w:rPr>
        <w:t>collection</w:t>
      </w:r>
      <w:r w:rsidR="00561D75">
        <w:rPr>
          <w:color w:val="000000"/>
          <w:szCs w:val="20"/>
        </w:rPr>
        <w:t xml:space="preserve"> resulted in a decrease in burden</w:t>
      </w:r>
      <w:r w:rsidR="00D73ECF">
        <w:rPr>
          <w:color w:val="000000"/>
          <w:szCs w:val="20"/>
        </w:rPr>
        <w:t xml:space="preserve"> of approximately </w:t>
      </w:r>
      <w:r w:rsidR="001E2844">
        <w:rPr>
          <w:color w:val="000000"/>
          <w:szCs w:val="20"/>
        </w:rPr>
        <w:t>1</w:t>
      </w:r>
      <w:r w:rsidR="006A137A">
        <w:rPr>
          <w:color w:val="000000"/>
          <w:szCs w:val="20"/>
        </w:rPr>
        <w:t>0</w:t>
      </w:r>
      <w:r w:rsidR="001E2844">
        <w:rPr>
          <w:color w:val="000000"/>
          <w:szCs w:val="20"/>
        </w:rPr>
        <w:t>,</w:t>
      </w:r>
      <w:r w:rsidR="006A137A">
        <w:rPr>
          <w:color w:val="000000"/>
          <w:szCs w:val="20"/>
        </w:rPr>
        <w:t>532</w:t>
      </w:r>
      <w:r w:rsidR="00D73ECF">
        <w:rPr>
          <w:color w:val="000000"/>
          <w:szCs w:val="20"/>
        </w:rPr>
        <w:t xml:space="preserve"> hours</w:t>
      </w:r>
      <w:r w:rsidR="00561D75">
        <w:rPr>
          <w:color w:val="000000"/>
          <w:szCs w:val="20"/>
        </w:rPr>
        <w:t>.</w:t>
      </w:r>
      <w:r w:rsidR="0076599A">
        <w:rPr>
          <w:color w:val="000000"/>
          <w:szCs w:val="20"/>
        </w:rPr>
        <w:t xml:space="preserve"> </w:t>
      </w:r>
      <w:r w:rsidR="00D73ECF">
        <w:rPr>
          <w:color w:val="000000"/>
          <w:szCs w:val="20"/>
        </w:rPr>
        <w:t xml:space="preserve">The remaining reduction of </w:t>
      </w:r>
      <w:r w:rsidR="006A137A">
        <w:rPr>
          <w:color w:val="000000"/>
          <w:szCs w:val="20"/>
        </w:rPr>
        <w:t>5,133</w:t>
      </w:r>
      <w:r w:rsidR="00D73ECF">
        <w:rPr>
          <w:color w:val="000000"/>
          <w:szCs w:val="20"/>
        </w:rPr>
        <w:t xml:space="preserve"> hours is due to </w:t>
      </w:r>
      <w:r w:rsidR="006A137A">
        <w:rPr>
          <w:color w:val="000000"/>
          <w:szCs w:val="20"/>
        </w:rPr>
        <w:t>28</w:t>
      </w:r>
      <w:r w:rsidR="00D73ECF">
        <w:rPr>
          <w:color w:val="000000"/>
          <w:szCs w:val="20"/>
        </w:rPr>
        <w:t xml:space="preserve"> fewer national banks and Federal savings associations filing the Call Report</w:t>
      </w:r>
      <w:r w:rsidR="001058B6">
        <w:rPr>
          <w:color w:val="000000"/>
          <w:szCs w:val="20"/>
        </w:rPr>
        <w:t xml:space="preserve"> since the prior revision</w:t>
      </w:r>
      <w:r w:rsidR="0076599A">
        <w:rPr>
          <w:color w:val="000000"/>
          <w:szCs w:val="20"/>
        </w:rPr>
        <w:t>.</w:t>
      </w:r>
    </w:p>
    <w:p w:rsidR="00C847CC" w:rsidRDefault="00C847CC" w:rsidP="00AE34E0">
      <w:pPr>
        <w:tabs>
          <w:tab w:val="left" w:pos="432"/>
          <w:tab w:val="left" w:pos="1296"/>
          <w:tab w:val="left" w:pos="1728"/>
          <w:tab w:val="left" w:pos="4176"/>
        </w:tabs>
        <w:ind w:left="432" w:hanging="432"/>
        <w:rPr>
          <w:color w:val="000000"/>
          <w:szCs w:val="20"/>
        </w:rPr>
      </w:pPr>
    </w:p>
    <w:p w:rsidR="00CA6AE6" w:rsidRPr="0057093A" w:rsidRDefault="002276C4" w:rsidP="00AE34E0">
      <w:pPr>
        <w:tabs>
          <w:tab w:val="left" w:pos="432"/>
          <w:tab w:val="left" w:pos="1296"/>
          <w:tab w:val="left" w:pos="1728"/>
          <w:tab w:val="left" w:pos="4176"/>
        </w:tabs>
        <w:ind w:left="432" w:hanging="432"/>
        <w:rPr>
          <w:color w:val="000000"/>
          <w:szCs w:val="20"/>
        </w:rPr>
      </w:pPr>
      <w:r>
        <w:rPr>
          <w:color w:val="000000"/>
          <w:szCs w:val="20"/>
        </w:rPr>
        <w:t xml:space="preserve">16. </w:t>
      </w:r>
      <w:r w:rsidR="00CA6AE6" w:rsidRPr="0057093A">
        <w:rPr>
          <w:color w:val="000000"/>
          <w:szCs w:val="20"/>
          <w:u w:val="single"/>
        </w:rPr>
        <w:t>Publication</w:t>
      </w:r>
    </w:p>
    <w:p w:rsidR="00CA6AE6" w:rsidRPr="0057093A" w:rsidRDefault="00CA6AE6" w:rsidP="00AE34E0">
      <w:pPr>
        <w:rPr>
          <w:color w:val="000000"/>
          <w:szCs w:val="20"/>
        </w:rPr>
      </w:pPr>
    </w:p>
    <w:p w:rsidR="00CA6AE6" w:rsidRPr="0057093A" w:rsidRDefault="00CA6AE6" w:rsidP="00AE34E0">
      <w:pPr>
        <w:rPr>
          <w:color w:val="000000"/>
          <w:szCs w:val="20"/>
        </w:rPr>
      </w:pPr>
      <w:r>
        <w:rPr>
          <w:color w:val="000000"/>
          <w:szCs w:val="20"/>
        </w:rPr>
        <w:t xml:space="preserve">          </w:t>
      </w:r>
      <w:r w:rsidR="002276C4">
        <w:rPr>
          <w:color w:val="000000"/>
          <w:szCs w:val="20"/>
        </w:rPr>
        <w:t>Not applicable.</w:t>
      </w:r>
    </w:p>
    <w:p w:rsidR="00CA6AE6" w:rsidRPr="0057093A" w:rsidRDefault="00CA6AE6" w:rsidP="00AE34E0">
      <w:pPr>
        <w:rPr>
          <w:color w:val="000000"/>
          <w:szCs w:val="20"/>
        </w:rPr>
      </w:pPr>
    </w:p>
    <w:p w:rsidR="00CA6AE6" w:rsidRDefault="00CA6AE6" w:rsidP="00AE34E0">
      <w:pPr>
        <w:tabs>
          <w:tab w:val="left" w:pos="432"/>
          <w:tab w:val="left" w:pos="1296"/>
          <w:tab w:val="left" w:pos="1728"/>
          <w:tab w:val="left" w:pos="4176"/>
        </w:tabs>
        <w:rPr>
          <w:color w:val="000000"/>
          <w:szCs w:val="20"/>
          <w:u w:val="single"/>
        </w:rPr>
      </w:pPr>
      <w:r w:rsidRPr="00C73C7B">
        <w:rPr>
          <w:color w:val="000000"/>
          <w:szCs w:val="20"/>
        </w:rPr>
        <w:t xml:space="preserve">17. </w:t>
      </w:r>
      <w:r w:rsidRPr="00C73C7B">
        <w:rPr>
          <w:color w:val="000000"/>
          <w:szCs w:val="20"/>
          <w:u w:val="single"/>
        </w:rPr>
        <w:t>Exceptions to Expiration Date Display</w:t>
      </w:r>
    </w:p>
    <w:p w:rsidR="00CA6AE6" w:rsidRPr="00C73C7B" w:rsidRDefault="00CA6AE6" w:rsidP="00AE34E0">
      <w:pPr>
        <w:tabs>
          <w:tab w:val="left" w:pos="432"/>
          <w:tab w:val="left" w:pos="1296"/>
          <w:tab w:val="left" w:pos="1728"/>
          <w:tab w:val="left" w:pos="4176"/>
        </w:tabs>
        <w:rPr>
          <w:color w:val="000000"/>
          <w:szCs w:val="20"/>
        </w:rPr>
      </w:pPr>
    </w:p>
    <w:p w:rsidR="00CA6AE6" w:rsidRPr="0057093A" w:rsidRDefault="00CA6AE6" w:rsidP="00AE34E0">
      <w:pPr>
        <w:keepNext/>
        <w:rPr>
          <w:color w:val="000000"/>
          <w:szCs w:val="20"/>
        </w:rPr>
      </w:pPr>
      <w:r>
        <w:rPr>
          <w:color w:val="000000"/>
          <w:szCs w:val="20"/>
        </w:rPr>
        <w:t xml:space="preserve">      </w:t>
      </w:r>
      <w:r w:rsidRPr="0057093A">
        <w:rPr>
          <w:color w:val="000000"/>
          <w:szCs w:val="20"/>
        </w:rPr>
        <w:t>None.</w:t>
      </w:r>
    </w:p>
    <w:p w:rsidR="00CA6AE6" w:rsidRPr="0057093A" w:rsidRDefault="00CA6AE6" w:rsidP="00AE34E0">
      <w:pPr>
        <w:keepNext/>
        <w:rPr>
          <w:color w:val="000000"/>
          <w:szCs w:val="20"/>
        </w:rPr>
      </w:pPr>
    </w:p>
    <w:p w:rsidR="00CA6AE6" w:rsidRPr="0057093A" w:rsidRDefault="00CA6AE6" w:rsidP="00AE34E0">
      <w:pPr>
        <w:keepNext/>
        <w:numPr>
          <w:ilvl w:val="0"/>
          <w:numId w:val="4"/>
        </w:numPr>
        <w:tabs>
          <w:tab w:val="left" w:pos="432"/>
          <w:tab w:val="left" w:pos="1728"/>
          <w:tab w:val="left" w:pos="4176"/>
        </w:tabs>
        <w:ind w:left="432" w:hanging="432"/>
        <w:rPr>
          <w:color w:val="000000"/>
          <w:szCs w:val="20"/>
        </w:rPr>
      </w:pPr>
      <w:r w:rsidRPr="0057093A">
        <w:rPr>
          <w:color w:val="000000"/>
          <w:szCs w:val="20"/>
          <w:u w:val="single"/>
        </w:rPr>
        <w:t>Exceptions to Certification</w:t>
      </w:r>
    </w:p>
    <w:p w:rsidR="00CA6AE6" w:rsidRPr="0057093A" w:rsidRDefault="00CA6AE6" w:rsidP="00AE34E0">
      <w:pPr>
        <w:keepNext/>
        <w:rPr>
          <w:color w:val="000000"/>
          <w:szCs w:val="20"/>
        </w:rPr>
      </w:pPr>
    </w:p>
    <w:p w:rsidR="00CA6AE6" w:rsidRPr="0057093A" w:rsidRDefault="00CA6AE6" w:rsidP="00AE34E0">
      <w:pPr>
        <w:keepNext/>
        <w:rPr>
          <w:color w:val="000000"/>
          <w:szCs w:val="20"/>
        </w:rPr>
      </w:pPr>
      <w:r>
        <w:rPr>
          <w:color w:val="000000"/>
          <w:szCs w:val="20"/>
        </w:rPr>
        <w:t xml:space="preserve">          </w:t>
      </w:r>
      <w:r w:rsidRPr="0057093A">
        <w:rPr>
          <w:color w:val="000000"/>
          <w:szCs w:val="20"/>
        </w:rPr>
        <w:t>None.</w:t>
      </w:r>
    </w:p>
    <w:p w:rsidR="00CA6AE6" w:rsidRPr="0057093A" w:rsidRDefault="00CA6AE6" w:rsidP="00AE34E0">
      <w:pPr>
        <w:keepNext/>
        <w:rPr>
          <w:color w:val="000000"/>
          <w:szCs w:val="20"/>
        </w:rPr>
      </w:pPr>
    </w:p>
    <w:p w:rsidR="00CA6AE6" w:rsidRDefault="00CA6AE6" w:rsidP="00AE34E0">
      <w:pPr>
        <w:suppressAutoHyphens/>
        <w:rPr>
          <w:szCs w:val="20"/>
          <w:u w:val="single"/>
        </w:rPr>
      </w:pPr>
      <w:r w:rsidRPr="0057093A">
        <w:rPr>
          <w:szCs w:val="20"/>
        </w:rPr>
        <w:t xml:space="preserve">B.  </w:t>
      </w:r>
      <w:r w:rsidRPr="0057093A">
        <w:rPr>
          <w:szCs w:val="20"/>
          <w:u w:val="single"/>
        </w:rPr>
        <w:t>COLLECTION OF INFORMATION EMPLOYING STATISTICAL METHODS</w:t>
      </w:r>
    </w:p>
    <w:p w:rsidR="00CA6AE6" w:rsidRPr="0057093A" w:rsidRDefault="00CA6AE6" w:rsidP="00AE34E0">
      <w:pPr>
        <w:suppressAutoHyphens/>
        <w:rPr>
          <w:szCs w:val="20"/>
        </w:rPr>
      </w:pPr>
    </w:p>
    <w:p w:rsidR="00CA6AE6" w:rsidRDefault="00CA6AE6" w:rsidP="00AE34E0">
      <w:pPr>
        <w:tabs>
          <w:tab w:val="left" w:pos="-720"/>
          <w:tab w:val="left" w:pos="0"/>
          <w:tab w:val="left" w:pos="1008"/>
          <w:tab w:val="left" w:pos="2160"/>
          <w:tab w:val="left" w:pos="4176"/>
          <w:tab w:val="left" w:pos="5472"/>
          <w:tab w:val="left" w:pos="6912"/>
        </w:tabs>
        <w:suppressAutoHyphens/>
        <w:rPr>
          <w:szCs w:val="20"/>
        </w:rPr>
      </w:pPr>
      <w:r>
        <w:rPr>
          <w:szCs w:val="20"/>
        </w:rPr>
        <w:t xml:space="preserve">         </w:t>
      </w:r>
      <w:r w:rsidRPr="0057093A">
        <w:rPr>
          <w:szCs w:val="20"/>
        </w:rPr>
        <w:t>Not applicable.</w:t>
      </w:r>
    </w:p>
    <w:p w:rsidR="00CA6AE6" w:rsidRPr="00300FF7" w:rsidRDefault="00CA6AE6" w:rsidP="00300FF7">
      <w:pPr>
        <w:tabs>
          <w:tab w:val="left" w:pos="-720"/>
          <w:tab w:val="left" w:pos="0"/>
          <w:tab w:val="left" w:pos="1008"/>
          <w:tab w:val="left" w:pos="2160"/>
          <w:tab w:val="left" w:pos="4176"/>
          <w:tab w:val="left" w:pos="5472"/>
          <w:tab w:val="left" w:pos="6912"/>
        </w:tabs>
        <w:suppressAutoHyphens/>
        <w:rPr>
          <w:szCs w:val="20"/>
        </w:rPr>
      </w:pPr>
    </w:p>
    <w:sectPr w:rsidR="00CA6AE6" w:rsidRPr="00300FF7" w:rsidSect="008A5FFD">
      <w:footerReference w:type="even" r:id="rId9"/>
      <w:footerReference w:type="default" r:id="rId10"/>
      <w:endnotePr>
        <w:numFmt w:val="decimal"/>
      </w:endnotePr>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3E6" w:rsidRDefault="002E33E6">
      <w:r>
        <w:separator/>
      </w:r>
    </w:p>
  </w:endnote>
  <w:endnote w:type="continuationSeparator" w:id="0">
    <w:p w:rsidR="002E33E6" w:rsidRDefault="002E3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69E" w:rsidRDefault="001671BC">
    <w:pPr>
      <w:pStyle w:val="Footer"/>
      <w:framePr w:wrap="around" w:vAnchor="text" w:hAnchor="margin" w:xAlign="center" w:y="1"/>
      <w:rPr>
        <w:rStyle w:val="PageNumber"/>
      </w:rPr>
    </w:pPr>
    <w:r>
      <w:rPr>
        <w:rStyle w:val="PageNumber"/>
      </w:rPr>
      <w:fldChar w:fldCharType="begin"/>
    </w:r>
    <w:r w:rsidR="00AB569E">
      <w:rPr>
        <w:rStyle w:val="PageNumber"/>
      </w:rPr>
      <w:instrText xml:space="preserve">PAGE  </w:instrText>
    </w:r>
    <w:r>
      <w:rPr>
        <w:rStyle w:val="PageNumber"/>
      </w:rPr>
      <w:fldChar w:fldCharType="separate"/>
    </w:r>
    <w:r w:rsidR="00AB569E">
      <w:rPr>
        <w:rStyle w:val="PageNumber"/>
        <w:noProof/>
      </w:rPr>
      <w:t>13</w:t>
    </w:r>
    <w:r>
      <w:rPr>
        <w:rStyle w:val="PageNumber"/>
      </w:rPr>
      <w:fldChar w:fldCharType="end"/>
    </w:r>
  </w:p>
  <w:p w:rsidR="00AB569E" w:rsidRDefault="00AB56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69E" w:rsidRDefault="001671BC">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sidR="00AB569E">
      <w:rPr>
        <w:rStyle w:val="PageNumber"/>
        <w:rFonts w:ascii="Times New Roman" w:hAnsi="Times New Roman"/>
      </w:rPr>
      <w:instrText xml:space="preserve">PAGE  </w:instrText>
    </w:r>
    <w:r>
      <w:rPr>
        <w:rStyle w:val="PageNumber"/>
        <w:rFonts w:ascii="Times New Roman" w:hAnsi="Times New Roman"/>
      </w:rPr>
      <w:fldChar w:fldCharType="separate"/>
    </w:r>
    <w:r w:rsidR="00F8053D">
      <w:rPr>
        <w:rStyle w:val="PageNumber"/>
        <w:rFonts w:ascii="Times New Roman" w:hAnsi="Times New Roman"/>
        <w:noProof/>
      </w:rPr>
      <w:t>2</w:t>
    </w:r>
    <w:r>
      <w:rPr>
        <w:rStyle w:val="PageNumber"/>
        <w:rFonts w:ascii="Times New Roman" w:hAnsi="Times New Roman"/>
      </w:rPr>
      <w:fldChar w:fldCharType="end"/>
    </w:r>
  </w:p>
  <w:p w:rsidR="00AB569E" w:rsidRDefault="00AB56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3E6" w:rsidRDefault="002E33E6">
      <w:r>
        <w:separator/>
      </w:r>
    </w:p>
  </w:footnote>
  <w:footnote w:type="continuationSeparator" w:id="0">
    <w:p w:rsidR="002E33E6" w:rsidRDefault="002E33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3E24"/>
    <w:multiLevelType w:val="hybridMultilevel"/>
    <w:tmpl w:val="61C2AE0C"/>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02F202D"/>
    <w:multiLevelType w:val="hybridMultilevel"/>
    <w:tmpl w:val="C4AEC054"/>
    <w:lvl w:ilvl="0" w:tplc="C2FE14D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512909"/>
    <w:multiLevelType w:val="hybridMultilevel"/>
    <w:tmpl w:val="FBC2D2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5E06C07"/>
    <w:multiLevelType w:val="hybridMultilevel"/>
    <w:tmpl w:val="48820EEC"/>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4">
    <w:nsid w:val="16543B8E"/>
    <w:multiLevelType w:val="hybridMultilevel"/>
    <w:tmpl w:val="D068BD24"/>
    <w:lvl w:ilvl="0" w:tplc="D514142C">
      <w:start w:val="1"/>
      <w:numFmt w:val="bullet"/>
      <w:lvlText w:val=""/>
      <w:lvlJc w:val="left"/>
      <w:pPr>
        <w:tabs>
          <w:tab w:val="num" w:pos="360"/>
        </w:tabs>
        <w:ind w:left="36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341427"/>
    <w:multiLevelType w:val="hybridMultilevel"/>
    <w:tmpl w:val="BAFE2BC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6">
    <w:nsid w:val="277A1C76"/>
    <w:multiLevelType w:val="hybridMultilevel"/>
    <w:tmpl w:val="351A7ED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27BD2C1B"/>
    <w:multiLevelType w:val="singleLevel"/>
    <w:tmpl w:val="7A044780"/>
    <w:lvl w:ilvl="0">
      <w:start w:val="9"/>
      <w:numFmt w:val="decimal"/>
      <w:lvlText w:val="%1."/>
      <w:lvlJc w:val="left"/>
      <w:pPr>
        <w:tabs>
          <w:tab w:val="num" w:pos="1290"/>
        </w:tabs>
        <w:ind w:left="1290" w:hanging="855"/>
      </w:pPr>
      <w:rPr>
        <w:rFonts w:cs="Times New Roman" w:hint="default"/>
      </w:rPr>
    </w:lvl>
  </w:abstractNum>
  <w:abstractNum w:abstractNumId="8">
    <w:nsid w:val="2E703965"/>
    <w:multiLevelType w:val="singleLevel"/>
    <w:tmpl w:val="1B4C93C4"/>
    <w:lvl w:ilvl="0">
      <w:start w:val="18"/>
      <w:numFmt w:val="decimal"/>
      <w:lvlText w:val="%1."/>
      <w:lvlJc w:val="left"/>
      <w:pPr>
        <w:tabs>
          <w:tab w:val="num" w:pos="1035"/>
        </w:tabs>
        <w:ind w:left="1035" w:hanging="855"/>
      </w:pPr>
      <w:rPr>
        <w:rFonts w:cs="Times New Roman" w:hint="default"/>
      </w:rPr>
    </w:lvl>
  </w:abstractNum>
  <w:abstractNum w:abstractNumId="9">
    <w:nsid w:val="30503B3C"/>
    <w:multiLevelType w:val="hybridMultilevel"/>
    <w:tmpl w:val="1EA89792"/>
    <w:lvl w:ilvl="0" w:tplc="49F221A6">
      <w:start w:val="12"/>
      <w:numFmt w:val="decimal"/>
      <w:lvlText w:val="%1."/>
      <w:lvlJc w:val="left"/>
      <w:pPr>
        <w:tabs>
          <w:tab w:val="num" w:pos="1287"/>
        </w:tabs>
        <w:ind w:left="1287" w:hanging="855"/>
      </w:pPr>
      <w:rPr>
        <w:rFonts w:cs="Times New Roman" w:hint="default"/>
        <w:u w:val="none"/>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10">
    <w:nsid w:val="32854B65"/>
    <w:multiLevelType w:val="singleLevel"/>
    <w:tmpl w:val="575E362A"/>
    <w:lvl w:ilvl="0">
      <w:start w:val="14"/>
      <w:numFmt w:val="decimal"/>
      <w:lvlText w:val="%1."/>
      <w:lvlJc w:val="left"/>
      <w:pPr>
        <w:tabs>
          <w:tab w:val="num" w:pos="1290"/>
        </w:tabs>
        <w:ind w:left="1290" w:hanging="855"/>
      </w:pPr>
      <w:rPr>
        <w:rFonts w:cs="Times New Roman" w:hint="default"/>
      </w:rPr>
    </w:lvl>
  </w:abstractNum>
  <w:abstractNum w:abstractNumId="11">
    <w:nsid w:val="352621A9"/>
    <w:multiLevelType w:val="singleLevel"/>
    <w:tmpl w:val="F1EA4D98"/>
    <w:lvl w:ilvl="0">
      <w:start w:val="5"/>
      <w:numFmt w:val="decimal"/>
      <w:lvlText w:val="%1."/>
      <w:lvlJc w:val="left"/>
      <w:pPr>
        <w:tabs>
          <w:tab w:val="num" w:pos="1287"/>
        </w:tabs>
        <w:ind w:left="1287" w:hanging="855"/>
      </w:pPr>
      <w:rPr>
        <w:rFonts w:cs="Times New Roman" w:hint="default"/>
        <w:u w:val="none"/>
      </w:rPr>
    </w:lvl>
  </w:abstractNum>
  <w:abstractNum w:abstractNumId="12">
    <w:nsid w:val="3759166F"/>
    <w:multiLevelType w:val="hybridMultilevel"/>
    <w:tmpl w:val="CDE07E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E86332"/>
    <w:multiLevelType w:val="hybridMultilevel"/>
    <w:tmpl w:val="93443CB2"/>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401E6FA6"/>
    <w:multiLevelType w:val="hybridMultilevel"/>
    <w:tmpl w:val="BE4E676C"/>
    <w:lvl w:ilvl="0" w:tplc="9F90DD5C">
      <w:start w:val="4"/>
      <w:numFmt w:val="decimal"/>
      <w:lvlText w:val="%1."/>
      <w:lvlJc w:val="left"/>
      <w:pPr>
        <w:tabs>
          <w:tab w:val="num" w:pos="1287"/>
        </w:tabs>
        <w:ind w:left="1287" w:hanging="855"/>
      </w:pPr>
      <w:rPr>
        <w:rFonts w:cs="Times New Roman" w:hint="default"/>
        <w:u w:val="none"/>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15">
    <w:nsid w:val="5433787C"/>
    <w:multiLevelType w:val="hybridMultilevel"/>
    <w:tmpl w:val="CE2ADA64"/>
    <w:lvl w:ilvl="0" w:tplc="2B1C44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16">
    <w:nsid w:val="6B0205E3"/>
    <w:multiLevelType w:val="hybridMultilevel"/>
    <w:tmpl w:val="AFA27DB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CCE683B"/>
    <w:multiLevelType w:val="hybridMultilevel"/>
    <w:tmpl w:val="F3C203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nsid w:val="7084413A"/>
    <w:multiLevelType w:val="hybridMultilevel"/>
    <w:tmpl w:val="0352DE5E"/>
    <w:lvl w:ilvl="0" w:tplc="9F8C399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18125EE"/>
    <w:multiLevelType w:val="hybridMultilevel"/>
    <w:tmpl w:val="F1029F2C"/>
    <w:lvl w:ilvl="0" w:tplc="DACE9684">
      <w:start w:val="1"/>
      <w:numFmt w:val="upperLetter"/>
      <w:lvlText w:val="%1."/>
      <w:lvlJc w:val="left"/>
      <w:pPr>
        <w:ind w:left="1080" w:hanging="360"/>
      </w:pPr>
      <w:rPr>
        <w:rFonts w:cs="Times New Roman" w:hint="default"/>
        <w:u w:val="singl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7B6A5C44"/>
    <w:multiLevelType w:val="hybridMultilevel"/>
    <w:tmpl w:val="C86C52E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1">
    <w:nsid w:val="7B803481"/>
    <w:multiLevelType w:val="hybridMultilevel"/>
    <w:tmpl w:val="F22C33CE"/>
    <w:lvl w:ilvl="0" w:tplc="D3C2420A">
      <w:start w:val="1"/>
      <w:numFmt w:val="decimal"/>
      <w:lvlText w:val="%1."/>
      <w:lvlJc w:val="left"/>
      <w:pPr>
        <w:tabs>
          <w:tab w:val="num" w:pos="1287"/>
        </w:tabs>
        <w:ind w:left="1287" w:hanging="855"/>
      </w:pPr>
      <w:rPr>
        <w:rFonts w:cs="Times New Roman" w:hint="default"/>
        <w:u w:val="none"/>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num w:numId="1">
    <w:abstractNumId w:val="11"/>
  </w:num>
  <w:num w:numId="2">
    <w:abstractNumId w:val="7"/>
  </w:num>
  <w:num w:numId="3">
    <w:abstractNumId w:val="10"/>
  </w:num>
  <w:num w:numId="4">
    <w:abstractNumId w:val="8"/>
  </w:num>
  <w:num w:numId="5">
    <w:abstractNumId w:val="21"/>
  </w:num>
  <w:num w:numId="6">
    <w:abstractNumId w:val="14"/>
  </w:num>
  <w:num w:numId="7">
    <w:abstractNumId w:val="9"/>
  </w:num>
  <w:num w:numId="8">
    <w:abstractNumId w:val="4"/>
  </w:num>
  <w:num w:numId="9">
    <w:abstractNumId w:val="18"/>
  </w:num>
  <w:num w:numId="10">
    <w:abstractNumId w:val="19"/>
  </w:num>
  <w:num w:numId="11">
    <w:abstractNumId w:val="2"/>
  </w:num>
  <w:num w:numId="12">
    <w:abstractNumId w:val="16"/>
  </w:num>
  <w:num w:numId="13">
    <w:abstractNumId w:val="3"/>
  </w:num>
  <w:num w:numId="14">
    <w:abstractNumId w:val="15"/>
  </w:num>
  <w:num w:numId="15">
    <w:abstractNumId w:val="1"/>
  </w:num>
  <w:num w:numId="16">
    <w:abstractNumId w:val="12"/>
  </w:num>
  <w:num w:numId="17">
    <w:abstractNumId w:val="5"/>
  </w:num>
  <w:num w:numId="18">
    <w:abstractNumId w:val="13"/>
  </w:num>
  <w:num w:numId="19">
    <w:abstractNumId w:val="0"/>
  </w:num>
  <w:num w:numId="20">
    <w:abstractNumId w:val="20"/>
  </w:num>
  <w:num w:numId="21">
    <w:abstractNumId w:val="3"/>
  </w:num>
  <w:num w:numId="22">
    <w:abstractNumId w:val="0"/>
  </w:num>
  <w:num w:numId="23">
    <w:abstractNumId w:val="20"/>
  </w:num>
  <w:num w:numId="24">
    <w:abstractNumId w:val="3"/>
  </w:num>
  <w:num w:numId="25">
    <w:abstractNumId w:val="18"/>
  </w:num>
  <w:num w:numId="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93A"/>
    <w:rsid w:val="0000599F"/>
    <w:rsid w:val="000108AC"/>
    <w:rsid w:val="000142A5"/>
    <w:rsid w:val="0001704F"/>
    <w:rsid w:val="000178F9"/>
    <w:rsid w:val="00021991"/>
    <w:rsid w:val="000268BB"/>
    <w:rsid w:val="00027A28"/>
    <w:rsid w:val="00033A04"/>
    <w:rsid w:val="00045ED1"/>
    <w:rsid w:val="00047149"/>
    <w:rsid w:val="00067D5A"/>
    <w:rsid w:val="000763C7"/>
    <w:rsid w:val="0007696C"/>
    <w:rsid w:val="00084B79"/>
    <w:rsid w:val="00091FA1"/>
    <w:rsid w:val="000955DF"/>
    <w:rsid w:val="00097C68"/>
    <w:rsid w:val="000A1AC8"/>
    <w:rsid w:val="000A457D"/>
    <w:rsid w:val="000A499B"/>
    <w:rsid w:val="000B0338"/>
    <w:rsid w:val="000B4C56"/>
    <w:rsid w:val="000C6752"/>
    <w:rsid w:val="000D3228"/>
    <w:rsid w:val="000D5B2A"/>
    <w:rsid w:val="000E2B81"/>
    <w:rsid w:val="000E306E"/>
    <w:rsid w:val="000E37A6"/>
    <w:rsid w:val="000E78BD"/>
    <w:rsid w:val="000F15CC"/>
    <w:rsid w:val="001058B6"/>
    <w:rsid w:val="00107C52"/>
    <w:rsid w:val="001123DE"/>
    <w:rsid w:val="001212C3"/>
    <w:rsid w:val="00122748"/>
    <w:rsid w:val="001253C6"/>
    <w:rsid w:val="00132276"/>
    <w:rsid w:val="00134EF6"/>
    <w:rsid w:val="0013638D"/>
    <w:rsid w:val="001454CF"/>
    <w:rsid w:val="001501BE"/>
    <w:rsid w:val="00153070"/>
    <w:rsid w:val="00156CDE"/>
    <w:rsid w:val="001653AA"/>
    <w:rsid w:val="00166EE7"/>
    <w:rsid w:val="001671BC"/>
    <w:rsid w:val="00172AC4"/>
    <w:rsid w:val="00176541"/>
    <w:rsid w:val="00180FD6"/>
    <w:rsid w:val="00186B84"/>
    <w:rsid w:val="00195BF7"/>
    <w:rsid w:val="001A1F72"/>
    <w:rsid w:val="001A22FF"/>
    <w:rsid w:val="001A28F7"/>
    <w:rsid w:val="001A2F44"/>
    <w:rsid w:val="001A4D5C"/>
    <w:rsid w:val="001B0EF5"/>
    <w:rsid w:val="001B462D"/>
    <w:rsid w:val="001C15A4"/>
    <w:rsid w:val="001E01CC"/>
    <w:rsid w:val="001E1E82"/>
    <w:rsid w:val="001E2844"/>
    <w:rsid w:val="001E7813"/>
    <w:rsid w:val="001E7D11"/>
    <w:rsid w:val="001F1307"/>
    <w:rsid w:val="001F26AB"/>
    <w:rsid w:val="001F3330"/>
    <w:rsid w:val="001F442E"/>
    <w:rsid w:val="001F5F2A"/>
    <w:rsid w:val="00207BFF"/>
    <w:rsid w:val="002276C4"/>
    <w:rsid w:val="002370D8"/>
    <w:rsid w:val="0024348A"/>
    <w:rsid w:val="00244FE8"/>
    <w:rsid w:val="00245252"/>
    <w:rsid w:val="00245BCB"/>
    <w:rsid w:val="002549A7"/>
    <w:rsid w:val="0026359E"/>
    <w:rsid w:val="002704C5"/>
    <w:rsid w:val="002822B8"/>
    <w:rsid w:val="002866D4"/>
    <w:rsid w:val="00292AF4"/>
    <w:rsid w:val="00294B40"/>
    <w:rsid w:val="002A25A0"/>
    <w:rsid w:val="002A30A7"/>
    <w:rsid w:val="002A5DD8"/>
    <w:rsid w:val="002B0C9F"/>
    <w:rsid w:val="002B62CE"/>
    <w:rsid w:val="002B641E"/>
    <w:rsid w:val="002B6882"/>
    <w:rsid w:val="002C22E8"/>
    <w:rsid w:val="002C2605"/>
    <w:rsid w:val="002C6EB7"/>
    <w:rsid w:val="002D1E1E"/>
    <w:rsid w:val="002D4F92"/>
    <w:rsid w:val="002D5409"/>
    <w:rsid w:val="002D6B98"/>
    <w:rsid w:val="002E33E6"/>
    <w:rsid w:val="002E5DD1"/>
    <w:rsid w:val="002F3BC8"/>
    <w:rsid w:val="00300FF7"/>
    <w:rsid w:val="00306CF3"/>
    <w:rsid w:val="00312F97"/>
    <w:rsid w:val="00313481"/>
    <w:rsid w:val="003159D9"/>
    <w:rsid w:val="00315DE6"/>
    <w:rsid w:val="00317260"/>
    <w:rsid w:val="00320518"/>
    <w:rsid w:val="003206CB"/>
    <w:rsid w:val="00333A85"/>
    <w:rsid w:val="003420C6"/>
    <w:rsid w:val="003460C7"/>
    <w:rsid w:val="003467C7"/>
    <w:rsid w:val="003617D7"/>
    <w:rsid w:val="00364C55"/>
    <w:rsid w:val="00366717"/>
    <w:rsid w:val="0037145D"/>
    <w:rsid w:val="00371B47"/>
    <w:rsid w:val="00372CA3"/>
    <w:rsid w:val="00381C36"/>
    <w:rsid w:val="00383D87"/>
    <w:rsid w:val="00387409"/>
    <w:rsid w:val="003879BC"/>
    <w:rsid w:val="00397B30"/>
    <w:rsid w:val="003A0159"/>
    <w:rsid w:val="003B1304"/>
    <w:rsid w:val="003C0E89"/>
    <w:rsid w:val="003C7D9C"/>
    <w:rsid w:val="003D7B2E"/>
    <w:rsid w:val="003E280D"/>
    <w:rsid w:val="003E7270"/>
    <w:rsid w:val="0040246E"/>
    <w:rsid w:val="004055FF"/>
    <w:rsid w:val="00405787"/>
    <w:rsid w:val="0040759C"/>
    <w:rsid w:val="0043127D"/>
    <w:rsid w:val="004324DE"/>
    <w:rsid w:val="00434DA1"/>
    <w:rsid w:val="004434EF"/>
    <w:rsid w:val="00443BF9"/>
    <w:rsid w:val="00456357"/>
    <w:rsid w:val="004707AE"/>
    <w:rsid w:val="00481352"/>
    <w:rsid w:val="00487CD9"/>
    <w:rsid w:val="00493EDC"/>
    <w:rsid w:val="0049470D"/>
    <w:rsid w:val="004A1416"/>
    <w:rsid w:val="004A5DE7"/>
    <w:rsid w:val="004D05FB"/>
    <w:rsid w:val="004D305D"/>
    <w:rsid w:val="004D3B50"/>
    <w:rsid w:val="004F1A3A"/>
    <w:rsid w:val="004F2D31"/>
    <w:rsid w:val="004F7520"/>
    <w:rsid w:val="00512733"/>
    <w:rsid w:val="00522557"/>
    <w:rsid w:val="005350C8"/>
    <w:rsid w:val="00535700"/>
    <w:rsid w:val="0054027F"/>
    <w:rsid w:val="005422EE"/>
    <w:rsid w:val="00543BC4"/>
    <w:rsid w:val="00550020"/>
    <w:rsid w:val="0055239E"/>
    <w:rsid w:val="00561D75"/>
    <w:rsid w:val="00565713"/>
    <w:rsid w:val="0057093A"/>
    <w:rsid w:val="005709F9"/>
    <w:rsid w:val="005832F4"/>
    <w:rsid w:val="005849BB"/>
    <w:rsid w:val="005A2FD3"/>
    <w:rsid w:val="005A68E5"/>
    <w:rsid w:val="005B4B4B"/>
    <w:rsid w:val="005C578A"/>
    <w:rsid w:val="005C6FB0"/>
    <w:rsid w:val="005D1CD8"/>
    <w:rsid w:val="005D31A9"/>
    <w:rsid w:val="005D738A"/>
    <w:rsid w:val="005E1469"/>
    <w:rsid w:val="005E7804"/>
    <w:rsid w:val="005F179D"/>
    <w:rsid w:val="005F2F23"/>
    <w:rsid w:val="005F40AF"/>
    <w:rsid w:val="00610CCD"/>
    <w:rsid w:val="006167C6"/>
    <w:rsid w:val="00620482"/>
    <w:rsid w:val="006238B0"/>
    <w:rsid w:val="0062496B"/>
    <w:rsid w:val="00633AAE"/>
    <w:rsid w:val="006409C2"/>
    <w:rsid w:val="00657DEF"/>
    <w:rsid w:val="00672031"/>
    <w:rsid w:val="00676FA2"/>
    <w:rsid w:val="0067719F"/>
    <w:rsid w:val="00686506"/>
    <w:rsid w:val="00690152"/>
    <w:rsid w:val="00692323"/>
    <w:rsid w:val="00695524"/>
    <w:rsid w:val="006A137A"/>
    <w:rsid w:val="006A68A3"/>
    <w:rsid w:val="006A71AF"/>
    <w:rsid w:val="006B43CC"/>
    <w:rsid w:val="006B61AE"/>
    <w:rsid w:val="006B747C"/>
    <w:rsid w:val="006C25D8"/>
    <w:rsid w:val="006C3142"/>
    <w:rsid w:val="006C399E"/>
    <w:rsid w:val="006C3A41"/>
    <w:rsid w:val="006E5622"/>
    <w:rsid w:val="006E5E3B"/>
    <w:rsid w:val="006E764B"/>
    <w:rsid w:val="006F76FA"/>
    <w:rsid w:val="00702CFD"/>
    <w:rsid w:val="00716434"/>
    <w:rsid w:val="00716DE0"/>
    <w:rsid w:val="007175DC"/>
    <w:rsid w:val="00726A1B"/>
    <w:rsid w:val="00730C9D"/>
    <w:rsid w:val="007330D2"/>
    <w:rsid w:val="00736599"/>
    <w:rsid w:val="007445F3"/>
    <w:rsid w:val="00761714"/>
    <w:rsid w:val="00764530"/>
    <w:rsid w:val="0076599A"/>
    <w:rsid w:val="00770607"/>
    <w:rsid w:val="00770C43"/>
    <w:rsid w:val="00784C0B"/>
    <w:rsid w:val="007A4723"/>
    <w:rsid w:val="007A4D6B"/>
    <w:rsid w:val="007A7EBE"/>
    <w:rsid w:val="007C28BF"/>
    <w:rsid w:val="007D5609"/>
    <w:rsid w:val="007F0FF0"/>
    <w:rsid w:val="007F5145"/>
    <w:rsid w:val="00800DEE"/>
    <w:rsid w:val="008026FF"/>
    <w:rsid w:val="00810932"/>
    <w:rsid w:val="00815C5A"/>
    <w:rsid w:val="00817CD2"/>
    <w:rsid w:val="0082076B"/>
    <w:rsid w:val="008214CF"/>
    <w:rsid w:val="00824F9F"/>
    <w:rsid w:val="008508DF"/>
    <w:rsid w:val="00851688"/>
    <w:rsid w:val="00853596"/>
    <w:rsid w:val="008550E6"/>
    <w:rsid w:val="00855652"/>
    <w:rsid w:val="00863A73"/>
    <w:rsid w:val="00864D19"/>
    <w:rsid w:val="00864EC9"/>
    <w:rsid w:val="0086663A"/>
    <w:rsid w:val="00872559"/>
    <w:rsid w:val="00883889"/>
    <w:rsid w:val="008861AE"/>
    <w:rsid w:val="008A5FFD"/>
    <w:rsid w:val="008B7C8E"/>
    <w:rsid w:val="008D4A04"/>
    <w:rsid w:val="008F01A1"/>
    <w:rsid w:val="008F3DD1"/>
    <w:rsid w:val="00905279"/>
    <w:rsid w:val="00910C95"/>
    <w:rsid w:val="009131CF"/>
    <w:rsid w:val="00925D13"/>
    <w:rsid w:val="00925DD0"/>
    <w:rsid w:val="009407A5"/>
    <w:rsid w:val="00947F65"/>
    <w:rsid w:val="00972A49"/>
    <w:rsid w:val="0097330C"/>
    <w:rsid w:val="0098622E"/>
    <w:rsid w:val="00986ACB"/>
    <w:rsid w:val="00986BCD"/>
    <w:rsid w:val="009872D2"/>
    <w:rsid w:val="009910AF"/>
    <w:rsid w:val="009A54A9"/>
    <w:rsid w:val="009B4C7A"/>
    <w:rsid w:val="009D1FD1"/>
    <w:rsid w:val="009E5070"/>
    <w:rsid w:val="009E7C53"/>
    <w:rsid w:val="009E7F93"/>
    <w:rsid w:val="009F5A69"/>
    <w:rsid w:val="00A03240"/>
    <w:rsid w:val="00A06F30"/>
    <w:rsid w:val="00A1535E"/>
    <w:rsid w:val="00A16794"/>
    <w:rsid w:val="00A248E8"/>
    <w:rsid w:val="00A26094"/>
    <w:rsid w:val="00A33182"/>
    <w:rsid w:val="00A34FBA"/>
    <w:rsid w:val="00A3523F"/>
    <w:rsid w:val="00A3679A"/>
    <w:rsid w:val="00A45144"/>
    <w:rsid w:val="00A47273"/>
    <w:rsid w:val="00A63BEA"/>
    <w:rsid w:val="00A759DF"/>
    <w:rsid w:val="00A812D1"/>
    <w:rsid w:val="00A85FAA"/>
    <w:rsid w:val="00A874E5"/>
    <w:rsid w:val="00A97A9C"/>
    <w:rsid w:val="00AA00E1"/>
    <w:rsid w:val="00AA1A95"/>
    <w:rsid w:val="00AA4A49"/>
    <w:rsid w:val="00AB120E"/>
    <w:rsid w:val="00AB2620"/>
    <w:rsid w:val="00AB2C89"/>
    <w:rsid w:val="00AB569E"/>
    <w:rsid w:val="00AD547D"/>
    <w:rsid w:val="00AD6972"/>
    <w:rsid w:val="00AE34E0"/>
    <w:rsid w:val="00AE564D"/>
    <w:rsid w:val="00AF242F"/>
    <w:rsid w:val="00AF3510"/>
    <w:rsid w:val="00AF5344"/>
    <w:rsid w:val="00AF5FDD"/>
    <w:rsid w:val="00AF66F9"/>
    <w:rsid w:val="00B06EB8"/>
    <w:rsid w:val="00B12254"/>
    <w:rsid w:val="00B17E02"/>
    <w:rsid w:val="00B25D6A"/>
    <w:rsid w:val="00B26CB2"/>
    <w:rsid w:val="00B32403"/>
    <w:rsid w:val="00B33728"/>
    <w:rsid w:val="00B34BE2"/>
    <w:rsid w:val="00B35440"/>
    <w:rsid w:val="00B403CA"/>
    <w:rsid w:val="00B531C6"/>
    <w:rsid w:val="00B537FB"/>
    <w:rsid w:val="00B538A4"/>
    <w:rsid w:val="00B57916"/>
    <w:rsid w:val="00B63A75"/>
    <w:rsid w:val="00B754A0"/>
    <w:rsid w:val="00B778E2"/>
    <w:rsid w:val="00B80A58"/>
    <w:rsid w:val="00B83621"/>
    <w:rsid w:val="00BA13FC"/>
    <w:rsid w:val="00BA7588"/>
    <w:rsid w:val="00BB1499"/>
    <w:rsid w:val="00BB39A4"/>
    <w:rsid w:val="00BC2CD0"/>
    <w:rsid w:val="00BC75DF"/>
    <w:rsid w:val="00BD5798"/>
    <w:rsid w:val="00BD630F"/>
    <w:rsid w:val="00BD6484"/>
    <w:rsid w:val="00BE1183"/>
    <w:rsid w:val="00BE2FFC"/>
    <w:rsid w:val="00C0119C"/>
    <w:rsid w:val="00C01591"/>
    <w:rsid w:val="00C370C3"/>
    <w:rsid w:val="00C44C8A"/>
    <w:rsid w:val="00C44D42"/>
    <w:rsid w:val="00C56D25"/>
    <w:rsid w:val="00C5719D"/>
    <w:rsid w:val="00C66BDF"/>
    <w:rsid w:val="00C6736B"/>
    <w:rsid w:val="00C73C7B"/>
    <w:rsid w:val="00C8008F"/>
    <w:rsid w:val="00C808A5"/>
    <w:rsid w:val="00C847CC"/>
    <w:rsid w:val="00C909EB"/>
    <w:rsid w:val="00CA0CCB"/>
    <w:rsid w:val="00CA6AE6"/>
    <w:rsid w:val="00CA6B7B"/>
    <w:rsid w:val="00CB02BA"/>
    <w:rsid w:val="00CB2C2B"/>
    <w:rsid w:val="00CB4597"/>
    <w:rsid w:val="00CB7144"/>
    <w:rsid w:val="00CD58C0"/>
    <w:rsid w:val="00CE1D93"/>
    <w:rsid w:val="00CE6FC5"/>
    <w:rsid w:val="00CF1887"/>
    <w:rsid w:val="00CF2DB5"/>
    <w:rsid w:val="00CF4177"/>
    <w:rsid w:val="00CF45ED"/>
    <w:rsid w:val="00CF6677"/>
    <w:rsid w:val="00D03AAD"/>
    <w:rsid w:val="00D1512C"/>
    <w:rsid w:val="00D156AD"/>
    <w:rsid w:val="00D16310"/>
    <w:rsid w:val="00D20058"/>
    <w:rsid w:val="00D24E5A"/>
    <w:rsid w:val="00D33C3E"/>
    <w:rsid w:val="00D345F1"/>
    <w:rsid w:val="00D35EEE"/>
    <w:rsid w:val="00D4647C"/>
    <w:rsid w:val="00D57E0B"/>
    <w:rsid w:val="00D57F31"/>
    <w:rsid w:val="00D60287"/>
    <w:rsid w:val="00D61364"/>
    <w:rsid w:val="00D66E11"/>
    <w:rsid w:val="00D67CD8"/>
    <w:rsid w:val="00D71234"/>
    <w:rsid w:val="00D736A7"/>
    <w:rsid w:val="00D73ECF"/>
    <w:rsid w:val="00D8196E"/>
    <w:rsid w:val="00D8409D"/>
    <w:rsid w:val="00D84657"/>
    <w:rsid w:val="00D84DF8"/>
    <w:rsid w:val="00D87654"/>
    <w:rsid w:val="00D94A05"/>
    <w:rsid w:val="00D95C8C"/>
    <w:rsid w:val="00DA2264"/>
    <w:rsid w:val="00DA7BD7"/>
    <w:rsid w:val="00DB0B3E"/>
    <w:rsid w:val="00DB680D"/>
    <w:rsid w:val="00DC10AE"/>
    <w:rsid w:val="00DC39A6"/>
    <w:rsid w:val="00DC6A94"/>
    <w:rsid w:val="00DD2499"/>
    <w:rsid w:val="00DD3684"/>
    <w:rsid w:val="00DE5E35"/>
    <w:rsid w:val="00DF32EB"/>
    <w:rsid w:val="00DF4BE6"/>
    <w:rsid w:val="00DF50D1"/>
    <w:rsid w:val="00DF6477"/>
    <w:rsid w:val="00E04FB7"/>
    <w:rsid w:val="00E060FC"/>
    <w:rsid w:val="00E27F60"/>
    <w:rsid w:val="00E32CDD"/>
    <w:rsid w:val="00E360F4"/>
    <w:rsid w:val="00E4133F"/>
    <w:rsid w:val="00E431CD"/>
    <w:rsid w:val="00E43304"/>
    <w:rsid w:val="00E503F2"/>
    <w:rsid w:val="00E506E9"/>
    <w:rsid w:val="00E51177"/>
    <w:rsid w:val="00E51390"/>
    <w:rsid w:val="00E56573"/>
    <w:rsid w:val="00E6276E"/>
    <w:rsid w:val="00E721CE"/>
    <w:rsid w:val="00E73E62"/>
    <w:rsid w:val="00E87164"/>
    <w:rsid w:val="00EA1137"/>
    <w:rsid w:val="00EA5AAB"/>
    <w:rsid w:val="00EB140A"/>
    <w:rsid w:val="00EB35EE"/>
    <w:rsid w:val="00EB73A2"/>
    <w:rsid w:val="00EC3358"/>
    <w:rsid w:val="00EE147F"/>
    <w:rsid w:val="00EE347E"/>
    <w:rsid w:val="00EE4763"/>
    <w:rsid w:val="00EF610E"/>
    <w:rsid w:val="00F0661F"/>
    <w:rsid w:val="00F11281"/>
    <w:rsid w:val="00F17EC0"/>
    <w:rsid w:val="00F25659"/>
    <w:rsid w:val="00F31B26"/>
    <w:rsid w:val="00F34BA6"/>
    <w:rsid w:val="00F401C7"/>
    <w:rsid w:val="00F40221"/>
    <w:rsid w:val="00F519AA"/>
    <w:rsid w:val="00F533B8"/>
    <w:rsid w:val="00F62D8D"/>
    <w:rsid w:val="00F66B04"/>
    <w:rsid w:val="00F70C6A"/>
    <w:rsid w:val="00F8053D"/>
    <w:rsid w:val="00F80618"/>
    <w:rsid w:val="00F90FD4"/>
    <w:rsid w:val="00F9219D"/>
    <w:rsid w:val="00FA6F27"/>
    <w:rsid w:val="00FE07BC"/>
    <w:rsid w:val="00FF15EC"/>
    <w:rsid w:val="00FF2455"/>
    <w:rsid w:val="00FF384F"/>
    <w:rsid w:val="00FF4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D87"/>
    <w:rPr>
      <w:sz w:val="24"/>
      <w:szCs w:val="24"/>
    </w:rPr>
  </w:style>
  <w:style w:type="paragraph" w:styleId="Heading2">
    <w:name w:val="heading 2"/>
    <w:basedOn w:val="Normal"/>
    <w:next w:val="Normal"/>
    <w:link w:val="Heading2Char"/>
    <w:qFormat/>
    <w:locked/>
    <w:rsid w:val="002E5DD1"/>
    <w:pPr>
      <w:keepNext/>
      <w:widowControl w:val="0"/>
      <w:outlineLvl w:val="1"/>
    </w:pPr>
    <w:rPr>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57093A"/>
    <w:rPr>
      <w:rFonts w:cs="Times New Roman"/>
    </w:rPr>
  </w:style>
  <w:style w:type="paragraph" w:styleId="Footer">
    <w:name w:val="footer"/>
    <w:basedOn w:val="Normal"/>
    <w:link w:val="FooterChar"/>
    <w:uiPriority w:val="99"/>
    <w:rsid w:val="0057093A"/>
    <w:pPr>
      <w:widowControl w:val="0"/>
      <w:tabs>
        <w:tab w:val="center" w:pos="4320"/>
        <w:tab w:val="right" w:pos="8640"/>
      </w:tabs>
    </w:pPr>
    <w:rPr>
      <w:rFonts w:ascii="Courier" w:hAnsi="Courier"/>
      <w:szCs w:val="20"/>
    </w:rPr>
  </w:style>
  <w:style w:type="character" w:customStyle="1" w:styleId="FooterChar">
    <w:name w:val="Footer Char"/>
    <w:basedOn w:val="DefaultParagraphFont"/>
    <w:link w:val="Footer"/>
    <w:uiPriority w:val="99"/>
    <w:semiHidden/>
    <w:rsid w:val="00D25E74"/>
    <w:rPr>
      <w:sz w:val="24"/>
      <w:szCs w:val="24"/>
    </w:rPr>
  </w:style>
  <w:style w:type="paragraph" w:styleId="FootnoteText">
    <w:name w:val="footnote text"/>
    <w:aliases w:val="Footnote Text Char Char,fn,Footnote Text Char Char Char Char Char Char Char Char Char Char Char Char Char Char Char Char Char,Footnote Text Char1 Char Char,Footnote Text Char Char Char Char,Style 15,Car,ALTS FOOTNOTE,ft,Char,Fußnote"/>
    <w:basedOn w:val="Normal"/>
    <w:link w:val="FootnoteTextChar"/>
    <w:uiPriority w:val="99"/>
    <w:rsid w:val="0057093A"/>
    <w:rPr>
      <w:sz w:val="20"/>
      <w:szCs w:val="20"/>
    </w:rPr>
  </w:style>
  <w:style w:type="character" w:customStyle="1" w:styleId="FootnoteTextChar">
    <w:name w:val="Footnote Text Char"/>
    <w:aliases w:val="Footnote Text Char Char Char,fn Char,Footnote Text Char Char Char Char Char Char Char Char Char Char Char Char Char Char Char Char Char Char,Footnote Text Char1 Char Char Char,Footnote Text Char Char Char Char Char,Style 15 Char"/>
    <w:basedOn w:val="DefaultParagraphFont"/>
    <w:link w:val="FootnoteText"/>
    <w:uiPriority w:val="99"/>
    <w:locked/>
    <w:rsid w:val="00180FD6"/>
    <w:rPr>
      <w:rFonts w:cs="Times New Roman"/>
      <w:lang w:val="en-US" w:eastAsia="en-US" w:bidi="ar-SA"/>
    </w:rPr>
  </w:style>
  <w:style w:type="character" w:styleId="FootnoteReference">
    <w:name w:val="footnote reference"/>
    <w:aliases w:val="12,fr,Style 19,Style 16,Nota,Footnote symbol,Footnote,Appel note de bas de p,BVI fnr,SUPERS,Footnote Reference Superscript,(Footnote Reference),Footnote reference number,note TESI,EN Footnote Reference,Voetnootverwijzing"/>
    <w:basedOn w:val="DefaultParagraphFont"/>
    <w:uiPriority w:val="99"/>
    <w:rsid w:val="0057093A"/>
    <w:rPr>
      <w:rFonts w:cs="Times New Roman"/>
      <w:vertAlign w:val="superscript"/>
    </w:rPr>
  </w:style>
  <w:style w:type="paragraph" w:styleId="Header">
    <w:name w:val="header"/>
    <w:basedOn w:val="Normal"/>
    <w:link w:val="HeaderChar"/>
    <w:uiPriority w:val="99"/>
    <w:rsid w:val="0057093A"/>
    <w:pPr>
      <w:tabs>
        <w:tab w:val="center" w:pos="4320"/>
        <w:tab w:val="right" w:pos="8640"/>
      </w:tabs>
    </w:pPr>
  </w:style>
  <w:style w:type="character" w:customStyle="1" w:styleId="HeaderChar">
    <w:name w:val="Header Char"/>
    <w:basedOn w:val="DefaultParagraphFont"/>
    <w:link w:val="Header"/>
    <w:uiPriority w:val="99"/>
    <w:semiHidden/>
    <w:rsid w:val="00D25E74"/>
    <w:rPr>
      <w:sz w:val="24"/>
      <w:szCs w:val="24"/>
    </w:rPr>
  </w:style>
  <w:style w:type="character" w:styleId="Hyperlink">
    <w:name w:val="Hyperlink"/>
    <w:basedOn w:val="DefaultParagraphFont"/>
    <w:uiPriority w:val="99"/>
    <w:rsid w:val="005A68E5"/>
    <w:rPr>
      <w:rFonts w:cs="Times New Roman"/>
      <w:color w:val="0000FF"/>
      <w:u w:val="single"/>
    </w:rPr>
  </w:style>
  <w:style w:type="character" w:styleId="FollowedHyperlink">
    <w:name w:val="FollowedHyperlink"/>
    <w:basedOn w:val="DefaultParagraphFont"/>
    <w:uiPriority w:val="99"/>
    <w:rsid w:val="005A68E5"/>
    <w:rPr>
      <w:rFonts w:cs="Times New Roman"/>
      <w:color w:val="000080"/>
      <w:u w:val="single"/>
    </w:rPr>
  </w:style>
  <w:style w:type="paragraph" w:styleId="BodyText">
    <w:name w:val="Body Text"/>
    <w:basedOn w:val="Normal"/>
    <w:link w:val="BodyTextChar"/>
    <w:rsid w:val="005E1469"/>
    <w:pPr>
      <w:spacing w:after="120"/>
    </w:pPr>
  </w:style>
  <w:style w:type="character" w:customStyle="1" w:styleId="BodyTextChar">
    <w:name w:val="Body Text Char"/>
    <w:basedOn w:val="DefaultParagraphFont"/>
    <w:link w:val="BodyText"/>
    <w:uiPriority w:val="99"/>
    <w:semiHidden/>
    <w:rsid w:val="00D25E74"/>
    <w:rPr>
      <w:sz w:val="24"/>
      <w:szCs w:val="24"/>
    </w:rPr>
  </w:style>
  <w:style w:type="paragraph" w:styleId="Title">
    <w:name w:val="Title"/>
    <w:basedOn w:val="Normal"/>
    <w:link w:val="TitleChar"/>
    <w:uiPriority w:val="99"/>
    <w:qFormat/>
    <w:rsid w:val="003B1304"/>
    <w:pPr>
      <w:jc w:val="center"/>
    </w:pPr>
    <w:rPr>
      <w:rFonts w:ascii="Arial Narrow" w:hAnsi="Arial Narrow"/>
      <w:szCs w:val="20"/>
    </w:rPr>
  </w:style>
  <w:style w:type="character" w:customStyle="1" w:styleId="TitleChar">
    <w:name w:val="Title Char"/>
    <w:basedOn w:val="DefaultParagraphFont"/>
    <w:link w:val="Title"/>
    <w:uiPriority w:val="10"/>
    <w:rsid w:val="00D25E74"/>
    <w:rPr>
      <w:rFonts w:asciiTheme="majorHAnsi" w:eastAsiaTheme="majorEastAsia" w:hAnsiTheme="majorHAnsi" w:cstheme="majorBidi"/>
      <w:b/>
      <w:bCs/>
      <w:kern w:val="28"/>
      <w:sz w:val="32"/>
      <w:szCs w:val="32"/>
    </w:rPr>
  </w:style>
  <w:style w:type="paragraph" w:styleId="BalloonText">
    <w:name w:val="Balloon Text"/>
    <w:basedOn w:val="Normal"/>
    <w:link w:val="BalloonTextChar"/>
    <w:uiPriority w:val="99"/>
    <w:semiHidden/>
    <w:rsid w:val="00E04FB7"/>
    <w:rPr>
      <w:rFonts w:ascii="Tahoma" w:hAnsi="Tahoma" w:cs="Tahoma"/>
      <w:sz w:val="16"/>
      <w:szCs w:val="16"/>
    </w:rPr>
  </w:style>
  <w:style w:type="character" w:customStyle="1" w:styleId="BalloonTextChar">
    <w:name w:val="Balloon Text Char"/>
    <w:basedOn w:val="DefaultParagraphFont"/>
    <w:link w:val="BalloonText"/>
    <w:uiPriority w:val="99"/>
    <w:semiHidden/>
    <w:rsid w:val="00D25E74"/>
    <w:rPr>
      <w:sz w:val="0"/>
      <w:szCs w:val="0"/>
    </w:rPr>
  </w:style>
  <w:style w:type="character" w:styleId="CommentReference">
    <w:name w:val="annotation reference"/>
    <w:basedOn w:val="DefaultParagraphFont"/>
    <w:uiPriority w:val="99"/>
    <w:semiHidden/>
    <w:rsid w:val="00487CD9"/>
    <w:rPr>
      <w:rFonts w:cs="Times New Roman"/>
      <w:sz w:val="16"/>
      <w:szCs w:val="16"/>
    </w:rPr>
  </w:style>
  <w:style w:type="paragraph" w:styleId="CommentText">
    <w:name w:val="annotation text"/>
    <w:basedOn w:val="Normal"/>
    <w:link w:val="CommentTextChar"/>
    <w:uiPriority w:val="99"/>
    <w:rsid w:val="00487CD9"/>
    <w:rPr>
      <w:sz w:val="20"/>
      <w:szCs w:val="20"/>
    </w:rPr>
  </w:style>
  <w:style w:type="character" w:customStyle="1" w:styleId="CommentTextChar">
    <w:name w:val="Comment Text Char"/>
    <w:basedOn w:val="DefaultParagraphFont"/>
    <w:link w:val="CommentText"/>
    <w:uiPriority w:val="99"/>
    <w:rsid w:val="00D25E74"/>
    <w:rPr>
      <w:sz w:val="20"/>
      <w:szCs w:val="20"/>
    </w:rPr>
  </w:style>
  <w:style w:type="paragraph" w:styleId="CommentSubject">
    <w:name w:val="annotation subject"/>
    <w:basedOn w:val="CommentText"/>
    <w:next w:val="CommentText"/>
    <w:link w:val="CommentSubjectChar"/>
    <w:uiPriority w:val="99"/>
    <w:semiHidden/>
    <w:rsid w:val="00487CD9"/>
    <w:rPr>
      <w:b/>
      <w:bCs/>
    </w:rPr>
  </w:style>
  <w:style w:type="character" w:customStyle="1" w:styleId="CommentSubjectChar">
    <w:name w:val="Comment Subject Char"/>
    <w:basedOn w:val="CommentTextChar"/>
    <w:link w:val="CommentSubject"/>
    <w:uiPriority w:val="99"/>
    <w:semiHidden/>
    <w:rsid w:val="00D25E74"/>
    <w:rPr>
      <w:b/>
      <w:bCs/>
      <w:sz w:val="20"/>
      <w:szCs w:val="20"/>
    </w:rPr>
  </w:style>
  <w:style w:type="paragraph" w:customStyle="1" w:styleId="Preformatted">
    <w:name w:val="Preformatted"/>
    <w:basedOn w:val="Normal"/>
    <w:rsid w:val="0037145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ListParagraph">
    <w:name w:val="List Paragraph"/>
    <w:aliases w:val="Paragraphe EI,Paragraphe de liste1,EC,Paragraphe de liste2,Colorful List Accent 1,Colorful List - Accent 11"/>
    <w:basedOn w:val="Normal"/>
    <w:link w:val="ListParagraphChar"/>
    <w:uiPriority w:val="34"/>
    <w:qFormat/>
    <w:rsid w:val="00770C43"/>
    <w:pPr>
      <w:ind w:left="720"/>
      <w:contextualSpacing/>
    </w:pPr>
  </w:style>
  <w:style w:type="character" w:customStyle="1" w:styleId="Heading2Char">
    <w:name w:val="Heading 2 Char"/>
    <w:basedOn w:val="DefaultParagraphFont"/>
    <w:link w:val="Heading2"/>
    <w:rsid w:val="002E5DD1"/>
    <w:rPr>
      <w:b/>
      <w:snapToGrid w:val="0"/>
      <w:sz w:val="24"/>
      <w:szCs w:val="20"/>
    </w:rPr>
  </w:style>
  <w:style w:type="character" w:customStyle="1" w:styleId="FootnoteTextChar1">
    <w:name w:val="Footnote Text Char1"/>
    <w:semiHidden/>
    <w:rsid w:val="002E5DD1"/>
    <w:rPr>
      <w:lang w:val="en-US" w:eastAsia="en-US" w:bidi="ar-SA"/>
    </w:rPr>
  </w:style>
  <w:style w:type="paragraph" w:styleId="HTMLPreformatted">
    <w:name w:val="HTML Preformatted"/>
    <w:basedOn w:val="Normal"/>
    <w:link w:val="HTMLPreformattedChar"/>
    <w:uiPriority w:val="99"/>
    <w:unhideWhenUsed/>
    <w:rsid w:val="00AB56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B569E"/>
    <w:rPr>
      <w:rFonts w:ascii="Courier New" w:hAnsi="Courier New" w:cs="Courier New"/>
      <w:sz w:val="20"/>
      <w:szCs w:val="20"/>
    </w:rPr>
  </w:style>
  <w:style w:type="paragraph" w:styleId="NoSpacing">
    <w:name w:val="No Spacing"/>
    <w:uiPriority w:val="99"/>
    <w:qFormat/>
    <w:rsid w:val="002A25A0"/>
    <w:rPr>
      <w:rFonts w:ascii="Calibri" w:eastAsia="Calibri" w:hAnsi="Calibri"/>
    </w:rPr>
  </w:style>
  <w:style w:type="paragraph" w:customStyle="1" w:styleId="Default">
    <w:name w:val="Default"/>
    <w:basedOn w:val="Normal"/>
    <w:uiPriority w:val="99"/>
    <w:rsid w:val="00D156AD"/>
    <w:pPr>
      <w:autoSpaceDE w:val="0"/>
      <w:autoSpaceDN w:val="0"/>
    </w:pPr>
    <w:rPr>
      <w:rFonts w:eastAsiaTheme="minorHAnsi"/>
      <w:color w:val="000000"/>
    </w:rPr>
  </w:style>
  <w:style w:type="character" w:customStyle="1" w:styleId="ListParagraphChar">
    <w:name w:val="List Paragraph Char"/>
    <w:aliases w:val="Paragraphe EI Char,Paragraphe de liste1 Char,EC Char,Paragraphe de liste2 Char,Colorful List Accent 1 Char,Colorful List - Accent 11 Char"/>
    <w:link w:val="ListParagraph"/>
    <w:uiPriority w:val="34"/>
    <w:locked/>
    <w:rsid w:val="00B06EB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D87"/>
    <w:rPr>
      <w:sz w:val="24"/>
      <w:szCs w:val="24"/>
    </w:rPr>
  </w:style>
  <w:style w:type="paragraph" w:styleId="Heading2">
    <w:name w:val="heading 2"/>
    <w:basedOn w:val="Normal"/>
    <w:next w:val="Normal"/>
    <w:link w:val="Heading2Char"/>
    <w:qFormat/>
    <w:locked/>
    <w:rsid w:val="002E5DD1"/>
    <w:pPr>
      <w:keepNext/>
      <w:widowControl w:val="0"/>
      <w:outlineLvl w:val="1"/>
    </w:pPr>
    <w:rPr>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57093A"/>
    <w:rPr>
      <w:rFonts w:cs="Times New Roman"/>
    </w:rPr>
  </w:style>
  <w:style w:type="paragraph" w:styleId="Footer">
    <w:name w:val="footer"/>
    <w:basedOn w:val="Normal"/>
    <w:link w:val="FooterChar"/>
    <w:uiPriority w:val="99"/>
    <w:rsid w:val="0057093A"/>
    <w:pPr>
      <w:widowControl w:val="0"/>
      <w:tabs>
        <w:tab w:val="center" w:pos="4320"/>
        <w:tab w:val="right" w:pos="8640"/>
      </w:tabs>
    </w:pPr>
    <w:rPr>
      <w:rFonts w:ascii="Courier" w:hAnsi="Courier"/>
      <w:szCs w:val="20"/>
    </w:rPr>
  </w:style>
  <w:style w:type="character" w:customStyle="1" w:styleId="FooterChar">
    <w:name w:val="Footer Char"/>
    <w:basedOn w:val="DefaultParagraphFont"/>
    <w:link w:val="Footer"/>
    <w:uiPriority w:val="99"/>
    <w:semiHidden/>
    <w:rsid w:val="00D25E74"/>
    <w:rPr>
      <w:sz w:val="24"/>
      <w:szCs w:val="24"/>
    </w:rPr>
  </w:style>
  <w:style w:type="paragraph" w:styleId="FootnoteText">
    <w:name w:val="footnote text"/>
    <w:aliases w:val="Footnote Text Char Char,fn,Footnote Text Char Char Char Char Char Char Char Char Char Char Char Char Char Char Char Char Char,Footnote Text Char1 Char Char,Footnote Text Char Char Char Char,Style 15,Car,ALTS FOOTNOTE,ft,Char,Fußnote"/>
    <w:basedOn w:val="Normal"/>
    <w:link w:val="FootnoteTextChar"/>
    <w:uiPriority w:val="99"/>
    <w:rsid w:val="0057093A"/>
    <w:rPr>
      <w:sz w:val="20"/>
      <w:szCs w:val="20"/>
    </w:rPr>
  </w:style>
  <w:style w:type="character" w:customStyle="1" w:styleId="FootnoteTextChar">
    <w:name w:val="Footnote Text Char"/>
    <w:aliases w:val="Footnote Text Char Char Char,fn Char,Footnote Text Char Char Char Char Char Char Char Char Char Char Char Char Char Char Char Char Char Char,Footnote Text Char1 Char Char Char,Footnote Text Char Char Char Char Char,Style 15 Char"/>
    <w:basedOn w:val="DefaultParagraphFont"/>
    <w:link w:val="FootnoteText"/>
    <w:uiPriority w:val="99"/>
    <w:locked/>
    <w:rsid w:val="00180FD6"/>
    <w:rPr>
      <w:rFonts w:cs="Times New Roman"/>
      <w:lang w:val="en-US" w:eastAsia="en-US" w:bidi="ar-SA"/>
    </w:rPr>
  </w:style>
  <w:style w:type="character" w:styleId="FootnoteReference">
    <w:name w:val="footnote reference"/>
    <w:aliases w:val="12,fr,Style 19,Style 16,Nota,Footnote symbol,Footnote,Appel note de bas de p,BVI fnr,SUPERS,Footnote Reference Superscript,(Footnote Reference),Footnote reference number,note TESI,EN Footnote Reference,Voetnootverwijzing"/>
    <w:basedOn w:val="DefaultParagraphFont"/>
    <w:uiPriority w:val="99"/>
    <w:rsid w:val="0057093A"/>
    <w:rPr>
      <w:rFonts w:cs="Times New Roman"/>
      <w:vertAlign w:val="superscript"/>
    </w:rPr>
  </w:style>
  <w:style w:type="paragraph" w:styleId="Header">
    <w:name w:val="header"/>
    <w:basedOn w:val="Normal"/>
    <w:link w:val="HeaderChar"/>
    <w:uiPriority w:val="99"/>
    <w:rsid w:val="0057093A"/>
    <w:pPr>
      <w:tabs>
        <w:tab w:val="center" w:pos="4320"/>
        <w:tab w:val="right" w:pos="8640"/>
      </w:tabs>
    </w:pPr>
  </w:style>
  <w:style w:type="character" w:customStyle="1" w:styleId="HeaderChar">
    <w:name w:val="Header Char"/>
    <w:basedOn w:val="DefaultParagraphFont"/>
    <w:link w:val="Header"/>
    <w:uiPriority w:val="99"/>
    <w:semiHidden/>
    <w:rsid w:val="00D25E74"/>
    <w:rPr>
      <w:sz w:val="24"/>
      <w:szCs w:val="24"/>
    </w:rPr>
  </w:style>
  <w:style w:type="character" w:styleId="Hyperlink">
    <w:name w:val="Hyperlink"/>
    <w:basedOn w:val="DefaultParagraphFont"/>
    <w:uiPriority w:val="99"/>
    <w:rsid w:val="005A68E5"/>
    <w:rPr>
      <w:rFonts w:cs="Times New Roman"/>
      <w:color w:val="0000FF"/>
      <w:u w:val="single"/>
    </w:rPr>
  </w:style>
  <w:style w:type="character" w:styleId="FollowedHyperlink">
    <w:name w:val="FollowedHyperlink"/>
    <w:basedOn w:val="DefaultParagraphFont"/>
    <w:uiPriority w:val="99"/>
    <w:rsid w:val="005A68E5"/>
    <w:rPr>
      <w:rFonts w:cs="Times New Roman"/>
      <w:color w:val="000080"/>
      <w:u w:val="single"/>
    </w:rPr>
  </w:style>
  <w:style w:type="paragraph" w:styleId="BodyText">
    <w:name w:val="Body Text"/>
    <w:basedOn w:val="Normal"/>
    <w:link w:val="BodyTextChar"/>
    <w:rsid w:val="005E1469"/>
    <w:pPr>
      <w:spacing w:after="120"/>
    </w:pPr>
  </w:style>
  <w:style w:type="character" w:customStyle="1" w:styleId="BodyTextChar">
    <w:name w:val="Body Text Char"/>
    <w:basedOn w:val="DefaultParagraphFont"/>
    <w:link w:val="BodyText"/>
    <w:uiPriority w:val="99"/>
    <w:semiHidden/>
    <w:rsid w:val="00D25E74"/>
    <w:rPr>
      <w:sz w:val="24"/>
      <w:szCs w:val="24"/>
    </w:rPr>
  </w:style>
  <w:style w:type="paragraph" w:styleId="Title">
    <w:name w:val="Title"/>
    <w:basedOn w:val="Normal"/>
    <w:link w:val="TitleChar"/>
    <w:uiPriority w:val="99"/>
    <w:qFormat/>
    <w:rsid w:val="003B1304"/>
    <w:pPr>
      <w:jc w:val="center"/>
    </w:pPr>
    <w:rPr>
      <w:rFonts w:ascii="Arial Narrow" w:hAnsi="Arial Narrow"/>
      <w:szCs w:val="20"/>
    </w:rPr>
  </w:style>
  <w:style w:type="character" w:customStyle="1" w:styleId="TitleChar">
    <w:name w:val="Title Char"/>
    <w:basedOn w:val="DefaultParagraphFont"/>
    <w:link w:val="Title"/>
    <w:uiPriority w:val="10"/>
    <w:rsid w:val="00D25E74"/>
    <w:rPr>
      <w:rFonts w:asciiTheme="majorHAnsi" w:eastAsiaTheme="majorEastAsia" w:hAnsiTheme="majorHAnsi" w:cstheme="majorBidi"/>
      <w:b/>
      <w:bCs/>
      <w:kern w:val="28"/>
      <w:sz w:val="32"/>
      <w:szCs w:val="32"/>
    </w:rPr>
  </w:style>
  <w:style w:type="paragraph" w:styleId="BalloonText">
    <w:name w:val="Balloon Text"/>
    <w:basedOn w:val="Normal"/>
    <w:link w:val="BalloonTextChar"/>
    <w:uiPriority w:val="99"/>
    <w:semiHidden/>
    <w:rsid w:val="00E04FB7"/>
    <w:rPr>
      <w:rFonts w:ascii="Tahoma" w:hAnsi="Tahoma" w:cs="Tahoma"/>
      <w:sz w:val="16"/>
      <w:szCs w:val="16"/>
    </w:rPr>
  </w:style>
  <w:style w:type="character" w:customStyle="1" w:styleId="BalloonTextChar">
    <w:name w:val="Balloon Text Char"/>
    <w:basedOn w:val="DefaultParagraphFont"/>
    <w:link w:val="BalloonText"/>
    <w:uiPriority w:val="99"/>
    <w:semiHidden/>
    <w:rsid w:val="00D25E74"/>
    <w:rPr>
      <w:sz w:val="0"/>
      <w:szCs w:val="0"/>
    </w:rPr>
  </w:style>
  <w:style w:type="character" w:styleId="CommentReference">
    <w:name w:val="annotation reference"/>
    <w:basedOn w:val="DefaultParagraphFont"/>
    <w:uiPriority w:val="99"/>
    <w:semiHidden/>
    <w:rsid w:val="00487CD9"/>
    <w:rPr>
      <w:rFonts w:cs="Times New Roman"/>
      <w:sz w:val="16"/>
      <w:szCs w:val="16"/>
    </w:rPr>
  </w:style>
  <w:style w:type="paragraph" w:styleId="CommentText">
    <w:name w:val="annotation text"/>
    <w:basedOn w:val="Normal"/>
    <w:link w:val="CommentTextChar"/>
    <w:uiPriority w:val="99"/>
    <w:rsid w:val="00487CD9"/>
    <w:rPr>
      <w:sz w:val="20"/>
      <w:szCs w:val="20"/>
    </w:rPr>
  </w:style>
  <w:style w:type="character" w:customStyle="1" w:styleId="CommentTextChar">
    <w:name w:val="Comment Text Char"/>
    <w:basedOn w:val="DefaultParagraphFont"/>
    <w:link w:val="CommentText"/>
    <w:uiPriority w:val="99"/>
    <w:rsid w:val="00D25E74"/>
    <w:rPr>
      <w:sz w:val="20"/>
      <w:szCs w:val="20"/>
    </w:rPr>
  </w:style>
  <w:style w:type="paragraph" w:styleId="CommentSubject">
    <w:name w:val="annotation subject"/>
    <w:basedOn w:val="CommentText"/>
    <w:next w:val="CommentText"/>
    <w:link w:val="CommentSubjectChar"/>
    <w:uiPriority w:val="99"/>
    <w:semiHidden/>
    <w:rsid w:val="00487CD9"/>
    <w:rPr>
      <w:b/>
      <w:bCs/>
    </w:rPr>
  </w:style>
  <w:style w:type="character" w:customStyle="1" w:styleId="CommentSubjectChar">
    <w:name w:val="Comment Subject Char"/>
    <w:basedOn w:val="CommentTextChar"/>
    <w:link w:val="CommentSubject"/>
    <w:uiPriority w:val="99"/>
    <w:semiHidden/>
    <w:rsid w:val="00D25E74"/>
    <w:rPr>
      <w:b/>
      <w:bCs/>
      <w:sz w:val="20"/>
      <w:szCs w:val="20"/>
    </w:rPr>
  </w:style>
  <w:style w:type="paragraph" w:customStyle="1" w:styleId="Preformatted">
    <w:name w:val="Preformatted"/>
    <w:basedOn w:val="Normal"/>
    <w:rsid w:val="0037145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ListParagraph">
    <w:name w:val="List Paragraph"/>
    <w:aliases w:val="Paragraphe EI,Paragraphe de liste1,EC,Paragraphe de liste2,Colorful List Accent 1,Colorful List - Accent 11"/>
    <w:basedOn w:val="Normal"/>
    <w:link w:val="ListParagraphChar"/>
    <w:uiPriority w:val="34"/>
    <w:qFormat/>
    <w:rsid w:val="00770C43"/>
    <w:pPr>
      <w:ind w:left="720"/>
      <w:contextualSpacing/>
    </w:pPr>
  </w:style>
  <w:style w:type="character" w:customStyle="1" w:styleId="Heading2Char">
    <w:name w:val="Heading 2 Char"/>
    <w:basedOn w:val="DefaultParagraphFont"/>
    <w:link w:val="Heading2"/>
    <w:rsid w:val="002E5DD1"/>
    <w:rPr>
      <w:b/>
      <w:snapToGrid w:val="0"/>
      <w:sz w:val="24"/>
      <w:szCs w:val="20"/>
    </w:rPr>
  </w:style>
  <w:style w:type="character" w:customStyle="1" w:styleId="FootnoteTextChar1">
    <w:name w:val="Footnote Text Char1"/>
    <w:semiHidden/>
    <w:rsid w:val="002E5DD1"/>
    <w:rPr>
      <w:lang w:val="en-US" w:eastAsia="en-US" w:bidi="ar-SA"/>
    </w:rPr>
  </w:style>
  <w:style w:type="paragraph" w:styleId="HTMLPreformatted">
    <w:name w:val="HTML Preformatted"/>
    <w:basedOn w:val="Normal"/>
    <w:link w:val="HTMLPreformattedChar"/>
    <w:uiPriority w:val="99"/>
    <w:unhideWhenUsed/>
    <w:rsid w:val="00AB56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B569E"/>
    <w:rPr>
      <w:rFonts w:ascii="Courier New" w:hAnsi="Courier New" w:cs="Courier New"/>
      <w:sz w:val="20"/>
      <w:szCs w:val="20"/>
    </w:rPr>
  </w:style>
  <w:style w:type="paragraph" w:styleId="NoSpacing">
    <w:name w:val="No Spacing"/>
    <w:uiPriority w:val="99"/>
    <w:qFormat/>
    <w:rsid w:val="002A25A0"/>
    <w:rPr>
      <w:rFonts w:ascii="Calibri" w:eastAsia="Calibri" w:hAnsi="Calibri"/>
    </w:rPr>
  </w:style>
  <w:style w:type="paragraph" w:customStyle="1" w:styleId="Default">
    <w:name w:val="Default"/>
    <w:basedOn w:val="Normal"/>
    <w:uiPriority w:val="99"/>
    <w:rsid w:val="00D156AD"/>
    <w:pPr>
      <w:autoSpaceDE w:val="0"/>
      <w:autoSpaceDN w:val="0"/>
    </w:pPr>
    <w:rPr>
      <w:rFonts w:eastAsiaTheme="minorHAnsi"/>
      <w:color w:val="000000"/>
    </w:rPr>
  </w:style>
  <w:style w:type="character" w:customStyle="1" w:styleId="ListParagraphChar">
    <w:name w:val="List Paragraph Char"/>
    <w:aliases w:val="Paragraphe EI Char,Paragraphe de liste1 Char,EC Char,Paragraphe de liste2 Char,Colorful List Accent 1 Char,Colorful List - Accent 11 Char"/>
    <w:link w:val="ListParagraph"/>
    <w:uiPriority w:val="34"/>
    <w:locked/>
    <w:rsid w:val="00B06E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246459">
      <w:bodyDiv w:val="1"/>
      <w:marLeft w:val="0"/>
      <w:marRight w:val="0"/>
      <w:marTop w:val="0"/>
      <w:marBottom w:val="0"/>
      <w:divBdr>
        <w:top w:val="none" w:sz="0" w:space="0" w:color="auto"/>
        <w:left w:val="none" w:sz="0" w:space="0" w:color="auto"/>
        <w:bottom w:val="none" w:sz="0" w:space="0" w:color="auto"/>
        <w:right w:val="none" w:sz="0" w:space="0" w:color="auto"/>
      </w:divBdr>
    </w:div>
    <w:div w:id="842815872">
      <w:bodyDiv w:val="1"/>
      <w:marLeft w:val="0"/>
      <w:marRight w:val="0"/>
      <w:marTop w:val="0"/>
      <w:marBottom w:val="0"/>
      <w:divBdr>
        <w:top w:val="none" w:sz="0" w:space="0" w:color="auto"/>
        <w:left w:val="none" w:sz="0" w:space="0" w:color="auto"/>
        <w:bottom w:val="none" w:sz="0" w:space="0" w:color="auto"/>
        <w:right w:val="none" w:sz="0" w:space="0" w:color="auto"/>
      </w:divBdr>
    </w:div>
    <w:div w:id="1129010176">
      <w:bodyDiv w:val="1"/>
      <w:marLeft w:val="0"/>
      <w:marRight w:val="0"/>
      <w:marTop w:val="0"/>
      <w:marBottom w:val="0"/>
      <w:divBdr>
        <w:top w:val="none" w:sz="0" w:space="0" w:color="auto"/>
        <w:left w:val="none" w:sz="0" w:space="0" w:color="auto"/>
        <w:bottom w:val="none" w:sz="0" w:space="0" w:color="auto"/>
        <w:right w:val="none" w:sz="0" w:space="0" w:color="auto"/>
      </w:divBdr>
    </w:div>
    <w:div w:id="1272276360">
      <w:bodyDiv w:val="1"/>
      <w:marLeft w:val="0"/>
      <w:marRight w:val="0"/>
      <w:marTop w:val="0"/>
      <w:marBottom w:val="0"/>
      <w:divBdr>
        <w:top w:val="none" w:sz="0" w:space="0" w:color="auto"/>
        <w:left w:val="none" w:sz="0" w:space="0" w:color="auto"/>
        <w:bottom w:val="none" w:sz="0" w:space="0" w:color="auto"/>
        <w:right w:val="none" w:sz="0" w:space="0" w:color="auto"/>
      </w:divBdr>
    </w:div>
    <w:div w:id="1311054714">
      <w:bodyDiv w:val="1"/>
      <w:marLeft w:val="0"/>
      <w:marRight w:val="0"/>
      <w:marTop w:val="0"/>
      <w:marBottom w:val="0"/>
      <w:divBdr>
        <w:top w:val="none" w:sz="0" w:space="0" w:color="auto"/>
        <w:left w:val="none" w:sz="0" w:space="0" w:color="auto"/>
        <w:bottom w:val="none" w:sz="0" w:space="0" w:color="auto"/>
        <w:right w:val="none" w:sz="0" w:space="0" w:color="auto"/>
      </w:divBdr>
    </w:div>
    <w:div w:id="1406561540">
      <w:bodyDiv w:val="1"/>
      <w:marLeft w:val="0"/>
      <w:marRight w:val="0"/>
      <w:marTop w:val="0"/>
      <w:marBottom w:val="0"/>
      <w:divBdr>
        <w:top w:val="none" w:sz="0" w:space="0" w:color="auto"/>
        <w:left w:val="none" w:sz="0" w:space="0" w:color="auto"/>
        <w:bottom w:val="none" w:sz="0" w:space="0" w:color="auto"/>
        <w:right w:val="none" w:sz="0" w:space="0" w:color="auto"/>
      </w:divBdr>
    </w:div>
    <w:div w:id="1512257172">
      <w:bodyDiv w:val="1"/>
      <w:marLeft w:val="0"/>
      <w:marRight w:val="0"/>
      <w:marTop w:val="0"/>
      <w:marBottom w:val="0"/>
      <w:divBdr>
        <w:top w:val="none" w:sz="0" w:space="0" w:color="auto"/>
        <w:left w:val="none" w:sz="0" w:space="0" w:color="auto"/>
        <w:bottom w:val="none" w:sz="0" w:space="0" w:color="auto"/>
        <w:right w:val="none" w:sz="0" w:space="0" w:color="auto"/>
      </w:divBdr>
    </w:div>
    <w:div w:id="1619992331">
      <w:bodyDiv w:val="1"/>
      <w:marLeft w:val="0"/>
      <w:marRight w:val="0"/>
      <w:marTop w:val="0"/>
      <w:marBottom w:val="0"/>
      <w:divBdr>
        <w:top w:val="none" w:sz="0" w:space="0" w:color="auto"/>
        <w:left w:val="none" w:sz="0" w:space="0" w:color="auto"/>
        <w:bottom w:val="none" w:sz="0" w:space="0" w:color="auto"/>
        <w:right w:val="none" w:sz="0" w:space="0" w:color="auto"/>
      </w:divBdr>
    </w:div>
    <w:div w:id="1667973698">
      <w:bodyDiv w:val="1"/>
      <w:marLeft w:val="0"/>
      <w:marRight w:val="0"/>
      <w:marTop w:val="0"/>
      <w:marBottom w:val="0"/>
      <w:divBdr>
        <w:top w:val="none" w:sz="0" w:space="0" w:color="auto"/>
        <w:left w:val="none" w:sz="0" w:space="0" w:color="auto"/>
        <w:bottom w:val="none" w:sz="0" w:space="0" w:color="auto"/>
        <w:right w:val="none" w:sz="0" w:space="0" w:color="auto"/>
      </w:divBdr>
    </w:div>
    <w:div w:id="1696924301">
      <w:marLeft w:val="0"/>
      <w:marRight w:val="0"/>
      <w:marTop w:val="0"/>
      <w:marBottom w:val="0"/>
      <w:divBdr>
        <w:top w:val="none" w:sz="0" w:space="0" w:color="auto"/>
        <w:left w:val="none" w:sz="0" w:space="0" w:color="auto"/>
        <w:bottom w:val="none" w:sz="0" w:space="0" w:color="auto"/>
        <w:right w:val="none" w:sz="0" w:space="0" w:color="auto"/>
      </w:divBdr>
    </w:div>
    <w:div w:id="1696924302">
      <w:marLeft w:val="0"/>
      <w:marRight w:val="0"/>
      <w:marTop w:val="0"/>
      <w:marBottom w:val="0"/>
      <w:divBdr>
        <w:top w:val="none" w:sz="0" w:space="0" w:color="auto"/>
        <w:left w:val="none" w:sz="0" w:space="0" w:color="auto"/>
        <w:bottom w:val="none" w:sz="0" w:space="0" w:color="auto"/>
        <w:right w:val="none" w:sz="0" w:space="0" w:color="auto"/>
      </w:divBdr>
    </w:div>
    <w:div w:id="1803962443">
      <w:bodyDiv w:val="1"/>
      <w:marLeft w:val="0"/>
      <w:marRight w:val="0"/>
      <w:marTop w:val="0"/>
      <w:marBottom w:val="0"/>
      <w:divBdr>
        <w:top w:val="none" w:sz="0" w:space="0" w:color="auto"/>
        <w:left w:val="none" w:sz="0" w:space="0" w:color="auto"/>
        <w:bottom w:val="none" w:sz="0" w:space="0" w:color="auto"/>
        <w:right w:val="none" w:sz="0" w:space="0" w:color="auto"/>
      </w:divBdr>
    </w:div>
    <w:div w:id="1858037294">
      <w:bodyDiv w:val="1"/>
      <w:marLeft w:val="0"/>
      <w:marRight w:val="0"/>
      <w:marTop w:val="0"/>
      <w:marBottom w:val="0"/>
      <w:divBdr>
        <w:top w:val="none" w:sz="0" w:space="0" w:color="auto"/>
        <w:left w:val="none" w:sz="0" w:space="0" w:color="auto"/>
        <w:bottom w:val="none" w:sz="0" w:space="0" w:color="auto"/>
        <w:right w:val="none" w:sz="0" w:space="0" w:color="auto"/>
      </w:divBdr>
    </w:div>
    <w:div w:id="214272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3CC19-1613-49D3-8205-261369B73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2369</Words>
  <Characters>13508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Federal Deposit Insurance Corporation</Company>
  <LinksUpToDate>false</LinksUpToDate>
  <CharactersWithSpaces>15846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rstorch</dc:creator>
  <cp:lastModifiedBy>SYSTEM</cp:lastModifiedBy>
  <cp:revision>2</cp:revision>
  <cp:lastPrinted>2017-12-18T16:46:00Z</cp:lastPrinted>
  <dcterms:created xsi:type="dcterms:W3CDTF">2018-07-27T14:27:00Z</dcterms:created>
  <dcterms:modified xsi:type="dcterms:W3CDTF">2018-07-27T14:27:00Z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