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E0" w:rsidRDefault="004D6EA0" w:rsidP="004D6EA0">
      <w:pPr>
        <w:widowControl/>
        <w:tabs>
          <w:tab w:val="left" w:pos="-1440"/>
          <w:tab w:val="left" w:pos="-720"/>
          <w:tab w:val="left" w:pos="0"/>
          <w:tab w:val="left" w:pos="432"/>
          <w:tab w:val="left" w:pos="7190"/>
        </w:tabs>
        <w:suppressAutoHyphens/>
        <w:rPr>
          <w:rFonts w:ascii="Times New Roman" w:hAnsi="Times New Roman"/>
          <w:szCs w:val="24"/>
        </w:rPr>
      </w:pPr>
      <w:bookmarkStart w:id="0" w:name="_GoBack"/>
      <w:bookmarkEnd w:id="0"/>
      <w:r>
        <w:rPr>
          <w:rFonts w:ascii="Times New Roman" w:hAnsi="Times New Roman"/>
          <w:szCs w:val="24"/>
        </w:rPr>
        <w:tab/>
      </w:r>
      <w:r>
        <w:rPr>
          <w:rFonts w:ascii="Times New Roman" w:hAnsi="Times New Roman"/>
          <w:szCs w:val="24"/>
        </w:rPr>
        <w:tab/>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Advanced Capital Adequacy Framework Regulatory Reporting Requirements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FD0040" w:rsidRPr="00FD0040" w:rsidRDefault="00FD0040" w:rsidP="00FD0040">
      <w:pPr>
        <w:widowControl/>
        <w:tabs>
          <w:tab w:val="left" w:pos="-1440"/>
          <w:tab w:val="left" w:pos="-720"/>
          <w:tab w:val="left" w:pos="0"/>
          <w:tab w:val="left" w:pos="432"/>
          <w:tab w:val="left" w:pos="720"/>
          <w:tab w:val="left" w:pos="1008"/>
          <w:tab w:val="left" w:pos="1440"/>
        </w:tabs>
        <w:suppressAutoHyphens/>
        <w:rPr>
          <w:rFonts w:ascii="Times New Roman" w:hAnsi="Times New Roman"/>
          <w:b/>
          <w:szCs w:val="24"/>
          <w:u w:val="single"/>
        </w:rPr>
      </w:pPr>
      <w:r w:rsidRPr="00FD0040">
        <w:rPr>
          <w:rFonts w:ascii="Times New Roman" w:hAnsi="Times New Roman"/>
          <w:b/>
          <w:szCs w:val="24"/>
          <w:u w:val="single"/>
        </w:rPr>
        <w:t>SUMMARY</w:t>
      </w:r>
    </w:p>
    <w:p w:rsidR="00FD0040" w:rsidRPr="00FD0040" w:rsidRDefault="00FD0040" w:rsidP="00FD004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FD0040" w:rsidRPr="00FD0040" w:rsidRDefault="00FD0040" w:rsidP="00FD004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FD0040">
        <w:rPr>
          <w:rFonts w:ascii="Times New Roman" w:hAnsi="Times New Roman"/>
          <w:szCs w:val="24"/>
        </w:rPr>
        <w:t xml:space="preserve">The </w:t>
      </w:r>
      <w:r>
        <w:rPr>
          <w:rFonts w:ascii="Times New Roman" w:hAnsi="Times New Roman"/>
          <w:szCs w:val="24"/>
        </w:rPr>
        <w:t>Federal Deposit Insurance Corporation (FDIC)</w:t>
      </w:r>
      <w:r w:rsidRPr="00FD0040">
        <w:rPr>
          <w:rFonts w:ascii="Times New Roman" w:hAnsi="Times New Roman"/>
          <w:szCs w:val="24"/>
        </w:rPr>
        <w:t xml:space="preserve"> requests approval from the Office of Management and Budget (OMB) to revise the Federal Financial Institutions Examination Council (FFIEC) Regulatory Capital Reporting for Institutions Subject to the Advanced Capital Adequacy Framework</w:t>
      </w:r>
      <w:r w:rsidR="00FC2C1F">
        <w:rPr>
          <w:rStyle w:val="FootnoteReference"/>
          <w:rFonts w:ascii="Times New Roman" w:hAnsi="Times New Roman"/>
          <w:szCs w:val="24"/>
        </w:rPr>
        <w:footnoteReference w:id="1"/>
      </w:r>
      <w:r w:rsidRPr="00FD0040">
        <w:rPr>
          <w:rFonts w:ascii="Times New Roman" w:hAnsi="Times New Roman"/>
          <w:szCs w:val="24"/>
        </w:rPr>
        <w:t xml:space="preserve"> (FFIEC 101; OMB No. </w:t>
      </w:r>
      <w:r>
        <w:rPr>
          <w:rFonts w:ascii="Times New Roman" w:hAnsi="Times New Roman"/>
          <w:szCs w:val="24"/>
        </w:rPr>
        <w:t>3064-0159</w:t>
      </w:r>
      <w:r w:rsidRPr="00FD0040">
        <w:rPr>
          <w:rFonts w:ascii="Times New Roman" w:hAnsi="Times New Roman"/>
          <w:szCs w:val="24"/>
        </w:rPr>
        <w:t xml:space="preserve">) under the emergency clearance provisions of OMB’s regulations.  </w:t>
      </w:r>
      <w:r w:rsidR="00994AEB">
        <w:rPr>
          <w:rFonts w:ascii="Times New Roman" w:hAnsi="Times New Roman"/>
          <w:szCs w:val="24"/>
        </w:rPr>
        <w:t>(See the discussion of “</w:t>
      </w:r>
      <w:r w:rsidR="00994AEB" w:rsidRPr="00994AEB">
        <w:rPr>
          <w:rFonts w:ascii="Times New Roman" w:hAnsi="Times New Roman"/>
        </w:rPr>
        <w:t xml:space="preserve">Proposed Revisions </w:t>
      </w:r>
      <w:r w:rsidR="00B64D4C">
        <w:rPr>
          <w:rFonts w:ascii="Times New Roman" w:hAnsi="Times New Roman"/>
        </w:rPr>
        <w:t>T</w:t>
      </w:r>
      <w:r w:rsidR="00994AEB" w:rsidRPr="00994AEB">
        <w:rPr>
          <w:rFonts w:ascii="Times New Roman" w:hAnsi="Times New Roman"/>
        </w:rPr>
        <w:t>hat are the Subject of This Proposal” in Section 1 below.</w:t>
      </w:r>
      <w:r w:rsidR="00994AEB">
        <w:rPr>
          <w:rFonts w:ascii="Times New Roman" w:hAnsi="Times New Roman"/>
        </w:rPr>
        <w:t xml:space="preserve">)  </w:t>
      </w:r>
      <w:r w:rsidRPr="00FD0040">
        <w:rPr>
          <w:rFonts w:ascii="Times New Roman" w:hAnsi="Times New Roman"/>
          <w:szCs w:val="24"/>
        </w:rPr>
        <w:t>Th</w:t>
      </w:r>
      <w:r w:rsidR="007820DD">
        <w:rPr>
          <w:rFonts w:ascii="Times New Roman" w:hAnsi="Times New Roman"/>
          <w:szCs w:val="24"/>
        </w:rPr>
        <w:t>is</w:t>
      </w:r>
      <w:r w:rsidR="001C6034">
        <w:rPr>
          <w:rFonts w:ascii="Times New Roman" w:hAnsi="Times New Roman"/>
          <w:szCs w:val="24"/>
        </w:rPr>
        <w:t xml:space="preserve"> </w:t>
      </w:r>
      <w:r w:rsidR="007820DD">
        <w:rPr>
          <w:rFonts w:ascii="Times New Roman" w:hAnsi="Times New Roman"/>
          <w:szCs w:val="24"/>
        </w:rPr>
        <w:t>report must be</w:t>
      </w:r>
      <w:r w:rsidR="001C6034" w:rsidRPr="00FD0040">
        <w:rPr>
          <w:rFonts w:ascii="Times New Roman" w:hAnsi="Times New Roman"/>
          <w:szCs w:val="24"/>
        </w:rPr>
        <w:t xml:space="preserve"> filed quarterly </w:t>
      </w:r>
      <w:r w:rsidR="007820DD">
        <w:rPr>
          <w:rFonts w:ascii="Times New Roman" w:hAnsi="Times New Roman"/>
          <w:szCs w:val="24"/>
        </w:rPr>
        <w:t>by</w:t>
      </w:r>
      <w:r w:rsidRPr="00FD0040">
        <w:rPr>
          <w:rFonts w:ascii="Times New Roman" w:hAnsi="Times New Roman"/>
          <w:szCs w:val="24"/>
        </w:rPr>
        <w:t xml:space="preserve"> certain large or internationally </w:t>
      </w:r>
      <w:r w:rsidR="00FC2C1F">
        <w:rPr>
          <w:rFonts w:ascii="Times New Roman" w:hAnsi="Times New Roman"/>
          <w:szCs w:val="24"/>
        </w:rPr>
        <w:t xml:space="preserve">active banks, savings associations, </w:t>
      </w:r>
      <w:r w:rsidRPr="00FD0040">
        <w:rPr>
          <w:rFonts w:ascii="Times New Roman" w:hAnsi="Times New Roman"/>
          <w:szCs w:val="24"/>
        </w:rPr>
        <w:t>bank holding companies (BHCs), savings and loan holding companies (SLHCs), intermediate holding companies (IHCs),</w:t>
      </w:r>
      <w:r w:rsidR="001C6034">
        <w:rPr>
          <w:rStyle w:val="FootnoteReference"/>
          <w:rFonts w:ascii="Times New Roman" w:hAnsi="Times New Roman"/>
          <w:szCs w:val="24"/>
        </w:rPr>
        <w:footnoteReference w:id="2"/>
      </w:r>
      <w:r w:rsidRPr="00FD0040">
        <w:rPr>
          <w:rFonts w:ascii="Times New Roman" w:hAnsi="Times New Roman"/>
          <w:szCs w:val="24"/>
        </w:rPr>
        <w:t xml:space="preserve"> and also for those </w:t>
      </w:r>
      <w:r w:rsidR="001C6034">
        <w:rPr>
          <w:rFonts w:ascii="Times New Roman" w:hAnsi="Times New Roman"/>
          <w:szCs w:val="24"/>
        </w:rPr>
        <w:t>banks</w:t>
      </w:r>
      <w:r w:rsidRPr="00FD0040">
        <w:rPr>
          <w:rFonts w:ascii="Times New Roman" w:hAnsi="Times New Roman"/>
          <w:szCs w:val="24"/>
        </w:rPr>
        <w:t xml:space="preserve"> that adopt the </w:t>
      </w:r>
      <w:r w:rsidR="004D1E1D">
        <w:rPr>
          <w:rFonts w:ascii="Times New Roman" w:hAnsi="Times New Roman"/>
          <w:szCs w:val="24"/>
        </w:rPr>
        <w:t>A</w:t>
      </w:r>
      <w:r w:rsidR="00FC2C1F">
        <w:rPr>
          <w:rFonts w:ascii="Times New Roman" w:hAnsi="Times New Roman"/>
          <w:szCs w:val="24"/>
        </w:rPr>
        <w:t xml:space="preserve">dvanced </w:t>
      </w:r>
      <w:r w:rsidR="004D1E1D">
        <w:rPr>
          <w:rFonts w:ascii="Times New Roman" w:hAnsi="Times New Roman"/>
          <w:szCs w:val="24"/>
        </w:rPr>
        <w:t>C</w:t>
      </w:r>
      <w:r w:rsidR="00FC2C1F">
        <w:rPr>
          <w:rFonts w:ascii="Times New Roman" w:hAnsi="Times New Roman"/>
          <w:szCs w:val="24"/>
        </w:rPr>
        <w:t xml:space="preserve">apital </w:t>
      </w:r>
      <w:r w:rsidR="004D1E1D">
        <w:rPr>
          <w:rFonts w:ascii="Times New Roman" w:hAnsi="Times New Roman"/>
          <w:szCs w:val="24"/>
        </w:rPr>
        <w:t>A</w:t>
      </w:r>
      <w:r w:rsidR="00FC2C1F">
        <w:rPr>
          <w:rFonts w:ascii="Times New Roman" w:hAnsi="Times New Roman"/>
          <w:szCs w:val="24"/>
        </w:rPr>
        <w:t xml:space="preserve">dequacy </w:t>
      </w:r>
      <w:r w:rsidR="004D1E1D">
        <w:rPr>
          <w:rFonts w:ascii="Times New Roman" w:hAnsi="Times New Roman"/>
          <w:szCs w:val="24"/>
        </w:rPr>
        <w:t>F</w:t>
      </w:r>
      <w:r w:rsidRPr="00FD0040">
        <w:rPr>
          <w:rFonts w:ascii="Times New Roman" w:hAnsi="Times New Roman"/>
          <w:szCs w:val="24"/>
        </w:rPr>
        <w:t xml:space="preserve">ramework on a voluntary basis.  The revisions to the FFIEC 101 that are the subject of this request have been approved by the FFIEC, of which the </w:t>
      </w:r>
      <w:r>
        <w:rPr>
          <w:rFonts w:ascii="Times New Roman" w:hAnsi="Times New Roman"/>
          <w:szCs w:val="24"/>
        </w:rPr>
        <w:t xml:space="preserve">FDIC, the Federal Reserve </w:t>
      </w:r>
      <w:r w:rsidRPr="00FD0040">
        <w:rPr>
          <w:rFonts w:ascii="Times New Roman" w:hAnsi="Times New Roman"/>
          <w:szCs w:val="24"/>
        </w:rPr>
        <w:t>Board</w:t>
      </w:r>
      <w:r>
        <w:rPr>
          <w:rFonts w:ascii="Times New Roman" w:hAnsi="Times New Roman"/>
          <w:szCs w:val="24"/>
        </w:rPr>
        <w:t xml:space="preserve"> (FRB)</w:t>
      </w:r>
      <w:r w:rsidRPr="00FD0040">
        <w:rPr>
          <w:rFonts w:ascii="Times New Roman" w:hAnsi="Times New Roman"/>
          <w:szCs w:val="24"/>
        </w:rPr>
        <w:t>, and Office of the Comptroller of the Currency (OCC) (the agencies) are members.  The F</w:t>
      </w:r>
      <w:r>
        <w:rPr>
          <w:rFonts w:ascii="Times New Roman" w:hAnsi="Times New Roman"/>
          <w:szCs w:val="24"/>
        </w:rPr>
        <w:t>RB</w:t>
      </w:r>
      <w:r w:rsidRPr="00FD0040">
        <w:rPr>
          <w:rFonts w:ascii="Times New Roman" w:hAnsi="Times New Roman"/>
          <w:szCs w:val="24"/>
        </w:rPr>
        <w:t xml:space="preserve"> and the OCC have also submitted a similar request for OMB review to request this information from </w:t>
      </w:r>
      <w:r>
        <w:rPr>
          <w:rFonts w:ascii="Times New Roman" w:hAnsi="Times New Roman"/>
          <w:szCs w:val="24"/>
        </w:rPr>
        <w:t xml:space="preserve">the </w:t>
      </w:r>
      <w:r w:rsidRPr="00FD0040">
        <w:rPr>
          <w:rFonts w:ascii="Times New Roman" w:hAnsi="Times New Roman"/>
          <w:szCs w:val="24"/>
        </w:rPr>
        <w:t>bank</w:t>
      </w:r>
      <w:r w:rsidR="001C6034">
        <w:rPr>
          <w:rFonts w:ascii="Times New Roman" w:hAnsi="Times New Roman"/>
          <w:szCs w:val="24"/>
        </w:rPr>
        <w:t>s</w:t>
      </w:r>
      <w:r w:rsidRPr="00FD0040">
        <w:rPr>
          <w:rFonts w:ascii="Times New Roman" w:hAnsi="Times New Roman"/>
          <w:szCs w:val="24"/>
        </w:rPr>
        <w:t xml:space="preserve"> under their supervision.</w:t>
      </w:r>
    </w:p>
    <w:p w:rsidR="00FD0040" w:rsidRDefault="00FD0040" w:rsidP="00FD004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FC2C1F" w:rsidRPr="00FC2C1F" w:rsidRDefault="00FC2C1F" w:rsidP="00FC2C1F">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FC2C1F">
        <w:rPr>
          <w:rFonts w:ascii="Times New Roman" w:hAnsi="Times New Roman"/>
          <w:szCs w:val="24"/>
        </w:rPr>
        <w:t xml:space="preserve">The Federal Deposit Insurance Act (FDI Act) and the International Lending Supervision Act of 1983 (ILSA) require the agencies to have risk-based capital requirements and to ensure that banks maintain adequate capital.  The </w:t>
      </w:r>
      <w:r w:rsidR="001C6034">
        <w:rPr>
          <w:rFonts w:ascii="Times New Roman" w:hAnsi="Times New Roman"/>
          <w:szCs w:val="24"/>
        </w:rPr>
        <w:t>FDIC</w:t>
      </w:r>
      <w:r w:rsidRPr="00FC2C1F">
        <w:rPr>
          <w:rFonts w:ascii="Times New Roman" w:hAnsi="Times New Roman"/>
          <w:szCs w:val="24"/>
        </w:rPr>
        <w:t xml:space="preserve"> uses the data </w:t>
      </w:r>
      <w:r w:rsidR="001C6034">
        <w:rPr>
          <w:rFonts w:ascii="Times New Roman" w:hAnsi="Times New Roman"/>
          <w:szCs w:val="24"/>
        </w:rPr>
        <w:t xml:space="preserve">reported in the FFIEC 101 </w:t>
      </w:r>
      <w:r w:rsidRPr="00FC2C1F">
        <w:rPr>
          <w:rFonts w:ascii="Times New Roman" w:hAnsi="Times New Roman"/>
          <w:szCs w:val="24"/>
        </w:rPr>
        <w:t xml:space="preserve">to assess and monitor the levels and components of each reporting entity’s risk-based capital requirements and the adequacy of the entity’s capital under the framework.  These data also allow the </w:t>
      </w:r>
      <w:r>
        <w:rPr>
          <w:rFonts w:ascii="Times New Roman" w:hAnsi="Times New Roman"/>
          <w:szCs w:val="24"/>
        </w:rPr>
        <w:t>FDIC</w:t>
      </w:r>
      <w:r w:rsidRPr="00FC2C1F">
        <w:rPr>
          <w:rFonts w:ascii="Times New Roman" w:hAnsi="Times New Roman"/>
          <w:szCs w:val="24"/>
        </w:rPr>
        <w:t xml:space="preserve"> to evaluate the quantitative impact and competitive implications of the framework on individual respondents and on the </w:t>
      </w:r>
      <w:r w:rsidR="007820DD">
        <w:rPr>
          <w:rFonts w:ascii="Times New Roman" w:hAnsi="Times New Roman"/>
          <w:szCs w:val="24"/>
        </w:rPr>
        <w:t xml:space="preserve">financial </w:t>
      </w:r>
      <w:r w:rsidRPr="00FC2C1F">
        <w:rPr>
          <w:rFonts w:ascii="Times New Roman" w:hAnsi="Times New Roman"/>
          <w:szCs w:val="24"/>
        </w:rPr>
        <w:t xml:space="preserve">industry.  The reporting schedules also assist banks in understanding expectations surrounding the system development necessary for implementation and validation of the framework.  The submitted data that </w:t>
      </w:r>
      <w:r w:rsidR="001C6034">
        <w:rPr>
          <w:rFonts w:ascii="Times New Roman" w:hAnsi="Times New Roman"/>
          <w:szCs w:val="24"/>
        </w:rPr>
        <w:t>are</w:t>
      </w:r>
      <w:r w:rsidRPr="00FC2C1F">
        <w:rPr>
          <w:rFonts w:ascii="Times New Roman" w:hAnsi="Times New Roman"/>
          <w:szCs w:val="24"/>
        </w:rPr>
        <w:t xml:space="preserve"> released publicly also provide other interested parties with information about banks’ risk-based capital. </w:t>
      </w:r>
      <w:r>
        <w:rPr>
          <w:rFonts w:ascii="Times New Roman" w:hAnsi="Times New Roman"/>
          <w:szCs w:val="24"/>
        </w:rPr>
        <w:t xml:space="preserve"> </w:t>
      </w:r>
      <w:r w:rsidRPr="00FC2C1F">
        <w:rPr>
          <w:rFonts w:ascii="Times New Roman" w:hAnsi="Times New Roman"/>
          <w:szCs w:val="24"/>
        </w:rPr>
        <w:t>Finally, the submitted data supplement on-site examination processes.</w:t>
      </w:r>
    </w:p>
    <w:p w:rsidR="00FC2C1F" w:rsidRPr="00FC2C1F" w:rsidRDefault="00FC2C1F" w:rsidP="00FC2C1F">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FC2C1F" w:rsidRPr="00FC2C1F" w:rsidRDefault="00FC2C1F" w:rsidP="00FC2C1F">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FC2C1F">
        <w:rPr>
          <w:rFonts w:ascii="Times New Roman" w:hAnsi="Times New Roman"/>
          <w:szCs w:val="24"/>
        </w:rPr>
        <w:t xml:space="preserve">The </w:t>
      </w:r>
      <w:r>
        <w:rPr>
          <w:rFonts w:ascii="Times New Roman" w:hAnsi="Times New Roman"/>
          <w:szCs w:val="24"/>
        </w:rPr>
        <w:t>FDIC</w:t>
      </w:r>
      <w:r w:rsidRPr="00FC2C1F">
        <w:rPr>
          <w:rFonts w:ascii="Times New Roman" w:hAnsi="Times New Roman"/>
          <w:szCs w:val="24"/>
        </w:rPr>
        <w:t xml:space="preserve"> proposes </w:t>
      </w:r>
      <w:r w:rsidR="007820DD">
        <w:rPr>
          <w:rFonts w:ascii="Times New Roman" w:hAnsi="Times New Roman"/>
          <w:szCs w:val="24"/>
        </w:rPr>
        <w:t xml:space="preserve">to </w:t>
      </w:r>
      <w:r w:rsidR="007820DD" w:rsidRPr="007820DD">
        <w:rPr>
          <w:rFonts w:ascii="Times New Roman" w:hAnsi="Times New Roman"/>
          <w:szCs w:val="24"/>
        </w:rPr>
        <w:t xml:space="preserve">revise the FFIEC 101 </w:t>
      </w:r>
      <w:r w:rsidRPr="00FC2C1F">
        <w:rPr>
          <w:rFonts w:ascii="Times New Roman" w:hAnsi="Times New Roman"/>
          <w:szCs w:val="24"/>
        </w:rPr>
        <w:t xml:space="preserve">to allow institutions subject to the advanced approaches rule to estimate and report high volatility commercial real estate (HVCRE) exposures on Schedules B and G of the FFIEC 101 </w:t>
      </w:r>
      <w:r w:rsidR="007820DD">
        <w:rPr>
          <w:rFonts w:ascii="Times New Roman" w:hAnsi="Times New Roman"/>
          <w:szCs w:val="24"/>
        </w:rPr>
        <w:t xml:space="preserve">in a manner </w:t>
      </w:r>
      <w:r w:rsidRPr="00FC2C1F">
        <w:rPr>
          <w:rFonts w:ascii="Times New Roman" w:hAnsi="Times New Roman"/>
          <w:szCs w:val="24"/>
        </w:rPr>
        <w:t xml:space="preserve">consistent with </w:t>
      </w:r>
      <w:r>
        <w:rPr>
          <w:rFonts w:ascii="Times New Roman" w:hAnsi="Times New Roman"/>
          <w:szCs w:val="24"/>
        </w:rPr>
        <w:t>S</w:t>
      </w:r>
      <w:r w:rsidRPr="00FC2C1F">
        <w:rPr>
          <w:rFonts w:ascii="Times New Roman" w:hAnsi="Times New Roman"/>
          <w:szCs w:val="24"/>
        </w:rPr>
        <w:t>ection 214 of the Economic Growth, Regulatory Relief, and Consumer Protection Act (EGRRCPA)</w:t>
      </w:r>
      <w:r w:rsidR="007820DD">
        <w:rPr>
          <w:rFonts w:ascii="Times New Roman" w:hAnsi="Times New Roman"/>
          <w:szCs w:val="24"/>
        </w:rPr>
        <w:t>.</w:t>
      </w:r>
      <w:r w:rsidRPr="00FC2C1F">
        <w:rPr>
          <w:rFonts w:ascii="Times New Roman" w:hAnsi="Times New Roman"/>
          <w:bCs/>
          <w:iCs/>
          <w:szCs w:val="24"/>
        </w:rPr>
        <w:t xml:space="preserve"> </w:t>
      </w:r>
      <w:r w:rsidR="007820DD">
        <w:rPr>
          <w:rFonts w:ascii="Times New Roman" w:hAnsi="Times New Roman"/>
          <w:bCs/>
          <w:iCs/>
          <w:szCs w:val="24"/>
        </w:rPr>
        <w:t xml:space="preserve"> </w:t>
      </w:r>
      <w:r w:rsidR="007820DD" w:rsidRPr="007820DD">
        <w:rPr>
          <w:rFonts w:ascii="Times New Roman" w:hAnsi="Times New Roman"/>
          <w:bCs/>
          <w:iCs/>
          <w:szCs w:val="24"/>
        </w:rPr>
        <w:t xml:space="preserve">These </w:t>
      </w:r>
      <w:r w:rsidR="007820DD" w:rsidRPr="007820DD">
        <w:rPr>
          <w:rFonts w:ascii="Times New Roman" w:hAnsi="Times New Roman"/>
          <w:bCs/>
          <w:iCs/>
          <w:szCs w:val="24"/>
        </w:rPr>
        <w:lastRenderedPageBreak/>
        <w:t xml:space="preserve">revisions would be </w:t>
      </w:r>
      <w:r w:rsidRPr="00FC2C1F">
        <w:rPr>
          <w:rFonts w:ascii="Times New Roman" w:hAnsi="Times New Roman"/>
          <w:bCs/>
          <w:iCs/>
          <w:szCs w:val="24"/>
        </w:rPr>
        <w:t xml:space="preserve">effective for the June 30, 2018, report date.  </w:t>
      </w:r>
      <w:r w:rsidRPr="00FC2C1F">
        <w:rPr>
          <w:rFonts w:ascii="Times New Roman" w:hAnsi="Times New Roman"/>
          <w:szCs w:val="24"/>
        </w:rPr>
        <w:t xml:space="preserve">The current total annual burden for the FFIEC 101 is estimated to be </w:t>
      </w:r>
      <w:r>
        <w:rPr>
          <w:rFonts w:ascii="Times New Roman" w:hAnsi="Times New Roman"/>
        </w:rPr>
        <w:t xml:space="preserve">5,392 </w:t>
      </w:r>
      <w:r w:rsidRPr="00FC2C1F">
        <w:rPr>
          <w:rFonts w:ascii="Times New Roman" w:hAnsi="Times New Roman"/>
          <w:szCs w:val="24"/>
        </w:rPr>
        <w:t>hours and would remain unchanged based on the proposed revisions.</w:t>
      </w:r>
    </w:p>
    <w:p w:rsidR="00FC2C1F" w:rsidRPr="00FC2C1F" w:rsidRDefault="00FC2C1F" w:rsidP="00FC2C1F">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C06461" w:rsidRPr="00685D7E" w:rsidRDefault="00C06461"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pStyle w:val="Heading2"/>
        <w:widowControl/>
        <w:rPr>
          <w:rFonts w:ascii="Times New Roman" w:hAnsi="Times New Roman"/>
          <w:sz w:val="24"/>
        </w:rPr>
      </w:pPr>
      <w:r>
        <w:rPr>
          <w:rFonts w:ascii="Times New Roman" w:hAnsi="Times New Roman"/>
          <w:sz w:val="24"/>
        </w:rPr>
        <w:t>JUSTIFICATION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Pr>
          <w:rFonts w:ascii="Times New Roman" w:hAnsi="Times New Roman"/>
          <w:u w:val="single"/>
        </w:rPr>
        <w:t>Circumstances and Need</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91712" w:rsidRDefault="003B78E0" w:rsidP="00CD4E6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U.S. implementation of the Advanced Capital Adequacy Framework </w:t>
      </w:r>
      <w:r w:rsidR="00F35587">
        <w:rPr>
          <w:rFonts w:ascii="Times New Roman" w:hAnsi="Times New Roman"/>
          <w:szCs w:val="24"/>
        </w:rPr>
        <w:t>was initially</w:t>
      </w:r>
      <w:r>
        <w:rPr>
          <w:rFonts w:ascii="Times New Roman" w:hAnsi="Times New Roman"/>
          <w:szCs w:val="24"/>
        </w:rPr>
        <w:t xml:space="preserve"> detailed in </w:t>
      </w:r>
      <w:r>
        <w:rPr>
          <w:rFonts w:ascii="Times New Roman" w:hAnsi="Times New Roman"/>
        </w:rPr>
        <w:t xml:space="preserve">the agencies’ Risk Based Capital Standards: </w:t>
      </w:r>
      <w:r w:rsidR="00BF20A4">
        <w:rPr>
          <w:rFonts w:ascii="Times New Roman" w:hAnsi="Times New Roman"/>
        </w:rPr>
        <w:t xml:space="preserve"> </w:t>
      </w:r>
      <w:r>
        <w:rPr>
          <w:rFonts w:ascii="Times New Roman" w:hAnsi="Times New Roman"/>
        </w:rPr>
        <w:t xml:space="preserve">Advanced Capital Adequacy Framework – Basel II. This </w:t>
      </w:r>
      <w:r>
        <w:rPr>
          <w:rFonts w:ascii="Times New Roman" w:hAnsi="Times New Roman"/>
          <w:szCs w:val="24"/>
        </w:rPr>
        <w:t xml:space="preserve">final rule was published on December 7, 2007 (72 FR 69288), and became effective April 1, 2008.  </w:t>
      </w:r>
      <w:r w:rsidR="00BF3E4F">
        <w:rPr>
          <w:rFonts w:ascii="Times New Roman" w:hAnsi="Times New Roman"/>
        </w:rPr>
        <w:t>Th</w:t>
      </w:r>
      <w:r w:rsidR="008543D0">
        <w:rPr>
          <w:rFonts w:ascii="Times New Roman" w:hAnsi="Times New Roman"/>
        </w:rPr>
        <w:t>e</w:t>
      </w:r>
      <w:r w:rsidR="00BF3E4F">
        <w:rPr>
          <w:rFonts w:ascii="Times New Roman" w:hAnsi="Times New Roman"/>
        </w:rPr>
        <w:t xml:space="preserve"> Basel II final rule includes an advanced internal ratings-based approach for calculating regulatory credit risk capital and advanced measurement approaches for calculating regulatory operational risk capital.  </w:t>
      </w:r>
      <w:r w:rsidR="00B323EA">
        <w:rPr>
          <w:rFonts w:ascii="Times New Roman" w:hAnsi="Times New Roman"/>
          <w:szCs w:val="24"/>
        </w:rPr>
        <w:t>The agencies approved revisions to th</w:t>
      </w:r>
      <w:r w:rsidR="00BF3E4F">
        <w:rPr>
          <w:rFonts w:ascii="Times New Roman" w:hAnsi="Times New Roman"/>
          <w:szCs w:val="24"/>
        </w:rPr>
        <w:t>e Advanced Capital Adequacy F</w:t>
      </w:r>
      <w:r w:rsidR="00B323EA">
        <w:rPr>
          <w:rFonts w:ascii="Times New Roman" w:hAnsi="Times New Roman"/>
          <w:szCs w:val="24"/>
        </w:rPr>
        <w:t>ramework as part of the</w:t>
      </w:r>
      <w:r w:rsidR="00091712">
        <w:rPr>
          <w:rFonts w:ascii="Times New Roman" w:hAnsi="Times New Roman"/>
          <w:szCs w:val="24"/>
        </w:rPr>
        <w:t xml:space="preserve">ir comprehensive </w:t>
      </w:r>
      <w:r w:rsidR="00B323EA" w:rsidRPr="00B323EA">
        <w:rPr>
          <w:rFonts w:ascii="Times New Roman" w:hAnsi="Times New Roman"/>
          <w:szCs w:val="24"/>
        </w:rPr>
        <w:t>revis</w:t>
      </w:r>
      <w:r w:rsidR="00091712">
        <w:rPr>
          <w:rFonts w:ascii="Times New Roman" w:hAnsi="Times New Roman"/>
          <w:szCs w:val="24"/>
        </w:rPr>
        <w:t>ions to the</w:t>
      </w:r>
      <w:r w:rsidR="00B323EA" w:rsidRPr="00B323EA">
        <w:rPr>
          <w:rFonts w:ascii="Times New Roman" w:hAnsi="Times New Roman"/>
          <w:szCs w:val="24"/>
        </w:rPr>
        <w:t xml:space="preserve"> regulatory capital rules</w:t>
      </w:r>
      <w:r w:rsidR="00B323EA">
        <w:rPr>
          <w:rFonts w:ascii="Times New Roman" w:hAnsi="Times New Roman"/>
          <w:szCs w:val="24"/>
        </w:rPr>
        <w:t xml:space="preserve"> adopted in July 2013</w:t>
      </w:r>
      <w:r w:rsidR="00B323EA" w:rsidRPr="00B323EA">
        <w:rPr>
          <w:rFonts w:ascii="Times New Roman" w:hAnsi="Times New Roman"/>
          <w:szCs w:val="24"/>
        </w:rPr>
        <w:t>:</w:t>
      </w:r>
      <w:r w:rsidR="00B323EA">
        <w:rPr>
          <w:rFonts w:ascii="Times New Roman" w:hAnsi="Times New Roman"/>
          <w:szCs w:val="24"/>
        </w:rPr>
        <w:t xml:space="preserve"> </w:t>
      </w:r>
      <w:r w:rsidR="00B323EA" w:rsidRPr="00B323EA">
        <w:rPr>
          <w:rFonts w:ascii="Times New Roman" w:hAnsi="Times New Roman"/>
          <w:szCs w:val="24"/>
        </w:rPr>
        <w:t xml:space="preserve"> 78 FR 62018, October 11, 2013 (</w:t>
      </w:r>
      <w:r w:rsidR="00B323EA">
        <w:rPr>
          <w:rFonts w:ascii="Times New Roman" w:hAnsi="Times New Roman"/>
          <w:szCs w:val="24"/>
        </w:rPr>
        <w:t>FRB</w:t>
      </w:r>
      <w:r w:rsidR="00B323EA" w:rsidRPr="00B323EA">
        <w:rPr>
          <w:rFonts w:ascii="Times New Roman" w:hAnsi="Times New Roman"/>
          <w:szCs w:val="24"/>
        </w:rPr>
        <w:t xml:space="preserve"> and OCC); 78 FR 55340, September 10, 2013 (FDIC).  </w:t>
      </w:r>
      <w:r w:rsidR="00A3261D">
        <w:rPr>
          <w:rFonts w:ascii="Times New Roman" w:hAnsi="Times New Roman"/>
          <w:szCs w:val="24"/>
        </w:rPr>
        <w:t>These revisions took effect for advanced approaches institutions on January 1, 2014.</w:t>
      </w:r>
      <w:r w:rsidR="00CD4E6B">
        <w:rPr>
          <w:rFonts w:ascii="Times New Roman" w:hAnsi="Times New Roman"/>
          <w:szCs w:val="24"/>
        </w:rPr>
        <w:t xml:space="preserve">  </w:t>
      </w:r>
    </w:p>
    <w:p w:rsidR="00091712" w:rsidRDefault="00091712" w:rsidP="00CD4E6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BF20A4" w:rsidRPr="00792C73" w:rsidRDefault="00BF20A4" w:rsidP="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792C73">
        <w:rPr>
          <w:rFonts w:ascii="Times New Roman" w:hAnsi="Times New Roman"/>
          <w:szCs w:val="24"/>
        </w:rPr>
        <w:t xml:space="preserve">A bank must apply </w:t>
      </w:r>
      <w:r>
        <w:rPr>
          <w:rFonts w:ascii="Times New Roman" w:hAnsi="Times New Roman"/>
          <w:szCs w:val="24"/>
        </w:rPr>
        <w:t xml:space="preserve">the Advanced Capital Adequacy Framework, as revised, </w:t>
      </w:r>
      <w:r w:rsidRPr="00792C73">
        <w:rPr>
          <w:rFonts w:ascii="Times New Roman" w:hAnsi="Times New Roman"/>
          <w:szCs w:val="24"/>
        </w:rPr>
        <w:t xml:space="preserve">if </w:t>
      </w:r>
      <w:r>
        <w:rPr>
          <w:rFonts w:ascii="Times New Roman" w:hAnsi="Times New Roman"/>
          <w:szCs w:val="24"/>
        </w:rPr>
        <w:t>it</w:t>
      </w:r>
      <w:r w:rsidRPr="00792C73">
        <w:rPr>
          <w:rFonts w:ascii="Times New Roman" w:hAnsi="Times New Roman"/>
          <w:szCs w:val="24"/>
        </w:rPr>
        <w:t>:</w:t>
      </w:r>
    </w:p>
    <w:p w:rsidR="00BF20A4" w:rsidRPr="00792C73" w:rsidRDefault="00BF20A4" w:rsidP="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Pr>
          <w:rFonts w:ascii="Times New Roman" w:hAnsi="Times New Roman"/>
          <w:szCs w:val="24"/>
        </w:rPr>
        <w:tab/>
        <w:t>H</w:t>
      </w:r>
      <w:r w:rsidRPr="00792C73">
        <w:rPr>
          <w:rFonts w:ascii="Times New Roman" w:hAnsi="Times New Roman"/>
          <w:szCs w:val="24"/>
        </w:rPr>
        <w:t xml:space="preserve">as consolidated total assets (excluding assets held by an insurance underwriting subsidiary) on its most recent year-end regulatory report equal to $250 billion or more;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(ii)</w:t>
      </w:r>
      <w:r>
        <w:rPr>
          <w:rFonts w:ascii="Times New Roman" w:hAnsi="Times New Roman"/>
          <w:szCs w:val="24"/>
        </w:rPr>
        <w:tab/>
      </w:r>
      <w:r w:rsidRPr="00792C73">
        <w:rPr>
          <w:rFonts w:ascii="Times New Roman" w:hAnsi="Times New Roman"/>
          <w:szCs w:val="24"/>
        </w:rPr>
        <w:t xml:space="preserve">Has consolidated total on-balance sheet foreign exposure on its most recent year-end regulatory report equal to $10 billion or more (excluding exposures held by an insurance underwriting subsidiary);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(iii)</w:t>
      </w:r>
      <w:r w:rsidR="00BF3E4F">
        <w:rPr>
          <w:rFonts w:ascii="Times New Roman" w:hAnsi="Times New Roman"/>
          <w:szCs w:val="24"/>
        </w:rPr>
        <w:tab/>
      </w:r>
      <w:r w:rsidRPr="00792C73">
        <w:rPr>
          <w:rFonts w:ascii="Times New Roman" w:hAnsi="Times New Roman"/>
          <w:szCs w:val="24"/>
        </w:rPr>
        <w:t xml:space="preserve">Is a subsidiary of a depository institution that uses the </w:t>
      </w:r>
      <w:r>
        <w:rPr>
          <w:rFonts w:ascii="Times New Roman" w:hAnsi="Times New Roman"/>
          <w:szCs w:val="24"/>
        </w:rPr>
        <w:t xml:space="preserve">Advanced Capital Adequacy Framework </w:t>
      </w:r>
      <w:r w:rsidRPr="00792C73">
        <w:rPr>
          <w:rFonts w:ascii="Times New Roman" w:hAnsi="Times New Roman"/>
          <w:szCs w:val="24"/>
        </w:rPr>
        <w:t xml:space="preserve">to calculate its total risk-weighted assets;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(iv)</w:t>
      </w:r>
      <w:r w:rsidR="00BF3E4F">
        <w:rPr>
          <w:rFonts w:ascii="Times New Roman" w:hAnsi="Times New Roman"/>
          <w:szCs w:val="24"/>
        </w:rPr>
        <w:tab/>
      </w:r>
      <w:r w:rsidRPr="00792C73">
        <w:rPr>
          <w:rFonts w:ascii="Times New Roman" w:hAnsi="Times New Roman"/>
          <w:szCs w:val="24"/>
        </w:rPr>
        <w:t xml:space="preserve">Is a subsidiary of a bank holding company or savings and loan holding company that uses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 xml:space="preserve">Capital Adequacy Framework </w:t>
      </w:r>
      <w:r w:rsidRPr="00792C73">
        <w:rPr>
          <w:rFonts w:ascii="Times New Roman" w:hAnsi="Times New Roman"/>
          <w:szCs w:val="24"/>
        </w:rPr>
        <w:t xml:space="preserve">its total risk-weighted assets; or </w:t>
      </w:r>
    </w:p>
    <w:p w:rsidR="00BF20A4" w:rsidRDefault="00BF20A4" w:rsidP="00BF3E4F">
      <w:pPr>
        <w:tabs>
          <w:tab w:val="left" w:pos="432"/>
        </w:tabs>
        <w:ind w:left="432" w:hanging="432"/>
        <w:rPr>
          <w:rFonts w:ascii="Times New Roman" w:hAnsi="Times New Roman"/>
          <w:szCs w:val="24"/>
        </w:rPr>
      </w:pPr>
      <w:r w:rsidRPr="00792C73">
        <w:rPr>
          <w:rFonts w:ascii="Times New Roman" w:hAnsi="Times New Roman"/>
          <w:szCs w:val="24"/>
        </w:rPr>
        <w:t>(v)</w:t>
      </w:r>
      <w:r w:rsidR="00BF3E4F">
        <w:rPr>
          <w:rFonts w:ascii="Times New Roman" w:hAnsi="Times New Roman"/>
          <w:szCs w:val="24"/>
        </w:rPr>
        <w:tab/>
      </w:r>
      <w:r w:rsidRPr="00792C73">
        <w:rPr>
          <w:rFonts w:ascii="Times New Roman" w:hAnsi="Times New Roman"/>
          <w:szCs w:val="24"/>
        </w:rPr>
        <w:t xml:space="preserve">Elects to use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Capital Adequacy Framework</w:t>
      </w:r>
      <w:r w:rsidRPr="00792C73">
        <w:rPr>
          <w:rFonts w:ascii="Times New Roman" w:hAnsi="Times New Roman"/>
          <w:szCs w:val="24"/>
        </w:rPr>
        <w:t xml:space="preserve"> to calculate its total risk-weighted assets.</w:t>
      </w:r>
    </w:p>
    <w:p w:rsidR="00BF20A4" w:rsidRDefault="00BF20A4" w:rsidP="00BF20A4">
      <w:pPr>
        <w:rPr>
          <w:rFonts w:ascii="Times New Roman" w:hAnsi="Times New Roman"/>
          <w:szCs w:val="24"/>
        </w:rPr>
      </w:pPr>
    </w:p>
    <w:p w:rsidR="003B78E0" w:rsidRDefault="00BF3E4F" w:rsidP="00BD0454">
      <w:pPr>
        <w:widowControl/>
        <w:rPr>
          <w:rFonts w:ascii="Times New Roman" w:hAnsi="Times New Roman"/>
        </w:rPr>
      </w:pPr>
      <w:r>
        <w:rPr>
          <w:rFonts w:ascii="Times New Roman" w:hAnsi="Times New Roman"/>
        </w:rPr>
        <w:t>Such</w:t>
      </w:r>
      <w:r w:rsidR="00BF20A4" w:rsidRPr="00BF20A4">
        <w:rPr>
          <w:rFonts w:ascii="Times New Roman" w:hAnsi="Times New Roman"/>
        </w:rPr>
        <w:t xml:space="preserve"> </w:t>
      </w:r>
      <w:r>
        <w:rPr>
          <w:rFonts w:ascii="Times New Roman" w:hAnsi="Times New Roman"/>
        </w:rPr>
        <w:t xml:space="preserve">an </w:t>
      </w:r>
      <w:r w:rsidR="00BF20A4" w:rsidRPr="00BF20A4">
        <w:rPr>
          <w:rFonts w:ascii="Times New Roman" w:hAnsi="Times New Roman"/>
        </w:rPr>
        <w:t xml:space="preserve">institution </w:t>
      </w:r>
      <w:r>
        <w:rPr>
          <w:rFonts w:ascii="Times New Roman" w:hAnsi="Times New Roman"/>
        </w:rPr>
        <w:t>m</w:t>
      </w:r>
      <w:r w:rsidR="00BF20A4" w:rsidRPr="00BF20A4">
        <w:rPr>
          <w:rFonts w:ascii="Times New Roman" w:hAnsi="Times New Roman"/>
        </w:rPr>
        <w:t xml:space="preserve">ust begin reporting on the FFIEC 101, Schedule A, except for a few specific line items, at the end of the quarter after the quarter in which the institution triggers one of the </w:t>
      </w:r>
      <w:r>
        <w:rPr>
          <w:rFonts w:ascii="Times New Roman" w:hAnsi="Times New Roman"/>
        </w:rPr>
        <w:t xml:space="preserve">four </w:t>
      </w:r>
      <w:r w:rsidR="00BF20A4" w:rsidRPr="00BF20A4">
        <w:rPr>
          <w:rFonts w:ascii="Times New Roman" w:hAnsi="Times New Roman"/>
        </w:rPr>
        <w:t xml:space="preserve">threshold criteria for applying the </w:t>
      </w:r>
      <w:r>
        <w:rPr>
          <w:rFonts w:ascii="Times New Roman" w:hAnsi="Times New Roman"/>
        </w:rPr>
        <w:t>A</w:t>
      </w:r>
      <w:r w:rsidR="00BF20A4" w:rsidRPr="00BF20A4">
        <w:rPr>
          <w:rFonts w:ascii="Times New Roman" w:hAnsi="Times New Roman"/>
        </w:rPr>
        <w:t xml:space="preserve">dvanced </w:t>
      </w:r>
      <w:r>
        <w:rPr>
          <w:rFonts w:ascii="Times New Roman" w:hAnsi="Times New Roman"/>
        </w:rPr>
        <w:t>Capital Adequacy Framework</w:t>
      </w:r>
      <w:r w:rsidR="00BF20A4" w:rsidRPr="00BF20A4">
        <w:rPr>
          <w:rFonts w:ascii="Times New Roman" w:hAnsi="Times New Roman"/>
        </w:rPr>
        <w:t xml:space="preserve"> or elects to use the </w:t>
      </w:r>
      <w:r>
        <w:rPr>
          <w:rFonts w:ascii="Times New Roman" w:hAnsi="Times New Roman"/>
        </w:rPr>
        <w:t>framework</w:t>
      </w:r>
      <w:r w:rsidR="00BF20A4" w:rsidRPr="00BF20A4">
        <w:rPr>
          <w:rFonts w:ascii="Times New Roman" w:hAnsi="Times New Roman"/>
        </w:rPr>
        <w:t xml:space="preserve"> (an opt-in institution),  and must begin reporting data on the remaining schedules of the FFIEC 101 at the end of the first quarter in which the</w:t>
      </w:r>
      <w:r>
        <w:rPr>
          <w:rFonts w:ascii="Times New Roman" w:hAnsi="Times New Roman"/>
        </w:rPr>
        <w:t xml:space="preserve"> institution</w:t>
      </w:r>
      <w:r w:rsidR="00BF20A4" w:rsidRPr="00BF20A4">
        <w:rPr>
          <w:rFonts w:ascii="Times New Roman" w:hAnsi="Times New Roman"/>
        </w:rPr>
        <w:t xml:space="preserve"> ha</w:t>
      </w:r>
      <w:r>
        <w:rPr>
          <w:rFonts w:ascii="Times New Roman" w:hAnsi="Times New Roman"/>
        </w:rPr>
        <w:t>s</w:t>
      </w:r>
      <w:r w:rsidR="00BF20A4" w:rsidRPr="00BF20A4">
        <w:rPr>
          <w:rFonts w:ascii="Times New Roman" w:hAnsi="Times New Roman"/>
        </w:rPr>
        <w:t xml:space="preserve"> begun </w:t>
      </w:r>
      <w:r w:rsidR="008F20C9">
        <w:rPr>
          <w:rFonts w:ascii="Times New Roman" w:hAnsi="Times New Roman"/>
        </w:rPr>
        <w:t>its</w:t>
      </w:r>
      <w:r w:rsidR="00BF20A4" w:rsidRPr="00BF20A4">
        <w:rPr>
          <w:rFonts w:ascii="Times New Roman" w:hAnsi="Times New Roman"/>
        </w:rPr>
        <w:t xml:space="preserve"> parallel run period.  </w:t>
      </w:r>
      <w:r w:rsidR="003B78E0">
        <w:rPr>
          <w:rFonts w:ascii="Times New Roman" w:hAnsi="Times New Roman"/>
        </w:rPr>
        <w:t xml:space="preserve">    </w:t>
      </w:r>
    </w:p>
    <w:p w:rsidR="003B78E0" w:rsidRDefault="003B78E0">
      <w:pPr>
        <w:rPr>
          <w:rFonts w:ascii="Times New Roman" w:hAnsi="Times New Roman"/>
        </w:rPr>
      </w:pPr>
    </w:p>
    <w:p w:rsidR="003B78E0" w:rsidRDefault="00BF3E4F">
      <w:pPr>
        <w:rPr>
          <w:rFonts w:ascii="Times New Roman" w:hAnsi="Times New Roman"/>
        </w:rPr>
      </w:pPr>
      <w:r>
        <w:rPr>
          <w:rFonts w:ascii="Times New Roman" w:hAnsi="Times New Roman"/>
        </w:rPr>
        <w:t>A</w:t>
      </w:r>
      <w:r w:rsidR="003B78E0">
        <w:rPr>
          <w:rFonts w:ascii="Times New Roman" w:hAnsi="Times New Roman"/>
        </w:rPr>
        <w:t xml:space="preserve"> fundamental aspect of the Advanced Capital Adequacy Framework is the use of a bank’s internal risk estimates for many of the parameters used to derive risk-weighted assets. </w:t>
      </w:r>
      <w:r w:rsidR="008543D0">
        <w:rPr>
          <w:rFonts w:ascii="Times New Roman" w:hAnsi="Times New Roman"/>
        </w:rPr>
        <w:t xml:space="preserve"> </w:t>
      </w:r>
      <w:r w:rsidR="003B78E0">
        <w:rPr>
          <w:rFonts w:ascii="Times New Roman" w:hAnsi="Times New Roman"/>
        </w:rPr>
        <w:t>The FFIEC 101 report provides the agencies and, to a limited extent, the public a basis for comparing the main risk estimates (on an aggregated basis) that underlie a bank’s risk-based capital measures across institutions and over time.</w:t>
      </w:r>
    </w:p>
    <w:p w:rsidR="00040460" w:rsidRDefault="00040460" w:rsidP="00040460">
      <w:pPr>
        <w:rPr>
          <w:rFonts w:ascii="Times New Roman" w:hAnsi="Times New Roman"/>
        </w:rPr>
      </w:pPr>
    </w:p>
    <w:p w:rsidR="00040460" w:rsidRDefault="00040460" w:rsidP="0004046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In September 2014, the agencies approved a final rule </w:t>
      </w:r>
      <w:r w:rsidRPr="00CD4E6B">
        <w:rPr>
          <w:rFonts w:ascii="Times New Roman" w:hAnsi="Times New Roman"/>
          <w:szCs w:val="24"/>
        </w:rPr>
        <w:t>revis</w:t>
      </w:r>
      <w:r>
        <w:rPr>
          <w:rFonts w:ascii="Times New Roman" w:hAnsi="Times New Roman"/>
          <w:szCs w:val="24"/>
        </w:rPr>
        <w:t>ing</w:t>
      </w:r>
      <w:r w:rsidRPr="00CD4E6B">
        <w:rPr>
          <w:rFonts w:ascii="Times New Roman" w:hAnsi="Times New Roman"/>
          <w:szCs w:val="24"/>
        </w:rPr>
        <w:t xml:space="preserve"> the definition of</w:t>
      </w:r>
      <w:r>
        <w:rPr>
          <w:rFonts w:ascii="Times New Roman" w:hAnsi="Times New Roman"/>
          <w:szCs w:val="24"/>
        </w:rPr>
        <w:t xml:space="preserve"> </w:t>
      </w:r>
      <w:r w:rsidRPr="00CD4E6B">
        <w:rPr>
          <w:rFonts w:ascii="Times New Roman" w:hAnsi="Times New Roman"/>
          <w:szCs w:val="24"/>
        </w:rPr>
        <w:t xml:space="preserve">the denominator of the </w:t>
      </w:r>
      <w:r>
        <w:rPr>
          <w:rFonts w:ascii="Times New Roman" w:hAnsi="Times New Roman"/>
          <w:szCs w:val="24"/>
        </w:rPr>
        <w:t xml:space="preserve">supplementary leverage ratio (SLR) (i.e., </w:t>
      </w:r>
      <w:r w:rsidRPr="00CD4E6B">
        <w:rPr>
          <w:rFonts w:ascii="Times New Roman" w:hAnsi="Times New Roman"/>
          <w:szCs w:val="24"/>
        </w:rPr>
        <w:t>total leverage</w:t>
      </w:r>
      <w:r>
        <w:rPr>
          <w:rFonts w:ascii="Times New Roman" w:hAnsi="Times New Roman"/>
          <w:szCs w:val="24"/>
        </w:rPr>
        <w:t xml:space="preserve"> </w:t>
      </w:r>
      <w:r w:rsidRPr="00CD4E6B">
        <w:rPr>
          <w:rFonts w:ascii="Times New Roman" w:hAnsi="Times New Roman"/>
          <w:szCs w:val="24"/>
        </w:rPr>
        <w:t>exposure</w:t>
      </w:r>
      <w:r>
        <w:rPr>
          <w:rFonts w:ascii="Times New Roman" w:hAnsi="Times New Roman"/>
          <w:szCs w:val="24"/>
        </w:rPr>
        <w:t>)</w:t>
      </w:r>
      <w:r w:rsidRPr="00CD4E6B">
        <w:rPr>
          <w:rFonts w:ascii="Times New Roman" w:hAnsi="Times New Roman"/>
          <w:szCs w:val="24"/>
        </w:rPr>
        <w:t xml:space="preserve"> that </w:t>
      </w:r>
      <w:r>
        <w:rPr>
          <w:rFonts w:ascii="Times New Roman" w:hAnsi="Times New Roman"/>
          <w:szCs w:val="24"/>
        </w:rPr>
        <w:t xml:space="preserve">had been </w:t>
      </w:r>
      <w:r w:rsidRPr="00CD4E6B">
        <w:rPr>
          <w:rFonts w:ascii="Times New Roman" w:hAnsi="Times New Roman"/>
          <w:szCs w:val="24"/>
        </w:rPr>
        <w:t>adopted in July 2013</w:t>
      </w:r>
      <w:r>
        <w:rPr>
          <w:rFonts w:ascii="Times New Roman" w:hAnsi="Times New Roman"/>
          <w:szCs w:val="24"/>
        </w:rPr>
        <w:t xml:space="preserve"> </w:t>
      </w:r>
      <w:r w:rsidRPr="00CD4E6B">
        <w:rPr>
          <w:rFonts w:ascii="Times New Roman" w:hAnsi="Times New Roman"/>
          <w:szCs w:val="24"/>
        </w:rPr>
        <w:t>as part of comprehensive revisions to</w:t>
      </w:r>
      <w:r>
        <w:rPr>
          <w:rFonts w:ascii="Times New Roman" w:hAnsi="Times New Roman"/>
          <w:szCs w:val="24"/>
        </w:rPr>
        <w:t xml:space="preserve"> </w:t>
      </w:r>
      <w:r w:rsidRPr="00CD4E6B">
        <w:rPr>
          <w:rFonts w:ascii="Times New Roman" w:hAnsi="Times New Roman"/>
          <w:szCs w:val="24"/>
        </w:rPr>
        <w:t>the agencies’ regulatory capital rules.</w:t>
      </w:r>
      <w:r>
        <w:rPr>
          <w:rStyle w:val="FootnoteReference"/>
          <w:rFonts w:ascii="Times New Roman" w:hAnsi="Times New Roman"/>
          <w:szCs w:val="24"/>
        </w:rPr>
        <w:footnoteReference w:id="3"/>
      </w:r>
      <w:r w:rsidRPr="00CD4E6B">
        <w:rPr>
          <w:rFonts w:ascii="Times New Roman" w:hAnsi="Times New Roman"/>
          <w:szCs w:val="24"/>
        </w:rPr>
        <w:t xml:space="preserve"> </w:t>
      </w:r>
      <w:r>
        <w:rPr>
          <w:rFonts w:ascii="Times New Roman" w:hAnsi="Times New Roman"/>
          <w:szCs w:val="24"/>
        </w:rPr>
        <w:t xml:space="preserve"> </w:t>
      </w:r>
      <w:r w:rsidRPr="00CD4E6B">
        <w:rPr>
          <w:rFonts w:ascii="Times New Roman" w:hAnsi="Times New Roman"/>
          <w:szCs w:val="24"/>
        </w:rPr>
        <w:t>The final rule revise</w:t>
      </w:r>
      <w:r>
        <w:rPr>
          <w:rFonts w:ascii="Times New Roman" w:hAnsi="Times New Roman"/>
          <w:szCs w:val="24"/>
        </w:rPr>
        <w:t>d</w:t>
      </w:r>
      <w:r w:rsidRPr="00CD4E6B">
        <w:rPr>
          <w:rFonts w:ascii="Times New Roman" w:hAnsi="Times New Roman"/>
          <w:szCs w:val="24"/>
        </w:rPr>
        <w:t xml:space="preserve"> total leverage</w:t>
      </w:r>
      <w:r>
        <w:rPr>
          <w:rFonts w:ascii="Times New Roman" w:hAnsi="Times New Roman"/>
          <w:szCs w:val="24"/>
        </w:rPr>
        <w:t xml:space="preserve"> </w:t>
      </w:r>
      <w:r w:rsidRPr="00CD4E6B">
        <w:rPr>
          <w:rFonts w:ascii="Times New Roman" w:hAnsi="Times New Roman"/>
          <w:szCs w:val="24"/>
        </w:rPr>
        <w:t>exposure as defined in the 2013 rule to include the effective</w:t>
      </w:r>
      <w:r>
        <w:rPr>
          <w:rFonts w:ascii="Times New Roman" w:hAnsi="Times New Roman"/>
          <w:szCs w:val="24"/>
        </w:rPr>
        <w:t xml:space="preserve"> </w:t>
      </w:r>
      <w:r w:rsidRPr="00CD4E6B">
        <w:rPr>
          <w:rFonts w:ascii="Times New Roman" w:hAnsi="Times New Roman"/>
          <w:szCs w:val="24"/>
        </w:rPr>
        <w:t>notional principal amount of credit</w:t>
      </w:r>
      <w:r>
        <w:rPr>
          <w:rFonts w:ascii="Times New Roman" w:hAnsi="Times New Roman"/>
          <w:szCs w:val="24"/>
        </w:rPr>
        <w:t xml:space="preserve"> </w:t>
      </w:r>
      <w:r w:rsidRPr="00CD4E6B">
        <w:rPr>
          <w:rFonts w:ascii="Times New Roman" w:hAnsi="Times New Roman"/>
          <w:szCs w:val="24"/>
        </w:rPr>
        <w:t>derivatives and other similar</w:t>
      </w:r>
      <w:r>
        <w:rPr>
          <w:rFonts w:ascii="Times New Roman" w:hAnsi="Times New Roman"/>
          <w:szCs w:val="24"/>
        </w:rPr>
        <w:t xml:space="preserve"> </w:t>
      </w:r>
      <w:r w:rsidRPr="00CD4E6B">
        <w:rPr>
          <w:rFonts w:ascii="Times New Roman" w:hAnsi="Times New Roman"/>
          <w:szCs w:val="24"/>
        </w:rPr>
        <w:t>instruments through which a banking</w:t>
      </w:r>
      <w:r>
        <w:rPr>
          <w:rFonts w:ascii="Times New Roman" w:hAnsi="Times New Roman"/>
          <w:szCs w:val="24"/>
        </w:rPr>
        <w:t xml:space="preserve"> </w:t>
      </w:r>
      <w:r w:rsidRPr="00091712">
        <w:rPr>
          <w:rFonts w:ascii="Times New Roman" w:hAnsi="Times New Roman"/>
          <w:szCs w:val="24"/>
        </w:rPr>
        <w:t>organization provides credit protection</w:t>
      </w:r>
      <w:r>
        <w:rPr>
          <w:rFonts w:ascii="Times New Roman" w:hAnsi="Times New Roman"/>
          <w:szCs w:val="24"/>
        </w:rPr>
        <w:t xml:space="preserve"> </w:t>
      </w:r>
      <w:r w:rsidRPr="00091712">
        <w:rPr>
          <w:rFonts w:ascii="Times New Roman" w:hAnsi="Times New Roman"/>
          <w:szCs w:val="24"/>
        </w:rPr>
        <w:t>(sold credit protection); modifie</w:t>
      </w:r>
      <w:r>
        <w:rPr>
          <w:rFonts w:ascii="Times New Roman" w:hAnsi="Times New Roman"/>
          <w:szCs w:val="24"/>
        </w:rPr>
        <w:t>d</w:t>
      </w:r>
      <w:r w:rsidRPr="00091712">
        <w:rPr>
          <w:rFonts w:ascii="Times New Roman" w:hAnsi="Times New Roman"/>
          <w:szCs w:val="24"/>
        </w:rPr>
        <w:t xml:space="preserve"> the</w:t>
      </w:r>
      <w:r>
        <w:rPr>
          <w:rFonts w:ascii="Times New Roman" w:hAnsi="Times New Roman"/>
          <w:szCs w:val="24"/>
        </w:rPr>
        <w:t xml:space="preserve"> </w:t>
      </w:r>
      <w:r w:rsidRPr="00091712">
        <w:rPr>
          <w:rFonts w:ascii="Times New Roman" w:hAnsi="Times New Roman"/>
          <w:szCs w:val="24"/>
        </w:rPr>
        <w:t>calculation of total leverage exposure for</w:t>
      </w:r>
      <w:r>
        <w:rPr>
          <w:rFonts w:ascii="Times New Roman" w:hAnsi="Times New Roman"/>
          <w:szCs w:val="24"/>
        </w:rPr>
        <w:t xml:space="preserve"> </w:t>
      </w:r>
      <w:r w:rsidRPr="00091712">
        <w:rPr>
          <w:rFonts w:ascii="Times New Roman" w:hAnsi="Times New Roman"/>
          <w:szCs w:val="24"/>
        </w:rPr>
        <w:t>derivative and repo-style transactions;</w:t>
      </w:r>
      <w:r>
        <w:rPr>
          <w:rFonts w:ascii="Times New Roman" w:hAnsi="Times New Roman"/>
          <w:szCs w:val="24"/>
        </w:rPr>
        <w:t xml:space="preserve"> </w:t>
      </w:r>
      <w:r w:rsidRPr="00091712">
        <w:rPr>
          <w:rFonts w:ascii="Times New Roman" w:hAnsi="Times New Roman"/>
          <w:szCs w:val="24"/>
        </w:rPr>
        <w:t>and revise</w:t>
      </w:r>
      <w:r>
        <w:rPr>
          <w:rFonts w:ascii="Times New Roman" w:hAnsi="Times New Roman"/>
          <w:szCs w:val="24"/>
        </w:rPr>
        <w:t>d</w:t>
      </w:r>
      <w:r w:rsidRPr="00091712">
        <w:rPr>
          <w:rFonts w:ascii="Times New Roman" w:hAnsi="Times New Roman"/>
          <w:szCs w:val="24"/>
        </w:rPr>
        <w:t xml:space="preserve"> the credit conversion factors</w:t>
      </w:r>
      <w:r>
        <w:rPr>
          <w:rFonts w:ascii="Times New Roman" w:hAnsi="Times New Roman"/>
          <w:szCs w:val="24"/>
        </w:rPr>
        <w:t xml:space="preserve"> </w:t>
      </w:r>
      <w:r w:rsidRPr="00091712">
        <w:rPr>
          <w:rFonts w:ascii="Times New Roman" w:hAnsi="Times New Roman"/>
          <w:szCs w:val="24"/>
        </w:rPr>
        <w:t>applied to certain off-balance sheet</w:t>
      </w:r>
      <w:r>
        <w:rPr>
          <w:rFonts w:ascii="Times New Roman" w:hAnsi="Times New Roman"/>
          <w:szCs w:val="24"/>
        </w:rPr>
        <w:t xml:space="preserve"> </w:t>
      </w:r>
      <w:r w:rsidRPr="00091712">
        <w:rPr>
          <w:rFonts w:ascii="Times New Roman" w:hAnsi="Times New Roman"/>
          <w:szCs w:val="24"/>
        </w:rPr>
        <w:t xml:space="preserve">exposures. </w:t>
      </w:r>
      <w:r>
        <w:rPr>
          <w:rFonts w:ascii="Times New Roman" w:hAnsi="Times New Roman"/>
          <w:szCs w:val="24"/>
        </w:rPr>
        <w:t xml:space="preserve"> </w:t>
      </w:r>
      <w:r w:rsidRPr="00091712">
        <w:rPr>
          <w:rFonts w:ascii="Times New Roman" w:hAnsi="Times New Roman"/>
          <w:szCs w:val="24"/>
        </w:rPr>
        <w:t>The final rule also change</w:t>
      </w:r>
      <w:r>
        <w:rPr>
          <w:rFonts w:ascii="Times New Roman" w:hAnsi="Times New Roman"/>
          <w:szCs w:val="24"/>
        </w:rPr>
        <w:t xml:space="preserve">d </w:t>
      </w:r>
      <w:r w:rsidRPr="00091712">
        <w:rPr>
          <w:rFonts w:ascii="Times New Roman" w:hAnsi="Times New Roman"/>
          <w:szCs w:val="24"/>
        </w:rPr>
        <w:t>the frequency with which certain</w:t>
      </w:r>
      <w:r>
        <w:rPr>
          <w:rFonts w:ascii="Times New Roman" w:hAnsi="Times New Roman"/>
          <w:szCs w:val="24"/>
        </w:rPr>
        <w:t xml:space="preserve"> </w:t>
      </w:r>
      <w:r w:rsidRPr="00091712">
        <w:rPr>
          <w:rFonts w:ascii="Times New Roman" w:hAnsi="Times New Roman"/>
          <w:szCs w:val="24"/>
        </w:rPr>
        <w:t xml:space="preserve">components of the </w:t>
      </w:r>
      <w:r>
        <w:rPr>
          <w:rFonts w:ascii="Times New Roman" w:hAnsi="Times New Roman"/>
          <w:szCs w:val="24"/>
        </w:rPr>
        <w:t>SLR</w:t>
      </w:r>
      <w:r w:rsidRPr="00091712">
        <w:rPr>
          <w:rFonts w:ascii="Times New Roman" w:hAnsi="Times New Roman"/>
          <w:szCs w:val="24"/>
        </w:rPr>
        <w:t xml:space="preserve"> are calculated and</w:t>
      </w:r>
      <w:r>
        <w:rPr>
          <w:rFonts w:ascii="Times New Roman" w:hAnsi="Times New Roman"/>
          <w:szCs w:val="24"/>
        </w:rPr>
        <w:t xml:space="preserve"> </w:t>
      </w:r>
      <w:r w:rsidRPr="00091712">
        <w:rPr>
          <w:rFonts w:ascii="Times New Roman" w:hAnsi="Times New Roman"/>
          <w:szCs w:val="24"/>
        </w:rPr>
        <w:t>establishes public disclosure</w:t>
      </w:r>
      <w:r>
        <w:rPr>
          <w:rFonts w:ascii="Times New Roman" w:hAnsi="Times New Roman"/>
          <w:szCs w:val="24"/>
        </w:rPr>
        <w:t xml:space="preserve"> </w:t>
      </w:r>
      <w:r w:rsidRPr="00091712">
        <w:rPr>
          <w:rFonts w:ascii="Times New Roman" w:hAnsi="Times New Roman"/>
          <w:szCs w:val="24"/>
        </w:rPr>
        <w:t xml:space="preserve">requirements </w:t>
      </w:r>
      <w:r>
        <w:rPr>
          <w:rFonts w:ascii="Times New Roman" w:hAnsi="Times New Roman"/>
          <w:szCs w:val="24"/>
        </w:rPr>
        <w:t>for</w:t>
      </w:r>
      <w:r w:rsidRPr="00091712">
        <w:rPr>
          <w:rFonts w:ascii="Times New Roman" w:hAnsi="Times New Roman"/>
          <w:szCs w:val="24"/>
        </w:rPr>
        <w:t xml:space="preserve"> certain items associated</w:t>
      </w:r>
      <w:r>
        <w:rPr>
          <w:rFonts w:ascii="Times New Roman" w:hAnsi="Times New Roman"/>
          <w:szCs w:val="24"/>
        </w:rPr>
        <w:t xml:space="preserve"> </w:t>
      </w:r>
      <w:r w:rsidRPr="00091712">
        <w:rPr>
          <w:rFonts w:ascii="Times New Roman" w:hAnsi="Times New Roman"/>
          <w:szCs w:val="24"/>
        </w:rPr>
        <w:t xml:space="preserve">with the </w:t>
      </w:r>
      <w:r>
        <w:rPr>
          <w:rFonts w:ascii="Times New Roman" w:hAnsi="Times New Roman"/>
          <w:szCs w:val="24"/>
        </w:rPr>
        <w:t>SLR</w:t>
      </w:r>
      <w:r w:rsidRPr="00091712">
        <w:rPr>
          <w:rFonts w:ascii="Times New Roman" w:hAnsi="Times New Roman"/>
          <w:szCs w:val="24"/>
        </w:rPr>
        <w:t>.</w:t>
      </w:r>
      <w:r>
        <w:rPr>
          <w:rFonts w:ascii="Times New Roman" w:hAnsi="Times New Roman"/>
          <w:szCs w:val="24"/>
        </w:rPr>
        <w:t xml:space="preserve">  </w:t>
      </w:r>
      <w:r w:rsidRPr="00BD0454">
        <w:rPr>
          <w:rFonts w:ascii="Times New Roman" w:hAnsi="Times New Roman"/>
          <w:szCs w:val="24"/>
        </w:rPr>
        <w:t xml:space="preserve">The final rule </w:t>
      </w:r>
      <w:r>
        <w:rPr>
          <w:rFonts w:ascii="Times New Roman" w:hAnsi="Times New Roman"/>
          <w:szCs w:val="24"/>
        </w:rPr>
        <w:t>wa</w:t>
      </w:r>
      <w:r w:rsidRPr="00BD0454">
        <w:rPr>
          <w:rFonts w:ascii="Times New Roman" w:hAnsi="Times New Roman"/>
          <w:szCs w:val="24"/>
        </w:rPr>
        <w:t>s effective January</w:t>
      </w:r>
      <w:r>
        <w:rPr>
          <w:rFonts w:ascii="Times New Roman" w:hAnsi="Times New Roman"/>
          <w:szCs w:val="24"/>
        </w:rPr>
        <w:t xml:space="preserve"> </w:t>
      </w:r>
      <w:r w:rsidRPr="00BD0454">
        <w:rPr>
          <w:rFonts w:ascii="Times New Roman" w:hAnsi="Times New Roman"/>
          <w:szCs w:val="24"/>
        </w:rPr>
        <w:t>1, 2015.</w:t>
      </w:r>
    </w:p>
    <w:p w:rsidR="00040460" w:rsidRDefault="00040460" w:rsidP="00040460">
      <w:pPr>
        <w:rPr>
          <w:rFonts w:ascii="Times New Roman" w:hAnsi="Times New Roman"/>
        </w:rPr>
      </w:pPr>
    </w:p>
    <w:p w:rsidR="00040460" w:rsidRDefault="00040460" w:rsidP="00040460">
      <w:pPr>
        <w:rPr>
          <w:rFonts w:ascii="Times New Roman" w:hAnsi="Times New Roman"/>
        </w:rPr>
      </w:pPr>
      <w:r>
        <w:rPr>
          <w:rFonts w:ascii="Times New Roman" w:hAnsi="Times New Roman"/>
        </w:rPr>
        <w:t>A</w:t>
      </w:r>
      <w:r w:rsidRPr="002D7BFC">
        <w:rPr>
          <w:rFonts w:ascii="Times New Roman" w:hAnsi="Times New Roman"/>
        </w:rPr>
        <w:t>ll bank</w:t>
      </w:r>
      <w:r>
        <w:rPr>
          <w:rFonts w:ascii="Times New Roman" w:hAnsi="Times New Roman"/>
        </w:rPr>
        <w:t>ing organizations</w:t>
      </w:r>
      <w:r w:rsidRPr="002D7BFC">
        <w:rPr>
          <w:rFonts w:ascii="Times New Roman" w:hAnsi="Times New Roman"/>
        </w:rPr>
        <w:t xml:space="preserve"> subject to the </w:t>
      </w:r>
      <w:r w:rsidR="001D137F">
        <w:rPr>
          <w:rFonts w:ascii="Times New Roman" w:hAnsi="Times New Roman"/>
        </w:rPr>
        <w:t>a</w:t>
      </w:r>
      <w:r w:rsidRPr="002D7BFC">
        <w:rPr>
          <w:rFonts w:ascii="Times New Roman" w:hAnsi="Times New Roman"/>
        </w:rPr>
        <w:t xml:space="preserve">dvanced </w:t>
      </w:r>
      <w:r w:rsidR="001D137F">
        <w:rPr>
          <w:rFonts w:ascii="Times New Roman" w:hAnsi="Times New Roman"/>
        </w:rPr>
        <w:t xml:space="preserve">approaches rule </w:t>
      </w:r>
      <w:r>
        <w:rPr>
          <w:rFonts w:ascii="Times New Roman" w:hAnsi="Times New Roman"/>
        </w:rPr>
        <w:t xml:space="preserve">must report </w:t>
      </w:r>
      <w:r w:rsidRPr="002D7BFC">
        <w:rPr>
          <w:rFonts w:ascii="Times New Roman" w:hAnsi="Times New Roman"/>
        </w:rPr>
        <w:t>SLR data in SLR Tables 1 and 2 of FFIEC 101 Schedule A unless the banking organization is</w:t>
      </w:r>
      <w:r>
        <w:rPr>
          <w:rFonts w:ascii="Times New Roman" w:hAnsi="Times New Roman"/>
        </w:rPr>
        <w:t>:</w:t>
      </w:r>
      <w:r w:rsidRPr="002D7BFC">
        <w:rPr>
          <w:rFonts w:ascii="Times New Roman" w:hAnsi="Times New Roman"/>
        </w:rPr>
        <w:t xml:space="preserve"> </w:t>
      </w:r>
    </w:p>
    <w:p w:rsidR="00040460" w:rsidRDefault="00040460" w:rsidP="00040460">
      <w:pPr>
        <w:tabs>
          <w:tab w:val="left" w:pos="360"/>
        </w:tabs>
        <w:ind w:left="360" w:hanging="360"/>
        <w:rPr>
          <w:rFonts w:ascii="Times New Roman" w:hAnsi="Times New Roman"/>
        </w:rPr>
      </w:pPr>
      <w:r w:rsidRPr="002D7BFC">
        <w:rPr>
          <w:rFonts w:ascii="Times New Roman" w:hAnsi="Times New Roman"/>
        </w:rPr>
        <w:t>(i)</w:t>
      </w:r>
      <w:r>
        <w:rPr>
          <w:rFonts w:ascii="Times New Roman" w:hAnsi="Times New Roman"/>
        </w:rPr>
        <w:tab/>
      </w:r>
      <w:r w:rsidRPr="002D7BFC">
        <w:rPr>
          <w:rFonts w:ascii="Times New Roman" w:hAnsi="Times New Roman"/>
        </w:rPr>
        <w:t>a consolidated subsidiary of a bank holding company</w:t>
      </w:r>
      <w:r>
        <w:rPr>
          <w:rFonts w:ascii="Times New Roman" w:hAnsi="Times New Roman"/>
        </w:rPr>
        <w:t>,</w:t>
      </w:r>
      <w:r w:rsidRPr="002D7BFC">
        <w:rPr>
          <w:rFonts w:ascii="Times New Roman" w:hAnsi="Times New Roman"/>
        </w:rPr>
        <w:t xml:space="preserve"> savings and loan holding company, or depository institution that is subject to the disclosure requirements in Table 13 of section 173 of the advanced approaches rule, or </w:t>
      </w:r>
    </w:p>
    <w:p w:rsidR="00040460" w:rsidRDefault="00040460" w:rsidP="00040460">
      <w:pPr>
        <w:tabs>
          <w:tab w:val="left" w:pos="360"/>
        </w:tabs>
        <w:ind w:left="360" w:hanging="360"/>
        <w:rPr>
          <w:rFonts w:ascii="Times New Roman" w:hAnsi="Times New Roman"/>
        </w:rPr>
      </w:pPr>
      <w:r w:rsidRPr="002D7BFC">
        <w:rPr>
          <w:rFonts w:ascii="Times New Roman" w:hAnsi="Times New Roman"/>
        </w:rPr>
        <w:t>(ii)</w:t>
      </w:r>
      <w:r>
        <w:rPr>
          <w:rFonts w:ascii="Times New Roman" w:hAnsi="Times New Roman"/>
        </w:rPr>
        <w:tab/>
      </w:r>
      <w:r w:rsidRPr="002D7BFC">
        <w:rPr>
          <w:rFonts w:ascii="Times New Roman" w:hAnsi="Times New Roman"/>
        </w:rPr>
        <w:t>a subsidiary of a non-U.S. banking organization that is subject to comparable public disclosure requirements in its home jurisdiction.</w:t>
      </w:r>
    </w:p>
    <w:p w:rsidR="003B78E0" w:rsidRDefault="003B78E0">
      <w:pPr>
        <w:rPr>
          <w:rFonts w:ascii="Times New Roman" w:hAnsi="Times New Roman"/>
        </w:rPr>
      </w:pPr>
    </w:p>
    <w:p w:rsidR="007C0E40" w:rsidRPr="007C0E40" w:rsidRDefault="007C0E40" w:rsidP="007C0E40">
      <w:pPr>
        <w:rPr>
          <w:rFonts w:ascii="Times New Roman" w:hAnsi="Times New Roman"/>
        </w:rPr>
      </w:pPr>
      <w:r w:rsidRPr="007C0E40">
        <w:rPr>
          <w:rFonts w:ascii="Times New Roman" w:hAnsi="Times New Roman"/>
          <w:u w:val="single"/>
        </w:rPr>
        <w:t xml:space="preserve">Proposed Revisions </w:t>
      </w:r>
      <w:r w:rsidR="00B64D4C">
        <w:rPr>
          <w:rFonts w:ascii="Times New Roman" w:hAnsi="Times New Roman"/>
          <w:u w:val="single"/>
        </w:rPr>
        <w:t>T</w:t>
      </w:r>
      <w:r w:rsidRPr="007C0E40">
        <w:rPr>
          <w:rFonts w:ascii="Times New Roman" w:hAnsi="Times New Roman"/>
          <w:u w:val="single"/>
        </w:rPr>
        <w:t>hat are the Subject of This Proposal</w:t>
      </w:r>
      <w:r>
        <w:rPr>
          <w:rFonts w:ascii="Times New Roman" w:hAnsi="Times New Roman"/>
        </w:rPr>
        <w:t xml:space="preserve"> ‒ </w:t>
      </w:r>
      <w:r w:rsidRPr="007C0E40">
        <w:rPr>
          <w:rFonts w:ascii="Times New Roman" w:hAnsi="Times New Roman"/>
        </w:rPr>
        <w:t>The agencies propose under the emergency clearance provisions of OMB’s regulations to revise the FFIEC 101 for the June 30, 2018, report date.  The agencies have determined that (1) the colle</w:t>
      </w:r>
      <w:r>
        <w:rPr>
          <w:rFonts w:ascii="Times New Roman" w:hAnsi="Times New Roman"/>
        </w:rPr>
        <w:t>ction of information within the </w:t>
      </w:r>
      <w:r w:rsidRPr="007C0E40">
        <w:rPr>
          <w:rFonts w:ascii="Times New Roman" w:hAnsi="Times New Roman"/>
        </w:rPr>
        <w:t>scope of this request is needed prior to the expiration of time periods established under 5</w:t>
      </w:r>
      <w:r>
        <w:rPr>
          <w:rFonts w:ascii="Times New Roman" w:hAnsi="Times New Roman"/>
        </w:rPr>
        <w:t> </w:t>
      </w:r>
      <w:r w:rsidRPr="007C0E40">
        <w:rPr>
          <w:rFonts w:ascii="Times New Roman" w:hAnsi="Times New Roman"/>
        </w:rPr>
        <w:t>CFR 1320.10, (2) this collection of information is essential to the mission of the agencies, and (3) the agencies cannot reasonably comply with the normal clearance procedures because an unanticipated event has occurred and the use of normal clearance procedures is reasonably likely to prevent or disrupt the collection of information.</w:t>
      </w:r>
    </w:p>
    <w:p w:rsidR="007C0E40" w:rsidRPr="007C0E40" w:rsidRDefault="007C0E40" w:rsidP="007C0E40">
      <w:pPr>
        <w:rPr>
          <w:rFonts w:ascii="Times New Roman" w:hAnsi="Times New Roman"/>
        </w:rPr>
      </w:pPr>
    </w:p>
    <w:p w:rsidR="007C0E40" w:rsidRPr="007C0E40" w:rsidRDefault="007C0E40" w:rsidP="007C0E40">
      <w:pPr>
        <w:rPr>
          <w:rFonts w:ascii="Times New Roman" w:hAnsi="Times New Roman"/>
        </w:rPr>
      </w:pPr>
      <w:r w:rsidRPr="007C0E40">
        <w:rPr>
          <w:rFonts w:ascii="Times New Roman" w:hAnsi="Times New Roman"/>
        </w:rPr>
        <w:t xml:space="preserve">These revisions arise from Congressional enactment of the EGRRCPA.  Section 214 of EGRRCPA requires the agencies to revise the definition of HVCRE </w:t>
      </w:r>
      <w:r>
        <w:rPr>
          <w:rFonts w:ascii="Times New Roman" w:hAnsi="Times New Roman"/>
        </w:rPr>
        <w:t xml:space="preserve">exposures </w:t>
      </w:r>
      <w:r w:rsidRPr="007C0E40">
        <w:rPr>
          <w:rFonts w:ascii="Times New Roman" w:hAnsi="Times New Roman"/>
        </w:rPr>
        <w:t>that institutions use to calculate</w:t>
      </w:r>
      <w:r w:rsidR="007820DD">
        <w:rPr>
          <w:rFonts w:ascii="Times New Roman" w:hAnsi="Times New Roman"/>
        </w:rPr>
        <w:t xml:space="preserve"> risk-weighted assets and, hence,</w:t>
      </w:r>
      <w:r w:rsidRPr="007C0E40">
        <w:rPr>
          <w:rFonts w:ascii="Times New Roman" w:hAnsi="Times New Roman"/>
        </w:rPr>
        <w:t xml:space="preserve"> risk-based capital</w:t>
      </w:r>
      <w:r w:rsidR="007820DD">
        <w:rPr>
          <w:rFonts w:ascii="Times New Roman" w:hAnsi="Times New Roman"/>
        </w:rPr>
        <w:t xml:space="preserve"> ratios</w:t>
      </w:r>
      <w:r w:rsidRPr="007C0E40">
        <w:rPr>
          <w:rFonts w:ascii="Times New Roman" w:hAnsi="Times New Roman"/>
        </w:rPr>
        <w:t>.  This provision became effective when the law was signed on May 24, 2018.</w:t>
      </w:r>
    </w:p>
    <w:p w:rsidR="007C0E40" w:rsidRPr="007C0E40" w:rsidRDefault="007C0E40" w:rsidP="007C0E40">
      <w:pPr>
        <w:rPr>
          <w:rFonts w:ascii="Times New Roman" w:hAnsi="Times New Roman"/>
        </w:rPr>
      </w:pPr>
    </w:p>
    <w:p w:rsidR="007C0E40" w:rsidRPr="007C0E40" w:rsidRDefault="007C0E40" w:rsidP="007C0E40">
      <w:pPr>
        <w:rPr>
          <w:rFonts w:ascii="Times New Roman" w:hAnsi="Times New Roman"/>
        </w:rPr>
      </w:pPr>
      <w:r w:rsidRPr="007C0E40">
        <w:rPr>
          <w:rFonts w:ascii="Times New Roman" w:hAnsi="Times New Roman"/>
        </w:rPr>
        <w:t xml:space="preserve">The agencies must receive data from the quarterly FFIEC 101 report to assess and monitor the levels and components of each reporting entity’s risk-based capital requirements and the adequacy of the entity’s capital under the framework.  The next reports are due at </w:t>
      </w:r>
      <w:r w:rsidR="00D369CB">
        <w:rPr>
          <w:rFonts w:ascii="Times New Roman" w:hAnsi="Times New Roman"/>
        </w:rPr>
        <w:t xml:space="preserve">varying dates through </w:t>
      </w:r>
      <w:r w:rsidRPr="007C0E40">
        <w:rPr>
          <w:rFonts w:ascii="Times New Roman" w:hAnsi="Times New Roman"/>
        </w:rPr>
        <w:t xml:space="preserve">the end of August 2018 based on information as of June 30, 2018.  In order for the agencies to implement </w:t>
      </w:r>
      <w:r w:rsidR="00A44585">
        <w:rPr>
          <w:rFonts w:ascii="Times New Roman" w:hAnsi="Times New Roman"/>
        </w:rPr>
        <w:t>S</w:t>
      </w:r>
      <w:r w:rsidRPr="007C0E40">
        <w:rPr>
          <w:rFonts w:ascii="Times New Roman" w:hAnsi="Times New Roman"/>
        </w:rPr>
        <w:t>ection 214 as required by law, the agencies cannot comply with the normal clearance process and still receive the June 30, 2018, financial data in a timely manner.</w:t>
      </w:r>
    </w:p>
    <w:p w:rsidR="007C0E40" w:rsidRPr="007C0E40" w:rsidRDefault="007C0E40" w:rsidP="007C0E40">
      <w:pPr>
        <w:rPr>
          <w:rFonts w:ascii="Times New Roman" w:hAnsi="Times New Roman"/>
        </w:rPr>
      </w:pPr>
    </w:p>
    <w:p w:rsidR="007C0E40" w:rsidRPr="007C0E40" w:rsidRDefault="007C0E40" w:rsidP="00D369CB">
      <w:pPr>
        <w:widowControl/>
        <w:rPr>
          <w:rFonts w:ascii="Times New Roman" w:hAnsi="Times New Roman"/>
        </w:rPr>
      </w:pPr>
      <w:r>
        <w:rPr>
          <w:rFonts w:ascii="Times New Roman" w:hAnsi="Times New Roman"/>
        </w:rPr>
        <w:t xml:space="preserve">With respect to </w:t>
      </w:r>
      <w:r w:rsidR="0028735E">
        <w:rPr>
          <w:rFonts w:ascii="Times New Roman" w:hAnsi="Times New Roman"/>
        </w:rPr>
        <w:t xml:space="preserve">the </w:t>
      </w:r>
      <w:r>
        <w:rPr>
          <w:rFonts w:ascii="Times New Roman" w:hAnsi="Times New Roman"/>
        </w:rPr>
        <w:t>HVCRE exposures</w:t>
      </w:r>
      <w:r w:rsidR="0028735E">
        <w:rPr>
          <w:rFonts w:ascii="Times New Roman" w:hAnsi="Times New Roman"/>
        </w:rPr>
        <w:t xml:space="preserve"> that are the subject of this submission</w:t>
      </w:r>
      <w:r>
        <w:rPr>
          <w:rFonts w:ascii="Times New Roman" w:hAnsi="Times New Roman"/>
        </w:rPr>
        <w:t xml:space="preserve">, </w:t>
      </w:r>
      <w:r w:rsidRPr="007C0E40">
        <w:rPr>
          <w:rFonts w:ascii="Times New Roman" w:hAnsi="Times New Roman"/>
        </w:rPr>
        <w:t xml:space="preserve">Section 214 of EGRRCPA adds a new </w:t>
      </w:r>
      <w:r w:rsidR="002F0396">
        <w:rPr>
          <w:rFonts w:ascii="Times New Roman" w:hAnsi="Times New Roman"/>
        </w:rPr>
        <w:t>S</w:t>
      </w:r>
      <w:r w:rsidRPr="007C0E40">
        <w:rPr>
          <w:rFonts w:ascii="Times New Roman" w:hAnsi="Times New Roman"/>
        </w:rPr>
        <w:t>ection 51 to the F</w:t>
      </w:r>
      <w:r w:rsidR="006016EF">
        <w:rPr>
          <w:rFonts w:ascii="Times New Roman" w:hAnsi="Times New Roman"/>
        </w:rPr>
        <w:t xml:space="preserve">ederal </w:t>
      </w:r>
      <w:r w:rsidRPr="007C0E40">
        <w:rPr>
          <w:rFonts w:ascii="Times New Roman" w:hAnsi="Times New Roman"/>
        </w:rPr>
        <w:t>D</w:t>
      </w:r>
      <w:r w:rsidR="006016EF">
        <w:rPr>
          <w:rFonts w:ascii="Times New Roman" w:hAnsi="Times New Roman"/>
        </w:rPr>
        <w:t>eposit Insurance</w:t>
      </w:r>
      <w:r w:rsidRPr="007C0E40">
        <w:rPr>
          <w:rFonts w:ascii="Times New Roman" w:hAnsi="Times New Roman"/>
        </w:rPr>
        <w:t xml:space="preserve"> Act governing the </w:t>
      </w:r>
      <w:r w:rsidR="007820DD">
        <w:rPr>
          <w:rFonts w:ascii="Times New Roman" w:hAnsi="Times New Roman"/>
        </w:rPr>
        <w:t xml:space="preserve">risk-based capital </w:t>
      </w:r>
      <w:r w:rsidRPr="007C0E40">
        <w:rPr>
          <w:rFonts w:ascii="Times New Roman" w:hAnsi="Times New Roman"/>
        </w:rPr>
        <w:t xml:space="preserve">requirements for certain acquisition, development, or construction (ADC) loans.  The agencies may only require a depository institution to assign a heightened risk weight to an HVCRE exposure if such exposure is an “HVCRE ADC Loan,” as defined in </w:t>
      </w:r>
      <w:r w:rsidR="006016EF">
        <w:rPr>
          <w:rFonts w:ascii="Times New Roman" w:hAnsi="Times New Roman"/>
        </w:rPr>
        <w:t>S</w:t>
      </w:r>
      <w:r w:rsidRPr="007C0E40">
        <w:rPr>
          <w:rFonts w:ascii="Times New Roman" w:hAnsi="Times New Roman"/>
        </w:rPr>
        <w:t>ection 214 of EGRRCPA.</w:t>
      </w:r>
    </w:p>
    <w:p w:rsidR="007C0E40" w:rsidRDefault="007C0E40" w:rsidP="007C0E40">
      <w:pPr>
        <w:rPr>
          <w:rFonts w:ascii="Times New Roman" w:hAnsi="Times New Roman"/>
        </w:rPr>
      </w:pPr>
    </w:p>
    <w:p w:rsidR="007C0E40" w:rsidRPr="007C0E40" w:rsidRDefault="007820DD" w:rsidP="007C0E40">
      <w:pPr>
        <w:rPr>
          <w:rFonts w:ascii="Times New Roman" w:hAnsi="Times New Roman"/>
        </w:rPr>
      </w:pPr>
      <w:r w:rsidRPr="007820DD">
        <w:rPr>
          <w:rFonts w:ascii="Times New Roman" w:hAnsi="Times New Roman"/>
        </w:rPr>
        <w:t xml:space="preserve">Section 214 of EGRRCPA also impacts “HVCRE ADC Loans” on the </w:t>
      </w:r>
      <w:r w:rsidR="007002C3">
        <w:rPr>
          <w:rFonts w:ascii="Times New Roman" w:hAnsi="Times New Roman"/>
        </w:rPr>
        <w:t>Consolidated Reports of Condition and Income (</w:t>
      </w:r>
      <w:r w:rsidRPr="007820DD">
        <w:rPr>
          <w:rFonts w:ascii="Times New Roman" w:hAnsi="Times New Roman"/>
        </w:rPr>
        <w:t>Call Report</w:t>
      </w:r>
      <w:r w:rsidR="007002C3">
        <w:rPr>
          <w:rFonts w:ascii="Times New Roman" w:hAnsi="Times New Roman"/>
        </w:rPr>
        <w:t>)</w:t>
      </w:r>
      <w:r w:rsidR="00185620">
        <w:rPr>
          <w:rStyle w:val="FootnoteReference"/>
          <w:rFonts w:ascii="Times New Roman" w:hAnsi="Times New Roman"/>
        </w:rPr>
        <w:footnoteReference w:id="4"/>
      </w:r>
      <w:r w:rsidRPr="007820DD">
        <w:rPr>
          <w:rFonts w:ascii="Times New Roman" w:hAnsi="Times New Roman"/>
        </w:rPr>
        <w:t xml:space="preserve"> and FR Y-9C,</w:t>
      </w:r>
      <w:r w:rsidR="00185620">
        <w:rPr>
          <w:rStyle w:val="FootnoteReference"/>
          <w:rFonts w:ascii="Times New Roman" w:hAnsi="Times New Roman"/>
        </w:rPr>
        <w:footnoteReference w:id="5"/>
      </w:r>
      <w:r w:rsidRPr="007820DD">
        <w:rPr>
          <w:rFonts w:ascii="Times New Roman" w:hAnsi="Times New Roman"/>
        </w:rPr>
        <w:t xml:space="preserve"> and the proposed revisions described </w:t>
      </w:r>
      <w:r w:rsidR="00185620">
        <w:rPr>
          <w:rFonts w:ascii="Times New Roman" w:hAnsi="Times New Roman"/>
        </w:rPr>
        <w:t>herein</w:t>
      </w:r>
      <w:r w:rsidRPr="007820DD">
        <w:rPr>
          <w:rFonts w:ascii="Times New Roman" w:hAnsi="Times New Roman"/>
        </w:rPr>
        <w:t xml:space="preserve"> are also being proposed or implemented for the Call</w:t>
      </w:r>
      <w:r w:rsidR="00185620">
        <w:rPr>
          <w:rFonts w:ascii="Times New Roman" w:hAnsi="Times New Roman"/>
        </w:rPr>
        <w:t> </w:t>
      </w:r>
      <w:r w:rsidRPr="007820DD">
        <w:rPr>
          <w:rFonts w:ascii="Times New Roman" w:hAnsi="Times New Roman"/>
        </w:rPr>
        <w:t xml:space="preserve">Report and FR Y-9C. </w:t>
      </w:r>
      <w:r w:rsidR="00FE5BCA">
        <w:rPr>
          <w:rFonts w:ascii="Times New Roman" w:hAnsi="Times New Roman"/>
        </w:rPr>
        <w:t xml:space="preserve"> </w:t>
      </w:r>
      <w:r w:rsidR="007C0E40" w:rsidRPr="007C0E40">
        <w:rPr>
          <w:rFonts w:ascii="Times New Roman" w:hAnsi="Times New Roman"/>
        </w:rPr>
        <w:t xml:space="preserve">To avoid the regulatory burden associated with applying different definitions for HVCRE exposures </w:t>
      </w:r>
      <w:r w:rsidR="008476F9">
        <w:rPr>
          <w:rFonts w:ascii="Times New Roman" w:hAnsi="Times New Roman"/>
        </w:rPr>
        <w:t>within a </w:t>
      </w:r>
      <w:r w:rsidR="007C0E40" w:rsidRPr="007C0E40">
        <w:rPr>
          <w:rFonts w:ascii="Times New Roman" w:hAnsi="Times New Roman"/>
        </w:rPr>
        <w:t>single organization, the agencies propose to allow an institution subject to the advanced approaches rule to estimate and report HVCRE exposures on</w:t>
      </w:r>
      <w:r w:rsidR="008476F9">
        <w:rPr>
          <w:rFonts w:ascii="Times New Roman" w:hAnsi="Times New Roman"/>
        </w:rPr>
        <w:t xml:space="preserve"> Schedules B and G of the FFIEC </w:t>
      </w:r>
      <w:r w:rsidR="007C0E40" w:rsidRPr="007C0E40">
        <w:rPr>
          <w:rFonts w:ascii="Times New Roman" w:hAnsi="Times New Roman"/>
        </w:rPr>
        <w:t xml:space="preserve">101 using the definition under </w:t>
      </w:r>
      <w:r w:rsidR="006016EF">
        <w:rPr>
          <w:rFonts w:ascii="Times New Roman" w:hAnsi="Times New Roman"/>
        </w:rPr>
        <w:t>S</w:t>
      </w:r>
      <w:r w:rsidR="007C0E40" w:rsidRPr="007C0E40">
        <w:rPr>
          <w:rFonts w:ascii="Times New Roman" w:hAnsi="Times New Roman"/>
        </w:rPr>
        <w:t xml:space="preserve">ection 214 effective for the June 30, 2018, report date.  </w:t>
      </w:r>
      <w:r w:rsidR="00185620" w:rsidRPr="00185620">
        <w:rPr>
          <w:rFonts w:ascii="Times New Roman" w:hAnsi="Times New Roman"/>
        </w:rPr>
        <w:t xml:space="preserve">Institutions may refine their estimates in good faith as they obtain additional information, but they will not be required to amend FFIEC 101 reports previously filed for report dates on or after June 30, 2018, as these estimates are adjusted.  </w:t>
      </w:r>
      <w:r w:rsidR="007C0E40" w:rsidRPr="007C0E40">
        <w:rPr>
          <w:rFonts w:ascii="Times New Roman" w:hAnsi="Times New Roman"/>
        </w:rPr>
        <w:t xml:space="preserve">Alternatively, institutions may report HVCRE exposures </w:t>
      </w:r>
      <w:r w:rsidR="00185620">
        <w:rPr>
          <w:rFonts w:ascii="Times New Roman" w:hAnsi="Times New Roman"/>
        </w:rPr>
        <w:t xml:space="preserve">in a manner consistent with </w:t>
      </w:r>
      <w:r w:rsidR="007C0E40" w:rsidRPr="007C0E40">
        <w:rPr>
          <w:rFonts w:ascii="Times New Roman" w:hAnsi="Times New Roman"/>
        </w:rPr>
        <w:t xml:space="preserve">the </w:t>
      </w:r>
      <w:r w:rsidR="00185620">
        <w:rPr>
          <w:rFonts w:ascii="Times New Roman" w:hAnsi="Times New Roman"/>
        </w:rPr>
        <w:t>current</w:t>
      </w:r>
      <w:r w:rsidR="007C0E40" w:rsidRPr="007C0E40">
        <w:rPr>
          <w:rFonts w:ascii="Times New Roman" w:hAnsi="Times New Roman"/>
        </w:rPr>
        <w:t xml:space="preserve"> definition contained in the agencies’ regulatory capital rules until the agencies take further action.</w:t>
      </w:r>
    </w:p>
    <w:p w:rsidR="002D7BFC" w:rsidRDefault="002D7BFC">
      <w:pPr>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Pr>
          <w:rFonts w:ascii="Times New Roman" w:hAnsi="Times New Roman"/>
          <w:u w:val="single"/>
        </w:rPr>
        <w:t>Use of Information Collected</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w:t>
      </w:r>
      <w:r w:rsidR="00040460">
        <w:rPr>
          <w:rFonts w:ascii="Times New Roman" w:hAnsi="Times New Roman"/>
        </w:rPr>
        <w:t xml:space="preserve"> FFIEC 101</w:t>
      </w:r>
      <w:r>
        <w:rPr>
          <w:rFonts w:ascii="Times New Roman" w:hAnsi="Times New Roman"/>
        </w:rPr>
        <w:t xml:space="preserve"> reporting requirements entail the quarterly collection of detailed information, encompassing up to approximately 2,</w:t>
      </w:r>
      <w:r w:rsidR="00F34B8E">
        <w:rPr>
          <w:rFonts w:ascii="Times New Roman" w:hAnsi="Times New Roman"/>
        </w:rPr>
        <w:t xml:space="preserve">700 </w:t>
      </w:r>
      <w:r>
        <w:rPr>
          <w:rFonts w:ascii="Times New Roman" w:hAnsi="Times New Roman"/>
        </w:rPr>
        <w:t>data elements on nineteen schedules, that pertains to the main components of a respondent bank’s regulatory capital and risk-weighted asset calculations under the Basel II final rule</w:t>
      </w:r>
      <w:r w:rsidR="00A3261D">
        <w:rPr>
          <w:rFonts w:ascii="Times New Roman" w:hAnsi="Times New Roman"/>
        </w:rPr>
        <w:t xml:space="preserve"> as revised by the agencies in 2013</w:t>
      </w:r>
      <w:r w:rsidR="00D369CB">
        <w:rPr>
          <w:rFonts w:ascii="Times New Roman" w:hAnsi="Times New Roman"/>
        </w:rPr>
        <w:t xml:space="preserve"> (and in 2014 for the revised supplementary leverage ratio)</w:t>
      </w:r>
      <w:r>
        <w:rPr>
          <w:rFonts w:ascii="Times New Roman" w:hAnsi="Times New Roman"/>
        </w:rPr>
        <w:t>.  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001666AC" w:rsidRPr="00C87899">
        <w:rPr>
          <w:rFonts w:ascii="Times New Roman" w:hAnsi="Times New Roman"/>
          <w:szCs w:val="24"/>
        </w:rPr>
        <w:t xml:space="preserve">the </w:t>
      </w:r>
      <w:r w:rsidR="000A090E">
        <w:rPr>
          <w:rFonts w:ascii="Times New Roman" w:hAnsi="Times New Roman"/>
          <w:szCs w:val="24"/>
        </w:rPr>
        <w:t xml:space="preserve">revised </w:t>
      </w:r>
      <w:r w:rsidR="001666AC" w:rsidRPr="00C87899">
        <w:rPr>
          <w:rFonts w:ascii="Times New Roman" w:hAnsi="Times New Roman"/>
          <w:szCs w:val="24"/>
        </w:rPr>
        <w:t>supplementary leverage ratio</w:t>
      </w:r>
      <w:r>
        <w:rPr>
          <w:rFonts w:ascii="Times New Roman" w:hAnsi="Times New Roman"/>
        </w:rPr>
        <w:t>;</w:t>
      </w:r>
    </w:p>
    <w:p w:rsidR="003B78E0" w:rsidRDefault="00D32F81">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sidR="003B78E0">
        <w:rPr>
          <w:rFonts w:ascii="Times New Roman" w:hAnsi="Times New Roman"/>
        </w:rPr>
        <w:t xml:space="preserve"> impact and competitive implications of the Advanced Capital Adequacy Framework on individual reporting banks and on an industry-wide basis; and</w:t>
      </w: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The reporting schedules also assist banks in understanding expectations around the system development necessary for implementation and validation of the Advanced Capital Adequacy Framework.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1666AC">
        <w:rPr>
          <w:rFonts w:ascii="Times New Roman" w:hAnsi="Times New Roman"/>
        </w:rPr>
        <w:t>regulatory</w:t>
      </w:r>
      <w:r>
        <w:rPr>
          <w:rFonts w:ascii="Times New Roman" w:hAnsi="Times New Roman"/>
        </w:rPr>
        <w:t xml:space="preserve"> capital.</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RDefault="00D32F81" w:rsidP="00D10843">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00D10843" w:rsidRPr="00D10843">
        <w:rPr>
          <w:rFonts w:ascii="Times New Roman" w:hAnsi="Times New Roman"/>
        </w:rPr>
        <w:t>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8476F9" w:rsidRDefault="008476F9">
      <w:pPr>
        <w:widowControl/>
        <w:rPr>
          <w:rFonts w:ascii="Times New Roman" w:hAnsi="Times New Roman"/>
        </w:rPr>
      </w:pPr>
      <w:r>
        <w:rPr>
          <w:rFonts w:ascii="Times New Roman" w:hAnsi="Times New Roman"/>
        </w:rPr>
        <w:br w:type="page"/>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Pr>
          <w:rFonts w:ascii="Times New Roman" w:hAnsi="Times New Roman"/>
          <w:u w:val="single"/>
        </w:rPr>
        <w:t>Use of Technology to Reduce Burden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autoSpaceDE w:val="0"/>
        <w:autoSpaceDN w:val="0"/>
        <w:adjustRightInd w:val="0"/>
        <w:rPr>
          <w:rFonts w:ascii="Times New Roman" w:hAnsi="Times New Roman"/>
          <w:szCs w:val="24"/>
        </w:rPr>
      </w:pPr>
      <w:r>
        <w:rPr>
          <w:rFonts w:ascii="Times New Roman" w:hAnsi="Times New Roman"/>
          <w:szCs w:val="24"/>
        </w:rPr>
        <w:t xml:space="preserve">All reporting banks submit their </w:t>
      </w:r>
      <w:r w:rsidR="009D651B" w:rsidRPr="009D651B">
        <w:rPr>
          <w:rFonts w:ascii="Times New Roman" w:hAnsi="Times New Roman"/>
          <w:szCs w:val="24"/>
        </w:rPr>
        <w:t>completed reports electronically using the Federal Reserve’s Reporting Central application.</w:t>
      </w:r>
    </w:p>
    <w:p w:rsidR="003B78E0" w:rsidRDefault="003B78E0">
      <w:pPr>
        <w:autoSpaceDE w:val="0"/>
        <w:autoSpaceDN w:val="0"/>
        <w:adjustRightInd w:val="0"/>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at the insured institution level.  The Basel II final rule requires certain related public disclosures (referred to as Pillar 3 disclosures) at the consolidated holding company level.  However, the regulatory reporting requirements in the FFIEC 101 report are generally more detailed than Pillar 3 disclosures, requiring reporting of greater detail about aggregated risk estimates underlying the calculation of a bank’s risk-based capital ratios, and are also more standardized in terms of the breakdown of reported portfolio exposures and reported ranges of risk estimates.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A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55576B" w:rsidRDefault="0055576B">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Pr>
          <w:rFonts w:ascii="Times New Roman" w:hAnsi="Times New Roman"/>
          <w:u w:val="single"/>
        </w:rPr>
        <w:t>Minimizing the Burden on Small Banks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Organizations that are subject to the </w:t>
      </w:r>
      <w:r w:rsidR="00BB446E">
        <w:rPr>
          <w:rFonts w:ascii="Times New Roman" w:hAnsi="Times New Roman"/>
        </w:rPr>
        <w:t>Advanced Capital Adequacy Framework</w:t>
      </w:r>
      <w:r>
        <w:rPr>
          <w:rFonts w:ascii="Times New Roman" w:hAnsi="Times New Roman"/>
        </w:rPr>
        <w:t xml:space="preserve"> on a mandatory basis are large ($250 billion </w:t>
      </w:r>
      <w:r w:rsidR="001F3598">
        <w:rPr>
          <w:rFonts w:ascii="Times New Roman" w:hAnsi="Times New Roman"/>
        </w:rPr>
        <w:t xml:space="preserve">or more </w:t>
      </w:r>
      <w:r>
        <w:rPr>
          <w:rFonts w:ascii="Times New Roman" w:hAnsi="Times New Roman"/>
        </w:rPr>
        <w:t xml:space="preserve">in consolidated assets) and internationally active organizations ($10 billion </w:t>
      </w:r>
      <w:r w:rsidR="001F3598">
        <w:rPr>
          <w:rFonts w:ascii="Times New Roman" w:hAnsi="Times New Roman"/>
        </w:rPr>
        <w:t xml:space="preserve">or more </w:t>
      </w:r>
      <w:r>
        <w:rPr>
          <w:rFonts w:ascii="Times New Roman" w:hAnsi="Times New Roman"/>
        </w:rPr>
        <w:t xml:space="preserve">in consolidated on-balance sheet foreign exposures) and their depository institution subsidiaries.  </w:t>
      </w:r>
      <w:r w:rsidR="0081476E">
        <w:rPr>
          <w:rFonts w:ascii="Times New Roman" w:hAnsi="Times New Roman"/>
        </w:rPr>
        <w:t xml:space="preserve">As a consequence, </w:t>
      </w:r>
      <w:r>
        <w:rPr>
          <w:rFonts w:ascii="Times New Roman" w:hAnsi="Times New Roman"/>
        </w:rPr>
        <w:t>the</w:t>
      </w:r>
      <w:r w:rsidR="0081476E">
        <w:rPr>
          <w:rFonts w:ascii="Times New Roman" w:hAnsi="Times New Roman"/>
        </w:rPr>
        <w:t xml:space="preserve"> advanced approaches rule,</w:t>
      </w:r>
      <w:r>
        <w:rPr>
          <w:rFonts w:ascii="Times New Roman" w:hAnsi="Times New Roman"/>
        </w:rPr>
        <w:t xml:space="preserve"> </w:t>
      </w:r>
      <w:r w:rsidR="0081476E">
        <w:rPr>
          <w:rFonts w:ascii="Times New Roman" w:hAnsi="Times New Roman"/>
        </w:rPr>
        <w:t xml:space="preserve">and the corresponding FFIEC 101 reporting requirements, </w:t>
      </w:r>
      <w:r>
        <w:rPr>
          <w:rFonts w:ascii="Times New Roman" w:hAnsi="Times New Roman"/>
        </w:rPr>
        <w:t xml:space="preserve">have limited </w:t>
      </w:r>
      <w:r w:rsidR="00BB446E">
        <w:rPr>
          <w:rFonts w:ascii="Times New Roman" w:hAnsi="Times New Roman"/>
        </w:rPr>
        <w:t>applicability to</w:t>
      </w:r>
      <w:r>
        <w:rPr>
          <w:rFonts w:ascii="Times New Roman" w:hAnsi="Times New Roman"/>
        </w:rPr>
        <w:t xml:space="preserve"> small institutions</w:t>
      </w:r>
      <w:r w:rsidR="0081476E">
        <w:rPr>
          <w:rFonts w:ascii="Times New Roman" w:hAnsi="Times New Roman"/>
        </w:rPr>
        <w:t xml:space="preserve">, including the </w:t>
      </w:r>
      <w:r w:rsidR="00195165">
        <w:rPr>
          <w:rFonts w:ascii="Times New Roman" w:hAnsi="Times New Roman"/>
        </w:rPr>
        <w:t>approximately</w:t>
      </w:r>
      <w:r w:rsidR="00F35587">
        <w:rPr>
          <w:rFonts w:ascii="Times New Roman" w:hAnsi="Times New Roman"/>
        </w:rPr>
        <w:t xml:space="preserve"> </w:t>
      </w:r>
      <w:r w:rsidR="00BB12EF">
        <w:rPr>
          <w:rFonts w:ascii="Times New Roman" w:hAnsi="Times New Roman"/>
        </w:rPr>
        <w:t>2,900</w:t>
      </w:r>
      <w:r>
        <w:rPr>
          <w:rFonts w:ascii="Times New Roman" w:hAnsi="Times New Roman"/>
        </w:rPr>
        <w:t xml:space="preserve"> FDIC-supervised </w:t>
      </w:r>
      <w:r w:rsidR="00B14F46">
        <w:rPr>
          <w:rFonts w:ascii="Times New Roman" w:hAnsi="Times New Roman"/>
        </w:rPr>
        <w:t>institutions</w:t>
      </w:r>
      <w:r>
        <w:rPr>
          <w:rFonts w:ascii="Times New Roman" w:hAnsi="Times New Roman"/>
        </w:rPr>
        <w:t xml:space="preserve"> with assets of $</w:t>
      </w:r>
      <w:r w:rsidR="00F35587">
        <w:rPr>
          <w:rFonts w:ascii="Times New Roman" w:hAnsi="Times New Roman"/>
        </w:rPr>
        <w:t>55</w:t>
      </w:r>
      <w:r w:rsidR="008543D0">
        <w:rPr>
          <w:rFonts w:ascii="Times New Roman" w:hAnsi="Times New Roman"/>
        </w:rPr>
        <w:t xml:space="preserve">0 </w:t>
      </w:r>
      <w:r>
        <w:rPr>
          <w:rFonts w:ascii="Times New Roman" w:hAnsi="Times New Roman"/>
        </w:rPr>
        <w:t>million or less.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Pr>
          <w:rFonts w:ascii="Times New Roman" w:hAnsi="Times New Roman"/>
          <w:u w:val="single"/>
        </w:rPr>
        <w:t>Consequences of Less Frequent Collection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xml:space="preserve">, adverse risk trends that become apparent in the forward-looking risk estimates reported by respondents, and evidence of risk estimates that call into question the accuracy of a bank’s capital calculation or place other institutions with similar types of exposures at a competitive disadvantage.  To be most useful as an off-site analytical tool, these reports are intended to correspond to the frequency and timing of other regulatory submissions including the </w:t>
      </w:r>
      <w:r w:rsidR="00391805">
        <w:rPr>
          <w:rFonts w:ascii="Times New Roman" w:hAnsi="Times New Roman"/>
        </w:rPr>
        <w:t>Call </w:t>
      </w:r>
      <w:r>
        <w:rPr>
          <w:rFonts w:ascii="Times New Roman" w:hAnsi="Times New Roman"/>
        </w:rPr>
        <w:t xml:space="preserve">Report and the </w:t>
      </w:r>
      <w:r w:rsidR="00F6279C">
        <w:rPr>
          <w:rFonts w:ascii="Times New Roman" w:hAnsi="Times New Roman"/>
        </w:rPr>
        <w:t xml:space="preserve">FRB’s </w:t>
      </w:r>
      <w:r>
        <w:rPr>
          <w:rFonts w:ascii="Times New Roman" w:hAnsi="Times New Roman"/>
        </w:rPr>
        <w:t>Bank Holding Company FR Y-9C report.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Pr>
          <w:rFonts w:ascii="Times New Roman" w:hAnsi="Times New Roman"/>
          <w:u w:val="single"/>
        </w:rPr>
        <w:t>Special Circumstances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There are no special circumstances.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Pr>
          <w:rFonts w:ascii="Times New Roman" w:hAnsi="Times New Roman"/>
          <w:u w:val="single"/>
        </w:rPr>
        <w:t>Summary of Public Comments</w:t>
      </w: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p>
    <w:p w:rsidR="001864B6" w:rsidRPr="001864B6" w:rsidRDefault="001864B6" w:rsidP="001864B6">
      <w:pPr>
        <w:rPr>
          <w:rFonts w:ascii="Times New Roman" w:hAnsi="Times New Roman"/>
        </w:rPr>
      </w:pPr>
      <w:bookmarkStart w:id="1" w:name="OLE_LINK10"/>
      <w:bookmarkStart w:id="2" w:name="OLE_LINK11"/>
      <w:r w:rsidRPr="001864B6">
        <w:rPr>
          <w:rFonts w:ascii="Times New Roman" w:hAnsi="Times New Roman"/>
        </w:rPr>
        <w:t xml:space="preserve">The </w:t>
      </w:r>
      <w:r>
        <w:rPr>
          <w:rFonts w:ascii="Times New Roman" w:hAnsi="Times New Roman"/>
        </w:rPr>
        <w:t>FDIC</w:t>
      </w:r>
      <w:r w:rsidRPr="001864B6">
        <w:rPr>
          <w:rFonts w:ascii="Times New Roman" w:hAnsi="Times New Roman"/>
        </w:rPr>
        <w:t xml:space="preserve"> coordinated and consulted with the F</w:t>
      </w:r>
      <w:r>
        <w:rPr>
          <w:rFonts w:ascii="Times New Roman" w:hAnsi="Times New Roman"/>
        </w:rPr>
        <w:t>RB</w:t>
      </w:r>
      <w:r w:rsidRPr="001864B6">
        <w:rPr>
          <w:rFonts w:ascii="Times New Roman" w:hAnsi="Times New Roman"/>
        </w:rPr>
        <w:t xml:space="preserve"> and </w:t>
      </w:r>
      <w:r>
        <w:rPr>
          <w:rFonts w:ascii="Times New Roman" w:hAnsi="Times New Roman"/>
        </w:rPr>
        <w:t xml:space="preserve">the </w:t>
      </w:r>
      <w:r w:rsidRPr="001864B6">
        <w:rPr>
          <w:rFonts w:ascii="Times New Roman" w:hAnsi="Times New Roman"/>
        </w:rPr>
        <w:t>OCC in proposing these revisions.  The agencies will follow this request for emergency processing with a request under normal clearance procedures, during which comments will be solicited for the typical 60</w:t>
      </w:r>
      <w:r w:rsidR="0047133A">
        <w:rPr>
          <w:rFonts w:ascii="Times New Roman" w:hAnsi="Times New Roman"/>
        </w:rPr>
        <w:t>-</w:t>
      </w:r>
      <w:r w:rsidRPr="001864B6">
        <w:rPr>
          <w:rFonts w:ascii="Times New Roman" w:hAnsi="Times New Roman"/>
        </w:rPr>
        <w:t>day and 30</w:t>
      </w:r>
      <w:r w:rsidR="0047133A">
        <w:rPr>
          <w:rFonts w:ascii="Times New Roman" w:hAnsi="Times New Roman"/>
        </w:rPr>
        <w:t>-</w:t>
      </w:r>
      <w:r w:rsidRPr="001864B6">
        <w:rPr>
          <w:rFonts w:ascii="Times New Roman" w:hAnsi="Times New Roman"/>
        </w:rPr>
        <w:t>day periods.  All comments received on paperwork burden, whether during the 60</w:t>
      </w:r>
      <w:r w:rsidR="0047133A">
        <w:rPr>
          <w:rFonts w:ascii="Times New Roman" w:hAnsi="Times New Roman"/>
        </w:rPr>
        <w:t>-</w:t>
      </w:r>
      <w:r w:rsidRPr="001864B6">
        <w:rPr>
          <w:rFonts w:ascii="Times New Roman" w:hAnsi="Times New Roman"/>
        </w:rPr>
        <w:t>day or 30</w:t>
      </w:r>
      <w:r w:rsidR="0047133A">
        <w:rPr>
          <w:rFonts w:ascii="Times New Roman" w:hAnsi="Times New Roman"/>
        </w:rPr>
        <w:t>-</w:t>
      </w:r>
      <w:r w:rsidRPr="001864B6">
        <w:rPr>
          <w:rFonts w:ascii="Times New Roman" w:hAnsi="Times New Roman"/>
        </w:rPr>
        <w:t>day comment periods, will be considered in finalizing the collection.</w:t>
      </w:r>
    </w:p>
    <w:p w:rsidR="0081476E" w:rsidRDefault="0081476E">
      <w:pPr>
        <w:rPr>
          <w:rFonts w:ascii="Times New Roman" w:hAnsi="Times New Roman"/>
          <w:szCs w:val="24"/>
        </w:rPr>
      </w:pPr>
      <w:r w:rsidRPr="002E6FEE">
        <w:rPr>
          <w:rFonts w:ascii="Times New Roman" w:hAnsi="Times New Roman"/>
        </w:rPr>
        <w:t xml:space="preserve">  </w:t>
      </w:r>
    </w:p>
    <w:bookmarkEnd w:id="1"/>
    <w:bookmarkEnd w:id="2"/>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Pr>
          <w:rFonts w:ascii="Times New Roman" w:hAnsi="Times New Roman"/>
          <w:u w:val="single"/>
        </w:rPr>
        <w:t>Payment or Gift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Pr>
          <w:rFonts w:ascii="Times New Roman" w:hAnsi="Times New Roman"/>
          <w:u w:val="single"/>
        </w:rPr>
        <w:t>Confidentiality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490B60" w:rsidRDefault="003B78E0" w:rsidP="001D767E">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552(b)(4) and (8), these data will not be released to the public </w:t>
      </w:r>
      <w:r w:rsidR="001D767E">
        <w:rPr>
          <w:rFonts w:ascii="Times New Roman" w:hAnsi="Times New Roman"/>
        </w:rPr>
        <w:t>except as follows</w:t>
      </w:r>
      <w:r>
        <w:rPr>
          <w:rFonts w:ascii="Times New Roman" w:hAnsi="Times New Roman"/>
        </w:rPr>
        <w:t>.</w:t>
      </w:r>
      <w:r w:rsidR="001D767E" w:rsidRPr="001D767E">
        <w:t xml:space="preserve"> </w:t>
      </w:r>
      <w:r w:rsidR="001D767E">
        <w:t xml:space="preserve"> </w:t>
      </w:r>
    </w:p>
    <w:p w:rsidR="00490B60" w:rsidRPr="008227C3" w:rsidRDefault="00490B60" w:rsidP="001D767E">
      <w:pPr>
        <w:rPr>
          <w:rFonts w:ascii="Times New Roman" w:hAnsi="Times New Roman"/>
        </w:rPr>
      </w:pPr>
    </w:p>
    <w:p w:rsid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 xml:space="preserve">For report dates before a 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p>
    <w:p w:rsid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 xml:space="preserve">For report dates after a reporting institution has completed its parallel run period, all items reported in Schedules A and B (except for </w:t>
      </w:r>
      <w:r w:rsidR="00D73339">
        <w:rPr>
          <w:rFonts w:ascii="Times New Roman" w:hAnsi="Times New Roman"/>
        </w:rPr>
        <w:t>the E</w:t>
      </w:r>
      <w:r w:rsidR="00D73339" w:rsidRPr="008F20C9">
        <w:rPr>
          <w:rFonts w:ascii="Times New Roman" w:hAnsi="Times New Roman"/>
        </w:rPr>
        <w:t>AD information related to CVAs</w:t>
      </w:r>
      <w:r w:rsidR="00D73339">
        <w:rPr>
          <w:rFonts w:ascii="Times New Roman" w:hAnsi="Times New Roman"/>
        </w:rPr>
        <w:t xml:space="preserve"> reported in </w:t>
      </w:r>
      <w:r w:rsidRPr="0081476E">
        <w:rPr>
          <w:rFonts w:ascii="Times New Roman" w:hAnsi="Times New Roman"/>
        </w:rPr>
        <w:t>Schedule B, items 31.a and 31.b, column D</w:t>
      </w:r>
      <w:r w:rsidR="00D73339">
        <w:rPr>
          <w:rFonts w:ascii="Times New Roman" w:hAnsi="Times New Roman"/>
        </w:rPr>
        <w:t>, which the agencies are proposing to remove from the FFIEC 101</w:t>
      </w:r>
      <w:r w:rsidRPr="0081476E">
        <w:rPr>
          <w:rFonts w:ascii="Times New Roman" w:hAnsi="Times New Roman"/>
        </w:rPr>
        <w:t>)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internationally active banking organizations, the agencies make public the SLR information collected in SLR Tables 1 and 2 of FFIEC 101 Schedule A, regardless of a</w:t>
      </w:r>
      <w:r>
        <w:rPr>
          <w:rFonts w:ascii="Times New Roman" w:hAnsi="Times New Roman"/>
        </w:rPr>
        <w:t xml:space="preserve"> reporting institution’s </w:t>
      </w:r>
      <w:r w:rsidRPr="0081476E">
        <w:rPr>
          <w:rFonts w:ascii="Times New Roman" w:hAnsi="Times New Roman"/>
        </w:rPr>
        <w:t>parallel run status.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Pr>
          <w:rFonts w:ascii="Times New Roman" w:hAnsi="Times New Roman"/>
          <w:u w:val="single"/>
        </w:rPr>
        <w:t>Information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8476F9" w:rsidRDefault="008476F9">
      <w:pPr>
        <w:widowControl/>
        <w:rPr>
          <w:rFonts w:ascii="Times New Roman" w:hAnsi="Times New Roman"/>
        </w:rPr>
      </w:pPr>
      <w:r>
        <w:rPr>
          <w:rFonts w:ascii="Times New Roman" w:hAnsi="Times New Roman"/>
        </w:rPr>
        <w:br w:type="page"/>
      </w: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Pr>
          <w:rFonts w:ascii="Times New Roman" w:hAnsi="Times New Roman"/>
          <w:u w:val="single"/>
        </w:rPr>
        <w:t>Estimate of Annualized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283764" w:rsidRDefault="001864B6" w:rsidP="008476F9">
      <w:pPr>
        <w:widowControl/>
        <w:rPr>
          <w:rFonts w:ascii="Times New Roman" w:hAnsi="Times New Roman"/>
        </w:rPr>
      </w:pPr>
      <w:r w:rsidRPr="001864B6">
        <w:rPr>
          <w:rFonts w:ascii="Times New Roman" w:hAnsi="Times New Roman"/>
        </w:rPr>
        <w:t>The current total annual burden for the FFIEC 101 is estimated to be 5</w:t>
      </w:r>
      <w:r>
        <w:rPr>
          <w:rFonts w:ascii="Times New Roman" w:hAnsi="Times New Roman"/>
        </w:rPr>
        <w:t>,392</w:t>
      </w:r>
      <w:r w:rsidRPr="001864B6">
        <w:rPr>
          <w:rFonts w:ascii="Times New Roman" w:hAnsi="Times New Roman"/>
        </w:rPr>
        <w:t xml:space="preserve"> hours </w:t>
      </w:r>
      <w:r w:rsidR="00F72934">
        <w:rPr>
          <w:rFonts w:ascii="Times New Roman" w:hAnsi="Times New Roman"/>
        </w:rPr>
        <w:t xml:space="preserve">for FDIC-supervised banks </w:t>
      </w:r>
      <w:r w:rsidRPr="001864B6">
        <w:rPr>
          <w:rFonts w:ascii="Times New Roman" w:hAnsi="Times New Roman"/>
        </w:rPr>
        <w:t xml:space="preserve">and </w:t>
      </w:r>
      <w:r w:rsidR="00F72934">
        <w:rPr>
          <w:rFonts w:ascii="Times New Roman" w:hAnsi="Times New Roman"/>
        </w:rPr>
        <w:t xml:space="preserve">this estimate </w:t>
      </w:r>
      <w:r w:rsidRPr="001864B6">
        <w:rPr>
          <w:rFonts w:ascii="Times New Roman" w:hAnsi="Times New Roman"/>
        </w:rPr>
        <w:t>would remain unchanged based on the proposed revisions</w:t>
      </w:r>
      <w:r w:rsidR="00F72934">
        <w:rPr>
          <w:rFonts w:ascii="Times New Roman" w:hAnsi="Times New Roman"/>
        </w:rPr>
        <w:t>, which are limited to the change in the definition of HVCRE</w:t>
      </w:r>
      <w:r w:rsidR="004D1E1D">
        <w:rPr>
          <w:rFonts w:ascii="Times New Roman" w:hAnsi="Times New Roman"/>
        </w:rPr>
        <w:t xml:space="preserve"> exposures</w:t>
      </w:r>
      <w:r w:rsidRPr="001864B6">
        <w:rPr>
          <w:rFonts w:ascii="Times New Roman" w:hAnsi="Times New Roman"/>
        </w:rPr>
        <w:t xml:space="preserve">.  </w:t>
      </w:r>
    </w:p>
    <w:p w:rsidR="00F72934" w:rsidRDefault="00F72934">
      <w:pPr>
        <w:rPr>
          <w:rFonts w:ascii="Times New Roman" w:hAnsi="Times New Roman"/>
        </w:rPr>
      </w:pPr>
    </w:p>
    <w:p w:rsidR="003B78E0" w:rsidRDefault="003B78E0">
      <w:pPr>
        <w:rPr>
          <w:rFonts w:ascii="Times New Roman" w:hAnsi="Times New Roman"/>
        </w:rPr>
      </w:pPr>
      <w:r>
        <w:rPr>
          <w:rFonts w:ascii="Times New Roman" w:hAnsi="Times New Roman"/>
        </w:rPr>
        <w:t xml:space="preserve">There are </w:t>
      </w:r>
      <w:r w:rsidR="00283764">
        <w:rPr>
          <w:rFonts w:ascii="Times New Roman" w:hAnsi="Times New Roman"/>
        </w:rPr>
        <w:t>currently 2</w:t>
      </w:r>
      <w:r>
        <w:rPr>
          <w:rFonts w:ascii="Times New Roman" w:hAnsi="Times New Roman"/>
        </w:rPr>
        <w:t> FDIC</w:t>
      </w:r>
      <w:r>
        <w:rPr>
          <w:rFonts w:ascii="Times New Roman" w:hAnsi="Times New Roman"/>
        </w:rPr>
        <w:noBreakHyphen/>
        <w:t xml:space="preserve">supervised </w:t>
      </w:r>
      <w:r w:rsidR="00312E63">
        <w:rPr>
          <w:rFonts w:ascii="Times New Roman" w:hAnsi="Times New Roman"/>
        </w:rPr>
        <w:t>institutions</w:t>
      </w:r>
      <w:r>
        <w:rPr>
          <w:rFonts w:ascii="Times New Roman" w:hAnsi="Times New Roman"/>
        </w:rPr>
        <w:t xml:space="preserve"> that are required to submit </w:t>
      </w:r>
      <w:r w:rsidR="00312E63">
        <w:rPr>
          <w:rFonts w:ascii="Times New Roman" w:hAnsi="Times New Roman"/>
        </w:rPr>
        <w:t xml:space="preserve">the FFIEC 101 report each </w:t>
      </w:r>
      <w:r>
        <w:rPr>
          <w:rFonts w:ascii="Times New Roman" w:hAnsi="Times New Roman"/>
        </w:rPr>
        <w:t xml:space="preserve">quarter.  The </w:t>
      </w:r>
      <w:r w:rsidR="00312E63">
        <w:rPr>
          <w:rFonts w:ascii="Times New Roman" w:hAnsi="Times New Roman"/>
        </w:rPr>
        <w:t>total</w:t>
      </w:r>
      <w:r>
        <w:rPr>
          <w:rFonts w:ascii="Times New Roman" w:hAnsi="Times New Roman"/>
        </w:rPr>
        <w:t xml:space="preserve"> estimated annual reporting burden for these banks is </w:t>
      </w:r>
      <w:r w:rsidR="00283764" w:rsidRPr="00283764">
        <w:rPr>
          <w:rFonts w:ascii="Times New Roman" w:hAnsi="Times New Roman"/>
        </w:rPr>
        <w:t xml:space="preserve">5,392 </w:t>
      </w:r>
      <w:r>
        <w:rPr>
          <w:rFonts w:ascii="Times New Roman" w:hAnsi="Times New Roman"/>
        </w:rPr>
        <w:t>hours.  Th</w:t>
      </w:r>
      <w:r w:rsidR="00186BB3">
        <w:rPr>
          <w:rFonts w:ascii="Times New Roman" w:hAnsi="Times New Roman"/>
        </w:rPr>
        <w:t>is</w:t>
      </w:r>
      <w:r>
        <w:rPr>
          <w:rFonts w:ascii="Times New Roman" w:hAnsi="Times New Roman"/>
        </w:rPr>
        <w:t xml:space="preserve"> estimate reflect</w:t>
      </w:r>
      <w:r w:rsidR="00186BB3">
        <w:rPr>
          <w:rFonts w:ascii="Times New Roman" w:hAnsi="Times New Roman"/>
        </w:rPr>
        <w:t>s</w:t>
      </w:r>
      <w:r>
        <w:rPr>
          <w:rFonts w:ascii="Times New Roman" w:hAnsi="Times New Roman"/>
        </w:rPr>
        <w:t xml:space="preserve"> considerations pertaining to the time required to complete other types of regulatory reports as well as the greater level of detail required in the </w:t>
      </w:r>
      <w:r w:rsidR="00312E63">
        <w:rPr>
          <w:rFonts w:ascii="Times New Roman" w:hAnsi="Times New Roman"/>
        </w:rPr>
        <w:t xml:space="preserve">FFIEC 101 </w:t>
      </w:r>
      <w:r>
        <w:rPr>
          <w:rFonts w:ascii="Times New Roman" w:hAnsi="Times New Roman"/>
        </w:rPr>
        <w:t>report relative to other regulatory submissions.</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The annual recurring salary and employee benefit cost to the </w:t>
      </w:r>
      <w:r w:rsidR="00312E63">
        <w:rPr>
          <w:rFonts w:ascii="Times New Roman" w:hAnsi="Times New Roman"/>
        </w:rPr>
        <w:t>FDIC-supervised institutions</w:t>
      </w:r>
      <w:r>
        <w:rPr>
          <w:rFonts w:ascii="Times New Roman" w:hAnsi="Times New Roman"/>
        </w:rPr>
        <w:t xml:space="preserve"> that </w:t>
      </w:r>
      <w:r w:rsidR="005E54EE">
        <w:rPr>
          <w:rFonts w:ascii="Times New Roman" w:hAnsi="Times New Roman"/>
        </w:rPr>
        <w:t>are</w:t>
      </w:r>
      <w:r>
        <w:rPr>
          <w:rFonts w:ascii="Times New Roman" w:hAnsi="Times New Roman"/>
        </w:rPr>
        <w:t xml:space="preserve"> subject to the</w:t>
      </w:r>
      <w:r w:rsidR="005E54EE">
        <w:rPr>
          <w:rFonts w:ascii="Times New Roman" w:hAnsi="Times New Roman"/>
        </w:rPr>
        <w:t xml:space="preserve"> FFIEC 101</w:t>
      </w:r>
      <w:r>
        <w:rPr>
          <w:rFonts w:ascii="Times New Roman" w:hAnsi="Times New Roman"/>
        </w:rPr>
        <w:t xml:space="preserve"> reporting requirements for the burden hours shown above is estimated to be $</w:t>
      </w:r>
      <w:r w:rsidR="00186BB3">
        <w:rPr>
          <w:rFonts w:ascii="Times New Roman" w:hAnsi="Times New Roman"/>
        </w:rPr>
        <w:t>943,600</w:t>
      </w:r>
      <w:r>
        <w:rPr>
          <w:rFonts w:ascii="Times New Roman" w:hAnsi="Times New Roman"/>
        </w:rPr>
        <w:t>.  This cost is based on the application of an hourly rate of $</w:t>
      </w:r>
      <w:r w:rsidR="00312E63">
        <w:rPr>
          <w:rFonts w:ascii="Times New Roman" w:hAnsi="Times New Roman"/>
        </w:rPr>
        <w:t>1</w:t>
      </w:r>
      <w:r w:rsidR="00186BB3">
        <w:rPr>
          <w:rFonts w:ascii="Times New Roman" w:hAnsi="Times New Roman"/>
        </w:rPr>
        <w:t>7</w:t>
      </w:r>
      <w:r w:rsidR="00312E63">
        <w:rPr>
          <w:rFonts w:ascii="Times New Roman" w:hAnsi="Times New Roman"/>
        </w:rPr>
        <w:t>5</w:t>
      </w:r>
      <w:r>
        <w:rPr>
          <w:rFonts w:ascii="Times New Roman" w:hAnsi="Times New Roman"/>
        </w:rPr>
        <w:t xml:space="preserve"> to the estimated </w:t>
      </w:r>
      <w:r w:rsidR="00186BB3">
        <w:rPr>
          <w:rFonts w:ascii="Times New Roman" w:hAnsi="Times New Roman"/>
        </w:rPr>
        <w:t>5,392</w:t>
      </w:r>
      <w:r>
        <w:rPr>
          <w:rFonts w:ascii="Times New Roman" w:hAnsi="Times New Roman"/>
        </w:rPr>
        <w:t xml:space="preserve"> total hours of annual reporting burden, which considers the specialized technical skills in the fields of credit risk and operational risk of those bank staff members involved in implementing the Advanced Capital Adequacy Framework who are responsible for completing the regulatory reporting requirements </w:t>
      </w:r>
      <w:r w:rsidR="00312E63">
        <w:rPr>
          <w:rFonts w:ascii="Times New Roman" w:hAnsi="Times New Roman"/>
        </w:rPr>
        <w:t>as well as</w:t>
      </w:r>
      <w:r>
        <w:rPr>
          <w:rFonts w:ascii="Times New Roman" w:hAnsi="Times New Roman"/>
        </w:rPr>
        <w:t xml:space="preserve"> </w:t>
      </w:r>
      <w:r w:rsidR="00312E63">
        <w:rPr>
          <w:rFonts w:ascii="Times New Roman" w:hAnsi="Times New Roman"/>
        </w:rPr>
        <w:t xml:space="preserve">time spent by executive officers responsible for </w:t>
      </w:r>
      <w:r>
        <w:rPr>
          <w:rFonts w:ascii="Times New Roman" w:hAnsi="Times New Roman"/>
        </w:rPr>
        <w:t xml:space="preserve">reviewing and approving the completed FFIEC 101 report prior to submission.  </w:t>
      </w:r>
    </w:p>
    <w:p w:rsidR="00F72934" w:rsidRDefault="00F72934">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Pr>
          <w:rFonts w:ascii="Times New Roman" w:hAnsi="Times New Roman"/>
          <w:u w:val="single"/>
        </w:rPr>
        <w:t>Estimate of Total Annual Cost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None.  </w:t>
      </w:r>
      <w:r w:rsidR="003B78E0">
        <w:rPr>
          <w:rFonts w:ascii="Times New Roman" w:hAnsi="Times New Roman"/>
        </w:rPr>
        <w:t xml:space="preserve">Under </w:t>
      </w:r>
      <w:r w:rsidR="00186BB3">
        <w:rPr>
          <w:rFonts w:ascii="Times New Roman" w:hAnsi="Times New Roman"/>
        </w:rPr>
        <w:t>th</w:t>
      </w:r>
      <w:r w:rsidR="004A72E3">
        <w:rPr>
          <w:rFonts w:ascii="Times New Roman" w:hAnsi="Times New Roman"/>
        </w:rPr>
        <w:t>e Advanced Capital Adequacy Framework</w:t>
      </w:r>
      <w:r w:rsidR="00186BB3">
        <w:rPr>
          <w:rFonts w:ascii="Times New Roman" w:hAnsi="Times New Roman"/>
        </w:rPr>
        <w:t>,</w:t>
      </w:r>
      <w:r w:rsidR="004A72E3">
        <w:rPr>
          <w:rFonts w:ascii="Times New Roman" w:hAnsi="Times New Roman"/>
        </w:rPr>
        <w:t xml:space="preserve"> </w:t>
      </w:r>
      <w:r w:rsidR="003B78E0">
        <w:rPr>
          <w:rFonts w:ascii="Times New Roman" w:hAnsi="Times New Roman"/>
        </w:rPr>
        <w:t xml:space="preserve">banks are required to maintain a significant volume of information to support the risk estimates used in the calculation of regulatory capital in accordance with these </w:t>
      </w:r>
      <w:r w:rsidR="00186BB3">
        <w:rPr>
          <w:rFonts w:ascii="Times New Roman" w:hAnsi="Times New Roman"/>
        </w:rPr>
        <w:t xml:space="preserve">regulatory capital </w:t>
      </w:r>
      <w:r w:rsidR="003B78E0">
        <w:rPr>
          <w:rFonts w:ascii="Times New Roman" w:hAnsi="Times New Roman"/>
        </w:rPr>
        <w:t xml:space="preserve">rules.  There are certain additional costs (excluding costs included in Item 12 above) associated with implementing the </w:t>
      </w:r>
      <w:r w:rsidR="004A72E3">
        <w:rPr>
          <w:rFonts w:ascii="Times New Roman" w:hAnsi="Times New Roman"/>
        </w:rPr>
        <w:t>framework’s advanced approaches</w:t>
      </w:r>
      <w:r w:rsidR="003B78E0">
        <w:rPr>
          <w:rFonts w:ascii="Times New Roman" w:hAnsi="Times New Roman"/>
        </w:rPr>
        <w:t xml:space="preserve"> and the </w:t>
      </w:r>
      <w:r w:rsidR="004A72E3">
        <w:rPr>
          <w:rFonts w:ascii="Times New Roman" w:hAnsi="Times New Roman"/>
        </w:rPr>
        <w:t xml:space="preserve">FFIEC 101 </w:t>
      </w:r>
      <w:r w:rsidR="003B78E0">
        <w:rPr>
          <w:rFonts w:ascii="Times New Roman" w:hAnsi="Times New Roman"/>
        </w:rPr>
        <w:t xml:space="preserve">reporting requirements relating to developing and maintaining software, data systems, and data processing capabilities.  It is difficult to develop estimates of capital and start-up costs as well as operation and maintenance/purchase of services costs that distinguish between those pertaining to these reporting requirements and those related to satisfying the requirements of the </w:t>
      </w:r>
      <w:r w:rsidR="004A72E3">
        <w:rPr>
          <w:rFonts w:ascii="Times New Roman" w:hAnsi="Times New Roman"/>
        </w:rPr>
        <w:t>Advanced Capital Adequacy Framework</w:t>
      </w:r>
      <w:r w:rsidR="003B78E0">
        <w:rPr>
          <w:rFonts w:ascii="Times New Roman" w:hAnsi="Times New Roman"/>
        </w:rPr>
        <w:t>.</w:t>
      </w:r>
      <w:r w:rsidR="003B78E0">
        <w:rPr>
          <w:rStyle w:val="FootnoteReference"/>
          <w:rFonts w:ascii="Times New Roman" w:hAnsi="Times New Roman"/>
        </w:rPr>
        <w:footnoteReference w:id="6"/>
      </w:r>
      <w:r w:rsidR="003B78E0">
        <w:rPr>
          <w:rFonts w:ascii="Times New Roman" w:hAnsi="Times New Roman"/>
        </w:rPr>
        <w:t xml:space="preserve">  The agencies did not receive any comments on start-up or operation and maintenance costs with respect to the FFIEC 101 reporting requirements when they were first published for comment</w:t>
      </w:r>
      <w:r w:rsidR="003B78E0">
        <w:rPr>
          <w:rStyle w:val="FootnoteReference"/>
          <w:rFonts w:ascii="Times New Roman" w:hAnsi="Times New Roman"/>
        </w:rPr>
        <w:footnoteReference w:id="7"/>
      </w:r>
      <w:r w:rsidR="003B78E0">
        <w:rPr>
          <w:rFonts w:ascii="Times New Roman" w:hAnsi="Times New Roman"/>
        </w:rPr>
        <w:t xml:space="preserve"> or when they requested comment in connection with </w:t>
      </w:r>
      <w:r w:rsidR="007B27DD">
        <w:rPr>
          <w:rFonts w:ascii="Times New Roman" w:hAnsi="Times New Roman"/>
        </w:rPr>
        <w:t xml:space="preserve">previous </w:t>
      </w:r>
      <w:r w:rsidR="003B78E0">
        <w:rPr>
          <w:rFonts w:ascii="Times New Roman" w:hAnsi="Times New Roman"/>
        </w:rPr>
        <w:t>revisions to the FFIEC 101 report</w:t>
      </w:r>
      <w:r w:rsidR="007B27DD">
        <w:rPr>
          <w:rFonts w:ascii="Times New Roman" w:hAnsi="Times New Roman"/>
        </w:rPr>
        <w:t xml:space="preserve">.  The agencies did not receive any comments on the proposed revisions </w:t>
      </w:r>
      <w:r w:rsidR="003B78E0">
        <w:rPr>
          <w:rFonts w:ascii="Times New Roman" w:hAnsi="Times New Roman"/>
        </w:rPr>
        <w:t>that are the subject of this submission.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Pr>
          <w:rFonts w:ascii="Times New Roman" w:hAnsi="Times New Roman"/>
          <w:u w:val="single"/>
        </w:rPr>
        <w:t>Estimate of Total Annual Cost to the Federal Government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None.  </w:t>
      </w:r>
      <w:r w:rsidR="003B78E0">
        <w:rPr>
          <w:rFonts w:ascii="Times New Roman" w:hAnsi="Times New Roman"/>
        </w:rPr>
        <w:t>Data submissions are received and processed by the F</w:t>
      </w:r>
      <w:r w:rsidR="0012786B">
        <w:rPr>
          <w:rFonts w:ascii="Times New Roman" w:hAnsi="Times New Roman"/>
        </w:rPr>
        <w:t>ederal Reserve</w:t>
      </w:r>
      <w:r w:rsidR="003B78E0">
        <w:rPr>
          <w:rFonts w:ascii="Times New Roman" w:hAnsi="Times New Roman"/>
        </w:rPr>
        <w:t xml:space="preserve"> </w:t>
      </w:r>
      <w:r w:rsidR="0012786B">
        <w:rPr>
          <w:rFonts w:ascii="Times New Roman" w:hAnsi="Times New Roman"/>
        </w:rPr>
        <w:t>using its</w:t>
      </w:r>
      <w:r w:rsidR="003B78E0">
        <w:rPr>
          <w:rFonts w:ascii="Times New Roman" w:hAnsi="Times New Roman"/>
        </w:rPr>
        <w:t xml:space="preserve"> </w:t>
      </w:r>
      <w:r w:rsidR="007B27DD">
        <w:rPr>
          <w:rFonts w:ascii="Times New Roman" w:hAnsi="Times New Roman"/>
        </w:rPr>
        <w:t xml:space="preserve">Reporting Central </w:t>
      </w:r>
      <w:r w:rsidR="00312E63">
        <w:rPr>
          <w:rFonts w:ascii="Times New Roman" w:hAnsi="Times New Roman"/>
        </w:rPr>
        <w:t>application</w:t>
      </w:r>
      <w:r w:rsidR="003B78E0">
        <w:rPr>
          <w:rFonts w:ascii="Times New Roman" w:hAnsi="Times New Roman"/>
        </w:rPr>
        <w:t xml:space="preserve"> as the data processing platform.  The FDIC does not incur material incremental costs in connection with the collection of these data. </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Pr>
          <w:rFonts w:ascii="Times New Roman" w:hAnsi="Times New Roman"/>
          <w:u w:val="single"/>
        </w:rPr>
        <w:t>Reason for Change in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There is no change in burden.  </w:t>
      </w:r>
      <w:r w:rsidR="005E54EE">
        <w:rPr>
          <w:rFonts w:ascii="Times New Roman" w:hAnsi="Times New Roman"/>
        </w:rPr>
        <w:t>As discussed in Item 12 above, t</w:t>
      </w:r>
      <w:r w:rsidR="003B78E0">
        <w:rPr>
          <w:rFonts w:ascii="Times New Roman" w:hAnsi="Times New Roman"/>
        </w:rPr>
        <w:t xml:space="preserve">he </w:t>
      </w:r>
      <w:r w:rsidR="005E54EE">
        <w:rPr>
          <w:rFonts w:ascii="Times New Roman" w:hAnsi="Times New Roman"/>
        </w:rPr>
        <w:t>proposed revisions to the FFIEC 101 report that are the subject of this submission are not expected to produce a change in the reporting burden of completing the FFIEC 101 report, which is currently estimated at 674 hours per quarter</w:t>
      </w:r>
      <w:r w:rsidR="000962D8">
        <w:rPr>
          <w:rFonts w:ascii="Times New Roman" w:hAnsi="Times New Roman"/>
        </w:rPr>
        <w:t xml:space="preserve"> for FDIC-supervised institutions</w:t>
      </w:r>
      <w:r w:rsidR="005E54EE">
        <w:rPr>
          <w:rFonts w:ascii="Times New Roman" w:hAnsi="Times New Roman"/>
        </w:rPr>
        <w:t>.  In addition,</w:t>
      </w:r>
      <w:r w:rsidR="003B78E0">
        <w:rPr>
          <w:rFonts w:ascii="Times New Roman" w:hAnsi="Times New Roman"/>
        </w:rPr>
        <w:t xml:space="preserve"> </w:t>
      </w:r>
      <w:r w:rsidR="007B27DD">
        <w:rPr>
          <w:rFonts w:ascii="Times New Roman" w:hAnsi="Times New Roman"/>
        </w:rPr>
        <w:t>2</w:t>
      </w:r>
      <w:r w:rsidR="00D74ACD">
        <w:rPr>
          <w:rFonts w:ascii="Times New Roman" w:hAnsi="Times New Roman"/>
        </w:rPr>
        <w:t xml:space="preserve"> </w:t>
      </w:r>
      <w:r w:rsidR="003B78E0">
        <w:rPr>
          <w:rFonts w:ascii="Times New Roman" w:hAnsi="Times New Roman"/>
        </w:rPr>
        <w:t xml:space="preserve">FDIC-supervised </w:t>
      </w:r>
      <w:r w:rsidR="00D74ACD">
        <w:rPr>
          <w:rFonts w:ascii="Times New Roman" w:hAnsi="Times New Roman"/>
        </w:rPr>
        <w:t>institutions</w:t>
      </w:r>
      <w:r w:rsidR="003B78E0">
        <w:rPr>
          <w:rFonts w:ascii="Times New Roman" w:hAnsi="Times New Roman"/>
        </w:rPr>
        <w:t xml:space="preserve"> </w:t>
      </w:r>
      <w:r w:rsidR="000962D8">
        <w:rPr>
          <w:rFonts w:ascii="Times New Roman" w:hAnsi="Times New Roman"/>
        </w:rPr>
        <w:t xml:space="preserve">currently are </w:t>
      </w:r>
      <w:r w:rsidR="003B78E0">
        <w:rPr>
          <w:rFonts w:ascii="Times New Roman" w:hAnsi="Times New Roman"/>
        </w:rPr>
        <w:t>subject to the FFIEC 101 reporting requirements</w:t>
      </w:r>
      <w:r w:rsidR="000962D8">
        <w:rPr>
          <w:rFonts w:ascii="Times New Roman" w:hAnsi="Times New Roman"/>
        </w:rPr>
        <w:t>, which is unchanged from the number of such</w:t>
      </w:r>
      <w:r w:rsidR="003B78E0">
        <w:rPr>
          <w:rFonts w:ascii="Times New Roman" w:hAnsi="Times New Roman"/>
        </w:rPr>
        <w:t xml:space="preserve"> </w:t>
      </w:r>
      <w:r w:rsidR="00D74ACD">
        <w:rPr>
          <w:rFonts w:ascii="Times New Roman" w:hAnsi="Times New Roman"/>
        </w:rPr>
        <w:t>institutions</w:t>
      </w:r>
      <w:r w:rsidR="003B78E0">
        <w:rPr>
          <w:rFonts w:ascii="Times New Roman" w:hAnsi="Times New Roman"/>
        </w:rPr>
        <w:t xml:space="preserve"> in the currently approved information collection inventory</w:t>
      </w:r>
      <w:r w:rsidR="000962D8">
        <w:rPr>
          <w:rFonts w:ascii="Times New Roman" w:hAnsi="Times New Roman"/>
        </w:rPr>
        <w:t xml:space="preserve"> for this report</w:t>
      </w:r>
      <w:r w:rsidR="003B78E0">
        <w:rPr>
          <w:rFonts w:ascii="Times New Roman" w:hAnsi="Times New Roman"/>
        </w:rPr>
        <w:t xml:space="preserve">.  </w:t>
      </w:r>
      <w:r w:rsidR="000962D8">
        <w:rPr>
          <w:rFonts w:ascii="Times New Roman" w:hAnsi="Times New Roman"/>
        </w:rPr>
        <w:t>A comparison of the</w:t>
      </w:r>
      <w:r w:rsidR="003B78E0">
        <w:rPr>
          <w:rFonts w:ascii="Times New Roman" w:hAnsi="Times New Roman"/>
        </w:rPr>
        <w:t xml:space="preserve"> burden requested in this submission </w:t>
      </w:r>
      <w:r w:rsidR="000962D8">
        <w:rPr>
          <w:rFonts w:ascii="Times New Roman" w:hAnsi="Times New Roman"/>
        </w:rPr>
        <w:t xml:space="preserve">with the currently approved burden </w:t>
      </w:r>
      <w:r w:rsidR="003B78E0">
        <w:rPr>
          <w:rFonts w:ascii="Times New Roman" w:hAnsi="Times New Roman"/>
        </w:rPr>
        <w:t>is as follows: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Currently approved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962D8">
        <w:rPr>
          <w:rFonts w:ascii="Times New Roman" w:hAnsi="Times New Roman"/>
        </w:rPr>
        <w:t>5,392</w:t>
      </w:r>
      <w:r>
        <w:rPr>
          <w:rFonts w:ascii="Times New Roman" w:hAnsi="Times New Roman"/>
        </w:rPr>
        <w:t xml:space="preserve"> hours</w:t>
      </w:r>
      <w:r>
        <w:rPr>
          <w:rFonts w:ascii="Times New Roman" w:hAnsi="Times New Roman"/>
        </w:rPr>
        <w:tab/>
      </w:r>
    </w:p>
    <w:p w:rsidR="00556827" w:rsidRDefault="00556827" w:rsidP="004C500B">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556827">
        <w:rPr>
          <w:rFonts w:ascii="Times New Roman" w:hAnsi="Times New Roman"/>
        </w:rPr>
        <w:t>Revisions to content of report (program change)</w:t>
      </w:r>
      <w:r w:rsidRPr="00556827">
        <w:rPr>
          <w:rFonts w:ascii="Times New Roman" w:hAnsi="Times New Roman"/>
        </w:rPr>
        <w:tab/>
      </w:r>
      <w:r w:rsidR="004C500B">
        <w:rPr>
          <w:rFonts w:ascii="Times New Roman" w:hAnsi="Times New Roman"/>
        </w:rPr>
        <w:tab/>
      </w:r>
      <w:r w:rsidR="000962D8">
        <w:rPr>
          <w:rFonts w:ascii="Times New Roman" w:hAnsi="Times New Roman"/>
        </w:rPr>
        <w:t>±</w:t>
      </w:r>
      <w:r w:rsidRPr="00556827">
        <w:rPr>
          <w:rFonts w:ascii="Times New Roman" w:hAnsi="Times New Roman"/>
        </w:rPr>
        <w:t xml:space="preserve"> </w:t>
      </w:r>
      <w:r w:rsidR="000962D8">
        <w:rPr>
          <w:rFonts w:ascii="Times New Roman" w:hAnsi="Times New Roman"/>
        </w:rPr>
        <w:t>0</w:t>
      </w:r>
      <w:r w:rsidRPr="00556827">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u w:val="single"/>
        </w:rPr>
      </w:pPr>
      <w:r>
        <w:rPr>
          <w:rFonts w:ascii="Times New Roman" w:hAnsi="Times New Roman"/>
          <w:u w:val="single"/>
        </w:rPr>
        <w:t>Adjustment (change in use)</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000962D8">
        <w:rPr>
          <w:rFonts w:ascii="Times New Roman" w:hAnsi="Times New Roman"/>
          <w:u w:val="single"/>
        </w:rPr>
        <w:t>±</w:t>
      </w:r>
      <w:r w:rsidR="0054428D">
        <w:rPr>
          <w:rFonts w:ascii="Times New Roman" w:hAnsi="Times New Roman"/>
          <w:u w:val="single"/>
        </w:rPr>
        <w:t xml:space="preserve"> </w:t>
      </w:r>
      <w:r>
        <w:rPr>
          <w:rFonts w:ascii="Times New Roman" w:hAnsi="Times New Roman"/>
          <w:u w:val="single"/>
        </w:rPr>
        <w:t xml:space="preserve">0 hours </w:t>
      </w:r>
    </w:p>
    <w:p w:rsidR="003B78E0" w:rsidRDefault="003B78E0" w:rsidP="004C500B">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Requested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D6EA0">
        <w:rPr>
          <w:rFonts w:ascii="Times New Roman" w:hAnsi="Times New Roman"/>
        </w:rPr>
        <w:tab/>
      </w:r>
      <w:r w:rsidR="007B27DD">
        <w:rPr>
          <w:rFonts w:ascii="Times New Roman" w:hAnsi="Times New Roman"/>
        </w:rPr>
        <w:t>5,392</w:t>
      </w:r>
      <w:r>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Net change in burden:</w:t>
      </w:r>
      <w:r>
        <w:rPr>
          <w:rFonts w:ascii="Times New Roman" w:hAnsi="Times New Roman"/>
        </w:rPr>
        <w:tab/>
        <w:t xml:space="preserve"> </w:t>
      </w:r>
      <w:r w:rsidR="000962D8">
        <w:rPr>
          <w:rFonts w:ascii="Times New Roman" w:hAnsi="Times New Roman"/>
        </w:rPr>
        <w:t>±</w:t>
      </w:r>
      <w:r w:rsidR="0054428D">
        <w:rPr>
          <w:rFonts w:ascii="Times New Roman" w:hAnsi="Times New Roman"/>
        </w:rPr>
        <w:t xml:space="preserve"> </w:t>
      </w:r>
      <w:r w:rsidR="000962D8">
        <w:rPr>
          <w:rFonts w:ascii="Times New Roman" w:hAnsi="Times New Roman"/>
        </w:rPr>
        <w:t>0</w:t>
      </w:r>
      <w:r>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  </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16.  </w:t>
      </w:r>
      <w:r>
        <w:rPr>
          <w:rFonts w:ascii="Times New Roman" w:hAnsi="Times New Roman"/>
          <w:u w:val="single"/>
        </w:rPr>
        <w:t>Publication</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rsidP="00D802AB">
      <w:pPr>
        <w:rPr>
          <w:rFonts w:ascii="Times New Roman" w:hAnsi="Times New Roman"/>
        </w:rPr>
      </w:pPr>
      <w:r>
        <w:rPr>
          <w:rFonts w:ascii="Times New Roman" w:hAnsi="Times New Roman"/>
        </w:rPr>
        <w:t xml:space="preserve">The information collected in the FFIEC 101 report is intended primarily to meet the supervisory and policy needs of the FDIC and the other agencies.  As such, the majority of the reported items are afforded confidential treatment.  </w:t>
      </w:r>
      <w:r w:rsidR="00D802AB">
        <w:rPr>
          <w:rFonts w:ascii="Times New Roman" w:hAnsi="Times New Roman"/>
        </w:rPr>
        <w:t>As discussed in Section 10 above, f</w:t>
      </w:r>
      <w:r w:rsidR="00D802AB" w:rsidRPr="001D767E">
        <w:rPr>
          <w:rFonts w:ascii="Times New Roman" w:hAnsi="Times New Roman"/>
        </w:rPr>
        <w:t xml:space="preserve">or report dates before a reporting institution has completed its parallel run period, </w:t>
      </w:r>
      <w:r w:rsidR="00D802AB">
        <w:rPr>
          <w:rFonts w:ascii="Times New Roman" w:hAnsi="Times New Roman"/>
        </w:rPr>
        <w:t xml:space="preserve">most of the data items in </w:t>
      </w:r>
      <w:r w:rsidR="00D802AB" w:rsidRPr="001D767E">
        <w:rPr>
          <w:rFonts w:ascii="Times New Roman" w:hAnsi="Times New Roman"/>
        </w:rPr>
        <w:t>Schedule A</w:t>
      </w:r>
      <w:r w:rsidR="000F0BDD" w:rsidRPr="00F34B8E">
        <w:rPr>
          <w:rFonts w:ascii="Times New Roman" w:eastAsia="Calibri" w:hAnsi="Times New Roman"/>
          <w:snapToGrid/>
          <w:szCs w:val="24"/>
        </w:rPr>
        <w:t>–</w:t>
      </w:r>
      <w:r w:rsidR="00D802AB" w:rsidRPr="00490B60">
        <w:rPr>
          <w:rFonts w:ascii="Times New Roman" w:hAnsi="Times New Roman"/>
        </w:rPr>
        <w:t>Advanced Approaches Regulatory Capital</w:t>
      </w:r>
      <w:r w:rsidR="007B27DD">
        <w:rPr>
          <w:rFonts w:ascii="Times New Roman" w:hAnsi="Times New Roman"/>
        </w:rPr>
        <w:t xml:space="preserve"> (including SLR Tables 1 and 2, if applicable),</w:t>
      </w:r>
      <w:r w:rsidR="00D802AB" w:rsidRPr="001D767E">
        <w:rPr>
          <w:rFonts w:ascii="Times New Roman" w:hAnsi="Times New Roman"/>
        </w:rPr>
        <w:t xml:space="preserve"> </w:t>
      </w:r>
      <w:r w:rsidR="000962D8">
        <w:rPr>
          <w:rFonts w:ascii="Times New Roman" w:hAnsi="Times New Roman"/>
        </w:rPr>
        <w:t>are</w:t>
      </w:r>
      <w:r>
        <w:rPr>
          <w:rFonts w:ascii="Times New Roman" w:hAnsi="Times New Roman"/>
        </w:rPr>
        <w:t xml:space="preserve"> made available to the public through the Internet on an individual bank basis</w:t>
      </w:r>
      <w:r w:rsidR="00D802AB">
        <w:rPr>
          <w:rFonts w:ascii="Times New Roman" w:hAnsi="Times New Roman"/>
        </w:rPr>
        <w:t xml:space="preserve">. In addition, </w:t>
      </w:r>
      <w:r>
        <w:rPr>
          <w:rFonts w:ascii="Times New Roman" w:hAnsi="Times New Roman"/>
        </w:rPr>
        <w:t xml:space="preserve">for report periods after the </w:t>
      </w:r>
      <w:r w:rsidR="00D802AB">
        <w:rPr>
          <w:rFonts w:ascii="Times New Roman" w:hAnsi="Times New Roman"/>
        </w:rPr>
        <w:t xml:space="preserve">reporting institution </w:t>
      </w:r>
      <w:r>
        <w:rPr>
          <w:rFonts w:ascii="Times New Roman" w:hAnsi="Times New Roman"/>
        </w:rPr>
        <w:t>completes its parallel run</w:t>
      </w:r>
      <w:r w:rsidR="00D802AB">
        <w:rPr>
          <w:rFonts w:ascii="Times New Roman" w:hAnsi="Times New Roman"/>
        </w:rPr>
        <w:t>,</w:t>
      </w:r>
      <w:r>
        <w:rPr>
          <w:rFonts w:ascii="Times New Roman" w:hAnsi="Times New Roman"/>
        </w:rPr>
        <w:t xml:space="preserve"> </w:t>
      </w:r>
      <w:r w:rsidR="00D802AB" w:rsidRPr="001D767E">
        <w:rPr>
          <w:rFonts w:ascii="Times New Roman" w:hAnsi="Times New Roman"/>
        </w:rPr>
        <w:t>all items reported in Schedule A</w:t>
      </w:r>
      <w:r w:rsidR="000F0BDD" w:rsidRPr="00F34B8E">
        <w:rPr>
          <w:rFonts w:ascii="Times New Roman" w:eastAsia="Calibri" w:hAnsi="Times New Roman"/>
          <w:snapToGrid/>
          <w:szCs w:val="24"/>
        </w:rPr>
        <w:t>–</w:t>
      </w:r>
      <w:r w:rsidR="00D802AB" w:rsidRPr="00490B60">
        <w:rPr>
          <w:rFonts w:ascii="Times New Roman" w:hAnsi="Times New Roman"/>
        </w:rPr>
        <w:t>Advanced Approaches Regulatory Capital</w:t>
      </w:r>
      <w:r w:rsidR="00D802AB" w:rsidRPr="001D767E">
        <w:rPr>
          <w:rFonts w:ascii="Times New Roman" w:hAnsi="Times New Roman"/>
        </w:rPr>
        <w:t xml:space="preserve"> </w:t>
      </w:r>
      <w:r w:rsidR="007B27DD">
        <w:rPr>
          <w:rFonts w:ascii="Times New Roman" w:hAnsi="Times New Roman"/>
        </w:rPr>
        <w:t xml:space="preserve">(including SLR Tables 1 and 2, if applicable) </w:t>
      </w:r>
      <w:r w:rsidR="00D802AB">
        <w:rPr>
          <w:rFonts w:ascii="Times New Roman" w:hAnsi="Times New Roman"/>
        </w:rPr>
        <w:t>and Schedule</w:t>
      </w:r>
      <w:r w:rsidR="00D802AB" w:rsidRPr="001D767E">
        <w:rPr>
          <w:rFonts w:ascii="Times New Roman" w:hAnsi="Times New Roman"/>
        </w:rPr>
        <w:t xml:space="preserve"> B</w:t>
      </w:r>
      <w:r w:rsidR="000F0BDD" w:rsidRPr="00F34B8E">
        <w:rPr>
          <w:rFonts w:ascii="Times New Roman" w:eastAsia="Calibri" w:hAnsi="Times New Roman"/>
          <w:snapToGrid/>
          <w:szCs w:val="24"/>
        </w:rPr>
        <w:t>–</w:t>
      </w:r>
      <w:r w:rsidR="00D802AB" w:rsidRPr="00490B60">
        <w:rPr>
          <w:rFonts w:ascii="Times New Roman" w:hAnsi="Times New Roman"/>
        </w:rPr>
        <w:t xml:space="preserve">Summary Risk-Weighted Asset </w:t>
      </w:r>
      <w:r w:rsidR="00D802AB">
        <w:rPr>
          <w:rFonts w:ascii="Times New Roman" w:hAnsi="Times New Roman"/>
        </w:rPr>
        <w:t>Information)</w:t>
      </w:r>
      <w:r w:rsidR="00D802AB" w:rsidRPr="001D767E">
        <w:rPr>
          <w:rFonts w:ascii="Times New Roman" w:hAnsi="Times New Roman"/>
        </w:rPr>
        <w:t xml:space="preserve"> and items 1 and 2 of Schedule S</w:t>
      </w:r>
      <w:r w:rsidR="000F0BDD" w:rsidRPr="00F34B8E">
        <w:rPr>
          <w:rFonts w:ascii="Times New Roman" w:eastAsia="Calibri" w:hAnsi="Times New Roman"/>
          <w:snapToGrid/>
          <w:szCs w:val="24"/>
        </w:rPr>
        <w:t>–</w:t>
      </w:r>
      <w:r w:rsidR="00D802AB">
        <w:rPr>
          <w:rFonts w:ascii="Times New Roman" w:hAnsi="Times New Roman"/>
        </w:rPr>
        <w:t>Operational Risk</w:t>
      </w:r>
      <w:r w:rsidR="00D802AB" w:rsidRPr="001D767E">
        <w:rPr>
          <w:rFonts w:ascii="Times New Roman" w:hAnsi="Times New Roman"/>
        </w:rPr>
        <w:t xml:space="preserve"> </w:t>
      </w:r>
      <w:r w:rsidR="000962D8">
        <w:rPr>
          <w:rFonts w:ascii="Times New Roman" w:hAnsi="Times New Roman"/>
        </w:rPr>
        <w:t>are</w:t>
      </w:r>
      <w:r w:rsidR="00D802AB" w:rsidRPr="001D767E">
        <w:rPr>
          <w:rFonts w:ascii="Times New Roman" w:hAnsi="Times New Roman"/>
        </w:rPr>
        <w:t xml:space="preserve"> available to the public</w:t>
      </w:r>
      <w:r w:rsidR="004D6EA0">
        <w:rPr>
          <w:rFonts w:ascii="Times New Roman" w:hAnsi="Times New Roman"/>
        </w:rPr>
        <w:t xml:space="preserve"> on an </w:t>
      </w:r>
      <w:r w:rsidR="00D802AB">
        <w:rPr>
          <w:rFonts w:ascii="Times New Roman" w:hAnsi="Times New Roman"/>
        </w:rPr>
        <w:t>individual bank basis</w:t>
      </w:r>
      <w:r w:rsidR="00D802AB" w:rsidRPr="001D767E">
        <w:rPr>
          <w:rFonts w:ascii="Times New Roman" w:hAnsi="Times New Roman"/>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Pr>
          <w:rFonts w:ascii="Times New Roman" w:hAnsi="Times New Roman"/>
          <w:u w:val="single"/>
        </w:rPr>
        <w:t>Exceptions to Certification</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None.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R="003B78E0" w:rsidSect="00DD4EC1">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9F" w:rsidRDefault="00B9279F">
      <w:pPr>
        <w:widowControl/>
        <w:spacing w:line="20" w:lineRule="exact"/>
      </w:pPr>
    </w:p>
  </w:endnote>
  <w:endnote w:type="continuationSeparator" w:id="0">
    <w:p w:rsidR="00B9279F" w:rsidRDefault="00B9279F">
      <w:r>
        <w:t xml:space="preserve"> </w:t>
      </w:r>
    </w:p>
  </w:endnote>
  <w:endnote w:type="continuationNotice" w:id="1">
    <w:p w:rsidR="00B9279F" w:rsidRDefault="00B927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8E0" w:rsidRDefault="003B7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C76BF">
      <w:rPr>
        <w:rStyle w:val="PageNumber"/>
        <w:rFonts w:ascii="Times New Roman" w:hAnsi="Times New Roman"/>
        <w:noProof/>
      </w:rPr>
      <w:t>2</w:t>
    </w:r>
    <w:r>
      <w:rPr>
        <w:rStyle w:val="PageNumber"/>
        <w:rFonts w:ascii="Times New Roman" w:hAnsi="Times New Roman"/>
      </w:rPr>
      <w:fldChar w:fldCharType="end"/>
    </w:r>
  </w:p>
  <w:p w:rsidR="003B78E0" w:rsidRDefault="003B78E0">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C76BF">
      <w:rPr>
        <w:rStyle w:val="PageNumber"/>
        <w:rFonts w:ascii="Times New Roman" w:hAnsi="Times New Roman"/>
        <w:noProof/>
      </w:rPr>
      <w:t>1</w:t>
    </w:r>
    <w:r>
      <w:rPr>
        <w:rStyle w:val="PageNumber"/>
        <w:rFonts w:ascii="Times New Roman" w:hAnsi="Times New Roman"/>
      </w:rPr>
      <w:fldChar w:fldCharType="end"/>
    </w:r>
  </w:p>
  <w:p w:rsidR="003B78E0" w:rsidRDefault="003B78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9F" w:rsidRDefault="00B9279F">
      <w:r>
        <w:separator/>
      </w:r>
    </w:p>
  </w:footnote>
  <w:footnote w:type="continuationSeparator" w:id="0">
    <w:p w:rsidR="00B9279F" w:rsidRDefault="00B9279F">
      <w:r>
        <w:continuationSeparator/>
      </w:r>
    </w:p>
  </w:footnote>
  <w:footnote w:id="1">
    <w:p w:rsidR="00FC2C1F" w:rsidRDefault="00FC2C1F">
      <w:pPr>
        <w:pStyle w:val="FootnoteText"/>
      </w:pPr>
      <w:r w:rsidRPr="00FC2C1F">
        <w:rPr>
          <w:rStyle w:val="FootnoteReference"/>
          <w:rFonts w:ascii="Times New Roman" w:hAnsi="Times New Roman"/>
          <w:sz w:val="20"/>
        </w:rPr>
        <w:footnoteRef/>
      </w:r>
      <w:r w:rsidRPr="00FC2C1F">
        <w:rPr>
          <w:rFonts w:ascii="Times New Roman" w:hAnsi="Times New Roman"/>
          <w:sz w:val="20"/>
        </w:rPr>
        <w:t xml:space="preserve"> See the</w:t>
      </w:r>
      <w:r w:rsidRPr="00960DC6">
        <w:rPr>
          <w:rFonts w:ascii="Times New Roman" w:hAnsi="Times New Roman"/>
          <w:sz w:val="20"/>
        </w:rPr>
        <w:t xml:space="preserve"> advanced approaches risk-based capital rule: 12 CFR part 3, subpart E (O</w:t>
      </w:r>
      <w:r w:rsidR="001C6034">
        <w:rPr>
          <w:rFonts w:ascii="Times New Roman" w:hAnsi="Times New Roman"/>
          <w:sz w:val="20"/>
        </w:rPr>
        <w:t>ffice of the Comptroller of the Currency</w:t>
      </w:r>
      <w:r w:rsidRPr="00960DC6">
        <w:rPr>
          <w:rFonts w:ascii="Times New Roman" w:hAnsi="Times New Roman"/>
          <w:sz w:val="20"/>
        </w:rPr>
        <w:t>); 12 CFR part 217, subpart E (</w:t>
      </w:r>
      <w:r>
        <w:rPr>
          <w:rFonts w:ascii="Times New Roman" w:hAnsi="Times New Roman"/>
          <w:sz w:val="20"/>
        </w:rPr>
        <w:t>F</w:t>
      </w:r>
      <w:r w:rsidR="001C6034">
        <w:rPr>
          <w:rFonts w:ascii="Times New Roman" w:hAnsi="Times New Roman"/>
          <w:sz w:val="20"/>
        </w:rPr>
        <w:t xml:space="preserve">ederal </w:t>
      </w:r>
      <w:r>
        <w:rPr>
          <w:rFonts w:ascii="Times New Roman" w:hAnsi="Times New Roman"/>
          <w:sz w:val="20"/>
        </w:rPr>
        <w:t>R</w:t>
      </w:r>
      <w:r w:rsidR="001C6034">
        <w:rPr>
          <w:rFonts w:ascii="Times New Roman" w:hAnsi="Times New Roman"/>
          <w:sz w:val="20"/>
        </w:rPr>
        <w:t xml:space="preserve">eserve </w:t>
      </w:r>
      <w:r w:rsidRPr="00960DC6">
        <w:rPr>
          <w:rFonts w:ascii="Times New Roman" w:hAnsi="Times New Roman"/>
          <w:sz w:val="20"/>
        </w:rPr>
        <w:t>B</w:t>
      </w:r>
      <w:r w:rsidR="001C6034">
        <w:rPr>
          <w:rFonts w:ascii="Times New Roman" w:hAnsi="Times New Roman"/>
          <w:sz w:val="20"/>
        </w:rPr>
        <w:t>oard</w:t>
      </w:r>
      <w:r w:rsidRPr="00960DC6">
        <w:rPr>
          <w:rFonts w:ascii="Times New Roman" w:hAnsi="Times New Roman"/>
          <w:sz w:val="20"/>
        </w:rPr>
        <w:t>); and 12 CFR part 324, subpart E (FDIC).</w:t>
      </w:r>
    </w:p>
  </w:footnote>
  <w:footnote w:id="2">
    <w:p w:rsidR="001C6034" w:rsidRDefault="001C6034">
      <w:pPr>
        <w:pStyle w:val="FootnoteText"/>
      </w:pPr>
      <w:r w:rsidRPr="001C6034">
        <w:rPr>
          <w:rStyle w:val="FootnoteReference"/>
          <w:rFonts w:ascii="Times New Roman" w:hAnsi="Times New Roman"/>
          <w:sz w:val="20"/>
        </w:rPr>
        <w:footnoteRef/>
      </w:r>
      <w:r w:rsidRPr="001C6034">
        <w:rPr>
          <w:rFonts w:ascii="Times New Roman" w:hAnsi="Times New Roman"/>
          <w:sz w:val="20"/>
        </w:rPr>
        <w:t xml:space="preserve"> For</w:t>
      </w:r>
      <w:r>
        <w:rPr>
          <w:rFonts w:ascii="Times New Roman" w:hAnsi="Times New Roman"/>
          <w:sz w:val="20"/>
        </w:rPr>
        <w:t xml:space="preserve"> simplicity, and unless otherwise indicated, the term “bank” includes banks, savings associations, bank holding companies, savings and loan holding companies, and intermediate holding companies.</w:t>
      </w:r>
    </w:p>
  </w:footnote>
  <w:footnote w:id="3">
    <w:p w:rsidR="00040460" w:rsidRPr="00BD0454" w:rsidRDefault="00040460" w:rsidP="00040460">
      <w:pPr>
        <w:pStyle w:val="FootnoteText"/>
        <w:rPr>
          <w:rFonts w:ascii="Times New Roman" w:hAnsi="Times New Roman"/>
          <w:sz w:val="20"/>
        </w:rPr>
      </w:pPr>
      <w:r w:rsidRPr="00BD0454">
        <w:rPr>
          <w:rStyle w:val="FootnoteReference"/>
          <w:rFonts w:ascii="Times New Roman" w:hAnsi="Times New Roman"/>
          <w:sz w:val="20"/>
        </w:rPr>
        <w:footnoteRef/>
      </w:r>
      <w:r w:rsidRPr="00BD0454">
        <w:rPr>
          <w:rFonts w:ascii="Times New Roman" w:hAnsi="Times New Roman"/>
          <w:sz w:val="20"/>
        </w:rPr>
        <w:t xml:space="preserve"> </w:t>
      </w:r>
      <w:r>
        <w:rPr>
          <w:rFonts w:ascii="Times New Roman" w:hAnsi="Times New Roman"/>
          <w:sz w:val="20"/>
        </w:rPr>
        <w:t xml:space="preserve">See 79 FR </w:t>
      </w:r>
      <w:r w:rsidRPr="00BD0454">
        <w:rPr>
          <w:rFonts w:ascii="Times New Roman" w:hAnsi="Times New Roman"/>
          <w:sz w:val="20"/>
        </w:rPr>
        <w:t>57725</w:t>
      </w:r>
      <w:r>
        <w:rPr>
          <w:rFonts w:ascii="Times New Roman" w:hAnsi="Times New Roman"/>
          <w:sz w:val="20"/>
        </w:rPr>
        <w:t xml:space="preserve"> (September 26, 2014).</w:t>
      </w:r>
    </w:p>
  </w:footnote>
  <w:footnote w:id="4">
    <w:p w:rsidR="00185620" w:rsidRPr="007556AF" w:rsidRDefault="00185620">
      <w:pPr>
        <w:pStyle w:val="FootnoteText"/>
        <w:rPr>
          <w:sz w:val="20"/>
        </w:rPr>
      </w:pPr>
      <w:r w:rsidRPr="007556AF">
        <w:rPr>
          <w:rStyle w:val="FootnoteReference"/>
          <w:rFonts w:ascii="Times New Roman" w:hAnsi="Times New Roman"/>
          <w:sz w:val="20"/>
        </w:rPr>
        <w:footnoteRef/>
      </w:r>
      <w:r w:rsidRPr="007556AF">
        <w:rPr>
          <w:rFonts w:ascii="Times New Roman" w:hAnsi="Times New Roman"/>
          <w:sz w:val="20"/>
        </w:rPr>
        <w:t xml:space="preserve"> </w:t>
      </w:r>
      <w:r w:rsidRPr="007556AF">
        <w:rPr>
          <w:rFonts w:ascii="Times New Roman" w:hAnsi="Times New Roman"/>
          <w:snapToGrid/>
          <w:sz w:val="20"/>
        </w:rPr>
        <w:t xml:space="preserve">OMB No. </w:t>
      </w:r>
      <w:r w:rsidR="00FE5BCA">
        <w:rPr>
          <w:rFonts w:ascii="Times New Roman" w:hAnsi="Times New Roman"/>
          <w:snapToGrid/>
          <w:sz w:val="20"/>
        </w:rPr>
        <w:t xml:space="preserve">for the FDIC:  3064-0052; OMB No. for the FRB:  </w:t>
      </w:r>
      <w:r w:rsidRPr="007556AF">
        <w:rPr>
          <w:rFonts w:ascii="Times New Roman" w:hAnsi="Times New Roman"/>
          <w:snapToGrid/>
          <w:sz w:val="20"/>
        </w:rPr>
        <w:t>7100-0036</w:t>
      </w:r>
      <w:r w:rsidR="00FE5BCA">
        <w:rPr>
          <w:rFonts w:ascii="Times New Roman" w:hAnsi="Times New Roman"/>
          <w:snapToGrid/>
          <w:sz w:val="20"/>
        </w:rPr>
        <w:t>; OMB No. for the OCC:  1557-0081</w:t>
      </w:r>
      <w:r w:rsidRPr="007556AF">
        <w:rPr>
          <w:rFonts w:ascii="Times New Roman" w:hAnsi="Times New Roman"/>
          <w:snapToGrid/>
          <w:sz w:val="20"/>
        </w:rPr>
        <w:t>.</w:t>
      </w:r>
    </w:p>
  </w:footnote>
  <w:footnote w:id="5">
    <w:p w:rsidR="00185620" w:rsidRPr="007556AF" w:rsidRDefault="00185620">
      <w:pPr>
        <w:pStyle w:val="FootnoteText"/>
        <w:rPr>
          <w:sz w:val="20"/>
        </w:rPr>
      </w:pPr>
      <w:r w:rsidRPr="007556AF">
        <w:rPr>
          <w:rStyle w:val="FootnoteReference"/>
          <w:rFonts w:ascii="Times New Roman" w:hAnsi="Times New Roman"/>
          <w:sz w:val="20"/>
        </w:rPr>
        <w:footnoteRef/>
      </w:r>
      <w:r w:rsidRPr="007556AF">
        <w:rPr>
          <w:rFonts w:ascii="Times New Roman" w:hAnsi="Times New Roman"/>
          <w:sz w:val="20"/>
        </w:rPr>
        <w:t xml:space="preserve"> </w:t>
      </w:r>
      <w:r w:rsidRPr="007556AF">
        <w:rPr>
          <w:rFonts w:ascii="Times New Roman" w:hAnsi="Times New Roman"/>
          <w:snapToGrid/>
          <w:sz w:val="20"/>
        </w:rPr>
        <w:t>Consolidated Financial Statements for Holding Companies (FR Y-9C</w:t>
      </w:r>
      <w:r w:rsidR="00FE5BCA">
        <w:rPr>
          <w:rFonts w:ascii="Times New Roman" w:hAnsi="Times New Roman"/>
          <w:snapToGrid/>
          <w:sz w:val="20"/>
        </w:rPr>
        <w:t>)</w:t>
      </w:r>
      <w:r w:rsidRPr="007556AF">
        <w:rPr>
          <w:rFonts w:ascii="Times New Roman" w:hAnsi="Times New Roman"/>
          <w:snapToGrid/>
          <w:sz w:val="20"/>
        </w:rPr>
        <w:t xml:space="preserve">; OMB No. </w:t>
      </w:r>
      <w:r w:rsidR="003F254D">
        <w:rPr>
          <w:rFonts w:ascii="Times New Roman" w:hAnsi="Times New Roman"/>
          <w:snapToGrid/>
          <w:sz w:val="20"/>
        </w:rPr>
        <w:t xml:space="preserve">for the FRB:  </w:t>
      </w:r>
      <w:r w:rsidRPr="007556AF">
        <w:rPr>
          <w:rFonts w:ascii="Times New Roman" w:hAnsi="Times New Roman"/>
          <w:snapToGrid/>
          <w:sz w:val="20"/>
        </w:rPr>
        <w:t>7100-0128</w:t>
      </w:r>
      <w:r w:rsidR="00FE5BCA">
        <w:rPr>
          <w:rFonts w:ascii="Times New Roman" w:hAnsi="Times New Roman"/>
          <w:snapToGrid/>
          <w:sz w:val="20"/>
        </w:rPr>
        <w:t>.</w:t>
      </w:r>
    </w:p>
  </w:footnote>
  <w:footnote w:id="6">
    <w:p w:rsidR="003B78E0" w:rsidRDefault="003B78E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See 72 FR 69392, December 7, 2007, for a discussion of cost estimates of implementing the </w:t>
      </w:r>
      <w:r w:rsidR="006C2B3C">
        <w:rPr>
          <w:rFonts w:ascii="Times New Roman" w:hAnsi="Times New Roman"/>
          <w:sz w:val="20"/>
        </w:rPr>
        <w:t xml:space="preserve">original </w:t>
      </w:r>
      <w:r w:rsidR="004A72E3">
        <w:rPr>
          <w:rFonts w:ascii="Times New Roman" w:hAnsi="Times New Roman"/>
          <w:sz w:val="20"/>
        </w:rPr>
        <w:t xml:space="preserve">Basel II </w:t>
      </w:r>
      <w:r>
        <w:rPr>
          <w:rFonts w:ascii="Times New Roman" w:hAnsi="Times New Roman"/>
          <w:sz w:val="20"/>
        </w:rPr>
        <w:t>final rule.</w:t>
      </w:r>
    </w:p>
  </w:footnote>
  <w:footnote w:id="7">
    <w:p w:rsidR="003B78E0" w:rsidRDefault="003B78E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See 71 FR 55981, September 25,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tabs>
        <w:tab w:val="left" w:pos="-1440"/>
        <w:tab w:val="left" w:pos="-720"/>
        <w:tab w:val="left" w:pos="0"/>
        <w:tab w:val="left" w:pos="432"/>
        <w:tab w:val="left" w:pos="720"/>
        <w:tab w:val="left" w:pos="1008"/>
        <w:tab w:val="left" w:pos="1440"/>
      </w:tabs>
      <w:suppressAutoHyphens/>
      <w:jc w:val="both"/>
    </w:pPr>
  </w:p>
  <w:p w:rsidR="003B78E0" w:rsidRDefault="003B78E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Header"/>
      <w:jc w:val="right"/>
      <w:rPr>
        <w:rFonts w:ascii="Times New Roman" w:hAnsi="Times New Roman"/>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nsid w:val="0C8A446B"/>
    <w:multiLevelType w:val="singleLevel"/>
    <w:tmpl w:val="BE36AEE0"/>
    <w:lvl w:ilvl="0">
      <w:start w:val="1"/>
      <w:numFmt w:val="decimal"/>
      <w:lvlText w:val="(%1)"/>
      <w:lvlJc w:val="left"/>
      <w:pPr>
        <w:tabs>
          <w:tab w:val="num" w:pos="504"/>
        </w:tabs>
        <w:ind w:left="504" w:hanging="504"/>
      </w:pPr>
    </w:lvl>
  </w:abstractNum>
  <w:abstractNum w:abstractNumId="3">
    <w:nsid w:val="116D4231"/>
    <w:multiLevelType w:val="singleLevel"/>
    <w:tmpl w:val="BE36AEE0"/>
    <w:lvl w:ilvl="0">
      <w:start w:val="1"/>
      <w:numFmt w:val="decimal"/>
      <w:lvlText w:val="(%1)"/>
      <w:lvlJc w:val="left"/>
      <w:pPr>
        <w:tabs>
          <w:tab w:val="num" w:pos="504"/>
        </w:tabs>
        <w:ind w:left="504" w:hanging="504"/>
      </w:pPr>
    </w:lvl>
  </w:abstractNum>
  <w:abstractNum w:abstractNumId="4">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nsid w:val="1BEB4AB2"/>
    <w:multiLevelType w:val="hybridMultilevel"/>
    <w:tmpl w:val="BF721D18"/>
    <w:lvl w:ilvl="0" w:tplc="527A6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7">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8">
    <w:nsid w:val="231F0EB6"/>
    <w:multiLevelType w:val="singleLevel"/>
    <w:tmpl w:val="BE36AEE0"/>
    <w:lvl w:ilvl="0">
      <w:start w:val="1"/>
      <w:numFmt w:val="decimal"/>
      <w:lvlText w:val="(%1)"/>
      <w:lvlJc w:val="left"/>
      <w:pPr>
        <w:tabs>
          <w:tab w:val="num" w:pos="504"/>
        </w:tabs>
        <w:ind w:left="504" w:hanging="504"/>
      </w:pPr>
    </w:lvl>
  </w:abstractNum>
  <w:abstractNum w:abstractNumId="9">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2">
    <w:nsid w:val="30AD1ACF"/>
    <w:multiLevelType w:val="hybridMultilevel"/>
    <w:tmpl w:val="7D7E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7">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8">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19">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1">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2">
    <w:nsid w:val="622311BD"/>
    <w:multiLevelType w:val="singleLevel"/>
    <w:tmpl w:val="785E5116"/>
    <w:lvl w:ilvl="0">
      <w:start w:val="1"/>
      <w:numFmt w:val="lowerLetter"/>
      <w:lvlText w:val="(%1)"/>
      <w:lvlJc w:val="left"/>
      <w:pPr>
        <w:tabs>
          <w:tab w:val="num" w:pos="504"/>
        </w:tabs>
        <w:ind w:left="504" w:hanging="504"/>
      </w:pPr>
    </w:lvl>
  </w:abstractNum>
  <w:abstractNum w:abstractNumId="23">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4">
    <w:nsid w:val="6676179A"/>
    <w:multiLevelType w:val="hybridMultilevel"/>
    <w:tmpl w:val="6E7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6">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7">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8">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29">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4"/>
  </w:num>
  <w:num w:numId="2">
    <w:abstractNumId w:val="20"/>
  </w:num>
  <w:num w:numId="3">
    <w:abstractNumId w:val="1"/>
  </w:num>
  <w:num w:numId="4">
    <w:abstractNumId w:val="32"/>
  </w:num>
  <w:num w:numId="5">
    <w:abstractNumId w:val="5"/>
  </w:num>
  <w:num w:numId="6">
    <w:abstractNumId w:val="22"/>
  </w:num>
  <w:num w:numId="7">
    <w:abstractNumId w:val="14"/>
  </w:num>
  <w:num w:numId="8">
    <w:abstractNumId w:val="3"/>
  </w:num>
  <w:num w:numId="9">
    <w:abstractNumId w:val="8"/>
  </w:num>
  <w:num w:numId="10">
    <w:abstractNumId w:val="2"/>
  </w:num>
  <w:num w:numId="11">
    <w:abstractNumId w:val="25"/>
  </w:num>
  <w:num w:numId="12">
    <w:abstractNumId w:val="18"/>
  </w:num>
  <w:num w:numId="13">
    <w:abstractNumId w:val="23"/>
  </w:num>
  <w:num w:numId="14">
    <w:abstractNumId w:val="9"/>
  </w:num>
  <w:num w:numId="15">
    <w:abstractNumId w:val="27"/>
  </w:num>
  <w:num w:numId="16">
    <w:abstractNumId w:val="17"/>
  </w:num>
  <w:num w:numId="17">
    <w:abstractNumId w:val="21"/>
  </w:num>
  <w:num w:numId="18">
    <w:abstractNumId w:val="26"/>
  </w:num>
  <w:num w:numId="19">
    <w:abstractNumId w:val="28"/>
  </w:num>
  <w:num w:numId="20">
    <w:abstractNumId w:val="19"/>
  </w:num>
  <w:num w:numId="21">
    <w:abstractNumId w:val="7"/>
  </w:num>
  <w:num w:numId="22">
    <w:abstractNumId w:val="11"/>
  </w:num>
  <w:num w:numId="23">
    <w:abstractNumId w:val="29"/>
  </w:num>
  <w:num w:numId="24">
    <w:abstractNumId w:val="0"/>
  </w:num>
  <w:num w:numId="25">
    <w:abstractNumId w:val="15"/>
  </w:num>
  <w:num w:numId="26">
    <w:abstractNumId w:val="16"/>
  </w:num>
  <w:num w:numId="27">
    <w:abstractNumId w:val="31"/>
  </w:num>
  <w:num w:numId="28">
    <w:abstractNumId w:val="6"/>
  </w:num>
  <w:num w:numId="29">
    <w:abstractNumId w:val="24"/>
  </w:num>
  <w:num w:numId="30">
    <w:abstractNumId w:val="30"/>
  </w:num>
  <w:num w:numId="31">
    <w:abstractNumId w:val="13"/>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62"/>
    <w:rsid w:val="00000A6C"/>
    <w:rsid w:val="00025696"/>
    <w:rsid w:val="00040460"/>
    <w:rsid w:val="00056EF7"/>
    <w:rsid w:val="00091712"/>
    <w:rsid w:val="000962D8"/>
    <w:rsid w:val="000A090E"/>
    <w:rsid w:val="000F0BDD"/>
    <w:rsid w:val="000F5CF2"/>
    <w:rsid w:val="0012786B"/>
    <w:rsid w:val="001666AC"/>
    <w:rsid w:val="00185620"/>
    <w:rsid w:val="001864B6"/>
    <w:rsid w:val="00186BB3"/>
    <w:rsid w:val="00190FDA"/>
    <w:rsid w:val="00195165"/>
    <w:rsid w:val="001B513A"/>
    <w:rsid w:val="001C6034"/>
    <w:rsid w:val="001D137F"/>
    <w:rsid w:val="001D767E"/>
    <w:rsid w:val="001F3598"/>
    <w:rsid w:val="00204495"/>
    <w:rsid w:val="00225C45"/>
    <w:rsid w:val="00262D6C"/>
    <w:rsid w:val="00283764"/>
    <w:rsid w:val="0028735E"/>
    <w:rsid w:val="002A5C92"/>
    <w:rsid w:val="002D39F8"/>
    <w:rsid w:val="002D7BFC"/>
    <w:rsid w:val="002F0396"/>
    <w:rsid w:val="00312E63"/>
    <w:rsid w:val="00335D46"/>
    <w:rsid w:val="00373B98"/>
    <w:rsid w:val="00391805"/>
    <w:rsid w:val="003B4879"/>
    <w:rsid w:val="003B78E0"/>
    <w:rsid w:val="003C1AF0"/>
    <w:rsid w:val="003C76BF"/>
    <w:rsid w:val="003F254D"/>
    <w:rsid w:val="00407AFA"/>
    <w:rsid w:val="0047133A"/>
    <w:rsid w:val="00490B60"/>
    <w:rsid w:val="004A72E3"/>
    <w:rsid w:val="004B00D5"/>
    <w:rsid w:val="004B5861"/>
    <w:rsid w:val="004C500B"/>
    <w:rsid w:val="004D1E1D"/>
    <w:rsid w:val="004D6EA0"/>
    <w:rsid w:val="004E05C1"/>
    <w:rsid w:val="004F4F77"/>
    <w:rsid w:val="00522F38"/>
    <w:rsid w:val="00531C0D"/>
    <w:rsid w:val="005359E4"/>
    <w:rsid w:val="0054428D"/>
    <w:rsid w:val="0055576B"/>
    <w:rsid w:val="00556827"/>
    <w:rsid w:val="005E54EE"/>
    <w:rsid w:val="006016EF"/>
    <w:rsid w:val="0064048C"/>
    <w:rsid w:val="006646DB"/>
    <w:rsid w:val="006848E7"/>
    <w:rsid w:val="00685D7E"/>
    <w:rsid w:val="006C0646"/>
    <w:rsid w:val="006C2B3C"/>
    <w:rsid w:val="006F10E1"/>
    <w:rsid w:val="007002C3"/>
    <w:rsid w:val="007077C1"/>
    <w:rsid w:val="007212D5"/>
    <w:rsid w:val="007556AF"/>
    <w:rsid w:val="007820DD"/>
    <w:rsid w:val="00792C73"/>
    <w:rsid w:val="00794437"/>
    <w:rsid w:val="007B27DD"/>
    <w:rsid w:val="007C0E40"/>
    <w:rsid w:val="007C38EE"/>
    <w:rsid w:val="007E1D7C"/>
    <w:rsid w:val="007E43EC"/>
    <w:rsid w:val="007F0E1C"/>
    <w:rsid w:val="0081476E"/>
    <w:rsid w:val="008227C3"/>
    <w:rsid w:val="008476F9"/>
    <w:rsid w:val="008543D0"/>
    <w:rsid w:val="00874F41"/>
    <w:rsid w:val="008761ED"/>
    <w:rsid w:val="0089197B"/>
    <w:rsid w:val="008A5733"/>
    <w:rsid w:val="008F20C9"/>
    <w:rsid w:val="00934F1C"/>
    <w:rsid w:val="009447F7"/>
    <w:rsid w:val="00960DC6"/>
    <w:rsid w:val="00994AEB"/>
    <w:rsid w:val="009A424C"/>
    <w:rsid w:val="009D651B"/>
    <w:rsid w:val="00A3261D"/>
    <w:rsid w:val="00A44585"/>
    <w:rsid w:val="00A52F21"/>
    <w:rsid w:val="00A809B8"/>
    <w:rsid w:val="00B14F46"/>
    <w:rsid w:val="00B323EA"/>
    <w:rsid w:val="00B56A36"/>
    <w:rsid w:val="00B64321"/>
    <w:rsid w:val="00B64D4C"/>
    <w:rsid w:val="00B9279F"/>
    <w:rsid w:val="00BA1FAC"/>
    <w:rsid w:val="00BA63CD"/>
    <w:rsid w:val="00BB12EF"/>
    <w:rsid w:val="00BB446E"/>
    <w:rsid w:val="00BD033B"/>
    <w:rsid w:val="00BD0454"/>
    <w:rsid w:val="00BE27EF"/>
    <w:rsid w:val="00BF20A4"/>
    <w:rsid w:val="00BF3E4F"/>
    <w:rsid w:val="00BF58C3"/>
    <w:rsid w:val="00C06461"/>
    <w:rsid w:val="00C64409"/>
    <w:rsid w:val="00C8196F"/>
    <w:rsid w:val="00C87899"/>
    <w:rsid w:val="00CD4E6B"/>
    <w:rsid w:val="00CD5F18"/>
    <w:rsid w:val="00CF409A"/>
    <w:rsid w:val="00D10843"/>
    <w:rsid w:val="00D32F81"/>
    <w:rsid w:val="00D369CB"/>
    <w:rsid w:val="00D73339"/>
    <w:rsid w:val="00D74ACD"/>
    <w:rsid w:val="00D802AB"/>
    <w:rsid w:val="00DD4EC1"/>
    <w:rsid w:val="00DD6BED"/>
    <w:rsid w:val="00E34114"/>
    <w:rsid w:val="00EA4A90"/>
    <w:rsid w:val="00EA62EE"/>
    <w:rsid w:val="00EB4F62"/>
    <w:rsid w:val="00F2238A"/>
    <w:rsid w:val="00F34B8E"/>
    <w:rsid w:val="00F35587"/>
    <w:rsid w:val="00F37D9D"/>
    <w:rsid w:val="00F52988"/>
    <w:rsid w:val="00F6279C"/>
    <w:rsid w:val="00F72934"/>
    <w:rsid w:val="00FB2D8D"/>
    <w:rsid w:val="00FC2C1F"/>
    <w:rsid w:val="00FD0040"/>
    <w:rsid w:val="00FE5BCA"/>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EAEA-9B29-4625-8DE2-69D34DF8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2018-07-31T19:02:00Z</dcterms:created>
  <dcterms:modified xsi:type="dcterms:W3CDTF">2018-07-31T19:02:00Z</dcterms:modified>
</cp:coreProperties>
</file>