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1D" w:rsidRPr="00565E1D" w:rsidRDefault="00565E1D" w:rsidP="00565E1D">
      <w:pPr>
        <w:spacing w:after="0" w:line="240" w:lineRule="auto"/>
        <w:jc w:val="center"/>
        <w:rPr>
          <w:b/>
        </w:rPr>
      </w:pPr>
      <w:r w:rsidRPr="00565E1D">
        <w:rPr>
          <w:b/>
        </w:rPr>
        <w:t>JUSTIFICATION FOR NONMATERIAL/NONSUBSTANTIVE CHANGE</w:t>
      </w:r>
    </w:p>
    <w:p w:rsidR="005C0477" w:rsidRDefault="005C0477" w:rsidP="005C0477">
      <w:pPr>
        <w:spacing w:after="0" w:line="240" w:lineRule="auto"/>
        <w:jc w:val="center"/>
        <w:outlineLvl w:val="0"/>
        <w:rPr>
          <w:b/>
          <w:sz w:val="24"/>
          <w:szCs w:val="24"/>
        </w:rPr>
      </w:pPr>
      <w:r>
        <w:rPr>
          <w:b/>
          <w:sz w:val="24"/>
          <w:szCs w:val="24"/>
        </w:rPr>
        <w:t xml:space="preserve">Clearance for the Collection of Qualitative Feedback </w:t>
      </w:r>
    </w:p>
    <w:p w:rsidR="005C0477" w:rsidRDefault="005C0477" w:rsidP="005C0477">
      <w:pPr>
        <w:spacing w:after="0" w:line="240" w:lineRule="auto"/>
        <w:jc w:val="center"/>
        <w:rPr>
          <w:b/>
        </w:rPr>
      </w:pPr>
      <w:proofErr w:type="gramStart"/>
      <w:r>
        <w:rPr>
          <w:b/>
          <w:sz w:val="24"/>
          <w:szCs w:val="24"/>
        </w:rPr>
        <w:t>on</w:t>
      </w:r>
      <w:proofErr w:type="gramEnd"/>
      <w:r>
        <w:rPr>
          <w:b/>
          <w:sz w:val="24"/>
          <w:szCs w:val="24"/>
        </w:rPr>
        <w:t xml:space="preserve"> Agency Service Delivery</w:t>
      </w:r>
      <w:r>
        <w:rPr>
          <w:b/>
        </w:rPr>
        <w:t xml:space="preserve"> </w:t>
      </w:r>
    </w:p>
    <w:p w:rsidR="00565E1D" w:rsidRPr="00565E1D" w:rsidRDefault="005C0477" w:rsidP="005C0477">
      <w:pPr>
        <w:spacing w:after="0" w:line="240" w:lineRule="auto"/>
        <w:jc w:val="center"/>
      </w:pPr>
      <w:r>
        <w:rPr>
          <w:b/>
        </w:rPr>
        <w:t>OMB Control Number 0651-0080</w:t>
      </w:r>
    </w:p>
    <w:p w:rsidR="00565E1D" w:rsidRPr="00565E1D" w:rsidRDefault="00565E1D" w:rsidP="00565E1D">
      <w:pPr>
        <w:spacing w:after="0" w:line="240" w:lineRule="auto"/>
      </w:pPr>
    </w:p>
    <w:p w:rsidR="00565E1D" w:rsidRPr="00565E1D" w:rsidRDefault="00565E1D" w:rsidP="00565E1D">
      <w:pPr>
        <w:spacing w:after="0" w:line="240" w:lineRule="auto"/>
      </w:pPr>
      <w:r w:rsidRPr="00565E1D">
        <w:rPr>
          <w:u w:val="single"/>
        </w:rPr>
        <w:t xml:space="preserve">Background </w:t>
      </w:r>
    </w:p>
    <w:p w:rsidR="00565E1D" w:rsidRPr="00565E1D" w:rsidRDefault="00565E1D" w:rsidP="00565E1D">
      <w:pPr>
        <w:spacing w:after="0" w:line="240" w:lineRule="auto"/>
      </w:pPr>
    </w:p>
    <w:p w:rsidR="005C0477" w:rsidRPr="005C0477" w:rsidRDefault="005C0477" w:rsidP="005C0477">
      <w:pPr>
        <w:spacing w:after="0" w:line="240" w:lineRule="auto"/>
      </w:pPr>
      <w:r w:rsidRPr="005C0477">
        <w:t>Executive Order 12862 (</w:t>
      </w:r>
      <w:hyperlink r:id="rId9" w:history="1">
        <w:r w:rsidRPr="005C0477">
          <w:rPr>
            <w:rStyle w:val="Hyperlink"/>
          </w:rPr>
          <w:t>http://www.archives.gov/federal-register/executive-orders/pdf/12862.pdf</w:t>
        </w:r>
      </w:hyperlink>
      <w:r w:rsidRPr="005C0477">
        <w:t xml:space="preserve">) directs Federal agencies to provide service to the public that matches or exceeds the best service available in the private sector. In order to work continuously to ensure that programs are effective and meet our customers’ needs, the United States Patent and Trademark Office </w:t>
      </w:r>
      <w:r>
        <w:t>USPTO has</w:t>
      </w:r>
      <w:r w:rsidRPr="005C0477">
        <w:t xml:space="preserve"> obtain</w:t>
      </w:r>
      <w:r>
        <w:t>ed</w:t>
      </w:r>
      <w:r w:rsidRPr="005C0477">
        <w:t xml:space="preserve"> OMB approval of a generic clearance </w:t>
      </w:r>
      <w:r>
        <w:t>that</w:t>
      </w:r>
      <w:r w:rsidRPr="005C0477">
        <w:t xml:space="preserve"> collect</w:t>
      </w:r>
      <w:r>
        <w:t>s</w:t>
      </w:r>
      <w:r w:rsidRPr="005C0477">
        <w:t xml:space="preserve"> qualitative feedback on </w:t>
      </w:r>
      <w:r>
        <w:t>Agency</w:t>
      </w:r>
      <w:r w:rsidRPr="005C0477">
        <w:t xml:space="preserve"> service delivery.</w:t>
      </w:r>
      <w:r>
        <w:t xml:space="preserve"> </w:t>
      </w:r>
    </w:p>
    <w:p w:rsidR="005C0477" w:rsidRPr="005C0477" w:rsidRDefault="005C0477" w:rsidP="005C0477">
      <w:pPr>
        <w:spacing w:after="0" w:line="240" w:lineRule="auto"/>
        <w:rPr>
          <w:b/>
        </w:rPr>
      </w:pPr>
    </w:p>
    <w:p w:rsidR="00565E1D" w:rsidRDefault="005C0477" w:rsidP="00565E1D">
      <w:pPr>
        <w:spacing w:after="0" w:line="240" w:lineRule="auto"/>
      </w:pPr>
      <w:r w:rsidRPr="005C0477">
        <w:t>Collecting feedback allow</w:t>
      </w:r>
      <w:r>
        <w:t>s</w:t>
      </w:r>
      <w:r w:rsidRPr="005C0477">
        <w:t xml:space="preserve"> for the Agency to have a pulse on customer satisfaction and adjust where necessary to meet and exceed expectations. It provides for an ongoing, collaborative, and actionable communication between the Agency and its customers and stakeholders.  It enable</w:t>
      </w:r>
      <w:r>
        <w:t>s</w:t>
      </w:r>
      <w:r w:rsidRPr="005C0477">
        <w:t xml:space="preserve"> the Agency to garner customer and stakeholder feedback in an efficient, timely manner</w:t>
      </w:r>
      <w:r>
        <w:t>.</w:t>
      </w:r>
      <w:r w:rsidRPr="005C0477">
        <w:t xml:space="preserve">  The information collected from </w:t>
      </w:r>
      <w:r>
        <w:t>USPTO</w:t>
      </w:r>
      <w:r w:rsidRPr="005C0477">
        <w:t xml:space="preserve"> customers and stakeholders help</w:t>
      </w:r>
      <w:r>
        <w:t>s to</w:t>
      </w:r>
      <w:r w:rsidRPr="005C0477">
        <w:t xml:space="preserve"> ensure that users have an opportunity to convey their experience with the Agency’s programs. </w:t>
      </w:r>
    </w:p>
    <w:p w:rsidR="005C0477" w:rsidRPr="00565E1D" w:rsidRDefault="005C0477" w:rsidP="00565E1D">
      <w:pPr>
        <w:spacing w:after="0" w:line="240" w:lineRule="auto"/>
      </w:pPr>
    </w:p>
    <w:p w:rsidR="00565E1D" w:rsidRDefault="00565E1D" w:rsidP="00565E1D">
      <w:pPr>
        <w:spacing w:after="0" w:line="240" w:lineRule="auto"/>
      </w:pPr>
      <w:r w:rsidRPr="00565E1D">
        <w:t xml:space="preserve">The request is to update the </w:t>
      </w:r>
      <w:r w:rsidR="005C0477">
        <w:t>respondents and burden hours in response to increase</w:t>
      </w:r>
      <w:r w:rsidR="00BA62D4">
        <w:t>d</w:t>
      </w:r>
      <w:r w:rsidR="005C0477">
        <w:t xml:space="preserve"> stakeholder need.</w:t>
      </w:r>
    </w:p>
    <w:p w:rsidR="008B3EC4" w:rsidRPr="00565E1D" w:rsidRDefault="008B3EC4" w:rsidP="00565E1D">
      <w:pPr>
        <w:spacing w:after="0" w:line="240" w:lineRule="auto"/>
      </w:pPr>
    </w:p>
    <w:p w:rsidR="00565E1D" w:rsidRPr="00565E1D" w:rsidRDefault="00565E1D" w:rsidP="00565E1D">
      <w:pPr>
        <w:spacing w:after="0" w:line="240" w:lineRule="auto"/>
        <w:rPr>
          <w:b/>
        </w:rPr>
      </w:pPr>
      <w:r w:rsidRPr="00565E1D">
        <w:rPr>
          <w:b/>
        </w:rPr>
        <w:t>Respondents</w:t>
      </w:r>
    </w:p>
    <w:tbl>
      <w:tblPr>
        <w:tblStyle w:val="TableGrid"/>
        <w:tblW w:w="0" w:type="auto"/>
        <w:jc w:val="center"/>
        <w:tblLook w:val="04A0" w:firstRow="1" w:lastRow="0" w:firstColumn="1" w:lastColumn="0" w:noHBand="0" w:noVBand="1"/>
      </w:tblPr>
      <w:tblGrid>
        <w:gridCol w:w="3627"/>
        <w:gridCol w:w="2421"/>
        <w:gridCol w:w="1679"/>
        <w:gridCol w:w="1849"/>
      </w:tblGrid>
      <w:tr w:rsidR="00565E1D" w:rsidRPr="00565E1D" w:rsidTr="003A2971">
        <w:trPr>
          <w:cantSplit/>
          <w:jc w:val="center"/>
        </w:trPr>
        <w:tc>
          <w:tcPr>
            <w:tcW w:w="3627" w:type="dxa"/>
          </w:tcPr>
          <w:p w:rsidR="00565E1D" w:rsidRPr="00565E1D" w:rsidRDefault="00565E1D" w:rsidP="00565E1D">
            <w:pPr>
              <w:jc w:val="center"/>
              <w:rPr>
                <w:b/>
              </w:rPr>
            </w:pPr>
            <w:r w:rsidRPr="00565E1D">
              <w:rPr>
                <w:b/>
              </w:rPr>
              <w:t>Item</w:t>
            </w:r>
          </w:p>
        </w:tc>
        <w:tc>
          <w:tcPr>
            <w:tcW w:w="2421" w:type="dxa"/>
          </w:tcPr>
          <w:p w:rsidR="00565E1D" w:rsidRPr="00565E1D" w:rsidRDefault="00565E1D" w:rsidP="00565E1D">
            <w:pPr>
              <w:jc w:val="center"/>
              <w:rPr>
                <w:b/>
              </w:rPr>
            </w:pPr>
            <w:r w:rsidRPr="00565E1D">
              <w:rPr>
                <w:b/>
              </w:rPr>
              <w:t>Currently Approved Respondents</w:t>
            </w:r>
          </w:p>
        </w:tc>
        <w:tc>
          <w:tcPr>
            <w:tcW w:w="1679" w:type="dxa"/>
          </w:tcPr>
          <w:p w:rsidR="00565E1D" w:rsidRPr="00565E1D" w:rsidRDefault="00565E1D" w:rsidP="00565E1D">
            <w:pPr>
              <w:jc w:val="center"/>
              <w:rPr>
                <w:b/>
              </w:rPr>
            </w:pPr>
            <w:r w:rsidRPr="00565E1D">
              <w:rPr>
                <w:b/>
              </w:rPr>
              <w:t>Proposed Respondents</w:t>
            </w:r>
          </w:p>
        </w:tc>
        <w:tc>
          <w:tcPr>
            <w:tcW w:w="1849" w:type="dxa"/>
          </w:tcPr>
          <w:p w:rsidR="00565E1D" w:rsidRPr="00565E1D" w:rsidRDefault="00565E1D" w:rsidP="00565E1D">
            <w:pPr>
              <w:jc w:val="center"/>
              <w:rPr>
                <w:b/>
              </w:rPr>
            </w:pPr>
            <w:r w:rsidRPr="00565E1D">
              <w:rPr>
                <w:b/>
              </w:rPr>
              <w:t>Respondent Increase</w:t>
            </w:r>
          </w:p>
        </w:tc>
      </w:tr>
      <w:tr w:rsidR="0079044A" w:rsidRPr="00565E1D" w:rsidTr="003A2971">
        <w:trPr>
          <w:cantSplit/>
          <w:jc w:val="center"/>
        </w:trPr>
        <w:tc>
          <w:tcPr>
            <w:tcW w:w="3627" w:type="dxa"/>
          </w:tcPr>
          <w:p w:rsidR="0079044A" w:rsidRPr="00565E1D" w:rsidRDefault="005C0477" w:rsidP="00D16468">
            <w:r>
              <w:t>Customer Surveys</w:t>
            </w:r>
          </w:p>
        </w:tc>
        <w:tc>
          <w:tcPr>
            <w:tcW w:w="2421" w:type="dxa"/>
          </w:tcPr>
          <w:p w:rsidR="0079044A" w:rsidRPr="00565E1D" w:rsidRDefault="005C0477" w:rsidP="00565E1D">
            <w:pPr>
              <w:jc w:val="right"/>
            </w:pPr>
            <w:r>
              <w:t>20,000</w:t>
            </w:r>
          </w:p>
        </w:tc>
        <w:tc>
          <w:tcPr>
            <w:tcW w:w="1679" w:type="dxa"/>
          </w:tcPr>
          <w:p w:rsidR="0079044A" w:rsidRPr="00565E1D" w:rsidRDefault="005C0477" w:rsidP="00565E1D">
            <w:pPr>
              <w:jc w:val="right"/>
            </w:pPr>
            <w:r>
              <w:t>60,000</w:t>
            </w:r>
          </w:p>
        </w:tc>
        <w:tc>
          <w:tcPr>
            <w:tcW w:w="1849" w:type="dxa"/>
          </w:tcPr>
          <w:p w:rsidR="0079044A" w:rsidRPr="00565E1D" w:rsidRDefault="00401D56" w:rsidP="00565E1D">
            <w:pPr>
              <w:jc w:val="right"/>
            </w:pPr>
            <w:r>
              <w:t>40,000</w:t>
            </w:r>
          </w:p>
        </w:tc>
      </w:tr>
      <w:tr w:rsidR="008D4DF1" w:rsidRPr="00565E1D" w:rsidTr="003A2971">
        <w:trPr>
          <w:cantSplit/>
          <w:jc w:val="center"/>
        </w:trPr>
        <w:tc>
          <w:tcPr>
            <w:tcW w:w="3627" w:type="dxa"/>
          </w:tcPr>
          <w:p w:rsidR="008D4DF1" w:rsidRPr="00565E1D" w:rsidRDefault="00401D56" w:rsidP="00D16468">
            <w:r w:rsidRPr="00401D56">
              <w:rPr>
                <w:bCs/>
              </w:rPr>
              <w:t>Questionnaires/Customer Comment  Cards/ Complaint Forms</w:t>
            </w:r>
          </w:p>
        </w:tc>
        <w:tc>
          <w:tcPr>
            <w:tcW w:w="2421" w:type="dxa"/>
          </w:tcPr>
          <w:p w:rsidR="008D4DF1" w:rsidRPr="00565E1D" w:rsidRDefault="00401D56" w:rsidP="00A5492A">
            <w:pPr>
              <w:jc w:val="right"/>
            </w:pPr>
            <w:r>
              <w:t>300</w:t>
            </w:r>
          </w:p>
        </w:tc>
        <w:tc>
          <w:tcPr>
            <w:tcW w:w="1679" w:type="dxa"/>
          </w:tcPr>
          <w:p w:rsidR="008D4DF1" w:rsidRPr="00E7163E" w:rsidRDefault="00401D56" w:rsidP="00565E1D">
            <w:pPr>
              <w:jc w:val="right"/>
            </w:pPr>
            <w:r>
              <w:t>1,000</w:t>
            </w:r>
          </w:p>
        </w:tc>
        <w:tc>
          <w:tcPr>
            <w:tcW w:w="1849" w:type="dxa"/>
          </w:tcPr>
          <w:p w:rsidR="008D4DF1" w:rsidRPr="00565E1D" w:rsidRDefault="00401D56" w:rsidP="00565E1D">
            <w:pPr>
              <w:jc w:val="right"/>
            </w:pPr>
            <w:r>
              <w:t>700</w:t>
            </w:r>
          </w:p>
        </w:tc>
      </w:tr>
      <w:tr w:rsidR="0079044A" w:rsidRPr="00565E1D" w:rsidTr="003A2971">
        <w:trPr>
          <w:cantSplit/>
          <w:jc w:val="center"/>
        </w:trPr>
        <w:tc>
          <w:tcPr>
            <w:tcW w:w="3627" w:type="dxa"/>
          </w:tcPr>
          <w:p w:rsidR="0079044A" w:rsidRPr="00565E1D" w:rsidRDefault="00401D56" w:rsidP="00D16468">
            <w:r>
              <w:t>Focus Groups/ Interviews</w:t>
            </w:r>
          </w:p>
        </w:tc>
        <w:tc>
          <w:tcPr>
            <w:tcW w:w="2421" w:type="dxa"/>
          </w:tcPr>
          <w:p w:rsidR="0079044A" w:rsidRPr="00565E1D" w:rsidRDefault="00401D56" w:rsidP="00565E1D">
            <w:pPr>
              <w:jc w:val="right"/>
            </w:pPr>
            <w:r>
              <w:t>6,000</w:t>
            </w:r>
          </w:p>
        </w:tc>
        <w:tc>
          <w:tcPr>
            <w:tcW w:w="1679" w:type="dxa"/>
          </w:tcPr>
          <w:p w:rsidR="0079044A" w:rsidRPr="00565E1D" w:rsidRDefault="00401D56" w:rsidP="00565E1D">
            <w:pPr>
              <w:jc w:val="right"/>
            </w:pPr>
            <w:r>
              <w:t>10,000</w:t>
            </w:r>
          </w:p>
        </w:tc>
        <w:tc>
          <w:tcPr>
            <w:tcW w:w="1849" w:type="dxa"/>
          </w:tcPr>
          <w:p w:rsidR="0079044A" w:rsidRPr="00565E1D" w:rsidRDefault="00401D56" w:rsidP="00565E1D">
            <w:pPr>
              <w:jc w:val="right"/>
            </w:pPr>
            <w:r>
              <w:t>4,000</w:t>
            </w:r>
          </w:p>
        </w:tc>
      </w:tr>
      <w:tr w:rsidR="0079044A" w:rsidRPr="00565E1D" w:rsidTr="003A2971">
        <w:trPr>
          <w:cantSplit/>
          <w:jc w:val="center"/>
        </w:trPr>
        <w:tc>
          <w:tcPr>
            <w:tcW w:w="3627" w:type="dxa"/>
          </w:tcPr>
          <w:p w:rsidR="0079044A" w:rsidRPr="00565E1D" w:rsidRDefault="00401D56" w:rsidP="00D16468">
            <w:r>
              <w:t>Small Discussion Groups</w:t>
            </w:r>
          </w:p>
        </w:tc>
        <w:tc>
          <w:tcPr>
            <w:tcW w:w="2421" w:type="dxa"/>
          </w:tcPr>
          <w:p w:rsidR="0079044A" w:rsidRPr="00565E1D" w:rsidRDefault="00401D56" w:rsidP="00565E1D">
            <w:pPr>
              <w:jc w:val="right"/>
            </w:pPr>
            <w:r>
              <w:t>600</w:t>
            </w:r>
          </w:p>
        </w:tc>
        <w:tc>
          <w:tcPr>
            <w:tcW w:w="1679" w:type="dxa"/>
          </w:tcPr>
          <w:p w:rsidR="0079044A" w:rsidRPr="00565E1D" w:rsidRDefault="00401D56" w:rsidP="00565E1D">
            <w:pPr>
              <w:jc w:val="right"/>
            </w:pPr>
            <w:r>
              <w:t>1,200</w:t>
            </w:r>
          </w:p>
        </w:tc>
        <w:tc>
          <w:tcPr>
            <w:tcW w:w="1849" w:type="dxa"/>
          </w:tcPr>
          <w:p w:rsidR="0079044A" w:rsidRPr="00565E1D" w:rsidRDefault="00401D56" w:rsidP="00565E1D">
            <w:pPr>
              <w:jc w:val="right"/>
            </w:pPr>
            <w:r>
              <w:t>600</w:t>
            </w:r>
          </w:p>
        </w:tc>
      </w:tr>
      <w:tr w:rsidR="005C0477" w:rsidRPr="00565E1D" w:rsidTr="003A2971">
        <w:trPr>
          <w:cantSplit/>
          <w:jc w:val="center"/>
        </w:trPr>
        <w:tc>
          <w:tcPr>
            <w:tcW w:w="3627" w:type="dxa"/>
          </w:tcPr>
          <w:p w:rsidR="005C0477" w:rsidRPr="0021610E" w:rsidRDefault="00401D56" w:rsidP="00D16468">
            <w:r w:rsidRPr="00401D56">
              <w:rPr>
                <w:bCs/>
              </w:rPr>
              <w:t>Usability Tests (In-person observation (i.e., Website/ Software)</w:t>
            </w:r>
          </w:p>
        </w:tc>
        <w:tc>
          <w:tcPr>
            <w:tcW w:w="2421" w:type="dxa"/>
          </w:tcPr>
          <w:p w:rsidR="005C0477" w:rsidRDefault="00401D56" w:rsidP="00565E1D">
            <w:pPr>
              <w:jc w:val="right"/>
            </w:pPr>
            <w:r>
              <w:t>1,000</w:t>
            </w:r>
          </w:p>
        </w:tc>
        <w:tc>
          <w:tcPr>
            <w:tcW w:w="1679" w:type="dxa"/>
          </w:tcPr>
          <w:p w:rsidR="005C0477" w:rsidRDefault="00401D56" w:rsidP="00565E1D">
            <w:pPr>
              <w:jc w:val="right"/>
            </w:pPr>
            <w:r>
              <w:t>15,000</w:t>
            </w:r>
          </w:p>
        </w:tc>
        <w:tc>
          <w:tcPr>
            <w:tcW w:w="1849" w:type="dxa"/>
          </w:tcPr>
          <w:p w:rsidR="005C0477" w:rsidRDefault="00401D56" w:rsidP="00565E1D">
            <w:pPr>
              <w:jc w:val="right"/>
            </w:pPr>
            <w:r>
              <w:t>14,000</w:t>
            </w:r>
          </w:p>
        </w:tc>
      </w:tr>
      <w:tr w:rsidR="00565E1D" w:rsidRPr="00565E1D" w:rsidTr="003A2971">
        <w:trPr>
          <w:cantSplit/>
          <w:jc w:val="center"/>
        </w:trPr>
        <w:tc>
          <w:tcPr>
            <w:tcW w:w="3627" w:type="dxa"/>
          </w:tcPr>
          <w:p w:rsidR="00565E1D" w:rsidRPr="00565E1D" w:rsidRDefault="00565E1D" w:rsidP="00565E1D">
            <w:pPr>
              <w:rPr>
                <w:b/>
              </w:rPr>
            </w:pPr>
            <w:r w:rsidRPr="00565E1D">
              <w:rPr>
                <w:b/>
              </w:rPr>
              <w:t>Totals</w:t>
            </w:r>
          </w:p>
        </w:tc>
        <w:tc>
          <w:tcPr>
            <w:tcW w:w="2421" w:type="dxa"/>
          </w:tcPr>
          <w:p w:rsidR="00565E1D" w:rsidRPr="00401D56" w:rsidRDefault="00401D56" w:rsidP="00565E1D">
            <w:pPr>
              <w:jc w:val="right"/>
              <w:rPr>
                <w:b/>
              </w:rPr>
            </w:pPr>
            <w:r w:rsidRPr="00401D56">
              <w:rPr>
                <w:b/>
              </w:rPr>
              <w:t>27,900</w:t>
            </w:r>
          </w:p>
        </w:tc>
        <w:tc>
          <w:tcPr>
            <w:tcW w:w="1679" w:type="dxa"/>
          </w:tcPr>
          <w:p w:rsidR="00565E1D" w:rsidRPr="00401D56" w:rsidRDefault="00401D56" w:rsidP="00565E1D">
            <w:pPr>
              <w:jc w:val="right"/>
              <w:rPr>
                <w:b/>
              </w:rPr>
            </w:pPr>
            <w:r w:rsidRPr="00401D56">
              <w:rPr>
                <w:b/>
              </w:rPr>
              <w:t>87,200</w:t>
            </w:r>
          </w:p>
        </w:tc>
        <w:tc>
          <w:tcPr>
            <w:tcW w:w="1849" w:type="dxa"/>
          </w:tcPr>
          <w:p w:rsidR="00565E1D" w:rsidRPr="00565E1D" w:rsidRDefault="00401D56" w:rsidP="00565E1D">
            <w:pPr>
              <w:jc w:val="right"/>
              <w:rPr>
                <w:b/>
              </w:rPr>
            </w:pPr>
            <w:r>
              <w:rPr>
                <w:b/>
              </w:rPr>
              <w:t>59,300</w:t>
            </w:r>
          </w:p>
        </w:tc>
      </w:tr>
    </w:tbl>
    <w:p w:rsidR="00565E1D" w:rsidRPr="00565E1D" w:rsidRDefault="00565E1D" w:rsidP="00565E1D">
      <w:pPr>
        <w:spacing w:after="0" w:line="240" w:lineRule="auto"/>
      </w:pPr>
    </w:p>
    <w:p w:rsidR="005C0477" w:rsidRPr="005C0477" w:rsidRDefault="005C0477" w:rsidP="00565E1D">
      <w:pPr>
        <w:spacing w:after="0" w:line="240" w:lineRule="auto"/>
        <w:rPr>
          <w:b/>
        </w:rPr>
      </w:pPr>
      <w:r w:rsidRPr="005C0477">
        <w:rPr>
          <w:b/>
        </w:rPr>
        <w:t>Burden Hours</w:t>
      </w:r>
    </w:p>
    <w:tbl>
      <w:tblPr>
        <w:tblStyle w:val="TableGrid"/>
        <w:tblW w:w="0" w:type="auto"/>
        <w:jc w:val="center"/>
        <w:tblLook w:val="04A0" w:firstRow="1" w:lastRow="0" w:firstColumn="1" w:lastColumn="0" w:noHBand="0" w:noVBand="1"/>
      </w:tblPr>
      <w:tblGrid>
        <w:gridCol w:w="3627"/>
        <w:gridCol w:w="2421"/>
        <w:gridCol w:w="1679"/>
        <w:gridCol w:w="1849"/>
      </w:tblGrid>
      <w:tr w:rsidR="005C0477" w:rsidRPr="005C0477" w:rsidTr="00175396">
        <w:trPr>
          <w:cantSplit/>
          <w:jc w:val="center"/>
        </w:trPr>
        <w:tc>
          <w:tcPr>
            <w:tcW w:w="3627" w:type="dxa"/>
          </w:tcPr>
          <w:p w:rsidR="005C0477" w:rsidRPr="005C0477" w:rsidRDefault="005C0477" w:rsidP="005C0477">
            <w:pPr>
              <w:jc w:val="center"/>
              <w:rPr>
                <w:b/>
              </w:rPr>
            </w:pPr>
            <w:r w:rsidRPr="005C0477">
              <w:rPr>
                <w:b/>
              </w:rPr>
              <w:t>Item</w:t>
            </w:r>
          </w:p>
        </w:tc>
        <w:tc>
          <w:tcPr>
            <w:tcW w:w="2421" w:type="dxa"/>
          </w:tcPr>
          <w:p w:rsidR="005C0477" w:rsidRPr="005C0477" w:rsidRDefault="005C0477" w:rsidP="005C0477">
            <w:pPr>
              <w:jc w:val="center"/>
              <w:rPr>
                <w:b/>
              </w:rPr>
            </w:pPr>
            <w:r w:rsidRPr="005C0477">
              <w:rPr>
                <w:b/>
              </w:rPr>
              <w:t xml:space="preserve">Currently Approved </w:t>
            </w:r>
            <w:r>
              <w:rPr>
                <w:b/>
              </w:rPr>
              <w:t>Hours</w:t>
            </w:r>
          </w:p>
        </w:tc>
        <w:tc>
          <w:tcPr>
            <w:tcW w:w="1679" w:type="dxa"/>
          </w:tcPr>
          <w:p w:rsidR="005C0477" w:rsidRPr="005C0477" w:rsidRDefault="005C0477" w:rsidP="005C0477">
            <w:pPr>
              <w:jc w:val="center"/>
              <w:rPr>
                <w:b/>
              </w:rPr>
            </w:pPr>
            <w:r w:rsidRPr="005C0477">
              <w:rPr>
                <w:b/>
              </w:rPr>
              <w:t xml:space="preserve">Proposed </w:t>
            </w:r>
            <w:r>
              <w:rPr>
                <w:b/>
              </w:rPr>
              <w:t>Hours</w:t>
            </w:r>
          </w:p>
        </w:tc>
        <w:tc>
          <w:tcPr>
            <w:tcW w:w="1849" w:type="dxa"/>
          </w:tcPr>
          <w:p w:rsidR="005C0477" w:rsidRPr="005C0477" w:rsidRDefault="005C0477" w:rsidP="005C0477">
            <w:pPr>
              <w:jc w:val="center"/>
              <w:rPr>
                <w:b/>
              </w:rPr>
            </w:pPr>
            <w:r>
              <w:rPr>
                <w:b/>
              </w:rPr>
              <w:t>Hour</w:t>
            </w:r>
            <w:r w:rsidRPr="005C0477">
              <w:rPr>
                <w:b/>
              </w:rPr>
              <w:t xml:space="preserve"> Increase</w:t>
            </w:r>
          </w:p>
        </w:tc>
      </w:tr>
      <w:tr w:rsidR="00401D56" w:rsidRPr="005C0477" w:rsidTr="00175396">
        <w:trPr>
          <w:cantSplit/>
          <w:jc w:val="center"/>
        </w:trPr>
        <w:tc>
          <w:tcPr>
            <w:tcW w:w="3627" w:type="dxa"/>
          </w:tcPr>
          <w:p w:rsidR="00401D56" w:rsidRPr="00565E1D" w:rsidRDefault="00401D56" w:rsidP="00175396">
            <w:r>
              <w:t>Customer Surveys</w:t>
            </w:r>
          </w:p>
        </w:tc>
        <w:tc>
          <w:tcPr>
            <w:tcW w:w="2421" w:type="dxa"/>
          </w:tcPr>
          <w:p w:rsidR="00401D56" w:rsidRPr="00565E1D" w:rsidRDefault="00401D56" w:rsidP="00175396">
            <w:pPr>
              <w:jc w:val="right"/>
            </w:pPr>
            <w:r>
              <w:t>1,667</w:t>
            </w:r>
          </w:p>
        </w:tc>
        <w:tc>
          <w:tcPr>
            <w:tcW w:w="1679" w:type="dxa"/>
          </w:tcPr>
          <w:p w:rsidR="00401D56" w:rsidRPr="00565E1D" w:rsidRDefault="00401D56" w:rsidP="00175396">
            <w:pPr>
              <w:jc w:val="right"/>
            </w:pPr>
            <w:r>
              <w:t>5,000</w:t>
            </w:r>
          </w:p>
        </w:tc>
        <w:tc>
          <w:tcPr>
            <w:tcW w:w="1849" w:type="dxa"/>
          </w:tcPr>
          <w:p w:rsidR="00401D56" w:rsidRPr="00565E1D" w:rsidRDefault="00401D56" w:rsidP="00175396">
            <w:pPr>
              <w:jc w:val="right"/>
            </w:pPr>
            <w:r>
              <w:t>3,333</w:t>
            </w:r>
          </w:p>
        </w:tc>
      </w:tr>
      <w:tr w:rsidR="00401D56" w:rsidRPr="005C0477" w:rsidTr="00175396">
        <w:trPr>
          <w:cantSplit/>
          <w:jc w:val="center"/>
        </w:trPr>
        <w:tc>
          <w:tcPr>
            <w:tcW w:w="3627" w:type="dxa"/>
          </w:tcPr>
          <w:p w:rsidR="00401D56" w:rsidRPr="00565E1D" w:rsidRDefault="00401D56" w:rsidP="00175396">
            <w:r w:rsidRPr="00401D56">
              <w:rPr>
                <w:bCs/>
              </w:rPr>
              <w:t>Questionnaires/Customer Comment  Cards/ Complaint Forms</w:t>
            </w:r>
          </w:p>
        </w:tc>
        <w:tc>
          <w:tcPr>
            <w:tcW w:w="2421" w:type="dxa"/>
          </w:tcPr>
          <w:p w:rsidR="00401D56" w:rsidRPr="00565E1D" w:rsidRDefault="00401D56" w:rsidP="00175396">
            <w:pPr>
              <w:jc w:val="right"/>
            </w:pPr>
            <w:r>
              <w:t>25</w:t>
            </w:r>
          </w:p>
        </w:tc>
        <w:tc>
          <w:tcPr>
            <w:tcW w:w="1679" w:type="dxa"/>
          </w:tcPr>
          <w:p w:rsidR="00401D56" w:rsidRPr="00E7163E" w:rsidRDefault="00BA62D4" w:rsidP="00175396">
            <w:pPr>
              <w:jc w:val="right"/>
            </w:pPr>
            <w:r>
              <w:t>80</w:t>
            </w:r>
          </w:p>
        </w:tc>
        <w:tc>
          <w:tcPr>
            <w:tcW w:w="1849" w:type="dxa"/>
          </w:tcPr>
          <w:p w:rsidR="00401D56" w:rsidRPr="00565E1D" w:rsidRDefault="002B5B0C" w:rsidP="00175396">
            <w:pPr>
              <w:jc w:val="right"/>
            </w:pPr>
            <w:r>
              <w:t>55</w:t>
            </w:r>
          </w:p>
        </w:tc>
      </w:tr>
      <w:tr w:rsidR="00401D56" w:rsidRPr="005C0477" w:rsidTr="00175396">
        <w:trPr>
          <w:cantSplit/>
          <w:jc w:val="center"/>
        </w:trPr>
        <w:tc>
          <w:tcPr>
            <w:tcW w:w="3627" w:type="dxa"/>
          </w:tcPr>
          <w:p w:rsidR="00401D56" w:rsidRPr="00565E1D" w:rsidRDefault="00401D56" w:rsidP="00175396">
            <w:r>
              <w:t>Focus Groups/ Interviews</w:t>
            </w:r>
          </w:p>
        </w:tc>
        <w:tc>
          <w:tcPr>
            <w:tcW w:w="2421" w:type="dxa"/>
          </w:tcPr>
          <w:p w:rsidR="00401D56" w:rsidRPr="00565E1D" w:rsidRDefault="00401D56" w:rsidP="00175396">
            <w:pPr>
              <w:jc w:val="right"/>
            </w:pPr>
            <w:r>
              <w:t>1,500</w:t>
            </w:r>
          </w:p>
        </w:tc>
        <w:tc>
          <w:tcPr>
            <w:tcW w:w="1679" w:type="dxa"/>
          </w:tcPr>
          <w:p w:rsidR="00401D56" w:rsidRPr="00565E1D" w:rsidRDefault="00B95DE7" w:rsidP="00175396">
            <w:pPr>
              <w:jc w:val="right"/>
            </w:pPr>
            <w:r>
              <w:t>2,500</w:t>
            </w:r>
          </w:p>
        </w:tc>
        <w:tc>
          <w:tcPr>
            <w:tcW w:w="1849" w:type="dxa"/>
          </w:tcPr>
          <w:p w:rsidR="00401D56" w:rsidRPr="00565E1D" w:rsidRDefault="00B95DE7" w:rsidP="00175396">
            <w:pPr>
              <w:jc w:val="right"/>
            </w:pPr>
            <w:r>
              <w:t>1</w:t>
            </w:r>
            <w:r w:rsidR="00401D56">
              <w:t>,000</w:t>
            </w:r>
          </w:p>
        </w:tc>
      </w:tr>
      <w:tr w:rsidR="00401D56" w:rsidRPr="005C0477" w:rsidTr="00175396">
        <w:trPr>
          <w:cantSplit/>
          <w:jc w:val="center"/>
        </w:trPr>
        <w:tc>
          <w:tcPr>
            <w:tcW w:w="3627" w:type="dxa"/>
          </w:tcPr>
          <w:p w:rsidR="00401D56" w:rsidRPr="00565E1D" w:rsidRDefault="00401D56" w:rsidP="00175396">
            <w:r>
              <w:t>Small Discussion Groups</w:t>
            </w:r>
          </w:p>
        </w:tc>
        <w:tc>
          <w:tcPr>
            <w:tcW w:w="2421" w:type="dxa"/>
          </w:tcPr>
          <w:p w:rsidR="00401D56" w:rsidRPr="00565E1D" w:rsidRDefault="00401D56" w:rsidP="00175396">
            <w:pPr>
              <w:jc w:val="right"/>
            </w:pPr>
            <w:r>
              <w:t>1,200</w:t>
            </w:r>
          </w:p>
        </w:tc>
        <w:tc>
          <w:tcPr>
            <w:tcW w:w="1679" w:type="dxa"/>
          </w:tcPr>
          <w:p w:rsidR="00401D56" w:rsidRPr="00565E1D" w:rsidRDefault="00B95DE7" w:rsidP="00175396">
            <w:pPr>
              <w:jc w:val="right"/>
            </w:pPr>
            <w:r>
              <w:t>2,400</w:t>
            </w:r>
          </w:p>
        </w:tc>
        <w:tc>
          <w:tcPr>
            <w:tcW w:w="1849" w:type="dxa"/>
          </w:tcPr>
          <w:p w:rsidR="00401D56" w:rsidRPr="00565E1D" w:rsidRDefault="00B95DE7" w:rsidP="00175396">
            <w:pPr>
              <w:jc w:val="right"/>
            </w:pPr>
            <w:r>
              <w:t>1,200</w:t>
            </w:r>
          </w:p>
        </w:tc>
      </w:tr>
      <w:tr w:rsidR="00401D56" w:rsidRPr="005C0477" w:rsidTr="00175396">
        <w:trPr>
          <w:cantSplit/>
          <w:jc w:val="center"/>
        </w:trPr>
        <w:tc>
          <w:tcPr>
            <w:tcW w:w="3627" w:type="dxa"/>
          </w:tcPr>
          <w:p w:rsidR="00401D56" w:rsidRPr="0021610E" w:rsidRDefault="00401D56" w:rsidP="00175396">
            <w:r w:rsidRPr="00401D56">
              <w:rPr>
                <w:bCs/>
              </w:rPr>
              <w:t>Usability Tests (In-person observation (i.e., Website/ Software)</w:t>
            </w:r>
          </w:p>
        </w:tc>
        <w:tc>
          <w:tcPr>
            <w:tcW w:w="2421" w:type="dxa"/>
          </w:tcPr>
          <w:p w:rsidR="00401D56" w:rsidRDefault="00401D56" w:rsidP="00175396">
            <w:pPr>
              <w:jc w:val="right"/>
            </w:pPr>
            <w:r>
              <w:t>667</w:t>
            </w:r>
          </w:p>
        </w:tc>
        <w:tc>
          <w:tcPr>
            <w:tcW w:w="1679" w:type="dxa"/>
          </w:tcPr>
          <w:p w:rsidR="00401D56" w:rsidRDefault="00B95DE7" w:rsidP="00175396">
            <w:pPr>
              <w:jc w:val="right"/>
            </w:pPr>
            <w:r>
              <w:t>10</w:t>
            </w:r>
            <w:r w:rsidR="00401D56">
              <w:t>,000</w:t>
            </w:r>
          </w:p>
        </w:tc>
        <w:tc>
          <w:tcPr>
            <w:tcW w:w="1849" w:type="dxa"/>
          </w:tcPr>
          <w:p w:rsidR="00401D56" w:rsidRDefault="00B95DE7" w:rsidP="00175396">
            <w:pPr>
              <w:jc w:val="right"/>
            </w:pPr>
            <w:r>
              <w:t>9,333</w:t>
            </w:r>
          </w:p>
        </w:tc>
      </w:tr>
      <w:tr w:rsidR="00401D56" w:rsidRPr="005C0477" w:rsidTr="00175396">
        <w:trPr>
          <w:cantSplit/>
          <w:jc w:val="center"/>
        </w:trPr>
        <w:tc>
          <w:tcPr>
            <w:tcW w:w="3627" w:type="dxa"/>
          </w:tcPr>
          <w:p w:rsidR="00401D56" w:rsidRPr="00565E1D" w:rsidRDefault="00401D56" w:rsidP="00175396">
            <w:pPr>
              <w:rPr>
                <w:b/>
              </w:rPr>
            </w:pPr>
            <w:r w:rsidRPr="00565E1D">
              <w:rPr>
                <w:b/>
              </w:rPr>
              <w:t>Totals</w:t>
            </w:r>
          </w:p>
        </w:tc>
        <w:tc>
          <w:tcPr>
            <w:tcW w:w="2421" w:type="dxa"/>
          </w:tcPr>
          <w:p w:rsidR="00401D56" w:rsidRPr="00401D56" w:rsidRDefault="00401D56" w:rsidP="00175396">
            <w:pPr>
              <w:jc w:val="right"/>
              <w:rPr>
                <w:b/>
              </w:rPr>
            </w:pPr>
            <w:r>
              <w:rPr>
                <w:b/>
              </w:rPr>
              <w:t>5,059</w:t>
            </w:r>
          </w:p>
        </w:tc>
        <w:tc>
          <w:tcPr>
            <w:tcW w:w="1679" w:type="dxa"/>
          </w:tcPr>
          <w:p w:rsidR="00401D56" w:rsidRPr="00401D56" w:rsidRDefault="002B5B0C" w:rsidP="00175396">
            <w:pPr>
              <w:jc w:val="right"/>
              <w:rPr>
                <w:b/>
              </w:rPr>
            </w:pPr>
            <w:r>
              <w:rPr>
                <w:b/>
              </w:rPr>
              <w:t>19,98</w:t>
            </w:r>
            <w:r w:rsidR="00B95DE7" w:rsidRPr="00B95DE7">
              <w:rPr>
                <w:b/>
              </w:rPr>
              <w:t>0</w:t>
            </w:r>
          </w:p>
        </w:tc>
        <w:tc>
          <w:tcPr>
            <w:tcW w:w="1849" w:type="dxa"/>
          </w:tcPr>
          <w:p w:rsidR="00401D56" w:rsidRPr="00565E1D" w:rsidRDefault="00B95DE7" w:rsidP="002B5B0C">
            <w:pPr>
              <w:jc w:val="right"/>
              <w:rPr>
                <w:b/>
              </w:rPr>
            </w:pPr>
            <w:r w:rsidRPr="00B95DE7">
              <w:rPr>
                <w:b/>
              </w:rPr>
              <w:t>14,</w:t>
            </w:r>
            <w:r w:rsidR="002B5B0C">
              <w:rPr>
                <w:b/>
              </w:rPr>
              <w:t>921</w:t>
            </w:r>
          </w:p>
        </w:tc>
      </w:tr>
    </w:tbl>
    <w:p w:rsidR="005C0477" w:rsidRDefault="005C0477" w:rsidP="00565E1D">
      <w:pPr>
        <w:spacing w:after="0" w:line="240" w:lineRule="auto"/>
        <w:rPr>
          <w:u w:val="single"/>
        </w:rPr>
      </w:pPr>
    </w:p>
    <w:p w:rsidR="005C0477" w:rsidRDefault="005C0477" w:rsidP="00565E1D">
      <w:pPr>
        <w:spacing w:after="0" w:line="240" w:lineRule="auto"/>
        <w:rPr>
          <w:u w:val="single"/>
        </w:rPr>
      </w:pPr>
    </w:p>
    <w:p w:rsidR="00565E1D" w:rsidRPr="00565E1D" w:rsidRDefault="00565E1D" w:rsidP="00565E1D">
      <w:pPr>
        <w:spacing w:after="0" w:line="240" w:lineRule="auto"/>
      </w:pPr>
      <w:r w:rsidRPr="00565E1D">
        <w:rPr>
          <w:u w:val="single"/>
        </w:rPr>
        <w:lastRenderedPageBreak/>
        <w:t>Summary of Changes</w:t>
      </w:r>
    </w:p>
    <w:p w:rsidR="00565E1D" w:rsidRPr="00565E1D" w:rsidRDefault="00565E1D" w:rsidP="00565E1D">
      <w:pPr>
        <w:spacing w:after="0" w:line="240" w:lineRule="auto"/>
      </w:pPr>
    </w:p>
    <w:p w:rsidR="00565E1D" w:rsidRPr="00565E1D" w:rsidRDefault="00565E1D" w:rsidP="00565E1D">
      <w:pPr>
        <w:spacing w:after="0" w:line="240" w:lineRule="auto"/>
      </w:pPr>
      <w:r w:rsidRPr="00565E1D">
        <w:t xml:space="preserve">The </w:t>
      </w:r>
      <w:r w:rsidR="00436AFC">
        <w:t>increase of 59,300 in responses</w:t>
      </w:r>
      <w:r w:rsidRPr="00565E1D">
        <w:t xml:space="preserve"> and</w:t>
      </w:r>
      <w:r w:rsidR="00AB1B1D">
        <w:t xml:space="preserve"> </w:t>
      </w:r>
      <w:r w:rsidR="00436AFC">
        <w:t>14,891</w:t>
      </w:r>
      <w:r w:rsidRPr="00565E1D">
        <w:t xml:space="preserve"> </w:t>
      </w:r>
      <w:r w:rsidR="00436AFC">
        <w:t>hours</w:t>
      </w:r>
      <w:r w:rsidRPr="00565E1D">
        <w:t xml:space="preserve"> is </w:t>
      </w:r>
      <w:r w:rsidR="00AB1B1D">
        <w:t>on</w:t>
      </w:r>
      <w:r w:rsidRPr="00565E1D">
        <w:t xml:space="preserve"> account </w:t>
      </w:r>
      <w:r w:rsidR="00AB1B1D">
        <w:t>of</w:t>
      </w:r>
      <w:r w:rsidRPr="00565E1D">
        <w:t xml:space="preserve"> the changes </w:t>
      </w:r>
      <w:r w:rsidR="00436AFC">
        <w:t>in agency estimates</w:t>
      </w:r>
      <w:r w:rsidRPr="00565E1D">
        <w:t xml:space="preserve">. </w:t>
      </w:r>
    </w:p>
    <w:p w:rsidR="00565E1D" w:rsidRPr="00565E1D" w:rsidRDefault="00565E1D" w:rsidP="00565E1D">
      <w:pPr>
        <w:spacing w:after="0" w:line="240" w:lineRule="auto"/>
      </w:pPr>
    </w:p>
    <w:p w:rsidR="00565E1D" w:rsidRPr="00565E1D" w:rsidRDefault="00565E1D" w:rsidP="00565E1D">
      <w:pPr>
        <w:spacing w:after="0" w:line="240" w:lineRule="auto"/>
      </w:pPr>
      <w:r w:rsidRPr="00565E1D">
        <w:rPr>
          <w:u w:val="single"/>
        </w:rPr>
        <w:t>Changes in Burden</w:t>
      </w:r>
    </w:p>
    <w:p w:rsidR="00565E1D" w:rsidRPr="00565E1D" w:rsidRDefault="00565E1D" w:rsidP="00565E1D">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565E1D" w:rsidRPr="00565E1D" w:rsidTr="00D16468">
        <w:tc>
          <w:tcPr>
            <w:tcW w:w="3078" w:type="dxa"/>
          </w:tcPr>
          <w:p w:rsidR="00565E1D" w:rsidRPr="00565E1D" w:rsidRDefault="00565E1D" w:rsidP="00565E1D">
            <w:pPr>
              <w:jc w:val="center"/>
              <w:rPr>
                <w:b/>
              </w:rPr>
            </w:pPr>
            <w:r w:rsidRPr="00565E1D">
              <w:rPr>
                <w:b/>
              </w:rPr>
              <w:t>Burden Type</w:t>
            </w:r>
          </w:p>
        </w:tc>
        <w:tc>
          <w:tcPr>
            <w:tcW w:w="2340" w:type="dxa"/>
          </w:tcPr>
          <w:p w:rsidR="00565E1D" w:rsidRPr="00565E1D" w:rsidRDefault="00565E1D" w:rsidP="00565E1D">
            <w:pPr>
              <w:jc w:val="center"/>
              <w:rPr>
                <w:b/>
              </w:rPr>
            </w:pPr>
            <w:r w:rsidRPr="00565E1D">
              <w:rPr>
                <w:b/>
              </w:rPr>
              <w:t>Currently Approved</w:t>
            </w:r>
          </w:p>
        </w:tc>
        <w:tc>
          <w:tcPr>
            <w:tcW w:w="2250" w:type="dxa"/>
          </w:tcPr>
          <w:p w:rsidR="00565E1D" w:rsidRPr="00565E1D" w:rsidRDefault="00565E1D" w:rsidP="00565E1D">
            <w:pPr>
              <w:jc w:val="center"/>
              <w:rPr>
                <w:b/>
              </w:rPr>
            </w:pPr>
            <w:r w:rsidRPr="00565E1D">
              <w:rPr>
                <w:b/>
              </w:rPr>
              <w:t>Proposed Change</w:t>
            </w:r>
          </w:p>
        </w:tc>
        <w:tc>
          <w:tcPr>
            <w:tcW w:w="1908" w:type="dxa"/>
          </w:tcPr>
          <w:p w:rsidR="00565E1D" w:rsidRPr="00565E1D" w:rsidRDefault="00565E1D" w:rsidP="00565E1D">
            <w:pPr>
              <w:jc w:val="center"/>
              <w:rPr>
                <w:b/>
              </w:rPr>
            </w:pPr>
            <w:r w:rsidRPr="00565E1D">
              <w:rPr>
                <w:b/>
              </w:rPr>
              <w:t>New Estimate</w:t>
            </w:r>
          </w:p>
        </w:tc>
      </w:tr>
      <w:tr w:rsidR="00565E1D" w:rsidRPr="00565E1D" w:rsidTr="00D16468">
        <w:tc>
          <w:tcPr>
            <w:tcW w:w="3078" w:type="dxa"/>
          </w:tcPr>
          <w:p w:rsidR="00565E1D" w:rsidRPr="00565E1D" w:rsidRDefault="00565E1D" w:rsidP="00565E1D">
            <w:r w:rsidRPr="00565E1D">
              <w:t>Respondents</w:t>
            </w:r>
          </w:p>
        </w:tc>
        <w:tc>
          <w:tcPr>
            <w:tcW w:w="2340" w:type="dxa"/>
          </w:tcPr>
          <w:p w:rsidR="00565E1D" w:rsidRPr="00565E1D" w:rsidRDefault="00436AFC" w:rsidP="00565E1D">
            <w:pPr>
              <w:jc w:val="right"/>
            </w:pPr>
            <w:r>
              <w:t>27,900</w:t>
            </w:r>
          </w:p>
        </w:tc>
        <w:tc>
          <w:tcPr>
            <w:tcW w:w="2250" w:type="dxa"/>
          </w:tcPr>
          <w:p w:rsidR="00565E1D" w:rsidRPr="00565E1D" w:rsidRDefault="00436AFC" w:rsidP="00436AFC">
            <w:pPr>
              <w:jc w:val="right"/>
            </w:pPr>
            <w:r>
              <w:t>59,300</w:t>
            </w:r>
          </w:p>
        </w:tc>
        <w:tc>
          <w:tcPr>
            <w:tcW w:w="1908" w:type="dxa"/>
          </w:tcPr>
          <w:p w:rsidR="00565E1D" w:rsidRPr="00565E1D" w:rsidRDefault="00436AFC" w:rsidP="00565E1D">
            <w:pPr>
              <w:jc w:val="right"/>
            </w:pPr>
            <w:r>
              <w:t>87,200</w:t>
            </w:r>
          </w:p>
        </w:tc>
      </w:tr>
      <w:tr w:rsidR="00436AFC" w:rsidRPr="00565E1D" w:rsidTr="00D16468">
        <w:tc>
          <w:tcPr>
            <w:tcW w:w="3078" w:type="dxa"/>
          </w:tcPr>
          <w:p w:rsidR="00436AFC" w:rsidRPr="00565E1D" w:rsidRDefault="00436AFC" w:rsidP="00565E1D">
            <w:r>
              <w:t>Burden Hours</w:t>
            </w:r>
          </w:p>
        </w:tc>
        <w:tc>
          <w:tcPr>
            <w:tcW w:w="2340" w:type="dxa"/>
          </w:tcPr>
          <w:p w:rsidR="00436AFC" w:rsidRDefault="00436AFC" w:rsidP="00565E1D">
            <w:pPr>
              <w:jc w:val="right"/>
            </w:pPr>
            <w:r>
              <w:t>5,059</w:t>
            </w:r>
          </w:p>
        </w:tc>
        <w:tc>
          <w:tcPr>
            <w:tcW w:w="2250" w:type="dxa"/>
          </w:tcPr>
          <w:p w:rsidR="00436AFC" w:rsidRDefault="00436AFC" w:rsidP="002B5B0C">
            <w:pPr>
              <w:jc w:val="right"/>
            </w:pPr>
            <w:r>
              <w:t>14,</w:t>
            </w:r>
            <w:r w:rsidR="002B5B0C">
              <w:t>921</w:t>
            </w:r>
          </w:p>
        </w:tc>
        <w:tc>
          <w:tcPr>
            <w:tcW w:w="1908" w:type="dxa"/>
          </w:tcPr>
          <w:p w:rsidR="00436AFC" w:rsidRDefault="002B5B0C" w:rsidP="00565E1D">
            <w:pPr>
              <w:jc w:val="right"/>
            </w:pPr>
            <w:r>
              <w:t>19,98</w:t>
            </w:r>
            <w:r w:rsidR="00436AFC">
              <w:t>0</w:t>
            </w:r>
          </w:p>
        </w:tc>
      </w:tr>
      <w:tr w:rsidR="00565E1D" w:rsidRPr="00565E1D" w:rsidTr="00D16468">
        <w:tc>
          <w:tcPr>
            <w:tcW w:w="3078" w:type="dxa"/>
          </w:tcPr>
          <w:p w:rsidR="00565E1D" w:rsidRPr="00565E1D" w:rsidRDefault="00565E1D" w:rsidP="00565E1D">
            <w:r w:rsidRPr="00565E1D">
              <w:t>Non-hour costs</w:t>
            </w:r>
          </w:p>
        </w:tc>
        <w:tc>
          <w:tcPr>
            <w:tcW w:w="2340" w:type="dxa"/>
          </w:tcPr>
          <w:p w:rsidR="00565E1D" w:rsidRPr="00565E1D" w:rsidRDefault="00164E91" w:rsidP="00436AFC">
            <w:pPr>
              <w:jc w:val="right"/>
            </w:pPr>
            <w:r>
              <w:t>$</w:t>
            </w:r>
            <w:r w:rsidR="00436AFC">
              <w:t>0</w:t>
            </w:r>
            <w:r w:rsidR="005933A2">
              <w:t>.00</w:t>
            </w:r>
          </w:p>
        </w:tc>
        <w:tc>
          <w:tcPr>
            <w:tcW w:w="2250" w:type="dxa"/>
          </w:tcPr>
          <w:p w:rsidR="00565E1D" w:rsidRPr="00565E1D" w:rsidRDefault="00565E1D" w:rsidP="00436AFC">
            <w:pPr>
              <w:jc w:val="right"/>
            </w:pPr>
            <w:r w:rsidRPr="00565E1D">
              <w:t>$</w:t>
            </w:r>
            <w:r w:rsidR="00436AFC">
              <w:t>0</w:t>
            </w:r>
            <w:r w:rsidR="005933A2">
              <w:t>.00</w:t>
            </w:r>
          </w:p>
        </w:tc>
        <w:tc>
          <w:tcPr>
            <w:tcW w:w="1908" w:type="dxa"/>
          </w:tcPr>
          <w:p w:rsidR="00565E1D" w:rsidRPr="00565E1D" w:rsidRDefault="00565E1D" w:rsidP="00436AFC">
            <w:pPr>
              <w:jc w:val="right"/>
            </w:pPr>
            <w:r w:rsidRPr="00565E1D">
              <w:t>$</w:t>
            </w:r>
            <w:r w:rsidR="00436AFC">
              <w:t>0</w:t>
            </w:r>
            <w:r w:rsidR="005933A2">
              <w:t>.00</w:t>
            </w:r>
          </w:p>
        </w:tc>
      </w:tr>
    </w:tbl>
    <w:p w:rsidR="00565E1D" w:rsidRPr="00565E1D" w:rsidRDefault="00565E1D" w:rsidP="00565E1D">
      <w:pPr>
        <w:spacing w:after="0" w:line="240" w:lineRule="auto"/>
      </w:pPr>
    </w:p>
    <w:p w:rsidR="00565E1D" w:rsidRPr="00565E1D" w:rsidRDefault="00565E1D" w:rsidP="00565E1D">
      <w:pPr>
        <w:spacing w:after="0" w:line="240" w:lineRule="auto"/>
      </w:pPr>
      <w:r w:rsidRPr="00565E1D">
        <w:t>The 0651-00</w:t>
      </w:r>
      <w:r w:rsidR="00436AFC">
        <w:t>80</w:t>
      </w:r>
      <w:r w:rsidRPr="00565E1D">
        <w:t xml:space="preserve"> revised total burden is as follows:</w:t>
      </w:r>
      <w:bookmarkStart w:id="0" w:name="_GoBack"/>
      <w:bookmarkEnd w:id="0"/>
    </w:p>
    <w:p w:rsidR="00565E1D" w:rsidRPr="00565E1D" w:rsidRDefault="00565E1D" w:rsidP="00565E1D">
      <w:pPr>
        <w:spacing w:after="0" w:line="240" w:lineRule="auto"/>
      </w:pPr>
    </w:p>
    <w:p w:rsidR="00565E1D" w:rsidRDefault="005933A2" w:rsidP="00565E1D">
      <w:pPr>
        <w:numPr>
          <w:ilvl w:val="0"/>
          <w:numId w:val="1"/>
        </w:numPr>
        <w:spacing w:after="0" w:line="240" w:lineRule="auto"/>
      </w:pPr>
      <w:r>
        <w:t>87,200</w:t>
      </w:r>
      <w:r w:rsidR="00565E1D" w:rsidRPr="00565E1D">
        <w:t xml:space="preserve"> respondents</w:t>
      </w:r>
    </w:p>
    <w:p w:rsidR="00147AAF" w:rsidRPr="00565E1D" w:rsidRDefault="00147AAF" w:rsidP="00565E1D">
      <w:pPr>
        <w:numPr>
          <w:ilvl w:val="0"/>
          <w:numId w:val="1"/>
        </w:numPr>
        <w:spacing w:after="0" w:line="240" w:lineRule="auto"/>
      </w:pPr>
      <w:r>
        <w:t>19,9</w:t>
      </w:r>
      <w:r w:rsidR="002B5B0C">
        <w:t>80</w:t>
      </w:r>
      <w:r>
        <w:t xml:space="preserve"> burden hours</w:t>
      </w:r>
    </w:p>
    <w:p w:rsidR="00565E1D" w:rsidRPr="00565E1D" w:rsidRDefault="00AB1B1D" w:rsidP="00565E1D">
      <w:pPr>
        <w:numPr>
          <w:ilvl w:val="0"/>
          <w:numId w:val="1"/>
        </w:numPr>
        <w:spacing w:after="0" w:line="240" w:lineRule="auto"/>
      </w:pPr>
      <w:r w:rsidRPr="00AB1B1D">
        <w:t>$</w:t>
      </w:r>
      <w:r w:rsidR="005933A2">
        <w:t>0.00</w:t>
      </w:r>
      <w:r w:rsidR="00565E1D" w:rsidRPr="00565E1D">
        <w:t xml:space="preserve"> in annual (non-hour) fees</w:t>
      </w:r>
    </w:p>
    <w:p w:rsidR="00400B38" w:rsidRDefault="002B5B0C"/>
    <w:sectPr w:rsidR="00400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1D"/>
    <w:rsid w:val="000915F1"/>
    <w:rsid w:val="0009286F"/>
    <w:rsid w:val="00093E49"/>
    <w:rsid w:val="00147AAF"/>
    <w:rsid w:val="00164E91"/>
    <w:rsid w:val="0021610E"/>
    <w:rsid w:val="002B5B0C"/>
    <w:rsid w:val="003A2971"/>
    <w:rsid w:val="00400395"/>
    <w:rsid w:val="00401D56"/>
    <w:rsid w:val="00436AFC"/>
    <w:rsid w:val="004A3888"/>
    <w:rsid w:val="005358CA"/>
    <w:rsid w:val="00565E1D"/>
    <w:rsid w:val="005933A2"/>
    <w:rsid w:val="005C0477"/>
    <w:rsid w:val="005E763C"/>
    <w:rsid w:val="006600EE"/>
    <w:rsid w:val="0069749F"/>
    <w:rsid w:val="0079044A"/>
    <w:rsid w:val="00856318"/>
    <w:rsid w:val="008B3EC4"/>
    <w:rsid w:val="008D4DF1"/>
    <w:rsid w:val="009028A0"/>
    <w:rsid w:val="00965CAF"/>
    <w:rsid w:val="00A5492A"/>
    <w:rsid w:val="00A97F76"/>
    <w:rsid w:val="00AB1B1D"/>
    <w:rsid w:val="00AE52C1"/>
    <w:rsid w:val="00B95DE7"/>
    <w:rsid w:val="00BA62D4"/>
    <w:rsid w:val="00DA5234"/>
    <w:rsid w:val="00DE5339"/>
    <w:rsid w:val="00E50FA8"/>
    <w:rsid w:val="00E7163E"/>
    <w:rsid w:val="00FA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 w:type="character" w:styleId="Hyperlink">
    <w:name w:val="Hyperlink"/>
    <w:basedOn w:val="DefaultParagraphFont"/>
    <w:uiPriority w:val="99"/>
    <w:unhideWhenUsed/>
    <w:rsid w:val="005C0477"/>
    <w:rPr>
      <w:color w:val="0000FF" w:themeColor="hyperlink"/>
      <w:u w:val="single"/>
    </w:rPr>
  </w:style>
  <w:style w:type="character" w:styleId="CommentReference">
    <w:name w:val="annotation reference"/>
    <w:basedOn w:val="DefaultParagraphFont"/>
    <w:uiPriority w:val="99"/>
    <w:semiHidden/>
    <w:unhideWhenUsed/>
    <w:rsid w:val="00401D56"/>
    <w:rPr>
      <w:sz w:val="16"/>
      <w:szCs w:val="16"/>
    </w:rPr>
  </w:style>
  <w:style w:type="paragraph" w:styleId="CommentText">
    <w:name w:val="annotation text"/>
    <w:basedOn w:val="Normal"/>
    <w:link w:val="CommentTextChar"/>
    <w:uiPriority w:val="99"/>
    <w:semiHidden/>
    <w:unhideWhenUsed/>
    <w:rsid w:val="00401D56"/>
    <w:pPr>
      <w:spacing w:line="240" w:lineRule="auto"/>
    </w:pPr>
    <w:rPr>
      <w:sz w:val="20"/>
      <w:szCs w:val="20"/>
    </w:rPr>
  </w:style>
  <w:style w:type="character" w:customStyle="1" w:styleId="CommentTextChar">
    <w:name w:val="Comment Text Char"/>
    <w:basedOn w:val="DefaultParagraphFont"/>
    <w:link w:val="CommentText"/>
    <w:uiPriority w:val="99"/>
    <w:semiHidden/>
    <w:rsid w:val="00401D56"/>
    <w:rPr>
      <w:sz w:val="20"/>
      <w:szCs w:val="20"/>
    </w:rPr>
  </w:style>
  <w:style w:type="paragraph" w:styleId="CommentSubject">
    <w:name w:val="annotation subject"/>
    <w:basedOn w:val="CommentText"/>
    <w:next w:val="CommentText"/>
    <w:link w:val="CommentSubjectChar"/>
    <w:uiPriority w:val="99"/>
    <w:semiHidden/>
    <w:unhideWhenUsed/>
    <w:rsid w:val="00401D56"/>
    <w:rPr>
      <w:b/>
      <w:bCs/>
    </w:rPr>
  </w:style>
  <w:style w:type="character" w:customStyle="1" w:styleId="CommentSubjectChar">
    <w:name w:val="Comment Subject Char"/>
    <w:basedOn w:val="CommentTextChar"/>
    <w:link w:val="CommentSubject"/>
    <w:uiPriority w:val="99"/>
    <w:semiHidden/>
    <w:rsid w:val="00401D56"/>
    <w:rPr>
      <w:b/>
      <w:bCs/>
      <w:sz w:val="20"/>
      <w:szCs w:val="20"/>
    </w:rPr>
  </w:style>
  <w:style w:type="paragraph" w:styleId="BalloonText">
    <w:name w:val="Balloon Text"/>
    <w:basedOn w:val="Normal"/>
    <w:link w:val="BalloonTextChar"/>
    <w:uiPriority w:val="99"/>
    <w:semiHidden/>
    <w:unhideWhenUsed/>
    <w:rsid w:val="00401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 w:type="character" w:styleId="Hyperlink">
    <w:name w:val="Hyperlink"/>
    <w:basedOn w:val="DefaultParagraphFont"/>
    <w:uiPriority w:val="99"/>
    <w:unhideWhenUsed/>
    <w:rsid w:val="005C0477"/>
    <w:rPr>
      <w:color w:val="0000FF" w:themeColor="hyperlink"/>
      <w:u w:val="single"/>
    </w:rPr>
  </w:style>
  <w:style w:type="character" w:styleId="CommentReference">
    <w:name w:val="annotation reference"/>
    <w:basedOn w:val="DefaultParagraphFont"/>
    <w:uiPriority w:val="99"/>
    <w:semiHidden/>
    <w:unhideWhenUsed/>
    <w:rsid w:val="00401D56"/>
    <w:rPr>
      <w:sz w:val="16"/>
      <w:szCs w:val="16"/>
    </w:rPr>
  </w:style>
  <w:style w:type="paragraph" w:styleId="CommentText">
    <w:name w:val="annotation text"/>
    <w:basedOn w:val="Normal"/>
    <w:link w:val="CommentTextChar"/>
    <w:uiPriority w:val="99"/>
    <w:semiHidden/>
    <w:unhideWhenUsed/>
    <w:rsid w:val="00401D56"/>
    <w:pPr>
      <w:spacing w:line="240" w:lineRule="auto"/>
    </w:pPr>
    <w:rPr>
      <w:sz w:val="20"/>
      <w:szCs w:val="20"/>
    </w:rPr>
  </w:style>
  <w:style w:type="character" w:customStyle="1" w:styleId="CommentTextChar">
    <w:name w:val="Comment Text Char"/>
    <w:basedOn w:val="DefaultParagraphFont"/>
    <w:link w:val="CommentText"/>
    <w:uiPriority w:val="99"/>
    <w:semiHidden/>
    <w:rsid w:val="00401D56"/>
    <w:rPr>
      <w:sz w:val="20"/>
      <w:szCs w:val="20"/>
    </w:rPr>
  </w:style>
  <w:style w:type="paragraph" w:styleId="CommentSubject">
    <w:name w:val="annotation subject"/>
    <w:basedOn w:val="CommentText"/>
    <w:next w:val="CommentText"/>
    <w:link w:val="CommentSubjectChar"/>
    <w:uiPriority w:val="99"/>
    <w:semiHidden/>
    <w:unhideWhenUsed/>
    <w:rsid w:val="00401D56"/>
    <w:rPr>
      <w:b/>
      <w:bCs/>
    </w:rPr>
  </w:style>
  <w:style w:type="character" w:customStyle="1" w:styleId="CommentSubjectChar">
    <w:name w:val="Comment Subject Char"/>
    <w:basedOn w:val="CommentTextChar"/>
    <w:link w:val="CommentSubject"/>
    <w:uiPriority w:val="99"/>
    <w:semiHidden/>
    <w:rsid w:val="00401D56"/>
    <w:rPr>
      <w:b/>
      <w:bCs/>
      <w:sz w:val="20"/>
      <w:szCs w:val="20"/>
    </w:rPr>
  </w:style>
  <w:style w:type="paragraph" w:styleId="BalloonText">
    <w:name w:val="Balloon Text"/>
    <w:basedOn w:val="Normal"/>
    <w:link w:val="BalloonTextChar"/>
    <w:uiPriority w:val="99"/>
    <w:semiHidden/>
    <w:unhideWhenUsed/>
    <w:rsid w:val="00401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78130">
      <w:bodyDiv w:val="1"/>
      <w:marLeft w:val="0"/>
      <w:marRight w:val="0"/>
      <w:marTop w:val="0"/>
      <w:marBottom w:val="0"/>
      <w:divBdr>
        <w:top w:val="none" w:sz="0" w:space="0" w:color="auto"/>
        <w:left w:val="none" w:sz="0" w:space="0" w:color="auto"/>
        <w:bottom w:val="none" w:sz="0" w:space="0" w:color="auto"/>
        <w:right w:val="none" w:sz="0" w:space="0" w:color="auto"/>
      </w:divBdr>
    </w:div>
    <w:div w:id="14329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chives.gov/federal-register/executive-orders/pdf/128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85d81dd023b22622c6025b3643d6c425">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2edbe8fce822007071171afbb29a66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 xsi:nil="true"/>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 xsi:nil="true"/>
    <Document_x0020_Type xmlns="E85DE8A9-5CD3-41FE-A1A0-70BC17107555" xsi:nil="true"/>
    <Level xmlns="e85de8a9-5cd3-41fe-a1a0-70bc17107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1F99E-0FD6-4811-8DAE-6335DC344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C6432-1C71-4E47-9CAB-9C5A153EDCF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DF721D4F-1C3B-4BB8-8D02-F2A66E907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 (AMBIT)</cp:lastModifiedBy>
  <cp:revision>3</cp:revision>
  <dcterms:created xsi:type="dcterms:W3CDTF">2017-05-19T20:17:00Z</dcterms:created>
  <dcterms:modified xsi:type="dcterms:W3CDTF">2017-05-19T20:20:00Z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