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3D923683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3A5294">
        <w:rPr>
          <w:sz w:val="28"/>
        </w:rPr>
        <w:t>0651-0080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4924E45C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12438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3F7D11">
        <w:t>G296</w:t>
      </w:r>
      <w:r w:rsidR="00CD49F5">
        <w:t>:</w:t>
      </w:r>
      <w:r w:rsidR="003F7D11">
        <w:t xml:space="preserve"> </w:t>
      </w:r>
      <w:r w:rsidR="00833E99">
        <w:t xml:space="preserve">USPTO </w:t>
      </w:r>
      <w:r w:rsidR="00F71110">
        <w:t xml:space="preserve">Patents Recruitment </w:t>
      </w:r>
      <w:r w:rsidR="00833E99">
        <w:t>Outreach Events</w:t>
      </w:r>
    </w:p>
    <w:p w14:paraId="69BB519F" w14:textId="77777777" w:rsidR="00794475" w:rsidRDefault="00794475"/>
    <w:p w14:paraId="3267F1B9" w14:textId="081C7D73" w:rsidR="00833E99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833E99" w:rsidRPr="00833E99">
        <w:t>Throughout each fiscal year,</w:t>
      </w:r>
      <w:r w:rsidR="00833E99">
        <w:rPr>
          <w:b/>
        </w:rPr>
        <w:t xml:space="preserve"> </w:t>
      </w:r>
      <w:r w:rsidR="00F71110">
        <w:t xml:space="preserve">Patents recruiters </w:t>
      </w:r>
      <w:r w:rsidR="00833E99">
        <w:t>traverse the country to host and</w:t>
      </w:r>
      <w:r w:rsidR="00F71110">
        <w:t xml:space="preserve"> attend </w:t>
      </w:r>
      <w:r w:rsidR="00764B08">
        <w:t xml:space="preserve">several recruitment events such as: </w:t>
      </w:r>
      <w:r w:rsidR="00F71110">
        <w:t>career fairs, meet and greets,</w:t>
      </w:r>
      <w:r w:rsidR="00833E99">
        <w:t xml:space="preserve"> and</w:t>
      </w:r>
      <w:r w:rsidR="00F71110">
        <w:t xml:space="preserve"> info sessions </w:t>
      </w:r>
      <w:r w:rsidR="00833E99">
        <w:t>to attract and engage potential candidates</w:t>
      </w:r>
      <w:r w:rsidR="00CD49F5">
        <w:t xml:space="preserve">. </w:t>
      </w:r>
      <w:r w:rsidR="0004748B">
        <w:t xml:space="preserve">The </w:t>
      </w:r>
      <w:r w:rsidR="00833E99">
        <w:t xml:space="preserve">purpose of this ongoing, nationwide outreach program is to build awareness of </w:t>
      </w:r>
      <w:r w:rsidR="00680CA9">
        <w:t xml:space="preserve">available job opportunities, </w:t>
      </w:r>
      <w:r w:rsidR="00764B08">
        <w:t xml:space="preserve">to </w:t>
      </w:r>
      <w:r w:rsidR="00680CA9">
        <w:t xml:space="preserve">shape positive </w:t>
      </w:r>
      <w:r w:rsidR="00833E99">
        <w:t xml:space="preserve">perceptions about </w:t>
      </w:r>
      <w:r w:rsidR="007A6767">
        <w:t xml:space="preserve">the </w:t>
      </w:r>
      <w:r w:rsidR="00833E99">
        <w:t>USPTO as a top employer of choice</w:t>
      </w:r>
      <w:r w:rsidR="00764B08">
        <w:t>, and</w:t>
      </w:r>
      <w:r w:rsidR="00680CA9">
        <w:t xml:space="preserve"> ultimately, </w:t>
      </w:r>
      <w:r w:rsidR="00764B08">
        <w:t xml:space="preserve">to </w:t>
      </w:r>
      <w:r w:rsidR="00680CA9">
        <w:t>convert event attendees into applicants</w:t>
      </w:r>
      <w:r w:rsidR="00833E99">
        <w:t xml:space="preserve">.  </w:t>
      </w:r>
    </w:p>
    <w:p w14:paraId="59B60F32" w14:textId="046D9BC6" w:rsidR="00F86C09" w:rsidRDefault="00F86C09"/>
    <w:p w14:paraId="11D51B2D" w14:textId="216A3F66" w:rsidR="00D93E06" w:rsidRDefault="00764B08" w:rsidP="00D93E06">
      <w:r>
        <w:t>In this context,</w:t>
      </w:r>
      <w:r w:rsidR="00D93E06">
        <w:t xml:space="preserve"> the term</w:t>
      </w:r>
      <w:r>
        <w:t xml:space="preserve"> </w:t>
      </w:r>
      <w:r w:rsidR="00403C53">
        <w:t>“</w:t>
      </w:r>
      <w:r>
        <w:t>potential candidates</w:t>
      </w:r>
      <w:r w:rsidR="00403C53">
        <w:t>”</w:t>
      </w:r>
      <w:r>
        <w:t xml:space="preserve"> represent</w:t>
      </w:r>
      <w:r w:rsidR="00D93E06">
        <w:t>s</w:t>
      </w:r>
      <w:r>
        <w:t xml:space="preserve"> a wide spectrum of inviduals with educational and professional experience that align with the agency</w:t>
      </w:r>
      <w:r w:rsidR="00CD49F5">
        <w:t>’s workforce development needs.</w:t>
      </w:r>
    </w:p>
    <w:p w14:paraId="583794B6" w14:textId="5D393F45" w:rsidR="00764B08" w:rsidRDefault="002E1E01">
      <w:r>
        <w:br/>
      </w:r>
      <w:r w:rsidR="00CD49F5">
        <w:t>R</w:t>
      </w:r>
      <w:r>
        <w:t xml:space="preserve">ecruitment events vary by type and location.  Therefore, questions in the General survey </w:t>
      </w:r>
      <w:r w:rsidR="007A6767">
        <w:t xml:space="preserve">will </w:t>
      </w:r>
      <w:r w:rsidR="00CD49F5">
        <w:t>be high-</w:t>
      </w:r>
      <w:r>
        <w:t xml:space="preserve">level, while answer options will be more specific to help the OHR Marketing team correctly filter and analyze event responses according to outreach plans. </w:t>
      </w:r>
    </w:p>
    <w:p w14:paraId="706115C6" w14:textId="77777777" w:rsidR="00833E99" w:rsidRDefault="00833E99"/>
    <w:p w14:paraId="1DCF3564" w14:textId="7EB920D3" w:rsidR="00680CA9" w:rsidRDefault="00833E99">
      <w:r>
        <w:t xml:space="preserve">In support of these ongoing hiring efforts for the agency, the </w:t>
      </w:r>
      <w:r w:rsidR="00A105BD">
        <w:t>OHR</w:t>
      </w:r>
      <w:r>
        <w:t xml:space="preserve"> Marketing and Communications team has developed a general</w:t>
      </w:r>
      <w:r w:rsidR="00680CA9">
        <w:t xml:space="preserve"> survey to: </w:t>
      </w:r>
    </w:p>
    <w:p w14:paraId="4767B753" w14:textId="748E0FF6" w:rsidR="00764B08" w:rsidRDefault="00764B08" w:rsidP="00764B08">
      <w:pPr>
        <w:pStyle w:val="ListParagraph"/>
        <w:numPr>
          <w:ilvl w:val="0"/>
          <w:numId w:val="21"/>
        </w:numPr>
      </w:pPr>
      <w:r>
        <w:t xml:space="preserve">determine the </w:t>
      </w:r>
      <w:r w:rsidRPr="00344FD4">
        <w:t>qual</w:t>
      </w:r>
      <w:r>
        <w:t>ity of information provided</w:t>
      </w:r>
      <w:r w:rsidR="00C943E7">
        <w:t xml:space="preserve"> at recruitment events,</w:t>
      </w:r>
      <w:r w:rsidRPr="00344FD4">
        <w:t xml:space="preserve"> </w:t>
      </w:r>
    </w:p>
    <w:p w14:paraId="7A5B04DA" w14:textId="7A78DC86" w:rsidR="00680CA9" w:rsidRDefault="003021A5" w:rsidP="00680CA9">
      <w:pPr>
        <w:pStyle w:val="ListParagraph"/>
        <w:numPr>
          <w:ilvl w:val="0"/>
          <w:numId w:val="21"/>
        </w:numPr>
      </w:pPr>
      <w:r>
        <w:t xml:space="preserve">gauge the level of interest </w:t>
      </w:r>
      <w:r w:rsidR="00680CA9">
        <w:t>and likelihood</w:t>
      </w:r>
      <w:r w:rsidR="00990467">
        <w:t xml:space="preserve"> </w:t>
      </w:r>
      <w:r w:rsidR="00680CA9">
        <w:t>to apply to open vacancies</w:t>
      </w:r>
      <w:r w:rsidR="00344FD4" w:rsidRPr="00344FD4">
        <w:t>,</w:t>
      </w:r>
      <w:r w:rsidR="00764B08">
        <w:t xml:space="preserve"> and</w:t>
      </w:r>
      <w:r w:rsidR="00344FD4" w:rsidRPr="00344FD4">
        <w:t xml:space="preserve"> </w:t>
      </w:r>
    </w:p>
    <w:p w14:paraId="1C2D0FAF" w14:textId="6A62355B" w:rsidR="00680CA9" w:rsidRDefault="00680CA9" w:rsidP="00680CA9">
      <w:pPr>
        <w:pStyle w:val="ListParagraph"/>
        <w:numPr>
          <w:ilvl w:val="0"/>
          <w:numId w:val="21"/>
        </w:numPr>
      </w:pPr>
      <w:r>
        <w:t xml:space="preserve">determine the </w:t>
      </w:r>
      <w:r w:rsidR="00344FD4" w:rsidRPr="00344FD4">
        <w:t xml:space="preserve">likelihood </w:t>
      </w:r>
      <w:r w:rsidR="00C943E7">
        <w:t xml:space="preserve">of attendees participating </w:t>
      </w:r>
      <w:r w:rsidR="00891C39">
        <w:t xml:space="preserve">in </w:t>
      </w:r>
      <w:r w:rsidR="00C943E7">
        <w:t>and/or recommending</w:t>
      </w:r>
      <w:r w:rsidR="00344FD4" w:rsidRPr="00344FD4">
        <w:t xml:space="preserve"> U</w:t>
      </w:r>
      <w:r w:rsidR="00764B08">
        <w:t>SPTO events</w:t>
      </w:r>
      <w:r w:rsidR="00C943E7">
        <w:t xml:space="preserve"> in the future</w:t>
      </w:r>
      <w:r w:rsidR="00764B08">
        <w:t>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27E1D12B" w:rsidR="00794475" w:rsidRPr="00A74CEB" w:rsidRDefault="00F71110">
      <w:r>
        <w:t xml:space="preserve">Respondents will be </w:t>
      </w:r>
      <w:r w:rsidR="00EB5506">
        <w:t>limited</w:t>
      </w:r>
      <w:r>
        <w:t xml:space="preserve"> to </w:t>
      </w:r>
      <w:r w:rsidR="00344FD4">
        <w:t xml:space="preserve">attendees of the </w:t>
      </w:r>
      <w:r w:rsidR="00764B08">
        <w:t>events</w:t>
      </w:r>
      <w:r w:rsidR="00344FD4">
        <w:t xml:space="preserve"> </w:t>
      </w:r>
      <w:r w:rsidR="00EB5506">
        <w:t xml:space="preserve">who are interested in USPTO careers, </w:t>
      </w:r>
      <w:r w:rsidR="00891C39">
        <w:t>partnership with USPTO to host</w:t>
      </w:r>
      <w:r w:rsidR="007A6767">
        <w:t xml:space="preserve"> future recruitment events, and/</w:t>
      </w:r>
      <w:r w:rsidR="00891C39">
        <w:t>or those who simply want to</w:t>
      </w:r>
      <w:r w:rsidR="00EB5506">
        <w:t xml:space="preserve"> seek</w:t>
      </w:r>
      <w:r w:rsidR="00891C39">
        <w:t xml:space="preserve"> more detailed information</w:t>
      </w:r>
      <w:r w:rsidR="00EB5506">
        <w:t xml:space="preserve"> about the Agency.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2B2C5661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021A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1F3E05EF" w14:textId="65E6A495" w:rsidR="00A74CEB" w:rsidRPr="00CD49F5" w:rsidRDefault="00A74CEB" w:rsidP="00CD49F5">
      <w:pPr>
        <w:rPr>
          <w:u w:val="single"/>
        </w:rPr>
      </w:pPr>
      <w:r w:rsidRPr="000A1A93">
        <w:t xml:space="preserve">Business Unit: </w:t>
      </w:r>
      <w:r w:rsidR="00B92CD3" w:rsidRPr="00B92CD3">
        <w:rPr>
          <w:u w:val="single"/>
        </w:rPr>
        <w:t xml:space="preserve">    </w:t>
      </w:r>
      <w:r w:rsidR="001B199E" w:rsidRPr="00B92CD3">
        <w:rPr>
          <w:u w:val="single"/>
        </w:rPr>
        <w:t>OHR</w:t>
      </w:r>
      <w:r w:rsidR="00BF46EA" w:rsidRPr="00B92CD3">
        <w:rPr>
          <w:u w:val="single"/>
        </w:rPr>
        <w:t xml:space="preserve">  </w:t>
      </w:r>
      <w:r w:rsidR="007A6767">
        <w:rPr>
          <w:u w:val="single"/>
        </w:rPr>
        <w:t xml:space="preserve"> - </w:t>
      </w:r>
      <w:r w:rsidR="001B199E" w:rsidRPr="00B92CD3">
        <w:rPr>
          <w:u w:val="single"/>
        </w:rPr>
        <w:t xml:space="preserve">Sharon C. </w:t>
      </w:r>
      <w:r w:rsidR="007A6767">
        <w:rPr>
          <w:u w:val="single"/>
        </w:rPr>
        <w:t>Watson</w:t>
      </w:r>
      <w:r w:rsidR="001B199E" w:rsidRPr="00B92CD3">
        <w:rPr>
          <w:u w:val="single"/>
        </w:rPr>
        <w:t xml:space="preserve">, Marketing and Communication Advisor </w:t>
      </w:r>
    </w:p>
    <w:p w14:paraId="69BB51C1" w14:textId="77777777" w:rsidR="00794475" w:rsidRDefault="00794475" w:rsidP="009C13B9">
      <w:pPr>
        <w:pStyle w:val="ListParagraph"/>
        <w:ind w:left="360"/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3D49B9D3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021A5">
        <w:t>x</w:t>
      </w:r>
      <w:r>
        <w:t xml:space="preserve">]  No </w:t>
      </w:r>
    </w:p>
    <w:p w14:paraId="69BB51C6" w14:textId="542CE21C" w:rsidR="00794475" w:rsidRDefault="00794475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</w:t>
      </w:r>
      <w:r w:rsidR="00934F54">
        <w:t>ivacy Act of 1974?   [  ] Yes [</w:t>
      </w:r>
      <w:r w:rsidR="003021A5">
        <w:t>x</w:t>
      </w:r>
      <w:r>
        <w:t xml:space="preserve">] No   </w:t>
      </w:r>
    </w:p>
    <w:p w14:paraId="69BB51C7" w14:textId="626C94F8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DF47ED">
        <w:br/>
      </w: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A91406E" w14:textId="77777777" w:rsidR="0004748B" w:rsidRDefault="00794475">
      <w:r>
        <w:t>Is an incentive (e.g., money or reimbursement of expenses, token of appreciation) provided to participants?  [  ] Yes [</w:t>
      </w:r>
      <w:r w:rsidR="003021A5">
        <w:t>x</w:t>
      </w:r>
      <w:r>
        <w:t>] No</w:t>
      </w:r>
    </w:p>
    <w:p w14:paraId="69BB51CC" w14:textId="51618923" w:rsidR="00794475" w:rsidRPr="00EB5506" w:rsidRDefault="00794475">
      <w:r>
        <w:t xml:space="preserve">  </w:t>
      </w:r>
    </w:p>
    <w:p w14:paraId="69BB51CF" w14:textId="25D6E101" w:rsidR="00794475" w:rsidRPr="0004748B" w:rsidRDefault="00794475" w:rsidP="0004748B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CD49F5">
        <w:trPr>
          <w:trHeight w:val="274"/>
        </w:trPr>
        <w:tc>
          <w:tcPr>
            <w:tcW w:w="541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CD49F5">
        <w:trPr>
          <w:trHeight w:val="274"/>
        </w:trPr>
        <w:tc>
          <w:tcPr>
            <w:tcW w:w="5418" w:type="dxa"/>
          </w:tcPr>
          <w:p w14:paraId="69BB51D5" w14:textId="01E1C7C4" w:rsidR="00794475" w:rsidRPr="00A74CEB" w:rsidRDefault="002E1E01" w:rsidP="00EC29ED">
            <w:r>
              <w:t>Recruitment Event</w:t>
            </w:r>
            <w:r w:rsidR="00674B0B">
              <w:t xml:space="preserve"> </w:t>
            </w:r>
            <w:r>
              <w:t xml:space="preserve">Satisfcation </w:t>
            </w:r>
            <w:r w:rsidR="00674B0B">
              <w:t>Survey</w:t>
            </w:r>
          </w:p>
        </w:tc>
        <w:tc>
          <w:tcPr>
            <w:tcW w:w="1530" w:type="dxa"/>
          </w:tcPr>
          <w:p w14:paraId="69BB51D6" w14:textId="404895FD" w:rsidR="00794475" w:rsidRPr="00A74CEB" w:rsidRDefault="00EB5506" w:rsidP="00843796">
            <w:r>
              <w:t>90</w:t>
            </w:r>
          </w:p>
        </w:tc>
        <w:tc>
          <w:tcPr>
            <w:tcW w:w="1620" w:type="dxa"/>
          </w:tcPr>
          <w:p w14:paraId="69BB51D7" w14:textId="3BAED311" w:rsidR="00281903" w:rsidRPr="00A74CEB" w:rsidRDefault="00EB5506" w:rsidP="002742DA">
            <w:r>
              <w:t>10 mins (.17 hours)</w:t>
            </w:r>
          </w:p>
        </w:tc>
        <w:tc>
          <w:tcPr>
            <w:tcW w:w="1170" w:type="dxa"/>
          </w:tcPr>
          <w:p w14:paraId="69BB51D8" w14:textId="3CE409F1" w:rsidR="00794475" w:rsidRPr="00A74CEB" w:rsidRDefault="00EB5506" w:rsidP="00C24724">
            <w:r>
              <w:t>15 hours</w:t>
            </w:r>
          </w:p>
        </w:tc>
      </w:tr>
      <w:tr w:rsidR="00BF46EA" w:rsidRPr="00A74CEB" w14:paraId="1D0F7FB6" w14:textId="77777777" w:rsidTr="00CD49F5">
        <w:trPr>
          <w:trHeight w:val="274"/>
        </w:trPr>
        <w:tc>
          <w:tcPr>
            <w:tcW w:w="5418" w:type="dxa"/>
          </w:tcPr>
          <w:p w14:paraId="4CEB6E6B" w14:textId="0F3B2AF6" w:rsidR="00BF46EA" w:rsidRDefault="00BF46EA" w:rsidP="00843796"/>
        </w:tc>
        <w:tc>
          <w:tcPr>
            <w:tcW w:w="1530" w:type="dxa"/>
          </w:tcPr>
          <w:p w14:paraId="7EF7D017" w14:textId="387F85C2" w:rsidR="00BF46EA" w:rsidRDefault="00BF46EA" w:rsidP="00843796"/>
        </w:tc>
        <w:tc>
          <w:tcPr>
            <w:tcW w:w="1620" w:type="dxa"/>
          </w:tcPr>
          <w:p w14:paraId="03F6FEAA" w14:textId="496B67F2" w:rsidR="00BF46EA" w:rsidRDefault="00BF46EA" w:rsidP="00843796"/>
        </w:tc>
        <w:tc>
          <w:tcPr>
            <w:tcW w:w="1170" w:type="dxa"/>
          </w:tcPr>
          <w:p w14:paraId="3594806C" w14:textId="22343F41" w:rsidR="00BF46EA" w:rsidRDefault="00BF46EA" w:rsidP="00843796"/>
        </w:tc>
      </w:tr>
      <w:tr w:rsidR="00BF46EA" w:rsidRPr="00A74CEB" w14:paraId="69BB51E3" w14:textId="77777777" w:rsidTr="00CD49F5">
        <w:trPr>
          <w:trHeight w:val="289"/>
        </w:trPr>
        <w:tc>
          <w:tcPr>
            <w:tcW w:w="5418" w:type="dxa"/>
          </w:tcPr>
          <w:p w14:paraId="69BB51DF" w14:textId="77777777" w:rsidR="00BF46EA" w:rsidRPr="00A74CEB" w:rsidRDefault="00BF46EA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66B3568C" w:rsidR="00BF46EA" w:rsidRPr="00EB5506" w:rsidRDefault="00CD49F5" w:rsidP="00C24724">
            <w:pPr>
              <w:rPr>
                <w:b/>
              </w:rPr>
            </w:pPr>
            <w:r>
              <w:rPr>
                <w:b/>
              </w:rPr>
              <w:t>9</w:t>
            </w:r>
            <w:r w:rsidR="002E1E01">
              <w:rPr>
                <w:b/>
              </w:rPr>
              <w:t>0</w:t>
            </w:r>
          </w:p>
        </w:tc>
        <w:tc>
          <w:tcPr>
            <w:tcW w:w="1620" w:type="dxa"/>
          </w:tcPr>
          <w:p w14:paraId="69BB51E1" w14:textId="77777777" w:rsidR="00BF46EA" w:rsidRPr="00A74CEB" w:rsidRDefault="00BF46EA" w:rsidP="00843796"/>
        </w:tc>
        <w:tc>
          <w:tcPr>
            <w:tcW w:w="1170" w:type="dxa"/>
          </w:tcPr>
          <w:p w14:paraId="69BB51E2" w14:textId="189BF96A" w:rsidR="00BF46EA" w:rsidRPr="00A74CEB" w:rsidRDefault="00CD49F5" w:rsidP="00C24724">
            <w:pPr>
              <w:rPr>
                <w:b/>
              </w:rPr>
            </w:pPr>
            <w:r>
              <w:rPr>
                <w:b/>
              </w:rPr>
              <w:t>15</w:t>
            </w:r>
            <w:r w:rsidR="00BF46EA">
              <w:rPr>
                <w:b/>
              </w:rPr>
              <w:t xml:space="preserve"> </w:t>
            </w:r>
            <w:r w:rsidR="00BF46EA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4C0996F1" w:rsidR="00281903" w:rsidRPr="00A74CEB" w:rsidRDefault="00281903" w:rsidP="00F3170F">
      <w:r w:rsidRPr="00A74CEB">
        <w:t xml:space="preserve">The USPTO estimates that </w:t>
      </w:r>
      <w:r w:rsidR="00692DCD">
        <w:t>100</w:t>
      </w:r>
      <w:r w:rsidRPr="00A74CEB">
        <w:t>% of the surveys will be submitted electronically</w:t>
      </w:r>
      <w:r w:rsidR="002E1E01">
        <w:t>.</w:t>
      </w:r>
    </w:p>
    <w:p w14:paraId="69BB51E5" w14:textId="77777777" w:rsidR="00794475" w:rsidRPr="00A74CEB" w:rsidRDefault="00794475" w:rsidP="00F3170F"/>
    <w:p w14:paraId="4CE170D5" w14:textId="42DF549A" w:rsidR="00692DCD" w:rsidRDefault="00794475"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642D4D">
        <w:t>66.11</w:t>
      </w:r>
      <w:r w:rsidR="003F7636" w:rsidRPr="00A74CEB">
        <w:t xml:space="preserve"> per hour for a GS-</w:t>
      </w:r>
      <w:r w:rsidR="00692DCD">
        <w:t>14</w:t>
      </w:r>
      <w:r w:rsidR="003F7636" w:rsidRPr="00A74CEB">
        <w:t xml:space="preserve"> step </w:t>
      </w:r>
      <w:r w:rsidR="00A105BD">
        <w:t>7</w:t>
      </w:r>
      <w:r w:rsidR="003F7636" w:rsidRPr="00A74CEB">
        <w:t xml:space="preserve"> + </w:t>
      </w:r>
      <w:r w:rsidR="00642D4D">
        <w:t>$19.33</w:t>
      </w:r>
      <w:r w:rsidR="003F7636" w:rsidRPr="00A74CEB">
        <w:t xml:space="preserve"> (30%) * </w:t>
      </w:r>
      <w:r w:rsidR="00CD49F5">
        <w:t>5</w:t>
      </w:r>
      <w:r w:rsidR="00BF46EA">
        <w:t xml:space="preserve"> </w:t>
      </w:r>
      <w:r w:rsidR="00692DCD">
        <w:t>hours.</w:t>
      </w:r>
    </w:p>
    <w:p w14:paraId="3FC70E15" w14:textId="6EFBE13E" w:rsidR="005566BB" w:rsidRPr="00A74CEB" w:rsidRDefault="003F7636">
      <w:pPr>
        <w:rPr>
          <w:b/>
        </w:rPr>
      </w:pPr>
      <w:r w:rsidRPr="00A74CEB">
        <w:t>$</w:t>
      </w:r>
      <w:r w:rsidR="00642D4D">
        <w:t>85.44</w:t>
      </w:r>
      <w:r w:rsidRPr="00A74CEB">
        <w:t xml:space="preserve"> * </w:t>
      </w:r>
      <w:r w:rsidR="00CD49F5">
        <w:t>5</w:t>
      </w:r>
      <w:r w:rsidR="00BF46EA" w:rsidRPr="00A74CEB">
        <w:t xml:space="preserve"> </w:t>
      </w:r>
      <w:r w:rsidRPr="00A74CEB">
        <w:t xml:space="preserve">hours = </w:t>
      </w:r>
      <w:r w:rsidRPr="00A74CEB">
        <w:rPr>
          <w:b/>
        </w:rPr>
        <w:t>$</w:t>
      </w:r>
      <w:r w:rsidR="00CD49F5">
        <w:rPr>
          <w:b/>
        </w:rPr>
        <w:t>427.20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5370557C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9B7AE2">
        <w:t>x</w:t>
      </w:r>
      <w:r w:rsidRPr="00A74CEB">
        <w:t>] Yes</w:t>
      </w:r>
      <w:r w:rsidRPr="00A74CEB">
        <w:tab/>
        <w:t>[</w:t>
      </w:r>
      <w:r w:rsidR="00CD49F5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4" w14:textId="77777777" w:rsidR="00794475" w:rsidRDefault="00794475" w:rsidP="00A403BB">
      <w:pPr>
        <w:rPr>
          <w:b/>
        </w:rPr>
      </w:pPr>
    </w:p>
    <w:p w14:paraId="454DC960" w14:textId="77777777" w:rsidR="00204ABF" w:rsidRPr="009B7AE2" w:rsidRDefault="00204ABF" w:rsidP="00204ABF">
      <w:r w:rsidRPr="009B7AE2">
        <w:t>Registrants for our recruitment event and those that walk-in and attend on the day of the event(s) will comprise the universe of survey respondents.</w:t>
      </w:r>
    </w:p>
    <w:p w14:paraId="4979C632" w14:textId="77777777" w:rsidR="009B7AE2" w:rsidRPr="00A74CEB" w:rsidRDefault="009B7AE2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58EB32AC" w:rsidR="00794475" w:rsidRDefault="00794475" w:rsidP="001B0AAA">
      <w:pPr>
        <w:ind w:left="720"/>
      </w:pPr>
      <w:r>
        <w:t>[</w:t>
      </w:r>
      <w:r w:rsidR="003021A5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2006BB3C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3021A5">
        <w:t>x</w:t>
      </w:r>
      <w:r>
        <w:t>] No</w:t>
      </w:r>
    </w:p>
    <w:sectPr w:rsidR="00794475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CA6E5" w14:textId="77777777" w:rsidR="0059761B" w:rsidRDefault="0059761B">
      <w:r>
        <w:separator/>
      </w:r>
    </w:p>
  </w:endnote>
  <w:endnote w:type="continuationSeparator" w:id="0">
    <w:p w14:paraId="105E6CA6" w14:textId="77777777" w:rsidR="0059761B" w:rsidRDefault="0059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038ACB32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F50D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70C44" w14:textId="77777777" w:rsidR="0059761B" w:rsidRDefault="0059761B">
      <w:r>
        <w:separator/>
      </w:r>
    </w:p>
  </w:footnote>
  <w:footnote w:type="continuationSeparator" w:id="0">
    <w:p w14:paraId="415CD123" w14:textId="77777777" w:rsidR="0059761B" w:rsidRDefault="00597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0CA9CB"/>
    <w:multiLevelType w:val="hybridMultilevel"/>
    <w:tmpl w:val="271D43C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76F7C"/>
    <w:multiLevelType w:val="multilevel"/>
    <w:tmpl w:val="8E9C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F3435F"/>
    <w:multiLevelType w:val="hybridMultilevel"/>
    <w:tmpl w:val="994EB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525D69"/>
    <w:multiLevelType w:val="hybridMultilevel"/>
    <w:tmpl w:val="C1D6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9"/>
  </w:num>
  <w:num w:numId="8">
    <w:abstractNumId w:val="16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7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12"/>
  </w:num>
  <w:num w:numId="20">
    <w:abstractNumId w:val="14"/>
  </w:num>
  <w:num w:numId="21">
    <w:abstractNumId w:val="22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2B4"/>
    <w:rsid w:val="00023A57"/>
    <w:rsid w:val="00023DA9"/>
    <w:rsid w:val="00026675"/>
    <w:rsid w:val="0003437B"/>
    <w:rsid w:val="0004627E"/>
    <w:rsid w:val="0004748B"/>
    <w:rsid w:val="00047A64"/>
    <w:rsid w:val="00051B00"/>
    <w:rsid w:val="00052272"/>
    <w:rsid w:val="00052659"/>
    <w:rsid w:val="000644EB"/>
    <w:rsid w:val="00067329"/>
    <w:rsid w:val="0007401C"/>
    <w:rsid w:val="00095DCE"/>
    <w:rsid w:val="000B1134"/>
    <w:rsid w:val="000B2838"/>
    <w:rsid w:val="000D44CA"/>
    <w:rsid w:val="000E200B"/>
    <w:rsid w:val="000F68BE"/>
    <w:rsid w:val="00114AF1"/>
    <w:rsid w:val="0011536B"/>
    <w:rsid w:val="00146EE4"/>
    <w:rsid w:val="0016311C"/>
    <w:rsid w:val="00171CD6"/>
    <w:rsid w:val="00182C07"/>
    <w:rsid w:val="001927A4"/>
    <w:rsid w:val="00194AC6"/>
    <w:rsid w:val="001A23B0"/>
    <w:rsid w:val="001A25CC"/>
    <w:rsid w:val="001B0AAA"/>
    <w:rsid w:val="001B199E"/>
    <w:rsid w:val="001C39F7"/>
    <w:rsid w:val="001D2984"/>
    <w:rsid w:val="00204ABF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31BB"/>
    <w:rsid w:val="002A49D4"/>
    <w:rsid w:val="002B1A51"/>
    <w:rsid w:val="002B3C95"/>
    <w:rsid w:val="002D0B92"/>
    <w:rsid w:val="002E1E01"/>
    <w:rsid w:val="003021A5"/>
    <w:rsid w:val="00344FD4"/>
    <w:rsid w:val="00355928"/>
    <w:rsid w:val="003735A4"/>
    <w:rsid w:val="00376F8D"/>
    <w:rsid w:val="00380F2E"/>
    <w:rsid w:val="0039520A"/>
    <w:rsid w:val="003A5294"/>
    <w:rsid w:val="003B03BB"/>
    <w:rsid w:val="003D1048"/>
    <w:rsid w:val="003D5BBE"/>
    <w:rsid w:val="003E3C61"/>
    <w:rsid w:val="003F1C5B"/>
    <w:rsid w:val="003F7636"/>
    <w:rsid w:val="003F7D11"/>
    <w:rsid w:val="00403C53"/>
    <w:rsid w:val="004132A1"/>
    <w:rsid w:val="00422AEE"/>
    <w:rsid w:val="004233CA"/>
    <w:rsid w:val="00423C30"/>
    <w:rsid w:val="00432DE0"/>
    <w:rsid w:val="00434E33"/>
    <w:rsid w:val="00441434"/>
    <w:rsid w:val="0045264C"/>
    <w:rsid w:val="00457B66"/>
    <w:rsid w:val="00462A3F"/>
    <w:rsid w:val="004723BF"/>
    <w:rsid w:val="004876EC"/>
    <w:rsid w:val="004A5858"/>
    <w:rsid w:val="004B3F05"/>
    <w:rsid w:val="004D6E14"/>
    <w:rsid w:val="005009B0"/>
    <w:rsid w:val="00500C45"/>
    <w:rsid w:val="00506F39"/>
    <w:rsid w:val="00507B5F"/>
    <w:rsid w:val="00510697"/>
    <w:rsid w:val="00511E98"/>
    <w:rsid w:val="00535C69"/>
    <w:rsid w:val="0053796A"/>
    <w:rsid w:val="005566BB"/>
    <w:rsid w:val="0055730E"/>
    <w:rsid w:val="0059434A"/>
    <w:rsid w:val="0059761B"/>
    <w:rsid w:val="005A1006"/>
    <w:rsid w:val="005B22BA"/>
    <w:rsid w:val="005E714A"/>
    <w:rsid w:val="00605390"/>
    <w:rsid w:val="006140A0"/>
    <w:rsid w:val="006250F8"/>
    <w:rsid w:val="00632295"/>
    <w:rsid w:val="00633B51"/>
    <w:rsid w:val="00636621"/>
    <w:rsid w:val="00642B49"/>
    <w:rsid w:val="00642D4D"/>
    <w:rsid w:val="00674B0B"/>
    <w:rsid w:val="00680CA9"/>
    <w:rsid w:val="006832D9"/>
    <w:rsid w:val="006857B2"/>
    <w:rsid w:val="00692DCD"/>
    <w:rsid w:val="0069403B"/>
    <w:rsid w:val="006B6D59"/>
    <w:rsid w:val="006C3F14"/>
    <w:rsid w:val="006E4108"/>
    <w:rsid w:val="006F3DDE"/>
    <w:rsid w:val="00704678"/>
    <w:rsid w:val="00714174"/>
    <w:rsid w:val="007340B3"/>
    <w:rsid w:val="007425E7"/>
    <w:rsid w:val="00763DD7"/>
    <w:rsid w:val="00764B08"/>
    <w:rsid w:val="00794475"/>
    <w:rsid w:val="007A46C5"/>
    <w:rsid w:val="007A4B9D"/>
    <w:rsid w:val="007A6767"/>
    <w:rsid w:val="007C3A68"/>
    <w:rsid w:val="007E7EBB"/>
    <w:rsid w:val="007F50D2"/>
    <w:rsid w:val="00800F14"/>
    <w:rsid w:val="00802607"/>
    <w:rsid w:val="008101A5"/>
    <w:rsid w:val="00822664"/>
    <w:rsid w:val="00833E99"/>
    <w:rsid w:val="008362CE"/>
    <w:rsid w:val="008401DF"/>
    <w:rsid w:val="00842D4B"/>
    <w:rsid w:val="00843796"/>
    <w:rsid w:val="00891C39"/>
    <w:rsid w:val="00895229"/>
    <w:rsid w:val="008D3E8E"/>
    <w:rsid w:val="008F0203"/>
    <w:rsid w:val="008F50D4"/>
    <w:rsid w:val="008F7CFC"/>
    <w:rsid w:val="009239AA"/>
    <w:rsid w:val="00924D39"/>
    <w:rsid w:val="009276E0"/>
    <w:rsid w:val="00934F54"/>
    <w:rsid w:val="00935ADA"/>
    <w:rsid w:val="00946B6C"/>
    <w:rsid w:val="00955A71"/>
    <w:rsid w:val="009605E2"/>
    <w:rsid w:val="0096108F"/>
    <w:rsid w:val="009746E5"/>
    <w:rsid w:val="00990467"/>
    <w:rsid w:val="0099737C"/>
    <w:rsid w:val="009B6DEB"/>
    <w:rsid w:val="009B7AE2"/>
    <w:rsid w:val="009C13B9"/>
    <w:rsid w:val="009D01A2"/>
    <w:rsid w:val="009E0389"/>
    <w:rsid w:val="009F5923"/>
    <w:rsid w:val="00A105BD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2FA8"/>
    <w:rsid w:val="00B27B20"/>
    <w:rsid w:val="00B74952"/>
    <w:rsid w:val="00B80D76"/>
    <w:rsid w:val="00B80E97"/>
    <w:rsid w:val="00B826EE"/>
    <w:rsid w:val="00B92CD3"/>
    <w:rsid w:val="00BA2105"/>
    <w:rsid w:val="00BA7E06"/>
    <w:rsid w:val="00BB43B5"/>
    <w:rsid w:val="00BB6219"/>
    <w:rsid w:val="00BB6A3D"/>
    <w:rsid w:val="00BD290F"/>
    <w:rsid w:val="00BD6EFA"/>
    <w:rsid w:val="00BF46EA"/>
    <w:rsid w:val="00C04707"/>
    <w:rsid w:val="00C12ADA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943E7"/>
    <w:rsid w:val="00CA2650"/>
    <w:rsid w:val="00CB1078"/>
    <w:rsid w:val="00CB45E9"/>
    <w:rsid w:val="00CC3B38"/>
    <w:rsid w:val="00CC6FAF"/>
    <w:rsid w:val="00CD273B"/>
    <w:rsid w:val="00CD49F5"/>
    <w:rsid w:val="00CF5DC0"/>
    <w:rsid w:val="00D21723"/>
    <w:rsid w:val="00D24698"/>
    <w:rsid w:val="00D27863"/>
    <w:rsid w:val="00D55D76"/>
    <w:rsid w:val="00D6383F"/>
    <w:rsid w:val="00D93E06"/>
    <w:rsid w:val="00DA4151"/>
    <w:rsid w:val="00DB59D0"/>
    <w:rsid w:val="00DC33D3"/>
    <w:rsid w:val="00DC41BE"/>
    <w:rsid w:val="00DD45B4"/>
    <w:rsid w:val="00DF47ED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506"/>
    <w:rsid w:val="00EB56B3"/>
    <w:rsid w:val="00EC29ED"/>
    <w:rsid w:val="00ED6492"/>
    <w:rsid w:val="00EE00EB"/>
    <w:rsid w:val="00EF2095"/>
    <w:rsid w:val="00F06866"/>
    <w:rsid w:val="00F15956"/>
    <w:rsid w:val="00F22622"/>
    <w:rsid w:val="00F24CFC"/>
    <w:rsid w:val="00F3170F"/>
    <w:rsid w:val="00F46079"/>
    <w:rsid w:val="00F51588"/>
    <w:rsid w:val="00F63FB8"/>
    <w:rsid w:val="00F71110"/>
    <w:rsid w:val="00F84ABC"/>
    <w:rsid w:val="00F86C09"/>
    <w:rsid w:val="00F976B0"/>
    <w:rsid w:val="00FA49D3"/>
    <w:rsid w:val="00FA6DE7"/>
    <w:rsid w:val="00FB6B4F"/>
    <w:rsid w:val="00FC0A8E"/>
    <w:rsid w:val="00FE12A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90467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904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748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C53"/>
  </w:style>
  <w:style w:type="character" w:styleId="FootnoteReference">
    <w:name w:val="footnote reference"/>
    <w:basedOn w:val="DefaultParagraphFont"/>
    <w:uiPriority w:val="99"/>
    <w:semiHidden/>
    <w:unhideWhenUsed/>
    <w:rsid w:val="00403C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90467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904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748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C53"/>
  </w:style>
  <w:style w:type="character" w:styleId="FootnoteReference">
    <w:name w:val="footnote reference"/>
    <w:basedOn w:val="DefaultParagraphFont"/>
    <w:uiPriority w:val="99"/>
    <w:semiHidden/>
    <w:unhideWhenUsed/>
    <w:rsid w:val="00403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28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08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2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Grevious, Sharon</DisplayName>
        <AccountId>250</AccountId>
        <AccountType/>
      </UserInfo>
    </Owner>
    <Approved_x0020_by_x0020_Business_x0020_Area xmlns="E85DE8A9-5CD3-41FE-A1A0-70BC17107555">Yes</Approved_x0020_by_x0020_Business_x0020_Area>
    <Year xmlns="E85DE8A9-5CD3-41FE-A1A0-70BC17107555">2015</Year>
    <Collection_x0020_Number xmlns="E85DE8A9-5CD3-41FE-A1A0-70BC17107555">0651-0080</Collection_x0020_Number>
    <Office xmlns="e85de8a9-5cd3-41fe-a1a0-70bc17107555">Other</Office>
    <Business_x0020_Unit xmlns="e85de8a9-5cd3-41fe-a1a0-70bc17107555" xsi:nil="true"/>
    <Expiration_x0020_Date0 xmlns="e85de8a9-5cd3-41fe-a1a0-70bc17107555" xsi:nil="true"/>
    <ICR_x0020_ID xmlns="e85de8a9-5cd3-41fe-a1a0-70bc17107555" xsi:nil="true"/>
    <Test xmlns="e85de8a9-5cd3-41fe-a1a0-70bc171075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83" ma:contentTypeDescription="Create a new document." ma:contentTypeScope="" ma:versionID="5a7c336c5aca0bd3dcf86ded5b471fff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e4600758605137a1fdeaac57b290909d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Test" ma:index="27" nillable="true" ma:displayName="Test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openxmlformats.org/package/2006/metadata/core-properties"/>
    <ds:schemaRef ds:uri="http://purl.org/dc/elements/1.1/"/>
    <ds:schemaRef ds:uri="e85de8a9-5cd3-41fe-a1a0-70bc17107555"/>
    <ds:schemaRef ds:uri="http://schemas.microsoft.com/office/2006/metadata/properties"/>
    <ds:schemaRef ds:uri="http://purl.org/dc/dcmitype/"/>
    <ds:schemaRef ds:uri="http://purl.org/dc/terms/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5dfc53cf-7c17-4489-98ab-5f87c96333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9A8213-B60E-431A-8A5F-29F26F88C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50715-AD13-4F4F-90F4-5F701EA8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2019-02-25T16:24:00Z</dcterms:created>
  <dcterms:modified xsi:type="dcterms:W3CDTF">2019-02-25T16:24:00Z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