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72EA6" w14:textId="77777777" w:rsidR="008D1294" w:rsidRPr="00EA6C04" w:rsidRDefault="00EA6C04" w:rsidP="006D69E1">
      <w:pPr>
        <w:spacing w:line="240" w:lineRule="auto"/>
        <w:jc w:val="center"/>
        <w:rPr>
          <w:rFonts w:asciiTheme="majorHAnsi" w:hAnsiTheme="majorHAnsi"/>
          <w:sz w:val="28"/>
          <w:u w:val="single"/>
        </w:rPr>
      </w:pPr>
      <w:bookmarkStart w:id="0" w:name="_GoBack"/>
      <w:bookmarkEnd w:id="0"/>
      <w:r w:rsidRPr="00EA6C04">
        <w:rPr>
          <w:rFonts w:asciiTheme="majorHAnsi" w:hAnsiTheme="majorHAnsi"/>
          <w:sz w:val="28"/>
          <w:u w:val="single"/>
        </w:rPr>
        <w:t>SUPPORTING STATEMENT  - PART A</w:t>
      </w:r>
    </w:p>
    <w:p w14:paraId="04C58D72" w14:textId="05559477" w:rsidR="00EA6C04" w:rsidRDefault="00424E33" w:rsidP="006D69E1">
      <w:pPr>
        <w:spacing w:line="240" w:lineRule="auto"/>
        <w:jc w:val="center"/>
        <w:rPr>
          <w:rFonts w:asciiTheme="majorHAnsi" w:hAnsiTheme="majorHAnsi"/>
          <w:sz w:val="24"/>
        </w:rPr>
      </w:pPr>
      <w:r w:rsidRPr="00424E33">
        <w:rPr>
          <w:rFonts w:asciiTheme="majorHAnsi" w:hAnsiTheme="majorHAnsi"/>
          <w:sz w:val="24"/>
        </w:rPr>
        <w:t xml:space="preserve">Mandatory Disclosures </w:t>
      </w:r>
      <w:r w:rsidR="00B20744">
        <w:rPr>
          <w:rFonts w:asciiTheme="majorHAnsi" w:hAnsiTheme="majorHAnsi"/>
          <w:sz w:val="24"/>
        </w:rPr>
        <w:t xml:space="preserve">and Covered-Borrower Check </w:t>
      </w:r>
      <w:r w:rsidRPr="00424E33">
        <w:rPr>
          <w:rFonts w:asciiTheme="majorHAnsi" w:hAnsiTheme="majorHAnsi"/>
          <w:sz w:val="24"/>
        </w:rPr>
        <w:t>as Part of Limitations on Terms of Consumer Credit Extended to</w:t>
      </w:r>
      <w:r>
        <w:rPr>
          <w:rFonts w:asciiTheme="majorHAnsi" w:hAnsiTheme="majorHAnsi"/>
          <w:sz w:val="24"/>
        </w:rPr>
        <w:t xml:space="preserve"> Service Members and Dependents — OMB Control Number </w:t>
      </w:r>
      <w:r w:rsidRPr="00424E33">
        <w:rPr>
          <w:rFonts w:asciiTheme="majorHAnsi" w:hAnsiTheme="majorHAnsi"/>
          <w:sz w:val="24"/>
        </w:rPr>
        <w:t>0</w:t>
      </w:r>
      <w:r>
        <w:rPr>
          <w:rFonts w:asciiTheme="majorHAnsi" w:hAnsiTheme="majorHAnsi"/>
          <w:sz w:val="24"/>
        </w:rPr>
        <w:t>704-0444</w:t>
      </w:r>
    </w:p>
    <w:p w14:paraId="29CFFAB3" w14:textId="77777777" w:rsidR="005C7428" w:rsidRPr="005C7428" w:rsidRDefault="0027743E" w:rsidP="006D69E1">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14:paraId="2AD165EB" w14:textId="1E988373" w:rsidR="00424E33" w:rsidRPr="00424E33" w:rsidRDefault="00424E33" w:rsidP="006D69E1">
      <w:pPr>
        <w:spacing w:after="0" w:line="240" w:lineRule="auto"/>
        <w:rPr>
          <w:rFonts w:asciiTheme="majorHAnsi" w:hAnsiTheme="majorHAnsi"/>
          <w:sz w:val="24"/>
        </w:rPr>
      </w:pPr>
      <w:r w:rsidRPr="00424E33">
        <w:rPr>
          <w:rFonts w:asciiTheme="majorHAnsi" w:hAnsiTheme="majorHAnsi"/>
          <w:sz w:val="24"/>
        </w:rPr>
        <w:t>After both Congressional Banking and Armed Services Committees reviewed the issue of predatory lending directed at members of the Armed Forces and their dependents, the Armed Services Committees included Section 670 in the John Warner National Defense Authorization Act for Fiscal Year 2007.  The resulting statute, 10 U.S.C. § 987</w:t>
      </w:r>
      <w:r>
        <w:rPr>
          <w:rFonts w:asciiTheme="majorHAnsi" w:hAnsiTheme="majorHAnsi"/>
          <w:sz w:val="24"/>
        </w:rPr>
        <w:t>,</w:t>
      </w:r>
      <w:r w:rsidRPr="00424E33">
        <w:rPr>
          <w:rFonts w:asciiTheme="majorHAnsi" w:hAnsiTheme="majorHAnsi"/>
          <w:sz w:val="24"/>
        </w:rPr>
        <w:t xml:space="preserve"> </w:t>
      </w:r>
      <w:r w:rsidR="003A08D8">
        <w:rPr>
          <w:rFonts w:asciiTheme="majorHAnsi" w:hAnsiTheme="majorHAnsi"/>
          <w:sz w:val="24"/>
        </w:rPr>
        <w:t xml:space="preserve">and as amended by sections 661-663 of the National Defense Authorization Act for Fiscal Year 2013, </w:t>
      </w:r>
      <w:r w:rsidRPr="00424E33">
        <w:rPr>
          <w:rFonts w:asciiTheme="majorHAnsi" w:hAnsiTheme="majorHAnsi"/>
          <w:sz w:val="24"/>
        </w:rPr>
        <w:t>directs the Secretary of Defense to establish policy to implement the provisions of the statute with the consultation of the U.S. Department of Treasury, Office of the Comptroller of the Currency, Federal Reserve Board, Federal Trade Commission, Federal Deposit Insurance Corporation, the National Credit Union Administration and the Consumer Financial Protection Bureau.  The regulation, 32 C.F.R. Part 232 implements the statute within the delegated authority.  This information collection is needed to fulfill those disclosure requirements stipulated in 10 U.S.C. § 987 (c)(1)</w:t>
      </w:r>
      <w:r w:rsidR="003E0E18">
        <w:rPr>
          <w:rFonts w:asciiTheme="majorHAnsi" w:hAnsiTheme="majorHAnsi"/>
          <w:sz w:val="24"/>
        </w:rPr>
        <w:t xml:space="preserve"> and 32 C</w:t>
      </w:r>
      <w:r w:rsidR="00DC6B02">
        <w:rPr>
          <w:rFonts w:asciiTheme="majorHAnsi" w:hAnsiTheme="majorHAnsi"/>
          <w:sz w:val="24"/>
        </w:rPr>
        <w:t>.</w:t>
      </w:r>
      <w:r w:rsidR="003E0E18">
        <w:rPr>
          <w:rFonts w:asciiTheme="majorHAnsi" w:hAnsiTheme="majorHAnsi"/>
          <w:sz w:val="24"/>
        </w:rPr>
        <w:t>F</w:t>
      </w:r>
      <w:r w:rsidR="00DC6B02">
        <w:rPr>
          <w:rFonts w:asciiTheme="majorHAnsi" w:hAnsiTheme="majorHAnsi"/>
          <w:sz w:val="24"/>
        </w:rPr>
        <w:t>.</w:t>
      </w:r>
      <w:r w:rsidR="003E0E18">
        <w:rPr>
          <w:rFonts w:asciiTheme="majorHAnsi" w:hAnsiTheme="majorHAnsi"/>
          <w:sz w:val="24"/>
        </w:rPr>
        <w:t>R</w:t>
      </w:r>
      <w:r w:rsidR="00DC6B02">
        <w:rPr>
          <w:rFonts w:asciiTheme="majorHAnsi" w:hAnsiTheme="majorHAnsi"/>
          <w:sz w:val="24"/>
        </w:rPr>
        <w:t>.</w:t>
      </w:r>
      <w:r w:rsidR="003E0E18">
        <w:rPr>
          <w:rFonts w:asciiTheme="majorHAnsi" w:hAnsiTheme="majorHAnsi"/>
          <w:sz w:val="24"/>
        </w:rPr>
        <w:t xml:space="preserve"> </w:t>
      </w:r>
      <w:r w:rsidR="003E0E18" w:rsidRPr="003E0E18">
        <w:rPr>
          <w:rFonts w:asciiTheme="majorHAnsi" w:hAnsiTheme="majorHAnsi"/>
          <w:sz w:val="24"/>
        </w:rPr>
        <w:t>§</w:t>
      </w:r>
      <w:r w:rsidR="00906935">
        <w:rPr>
          <w:rFonts w:asciiTheme="majorHAnsi" w:hAnsiTheme="majorHAnsi"/>
          <w:sz w:val="24"/>
        </w:rPr>
        <w:t xml:space="preserve"> 232.5(b)(2)</w:t>
      </w:r>
      <w:r w:rsidR="003E0E18">
        <w:rPr>
          <w:rFonts w:asciiTheme="majorHAnsi" w:hAnsiTheme="majorHAnsi"/>
          <w:sz w:val="24"/>
        </w:rPr>
        <w:t>,</w:t>
      </w:r>
      <w:r w:rsidRPr="00424E33">
        <w:rPr>
          <w:rFonts w:asciiTheme="majorHAnsi" w:hAnsiTheme="majorHAnsi"/>
          <w:sz w:val="24"/>
        </w:rPr>
        <w:t xml:space="preserve"> which are in addition to current disclosures required by the Truth in Lending Act, as implemented through Regulation Z (12 C.F.R. part 226) issued by the Board of Governors of the Federal Reserve System.</w:t>
      </w:r>
    </w:p>
    <w:p w14:paraId="3E3FA763" w14:textId="77777777" w:rsidR="00510F0C" w:rsidRDefault="00510F0C" w:rsidP="006D69E1">
      <w:pPr>
        <w:spacing w:after="0" w:line="240" w:lineRule="auto"/>
        <w:rPr>
          <w:rFonts w:asciiTheme="majorHAnsi" w:hAnsiTheme="majorHAnsi"/>
          <w:sz w:val="24"/>
        </w:rPr>
      </w:pPr>
    </w:p>
    <w:p w14:paraId="2B055197" w14:textId="77777777" w:rsidR="000F4011" w:rsidRDefault="00510F0C" w:rsidP="006D69E1">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14:paraId="0617D26B" w14:textId="77777777" w:rsidR="006D69E1" w:rsidRPr="006D69E1" w:rsidRDefault="006D69E1" w:rsidP="006D69E1">
      <w:pPr>
        <w:spacing w:after="0" w:line="240" w:lineRule="auto"/>
        <w:rPr>
          <w:rFonts w:asciiTheme="majorHAnsi" w:hAnsiTheme="majorHAnsi"/>
          <w:sz w:val="24"/>
        </w:rPr>
      </w:pPr>
    </w:p>
    <w:p w14:paraId="5AF00E10" w14:textId="5BF79E27" w:rsidR="000F4011" w:rsidRPr="000F4011" w:rsidRDefault="000F4011" w:rsidP="006D69E1">
      <w:pPr>
        <w:tabs>
          <w:tab w:val="left" w:pos="360"/>
        </w:tabs>
        <w:spacing w:line="240" w:lineRule="auto"/>
        <w:rPr>
          <w:rFonts w:asciiTheme="majorHAnsi" w:hAnsiTheme="majorHAnsi"/>
          <w:sz w:val="24"/>
          <w:szCs w:val="24"/>
        </w:rPr>
      </w:pPr>
      <w:r w:rsidRPr="000F4011">
        <w:rPr>
          <w:rFonts w:asciiTheme="majorHAnsi" w:hAnsiTheme="majorHAnsi"/>
          <w:sz w:val="24"/>
          <w:szCs w:val="24"/>
        </w:rPr>
        <w:t>The purpose of this information collection is to ensure disclosures required by 10 U.S.C. § 987 (c)(1)</w:t>
      </w:r>
      <w:r w:rsidR="00C70A8B">
        <w:rPr>
          <w:rFonts w:asciiTheme="majorHAnsi" w:hAnsiTheme="majorHAnsi"/>
          <w:sz w:val="24"/>
          <w:szCs w:val="24"/>
        </w:rPr>
        <w:t xml:space="preserve"> and discretionary covered-borrower checks stipulated in 32 C</w:t>
      </w:r>
      <w:r w:rsidR="003A08D8">
        <w:rPr>
          <w:rFonts w:asciiTheme="majorHAnsi" w:hAnsiTheme="majorHAnsi"/>
          <w:sz w:val="24"/>
          <w:szCs w:val="24"/>
        </w:rPr>
        <w:t>.</w:t>
      </w:r>
      <w:r w:rsidR="00C70A8B">
        <w:rPr>
          <w:rFonts w:asciiTheme="majorHAnsi" w:hAnsiTheme="majorHAnsi"/>
          <w:sz w:val="24"/>
          <w:szCs w:val="24"/>
        </w:rPr>
        <w:t>F</w:t>
      </w:r>
      <w:r w:rsidR="003A08D8">
        <w:rPr>
          <w:rFonts w:asciiTheme="majorHAnsi" w:hAnsiTheme="majorHAnsi"/>
          <w:sz w:val="24"/>
          <w:szCs w:val="24"/>
        </w:rPr>
        <w:t>.</w:t>
      </w:r>
      <w:r w:rsidR="00C70A8B">
        <w:rPr>
          <w:rFonts w:asciiTheme="majorHAnsi" w:hAnsiTheme="majorHAnsi"/>
          <w:sz w:val="24"/>
          <w:szCs w:val="24"/>
        </w:rPr>
        <w:t>R</w:t>
      </w:r>
      <w:r w:rsidR="003A08D8">
        <w:rPr>
          <w:rFonts w:asciiTheme="majorHAnsi" w:hAnsiTheme="majorHAnsi"/>
          <w:sz w:val="24"/>
          <w:szCs w:val="24"/>
        </w:rPr>
        <w:t>.</w:t>
      </w:r>
      <w:r w:rsidR="00C70A8B">
        <w:rPr>
          <w:rFonts w:asciiTheme="majorHAnsi" w:hAnsiTheme="majorHAnsi"/>
          <w:sz w:val="24"/>
          <w:szCs w:val="24"/>
        </w:rPr>
        <w:t xml:space="preserve"> </w:t>
      </w:r>
      <w:r w:rsidR="00C70A8B" w:rsidRPr="00C70A8B">
        <w:rPr>
          <w:rFonts w:asciiTheme="majorHAnsi" w:hAnsiTheme="majorHAnsi"/>
          <w:sz w:val="24"/>
          <w:szCs w:val="24"/>
        </w:rPr>
        <w:t>§</w:t>
      </w:r>
      <w:r w:rsidR="00C70A8B">
        <w:rPr>
          <w:rFonts w:asciiTheme="majorHAnsi" w:hAnsiTheme="majorHAnsi"/>
          <w:sz w:val="24"/>
          <w:szCs w:val="24"/>
        </w:rPr>
        <w:t xml:space="preserve"> 232.5(b)(2)</w:t>
      </w:r>
      <w:r w:rsidRPr="000F4011">
        <w:rPr>
          <w:rFonts w:asciiTheme="majorHAnsi" w:hAnsiTheme="majorHAnsi"/>
          <w:sz w:val="24"/>
          <w:szCs w:val="24"/>
        </w:rPr>
        <w:t xml:space="preserve"> to covered borrowers by creditors in the process of extending consumer credit.   The terms “creditors” and “consumer credit” are defined in the 32 C.F.R. Part 232 in accordance with 10 U.S.C. § 987(h)(1).  These definitions are as follows:  </w:t>
      </w:r>
    </w:p>
    <w:p w14:paraId="465868AF" w14:textId="77777777" w:rsidR="000F4011" w:rsidRPr="000F4011" w:rsidRDefault="000F4011" w:rsidP="006D69E1">
      <w:pPr>
        <w:tabs>
          <w:tab w:val="left" w:pos="360"/>
          <w:tab w:val="left" w:pos="900"/>
          <w:tab w:val="left" w:pos="1260"/>
        </w:tabs>
        <w:spacing w:line="240" w:lineRule="auto"/>
        <w:rPr>
          <w:rFonts w:asciiTheme="majorHAnsi" w:hAnsiTheme="majorHAnsi"/>
          <w:sz w:val="24"/>
          <w:szCs w:val="24"/>
        </w:rPr>
      </w:pPr>
      <w:r w:rsidRPr="000F4011">
        <w:rPr>
          <w:rFonts w:asciiTheme="majorHAnsi" w:hAnsiTheme="majorHAnsi"/>
          <w:sz w:val="24"/>
          <w:szCs w:val="24"/>
        </w:rPr>
        <w:t xml:space="preserve">Creditor (as defined in 232.3(i)):  </w:t>
      </w:r>
      <w:r w:rsidRPr="000F4011">
        <w:rPr>
          <w:rFonts w:asciiTheme="majorHAnsi" w:hAnsiTheme="majorHAnsi"/>
          <w:sz w:val="24"/>
          <w:szCs w:val="24"/>
          <w:u w:val="single"/>
        </w:rPr>
        <w:t>Creditor</w:t>
      </w:r>
      <w:r w:rsidRPr="000F4011">
        <w:rPr>
          <w:rFonts w:asciiTheme="majorHAnsi" w:hAnsiTheme="majorHAnsi"/>
          <w:sz w:val="24"/>
          <w:szCs w:val="24"/>
        </w:rPr>
        <w:t>, except as provided in § 232.8(a)</w:t>
      </w:r>
      <w:r w:rsidRPr="000F4011">
        <w:rPr>
          <w:rStyle w:val="FootnoteReference"/>
          <w:rFonts w:asciiTheme="majorHAnsi" w:hAnsiTheme="majorHAnsi"/>
          <w:sz w:val="24"/>
          <w:szCs w:val="24"/>
        </w:rPr>
        <w:footnoteReference w:id="1"/>
      </w:r>
      <w:r w:rsidRPr="000F4011">
        <w:rPr>
          <w:rFonts w:asciiTheme="majorHAnsi" w:hAnsiTheme="majorHAnsi"/>
          <w:sz w:val="24"/>
          <w:szCs w:val="24"/>
        </w:rPr>
        <w:t xml:space="preserve"> and § 232.8(f)</w:t>
      </w:r>
      <w:r w:rsidRPr="000F4011">
        <w:rPr>
          <w:rStyle w:val="FootnoteReference"/>
          <w:rFonts w:asciiTheme="majorHAnsi" w:hAnsiTheme="majorHAnsi"/>
          <w:sz w:val="24"/>
          <w:szCs w:val="24"/>
        </w:rPr>
        <w:footnoteReference w:id="2"/>
      </w:r>
      <w:r w:rsidRPr="000F4011">
        <w:rPr>
          <w:rFonts w:asciiTheme="majorHAnsi" w:hAnsiTheme="majorHAnsi"/>
          <w:sz w:val="24"/>
          <w:szCs w:val="24"/>
        </w:rPr>
        <w:t>, means a person who is—</w:t>
      </w:r>
    </w:p>
    <w:p w14:paraId="48B4D87E" w14:textId="77777777" w:rsidR="000F4011" w:rsidRPr="000F4011" w:rsidRDefault="000F4011" w:rsidP="006D69E1">
      <w:pPr>
        <w:tabs>
          <w:tab w:val="left" w:pos="360"/>
          <w:tab w:val="left" w:pos="900"/>
          <w:tab w:val="left" w:pos="1260"/>
        </w:tabs>
        <w:spacing w:line="240" w:lineRule="auto"/>
        <w:rPr>
          <w:rFonts w:asciiTheme="majorHAnsi" w:hAnsiTheme="majorHAnsi"/>
          <w:sz w:val="24"/>
          <w:szCs w:val="24"/>
        </w:rPr>
      </w:pPr>
      <w:r w:rsidRPr="000F4011">
        <w:rPr>
          <w:rFonts w:asciiTheme="majorHAnsi" w:hAnsiTheme="majorHAnsi"/>
          <w:sz w:val="24"/>
          <w:szCs w:val="24"/>
        </w:rPr>
        <w:tab/>
      </w:r>
      <w:r w:rsidRPr="000F4011">
        <w:rPr>
          <w:rFonts w:asciiTheme="majorHAnsi" w:hAnsiTheme="majorHAnsi"/>
          <w:sz w:val="24"/>
          <w:szCs w:val="24"/>
        </w:rPr>
        <w:tab/>
        <w:t>(1)  Engaged in the business of extending consumer credit; or</w:t>
      </w:r>
    </w:p>
    <w:p w14:paraId="5CE22839" w14:textId="77777777" w:rsidR="000F4011" w:rsidRPr="000F4011" w:rsidRDefault="000F4011" w:rsidP="006D69E1">
      <w:pPr>
        <w:tabs>
          <w:tab w:val="left" w:pos="360"/>
          <w:tab w:val="left" w:pos="900"/>
          <w:tab w:val="left" w:pos="1260"/>
        </w:tabs>
        <w:spacing w:line="240" w:lineRule="auto"/>
        <w:rPr>
          <w:rFonts w:asciiTheme="majorHAnsi" w:hAnsiTheme="majorHAnsi"/>
          <w:sz w:val="24"/>
          <w:szCs w:val="24"/>
        </w:rPr>
      </w:pPr>
      <w:r w:rsidRPr="000F4011">
        <w:rPr>
          <w:rFonts w:asciiTheme="majorHAnsi" w:hAnsiTheme="majorHAnsi"/>
          <w:sz w:val="24"/>
          <w:szCs w:val="24"/>
        </w:rPr>
        <w:lastRenderedPageBreak/>
        <w:tab/>
      </w:r>
      <w:r w:rsidRPr="000F4011">
        <w:rPr>
          <w:rFonts w:asciiTheme="majorHAnsi" w:hAnsiTheme="majorHAnsi"/>
          <w:sz w:val="24"/>
          <w:szCs w:val="24"/>
        </w:rPr>
        <w:tab/>
        <w:t xml:space="preserve">(2)  An assignee of a person described in paragraph (1) of this subsection with respect to any consumer credit extended. </w:t>
      </w:r>
    </w:p>
    <w:p w14:paraId="6B2DF35D" w14:textId="77777777" w:rsidR="000F4011" w:rsidRPr="000F4011" w:rsidRDefault="000F4011" w:rsidP="006D69E1">
      <w:pPr>
        <w:tabs>
          <w:tab w:val="left" w:pos="360"/>
          <w:tab w:val="left" w:pos="900"/>
          <w:tab w:val="left" w:pos="1260"/>
        </w:tabs>
        <w:spacing w:line="240" w:lineRule="auto"/>
        <w:rPr>
          <w:rFonts w:asciiTheme="majorHAnsi" w:hAnsiTheme="majorHAnsi"/>
          <w:sz w:val="24"/>
          <w:szCs w:val="24"/>
        </w:rPr>
      </w:pPr>
      <w:r w:rsidRPr="000F4011">
        <w:rPr>
          <w:rFonts w:asciiTheme="majorHAnsi" w:hAnsiTheme="majorHAnsi"/>
          <w:sz w:val="24"/>
          <w:szCs w:val="24"/>
        </w:rPr>
        <w:tab/>
      </w:r>
      <w:r w:rsidRPr="000F4011">
        <w:rPr>
          <w:rFonts w:asciiTheme="majorHAnsi" w:hAnsiTheme="majorHAnsi"/>
          <w:sz w:val="24"/>
          <w:szCs w:val="24"/>
        </w:rPr>
        <w:tab/>
        <w:t xml:space="preserve">(3)  For the purposes of this paragraph (h), a creditor is engaged in the business of extending consumer credit if the creditor considered by itself and together with its affiliates meets the transaction standard for a “creditor” under Regulation Z with respect to extensions of consumer credit to covered borrowers.  </w:t>
      </w:r>
    </w:p>
    <w:p w14:paraId="5CDE1CC3" w14:textId="77777777" w:rsidR="000F4011" w:rsidRPr="000F4011" w:rsidRDefault="000F4011" w:rsidP="006D69E1">
      <w:pPr>
        <w:tabs>
          <w:tab w:val="left" w:pos="720"/>
        </w:tabs>
        <w:spacing w:line="240" w:lineRule="auto"/>
        <w:rPr>
          <w:rFonts w:asciiTheme="majorHAnsi" w:hAnsiTheme="majorHAnsi"/>
          <w:sz w:val="24"/>
          <w:szCs w:val="24"/>
        </w:rPr>
      </w:pPr>
      <w:r w:rsidRPr="000F4011">
        <w:rPr>
          <w:rFonts w:asciiTheme="majorHAnsi" w:hAnsiTheme="majorHAnsi"/>
          <w:sz w:val="24"/>
          <w:szCs w:val="24"/>
        </w:rPr>
        <w:t>Consumer credit (as defined in 232.3(f)): Means credit offered or extended to a covered borrower primarily for personal, family, or household purposes, and that is—</w:t>
      </w:r>
    </w:p>
    <w:p w14:paraId="500246EC" w14:textId="77777777" w:rsidR="000F4011" w:rsidRPr="000F4011" w:rsidRDefault="000F4011" w:rsidP="006D69E1">
      <w:pPr>
        <w:tabs>
          <w:tab w:val="left" w:pos="720"/>
        </w:tabs>
        <w:spacing w:line="240" w:lineRule="auto"/>
        <w:rPr>
          <w:rFonts w:asciiTheme="majorHAnsi" w:hAnsiTheme="majorHAnsi"/>
          <w:sz w:val="24"/>
          <w:szCs w:val="24"/>
        </w:rPr>
      </w:pPr>
      <w:r w:rsidRPr="000F4011">
        <w:rPr>
          <w:rFonts w:asciiTheme="majorHAnsi" w:hAnsiTheme="majorHAnsi"/>
          <w:sz w:val="24"/>
          <w:szCs w:val="24"/>
        </w:rPr>
        <w:tab/>
      </w:r>
      <w:r w:rsidRPr="000F4011">
        <w:rPr>
          <w:rFonts w:asciiTheme="majorHAnsi" w:hAnsiTheme="majorHAnsi"/>
          <w:sz w:val="24"/>
          <w:szCs w:val="24"/>
        </w:rPr>
        <w:tab/>
        <w:t xml:space="preserve">(i)  Subject to a finance charge; or </w:t>
      </w:r>
    </w:p>
    <w:p w14:paraId="02679CA9" w14:textId="77777777" w:rsidR="000F4011" w:rsidRPr="000F4011" w:rsidRDefault="000F4011" w:rsidP="006D69E1">
      <w:pPr>
        <w:tabs>
          <w:tab w:val="left" w:pos="720"/>
        </w:tabs>
        <w:spacing w:line="240" w:lineRule="auto"/>
        <w:rPr>
          <w:rFonts w:asciiTheme="majorHAnsi" w:hAnsiTheme="majorHAnsi"/>
          <w:bCs/>
          <w:sz w:val="24"/>
          <w:szCs w:val="24"/>
        </w:rPr>
      </w:pPr>
      <w:r w:rsidRPr="000F4011">
        <w:rPr>
          <w:rFonts w:asciiTheme="majorHAnsi" w:hAnsiTheme="majorHAnsi"/>
          <w:sz w:val="24"/>
          <w:szCs w:val="24"/>
        </w:rPr>
        <w:tab/>
      </w:r>
      <w:r w:rsidRPr="000F4011">
        <w:rPr>
          <w:rFonts w:asciiTheme="majorHAnsi" w:hAnsiTheme="majorHAnsi"/>
          <w:sz w:val="24"/>
          <w:szCs w:val="24"/>
        </w:rPr>
        <w:tab/>
        <w:t>(ii)  Payable by a written agreement in more than four installments.</w:t>
      </w:r>
      <w:r w:rsidRPr="000F4011">
        <w:rPr>
          <w:rStyle w:val="FootnoteReference"/>
          <w:rFonts w:asciiTheme="majorHAnsi" w:hAnsiTheme="majorHAnsi"/>
          <w:sz w:val="24"/>
          <w:szCs w:val="24"/>
        </w:rPr>
        <w:footnoteReference w:id="3"/>
      </w:r>
      <w:r w:rsidRPr="000F4011">
        <w:rPr>
          <w:rFonts w:asciiTheme="majorHAnsi" w:hAnsiTheme="majorHAnsi"/>
          <w:sz w:val="24"/>
          <w:szCs w:val="24"/>
        </w:rPr>
        <w:t xml:space="preserve">  </w:t>
      </w:r>
    </w:p>
    <w:p w14:paraId="5BF1B976" w14:textId="77777777" w:rsidR="000F4011" w:rsidRPr="000F4011" w:rsidRDefault="000F4011" w:rsidP="006D69E1">
      <w:pPr>
        <w:tabs>
          <w:tab w:val="left" w:pos="1260"/>
        </w:tabs>
        <w:spacing w:line="240" w:lineRule="auto"/>
        <w:rPr>
          <w:rFonts w:asciiTheme="majorHAnsi" w:hAnsiTheme="majorHAnsi"/>
          <w:sz w:val="24"/>
          <w:szCs w:val="24"/>
        </w:rPr>
      </w:pPr>
      <w:r w:rsidRPr="000F4011">
        <w:rPr>
          <w:rFonts w:asciiTheme="majorHAnsi" w:hAnsiTheme="majorHAnsi"/>
          <w:sz w:val="24"/>
          <w:szCs w:val="24"/>
        </w:rPr>
        <w:t>The covered borrower is defined in 232.3 (g): Means a consumer who, at the time the consumer becomes obligated on a consumer credit transaction or establishes an account for consumer credit, is a covered member (as defined in this paragraph) or a dependent (as defined in this paragraph) of a covered member.</w:t>
      </w:r>
    </w:p>
    <w:p w14:paraId="6364DB4E" w14:textId="77777777" w:rsidR="000F4011" w:rsidRPr="000F4011" w:rsidRDefault="000F4011" w:rsidP="006D69E1">
      <w:pPr>
        <w:tabs>
          <w:tab w:val="left" w:pos="1260"/>
        </w:tabs>
        <w:spacing w:line="240" w:lineRule="auto"/>
        <w:rPr>
          <w:rFonts w:asciiTheme="majorHAnsi" w:hAnsiTheme="majorHAnsi"/>
          <w:sz w:val="24"/>
          <w:szCs w:val="24"/>
        </w:rPr>
      </w:pPr>
      <w:r w:rsidRPr="000F4011">
        <w:rPr>
          <w:rFonts w:asciiTheme="majorHAnsi" w:hAnsiTheme="majorHAnsi"/>
          <w:sz w:val="24"/>
          <w:szCs w:val="24"/>
        </w:rPr>
        <w:t>(1)  The term “covered member” means a member of the armed forces who is serving on—</w:t>
      </w:r>
    </w:p>
    <w:p w14:paraId="2F3E1E59" w14:textId="77777777" w:rsidR="000F4011" w:rsidRPr="000F4011" w:rsidRDefault="000F4011" w:rsidP="006D69E1">
      <w:pPr>
        <w:tabs>
          <w:tab w:val="left" w:pos="1260"/>
        </w:tabs>
        <w:spacing w:line="240" w:lineRule="auto"/>
        <w:rPr>
          <w:rFonts w:asciiTheme="majorHAnsi" w:hAnsiTheme="majorHAnsi"/>
          <w:sz w:val="24"/>
          <w:szCs w:val="24"/>
        </w:rPr>
      </w:pPr>
      <w:r w:rsidRPr="000F4011">
        <w:rPr>
          <w:rFonts w:asciiTheme="majorHAnsi" w:hAnsiTheme="majorHAnsi"/>
          <w:sz w:val="24"/>
          <w:szCs w:val="24"/>
        </w:rPr>
        <w:tab/>
      </w:r>
      <w:r w:rsidRPr="000F4011">
        <w:rPr>
          <w:rFonts w:asciiTheme="majorHAnsi" w:hAnsiTheme="majorHAnsi"/>
          <w:sz w:val="24"/>
          <w:szCs w:val="24"/>
        </w:rPr>
        <w:tab/>
        <w:t>(i)  Active duty pursuant to title 10, title 14, or title 32, United States Code, under a call or order that does not specify a period of 30 days or fewer, or</w:t>
      </w:r>
    </w:p>
    <w:p w14:paraId="7D1EFC18" w14:textId="77777777" w:rsidR="000F4011" w:rsidRPr="000F4011" w:rsidRDefault="000F4011" w:rsidP="006D69E1">
      <w:pPr>
        <w:tabs>
          <w:tab w:val="left" w:pos="1260"/>
        </w:tabs>
        <w:spacing w:line="240" w:lineRule="auto"/>
        <w:rPr>
          <w:rFonts w:asciiTheme="majorHAnsi" w:hAnsiTheme="majorHAnsi"/>
          <w:sz w:val="24"/>
          <w:szCs w:val="24"/>
        </w:rPr>
      </w:pPr>
      <w:r w:rsidRPr="000F4011">
        <w:rPr>
          <w:rFonts w:asciiTheme="majorHAnsi" w:hAnsiTheme="majorHAnsi"/>
          <w:sz w:val="24"/>
          <w:szCs w:val="24"/>
        </w:rPr>
        <w:tab/>
      </w:r>
      <w:r w:rsidRPr="000F4011">
        <w:rPr>
          <w:rFonts w:asciiTheme="majorHAnsi" w:hAnsiTheme="majorHAnsi"/>
          <w:sz w:val="24"/>
          <w:szCs w:val="24"/>
        </w:rPr>
        <w:tab/>
        <w:t>(ii)  Active Guard and Reserve duty, as that term is defined in 10 U.S.C. 101(d)(6).</w:t>
      </w:r>
    </w:p>
    <w:p w14:paraId="28BA14AA" w14:textId="77777777" w:rsidR="000F4011" w:rsidRPr="000F4011" w:rsidRDefault="000F4011" w:rsidP="006D69E1">
      <w:pPr>
        <w:tabs>
          <w:tab w:val="left" w:pos="1260"/>
        </w:tabs>
        <w:spacing w:line="240" w:lineRule="auto"/>
        <w:rPr>
          <w:rFonts w:asciiTheme="majorHAnsi" w:hAnsiTheme="majorHAnsi"/>
          <w:sz w:val="24"/>
          <w:szCs w:val="24"/>
        </w:rPr>
      </w:pPr>
      <w:r w:rsidRPr="000F4011">
        <w:rPr>
          <w:rFonts w:asciiTheme="majorHAnsi" w:hAnsiTheme="majorHAnsi"/>
          <w:sz w:val="24"/>
          <w:szCs w:val="24"/>
        </w:rPr>
        <w:t xml:space="preserve">(2)  The term “dependent” with respect to a covered member means a person described in subparagraph (A), (D), (E), or (I) of 10 U.S.C. 1072(2). </w:t>
      </w:r>
    </w:p>
    <w:p w14:paraId="05B77FA0" w14:textId="77777777" w:rsidR="000F4011" w:rsidRPr="000F4011" w:rsidRDefault="000F4011" w:rsidP="006D69E1">
      <w:pPr>
        <w:tabs>
          <w:tab w:val="left" w:pos="360"/>
          <w:tab w:val="left" w:pos="1260"/>
        </w:tabs>
        <w:spacing w:line="240" w:lineRule="auto"/>
        <w:rPr>
          <w:rFonts w:asciiTheme="majorHAnsi" w:hAnsiTheme="majorHAnsi"/>
          <w:sz w:val="24"/>
          <w:szCs w:val="24"/>
        </w:rPr>
      </w:pPr>
      <w:r w:rsidRPr="000F4011">
        <w:rPr>
          <w:rFonts w:asciiTheme="majorHAnsi" w:eastAsia="Calibri" w:hAnsiTheme="majorHAnsi"/>
          <w:sz w:val="24"/>
          <w:szCs w:val="24"/>
        </w:rPr>
        <w:t>With respect to any extension of consumer credit (including any consumer credit originated or extended through the internet) to a covered borrower, a creditor shall provide to the covered borrower the following information before or at the time the borrower becomes obligated on the transaction or establishes an account for the consumer credit</w:t>
      </w:r>
      <w:r w:rsidRPr="000F4011" w:rsidDel="000C2E94">
        <w:rPr>
          <w:rFonts w:asciiTheme="majorHAnsi" w:hAnsiTheme="majorHAnsi"/>
          <w:sz w:val="24"/>
          <w:szCs w:val="24"/>
        </w:rPr>
        <w:t xml:space="preserve"> </w:t>
      </w:r>
      <w:r w:rsidRPr="000F4011">
        <w:rPr>
          <w:rFonts w:asciiTheme="majorHAnsi" w:hAnsiTheme="majorHAnsi"/>
          <w:sz w:val="24"/>
          <w:szCs w:val="24"/>
        </w:rPr>
        <w:t>(as defined in 232.6(a)):</w:t>
      </w:r>
    </w:p>
    <w:p w14:paraId="6BA7C3A3" w14:textId="77777777" w:rsidR="000F4011" w:rsidRPr="000F4011" w:rsidRDefault="000F4011" w:rsidP="006D69E1">
      <w:pPr>
        <w:tabs>
          <w:tab w:val="left" w:pos="1530"/>
        </w:tabs>
        <w:spacing w:line="240" w:lineRule="auto"/>
        <w:rPr>
          <w:rFonts w:asciiTheme="majorHAnsi" w:hAnsiTheme="majorHAnsi"/>
          <w:sz w:val="24"/>
          <w:szCs w:val="24"/>
        </w:rPr>
      </w:pPr>
      <w:r w:rsidRPr="000F4011">
        <w:rPr>
          <w:rFonts w:asciiTheme="majorHAnsi" w:hAnsiTheme="majorHAnsi"/>
          <w:sz w:val="24"/>
          <w:szCs w:val="24"/>
        </w:rPr>
        <w:lastRenderedPageBreak/>
        <w:t xml:space="preserve">(1)  The Military Annual Percentage Rate (MAPR) </w:t>
      </w:r>
      <w:bookmarkStart w:id="1" w:name="OLE_LINK5"/>
      <w:bookmarkStart w:id="2" w:name="OLE_LINK6"/>
      <w:r w:rsidRPr="000F4011">
        <w:rPr>
          <w:rFonts w:asciiTheme="majorHAnsi" w:hAnsiTheme="majorHAnsi"/>
          <w:sz w:val="24"/>
          <w:szCs w:val="24"/>
        </w:rPr>
        <w:t>applicable to the extension of consumer credit;</w:t>
      </w:r>
      <w:bookmarkEnd w:id="1"/>
      <w:bookmarkEnd w:id="2"/>
      <w:r w:rsidRPr="000F4011">
        <w:rPr>
          <w:rFonts w:asciiTheme="majorHAnsi" w:hAnsiTheme="majorHAnsi"/>
          <w:sz w:val="24"/>
          <w:szCs w:val="24"/>
        </w:rPr>
        <w:t xml:space="preserve"> </w:t>
      </w:r>
    </w:p>
    <w:p w14:paraId="1E092BFE" w14:textId="77777777" w:rsidR="000F4011" w:rsidRPr="000F4011" w:rsidRDefault="000F4011" w:rsidP="006D69E1">
      <w:pPr>
        <w:tabs>
          <w:tab w:val="left" w:pos="1530"/>
        </w:tabs>
        <w:spacing w:line="240" w:lineRule="auto"/>
        <w:rPr>
          <w:rFonts w:asciiTheme="majorHAnsi" w:hAnsiTheme="majorHAnsi"/>
          <w:sz w:val="24"/>
          <w:szCs w:val="24"/>
        </w:rPr>
      </w:pPr>
      <w:r w:rsidRPr="000F4011">
        <w:rPr>
          <w:rFonts w:asciiTheme="majorHAnsi" w:hAnsiTheme="majorHAnsi"/>
          <w:sz w:val="24"/>
          <w:szCs w:val="24"/>
        </w:rPr>
        <w:t>(2)  Any disclosures required by Regulation Z,  which shall be provided only in accordance with the requirements of Regulation Z that apply to that disclosure;</w:t>
      </w:r>
    </w:p>
    <w:p w14:paraId="60E978C7" w14:textId="77777777" w:rsidR="000F4011" w:rsidRPr="000F4011" w:rsidRDefault="000F4011" w:rsidP="006D69E1">
      <w:pPr>
        <w:tabs>
          <w:tab w:val="left" w:pos="1530"/>
        </w:tabs>
        <w:spacing w:line="240" w:lineRule="auto"/>
        <w:rPr>
          <w:rFonts w:asciiTheme="majorHAnsi" w:hAnsiTheme="majorHAnsi"/>
          <w:sz w:val="24"/>
          <w:szCs w:val="24"/>
        </w:rPr>
      </w:pPr>
      <w:r w:rsidRPr="000F4011">
        <w:rPr>
          <w:rFonts w:asciiTheme="majorHAnsi" w:hAnsiTheme="majorHAnsi"/>
          <w:sz w:val="24"/>
          <w:szCs w:val="24"/>
        </w:rPr>
        <w:t xml:space="preserve">(3)  </w:t>
      </w:r>
      <w:bookmarkStart w:id="3" w:name="OLE_LINK3"/>
      <w:bookmarkStart w:id="4" w:name="OLE_LINK4"/>
      <w:r w:rsidRPr="000F4011">
        <w:rPr>
          <w:rFonts w:asciiTheme="majorHAnsi" w:hAnsiTheme="majorHAnsi"/>
          <w:sz w:val="24"/>
          <w:szCs w:val="24"/>
        </w:rPr>
        <w:t>A clear description of the payment obligation of the covered borrower, as applicable.  A payment schedule (in the case of closed-end credit) or account-opening disclosure (in the case of open-end credit) provided pursuant to paragraph (a)(2) of this section satisfies this requirement; and</w:t>
      </w:r>
      <w:bookmarkEnd w:id="3"/>
      <w:bookmarkEnd w:id="4"/>
    </w:p>
    <w:p w14:paraId="77CB4B66" w14:textId="77777777" w:rsidR="000F4011" w:rsidRPr="000F4011" w:rsidRDefault="000F4011" w:rsidP="006D69E1">
      <w:pPr>
        <w:tabs>
          <w:tab w:val="left" w:pos="1080"/>
        </w:tabs>
        <w:spacing w:line="240" w:lineRule="auto"/>
        <w:rPr>
          <w:rFonts w:asciiTheme="majorHAnsi" w:hAnsiTheme="majorHAnsi"/>
          <w:sz w:val="24"/>
          <w:szCs w:val="24"/>
        </w:rPr>
      </w:pPr>
      <w:r w:rsidRPr="000F4011">
        <w:rPr>
          <w:rFonts w:asciiTheme="majorHAnsi" w:hAnsiTheme="majorHAnsi"/>
          <w:sz w:val="24"/>
          <w:szCs w:val="24"/>
        </w:rPr>
        <w:t>The anticipated burden associated with the proposed regulation results from the initiation of disclosure of the MAPR in paragraph 232.6(a)(1).   The disclosures required in paragraphs 232.6(a) (2) and (3) would not represent a burden association with a new disclosure because:</w:t>
      </w:r>
    </w:p>
    <w:p w14:paraId="4D18717A" w14:textId="77777777" w:rsidR="000F4011" w:rsidRPr="000F4011" w:rsidRDefault="000F4011" w:rsidP="006D69E1">
      <w:pPr>
        <w:numPr>
          <w:ilvl w:val="0"/>
          <w:numId w:val="3"/>
        </w:numPr>
        <w:spacing w:after="0" w:line="240" w:lineRule="auto"/>
        <w:rPr>
          <w:rFonts w:asciiTheme="majorHAnsi" w:hAnsiTheme="majorHAnsi"/>
          <w:sz w:val="24"/>
          <w:szCs w:val="24"/>
        </w:rPr>
      </w:pPr>
      <w:r w:rsidRPr="000F4011">
        <w:rPr>
          <w:rFonts w:asciiTheme="majorHAnsi" w:hAnsiTheme="majorHAnsi"/>
          <w:sz w:val="24"/>
          <w:szCs w:val="24"/>
        </w:rPr>
        <w:t>232.6(a) (2) is already required to be disclosed by Regulation Z.</w:t>
      </w:r>
    </w:p>
    <w:p w14:paraId="3DC6450A" w14:textId="77777777" w:rsidR="000F4011" w:rsidRPr="000F4011" w:rsidRDefault="000F4011" w:rsidP="006D69E1">
      <w:pPr>
        <w:tabs>
          <w:tab w:val="num" w:pos="720"/>
        </w:tabs>
        <w:spacing w:line="240" w:lineRule="auto"/>
        <w:rPr>
          <w:rFonts w:asciiTheme="majorHAnsi" w:hAnsiTheme="majorHAnsi"/>
          <w:sz w:val="24"/>
          <w:szCs w:val="24"/>
        </w:rPr>
      </w:pPr>
    </w:p>
    <w:p w14:paraId="7A5363CD" w14:textId="77777777" w:rsidR="000F4011" w:rsidRPr="000F4011" w:rsidRDefault="000F4011" w:rsidP="006D69E1">
      <w:pPr>
        <w:numPr>
          <w:ilvl w:val="0"/>
          <w:numId w:val="3"/>
        </w:numPr>
        <w:spacing w:after="0" w:line="240" w:lineRule="auto"/>
        <w:rPr>
          <w:rFonts w:asciiTheme="majorHAnsi" w:hAnsiTheme="majorHAnsi"/>
          <w:sz w:val="24"/>
          <w:szCs w:val="24"/>
        </w:rPr>
      </w:pPr>
      <w:r w:rsidRPr="000F4011">
        <w:rPr>
          <w:rFonts w:asciiTheme="majorHAnsi" w:hAnsiTheme="majorHAnsi"/>
          <w:sz w:val="24"/>
          <w:szCs w:val="24"/>
        </w:rPr>
        <w:t>232.6(a) (3) is likewise already accomplished as part of the disclosure requirements in Regulation Z</w:t>
      </w:r>
    </w:p>
    <w:p w14:paraId="6C28A123" w14:textId="77777777" w:rsidR="000F4011" w:rsidRPr="000F4011" w:rsidRDefault="000F4011" w:rsidP="006D69E1">
      <w:pPr>
        <w:tabs>
          <w:tab w:val="num" w:pos="720"/>
        </w:tabs>
        <w:spacing w:line="240" w:lineRule="auto"/>
        <w:rPr>
          <w:rFonts w:asciiTheme="majorHAnsi" w:hAnsiTheme="majorHAnsi"/>
          <w:sz w:val="24"/>
          <w:szCs w:val="24"/>
        </w:rPr>
      </w:pPr>
    </w:p>
    <w:p w14:paraId="6DBAAAAE" w14:textId="77777777" w:rsidR="000F4011" w:rsidRPr="000F4011" w:rsidRDefault="000F4011" w:rsidP="006D69E1">
      <w:pPr>
        <w:spacing w:line="240" w:lineRule="auto"/>
        <w:rPr>
          <w:rFonts w:asciiTheme="majorHAnsi" w:hAnsiTheme="majorHAnsi"/>
          <w:sz w:val="24"/>
          <w:szCs w:val="24"/>
        </w:rPr>
      </w:pPr>
      <w:r w:rsidRPr="000F4011">
        <w:rPr>
          <w:rFonts w:asciiTheme="majorHAnsi" w:hAnsiTheme="majorHAnsi"/>
          <w:sz w:val="24"/>
          <w:szCs w:val="24"/>
        </w:rPr>
        <w:tab/>
        <w:t xml:space="preserve">Additionally,  the information described in paragraphs (a)(1) and (a)(3) of this section is not required to be provided to a covered borrower more than once for the transaction or the account established for consumer credit with respect to that borrower. </w:t>
      </w:r>
    </w:p>
    <w:p w14:paraId="2D32D5DD" w14:textId="77777777" w:rsidR="000F4011" w:rsidRPr="000F4011" w:rsidRDefault="000F4011" w:rsidP="006D69E1">
      <w:pPr>
        <w:spacing w:line="240" w:lineRule="auto"/>
        <w:rPr>
          <w:rFonts w:asciiTheme="majorHAnsi" w:hAnsiTheme="majorHAnsi"/>
          <w:sz w:val="24"/>
          <w:szCs w:val="24"/>
        </w:rPr>
      </w:pPr>
      <w:r w:rsidRPr="000F4011">
        <w:rPr>
          <w:rFonts w:asciiTheme="majorHAnsi" w:hAnsiTheme="majorHAnsi"/>
          <w:sz w:val="24"/>
          <w:szCs w:val="24"/>
        </w:rPr>
        <w:t xml:space="preserve">If a transaction involves more than one creditor, the creditors shall agree among themselves which creditor must provide the information described in paragraphs (a)(1) and (a)(3) of this section.     </w:t>
      </w:r>
    </w:p>
    <w:p w14:paraId="1243547B" w14:textId="77777777" w:rsidR="000F4011" w:rsidRPr="000F4011" w:rsidRDefault="000F4011" w:rsidP="006D69E1">
      <w:pPr>
        <w:spacing w:line="240" w:lineRule="auto"/>
        <w:ind w:firstLine="720"/>
        <w:rPr>
          <w:rFonts w:asciiTheme="majorHAnsi" w:hAnsiTheme="majorHAnsi"/>
          <w:sz w:val="24"/>
          <w:szCs w:val="24"/>
        </w:rPr>
      </w:pPr>
      <w:r w:rsidRPr="000F4011">
        <w:rPr>
          <w:rFonts w:asciiTheme="majorHAnsi" w:hAnsiTheme="majorHAnsi"/>
          <w:sz w:val="24"/>
          <w:szCs w:val="24"/>
        </w:rPr>
        <w:t>Furthermore, the s</w:t>
      </w:r>
      <w:r w:rsidRPr="000F4011">
        <w:rPr>
          <w:rFonts w:asciiTheme="majorHAnsi" w:hAnsiTheme="majorHAnsi"/>
          <w:sz w:val="24"/>
          <w:szCs w:val="24"/>
          <w:u w:val="single"/>
        </w:rPr>
        <w:t xml:space="preserve">tatement of the MAPR required in 232.6(a)(1) of this section: </w:t>
      </w:r>
      <w:r w:rsidRPr="000F4011">
        <w:rPr>
          <w:rFonts w:asciiTheme="majorHAnsi" w:hAnsiTheme="majorHAnsi"/>
          <w:sz w:val="24"/>
          <w:szCs w:val="24"/>
        </w:rPr>
        <w:t xml:space="preserve">  </w:t>
      </w:r>
    </w:p>
    <w:p w14:paraId="3C0CBA51" w14:textId="77777777" w:rsidR="000F4011" w:rsidRPr="000F4011" w:rsidRDefault="000F4011" w:rsidP="006D69E1">
      <w:pPr>
        <w:spacing w:line="240" w:lineRule="auto"/>
        <w:rPr>
          <w:rFonts w:asciiTheme="majorHAnsi" w:hAnsiTheme="majorHAnsi"/>
          <w:sz w:val="24"/>
          <w:szCs w:val="24"/>
        </w:rPr>
      </w:pPr>
      <w:r w:rsidRPr="000F4011">
        <w:rPr>
          <w:rFonts w:asciiTheme="majorHAnsi" w:hAnsiTheme="majorHAnsi"/>
          <w:sz w:val="24"/>
          <w:szCs w:val="24"/>
        </w:rPr>
        <w:tab/>
      </w:r>
      <w:r w:rsidRPr="000F4011">
        <w:rPr>
          <w:rFonts w:asciiTheme="majorHAnsi" w:hAnsiTheme="majorHAnsi"/>
          <w:sz w:val="24"/>
          <w:szCs w:val="24"/>
        </w:rPr>
        <w:tab/>
        <w:t xml:space="preserve">(1)  A creditor may satisfy the requirement by describing the charges the creditor may impose, in accordance with this part and subject to the terms and conditions of the agreement relating to the consumer credit to calculate the MAPR.  Paragraph (a)(1) of this section shall not be construed as requiring a creditor to describe the MAPR as a numerical value or to describe the total dollar amount of all charges in the MAPR that apply to the extension of consumer credit. </w:t>
      </w:r>
    </w:p>
    <w:p w14:paraId="4F5481C7" w14:textId="77777777" w:rsidR="000F4011" w:rsidRPr="000F4011" w:rsidRDefault="000F4011" w:rsidP="006D69E1">
      <w:pPr>
        <w:spacing w:line="240" w:lineRule="auto"/>
        <w:rPr>
          <w:rFonts w:asciiTheme="majorHAnsi" w:hAnsiTheme="majorHAnsi"/>
          <w:sz w:val="24"/>
          <w:szCs w:val="24"/>
        </w:rPr>
      </w:pPr>
      <w:r w:rsidRPr="000F4011">
        <w:rPr>
          <w:rFonts w:asciiTheme="majorHAnsi" w:hAnsiTheme="majorHAnsi"/>
          <w:sz w:val="24"/>
          <w:szCs w:val="24"/>
        </w:rPr>
        <w:tab/>
      </w:r>
      <w:r w:rsidRPr="000F4011">
        <w:rPr>
          <w:rFonts w:asciiTheme="majorHAnsi" w:hAnsiTheme="majorHAnsi"/>
          <w:sz w:val="24"/>
          <w:szCs w:val="24"/>
        </w:rPr>
        <w:tab/>
        <w:t xml:space="preserve">(2)  A creditor may include a statement of the MAPR applicable to the consumer credit in the agreement with the covered borrower involving the consumer credit transaction.  Paragraph (a)(1) of this section shall not be construed as requiring a creditor to include a statement of the MAPR applicable to an extension of consumer credit in any advertisement relating to the credit.        </w:t>
      </w:r>
    </w:p>
    <w:p w14:paraId="78038CA7" w14:textId="46E76504" w:rsidR="005C7428" w:rsidRDefault="000F4011" w:rsidP="006D69E1">
      <w:pPr>
        <w:spacing w:after="0" w:line="240" w:lineRule="auto"/>
        <w:rPr>
          <w:rFonts w:asciiTheme="majorHAnsi" w:hAnsiTheme="majorHAnsi"/>
          <w:sz w:val="24"/>
          <w:szCs w:val="24"/>
        </w:rPr>
      </w:pPr>
      <w:r w:rsidRPr="000F4011">
        <w:rPr>
          <w:rFonts w:asciiTheme="majorHAnsi" w:hAnsiTheme="majorHAnsi"/>
          <w:sz w:val="24"/>
          <w:szCs w:val="24"/>
        </w:rPr>
        <w:t>Paragraph 232.6(</w:t>
      </w:r>
      <w:r w:rsidR="004B3C6C">
        <w:rPr>
          <w:rFonts w:asciiTheme="majorHAnsi" w:hAnsiTheme="majorHAnsi"/>
          <w:sz w:val="24"/>
          <w:szCs w:val="24"/>
        </w:rPr>
        <w:t>d</w:t>
      </w:r>
      <w:r w:rsidRPr="000F4011">
        <w:rPr>
          <w:rFonts w:asciiTheme="majorHAnsi" w:hAnsiTheme="majorHAnsi"/>
          <w:sz w:val="24"/>
          <w:szCs w:val="24"/>
        </w:rPr>
        <w:t>)</w:t>
      </w:r>
      <w:r w:rsidR="004B3C6C">
        <w:rPr>
          <w:rFonts w:asciiTheme="majorHAnsi" w:hAnsiTheme="majorHAnsi"/>
          <w:sz w:val="24"/>
          <w:szCs w:val="24"/>
        </w:rPr>
        <w:t>(2)</w:t>
      </w:r>
      <w:r w:rsidRPr="000F4011">
        <w:rPr>
          <w:rFonts w:asciiTheme="majorHAnsi" w:hAnsiTheme="majorHAnsi"/>
          <w:sz w:val="24"/>
          <w:szCs w:val="24"/>
        </w:rPr>
        <w:t xml:space="preserve"> requires the creditor to also provide oral disclosure of requirements 232.6(a)(1) and (3) in addition to the written disclosure. The creditor satisfies this requirement if it provides a toll-free telephone number on or with the written disclosures that a covered borrower may use to obtain oral disclosures and the creditor provides oral disclosures when the covered borrower contacts the creditor for this purpose.</w:t>
      </w:r>
    </w:p>
    <w:p w14:paraId="489D32DE" w14:textId="51B55620" w:rsidR="00C70A8B" w:rsidRDefault="00C70A8B" w:rsidP="006D69E1">
      <w:pPr>
        <w:spacing w:after="0" w:line="240" w:lineRule="auto"/>
        <w:rPr>
          <w:rFonts w:asciiTheme="majorHAnsi" w:hAnsiTheme="majorHAnsi"/>
          <w:sz w:val="24"/>
          <w:szCs w:val="24"/>
        </w:rPr>
      </w:pPr>
    </w:p>
    <w:p w14:paraId="34B5DD8C" w14:textId="6284CCFC" w:rsidR="00C70A8B" w:rsidRPr="000F4011" w:rsidRDefault="00C70A8B" w:rsidP="006D69E1">
      <w:pPr>
        <w:spacing w:after="0" w:line="240" w:lineRule="auto"/>
        <w:rPr>
          <w:rFonts w:asciiTheme="majorHAnsi" w:hAnsiTheme="majorHAnsi"/>
          <w:i/>
          <w:sz w:val="24"/>
          <w:szCs w:val="24"/>
        </w:rPr>
      </w:pPr>
      <w:r>
        <w:rPr>
          <w:rFonts w:asciiTheme="majorHAnsi" w:hAnsiTheme="majorHAnsi"/>
          <w:sz w:val="24"/>
          <w:szCs w:val="24"/>
        </w:rPr>
        <w:tab/>
      </w:r>
      <w:r w:rsidRPr="00C70A8B">
        <w:rPr>
          <w:rFonts w:asciiTheme="majorHAnsi" w:hAnsiTheme="majorHAnsi"/>
          <w:sz w:val="24"/>
          <w:szCs w:val="24"/>
        </w:rPr>
        <w:t xml:space="preserve">Additionally, a creditor may, at its discretion, identify the status of a consumer-applicant, as permitted under </w:t>
      </w:r>
      <w:r w:rsidR="00DA42C4">
        <w:rPr>
          <w:rFonts w:asciiTheme="majorHAnsi" w:hAnsiTheme="majorHAnsi"/>
          <w:sz w:val="24"/>
          <w:szCs w:val="24"/>
        </w:rPr>
        <w:t>32 C.F.R.</w:t>
      </w:r>
      <w:r w:rsidR="003A08D8">
        <w:rPr>
          <w:rFonts w:asciiTheme="majorHAnsi" w:hAnsiTheme="majorHAnsi"/>
          <w:sz w:val="24"/>
          <w:szCs w:val="24"/>
        </w:rPr>
        <w:t xml:space="preserve"> </w:t>
      </w:r>
      <w:r w:rsidRPr="00C70A8B">
        <w:rPr>
          <w:rFonts w:asciiTheme="majorHAnsi" w:hAnsiTheme="majorHAnsi"/>
          <w:sz w:val="24"/>
          <w:szCs w:val="24"/>
        </w:rPr>
        <w:t>§ 232.5(b) and, in the event that the information indicates that consumer-applicant is not a covered borrower, take advantage of a safe harbor from liability under 10 U.S.C. 987 by retaining a record of the information so obtained.</w:t>
      </w:r>
    </w:p>
    <w:p w14:paraId="3B37C8F2" w14:textId="77777777" w:rsidR="005C7428" w:rsidRDefault="005C7428" w:rsidP="006D69E1">
      <w:pPr>
        <w:spacing w:after="0" w:line="240" w:lineRule="auto"/>
        <w:rPr>
          <w:rFonts w:asciiTheme="majorHAnsi" w:hAnsiTheme="majorHAnsi"/>
          <w:i/>
          <w:sz w:val="24"/>
        </w:rPr>
      </w:pPr>
    </w:p>
    <w:p w14:paraId="6624C381" w14:textId="77777777" w:rsidR="005C7428" w:rsidRDefault="005C7428" w:rsidP="006D69E1">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14:paraId="2B6D12AB" w14:textId="77777777" w:rsidR="00D9519A" w:rsidRDefault="00D9519A" w:rsidP="006D69E1">
      <w:pPr>
        <w:spacing w:after="0" w:line="240" w:lineRule="auto"/>
        <w:rPr>
          <w:rFonts w:asciiTheme="majorHAnsi" w:hAnsiTheme="majorHAnsi"/>
          <w:sz w:val="24"/>
          <w:u w:val="single"/>
        </w:rPr>
      </w:pPr>
    </w:p>
    <w:p w14:paraId="1271E5B1" w14:textId="29D4996A" w:rsidR="008635C4" w:rsidRDefault="00D9519A" w:rsidP="006D69E1">
      <w:pPr>
        <w:spacing w:after="0" w:line="240" w:lineRule="auto"/>
        <w:rPr>
          <w:rFonts w:asciiTheme="majorHAnsi" w:hAnsiTheme="majorHAnsi"/>
          <w:sz w:val="24"/>
        </w:rPr>
      </w:pPr>
      <w:r w:rsidRPr="00D9519A">
        <w:rPr>
          <w:rFonts w:asciiTheme="majorHAnsi" w:hAnsiTheme="majorHAnsi"/>
          <w:sz w:val="24"/>
        </w:rPr>
        <w:t>The revision of consumer credit in 232.3(f) allows for an estimate of up to 37,500 creditors to potentially be impacted.  There is no clear estimate of how many of these creditors have a presence o</w:t>
      </w:r>
      <w:r w:rsidR="00F60FC1">
        <w:rPr>
          <w:rFonts w:asciiTheme="majorHAnsi" w:hAnsiTheme="majorHAnsi"/>
          <w:sz w:val="24"/>
        </w:rPr>
        <w:t>nline to offer covered credit. A</w:t>
      </w:r>
      <w:r w:rsidR="00F60FC1" w:rsidRPr="00F60FC1">
        <w:rPr>
          <w:rFonts w:asciiTheme="majorHAnsi" w:hAnsiTheme="majorHAnsi"/>
          <w:sz w:val="24"/>
        </w:rPr>
        <w:t xml:space="preserve"> Federal Reserve Board survey of consumer behavior estimates that 42 percent of credit transactions requiring a TILA disclosure occur online.  </w:t>
      </w:r>
    </w:p>
    <w:p w14:paraId="36857A4A" w14:textId="77777777" w:rsidR="00D9519A" w:rsidRPr="00D9519A" w:rsidRDefault="00D9519A" w:rsidP="006D69E1">
      <w:pPr>
        <w:spacing w:after="0" w:line="240" w:lineRule="auto"/>
        <w:rPr>
          <w:rFonts w:asciiTheme="majorHAnsi" w:hAnsiTheme="majorHAnsi"/>
          <w:sz w:val="24"/>
        </w:rPr>
      </w:pPr>
    </w:p>
    <w:p w14:paraId="39B12B32" w14:textId="77777777" w:rsidR="008635C4" w:rsidRDefault="008635C4" w:rsidP="006D69E1">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14:paraId="5CD2ED7C" w14:textId="77777777" w:rsidR="00D9519A" w:rsidRDefault="00D9519A" w:rsidP="006D69E1">
      <w:pPr>
        <w:spacing w:after="0" w:line="240" w:lineRule="auto"/>
        <w:rPr>
          <w:rFonts w:asciiTheme="majorHAnsi" w:hAnsiTheme="majorHAnsi"/>
          <w:i/>
          <w:sz w:val="24"/>
        </w:rPr>
      </w:pPr>
    </w:p>
    <w:p w14:paraId="22EDA376" w14:textId="77777777" w:rsidR="00CA15B1" w:rsidRDefault="008635C4" w:rsidP="006D69E1">
      <w:pPr>
        <w:spacing w:after="0" w:line="240" w:lineRule="auto"/>
        <w:rPr>
          <w:rFonts w:asciiTheme="majorHAnsi" w:hAnsiTheme="majorHAnsi"/>
          <w:i/>
          <w:sz w:val="24"/>
        </w:rPr>
      </w:pPr>
      <w:r w:rsidRPr="00D9519A">
        <w:rPr>
          <w:rFonts w:asciiTheme="majorHAnsi" w:hAnsiTheme="majorHAnsi"/>
          <w:sz w:val="24"/>
        </w:rPr>
        <w:t xml:space="preserve">The information obtained through this collection is unique and </w:t>
      </w:r>
      <w:r w:rsidR="00CA15B1" w:rsidRPr="00D9519A">
        <w:rPr>
          <w:rFonts w:asciiTheme="majorHAnsi" w:hAnsiTheme="majorHAnsi"/>
          <w:sz w:val="24"/>
        </w:rPr>
        <w:t xml:space="preserve">is </w:t>
      </w:r>
      <w:r w:rsidRPr="00D9519A">
        <w:rPr>
          <w:rFonts w:asciiTheme="majorHAnsi" w:hAnsiTheme="majorHAnsi"/>
          <w:sz w:val="24"/>
        </w:rPr>
        <w:t>not already available for use or adaptation from another cleared source.</w:t>
      </w:r>
      <w:r w:rsidRPr="00200261">
        <w:rPr>
          <w:rFonts w:asciiTheme="majorHAnsi" w:hAnsiTheme="majorHAnsi"/>
          <w:sz w:val="24"/>
        </w:rPr>
        <w:t xml:space="preserve"> </w:t>
      </w:r>
    </w:p>
    <w:p w14:paraId="11A4B18C" w14:textId="77777777" w:rsidR="00CA15B1" w:rsidRDefault="00CA15B1" w:rsidP="006D69E1">
      <w:pPr>
        <w:spacing w:after="0" w:line="240" w:lineRule="auto"/>
        <w:rPr>
          <w:rFonts w:asciiTheme="majorHAnsi" w:hAnsiTheme="majorHAnsi"/>
          <w:i/>
          <w:sz w:val="24"/>
        </w:rPr>
      </w:pPr>
    </w:p>
    <w:p w14:paraId="763C0CDE" w14:textId="77777777" w:rsidR="00CA15B1" w:rsidRDefault="00CA15B1" w:rsidP="006D69E1">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14:paraId="78C685A6" w14:textId="77777777" w:rsidR="00D9519A" w:rsidRDefault="00D9519A" w:rsidP="006D69E1">
      <w:pPr>
        <w:spacing w:after="0" w:line="240" w:lineRule="auto"/>
        <w:rPr>
          <w:rFonts w:asciiTheme="majorHAnsi" w:hAnsiTheme="majorHAnsi"/>
          <w:i/>
          <w:sz w:val="24"/>
        </w:rPr>
      </w:pPr>
    </w:p>
    <w:p w14:paraId="73022BCF" w14:textId="77777777" w:rsidR="002567F9" w:rsidRDefault="002567F9" w:rsidP="006D69E1">
      <w:pPr>
        <w:spacing w:after="0" w:line="240" w:lineRule="auto"/>
        <w:rPr>
          <w:rFonts w:asciiTheme="majorHAnsi" w:hAnsiTheme="majorHAnsi"/>
          <w:i/>
          <w:sz w:val="24"/>
        </w:rPr>
      </w:pPr>
      <w:r w:rsidRPr="00D9519A">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14:paraId="3557A3CE" w14:textId="77777777" w:rsidR="002567F9" w:rsidRDefault="002567F9" w:rsidP="006D69E1">
      <w:pPr>
        <w:spacing w:after="0" w:line="240" w:lineRule="auto"/>
        <w:rPr>
          <w:rFonts w:asciiTheme="majorHAnsi" w:hAnsiTheme="majorHAnsi"/>
          <w:i/>
          <w:sz w:val="24"/>
        </w:rPr>
      </w:pPr>
    </w:p>
    <w:p w14:paraId="7E33D632" w14:textId="77777777" w:rsidR="002567F9" w:rsidRDefault="002567F9" w:rsidP="006D69E1">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14:paraId="25AD3D7E" w14:textId="77777777" w:rsidR="00D9519A" w:rsidRDefault="00D9519A" w:rsidP="006D69E1">
      <w:pPr>
        <w:spacing w:after="0" w:line="240" w:lineRule="auto"/>
        <w:rPr>
          <w:rFonts w:asciiTheme="majorHAnsi" w:hAnsiTheme="majorHAnsi"/>
          <w:i/>
          <w:sz w:val="24"/>
        </w:rPr>
      </w:pPr>
    </w:p>
    <w:p w14:paraId="021CD209" w14:textId="77777777" w:rsidR="00F86C35" w:rsidRPr="00D9519A" w:rsidRDefault="00D9519A" w:rsidP="006D69E1">
      <w:pPr>
        <w:spacing w:after="0" w:line="240" w:lineRule="auto"/>
        <w:rPr>
          <w:rFonts w:asciiTheme="majorHAnsi" w:hAnsiTheme="majorHAnsi"/>
          <w:sz w:val="24"/>
        </w:rPr>
      </w:pPr>
      <w:r w:rsidRPr="00D9519A">
        <w:rPr>
          <w:rFonts w:asciiTheme="majorHAnsi" w:hAnsiTheme="majorHAnsi"/>
          <w:sz w:val="24"/>
        </w:rPr>
        <w:t>If the disclosure is not made, the creditor will be in violation of the requirements outlined in U.S.C. § 987(c)(1).  These requirements are intended to ensure the covered borrower is aware of the full impact of all fees and charges have on the cost of the consumer credit being borrowed.</w:t>
      </w:r>
    </w:p>
    <w:p w14:paraId="26B24CC8" w14:textId="77777777" w:rsidR="00D9519A" w:rsidRDefault="00D9519A" w:rsidP="006D69E1">
      <w:pPr>
        <w:spacing w:after="0" w:line="240" w:lineRule="auto"/>
        <w:rPr>
          <w:rFonts w:asciiTheme="majorHAnsi" w:hAnsiTheme="majorHAnsi"/>
          <w:i/>
          <w:sz w:val="24"/>
        </w:rPr>
      </w:pPr>
    </w:p>
    <w:p w14:paraId="21386043" w14:textId="77777777" w:rsidR="00F86C35" w:rsidRDefault="00F86C35" w:rsidP="006D69E1">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14:paraId="0AD1BF63" w14:textId="77777777" w:rsidR="00200261" w:rsidRDefault="00200261" w:rsidP="006D69E1">
      <w:pPr>
        <w:pStyle w:val="NormalWeb"/>
        <w:rPr>
          <w:rFonts w:asciiTheme="majorHAnsi" w:eastAsiaTheme="minorHAnsi" w:hAnsiTheme="majorHAnsi" w:cstheme="minorBidi"/>
          <w:i/>
          <w:szCs w:val="22"/>
        </w:rPr>
      </w:pPr>
      <w:r w:rsidRPr="00D9519A">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14:paraId="2BA7F2A9" w14:textId="77777777" w:rsidR="00200261" w:rsidRDefault="00200261" w:rsidP="006D69E1">
      <w:pPr>
        <w:pStyle w:val="NormalWeb"/>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651511FD" w14:textId="77777777" w:rsidR="00200261" w:rsidRDefault="00200261" w:rsidP="006D69E1">
      <w:pPr>
        <w:pStyle w:val="NormalWeb"/>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745FF385" w14:textId="5DC7D8A4" w:rsidR="00200261" w:rsidRDefault="00200261" w:rsidP="006D69E1">
      <w:pPr>
        <w:pStyle w:val="NormalWeb"/>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864AAE">
        <w:rPr>
          <w:rFonts w:asciiTheme="majorHAnsi" w:eastAsiaTheme="minorHAnsi" w:hAnsiTheme="majorHAnsi" w:cstheme="minorBidi"/>
          <w:szCs w:val="22"/>
        </w:rPr>
        <w:t>Friday, August 17, 2018</w:t>
      </w:r>
      <w:r>
        <w:rPr>
          <w:rFonts w:asciiTheme="majorHAnsi" w:eastAsiaTheme="minorHAnsi" w:hAnsiTheme="majorHAnsi" w:cstheme="minorBidi"/>
          <w:szCs w:val="22"/>
        </w:rPr>
        <w:t xml:space="preserve">.  The 60-Day FRN citation is </w:t>
      </w:r>
      <w:r w:rsidR="00864AAE" w:rsidRPr="00864AAE">
        <w:rPr>
          <w:rFonts w:asciiTheme="majorHAnsi" w:eastAsiaTheme="minorHAnsi" w:hAnsiTheme="majorHAnsi" w:cstheme="minorBidi"/>
          <w:szCs w:val="22"/>
        </w:rPr>
        <w:t xml:space="preserve">83 </w:t>
      </w:r>
      <w:r w:rsidR="00F60FC1">
        <w:rPr>
          <w:rFonts w:asciiTheme="majorHAnsi" w:eastAsiaTheme="minorHAnsi" w:hAnsiTheme="majorHAnsi" w:cstheme="minorBidi"/>
          <w:szCs w:val="22"/>
        </w:rPr>
        <w:t>FR</w:t>
      </w:r>
      <w:r w:rsidRPr="00864AAE">
        <w:rPr>
          <w:rFonts w:asciiTheme="majorHAnsi" w:eastAsiaTheme="minorHAnsi" w:hAnsiTheme="majorHAnsi" w:cstheme="minorBidi"/>
          <w:szCs w:val="22"/>
        </w:rPr>
        <w:t xml:space="preserve"> </w:t>
      </w:r>
      <w:r w:rsidR="00864AAE" w:rsidRPr="00864AAE">
        <w:rPr>
          <w:rFonts w:asciiTheme="majorHAnsi" w:eastAsiaTheme="minorHAnsi" w:hAnsiTheme="majorHAnsi" w:cstheme="minorBidi"/>
          <w:szCs w:val="22"/>
        </w:rPr>
        <w:t>41070</w:t>
      </w:r>
      <w:r w:rsidR="00864AAE">
        <w:rPr>
          <w:rFonts w:asciiTheme="majorHAnsi" w:eastAsiaTheme="minorHAnsi" w:hAnsiTheme="majorHAnsi" w:cstheme="minorBidi"/>
          <w:szCs w:val="22"/>
        </w:rPr>
        <w:t>.</w:t>
      </w:r>
    </w:p>
    <w:p w14:paraId="200E22A4" w14:textId="5C6BF2B6" w:rsidR="00200261" w:rsidRDefault="00200261" w:rsidP="006D69E1">
      <w:pPr>
        <w:pStyle w:val="NormalWeb"/>
        <w:rPr>
          <w:rFonts w:asciiTheme="majorHAnsi" w:eastAsiaTheme="minorHAnsi" w:hAnsiTheme="majorHAnsi" w:cstheme="minorBidi"/>
          <w:szCs w:val="22"/>
        </w:rPr>
      </w:pPr>
      <w:r w:rsidRPr="00EB0EED">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14:paraId="786D66B8" w14:textId="4A763B57" w:rsidR="00502FF3" w:rsidRDefault="00502FF3" w:rsidP="006D69E1">
      <w:pPr>
        <w:pStyle w:val="NormalWeb"/>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EB0EED">
        <w:rPr>
          <w:rFonts w:asciiTheme="majorHAnsi" w:eastAsiaTheme="minorHAnsi" w:hAnsiTheme="majorHAnsi" w:cstheme="minorBidi"/>
          <w:szCs w:val="22"/>
        </w:rPr>
        <w:t xml:space="preserve">Tuesday, October 30, 2018. </w:t>
      </w:r>
      <w:r>
        <w:rPr>
          <w:rFonts w:asciiTheme="majorHAnsi" w:eastAsiaTheme="minorHAnsi" w:hAnsiTheme="majorHAnsi" w:cstheme="minorBidi"/>
          <w:szCs w:val="22"/>
        </w:rPr>
        <w:t xml:space="preserve">The 30-Day FRN citation </w:t>
      </w:r>
      <w:r w:rsidRPr="00EB0EED">
        <w:rPr>
          <w:rFonts w:asciiTheme="majorHAnsi" w:eastAsiaTheme="minorHAnsi" w:hAnsiTheme="majorHAnsi" w:cstheme="minorBidi"/>
          <w:szCs w:val="22"/>
        </w:rPr>
        <w:t xml:space="preserve">is </w:t>
      </w:r>
      <w:r w:rsidR="00EB0EED" w:rsidRPr="00EB0EED">
        <w:rPr>
          <w:rFonts w:asciiTheme="majorHAnsi" w:eastAsiaTheme="minorHAnsi" w:hAnsiTheme="majorHAnsi" w:cstheme="minorBidi"/>
          <w:szCs w:val="22"/>
        </w:rPr>
        <w:t xml:space="preserve">83 </w:t>
      </w:r>
      <w:r w:rsidRPr="00EB0EED">
        <w:rPr>
          <w:rFonts w:asciiTheme="majorHAnsi" w:eastAsiaTheme="minorHAnsi" w:hAnsiTheme="majorHAnsi" w:cstheme="minorBidi"/>
          <w:szCs w:val="22"/>
        </w:rPr>
        <w:t>FRN</w:t>
      </w:r>
      <w:r>
        <w:rPr>
          <w:rFonts w:asciiTheme="majorHAnsi" w:eastAsiaTheme="minorHAnsi" w:hAnsiTheme="majorHAnsi" w:cstheme="minorBidi"/>
          <w:szCs w:val="22"/>
        </w:rPr>
        <w:t xml:space="preserve"> </w:t>
      </w:r>
      <w:r w:rsidR="00EB0EED">
        <w:rPr>
          <w:rFonts w:asciiTheme="majorHAnsi" w:eastAsiaTheme="minorHAnsi" w:hAnsiTheme="majorHAnsi" w:cstheme="minorBidi"/>
          <w:szCs w:val="22"/>
        </w:rPr>
        <w:t>54332.</w:t>
      </w:r>
    </w:p>
    <w:p w14:paraId="180AA5FE" w14:textId="77777777" w:rsidR="00200261" w:rsidRDefault="00200261" w:rsidP="006D69E1">
      <w:pPr>
        <w:pStyle w:val="NormalWeb"/>
        <w:rPr>
          <w:rFonts w:asciiTheme="majorHAnsi" w:eastAsiaTheme="minorHAnsi" w:hAnsiTheme="majorHAnsi" w:cstheme="minorBidi"/>
          <w:szCs w:val="22"/>
        </w:rPr>
      </w:pPr>
      <w:r>
        <w:rPr>
          <w:rFonts w:asciiTheme="majorHAnsi" w:eastAsiaTheme="minorHAnsi" w:hAnsiTheme="majorHAnsi" w:cstheme="minorBidi"/>
          <w:szCs w:val="22"/>
        </w:rPr>
        <w:t>Part B: CONSULTATION</w:t>
      </w:r>
    </w:p>
    <w:p w14:paraId="6B8ED291" w14:textId="77777777" w:rsidR="00571698" w:rsidRDefault="00571698" w:rsidP="006D69E1">
      <w:pPr>
        <w:pStyle w:val="NormalWeb"/>
        <w:rPr>
          <w:rFonts w:asciiTheme="majorHAnsi" w:hAnsiTheme="majorHAnsi"/>
          <w:i/>
        </w:rPr>
      </w:pPr>
      <w:r w:rsidRPr="00D9519A">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14:paraId="613107F3" w14:textId="77777777" w:rsidR="00571698" w:rsidRDefault="006A13FA" w:rsidP="006D69E1">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14:paraId="310AD81C" w14:textId="77777777" w:rsidR="00D9519A" w:rsidRDefault="00D9519A" w:rsidP="006D69E1">
      <w:pPr>
        <w:spacing w:after="0" w:line="240" w:lineRule="auto"/>
        <w:rPr>
          <w:rFonts w:asciiTheme="majorHAnsi" w:hAnsiTheme="majorHAnsi"/>
          <w:i/>
          <w:sz w:val="24"/>
        </w:rPr>
      </w:pPr>
    </w:p>
    <w:p w14:paraId="0811740E" w14:textId="77777777" w:rsidR="006A13FA" w:rsidRDefault="006A13FA" w:rsidP="006D69E1">
      <w:pPr>
        <w:spacing w:after="0" w:line="240" w:lineRule="auto"/>
        <w:rPr>
          <w:rFonts w:asciiTheme="majorHAnsi" w:hAnsiTheme="majorHAnsi"/>
          <w:i/>
          <w:sz w:val="24"/>
        </w:rPr>
      </w:pPr>
      <w:r w:rsidRPr="00D9519A">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14:paraId="209DF44F" w14:textId="77777777" w:rsidR="006A13FA" w:rsidRDefault="006A13FA" w:rsidP="006D69E1">
      <w:pPr>
        <w:spacing w:after="0" w:line="240" w:lineRule="auto"/>
        <w:rPr>
          <w:rFonts w:asciiTheme="majorHAnsi" w:hAnsiTheme="majorHAnsi"/>
          <w:i/>
          <w:sz w:val="24"/>
        </w:rPr>
      </w:pPr>
    </w:p>
    <w:p w14:paraId="66B24F84" w14:textId="77777777" w:rsidR="00F97482" w:rsidRDefault="00F97482" w:rsidP="006D69E1">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14:paraId="61A16C78" w14:textId="77777777" w:rsidR="00D9519A" w:rsidRDefault="00D9519A" w:rsidP="006D69E1">
      <w:pPr>
        <w:spacing w:after="0" w:line="240" w:lineRule="auto"/>
        <w:rPr>
          <w:rFonts w:asciiTheme="majorHAnsi" w:hAnsiTheme="majorHAnsi"/>
          <w:i/>
          <w:sz w:val="24"/>
        </w:rPr>
      </w:pPr>
    </w:p>
    <w:p w14:paraId="08CB188E" w14:textId="77777777" w:rsidR="00E95FFB" w:rsidRPr="00D9519A" w:rsidRDefault="00E95FFB" w:rsidP="006D69E1">
      <w:pPr>
        <w:spacing w:after="0" w:line="240" w:lineRule="auto"/>
        <w:rPr>
          <w:rFonts w:asciiTheme="majorHAnsi" w:hAnsiTheme="majorHAnsi"/>
          <w:sz w:val="24"/>
        </w:rPr>
      </w:pPr>
      <w:r w:rsidRPr="00D9519A">
        <w:rPr>
          <w:rFonts w:asciiTheme="majorHAnsi" w:hAnsiTheme="majorHAnsi"/>
          <w:sz w:val="24"/>
        </w:rPr>
        <w:t>A Privacy Act Statement is not required</w:t>
      </w:r>
      <w:r w:rsidR="00996894" w:rsidRPr="00D9519A">
        <w:rPr>
          <w:rFonts w:asciiTheme="majorHAnsi" w:hAnsiTheme="majorHAnsi"/>
          <w:sz w:val="24"/>
        </w:rPr>
        <w:t xml:space="preserve"> for this collection</w:t>
      </w:r>
      <w:r w:rsidRPr="00D9519A">
        <w:rPr>
          <w:rFonts w:asciiTheme="majorHAnsi" w:hAnsiTheme="majorHAnsi"/>
          <w:sz w:val="24"/>
        </w:rPr>
        <w:t xml:space="preserve"> because we are not requesting individuals to furnish personal information for a system of records. </w:t>
      </w:r>
    </w:p>
    <w:p w14:paraId="7279B4B5" w14:textId="77777777" w:rsidR="00E95FFB" w:rsidRPr="00D9519A" w:rsidRDefault="00E95FFB" w:rsidP="006D69E1">
      <w:pPr>
        <w:spacing w:after="0" w:line="240" w:lineRule="auto"/>
        <w:rPr>
          <w:rFonts w:asciiTheme="majorHAnsi" w:hAnsiTheme="majorHAnsi"/>
          <w:sz w:val="24"/>
        </w:rPr>
      </w:pPr>
    </w:p>
    <w:p w14:paraId="42167BA4" w14:textId="77777777" w:rsidR="00490797" w:rsidRPr="00D9519A" w:rsidRDefault="00490797" w:rsidP="006D69E1">
      <w:pPr>
        <w:spacing w:after="0" w:line="240" w:lineRule="auto"/>
        <w:rPr>
          <w:rFonts w:asciiTheme="majorHAnsi" w:hAnsiTheme="majorHAnsi"/>
          <w:sz w:val="24"/>
        </w:rPr>
      </w:pPr>
      <w:r w:rsidRPr="00D9519A">
        <w:rPr>
          <w:rFonts w:asciiTheme="majorHAnsi" w:hAnsiTheme="majorHAnsi"/>
          <w:sz w:val="24"/>
        </w:rPr>
        <w:t xml:space="preserve">A </w:t>
      </w:r>
      <w:r w:rsidR="00996894" w:rsidRPr="00D9519A">
        <w:rPr>
          <w:rFonts w:asciiTheme="majorHAnsi" w:hAnsiTheme="majorHAnsi"/>
          <w:sz w:val="24"/>
        </w:rPr>
        <w:t>System of Record Notice (</w:t>
      </w:r>
      <w:r w:rsidRPr="00D9519A">
        <w:rPr>
          <w:rFonts w:asciiTheme="majorHAnsi" w:hAnsiTheme="majorHAnsi"/>
          <w:sz w:val="24"/>
        </w:rPr>
        <w:t>SORN</w:t>
      </w:r>
      <w:r w:rsidR="00996894" w:rsidRPr="00D9519A">
        <w:rPr>
          <w:rFonts w:asciiTheme="majorHAnsi" w:hAnsiTheme="majorHAnsi"/>
          <w:sz w:val="24"/>
        </w:rPr>
        <w:t>)</w:t>
      </w:r>
      <w:r w:rsidRPr="00D9519A">
        <w:rPr>
          <w:rFonts w:asciiTheme="majorHAnsi" w:hAnsiTheme="majorHAnsi"/>
          <w:sz w:val="24"/>
        </w:rPr>
        <w:t xml:space="preserve"> is not required </w:t>
      </w:r>
      <w:r w:rsidR="00996894" w:rsidRPr="00D9519A">
        <w:rPr>
          <w:rFonts w:asciiTheme="majorHAnsi" w:hAnsiTheme="majorHAnsi"/>
          <w:sz w:val="24"/>
        </w:rPr>
        <w:t xml:space="preserve">for this collection </w:t>
      </w:r>
      <w:r w:rsidRPr="00D9519A">
        <w:rPr>
          <w:rFonts w:asciiTheme="majorHAnsi" w:hAnsiTheme="majorHAnsi"/>
          <w:sz w:val="24"/>
        </w:rPr>
        <w:t xml:space="preserve">because records are not retrievable by PII. </w:t>
      </w:r>
    </w:p>
    <w:p w14:paraId="73920E07" w14:textId="77777777" w:rsidR="005D5C81" w:rsidRPr="00D9519A" w:rsidRDefault="005D5C81" w:rsidP="006D69E1">
      <w:pPr>
        <w:spacing w:after="0" w:line="240" w:lineRule="auto"/>
        <w:rPr>
          <w:rFonts w:asciiTheme="majorHAnsi" w:hAnsiTheme="majorHAnsi"/>
          <w:sz w:val="24"/>
        </w:rPr>
      </w:pPr>
    </w:p>
    <w:p w14:paraId="45311F60" w14:textId="5BB38FF7" w:rsidR="00996894" w:rsidRDefault="00996894" w:rsidP="006D69E1">
      <w:pPr>
        <w:spacing w:after="0" w:line="240" w:lineRule="auto"/>
        <w:rPr>
          <w:rFonts w:asciiTheme="majorHAnsi" w:hAnsiTheme="majorHAnsi"/>
          <w:sz w:val="24"/>
        </w:rPr>
      </w:pPr>
      <w:r w:rsidRPr="00D9519A">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14:paraId="12A6DE49" w14:textId="26AA4B0C" w:rsidR="00B45A82" w:rsidRDefault="00B45A82" w:rsidP="006D69E1">
      <w:pPr>
        <w:spacing w:after="0" w:line="240" w:lineRule="auto"/>
        <w:rPr>
          <w:rFonts w:asciiTheme="majorHAnsi" w:hAnsiTheme="majorHAnsi"/>
          <w:sz w:val="24"/>
        </w:rPr>
      </w:pPr>
    </w:p>
    <w:p w14:paraId="1082CD00" w14:textId="77A0A55F" w:rsidR="00B45A82" w:rsidRPr="00B45A82" w:rsidRDefault="00B45A82" w:rsidP="00B45A82">
      <w:pPr>
        <w:autoSpaceDE w:val="0"/>
        <w:autoSpaceDN w:val="0"/>
        <w:spacing w:before="40" w:after="40" w:line="240" w:lineRule="auto"/>
        <w:rPr>
          <w:rFonts w:asciiTheme="majorHAnsi" w:eastAsia="Times New Roman" w:hAnsiTheme="majorHAnsi" w:cstheme="minorHAnsi"/>
          <w:sz w:val="24"/>
          <w:szCs w:val="24"/>
        </w:rPr>
      </w:pPr>
      <w:r w:rsidRPr="00B45A82">
        <w:rPr>
          <w:rFonts w:asciiTheme="majorHAnsi" w:eastAsia="Times New Roman" w:hAnsiTheme="majorHAnsi" w:cstheme="minorHAnsi"/>
          <w:sz w:val="24"/>
          <w:szCs w:val="24"/>
        </w:rPr>
        <w:t>No data will be collected or records retained as part of this requirement from the respondent or by the respondent from the general public that is not already obtained as part of the credit transaction.</w:t>
      </w:r>
    </w:p>
    <w:p w14:paraId="6E0DCB7F" w14:textId="77777777" w:rsidR="00B45A82" w:rsidRDefault="00B45A82" w:rsidP="006D69E1">
      <w:pPr>
        <w:spacing w:after="0" w:line="240" w:lineRule="auto"/>
        <w:rPr>
          <w:rFonts w:asciiTheme="majorHAnsi" w:hAnsiTheme="majorHAnsi"/>
          <w:sz w:val="24"/>
        </w:rPr>
      </w:pPr>
    </w:p>
    <w:p w14:paraId="088D7108" w14:textId="77777777" w:rsidR="00996894" w:rsidRDefault="00996894" w:rsidP="006D69E1">
      <w:pPr>
        <w:spacing w:after="0" w:line="240" w:lineRule="auto"/>
        <w:rPr>
          <w:rFonts w:asciiTheme="majorHAnsi" w:hAnsiTheme="majorHAnsi"/>
          <w:i/>
          <w:sz w:val="24"/>
        </w:rPr>
      </w:pPr>
    </w:p>
    <w:p w14:paraId="3535FA80" w14:textId="77777777" w:rsidR="00996894" w:rsidRDefault="00337EF1" w:rsidP="006D69E1">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72D7DBFC" w14:textId="77777777" w:rsidR="00D9519A" w:rsidRDefault="00D9519A" w:rsidP="006D69E1">
      <w:pPr>
        <w:spacing w:after="0" w:line="240" w:lineRule="auto"/>
        <w:rPr>
          <w:rFonts w:asciiTheme="majorHAnsi" w:hAnsiTheme="majorHAnsi"/>
          <w:i/>
          <w:sz w:val="24"/>
        </w:rPr>
      </w:pPr>
    </w:p>
    <w:p w14:paraId="5E1F4A6E" w14:textId="77777777" w:rsidR="009A6246" w:rsidRDefault="009A6246" w:rsidP="006D69E1">
      <w:pPr>
        <w:spacing w:after="0" w:line="240" w:lineRule="auto"/>
        <w:rPr>
          <w:rFonts w:asciiTheme="majorHAnsi" w:hAnsiTheme="majorHAnsi"/>
          <w:sz w:val="24"/>
        </w:rPr>
      </w:pPr>
      <w:r w:rsidRPr="006D69E1">
        <w:rPr>
          <w:rFonts w:asciiTheme="majorHAnsi" w:hAnsiTheme="majorHAnsi"/>
          <w:sz w:val="24"/>
        </w:rPr>
        <w:t>No questions considered sensitive are being asked in this collection.</w:t>
      </w:r>
      <w:r>
        <w:rPr>
          <w:rFonts w:asciiTheme="majorHAnsi" w:hAnsiTheme="majorHAnsi"/>
          <w:sz w:val="24"/>
        </w:rPr>
        <w:t xml:space="preserve"> </w:t>
      </w:r>
    </w:p>
    <w:p w14:paraId="71774FC6" w14:textId="77777777" w:rsidR="00D21AA6" w:rsidRDefault="00D21AA6" w:rsidP="006D69E1">
      <w:pPr>
        <w:spacing w:after="0" w:line="240" w:lineRule="auto"/>
        <w:rPr>
          <w:rFonts w:asciiTheme="majorHAnsi" w:hAnsiTheme="majorHAnsi"/>
          <w:sz w:val="24"/>
        </w:rPr>
      </w:pPr>
    </w:p>
    <w:p w14:paraId="093C5BC4" w14:textId="77777777" w:rsidR="00D21AA6" w:rsidRDefault="00D21AA6" w:rsidP="006D69E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6B9912FE" w14:textId="77777777" w:rsidR="00B55E9F" w:rsidRDefault="00235D71" w:rsidP="006D69E1">
      <w:pPr>
        <w:pStyle w:val="NormalWeb"/>
        <w:spacing w:after="0" w:afterAutospacing="0"/>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14:paraId="6A7A7B3A" w14:textId="77777777" w:rsidR="00B55E9F" w:rsidRPr="00235D71" w:rsidRDefault="00B55E9F" w:rsidP="006D69E1">
      <w:pPr>
        <w:spacing w:after="0" w:line="240" w:lineRule="auto"/>
        <w:rPr>
          <w:rFonts w:asciiTheme="majorHAnsi" w:hAnsiTheme="majorHAnsi"/>
          <w:i/>
          <w:sz w:val="24"/>
        </w:rPr>
      </w:pPr>
    </w:p>
    <w:p w14:paraId="77D66211" w14:textId="77777777" w:rsidR="00235D71" w:rsidRDefault="00235D71" w:rsidP="006D69E1">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14:paraId="767D2BFF" w14:textId="77777777" w:rsidR="00235D71" w:rsidRDefault="00A76F7E" w:rsidP="006D69E1">
      <w:pPr>
        <w:pStyle w:val="ListParagraph"/>
        <w:spacing w:after="0" w:line="240" w:lineRule="auto"/>
        <w:rPr>
          <w:rFonts w:asciiTheme="majorHAnsi" w:hAnsiTheme="majorHAnsi"/>
          <w:sz w:val="24"/>
        </w:rPr>
      </w:pPr>
      <w:r w:rsidRPr="00235D71">
        <w:rPr>
          <w:rFonts w:asciiTheme="majorHAnsi" w:hAnsiTheme="majorHAnsi"/>
          <w:sz w:val="24"/>
        </w:rPr>
        <w:t>[</w:t>
      </w:r>
      <w:r w:rsidR="006D69E1">
        <w:rPr>
          <w:rFonts w:asciiTheme="majorHAnsi" w:hAnsiTheme="majorHAnsi"/>
          <w:sz w:val="24"/>
        </w:rPr>
        <w:t>Mandatory Disclosures</w:t>
      </w:r>
      <w:r w:rsidRPr="00235D71">
        <w:rPr>
          <w:rFonts w:asciiTheme="majorHAnsi" w:hAnsiTheme="majorHAnsi"/>
          <w:sz w:val="24"/>
        </w:rPr>
        <w:t xml:space="preserve">] </w:t>
      </w:r>
    </w:p>
    <w:p w14:paraId="3B0DBF5C" w14:textId="77777777" w:rsidR="00235D71" w:rsidRDefault="00D9519A" w:rsidP="006D69E1">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Respondents: 37,500</w:t>
      </w:r>
    </w:p>
    <w:p w14:paraId="197311A7" w14:textId="77777777" w:rsidR="00235D71" w:rsidRDefault="00A76F7E" w:rsidP="006D69E1">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D9519A">
        <w:rPr>
          <w:rFonts w:asciiTheme="majorHAnsi" w:hAnsiTheme="majorHAnsi"/>
          <w:sz w:val="24"/>
        </w:rPr>
        <w:t xml:space="preserve"> Respondent: Varies by type of respondent</w:t>
      </w:r>
    </w:p>
    <w:p w14:paraId="6E78F65A" w14:textId="77777777" w:rsidR="00235D71" w:rsidRDefault="00A76F7E" w:rsidP="006D69E1">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D9519A">
        <w:rPr>
          <w:rFonts w:asciiTheme="majorHAnsi" w:hAnsiTheme="majorHAnsi"/>
          <w:sz w:val="24"/>
        </w:rPr>
        <w:t>ber of Total Annual Responses: 238,000,000</w:t>
      </w:r>
    </w:p>
    <w:p w14:paraId="318FCDDC" w14:textId="77777777" w:rsidR="00502FF3" w:rsidRDefault="00D9519A" w:rsidP="006D69E1">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6D69E1" w:rsidRPr="006D69E1">
        <w:rPr>
          <w:rFonts w:asciiTheme="majorHAnsi" w:hAnsiTheme="majorHAnsi"/>
          <w:sz w:val="24"/>
        </w:rPr>
        <w:t>30 seconds</w:t>
      </w:r>
    </w:p>
    <w:p w14:paraId="74D951CD" w14:textId="77777777" w:rsidR="00A76F7E" w:rsidRDefault="00D9519A" w:rsidP="006D69E1">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Pr>
          <w:rFonts w:asciiTheme="majorHAnsi" w:hAnsiTheme="majorHAnsi"/>
          <w:sz w:val="24"/>
        </w:rPr>
        <w:t xml:space="preserve">2,000,000 </w:t>
      </w:r>
      <w:r w:rsidR="00A77157">
        <w:rPr>
          <w:rFonts w:asciiTheme="majorHAnsi" w:hAnsiTheme="majorHAnsi"/>
          <w:sz w:val="24"/>
        </w:rPr>
        <w:t xml:space="preserve">hours </w:t>
      </w:r>
    </w:p>
    <w:p w14:paraId="5024205B" w14:textId="77777777" w:rsidR="00B55E9F" w:rsidRDefault="00B55E9F" w:rsidP="006D69E1">
      <w:pPr>
        <w:pStyle w:val="ListParagraph"/>
        <w:spacing w:after="0" w:line="240" w:lineRule="auto"/>
        <w:ind w:left="1440"/>
        <w:rPr>
          <w:rFonts w:asciiTheme="majorHAnsi" w:hAnsiTheme="majorHAnsi"/>
          <w:sz w:val="24"/>
        </w:rPr>
      </w:pPr>
    </w:p>
    <w:p w14:paraId="14FA18B4" w14:textId="77777777" w:rsidR="00235D71" w:rsidRDefault="00235D71" w:rsidP="006D69E1">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14:paraId="59927C78" w14:textId="77777777" w:rsidR="00235D71" w:rsidRDefault="006D69E1" w:rsidP="006D69E1">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00235D71" w:rsidRPr="00254DCF">
        <w:rPr>
          <w:rFonts w:asciiTheme="majorHAnsi" w:hAnsiTheme="majorHAnsi"/>
          <w:sz w:val="24"/>
        </w:rPr>
        <w:t xml:space="preserve">: </w:t>
      </w:r>
      <w:r>
        <w:rPr>
          <w:rFonts w:asciiTheme="majorHAnsi" w:hAnsiTheme="majorHAnsi"/>
          <w:sz w:val="24"/>
        </w:rPr>
        <w:t>37,500</w:t>
      </w:r>
    </w:p>
    <w:p w14:paraId="63BDE195" w14:textId="77777777" w:rsidR="00235D71" w:rsidRPr="006D69E1" w:rsidRDefault="00235D71" w:rsidP="006D69E1">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w:t>
      </w:r>
      <w:r w:rsidRPr="006D69E1">
        <w:rPr>
          <w:rFonts w:asciiTheme="majorHAnsi" w:hAnsiTheme="majorHAnsi"/>
          <w:sz w:val="24"/>
        </w:rPr>
        <w:t xml:space="preserve">Responses: </w:t>
      </w:r>
      <w:r w:rsidR="006D69E1" w:rsidRPr="006D69E1">
        <w:rPr>
          <w:rFonts w:asciiTheme="majorHAnsi" w:hAnsiTheme="majorHAnsi"/>
          <w:sz w:val="24"/>
        </w:rPr>
        <w:t>238,000,000</w:t>
      </w:r>
    </w:p>
    <w:p w14:paraId="0683F0BE" w14:textId="77777777" w:rsidR="00A77157" w:rsidRPr="006D69E1" w:rsidRDefault="00235D71" w:rsidP="006D69E1">
      <w:pPr>
        <w:pStyle w:val="ListParagraph"/>
        <w:numPr>
          <w:ilvl w:val="1"/>
          <w:numId w:val="14"/>
        </w:numPr>
        <w:spacing w:after="0" w:line="240" w:lineRule="auto"/>
        <w:rPr>
          <w:rFonts w:asciiTheme="majorHAnsi" w:hAnsiTheme="majorHAnsi"/>
          <w:sz w:val="24"/>
        </w:rPr>
      </w:pPr>
      <w:r w:rsidRPr="006D69E1">
        <w:rPr>
          <w:rFonts w:asciiTheme="majorHAnsi" w:hAnsiTheme="majorHAnsi"/>
          <w:sz w:val="24"/>
        </w:rPr>
        <w:t xml:space="preserve">Total Respondent Burden Hours: </w:t>
      </w:r>
      <w:r w:rsidR="006D69E1" w:rsidRPr="006D69E1">
        <w:rPr>
          <w:rFonts w:asciiTheme="majorHAnsi" w:hAnsiTheme="majorHAnsi"/>
          <w:sz w:val="24"/>
        </w:rPr>
        <w:t>2,000,000</w:t>
      </w:r>
      <w:r w:rsidRPr="006D69E1">
        <w:rPr>
          <w:rFonts w:asciiTheme="majorHAnsi" w:hAnsiTheme="majorHAnsi"/>
          <w:sz w:val="24"/>
        </w:rPr>
        <w:t xml:space="preserve"> hours</w:t>
      </w:r>
    </w:p>
    <w:p w14:paraId="0EB753D0" w14:textId="77777777" w:rsidR="00520B36" w:rsidRDefault="00520B36" w:rsidP="006D69E1">
      <w:pPr>
        <w:spacing w:after="0" w:line="240" w:lineRule="auto"/>
        <w:rPr>
          <w:rFonts w:asciiTheme="majorHAnsi" w:hAnsiTheme="majorHAnsi"/>
          <w:sz w:val="24"/>
        </w:rPr>
      </w:pPr>
    </w:p>
    <w:p w14:paraId="2A16FB2D" w14:textId="77777777" w:rsidR="00105F45" w:rsidRDefault="00235D71" w:rsidP="006D69E1">
      <w:pPr>
        <w:spacing w:after="0" w:line="240" w:lineRule="auto"/>
        <w:rPr>
          <w:rFonts w:asciiTheme="majorHAnsi" w:hAnsiTheme="majorHAnsi"/>
          <w:sz w:val="24"/>
        </w:rPr>
      </w:pPr>
      <w:r>
        <w:rPr>
          <w:rFonts w:asciiTheme="majorHAnsi" w:hAnsiTheme="majorHAnsi"/>
          <w:sz w:val="24"/>
        </w:rPr>
        <w:t>Part B: LABOR COST OF RESPONDENT BURDEN</w:t>
      </w:r>
    </w:p>
    <w:p w14:paraId="4EAEB20E" w14:textId="77777777" w:rsidR="00235D71" w:rsidRDefault="00235D71" w:rsidP="006D69E1">
      <w:pPr>
        <w:pStyle w:val="ListParagraph"/>
        <w:spacing w:after="0" w:line="240" w:lineRule="auto"/>
        <w:rPr>
          <w:rFonts w:asciiTheme="majorHAnsi" w:hAnsiTheme="majorHAnsi"/>
          <w:sz w:val="24"/>
        </w:rPr>
      </w:pPr>
    </w:p>
    <w:p w14:paraId="1EF1B295" w14:textId="77777777" w:rsidR="00235D71" w:rsidRDefault="00235D71" w:rsidP="006D69E1">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14:paraId="395CBC65" w14:textId="77777777" w:rsidR="00235D71" w:rsidRDefault="00235D71" w:rsidP="006D69E1">
      <w:pPr>
        <w:pStyle w:val="ListParagraph"/>
        <w:spacing w:after="0" w:line="240" w:lineRule="auto"/>
        <w:rPr>
          <w:rFonts w:asciiTheme="majorHAnsi" w:hAnsiTheme="majorHAnsi"/>
          <w:sz w:val="24"/>
        </w:rPr>
      </w:pPr>
      <w:r w:rsidRPr="00235D71">
        <w:rPr>
          <w:rFonts w:asciiTheme="majorHAnsi" w:hAnsiTheme="majorHAnsi"/>
          <w:sz w:val="24"/>
        </w:rPr>
        <w:t>[</w:t>
      </w:r>
      <w:r w:rsidR="006D69E1">
        <w:rPr>
          <w:rFonts w:asciiTheme="majorHAnsi" w:hAnsiTheme="majorHAnsi"/>
          <w:sz w:val="24"/>
        </w:rPr>
        <w:t>Mandatory Disclosures</w:t>
      </w:r>
      <w:r w:rsidRPr="00235D71">
        <w:rPr>
          <w:rFonts w:asciiTheme="majorHAnsi" w:hAnsiTheme="majorHAnsi"/>
          <w:sz w:val="24"/>
        </w:rPr>
        <w:t xml:space="preserve">] </w:t>
      </w:r>
    </w:p>
    <w:p w14:paraId="35B4465C" w14:textId="77777777" w:rsidR="00235D71" w:rsidRDefault="00235D71" w:rsidP="006D69E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6D69E1">
        <w:rPr>
          <w:rFonts w:asciiTheme="majorHAnsi" w:hAnsiTheme="majorHAnsi"/>
          <w:sz w:val="24"/>
        </w:rPr>
        <w:t>238,000,000</w:t>
      </w:r>
    </w:p>
    <w:p w14:paraId="5FFBFED4" w14:textId="77777777" w:rsidR="00235D71" w:rsidRDefault="006D69E1" w:rsidP="006D69E1">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w:t>
      </w:r>
      <w:r w:rsidR="00235D71">
        <w:rPr>
          <w:rFonts w:asciiTheme="majorHAnsi" w:hAnsiTheme="majorHAnsi"/>
          <w:sz w:val="24"/>
        </w:rPr>
        <w:t xml:space="preserve">: </w:t>
      </w:r>
      <w:r>
        <w:rPr>
          <w:rFonts w:asciiTheme="majorHAnsi" w:hAnsiTheme="majorHAnsi"/>
          <w:sz w:val="24"/>
        </w:rPr>
        <w:t>30 seconds</w:t>
      </w:r>
    </w:p>
    <w:p w14:paraId="616BE8D3" w14:textId="77777777" w:rsidR="00235D71" w:rsidRDefault="00235D71" w:rsidP="006D69E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006D69E1">
        <w:rPr>
          <w:rFonts w:asciiTheme="majorHAnsi" w:hAnsiTheme="majorHAnsi"/>
          <w:sz w:val="24"/>
        </w:rPr>
        <w:t>Varies by respondent.</w:t>
      </w:r>
    </w:p>
    <w:p w14:paraId="03CFD061" w14:textId="77777777" w:rsidR="00235D71" w:rsidRDefault="006D69E1" w:rsidP="006D69E1">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00235D71">
        <w:rPr>
          <w:rFonts w:asciiTheme="majorHAnsi" w:hAnsiTheme="majorHAnsi"/>
          <w:sz w:val="24"/>
        </w:rPr>
        <w:t xml:space="preserve"> </w:t>
      </w:r>
      <w:r w:rsidRPr="006D69E1">
        <w:rPr>
          <w:rFonts w:asciiTheme="majorHAnsi" w:hAnsiTheme="majorHAnsi"/>
          <w:sz w:val="24"/>
        </w:rPr>
        <w:t>$</w:t>
      </w:r>
      <w:r>
        <w:rPr>
          <w:rFonts w:asciiTheme="majorHAnsi" w:hAnsiTheme="majorHAnsi"/>
          <w:sz w:val="24"/>
        </w:rPr>
        <w:t>0</w:t>
      </w:r>
      <w:r w:rsidRPr="006D69E1">
        <w:rPr>
          <w:rFonts w:asciiTheme="majorHAnsi" w:hAnsiTheme="majorHAnsi"/>
          <w:sz w:val="24"/>
        </w:rPr>
        <w:t>.</w:t>
      </w:r>
      <w:r>
        <w:rPr>
          <w:rFonts w:asciiTheme="majorHAnsi" w:hAnsiTheme="majorHAnsi"/>
          <w:sz w:val="24"/>
        </w:rPr>
        <w:t>01</w:t>
      </w:r>
    </w:p>
    <w:p w14:paraId="5679D807" w14:textId="77777777" w:rsidR="00235D71" w:rsidRDefault="006D69E1" w:rsidP="006D69E1">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sz w:val="24"/>
        </w:rPr>
        <w:t xml:space="preserve">: </w:t>
      </w:r>
      <w:r w:rsidRPr="006D69E1">
        <w:rPr>
          <w:rFonts w:asciiTheme="majorHAnsi" w:hAnsiTheme="majorHAnsi"/>
          <w:sz w:val="24"/>
        </w:rPr>
        <w:t>$</w:t>
      </w:r>
      <w:r>
        <w:rPr>
          <w:rFonts w:asciiTheme="majorHAnsi" w:hAnsiTheme="majorHAnsi"/>
          <w:sz w:val="24"/>
        </w:rPr>
        <w:t>3,000,000</w:t>
      </w:r>
    </w:p>
    <w:p w14:paraId="1B6166A0" w14:textId="77777777" w:rsidR="00B55E9F" w:rsidRDefault="00B55E9F" w:rsidP="006D69E1">
      <w:pPr>
        <w:pStyle w:val="ListParagraph"/>
        <w:spacing w:after="0" w:line="240" w:lineRule="auto"/>
        <w:ind w:left="1440"/>
        <w:rPr>
          <w:rFonts w:asciiTheme="majorHAnsi" w:hAnsiTheme="majorHAnsi"/>
          <w:sz w:val="24"/>
        </w:rPr>
      </w:pPr>
    </w:p>
    <w:p w14:paraId="02AAD90D" w14:textId="77777777" w:rsidR="00235D71" w:rsidRDefault="00235D71" w:rsidP="006D69E1">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14:paraId="6F5581CA" w14:textId="77777777" w:rsidR="00235D71" w:rsidRPr="006D69E1" w:rsidRDefault="00235D71" w:rsidP="006D69E1">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6D69E1">
        <w:rPr>
          <w:rFonts w:asciiTheme="majorHAnsi" w:hAnsiTheme="majorHAnsi"/>
          <w:sz w:val="24"/>
        </w:rPr>
        <w:t>otal Number of Annual Responses</w:t>
      </w:r>
      <w:r w:rsidRPr="00254DCF">
        <w:rPr>
          <w:rFonts w:asciiTheme="majorHAnsi" w:hAnsiTheme="majorHAnsi"/>
          <w:sz w:val="24"/>
        </w:rPr>
        <w:t xml:space="preserve">: </w:t>
      </w:r>
      <w:r w:rsidR="006D69E1" w:rsidRPr="006D69E1">
        <w:rPr>
          <w:rFonts w:asciiTheme="majorHAnsi" w:hAnsiTheme="majorHAnsi"/>
          <w:sz w:val="24"/>
        </w:rPr>
        <w:t>238,000,000</w:t>
      </w:r>
    </w:p>
    <w:p w14:paraId="3E6119D2" w14:textId="77777777" w:rsidR="00235D71" w:rsidRPr="006D69E1" w:rsidRDefault="006D69E1" w:rsidP="006D69E1">
      <w:pPr>
        <w:pStyle w:val="ListParagraph"/>
        <w:numPr>
          <w:ilvl w:val="1"/>
          <w:numId w:val="16"/>
        </w:numPr>
        <w:spacing w:after="0" w:line="240" w:lineRule="auto"/>
        <w:rPr>
          <w:rFonts w:asciiTheme="majorHAnsi" w:hAnsiTheme="majorHAnsi"/>
          <w:sz w:val="24"/>
        </w:rPr>
      </w:pPr>
      <w:r w:rsidRPr="006D69E1">
        <w:rPr>
          <w:rFonts w:asciiTheme="majorHAnsi" w:hAnsiTheme="majorHAnsi"/>
          <w:sz w:val="24"/>
        </w:rPr>
        <w:t>Total Labor Burden</w:t>
      </w:r>
      <w:r w:rsidR="00235D71" w:rsidRPr="006D69E1">
        <w:rPr>
          <w:rFonts w:asciiTheme="majorHAnsi" w:hAnsiTheme="majorHAnsi"/>
          <w:sz w:val="24"/>
        </w:rPr>
        <w:t>: $</w:t>
      </w:r>
      <w:r>
        <w:rPr>
          <w:rFonts w:asciiTheme="majorHAnsi" w:hAnsiTheme="majorHAnsi"/>
          <w:sz w:val="24"/>
        </w:rPr>
        <w:t>3</w:t>
      </w:r>
      <w:r w:rsidRPr="006D69E1">
        <w:rPr>
          <w:rFonts w:asciiTheme="majorHAnsi" w:hAnsiTheme="majorHAnsi"/>
          <w:sz w:val="24"/>
        </w:rPr>
        <w:t>,000,000</w:t>
      </w:r>
    </w:p>
    <w:p w14:paraId="2E286C60" w14:textId="77777777" w:rsidR="006F2DF8" w:rsidRDefault="006F2DF8" w:rsidP="006D69E1">
      <w:pPr>
        <w:spacing w:after="0" w:line="240" w:lineRule="auto"/>
        <w:rPr>
          <w:rFonts w:asciiTheme="majorHAnsi" w:hAnsiTheme="majorHAnsi"/>
          <w:sz w:val="24"/>
        </w:rPr>
      </w:pPr>
    </w:p>
    <w:p w14:paraId="5FD2659B" w14:textId="77777777" w:rsidR="0019309D" w:rsidRDefault="0019309D" w:rsidP="006D69E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14:paraId="2590D722" w14:textId="77777777" w:rsidR="006D69E1" w:rsidRDefault="006D69E1" w:rsidP="006D69E1">
      <w:pPr>
        <w:spacing w:after="0" w:line="240" w:lineRule="auto"/>
        <w:rPr>
          <w:rFonts w:asciiTheme="majorHAnsi" w:hAnsiTheme="majorHAnsi"/>
          <w:i/>
          <w:sz w:val="24"/>
        </w:rPr>
      </w:pPr>
    </w:p>
    <w:p w14:paraId="4099F570" w14:textId="77777777" w:rsidR="0019309D" w:rsidRDefault="0019309D" w:rsidP="006D69E1">
      <w:pPr>
        <w:spacing w:after="0" w:line="240" w:lineRule="auto"/>
        <w:rPr>
          <w:rFonts w:asciiTheme="majorHAnsi" w:hAnsiTheme="majorHAnsi"/>
          <w:sz w:val="24"/>
        </w:rPr>
      </w:pPr>
      <w:r w:rsidRPr="006D69E1">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14:paraId="6D69AB77" w14:textId="77777777" w:rsidR="0019309D" w:rsidRDefault="0019309D" w:rsidP="006D69E1">
      <w:pPr>
        <w:spacing w:after="0" w:line="240" w:lineRule="auto"/>
        <w:rPr>
          <w:rFonts w:asciiTheme="majorHAnsi" w:hAnsiTheme="majorHAnsi"/>
          <w:sz w:val="24"/>
        </w:rPr>
      </w:pPr>
    </w:p>
    <w:p w14:paraId="09E3F603" w14:textId="77777777" w:rsidR="00F25499" w:rsidRDefault="00F25499" w:rsidP="006D69E1">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09617549" w14:textId="77777777" w:rsidR="00235D71" w:rsidRDefault="00235D71" w:rsidP="006D69E1">
      <w:pPr>
        <w:spacing w:after="0" w:line="240" w:lineRule="auto"/>
        <w:rPr>
          <w:rFonts w:asciiTheme="majorHAnsi" w:hAnsiTheme="majorHAnsi"/>
          <w:sz w:val="24"/>
        </w:rPr>
      </w:pPr>
    </w:p>
    <w:p w14:paraId="7ADD1ABA" w14:textId="77777777" w:rsidR="00B55E9F" w:rsidRPr="006D69E1" w:rsidRDefault="006D69E1" w:rsidP="006D69E1">
      <w:pPr>
        <w:spacing w:after="0" w:line="240" w:lineRule="auto"/>
        <w:rPr>
          <w:rFonts w:asciiTheme="majorHAnsi" w:hAnsiTheme="majorHAnsi"/>
          <w:sz w:val="24"/>
        </w:rPr>
      </w:pPr>
      <w:r>
        <w:rPr>
          <w:rFonts w:asciiTheme="majorHAnsi" w:hAnsiTheme="majorHAnsi"/>
          <w:sz w:val="24"/>
        </w:rPr>
        <w:t>There is no cost to the Federal Government to implement the required disclosures.</w:t>
      </w:r>
    </w:p>
    <w:p w14:paraId="0F574E08" w14:textId="77777777" w:rsidR="00486235" w:rsidRDefault="00486235" w:rsidP="006D69E1">
      <w:pPr>
        <w:spacing w:after="0" w:line="240" w:lineRule="auto"/>
        <w:rPr>
          <w:rFonts w:asciiTheme="majorHAnsi" w:hAnsiTheme="majorHAnsi"/>
          <w:sz w:val="24"/>
        </w:rPr>
      </w:pPr>
    </w:p>
    <w:p w14:paraId="23593125" w14:textId="77777777" w:rsidR="00DA2B37" w:rsidRDefault="00DA2B37" w:rsidP="006D69E1">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14:paraId="2FBF20AC" w14:textId="77777777" w:rsidR="00B55E9F" w:rsidRDefault="00B55E9F" w:rsidP="006D69E1">
      <w:pPr>
        <w:spacing w:after="0" w:line="240" w:lineRule="auto"/>
        <w:ind w:firstLine="720"/>
        <w:rPr>
          <w:rFonts w:asciiTheme="majorHAnsi" w:hAnsiTheme="majorHAnsi"/>
          <w:sz w:val="24"/>
        </w:rPr>
      </w:pPr>
    </w:p>
    <w:p w14:paraId="52554438" w14:textId="77777777" w:rsidR="00DA2B37" w:rsidRDefault="00DA2B37" w:rsidP="006D69E1">
      <w:pPr>
        <w:spacing w:after="0" w:line="240" w:lineRule="auto"/>
        <w:rPr>
          <w:rFonts w:asciiTheme="majorHAnsi" w:hAnsiTheme="majorHAnsi"/>
          <w:sz w:val="24"/>
        </w:rPr>
      </w:pPr>
      <w:r w:rsidRPr="006D69E1">
        <w:rPr>
          <w:rFonts w:asciiTheme="majorHAnsi" w:hAnsiTheme="majorHAnsi"/>
          <w:sz w:val="24"/>
        </w:rPr>
        <w:t>The burden has decrea</w:t>
      </w:r>
      <w:r w:rsidR="006D69E1">
        <w:rPr>
          <w:rFonts w:asciiTheme="majorHAnsi" w:hAnsiTheme="majorHAnsi"/>
          <w:sz w:val="24"/>
        </w:rPr>
        <w:t xml:space="preserve">sed since the previous approval due to its status as a low-burden disclosure statutory requirement. There is no further need for investment of time to set up the MAPR disclosures on the part of respondents, and the burden has accordingly diminished.  </w:t>
      </w:r>
    </w:p>
    <w:p w14:paraId="2C26FB1A" w14:textId="77777777" w:rsidR="00DA2B37" w:rsidRDefault="00DA2B37" w:rsidP="006D69E1">
      <w:pPr>
        <w:spacing w:after="0" w:line="240" w:lineRule="auto"/>
        <w:rPr>
          <w:rFonts w:asciiTheme="majorHAnsi" w:hAnsiTheme="majorHAnsi"/>
          <w:sz w:val="24"/>
        </w:rPr>
      </w:pPr>
    </w:p>
    <w:p w14:paraId="6E7BD75B" w14:textId="77777777" w:rsidR="00DA2B37" w:rsidRDefault="005C3A95" w:rsidP="006D69E1">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14:paraId="20019FC4" w14:textId="77777777" w:rsidR="00BD4665" w:rsidRDefault="00BD4665" w:rsidP="006D69E1">
      <w:pPr>
        <w:spacing w:after="0" w:line="240" w:lineRule="auto"/>
        <w:rPr>
          <w:rFonts w:asciiTheme="majorHAnsi" w:hAnsiTheme="majorHAnsi"/>
          <w:i/>
          <w:sz w:val="24"/>
        </w:rPr>
      </w:pPr>
    </w:p>
    <w:p w14:paraId="795AF6A5" w14:textId="77777777" w:rsidR="00DA2B37" w:rsidRDefault="005C3A95" w:rsidP="006D69E1">
      <w:pPr>
        <w:spacing w:after="0" w:line="240" w:lineRule="auto"/>
        <w:rPr>
          <w:rFonts w:asciiTheme="majorHAnsi" w:hAnsiTheme="majorHAnsi"/>
          <w:sz w:val="24"/>
        </w:rPr>
      </w:pPr>
      <w:r w:rsidRPr="006D69E1">
        <w:rPr>
          <w:rFonts w:asciiTheme="majorHAnsi" w:hAnsiTheme="majorHAnsi"/>
          <w:sz w:val="24"/>
        </w:rPr>
        <w:t>The results of this information collection will not be published.</w:t>
      </w:r>
      <w:r>
        <w:rPr>
          <w:rFonts w:asciiTheme="majorHAnsi" w:hAnsiTheme="majorHAnsi"/>
          <w:sz w:val="24"/>
        </w:rPr>
        <w:t xml:space="preserve"> </w:t>
      </w:r>
    </w:p>
    <w:p w14:paraId="31B50CFB" w14:textId="77777777" w:rsidR="005C3A95" w:rsidRDefault="005C3A95" w:rsidP="006D69E1">
      <w:pPr>
        <w:spacing w:after="0" w:line="240" w:lineRule="auto"/>
        <w:rPr>
          <w:rFonts w:asciiTheme="majorHAnsi" w:hAnsiTheme="majorHAnsi"/>
          <w:sz w:val="24"/>
        </w:rPr>
      </w:pPr>
    </w:p>
    <w:p w14:paraId="09BFC889" w14:textId="77777777" w:rsidR="005C3A95" w:rsidRDefault="005C3A95" w:rsidP="006D69E1">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p>
    <w:p w14:paraId="1D7CF0F6" w14:textId="77777777" w:rsidR="00BD4665" w:rsidRDefault="00BD4665" w:rsidP="006D69E1">
      <w:pPr>
        <w:spacing w:after="0" w:line="240" w:lineRule="auto"/>
        <w:rPr>
          <w:rFonts w:asciiTheme="majorHAnsi" w:hAnsiTheme="majorHAnsi"/>
          <w:i/>
          <w:sz w:val="24"/>
        </w:rPr>
      </w:pPr>
    </w:p>
    <w:p w14:paraId="5D34C1E4" w14:textId="77777777" w:rsidR="00C62D17" w:rsidRDefault="00C62D17" w:rsidP="006D69E1">
      <w:pPr>
        <w:spacing w:after="0" w:line="240" w:lineRule="auto"/>
        <w:rPr>
          <w:rFonts w:asciiTheme="majorHAnsi" w:hAnsiTheme="majorHAnsi"/>
          <w:sz w:val="24"/>
        </w:rPr>
      </w:pPr>
      <w:r w:rsidRPr="006D69E1">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14:paraId="4BFF2E54" w14:textId="77777777" w:rsidR="00C62D17" w:rsidRDefault="00C62D17" w:rsidP="006D69E1">
      <w:pPr>
        <w:spacing w:after="0" w:line="240" w:lineRule="auto"/>
        <w:rPr>
          <w:rFonts w:asciiTheme="majorHAnsi" w:hAnsiTheme="majorHAnsi"/>
          <w:sz w:val="24"/>
        </w:rPr>
      </w:pPr>
    </w:p>
    <w:p w14:paraId="17A138F1" w14:textId="77777777" w:rsidR="00C62D17" w:rsidRDefault="00C62D17" w:rsidP="006D69E1">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14:paraId="1F1222A9" w14:textId="77777777" w:rsidR="00BD4665" w:rsidRDefault="00BD4665" w:rsidP="006D69E1">
      <w:pPr>
        <w:spacing w:after="0" w:line="240" w:lineRule="auto"/>
        <w:rPr>
          <w:rFonts w:asciiTheme="majorHAnsi" w:hAnsiTheme="majorHAnsi"/>
          <w:i/>
          <w:sz w:val="24"/>
        </w:rPr>
      </w:pPr>
    </w:p>
    <w:p w14:paraId="15C86E36" w14:textId="77777777" w:rsidR="00A50A0F" w:rsidRPr="006D69E1" w:rsidRDefault="00A50A0F" w:rsidP="006D69E1">
      <w:pPr>
        <w:spacing w:after="0" w:line="240" w:lineRule="auto"/>
        <w:rPr>
          <w:rFonts w:asciiTheme="majorHAnsi" w:hAnsiTheme="majorHAnsi"/>
          <w:i/>
          <w:sz w:val="24"/>
        </w:rPr>
      </w:pPr>
      <w:r w:rsidRPr="006D69E1">
        <w:rPr>
          <w:rFonts w:asciiTheme="majorHAnsi" w:hAnsiTheme="majorHAnsi"/>
          <w:sz w:val="24"/>
        </w:rPr>
        <w:t>We are not requesting an</w:t>
      </w:r>
      <w:r w:rsidR="00420AE9" w:rsidRPr="006D69E1">
        <w:rPr>
          <w:rFonts w:asciiTheme="majorHAnsi" w:hAnsiTheme="majorHAnsi"/>
          <w:sz w:val="24"/>
        </w:rPr>
        <w:t>y</w:t>
      </w:r>
      <w:r w:rsidRPr="006D69E1">
        <w:rPr>
          <w:rFonts w:asciiTheme="majorHAnsi" w:hAnsiTheme="majorHAnsi"/>
          <w:sz w:val="24"/>
        </w:rPr>
        <w:t xml:space="preserve"> exemption</w:t>
      </w:r>
      <w:r w:rsidR="00420AE9" w:rsidRPr="006D69E1">
        <w:rPr>
          <w:rFonts w:asciiTheme="majorHAnsi" w:hAnsiTheme="majorHAnsi"/>
          <w:sz w:val="24"/>
        </w:rPr>
        <w:t>s</w:t>
      </w:r>
      <w:r w:rsidRPr="006D69E1">
        <w:rPr>
          <w:rFonts w:asciiTheme="majorHAnsi" w:hAnsiTheme="majorHAnsi"/>
          <w:sz w:val="24"/>
        </w:rPr>
        <w:t xml:space="preserve"> to the provisions </w:t>
      </w:r>
      <w:r w:rsidR="00420AE9" w:rsidRPr="006D69E1">
        <w:rPr>
          <w:rFonts w:asciiTheme="majorHAnsi" w:hAnsiTheme="majorHAnsi"/>
          <w:sz w:val="24"/>
        </w:rPr>
        <w:t xml:space="preserve">stated in 5 CFR 1320.9. </w:t>
      </w:r>
    </w:p>
    <w:sectPr w:rsidR="00A50A0F" w:rsidRPr="006D69E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D808E" w14:textId="77777777" w:rsidR="00642741" w:rsidRDefault="00642741" w:rsidP="00FB569C">
      <w:pPr>
        <w:spacing w:after="0" w:line="240" w:lineRule="auto"/>
      </w:pPr>
      <w:r>
        <w:separator/>
      </w:r>
    </w:p>
  </w:endnote>
  <w:endnote w:type="continuationSeparator" w:id="0">
    <w:p w14:paraId="322EE699"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ADD71" w14:textId="77777777" w:rsidR="00642741" w:rsidRDefault="00642741" w:rsidP="00FB569C">
      <w:pPr>
        <w:spacing w:after="0" w:line="240" w:lineRule="auto"/>
      </w:pPr>
      <w:r>
        <w:separator/>
      </w:r>
    </w:p>
  </w:footnote>
  <w:footnote w:type="continuationSeparator" w:id="0">
    <w:p w14:paraId="37624984" w14:textId="77777777" w:rsidR="00642741" w:rsidRDefault="00642741" w:rsidP="00FB569C">
      <w:pPr>
        <w:spacing w:after="0" w:line="240" w:lineRule="auto"/>
      </w:pPr>
      <w:r>
        <w:continuationSeparator/>
      </w:r>
    </w:p>
  </w:footnote>
  <w:footnote w:id="1">
    <w:p w14:paraId="6AD0E5BB" w14:textId="77777777" w:rsidR="000F4011" w:rsidRPr="000F4011" w:rsidRDefault="000F4011" w:rsidP="000F4011">
      <w:pPr>
        <w:tabs>
          <w:tab w:val="left" w:pos="360"/>
          <w:tab w:val="left" w:pos="900"/>
          <w:tab w:val="left" w:pos="1260"/>
        </w:tabs>
        <w:rPr>
          <w:rFonts w:asciiTheme="majorHAnsi" w:hAnsiTheme="majorHAnsi"/>
          <w:sz w:val="20"/>
          <w:szCs w:val="20"/>
        </w:rPr>
      </w:pPr>
      <w:r w:rsidRPr="000F4011">
        <w:rPr>
          <w:rStyle w:val="FootnoteReference"/>
          <w:rFonts w:asciiTheme="majorHAnsi" w:hAnsiTheme="majorHAnsi"/>
          <w:sz w:val="20"/>
          <w:szCs w:val="20"/>
        </w:rPr>
        <w:footnoteRef/>
      </w:r>
      <w:r w:rsidRPr="000F4011">
        <w:rPr>
          <w:rFonts w:asciiTheme="majorHAnsi" w:hAnsiTheme="majorHAnsi"/>
          <w:sz w:val="20"/>
          <w:szCs w:val="20"/>
        </w:rPr>
        <w:t xml:space="preserve"> For the purpose of the limitation described in § 232.8(a) , the definition of creditor is limited to mean a person engaged in the business of extending consumer credit subject to applicable law to engage in deferred presentment transactions or similar payday loan transactions (as described in the relevant law), </w:t>
      </w:r>
      <w:r w:rsidRPr="000F4011">
        <w:rPr>
          <w:rFonts w:asciiTheme="majorHAnsi" w:hAnsiTheme="majorHAnsi"/>
          <w:sz w:val="20"/>
          <w:szCs w:val="20"/>
          <w:u w:val="single"/>
        </w:rPr>
        <w:t>provided however</w:t>
      </w:r>
      <w:r w:rsidRPr="000F4011">
        <w:rPr>
          <w:rFonts w:asciiTheme="majorHAnsi" w:hAnsiTheme="majorHAnsi"/>
          <w:sz w:val="20"/>
          <w:szCs w:val="20"/>
        </w:rPr>
        <w:t xml:space="preserve">, that the term does not include a person that is chartered or licensed under Federal or State law as a bank, savings association, or credit union. </w:t>
      </w:r>
      <w:r w:rsidRPr="000F4011">
        <w:rPr>
          <w:rFonts w:asciiTheme="majorHAnsi" w:hAnsiTheme="majorHAnsi"/>
          <w:sz w:val="20"/>
          <w:szCs w:val="20"/>
        </w:rPr>
        <w:tab/>
      </w:r>
      <w:r w:rsidRPr="000F4011">
        <w:rPr>
          <w:rFonts w:asciiTheme="majorHAnsi" w:hAnsiTheme="majorHAnsi"/>
          <w:sz w:val="20"/>
          <w:szCs w:val="20"/>
        </w:rPr>
        <w:tab/>
      </w:r>
    </w:p>
  </w:footnote>
  <w:footnote w:id="2">
    <w:p w14:paraId="6B0A199D" w14:textId="77777777" w:rsidR="000F4011" w:rsidRPr="000F4011" w:rsidRDefault="000F4011" w:rsidP="000F4011">
      <w:pPr>
        <w:pStyle w:val="FootnoteText"/>
        <w:rPr>
          <w:rFonts w:asciiTheme="majorHAnsi" w:hAnsiTheme="majorHAnsi"/>
        </w:rPr>
      </w:pPr>
      <w:r w:rsidRPr="000F4011">
        <w:rPr>
          <w:rStyle w:val="FootnoteReference"/>
          <w:rFonts w:asciiTheme="majorHAnsi" w:hAnsiTheme="majorHAnsi"/>
        </w:rPr>
        <w:footnoteRef/>
      </w:r>
      <w:r w:rsidRPr="000F4011">
        <w:rPr>
          <w:rFonts w:asciiTheme="majorHAnsi" w:hAnsiTheme="majorHAnsi"/>
        </w:rPr>
        <w:t xml:space="preserve"> For the purpose of the limitation described in § 232.8(f) , the definition of creditor shall not include a “military welfare society,” as defined in 10 U.S.C. 1033(b)(2), or a “service relief society,” as defined in 37 U.S.C. 1007(h)(4).</w:t>
      </w:r>
    </w:p>
    <w:p w14:paraId="7D857E6A" w14:textId="77777777" w:rsidR="000F4011" w:rsidRPr="000F4011" w:rsidRDefault="000F4011" w:rsidP="000F4011">
      <w:pPr>
        <w:pStyle w:val="FootnoteText"/>
        <w:rPr>
          <w:rFonts w:asciiTheme="majorHAnsi" w:hAnsiTheme="majorHAnsi"/>
        </w:rPr>
      </w:pPr>
    </w:p>
  </w:footnote>
  <w:footnote w:id="3">
    <w:p w14:paraId="054F9562" w14:textId="77777777" w:rsidR="000F4011" w:rsidRPr="000F4011" w:rsidRDefault="000F4011" w:rsidP="000F4011">
      <w:pPr>
        <w:pStyle w:val="FootnoteText"/>
        <w:rPr>
          <w:rFonts w:asciiTheme="majorHAnsi" w:hAnsiTheme="majorHAnsi"/>
          <w:bCs/>
        </w:rPr>
      </w:pPr>
      <w:r w:rsidRPr="000F4011">
        <w:rPr>
          <w:rStyle w:val="FootnoteReference"/>
          <w:rFonts w:asciiTheme="majorHAnsi" w:hAnsiTheme="majorHAnsi"/>
        </w:rPr>
        <w:footnoteRef/>
      </w:r>
      <w:r w:rsidRPr="000F4011">
        <w:rPr>
          <w:rFonts w:asciiTheme="majorHAnsi" w:hAnsiTheme="majorHAnsi"/>
        </w:rPr>
        <w:t xml:space="preserve"> </w:t>
      </w:r>
      <w:r w:rsidRPr="000F4011">
        <w:rPr>
          <w:rFonts w:asciiTheme="majorHAnsi" w:hAnsiTheme="majorHAnsi"/>
          <w:u w:val="single"/>
        </w:rPr>
        <w:t>Exceptions</w:t>
      </w:r>
      <w:r w:rsidRPr="000F4011">
        <w:rPr>
          <w:rFonts w:asciiTheme="majorHAnsi" w:hAnsiTheme="majorHAnsi"/>
        </w:rPr>
        <w:t>.  Notwithstanding paragraph (f) of this section, c</w:t>
      </w:r>
      <w:r w:rsidRPr="000F4011">
        <w:rPr>
          <w:rFonts w:asciiTheme="majorHAnsi" w:hAnsiTheme="majorHAnsi"/>
          <w:bCs/>
        </w:rPr>
        <w:t>onsumer credit does not mean:</w:t>
      </w:r>
    </w:p>
    <w:p w14:paraId="5922813B" w14:textId="77777777" w:rsidR="000F4011" w:rsidRPr="000F4011" w:rsidRDefault="000F4011" w:rsidP="000F4011">
      <w:pPr>
        <w:pStyle w:val="FootnoteText"/>
        <w:rPr>
          <w:rFonts w:asciiTheme="majorHAnsi" w:hAnsiTheme="majorHAnsi"/>
          <w:bCs/>
        </w:rPr>
      </w:pPr>
      <w:r w:rsidRPr="000F4011">
        <w:rPr>
          <w:rFonts w:asciiTheme="majorHAnsi" w:hAnsiTheme="majorHAnsi"/>
          <w:bCs/>
        </w:rPr>
        <w:tab/>
        <w:t>(i)  A residential mortgage, which is any credit transaction secured by an interest in the covered borrower’s dwelling, including a transaction to finance the purchase or initial construction of a dwelling, any refinance transaction, home equity loan or line of credit, or reverse mortgage;</w:t>
      </w:r>
    </w:p>
    <w:p w14:paraId="1BC489DB" w14:textId="77777777" w:rsidR="000F4011" w:rsidRPr="000F4011" w:rsidRDefault="000F4011" w:rsidP="000F4011">
      <w:pPr>
        <w:pStyle w:val="FootnoteText"/>
        <w:rPr>
          <w:rFonts w:asciiTheme="majorHAnsi" w:hAnsiTheme="majorHAnsi"/>
          <w:bCs/>
        </w:rPr>
      </w:pPr>
      <w:r w:rsidRPr="000F4011">
        <w:rPr>
          <w:rFonts w:asciiTheme="majorHAnsi" w:hAnsiTheme="majorHAnsi"/>
          <w:bCs/>
        </w:rPr>
        <w:tab/>
        <w:t>(ii)  Any credit transaction that is expressly intended to finance the purchase of a motor vehicle when the credit is secured by the vehicle being purchased;</w:t>
      </w:r>
    </w:p>
    <w:p w14:paraId="5DE94CBB" w14:textId="77777777" w:rsidR="000F4011" w:rsidRPr="000F4011" w:rsidRDefault="000F4011" w:rsidP="000F4011">
      <w:pPr>
        <w:pStyle w:val="FootnoteText"/>
        <w:rPr>
          <w:rFonts w:asciiTheme="majorHAnsi" w:hAnsiTheme="majorHAnsi"/>
          <w:bCs/>
        </w:rPr>
      </w:pPr>
      <w:r w:rsidRPr="000F4011">
        <w:rPr>
          <w:rFonts w:asciiTheme="majorHAnsi" w:hAnsiTheme="majorHAnsi"/>
          <w:bCs/>
        </w:rPr>
        <w:tab/>
        <w:t>(iii)  Any credit transaction that is expressly intended to finance the purchase of personal property when the credit is secured by the property being purchased; and</w:t>
      </w:r>
    </w:p>
    <w:p w14:paraId="5A318849" w14:textId="77777777" w:rsidR="000F4011" w:rsidRPr="000F4011" w:rsidRDefault="000F4011" w:rsidP="000F4011">
      <w:pPr>
        <w:pStyle w:val="FootnoteText"/>
        <w:rPr>
          <w:rFonts w:asciiTheme="majorHAnsi" w:hAnsiTheme="majorHAnsi"/>
          <w:bCs/>
        </w:rPr>
      </w:pPr>
      <w:r w:rsidRPr="000F4011">
        <w:rPr>
          <w:rFonts w:asciiTheme="majorHAnsi" w:hAnsiTheme="majorHAnsi"/>
          <w:bCs/>
        </w:rPr>
        <w:tab/>
        <w:t>(iv)  Any credit transaction that is an exempt transaction for the purposes of Regulation Z (other than a transaction exempt under 12 CFR 1026.29) or otherwise is not subject to disclosure requirements under Regulation Z.</w:t>
      </w:r>
    </w:p>
    <w:p w14:paraId="39463701" w14:textId="77777777" w:rsidR="000F4011" w:rsidRPr="000F4011" w:rsidRDefault="000F4011" w:rsidP="000F4011">
      <w:pPr>
        <w:pStyle w:val="FootnoteText"/>
        <w:rPr>
          <w:rFonts w:asciiTheme="majorHAnsi" w:hAnsiTheme="maj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46840" w14:textId="2580AECA" w:rsidR="001017FC" w:rsidRDefault="001017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2B35B3"/>
    <w:multiLevelType w:val="hybridMultilevel"/>
    <w:tmpl w:val="904E6840"/>
    <w:lvl w:ilvl="0" w:tplc="2772B46C">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10"/>
  </w:num>
  <w:num w:numId="4">
    <w:abstractNumId w:val="9"/>
  </w:num>
  <w:num w:numId="5">
    <w:abstractNumId w:val="17"/>
  </w:num>
  <w:num w:numId="6">
    <w:abstractNumId w:val="1"/>
  </w:num>
  <w:num w:numId="7">
    <w:abstractNumId w:val="18"/>
  </w:num>
  <w:num w:numId="8">
    <w:abstractNumId w:val="15"/>
  </w:num>
  <w:num w:numId="9">
    <w:abstractNumId w:val="19"/>
  </w:num>
  <w:num w:numId="10">
    <w:abstractNumId w:val="3"/>
  </w:num>
  <w:num w:numId="11">
    <w:abstractNumId w:val="14"/>
  </w:num>
  <w:num w:numId="12">
    <w:abstractNumId w:val="16"/>
  </w:num>
  <w:num w:numId="13">
    <w:abstractNumId w:val="20"/>
  </w:num>
  <w:num w:numId="14">
    <w:abstractNumId w:val="22"/>
  </w:num>
  <w:num w:numId="15">
    <w:abstractNumId w:val="8"/>
  </w:num>
  <w:num w:numId="16">
    <w:abstractNumId w:val="7"/>
  </w:num>
  <w:num w:numId="17">
    <w:abstractNumId w:val="11"/>
  </w:num>
  <w:num w:numId="18">
    <w:abstractNumId w:val="6"/>
  </w:num>
  <w:num w:numId="19">
    <w:abstractNumId w:val="5"/>
  </w:num>
  <w:num w:numId="20">
    <w:abstractNumId w:val="4"/>
  </w:num>
  <w:num w:numId="21">
    <w:abstractNumId w:val="12"/>
  </w:num>
  <w:num w:numId="22">
    <w:abstractNumId w:val="2"/>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B0E70"/>
    <w:rsid w:val="000F4011"/>
    <w:rsid w:val="001017FC"/>
    <w:rsid w:val="00105F45"/>
    <w:rsid w:val="0019309D"/>
    <w:rsid w:val="001F526C"/>
    <w:rsid w:val="00200261"/>
    <w:rsid w:val="00203BC2"/>
    <w:rsid w:val="00211832"/>
    <w:rsid w:val="00222D1B"/>
    <w:rsid w:val="00235D71"/>
    <w:rsid w:val="0024335E"/>
    <w:rsid w:val="00254DCF"/>
    <w:rsid w:val="002567F9"/>
    <w:rsid w:val="0027743E"/>
    <w:rsid w:val="00294E92"/>
    <w:rsid w:val="003132E7"/>
    <w:rsid w:val="00331D7E"/>
    <w:rsid w:val="00337EF1"/>
    <w:rsid w:val="003518F6"/>
    <w:rsid w:val="00394A8A"/>
    <w:rsid w:val="003A08D8"/>
    <w:rsid w:val="003C0540"/>
    <w:rsid w:val="003E0E18"/>
    <w:rsid w:val="00420AE9"/>
    <w:rsid w:val="00424E33"/>
    <w:rsid w:val="00480AFF"/>
    <w:rsid w:val="00486235"/>
    <w:rsid w:val="00490797"/>
    <w:rsid w:val="004B3C6C"/>
    <w:rsid w:val="004C74D6"/>
    <w:rsid w:val="004F4F5D"/>
    <w:rsid w:val="00502FF3"/>
    <w:rsid w:val="00510F0C"/>
    <w:rsid w:val="00520B36"/>
    <w:rsid w:val="00536B59"/>
    <w:rsid w:val="00571698"/>
    <w:rsid w:val="00576EDB"/>
    <w:rsid w:val="00596BBA"/>
    <w:rsid w:val="005B1354"/>
    <w:rsid w:val="005C3A95"/>
    <w:rsid w:val="005C7428"/>
    <w:rsid w:val="005D5C81"/>
    <w:rsid w:val="00642741"/>
    <w:rsid w:val="0065530D"/>
    <w:rsid w:val="006A13FA"/>
    <w:rsid w:val="006D1BF5"/>
    <w:rsid w:val="006D69E1"/>
    <w:rsid w:val="006E563D"/>
    <w:rsid w:val="006F2DF8"/>
    <w:rsid w:val="00722FDB"/>
    <w:rsid w:val="0077261C"/>
    <w:rsid w:val="007C33E5"/>
    <w:rsid w:val="007E1151"/>
    <w:rsid w:val="008635C4"/>
    <w:rsid w:val="00864AAE"/>
    <w:rsid w:val="008A06EF"/>
    <w:rsid w:val="008D1294"/>
    <w:rsid w:val="008E3029"/>
    <w:rsid w:val="00906935"/>
    <w:rsid w:val="0098628F"/>
    <w:rsid w:val="00994F2B"/>
    <w:rsid w:val="00996894"/>
    <w:rsid w:val="009A6246"/>
    <w:rsid w:val="009B1053"/>
    <w:rsid w:val="009F2544"/>
    <w:rsid w:val="00A50A0F"/>
    <w:rsid w:val="00A568DC"/>
    <w:rsid w:val="00A76F7E"/>
    <w:rsid w:val="00A77157"/>
    <w:rsid w:val="00B20744"/>
    <w:rsid w:val="00B45A82"/>
    <w:rsid w:val="00B52F4E"/>
    <w:rsid w:val="00B55E9F"/>
    <w:rsid w:val="00B933B0"/>
    <w:rsid w:val="00BA5362"/>
    <w:rsid w:val="00BD4665"/>
    <w:rsid w:val="00BD7755"/>
    <w:rsid w:val="00C0170C"/>
    <w:rsid w:val="00C33684"/>
    <w:rsid w:val="00C62D17"/>
    <w:rsid w:val="00C62E52"/>
    <w:rsid w:val="00C70A8B"/>
    <w:rsid w:val="00C808F4"/>
    <w:rsid w:val="00CA15B1"/>
    <w:rsid w:val="00CC24D5"/>
    <w:rsid w:val="00CC2835"/>
    <w:rsid w:val="00D21AA6"/>
    <w:rsid w:val="00D462F7"/>
    <w:rsid w:val="00D9519A"/>
    <w:rsid w:val="00DA2B37"/>
    <w:rsid w:val="00DA42C4"/>
    <w:rsid w:val="00DC6B02"/>
    <w:rsid w:val="00E50374"/>
    <w:rsid w:val="00E5409A"/>
    <w:rsid w:val="00E95FFB"/>
    <w:rsid w:val="00EA6C04"/>
    <w:rsid w:val="00EB0EED"/>
    <w:rsid w:val="00F25499"/>
    <w:rsid w:val="00F60FC1"/>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33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paragraph" w:styleId="FootnoteText">
    <w:name w:val="footnote text"/>
    <w:basedOn w:val="Normal"/>
    <w:link w:val="FootnoteTextChar"/>
    <w:rsid w:val="000F401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F4011"/>
    <w:rPr>
      <w:rFonts w:ascii="Times New Roman" w:eastAsia="Times New Roman" w:hAnsi="Times New Roman" w:cs="Times New Roman"/>
      <w:sz w:val="20"/>
      <w:szCs w:val="20"/>
    </w:rPr>
  </w:style>
  <w:style w:type="character" w:styleId="FootnoteReference">
    <w:name w:val="footnote reference"/>
    <w:rsid w:val="000F4011"/>
    <w:rPr>
      <w:vertAlign w:val="superscript"/>
    </w:rPr>
  </w:style>
  <w:style w:type="character" w:styleId="CommentReference">
    <w:name w:val="annotation reference"/>
    <w:basedOn w:val="DefaultParagraphFont"/>
    <w:uiPriority w:val="99"/>
    <w:semiHidden/>
    <w:unhideWhenUsed/>
    <w:rsid w:val="004B3C6C"/>
    <w:rPr>
      <w:sz w:val="16"/>
      <w:szCs w:val="16"/>
    </w:rPr>
  </w:style>
  <w:style w:type="paragraph" w:styleId="CommentText">
    <w:name w:val="annotation text"/>
    <w:basedOn w:val="Normal"/>
    <w:link w:val="CommentTextChar"/>
    <w:uiPriority w:val="99"/>
    <w:semiHidden/>
    <w:unhideWhenUsed/>
    <w:rsid w:val="004B3C6C"/>
    <w:pPr>
      <w:spacing w:line="240" w:lineRule="auto"/>
    </w:pPr>
    <w:rPr>
      <w:sz w:val="20"/>
      <w:szCs w:val="20"/>
    </w:rPr>
  </w:style>
  <w:style w:type="character" w:customStyle="1" w:styleId="CommentTextChar">
    <w:name w:val="Comment Text Char"/>
    <w:basedOn w:val="DefaultParagraphFont"/>
    <w:link w:val="CommentText"/>
    <w:uiPriority w:val="99"/>
    <w:semiHidden/>
    <w:rsid w:val="004B3C6C"/>
    <w:rPr>
      <w:sz w:val="20"/>
      <w:szCs w:val="20"/>
    </w:rPr>
  </w:style>
  <w:style w:type="paragraph" w:styleId="CommentSubject">
    <w:name w:val="annotation subject"/>
    <w:basedOn w:val="CommentText"/>
    <w:next w:val="CommentText"/>
    <w:link w:val="CommentSubjectChar"/>
    <w:uiPriority w:val="99"/>
    <w:semiHidden/>
    <w:unhideWhenUsed/>
    <w:rsid w:val="004B3C6C"/>
    <w:rPr>
      <w:b/>
      <w:bCs/>
    </w:rPr>
  </w:style>
  <w:style w:type="character" w:customStyle="1" w:styleId="CommentSubjectChar">
    <w:name w:val="Comment Subject Char"/>
    <w:basedOn w:val="CommentTextChar"/>
    <w:link w:val="CommentSubject"/>
    <w:uiPriority w:val="99"/>
    <w:semiHidden/>
    <w:rsid w:val="004B3C6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paragraph" w:styleId="FootnoteText">
    <w:name w:val="footnote text"/>
    <w:basedOn w:val="Normal"/>
    <w:link w:val="FootnoteTextChar"/>
    <w:rsid w:val="000F401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F4011"/>
    <w:rPr>
      <w:rFonts w:ascii="Times New Roman" w:eastAsia="Times New Roman" w:hAnsi="Times New Roman" w:cs="Times New Roman"/>
      <w:sz w:val="20"/>
      <w:szCs w:val="20"/>
    </w:rPr>
  </w:style>
  <w:style w:type="character" w:styleId="FootnoteReference">
    <w:name w:val="footnote reference"/>
    <w:rsid w:val="000F4011"/>
    <w:rPr>
      <w:vertAlign w:val="superscript"/>
    </w:rPr>
  </w:style>
  <w:style w:type="character" w:styleId="CommentReference">
    <w:name w:val="annotation reference"/>
    <w:basedOn w:val="DefaultParagraphFont"/>
    <w:uiPriority w:val="99"/>
    <w:semiHidden/>
    <w:unhideWhenUsed/>
    <w:rsid w:val="004B3C6C"/>
    <w:rPr>
      <w:sz w:val="16"/>
      <w:szCs w:val="16"/>
    </w:rPr>
  </w:style>
  <w:style w:type="paragraph" w:styleId="CommentText">
    <w:name w:val="annotation text"/>
    <w:basedOn w:val="Normal"/>
    <w:link w:val="CommentTextChar"/>
    <w:uiPriority w:val="99"/>
    <w:semiHidden/>
    <w:unhideWhenUsed/>
    <w:rsid w:val="004B3C6C"/>
    <w:pPr>
      <w:spacing w:line="240" w:lineRule="auto"/>
    </w:pPr>
    <w:rPr>
      <w:sz w:val="20"/>
      <w:szCs w:val="20"/>
    </w:rPr>
  </w:style>
  <w:style w:type="character" w:customStyle="1" w:styleId="CommentTextChar">
    <w:name w:val="Comment Text Char"/>
    <w:basedOn w:val="DefaultParagraphFont"/>
    <w:link w:val="CommentText"/>
    <w:uiPriority w:val="99"/>
    <w:semiHidden/>
    <w:rsid w:val="004B3C6C"/>
    <w:rPr>
      <w:sz w:val="20"/>
      <w:szCs w:val="20"/>
    </w:rPr>
  </w:style>
  <w:style w:type="paragraph" w:styleId="CommentSubject">
    <w:name w:val="annotation subject"/>
    <w:basedOn w:val="CommentText"/>
    <w:next w:val="CommentText"/>
    <w:link w:val="CommentSubjectChar"/>
    <w:uiPriority w:val="99"/>
    <w:semiHidden/>
    <w:unhideWhenUsed/>
    <w:rsid w:val="004B3C6C"/>
    <w:rPr>
      <w:b/>
      <w:bCs/>
    </w:rPr>
  </w:style>
  <w:style w:type="character" w:customStyle="1" w:styleId="CommentSubjectChar">
    <w:name w:val="Comment Subject Char"/>
    <w:basedOn w:val="CommentTextChar"/>
    <w:link w:val="CommentSubject"/>
    <w:uiPriority w:val="99"/>
    <w:semiHidden/>
    <w:rsid w:val="004B3C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99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3F64A-FAF0-449D-9924-1ACA53703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1762</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2016-09-20T19:55:00Z</cp:lastPrinted>
  <dcterms:created xsi:type="dcterms:W3CDTF">2018-10-31T19:17:00Z</dcterms:created>
  <dcterms:modified xsi:type="dcterms:W3CDTF">2018-10-31T19:17:00Z</dcterms:modified>
</cp:coreProperties>
</file>