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Pr="00F4210A" w:rsidRDefault="00125175">
      <w:pPr>
        <w:rPr>
          <w:rFonts w:ascii="Times New Roman" w:hAnsi="Times New Roman" w:cs="Times New Roman"/>
          <w:noProof/>
          <w:color w:val="000000" w:themeColor="text1"/>
          <w:sz w:val="24"/>
          <w:szCs w:val="24"/>
        </w:rPr>
      </w:pPr>
      <w:bookmarkStart w:id="0" w:name="_GoBack"/>
      <w:bookmarkEnd w:id="0"/>
      <w:r w:rsidRPr="00F4210A">
        <w:rPr>
          <w:rFonts w:ascii="Times New Roman" w:hAnsi="Times New Roman" w:cs="Times New Roman"/>
          <w:color w:val="000000" w:themeColor="text1"/>
          <w:sz w:val="24"/>
          <w:szCs w:val="24"/>
        </w:rPr>
        <w:t xml:space="preserve">Attachment </w:t>
      </w:r>
      <w:r w:rsidR="00715B68">
        <w:rPr>
          <w:rFonts w:ascii="Times New Roman" w:hAnsi="Times New Roman" w:cs="Times New Roman"/>
          <w:color w:val="000000" w:themeColor="text1"/>
          <w:sz w:val="24"/>
          <w:szCs w:val="24"/>
        </w:rPr>
        <w:t>11</w:t>
      </w:r>
      <w:r w:rsidRPr="00F4210A">
        <w:rPr>
          <w:rFonts w:ascii="Times New Roman" w:hAnsi="Times New Roman" w:cs="Times New Roman"/>
          <w:color w:val="000000" w:themeColor="text1"/>
          <w:sz w:val="24"/>
          <w:szCs w:val="24"/>
        </w:rPr>
        <w:t xml:space="preserve">. </w:t>
      </w:r>
      <w:r w:rsidRPr="00F4210A">
        <w:rPr>
          <w:rFonts w:ascii="Times New Roman" w:hAnsi="Times New Roman" w:cs="Times New Roman"/>
          <w:noProof/>
          <w:color w:val="000000" w:themeColor="text1"/>
          <w:sz w:val="24"/>
          <w:szCs w:val="24"/>
        </w:rPr>
        <w:t>Explanation of Revisions</w:t>
      </w:r>
    </w:p>
    <w:p w:rsidR="00125175" w:rsidRPr="00F4210A" w:rsidRDefault="00125175" w:rsidP="00125175">
      <w:pPr>
        <w:rPr>
          <w:rFonts w:ascii="Times New Roman" w:hAnsi="Times New Roman" w:cs="Times New Roman"/>
          <w:color w:val="000000" w:themeColor="text1"/>
          <w:sz w:val="24"/>
          <w:szCs w:val="24"/>
        </w:rPr>
      </w:pPr>
      <w:r w:rsidRPr="00F4210A">
        <w:rPr>
          <w:rFonts w:ascii="Times New Roman" w:hAnsi="Times New Roman" w:cs="Times New Roman"/>
          <w:color w:val="000000" w:themeColor="text1"/>
          <w:sz w:val="24"/>
          <w:szCs w:val="24"/>
        </w:rPr>
        <w:t xml:space="preserve">National HIV Prevention Program Monitoring and Evaluation Data </w:t>
      </w:r>
    </w:p>
    <w:p w:rsidR="00125175" w:rsidRPr="00F4210A" w:rsidRDefault="00125175" w:rsidP="00125175">
      <w:pPr>
        <w:rPr>
          <w:rFonts w:ascii="Times New Roman" w:hAnsi="Times New Roman" w:cs="Times New Roman"/>
          <w:color w:val="000000" w:themeColor="text1"/>
          <w:sz w:val="24"/>
          <w:szCs w:val="24"/>
        </w:rPr>
      </w:pPr>
      <w:r w:rsidRPr="00F4210A">
        <w:rPr>
          <w:rFonts w:ascii="Times New Roman" w:hAnsi="Times New Roman" w:cs="Times New Roman"/>
          <w:color w:val="000000" w:themeColor="text1"/>
          <w:sz w:val="24"/>
          <w:szCs w:val="24"/>
        </w:rPr>
        <w:t>OMB No. 0920-0696</w:t>
      </w:r>
      <w:r w:rsidR="00F4210A">
        <w:rPr>
          <w:rFonts w:ascii="Times New Roman" w:hAnsi="Times New Roman" w:cs="Times New Roman"/>
          <w:color w:val="000000" w:themeColor="text1"/>
          <w:sz w:val="24"/>
          <w:szCs w:val="24"/>
        </w:rPr>
        <w:t xml:space="preserve"> (Expiration 2/28/2019)</w:t>
      </w:r>
    </w:p>
    <w:p w:rsidR="00125175" w:rsidRPr="00F4210A" w:rsidRDefault="00125175" w:rsidP="00125175">
      <w:pPr>
        <w:rPr>
          <w:rFonts w:ascii="Times New Roman" w:hAnsi="Times New Roman" w:cs="Times New Roman"/>
          <w:color w:val="000000" w:themeColor="text1"/>
          <w:sz w:val="24"/>
          <w:szCs w:val="24"/>
        </w:rPr>
      </w:pPr>
    </w:p>
    <w:p w:rsidR="00125175" w:rsidRDefault="00F4210A" w:rsidP="0012517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w:t>
      </w:r>
      <w:r w:rsidR="00125175" w:rsidRPr="00F4210A">
        <w:rPr>
          <w:rFonts w:ascii="Times New Roman" w:hAnsi="Times New Roman" w:cs="Times New Roman"/>
          <w:color w:val="000000" w:themeColor="text1"/>
          <w:sz w:val="24"/>
          <w:szCs w:val="24"/>
        </w:rPr>
        <w:t>May 25, 2018</w:t>
      </w:r>
      <w:r>
        <w:rPr>
          <w:rFonts w:ascii="Times New Roman" w:hAnsi="Times New Roman" w:cs="Times New Roman"/>
          <w:color w:val="000000" w:themeColor="text1"/>
          <w:sz w:val="24"/>
          <w:szCs w:val="24"/>
        </w:rPr>
        <w:t xml:space="preserve">, CDC received OMB approval for a non-substantive revision to the National HIV Prevention Program Monitoring and Evaluation Data Variable Set (OMB No. 0920-0696, Expiration 2/28/2019). </w:t>
      </w:r>
      <w:r w:rsidR="00125175" w:rsidRPr="00F4210A">
        <w:rPr>
          <w:rFonts w:ascii="Times New Roman" w:hAnsi="Times New Roman" w:cs="Times New Roman"/>
          <w:color w:val="000000" w:themeColor="text1"/>
          <w:sz w:val="24"/>
          <w:szCs w:val="24"/>
        </w:rPr>
        <w:t xml:space="preserve"> </w:t>
      </w:r>
    </w:p>
    <w:p w:rsidR="00F4210A" w:rsidRPr="00F4210A" w:rsidRDefault="00F4210A" w:rsidP="00F4210A">
      <w:pPr>
        <w:rPr>
          <w:rFonts w:ascii="Times New Roman" w:hAnsi="Times New Roman" w:cs="Times New Roman"/>
          <w:color w:val="000000" w:themeColor="text1"/>
          <w:sz w:val="24"/>
          <w:szCs w:val="24"/>
        </w:rPr>
      </w:pPr>
      <w:r w:rsidRPr="00F4210A">
        <w:rPr>
          <w:rFonts w:ascii="Times New Roman" w:hAnsi="Times New Roman" w:cs="Times New Roman"/>
          <w:color w:val="000000" w:themeColor="text1"/>
          <w:sz w:val="24"/>
          <w:szCs w:val="24"/>
        </w:rPr>
        <w:t>CDC is requesting the following revisions to adjust the variables from the most recently approved change request (May 25, 2018) in the following ways:</w:t>
      </w:r>
    </w:p>
    <w:p w:rsidR="00F4210A" w:rsidRPr="00F4210A" w:rsidRDefault="00F4210A" w:rsidP="00F4210A">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Remove</w:t>
      </w:r>
      <w:r w:rsidRPr="00F4210A">
        <w:rPr>
          <w:rFonts w:ascii="Times New Roman" w:hAnsi="Times New Roman" w:cs="Times New Roman"/>
          <w:color w:val="000000" w:themeColor="text1"/>
          <w:sz w:val="24"/>
          <w:szCs w:val="24"/>
        </w:rPr>
        <w:t xml:space="preserve"> 48 health department budget allocation variables associated with the previous health department funding </w:t>
      </w:r>
      <w:r>
        <w:rPr>
          <w:rFonts w:ascii="Times New Roman" w:hAnsi="Times New Roman" w:cs="Times New Roman"/>
          <w:color w:val="000000" w:themeColor="text1"/>
          <w:sz w:val="24"/>
          <w:szCs w:val="24"/>
        </w:rPr>
        <w:t xml:space="preserve">announcement </w:t>
      </w:r>
      <w:r w:rsidRPr="00F4210A">
        <w:rPr>
          <w:rFonts w:ascii="Times New Roman" w:hAnsi="Times New Roman" w:cs="Times New Roman"/>
          <w:color w:val="000000" w:themeColor="text1"/>
          <w:sz w:val="24"/>
          <w:szCs w:val="24"/>
        </w:rPr>
        <w:t>PS12-1201.</w:t>
      </w:r>
      <w:r w:rsidR="00450A7B">
        <w:rPr>
          <w:rFonts w:ascii="Times New Roman" w:hAnsi="Times New Roman" w:cs="Times New Roman"/>
          <w:color w:val="000000" w:themeColor="text1"/>
          <w:sz w:val="24"/>
          <w:szCs w:val="24"/>
        </w:rPr>
        <w:t xml:space="preserve"> (</w:t>
      </w:r>
      <w:r w:rsidR="00450A7B" w:rsidRPr="00450A7B">
        <w:rPr>
          <w:rFonts w:ascii="Times New Roman" w:hAnsi="Times New Roman" w:cs="Times New Roman"/>
          <w:b/>
          <w:color w:val="000000" w:themeColor="text1"/>
          <w:sz w:val="24"/>
          <w:szCs w:val="24"/>
        </w:rPr>
        <w:t>Attachment 5C</w:t>
      </w:r>
      <w:r w:rsidR="00450A7B">
        <w:rPr>
          <w:rFonts w:ascii="Times New Roman" w:hAnsi="Times New Roman" w:cs="Times New Roman"/>
          <w:color w:val="000000" w:themeColor="text1"/>
          <w:sz w:val="24"/>
          <w:szCs w:val="24"/>
        </w:rPr>
        <w:t>)</w:t>
      </w:r>
    </w:p>
    <w:p w:rsidR="00070F00" w:rsidRPr="00070F00" w:rsidRDefault="00F4210A" w:rsidP="00070F00">
      <w:pPr>
        <w:pStyle w:val="ListParagraph"/>
        <w:numPr>
          <w:ilvl w:val="0"/>
          <w:numId w:val="1"/>
        </w:numPr>
        <w:rPr>
          <w:rFonts w:ascii="Times New Roman" w:hAnsi="Times New Roman" w:cs="Times New Roman"/>
          <w:color w:val="000000" w:themeColor="text1"/>
          <w:sz w:val="24"/>
          <w:szCs w:val="24"/>
        </w:rPr>
      </w:pPr>
      <w:r w:rsidRPr="00070F00">
        <w:rPr>
          <w:rFonts w:ascii="Times New Roman" w:hAnsi="Times New Roman" w:cs="Times New Roman"/>
          <w:color w:val="000000" w:themeColor="text1"/>
          <w:sz w:val="24"/>
          <w:szCs w:val="24"/>
        </w:rPr>
        <w:t>Add 83 health department budget reporting variables. Health departments will be required to annually estimate the percentage of their overall funding allocated and expended for 11 required core strategies and activities associated with the new integrated</w:t>
      </w:r>
      <w:r w:rsidR="00450A7B">
        <w:rPr>
          <w:rFonts w:ascii="Times New Roman" w:hAnsi="Times New Roman" w:cs="Times New Roman"/>
          <w:color w:val="000000" w:themeColor="text1"/>
          <w:sz w:val="24"/>
          <w:szCs w:val="24"/>
        </w:rPr>
        <w:t xml:space="preserve"> program and surveillance </w:t>
      </w:r>
      <w:r w:rsidRPr="00070F00">
        <w:rPr>
          <w:rFonts w:ascii="Times New Roman" w:hAnsi="Times New Roman" w:cs="Times New Roman"/>
          <w:color w:val="000000" w:themeColor="text1"/>
          <w:sz w:val="24"/>
          <w:szCs w:val="24"/>
        </w:rPr>
        <w:t xml:space="preserve">health department funding awarded in January 2018 (PS18-1802).  </w:t>
      </w:r>
      <w:r w:rsidR="00070F00" w:rsidRPr="00070F00">
        <w:rPr>
          <w:rFonts w:ascii="Times New Roman" w:hAnsi="Times New Roman" w:cs="Times New Roman"/>
          <w:color w:val="000000" w:themeColor="text1"/>
          <w:sz w:val="24"/>
          <w:szCs w:val="24"/>
        </w:rPr>
        <w:t xml:space="preserve">Although this represents an increase of 35 budget related variables, we anticipate no additional data collection burden since it is likely these data are already being collected by health departments and we are requesting estimated percentages rather than dollar figures annually. </w:t>
      </w:r>
      <w:r w:rsidR="00450A7B">
        <w:rPr>
          <w:rFonts w:ascii="Times New Roman" w:hAnsi="Times New Roman" w:cs="Times New Roman"/>
          <w:color w:val="000000" w:themeColor="text1"/>
          <w:sz w:val="24"/>
          <w:szCs w:val="24"/>
        </w:rPr>
        <w:t>(</w:t>
      </w:r>
      <w:r w:rsidR="00450A7B" w:rsidRPr="00450A7B">
        <w:rPr>
          <w:rFonts w:ascii="Times New Roman" w:hAnsi="Times New Roman" w:cs="Times New Roman"/>
          <w:b/>
          <w:color w:val="000000" w:themeColor="text1"/>
          <w:sz w:val="24"/>
          <w:szCs w:val="24"/>
        </w:rPr>
        <w:t>Attachment 5A and Attachment 5B</w:t>
      </w:r>
      <w:r w:rsidR="00450A7B">
        <w:rPr>
          <w:rFonts w:ascii="Times New Roman" w:hAnsi="Times New Roman" w:cs="Times New Roman"/>
          <w:color w:val="000000" w:themeColor="text1"/>
          <w:sz w:val="24"/>
          <w:szCs w:val="24"/>
        </w:rPr>
        <w:t>)</w:t>
      </w:r>
    </w:p>
    <w:p w:rsidR="00305127" w:rsidRDefault="00F4210A" w:rsidP="00922F93">
      <w:pPr>
        <w:pStyle w:val="ListParagraph"/>
        <w:numPr>
          <w:ilvl w:val="0"/>
          <w:numId w:val="1"/>
        </w:numPr>
        <w:rPr>
          <w:rFonts w:ascii="Times New Roman" w:hAnsi="Times New Roman" w:cs="Times New Roman"/>
          <w:color w:val="000000" w:themeColor="text1"/>
          <w:sz w:val="24"/>
          <w:szCs w:val="24"/>
        </w:rPr>
      </w:pPr>
      <w:r w:rsidRPr="00070F00">
        <w:rPr>
          <w:rFonts w:ascii="Times New Roman" w:hAnsi="Times New Roman" w:cs="Times New Roman"/>
          <w:color w:val="000000" w:themeColor="text1"/>
          <w:sz w:val="24"/>
          <w:szCs w:val="24"/>
        </w:rPr>
        <w:t>Remove 13 of the 15 system-level variables associated with the schema for those health departments that upload data into EvaluationWeb. These variables are no longer needed for data upload</w:t>
      </w:r>
      <w:r w:rsidR="00450A7B">
        <w:rPr>
          <w:rFonts w:ascii="Times New Roman" w:hAnsi="Times New Roman" w:cs="Times New Roman"/>
          <w:color w:val="000000" w:themeColor="text1"/>
          <w:sz w:val="24"/>
          <w:szCs w:val="24"/>
        </w:rPr>
        <w:t xml:space="preserve"> to EvaluationWeb</w:t>
      </w:r>
      <w:r w:rsidRPr="00070F00">
        <w:rPr>
          <w:rFonts w:ascii="Times New Roman" w:hAnsi="Times New Roman" w:cs="Times New Roman"/>
          <w:color w:val="000000" w:themeColor="text1"/>
          <w:sz w:val="24"/>
          <w:szCs w:val="24"/>
        </w:rPr>
        <w:t>.</w:t>
      </w:r>
      <w:r w:rsidR="00450A7B">
        <w:rPr>
          <w:rFonts w:ascii="Times New Roman" w:hAnsi="Times New Roman" w:cs="Times New Roman"/>
          <w:color w:val="000000" w:themeColor="text1"/>
          <w:sz w:val="24"/>
          <w:szCs w:val="24"/>
        </w:rPr>
        <w:t xml:space="preserve"> (</w:t>
      </w:r>
      <w:r w:rsidR="00450A7B" w:rsidRPr="00450A7B">
        <w:rPr>
          <w:rFonts w:ascii="Times New Roman" w:hAnsi="Times New Roman" w:cs="Times New Roman"/>
          <w:b/>
          <w:color w:val="000000" w:themeColor="text1"/>
          <w:sz w:val="24"/>
          <w:szCs w:val="24"/>
        </w:rPr>
        <w:t>Attachment 5C</w:t>
      </w:r>
      <w:r w:rsidR="00450A7B">
        <w:rPr>
          <w:rFonts w:ascii="Times New Roman" w:hAnsi="Times New Roman" w:cs="Times New Roman"/>
          <w:color w:val="000000" w:themeColor="text1"/>
          <w:sz w:val="24"/>
          <w:szCs w:val="24"/>
        </w:rPr>
        <w:t>)</w:t>
      </w:r>
    </w:p>
    <w:p w:rsidR="000C68A0" w:rsidRPr="00402042" w:rsidRDefault="005B7084" w:rsidP="00B959FF">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response to stakeholder feedback, we added</w:t>
      </w:r>
      <w:r w:rsidR="00305127" w:rsidRPr="00402042">
        <w:rPr>
          <w:rFonts w:ascii="Times New Roman" w:hAnsi="Times New Roman" w:cs="Times New Roman"/>
          <w:color w:val="000000" w:themeColor="text1"/>
          <w:sz w:val="24"/>
          <w:szCs w:val="24"/>
        </w:rPr>
        <w:t xml:space="preserve"> one additional variable to further </w:t>
      </w:r>
      <w:r w:rsidR="003A40A3">
        <w:rPr>
          <w:rFonts w:ascii="Times New Roman" w:hAnsi="Times New Roman" w:cs="Times New Roman"/>
          <w:color w:val="000000" w:themeColor="text1"/>
          <w:sz w:val="24"/>
          <w:szCs w:val="24"/>
        </w:rPr>
        <w:t>ascertain</w:t>
      </w:r>
      <w:r w:rsidR="00305127" w:rsidRPr="00402042">
        <w:rPr>
          <w:rFonts w:ascii="Times New Roman" w:hAnsi="Times New Roman" w:cs="Times New Roman"/>
          <w:color w:val="000000" w:themeColor="text1"/>
          <w:sz w:val="24"/>
          <w:szCs w:val="24"/>
        </w:rPr>
        <w:t xml:space="preserve"> priority populations (sex with a transgender person).</w:t>
      </w:r>
      <w:r w:rsidR="00F4210A" w:rsidRPr="00402042">
        <w:rPr>
          <w:rFonts w:ascii="Times New Roman" w:hAnsi="Times New Roman" w:cs="Times New Roman"/>
          <w:color w:val="000000" w:themeColor="text1"/>
          <w:sz w:val="24"/>
          <w:szCs w:val="24"/>
        </w:rPr>
        <w:t xml:space="preserve"> </w:t>
      </w:r>
      <w:r w:rsidR="00450A7B">
        <w:rPr>
          <w:rFonts w:ascii="Times New Roman" w:hAnsi="Times New Roman" w:cs="Times New Roman"/>
          <w:color w:val="000000" w:themeColor="text1"/>
          <w:sz w:val="24"/>
          <w:szCs w:val="24"/>
        </w:rPr>
        <w:t>(</w:t>
      </w:r>
      <w:r w:rsidR="00450A7B" w:rsidRPr="00450A7B">
        <w:rPr>
          <w:rFonts w:ascii="Times New Roman" w:hAnsi="Times New Roman" w:cs="Times New Roman"/>
          <w:b/>
          <w:color w:val="000000" w:themeColor="text1"/>
          <w:sz w:val="24"/>
          <w:szCs w:val="24"/>
        </w:rPr>
        <w:t>Attachment 5A and Attachment 5B</w:t>
      </w:r>
      <w:r w:rsidR="00450A7B">
        <w:rPr>
          <w:rFonts w:ascii="Times New Roman" w:hAnsi="Times New Roman" w:cs="Times New Roman"/>
          <w:color w:val="000000" w:themeColor="text1"/>
          <w:sz w:val="24"/>
          <w:szCs w:val="24"/>
        </w:rPr>
        <w:t>)</w:t>
      </w:r>
      <w:r w:rsidR="000C68A0" w:rsidRPr="00402042">
        <w:rPr>
          <w:rFonts w:ascii="Times New Roman" w:hAnsi="Times New Roman" w:cs="Times New Roman"/>
          <w:color w:val="000000" w:themeColor="text1"/>
          <w:sz w:val="24"/>
          <w:szCs w:val="24"/>
        </w:rPr>
        <w:br w:type="page"/>
      </w:r>
    </w:p>
    <w:p w:rsidR="000A408B" w:rsidRPr="000C68A0" w:rsidRDefault="000A408B" w:rsidP="000A408B">
      <w:pPr>
        <w:pStyle w:val="NoSpacing"/>
        <w:rPr>
          <w:rFonts w:ascii="Times New Roman" w:hAnsi="Times New Roman" w:cs="Times New Roman"/>
          <w:sz w:val="24"/>
        </w:rPr>
      </w:pPr>
      <w:r w:rsidRPr="000C68A0">
        <w:rPr>
          <w:rFonts w:ascii="Times New Roman" w:hAnsi="Times New Roman" w:cs="Times New Roman"/>
          <w:sz w:val="24"/>
        </w:rPr>
        <w:lastRenderedPageBreak/>
        <w:t>National HIV Prevention Program Monitoring and Evaluations (NHM&amp;E) (OMB 0920-0696, Exp. 2/2018)</w:t>
      </w:r>
    </w:p>
    <w:p w:rsidR="000A408B" w:rsidRPr="000C68A0" w:rsidRDefault="000A408B" w:rsidP="000A408B">
      <w:pPr>
        <w:pStyle w:val="NoSpacing"/>
        <w:rPr>
          <w:rFonts w:ascii="Times New Roman" w:hAnsi="Times New Roman" w:cs="Times New Roman"/>
          <w:sz w:val="24"/>
        </w:rPr>
      </w:pPr>
      <w:r w:rsidRPr="000C68A0">
        <w:rPr>
          <w:rFonts w:ascii="Times New Roman" w:hAnsi="Times New Roman" w:cs="Times New Roman"/>
          <w:sz w:val="24"/>
        </w:rPr>
        <w:t xml:space="preserve">Variables </w:t>
      </w:r>
      <w:r>
        <w:rPr>
          <w:rFonts w:ascii="Times New Roman" w:hAnsi="Times New Roman" w:cs="Times New Roman"/>
          <w:sz w:val="24"/>
        </w:rPr>
        <w:t>Added</w:t>
      </w:r>
      <w:r w:rsidRPr="000C68A0">
        <w:rPr>
          <w:rFonts w:ascii="Times New Roman" w:hAnsi="Times New Roman" w:cs="Times New Roman"/>
          <w:sz w:val="24"/>
        </w:rPr>
        <w:t xml:space="preserve"> (N=</w:t>
      </w:r>
      <w:r w:rsidR="00751C15">
        <w:rPr>
          <w:rFonts w:ascii="Times New Roman" w:hAnsi="Times New Roman" w:cs="Times New Roman"/>
          <w:sz w:val="24"/>
        </w:rPr>
        <w:t>8</w:t>
      </w:r>
      <w:r w:rsidR="00305127">
        <w:rPr>
          <w:rFonts w:ascii="Times New Roman" w:hAnsi="Times New Roman" w:cs="Times New Roman"/>
          <w:sz w:val="24"/>
        </w:rPr>
        <w:t>4</w:t>
      </w:r>
      <w:r w:rsidRPr="000C68A0">
        <w:rPr>
          <w:rFonts w:ascii="Times New Roman" w:hAnsi="Times New Roman" w:cs="Times New Roman"/>
          <w:sz w:val="24"/>
        </w:rPr>
        <w:t>)</w:t>
      </w:r>
    </w:p>
    <w:tbl>
      <w:tblPr>
        <w:tblStyle w:val="TableGrid"/>
        <w:tblW w:w="0" w:type="auto"/>
        <w:tblLook w:val="04A0" w:firstRow="1" w:lastRow="0" w:firstColumn="1" w:lastColumn="0" w:noHBand="0" w:noVBand="1"/>
      </w:tblPr>
      <w:tblGrid>
        <w:gridCol w:w="533"/>
        <w:gridCol w:w="1769"/>
        <w:gridCol w:w="2193"/>
        <w:gridCol w:w="5575"/>
      </w:tblGrid>
      <w:tr w:rsidR="00922F93" w:rsidRPr="000C68A0" w:rsidTr="00751C15">
        <w:trPr>
          <w:trHeight w:val="600"/>
        </w:trPr>
        <w:tc>
          <w:tcPr>
            <w:tcW w:w="533" w:type="dxa"/>
            <w:vAlign w:val="bottom"/>
          </w:tcPr>
          <w:p w:rsidR="00922F93" w:rsidRPr="00751C15" w:rsidRDefault="00922F93" w:rsidP="00922F93">
            <w:pPr>
              <w:pStyle w:val="NoSpacing"/>
              <w:jc w:val="right"/>
              <w:rPr>
                <w:rFonts w:ascii="Times New Roman" w:hAnsi="Times New Roman" w:cs="Times New Roman"/>
              </w:rPr>
            </w:pPr>
          </w:p>
        </w:tc>
        <w:tc>
          <w:tcPr>
            <w:tcW w:w="1769" w:type="dxa"/>
            <w:hideMark/>
          </w:tcPr>
          <w:p w:rsidR="00922F93" w:rsidRPr="00751C15" w:rsidRDefault="00922F93" w:rsidP="00922F93">
            <w:pPr>
              <w:pStyle w:val="NoSpacing"/>
              <w:rPr>
                <w:rFonts w:ascii="Times New Roman" w:hAnsi="Times New Roman" w:cs="Times New Roman"/>
              </w:rPr>
            </w:pPr>
            <w:r w:rsidRPr="00751C15">
              <w:rPr>
                <w:rFonts w:ascii="Times New Roman" w:hAnsi="Times New Roman" w:cs="Times New Roman"/>
              </w:rPr>
              <w:t>Variable</w:t>
            </w:r>
          </w:p>
          <w:p w:rsidR="00922F93" w:rsidRPr="00751C15" w:rsidRDefault="00922F93" w:rsidP="00922F93">
            <w:pPr>
              <w:pStyle w:val="NoSpacing"/>
              <w:rPr>
                <w:rFonts w:ascii="Times New Roman" w:hAnsi="Times New Roman" w:cs="Times New Roman"/>
              </w:rPr>
            </w:pPr>
            <w:r w:rsidRPr="00751C15">
              <w:rPr>
                <w:rFonts w:ascii="Times New Roman" w:hAnsi="Times New Roman" w:cs="Times New Roman"/>
              </w:rPr>
              <w:t>Number</w:t>
            </w:r>
          </w:p>
        </w:tc>
        <w:tc>
          <w:tcPr>
            <w:tcW w:w="2193" w:type="dxa"/>
            <w:hideMark/>
          </w:tcPr>
          <w:p w:rsidR="00922F93" w:rsidRPr="00751C15" w:rsidRDefault="00922F93" w:rsidP="00922F93">
            <w:pPr>
              <w:pStyle w:val="NoSpacing"/>
              <w:rPr>
                <w:rFonts w:ascii="Times New Roman" w:hAnsi="Times New Roman" w:cs="Times New Roman"/>
              </w:rPr>
            </w:pPr>
            <w:r w:rsidRPr="00751C15">
              <w:rPr>
                <w:rFonts w:ascii="Times New Roman" w:hAnsi="Times New Roman" w:cs="Times New Roman"/>
              </w:rPr>
              <w:t>Variable Name</w:t>
            </w:r>
          </w:p>
        </w:tc>
        <w:tc>
          <w:tcPr>
            <w:tcW w:w="5575" w:type="dxa"/>
            <w:noWrap/>
            <w:hideMark/>
          </w:tcPr>
          <w:p w:rsidR="00922F93" w:rsidRPr="00751C15" w:rsidRDefault="00922F93" w:rsidP="00922F93">
            <w:pPr>
              <w:pStyle w:val="NoSpacing"/>
              <w:rPr>
                <w:rFonts w:ascii="Times New Roman" w:hAnsi="Times New Roman" w:cs="Times New Roman"/>
              </w:rPr>
            </w:pPr>
            <w:r w:rsidRPr="00751C15">
              <w:rPr>
                <w:rFonts w:ascii="Times New Roman" w:hAnsi="Times New Roman" w:cs="Times New Roman"/>
              </w:rPr>
              <w:t>Variable Definition</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BASTRAT10a1P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Monitoring and Evaluation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allocated for HIV Prevention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BASTRAT10a1S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Monitoring and Evaluation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allocated for HIV Surveillance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BASTRAT11a1P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Capacity Building and TA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allocated for HIV Prevention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4</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BASTRAT11a1S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Capacity Building and TA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allocated for HIV Surveillance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5</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BASTRAT11a2P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Geocoding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allocated for HIV Prevention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6</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BASTRAT11a2S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Geocoding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allocated for HIV Surveillance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7</w:t>
            </w:r>
          </w:p>
        </w:tc>
        <w:tc>
          <w:tcPr>
            <w:tcW w:w="1769" w:type="dxa"/>
            <w:vAlign w:val="bottom"/>
          </w:tcPr>
          <w:p w:rsidR="00922F93" w:rsidRPr="00751C15" w:rsidRDefault="00922F93" w:rsidP="002A61B3">
            <w:pPr>
              <w:rPr>
                <w:rFonts w:ascii="Times New Roman" w:hAnsi="Times New Roman" w:cs="Times New Roman"/>
                <w:color w:val="000000"/>
              </w:rPr>
            </w:pPr>
            <w:r w:rsidRPr="00751C15">
              <w:rPr>
                <w:rFonts w:ascii="Times New Roman" w:hAnsi="Times New Roman" w:cs="Times New Roman"/>
                <w:color w:val="000000"/>
              </w:rPr>
              <w:t>BASTRAT1a1</w:t>
            </w:r>
            <w:r w:rsidR="002A61B3" w:rsidRPr="00751C15">
              <w:rPr>
                <w:rFonts w:ascii="Times New Roman" w:hAnsi="Times New Roman" w:cs="Times New Roman"/>
                <w:color w:val="000000"/>
              </w:rPr>
              <w:t>S</w:t>
            </w:r>
          </w:p>
        </w:tc>
        <w:tc>
          <w:tcPr>
            <w:tcW w:w="2193" w:type="dxa"/>
            <w:vAlign w:val="bottom"/>
          </w:tcPr>
          <w:p w:rsidR="00922F93" w:rsidRPr="00751C15" w:rsidRDefault="00922F93" w:rsidP="002A61B3">
            <w:pPr>
              <w:rPr>
                <w:rFonts w:ascii="Times New Roman" w:hAnsi="Times New Roman" w:cs="Times New Roman"/>
                <w:color w:val="000000"/>
              </w:rPr>
            </w:pPr>
            <w:r w:rsidRPr="00751C15">
              <w:rPr>
                <w:rFonts w:ascii="Times New Roman" w:hAnsi="Times New Roman" w:cs="Times New Roman"/>
                <w:color w:val="000000"/>
              </w:rPr>
              <w:t xml:space="preserve">Percent </w:t>
            </w:r>
            <w:r w:rsidR="002A61B3" w:rsidRPr="00751C15">
              <w:rPr>
                <w:rFonts w:ascii="Times New Roman" w:hAnsi="Times New Roman" w:cs="Times New Roman"/>
                <w:color w:val="000000"/>
              </w:rPr>
              <w:t>Allocated</w:t>
            </w:r>
            <w:r w:rsidRPr="00751C15">
              <w:rPr>
                <w:rFonts w:ascii="Times New Roman" w:hAnsi="Times New Roman" w:cs="Times New Roman"/>
                <w:color w:val="000000"/>
              </w:rPr>
              <w:t xml:space="preserve"> – Data Activities - </w:t>
            </w:r>
            <w:r w:rsidR="002A61B3" w:rsidRPr="00751C15">
              <w:rPr>
                <w:rFonts w:ascii="Times New Roman" w:hAnsi="Times New Roman" w:cs="Times New Roman"/>
                <w:color w:val="000000"/>
              </w:rPr>
              <w:t>Surveillance</w:t>
            </w:r>
          </w:p>
        </w:tc>
        <w:tc>
          <w:tcPr>
            <w:tcW w:w="5575" w:type="dxa"/>
            <w:noWrap/>
            <w:vAlign w:val="bottom"/>
          </w:tcPr>
          <w:p w:rsidR="00922F93" w:rsidRPr="00751C15" w:rsidRDefault="00922F93" w:rsidP="002A61B3">
            <w:pPr>
              <w:rPr>
                <w:rFonts w:ascii="Times New Roman" w:hAnsi="Times New Roman" w:cs="Times New Roman"/>
                <w:color w:val="000000"/>
              </w:rPr>
            </w:pPr>
            <w:r w:rsidRPr="00751C15">
              <w:rPr>
                <w:rFonts w:ascii="Times New Roman" w:hAnsi="Times New Roman" w:cs="Times New Roman"/>
                <w:color w:val="000000"/>
              </w:rPr>
              <w:t xml:space="preserve">Strategy 1: Percent of PS18-1802 funding allocated for HIV </w:t>
            </w:r>
            <w:r w:rsidR="002A61B3" w:rsidRPr="00751C15">
              <w:rPr>
                <w:rFonts w:ascii="Times New Roman" w:hAnsi="Times New Roman" w:cs="Times New Roman"/>
                <w:color w:val="000000"/>
              </w:rPr>
              <w:t>Surveillance</w:t>
            </w:r>
            <w:r w:rsidRPr="00751C15">
              <w:rPr>
                <w:rFonts w:ascii="Times New Roman" w:hAnsi="Times New Roman" w:cs="Times New Roman"/>
                <w:color w:val="000000"/>
              </w:rPr>
              <w:t xml:space="preserve"> data collection, analysis, and dissemination activities.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8</w:t>
            </w:r>
          </w:p>
        </w:tc>
        <w:tc>
          <w:tcPr>
            <w:tcW w:w="1769" w:type="dxa"/>
            <w:vAlign w:val="bottom"/>
          </w:tcPr>
          <w:p w:rsidR="00922F93" w:rsidRPr="00751C15" w:rsidRDefault="00922F93" w:rsidP="002A61B3">
            <w:pPr>
              <w:rPr>
                <w:rFonts w:ascii="Times New Roman" w:hAnsi="Times New Roman" w:cs="Times New Roman"/>
                <w:color w:val="000000"/>
              </w:rPr>
            </w:pPr>
            <w:r w:rsidRPr="00751C15">
              <w:rPr>
                <w:rFonts w:ascii="Times New Roman" w:hAnsi="Times New Roman" w:cs="Times New Roman"/>
                <w:color w:val="000000"/>
              </w:rPr>
              <w:t>BASTRAT1a2</w:t>
            </w:r>
            <w:r w:rsidR="002A61B3" w:rsidRPr="00751C15">
              <w:rPr>
                <w:rFonts w:ascii="Times New Roman" w:hAnsi="Times New Roman" w:cs="Times New Roman"/>
                <w:color w:val="000000"/>
              </w:rPr>
              <w:t>P</w:t>
            </w:r>
          </w:p>
        </w:tc>
        <w:tc>
          <w:tcPr>
            <w:tcW w:w="2193" w:type="dxa"/>
            <w:vAlign w:val="bottom"/>
          </w:tcPr>
          <w:p w:rsidR="00922F93" w:rsidRPr="00751C15" w:rsidRDefault="00922F93" w:rsidP="002A61B3">
            <w:pPr>
              <w:rPr>
                <w:rFonts w:ascii="Times New Roman" w:hAnsi="Times New Roman" w:cs="Times New Roman"/>
                <w:color w:val="000000"/>
              </w:rPr>
            </w:pPr>
            <w:r w:rsidRPr="00751C15">
              <w:rPr>
                <w:rFonts w:ascii="Times New Roman" w:hAnsi="Times New Roman" w:cs="Times New Roman"/>
                <w:color w:val="000000"/>
              </w:rPr>
              <w:t xml:space="preserve">Percent </w:t>
            </w:r>
            <w:r w:rsidR="002A61B3" w:rsidRPr="00751C15">
              <w:rPr>
                <w:rFonts w:ascii="Times New Roman" w:hAnsi="Times New Roman" w:cs="Times New Roman"/>
                <w:color w:val="000000"/>
              </w:rPr>
              <w:t>Allocated</w:t>
            </w:r>
            <w:r w:rsidRPr="00751C15">
              <w:rPr>
                <w:rFonts w:ascii="Times New Roman" w:hAnsi="Times New Roman" w:cs="Times New Roman"/>
                <w:color w:val="000000"/>
              </w:rPr>
              <w:t xml:space="preserve"> – Data Activities - </w:t>
            </w:r>
            <w:r w:rsidR="002A61B3" w:rsidRPr="00751C15">
              <w:rPr>
                <w:rFonts w:ascii="Times New Roman" w:hAnsi="Times New Roman" w:cs="Times New Roman"/>
                <w:color w:val="000000"/>
              </w:rPr>
              <w:t>Prevention</w:t>
            </w:r>
          </w:p>
        </w:tc>
        <w:tc>
          <w:tcPr>
            <w:tcW w:w="5575" w:type="dxa"/>
            <w:noWrap/>
            <w:vAlign w:val="bottom"/>
          </w:tcPr>
          <w:p w:rsidR="00922F93" w:rsidRPr="00751C15" w:rsidRDefault="00922F93" w:rsidP="002A61B3">
            <w:pPr>
              <w:rPr>
                <w:rFonts w:ascii="Times New Roman" w:hAnsi="Times New Roman" w:cs="Times New Roman"/>
                <w:color w:val="000000"/>
              </w:rPr>
            </w:pPr>
            <w:r w:rsidRPr="00751C15">
              <w:rPr>
                <w:rFonts w:ascii="Times New Roman" w:hAnsi="Times New Roman" w:cs="Times New Roman"/>
                <w:color w:val="000000"/>
              </w:rPr>
              <w:t xml:space="preserve">Strategy 1: Percent of PS18-1802 funding allocated for HIV </w:t>
            </w:r>
            <w:r w:rsidR="002A61B3" w:rsidRPr="00751C15">
              <w:rPr>
                <w:rFonts w:ascii="Times New Roman" w:hAnsi="Times New Roman" w:cs="Times New Roman"/>
                <w:color w:val="000000"/>
              </w:rPr>
              <w:t>Prevention</w:t>
            </w:r>
            <w:r w:rsidRPr="00751C15">
              <w:rPr>
                <w:rFonts w:ascii="Times New Roman" w:hAnsi="Times New Roman" w:cs="Times New Roman"/>
                <w:color w:val="000000"/>
              </w:rPr>
              <w:t xml:space="preserve"> data collection, analysis, and dissemination activities.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9</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BASTRAT2a1P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Routine HIV testing, Healthcare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2: Percent of PS18-1802 funding allocated for HIV Prevention routine opt-out HIV testing in healthcare settings.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10</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BASTRAT2a2P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Targeted HIV testing, non-Healthcare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2: Percent of PS18-1802 funding allocated for HIV Prevention targeted HIV testing in non-healthcare settings.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11</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BASTRAT2a3P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HIV Partner Services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Prevention HIV Partner Services.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12</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BASTRAT2a4P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D2C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Prevention Data-to-Care (D2C) Activities.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13</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BASTRAT2a4S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expended - D2C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Surveillance Data-to-Care (D2C) Activities.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lastRenderedPageBreak/>
              <w:t>14</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BASTRAT3a1P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HIV Transmission Clusters and Outbreaks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Prevention rapidly respond to and intervene in HIV transmission clusters and outbreaks.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15</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BASTRAT3a1S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HIV Transmission Clusters and Outbreaks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Surveillance rapidly respond to and intervene in HIV transmission clusters and outbreaks.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16</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BASTRAT4a1P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CPP, Continuum of Care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4: Percent of PS18-1802 funding allocated for HIV Prevention Continuum of care - (linkage to HIV medical care, re-engagement, and retention in care).</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17</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BASTRAT4a2P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CPP, Risk Reduction Interventions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4: Percent of PS18-1802 funding allocated for risk-reduction interventions for HIV-positive persons.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18</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BASTRAT4a3P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 xml:space="preserve">Percent Allocated - Other CPP - Prevention </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4: Percent of PS18-1802 funding allocated for other CPP activities (health benefits navigation and enrollment, referrals to behavioral health services, and social services).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19</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BASTRAT5a1P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Prevention with HIV-negative persons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5: Percent of PS18-1802 funding allocated for HIV Prevention HIV testing and risk screenings, conduct risk reduction interventions for HIV-negative persons, health benefits navigation and enrollment, referrals to behavioral health services, and social services.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20</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BASTRAT5a2P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PrEP Access and Support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5: Percent of PS18-1802 funding allocated for HIV Prevention PrEP access and support.</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21</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BASTRAT5a3P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PEP Access and Support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5: Percent of PS18-1802 funding allocated for HIV Prevention PEP access and support.</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22</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BASTRAT6a1P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Perinatal HIV Exposure Reporting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5: Percent of PS18-1802 funding allocated for HIV Prevention HIV testing and risk screenings, conduct risk reduction interventions for HIV-negative persons, health benefits navigation and enrollment, referrals to behavioral health services, and social services.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23</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BASTRAT6a1S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Perinatal HIV Exposure Reporting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5: Percent of PS18-1802 funding allocated for HIV Prevention PrEP access and support.</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24</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BASTRAT6a2P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Perinatal HIV Surveillance Coordination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5: Percent of PS18-1802 funding allocated for HIV Prevention PEP access and support.</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25</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BASTRAT6a2S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Perinatal HIV Surveillance Coordination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6: Percent of PS18-1802 funding allocated for HIV Surveillance perinatal HIV service coordination (i.e., fetal and infant mortality review).</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26</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BASTRAT7a1P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Community-level Prevention Activities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7: Percent of PS18-1802 funding allocated for HIV Prevention social marketing campaigns, social media strategies, and community mobilization (if conducted).</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27</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BASTRAT7a2P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SSP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7: Percent of PS18-1802 funding allocated for HIV Prevention syringe services program (if conducted).</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28</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BASTRAT7a3P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Condom Distribution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7: Percent of PS18-1802 funding allocated for HIV Prevention condom distribution.</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29</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BASTRAT8a1P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HIV Planning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Prevention rapidly respond to and intervene in HIV transmission clusters and outbreaks.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30</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BASTRAT8a1S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HIV Planning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Prevention rapidly respond to and intervene in HIV transmission clusters and outbreaks.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31</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BASTRAT9a1P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Health Information Infrastructure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9: Percent of PS18-1802 funding allocated for HIV Prevention health information infrastructure.</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32</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BASTRAT9a1S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Health Information Infrastructure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9: Percent of PS18-1802 funding allocated for HIV Surveillance health information infrastructure.</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33</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BASTRAT9a2P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Data Security and Confidentiality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9: Percent of PS18-1802 funding allocated for HIV Prevention data security and confidentiality.</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34</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BASTRAT9a2S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Data Security and Confidentiality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9: Percent of PS18-1802 funding allocated for HIV Surveillance data security and confidentiality.</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35</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BASTRAT9a3P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Policies and Protocols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9: Percent of PS18-1802 funding allocated for HIV Prevention strengthen policies and protocols to support HIV surveillance and prevention at the state and local level.</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36</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BASTRAT9a3S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Allocated - Policies and Protocols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9: Percent of PS18-1802 funding allocated for HIV Surveillance strengthen policies and protocols to support HIV surveillance and prevention at the state and local level.</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37</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BESTRAT10a1P</w:t>
            </w:r>
          </w:p>
        </w:tc>
        <w:tc>
          <w:tcPr>
            <w:tcW w:w="2193" w:type="dxa"/>
            <w:vAlign w:val="bottom"/>
          </w:tcPr>
          <w:p w:rsidR="00922F93" w:rsidRPr="00751C15" w:rsidRDefault="00922F93" w:rsidP="0011652C">
            <w:pPr>
              <w:rPr>
                <w:rFonts w:ascii="Times New Roman" w:hAnsi="Times New Roman" w:cs="Times New Roman"/>
              </w:rPr>
            </w:pPr>
            <w:r w:rsidRPr="00751C15">
              <w:rPr>
                <w:rFonts w:ascii="Times New Roman" w:hAnsi="Times New Roman" w:cs="Times New Roman"/>
              </w:rPr>
              <w:t>Percent Expended - Monitoring and Evaluation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expended for HIV Prevention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38</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BESTRAT10a1S</w:t>
            </w:r>
          </w:p>
        </w:tc>
        <w:tc>
          <w:tcPr>
            <w:tcW w:w="2193" w:type="dxa"/>
            <w:vAlign w:val="bottom"/>
          </w:tcPr>
          <w:p w:rsidR="00922F93" w:rsidRPr="00751C15" w:rsidRDefault="00922F93" w:rsidP="0011652C">
            <w:pPr>
              <w:rPr>
                <w:rFonts w:ascii="Times New Roman" w:hAnsi="Times New Roman" w:cs="Times New Roman"/>
              </w:rPr>
            </w:pPr>
            <w:r w:rsidRPr="00751C15">
              <w:rPr>
                <w:rFonts w:ascii="Times New Roman" w:hAnsi="Times New Roman" w:cs="Times New Roman"/>
              </w:rPr>
              <w:t>Percent Expended - Monitoring and Evaluation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expended for HIV Surveillance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39</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BESTRAT11a1P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Expended - Capacity Building and TA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expended for HIV Prevention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40</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BESTRAT11a1S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Expended - Capacity Building and TA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expended for HIV Surveillance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41</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BESTRAT11a2P</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Expended - Geocoding - Prevention</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expended for HIV Prevention developing work plans, ensure data quality, monitor Integrated HIV Prevention and Care Plan and Jurisdictional Epidemiological Profiles.</w:t>
            </w:r>
          </w:p>
        </w:tc>
      </w:tr>
      <w:tr w:rsidR="00922F93" w:rsidRPr="000C68A0" w:rsidTr="00751C15">
        <w:trPr>
          <w:trHeight w:val="600"/>
        </w:trPr>
        <w:tc>
          <w:tcPr>
            <w:tcW w:w="533" w:type="dxa"/>
            <w:vAlign w:val="bottom"/>
          </w:tcPr>
          <w:p w:rsidR="00922F93" w:rsidRPr="00751C15" w:rsidRDefault="00922F93" w:rsidP="00922F93">
            <w:pPr>
              <w:jc w:val="right"/>
              <w:rPr>
                <w:rFonts w:ascii="Times New Roman" w:hAnsi="Times New Roman" w:cs="Times New Roman"/>
                <w:color w:val="000000"/>
              </w:rPr>
            </w:pPr>
            <w:r w:rsidRPr="00751C15">
              <w:rPr>
                <w:rFonts w:ascii="Times New Roman" w:hAnsi="Times New Roman" w:cs="Times New Roman"/>
                <w:color w:val="000000"/>
              </w:rPr>
              <w:t>42</w:t>
            </w:r>
          </w:p>
        </w:tc>
        <w:tc>
          <w:tcPr>
            <w:tcW w:w="1769"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BESTRAT11a2S</w:t>
            </w:r>
          </w:p>
        </w:tc>
        <w:tc>
          <w:tcPr>
            <w:tcW w:w="2193" w:type="dxa"/>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Percent Expended - Geocoding - Surveillance</w:t>
            </w:r>
          </w:p>
        </w:tc>
        <w:tc>
          <w:tcPr>
            <w:tcW w:w="5575" w:type="dxa"/>
            <w:noWrap/>
            <w:vAlign w:val="bottom"/>
          </w:tcPr>
          <w:p w:rsidR="00922F93" w:rsidRPr="00751C15" w:rsidRDefault="00922F93" w:rsidP="0011652C">
            <w:pPr>
              <w:rPr>
                <w:rFonts w:ascii="Times New Roman" w:hAnsi="Times New Roman" w:cs="Times New Roman"/>
                <w:color w:val="000000"/>
              </w:rPr>
            </w:pPr>
            <w:r w:rsidRPr="00751C15">
              <w:rPr>
                <w:rFonts w:ascii="Times New Roman" w:hAnsi="Times New Roman" w:cs="Times New Roman"/>
                <w:color w:val="000000"/>
              </w:rPr>
              <w:t>Strategy 10: Percent of PS18-1802 funding expended for HIV Surveillance developing work plans, ensure data quality, monitor Integrated HIV Prevention and Care Plan and Jurisdictional Epidemiological Profiles.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43</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BESTRAT1a1S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Data Activities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1: Percent of PS18-1802 funding expended HIV Surveillance data collection, analysis, and dissemination activities.</w:t>
            </w:r>
          </w:p>
        </w:tc>
      </w:tr>
      <w:tr w:rsidR="002A61B3" w:rsidRPr="000C68A0" w:rsidTr="00751C15">
        <w:trPr>
          <w:trHeight w:val="143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44</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BESTRAT1a2P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NHME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1: Percent of PS18-1802 funding expended HIV Prevention data collection, analysis, and dissemination activities.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45</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BESTRAT2a1P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Routine HIV testing, Healthcare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2: Percent of PS18-1802 funding expended for HIV Prevention routine opt-out HIV testing in healthcare settings.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46</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BESTRAT2a2P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Targeted HIV testing, non-Healthcare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2: Percent of PS18-1802 funding expended for HIV Prevention targeted HIV testing in non-healthcare settings.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47</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BESTRAT2a3P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HIV Partner Services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Prevention HIV Partner Services.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48</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BESTRAT2a4P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D2C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Prevention Data-to-Care (D2C) Activities.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49</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BESTRAT2a4S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D2C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Surveillance Data-to-Care (D2C) Activities.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50</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BESTRAT3a1P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HIV Transmission Clusters and Outbreaks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Prevention rapidly respond to and intervene in HIV transmission clusters and outbreaks.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51</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BESTRAT3a1S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HIV Transmission Clusters and Outbreaks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Surveillance rapidly respond to and intervene in HIV transmission clusters and outbreaks.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52</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BESTRAT4a1P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CPP, Continuum of Care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4: Percent of PS18-1802 funding expended for HIV Prevention Continuum of care - (linkage to HIV medical care, re-engagement, and retention in care).</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53</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BESTRAT4a2P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CPP, Risk Reduction Interventions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4: Percent of PS18-1802 funding expended for risk-reduction interventions for HIV-positive persons.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54</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BESTRAT4a3P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 xml:space="preserve">Percent Expended - Other CPP - Prevention </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4: Percent of PS18-1802 funding expended for other CPP activities (health benefits navigation and enrollment, referrals to behavioral health services, and social services).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55</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BESTRAT5a1P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Prevention with HIV-negative persons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5: Percent of PS18-1802 funding expended for HIV Prevention for HIV testing and risk screenings, conduct risk reduction interventions for HIV-negative persons, health benefits navigation and enrollment, referrals to behavioral health services, and social services.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56</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BESTRAT5a2P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PrEP Access and Support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5: Percent of PS18-1802 funding expended for HIV Prevention PrEP access and support.</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57</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BESTRAT5a3P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PEP Access and Support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5: Percent of PS18-1802 funding expended for HIV Prevention PEP access and support.</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58</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BESTRAT6a1P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Perinatal HIV Exposure Reporting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5: Percent of PS18-1802 funding expended for HIV Prevention for HIV testing and risk screenings, conduct risk reduction interventions for HIV-negative persons, health benefits navigation and enrollment, referrals to behavioral health services, and social services.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59</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BESTRAT6a1S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Perinatal HIV Exposure Reporting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5: Percent of PS18-1802 funding expended for HIV Prevention PrEP access and support.</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60</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BESTRAT6a2P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Perinatal HIV Surveillance Coordination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5: Percent of PS18-1802 funding expended for HIV Prevention PEP access and support.</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61</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BESTRAT6a2S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Perinatal HIV Surveillance Coordination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6: Percent of PS18-1802 funding expended for HIV Surveillance perinatal HIV service coordination (i.e., fetal and infant mortality review).</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62</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BESTRAT7a1P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Community-level Prevention Activities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7: Percent of PS18-1802 funding expended for HIV Prevention social marketing campaigns, social media strategies, and community mobilization (if conducted).</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63</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BESTRAT7a2P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SSP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7: Percent of PS18-1802 funding expended for HIV Prevention syringe services program (if conducted).</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64</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BESTRAT7a3P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Condom Distribution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7: Percent of PS18-1802 funding expended for HIV Prevention condom distribution.</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65</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BESTRAT8a1P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HIV Planning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allocated for HIV Surveillance rapidly respond to and intervene in HIV transmission clusters and outbreaks.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66</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BESTRAT8a1S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HIV Planning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3: Percent of PS18-1802 funding expended for HIV Surveillance rapidly respond to and intervene in HIV transmission clusters and outbreaks.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67</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BESTRAT9a1P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Health Information Infrastructure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9: Percent of PS18-1802 funding expended for HIV Prevention health information infrastructure.</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68</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BESTRAT9a1S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Health Information Infrastructure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9: Percent of PS18-1802 funding expended for HIV Surveillance health information infrastructure.</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69</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BESTRAT9a2P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Data Security and Confidentiality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9: Percent of PS18-1802 funding expended for HIV Prevention data security and confidentiality.</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70</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BESTRAT9a2S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Data Security and Confidentiality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9: Percent of PS18-1802 funding expended for HIV Surveillance data security and confidentiality.</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71</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BESTRAT9a3P</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Policies and Protocols - Prevention</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9: Percent of PS18-1802 funding expended for HIV Prevention strengthen policies and protocols to support HIV surveillance and prevention at the state and local level.</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72</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BESTRAT9a3S</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Percent Expended - Policies and Protocols - Surveillance</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Strategy 9: Percent of PS18-1802 funding expended for HIV Surveillance strengthen policies and protocols to support HIV surveillance and prevention at the state and local level.</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73</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CSTRATEGY1</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1</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1, Data collection, analysis, and dissemination of HIV data.</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74</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CSTRATEGY10</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10</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10, Monitoring and Evaluation to improve HIV surveillance, prevention, and care activities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75</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CSTRATEGY11</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11</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11, Capacity Building and Technical Assistance.</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76</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CSTRATEGY2</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2</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2, Identify persons with HIV infection and uninfected persons at risk for HIV infection, HIV testing in non-healthcare settings.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77</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CSTRATEGY3</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3</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3,  Develop, maintain, and implement plan to respond to HIV transmission clusters and outbreaks.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78</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CSTRATEGY4</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4</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4, Comprehensive prevention with positives (CPP).</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79</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CSTRATEGY5</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5</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5, Comprehensive prevention with HIV-negative persons at risk for HIV infection.</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80</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CSTRATEGY6</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6</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6, Perinatal HIV Prevention and Surveillance.</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81</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CSTRATEGY7</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7</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7, Community-level HIV prevention activities.</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82</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CSTRATEGY8</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8</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8, Integrated HIV Prevention and Care Planning.</w:t>
            </w:r>
          </w:p>
        </w:tc>
      </w:tr>
      <w:tr w:rsidR="002A61B3" w:rsidRPr="000C68A0" w:rsidTr="00751C15">
        <w:trPr>
          <w:trHeight w:val="600"/>
        </w:trPr>
        <w:tc>
          <w:tcPr>
            <w:tcW w:w="533" w:type="dxa"/>
            <w:vAlign w:val="bottom"/>
          </w:tcPr>
          <w:p w:rsidR="002A61B3" w:rsidRPr="00751C15" w:rsidRDefault="002A61B3" w:rsidP="002A61B3">
            <w:pPr>
              <w:jc w:val="right"/>
              <w:rPr>
                <w:rFonts w:ascii="Times New Roman" w:hAnsi="Times New Roman" w:cs="Times New Roman"/>
                <w:color w:val="000000"/>
              </w:rPr>
            </w:pPr>
            <w:r w:rsidRPr="00751C15">
              <w:rPr>
                <w:rFonts w:ascii="Times New Roman" w:hAnsi="Times New Roman" w:cs="Times New Roman"/>
                <w:color w:val="000000"/>
              </w:rPr>
              <w:t>83</w:t>
            </w:r>
          </w:p>
        </w:tc>
        <w:tc>
          <w:tcPr>
            <w:tcW w:w="1769"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CSTRATEGY9</w:t>
            </w:r>
          </w:p>
        </w:tc>
        <w:tc>
          <w:tcPr>
            <w:tcW w:w="2193" w:type="dxa"/>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Comments - Strategy 9</w:t>
            </w:r>
          </w:p>
        </w:tc>
        <w:tc>
          <w:tcPr>
            <w:tcW w:w="5575" w:type="dxa"/>
            <w:noWrap/>
            <w:vAlign w:val="bottom"/>
          </w:tcPr>
          <w:p w:rsidR="002A61B3" w:rsidRPr="00751C15" w:rsidRDefault="002A61B3" w:rsidP="002A61B3">
            <w:pPr>
              <w:rPr>
                <w:rFonts w:ascii="Times New Roman" w:hAnsi="Times New Roman" w:cs="Times New Roman"/>
                <w:color w:val="000000"/>
              </w:rPr>
            </w:pPr>
            <w:r w:rsidRPr="00751C15">
              <w:rPr>
                <w:rFonts w:ascii="Times New Roman" w:hAnsi="Times New Roman" w:cs="Times New Roman"/>
                <w:color w:val="000000"/>
              </w:rPr>
              <w:t>Jurisdiction comments for Strategy 9, Strengthen policies and protocols to support HIV surveillance and prevention at the state and local level.</w:t>
            </w:r>
          </w:p>
        </w:tc>
      </w:tr>
      <w:tr w:rsidR="00305127" w:rsidRPr="000C68A0" w:rsidTr="00751C15">
        <w:trPr>
          <w:trHeight w:val="600"/>
        </w:trPr>
        <w:tc>
          <w:tcPr>
            <w:tcW w:w="533" w:type="dxa"/>
            <w:vAlign w:val="bottom"/>
          </w:tcPr>
          <w:p w:rsidR="00305127" w:rsidRPr="00751C15" w:rsidRDefault="00305127" w:rsidP="002A61B3">
            <w:pPr>
              <w:jc w:val="right"/>
              <w:rPr>
                <w:rFonts w:ascii="Times New Roman" w:hAnsi="Times New Roman" w:cs="Times New Roman"/>
                <w:color w:val="000000"/>
              </w:rPr>
            </w:pPr>
            <w:r>
              <w:rPr>
                <w:rFonts w:ascii="Times New Roman" w:hAnsi="Times New Roman" w:cs="Times New Roman"/>
                <w:color w:val="000000"/>
              </w:rPr>
              <w:t>84</w:t>
            </w:r>
          </w:p>
        </w:tc>
        <w:tc>
          <w:tcPr>
            <w:tcW w:w="1769" w:type="dxa"/>
            <w:vAlign w:val="bottom"/>
          </w:tcPr>
          <w:p w:rsidR="00305127" w:rsidRPr="00751C15" w:rsidRDefault="00305127" w:rsidP="002A61B3">
            <w:pPr>
              <w:rPr>
                <w:rFonts w:ascii="Times New Roman" w:hAnsi="Times New Roman" w:cs="Times New Roman"/>
                <w:color w:val="000000"/>
              </w:rPr>
            </w:pPr>
            <w:r>
              <w:rPr>
                <w:rFonts w:ascii="Times New Roman" w:hAnsi="Times New Roman" w:cs="Times New Roman"/>
                <w:color w:val="000000"/>
              </w:rPr>
              <w:t>G403</w:t>
            </w:r>
          </w:p>
        </w:tc>
        <w:tc>
          <w:tcPr>
            <w:tcW w:w="2193" w:type="dxa"/>
            <w:vAlign w:val="bottom"/>
          </w:tcPr>
          <w:p w:rsidR="00305127" w:rsidRPr="00751C15" w:rsidRDefault="00305127" w:rsidP="002A61B3">
            <w:pPr>
              <w:rPr>
                <w:rFonts w:ascii="Times New Roman" w:hAnsi="Times New Roman" w:cs="Times New Roman"/>
                <w:color w:val="000000"/>
              </w:rPr>
            </w:pPr>
            <w:r>
              <w:rPr>
                <w:rFonts w:ascii="Times New Roman" w:hAnsi="Times New Roman" w:cs="Times New Roman"/>
                <w:color w:val="000000"/>
              </w:rPr>
              <w:t>Sex with a transgender person</w:t>
            </w:r>
          </w:p>
        </w:tc>
        <w:tc>
          <w:tcPr>
            <w:tcW w:w="5575" w:type="dxa"/>
            <w:noWrap/>
            <w:vAlign w:val="bottom"/>
          </w:tcPr>
          <w:p w:rsidR="00305127" w:rsidRPr="00751C15" w:rsidRDefault="00305127" w:rsidP="002A61B3">
            <w:pPr>
              <w:rPr>
                <w:rFonts w:ascii="Times New Roman" w:hAnsi="Times New Roman" w:cs="Times New Roman"/>
                <w:color w:val="000000"/>
              </w:rPr>
            </w:pPr>
            <w:r>
              <w:rPr>
                <w:rFonts w:ascii="Times New Roman" w:hAnsi="Times New Roman" w:cs="Times New Roman"/>
                <w:color w:val="000000"/>
              </w:rPr>
              <w:t>The client/patient self-reported having sex with a transgender person in the past 5 years.</w:t>
            </w:r>
          </w:p>
        </w:tc>
      </w:tr>
    </w:tbl>
    <w:p w:rsidR="000C68A0" w:rsidRPr="000C68A0" w:rsidRDefault="000C68A0" w:rsidP="000C68A0">
      <w:pPr>
        <w:pStyle w:val="NoSpacing"/>
        <w:rPr>
          <w:rFonts w:ascii="Times New Roman" w:hAnsi="Times New Roman" w:cs="Times New Roman"/>
          <w:sz w:val="24"/>
        </w:rPr>
      </w:pPr>
      <w:r w:rsidRPr="000C68A0">
        <w:rPr>
          <w:rFonts w:ascii="Times New Roman" w:hAnsi="Times New Roman" w:cs="Times New Roman"/>
          <w:sz w:val="24"/>
        </w:rPr>
        <w:t>National HIV Prevention Program Monitoring and Evaluations (NHM&amp;E) (OMB 0920-0696, Exp. 2/2018)</w:t>
      </w:r>
    </w:p>
    <w:p w:rsidR="000C68A0" w:rsidRPr="000C68A0" w:rsidRDefault="000C68A0" w:rsidP="000C68A0">
      <w:pPr>
        <w:pStyle w:val="NoSpacing"/>
        <w:rPr>
          <w:rFonts w:ascii="Times New Roman" w:hAnsi="Times New Roman" w:cs="Times New Roman"/>
          <w:sz w:val="24"/>
        </w:rPr>
      </w:pPr>
      <w:r w:rsidRPr="000C68A0">
        <w:rPr>
          <w:rFonts w:ascii="Times New Roman" w:hAnsi="Times New Roman" w:cs="Times New Roman"/>
          <w:sz w:val="24"/>
        </w:rPr>
        <w:t>Variables No Longer Required (N=</w:t>
      </w:r>
      <w:r w:rsidR="00751C15">
        <w:rPr>
          <w:rFonts w:ascii="Times New Roman" w:hAnsi="Times New Roman" w:cs="Times New Roman"/>
          <w:sz w:val="24"/>
        </w:rPr>
        <w:t>61, 48 budget variables and 13 XML variables</w:t>
      </w:r>
      <w:r w:rsidRPr="000C68A0">
        <w:rPr>
          <w:rFonts w:ascii="Times New Roman" w:hAnsi="Times New Roman" w:cs="Times New Roman"/>
          <w:sz w:val="24"/>
        </w:rPr>
        <w:t>)</w:t>
      </w:r>
    </w:p>
    <w:p w:rsidR="000C68A0" w:rsidRPr="000C68A0" w:rsidRDefault="000C68A0" w:rsidP="000C68A0">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71"/>
        <w:gridCol w:w="1153"/>
        <w:gridCol w:w="2571"/>
        <w:gridCol w:w="5575"/>
      </w:tblGrid>
      <w:tr w:rsidR="005D68EE" w:rsidRPr="00751C15" w:rsidTr="00751C15">
        <w:trPr>
          <w:trHeight w:val="600"/>
        </w:trPr>
        <w:tc>
          <w:tcPr>
            <w:tcW w:w="771" w:type="dxa"/>
            <w:vAlign w:val="bottom"/>
          </w:tcPr>
          <w:p w:rsidR="005D68EE" w:rsidRPr="00751C15" w:rsidRDefault="005D68EE" w:rsidP="00751C15">
            <w:pPr>
              <w:pStyle w:val="NoSpacing"/>
              <w:rPr>
                <w:rFonts w:ascii="Times New Roman" w:hAnsi="Times New Roman" w:cs="Times New Roman"/>
              </w:rPr>
            </w:pPr>
          </w:p>
        </w:tc>
        <w:tc>
          <w:tcPr>
            <w:tcW w:w="1153" w:type="dxa"/>
            <w:vAlign w:val="bottom"/>
            <w:hideMark/>
          </w:tcPr>
          <w:p w:rsidR="005D68EE" w:rsidRPr="00751C15" w:rsidRDefault="005D68EE" w:rsidP="00751C15">
            <w:pPr>
              <w:pStyle w:val="NoSpacing"/>
              <w:rPr>
                <w:rFonts w:ascii="Times New Roman" w:hAnsi="Times New Roman" w:cs="Times New Roman"/>
              </w:rPr>
            </w:pPr>
            <w:r w:rsidRPr="00751C15">
              <w:rPr>
                <w:rFonts w:ascii="Times New Roman" w:hAnsi="Times New Roman" w:cs="Times New Roman"/>
              </w:rPr>
              <w:t>Variable</w:t>
            </w:r>
          </w:p>
          <w:p w:rsidR="005D68EE" w:rsidRPr="00751C15" w:rsidRDefault="005D68EE" w:rsidP="00751C15">
            <w:pPr>
              <w:pStyle w:val="NoSpacing"/>
              <w:rPr>
                <w:rFonts w:ascii="Times New Roman" w:hAnsi="Times New Roman" w:cs="Times New Roman"/>
              </w:rPr>
            </w:pPr>
            <w:r w:rsidRPr="00751C15">
              <w:rPr>
                <w:rFonts w:ascii="Times New Roman" w:hAnsi="Times New Roman" w:cs="Times New Roman"/>
              </w:rPr>
              <w:t>Number</w:t>
            </w:r>
          </w:p>
        </w:tc>
        <w:tc>
          <w:tcPr>
            <w:tcW w:w="2571" w:type="dxa"/>
            <w:vAlign w:val="bottom"/>
            <w:hideMark/>
          </w:tcPr>
          <w:p w:rsidR="005D68EE" w:rsidRPr="00751C15" w:rsidRDefault="005D68EE" w:rsidP="00751C15">
            <w:pPr>
              <w:pStyle w:val="NoSpacing"/>
              <w:rPr>
                <w:rFonts w:ascii="Times New Roman" w:hAnsi="Times New Roman" w:cs="Times New Roman"/>
              </w:rPr>
            </w:pPr>
            <w:r w:rsidRPr="00751C15">
              <w:rPr>
                <w:rFonts w:ascii="Times New Roman" w:hAnsi="Times New Roman" w:cs="Times New Roman"/>
              </w:rPr>
              <w:t>Variable Name</w:t>
            </w:r>
          </w:p>
        </w:tc>
        <w:tc>
          <w:tcPr>
            <w:tcW w:w="5575" w:type="dxa"/>
            <w:noWrap/>
            <w:vAlign w:val="bottom"/>
            <w:hideMark/>
          </w:tcPr>
          <w:p w:rsidR="005D68EE" w:rsidRPr="00751C15" w:rsidRDefault="005D68EE" w:rsidP="00751C15">
            <w:pPr>
              <w:pStyle w:val="NoSpacing"/>
              <w:rPr>
                <w:rFonts w:ascii="Times New Roman" w:hAnsi="Times New Roman" w:cs="Times New Roman"/>
              </w:rPr>
            </w:pPr>
            <w:r w:rsidRPr="00751C15">
              <w:rPr>
                <w:rFonts w:ascii="Times New Roman" w:hAnsi="Times New Roman" w:cs="Times New Roman"/>
              </w:rPr>
              <w:t>Variable Definition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BT100a</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Budget allocation reporting year</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Budget allocation reporting year refers to the 12-month calendar year (January-December) for which the budget allocation is being reported.</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BT101a</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funds allocated for HIV testing in 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award (HIV Prevention Programs for Health Departments), this value represents the allocation associated with HIV testing in healthcare settings. HIV testing in healthcare settings is a testing strategy that involves testing person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BT102a</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funds allocated for HIV testing in non-healthcare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award (HIV Prevention Programs for Health Departments), this value represents the allocation associated with HIV testing in non-healthcare settings. HIV testing in non-healthcare settings is a testing strategy that involves testin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BT102m</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2 for HIV testing in non-healthcare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Please provide any additional information to explain funding allocation limitations or caveats for HIV testing in non-healthcare settings that may be a concern to you, if applicable.</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5</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BT103a</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funds allocated for comprehensive prevention with positives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award (HIV Prevention Programs for Health Departments); this value represents the funding allocation associated with comprehensive prevention with positives (CPP) programs and services. CPP covers a range of prevention activities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6</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BT103i</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1 for comprehensive prevention with positives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Please identify the specific prevention activities included in the allocations to “other CPP” activities category.</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7</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BT103k</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funding allocated for partner services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Partner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8</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BT103n</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funding allocated for HIV continuum of care which includes linkage, retention, and re-engagement in care, and HIV medication adherence support</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HIV continuum of care which includes linkage, retention, and re-engagement in care, and HIV medication adherence support.</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9</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BT103q</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funding allocated for risk-reduction EBIs with HIV-positive persons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risk-reduction EBIs with HIV-positive persons.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10</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BT103t</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funding allocated for other comprehensive prevention activities with HIV-positive persons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other comprehensive prevention activities with HIV-positive persons.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11</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BT104a</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funding allocated for condom distribution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award (HIV Prevention Programs for Health Departments), this value represents the funding allocation associated with condom distribution.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12</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BT104g</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2 for condom distribution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Please provide any additional information to explain condom distribution-related funding allocation limitations or caveats that may be a concern to you, if applicable.</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13</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BT105a</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allocated for Policy Initiatives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award (HIV Prevention Programs for Health Departments), this value represents the allocation associated with policy initiatives.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14</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BT106g</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funding allocated for other components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other non-required prevention activities, excluding support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15</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BT106h</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for PS12-1201 Category A funds allocated for other components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If you have allocated PS12-1201 Category A funds to other components, please list the program or activities that you are going to implement or have implemented.</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16</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BT107c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funds allocated for HIV prevention program monitoring and evaluation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program monitoring and evaluation.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17</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BT108c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Cateogry A funds allocated for Jurisdictional HIV Prevention Planning</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jurisdictional HIV prevention planning.</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18</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BT109c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funds allocated for Capacity Building and Technical Assistance</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capacity building and technical assistance</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19</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BT110c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A funds allocated for agency's general operations or admin activities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A, this value represents the allocation associated with agency's general operations or administrative activities.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20</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BT111</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for overall budget allocation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Please provide any additional information to explain funding allocation limitations or caveats that may be a concern to you, if applicable, for any of the budget allocation variables.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21</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BT101b</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funds allocated for HIV testing in 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award (Expanded HIV Testing for Disproportionately Affected Populations), this value represents the allocation associated with HIV testing in healthcare settings performed using Category B funds.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22</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BT101c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funds allocated for HIV testing in 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award (Demonstration Projects), this value represents the funds allocated from your Category C award that are for HIV testing in healthcare settings.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23</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BT102b</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funds allocated for HIV testing in non-healthcare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award (Expanded HIV Testing for Disproportionately Affected Populations), this value represents the allocation associated with HIV testing in non-healthcare settings.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24</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BT102c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funds allocated for HIV testing in non-healthcare settings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award (Demonstration Projects), this value represents the allocation associated with HIV testing in non-healthcare settings.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25</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BT103b</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funds allocated for comprehensive prevention with positives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award (Expanded HIV Testing for Disproportionately Affected Populations); this value represents the funding allocation associated with comprehensive prevention with positives (CPP) programs and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26</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BT103c</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funds allocated for comprehensive prevention with positives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award (Demonstration Projects); this value represents the funding allocation associated with comprehensive prevention with positives (CPP) programs and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27</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BT103l</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funding allocated for partner services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Partner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28</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BT103m</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funding allocated for partner services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Partner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29</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BT103o</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funding allocated for HIV continuum of care which includes linkage, retention, and re-engagement in care, and HIV medication adherence support.</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HIV continuum of care which includes, linkage, retention, and re-engagement in care, and HIV medication adherence support.</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30</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BT103p</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funding allocated for HIV continuum of care which includes linkage, retention, and re-engagement in care, and HIV medication adherence support</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HIV continuum of care which includes linkage, retention, and re-engagement in care, and HIV medication adherence support.</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31</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BT103r</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funding allocated for risk-reduction EBIs with HIV-positive persons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risk-reduction EBIs with HIV-positive persons.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32</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BT103s</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funding allocated for risk-reduction EBIs with HIV-positive persons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risk-reduction EBIs for HIV-positive persons.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33</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BT103u</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funding allocated for other comprehensive prevention activities with HIV-positive persons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other comprehensive prevention activities with HIV-positive persons.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34</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BT103v</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funding allocated for other comprehensive prevention activities with HIV-positive persons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PS2-1201 Category C, this value represents the allocation associated with other comprehensive activities with HIV-positive persons.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35</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BT104h</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funding allocated for condom distribution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condom distribution.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36</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BT104i</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funding allocated for condom distribution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condom distribution.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37</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BT106b</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allocated for service integration (optional)</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PS12-1201Category B award (Expanded HIV Testing for Disproportionately Affected Populations), this value represents the allocation associated with the optional services integration component.</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38</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BT106e</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for PS12-1201 Category B funds allocated for service integration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If you have allocated PS12-1201 Category B funds to other components, please list the programs or activities that you are going to implement or have implemented.</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39</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BT106i</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funding allocated for other components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other non-required prevention activities excluding service integration and support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40</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BT106j</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funding allocated for other components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other non-required prevention activities excluding support services.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41</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BT106k</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for PS12-1201 Category B funds allocated for recommended and other components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If you have allocated PS12-1201 Category B funds to other components, please list the program or activities that you are going to implement or have implemented.</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42</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BT106l</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Open-ended question for PS12-1201 Category C funds allocated for recommended and other components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If you have allocated PS12-1201 Category C funds ot other components, please list the program or activities that you are going to implement or have implemented.</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43</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BT107d</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funds alloacted for HIV prevention program monitoring and evaluation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program monitoring and evaluation.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44</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BT107e</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funds allocated for HIV prevention program monitoring and evaluation</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program monitoring and evaluation.</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45</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BT109d</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funds allocated for Capacity Building, Technical Assistance, and systems for third party reimbursement for HIV testing and and other related co-infections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capacity building, technical assistance, and systems for third party reimbursement for HIV testing and other related co-infections.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46</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BT109e</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funds allocated for Capacity Building and Technical Assistance</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capacity building and technical assistance.</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47</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BT110d</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B funds allocated for agency's general operations or admin activities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B, this value represents the allocation associated with agency's general operations or administrative activities.</w:t>
            </w:r>
          </w:p>
        </w:tc>
      </w:tr>
      <w:tr w:rsidR="00751C15" w:rsidRPr="00751C15" w:rsidTr="00751C15">
        <w:trPr>
          <w:trHeight w:val="600"/>
        </w:trPr>
        <w:tc>
          <w:tcPr>
            <w:tcW w:w="771" w:type="dxa"/>
            <w:vAlign w:val="bottom"/>
          </w:tcPr>
          <w:p w:rsidR="00751C15" w:rsidRPr="00751C15" w:rsidRDefault="00751C15" w:rsidP="00751C15">
            <w:pPr>
              <w:rPr>
                <w:rFonts w:ascii="Times New Roman" w:hAnsi="Times New Roman" w:cs="Times New Roman"/>
              </w:rPr>
            </w:pPr>
            <w:r w:rsidRPr="00751C15">
              <w:rPr>
                <w:rFonts w:ascii="Times New Roman" w:hAnsi="Times New Roman" w:cs="Times New Roman"/>
              </w:rPr>
              <w:t>48</w:t>
            </w:r>
          </w:p>
        </w:tc>
        <w:tc>
          <w:tcPr>
            <w:tcW w:w="1153"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BT110e</w:t>
            </w:r>
          </w:p>
        </w:tc>
        <w:tc>
          <w:tcPr>
            <w:tcW w:w="2571"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Amount of PS12-1201 Category C funds allocated for agency's general operations or admin activities</w:t>
            </w:r>
          </w:p>
        </w:tc>
        <w:tc>
          <w:tcPr>
            <w:tcW w:w="5575" w:type="dxa"/>
            <w:vAlign w:val="bottom"/>
          </w:tcPr>
          <w:p w:rsidR="00751C15" w:rsidRPr="00751C15" w:rsidRDefault="00751C15" w:rsidP="00751C15">
            <w:pPr>
              <w:rPr>
                <w:rFonts w:ascii="Times New Roman" w:hAnsi="Times New Roman" w:cs="Times New Roman"/>
                <w:color w:val="000000"/>
              </w:rPr>
            </w:pPr>
            <w:r w:rsidRPr="00751C15">
              <w:rPr>
                <w:rFonts w:ascii="Times New Roman" w:hAnsi="Times New Roman" w:cs="Times New Roman"/>
                <w:color w:val="000000"/>
              </w:rPr>
              <w:t>For PS12-1201 Category C, this value represents the allocation associated with agency's general operations or administrative activities.</w:t>
            </w:r>
          </w:p>
        </w:tc>
      </w:tr>
      <w:tr w:rsidR="005D68EE" w:rsidRPr="00751C15" w:rsidTr="00751C15">
        <w:trPr>
          <w:trHeight w:val="332"/>
        </w:trPr>
        <w:tc>
          <w:tcPr>
            <w:tcW w:w="771" w:type="dxa"/>
            <w:shd w:val="clear" w:color="auto" w:fill="A6A6A6" w:themeFill="background1" w:themeFillShade="A6"/>
            <w:vAlign w:val="bottom"/>
          </w:tcPr>
          <w:p w:rsidR="005D68EE" w:rsidRPr="00751C15" w:rsidRDefault="005D68EE" w:rsidP="00751C15">
            <w:pPr>
              <w:rPr>
                <w:rFonts w:ascii="Times New Roman" w:hAnsi="Times New Roman" w:cs="Times New Roman"/>
              </w:rPr>
            </w:pPr>
          </w:p>
        </w:tc>
        <w:tc>
          <w:tcPr>
            <w:tcW w:w="1153" w:type="dxa"/>
            <w:shd w:val="clear" w:color="auto" w:fill="A6A6A6" w:themeFill="background1" w:themeFillShade="A6"/>
            <w:vAlign w:val="bottom"/>
          </w:tcPr>
          <w:p w:rsidR="005D68EE" w:rsidRPr="00751C15" w:rsidRDefault="005D68EE" w:rsidP="00751C15">
            <w:pPr>
              <w:rPr>
                <w:rFonts w:ascii="Times New Roman" w:hAnsi="Times New Roman" w:cs="Times New Roman"/>
              </w:rPr>
            </w:pPr>
          </w:p>
        </w:tc>
        <w:tc>
          <w:tcPr>
            <w:tcW w:w="2571" w:type="dxa"/>
            <w:shd w:val="clear" w:color="auto" w:fill="A6A6A6" w:themeFill="background1" w:themeFillShade="A6"/>
            <w:vAlign w:val="bottom"/>
          </w:tcPr>
          <w:p w:rsidR="005D68EE" w:rsidRPr="00751C15" w:rsidRDefault="005D68EE" w:rsidP="00751C15">
            <w:pPr>
              <w:rPr>
                <w:rFonts w:ascii="Times New Roman" w:hAnsi="Times New Roman" w:cs="Times New Roman"/>
              </w:rPr>
            </w:pPr>
          </w:p>
        </w:tc>
        <w:tc>
          <w:tcPr>
            <w:tcW w:w="5575" w:type="dxa"/>
            <w:shd w:val="clear" w:color="auto" w:fill="A6A6A6" w:themeFill="background1" w:themeFillShade="A6"/>
            <w:vAlign w:val="bottom"/>
          </w:tcPr>
          <w:p w:rsidR="005D68EE" w:rsidRPr="00751C15" w:rsidRDefault="005D68EE" w:rsidP="00751C15">
            <w:pPr>
              <w:rPr>
                <w:rFonts w:ascii="Times New Roman" w:hAnsi="Times New Roman" w:cs="Times New Roman"/>
              </w:rPr>
            </w:pP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49</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Z01</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Status</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The indicator to define the status of the record. This status indicator is used by a number of different records (Site, HivForm, aggregateData. Etc.).  This indicator is always an attribute (for example &lt;HivForm status=”N”&gt;…).  Check the relevant XSD to d</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50</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Z02</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Last Modified Date</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An indicator to denote the date on which the record was modified based on the last time the record was modified  This indicator is always an attribute in the XML. (&lt;HivForm lastModifiedDate=”01/01/2013”&gt;).  See the relevant XSD to determine which elements</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51</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Z03a</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CT Schema Version Number</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Specifies the version of the XSD which has been used to validate the XML file.</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52</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Z03b</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PS Schema Version Number</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Specifies the version of the XSD which has been used to validate the XML file.</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53</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Z04</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Agency ID Sending File</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The agency which sent the XML data file. This field allows for better CDC management of multiple files from multiple entities.</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54</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Z05a</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First Date of Data Included in File</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Specifies the first date of data included in the file and allows for better data management (duplicate identification). This helps to identify the correct data receiving process necessary to handle the XML message.</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55</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Z05b</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Last Date of Data Included in File</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Specifies the last date of data included in the file and allows for better data management (duplicate identification). This helps to identify the correct data receiving process necessary to handle the XML message.</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56</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Z07</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Contact Person Information</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Contact information of the person who manages the packaging and sending of the data.</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57</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Z08</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Collection of Agency IDs Included in File</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The IDs of each agency for which data are being transmitted in the file.</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58</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Z09</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Date File Was Created</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The date (and optionally, the time) the XML file was created.</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59</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Z10</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Date File Last Modified</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If the file has been modified, the date (and optionally, the time) the XML file was last modified.</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60</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Z11</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Special Instructions</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Special instructions about XML file, if any.</w:t>
            </w:r>
          </w:p>
        </w:tc>
      </w:tr>
      <w:tr w:rsidR="005D68EE" w:rsidRPr="00751C15" w:rsidTr="00751C15">
        <w:trPr>
          <w:trHeight w:val="600"/>
        </w:trPr>
        <w:tc>
          <w:tcPr>
            <w:tcW w:w="771" w:type="dxa"/>
            <w:vAlign w:val="bottom"/>
          </w:tcPr>
          <w:p w:rsidR="005D68EE" w:rsidRPr="00751C15" w:rsidRDefault="00751C15" w:rsidP="00751C15">
            <w:pPr>
              <w:rPr>
                <w:rFonts w:ascii="Times New Roman" w:hAnsi="Times New Roman" w:cs="Times New Roman"/>
              </w:rPr>
            </w:pPr>
            <w:r>
              <w:rPr>
                <w:rFonts w:ascii="Times New Roman" w:hAnsi="Times New Roman" w:cs="Times New Roman"/>
              </w:rPr>
              <w:t>61</w:t>
            </w:r>
          </w:p>
        </w:tc>
        <w:tc>
          <w:tcPr>
            <w:tcW w:w="1153"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Z12</w:t>
            </w:r>
          </w:p>
        </w:tc>
        <w:tc>
          <w:tcPr>
            <w:tcW w:w="2571"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Agency Name of Data Owner</w:t>
            </w:r>
          </w:p>
        </w:tc>
        <w:tc>
          <w:tcPr>
            <w:tcW w:w="5575" w:type="dxa"/>
            <w:vAlign w:val="bottom"/>
          </w:tcPr>
          <w:p w:rsidR="005D68EE" w:rsidRPr="00751C15" w:rsidRDefault="005D68EE" w:rsidP="00751C15">
            <w:pPr>
              <w:rPr>
                <w:rFonts w:ascii="Times New Roman" w:hAnsi="Times New Roman" w:cs="Times New Roman"/>
              </w:rPr>
            </w:pPr>
            <w:r w:rsidRPr="00751C15">
              <w:rPr>
                <w:rFonts w:ascii="Times New Roman" w:hAnsi="Times New Roman" w:cs="Times New Roman"/>
              </w:rPr>
              <w:t>The actual agency owner of the submitted XML file.</w:t>
            </w:r>
          </w:p>
        </w:tc>
      </w:tr>
    </w:tbl>
    <w:p w:rsidR="000C68A0" w:rsidRPr="00751C15" w:rsidRDefault="000C68A0" w:rsidP="00125175">
      <w:pPr>
        <w:rPr>
          <w:rFonts w:ascii="Times New Roman" w:hAnsi="Times New Roman" w:cs="Times New Roman"/>
          <w:color w:val="000000" w:themeColor="text1"/>
        </w:rPr>
      </w:pPr>
    </w:p>
    <w:sectPr w:rsidR="000C68A0" w:rsidRPr="00751C15" w:rsidSect="00D2690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93" w:rsidRDefault="00922F93" w:rsidP="00922F93">
      <w:pPr>
        <w:spacing w:after="0" w:line="240" w:lineRule="auto"/>
      </w:pPr>
      <w:r>
        <w:separator/>
      </w:r>
    </w:p>
  </w:endnote>
  <w:endnote w:type="continuationSeparator" w:id="0">
    <w:p w:rsidR="00922F93" w:rsidRDefault="00922F93" w:rsidP="0092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57312"/>
      <w:docPartObj>
        <w:docPartGallery w:val="Page Numbers (Bottom of Page)"/>
        <w:docPartUnique/>
      </w:docPartObj>
    </w:sdtPr>
    <w:sdtEndPr>
      <w:rPr>
        <w:noProof/>
      </w:rPr>
    </w:sdtEndPr>
    <w:sdtContent>
      <w:p w:rsidR="00922F93" w:rsidRDefault="00922F93">
        <w:pPr>
          <w:pStyle w:val="Footer"/>
          <w:jc w:val="right"/>
        </w:pPr>
        <w:r>
          <w:fldChar w:fldCharType="begin"/>
        </w:r>
        <w:r>
          <w:instrText xml:space="preserve"> PAGE   \* MERGEFORMAT </w:instrText>
        </w:r>
        <w:r>
          <w:fldChar w:fldCharType="separate"/>
        </w:r>
        <w:r w:rsidR="008F1160">
          <w:rPr>
            <w:noProof/>
          </w:rPr>
          <w:t>1</w:t>
        </w:r>
        <w:r>
          <w:rPr>
            <w:noProof/>
          </w:rPr>
          <w:fldChar w:fldCharType="end"/>
        </w:r>
      </w:p>
    </w:sdtContent>
  </w:sdt>
  <w:p w:rsidR="00922F93" w:rsidRDefault="0092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93" w:rsidRDefault="00922F93" w:rsidP="00922F93">
      <w:pPr>
        <w:spacing w:after="0" w:line="240" w:lineRule="auto"/>
      </w:pPr>
      <w:r>
        <w:separator/>
      </w:r>
    </w:p>
  </w:footnote>
  <w:footnote w:type="continuationSeparator" w:id="0">
    <w:p w:rsidR="00922F93" w:rsidRDefault="00922F93" w:rsidP="00922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83C"/>
    <w:multiLevelType w:val="hybridMultilevel"/>
    <w:tmpl w:val="82D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5"/>
    <w:rsid w:val="000462EB"/>
    <w:rsid w:val="00070F00"/>
    <w:rsid w:val="000A408B"/>
    <w:rsid w:val="000C68A0"/>
    <w:rsid w:val="0011652C"/>
    <w:rsid w:val="00125175"/>
    <w:rsid w:val="002A61B3"/>
    <w:rsid w:val="00305127"/>
    <w:rsid w:val="00316D5E"/>
    <w:rsid w:val="003A40A3"/>
    <w:rsid w:val="00402042"/>
    <w:rsid w:val="00450A7B"/>
    <w:rsid w:val="005B7084"/>
    <w:rsid w:val="005D68EE"/>
    <w:rsid w:val="00715B68"/>
    <w:rsid w:val="00751C15"/>
    <w:rsid w:val="008F1160"/>
    <w:rsid w:val="00922F93"/>
    <w:rsid w:val="00D26908"/>
    <w:rsid w:val="00F4210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0A"/>
    <w:pPr>
      <w:ind w:left="720"/>
      <w:contextualSpacing/>
    </w:pPr>
  </w:style>
  <w:style w:type="table" w:styleId="TableGrid">
    <w:name w:val="Table Grid"/>
    <w:basedOn w:val="TableNormal"/>
    <w:uiPriority w:val="39"/>
    <w:rsid w:val="000C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68A0"/>
    <w:pPr>
      <w:spacing w:after="0" w:line="240" w:lineRule="auto"/>
    </w:pPr>
  </w:style>
  <w:style w:type="paragraph" w:styleId="Header">
    <w:name w:val="header"/>
    <w:basedOn w:val="Normal"/>
    <w:link w:val="HeaderChar"/>
    <w:uiPriority w:val="99"/>
    <w:unhideWhenUsed/>
    <w:rsid w:val="00922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93"/>
  </w:style>
  <w:style w:type="paragraph" w:styleId="Footer">
    <w:name w:val="footer"/>
    <w:basedOn w:val="Normal"/>
    <w:link w:val="FooterChar"/>
    <w:uiPriority w:val="99"/>
    <w:unhideWhenUsed/>
    <w:rsid w:val="00922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93"/>
  </w:style>
  <w:style w:type="paragraph" w:styleId="BalloonText">
    <w:name w:val="Balloon Text"/>
    <w:basedOn w:val="Normal"/>
    <w:link w:val="BalloonTextChar"/>
    <w:uiPriority w:val="99"/>
    <w:semiHidden/>
    <w:unhideWhenUsed/>
    <w:rsid w:val="00922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0A"/>
    <w:pPr>
      <w:ind w:left="720"/>
      <w:contextualSpacing/>
    </w:pPr>
  </w:style>
  <w:style w:type="table" w:styleId="TableGrid">
    <w:name w:val="Table Grid"/>
    <w:basedOn w:val="TableNormal"/>
    <w:uiPriority w:val="39"/>
    <w:rsid w:val="000C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68A0"/>
    <w:pPr>
      <w:spacing w:after="0" w:line="240" w:lineRule="auto"/>
    </w:pPr>
  </w:style>
  <w:style w:type="paragraph" w:styleId="Header">
    <w:name w:val="header"/>
    <w:basedOn w:val="Normal"/>
    <w:link w:val="HeaderChar"/>
    <w:uiPriority w:val="99"/>
    <w:unhideWhenUsed/>
    <w:rsid w:val="00922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93"/>
  </w:style>
  <w:style w:type="paragraph" w:styleId="Footer">
    <w:name w:val="footer"/>
    <w:basedOn w:val="Normal"/>
    <w:link w:val="FooterChar"/>
    <w:uiPriority w:val="99"/>
    <w:unhideWhenUsed/>
    <w:rsid w:val="00922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93"/>
  </w:style>
  <w:style w:type="paragraph" w:styleId="BalloonText">
    <w:name w:val="Balloon Text"/>
    <w:basedOn w:val="Normal"/>
    <w:link w:val="BalloonTextChar"/>
    <w:uiPriority w:val="99"/>
    <w:semiHidden/>
    <w:unhideWhenUsed/>
    <w:rsid w:val="00922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Heitgerd, Janet (CDC/OID/NCHHSTP)</dc:creator>
  <cp:keywords/>
  <dc:description/>
  <cp:lastModifiedBy>SYSTEM</cp:lastModifiedBy>
  <cp:revision>2</cp:revision>
  <cp:lastPrinted>2018-06-29T13:14:00Z</cp:lastPrinted>
  <dcterms:created xsi:type="dcterms:W3CDTF">2018-08-20T16:48:00Z</dcterms:created>
  <dcterms:modified xsi:type="dcterms:W3CDTF">2018-08-20T16:48:00Z</dcterms:modified>
</cp:coreProperties>
</file>