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0587" w14:textId="77777777" w:rsidR="00D15D1C" w:rsidRPr="0041169C" w:rsidRDefault="00D15D1C" w:rsidP="00435E0F">
      <w:pPr>
        <w:rPr>
          <w:b/>
          <w:sz w:val="32"/>
          <w:szCs w:val="24"/>
        </w:rPr>
      </w:pPr>
      <w:bookmarkStart w:id="0" w:name="_GoBack"/>
      <w:bookmarkEnd w:id="0"/>
      <w:r w:rsidRPr="0041169C">
        <w:rPr>
          <w:b/>
          <w:sz w:val="32"/>
          <w:szCs w:val="24"/>
        </w:rPr>
        <w:t>SUPPORTING STATEMENT A</w:t>
      </w:r>
    </w:p>
    <w:p w14:paraId="6A3ACB5B" w14:textId="77777777" w:rsidR="00D15D1C" w:rsidRPr="0041169C" w:rsidRDefault="00D15D1C" w:rsidP="00D15D1C">
      <w:pPr>
        <w:jc w:val="center"/>
        <w:rPr>
          <w:i/>
          <w:sz w:val="32"/>
        </w:rPr>
      </w:pPr>
    </w:p>
    <w:p w14:paraId="6EAB614F" w14:textId="77777777" w:rsidR="00360FB5" w:rsidRPr="0041169C" w:rsidRDefault="00360FB5" w:rsidP="001C611B">
      <w:pPr>
        <w:pStyle w:val="Title"/>
        <w:rPr>
          <w:rStyle w:val="BookTitle"/>
        </w:rPr>
      </w:pPr>
      <w:r w:rsidRPr="0041169C">
        <w:rPr>
          <w:rStyle w:val="BookTitle"/>
        </w:rPr>
        <w:t>Fellowship Management System (FMS)</w:t>
      </w:r>
    </w:p>
    <w:p w14:paraId="3FC0F974" w14:textId="77777777" w:rsidR="00B241F3" w:rsidRPr="0041169C" w:rsidRDefault="00B241F3" w:rsidP="00B241F3">
      <w:pPr>
        <w:jc w:val="center"/>
        <w:rPr>
          <w:sz w:val="28"/>
          <w:szCs w:val="36"/>
        </w:rPr>
      </w:pPr>
    </w:p>
    <w:p w14:paraId="692EA464" w14:textId="77777777" w:rsidR="00B241F3" w:rsidRPr="0041169C" w:rsidRDefault="00B241F3" w:rsidP="00B241F3">
      <w:pPr>
        <w:jc w:val="center"/>
        <w:rPr>
          <w:sz w:val="28"/>
          <w:szCs w:val="36"/>
        </w:rPr>
      </w:pPr>
      <w:r w:rsidRPr="0041169C">
        <w:rPr>
          <w:sz w:val="28"/>
          <w:szCs w:val="36"/>
        </w:rPr>
        <w:t xml:space="preserve">OMB </w:t>
      </w:r>
      <w:r w:rsidR="006B5CA9" w:rsidRPr="0041169C">
        <w:rPr>
          <w:sz w:val="28"/>
          <w:szCs w:val="36"/>
        </w:rPr>
        <w:t xml:space="preserve">Control </w:t>
      </w:r>
      <w:r w:rsidRPr="0041169C">
        <w:rPr>
          <w:sz w:val="28"/>
          <w:szCs w:val="36"/>
        </w:rPr>
        <w:t>No. 0920-0765</w:t>
      </w:r>
    </w:p>
    <w:p w14:paraId="3D657495" w14:textId="77777777" w:rsidR="00B241F3" w:rsidRPr="0041169C" w:rsidRDefault="00B241F3" w:rsidP="00B241F3">
      <w:pPr>
        <w:jc w:val="center"/>
        <w:rPr>
          <w:sz w:val="28"/>
          <w:szCs w:val="36"/>
        </w:rPr>
      </w:pPr>
    </w:p>
    <w:p w14:paraId="57272670" w14:textId="78C58FDB" w:rsidR="004605DF" w:rsidRPr="0041169C" w:rsidRDefault="004605DF" w:rsidP="004605DF">
      <w:pPr>
        <w:jc w:val="center"/>
        <w:rPr>
          <w:sz w:val="28"/>
        </w:rPr>
      </w:pPr>
      <w:r w:rsidRPr="0041169C">
        <w:rPr>
          <w:sz w:val="28"/>
        </w:rPr>
        <w:t xml:space="preserve">Submitted </w:t>
      </w:r>
      <w:r w:rsidR="007969FB">
        <w:rPr>
          <w:sz w:val="28"/>
        </w:rPr>
        <w:t>September 5</w:t>
      </w:r>
      <w:r w:rsidR="000F3A61" w:rsidRPr="0041169C">
        <w:rPr>
          <w:sz w:val="28"/>
        </w:rPr>
        <w:t>, 2017</w:t>
      </w:r>
    </w:p>
    <w:p w14:paraId="13FA72A1" w14:textId="74440DC3" w:rsidR="00360FB5" w:rsidRPr="0041169C" w:rsidRDefault="00360FB5" w:rsidP="00360FB5">
      <w:pPr>
        <w:jc w:val="center"/>
        <w:rPr>
          <w:sz w:val="32"/>
        </w:rPr>
      </w:pPr>
    </w:p>
    <w:p w14:paraId="51B4B303" w14:textId="77777777" w:rsidR="00F51D6D" w:rsidRPr="0041169C" w:rsidRDefault="00F51D6D" w:rsidP="00B241F3">
      <w:pPr>
        <w:rPr>
          <w:b/>
          <w:sz w:val="28"/>
        </w:rPr>
      </w:pPr>
    </w:p>
    <w:p w14:paraId="74CA975D" w14:textId="5C76BA6A" w:rsidR="00B241F3" w:rsidRPr="0041169C" w:rsidRDefault="009C5424" w:rsidP="00B241F3">
      <w:pPr>
        <w:rPr>
          <w:b/>
          <w:sz w:val="28"/>
        </w:rPr>
      </w:pPr>
      <w:r w:rsidRPr="0041169C">
        <w:rPr>
          <w:b/>
          <w:sz w:val="28"/>
        </w:rPr>
        <w:t xml:space="preserve">Project </w:t>
      </w:r>
      <w:r w:rsidR="006B5CA9" w:rsidRPr="0041169C">
        <w:rPr>
          <w:b/>
          <w:sz w:val="28"/>
        </w:rPr>
        <w:t>Officer</w:t>
      </w:r>
    </w:p>
    <w:p w14:paraId="1B1DB9C2" w14:textId="005819AF" w:rsidR="009C5424" w:rsidRPr="0041169C" w:rsidRDefault="000F3A61" w:rsidP="00B241F3">
      <w:pPr>
        <w:rPr>
          <w:sz w:val="28"/>
        </w:rPr>
      </w:pPr>
      <w:r w:rsidRPr="0041169C">
        <w:rPr>
          <w:sz w:val="28"/>
        </w:rPr>
        <w:t>Isabella Hardwick</w:t>
      </w:r>
      <w:r w:rsidR="00272CFB" w:rsidRPr="0041169C">
        <w:rPr>
          <w:sz w:val="28"/>
        </w:rPr>
        <w:t>, MPH</w:t>
      </w:r>
    </w:p>
    <w:p w14:paraId="5E6BFB66" w14:textId="77777777" w:rsidR="00272CFB" w:rsidRPr="0041169C" w:rsidRDefault="00272CFB" w:rsidP="00B241F3">
      <w:pPr>
        <w:rPr>
          <w:sz w:val="28"/>
        </w:rPr>
      </w:pPr>
      <w:r w:rsidRPr="0041169C">
        <w:rPr>
          <w:sz w:val="28"/>
        </w:rPr>
        <w:t>Health Scientist</w:t>
      </w:r>
    </w:p>
    <w:p w14:paraId="6F987389" w14:textId="77777777" w:rsidR="009C5424" w:rsidRPr="0041169C" w:rsidRDefault="00AB7E35" w:rsidP="00B241F3">
      <w:pPr>
        <w:rPr>
          <w:sz w:val="28"/>
        </w:rPr>
      </w:pPr>
      <w:r w:rsidRPr="0041169C">
        <w:rPr>
          <w:sz w:val="28"/>
        </w:rPr>
        <w:t xml:space="preserve">Division of </w:t>
      </w:r>
      <w:r w:rsidR="009C5424" w:rsidRPr="0041169C">
        <w:rPr>
          <w:sz w:val="28"/>
        </w:rPr>
        <w:t xml:space="preserve">Scientific Education and Professional </w:t>
      </w:r>
      <w:r w:rsidR="00975E77" w:rsidRPr="0041169C">
        <w:rPr>
          <w:sz w:val="28"/>
        </w:rPr>
        <w:t>Development (</w:t>
      </w:r>
      <w:r w:rsidR="00C4693E" w:rsidRPr="0041169C">
        <w:rPr>
          <w:sz w:val="28"/>
        </w:rPr>
        <w:t>DSEPD)</w:t>
      </w:r>
    </w:p>
    <w:p w14:paraId="469535CC" w14:textId="77777777" w:rsidR="009C5424" w:rsidRPr="0041169C" w:rsidRDefault="00AB7E35" w:rsidP="00B241F3">
      <w:pPr>
        <w:rPr>
          <w:sz w:val="28"/>
        </w:rPr>
      </w:pPr>
      <w:r w:rsidRPr="0041169C">
        <w:rPr>
          <w:sz w:val="28"/>
        </w:rPr>
        <w:t xml:space="preserve">Center for </w:t>
      </w:r>
      <w:r w:rsidR="009C5424" w:rsidRPr="0041169C">
        <w:rPr>
          <w:sz w:val="28"/>
        </w:rPr>
        <w:t>Surveillance, Epidemiology and Laboratory Services</w:t>
      </w:r>
      <w:r w:rsidR="00C4693E" w:rsidRPr="0041169C">
        <w:rPr>
          <w:sz w:val="28"/>
        </w:rPr>
        <w:t xml:space="preserve"> (CSELS)</w:t>
      </w:r>
    </w:p>
    <w:p w14:paraId="653DA3A8" w14:textId="77777777" w:rsidR="00AB7E35" w:rsidRPr="0041169C" w:rsidRDefault="00AB7E35" w:rsidP="00B241F3">
      <w:pPr>
        <w:rPr>
          <w:sz w:val="28"/>
        </w:rPr>
      </w:pPr>
      <w:r w:rsidRPr="0041169C">
        <w:rPr>
          <w:sz w:val="28"/>
        </w:rPr>
        <w:t>Office of Public Health Scientific Services</w:t>
      </w:r>
      <w:r w:rsidR="00C4693E" w:rsidRPr="0041169C">
        <w:rPr>
          <w:sz w:val="28"/>
        </w:rPr>
        <w:t xml:space="preserve"> (OPHSS)</w:t>
      </w:r>
    </w:p>
    <w:p w14:paraId="08BC47FD" w14:textId="77777777" w:rsidR="009C5424" w:rsidRPr="0041169C" w:rsidRDefault="009C5424" w:rsidP="00B241F3">
      <w:pPr>
        <w:rPr>
          <w:sz w:val="28"/>
        </w:rPr>
      </w:pPr>
      <w:r w:rsidRPr="0041169C">
        <w:rPr>
          <w:sz w:val="28"/>
        </w:rPr>
        <w:t>Centers for Disease Control and Prevention</w:t>
      </w:r>
      <w:r w:rsidR="00C4693E" w:rsidRPr="0041169C">
        <w:rPr>
          <w:sz w:val="28"/>
        </w:rPr>
        <w:t xml:space="preserve"> (CDC)</w:t>
      </w:r>
    </w:p>
    <w:p w14:paraId="3A22743A" w14:textId="77777777" w:rsidR="00762CD1" w:rsidRPr="0041169C" w:rsidRDefault="009C5424" w:rsidP="00B241F3">
      <w:pPr>
        <w:rPr>
          <w:sz w:val="28"/>
        </w:rPr>
      </w:pPr>
      <w:r w:rsidRPr="0041169C">
        <w:rPr>
          <w:sz w:val="28"/>
        </w:rPr>
        <w:t xml:space="preserve">1600 Clifton Road </w:t>
      </w:r>
      <w:r w:rsidR="00762CD1" w:rsidRPr="0041169C">
        <w:rPr>
          <w:sz w:val="28"/>
        </w:rPr>
        <w:t>Northeast</w:t>
      </w:r>
      <w:r w:rsidRPr="0041169C">
        <w:rPr>
          <w:sz w:val="28"/>
        </w:rPr>
        <w:t xml:space="preserve">, </w:t>
      </w:r>
      <w:r w:rsidR="00762CD1" w:rsidRPr="0041169C">
        <w:rPr>
          <w:sz w:val="28"/>
        </w:rPr>
        <w:t xml:space="preserve">Mailstop </w:t>
      </w:r>
      <w:r w:rsidRPr="0041169C">
        <w:rPr>
          <w:sz w:val="28"/>
        </w:rPr>
        <w:t>E-92</w:t>
      </w:r>
      <w:r w:rsidR="00975E77" w:rsidRPr="0041169C">
        <w:rPr>
          <w:sz w:val="28"/>
        </w:rPr>
        <w:t xml:space="preserve"> </w:t>
      </w:r>
    </w:p>
    <w:p w14:paraId="56D19B34" w14:textId="77777777" w:rsidR="009C5424" w:rsidRPr="0041169C" w:rsidRDefault="009C5424" w:rsidP="00B241F3">
      <w:pPr>
        <w:rPr>
          <w:sz w:val="28"/>
        </w:rPr>
      </w:pPr>
      <w:r w:rsidRPr="0041169C">
        <w:rPr>
          <w:sz w:val="28"/>
        </w:rPr>
        <w:t>Atlanta, GA  30333</w:t>
      </w:r>
    </w:p>
    <w:p w14:paraId="423BF454" w14:textId="51DA5397" w:rsidR="009C5424" w:rsidRPr="0041169C" w:rsidRDefault="009C5424" w:rsidP="00B241F3">
      <w:pPr>
        <w:rPr>
          <w:sz w:val="28"/>
        </w:rPr>
      </w:pPr>
      <w:r w:rsidRPr="0041169C">
        <w:rPr>
          <w:sz w:val="28"/>
        </w:rPr>
        <w:t>Phone:  404-498-</w:t>
      </w:r>
      <w:r w:rsidR="000408FA" w:rsidRPr="0041169C">
        <w:rPr>
          <w:sz w:val="28"/>
        </w:rPr>
        <w:t>0241</w:t>
      </w:r>
    </w:p>
    <w:p w14:paraId="11191D93" w14:textId="77777777" w:rsidR="009C5424" w:rsidRPr="0041169C" w:rsidRDefault="009C5424" w:rsidP="00B241F3">
      <w:pPr>
        <w:rPr>
          <w:sz w:val="28"/>
        </w:rPr>
      </w:pPr>
      <w:r w:rsidRPr="0041169C">
        <w:rPr>
          <w:sz w:val="28"/>
        </w:rPr>
        <w:t>Fax:  404-498-</w:t>
      </w:r>
      <w:r w:rsidR="00975E77" w:rsidRPr="0041169C">
        <w:rPr>
          <w:sz w:val="28"/>
        </w:rPr>
        <w:t>6535</w:t>
      </w:r>
    </w:p>
    <w:p w14:paraId="0B9048D4" w14:textId="3FC5B4F4" w:rsidR="00272CFB" w:rsidRPr="0041169C" w:rsidRDefault="00272CFB" w:rsidP="00B241F3">
      <w:pPr>
        <w:rPr>
          <w:sz w:val="28"/>
        </w:rPr>
      </w:pPr>
      <w:r w:rsidRPr="0041169C">
        <w:rPr>
          <w:sz w:val="28"/>
        </w:rPr>
        <w:t xml:space="preserve">Email: </w:t>
      </w:r>
      <w:r w:rsidR="005E69D5" w:rsidRPr="0041169C">
        <w:rPr>
          <w:rStyle w:val="Hyperlink"/>
          <w:sz w:val="28"/>
        </w:rPr>
        <w:t>uxd6@cdc.gov</w:t>
      </w:r>
    </w:p>
    <w:p w14:paraId="394697E0" w14:textId="77777777" w:rsidR="001F0B3F" w:rsidRPr="0041169C" w:rsidRDefault="001F0B3F" w:rsidP="00B241F3">
      <w:pPr>
        <w:rPr>
          <w:sz w:val="28"/>
        </w:rPr>
      </w:pPr>
    </w:p>
    <w:p w14:paraId="643D4251" w14:textId="77777777" w:rsidR="009C5424" w:rsidRPr="0041169C" w:rsidRDefault="009C5424" w:rsidP="002F1EE6"/>
    <w:p w14:paraId="1D260461" w14:textId="77777777" w:rsidR="00906DFD" w:rsidRPr="0041169C" w:rsidRDefault="00906DFD" w:rsidP="002F1EE6"/>
    <w:p w14:paraId="2542C2DD" w14:textId="77777777" w:rsidR="00FF334A" w:rsidRPr="0041169C" w:rsidRDefault="00FF334A" w:rsidP="002F1EE6">
      <w:r w:rsidRPr="0041169C">
        <w:br w:type="page"/>
      </w:r>
    </w:p>
    <w:p w14:paraId="0D3A6B76" w14:textId="77777777" w:rsidR="00D15D1C" w:rsidRPr="0041169C" w:rsidRDefault="00D15D1C" w:rsidP="001C611B">
      <w:pPr>
        <w:pStyle w:val="Title"/>
        <w:sectPr w:rsidR="00D15D1C" w:rsidRPr="0041169C" w:rsidSect="008C6E68">
          <w:footerReference w:type="even" r:id="rId13"/>
          <w:type w:val="continuous"/>
          <w:pgSz w:w="12240" w:h="15840"/>
          <w:pgMar w:top="1440" w:right="990" w:bottom="1440" w:left="1440" w:header="720" w:footer="720" w:gutter="0"/>
          <w:cols w:space="720"/>
        </w:sectPr>
      </w:pPr>
    </w:p>
    <w:p w14:paraId="153932CF" w14:textId="77777777" w:rsidR="00423428" w:rsidRPr="0041169C" w:rsidRDefault="001C611B" w:rsidP="001C611B">
      <w:pPr>
        <w:pStyle w:val="Title"/>
      </w:pPr>
      <w:r w:rsidRPr="0041169C">
        <w:lastRenderedPageBreak/>
        <w:t>Table of C</w:t>
      </w:r>
      <w:r w:rsidR="00423428" w:rsidRPr="0041169C">
        <w:t>ontents</w:t>
      </w:r>
    </w:p>
    <w:sdt>
      <w:sdtPr>
        <w:id w:val="-493106432"/>
        <w:docPartObj>
          <w:docPartGallery w:val="Table of Contents"/>
          <w:docPartUnique/>
        </w:docPartObj>
      </w:sdtPr>
      <w:sdtEndPr>
        <w:rPr>
          <w:noProof/>
        </w:rPr>
      </w:sdtEndPr>
      <w:sdtContent>
        <w:p w14:paraId="4E5EF7BB" w14:textId="77777777" w:rsidR="00906DFD" w:rsidRPr="0041169C" w:rsidRDefault="00906DFD" w:rsidP="00906DFD"/>
        <w:p w14:paraId="34FEA17B" w14:textId="74D3C8C1" w:rsidR="001E1261" w:rsidRDefault="00906DFD">
          <w:pPr>
            <w:pStyle w:val="TOC1"/>
            <w:tabs>
              <w:tab w:val="right" w:leader="dot" w:pos="9350"/>
            </w:tabs>
            <w:rPr>
              <w:rFonts w:asciiTheme="minorHAnsi" w:eastAsiaTheme="minorEastAsia" w:hAnsiTheme="minorHAnsi" w:cstheme="minorBidi"/>
              <w:noProof/>
              <w:sz w:val="22"/>
            </w:rPr>
          </w:pPr>
          <w:r w:rsidRPr="0041169C">
            <w:fldChar w:fldCharType="begin"/>
          </w:r>
          <w:r w:rsidRPr="0041169C">
            <w:instrText xml:space="preserve"> TOC \o "1-3" \h \z \u </w:instrText>
          </w:r>
          <w:r w:rsidRPr="0041169C">
            <w:fldChar w:fldCharType="separate"/>
          </w:r>
          <w:hyperlink w:anchor="_Toc498433364" w:history="1">
            <w:r w:rsidR="001E1261" w:rsidRPr="00F0477E">
              <w:rPr>
                <w:rStyle w:val="Hyperlink"/>
                <w:noProof/>
              </w:rPr>
              <w:t>A. Justifications</w:t>
            </w:r>
            <w:r w:rsidR="001E1261">
              <w:rPr>
                <w:noProof/>
                <w:webHidden/>
              </w:rPr>
              <w:tab/>
            </w:r>
            <w:r w:rsidR="001E1261">
              <w:rPr>
                <w:noProof/>
                <w:webHidden/>
              </w:rPr>
              <w:fldChar w:fldCharType="begin"/>
            </w:r>
            <w:r w:rsidR="001E1261">
              <w:rPr>
                <w:noProof/>
                <w:webHidden/>
              </w:rPr>
              <w:instrText xml:space="preserve"> PAGEREF _Toc498433364 \h </w:instrText>
            </w:r>
            <w:r w:rsidR="001E1261">
              <w:rPr>
                <w:noProof/>
                <w:webHidden/>
              </w:rPr>
            </w:r>
            <w:r w:rsidR="001E1261">
              <w:rPr>
                <w:noProof/>
                <w:webHidden/>
              </w:rPr>
              <w:fldChar w:fldCharType="separate"/>
            </w:r>
            <w:r w:rsidR="001E1261">
              <w:rPr>
                <w:noProof/>
                <w:webHidden/>
              </w:rPr>
              <w:t>2</w:t>
            </w:r>
            <w:r w:rsidR="001E1261">
              <w:rPr>
                <w:noProof/>
                <w:webHidden/>
              </w:rPr>
              <w:fldChar w:fldCharType="end"/>
            </w:r>
          </w:hyperlink>
        </w:p>
        <w:p w14:paraId="2785B44A" w14:textId="474DD1F3" w:rsidR="001E1261" w:rsidRDefault="005A7930">
          <w:pPr>
            <w:pStyle w:val="TOC2"/>
            <w:rPr>
              <w:rFonts w:asciiTheme="minorHAnsi" w:eastAsiaTheme="minorEastAsia" w:hAnsiTheme="minorHAnsi" w:cstheme="minorBidi"/>
              <w:noProof/>
              <w:sz w:val="22"/>
            </w:rPr>
          </w:pPr>
          <w:hyperlink w:anchor="_Toc498433365" w:history="1">
            <w:r w:rsidR="001E1261" w:rsidRPr="00F0477E">
              <w:rPr>
                <w:rStyle w:val="Hyperlink"/>
                <w:noProof/>
              </w:rPr>
              <w:t>1.  Circumstances Making the Collection of Information Necessary</w:t>
            </w:r>
            <w:r w:rsidR="001E1261">
              <w:rPr>
                <w:noProof/>
                <w:webHidden/>
              </w:rPr>
              <w:tab/>
            </w:r>
            <w:r w:rsidR="001E1261">
              <w:rPr>
                <w:noProof/>
                <w:webHidden/>
              </w:rPr>
              <w:fldChar w:fldCharType="begin"/>
            </w:r>
            <w:r w:rsidR="001E1261">
              <w:rPr>
                <w:noProof/>
                <w:webHidden/>
              </w:rPr>
              <w:instrText xml:space="preserve"> PAGEREF _Toc498433365 \h </w:instrText>
            </w:r>
            <w:r w:rsidR="001E1261">
              <w:rPr>
                <w:noProof/>
                <w:webHidden/>
              </w:rPr>
            </w:r>
            <w:r w:rsidR="001E1261">
              <w:rPr>
                <w:noProof/>
                <w:webHidden/>
              </w:rPr>
              <w:fldChar w:fldCharType="separate"/>
            </w:r>
            <w:r w:rsidR="001E1261">
              <w:rPr>
                <w:noProof/>
                <w:webHidden/>
              </w:rPr>
              <w:t>1</w:t>
            </w:r>
            <w:r w:rsidR="001E1261">
              <w:rPr>
                <w:noProof/>
                <w:webHidden/>
              </w:rPr>
              <w:fldChar w:fldCharType="end"/>
            </w:r>
          </w:hyperlink>
        </w:p>
        <w:p w14:paraId="4F625519" w14:textId="03231C79" w:rsidR="001E1261" w:rsidRDefault="005A7930">
          <w:pPr>
            <w:pStyle w:val="TOC2"/>
            <w:rPr>
              <w:rFonts w:asciiTheme="minorHAnsi" w:eastAsiaTheme="minorEastAsia" w:hAnsiTheme="minorHAnsi" w:cstheme="minorBidi"/>
              <w:noProof/>
              <w:sz w:val="22"/>
            </w:rPr>
          </w:pPr>
          <w:hyperlink w:anchor="_Toc498433366" w:history="1">
            <w:r w:rsidR="001E1261" w:rsidRPr="00F0477E">
              <w:rPr>
                <w:rStyle w:val="Hyperlink"/>
                <w:noProof/>
              </w:rPr>
              <w:t>2. Purpose and Use of Information Collection</w:t>
            </w:r>
            <w:r w:rsidR="001E1261">
              <w:rPr>
                <w:noProof/>
                <w:webHidden/>
              </w:rPr>
              <w:tab/>
            </w:r>
            <w:r w:rsidR="001E1261">
              <w:rPr>
                <w:noProof/>
                <w:webHidden/>
              </w:rPr>
              <w:fldChar w:fldCharType="begin"/>
            </w:r>
            <w:r w:rsidR="001E1261">
              <w:rPr>
                <w:noProof/>
                <w:webHidden/>
              </w:rPr>
              <w:instrText xml:space="preserve"> PAGEREF _Toc498433366 \h </w:instrText>
            </w:r>
            <w:r w:rsidR="001E1261">
              <w:rPr>
                <w:noProof/>
                <w:webHidden/>
              </w:rPr>
            </w:r>
            <w:r w:rsidR="001E1261">
              <w:rPr>
                <w:noProof/>
                <w:webHidden/>
              </w:rPr>
              <w:fldChar w:fldCharType="separate"/>
            </w:r>
            <w:r w:rsidR="001E1261">
              <w:rPr>
                <w:noProof/>
                <w:webHidden/>
              </w:rPr>
              <w:t>2</w:t>
            </w:r>
            <w:r w:rsidR="001E1261">
              <w:rPr>
                <w:noProof/>
                <w:webHidden/>
              </w:rPr>
              <w:fldChar w:fldCharType="end"/>
            </w:r>
          </w:hyperlink>
        </w:p>
        <w:p w14:paraId="0A676E3C" w14:textId="65E702CB" w:rsidR="001E1261" w:rsidRDefault="005A7930">
          <w:pPr>
            <w:pStyle w:val="TOC2"/>
            <w:rPr>
              <w:rFonts w:asciiTheme="minorHAnsi" w:eastAsiaTheme="minorEastAsia" w:hAnsiTheme="minorHAnsi" w:cstheme="minorBidi"/>
              <w:noProof/>
              <w:sz w:val="22"/>
            </w:rPr>
          </w:pPr>
          <w:hyperlink w:anchor="_Toc498433367" w:history="1">
            <w:r w:rsidR="001E1261" w:rsidRPr="00F0477E">
              <w:rPr>
                <w:rStyle w:val="Hyperlink"/>
                <w:noProof/>
              </w:rPr>
              <w:t>3. Use of Improved Information Technology and Burden Reduction</w:t>
            </w:r>
            <w:r w:rsidR="001E1261">
              <w:rPr>
                <w:noProof/>
                <w:webHidden/>
              </w:rPr>
              <w:tab/>
            </w:r>
            <w:r w:rsidR="001E1261">
              <w:rPr>
                <w:noProof/>
                <w:webHidden/>
              </w:rPr>
              <w:fldChar w:fldCharType="begin"/>
            </w:r>
            <w:r w:rsidR="001E1261">
              <w:rPr>
                <w:noProof/>
                <w:webHidden/>
              </w:rPr>
              <w:instrText xml:space="preserve"> PAGEREF _Toc498433367 \h </w:instrText>
            </w:r>
            <w:r w:rsidR="001E1261">
              <w:rPr>
                <w:noProof/>
                <w:webHidden/>
              </w:rPr>
            </w:r>
            <w:r w:rsidR="001E1261">
              <w:rPr>
                <w:noProof/>
                <w:webHidden/>
              </w:rPr>
              <w:fldChar w:fldCharType="separate"/>
            </w:r>
            <w:r w:rsidR="001E1261">
              <w:rPr>
                <w:noProof/>
                <w:webHidden/>
              </w:rPr>
              <w:t>3</w:t>
            </w:r>
            <w:r w:rsidR="001E1261">
              <w:rPr>
                <w:noProof/>
                <w:webHidden/>
              </w:rPr>
              <w:fldChar w:fldCharType="end"/>
            </w:r>
          </w:hyperlink>
        </w:p>
        <w:p w14:paraId="3CFCB895" w14:textId="57E8A0E9" w:rsidR="001E1261" w:rsidRDefault="005A7930">
          <w:pPr>
            <w:pStyle w:val="TOC2"/>
            <w:rPr>
              <w:rFonts w:asciiTheme="minorHAnsi" w:eastAsiaTheme="minorEastAsia" w:hAnsiTheme="minorHAnsi" w:cstheme="minorBidi"/>
              <w:noProof/>
              <w:sz w:val="22"/>
            </w:rPr>
          </w:pPr>
          <w:hyperlink w:anchor="_Toc498433368" w:history="1">
            <w:r w:rsidR="001E1261" w:rsidRPr="00F0477E">
              <w:rPr>
                <w:rStyle w:val="Hyperlink"/>
                <w:noProof/>
              </w:rPr>
              <w:t>4. Efforts to Identify Duplication and Use of Similar Information</w:t>
            </w:r>
            <w:r w:rsidR="001E1261">
              <w:rPr>
                <w:noProof/>
                <w:webHidden/>
              </w:rPr>
              <w:tab/>
            </w:r>
            <w:r w:rsidR="001E1261">
              <w:rPr>
                <w:noProof/>
                <w:webHidden/>
              </w:rPr>
              <w:fldChar w:fldCharType="begin"/>
            </w:r>
            <w:r w:rsidR="001E1261">
              <w:rPr>
                <w:noProof/>
                <w:webHidden/>
              </w:rPr>
              <w:instrText xml:space="preserve"> PAGEREF _Toc498433368 \h </w:instrText>
            </w:r>
            <w:r w:rsidR="001E1261">
              <w:rPr>
                <w:noProof/>
                <w:webHidden/>
              </w:rPr>
            </w:r>
            <w:r w:rsidR="001E1261">
              <w:rPr>
                <w:noProof/>
                <w:webHidden/>
              </w:rPr>
              <w:fldChar w:fldCharType="separate"/>
            </w:r>
            <w:r w:rsidR="001E1261">
              <w:rPr>
                <w:noProof/>
                <w:webHidden/>
              </w:rPr>
              <w:t>4</w:t>
            </w:r>
            <w:r w:rsidR="001E1261">
              <w:rPr>
                <w:noProof/>
                <w:webHidden/>
              </w:rPr>
              <w:fldChar w:fldCharType="end"/>
            </w:r>
          </w:hyperlink>
        </w:p>
        <w:p w14:paraId="4641FC3A" w14:textId="4E4CB0B4" w:rsidR="001E1261" w:rsidRDefault="005A7930">
          <w:pPr>
            <w:pStyle w:val="TOC2"/>
            <w:rPr>
              <w:rFonts w:asciiTheme="minorHAnsi" w:eastAsiaTheme="minorEastAsia" w:hAnsiTheme="minorHAnsi" w:cstheme="minorBidi"/>
              <w:noProof/>
              <w:sz w:val="22"/>
            </w:rPr>
          </w:pPr>
          <w:hyperlink w:anchor="_Toc498433369" w:history="1">
            <w:r w:rsidR="001E1261" w:rsidRPr="00F0477E">
              <w:rPr>
                <w:rStyle w:val="Hyperlink"/>
                <w:noProof/>
              </w:rPr>
              <w:t>5. Impact on Small Businesses or Other Small Entities</w:t>
            </w:r>
            <w:r w:rsidR="001E1261">
              <w:rPr>
                <w:noProof/>
                <w:webHidden/>
              </w:rPr>
              <w:tab/>
            </w:r>
            <w:r w:rsidR="001E1261">
              <w:rPr>
                <w:noProof/>
                <w:webHidden/>
              </w:rPr>
              <w:fldChar w:fldCharType="begin"/>
            </w:r>
            <w:r w:rsidR="001E1261">
              <w:rPr>
                <w:noProof/>
                <w:webHidden/>
              </w:rPr>
              <w:instrText xml:space="preserve"> PAGEREF _Toc498433369 \h </w:instrText>
            </w:r>
            <w:r w:rsidR="001E1261">
              <w:rPr>
                <w:noProof/>
                <w:webHidden/>
              </w:rPr>
            </w:r>
            <w:r w:rsidR="001E1261">
              <w:rPr>
                <w:noProof/>
                <w:webHidden/>
              </w:rPr>
              <w:fldChar w:fldCharType="separate"/>
            </w:r>
            <w:r w:rsidR="001E1261">
              <w:rPr>
                <w:noProof/>
                <w:webHidden/>
              </w:rPr>
              <w:t>4</w:t>
            </w:r>
            <w:r w:rsidR="001E1261">
              <w:rPr>
                <w:noProof/>
                <w:webHidden/>
              </w:rPr>
              <w:fldChar w:fldCharType="end"/>
            </w:r>
          </w:hyperlink>
        </w:p>
        <w:p w14:paraId="6C761D93" w14:textId="158FD98C" w:rsidR="001E1261" w:rsidRDefault="005A7930">
          <w:pPr>
            <w:pStyle w:val="TOC2"/>
            <w:rPr>
              <w:rFonts w:asciiTheme="minorHAnsi" w:eastAsiaTheme="minorEastAsia" w:hAnsiTheme="minorHAnsi" w:cstheme="minorBidi"/>
              <w:noProof/>
              <w:sz w:val="22"/>
            </w:rPr>
          </w:pPr>
          <w:hyperlink w:anchor="_Toc498433370" w:history="1">
            <w:r w:rsidR="001E1261" w:rsidRPr="00F0477E">
              <w:rPr>
                <w:rStyle w:val="Hyperlink"/>
                <w:noProof/>
              </w:rPr>
              <w:t>6. Consequences of Collecting the Information Less Frequently</w:t>
            </w:r>
            <w:r w:rsidR="001E1261">
              <w:rPr>
                <w:noProof/>
                <w:webHidden/>
              </w:rPr>
              <w:tab/>
            </w:r>
            <w:r w:rsidR="001E1261">
              <w:rPr>
                <w:noProof/>
                <w:webHidden/>
              </w:rPr>
              <w:fldChar w:fldCharType="begin"/>
            </w:r>
            <w:r w:rsidR="001E1261">
              <w:rPr>
                <w:noProof/>
                <w:webHidden/>
              </w:rPr>
              <w:instrText xml:space="preserve"> PAGEREF _Toc498433370 \h </w:instrText>
            </w:r>
            <w:r w:rsidR="001E1261">
              <w:rPr>
                <w:noProof/>
                <w:webHidden/>
              </w:rPr>
            </w:r>
            <w:r w:rsidR="001E1261">
              <w:rPr>
                <w:noProof/>
                <w:webHidden/>
              </w:rPr>
              <w:fldChar w:fldCharType="separate"/>
            </w:r>
            <w:r w:rsidR="001E1261">
              <w:rPr>
                <w:noProof/>
                <w:webHidden/>
              </w:rPr>
              <w:t>4</w:t>
            </w:r>
            <w:r w:rsidR="001E1261">
              <w:rPr>
                <w:noProof/>
                <w:webHidden/>
              </w:rPr>
              <w:fldChar w:fldCharType="end"/>
            </w:r>
          </w:hyperlink>
        </w:p>
        <w:p w14:paraId="0A598ECF" w14:textId="48398244" w:rsidR="001E1261" w:rsidRDefault="005A7930">
          <w:pPr>
            <w:pStyle w:val="TOC2"/>
            <w:rPr>
              <w:rFonts w:asciiTheme="minorHAnsi" w:eastAsiaTheme="minorEastAsia" w:hAnsiTheme="minorHAnsi" w:cstheme="minorBidi"/>
              <w:noProof/>
              <w:sz w:val="22"/>
            </w:rPr>
          </w:pPr>
          <w:hyperlink w:anchor="_Toc498433371" w:history="1">
            <w:r w:rsidR="001E1261" w:rsidRPr="00F0477E">
              <w:rPr>
                <w:rStyle w:val="Hyperlink"/>
                <w:noProof/>
              </w:rPr>
              <w:t>7. Special Circumstances Relating to the Guidelines of CFR 1320.5</w:t>
            </w:r>
            <w:r w:rsidR="001E1261">
              <w:rPr>
                <w:noProof/>
                <w:webHidden/>
              </w:rPr>
              <w:tab/>
            </w:r>
            <w:r w:rsidR="001E1261">
              <w:rPr>
                <w:noProof/>
                <w:webHidden/>
              </w:rPr>
              <w:fldChar w:fldCharType="begin"/>
            </w:r>
            <w:r w:rsidR="001E1261">
              <w:rPr>
                <w:noProof/>
                <w:webHidden/>
              </w:rPr>
              <w:instrText xml:space="preserve"> PAGEREF _Toc498433371 \h </w:instrText>
            </w:r>
            <w:r w:rsidR="001E1261">
              <w:rPr>
                <w:noProof/>
                <w:webHidden/>
              </w:rPr>
            </w:r>
            <w:r w:rsidR="001E1261">
              <w:rPr>
                <w:noProof/>
                <w:webHidden/>
              </w:rPr>
              <w:fldChar w:fldCharType="separate"/>
            </w:r>
            <w:r w:rsidR="001E1261">
              <w:rPr>
                <w:noProof/>
                <w:webHidden/>
              </w:rPr>
              <w:t>4</w:t>
            </w:r>
            <w:r w:rsidR="001E1261">
              <w:rPr>
                <w:noProof/>
                <w:webHidden/>
              </w:rPr>
              <w:fldChar w:fldCharType="end"/>
            </w:r>
          </w:hyperlink>
        </w:p>
        <w:p w14:paraId="28C85F29" w14:textId="73C2F857" w:rsidR="001E1261" w:rsidRDefault="005A7930">
          <w:pPr>
            <w:pStyle w:val="TOC2"/>
            <w:rPr>
              <w:rFonts w:asciiTheme="minorHAnsi" w:eastAsiaTheme="minorEastAsia" w:hAnsiTheme="minorHAnsi" w:cstheme="minorBidi"/>
              <w:noProof/>
              <w:sz w:val="22"/>
            </w:rPr>
          </w:pPr>
          <w:hyperlink w:anchor="_Toc498433372" w:history="1">
            <w:r w:rsidR="001E1261" w:rsidRPr="00F0477E">
              <w:rPr>
                <w:rStyle w:val="Hyperlink"/>
                <w:noProof/>
              </w:rPr>
              <w:t>8. Comments in Response to the Federal Register Notice and Efforts to Consult Outside the Agency</w:t>
            </w:r>
            <w:r w:rsidR="001E1261">
              <w:rPr>
                <w:noProof/>
                <w:webHidden/>
              </w:rPr>
              <w:tab/>
            </w:r>
            <w:r w:rsidR="001E1261">
              <w:rPr>
                <w:noProof/>
                <w:webHidden/>
              </w:rPr>
              <w:fldChar w:fldCharType="begin"/>
            </w:r>
            <w:r w:rsidR="001E1261">
              <w:rPr>
                <w:noProof/>
                <w:webHidden/>
              </w:rPr>
              <w:instrText xml:space="preserve"> PAGEREF _Toc498433372 \h </w:instrText>
            </w:r>
            <w:r w:rsidR="001E1261">
              <w:rPr>
                <w:noProof/>
                <w:webHidden/>
              </w:rPr>
            </w:r>
            <w:r w:rsidR="001E1261">
              <w:rPr>
                <w:noProof/>
                <w:webHidden/>
              </w:rPr>
              <w:fldChar w:fldCharType="separate"/>
            </w:r>
            <w:r w:rsidR="001E1261">
              <w:rPr>
                <w:noProof/>
                <w:webHidden/>
              </w:rPr>
              <w:t>5</w:t>
            </w:r>
            <w:r w:rsidR="001E1261">
              <w:rPr>
                <w:noProof/>
                <w:webHidden/>
              </w:rPr>
              <w:fldChar w:fldCharType="end"/>
            </w:r>
          </w:hyperlink>
        </w:p>
        <w:p w14:paraId="29F77812" w14:textId="41DB8347" w:rsidR="001E1261" w:rsidRDefault="005A7930">
          <w:pPr>
            <w:pStyle w:val="TOC2"/>
            <w:rPr>
              <w:rFonts w:asciiTheme="minorHAnsi" w:eastAsiaTheme="minorEastAsia" w:hAnsiTheme="minorHAnsi" w:cstheme="minorBidi"/>
              <w:noProof/>
              <w:sz w:val="22"/>
            </w:rPr>
          </w:pPr>
          <w:hyperlink w:anchor="_Toc498433373" w:history="1">
            <w:r w:rsidR="001E1261" w:rsidRPr="00F0477E">
              <w:rPr>
                <w:rStyle w:val="Hyperlink"/>
                <w:noProof/>
              </w:rPr>
              <w:t>9. Explanation of Any Payments or Gifts to Respondents</w:t>
            </w:r>
            <w:r w:rsidR="001E1261">
              <w:rPr>
                <w:noProof/>
                <w:webHidden/>
              </w:rPr>
              <w:tab/>
            </w:r>
            <w:r w:rsidR="001E1261">
              <w:rPr>
                <w:noProof/>
                <w:webHidden/>
              </w:rPr>
              <w:fldChar w:fldCharType="begin"/>
            </w:r>
            <w:r w:rsidR="001E1261">
              <w:rPr>
                <w:noProof/>
                <w:webHidden/>
              </w:rPr>
              <w:instrText xml:space="preserve"> PAGEREF _Toc498433373 \h </w:instrText>
            </w:r>
            <w:r w:rsidR="001E1261">
              <w:rPr>
                <w:noProof/>
                <w:webHidden/>
              </w:rPr>
            </w:r>
            <w:r w:rsidR="001E1261">
              <w:rPr>
                <w:noProof/>
                <w:webHidden/>
              </w:rPr>
              <w:fldChar w:fldCharType="separate"/>
            </w:r>
            <w:r w:rsidR="001E1261">
              <w:rPr>
                <w:noProof/>
                <w:webHidden/>
              </w:rPr>
              <w:t>5</w:t>
            </w:r>
            <w:r w:rsidR="001E1261">
              <w:rPr>
                <w:noProof/>
                <w:webHidden/>
              </w:rPr>
              <w:fldChar w:fldCharType="end"/>
            </w:r>
          </w:hyperlink>
        </w:p>
        <w:p w14:paraId="15C60BA8" w14:textId="5DF87A65" w:rsidR="001E1261" w:rsidRDefault="005A7930">
          <w:pPr>
            <w:pStyle w:val="TOC2"/>
            <w:rPr>
              <w:rFonts w:asciiTheme="minorHAnsi" w:eastAsiaTheme="minorEastAsia" w:hAnsiTheme="minorHAnsi" w:cstheme="minorBidi"/>
              <w:noProof/>
              <w:sz w:val="22"/>
            </w:rPr>
          </w:pPr>
          <w:hyperlink w:anchor="_Toc498433374" w:history="1">
            <w:r w:rsidR="001E1261" w:rsidRPr="00F0477E">
              <w:rPr>
                <w:rStyle w:val="Hyperlink"/>
                <w:noProof/>
              </w:rPr>
              <w:t>10. Assurance of Confidentiality Provided to Respondents</w:t>
            </w:r>
            <w:r w:rsidR="001E1261">
              <w:rPr>
                <w:noProof/>
                <w:webHidden/>
              </w:rPr>
              <w:tab/>
            </w:r>
            <w:r w:rsidR="001E1261">
              <w:rPr>
                <w:noProof/>
                <w:webHidden/>
              </w:rPr>
              <w:fldChar w:fldCharType="begin"/>
            </w:r>
            <w:r w:rsidR="001E1261">
              <w:rPr>
                <w:noProof/>
                <w:webHidden/>
              </w:rPr>
              <w:instrText xml:space="preserve"> PAGEREF _Toc498433374 \h </w:instrText>
            </w:r>
            <w:r w:rsidR="001E1261">
              <w:rPr>
                <w:noProof/>
                <w:webHidden/>
              </w:rPr>
            </w:r>
            <w:r w:rsidR="001E1261">
              <w:rPr>
                <w:noProof/>
                <w:webHidden/>
              </w:rPr>
              <w:fldChar w:fldCharType="separate"/>
            </w:r>
            <w:r w:rsidR="001E1261">
              <w:rPr>
                <w:noProof/>
                <w:webHidden/>
              </w:rPr>
              <w:t>5</w:t>
            </w:r>
            <w:r w:rsidR="001E1261">
              <w:rPr>
                <w:noProof/>
                <w:webHidden/>
              </w:rPr>
              <w:fldChar w:fldCharType="end"/>
            </w:r>
          </w:hyperlink>
        </w:p>
        <w:p w14:paraId="69B9D996" w14:textId="3B1641E0" w:rsidR="001E1261" w:rsidRDefault="005A7930">
          <w:pPr>
            <w:pStyle w:val="TOC2"/>
            <w:rPr>
              <w:rFonts w:asciiTheme="minorHAnsi" w:eastAsiaTheme="minorEastAsia" w:hAnsiTheme="minorHAnsi" w:cstheme="minorBidi"/>
              <w:noProof/>
              <w:sz w:val="22"/>
            </w:rPr>
          </w:pPr>
          <w:hyperlink w:anchor="_Toc498433375" w:history="1">
            <w:r w:rsidR="001E1261" w:rsidRPr="00F0477E">
              <w:rPr>
                <w:rStyle w:val="Hyperlink"/>
                <w:noProof/>
              </w:rPr>
              <w:t>11. Justification for Sensitive Questions</w:t>
            </w:r>
            <w:r w:rsidR="001E1261">
              <w:rPr>
                <w:noProof/>
                <w:webHidden/>
              </w:rPr>
              <w:tab/>
            </w:r>
            <w:r w:rsidR="001E1261">
              <w:rPr>
                <w:noProof/>
                <w:webHidden/>
              </w:rPr>
              <w:fldChar w:fldCharType="begin"/>
            </w:r>
            <w:r w:rsidR="001E1261">
              <w:rPr>
                <w:noProof/>
                <w:webHidden/>
              </w:rPr>
              <w:instrText xml:space="preserve"> PAGEREF _Toc498433375 \h </w:instrText>
            </w:r>
            <w:r w:rsidR="001E1261">
              <w:rPr>
                <w:noProof/>
                <w:webHidden/>
              </w:rPr>
            </w:r>
            <w:r w:rsidR="001E1261">
              <w:rPr>
                <w:noProof/>
                <w:webHidden/>
              </w:rPr>
              <w:fldChar w:fldCharType="separate"/>
            </w:r>
            <w:r w:rsidR="001E1261">
              <w:rPr>
                <w:noProof/>
                <w:webHidden/>
              </w:rPr>
              <w:t>9</w:t>
            </w:r>
            <w:r w:rsidR="001E1261">
              <w:rPr>
                <w:noProof/>
                <w:webHidden/>
              </w:rPr>
              <w:fldChar w:fldCharType="end"/>
            </w:r>
          </w:hyperlink>
        </w:p>
        <w:p w14:paraId="19DD3A1E" w14:textId="31EA1369" w:rsidR="001E1261" w:rsidRDefault="005A7930">
          <w:pPr>
            <w:pStyle w:val="TOC2"/>
            <w:rPr>
              <w:rFonts w:asciiTheme="minorHAnsi" w:eastAsiaTheme="minorEastAsia" w:hAnsiTheme="minorHAnsi" w:cstheme="minorBidi"/>
              <w:noProof/>
              <w:sz w:val="22"/>
            </w:rPr>
          </w:pPr>
          <w:hyperlink w:anchor="_Toc498433376" w:history="1">
            <w:r w:rsidR="001E1261" w:rsidRPr="00F0477E">
              <w:rPr>
                <w:rStyle w:val="Hyperlink"/>
                <w:noProof/>
              </w:rPr>
              <w:t>12. Estimates of Annualized Burden Hours and Costs</w:t>
            </w:r>
            <w:r w:rsidR="001E1261">
              <w:rPr>
                <w:noProof/>
                <w:webHidden/>
              </w:rPr>
              <w:tab/>
            </w:r>
            <w:r w:rsidR="001E1261">
              <w:rPr>
                <w:noProof/>
                <w:webHidden/>
              </w:rPr>
              <w:fldChar w:fldCharType="begin"/>
            </w:r>
            <w:r w:rsidR="001E1261">
              <w:rPr>
                <w:noProof/>
                <w:webHidden/>
              </w:rPr>
              <w:instrText xml:space="preserve"> PAGEREF _Toc498433376 \h </w:instrText>
            </w:r>
            <w:r w:rsidR="001E1261">
              <w:rPr>
                <w:noProof/>
                <w:webHidden/>
              </w:rPr>
            </w:r>
            <w:r w:rsidR="001E1261">
              <w:rPr>
                <w:noProof/>
                <w:webHidden/>
              </w:rPr>
              <w:fldChar w:fldCharType="separate"/>
            </w:r>
            <w:r w:rsidR="001E1261">
              <w:rPr>
                <w:noProof/>
                <w:webHidden/>
              </w:rPr>
              <w:t>9</w:t>
            </w:r>
            <w:r w:rsidR="001E1261">
              <w:rPr>
                <w:noProof/>
                <w:webHidden/>
              </w:rPr>
              <w:fldChar w:fldCharType="end"/>
            </w:r>
          </w:hyperlink>
        </w:p>
        <w:p w14:paraId="570B5695" w14:textId="1D3AEDB1" w:rsidR="001E1261" w:rsidRDefault="005A7930">
          <w:pPr>
            <w:pStyle w:val="TOC2"/>
            <w:rPr>
              <w:rFonts w:asciiTheme="minorHAnsi" w:eastAsiaTheme="minorEastAsia" w:hAnsiTheme="minorHAnsi" w:cstheme="minorBidi"/>
              <w:noProof/>
              <w:sz w:val="22"/>
            </w:rPr>
          </w:pPr>
          <w:hyperlink w:anchor="_Toc498433377" w:history="1">
            <w:r w:rsidR="001E1261" w:rsidRPr="00F0477E">
              <w:rPr>
                <w:rStyle w:val="Hyperlink"/>
                <w:noProof/>
              </w:rPr>
              <w:t>13. Estimate of Other Total Annual Cost Burden to Respondents or Record Keepers</w:t>
            </w:r>
            <w:r w:rsidR="001E1261">
              <w:rPr>
                <w:noProof/>
                <w:webHidden/>
              </w:rPr>
              <w:tab/>
            </w:r>
            <w:r w:rsidR="001E1261">
              <w:rPr>
                <w:noProof/>
                <w:webHidden/>
              </w:rPr>
              <w:fldChar w:fldCharType="begin"/>
            </w:r>
            <w:r w:rsidR="001E1261">
              <w:rPr>
                <w:noProof/>
                <w:webHidden/>
              </w:rPr>
              <w:instrText xml:space="preserve"> PAGEREF _Toc498433377 \h </w:instrText>
            </w:r>
            <w:r w:rsidR="001E1261">
              <w:rPr>
                <w:noProof/>
                <w:webHidden/>
              </w:rPr>
            </w:r>
            <w:r w:rsidR="001E1261">
              <w:rPr>
                <w:noProof/>
                <w:webHidden/>
              </w:rPr>
              <w:fldChar w:fldCharType="separate"/>
            </w:r>
            <w:r w:rsidR="001E1261">
              <w:rPr>
                <w:noProof/>
                <w:webHidden/>
              </w:rPr>
              <w:t>12</w:t>
            </w:r>
            <w:r w:rsidR="001E1261">
              <w:rPr>
                <w:noProof/>
                <w:webHidden/>
              </w:rPr>
              <w:fldChar w:fldCharType="end"/>
            </w:r>
          </w:hyperlink>
        </w:p>
        <w:p w14:paraId="6905691E" w14:textId="0C2F5ED8" w:rsidR="001E1261" w:rsidRDefault="005A7930">
          <w:pPr>
            <w:pStyle w:val="TOC2"/>
            <w:rPr>
              <w:rFonts w:asciiTheme="minorHAnsi" w:eastAsiaTheme="minorEastAsia" w:hAnsiTheme="minorHAnsi" w:cstheme="minorBidi"/>
              <w:noProof/>
              <w:sz w:val="22"/>
            </w:rPr>
          </w:pPr>
          <w:hyperlink w:anchor="_Toc498433378" w:history="1">
            <w:r w:rsidR="001E1261" w:rsidRPr="00F0477E">
              <w:rPr>
                <w:rStyle w:val="Hyperlink"/>
                <w:noProof/>
              </w:rPr>
              <w:t>14. Annualized Cost to the Government</w:t>
            </w:r>
            <w:r w:rsidR="001E1261">
              <w:rPr>
                <w:noProof/>
                <w:webHidden/>
              </w:rPr>
              <w:tab/>
            </w:r>
            <w:r w:rsidR="001E1261">
              <w:rPr>
                <w:noProof/>
                <w:webHidden/>
              </w:rPr>
              <w:fldChar w:fldCharType="begin"/>
            </w:r>
            <w:r w:rsidR="001E1261">
              <w:rPr>
                <w:noProof/>
                <w:webHidden/>
              </w:rPr>
              <w:instrText xml:space="preserve"> PAGEREF _Toc498433378 \h </w:instrText>
            </w:r>
            <w:r w:rsidR="001E1261">
              <w:rPr>
                <w:noProof/>
                <w:webHidden/>
              </w:rPr>
            </w:r>
            <w:r w:rsidR="001E1261">
              <w:rPr>
                <w:noProof/>
                <w:webHidden/>
              </w:rPr>
              <w:fldChar w:fldCharType="separate"/>
            </w:r>
            <w:r w:rsidR="001E1261">
              <w:rPr>
                <w:noProof/>
                <w:webHidden/>
              </w:rPr>
              <w:t>12</w:t>
            </w:r>
            <w:r w:rsidR="001E1261">
              <w:rPr>
                <w:noProof/>
                <w:webHidden/>
              </w:rPr>
              <w:fldChar w:fldCharType="end"/>
            </w:r>
          </w:hyperlink>
        </w:p>
        <w:p w14:paraId="0F9E9FAF" w14:textId="31762C67" w:rsidR="001E1261" w:rsidRDefault="005A7930">
          <w:pPr>
            <w:pStyle w:val="TOC2"/>
            <w:rPr>
              <w:rFonts w:asciiTheme="minorHAnsi" w:eastAsiaTheme="minorEastAsia" w:hAnsiTheme="minorHAnsi" w:cstheme="minorBidi"/>
              <w:noProof/>
              <w:sz w:val="22"/>
            </w:rPr>
          </w:pPr>
          <w:hyperlink w:anchor="_Toc498433379" w:history="1">
            <w:r w:rsidR="001E1261" w:rsidRPr="00F0477E">
              <w:rPr>
                <w:rStyle w:val="Hyperlink"/>
                <w:noProof/>
              </w:rPr>
              <w:t>15. Explanation for Program Changes or Adjustments</w:t>
            </w:r>
            <w:r w:rsidR="001E1261">
              <w:rPr>
                <w:noProof/>
                <w:webHidden/>
              </w:rPr>
              <w:tab/>
            </w:r>
            <w:r w:rsidR="001E1261">
              <w:rPr>
                <w:noProof/>
                <w:webHidden/>
              </w:rPr>
              <w:fldChar w:fldCharType="begin"/>
            </w:r>
            <w:r w:rsidR="001E1261">
              <w:rPr>
                <w:noProof/>
                <w:webHidden/>
              </w:rPr>
              <w:instrText xml:space="preserve"> PAGEREF _Toc498433379 \h </w:instrText>
            </w:r>
            <w:r w:rsidR="001E1261">
              <w:rPr>
                <w:noProof/>
                <w:webHidden/>
              </w:rPr>
            </w:r>
            <w:r w:rsidR="001E1261">
              <w:rPr>
                <w:noProof/>
                <w:webHidden/>
              </w:rPr>
              <w:fldChar w:fldCharType="separate"/>
            </w:r>
            <w:r w:rsidR="001E1261">
              <w:rPr>
                <w:noProof/>
                <w:webHidden/>
              </w:rPr>
              <w:t>12</w:t>
            </w:r>
            <w:r w:rsidR="001E1261">
              <w:rPr>
                <w:noProof/>
                <w:webHidden/>
              </w:rPr>
              <w:fldChar w:fldCharType="end"/>
            </w:r>
          </w:hyperlink>
        </w:p>
        <w:p w14:paraId="5360B2BF" w14:textId="1269FD66" w:rsidR="001E1261" w:rsidRDefault="005A7930">
          <w:pPr>
            <w:pStyle w:val="TOC2"/>
            <w:rPr>
              <w:rFonts w:asciiTheme="minorHAnsi" w:eastAsiaTheme="minorEastAsia" w:hAnsiTheme="minorHAnsi" w:cstheme="minorBidi"/>
              <w:noProof/>
              <w:sz w:val="22"/>
            </w:rPr>
          </w:pPr>
          <w:hyperlink w:anchor="_Toc498433380" w:history="1">
            <w:r w:rsidR="001E1261" w:rsidRPr="00F0477E">
              <w:rPr>
                <w:rStyle w:val="Hyperlink"/>
                <w:noProof/>
              </w:rPr>
              <w:t>16. Plans for Tabulation and Publication and Project Time Schedule</w:t>
            </w:r>
            <w:r w:rsidR="001E1261">
              <w:rPr>
                <w:noProof/>
                <w:webHidden/>
              </w:rPr>
              <w:tab/>
            </w:r>
            <w:r w:rsidR="001E1261">
              <w:rPr>
                <w:noProof/>
                <w:webHidden/>
              </w:rPr>
              <w:fldChar w:fldCharType="begin"/>
            </w:r>
            <w:r w:rsidR="001E1261">
              <w:rPr>
                <w:noProof/>
                <w:webHidden/>
              </w:rPr>
              <w:instrText xml:space="preserve"> PAGEREF _Toc498433380 \h </w:instrText>
            </w:r>
            <w:r w:rsidR="001E1261">
              <w:rPr>
                <w:noProof/>
                <w:webHidden/>
              </w:rPr>
            </w:r>
            <w:r w:rsidR="001E1261">
              <w:rPr>
                <w:noProof/>
                <w:webHidden/>
              </w:rPr>
              <w:fldChar w:fldCharType="separate"/>
            </w:r>
            <w:r w:rsidR="001E1261">
              <w:rPr>
                <w:noProof/>
                <w:webHidden/>
              </w:rPr>
              <w:t>13</w:t>
            </w:r>
            <w:r w:rsidR="001E1261">
              <w:rPr>
                <w:noProof/>
                <w:webHidden/>
              </w:rPr>
              <w:fldChar w:fldCharType="end"/>
            </w:r>
          </w:hyperlink>
        </w:p>
        <w:p w14:paraId="3FB62FBD" w14:textId="083AB540" w:rsidR="001E1261" w:rsidRDefault="005A7930">
          <w:pPr>
            <w:pStyle w:val="TOC2"/>
            <w:rPr>
              <w:rFonts w:asciiTheme="minorHAnsi" w:eastAsiaTheme="minorEastAsia" w:hAnsiTheme="minorHAnsi" w:cstheme="minorBidi"/>
              <w:noProof/>
              <w:sz w:val="22"/>
            </w:rPr>
          </w:pPr>
          <w:hyperlink w:anchor="_Toc498433381" w:history="1">
            <w:r w:rsidR="001E1261" w:rsidRPr="00F0477E">
              <w:rPr>
                <w:rStyle w:val="Hyperlink"/>
                <w:noProof/>
              </w:rPr>
              <w:t>17. Reasons Display of OMB Expiration Date is Inappropriate</w:t>
            </w:r>
            <w:r w:rsidR="001E1261">
              <w:rPr>
                <w:noProof/>
                <w:webHidden/>
              </w:rPr>
              <w:tab/>
            </w:r>
            <w:r w:rsidR="001E1261">
              <w:rPr>
                <w:noProof/>
                <w:webHidden/>
              </w:rPr>
              <w:fldChar w:fldCharType="begin"/>
            </w:r>
            <w:r w:rsidR="001E1261">
              <w:rPr>
                <w:noProof/>
                <w:webHidden/>
              </w:rPr>
              <w:instrText xml:space="preserve"> PAGEREF _Toc498433381 \h </w:instrText>
            </w:r>
            <w:r w:rsidR="001E1261">
              <w:rPr>
                <w:noProof/>
                <w:webHidden/>
              </w:rPr>
            </w:r>
            <w:r w:rsidR="001E1261">
              <w:rPr>
                <w:noProof/>
                <w:webHidden/>
              </w:rPr>
              <w:fldChar w:fldCharType="separate"/>
            </w:r>
            <w:r w:rsidR="001E1261">
              <w:rPr>
                <w:noProof/>
                <w:webHidden/>
              </w:rPr>
              <w:t>14</w:t>
            </w:r>
            <w:r w:rsidR="001E1261">
              <w:rPr>
                <w:noProof/>
                <w:webHidden/>
              </w:rPr>
              <w:fldChar w:fldCharType="end"/>
            </w:r>
          </w:hyperlink>
        </w:p>
        <w:p w14:paraId="4B524425" w14:textId="1B8E82F4" w:rsidR="001E1261" w:rsidRDefault="005A7930">
          <w:pPr>
            <w:pStyle w:val="TOC2"/>
            <w:rPr>
              <w:rFonts w:asciiTheme="minorHAnsi" w:eastAsiaTheme="minorEastAsia" w:hAnsiTheme="minorHAnsi" w:cstheme="minorBidi"/>
              <w:noProof/>
              <w:sz w:val="22"/>
            </w:rPr>
          </w:pPr>
          <w:hyperlink w:anchor="_Toc498433382" w:history="1">
            <w:r w:rsidR="001E1261" w:rsidRPr="00F0477E">
              <w:rPr>
                <w:rStyle w:val="Hyperlink"/>
                <w:noProof/>
              </w:rPr>
              <w:t>18. Exceptions to Certification for Paperwork Reduction Act Submissions</w:t>
            </w:r>
            <w:r w:rsidR="001E1261">
              <w:rPr>
                <w:noProof/>
                <w:webHidden/>
              </w:rPr>
              <w:tab/>
            </w:r>
            <w:r w:rsidR="001E1261">
              <w:rPr>
                <w:noProof/>
                <w:webHidden/>
              </w:rPr>
              <w:fldChar w:fldCharType="begin"/>
            </w:r>
            <w:r w:rsidR="001E1261">
              <w:rPr>
                <w:noProof/>
                <w:webHidden/>
              </w:rPr>
              <w:instrText xml:space="preserve"> PAGEREF _Toc498433382 \h </w:instrText>
            </w:r>
            <w:r w:rsidR="001E1261">
              <w:rPr>
                <w:noProof/>
                <w:webHidden/>
              </w:rPr>
            </w:r>
            <w:r w:rsidR="001E1261">
              <w:rPr>
                <w:noProof/>
                <w:webHidden/>
              </w:rPr>
              <w:fldChar w:fldCharType="separate"/>
            </w:r>
            <w:r w:rsidR="001E1261">
              <w:rPr>
                <w:noProof/>
                <w:webHidden/>
              </w:rPr>
              <w:t>14</w:t>
            </w:r>
            <w:r w:rsidR="001E1261">
              <w:rPr>
                <w:noProof/>
                <w:webHidden/>
              </w:rPr>
              <w:fldChar w:fldCharType="end"/>
            </w:r>
          </w:hyperlink>
        </w:p>
        <w:p w14:paraId="0A2DC427" w14:textId="5FB72A94" w:rsidR="00423428" w:rsidRPr="0041169C" w:rsidRDefault="00906DFD" w:rsidP="002D6900">
          <w:pPr>
            <w:pStyle w:val="TOC2"/>
            <w:sectPr w:rsidR="00423428" w:rsidRPr="0041169C" w:rsidSect="00D609E1">
              <w:footerReference w:type="default" r:id="rId14"/>
              <w:pgSz w:w="12240" w:h="15840"/>
              <w:pgMar w:top="1440" w:right="1440" w:bottom="1440" w:left="1440" w:header="720" w:footer="720" w:gutter="0"/>
              <w:pgNumType w:fmt="lowerRoman" w:start="1"/>
              <w:cols w:space="720"/>
              <w:docGrid w:linePitch="326"/>
            </w:sectPr>
          </w:pPr>
          <w:r w:rsidRPr="0041169C">
            <w:rPr>
              <w:noProof/>
            </w:rPr>
            <w:fldChar w:fldCharType="end"/>
          </w:r>
        </w:p>
      </w:sdtContent>
    </w:sdt>
    <w:p w14:paraId="35D646BA" w14:textId="77777777" w:rsidR="009A3EAA" w:rsidRPr="0041169C" w:rsidRDefault="009A3EAA" w:rsidP="009A3EAA">
      <w:pPr>
        <w:spacing w:after="120"/>
        <w:rPr>
          <w:b/>
        </w:rPr>
      </w:pPr>
      <w:r w:rsidRPr="0041169C">
        <w:rPr>
          <w:b/>
        </w:rPr>
        <w:t>List of Attachments</w:t>
      </w:r>
    </w:p>
    <w:p w14:paraId="786411C0" w14:textId="77777777" w:rsidR="009A3EAA" w:rsidRPr="0041169C" w:rsidRDefault="009A3EAA" w:rsidP="009A3EAA">
      <w:pPr>
        <w:tabs>
          <w:tab w:val="right" w:leader="dot" w:pos="9360"/>
        </w:tabs>
        <w:spacing w:after="60"/>
      </w:pPr>
      <w:r w:rsidRPr="0041169C">
        <w:t>Attachment 1 – Authorizing Legislation</w:t>
      </w:r>
    </w:p>
    <w:p w14:paraId="3209FE31" w14:textId="77777777" w:rsidR="009A3EAA" w:rsidRPr="0041169C" w:rsidRDefault="009A3EAA" w:rsidP="009A3EAA">
      <w:pPr>
        <w:tabs>
          <w:tab w:val="right" w:leader="dot" w:pos="9360"/>
        </w:tabs>
        <w:spacing w:after="60"/>
      </w:pPr>
      <w:r w:rsidRPr="0041169C">
        <w:t>Attachment 2 – Published 6</w:t>
      </w:r>
      <w:r w:rsidR="009732E8" w:rsidRPr="0041169C">
        <w:t>0</w:t>
      </w:r>
      <w:r w:rsidRPr="0041169C">
        <w:t>-Day Federal Register Notice</w:t>
      </w:r>
      <w:r w:rsidR="00C875A8" w:rsidRPr="0041169C">
        <w:t xml:space="preserve"> (FRN)</w:t>
      </w:r>
    </w:p>
    <w:p w14:paraId="446978FD" w14:textId="37C53C02" w:rsidR="009A3EAA" w:rsidRPr="0041169C" w:rsidRDefault="009A3EAA" w:rsidP="009A3EAA">
      <w:pPr>
        <w:tabs>
          <w:tab w:val="right" w:leader="dot" w:pos="9360"/>
        </w:tabs>
        <w:spacing w:after="60"/>
      </w:pPr>
      <w:r w:rsidRPr="0041169C">
        <w:t xml:space="preserve">Attachment 3 – FMS </w:t>
      </w:r>
      <w:r w:rsidR="00233B8F" w:rsidRPr="0041169C">
        <w:t xml:space="preserve">Application Module </w:t>
      </w:r>
    </w:p>
    <w:p w14:paraId="1D535DED" w14:textId="1F1AFD29" w:rsidR="009A3EAA" w:rsidRPr="0041169C" w:rsidRDefault="009A3EAA" w:rsidP="009A3EAA">
      <w:pPr>
        <w:tabs>
          <w:tab w:val="right" w:leader="dot" w:pos="9360"/>
        </w:tabs>
        <w:spacing w:after="60"/>
      </w:pPr>
      <w:r w:rsidRPr="0041169C">
        <w:t>Attachment 4 – FMS Alumni Directory</w:t>
      </w:r>
      <w:r w:rsidR="004A6497" w:rsidRPr="0041169C">
        <w:t xml:space="preserve"> </w:t>
      </w:r>
    </w:p>
    <w:p w14:paraId="224702AC" w14:textId="687A0171" w:rsidR="009A3EAA" w:rsidRPr="0041169C" w:rsidRDefault="009A3EAA" w:rsidP="009A3EAA">
      <w:pPr>
        <w:tabs>
          <w:tab w:val="right" w:leader="dot" w:pos="9360"/>
        </w:tabs>
        <w:spacing w:after="60"/>
      </w:pPr>
      <w:r w:rsidRPr="0041169C">
        <w:t xml:space="preserve">Attachment 5 – FMS Host Site </w:t>
      </w:r>
      <w:r w:rsidR="00DF2EA8" w:rsidRPr="0041169C">
        <w:t>Module</w:t>
      </w:r>
      <w:r w:rsidR="004A6497" w:rsidRPr="0041169C">
        <w:t xml:space="preserve"> </w:t>
      </w:r>
    </w:p>
    <w:p w14:paraId="07611C3C" w14:textId="35023B68" w:rsidR="00F71C43" w:rsidRPr="0041169C" w:rsidRDefault="004E38FC" w:rsidP="00F71C43">
      <w:pPr>
        <w:tabs>
          <w:tab w:val="right" w:leader="dot" w:pos="9360"/>
        </w:tabs>
        <w:spacing w:after="60"/>
      </w:pPr>
      <w:r w:rsidRPr="0041169C">
        <w:t xml:space="preserve">Attachment </w:t>
      </w:r>
      <w:r w:rsidR="00256504" w:rsidRPr="0041169C">
        <w:t>6</w:t>
      </w:r>
      <w:r w:rsidR="00F71C43" w:rsidRPr="0041169C">
        <w:t xml:space="preserve"> – Public Comment and Response to 60-Day FRN</w:t>
      </w:r>
    </w:p>
    <w:p w14:paraId="3384DC26" w14:textId="047BFCCA" w:rsidR="00F71C43" w:rsidRPr="0041169C" w:rsidRDefault="00F71C43" w:rsidP="00F71C43">
      <w:pPr>
        <w:tabs>
          <w:tab w:val="right" w:leader="dot" w:pos="9360"/>
        </w:tabs>
        <w:spacing w:after="60"/>
      </w:pPr>
      <w:r w:rsidRPr="0041169C">
        <w:t xml:space="preserve">Attachment </w:t>
      </w:r>
      <w:r w:rsidR="00256504" w:rsidRPr="0041169C">
        <w:t>7</w:t>
      </w:r>
      <w:r w:rsidRPr="0041169C">
        <w:t xml:space="preserve"> – Research Determination Memorandum</w:t>
      </w:r>
    </w:p>
    <w:p w14:paraId="2BFCEBDA" w14:textId="77777777" w:rsidR="001A4BEA" w:rsidRDefault="001A4BEA" w:rsidP="00413EA1">
      <w:pPr>
        <w:pStyle w:val="Heading1"/>
        <w:rPr>
          <w:sz w:val="24"/>
        </w:rPr>
      </w:pPr>
    </w:p>
    <w:p w14:paraId="2115C7F5" w14:textId="1C68838E" w:rsidR="007969FB" w:rsidRDefault="007969FB" w:rsidP="007969FB">
      <w:r w:rsidRPr="0041169C">
        <w:rPr>
          <w:rFonts w:ascii="Courier New" w:hAnsi="Courier New" w:cs="Courier New"/>
          <w:noProof/>
          <w:sz w:val="22"/>
        </w:rPr>
        <mc:AlternateContent>
          <mc:Choice Requires="wps">
            <w:drawing>
              <wp:anchor distT="45720" distB="45720" distL="114300" distR="114300" simplePos="0" relativeHeight="251662336" behindDoc="0" locked="0" layoutInCell="1" allowOverlap="1" wp14:anchorId="0DFEE1BC" wp14:editId="0B53EA96">
                <wp:simplePos x="0" y="0"/>
                <wp:positionH relativeFrom="column">
                  <wp:posOffset>286405</wp:posOffset>
                </wp:positionH>
                <wp:positionV relativeFrom="paragraph">
                  <wp:posOffset>125</wp:posOffset>
                </wp:positionV>
                <wp:extent cx="5762625" cy="2619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619375"/>
                        </a:xfrm>
                        <a:prstGeom prst="rect">
                          <a:avLst/>
                        </a:prstGeom>
                        <a:solidFill>
                          <a:srgbClr val="FFFFFF"/>
                        </a:solidFill>
                        <a:ln w="9525">
                          <a:solidFill>
                            <a:srgbClr val="000000"/>
                          </a:solidFill>
                          <a:miter lim="800000"/>
                          <a:headEnd/>
                          <a:tailEnd/>
                        </a:ln>
                      </wps:spPr>
                      <wps:txbx>
                        <w:txbxContent>
                          <w:p w14:paraId="0BC93216" w14:textId="77777777" w:rsidR="00B6440D" w:rsidRPr="00507A41" w:rsidRDefault="00B6440D" w:rsidP="007969FB">
                            <w:pPr>
                              <w:pStyle w:val="ListParagraph"/>
                              <w:numPr>
                                <w:ilvl w:val="0"/>
                                <w:numId w:val="22"/>
                              </w:numPr>
                              <w:ind w:left="360" w:hanging="270"/>
                              <w:rPr>
                                <w:rFonts w:ascii="Courier New" w:hAnsi="Courier New" w:cs="Courier New"/>
                                <w:sz w:val="22"/>
                              </w:rPr>
                            </w:pPr>
                            <w:r w:rsidRPr="00507A41">
                              <w:rPr>
                                <w:rFonts w:ascii="Courier New" w:hAnsi="Courier New" w:cs="Courier New"/>
                                <w:sz w:val="22"/>
                              </w:rPr>
                              <w:t xml:space="preserve">Goal of the collection: To help </w:t>
                            </w:r>
                            <w:r>
                              <w:rPr>
                                <w:rFonts w:ascii="Courier New" w:hAnsi="Courier New" w:cs="Courier New"/>
                                <w:sz w:val="22"/>
                              </w:rPr>
                              <w:t xml:space="preserve">CDC </w:t>
                            </w:r>
                            <w:r w:rsidRPr="00507A41">
                              <w:rPr>
                                <w:rFonts w:ascii="Courier New" w:hAnsi="Courier New" w:cs="Courier New"/>
                                <w:sz w:val="22"/>
                              </w:rPr>
                              <w:t xml:space="preserve">meet the </w:t>
                            </w:r>
                            <w:r>
                              <w:rPr>
                                <w:rFonts w:ascii="Courier New" w:hAnsi="Courier New" w:cs="Courier New"/>
                                <w:sz w:val="22"/>
                              </w:rPr>
                              <w:t xml:space="preserve">training </w:t>
                            </w:r>
                            <w:r w:rsidRPr="00507A41">
                              <w:rPr>
                                <w:rFonts w:ascii="Courier New" w:hAnsi="Courier New" w:cs="Courier New"/>
                                <w:sz w:val="22"/>
                              </w:rPr>
                              <w:t>needs of</w:t>
                            </w:r>
                            <w:r>
                              <w:rPr>
                                <w:rFonts w:ascii="Courier New" w:hAnsi="Courier New" w:cs="Courier New"/>
                                <w:sz w:val="22"/>
                              </w:rPr>
                              <w:t xml:space="preserve"> voluntary applicants who seek to meet the needs of </w:t>
                            </w:r>
                            <w:r w:rsidRPr="00507A41">
                              <w:rPr>
                                <w:rFonts w:ascii="Courier New" w:hAnsi="Courier New" w:cs="Courier New"/>
                                <w:sz w:val="22"/>
                              </w:rPr>
                              <w:t xml:space="preserve">a continually evolving public health workforce </w:t>
                            </w:r>
                          </w:p>
                          <w:p w14:paraId="40932C2A" w14:textId="77777777" w:rsidR="00B6440D" w:rsidRPr="008E04F4" w:rsidRDefault="00B6440D" w:rsidP="007969FB">
                            <w:pPr>
                              <w:pStyle w:val="ListParagraph"/>
                              <w:numPr>
                                <w:ilvl w:val="0"/>
                                <w:numId w:val="22"/>
                              </w:numPr>
                              <w:ind w:left="360" w:hanging="270"/>
                              <w:rPr>
                                <w:rFonts w:ascii="Courier New" w:hAnsi="Courier New" w:cs="Courier New"/>
                                <w:sz w:val="22"/>
                              </w:rPr>
                            </w:pPr>
                            <w:r w:rsidRPr="008E04F4">
                              <w:rPr>
                                <w:rFonts w:ascii="Courier New" w:hAnsi="Courier New" w:cs="Courier New"/>
                                <w:sz w:val="22"/>
                              </w:rPr>
                              <w:t>Intended use of resulting data</w:t>
                            </w:r>
                            <w:r>
                              <w:rPr>
                                <w:rFonts w:ascii="Courier New" w:hAnsi="Courier New" w:cs="Courier New"/>
                                <w:sz w:val="22"/>
                              </w:rPr>
                              <w:t>:</w:t>
                            </w:r>
                            <w:r w:rsidRPr="008E04F4">
                              <w:rPr>
                                <w:rFonts w:ascii="Courier New" w:hAnsi="Courier New" w:cs="Courier New"/>
                                <w:sz w:val="22"/>
                              </w:rPr>
                              <w:t xml:space="preserve"> </w:t>
                            </w:r>
                            <w:r>
                              <w:rPr>
                                <w:rFonts w:ascii="Courier New" w:hAnsi="Courier New" w:cs="Courier New"/>
                                <w:sz w:val="22"/>
                              </w:rPr>
                              <w:t xml:space="preserve">To aid in the </w:t>
                            </w:r>
                            <w:r w:rsidRPr="00507A41">
                              <w:rPr>
                                <w:rFonts w:ascii="Courier New" w:hAnsi="Courier New" w:cs="Courier New"/>
                                <w:sz w:val="22"/>
                              </w:rPr>
                              <w:t xml:space="preserve">efficient and effective review of fellowship applications, fellowship host site proposals, and </w:t>
                            </w:r>
                            <w:r>
                              <w:rPr>
                                <w:rFonts w:ascii="Courier New" w:hAnsi="Courier New" w:cs="Courier New"/>
                                <w:sz w:val="22"/>
                              </w:rPr>
                              <w:t xml:space="preserve">fellowship </w:t>
                            </w:r>
                            <w:r w:rsidRPr="00507A41">
                              <w:rPr>
                                <w:rFonts w:ascii="Courier New" w:hAnsi="Courier New" w:cs="Courier New"/>
                                <w:sz w:val="22"/>
                              </w:rPr>
                              <w:t>alumni experiences</w:t>
                            </w:r>
                          </w:p>
                          <w:p w14:paraId="69122D9C" w14:textId="77777777" w:rsidR="00B6440D" w:rsidRPr="008E04F4" w:rsidRDefault="00B6440D" w:rsidP="007969FB">
                            <w:pPr>
                              <w:pStyle w:val="ListParagraph"/>
                              <w:numPr>
                                <w:ilvl w:val="0"/>
                                <w:numId w:val="22"/>
                              </w:numPr>
                              <w:ind w:left="360" w:hanging="270"/>
                              <w:rPr>
                                <w:rFonts w:ascii="Courier New" w:hAnsi="Courier New" w:cs="Courier New"/>
                                <w:sz w:val="22"/>
                              </w:rPr>
                            </w:pPr>
                            <w:r w:rsidRPr="008E04F4">
                              <w:rPr>
                                <w:rFonts w:ascii="Courier New" w:hAnsi="Courier New" w:cs="Courier New"/>
                                <w:sz w:val="22"/>
                              </w:rPr>
                              <w:t>Methods proposed to collect</w:t>
                            </w:r>
                            <w:r>
                              <w:rPr>
                                <w:rFonts w:ascii="Courier New" w:hAnsi="Courier New" w:cs="Courier New"/>
                                <w:sz w:val="22"/>
                              </w:rPr>
                              <w:t xml:space="preserve">: Online, using skip patterns and a robust, flexible data management system </w:t>
                            </w:r>
                          </w:p>
                          <w:p w14:paraId="796C9827" w14:textId="77777777" w:rsidR="00B6440D" w:rsidRPr="008E04F4" w:rsidRDefault="00B6440D" w:rsidP="007969FB">
                            <w:pPr>
                              <w:pStyle w:val="ListParagraph"/>
                              <w:numPr>
                                <w:ilvl w:val="0"/>
                                <w:numId w:val="22"/>
                              </w:numPr>
                              <w:ind w:left="360" w:hanging="270"/>
                              <w:rPr>
                                <w:rFonts w:ascii="Courier New" w:hAnsi="Courier New" w:cs="Courier New"/>
                                <w:sz w:val="22"/>
                              </w:rPr>
                            </w:pPr>
                            <w:r w:rsidRPr="008E04F4">
                              <w:rPr>
                                <w:rFonts w:ascii="Courier New" w:hAnsi="Courier New" w:cs="Courier New"/>
                                <w:sz w:val="22"/>
                              </w:rPr>
                              <w:t>Subpopulations for data collection</w:t>
                            </w:r>
                            <w:r>
                              <w:rPr>
                                <w:rFonts w:ascii="Courier New" w:hAnsi="Courier New" w:cs="Courier New"/>
                                <w:sz w:val="22"/>
                              </w:rPr>
                              <w:t xml:space="preserve">: Nonfederal fellowship applicants, fellowship alumni, and public health agencies </w:t>
                            </w:r>
                          </w:p>
                          <w:p w14:paraId="5616123E" w14:textId="77777777" w:rsidR="00B6440D" w:rsidRDefault="00B6440D" w:rsidP="007969FB">
                            <w:pPr>
                              <w:pStyle w:val="ListParagraph"/>
                              <w:numPr>
                                <w:ilvl w:val="0"/>
                                <w:numId w:val="22"/>
                              </w:numPr>
                              <w:ind w:left="360" w:hanging="270"/>
                            </w:pPr>
                            <w:r w:rsidRPr="008E04F4">
                              <w:rPr>
                                <w:rFonts w:ascii="Courier New" w:hAnsi="Courier New" w:cs="Courier New"/>
                                <w:sz w:val="22"/>
                              </w:rPr>
                              <w:t>How data will be analyzed</w:t>
                            </w:r>
                            <w:r>
                              <w:rPr>
                                <w:rFonts w:ascii="Courier New" w:hAnsi="Courier New" w:cs="Courier New"/>
                                <w:sz w:val="22"/>
                              </w:rPr>
                              <w:t xml:space="preserve">: Data will be analyzed in the aggregate only for internal reports </w:t>
                            </w:r>
                            <w:r w:rsidRPr="00F07121">
                              <w:rPr>
                                <w:rFonts w:ascii="Courier New" w:hAnsi="Courier New" w:cs="Courier New"/>
                                <w:sz w:val="22"/>
                              </w:rPr>
                              <w:t>to provide trends and program data for DSEPD leadership and fellowship managers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0;width:453.75pt;height:20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">
                <v:textbox>
                  <w:txbxContent>
                    <w:p w14:paraId="0BC93216" w14:textId="77777777" w:rsidR="00B6440D" w:rsidRPr="00507A41" w:rsidRDefault="00B6440D" w:rsidP="007969FB">
                      <w:pPr>
                        <w:pStyle w:val="ListParagraph"/>
                        <w:numPr>
                          <w:ilvl w:val="0"/>
                          <w:numId w:val="22"/>
                        </w:numPr>
                        <w:ind w:left="360" w:hanging="270"/>
                        <w:rPr>
                          <w:rFonts w:ascii="Courier New" w:hAnsi="Courier New" w:cs="Courier New"/>
                          <w:sz w:val="22"/>
                        </w:rPr>
                      </w:pPr>
                      <w:r w:rsidRPr="00507A41">
                        <w:rPr>
                          <w:rFonts w:ascii="Courier New" w:hAnsi="Courier New" w:cs="Courier New"/>
                          <w:sz w:val="22"/>
                        </w:rPr>
                        <w:t xml:space="preserve">Goal of the collection: To help </w:t>
                      </w:r>
                      <w:r>
                        <w:rPr>
                          <w:rFonts w:ascii="Courier New" w:hAnsi="Courier New" w:cs="Courier New"/>
                          <w:sz w:val="22"/>
                        </w:rPr>
                        <w:t xml:space="preserve">CDC </w:t>
                      </w:r>
                      <w:r w:rsidRPr="00507A41">
                        <w:rPr>
                          <w:rFonts w:ascii="Courier New" w:hAnsi="Courier New" w:cs="Courier New"/>
                          <w:sz w:val="22"/>
                        </w:rPr>
                        <w:t xml:space="preserve">meet the </w:t>
                      </w:r>
                      <w:r>
                        <w:rPr>
                          <w:rFonts w:ascii="Courier New" w:hAnsi="Courier New" w:cs="Courier New"/>
                          <w:sz w:val="22"/>
                        </w:rPr>
                        <w:t xml:space="preserve">training </w:t>
                      </w:r>
                      <w:r w:rsidRPr="00507A41">
                        <w:rPr>
                          <w:rFonts w:ascii="Courier New" w:hAnsi="Courier New" w:cs="Courier New"/>
                          <w:sz w:val="22"/>
                        </w:rPr>
                        <w:t>needs of</w:t>
                      </w:r>
                      <w:r>
                        <w:rPr>
                          <w:rFonts w:ascii="Courier New" w:hAnsi="Courier New" w:cs="Courier New"/>
                          <w:sz w:val="22"/>
                        </w:rPr>
                        <w:t xml:space="preserve"> voluntary applicants who seek to meet the needs of </w:t>
                      </w:r>
                      <w:r w:rsidRPr="00507A41">
                        <w:rPr>
                          <w:rFonts w:ascii="Courier New" w:hAnsi="Courier New" w:cs="Courier New"/>
                          <w:sz w:val="22"/>
                        </w:rPr>
                        <w:t xml:space="preserve">a continually evolving public health workforce </w:t>
                      </w:r>
                    </w:p>
                    <w:p w14:paraId="40932C2A" w14:textId="77777777" w:rsidR="00B6440D" w:rsidRPr="008E04F4" w:rsidRDefault="00B6440D" w:rsidP="007969FB">
                      <w:pPr>
                        <w:pStyle w:val="ListParagraph"/>
                        <w:numPr>
                          <w:ilvl w:val="0"/>
                          <w:numId w:val="22"/>
                        </w:numPr>
                        <w:ind w:left="360" w:hanging="270"/>
                        <w:rPr>
                          <w:rFonts w:ascii="Courier New" w:hAnsi="Courier New" w:cs="Courier New"/>
                          <w:sz w:val="22"/>
                        </w:rPr>
                      </w:pPr>
                      <w:r w:rsidRPr="008E04F4">
                        <w:rPr>
                          <w:rFonts w:ascii="Courier New" w:hAnsi="Courier New" w:cs="Courier New"/>
                          <w:sz w:val="22"/>
                        </w:rPr>
                        <w:t>Intended use of resulting data</w:t>
                      </w:r>
                      <w:r>
                        <w:rPr>
                          <w:rFonts w:ascii="Courier New" w:hAnsi="Courier New" w:cs="Courier New"/>
                          <w:sz w:val="22"/>
                        </w:rPr>
                        <w:t>:</w:t>
                      </w:r>
                      <w:r w:rsidRPr="008E04F4">
                        <w:rPr>
                          <w:rFonts w:ascii="Courier New" w:hAnsi="Courier New" w:cs="Courier New"/>
                          <w:sz w:val="22"/>
                        </w:rPr>
                        <w:t xml:space="preserve"> </w:t>
                      </w:r>
                      <w:r>
                        <w:rPr>
                          <w:rFonts w:ascii="Courier New" w:hAnsi="Courier New" w:cs="Courier New"/>
                          <w:sz w:val="22"/>
                        </w:rPr>
                        <w:t xml:space="preserve">To aid in the </w:t>
                      </w:r>
                      <w:r w:rsidRPr="00507A41">
                        <w:rPr>
                          <w:rFonts w:ascii="Courier New" w:hAnsi="Courier New" w:cs="Courier New"/>
                          <w:sz w:val="22"/>
                        </w:rPr>
                        <w:t xml:space="preserve">efficient and effective review of fellowship applications, fellowship host site proposals, and </w:t>
                      </w:r>
                      <w:r>
                        <w:rPr>
                          <w:rFonts w:ascii="Courier New" w:hAnsi="Courier New" w:cs="Courier New"/>
                          <w:sz w:val="22"/>
                        </w:rPr>
                        <w:t xml:space="preserve">fellowship </w:t>
                      </w:r>
                      <w:r w:rsidRPr="00507A41">
                        <w:rPr>
                          <w:rFonts w:ascii="Courier New" w:hAnsi="Courier New" w:cs="Courier New"/>
                          <w:sz w:val="22"/>
                        </w:rPr>
                        <w:t>alumni experiences</w:t>
                      </w:r>
                    </w:p>
                    <w:p w14:paraId="69122D9C" w14:textId="77777777" w:rsidR="00B6440D" w:rsidRPr="008E04F4" w:rsidRDefault="00B6440D" w:rsidP="007969FB">
                      <w:pPr>
                        <w:pStyle w:val="ListParagraph"/>
                        <w:numPr>
                          <w:ilvl w:val="0"/>
                          <w:numId w:val="22"/>
                        </w:numPr>
                        <w:ind w:left="360" w:hanging="270"/>
                        <w:rPr>
                          <w:rFonts w:ascii="Courier New" w:hAnsi="Courier New" w:cs="Courier New"/>
                          <w:sz w:val="22"/>
                        </w:rPr>
                      </w:pPr>
                      <w:r w:rsidRPr="008E04F4">
                        <w:rPr>
                          <w:rFonts w:ascii="Courier New" w:hAnsi="Courier New" w:cs="Courier New"/>
                          <w:sz w:val="22"/>
                        </w:rPr>
                        <w:t>Methods proposed to collect</w:t>
                      </w:r>
                      <w:r>
                        <w:rPr>
                          <w:rFonts w:ascii="Courier New" w:hAnsi="Courier New" w:cs="Courier New"/>
                          <w:sz w:val="22"/>
                        </w:rPr>
                        <w:t xml:space="preserve">: Online, using skip patterns and a robust, flexible data management system </w:t>
                      </w:r>
                    </w:p>
                    <w:p w14:paraId="796C9827" w14:textId="77777777" w:rsidR="00B6440D" w:rsidRPr="008E04F4" w:rsidRDefault="00B6440D" w:rsidP="007969FB">
                      <w:pPr>
                        <w:pStyle w:val="ListParagraph"/>
                        <w:numPr>
                          <w:ilvl w:val="0"/>
                          <w:numId w:val="22"/>
                        </w:numPr>
                        <w:ind w:left="360" w:hanging="270"/>
                        <w:rPr>
                          <w:rFonts w:ascii="Courier New" w:hAnsi="Courier New" w:cs="Courier New"/>
                          <w:sz w:val="22"/>
                        </w:rPr>
                      </w:pPr>
                      <w:r w:rsidRPr="008E04F4">
                        <w:rPr>
                          <w:rFonts w:ascii="Courier New" w:hAnsi="Courier New" w:cs="Courier New"/>
                          <w:sz w:val="22"/>
                        </w:rPr>
                        <w:t>Subpopulations for data collection</w:t>
                      </w:r>
                      <w:r>
                        <w:rPr>
                          <w:rFonts w:ascii="Courier New" w:hAnsi="Courier New" w:cs="Courier New"/>
                          <w:sz w:val="22"/>
                        </w:rPr>
                        <w:t xml:space="preserve">: Nonfederal fellowship applicants, fellowship alumni, and public health agencies </w:t>
                      </w:r>
                    </w:p>
                    <w:p w14:paraId="5616123E" w14:textId="77777777" w:rsidR="00B6440D" w:rsidRDefault="00B6440D" w:rsidP="007969FB">
                      <w:pPr>
                        <w:pStyle w:val="ListParagraph"/>
                        <w:numPr>
                          <w:ilvl w:val="0"/>
                          <w:numId w:val="22"/>
                        </w:numPr>
                        <w:ind w:left="360" w:hanging="270"/>
                      </w:pPr>
                      <w:r w:rsidRPr="008E04F4">
                        <w:rPr>
                          <w:rFonts w:ascii="Courier New" w:hAnsi="Courier New" w:cs="Courier New"/>
                          <w:sz w:val="22"/>
                        </w:rPr>
                        <w:t>How data will be analyzed</w:t>
                      </w:r>
                      <w:r>
                        <w:rPr>
                          <w:rFonts w:ascii="Courier New" w:hAnsi="Courier New" w:cs="Courier New"/>
                          <w:sz w:val="22"/>
                        </w:rPr>
                        <w:t xml:space="preserve">: Data will be analyzed in the aggregate only for internal reports </w:t>
                      </w:r>
                      <w:r w:rsidRPr="00F07121">
                        <w:rPr>
                          <w:rFonts w:ascii="Courier New" w:hAnsi="Courier New" w:cs="Courier New"/>
                          <w:sz w:val="22"/>
                        </w:rPr>
                        <w:t>to provide trends and program data for DSEPD leadership and fellowship managers</w:t>
                      </w:r>
                    </w:p>
                  </w:txbxContent>
                </v:textbox>
                <w10:wrap type="square"/>
              </v:shape>
            </w:pict>
          </mc:Fallback>
        </mc:AlternateContent>
      </w:r>
    </w:p>
    <w:p w14:paraId="05893A56" w14:textId="395F69BE" w:rsidR="007969FB" w:rsidRDefault="007969FB" w:rsidP="007969FB"/>
    <w:p w14:paraId="5F9CC279" w14:textId="0F68D1CA" w:rsidR="001C611B" w:rsidRPr="0041169C" w:rsidRDefault="001C611B" w:rsidP="00413EA1">
      <w:pPr>
        <w:pStyle w:val="Heading1"/>
        <w:rPr>
          <w:sz w:val="24"/>
        </w:rPr>
      </w:pPr>
      <w:bookmarkStart w:id="1" w:name="_Toc498433364"/>
      <w:r w:rsidRPr="0041169C">
        <w:rPr>
          <w:sz w:val="24"/>
        </w:rPr>
        <w:t>A</w:t>
      </w:r>
      <w:r w:rsidR="00A17045" w:rsidRPr="0041169C">
        <w:rPr>
          <w:sz w:val="24"/>
        </w:rPr>
        <w:t>. J</w:t>
      </w:r>
      <w:r w:rsidRPr="0041169C">
        <w:rPr>
          <w:sz w:val="24"/>
        </w:rPr>
        <w:t>ustifications</w:t>
      </w:r>
      <w:bookmarkEnd w:id="1"/>
    </w:p>
    <w:p w14:paraId="1BDD8AEE" w14:textId="77777777" w:rsidR="001C611B" w:rsidRPr="0041169C" w:rsidRDefault="001C611B" w:rsidP="001C611B">
      <w:pPr>
        <w:rPr>
          <w:szCs w:val="24"/>
        </w:rPr>
      </w:pPr>
    </w:p>
    <w:p w14:paraId="1D278050" w14:textId="78A0ED25" w:rsidR="002B7F24" w:rsidRPr="0041169C" w:rsidRDefault="002B7F24" w:rsidP="001C611B">
      <w:pPr>
        <w:pStyle w:val="Heading2"/>
        <w:rPr>
          <w:sz w:val="24"/>
        </w:rPr>
      </w:pPr>
      <w:bookmarkStart w:id="2" w:name="_Toc498433365"/>
      <w:r w:rsidRPr="0041169C">
        <w:rPr>
          <w:sz w:val="24"/>
        </w:rPr>
        <w:t>1</w:t>
      </w:r>
      <w:r w:rsidR="00413EA1" w:rsidRPr="0041169C">
        <w:rPr>
          <w:sz w:val="24"/>
        </w:rPr>
        <w:t>.</w:t>
      </w:r>
      <w:r w:rsidRPr="0041169C">
        <w:rPr>
          <w:sz w:val="24"/>
        </w:rPr>
        <w:t xml:space="preserve"> </w:t>
      </w:r>
      <w:r w:rsidR="002F1EE6" w:rsidRPr="0041169C">
        <w:rPr>
          <w:sz w:val="24"/>
        </w:rPr>
        <w:t xml:space="preserve"> </w:t>
      </w:r>
      <w:r w:rsidRPr="0041169C">
        <w:rPr>
          <w:sz w:val="24"/>
        </w:rPr>
        <w:t>Circumstances Making the Collection of Information Necessary</w:t>
      </w:r>
      <w:bookmarkEnd w:id="2"/>
    </w:p>
    <w:p w14:paraId="0F724B37" w14:textId="77777777" w:rsidR="00F429AC" w:rsidRPr="0041169C" w:rsidRDefault="00F429AC" w:rsidP="00F429AC"/>
    <w:p w14:paraId="37C340C7" w14:textId="34C81A4A" w:rsidR="00A64C64" w:rsidRPr="0041169C" w:rsidRDefault="00D15D65" w:rsidP="0011055E">
      <w:pPr>
        <w:spacing w:after="120"/>
      </w:pPr>
      <w:r>
        <w:t xml:space="preserve">The </w:t>
      </w:r>
      <w:r w:rsidR="003310C8">
        <w:t>CDC requests</w:t>
      </w:r>
      <w:r w:rsidR="00D95A64" w:rsidRPr="0041169C">
        <w:t xml:space="preserve"> a </w:t>
      </w:r>
      <w:r w:rsidR="003310C8">
        <w:t>three</w:t>
      </w:r>
      <w:r w:rsidR="00D95A64" w:rsidRPr="0041169C">
        <w:t xml:space="preserve">-year extension of the </w:t>
      </w:r>
      <w:r w:rsidR="003310C8" w:rsidRPr="0041169C">
        <w:t xml:space="preserve">Office of Management and Budget (OMB) </w:t>
      </w:r>
      <w:r w:rsidR="003310C8">
        <w:t>control number 0920-0765 and the information collection project titled</w:t>
      </w:r>
      <w:r w:rsidR="002933AF">
        <w:t xml:space="preserve"> </w:t>
      </w:r>
      <w:r w:rsidR="0009552D" w:rsidRPr="00112605">
        <w:rPr>
          <w:i/>
        </w:rPr>
        <w:t xml:space="preserve">CDC </w:t>
      </w:r>
      <w:r w:rsidR="00D95A64" w:rsidRPr="00112605">
        <w:rPr>
          <w:i/>
        </w:rPr>
        <w:t>F</w:t>
      </w:r>
      <w:r w:rsidR="0009552D" w:rsidRPr="00112605">
        <w:rPr>
          <w:i/>
        </w:rPr>
        <w:t xml:space="preserve">ellowship </w:t>
      </w:r>
      <w:r w:rsidR="00D95A64" w:rsidRPr="00112605">
        <w:rPr>
          <w:i/>
        </w:rPr>
        <w:t xml:space="preserve">Management System </w:t>
      </w:r>
      <w:r w:rsidR="00FA6FC7" w:rsidRPr="00112605">
        <w:rPr>
          <w:i/>
        </w:rPr>
        <w:t>(FMS)</w:t>
      </w:r>
      <w:r w:rsidR="003310C8">
        <w:rPr>
          <w:i/>
        </w:rPr>
        <w:t>.</w:t>
      </w:r>
      <w:r w:rsidR="00FA6FC7" w:rsidRPr="0041169C">
        <w:t xml:space="preserve"> </w:t>
      </w:r>
      <w:r w:rsidR="003310C8">
        <w:t xml:space="preserve">The control number for this </w:t>
      </w:r>
      <w:r>
        <w:t>information</w:t>
      </w:r>
      <w:r w:rsidR="003310C8">
        <w:t xml:space="preserve"> collection project </w:t>
      </w:r>
      <w:r w:rsidR="0009552D" w:rsidRPr="0041169C">
        <w:rPr>
          <w:lang w:bidi="en-US"/>
        </w:rPr>
        <w:t xml:space="preserve">expires </w:t>
      </w:r>
      <w:r w:rsidR="0009552D" w:rsidRPr="0041169C">
        <w:t>April 30, 2018.</w:t>
      </w:r>
      <w:r w:rsidR="00D95A64" w:rsidRPr="0041169C">
        <w:t xml:space="preserve"> </w:t>
      </w:r>
    </w:p>
    <w:p w14:paraId="18842B43" w14:textId="3DD1C735" w:rsidR="0023590C" w:rsidRDefault="00B80D4B" w:rsidP="0011055E">
      <w:pPr>
        <w:spacing w:after="120"/>
      </w:pPr>
      <w:r w:rsidRPr="0041169C">
        <w:t xml:space="preserve">FMS is a web-based, flexible, and robust data management system that allows CDC to electronically collect and process fellowship applications, fellowship assignment proposals, and fellowship alumni information from nonfederal persons. </w:t>
      </w:r>
      <w:r w:rsidR="00CD54C0" w:rsidRPr="0041169C">
        <w:t xml:space="preserve">Programs collecting information through the approved FMS data collection instruments have slight variations in specific data elements, based on the needs of the fellowship. </w:t>
      </w:r>
      <w:r w:rsidR="007C1F18" w:rsidRPr="0041169C">
        <w:t xml:space="preserve">FMS is </w:t>
      </w:r>
      <w:r w:rsidR="00897019" w:rsidRPr="0041169C">
        <w:t xml:space="preserve">vital </w:t>
      </w:r>
      <w:r w:rsidR="007C1F18" w:rsidRPr="0041169C">
        <w:t xml:space="preserve">to CDC’s ability to protect the public’s health by supporting training opportunities that strengthen the public health workforce. </w:t>
      </w:r>
    </w:p>
    <w:p w14:paraId="57075D6B" w14:textId="25E44CA2" w:rsidR="0023590C" w:rsidRPr="0041169C" w:rsidRDefault="00551510" w:rsidP="00112605">
      <w:pPr>
        <w:spacing w:after="120"/>
        <w:rPr>
          <w:szCs w:val="24"/>
        </w:rPr>
      </w:pPr>
      <w:r w:rsidRPr="00551510">
        <w:t>This request for extension includes all nonsubstantive changes to FMS since its last approval in 2015. Respondent types and burden hours for each data collection are specific to nonfederal applicants and employees of nonfederal public health agencies who voluntarily apply for participat</w:t>
      </w:r>
      <w:r w:rsidR="0056097F">
        <w:t xml:space="preserve">ion </w:t>
      </w:r>
      <w:r w:rsidRPr="00551510">
        <w:t xml:space="preserve">in FMS programs. </w:t>
      </w:r>
    </w:p>
    <w:p w14:paraId="3942817E" w14:textId="0DE390F7" w:rsidR="00F7564D" w:rsidRPr="0041169C" w:rsidRDefault="00F7564D" w:rsidP="00B57FEA">
      <w:pPr>
        <w:spacing w:after="120"/>
      </w:pPr>
      <w:r w:rsidRPr="0041169C">
        <w:t xml:space="preserve">By providing CDC with an efficient, effective, and secure electronic mechanism for collecting and processing fellowship information, FMS optimizes CDC’s ability to provide continuous fellowship service delivery that builds and sustains public health capacity, helps to save lives, and protects people from health threats. Critical components of FMS help improve the matching process of fellowship assignment proposals with qualified fellowship applicants by matching interests and skills of qualified fellowship candidates with host </w:t>
      </w:r>
      <w:r w:rsidR="00C875EF" w:rsidRPr="0041169C">
        <w:t xml:space="preserve">(work) </w:t>
      </w:r>
      <w:r w:rsidRPr="0041169C">
        <w:t>site</w:t>
      </w:r>
      <w:r w:rsidR="00B57FEA" w:rsidRPr="0041169C">
        <w:t xml:space="preserve"> needs</w:t>
      </w:r>
      <w:r w:rsidR="00C80C4B" w:rsidRPr="0041169C">
        <w:t xml:space="preserve">. </w:t>
      </w:r>
      <w:r w:rsidRPr="0041169C">
        <w:t xml:space="preserve">The best matches between fellows and assignments typically lead to long-term employment and </w:t>
      </w:r>
      <w:r w:rsidR="00C80C4B" w:rsidRPr="0041169C">
        <w:t xml:space="preserve">the </w:t>
      </w:r>
      <w:r w:rsidRPr="0041169C">
        <w:t xml:space="preserve">sustained public health capacity of state, tribal, </w:t>
      </w:r>
      <w:r w:rsidR="00C80C4B" w:rsidRPr="0041169C">
        <w:t>local,</w:t>
      </w:r>
      <w:r w:rsidRPr="0041169C">
        <w:t xml:space="preserve"> and territorial public health agencies and organizations</w:t>
      </w:r>
      <w:r w:rsidR="00C80C4B" w:rsidRPr="0041169C">
        <w:t xml:space="preserve">, thus strengthening the </w:t>
      </w:r>
      <w:r w:rsidR="00B57FEA" w:rsidRPr="0041169C">
        <w:t xml:space="preserve">pipeline to the </w:t>
      </w:r>
      <w:r w:rsidR="00C80C4B" w:rsidRPr="0041169C">
        <w:t>public health workforce.</w:t>
      </w:r>
    </w:p>
    <w:p w14:paraId="03837073" w14:textId="77777777" w:rsidR="00C2622C" w:rsidRPr="0041169C" w:rsidRDefault="00E96263" w:rsidP="00EA4D4D">
      <w:pPr>
        <w:rPr>
          <w:rFonts w:eastAsia="SimSun"/>
          <w:lang w:eastAsia="zh-CN"/>
        </w:rPr>
      </w:pPr>
      <w:r w:rsidRPr="0041169C">
        <w:t xml:space="preserve">FMS </w:t>
      </w:r>
      <w:r w:rsidR="00B57FEA" w:rsidRPr="0041169C">
        <w:t xml:space="preserve">also </w:t>
      </w:r>
      <w:r w:rsidR="00B80D4B" w:rsidRPr="0041169C">
        <w:t>maintain</w:t>
      </w:r>
      <w:r w:rsidRPr="0041169C">
        <w:t>s</w:t>
      </w:r>
      <w:r w:rsidR="00B80D4B" w:rsidRPr="0041169C">
        <w:t xml:space="preserve"> a current alumni database</w:t>
      </w:r>
      <w:r w:rsidR="00B57FEA" w:rsidRPr="0041169C">
        <w:t>,</w:t>
      </w:r>
      <w:r w:rsidR="00B80D4B" w:rsidRPr="0041169C">
        <w:t xml:space="preserve"> generating fellowship program reports and documenting the impact of fellowships on alumni careers and the public health workforce.</w:t>
      </w:r>
      <w:r w:rsidR="00EA4D4D" w:rsidRPr="0041169C">
        <w:t xml:space="preserve"> Through the FMS Alumni Directory, CDC is able to identify alumni possessing mission-critical skills to respond to a national public health emergency</w:t>
      </w:r>
      <w:r w:rsidR="00EA4D4D" w:rsidRPr="0041169C">
        <w:rPr>
          <w:rFonts w:eastAsia="SimSun"/>
          <w:lang w:eastAsia="zh-CN"/>
        </w:rPr>
        <w:t xml:space="preserve"> or an urgent public health need. </w:t>
      </w:r>
      <w:r w:rsidR="00B17A52" w:rsidRPr="0041169C">
        <w:rPr>
          <w:rFonts w:eastAsia="SimSun"/>
          <w:lang w:eastAsia="zh-CN"/>
        </w:rPr>
        <w:t xml:space="preserve">Thus, </w:t>
      </w:r>
      <w:r w:rsidR="001142E1" w:rsidRPr="0041169C">
        <w:rPr>
          <w:rFonts w:eastAsia="SimSun"/>
          <w:lang w:eastAsia="zh-CN"/>
        </w:rPr>
        <w:t xml:space="preserve">much of the </w:t>
      </w:r>
      <w:r w:rsidR="005A6FEB" w:rsidRPr="0041169C">
        <w:rPr>
          <w:rFonts w:eastAsia="SimSun"/>
          <w:lang w:eastAsia="zh-CN"/>
        </w:rPr>
        <w:t xml:space="preserve">information collected is </w:t>
      </w:r>
      <w:r w:rsidR="001142E1" w:rsidRPr="0041169C">
        <w:rPr>
          <w:rFonts w:eastAsia="SimSun"/>
          <w:lang w:eastAsia="zh-CN"/>
        </w:rPr>
        <w:t xml:space="preserve">in identifiable form. </w:t>
      </w:r>
    </w:p>
    <w:p w14:paraId="1F8C4B62" w14:textId="77777777" w:rsidR="00C2622C" w:rsidRPr="0041169C" w:rsidRDefault="00C2622C" w:rsidP="00EA4D4D">
      <w:pPr>
        <w:rPr>
          <w:rFonts w:eastAsia="SimSun"/>
          <w:lang w:eastAsia="zh-CN"/>
        </w:rPr>
      </w:pPr>
    </w:p>
    <w:p w14:paraId="519702AC" w14:textId="15B76ACC" w:rsidR="00EA4D4D" w:rsidRPr="0041169C" w:rsidRDefault="00C2622C" w:rsidP="00C2622C">
      <w:pPr>
        <w:spacing w:after="120"/>
        <w:rPr>
          <w:rFonts w:eastAsia="SimSun"/>
          <w:lang w:eastAsia="zh-CN"/>
        </w:rPr>
      </w:pPr>
      <w:r w:rsidRPr="0041169C">
        <w:t>As CDC fellowship programs grow, more fellowship candidates apply through the FMS Applica</w:t>
      </w:r>
      <w:r w:rsidR="00C856C8" w:rsidRPr="0041169C">
        <w:t>tion</w:t>
      </w:r>
      <w:r w:rsidRPr="0041169C">
        <w:t xml:space="preserve"> Module, and more public health agency staff propose to host fellows through the FMS Host Site Module. Over the years, FMS has enhanced </w:t>
      </w:r>
      <w:r w:rsidR="00C856C8" w:rsidRPr="0041169C">
        <w:t>information</w:t>
      </w:r>
      <w:r w:rsidRPr="0041169C">
        <w:t xml:space="preserve"> collection </w:t>
      </w:r>
      <w:r w:rsidR="00C856C8" w:rsidRPr="0041169C">
        <w:t>resulting in</w:t>
      </w:r>
      <w:r w:rsidRPr="0041169C">
        <w:t xml:space="preserve"> improv</w:t>
      </w:r>
      <w:r w:rsidR="00C856C8" w:rsidRPr="0041169C">
        <w:t>ed</w:t>
      </w:r>
      <w:r w:rsidRPr="0041169C">
        <w:t xml:space="preserve"> accuracy, readability, timeliness, completeness, and consistency of information submitted in a streamlined, standardized format across all fellowships. The increasing volume of applications and data verifies that continued use of FMS by CDC is necessary to streamline electronic collection and fellowship processes, such as reviewing applications, selecting candidates and host (work) sites, and monitoring the impact on alumni and the public health workforce. </w:t>
      </w:r>
      <w:r w:rsidR="00B0562B" w:rsidRPr="0041169C">
        <w:rPr>
          <w:rFonts w:eastAsia="SimSun"/>
          <w:lang w:eastAsia="zh-CN"/>
        </w:rPr>
        <w:t>All FMS d</w:t>
      </w:r>
      <w:r w:rsidR="00EA4D4D" w:rsidRPr="0041169C">
        <w:rPr>
          <w:rFonts w:eastAsia="SimSun"/>
          <w:lang w:eastAsia="zh-CN"/>
        </w:rPr>
        <w:t>ata collections align with HHS’s strategic goal to strengthen nation’s health and human services infrastructure and workforce (</w:t>
      </w:r>
      <w:r w:rsidR="004A2C78" w:rsidRPr="0041169C">
        <w:t xml:space="preserve">U.S. Department of Health and Human Services </w:t>
      </w:r>
      <w:r w:rsidR="00EA4D4D" w:rsidRPr="0041169C">
        <w:rPr>
          <w:rFonts w:eastAsia="SimSun"/>
          <w:lang w:eastAsia="zh-CN"/>
        </w:rPr>
        <w:t>Strategic Plan, Foster a 21</w:t>
      </w:r>
      <w:r w:rsidR="00EA4D4D" w:rsidRPr="0041169C">
        <w:rPr>
          <w:rFonts w:eastAsia="SimSun"/>
          <w:vertAlign w:val="superscript"/>
          <w:lang w:eastAsia="zh-CN"/>
        </w:rPr>
        <w:t>st</w:t>
      </w:r>
      <w:r w:rsidR="00EA4D4D" w:rsidRPr="0041169C">
        <w:rPr>
          <w:rFonts w:eastAsia="SimSun"/>
          <w:lang w:eastAsia="zh-CN"/>
        </w:rPr>
        <w:t xml:space="preserve"> Century Health Workforce).</w:t>
      </w:r>
      <w:r w:rsidR="0023590C" w:rsidRPr="0041169C">
        <w:rPr>
          <w:rFonts w:eastAsia="SimSun"/>
          <w:lang w:eastAsia="zh-CN"/>
        </w:rPr>
        <w:t xml:space="preserve"> </w:t>
      </w:r>
    </w:p>
    <w:p w14:paraId="5181A814" w14:textId="40F5926E" w:rsidR="00B17A52" w:rsidRPr="0041169C" w:rsidRDefault="00B17A52" w:rsidP="00EA4D4D">
      <w:pPr>
        <w:rPr>
          <w:rFonts w:eastAsia="SimSun"/>
          <w:lang w:eastAsia="zh-CN"/>
        </w:rPr>
      </w:pPr>
    </w:p>
    <w:p w14:paraId="77EA88E4" w14:textId="54304D55" w:rsidR="0051520E" w:rsidRPr="0041169C" w:rsidRDefault="002B7F24" w:rsidP="00776274">
      <w:pPr>
        <w:pStyle w:val="Heading2"/>
        <w:spacing w:after="120"/>
      </w:pPr>
      <w:bookmarkStart w:id="3" w:name="_Toc498433366"/>
      <w:r w:rsidRPr="0041169C">
        <w:t>2. Purpose and Use of Information Collection</w:t>
      </w:r>
      <w:bookmarkEnd w:id="3"/>
    </w:p>
    <w:p w14:paraId="57CFFA5D" w14:textId="32426FE9" w:rsidR="00C2622C" w:rsidRPr="0041169C" w:rsidRDefault="00D15D65" w:rsidP="00C2622C">
      <w:pPr>
        <w:pStyle w:val="ListParagraph"/>
        <w:spacing w:after="120"/>
        <w:ind w:left="0"/>
      </w:pPr>
      <w:r w:rsidRPr="0041169C">
        <w:t>The Public Health Service Act authorizes this data collection</w:t>
      </w:r>
      <w:r w:rsidRPr="0041169C">
        <w:rPr>
          <w:lang w:val="en"/>
        </w:rPr>
        <w:t xml:space="preserve"> in §301, Title 42 U.S.C. §241(a): </w:t>
      </w:r>
      <w:r w:rsidRPr="0041169C">
        <w:t xml:space="preserve"> Research and Investigations Generally (Attachment 1, Authorizing Legislation).</w:t>
      </w:r>
      <w:r>
        <w:t xml:space="preserve"> </w:t>
      </w:r>
      <w:r w:rsidR="00C2622C" w:rsidRPr="0041169C">
        <w:t>CDC programs use FMS to collect administrative data including applications, assignment proposals, and alumni updates for seven CDC fellowships programs. The mission of DSEPD is to improve health outcomes through a competent, sustainable, and empowered public health workforce. Professionals in public health, epidemiology, medicine, economics, information science, veterinary medicine, nursing, public policy, and other related professionals seek opportunities through CDC fellowships, to broaden their knowledge</w:t>
      </w:r>
      <w:r w:rsidR="00256504" w:rsidRPr="0041169C">
        <w:t xml:space="preserve"> and</w:t>
      </w:r>
      <w:r w:rsidR="00C2622C" w:rsidRPr="0041169C">
        <w:t xml:space="preserve"> skills to improve the science and practice of public health. Fellowship programs reside in two CDC CIOs: the Division of Scientific Education and Professional Development (DSEPD), Center for Surveillance, Epidemiology and Laboratory Services (CSELS) of the Office of Public Health Scientific Services (OPHSS); and, in the Office for State, Tribal, Local and Territorial Support (OSTLTS). Fellowships assign fellows to host (work) sites in both federal and nonfederal public health agencies and organizations. Assignments include state, tribal, local, and territorial public health agencies, such as CDC and HHS, and operational divisions, such as the Centers for Medicare &amp; Medicaid Services and the Indian Health Service. Nongovernmental assignments include academic institutions, tribal organizations, and private public health organizations. These assignments provide opportunities for CDC fellows to build and sustain public health capacity both during and after their fellowships. Approximately 85% of CDC fellowship program graduates obtain jobs working in public health, and many of them remain in the same host programs that provided applied, on-the-job learning in their fellowship experiences.  </w:t>
      </w:r>
    </w:p>
    <w:p w14:paraId="49D2DA09" w14:textId="7BC17131" w:rsidR="0051520E" w:rsidRPr="0041169C" w:rsidRDefault="0051520E" w:rsidP="0051520E">
      <w:pPr>
        <w:spacing w:after="120"/>
      </w:pPr>
      <w:r w:rsidRPr="0041169C">
        <w:t xml:space="preserve">On average, CDC collects FMS data yearly; however, use of each data collection module differs among fellowships; for example, </w:t>
      </w:r>
      <w:r w:rsidR="00CA114C" w:rsidRPr="0041169C">
        <w:rPr>
          <w:szCs w:val="24"/>
          <w:lang w:bidi="en-US"/>
        </w:rPr>
        <w:t>Public Health Associate Program (</w:t>
      </w:r>
      <w:r w:rsidRPr="0041169C">
        <w:t>PHAP</w:t>
      </w:r>
      <w:r w:rsidR="00CA114C" w:rsidRPr="0041169C">
        <w:t>)</w:t>
      </w:r>
      <w:r w:rsidRPr="0041169C">
        <w:t xml:space="preserve"> uses only a portion of the </w:t>
      </w:r>
      <w:r w:rsidR="00CA114C" w:rsidRPr="0041169C">
        <w:t>a</w:t>
      </w:r>
      <w:r w:rsidRPr="0041169C">
        <w:t xml:space="preserve">pplication </w:t>
      </w:r>
      <w:r w:rsidR="00CA114C" w:rsidRPr="0041169C">
        <w:t>m</w:t>
      </w:r>
      <w:r w:rsidRPr="0041169C">
        <w:t xml:space="preserve">odule, and typically, alumni will update data once every 3 years. CDC fellowship programs that use the FMS Application Module are EIS, PHAP, PEF, PHIF, Epi-Elect, Hubert, PMR/F, and Science Ambassadors. Fellowship programs that use the FMS Host Site Module (Attachment 5) to collect information from employees of </w:t>
      </w:r>
      <w:r w:rsidR="00C2622C" w:rsidRPr="0041169C">
        <w:t xml:space="preserve">non-federal </w:t>
      </w:r>
      <w:r w:rsidRPr="0041169C">
        <w:t xml:space="preserve">public health agencies include EIS, PHAP, and PMR/F programs. PEF, PHIF, Epi-Elect, and Hubert programs use the FMS Host Site Module to collect assignment proposals only from </w:t>
      </w:r>
      <w:r w:rsidR="00C2622C" w:rsidRPr="0041169C">
        <w:t xml:space="preserve">federal government respondents (i.e., </w:t>
      </w:r>
      <w:r w:rsidRPr="0041169C">
        <w:t>CDC staff at headquarters or in field locations). These programs collect applications (Attachment 3) and host</w:t>
      </w:r>
      <w:r w:rsidR="00C875EF" w:rsidRPr="0041169C">
        <w:t xml:space="preserve"> (work)</w:t>
      </w:r>
      <w:r w:rsidRPr="0041169C">
        <w:t xml:space="preserve"> site assignment proposals only once every fellowship cycle. All fellowships occur once during the calendar year, except for Epi-Elect, which has fall and spring rotation cycles.</w:t>
      </w:r>
    </w:p>
    <w:p w14:paraId="39036C9A" w14:textId="4013F1DB" w:rsidR="0051520E" w:rsidRPr="0041169C" w:rsidRDefault="0051520E" w:rsidP="0051520E">
      <w:pPr>
        <w:spacing w:after="120"/>
      </w:pPr>
      <w:r w:rsidRPr="0041169C">
        <w:t xml:space="preserve">Fellowship programs that use the FMS Alumni Directory to collect information from alumni include EIS and Hubert programs. Alumni who </w:t>
      </w:r>
      <w:r w:rsidR="00C856C8" w:rsidRPr="0041169C">
        <w:t>voluntarily</w:t>
      </w:r>
      <w:r w:rsidRPr="0041169C">
        <w:t xml:space="preserve"> participate in the alumni directory have the option of providing updates when their information changes. Alumni</w:t>
      </w:r>
      <w:r w:rsidRPr="0041169C">
        <w:rPr>
          <w:rFonts w:eastAsia="SimSun"/>
          <w:lang w:eastAsia="zh-CN"/>
        </w:rPr>
        <w:t xml:space="preserve"> might use the directory for maintaining professional networks for finding jobs, staffing jobs, collaborating, and interacting with other alumni. </w:t>
      </w:r>
      <w:r w:rsidRPr="0041169C">
        <w:t>Alumni have two options for the level of information they wish to be visible to other alumni who have access to the directory. They have the options of displaying only their name and fellowship year or all of the information they entered. The default is to display only the name and fellowship year; this information is already in the public domain.</w:t>
      </w:r>
    </w:p>
    <w:p w14:paraId="536A27E9" w14:textId="50D97B9A" w:rsidR="0051520E" w:rsidRPr="0041169C" w:rsidRDefault="0051520E" w:rsidP="0051520E">
      <w:pPr>
        <w:spacing w:after="120"/>
      </w:pPr>
      <w:r w:rsidRPr="0041169C">
        <w:t xml:space="preserve">A 3-year extension of FMS approval will allow CDC to continue use of the standardized, electronic tool that streamlines the collection and processing of fellowship applications and assignment proposals, as well as collection of alumni information. CDC uses this information to document the impact of the fellowships on the career paths of participants, and thus, on the science and practice of public health. FMS has reduced the burden of manual, paper-based processes and improved the convenience and efficiency of submission by applicants, alumni, and health department representatives who, after the initial submission, can use the same login and password, to access, copy, revise and update information for submissions to additional fellowships or in fellowships in subsequent years. If FMS </w:t>
      </w:r>
      <w:r w:rsidR="00C856C8" w:rsidRPr="0041169C">
        <w:t xml:space="preserve">were </w:t>
      </w:r>
      <w:r w:rsidRPr="0041169C">
        <w:t>not available for data collections, CDC would not able to efficiently or effectively select fellows for public health training, facilitate or maintain professional networks, assist in finding jobs, staffing</w:t>
      </w:r>
      <w:r w:rsidR="00C875EF" w:rsidRPr="0041169C">
        <w:t xml:space="preserve"> those</w:t>
      </w:r>
      <w:r w:rsidRPr="0041169C">
        <w:t xml:space="preserve"> jobs</w:t>
      </w:r>
      <w:r w:rsidR="00C875EF" w:rsidRPr="0041169C">
        <w:t xml:space="preserve">, </w:t>
      </w:r>
      <w:r w:rsidRPr="0041169C">
        <w:t>foster collaboration among alumni, or contact alumni with mission-critical skills to respond to a national public health emergency.</w:t>
      </w:r>
      <w:r w:rsidRPr="0041169C">
        <w:rPr>
          <w:rFonts w:eastAsia="SimSun"/>
          <w:lang w:eastAsia="zh-CN"/>
        </w:rPr>
        <w:t xml:space="preserve"> </w:t>
      </w:r>
    </w:p>
    <w:p w14:paraId="4455F10D" w14:textId="77777777" w:rsidR="0051520E" w:rsidRPr="0041169C" w:rsidRDefault="0051520E" w:rsidP="0051520E"/>
    <w:p w14:paraId="5CB6592C" w14:textId="575C9A0B" w:rsidR="002B7F24" w:rsidRPr="0041169C" w:rsidRDefault="002B7F24" w:rsidP="00C40487">
      <w:pPr>
        <w:pStyle w:val="Heading2"/>
        <w:spacing w:after="120"/>
      </w:pPr>
      <w:bookmarkStart w:id="4" w:name="_Toc498433367"/>
      <w:r w:rsidRPr="0041169C">
        <w:t>3. Use of Improved Information Technology and Burden Reduction</w:t>
      </w:r>
      <w:bookmarkEnd w:id="4"/>
    </w:p>
    <w:p w14:paraId="272DEF74" w14:textId="109D448D" w:rsidR="00B26424" w:rsidRPr="0041169C" w:rsidRDefault="003D7357" w:rsidP="00EA2605">
      <w:pPr>
        <w:spacing w:after="120"/>
      </w:pPr>
      <w:r w:rsidRPr="0041169C">
        <w:rPr>
          <w:lang w:bidi="en-US"/>
        </w:rPr>
        <w:t>Since 2015, OMB has approved nonsubstantive changes to FMS ICRs for Science Ambassadors</w:t>
      </w:r>
      <w:r w:rsidR="00776274" w:rsidRPr="0041169C">
        <w:rPr>
          <w:lang w:bidi="en-US"/>
        </w:rPr>
        <w:t>,</w:t>
      </w:r>
      <w:r w:rsidRPr="0041169C">
        <w:rPr>
          <w:lang w:bidi="en-US"/>
        </w:rPr>
        <w:t xml:space="preserve"> </w:t>
      </w:r>
      <w:r w:rsidR="00776274" w:rsidRPr="0041169C">
        <w:rPr>
          <w:lang w:bidi="en-US"/>
        </w:rPr>
        <w:t xml:space="preserve">the </w:t>
      </w:r>
      <w:r w:rsidRPr="0041169C">
        <w:rPr>
          <w:lang w:bidi="en-US"/>
        </w:rPr>
        <w:t>P</w:t>
      </w:r>
      <w:r w:rsidR="00776274" w:rsidRPr="0041169C">
        <w:rPr>
          <w:lang w:bidi="en-US"/>
        </w:rPr>
        <w:t>reventive Medicine Residency Fellowship (P</w:t>
      </w:r>
      <w:r w:rsidRPr="0041169C">
        <w:rPr>
          <w:lang w:bidi="en-US"/>
        </w:rPr>
        <w:t>MR/F</w:t>
      </w:r>
      <w:r w:rsidR="00776274" w:rsidRPr="0041169C">
        <w:rPr>
          <w:lang w:bidi="en-US"/>
        </w:rPr>
        <w:t>), and</w:t>
      </w:r>
      <w:r w:rsidRPr="0041169C">
        <w:rPr>
          <w:lang w:bidi="en-US"/>
        </w:rPr>
        <w:t xml:space="preserve"> </w:t>
      </w:r>
      <w:r w:rsidR="00776274" w:rsidRPr="0041169C">
        <w:rPr>
          <w:lang w:bidi="en-US"/>
        </w:rPr>
        <w:t xml:space="preserve">the </w:t>
      </w:r>
      <w:r w:rsidR="00776274" w:rsidRPr="0041169C">
        <w:rPr>
          <w:szCs w:val="24"/>
          <w:lang w:bidi="en-US"/>
        </w:rPr>
        <w:t>Public Health Associate Program (</w:t>
      </w:r>
      <w:r w:rsidRPr="0041169C">
        <w:rPr>
          <w:lang w:bidi="en-US"/>
        </w:rPr>
        <w:t>PHAP</w:t>
      </w:r>
      <w:r w:rsidR="00776274" w:rsidRPr="0041169C">
        <w:rPr>
          <w:lang w:bidi="en-US"/>
        </w:rPr>
        <w:t>)</w:t>
      </w:r>
      <w:r w:rsidRPr="0041169C">
        <w:rPr>
          <w:lang w:bidi="en-US"/>
        </w:rPr>
        <w:t xml:space="preserve">. These modifications were approved because they help to meet the needs of an evolving public health workforce and support CDC’s goals to continue to improve respondent reporting and reduce respondent burden. Changes further enhanced the efficiency and effectiveness of FMS data collections, helping CDC to improve participant selections. Changes allow collection of only the minimum amount of information for selecting fellowship participants and host </w:t>
      </w:r>
      <w:r w:rsidR="00C875EF" w:rsidRPr="0041169C">
        <w:rPr>
          <w:lang w:bidi="en-US"/>
        </w:rPr>
        <w:t xml:space="preserve">(work) </w:t>
      </w:r>
      <w:r w:rsidRPr="0041169C">
        <w:rPr>
          <w:lang w:bidi="en-US"/>
        </w:rPr>
        <w:t xml:space="preserve">sites and result in more accurate representations of applicants’ abilities to contribute to the public’s health. </w:t>
      </w:r>
      <w:r w:rsidR="00947291" w:rsidRPr="0041169C">
        <w:t>One hundred percent (100%) of the information and data</w:t>
      </w:r>
      <w:r w:rsidR="00FC7692" w:rsidRPr="0041169C">
        <w:t>, all</w:t>
      </w:r>
      <w:r w:rsidR="00947291" w:rsidRPr="0041169C">
        <w:t xml:space="preserve"> </w:t>
      </w:r>
      <w:r w:rsidR="00A7050B" w:rsidRPr="0041169C">
        <w:t>submitted voluntarily by</w:t>
      </w:r>
      <w:r w:rsidR="00947291" w:rsidRPr="0041169C">
        <w:t xml:space="preserve"> applicants </w:t>
      </w:r>
      <w:r w:rsidR="00102314" w:rsidRPr="0041169C">
        <w:t>and agencies</w:t>
      </w:r>
      <w:r w:rsidR="00FC7692" w:rsidRPr="0041169C">
        <w:t>,</w:t>
      </w:r>
      <w:r w:rsidR="00102314" w:rsidRPr="0041169C">
        <w:t xml:space="preserve"> are collected electronically, through FMS </w:t>
      </w:r>
      <w:r w:rsidR="00947291" w:rsidRPr="0041169C">
        <w:t>(</w:t>
      </w:r>
      <w:r w:rsidR="00C059C3" w:rsidRPr="0041169C">
        <w:t>Attachment</w:t>
      </w:r>
      <w:r w:rsidR="00102314" w:rsidRPr="0041169C">
        <w:t>s</w:t>
      </w:r>
      <w:r w:rsidR="00C059C3" w:rsidRPr="0041169C">
        <w:t xml:space="preserve"> </w:t>
      </w:r>
      <w:r w:rsidR="0062361D" w:rsidRPr="0041169C">
        <w:t>3</w:t>
      </w:r>
      <w:r w:rsidR="00102314" w:rsidRPr="0041169C">
        <w:t xml:space="preserve">–5). </w:t>
      </w:r>
    </w:p>
    <w:p w14:paraId="6D59FD09" w14:textId="4447DCB6" w:rsidR="00E3052C" w:rsidRPr="0041169C" w:rsidRDefault="008B5C46" w:rsidP="00EA2605">
      <w:pPr>
        <w:spacing w:after="120"/>
      </w:pPr>
      <w:r w:rsidRPr="0041169C">
        <w:t>This electronic data collection</w:t>
      </w:r>
      <w:r w:rsidR="00947291" w:rsidRPr="0041169C">
        <w:t xml:space="preserve"> </w:t>
      </w:r>
      <w:r w:rsidR="00776274" w:rsidRPr="0041169C">
        <w:t xml:space="preserve">also </w:t>
      </w:r>
      <w:r w:rsidR="00947291" w:rsidRPr="0041169C">
        <w:t xml:space="preserve">provides more effective and efficient </w:t>
      </w:r>
      <w:r w:rsidR="00B26424" w:rsidRPr="0041169C">
        <w:t>submission</w:t>
      </w:r>
      <w:r w:rsidR="00CC5ADF" w:rsidRPr="0041169C">
        <w:t>s</w:t>
      </w:r>
      <w:r w:rsidR="00B26424" w:rsidRPr="0041169C">
        <w:t>, review</w:t>
      </w:r>
      <w:r w:rsidR="00CC5ADF" w:rsidRPr="0041169C">
        <w:t>s</w:t>
      </w:r>
      <w:r w:rsidR="00B26424" w:rsidRPr="0041169C">
        <w:t xml:space="preserve">, </w:t>
      </w:r>
      <w:r w:rsidR="00947291" w:rsidRPr="0041169C">
        <w:t>selection</w:t>
      </w:r>
      <w:r w:rsidR="00CC5ADF" w:rsidRPr="0041169C">
        <w:t>s,</w:t>
      </w:r>
      <w:r w:rsidR="00947291" w:rsidRPr="0041169C">
        <w:t xml:space="preserve"> and matching process</w:t>
      </w:r>
      <w:r w:rsidR="00CC5ADF" w:rsidRPr="0041169C">
        <w:t>es</w:t>
      </w:r>
      <w:r w:rsidR="00947291" w:rsidRPr="0041169C">
        <w:t xml:space="preserve">. Applicants </w:t>
      </w:r>
      <w:r w:rsidR="003D7357" w:rsidRPr="0041169C">
        <w:t xml:space="preserve">to fellowships </w:t>
      </w:r>
      <w:r w:rsidR="00A7050B" w:rsidRPr="0041169C">
        <w:t xml:space="preserve">and </w:t>
      </w:r>
      <w:r w:rsidR="00B26424" w:rsidRPr="0041169C">
        <w:t xml:space="preserve">public health agencies </w:t>
      </w:r>
      <w:r w:rsidR="00A7050B" w:rsidRPr="0041169C">
        <w:t>proposing to host fellows for one or more CDC fellowships</w:t>
      </w:r>
      <w:r w:rsidR="003D7357" w:rsidRPr="0041169C">
        <w:t>,</w:t>
      </w:r>
      <w:r w:rsidR="00A7050B" w:rsidRPr="0041169C">
        <w:t xml:space="preserve"> or in subsequent years</w:t>
      </w:r>
      <w:r w:rsidR="003D7357" w:rsidRPr="0041169C">
        <w:t>,</w:t>
      </w:r>
      <w:r w:rsidR="00A7050B" w:rsidRPr="0041169C">
        <w:t xml:space="preserve"> will enter </w:t>
      </w:r>
      <w:r w:rsidR="00947291" w:rsidRPr="0041169C">
        <w:t xml:space="preserve">their information </w:t>
      </w:r>
      <w:r w:rsidR="00A7050B" w:rsidRPr="0041169C">
        <w:t xml:space="preserve">only </w:t>
      </w:r>
      <w:r w:rsidR="00947291" w:rsidRPr="0041169C">
        <w:t>once</w:t>
      </w:r>
      <w:r w:rsidR="00B26424" w:rsidRPr="0041169C">
        <w:t xml:space="preserve"> and update as necessary. A</w:t>
      </w:r>
      <w:r w:rsidR="00947291" w:rsidRPr="0041169C">
        <w:t>lumni who choose to participate in the alumni directory have the option of providing updates when their information changes</w:t>
      </w:r>
      <w:r w:rsidR="00AF7FD8" w:rsidRPr="0041169C">
        <w:t>, which occur</w:t>
      </w:r>
      <w:r w:rsidR="00776274" w:rsidRPr="0041169C">
        <w:t>s</w:t>
      </w:r>
      <w:r w:rsidR="00CC5ADF" w:rsidRPr="0041169C">
        <w:t>,</w:t>
      </w:r>
      <w:r w:rsidR="00AF7FD8" w:rsidRPr="0041169C">
        <w:t xml:space="preserve"> on average</w:t>
      </w:r>
      <w:r w:rsidR="00CC5ADF" w:rsidRPr="0041169C">
        <w:t>,</w:t>
      </w:r>
      <w:r w:rsidR="00AF7FD8" w:rsidRPr="0041169C">
        <w:t xml:space="preserve"> every three years</w:t>
      </w:r>
      <w:r w:rsidR="00947291" w:rsidRPr="0041169C">
        <w:t>.</w:t>
      </w:r>
      <w:r w:rsidR="00554595" w:rsidRPr="0041169C">
        <w:t xml:space="preserve"> </w:t>
      </w:r>
      <w:r w:rsidR="00F61BA2" w:rsidRPr="0041169C">
        <w:t xml:space="preserve">The </w:t>
      </w:r>
      <w:r w:rsidR="00B26424" w:rsidRPr="0041169C">
        <w:t>use of technology for electronic submission eliminates cumbersome paper processing and reduces</w:t>
      </w:r>
      <w:r w:rsidR="00CA3A6B" w:rsidRPr="0041169C">
        <w:t xml:space="preserve"> errors</w:t>
      </w:r>
      <w:r w:rsidR="00DC4F63" w:rsidRPr="0041169C">
        <w:t>.</w:t>
      </w:r>
    </w:p>
    <w:p w14:paraId="328104F3" w14:textId="60CE0E77" w:rsidR="00FC7692" w:rsidRPr="0041169C" w:rsidRDefault="00FC7692" w:rsidP="00FC7692">
      <w:pPr>
        <w:spacing w:after="120"/>
      </w:pPr>
      <w:r w:rsidRPr="0041169C">
        <w:t xml:space="preserve">FMS is a secure electronic data management system that collects and processes information for CDC’s fellowship programs. FMS includes technology that validates completeness of data entry. Using an electronic system for fellowship application and host site assignment proposals saves time associated with reviewing for completeness, as compared to the amount of time associated with processing a paper-based system. CDC fellowship staff use the information submitted to review and evaluate the applications and host site assignment proposals for selection of quality candidates, fellow assignments at public health agencies, and to improve matching between fellows and host sites. Data also are used </w:t>
      </w:r>
      <w:r w:rsidR="0056097F">
        <w:t xml:space="preserve">to </w:t>
      </w:r>
      <w:r w:rsidRPr="0041169C">
        <w:t>generat</w:t>
      </w:r>
      <w:r w:rsidR="0056097F">
        <w:t>e</w:t>
      </w:r>
      <w:r w:rsidRPr="0041169C">
        <w:t xml:space="preserve"> fellowship program reports and document the impact of fellowships on alumni careers and the public health workforce. FMS offers practical utility to users by allowing easy, secure submission of applications and proposals as compared with paper-based, postal delivery systems. FMS also provides increased efficiency and accuracy to fellowship programs to what </w:t>
      </w:r>
      <w:r w:rsidR="0054117F" w:rsidRPr="0041169C">
        <w:t xml:space="preserve">would be </w:t>
      </w:r>
      <w:r w:rsidR="0054117F">
        <w:t xml:space="preserve">an </w:t>
      </w:r>
      <w:r w:rsidRPr="0041169C">
        <w:t xml:space="preserve">otherwise cumbersome, inefficient, tedious, and </w:t>
      </w:r>
      <w:r w:rsidR="0054117F">
        <w:t xml:space="preserve">complicated </w:t>
      </w:r>
      <w:r w:rsidRPr="0041169C">
        <w:t>task of manually collecting, sorting, and computing, information from paper submissions when electronic technology is available to complete these tasks more quickly and accurately.</w:t>
      </w:r>
    </w:p>
    <w:p w14:paraId="304D4565" w14:textId="6083F2C2" w:rsidR="00E3052C" w:rsidRPr="0041169C" w:rsidRDefault="0054117F" w:rsidP="002F1EE6">
      <w:r>
        <w:t xml:space="preserve">The FMS </w:t>
      </w:r>
      <w:r w:rsidR="00E3052C" w:rsidRPr="0041169C">
        <w:t xml:space="preserve">information and data collection system assures compliance with the Government Paperwork Elimination Act (GPEA), Public </w:t>
      </w:r>
      <w:r w:rsidR="00F9181D" w:rsidRPr="0041169C">
        <w:t>Law 105-277, title XVII, 1998</w:t>
      </w:r>
      <w:r>
        <w:t>;</w:t>
      </w:r>
      <w:r w:rsidR="00F9181D" w:rsidRPr="0041169C">
        <w:t xml:space="preserve"> lowers the burden to the respondent</w:t>
      </w:r>
      <w:r w:rsidR="004B02E3" w:rsidRPr="0041169C">
        <w:t>s</w:t>
      </w:r>
      <w:r w:rsidR="00F9181D" w:rsidRPr="0041169C">
        <w:t xml:space="preserve">, as compared </w:t>
      </w:r>
      <w:r>
        <w:t xml:space="preserve">with </w:t>
      </w:r>
      <w:r w:rsidR="00F9181D" w:rsidRPr="0041169C">
        <w:t>paper</w:t>
      </w:r>
      <w:r w:rsidR="004B02E3" w:rsidRPr="0041169C">
        <w:t>-based systems</w:t>
      </w:r>
      <w:r>
        <w:t>;</w:t>
      </w:r>
      <w:r w:rsidR="00F9181D" w:rsidRPr="0041169C">
        <w:t xml:space="preserve"> </w:t>
      </w:r>
      <w:r w:rsidR="00E3052C" w:rsidRPr="0041169C">
        <w:t>allow</w:t>
      </w:r>
      <w:r w:rsidR="00F9181D" w:rsidRPr="0041169C">
        <w:t>s</w:t>
      </w:r>
      <w:r w:rsidR="00E3052C" w:rsidRPr="0041169C">
        <w:t xml:space="preserve"> </w:t>
      </w:r>
      <w:r w:rsidR="00094235" w:rsidRPr="0041169C">
        <w:t>respondents</w:t>
      </w:r>
      <w:r w:rsidR="004B02E3" w:rsidRPr="0041169C">
        <w:t xml:space="preserve"> </w:t>
      </w:r>
      <w:r w:rsidR="00F9181D" w:rsidRPr="0041169C">
        <w:t>to submit information to CDC electronically</w:t>
      </w:r>
      <w:r>
        <w:t>;</w:t>
      </w:r>
      <w:r w:rsidR="00F9181D" w:rsidRPr="0041169C">
        <w:t xml:space="preserve"> and provides capabilities for </w:t>
      </w:r>
      <w:r w:rsidR="00E3052C" w:rsidRPr="0041169C">
        <w:t xml:space="preserve">CDC to maintain </w:t>
      </w:r>
      <w:r w:rsidR="00CC5ADF" w:rsidRPr="0041169C">
        <w:t xml:space="preserve">secure </w:t>
      </w:r>
      <w:r w:rsidR="00776274" w:rsidRPr="0041169C">
        <w:t xml:space="preserve">electronic </w:t>
      </w:r>
      <w:r w:rsidR="00E3052C" w:rsidRPr="0041169C">
        <w:t>records</w:t>
      </w:r>
      <w:r w:rsidR="00776274" w:rsidRPr="0041169C">
        <w:t>.</w:t>
      </w:r>
    </w:p>
    <w:p w14:paraId="1F6C08BD" w14:textId="091A52B3" w:rsidR="00256504" w:rsidRPr="0041169C" w:rsidRDefault="00256504" w:rsidP="002F1EE6"/>
    <w:p w14:paraId="76861BA6" w14:textId="77777777" w:rsidR="002B7F24" w:rsidRPr="0041169C" w:rsidRDefault="002B7F24" w:rsidP="00EA2605">
      <w:pPr>
        <w:pStyle w:val="Heading2"/>
        <w:spacing w:after="120"/>
      </w:pPr>
      <w:bookmarkStart w:id="5" w:name="_Toc498433368"/>
      <w:r w:rsidRPr="0041169C">
        <w:t>4. Efforts to Identify Duplication and Use of Similar Information</w:t>
      </w:r>
      <w:bookmarkEnd w:id="5"/>
    </w:p>
    <w:p w14:paraId="4DC73B1D" w14:textId="4104D5B7" w:rsidR="0034113A" w:rsidRPr="0041169C" w:rsidRDefault="00885C11" w:rsidP="002F1EE6">
      <w:r w:rsidRPr="0041169C">
        <w:t>I</w:t>
      </w:r>
      <w:r w:rsidR="005C67E5" w:rsidRPr="0041169C">
        <w:t xml:space="preserve">nformation </w:t>
      </w:r>
      <w:r w:rsidRPr="0041169C">
        <w:t xml:space="preserve">collected </w:t>
      </w:r>
      <w:r w:rsidR="00B26512">
        <w:t xml:space="preserve">through FMS </w:t>
      </w:r>
      <w:r w:rsidR="00194203" w:rsidRPr="0041169C">
        <w:t>is</w:t>
      </w:r>
      <w:r w:rsidR="00D50A71" w:rsidRPr="0041169C">
        <w:t xml:space="preserve"> </w:t>
      </w:r>
      <w:r w:rsidR="00947291" w:rsidRPr="0041169C">
        <w:t xml:space="preserve">for </w:t>
      </w:r>
      <w:r w:rsidRPr="0041169C">
        <w:t xml:space="preserve">the </w:t>
      </w:r>
      <w:r w:rsidR="00947291" w:rsidRPr="0041169C">
        <w:t xml:space="preserve">completion of </w:t>
      </w:r>
      <w:r w:rsidR="001228D8" w:rsidRPr="0041169C">
        <w:t>fellowship</w:t>
      </w:r>
      <w:r w:rsidRPr="0041169C">
        <w:t>-related</w:t>
      </w:r>
      <w:r w:rsidR="001228D8" w:rsidRPr="0041169C">
        <w:t xml:space="preserve"> </w:t>
      </w:r>
      <w:r w:rsidRPr="0041169C">
        <w:t xml:space="preserve">submissions and is not available from any other source. </w:t>
      </w:r>
      <w:r w:rsidR="00CC5ADF" w:rsidRPr="0041169C">
        <w:t>D</w:t>
      </w:r>
      <w:r w:rsidR="0034113A" w:rsidRPr="0041169C">
        <w:t xml:space="preserve">ata </w:t>
      </w:r>
      <w:r w:rsidR="00BF5A67" w:rsidRPr="0041169C">
        <w:t xml:space="preserve">are requested </w:t>
      </w:r>
      <w:r w:rsidR="00B26512">
        <w:t xml:space="preserve">via </w:t>
      </w:r>
      <w:r w:rsidR="00BF5A67" w:rsidRPr="0041169C">
        <w:t>FMS</w:t>
      </w:r>
      <w:r w:rsidR="001228D8" w:rsidRPr="0041169C">
        <w:t xml:space="preserve"> only; </w:t>
      </w:r>
      <w:r w:rsidR="0034113A" w:rsidRPr="0041169C">
        <w:t>n</w:t>
      </w:r>
      <w:r w:rsidR="00FA07BA" w:rsidRPr="0041169C">
        <w:t>o other CDC component requests this information</w:t>
      </w:r>
      <w:r w:rsidR="0034113A" w:rsidRPr="0041169C">
        <w:t>. There are no duplications of this data</w:t>
      </w:r>
      <w:r w:rsidR="00FA07BA" w:rsidRPr="0041169C">
        <w:t>.</w:t>
      </w:r>
      <w:r w:rsidR="0034113A" w:rsidRPr="0041169C">
        <w:t xml:space="preserve"> </w:t>
      </w:r>
    </w:p>
    <w:p w14:paraId="02C0D8B8" w14:textId="1219B77B" w:rsidR="00885C11" w:rsidRPr="0041169C" w:rsidRDefault="00885C11" w:rsidP="002F1EE6"/>
    <w:p w14:paraId="0E0F0690" w14:textId="77777777" w:rsidR="002B7F24" w:rsidRPr="0041169C" w:rsidRDefault="002B7F24" w:rsidP="008F7871">
      <w:pPr>
        <w:pStyle w:val="Heading2"/>
        <w:spacing w:after="120"/>
        <w:contextualSpacing/>
      </w:pPr>
      <w:bookmarkStart w:id="6" w:name="_Toc498433369"/>
      <w:r w:rsidRPr="0041169C">
        <w:t>5. Impact on Small Businesses or Other Small Entities</w:t>
      </w:r>
      <w:bookmarkEnd w:id="6"/>
    </w:p>
    <w:p w14:paraId="2814FB8C" w14:textId="7187B421" w:rsidR="00880933" w:rsidRPr="0041169C" w:rsidRDefault="00C9766D" w:rsidP="002F1EE6">
      <w:r w:rsidRPr="0041169C">
        <w:t>No small businesses have been, are, or will be involved in</w:t>
      </w:r>
      <w:r w:rsidR="001E451D" w:rsidRPr="0041169C">
        <w:t xml:space="preserve"> </w:t>
      </w:r>
      <w:r w:rsidR="00B26512">
        <w:t xml:space="preserve">FMS </w:t>
      </w:r>
      <w:r w:rsidR="001E451D" w:rsidRPr="0041169C">
        <w:t xml:space="preserve">data collection. </w:t>
      </w:r>
      <w:r w:rsidR="007B239C" w:rsidRPr="0041169C">
        <w:t xml:space="preserve">For the FMS Application </w:t>
      </w:r>
      <w:r w:rsidR="0025164D" w:rsidRPr="0041169C">
        <w:t xml:space="preserve">Module </w:t>
      </w:r>
      <w:r w:rsidR="007B239C" w:rsidRPr="0041169C">
        <w:t>(Attachment 3) and FMS Alumni Directory (Attachment 4), da</w:t>
      </w:r>
      <w:r w:rsidR="00D50A71" w:rsidRPr="0041169C">
        <w:t xml:space="preserve">ta are collected from medical and veterinary students, physicians, dentists, veterinarians, nurses, epidemiologists, educators, pharmacists, attorneys, economists, statisticians, graduates of MPH programs, and others. These </w:t>
      </w:r>
      <w:r w:rsidR="00AD7FCA" w:rsidRPr="0041169C">
        <w:t xml:space="preserve">respondents </w:t>
      </w:r>
      <w:r w:rsidR="00D50A71" w:rsidRPr="0041169C">
        <w:t xml:space="preserve">represent </w:t>
      </w:r>
      <w:r w:rsidR="00CC5ADF" w:rsidRPr="0041169C">
        <w:t xml:space="preserve">the majority </w:t>
      </w:r>
      <w:r w:rsidR="00D50A71" w:rsidRPr="0041169C">
        <w:t xml:space="preserve">of the target audience of fellowship candidates and alumni who enter information </w:t>
      </w:r>
      <w:r w:rsidR="00D66BAB" w:rsidRPr="0041169C">
        <w:t>into</w:t>
      </w:r>
      <w:r w:rsidR="00D50A71" w:rsidRPr="0041169C">
        <w:t xml:space="preserve"> FMS. The information requested is </w:t>
      </w:r>
      <w:r w:rsidR="00AF7FD8" w:rsidRPr="0041169C">
        <w:t xml:space="preserve">necessary </w:t>
      </w:r>
      <w:r w:rsidR="00D50A71" w:rsidRPr="0041169C">
        <w:t xml:space="preserve">for those who choose to apply to a fellowship and is voluntary for the alumni directory. </w:t>
      </w:r>
      <w:r w:rsidR="00CC5ADF" w:rsidRPr="0041169C">
        <w:t>Proposal data for</w:t>
      </w:r>
      <w:r w:rsidR="007B239C" w:rsidRPr="0041169C">
        <w:t xml:space="preserve"> the FMS Host Site </w:t>
      </w:r>
      <w:r w:rsidR="0025164D" w:rsidRPr="0041169C">
        <w:t>Module</w:t>
      </w:r>
      <w:r w:rsidR="007B239C" w:rsidRPr="0041169C">
        <w:t xml:space="preserve"> (Attachment 5), </w:t>
      </w:r>
      <w:r w:rsidR="00E85ABD" w:rsidRPr="0041169C">
        <w:t>are</w:t>
      </w:r>
      <w:r w:rsidR="007B239C" w:rsidRPr="0041169C">
        <w:t xml:space="preserve"> collected from employees of public health agencies</w:t>
      </w:r>
      <w:r w:rsidR="009B3710" w:rsidRPr="0041169C">
        <w:t xml:space="preserve"> </w:t>
      </w:r>
      <w:r w:rsidR="007B239C" w:rsidRPr="0041169C">
        <w:t xml:space="preserve">including physicians, veterinarians, epidemiologists, public health educators, and public health managers. Data collected from employees in public health agencies are required </w:t>
      </w:r>
      <w:r w:rsidR="00B74491" w:rsidRPr="0041169C">
        <w:t xml:space="preserve">only </w:t>
      </w:r>
      <w:r w:rsidR="009B3710" w:rsidRPr="0041169C">
        <w:t>f</w:t>
      </w:r>
      <w:r w:rsidR="00CC5ADF" w:rsidRPr="0041169C">
        <w:t>rom</w:t>
      </w:r>
      <w:r w:rsidR="009B3710" w:rsidRPr="0041169C">
        <w:t xml:space="preserve"> those </w:t>
      </w:r>
      <w:r w:rsidR="007B239C" w:rsidRPr="0041169C">
        <w:t xml:space="preserve">interested in hosting a fellow. </w:t>
      </w:r>
      <w:r w:rsidR="00CC5ADF" w:rsidRPr="0041169C">
        <w:t xml:space="preserve">Only the minimum data required for use is collected. </w:t>
      </w:r>
    </w:p>
    <w:p w14:paraId="3610C2F1" w14:textId="625ECD88" w:rsidR="002B7F24" w:rsidRPr="0041169C" w:rsidRDefault="007B239C" w:rsidP="002F1EE6">
      <w:r w:rsidRPr="0041169C">
        <w:t xml:space="preserve"> </w:t>
      </w:r>
    </w:p>
    <w:p w14:paraId="50F79ABE" w14:textId="3B9E69B0" w:rsidR="002B7F24" w:rsidRPr="0041169C" w:rsidRDefault="002B7F24" w:rsidP="00885C11">
      <w:pPr>
        <w:pStyle w:val="Heading2"/>
        <w:spacing w:after="120"/>
      </w:pPr>
      <w:bookmarkStart w:id="7" w:name="_Toc498433370"/>
      <w:r w:rsidRPr="0041169C">
        <w:t xml:space="preserve">6. Consequences of Collecting the Information </w:t>
      </w:r>
      <w:r w:rsidR="000663B7" w:rsidRPr="0041169C">
        <w:t>L</w:t>
      </w:r>
      <w:r w:rsidRPr="0041169C">
        <w:t>ess Frequently</w:t>
      </w:r>
      <w:bookmarkEnd w:id="7"/>
    </w:p>
    <w:p w14:paraId="5F2932F5" w14:textId="49079AFA" w:rsidR="003A32F8" w:rsidRPr="0041169C" w:rsidRDefault="00A7277C" w:rsidP="00885C11">
      <w:pPr>
        <w:spacing w:after="120"/>
      </w:pPr>
      <w:r w:rsidRPr="0041169C">
        <w:t>The timeliness of data collect</w:t>
      </w:r>
      <w:r w:rsidR="00885C11" w:rsidRPr="0041169C">
        <w:t xml:space="preserve">ion </w:t>
      </w:r>
      <w:r w:rsidRPr="0041169C">
        <w:t xml:space="preserve">during the </w:t>
      </w:r>
      <w:r w:rsidR="003974BA" w:rsidRPr="0041169C">
        <w:t xml:space="preserve">fellowship </w:t>
      </w:r>
      <w:r w:rsidRPr="0041169C">
        <w:t>application process</w:t>
      </w:r>
      <w:r w:rsidR="00743F11" w:rsidRPr="0041169C">
        <w:t xml:space="preserve"> (Attachment </w:t>
      </w:r>
      <w:r w:rsidR="003A6935" w:rsidRPr="0041169C">
        <w:t>3</w:t>
      </w:r>
      <w:r w:rsidR="009A0090" w:rsidRPr="0041169C">
        <w:t>, FMS Application</w:t>
      </w:r>
      <w:r w:rsidR="0025164D" w:rsidRPr="0041169C">
        <w:t xml:space="preserve"> Module</w:t>
      </w:r>
      <w:r w:rsidR="00743F11" w:rsidRPr="0041169C">
        <w:t>)</w:t>
      </w:r>
      <w:r w:rsidRPr="0041169C">
        <w:t xml:space="preserve"> is critical</w:t>
      </w:r>
      <w:r w:rsidR="003974BA" w:rsidRPr="0041169C">
        <w:t>.</w:t>
      </w:r>
      <w:r w:rsidR="00064D64" w:rsidRPr="0041169C">
        <w:t xml:space="preserve"> </w:t>
      </w:r>
      <w:r w:rsidR="003974BA" w:rsidRPr="0041169C">
        <w:t>A</w:t>
      </w:r>
      <w:r w:rsidR="00064D64" w:rsidRPr="0041169C">
        <w:t xml:space="preserve">pplications </w:t>
      </w:r>
      <w:r w:rsidR="007F2823" w:rsidRPr="0041169C">
        <w:t xml:space="preserve">are </w:t>
      </w:r>
      <w:r w:rsidR="00064D64" w:rsidRPr="0041169C">
        <w:t>collected through FMS annually, once per fellowship cycle</w:t>
      </w:r>
      <w:r w:rsidR="00AF7FD8" w:rsidRPr="0041169C">
        <w:t>; all fellowship cycles occur once per calendar year except for Epi-Elect, which has a fall and a spring rotation</w:t>
      </w:r>
      <w:r w:rsidRPr="0041169C">
        <w:t xml:space="preserve">. However, the timeliness of data collected </w:t>
      </w:r>
      <w:r w:rsidR="003A6935" w:rsidRPr="0041169C">
        <w:t xml:space="preserve">during </w:t>
      </w:r>
      <w:r w:rsidRPr="0041169C">
        <w:t xml:space="preserve">the alumni tracking process </w:t>
      </w:r>
      <w:r w:rsidR="00743F11" w:rsidRPr="0041169C">
        <w:t xml:space="preserve">(Attachment </w:t>
      </w:r>
      <w:r w:rsidR="003A6935" w:rsidRPr="0041169C">
        <w:t>4</w:t>
      </w:r>
      <w:r w:rsidR="009A0090" w:rsidRPr="0041169C">
        <w:t xml:space="preserve">, </w:t>
      </w:r>
      <w:r w:rsidR="007B239C" w:rsidRPr="0041169C">
        <w:t>FMS Alumni Directory</w:t>
      </w:r>
      <w:r w:rsidR="00743F11" w:rsidRPr="0041169C">
        <w:t xml:space="preserve">) </w:t>
      </w:r>
      <w:r w:rsidRPr="0041169C">
        <w:t xml:space="preserve">is </w:t>
      </w:r>
      <w:r w:rsidR="00AD1902" w:rsidRPr="0041169C">
        <w:t xml:space="preserve">less </w:t>
      </w:r>
      <w:r w:rsidRPr="0041169C">
        <w:t xml:space="preserve">critical. </w:t>
      </w:r>
      <w:r w:rsidR="003A6935" w:rsidRPr="0041169C">
        <w:t>T</w:t>
      </w:r>
      <w:r w:rsidR="003A32F8" w:rsidRPr="0041169C">
        <w:t>he timeliness of data collected from public health agencies</w:t>
      </w:r>
      <w:r w:rsidRPr="0041169C">
        <w:t xml:space="preserve"> </w:t>
      </w:r>
      <w:r w:rsidR="00743F11" w:rsidRPr="0041169C">
        <w:t xml:space="preserve">submitting </w:t>
      </w:r>
      <w:r w:rsidR="003A32F8" w:rsidRPr="0041169C">
        <w:t xml:space="preserve">assignment proposals </w:t>
      </w:r>
      <w:r w:rsidR="003A6935" w:rsidRPr="0041169C">
        <w:t xml:space="preserve">(Attachment 5, FMS Host Site </w:t>
      </w:r>
      <w:r w:rsidR="0025164D" w:rsidRPr="0041169C">
        <w:t>Module</w:t>
      </w:r>
      <w:r w:rsidR="003A6935" w:rsidRPr="0041169C">
        <w:t xml:space="preserve">), </w:t>
      </w:r>
      <w:r w:rsidR="003A32F8" w:rsidRPr="0041169C">
        <w:t xml:space="preserve">is for an agency to </w:t>
      </w:r>
      <w:r w:rsidR="00740A82" w:rsidRPr="0041169C">
        <w:t xml:space="preserve">be selected to </w:t>
      </w:r>
      <w:r w:rsidR="003A32F8" w:rsidRPr="0041169C">
        <w:t xml:space="preserve">host a fellow during a given fellowship year. Assignment proposals submitted after fellows have been selected </w:t>
      </w:r>
      <w:r w:rsidR="007F2823" w:rsidRPr="0041169C">
        <w:t xml:space="preserve">are not </w:t>
      </w:r>
      <w:r w:rsidR="003A32F8" w:rsidRPr="0041169C">
        <w:t xml:space="preserve">considered for that fellowship year. Fellowship </w:t>
      </w:r>
      <w:r w:rsidR="00743F11" w:rsidRPr="0041169C">
        <w:t xml:space="preserve">assignment </w:t>
      </w:r>
      <w:r w:rsidR="003A32F8" w:rsidRPr="0041169C">
        <w:t xml:space="preserve">proposals </w:t>
      </w:r>
      <w:r w:rsidR="007F2823" w:rsidRPr="0041169C">
        <w:t xml:space="preserve">are </w:t>
      </w:r>
      <w:r w:rsidR="003A32F8" w:rsidRPr="0041169C">
        <w:t>collected through FMS</w:t>
      </w:r>
      <w:r w:rsidR="00064D64" w:rsidRPr="0041169C">
        <w:t xml:space="preserve"> annually, </w:t>
      </w:r>
      <w:r w:rsidR="003A32F8" w:rsidRPr="0041169C">
        <w:t xml:space="preserve">once per </w:t>
      </w:r>
      <w:r w:rsidR="00064D64" w:rsidRPr="0041169C">
        <w:t>fellowship cycle</w:t>
      </w:r>
      <w:r w:rsidR="003A32F8" w:rsidRPr="0041169C">
        <w:t>.  Public health agencies have the oppor</w:t>
      </w:r>
      <w:r w:rsidR="00A704EC" w:rsidRPr="0041169C">
        <w:t>tunity to resubmit proposals with updated</w:t>
      </w:r>
      <w:r w:rsidR="003A32F8" w:rsidRPr="0041169C">
        <w:t xml:space="preserve"> information in subsequent years if they wish to continue hosting fellows.</w:t>
      </w:r>
      <w:r w:rsidR="00490896" w:rsidRPr="0041169C">
        <w:t xml:space="preserve"> </w:t>
      </w:r>
    </w:p>
    <w:p w14:paraId="4A94CC13" w14:textId="77777777" w:rsidR="002B7F24" w:rsidRPr="0041169C" w:rsidRDefault="002B7F24" w:rsidP="002F1EE6">
      <w:r w:rsidRPr="0041169C">
        <w:t>There are no legal obstacles to reduce the burden.</w:t>
      </w:r>
    </w:p>
    <w:p w14:paraId="4965E465" w14:textId="77777777" w:rsidR="00880933" w:rsidRPr="0041169C" w:rsidRDefault="00880933" w:rsidP="002F1EE6"/>
    <w:p w14:paraId="13A5B075" w14:textId="77777777" w:rsidR="002B7F24" w:rsidRPr="0041169C" w:rsidRDefault="002B7F24" w:rsidP="001C611B">
      <w:pPr>
        <w:pStyle w:val="Heading2"/>
      </w:pPr>
      <w:bookmarkStart w:id="8" w:name="_Toc498433371"/>
      <w:r w:rsidRPr="0041169C">
        <w:t>7. Special Circumstances Relating to the Guidelines of CFR 1320.5</w:t>
      </w:r>
      <w:bookmarkEnd w:id="8"/>
    </w:p>
    <w:p w14:paraId="566F3FE9" w14:textId="77777777" w:rsidR="002B7F24" w:rsidRPr="0041169C" w:rsidRDefault="002B7F24" w:rsidP="002F1EE6"/>
    <w:p w14:paraId="04F3AB75" w14:textId="77777777" w:rsidR="002B7F24" w:rsidRPr="0041169C" w:rsidRDefault="002B7F24" w:rsidP="002F1EE6">
      <w:r w:rsidRPr="0041169C">
        <w:t>This request fully complies with the regulation</w:t>
      </w:r>
      <w:r w:rsidR="000C4852" w:rsidRPr="0041169C">
        <w:t xml:space="preserve"> 5 CFR 1320.5</w:t>
      </w:r>
      <w:r w:rsidRPr="0041169C">
        <w:t>.</w:t>
      </w:r>
    </w:p>
    <w:p w14:paraId="13056ADE" w14:textId="77777777" w:rsidR="00880933" w:rsidRPr="0041169C" w:rsidRDefault="00880933" w:rsidP="002F1EE6"/>
    <w:p w14:paraId="53C8FBC5" w14:textId="77777777" w:rsidR="002B7F24" w:rsidRPr="0041169C" w:rsidRDefault="002B7F24" w:rsidP="00413EA1">
      <w:pPr>
        <w:pStyle w:val="Heading2"/>
      </w:pPr>
      <w:bookmarkStart w:id="9" w:name="_Toc498433372"/>
      <w:r w:rsidRPr="0041169C">
        <w:t>8. Comments in Response to the Federal Register Notice and Efforts to Consult Outside the Agency</w:t>
      </w:r>
      <w:bookmarkEnd w:id="9"/>
    </w:p>
    <w:p w14:paraId="606F857D" w14:textId="77777777" w:rsidR="00D36EB2" w:rsidRPr="0041169C" w:rsidRDefault="00D36EB2" w:rsidP="002F1EE6"/>
    <w:p w14:paraId="7A5C5BA9" w14:textId="1DA3E1DE" w:rsidR="00C715FE" w:rsidRPr="0041169C" w:rsidRDefault="00C715FE" w:rsidP="00C715FE">
      <w:pPr>
        <w:numPr>
          <w:ilvl w:val="0"/>
          <w:numId w:val="11"/>
        </w:numPr>
        <w:spacing w:after="120"/>
        <w:ind w:left="360"/>
      </w:pPr>
      <w:r w:rsidRPr="0041169C">
        <w:t xml:space="preserve">The agency’s notice of proposed extension to the existing data collection was published in the Federal Register on </w:t>
      </w:r>
      <w:r w:rsidR="00254E1A">
        <w:t>September 5</w:t>
      </w:r>
      <w:r w:rsidRPr="0041169C">
        <w:t>, 2017 (Vol.</w:t>
      </w:r>
      <w:r w:rsidR="00254E1A">
        <w:t xml:space="preserve"> </w:t>
      </w:r>
      <w:r w:rsidR="00B76513">
        <w:t>82</w:t>
      </w:r>
      <w:r w:rsidRPr="0041169C">
        <w:t xml:space="preserve">, No. </w:t>
      </w:r>
      <w:r w:rsidR="00B76513">
        <w:t>170</w:t>
      </w:r>
      <w:r w:rsidRPr="0041169C">
        <w:t xml:space="preserve">, pp </w:t>
      </w:r>
      <w:r w:rsidR="00B76513">
        <w:t>41963</w:t>
      </w:r>
      <w:r w:rsidRPr="0041169C">
        <w:t>-</w:t>
      </w:r>
      <w:r w:rsidR="00B76513">
        <w:t>41964</w:t>
      </w:r>
      <w:r w:rsidRPr="0041169C">
        <w:t>)</w:t>
      </w:r>
      <w:r w:rsidR="008259E8">
        <w:t xml:space="preserve"> (See</w:t>
      </w:r>
      <w:r w:rsidRPr="0041169C">
        <w:t xml:space="preserve"> </w:t>
      </w:r>
      <w:r w:rsidR="007E080F">
        <w:t>FRN,</w:t>
      </w:r>
      <w:r w:rsidR="008259E8">
        <w:t xml:space="preserve"> Attachment 2.) CDC received two nonsubstantive comments in response to the notice, and DSEPD responded with a standard </w:t>
      </w:r>
      <w:r w:rsidR="0003623F" w:rsidRPr="008259E8">
        <w:t>response,</w:t>
      </w:r>
      <w:r w:rsidR="007E080F">
        <w:t xml:space="preserve"> </w:t>
      </w:r>
      <w:r w:rsidR="008259E8" w:rsidRPr="008259E8">
        <w:t>as comment</w:t>
      </w:r>
      <w:r w:rsidR="0003623F">
        <w:t>s</w:t>
      </w:r>
      <w:r w:rsidR="008259E8" w:rsidRPr="008259E8">
        <w:t xml:space="preserve"> did not relate to the </w:t>
      </w:r>
      <w:r w:rsidR="0003623F">
        <w:t>specific request</w:t>
      </w:r>
      <w:r w:rsidR="00EE6A32">
        <w:t>.</w:t>
      </w:r>
      <w:r w:rsidR="008259E8">
        <w:t xml:space="preserve"> </w:t>
      </w:r>
    </w:p>
    <w:p w14:paraId="44356D9D" w14:textId="74EE8BB5" w:rsidR="00C715FE" w:rsidRPr="0041169C" w:rsidRDefault="00C715FE" w:rsidP="00C715FE">
      <w:pPr>
        <w:pStyle w:val="ListParagraph"/>
        <w:numPr>
          <w:ilvl w:val="0"/>
          <w:numId w:val="11"/>
        </w:numPr>
        <w:ind w:left="360"/>
      </w:pPr>
      <w:r w:rsidRPr="0041169C">
        <w:t>The FMS Steering Committee and FMS Change Control Board ensure</w:t>
      </w:r>
      <w:r w:rsidR="00C05019">
        <w:t>s</w:t>
      </w:r>
      <w:r w:rsidRPr="0041169C">
        <w:t xml:space="preserve"> that external input from those who interact with FMS is collected and acted upon. Individual fellowship programs collect information from their stakeholders (e.g., fellowship directors, fellowship applicants, supervisors at host sites, and fellowship alumni) after each annual information collection cycle, and this information is used by the DSEPD Information Technology (IT) Team to drive the ongoing improvement of FMS information collection.</w:t>
      </w:r>
    </w:p>
    <w:p w14:paraId="69EF4CC4" w14:textId="77777777" w:rsidR="002B7F24" w:rsidRPr="0041169C" w:rsidRDefault="002B7F24" w:rsidP="002F1EE6"/>
    <w:p w14:paraId="4E1587E9" w14:textId="1119CC50" w:rsidR="002B7F24" w:rsidRPr="0041169C" w:rsidRDefault="002B7F24" w:rsidP="00D56779">
      <w:pPr>
        <w:pStyle w:val="Heading2"/>
        <w:spacing w:after="120"/>
      </w:pPr>
      <w:bookmarkStart w:id="10" w:name="_Toc498433373"/>
      <w:r w:rsidRPr="0041169C">
        <w:t xml:space="preserve">9. Explanation of </w:t>
      </w:r>
      <w:r w:rsidR="009A22FD">
        <w:t>A</w:t>
      </w:r>
      <w:r w:rsidRPr="0041169C">
        <w:t>ny Payments or Gifts to Respondents</w:t>
      </w:r>
      <w:bookmarkEnd w:id="10"/>
    </w:p>
    <w:p w14:paraId="01F51943" w14:textId="77777777" w:rsidR="002B7F24" w:rsidRPr="0041169C" w:rsidRDefault="002B7F24" w:rsidP="00D56779">
      <w:pPr>
        <w:spacing w:after="120"/>
      </w:pPr>
      <w:r w:rsidRPr="0041169C">
        <w:t>There are no payments or gifts</w:t>
      </w:r>
      <w:r w:rsidR="00D96C36" w:rsidRPr="0041169C">
        <w:t xml:space="preserve"> provided</w:t>
      </w:r>
      <w:r w:rsidRPr="0041169C">
        <w:t xml:space="preserve"> to respondents.</w:t>
      </w:r>
    </w:p>
    <w:p w14:paraId="65A82CB0" w14:textId="7CB939EA" w:rsidR="002B7F24" w:rsidRPr="0041169C" w:rsidRDefault="002B7F24" w:rsidP="00C40487">
      <w:pPr>
        <w:pStyle w:val="Heading2"/>
        <w:spacing w:after="120"/>
        <w:contextualSpacing/>
      </w:pPr>
      <w:bookmarkStart w:id="11" w:name="_Toc498433374"/>
      <w:r w:rsidRPr="0041169C">
        <w:t>10. Assurance of Confidentiality Provided to Respondents</w:t>
      </w:r>
      <w:bookmarkEnd w:id="11"/>
    </w:p>
    <w:p w14:paraId="3B014FA6" w14:textId="3F29D6A5" w:rsidR="005D1DA0" w:rsidRPr="0041169C" w:rsidRDefault="005D1DA0" w:rsidP="008F7871">
      <w:pPr>
        <w:spacing w:after="120"/>
      </w:pPr>
      <w:r w:rsidRPr="0041169C">
        <w:t xml:space="preserve">CDC fellowship staffs use information </w:t>
      </w:r>
      <w:r w:rsidR="008F7871">
        <w:t xml:space="preserve">that is </w:t>
      </w:r>
      <w:r w:rsidRPr="0041169C">
        <w:t>voluntarily submitted by applicants (Attachment 3, FMS Application Module), public health agencies (Attachment 5, FMS Host Site Module), and alumni (Attachment 4, FMS Alumni Directory)</w:t>
      </w:r>
      <w:r w:rsidR="008F7871">
        <w:t xml:space="preserve">. This information is integral </w:t>
      </w:r>
      <w:r w:rsidRPr="0041169C">
        <w:t>to process</w:t>
      </w:r>
      <w:r w:rsidR="008F7871">
        <w:t>ing</w:t>
      </w:r>
      <w:r w:rsidRPr="0041169C">
        <w:t xml:space="preserve"> applications, select</w:t>
      </w:r>
      <w:r w:rsidR="008F7871">
        <w:t>ing</w:t>
      </w:r>
      <w:r w:rsidRPr="0041169C">
        <w:t xml:space="preserve"> qualified candidates and quality assignments, match</w:t>
      </w:r>
      <w:r w:rsidR="008F7871">
        <w:t>ing</w:t>
      </w:r>
      <w:r w:rsidRPr="0041169C">
        <w:t xml:space="preserve"> fellows to host site</w:t>
      </w:r>
      <w:r w:rsidR="008F7871">
        <w:t>s</w:t>
      </w:r>
      <w:r w:rsidRPr="0041169C">
        <w:t xml:space="preserve"> </w:t>
      </w:r>
      <w:r w:rsidR="008F7871" w:rsidRPr="0041169C">
        <w:t xml:space="preserve">(work) </w:t>
      </w:r>
      <w:r w:rsidRPr="0041169C">
        <w:t>assignments, and maintain</w:t>
      </w:r>
      <w:r w:rsidR="008F7871">
        <w:t>ing</w:t>
      </w:r>
      <w:r w:rsidRPr="0041169C">
        <w:t xml:space="preserve"> a current alumni database to document the impact of the fellowships on alumni careers. Those interested in applying and public health agencies interested in hosting fellows voluntarily submit information into the FMS Application and Host Site Module. Participation in the Alumni Directory (Attachment 4) is voluntary and fellows are encouraged to participate in their fellowship’s alumni directory upon graduation. Alumni are asked upon each login for their consent to share their information with other alumni who have access to the directory. If an alumnus declines to share, only his or her name and fellowship year, which are already in the public domain, will be visible to other alumni who participate in the directory. </w:t>
      </w:r>
    </w:p>
    <w:p w14:paraId="4E7AAD94" w14:textId="57E08189" w:rsidR="005D1DA0" w:rsidRPr="0041169C" w:rsidRDefault="005D1DA0" w:rsidP="00C40487">
      <w:pPr>
        <w:spacing w:after="120"/>
      </w:pPr>
      <w:r w:rsidRPr="0041169C">
        <w:t>No identifiable data or individual respondent data from the Application and Host Site Modules will be shared beyond the purpose of processing, selecting, and matching candidates and host sites. No identifiable data or individual respondent data from the Alumni Directory will be shared beyond the purpose of professional networking among alumni and to present opportunities for alumni with mission-critical skills to respond to national public health emergency</w:t>
      </w:r>
      <w:r w:rsidRPr="0041169C">
        <w:rPr>
          <w:rFonts w:eastAsia="SimSun"/>
          <w:lang w:eastAsia="zh-CN"/>
        </w:rPr>
        <w:t xml:space="preserve"> or an urgent public health need.</w:t>
      </w:r>
      <w:r w:rsidRPr="0041169C">
        <w:t xml:space="preserve">  Programmatic data from FMS </w:t>
      </w:r>
      <w:r w:rsidR="00FC7692" w:rsidRPr="0041169C">
        <w:t>are</w:t>
      </w:r>
      <w:r w:rsidRPr="0041169C">
        <w:t xml:space="preserve"> reported in aggregate to provide program reports on programmatic processes, trends, and performance information, such as the number and types of applicants and host sites, number of selected and matched candidates and assignments, and demographics of alumni (e.g., employed in private or government sector).</w:t>
      </w:r>
    </w:p>
    <w:p w14:paraId="44D7D342" w14:textId="2E6FBE8A" w:rsidR="005D1DA0" w:rsidRPr="0041169C" w:rsidRDefault="005D1DA0" w:rsidP="005D1DA0">
      <w:r w:rsidRPr="0041169C">
        <w:t>FMS allows CDC fellowship staff to use the information collected through the password- and firewall-protections to efficiently process</w:t>
      </w:r>
      <w:r w:rsidRPr="0041169C" w:rsidDel="00881959">
        <w:t xml:space="preserve"> </w:t>
      </w:r>
      <w:r w:rsidRPr="0041169C">
        <w:t xml:space="preserve">applications and host site assignment proposals, to review and select quality candidates and host site assignments, and to improve the matching of fellows to assignments. Alumni use the information collected through the password- and firewall-protected FMS to network and interact with other alumni participating in the alumni directory; for example, they can share professional information, job positions, and opportunities to respond to public health emergencies and urgent needs. This data collection has little to no effect on the privacy of the public health professionals and staff of public health agencies, who voluntarily submit information through FMS. No sensitive information is collected.  IIF collected from the three proposed data collections (Attachment 3, 4, 5) are minimal. IIF collected from applicants and alumni includes name, mailing address, phone numbers, e-mail address, education records, visa information, employment status, and information critical for assessing eligibility of and communicating with applicants or alumni. IIF collected from public health agencies include the agency’s name; location; type of public health agency; mailing address; phone numbers; e-mail addresses; and names; and titles of primary and secondary supervisors or mentors. </w:t>
      </w:r>
    </w:p>
    <w:p w14:paraId="62E74BB2" w14:textId="77777777" w:rsidR="00E25D1B" w:rsidRDefault="00E25D1B" w:rsidP="008F7871">
      <w:pPr>
        <w:spacing w:after="120"/>
      </w:pPr>
    </w:p>
    <w:p w14:paraId="526F1EEB" w14:textId="5DA01F8D" w:rsidR="008F7871" w:rsidRPr="008F7871" w:rsidRDefault="0038737B" w:rsidP="008F7871">
      <w:pPr>
        <w:spacing w:after="120"/>
      </w:pPr>
      <w:r w:rsidRPr="0041169C">
        <w:t xml:space="preserve">FMS collects fellowship applications and host </w:t>
      </w:r>
      <w:r w:rsidR="005E23B1" w:rsidRPr="0041169C">
        <w:t xml:space="preserve">(work) </w:t>
      </w:r>
      <w:r w:rsidRPr="0041169C">
        <w:t>site assignment proposals to help select qualified fellowship candidates, match selected candidates with selected assignments, and store information on fellowship alumni. FMS maintains a current alumni database; generates fellowship program reports; and documents the impact of fellowships on alumni careers and the public health workforce. Through the FMS Alumni Directory, CDC is able to identify alumni possessing mission-critical skills to respond to a national public health emergency</w:t>
      </w:r>
      <w:r w:rsidRPr="0041169C">
        <w:rPr>
          <w:rFonts w:eastAsia="SimSun"/>
          <w:lang w:eastAsia="zh-CN"/>
        </w:rPr>
        <w:t xml:space="preserve"> or an urgent public health need. Thus, much of the information FMS collects is in identifiable form. All FMS data collections align with HHS’s strategic goal to strengthen nation’s health and human services infrastructure and workforce (</w:t>
      </w:r>
      <w:r w:rsidRPr="0041169C">
        <w:t xml:space="preserve">U.S. Department of Health and Human Services </w:t>
      </w:r>
      <w:r w:rsidRPr="0041169C">
        <w:rPr>
          <w:rFonts w:eastAsia="SimSun"/>
          <w:lang w:eastAsia="zh-CN"/>
        </w:rPr>
        <w:t>Strategic Plan, Foster a 21</w:t>
      </w:r>
      <w:r w:rsidRPr="0041169C">
        <w:rPr>
          <w:rFonts w:eastAsia="SimSun"/>
          <w:vertAlign w:val="superscript"/>
          <w:lang w:eastAsia="zh-CN"/>
        </w:rPr>
        <w:t>st</w:t>
      </w:r>
      <w:r w:rsidRPr="0041169C">
        <w:rPr>
          <w:rFonts w:eastAsia="SimSun"/>
          <w:lang w:eastAsia="zh-CN"/>
        </w:rPr>
        <w:t xml:space="preserve"> Century Health Workforce). </w:t>
      </w:r>
    </w:p>
    <w:p w14:paraId="6DAED718" w14:textId="77777777" w:rsidR="0038737B" w:rsidRPr="0041169C" w:rsidRDefault="0038737B" w:rsidP="0038737B">
      <w:pPr>
        <w:spacing w:after="120"/>
      </w:pPr>
      <w:r w:rsidRPr="0041169C">
        <w:t>Information in identifiable form (IIF) (Attachment 3), FMS Alumni Directory (Attachment 4), and FMS Host Site Module (Attachment 5) is needed to process application data, select qualified candidates, match qualified candidates with host public health agencies, maintain a current alumni database, document the impact of the fellowships on alumni careers, and generate fellowship program reports. This information is stored and retrieved by appropriate CDC fellowship staff but is not published. For fellowship program applicants, IIF includes name, mailing address, phone numbers, e-mail address, educational records, citizenship and visa information, professional licensure, and employment status. Non-IIF includes fellowship entry year, work experience, volunteer activities, research grants, presentations, publications, interests, skills, and abilities.</w:t>
      </w:r>
    </w:p>
    <w:p w14:paraId="677EA708" w14:textId="77777777" w:rsidR="0038737B" w:rsidRPr="0041169C" w:rsidRDefault="0038737B" w:rsidP="0038737B">
      <w:pPr>
        <w:spacing w:after="120"/>
      </w:pPr>
      <w:r w:rsidRPr="0041169C">
        <w:t>For the FMS Host Site Module (Attachment 5), IIF collected from employees of public health agencies who submit assignment proposals includes the  name, location, type of public health agency, mailing address, phone number(s), e-mail address(es), and names, and titles, of primary and secondary supervisors or mentors. Non-IIF includes activities the fellows will engage in, type of support and training the fellows will receive, extent of mentorship and supervision for the fellows, and additional professional development opportunities and collaborations that might be available for fellows.</w:t>
      </w:r>
    </w:p>
    <w:p w14:paraId="00DACCBB" w14:textId="736DBD48" w:rsidR="0038737B" w:rsidRPr="0041169C" w:rsidRDefault="0038737B" w:rsidP="0038737B">
      <w:pPr>
        <w:spacing w:after="120"/>
      </w:pPr>
      <w:r w:rsidRPr="0041169C">
        <w:t>On average, CDC collects FMS data yearly; however, use of each data collection module differs among fellowships; for example, PHAP uses only a portion of the Application Module, and typically, alumni will update data once every 3 years. CDC fellowship programs that use the FMS Application Module are EIS, PHAP, PEF, PHIF, Epi-Elect, Hubert, PMR/F, and Science Ambassadors. Fellowship programs that use the FMS Host Site Module (Attachment 5) to collect information from employees of public health agencies include EIS, PHAP, and PMR/F programs. PEF, PHIF, Epi-Elect, and Hubert programs use the FMS Host Site Module to collect assignment proposals only from CDC staff at headquarters or in field locations (U.S. and international). These programs collect applications (Attachment 3) and host sites assignment proposals (Attachment 5) only once every fellowship cycle. All fellowships occur once during the calendar year, except for Epi-Elect, which has fall and spring rotation cycles.</w:t>
      </w:r>
    </w:p>
    <w:p w14:paraId="6ABBA639" w14:textId="4565E0B8" w:rsidR="0038737B" w:rsidRPr="0041169C" w:rsidRDefault="0038737B" w:rsidP="00C715FE">
      <w:pPr>
        <w:spacing w:after="120"/>
      </w:pPr>
      <w:r w:rsidRPr="0041169C">
        <w:t xml:space="preserve">Fellowship programs that use the FMS Alumni Directory to collect information from graduates and alumni include EIS and Hubert programs. Alumni who choose to participate in the alumni directory have the option of providing updates when their information changes. </w:t>
      </w:r>
    </w:p>
    <w:p w14:paraId="53D5862A" w14:textId="77777777" w:rsidR="0038737B" w:rsidRPr="0041169C" w:rsidRDefault="0038737B" w:rsidP="0038737B">
      <w:r w:rsidRPr="0041169C">
        <w:t xml:space="preserve">The first time that an applicant submits an application to the fellowship or a designated employee of a public health agency submits an assignment proposal electronically through FMS, the applicant or employee will receive a secure and unique login and password allowing them to enter their information only once. When additional applications are submitted to the same or other CDC fellowships in subsequent years, the applicant or the public health agency employee will use the same login and password to access application data in FMS, copy, revise, and submit updated versions to one or more fellowships. To support this feature, data are stored indefinitely and maintained securely in FMS so that applicants and host site representatives can update their information when they wish to apply to other fellowships. Alumni data is also stored indefinitely through the secured FMS to track and document impact of the fellowships on alumni careers; provide alumni an opportunity to network with each other; and present opportunities to alumni to respond to a national public health emergency or an urgent public health need. </w:t>
      </w:r>
    </w:p>
    <w:p w14:paraId="4188CBE7" w14:textId="77777777" w:rsidR="0038737B" w:rsidRPr="0041169C" w:rsidRDefault="0038737B" w:rsidP="0038737B"/>
    <w:p w14:paraId="3803442C" w14:textId="77777777" w:rsidR="0038737B" w:rsidRPr="0041169C" w:rsidRDefault="0038737B" w:rsidP="0038737B">
      <w:pPr>
        <w:spacing w:after="120"/>
      </w:pPr>
      <w:r w:rsidRPr="0041169C">
        <w:t>Completed applications and host site assignment proposals for the different fellowships are compiled in standardized PDF reports for online review by multiple CDC reviewers in the Reviewer Module of FMS, with an option for printing. Through the FMS Administrator Module, fellowship administrators and programmatic staff are able to process applications and host site assignment proposals, compile their reviews, schedule interviews, select candidates, and match candidates to selected host site assignment. Both fellowship staff and applicants are able to track this process and the status of the onboarding process through FMS.</w:t>
      </w:r>
    </w:p>
    <w:p w14:paraId="0D917967" w14:textId="77777777" w:rsidR="0038737B" w:rsidRPr="0041169C" w:rsidRDefault="0038737B" w:rsidP="002F1EE6"/>
    <w:p w14:paraId="57841EBE" w14:textId="60498E36" w:rsidR="008E2602" w:rsidRPr="0041169C" w:rsidRDefault="00635582" w:rsidP="002F1EE6">
      <w:r w:rsidRPr="0041169C">
        <w:t>Approval by the CDC Institutional Review Board</w:t>
      </w:r>
      <w:r w:rsidR="009B5DC4" w:rsidRPr="0041169C">
        <w:t xml:space="preserve"> (IRB)</w:t>
      </w:r>
      <w:r w:rsidRPr="0041169C">
        <w:t xml:space="preserve"> </w:t>
      </w:r>
      <w:r w:rsidR="008E2602" w:rsidRPr="0041169C">
        <w:t>is not required for this information collection system. This data collec</w:t>
      </w:r>
      <w:r w:rsidR="002C7A69" w:rsidRPr="0041169C">
        <w:t>tion is not considered research</w:t>
      </w:r>
      <w:r w:rsidR="009B5DC4" w:rsidRPr="0041169C">
        <w:t xml:space="preserve">. This conclusion is </w:t>
      </w:r>
      <w:r w:rsidR="008E2602" w:rsidRPr="0041169C">
        <w:t xml:space="preserve">based on the description and </w:t>
      </w:r>
      <w:r w:rsidR="00952144" w:rsidRPr="0041169C">
        <w:t>justification</w:t>
      </w:r>
      <w:r w:rsidR="00DF2086" w:rsidRPr="0041169C">
        <w:t xml:space="preserve"> for FMS</w:t>
      </w:r>
      <w:r w:rsidR="008E2602" w:rsidRPr="0041169C">
        <w:t xml:space="preserve"> and on the definition of research</w:t>
      </w:r>
      <w:r w:rsidR="00DF2086" w:rsidRPr="0041169C">
        <w:t>,</w:t>
      </w:r>
      <w:r w:rsidR="008E2602" w:rsidRPr="0041169C">
        <w:t xml:space="preserve"> as defined by the federal policy for the protection of human subjects (45 CFR 46)</w:t>
      </w:r>
      <w:r w:rsidR="00EC316A" w:rsidRPr="0041169C">
        <w:t xml:space="preserve"> (Attachment </w:t>
      </w:r>
      <w:r w:rsidR="00F71C43" w:rsidRPr="0041169C">
        <w:t>8</w:t>
      </w:r>
      <w:r w:rsidR="00B80562" w:rsidRPr="0041169C">
        <w:t>, R</w:t>
      </w:r>
      <w:r w:rsidR="00EC316A" w:rsidRPr="0041169C">
        <w:t xml:space="preserve">esearch </w:t>
      </w:r>
      <w:r w:rsidR="00B80562" w:rsidRPr="0041169C">
        <w:t>Determination Memorandum</w:t>
      </w:r>
      <w:r w:rsidR="00EC316A" w:rsidRPr="0041169C">
        <w:t>)</w:t>
      </w:r>
      <w:r w:rsidR="008E2602" w:rsidRPr="0041169C">
        <w:t>.</w:t>
      </w:r>
    </w:p>
    <w:p w14:paraId="029C40F5" w14:textId="77777777" w:rsidR="006E323D" w:rsidRPr="0041169C" w:rsidRDefault="006E323D" w:rsidP="002F1EE6"/>
    <w:p w14:paraId="7C100795" w14:textId="77777777" w:rsidR="00D96C36" w:rsidRPr="0041169C" w:rsidRDefault="00D96C36" w:rsidP="002F1EE6"/>
    <w:p w14:paraId="0DFFECD2" w14:textId="1B3B50B2" w:rsidR="008A681C" w:rsidRPr="0041169C" w:rsidRDefault="002B7F24" w:rsidP="00E25D1B">
      <w:r w:rsidRPr="0041169C">
        <w:t xml:space="preserve">This submission has been reviewed by staff in the CDC </w:t>
      </w:r>
      <w:r w:rsidR="00814224" w:rsidRPr="0041169C">
        <w:t>ICRO</w:t>
      </w:r>
      <w:r w:rsidR="00363522" w:rsidRPr="0041169C">
        <w:t xml:space="preserve"> </w:t>
      </w:r>
      <w:r w:rsidRPr="0041169C">
        <w:t xml:space="preserve">who determined that the Privacy Act </w:t>
      </w:r>
      <w:r w:rsidR="004067EA" w:rsidRPr="0041169C">
        <w:t xml:space="preserve">does </w:t>
      </w:r>
      <w:r w:rsidRPr="0041169C">
        <w:t>appl</w:t>
      </w:r>
      <w:r w:rsidR="004067EA" w:rsidRPr="0041169C">
        <w:t>y</w:t>
      </w:r>
      <w:r w:rsidRPr="0041169C">
        <w:t>. The applicable System of Records</w:t>
      </w:r>
      <w:r w:rsidR="005D5416" w:rsidRPr="0041169C">
        <w:t xml:space="preserve"> Notice</w:t>
      </w:r>
      <w:r w:rsidRPr="0041169C">
        <w:t xml:space="preserve"> is 09-20-0112, "Fellowship Program and Guest Researcher Records</w:t>
      </w:r>
      <w:r w:rsidR="006C1D71" w:rsidRPr="0041169C">
        <w:t>.</w:t>
      </w:r>
      <w:r w:rsidRPr="0041169C">
        <w:t xml:space="preserve"> HHS/CDC/AHRC</w:t>
      </w:r>
      <w:bookmarkStart w:id="12" w:name="OLE_LINK1"/>
      <w:bookmarkStart w:id="13" w:name="OLE_LINK2"/>
      <w:r w:rsidR="006C1D71" w:rsidRPr="0041169C">
        <w:t>”</w:t>
      </w:r>
      <w:r w:rsidR="00FD2B8E" w:rsidRPr="0041169C">
        <w:t>.</w:t>
      </w:r>
      <w:r w:rsidR="00604C36" w:rsidRPr="0041169C">
        <w:t xml:space="preserve"> </w:t>
      </w:r>
      <w:r w:rsidR="008A681C" w:rsidRPr="0041169C">
        <w:t xml:space="preserve"> Data are password protected and reside on a server managed by the Application Hosting Branch (AHB) of CDC’s Information Technology Services Office (ITSO) under strict physical security. ITSO Data Center personnel have access to the physical server.  Registrant data will not be sold, rented, or shared with third parties for their promotional use.  All data are maintained behind a strict firewall with security protection.</w:t>
      </w:r>
    </w:p>
    <w:p w14:paraId="2E2CFA59" w14:textId="77777777" w:rsidR="008A681C" w:rsidRPr="0041169C" w:rsidRDefault="008A681C" w:rsidP="006C1D71"/>
    <w:p w14:paraId="0E8CFBCE" w14:textId="3D158791" w:rsidR="002B7F24" w:rsidRPr="0041169C" w:rsidRDefault="008A681C" w:rsidP="00E25D1B">
      <w:r w:rsidRPr="0041169C">
        <w:t xml:space="preserve">All modules in FMS are front-end web pages with a backend database, automating existing manual processes. The data for the Application Module, Host Site Module, and Alumni Directory are submitted through the Internet. All FMS modules </w:t>
      </w:r>
      <w:r w:rsidR="00DF2086" w:rsidRPr="0041169C">
        <w:t xml:space="preserve">operate </w:t>
      </w:r>
      <w:r w:rsidRPr="0041169C">
        <w:t xml:space="preserve">on Internet Information Services (IIS) web servers supported by ITSO. FMS modules </w:t>
      </w:r>
      <w:r w:rsidR="00B524BA" w:rsidRPr="0041169C">
        <w:t xml:space="preserve">were </w:t>
      </w:r>
      <w:r w:rsidRPr="0041169C">
        <w:t xml:space="preserve">developed with the ASP.NET Web application framework. FMS modules use a firewall permit for the application to access stored procedures and data on a Microsoft SQL Server® running on AHB servers. Data are stored </w:t>
      </w:r>
      <w:r w:rsidR="00435E0F" w:rsidRPr="0041169C">
        <w:t xml:space="preserve">and regularly backed up </w:t>
      </w:r>
      <w:r w:rsidRPr="0041169C">
        <w:t xml:space="preserve">on a secure Microsoft SQL Server® database located behind the CDC firewall. Access to information on the CDC Microsoft SQL Server® database is available only through FMS for DSEPD programmatic personnel and IT staff. Security provisions for data storage meet all requirements established by CDC’s Information Council Executive Committee. </w:t>
      </w:r>
      <w:r w:rsidR="002B7F24" w:rsidRPr="0041169C">
        <w:t>The Privacy Act statement will be included on all screens stating, “Furnishing the information requested is voluntary.”</w:t>
      </w:r>
      <w:bookmarkEnd w:id="12"/>
      <w:bookmarkEnd w:id="13"/>
    </w:p>
    <w:p w14:paraId="51A4CEA6" w14:textId="77777777" w:rsidR="006C1D71" w:rsidRPr="0041169C" w:rsidRDefault="006C1D71" w:rsidP="006C1D71">
      <w:pPr>
        <w:pStyle w:val="ListParagraph"/>
      </w:pPr>
    </w:p>
    <w:p w14:paraId="3A9894B7" w14:textId="44D72D78" w:rsidR="003509BA" w:rsidRPr="0041169C" w:rsidRDefault="00B524BA" w:rsidP="00E25D1B">
      <w:pPr>
        <w:pStyle w:val="CommentText"/>
      </w:pPr>
      <w:r w:rsidRPr="0041169C">
        <w:t xml:space="preserve">Persons </w:t>
      </w:r>
      <w:r w:rsidR="00AF1FB7" w:rsidRPr="0041169C">
        <w:t xml:space="preserve">who wish to apply to a fellowship </w:t>
      </w:r>
      <w:r w:rsidR="00543A7A" w:rsidRPr="0041169C">
        <w:t xml:space="preserve">(Attachment </w:t>
      </w:r>
      <w:r w:rsidR="00F533BD" w:rsidRPr="0041169C">
        <w:t>3</w:t>
      </w:r>
      <w:r w:rsidR="00543A7A" w:rsidRPr="0041169C">
        <w:t>, FMS Application</w:t>
      </w:r>
      <w:r w:rsidR="00B37DF7" w:rsidRPr="0041169C">
        <w:t xml:space="preserve"> Module</w:t>
      </w:r>
      <w:r w:rsidR="00543A7A" w:rsidRPr="0041169C">
        <w:t xml:space="preserve">) </w:t>
      </w:r>
      <w:r w:rsidR="00AF1FB7" w:rsidRPr="0041169C">
        <w:t xml:space="preserve">do not require consent to apply. </w:t>
      </w:r>
      <w:r w:rsidR="00291513" w:rsidRPr="0041169C">
        <w:t>Upon logging in to apply, a</w:t>
      </w:r>
      <w:r w:rsidR="00AF1FB7" w:rsidRPr="0041169C">
        <w:t>pplicants are</w:t>
      </w:r>
      <w:r w:rsidR="00C34877" w:rsidRPr="0041169C">
        <w:t xml:space="preserve"> </w:t>
      </w:r>
      <w:r w:rsidR="00AF1FB7" w:rsidRPr="0041169C">
        <w:t xml:space="preserve">informed </w:t>
      </w:r>
      <w:r w:rsidR="003509BA" w:rsidRPr="0041169C">
        <w:t xml:space="preserve">immediately </w:t>
      </w:r>
      <w:r w:rsidR="00AF1FB7" w:rsidRPr="0041169C">
        <w:t xml:space="preserve">that their information will not be shared and will be used </w:t>
      </w:r>
      <w:r w:rsidR="00C34877" w:rsidRPr="0041169C">
        <w:t xml:space="preserve">only </w:t>
      </w:r>
      <w:r w:rsidR="00AF1FB7" w:rsidRPr="0041169C">
        <w:t xml:space="preserve">by the fellowship to which they </w:t>
      </w:r>
      <w:r w:rsidR="00291513" w:rsidRPr="0041169C">
        <w:t xml:space="preserve">are </w:t>
      </w:r>
      <w:r w:rsidR="00AF1FB7" w:rsidRPr="0041169C">
        <w:t>appl</w:t>
      </w:r>
      <w:r w:rsidR="00291513" w:rsidRPr="0041169C">
        <w:t>ying</w:t>
      </w:r>
      <w:r w:rsidR="00AF1FB7" w:rsidRPr="0041169C">
        <w:t xml:space="preserve"> during </w:t>
      </w:r>
      <w:r w:rsidR="00CD12FF" w:rsidRPr="0041169C">
        <w:t xml:space="preserve">the </w:t>
      </w:r>
      <w:r w:rsidR="00AF1FB7" w:rsidRPr="0041169C">
        <w:t xml:space="preserve">initial </w:t>
      </w:r>
      <w:r w:rsidR="00C34877" w:rsidRPr="0041169C">
        <w:t xml:space="preserve">review </w:t>
      </w:r>
      <w:r w:rsidR="00AF1FB7" w:rsidRPr="0041169C">
        <w:t xml:space="preserve">and selection process.  </w:t>
      </w:r>
    </w:p>
    <w:p w14:paraId="0A8E053A" w14:textId="77777777" w:rsidR="006C1D71" w:rsidRPr="0041169C" w:rsidRDefault="006C1D71" w:rsidP="006C1D71">
      <w:pPr>
        <w:pStyle w:val="ListParagraph"/>
      </w:pPr>
    </w:p>
    <w:p w14:paraId="20884E28" w14:textId="77777777" w:rsidR="00F64547" w:rsidRPr="0041169C" w:rsidRDefault="00AF1FB7" w:rsidP="00E25D1B">
      <w:pPr>
        <w:pStyle w:val="CommentText"/>
      </w:pPr>
      <w:r w:rsidRPr="0041169C">
        <w:t xml:space="preserve">Participation in the </w:t>
      </w:r>
      <w:r w:rsidR="00D46691" w:rsidRPr="0041169C">
        <w:t>al</w:t>
      </w:r>
      <w:r w:rsidRPr="0041169C">
        <w:t xml:space="preserve">umni </w:t>
      </w:r>
      <w:r w:rsidR="00D46691" w:rsidRPr="0041169C">
        <w:t>d</w:t>
      </w:r>
      <w:r w:rsidRPr="0041169C">
        <w:t xml:space="preserve">irectory </w:t>
      </w:r>
      <w:r w:rsidR="005E0C15" w:rsidRPr="0041169C">
        <w:t xml:space="preserve">(Attachment </w:t>
      </w:r>
      <w:r w:rsidR="00F533BD" w:rsidRPr="0041169C">
        <w:t>4</w:t>
      </w:r>
      <w:r w:rsidR="005E0C15" w:rsidRPr="0041169C">
        <w:t xml:space="preserve">) </w:t>
      </w:r>
      <w:r w:rsidRPr="0041169C">
        <w:t>is voluntary</w:t>
      </w:r>
      <w:r w:rsidR="00D46691" w:rsidRPr="0041169C">
        <w:t>,</w:t>
      </w:r>
      <w:r w:rsidRPr="0041169C">
        <w:t xml:space="preserve"> and fellows </w:t>
      </w:r>
      <w:r w:rsidR="000365AF" w:rsidRPr="0041169C">
        <w:t>are</w:t>
      </w:r>
      <w:r w:rsidRPr="0041169C">
        <w:t xml:space="preserve"> encouraged to participate in their fellowship’s </w:t>
      </w:r>
      <w:r w:rsidR="00C9687A" w:rsidRPr="0041169C">
        <w:t>a</w:t>
      </w:r>
      <w:r w:rsidR="00543A7A" w:rsidRPr="0041169C">
        <w:t xml:space="preserve">lumni </w:t>
      </w:r>
      <w:r w:rsidR="00097D0E" w:rsidRPr="0041169C">
        <w:t>d</w:t>
      </w:r>
      <w:r w:rsidRPr="0041169C">
        <w:t xml:space="preserve">irectory upon graduation. </w:t>
      </w:r>
      <w:r w:rsidR="000365AF" w:rsidRPr="0041169C">
        <w:t xml:space="preserve">Each time alumni log on to their fellowship </w:t>
      </w:r>
      <w:r w:rsidR="00C9687A" w:rsidRPr="0041169C">
        <w:t>a</w:t>
      </w:r>
      <w:r w:rsidR="00543A7A" w:rsidRPr="0041169C">
        <w:t xml:space="preserve">lumni </w:t>
      </w:r>
      <w:r w:rsidR="00097D0E" w:rsidRPr="0041169C">
        <w:t>d</w:t>
      </w:r>
      <w:r w:rsidR="000365AF" w:rsidRPr="0041169C">
        <w:t xml:space="preserve">irectory, they are asked immediately if they wish to share their information with other alumni who have access to the </w:t>
      </w:r>
      <w:r w:rsidR="00C9687A" w:rsidRPr="0041169C">
        <w:t>a</w:t>
      </w:r>
      <w:r w:rsidR="00543A7A" w:rsidRPr="0041169C">
        <w:t xml:space="preserve">lumni </w:t>
      </w:r>
      <w:r w:rsidR="00097D0E" w:rsidRPr="0041169C">
        <w:t>d</w:t>
      </w:r>
      <w:r w:rsidR="000365AF" w:rsidRPr="0041169C">
        <w:t xml:space="preserve">irectory (See </w:t>
      </w:r>
      <w:r w:rsidR="00560394" w:rsidRPr="0041169C">
        <w:t xml:space="preserve">Electronic Consent </w:t>
      </w:r>
      <w:r w:rsidR="001B638B" w:rsidRPr="0041169C">
        <w:t>S</w:t>
      </w:r>
      <w:r w:rsidR="000365AF" w:rsidRPr="0041169C">
        <w:t xml:space="preserve">tatement in Attachment </w:t>
      </w:r>
      <w:r w:rsidR="001B638B" w:rsidRPr="0041169C">
        <w:t>4</w:t>
      </w:r>
      <w:r w:rsidR="000365AF" w:rsidRPr="0041169C">
        <w:t xml:space="preserve">, </w:t>
      </w:r>
      <w:r w:rsidR="007B239C" w:rsidRPr="0041169C">
        <w:t>FMS Alumni Directory</w:t>
      </w:r>
      <w:r w:rsidR="000365AF" w:rsidRPr="0041169C">
        <w:t xml:space="preserve">).  If a respondent consents, his or her information will be visible to other alumni who participate in the fellowship </w:t>
      </w:r>
      <w:r w:rsidR="00C9687A" w:rsidRPr="0041169C">
        <w:t xml:space="preserve">alumni </w:t>
      </w:r>
      <w:r w:rsidR="00097D0E" w:rsidRPr="0041169C">
        <w:t>d</w:t>
      </w:r>
      <w:r w:rsidR="000365AF" w:rsidRPr="0041169C">
        <w:t xml:space="preserve">irectory. If a respondent does not consent, only his or her name and fellowship year, which already are in the public domain, will be visible to other alumni who participate in the fellowship </w:t>
      </w:r>
      <w:r w:rsidR="00C9687A" w:rsidRPr="0041169C">
        <w:t xml:space="preserve">alumni </w:t>
      </w:r>
      <w:r w:rsidR="00097D0E" w:rsidRPr="0041169C">
        <w:t>d</w:t>
      </w:r>
      <w:r w:rsidR="000365AF" w:rsidRPr="0041169C">
        <w:t xml:space="preserve">irectory. </w:t>
      </w:r>
      <w:r w:rsidR="008949B5" w:rsidRPr="0041169C">
        <w:t xml:space="preserve">All data </w:t>
      </w:r>
      <w:r w:rsidR="00837B90" w:rsidRPr="0041169C">
        <w:t xml:space="preserve">are merged </w:t>
      </w:r>
      <w:r w:rsidR="008949B5" w:rsidRPr="0041169C">
        <w:t>fr</w:t>
      </w:r>
      <w:r w:rsidR="002F3FC3" w:rsidRPr="0041169C">
        <w:t xml:space="preserve">om the </w:t>
      </w:r>
      <w:r w:rsidR="00560394" w:rsidRPr="0041169C">
        <w:t>FMS’s F</w:t>
      </w:r>
      <w:r w:rsidR="002F3FC3" w:rsidRPr="0041169C">
        <w:t xml:space="preserve">ellowship </w:t>
      </w:r>
      <w:r w:rsidR="00C9687A" w:rsidRPr="0041169C">
        <w:t>A</w:t>
      </w:r>
      <w:r w:rsidR="00560394" w:rsidRPr="0041169C">
        <w:t xml:space="preserve">pplication </w:t>
      </w:r>
      <w:r w:rsidR="00B37DF7" w:rsidRPr="0041169C">
        <w:t>Module</w:t>
      </w:r>
      <w:r w:rsidR="00560394" w:rsidRPr="0041169C">
        <w:t xml:space="preserve"> </w:t>
      </w:r>
      <w:r w:rsidR="008949B5" w:rsidRPr="0041169C">
        <w:t xml:space="preserve">into the </w:t>
      </w:r>
      <w:r w:rsidR="00560394" w:rsidRPr="0041169C">
        <w:t>A</w:t>
      </w:r>
      <w:r w:rsidR="008949B5" w:rsidRPr="0041169C">
        <w:t xml:space="preserve">lumni </w:t>
      </w:r>
      <w:r w:rsidR="00C9687A" w:rsidRPr="0041169C">
        <w:t>D</w:t>
      </w:r>
      <w:r w:rsidR="008949B5" w:rsidRPr="0041169C">
        <w:t xml:space="preserve">irectory for each alumnus. </w:t>
      </w:r>
      <w:r w:rsidR="00E06802" w:rsidRPr="0041169C">
        <w:t>Editing data does not require data re</w:t>
      </w:r>
      <w:r w:rsidR="00A74971" w:rsidRPr="0041169C">
        <w:t>-</w:t>
      </w:r>
      <w:r w:rsidR="00E06802" w:rsidRPr="0041169C">
        <w:t>entry.</w:t>
      </w:r>
    </w:p>
    <w:p w14:paraId="156167C5" w14:textId="77777777" w:rsidR="00F64547" w:rsidRPr="0041169C" w:rsidRDefault="00F64547" w:rsidP="00F64547">
      <w:pPr>
        <w:pStyle w:val="ListParagraph"/>
      </w:pPr>
    </w:p>
    <w:p w14:paraId="7C543169" w14:textId="7094D413" w:rsidR="009F3C0A" w:rsidRPr="0041169C" w:rsidRDefault="00F533BD" w:rsidP="00E25D1B">
      <w:pPr>
        <w:pStyle w:val="CommentText"/>
      </w:pPr>
      <w:r w:rsidRPr="0041169C">
        <w:t>E</w:t>
      </w:r>
      <w:r w:rsidR="00805D26" w:rsidRPr="0041169C">
        <w:t xml:space="preserve">mployees of public health agencies who wish to submit an assignment proposal to host a fellow </w:t>
      </w:r>
      <w:r w:rsidRPr="0041169C">
        <w:t xml:space="preserve">(Attachment </w:t>
      </w:r>
      <w:r w:rsidR="00585D2C" w:rsidRPr="0041169C">
        <w:t>5</w:t>
      </w:r>
      <w:r w:rsidRPr="0041169C">
        <w:t xml:space="preserve">, FMS Host Site </w:t>
      </w:r>
      <w:r w:rsidR="00EF3980" w:rsidRPr="0041169C">
        <w:t>Module</w:t>
      </w:r>
      <w:r w:rsidRPr="0041169C">
        <w:t xml:space="preserve">) </w:t>
      </w:r>
      <w:r w:rsidR="00E06802" w:rsidRPr="0041169C">
        <w:t xml:space="preserve">does </w:t>
      </w:r>
      <w:r w:rsidR="00805D26" w:rsidRPr="0041169C">
        <w:t>not require consent. Submitting a</w:t>
      </w:r>
      <w:r w:rsidR="00021EE5" w:rsidRPr="0041169C">
        <w:t xml:space="preserve">n assignment proposal </w:t>
      </w:r>
      <w:r w:rsidR="00805D26" w:rsidRPr="0041169C">
        <w:t xml:space="preserve">is voluntary. </w:t>
      </w:r>
      <w:r w:rsidR="00E06802" w:rsidRPr="0041169C">
        <w:t xml:space="preserve">Agency employees are immediately </w:t>
      </w:r>
      <w:r w:rsidR="00097D0E" w:rsidRPr="0041169C">
        <w:t>informed</w:t>
      </w:r>
      <w:r w:rsidR="005217B0" w:rsidRPr="0041169C">
        <w:t xml:space="preserve"> </w:t>
      </w:r>
      <w:r w:rsidR="00805D26" w:rsidRPr="0041169C">
        <w:t xml:space="preserve">that their information will not be shared and </w:t>
      </w:r>
      <w:r w:rsidR="00E06802" w:rsidRPr="0041169C">
        <w:t xml:space="preserve">is </w:t>
      </w:r>
      <w:r w:rsidR="00805D26" w:rsidRPr="0041169C">
        <w:t xml:space="preserve">used only by the fellowship to which they are submitting the assignment proposal during the initial review and selection process. </w:t>
      </w:r>
      <w:r w:rsidR="00E06802" w:rsidRPr="0041169C">
        <w:t>D</w:t>
      </w:r>
      <w:r w:rsidR="00805D26" w:rsidRPr="0041169C">
        <w:t xml:space="preserve">ata collected for the </w:t>
      </w:r>
      <w:r w:rsidR="00E06802" w:rsidRPr="0041169C">
        <w:t>h</w:t>
      </w:r>
      <w:r w:rsidR="00EF3980" w:rsidRPr="0041169C">
        <w:t xml:space="preserve">ost </w:t>
      </w:r>
      <w:r w:rsidR="00E06802" w:rsidRPr="0041169C">
        <w:t>s</w:t>
      </w:r>
      <w:r w:rsidR="00EF3980" w:rsidRPr="0041169C">
        <w:t xml:space="preserve">ite </w:t>
      </w:r>
      <w:r w:rsidR="00E06802" w:rsidRPr="0041169C">
        <w:t>m</w:t>
      </w:r>
      <w:r w:rsidR="00EF3980" w:rsidRPr="0041169C">
        <w:t xml:space="preserve">odule </w:t>
      </w:r>
      <w:r w:rsidR="00805D26" w:rsidRPr="0041169C">
        <w:t xml:space="preserve">are needed to select quality assignments and to match fellows with </w:t>
      </w:r>
      <w:r w:rsidR="00EA7C77" w:rsidRPr="0041169C">
        <w:t>host site</w:t>
      </w:r>
      <w:r w:rsidR="00E06802" w:rsidRPr="0041169C">
        <w:t>s</w:t>
      </w:r>
      <w:r w:rsidR="00EA7C77" w:rsidRPr="0041169C">
        <w:t xml:space="preserve"> </w:t>
      </w:r>
      <w:r w:rsidR="00805D26" w:rsidRPr="0041169C">
        <w:t xml:space="preserve">that provide the fellow with the best possible fellowship experience and result in </w:t>
      </w:r>
      <w:r w:rsidR="00600DE0" w:rsidRPr="0041169C">
        <w:t>long-term</w:t>
      </w:r>
      <w:r w:rsidR="00805D26" w:rsidRPr="0041169C">
        <w:t xml:space="preserve"> careers that will </w:t>
      </w:r>
      <w:r w:rsidR="00E06802" w:rsidRPr="0041169C">
        <w:t xml:space="preserve">allow </w:t>
      </w:r>
      <w:r w:rsidR="00805D26" w:rsidRPr="0041169C">
        <w:t>long-term and sustainable contributions to public health and its body of knowledge.</w:t>
      </w:r>
    </w:p>
    <w:p w14:paraId="44F8848D" w14:textId="77777777" w:rsidR="006C1D71" w:rsidRPr="0041169C" w:rsidRDefault="006C1D71" w:rsidP="006C1D71">
      <w:pPr>
        <w:pStyle w:val="ListParagraph"/>
      </w:pPr>
    </w:p>
    <w:p w14:paraId="0D01F55C" w14:textId="1BFD7786" w:rsidR="00AE1AE2" w:rsidRPr="0041169C" w:rsidRDefault="00062877" w:rsidP="00E25D1B">
      <w:pPr>
        <w:pStyle w:val="CommentText"/>
      </w:pPr>
      <w:r w:rsidRPr="0041169C">
        <w:t>I</w:t>
      </w:r>
      <w:r w:rsidR="00666267" w:rsidRPr="0041169C">
        <w:t>nformation</w:t>
      </w:r>
      <w:r w:rsidR="00AF1FB7" w:rsidRPr="0041169C">
        <w:t xml:space="preserve"> collected fo</w:t>
      </w:r>
      <w:r w:rsidR="001E34F7" w:rsidRPr="0041169C">
        <w:t xml:space="preserve">r the </w:t>
      </w:r>
      <w:r w:rsidR="00C9687A" w:rsidRPr="0041169C">
        <w:t>FMS A</w:t>
      </w:r>
      <w:r w:rsidR="001E34F7" w:rsidRPr="0041169C">
        <w:t>pplication</w:t>
      </w:r>
      <w:r w:rsidR="00EF3980" w:rsidRPr="0041169C">
        <w:t xml:space="preserve"> Module</w:t>
      </w:r>
      <w:r w:rsidR="005E0C15" w:rsidRPr="0041169C">
        <w:t xml:space="preserve"> (Attachment </w:t>
      </w:r>
      <w:r w:rsidR="00585D2C" w:rsidRPr="0041169C">
        <w:t>3</w:t>
      </w:r>
      <w:r w:rsidR="005E0C15" w:rsidRPr="0041169C">
        <w:t>)</w:t>
      </w:r>
      <w:r w:rsidR="00355DA7" w:rsidRPr="0041169C">
        <w:t>,</w:t>
      </w:r>
      <w:r w:rsidR="001E34F7" w:rsidRPr="0041169C">
        <w:t xml:space="preserve"> </w:t>
      </w:r>
      <w:r w:rsidR="007B239C" w:rsidRPr="0041169C">
        <w:t>FMS Alumni Directory</w:t>
      </w:r>
      <w:r w:rsidR="005E0C15" w:rsidRPr="0041169C">
        <w:t xml:space="preserve"> (Attachment </w:t>
      </w:r>
      <w:r w:rsidR="00585D2C" w:rsidRPr="0041169C">
        <w:t>4</w:t>
      </w:r>
      <w:r w:rsidR="005E0C15" w:rsidRPr="0041169C">
        <w:t>)</w:t>
      </w:r>
      <w:r w:rsidR="00355DA7" w:rsidRPr="0041169C">
        <w:t xml:space="preserve">, and </w:t>
      </w:r>
      <w:r w:rsidR="00C9687A" w:rsidRPr="0041169C">
        <w:t>FMS H</w:t>
      </w:r>
      <w:r w:rsidR="00355DA7" w:rsidRPr="0041169C">
        <w:t xml:space="preserve">ost </w:t>
      </w:r>
      <w:r w:rsidR="00C9687A" w:rsidRPr="0041169C">
        <w:t>S</w:t>
      </w:r>
      <w:r w:rsidR="005E0C15" w:rsidRPr="0041169C">
        <w:t xml:space="preserve">ite </w:t>
      </w:r>
      <w:r w:rsidR="00EF3980" w:rsidRPr="0041169C">
        <w:t xml:space="preserve">Module </w:t>
      </w:r>
      <w:r w:rsidR="005E0C15" w:rsidRPr="0041169C">
        <w:t xml:space="preserve">(Attachment </w:t>
      </w:r>
      <w:r w:rsidR="00585D2C" w:rsidRPr="0041169C">
        <w:t>5</w:t>
      </w:r>
      <w:r w:rsidR="005E0C15" w:rsidRPr="0041169C">
        <w:t xml:space="preserve">) </w:t>
      </w:r>
      <w:r w:rsidR="00F10723" w:rsidRPr="0041169C">
        <w:t xml:space="preserve">are </w:t>
      </w:r>
      <w:r w:rsidR="001E34F7" w:rsidRPr="0041169C">
        <w:t xml:space="preserve">needed </w:t>
      </w:r>
      <w:r w:rsidR="000663B7" w:rsidRPr="0041169C">
        <w:t>to</w:t>
      </w:r>
      <w:r w:rsidR="001E34F7" w:rsidRPr="0041169C">
        <w:t xml:space="preserve"> process</w:t>
      </w:r>
      <w:r w:rsidR="000663B7" w:rsidRPr="0041169C">
        <w:t xml:space="preserve"> </w:t>
      </w:r>
      <w:r w:rsidR="001E34F7" w:rsidRPr="0041169C">
        <w:t xml:space="preserve">application data, select qualified candidates, </w:t>
      </w:r>
      <w:r w:rsidR="00355DA7" w:rsidRPr="0041169C">
        <w:t xml:space="preserve">match qualified candidates with host public health agencies, </w:t>
      </w:r>
      <w:r w:rsidR="001E34F7" w:rsidRPr="0041169C">
        <w:t>maintain a current alumni database, document the impact of the fellowships</w:t>
      </w:r>
      <w:r w:rsidR="00F10723" w:rsidRPr="0041169C">
        <w:t xml:space="preserve"> on alumni careers</w:t>
      </w:r>
      <w:r w:rsidR="001E34F7" w:rsidRPr="0041169C">
        <w:t>, and generat</w:t>
      </w:r>
      <w:r w:rsidR="000663B7" w:rsidRPr="0041169C">
        <w:t>e</w:t>
      </w:r>
      <w:r w:rsidR="001E34F7" w:rsidRPr="0041169C">
        <w:t xml:space="preserve"> </w:t>
      </w:r>
      <w:r w:rsidR="0091682F" w:rsidRPr="0041169C">
        <w:t xml:space="preserve">fellowship program </w:t>
      </w:r>
      <w:r w:rsidR="001E34F7" w:rsidRPr="0041169C">
        <w:t>reports. Personally identifiable information will be stored and retrieved by appropriate CDC fellowship staff but will not be published.</w:t>
      </w:r>
    </w:p>
    <w:p w14:paraId="1F2E7FA0" w14:textId="77777777" w:rsidR="005E19F2" w:rsidRPr="0041169C" w:rsidRDefault="005E19F2" w:rsidP="002F1EE6">
      <w:pPr>
        <w:pStyle w:val="CommentText"/>
      </w:pPr>
    </w:p>
    <w:p w14:paraId="2D207688" w14:textId="77777777" w:rsidR="00803007" w:rsidRPr="0041169C" w:rsidRDefault="00803007" w:rsidP="00803007">
      <w:r w:rsidRPr="0041169C">
        <w:t>DSEPD’s Information Systems Security Officer has reviewed this request and determined that the Privacy Act does apply.  FMS collects only the minimum data elements necessary to satisfy the requirements for application submission and processing (Attachments 3–5). Collected information from applicants and alumni that are not IIF include fellowship entry year, work experience, volunteer activities, research grants, presentations, publications, interests, skills, and abilities. Collected information from employees of public health agencies that are not IIF include activities the fellow will engage in, type of support and training the fellow will receive, and additional professional development opportunities and collaborations that might be available for the fellow.</w:t>
      </w:r>
    </w:p>
    <w:p w14:paraId="516FF847" w14:textId="77777777" w:rsidR="00803007" w:rsidRPr="0041169C" w:rsidRDefault="00803007" w:rsidP="00803007"/>
    <w:p w14:paraId="1176E273" w14:textId="5A3B4B15" w:rsidR="00803007" w:rsidRPr="0041169C" w:rsidRDefault="00803007" w:rsidP="00803007">
      <w:r w:rsidRPr="0041169C">
        <w:t>Personal identifiable information is stored on the CDC Microsoft Structured Query Language (SQL) Server® database and is only available through FMS to DSEPD programmatic personnel and IT staff.</w:t>
      </w:r>
      <w:r w:rsidR="00330DDD" w:rsidRPr="0041169C">
        <w:t xml:space="preserve"> </w:t>
      </w:r>
      <w:r w:rsidRPr="0041169C">
        <w:t xml:space="preserve">Data collected through FMS are necessary for processing applications (Attachment 3, FMS Application), selecting qualified candidates, processing host site assignments (Attachment 5, FMS Host Site Module), selecting quality assignments, matching fellows to host site assignments, and documenting the impact of fellowships on alumni careers (Attachment 4, FMS Alumni Directory). </w:t>
      </w:r>
    </w:p>
    <w:p w14:paraId="18DA189E" w14:textId="77777777" w:rsidR="00803007" w:rsidRPr="0041169C" w:rsidRDefault="00803007" w:rsidP="00803007"/>
    <w:p w14:paraId="7935B7F1" w14:textId="77777777" w:rsidR="002B7F24" w:rsidRPr="0041169C" w:rsidRDefault="002B7F24" w:rsidP="001C611B">
      <w:pPr>
        <w:pStyle w:val="Heading2"/>
      </w:pPr>
      <w:bookmarkStart w:id="14" w:name="_Toc498433375"/>
      <w:r w:rsidRPr="0041169C">
        <w:t>11. Justification for Sensitive Questions</w:t>
      </w:r>
      <w:bookmarkEnd w:id="14"/>
    </w:p>
    <w:p w14:paraId="1CDE95C2" w14:textId="77777777" w:rsidR="002B7F24" w:rsidRPr="0041169C" w:rsidRDefault="002B7F24" w:rsidP="002F1EE6"/>
    <w:p w14:paraId="2223FB09" w14:textId="77777777" w:rsidR="002B7F24" w:rsidRPr="0041169C" w:rsidRDefault="002B7F24" w:rsidP="002F1EE6">
      <w:r w:rsidRPr="0041169C">
        <w:t xml:space="preserve">No questions of a sensitive nature </w:t>
      </w:r>
      <w:r w:rsidR="005E19F2" w:rsidRPr="0041169C">
        <w:t>are</w:t>
      </w:r>
      <w:r w:rsidR="00925369" w:rsidRPr="0041169C">
        <w:t xml:space="preserve"> </w:t>
      </w:r>
      <w:r w:rsidRPr="0041169C">
        <w:t>asked of respondents.</w:t>
      </w:r>
    </w:p>
    <w:p w14:paraId="59624DA7" w14:textId="77777777" w:rsidR="00880933" w:rsidRPr="0041169C" w:rsidRDefault="00880933" w:rsidP="002F1EE6"/>
    <w:p w14:paraId="4C4F54B5" w14:textId="77777777" w:rsidR="002B7F24" w:rsidRPr="0041169C" w:rsidRDefault="002B7F24" w:rsidP="00183B85">
      <w:pPr>
        <w:pStyle w:val="Heading2"/>
      </w:pPr>
      <w:bookmarkStart w:id="15" w:name="_Toc498433376"/>
      <w:r w:rsidRPr="0041169C">
        <w:t>12. Estimates of Annualized Burden Hours and Costs</w:t>
      </w:r>
      <w:bookmarkEnd w:id="15"/>
    </w:p>
    <w:p w14:paraId="1A717ECB" w14:textId="77777777" w:rsidR="002B7F24" w:rsidRPr="0041169C" w:rsidRDefault="002B7F24" w:rsidP="002F1EE6"/>
    <w:p w14:paraId="0F19FFD3" w14:textId="193FE669" w:rsidR="00FA1F53" w:rsidRPr="0041169C" w:rsidRDefault="00D53DBC" w:rsidP="00693C1E">
      <w:r w:rsidRPr="0041169C">
        <w:t>Pilot tests were conducted for all nonsubstantive changes t</w:t>
      </w:r>
      <w:r w:rsidR="00E06802" w:rsidRPr="0041169C">
        <w:t>o improve usability and determine response times</w:t>
      </w:r>
      <w:r w:rsidRPr="0041169C">
        <w:t>.</w:t>
      </w:r>
      <w:r w:rsidR="00E06802" w:rsidRPr="0041169C">
        <w:t xml:space="preserve"> </w:t>
      </w:r>
      <w:r w:rsidR="003344A1" w:rsidRPr="0041169C">
        <w:t xml:space="preserve">This ICR for extension reflects all changes to FMS data collections since the </w:t>
      </w:r>
      <w:r w:rsidR="002A4F89" w:rsidRPr="0041169C">
        <w:t>approval</w:t>
      </w:r>
      <w:r w:rsidR="00E06802" w:rsidRPr="0041169C">
        <w:t xml:space="preserve"> for change request</w:t>
      </w:r>
      <w:r w:rsidR="003344A1" w:rsidRPr="0041169C">
        <w:t xml:space="preserve"> in </w:t>
      </w:r>
      <w:r w:rsidR="00D15D65" w:rsidRPr="0041169C">
        <w:t>201</w:t>
      </w:r>
      <w:r w:rsidR="00D15D65">
        <w:t>7.</w:t>
      </w:r>
      <w:r w:rsidR="00E06802" w:rsidRPr="0041169C">
        <w:t xml:space="preserve"> </w:t>
      </w:r>
    </w:p>
    <w:p w14:paraId="7377FF77" w14:textId="77777777" w:rsidR="00FA1F53" w:rsidRPr="0041169C" w:rsidRDefault="00FA1F53" w:rsidP="00693C1E"/>
    <w:p w14:paraId="5D9072D0" w14:textId="14C729FD" w:rsidR="00FA1F53" w:rsidRPr="0041169C" w:rsidRDefault="0054576E" w:rsidP="00693C1E">
      <w:r w:rsidRPr="0041169C">
        <w:t xml:space="preserve">The respondent types included in </w:t>
      </w:r>
      <w:r w:rsidR="000E2F79" w:rsidRPr="0041169C">
        <w:t xml:space="preserve">the burden estimates for </w:t>
      </w:r>
      <w:r w:rsidRPr="0041169C">
        <w:t xml:space="preserve">this ICR are nonfederal applicants, alumni, and employees of public health agencies. </w:t>
      </w:r>
      <w:r w:rsidR="00670E1C" w:rsidRPr="0041169C">
        <w:t>The target respondent universe for each data collection differs for each fellowship program</w:t>
      </w:r>
      <w:r w:rsidR="002A4F89" w:rsidRPr="0041169C">
        <w:t>.</w:t>
      </w:r>
      <w:r w:rsidR="00D53DBC" w:rsidRPr="0041169C">
        <w:t xml:space="preserve"> A</w:t>
      </w:r>
      <w:r w:rsidR="0043738E" w:rsidRPr="0041169C">
        <w:t xml:space="preserve">nnualized burden hours and costs </w:t>
      </w:r>
      <w:r w:rsidR="00FA1F53" w:rsidRPr="0041169C">
        <w:t xml:space="preserve">presented </w:t>
      </w:r>
      <w:r w:rsidR="0043738E" w:rsidRPr="0041169C">
        <w:t xml:space="preserve">include </w:t>
      </w:r>
      <w:r w:rsidR="00D53DBC" w:rsidRPr="0041169C">
        <w:t xml:space="preserve">only </w:t>
      </w:r>
      <w:r w:rsidR="0043738E" w:rsidRPr="0041169C">
        <w:t xml:space="preserve">the burden of respondents who are </w:t>
      </w:r>
      <w:r w:rsidR="00B74491" w:rsidRPr="0041169C">
        <w:t xml:space="preserve">not </w:t>
      </w:r>
      <w:r w:rsidR="0043738E" w:rsidRPr="0041169C">
        <w:t>federal employees or entities.</w:t>
      </w:r>
      <w:r w:rsidR="005C7CF7" w:rsidRPr="0041169C">
        <w:t xml:space="preserve"> </w:t>
      </w:r>
    </w:p>
    <w:p w14:paraId="099175B3" w14:textId="77777777" w:rsidR="00FA1F53" w:rsidRPr="0041169C" w:rsidRDefault="00FA1F53" w:rsidP="00693C1E"/>
    <w:p w14:paraId="2C5D093A" w14:textId="1DC37828" w:rsidR="0054576E" w:rsidRPr="0041169C" w:rsidRDefault="00476550" w:rsidP="00693C1E">
      <w:r w:rsidRPr="0041169C">
        <w:t xml:space="preserve">Use </w:t>
      </w:r>
      <w:r w:rsidR="005C7CF7" w:rsidRPr="0041169C">
        <w:t>of each data collection</w:t>
      </w:r>
      <w:r w:rsidR="00B74491" w:rsidRPr="0041169C">
        <w:t xml:space="preserve"> </w:t>
      </w:r>
      <w:r w:rsidR="006869AD" w:rsidRPr="0041169C">
        <w:t>module differ</w:t>
      </w:r>
      <w:r w:rsidR="00D53DBC" w:rsidRPr="0041169C">
        <w:t>s</w:t>
      </w:r>
      <w:r w:rsidR="006869AD" w:rsidRPr="0041169C">
        <w:t xml:space="preserve"> among </w:t>
      </w:r>
      <w:r w:rsidR="00B74491" w:rsidRPr="0041169C">
        <w:t>fellowships</w:t>
      </w:r>
      <w:r w:rsidR="005C7CF7" w:rsidRPr="0041169C">
        <w:t xml:space="preserve">; for example, PHAP uses only </w:t>
      </w:r>
      <w:r w:rsidR="00B74491" w:rsidRPr="0041169C">
        <w:t xml:space="preserve">a </w:t>
      </w:r>
      <w:r w:rsidR="005C7CF7" w:rsidRPr="0041169C">
        <w:t xml:space="preserve">portion of the Application Module (Attachment 3). </w:t>
      </w:r>
      <w:r w:rsidR="00EE1155" w:rsidRPr="0041169C">
        <w:t xml:space="preserve">The calculated annualized burden and costs </w:t>
      </w:r>
      <w:r w:rsidR="00661AD4" w:rsidRPr="0041169C">
        <w:t xml:space="preserve">for each data collection module </w:t>
      </w:r>
      <w:r w:rsidR="00EE1155" w:rsidRPr="0041169C">
        <w:t xml:space="preserve">take into consideration </w:t>
      </w:r>
      <w:r w:rsidR="0053214F" w:rsidRPr="0041169C">
        <w:t xml:space="preserve">the </w:t>
      </w:r>
      <w:r w:rsidR="00EE1155" w:rsidRPr="0041169C">
        <w:t>varianc</w:t>
      </w:r>
      <w:r w:rsidR="006869AD" w:rsidRPr="0041169C">
        <w:t xml:space="preserve">es for each fellowship, </w:t>
      </w:r>
      <w:r w:rsidR="00EE1155" w:rsidRPr="0041169C">
        <w:t xml:space="preserve">the increase </w:t>
      </w:r>
      <w:r w:rsidR="00661AD4" w:rsidRPr="0041169C">
        <w:t xml:space="preserve">in </w:t>
      </w:r>
      <w:r w:rsidR="00DD2F2F" w:rsidRPr="0041169C">
        <w:t xml:space="preserve">voluntary submission of applications by applicants and employees of public health agencies </w:t>
      </w:r>
      <w:r w:rsidR="00686152" w:rsidRPr="0041169C">
        <w:t>each</w:t>
      </w:r>
      <w:r w:rsidR="00DD2F2F" w:rsidRPr="0041169C">
        <w:t xml:space="preserve"> year</w:t>
      </w:r>
      <w:r w:rsidR="00661AD4" w:rsidRPr="0041169C">
        <w:t xml:space="preserve">, </w:t>
      </w:r>
      <w:r w:rsidR="006869AD" w:rsidRPr="0041169C">
        <w:t xml:space="preserve">and </w:t>
      </w:r>
      <w:r w:rsidR="00B74491" w:rsidRPr="0041169C">
        <w:t>an adjustment for increased cost of living in respondents’ estimated salaries</w:t>
      </w:r>
      <w:r w:rsidR="00010F7A" w:rsidRPr="0041169C">
        <w:t>.</w:t>
      </w:r>
      <w:r w:rsidR="003009D9" w:rsidRPr="0041169C">
        <w:t xml:space="preserve"> </w:t>
      </w:r>
    </w:p>
    <w:p w14:paraId="0837CE90" w14:textId="77777777" w:rsidR="00567E1D" w:rsidRPr="0041169C" w:rsidRDefault="00567E1D" w:rsidP="00693C1E"/>
    <w:p w14:paraId="5FFC31A5" w14:textId="0C55A7C3" w:rsidR="00010F7A" w:rsidRPr="0041169C" w:rsidRDefault="00010F7A" w:rsidP="008447EF">
      <w:pPr>
        <w:pStyle w:val="Heading4"/>
        <w:numPr>
          <w:ilvl w:val="0"/>
          <w:numId w:val="24"/>
        </w:numPr>
      </w:pPr>
      <w:r w:rsidRPr="0041169C">
        <w:t>Estimated Annualized Burden Hours</w:t>
      </w:r>
    </w:p>
    <w:p w14:paraId="629F9C09" w14:textId="091D377F" w:rsidR="008447EF" w:rsidRPr="0041169C" w:rsidRDefault="008447EF" w:rsidP="008447EF">
      <w:pPr>
        <w:pStyle w:val="Heading4"/>
      </w:pPr>
    </w:p>
    <w:p w14:paraId="65A392A0" w14:textId="55A67034" w:rsidR="008447EF" w:rsidRPr="0041169C" w:rsidRDefault="008447EF" w:rsidP="008447EF">
      <w:r w:rsidRPr="0041169C">
        <w:t>The FMS Application Module (Attachment 3) reflects an average of 1 and 45/60 hours (i.e., 105 minutes). The approved ICR for FMS data collection is for an estimated 3</w:t>
      </w:r>
      <w:r w:rsidR="00D15D65">
        <w:t>,</w:t>
      </w:r>
      <w:r w:rsidRPr="0041169C">
        <w:t>931 respondents. Respondents in the approved ICR respond one time with an average burden of 48 minutes per response. The estimated 150 Science Ambassador respondents and 30 nonfederal applicants are included in the 2</w:t>
      </w:r>
      <w:r w:rsidR="00D15D65">
        <w:t>,</w:t>
      </w:r>
      <w:r w:rsidRPr="0041169C">
        <w:t>141 total number of fellowship applicants; their burden times per response did not affect the average burden for any applicant group. Therefore, the total estimated average annualized burden is 4</w:t>
      </w:r>
      <w:r w:rsidR="00D15D65">
        <w:t>,</w:t>
      </w:r>
      <w:r w:rsidRPr="0041169C">
        <w:t xml:space="preserve">556 hours. </w:t>
      </w:r>
    </w:p>
    <w:p w14:paraId="69095DC8" w14:textId="5F4400F3" w:rsidR="00693C1E" w:rsidRPr="0041169C" w:rsidRDefault="00693C1E" w:rsidP="002F1EE6"/>
    <w:p w14:paraId="275FAF81" w14:textId="77777777" w:rsidR="00567E1D" w:rsidRPr="0041169C" w:rsidRDefault="00567E1D" w:rsidP="002F1EE6"/>
    <w:p w14:paraId="1CDCA648" w14:textId="1398D57B" w:rsidR="00E46345" w:rsidRPr="0041169C" w:rsidRDefault="00E46345" w:rsidP="00567E1D">
      <w:r w:rsidRPr="0041169C">
        <w:t>The total estim</w:t>
      </w:r>
      <w:r w:rsidR="00E75B1D" w:rsidRPr="0041169C">
        <w:t>ated annualized burden for the FMS A</w:t>
      </w:r>
      <w:r w:rsidRPr="0041169C">
        <w:t xml:space="preserve">lumni </w:t>
      </w:r>
      <w:r w:rsidR="00E75B1D" w:rsidRPr="0041169C">
        <w:t>D</w:t>
      </w:r>
      <w:r w:rsidRPr="0041169C">
        <w:t xml:space="preserve">irectory (Attachment 4) </w:t>
      </w:r>
      <w:r w:rsidR="00837B2B" w:rsidRPr="0041169C">
        <w:t>and the FMS Host Site Module (Attachment 5) have not changed.</w:t>
      </w:r>
    </w:p>
    <w:p w14:paraId="6C0DCF99" w14:textId="77777777" w:rsidR="003F7F50" w:rsidRPr="0041169C" w:rsidRDefault="003F7F50" w:rsidP="00567E1D"/>
    <w:p w14:paraId="7BFBB7B0" w14:textId="73384CCF" w:rsidR="00F6761B" w:rsidRPr="0041169C" w:rsidRDefault="003F7F50" w:rsidP="002F1EE6">
      <w:r w:rsidRPr="0041169C">
        <w:t xml:space="preserve">Following is a table showing the average total response burdens for current FMS application modules by respondent type. </w:t>
      </w:r>
      <w:r w:rsidR="00F6761B" w:rsidRPr="0041169C">
        <w:br/>
      </w:r>
    </w:p>
    <w:p w14:paraId="7909F598" w14:textId="77777777" w:rsidR="002B7F24" w:rsidRPr="0041169C" w:rsidRDefault="00B74DB2" w:rsidP="002F1EE6">
      <w:r w:rsidRPr="0041169C">
        <w:t>Estimated Annualized</w:t>
      </w:r>
      <w:r w:rsidR="002B7F24" w:rsidRPr="0041169C">
        <w:t xml:space="preserve"> Burden Hours</w:t>
      </w:r>
      <w:r w:rsidR="008D09A6" w:rsidRPr="0041169C">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530"/>
        <w:gridCol w:w="1373"/>
        <w:gridCol w:w="1260"/>
        <w:gridCol w:w="1687"/>
        <w:gridCol w:w="1530"/>
      </w:tblGrid>
      <w:tr w:rsidR="001F541C" w:rsidRPr="0041169C" w14:paraId="0291F551" w14:textId="77777777" w:rsidTr="00A74971">
        <w:trPr>
          <w:trHeight w:val="881"/>
        </w:trPr>
        <w:tc>
          <w:tcPr>
            <w:tcW w:w="1975" w:type="dxa"/>
          </w:tcPr>
          <w:p w14:paraId="0E1FD0E4" w14:textId="77777777" w:rsidR="001F541C" w:rsidRPr="0041169C" w:rsidRDefault="001F541C" w:rsidP="002F1EE6">
            <w:r w:rsidRPr="0041169C">
              <w:t>Type of respondents</w:t>
            </w:r>
          </w:p>
        </w:tc>
        <w:tc>
          <w:tcPr>
            <w:tcW w:w="1530" w:type="dxa"/>
          </w:tcPr>
          <w:p w14:paraId="759D7A4A" w14:textId="77777777" w:rsidR="001F541C" w:rsidRPr="0041169C" w:rsidRDefault="001F541C" w:rsidP="002F1EE6">
            <w:r w:rsidRPr="0041169C">
              <w:t>Form</w:t>
            </w:r>
          </w:p>
        </w:tc>
        <w:tc>
          <w:tcPr>
            <w:tcW w:w="1373" w:type="dxa"/>
          </w:tcPr>
          <w:p w14:paraId="35696351" w14:textId="77777777" w:rsidR="001F541C" w:rsidRPr="0041169C" w:rsidRDefault="001F541C" w:rsidP="002F1EE6">
            <w:r w:rsidRPr="0041169C">
              <w:t>Number of respondents</w:t>
            </w:r>
          </w:p>
        </w:tc>
        <w:tc>
          <w:tcPr>
            <w:tcW w:w="1260" w:type="dxa"/>
          </w:tcPr>
          <w:p w14:paraId="2713ECC6" w14:textId="77777777" w:rsidR="001F541C" w:rsidRPr="0041169C" w:rsidRDefault="001F541C" w:rsidP="002F1EE6">
            <w:r w:rsidRPr="0041169C">
              <w:t>Frequency of Response</w:t>
            </w:r>
          </w:p>
        </w:tc>
        <w:tc>
          <w:tcPr>
            <w:tcW w:w="1687" w:type="dxa"/>
          </w:tcPr>
          <w:p w14:paraId="426F334F" w14:textId="77777777" w:rsidR="001F541C" w:rsidRPr="0041169C" w:rsidRDefault="001F541C" w:rsidP="006E323D">
            <w:r w:rsidRPr="0041169C">
              <w:t xml:space="preserve">Average Burden </w:t>
            </w:r>
            <w:r w:rsidR="00E23A1D" w:rsidRPr="0041169C">
              <w:t xml:space="preserve">Time </w:t>
            </w:r>
            <w:r w:rsidRPr="0041169C">
              <w:t>per Response</w:t>
            </w:r>
          </w:p>
          <w:p w14:paraId="3F102D33" w14:textId="77777777" w:rsidR="001F541C" w:rsidRPr="0041169C" w:rsidRDefault="001F541C" w:rsidP="006E323D">
            <w:r w:rsidRPr="0041169C">
              <w:t>(in hours)</w:t>
            </w:r>
          </w:p>
        </w:tc>
        <w:tc>
          <w:tcPr>
            <w:tcW w:w="1530" w:type="dxa"/>
          </w:tcPr>
          <w:p w14:paraId="6AA2CCA6" w14:textId="77777777" w:rsidR="001F541C" w:rsidRPr="0041169C" w:rsidRDefault="001F541C" w:rsidP="001B6C05">
            <w:r w:rsidRPr="0041169C">
              <w:t xml:space="preserve">Average total </w:t>
            </w:r>
            <w:r w:rsidR="001B6C05" w:rsidRPr="0041169C">
              <w:t>R</w:t>
            </w:r>
            <w:r w:rsidRPr="0041169C">
              <w:t xml:space="preserve">esponse </w:t>
            </w:r>
            <w:r w:rsidR="001B6C05" w:rsidRPr="0041169C">
              <w:t>B</w:t>
            </w:r>
            <w:r w:rsidRPr="0041169C">
              <w:t xml:space="preserve">urden </w:t>
            </w:r>
            <w:r w:rsidR="001B6C05" w:rsidRPr="0041169C">
              <w:t>(</w:t>
            </w:r>
            <w:r w:rsidRPr="0041169C">
              <w:t>in hours</w:t>
            </w:r>
            <w:r w:rsidR="001B6C05" w:rsidRPr="0041169C">
              <w:t>)</w:t>
            </w:r>
          </w:p>
        </w:tc>
      </w:tr>
      <w:tr w:rsidR="00E36EB1" w:rsidRPr="0041169C" w14:paraId="59672362" w14:textId="77777777" w:rsidTr="00A74971">
        <w:tc>
          <w:tcPr>
            <w:tcW w:w="1975" w:type="dxa"/>
          </w:tcPr>
          <w:p w14:paraId="347CE551" w14:textId="77777777" w:rsidR="00E36EB1" w:rsidRPr="0041169C" w:rsidRDefault="00E36EB1" w:rsidP="00045E20">
            <w:r w:rsidRPr="0041169C">
              <w:t>Fellowship applicants</w:t>
            </w:r>
          </w:p>
        </w:tc>
        <w:tc>
          <w:tcPr>
            <w:tcW w:w="1530" w:type="dxa"/>
          </w:tcPr>
          <w:p w14:paraId="36761372" w14:textId="77777777" w:rsidR="00E36EB1" w:rsidRPr="0041169C" w:rsidRDefault="00E36EB1" w:rsidP="00D14C7D">
            <w:r w:rsidRPr="0041169C">
              <w:t>FMS Application Module</w:t>
            </w:r>
          </w:p>
        </w:tc>
        <w:tc>
          <w:tcPr>
            <w:tcW w:w="1373" w:type="dxa"/>
          </w:tcPr>
          <w:p w14:paraId="6AD4BDAD" w14:textId="2099DF42" w:rsidR="00E36EB1" w:rsidRPr="0041169C" w:rsidRDefault="00427AC8" w:rsidP="00A74971">
            <w:pPr>
              <w:jc w:val="right"/>
            </w:pPr>
            <w:r w:rsidRPr="0041169C">
              <w:t>1</w:t>
            </w:r>
            <w:r w:rsidR="000274AF">
              <w:t>,</w:t>
            </w:r>
            <w:r w:rsidRPr="0041169C">
              <w:t>991</w:t>
            </w:r>
          </w:p>
        </w:tc>
        <w:tc>
          <w:tcPr>
            <w:tcW w:w="1260" w:type="dxa"/>
          </w:tcPr>
          <w:p w14:paraId="7E7D77B3" w14:textId="77777777" w:rsidR="00E36EB1" w:rsidRPr="0041169C" w:rsidRDefault="00E36EB1" w:rsidP="00045E20">
            <w:r w:rsidRPr="0041169C">
              <w:t>1</w:t>
            </w:r>
          </w:p>
        </w:tc>
        <w:tc>
          <w:tcPr>
            <w:tcW w:w="1687" w:type="dxa"/>
          </w:tcPr>
          <w:p w14:paraId="2E6616EC" w14:textId="7C3F5896" w:rsidR="00E36EB1" w:rsidRPr="0041169C" w:rsidRDefault="00A74971" w:rsidP="00A74971">
            <w:pPr>
              <w:jc w:val="right"/>
            </w:pPr>
            <w:r w:rsidRPr="0041169C">
              <w:t>1.75</w:t>
            </w:r>
          </w:p>
        </w:tc>
        <w:tc>
          <w:tcPr>
            <w:tcW w:w="1530" w:type="dxa"/>
          </w:tcPr>
          <w:p w14:paraId="1D8A302E" w14:textId="1B12157C" w:rsidR="00E36EB1" w:rsidRPr="0041169C" w:rsidRDefault="00E36EB1" w:rsidP="00A74971">
            <w:pPr>
              <w:jc w:val="right"/>
            </w:pPr>
            <w:r w:rsidRPr="0041169C">
              <w:t>3</w:t>
            </w:r>
            <w:r w:rsidR="000274AF">
              <w:t>,</w:t>
            </w:r>
            <w:r w:rsidR="00A74971" w:rsidRPr="0041169C">
              <w:t>485</w:t>
            </w:r>
          </w:p>
        </w:tc>
      </w:tr>
      <w:tr w:rsidR="00427AC8" w:rsidRPr="0041169C" w14:paraId="3A2D0E88" w14:textId="77777777" w:rsidTr="00A74971">
        <w:tc>
          <w:tcPr>
            <w:tcW w:w="1975" w:type="dxa"/>
          </w:tcPr>
          <w:p w14:paraId="1EC8BC6D" w14:textId="48C0375F" w:rsidR="00427AC8" w:rsidRPr="0041169C" w:rsidRDefault="00A74971" w:rsidP="008E081F">
            <w:r w:rsidRPr="0041169C">
              <w:t xml:space="preserve">Science Ambassadors </w:t>
            </w:r>
            <w:r w:rsidR="008E081F" w:rsidRPr="0041169C">
              <w:t>Applicants</w:t>
            </w:r>
          </w:p>
        </w:tc>
        <w:tc>
          <w:tcPr>
            <w:tcW w:w="1530" w:type="dxa"/>
          </w:tcPr>
          <w:p w14:paraId="15F15454" w14:textId="46D65E73" w:rsidR="00427AC8" w:rsidRPr="0041169C" w:rsidRDefault="00A74971" w:rsidP="00045E20">
            <w:r w:rsidRPr="0041169C">
              <w:t>FMS Application for Science Ambassadors</w:t>
            </w:r>
          </w:p>
        </w:tc>
        <w:tc>
          <w:tcPr>
            <w:tcW w:w="1373" w:type="dxa"/>
          </w:tcPr>
          <w:p w14:paraId="663CCCDE" w14:textId="25DB92B5" w:rsidR="00427AC8" w:rsidRPr="0041169C" w:rsidRDefault="00427AC8" w:rsidP="00A74971">
            <w:pPr>
              <w:jc w:val="right"/>
            </w:pPr>
            <w:r w:rsidRPr="0041169C">
              <w:t>150</w:t>
            </w:r>
          </w:p>
        </w:tc>
        <w:tc>
          <w:tcPr>
            <w:tcW w:w="1260" w:type="dxa"/>
          </w:tcPr>
          <w:p w14:paraId="458C3CE3" w14:textId="56DF5997" w:rsidR="00427AC8" w:rsidRPr="0041169C" w:rsidRDefault="00427AC8" w:rsidP="00045E20">
            <w:r w:rsidRPr="0041169C">
              <w:t>1</w:t>
            </w:r>
          </w:p>
        </w:tc>
        <w:tc>
          <w:tcPr>
            <w:tcW w:w="1687" w:type="dxa"/>
          </w:tcPr>
          <w:p w14:paraId="30089AF2" w14:textId="43658C07" w:rsidR="00427AC8" w:rsidRPr="0041169C" w:rsidRDefault="00427AC8" w:rsidP="00A74971">
            <w:pPr>
              <w:jc w:val="right"/>
            </w:pPr>
            <w:r w:rsidRPr="0041169C">
              <w:t>45/60</w:t>
            </w:r>
          </w:p>
        </w:tc>
        <w:tc>
          <w:tcPr>
            <w:tcW w:w="1530" w:type="dxa"/>
          </w:tcPr>
          <w:p w14:paraId="552CFE85" w14:textId="0F2421F8" w:rsidR="00427AC8" w:rsidRPr="0041169C" w:rsidRDefault="00A74971" w:rsidP="00A74971">
            <w:pPr>
              <w:jc w:val="right"/>
            </w:pPr>
            <w:r w:rsidRPr="0041169C">
              <w:t>113</w:t>
            </w:r>
          </w:p>
        </w:tc>
      </w:tr>
      <w:tr w:rsidR="00E36EB1" w:rsidRPr="0041169C" w14:paraId="7095D8DC" w14:textId="77777777" w:rsidTr="00A74971">
        <w:tc>
          <w:tcPr>
            <w:tcW w:w="1975" w:type="dxa"/>
          </w:tcPr>
          <w:p w14:paraId="64C55C2A" w14:textId="77777777" w:rsidR="00E36EB1" w:rsidRPr="0041169C" w:rsidRDefault="00E36EB1" w:rsidP="00045E20">
            <w:r w:rsidRPr="0041169C">
              <w:t>Fellowship alumni*</w:t>
            </w:r>
          </w:p>
        </w:tc>
        <w:tc>
          <w:tcPr>
            <w:tcW w:w="1530" w:type="dxa"/>
          </w:tcPr>
          <w:p w14:paraId="026D90E0" w14:textId="77777777" w:rsidR="00E36EB1" w:rsidRPr="0041169C" w:rsidRDefault="00E36EB1" w:rsidP="00045E20">
            <w:r w:rsidRPr="0041169C">
              <w:t>FMS Alumni Directory</w:t>
            </w:r>
          </w:p>
        </w:tc>
        <w:tc>
          <w:tcPr>
            <w:tcW w:w="1373" w:type="dxa"/>
          </w:tcPr>
          <w:p w14:paraId="405B9E24" w14:textId="00E16BBA" w:rsidR="00E36EB1" w:rsidRPr="0041169C" w:rsidRDefault="00E36EB1" w:rsidP="00A74971">
            <w:pPr>
              <w:jc w:val="right"/>
            </w:pPr>
            <w:r w:rsidRPr="0041169C">
              <w:t>1</w:t>
            </w:r>
            <w:r w:rsidR="000274AF">
              <w:t>,</w:t>
            </w:r>
            <w:r w:rsidRPr="0041169C">
              <w:t>382</w:t>
            </w:r>
          </w:p>
        </w:tc>
        <w:tc>
          <w:tcPr>
            <w:tcW w:w="1260" w:type="dxa"/>
          </w:tcPr>
          <w:p w14:paraId="15CEB0D6" w14:textId="77777777" w:rsidR="00E36EB1" w:rsidRPr="0041169C" w:rsidRDefault="00E36EB1" w:rsidP="00045E20">
            <w:r w:rsidRPr="0041169C">
              <w:t>1</w:t>
            </w:r>
          </w:p>
        </w:tc>
        <w:tc>
          <w:tcPr>
            <w:tcW w:w="1687" w:type="dxa"/>
          </w:tcPr>
          <w:p w14:paraId="3562BF7C" w14:textId="77777777" w:rsidR="00E36EB1" w:rsidRPr="0041169C" w:rsidRDefault="00E36EB1" w:rsidP="00A74971">
            <w:pPr>
              <w:jc w:val="right"/>
            </w:pPr>
            <w:r w:rsidRPr="0041169C">
              <w:t>15/60</w:t>
            </w:r>
          </w:p>
        </w:tc>
        <w:tc>
          <w:tcPr>
            <w:tcW w:w="1530" w:type="dxa"/>
          </w:tcPr>
          <w:p w14:paraId="2858C54D" w14:textId="77777777" w:rsidR="00E36EB1" w:rsidRPr="0041169C" w:rsidRDefault="00E36EB1" w:rsidP="00A74971">
            <w:pPr>
              <w:jc w:val="right"/>
            </w:pPr>
            <w:r w:rsidRPr="0041169C">
              <w:t>346</w:t>
            </w:r>
          </w:p>
        </w:tc>
      </w:tr>
      <w:tr w:rsidR="00E36EB1" w:rsidRPr="0041169C" w14:paraId="7F58C121" w14:textId="77777777" w:rsidTr="00A74971">
        <w:tc>
          <w:tcPr>
            <w:tcW w:w="1975" w:type="dxa"/>
          </w:tcPr>
          <w:p w14:paraId="3FAD7179" w14:textId="77777777" w:rsidR="00E36EB1" w:rsidRPr="0041169C" w:rsidRDefault="00E36EB1" w:rsidP="00045E20">
            <w:r w:rsidRPr="0041169C">
              <w:t>Public Health Agency or Organization Staff</w:t>
            </w:r>
          </w:p>
        </w:tc>
        <w:tc>
          <w:tcPr>
            <w:tcW w:w="1530" w:type="dxa"/>
          </w:tcPr>
          <w:p w14:paraId="7BE70B0A" w14:textId="77777777" w:rsidR="00E36EB1" w:rsidRPr="0041169C" w:rsidRDefault="00E36EB1" w:rsidP="00045E20">
            <w:r w:rsidRPr="0041169C">
              <w:t>FMS Host Site Module</w:t>
            </w:r>
          </w:p>
        </w:tc>
        <w:tc>
          <w:tcPr>
            <w:tcW w:w="1373" w:type="dxa"/>
          </w:tcPr>
          <w:p w14:paraId="699F87E6" w14:textId="77777777" w:rsidR="00E36EB1" w:rsidRPr="0041169C" w:rsidRDefault="00E36EB1" w:rsidP="00A74971">
            <w:pPr>
              <w:jc w:val="right"/>
            </w:pPr>
            <w:r w:rsidRPr="0041169C">
              <w:t>408</w:t>
            </w:r>
          </w:p>
        </w:tc>
        <w:tc>
          <w:tcPr>
            <w:tcW w:w="1260" w:type="dxa"/>
          </w:tcPr>
          <w:p w14:paraId="282D79C4" w14:textId="77777777" w:rsidR="00E36EB1" w:rsidRPr="0041169C" w:rsidRDefault="00E36EB1" w:rsidP="00045E20">
            <w:r w:rsidRPr="0041169C">
              <w:t>1</w:t>
            </w:r>
          </w:p>
        </w:tc>
        <w:tc>
          <w:tcPr>
            <w:tcW w:w="1687" w:type="dxa"/>
          </w:tcPr>
          <w:p w14:paraId="73A52DAA" w14:textId="77777777" w:rsidR="00E36EB1" w:rsidRPr="0041169C" w:rsidRDefault="00E36EB1" w:rsidP="00A74971">
            <w:pPr>
              <w:jc w:val="right"/>
            </w:pPr>
            <w:r w:rsidRPr="0041169C">
              <w:t>1.5</w:t>
            </w:r>
          </w:p>
        </w:tc>
        <w:tc>
          <w:tcPr>
            <w:tcW w:w="1530" w:type="dxa"/>
          </w:tcPr>
          <w:p w14:paraId="22D5CE51" w14:textId="77777777" w:rsidR="00E36EB1" w:rsidRPr="0041169C" w:rsidRDefault="00E36EB1" w:rsidP="00A74971">
            <w:pPr>
              <w:jc w:val="right"/>
            </w:pPr>
            <w:r w:rsidRPr="0041169C">
              <w:t>612</w:t>
            </w:r>
          </w:p>
        </w:tc>
      </w:tr>
      <w:tr w:rsidR="00E36EB1" w:rsidRPr="0041169C" w14:paraId="34E3505B" w14:textId="77777777" w:rsidTr="00A74971">
        <w:tc>
          <w:tcPr>
            <w:tcW w:w="1975" w:type="dxa"/>
          </w:tcPr>
          <w:p w14:paraId="0AF608AD" w14:textId="77777777" w:rsidR="00E36EB1" w:rsidRPr="0041169C" w:rsidRDefault="00E36EB1" w:rsidP="00045E20">
            <w:r w:rsidRPr="0041169C">
              <w:t>Total</w:t>
            </w:r>
          </w:p>
        </w:tc>
        <w:tc>
          <w:tcPr>
            <w:tcW w:w="1530" w:type="dxa"/>
          </w:tcPr>
          <w:p w14:paraId="1BB787BA" w14:textId="77777777" w:rsidR="00E36EB1" w:rsidRPr="0041169C" w:rsidRDefault="00E36EB1" w:rsidP="00045E20"/>
        </w:tc>
        <w:tc>
          <w:tcPr>
            <w:tcW w:w="1373" w:type="dxa"/>
          </w:tcPr>
          <w:p w14:paraId="6ADEAADB" w14:textId="0AECC0BE" w:rsidR="00E36EB1" w:rsidRPr="0041169C" w:rsidRDefault="00066EE1" w:rsidP="00A74971">
            <w:pPr>
              <w:jc w:val="right"/>
            </w:pPr>
            <w:r w:rsidRPr="0041169C">
              <w:t>3</w:t>
            </w:r>
            <w:r w:rsidR="000274AF">
              <w:t>,</w:t>
            </w:r>
            <w:r w:rsidRPr="0041169C">
              <w:t>931</w:t>
            </w:r>
          </w:p>
        </w:tc>
        <w:tc>
          <w:tcPr>
            <w:tcW w:w="1260" w:type="dxa"/>
          </w:tcPr>
          <w:p w14:paraId="7B4D8DEA" w14:textId="77777777" w:rsidR="00E36EB1" w:rsidRPr="0041169C" w:rsidRDefault="00E36EB1" w:rsidP="00045E20"/>
        </w:tc>
        <w:tc>
          <w:tcPr>
            <w:tcW w:w="1687" w:type="dxa"/>
          </w:tcPr>
          <w:p w14:paraId="694A3BAC" w14:textId="77777777" w:rsidR="00E36EB1" w:rsidRPr="0041169C" w:rsidRDefault="00E36EB1" w:rsidP="00045E20"/>
        </w:tc>
        <w:tc>
          <w:tcPr>
            <w:tcW w:w="1530" w:type="dxa"/>
          </w:tcPr>
          <w:p w14:paraId="5FE02474" w14:textId="12F35606" w:rsidR="00E36EB1" w:rsidRPr="0041169C" w:rsidRDefault="00066EE1" w:rsidP="00A74971">
            <w:pPr>
              <w:jc w:val="right"/>
            </w:pPr>
            <w:r w:rsidRPr="0041169C">
              <w:t>4</w:t>
            </w:r>
            <w:r w:rsidR="000274AF">
              <w:t>,</w:t>
            </w:r>
            <w:r w:rsidRPr="0041169C">
              <w:t>556</w:t>
            </w:r>
          </w:p>
        </w:tc>
      </w:tr>
    </w:tbl>
    <w:p w14:paraId="0F8E8136" w14:textId="4AB6A093" w:rsidR="00F222BC" w:rsidRPr="0041169C" w:rsidRDefault="00F222BC" w:rsidP="00F222BC">
      <w:bookmarkStart w:id="16" w:name="OLE_LINK5"/>
      <w:bookmarkStart w:id="17" w:name="OLE_LINK6"/>
      <w:r w:rsidRPr="0041169C">
        <w:t xml:space="preserve">* Some alumni are deceased or cannot be located.  Response burden assumes response from </w:t>
      </w:r>
      <w:r w:rsidR="00B524BA" w:rsidRPr="0041169C">
        <w:t xml:space="preserve">one </w:t>
      </w:r>
      <w:r w:rsidRPr="0041169C">
        <w:t xml:space="preserve">responding alumnus, on average, every </w:t>
      </w:r>
      <w:r w:rsidR="000274AF">
        <w:t>three</w:t>
      </w:r>
      <w:r w:rsidR="000274AF" w:rsidRPr="0041169C">
        <w:t xml:space="preserve"> </w:t>
      </w:r>
      <w:r w:rsidRPr="0041169C">
        <w:t>years (which is likely an overestimate of frequency).</w:t>
      </w:r>
    </w:p>
    <w:p w14:paraId="68FFB966" w14:textId="77777777" w:rsidR="00567E1D" w:rsidRPr="0041169C" w:rsidRDefault="00567E1D" w:rsidP="00784EB7"/>
    <w:p w14:paraId="691ACC75" w14:textId="77777777" w:rsidR="002B7F24" w:rsidRPr="0041169C" w:rsidRDefault="002B7F24" w:rsidP="009732E8">
      <w:pPr>
        <w:pStyle w:val="Heading4"/>
      </w:pPr>
      <w:r w:rsidRPr="0041169C">
        <w:t xml:space="preserve">B. Estimates of Annualized Cost </w:t>
      </w:r>
      <w:r w:rsidR="005859CC" w:rsidRPr="0041169C">
        <w:t>t</w:t>
      </w:r>
      <w:r w:rsidR="005E19F2" w:rsidRPr="0041169C">
        <w:t xml:space="preserve">o Respondents </w:t>
      </w:r>
    </w:p>
    <w:p w14:paraId="4422A2E8" w14:textId="77777777" w:rsidR="00964C72" w:rsidRPr="0041169C" w:rsidRDefault="00964C72" w:rsidP="00964C72">
      <w:r w:rsidRPr="0041169C">
        <w:t>There is no cost to respondents other than their time to complete the data collection. The following sources were used to determine the average salaries of fellowship applicants and alumni:</w:t>
      </w:r>
    </w:p>
    <w:p w14:paraId="7FD08887" w14:textId="77777777" w:rsidR="00964C72" w:rsidRPr="0041169C" w:rsidRDefault="00964C72" w:rsidP="00964C72">
      <w:pPr>
        <w:pStyle w:val="ListParagraph"/>
        <w:numPr>
          <w:ilvl w:val="0"/>
          <w:numId w:val="1"/>
        </w:numPr>
      </w:pPr>
      <w:r w:rsidRPr="0041169C">
        <w:t xml:space="preserve">Graduate Student Intern Salaries in USA, </w:t>
      </w:r>
      <w:hyperlink r:id="rId15" w:history="1">
        <w:r w:rsidRPr="0041169C">
          <w:rPr>
            <w:rStyle w:val="Hyperlink"/>
            <w:szCs w:val="24"/>
          </w:rPr>
          <w:t>http://www.indeed.com/salary?q1=GRADUATE+STUDENT+INTERN&amp;l1=US</w:t>
        </w:r>
      </w:hyperlink>
    </w:p>
    <w:p w14:paraId="7E12929C" w14:textId="0F1EF7C8" w:rsidR="00964C72" w:rsidRPr="0041169C" w:rsidRDefault="00964C72" w:rsidP="0042062C">
      <w:pPr>
        <w:pStyle w:val="ListParagraph"/>
        <w:numPr>
          <w:ilvl w:val="0"/>
          <w:numId w:val="1"/>
        </w:numPr>
      </w:pPr>
      <w:r w:rsidRPr="0041169C">
        <w:t>Salary Table GS, 201</w:t>
      </w:r>
      <w:r w:rsidR="0042062C" w:rsidRPr="0041169C">
        <w:t>7</w:t>
      </w:r>
      <w:r w:rsidRPr="0041169C">
        <w:t xml:space="preserve">,  </w:t>
      </w:r>
      <w:hyperlink r:id="rId16" w:history="1">
        <w:r w:rsidR="0042062C" w:rsidRPr="0041169C">
          <w:rPr>
            <w:rStyle w:val="Hyperlink"/>
          </w:rPr>
          <w:t>https://www.opm.gov/policy-data-oversight/pay-leave/salaries-wages/salary-tables/17Tables/html/GS_h.aspx</w:t>
        </w:r>
      </w:hyperlink>
    </w:p>
    <w:p w14:paraId="298F5658" w14:textId="77777777" w:rsidR="00964C72" w:rsidRPr="0041169C" w:rsidRDefault="00964C72" w:rsidP="00964C72">
      <w:pPr>
        <w:pStyle w:val="ListParagraph"/>
        <w:numPr>
          <w:ilvl w:val="0"/>
          <w:numId w:val="1"/>
        </w:numPr>
      </w:pPr>
      <w:r w:rsidRPr="0041169C">
        <w:t xml:space="preserve">US Department of Labor, Bureau of Labor Statistics </w:t>
      </w:r>
      <w:hyperlink r:id="rId17" w:history="1">
        <w:r w:rsidRPr="0041169C">
          <w:rPr>
            <w:rStyle w:val="Hyperlink"/>
            <w:szCs w:val="24"/>
          </w:rPr>
          <w:t>http://www.bls.gov/oes/current/oes_nat.htm</w:t>
        </w:r>
      </w:hyperlink>
    </w:p>
    <w:p w14:paraId="7AF0488E" w14:textId="77777777" w:rsidR="00964C72" w:rsidRPr="0041169C" w:rsidRDefault="00964C72" w:rsidP="00964C72"/>
    <w:p w14:paraId="6F1C6093" w14:textId="77777777" w:rsidR="00964C72" w:rsidRPr="0041169C" w:rsidRDefault="00964C72" w:rsidP="00964C72">
      <w:r w:rsidRPr="0041169C">
        <w:t>The following source was used to determine the average salaries of employees of public health agencies who submit assignment proposals:</w:t>
      </w:r>
    </w:p>
    <w:p w14:paraId="2EB1E44F" w14:textId="77777777" w:rsidR="00964C72" w:rsidRPr="0041169C" w:rsidRDefault="00964C72" w:rsidP="00964C72">
      <w:pPr>
        <w:pStyle w:val="ListParagraph"/>
        <w:numPr>
          <w:ilvl w:val="0"/>
          <w:numId w:val="1"/>
        </w:numPr>
      </w:pPr>
      <w:r w:rsidRPr="0041169C">
        <w:t xml:space="preserve">US Department of Labor, Bureau of Labor Statistics </w:t>
      </w:r>
      <w:hyperlink r:id="rId18" w:history="1">
        <w:r w:rsidRPr="0041169C">
          <w:rPr>
            <w:rStyle w:val="Hyperlink"/>
            <w:szCs w:val="24"/>
          </w:rPr>
          <w:t>http://www.bls.gov/oes/current/oes_nat.htm</w:t>
        </w:r>
      </w:hyperlink>
    </w:p>
    <w:p w14:paraId="79907CBE" w14:textId="77777777" w:rsidR="00964C72" w:rsidRPr="0041169C" w:rsidRDefault="00964C72" w:rsidP="00964C72"/>
    <w:p w14:paraId="3A906C09" w14:textId="3A1A7937" w:rsidR="00E8200D" w:rsidRDefault="00355DA7" w:rsidP="00922D2E">
      <w:r w:rsidRPr="0041169C">
        <w:t xml:space="preserve">The estimates of annualized cost burden </w:t>
      </w:r>
      <w:r w:rsidR="00FB3148" w:rsidRPr="0041169C">
        <w:t>to respondents for each of the data collections –the FMS Application Module (Attachment 3), FMS Alumni Directory (Attachment 4), and FMS Host Site Module (Attachment 5)</w:t>
      </w:r>
      <w:r w:rsidR="00922D2E" w:rsidRPr="0041169C">
        <w:t xml:space="preserve">. </w:t>
      </w:r>
    </w:p>
    <w:p w14:paraId="24A9063A" w14:textId="77777777" w:rsidR="00F57ABA" w:rsidRPr="0041169C" w:rsidRDefault="00F57ABA" w:rsidP="00922D2E"/>
    <w:p w14:paraId="518D62AB" w14:textId="022CAF91" w:rsidR="00FB3148" w:rsidRPr="0041169C" w:rsidRDefault="00B027D8" w:rsidP="00E8200D">
      <w:r w:rsidRPr="0041169C">
        <w:t xml:space="preserve">The calculation for average hourly wage rate takes into consideration </w:t>
      </w:r>
      <w:r w:rsidR="008760C1" w:rsidRPr="0041169C">
        <w:t>an adjustment for cost of living since 201</w:t>
      </w:r>
      <w:r w:rsidR="0042062C" w:rsidRPr="0041169C">
        <w:t>5</w:t>
      </w:r>
      <w:r w:rsidR="008760C1" w:rsidRPr="0041169C">
        <w:t xml:space="preserve"> </w:t>
      </w:r>
      <w:r w:rsidRPr="0041169C">
        <w:t xml:space="preserve">as well </w:t>
      </w:r>
      <w:r w:rsidR="0042062C" w:rsidRPr="0041169C">
        <w:t xml:space="preserve">variations </w:t>
      </w:r>
      <w:r w:rsidRPr="0041169C">
        <w:t xml:space="preserve">among respondent demographics (e.g., level of education and employment categories. The annualized cost burden </w:t>
      </w:r>
      <w:r w:rsidR="0013470A" w:rsidRPr="0041169C">
        <w:t xml:space="preserve">calculation </w:t>
      </w:r>
      <w:r w:rsidR="00707261" w:rsidRPr="0041169C">
        <w:t xml:space="preserve">considers </w:t>
      </w:r>
      <w:r w:rsidRPr="0041169C">
        <w:t xml:space="preserve">the percentage of respondents </w:t>
      </w:r>
      <w:r w:rsidR="00B32CF2" w:rsidRPr="0041169C">
        <w:t xml:space="preserve">represented </w:t>
      </w:r>
      <w:r w:rsidRPr="0041169C">
        <w:t>by fellowship programs.</w:t>
      </w:r>
    </w:p>
    <w:p w14:paraId="380F2C50" w14:textId="77777777" w:rsidR="00FB3148" w:rsidRPr="0041169C" w:rsidRDefault="00FB3148" w:rsidP="00045E20"/>
    <w:p w14:paraId="3923CC02" w14:textId="018B5196" w:rsidR="00FB1D68" w:rsidRPr="0041169C" w:rsidRDefault="00FB1D68" w:rsidP="00FB1D68">
      <w:r w:rsidRPr="0041169C">
        <w:t>The annualized cost burden to applicants</w:t>
      </w:r>
      <w:r w:rsidR="00707261" w:rsidRPr="0041169C">
        <w:t>,</w:t>
      </w:r>
      <w:r w:rsidRPr="0041169C">
        <w:t xml:space="preserve"> </w:t>
      </w:r>
      <w:r w:rsidR="00707261" w:rsidRPr="0041169C">
        <w:t>alumni, and employees of public health agencies has not significantly increased since 2015</w:t>
      </w:r>
      <w:r w:rsidRPr="0041169C">
        <w:t xml:space="preserve">. </w:t>
      </w:r>
    </w:p>
    <w:p w14:paraId="58C5A2D6" w14:textId="77777777" w:rsidR="00C715FE" w:rsidRPr="0041169C" w:rsidRDefault="00C715FE" w:rsidP="00FB1D68"/>
    <w:p w14:paraId="463C4298" w14:textId="77777777" w:rsidR="002B7F24" w:rsidRPr="0041169C" w:rsidRDefault="00EB68D9" w:rsidP="00045E20">
      <w:r w:rsidRPr="0041169C">
        <w:t>Estimate</w:t>
      </w:r>
      <w:r w:rsidR="00E81BB6" w:rsidRPr="0041169C">
        <w:t>d</w:t>
      </w:r>
      <w:r w:rsidRPr="0041169C">
        <w:t xml:space="preserve"> Annualized </w:t>
      </w:r>
      <w:r w:rsidR="005449CC" w:rsidRPr="0041169C">
        <w:t xml:space="preserve">Burden </w:t>
      </w:r>
      <w:r w:rsidRPr="0041169C">
        <w:t>Cost</w:t>
      </w:r>
      <w:r w:rsidR="00171E6A" w:rsidRPr="0041169C">
        <w:t>s</w:t>
      </w:r>
      <w:r w:rsidR="00AD78DF" w:rsidRPr="0041169C">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530"/>
        <w:gridCol w:w="1013"/>
        <w:gridCol w:w="1260"/>
        <w:gridCol w:w="1237"/>
        <w:gridCol w:w="1103"/>
        <w:gridCol w:w="1687"/>
      </w:tblGrid>
      <w:tr w:rsidR="00EA2A5B" w:rsidRPr="0041169C" w14:paraId="7DC5BFA6" w14:textId="77777777" w:rsidTr="004D3F8D">
        <w:tc>
          <w:tcPr>
            <w:tcW w:w="1525" w:type="dxa"/>
          </w:tcPr>
          <w:p w14:paraId="10D39E6F" w14:textId="77777777" w:rsidR="00745C07" w:rsidRPr="0041169C" w:rsidRDefault="00745C07" w:rsidP="00045E20">
            <w:r w:rsidRPr="0041169C">
              <w:t>Type of respondents</w:t>
            </w:r>
          </w:p>
        </w:tc>
        <w:tc>
          <w:tcPr>
            <w:tcW w:w="1530" w:type="dxa"/>
          </w:tcPr>
          <w:p w14:paraId="2171BA4E" w14:textId="77777777" w:rsidR="00745C07" w:rsidRPr="0041169C" w:rsidRDefault="00745C07" w:rsidP="00021EE5">
            <w:r w:rsidRPr="0041169C">
              <w:t>Form</w:t>
            </w:r>
          </w:p>
        </w:tc>
        <w:tc>
          <w:tcPr>
            <w:tcW w:w="1013" w:type="dxa"/>
          </w:tcPr>
          <w:p w14:paraId="2304FBBC" w14:textId="77777777" w:rsidR="00745C07" w:rsidRPr="0041169C" w:rsidRDefault="00745C07" w:rsidP="00045E20">
            <w:r w:rsidRPr="0041169C">
              <w:t>Number of respondents</w:t>
            </w:r>
          </w:p>
        </w:tc>
        <w:tc>
          <w:tcPr>
            <w:tcW w:w="1260" w:type="dxa"/>
          </w:tcPr>
          <w:p w14:paraId="113A1405" w14:textId="77777777" w:rsidR="00745C07" w:rsidRPr="0041169C" w:rsidRDefault="00745C07" w:rsidP="00045E20">
            <w:r w:rsidRPr="0041169C">
              <w:t>Frequency of Response</w:t>
            </w:r>
          </w:p>
        </w:tc>
        <w:tc>
          <w:tcPr>
            <w:tcW w:w="1237" w:type="dxa"/>
          </w:tcPr>
          <w:p w14:paraId="7C1ECA8C" w14:textId="77777777" w:rsidR="00745C07" w:rsidRPr="0041169C" w:rsidRDefault="00745C07" w:rsidP="00045E20">
            <w:r w:rsidRPr="0041169C">
              <w:t xml:space="preserve">Average </w:t>
            </w:r>
            <w:r w:rsidR="001F541C" w:rsidRPr="0041169C">
              <w:t>Burden</w:t>
            </w:r>
            <w:r w:rsidRPr="0041169C">
              <w:t xml:space="preserve"> per Response</w:t>
            </w:r>
          </w:p>
          <w:p w14:paraId="444D48AE" w14:textId="77777777" w:rsidR="00745C07" w:rsidRPr="0041169C" w:rsidRDefault="00745C07" w:rsidP="00045E20">
            <w:r w:rsidRPr="0041169C">
              <w:t>(in hours)</w:t>
            </w:r>
          </w:p>
        </w:tc>
        <w:tc>
          <w:tcPr>
            <w:tcW w:w="1103" w:type="dxa"/>
          </w:tcPr>
          <w:p w14:paraId="63EA23BC" w14:textId="77777777" w:rsidR="00745C07" w:rsidRPr="0041169C" w:rsidRDefault="00745C07" w:rsidP="00045E20">
            <w:r w:rsidRPr="0041169C">
              <w:t>Average Hourly Wage Rate</w:t>
            </w:r>
          </w:p>
        </w:tc>
        <w:tc>
          <w:tcPr>
            <w:tcW w:w="1687" w:type="dxa"/>
          </w:tcPr>
          <w:p w14:paraId="2869CC0C" w14:textId="77777777" w:rsidR="00745C07" w:rsidRPr="0041169C" w:rsidRDefault="00745C07" w:rsidP="00045E20">
            <w:r w:rsidRPr="0041169C">
              <w:t>Total Respondent Cost</w:t>
            </w:r>
          </w:p>
        </w:tc>
      </w:tr>
      <w:tr w:rsidR="00EA2A5B" w:rsidRPr="0041169C" w14:paraId="57A9695F" w14:textId="77777777" w:rsidTr="004D3F8D">
        <w:tc>
          <w:tcPr>
            <w:tcW w:w="1525" w:type="dxa"/>
          </w:tcPr>
          <w:p w14:paraId="26563499" w14:textId="77777777" w:rsidR="00E36EB1" w:rsidRPr="0041169C" w:rsidRDefault="00E36EB1" w:rsidP="00045E20">
            <w:r w:rsidRPr="0041169C">
              <w:t xml:space="preserve">Fellowship applicants </w:t>
            </w:r>
          </w:p>
        </w:tc>
        <w:tc>
          <w:tcPr>
            <w:tcW w:w="1530" w:type="dxa"/>
          </w:tcPr>
          <w:p w14:paraId="542C9DA2" w14:textId="77777777" w:rsidR="00E36EB1" w:rsidRPr="0041169C" w:rsidRDefault="00E36EB1" w:rsidP="00021EE5">
            <w:r w:rsidRPr="0041169C">
              <w:t>FMS Application Module</w:t>
            </w:r>
          </w:p>
        </w:tc>
        <w:tc>
          <w:tcPr>
            <w:tcW w:w="1013" w:type="dxa"/>
          </w:tcPr>
          <w:p w14:paraId="4EA837B4" w14:textId="1E6DDB4E" w:rsidR="00E36EB1" w:rsidRPr="0041169C" w:rsidRDefault="00E36EB1" w:rsidP="00BA6A94">
            <w:r w:rsidRPr="0041169C">
              <w:t>19</w:t>
            </w:r>
            <w:r w:rsidR="00BA6A94" w:rsidRPr="0041169C">
              <w:t>9</w:t>
            </w:r>
            <w:r w:rsidRPr="0041169C">
              <w:t>1</w:t>
            </w:r>
          </w:p>
        </w:tc>
        <w:tc>
          <w:tcPr>
            <w:tcW w:w="1260" w:type="dxa"/>
          </w:tcPr>
          <w:p w14:paraId="266DC4CA" w14:textId="77777777" w:rsidR="00E36EB1" w:rsidRPr="0041169C" w:rsidRDefault="00E36EB1" w:rsidP="00021EE5">
            <w:r w:rsidRPr="0041169C">
              <w:t>1</w:t>
            </w:r>
          </w:p>
        </w:tc>
        <w:tc>
          <w:tcPr>
            <w:tcW w:w="1237" w:type="dxa"/>
          </w:tcPr>
          <w:p w14:paraId="5C234F66" w14:textId="7BBD8893" w:rsidR="00E36EB1" w:rsidRPr="0041169C" w:rsidRDefault="00BA6A94" w:rsidP="00707517">
            <w:r w:rsidRPr="0041169C">
              <w:t>1.75</w:t>
            </w:r>
          </w:p>
        </w:tc>
        <w:tc>
          <w:tcPr>
            <w:tcW w:w="1103" w:type="dxa"/>
          </w:tcPr>
          <w:p w14:paraId="51A9E9F9" w14:textId="63F45FFD" w:rsidR="00E36EB1" w:rsidRPr="0041169C" w:rsidRDefault="009F05D4" w:rsidP="00745C07">
            <w:r>
              <w:t>$30.05</w:t>
            </w:r>
          </w:p>
        </w:tc>
        <w:tc>
          <w:tcPr>
            <w:tcW w:w="1687" w:type="dxa"/>
          </w:tcPr>
          <w:p w14:paraId="7E81E133" w14:textId="5D7C175E" w:rsidR="00EA2A5B" w:rsidRPr="0041169C" w:rsidRDefault="00732249" w:rsidP="00747907">
            <w:pPr>
              <w:rPr>
                <w:color w:val="000000"/>
                <w:szCs w:val="24"/>
              </w:rPr>
            </w:pPr>
            <w:r>
              <w:rPr>
                <w:color w:val="000000"/>
                <w:szCs w:val="24"/>
              </w:rPr>
              <w:t>$104,701.712</w:t>
            </w:r>
          </w:p>
        </w:tc>
      </w:tr>
      <w:tr w:rsidR="00BA6A94" w:rsidRPr="0041169C" w14:paraId="63C2371A" w14:textId="77777777" w:rsidTr="004D3F8D">
        <w:tc>
          <w:tcPr>
            <w:tcW w:w="1525" w:type="dxa"/>
          </w:tcPr>
          <w:p w14:paraId="0156A74F" w14:textId="2328E94B" w:rsidR="00BA6A94" w:rsidRPr="0041169C" w:rsidRDefault="004D3F8D" w:rsidP="00045E20">
            <w:r w:rsidRPr="0041169C">
              <w:t>Science Ambassadors Applicants</w:t>
            </w:r>
          </w:p>
        </w:tc>
        <w:tc>
          <w:tcPr>
            <w:tcW w:w="1530" w:type="dxa"/>
          </w:tcPr>
          <w:p w14:paraId="745D24FD" w14:textId="4EB546EB" w:rsidR="00BA6A94" w:rsidRPr="0041169C" w:rsidRDefault="004D3F8D" w:rsidP="00021EE5">
            <w:r w:rsidRPr="0041169C">
              <w:t>FMS for Science Ambassadors</w:t>
            </w:r>
          </w:p>
        </w:tc>
        <w:tc>
          <w:tcPr>
            <w:tcW w:w="1013" w:type="dxa"/>
          </w:tcPr>
          <w:p w14:paraId="3460ECF5" w14:textId="6CE0B1AB" w:rsidR="00BA6A94" w:rsidRPr="0041169C" w:rsidRDefault="004D3F8D" w:rsidP="00BA6A94">
            <w:r w:rsidRPr="0041169C">
              <w:t>150</w:t>
            </w:r>
          </w:p>
        </w:tc>
        <w:tc>
          <w:tcPr>
            <w:tcW w:w="1260" w:type="dxa"/>
          </w:tcPr>
          <w:p w14:paraId="056F395E" w14:textId="5BB2076D" w:rsidR="00BA6A94" w:rsidRPr="0041169C" w:rsidRDefault="004D3F8D" w:rsidP="00021EE5">
            <w:r w:rsidRPr="0041169C">
              <w:t>1</w:t>
            </w:r>
          </w:p>
        </w:tc>
        <w:tc>
          <w:tcPr>
            <w:tcW w:w="1237" w:type="dxa"/>
          </w:tcPr>
          <w:p w14:paraId="16F86DC5" w14:textId="37994169" w:rsidR="00BA6A94" w:rsidRPr="0041169C" w:rsidRDefault="004D3F8D" w:rsidP="00707517">
            <w:r w:rsidRPr="0041169C">
              <w:t>45/60</w:t>
            </w:r>
          </w:p>
        </w:tc>
        <w:tc>
          <w:tcPr>
            <w:tcW w:w="1103" w:type="dxa"/>
          </w:tcPr>
          <w:p w14:paraId="5397CEE5" w14:textId="65F79AA0" w:rsidR="00BA6A94" w:rsidRPr="0041169C" w:rsidRDefault="00A57B8E" w:rsidP="00745C07">
            <w:r>
              <w:t>$24.40</w:t>
            </w:r>
          </w:p>
        </w:tc>
        <w:tc>
          <w:tcPr>
            <w:tcW w:w="1687" w:type="dxa"/>
          </w:tcPr>
          <w:p w14:paraId="01E9071B" w14:textId="56AC1AB3" w:rsidR="00BA6A94" w:rsidRPr="0041169C" w:rsidRDefault="00732249" w:rsidP="00747907">
            <w:pPr>
              <w:rPr>
                <w:color w:val="000000"/>
                <w:szCs w:val="24"/>
              </w:rPr>
            </w:pPr>
            <w:r>
              <w:rPr>
                <w:color w:val="000000"/>
                <w:szCs w:val="24"/>
              </w:rPr>
              <w:t>$2,745.00</w:t>
            </w:r>
          </w:p>
        </w:tc>
      </w:tr>
      <w:tr w:rsidR="00EA2A5B" w:rsidRPr="0041169C" w14:paraId="1FB5DFD0" w14:textId="77777777" w:rsidTr="004D3F8D">
        <w:tc>
          <w:tcPr>
            <w:tcW w:w="1525" w:type="dxa"/>
          </w:tcPr>
          <w:p w14:paraId="193C477E" w14:textId="640D11B9" w:rsidR="00E36EB1" w:rsidRPr="0041169C" w:rsidRDefault="00E36EB1" w:rsidP="00BA6A94">
            <w:r w:rsidRPr="0041169C">
              <w:t xml:space="preserve">Fellowship alumni </w:t>
            </w:r>
          </w:p>
        </w:tc>
        <w:tc>
          <w:tcPr>
            <w:tcW w:w="1530" w:type="dxa"/>
          </w:tcPr>
          <w:p w14:paraId="388F686B" w14:textId="77777777" w:rsidR="00E36EB1" w:rsidRPr="0041169C" w:rsidRDefault="00E36EB1" w:rsidP="00021EE5">
            <w:r w:rsidRPr="0041169C">
              <w:t>FMS Alumni Directory</w:t>
            </w:r>
          </w:p>
        </w:tc>
        <w:tc>
          <w:tcPr>
            <w:tcW w:w="1013" w:type="dxa"/>
          </w:tcPr>
          <w:p w14:paraId="70A59AD3" w14:textId="77777777" w:rsidR="00E36EB1" w:rsidRPr="0041169C" w:rsidRDefault="00E36EB1" w:rsidP="00021EE5">
            <w:r w:rsidRPr="0041169C">
              <w:t>1382</w:t>
            </w:r>
          </w:p>
        </w:tc>
        <w:tc>
          <w:tcPr>
            <w:tcW w:w="1260" w:type="dxa"/>
          </w:tcPr>
          <w:p w14:paraId="1C317535" w14:textId="77777777" w:rsidR="00E36EB1" w:rsidRPr="0041169C" w:rsidRDefault="00E36EB1" w:rsidP="00021EE5">
            <w:r w:rsidRPr="0041169C">
              <w:t>1</w:t>
            </w:r>
          </w:p>
        </w:tc>
        <w:tc>
          <w:tcPr>
            <w:tcW w:w="1237" w:type="dxa"/>
          </w:tcPr>
          <w:p w14:paraId="306A431A" w14:textId="4C89C9CA" w:rsidR="00E36EB1" w:rsidRPr="0041169C" w:rsidRDefault="004D3F8D" w:rsidP="00021EE5">
            <w:r w:rsidRPr="0041169C">
              <w:t>1</w:t>
            </w:r>
            <w:r w:rsidR="00E36EB1" w:rsidRPr="0041169C">
              <w:t>5/60</w:t>
            </w:r>
          </w:p>
        </w:tc>
        <w:tc>
          <w:tcPr>
            <w:tcW w:w="1103" w:type="dxa"/>
          </w:tcPr>
          <w:p w14:paraId="779D15E8" w14:textId="20D63B7A" w:rsidR="00E36EB1" w:rsidRPr="0041169C" w:rsidRDefault="00732249" w:rsidP="00745C07">
            <w:r w:rsidRPr="00732249">
              <w:t>$75.01</w:t>
            </w:r>
          </w:p>
        </w:tc>
        <w:tc>
          <w:tcPr>
            <w:tcW w:w="1687" w:type="dxa"/>
          </w:tcPr>
          <w:p w14:paraId="605E60D6" w14:textId="4C694FBF" w:rsidR="00E36EB1" w:rsidRPr="0041169C" w:rsidRDefault="00732249" w:rsidP="00747907">
            <w:pPr>
              <w:rPr>
                <w:color w:val="000000"/>
                <w:szCs w:val="24"/>
              </w:rPr>
            </w:pPr>
            <w:r>
              <w:rPr>
                <w:color w:val="000000"/>
                <w:szCs w:val="24"/>
              </w:rPr>
              <w:t>$25,915.95</w:t>
            </w:r>
          </w:p>
        </w:tc>
      </w:tr>
      <w:tr w:rsidR="00EA2A5B" w:rsidRPr="0041169C" w14:paraId="46ECE28C" w14:textId="77777777" w:rsidTr="004D3F8D">
        <w:tc>
          <w:tcPr>
            <w:tcW w:w="1525" w:type="dxa"/>
          </w:tcPr>
          <w:p w14:paraId="1F5801E3" w14:textId="77777777" w:rsidR="00E36EB1" w:rsidRPr="0041169C" w:rsidRDefault="00E36EB1" w:rsidP="00045E20">
            <w:r w:rsidRPr="0041169C">
              <w:t xml:space="preserve">Public Health Agency or Organization Staff </w:t>
            </w:r>
          </w:p>
        </w:tc>
        <w:tc>
          <w:tcPr>
            <w:tcW w:w="1530" w:type="dxa"/>
          </w:tcPr>
          <w:p w14:paraId="0E4D1458" w14:textId="77777777" w:rsidR="00E36EB1" w:rsidRPr="0041169C" w:rsidRDefault="00E36EB1" w:rsidP="00021EE5">
            <w:r w:rsidRPr="0041169C">
              <w:t>FMS Host Site Module</w:t>
            </w:r>
          </w:p>
        </w:tc>
        <w:tc>
          <w:tcPr>
            <w:tcW w:w="1013" w:type="dxa"/>
          </w:tcPr>
          <w:p w14:paraId="3E123442" w14:textId="77777777" w:rsidR="00E36EB1" w:rsidRPr="0041169C" w:rsidRDefault="00E36EB1" w:rsidP="00021EE5">
            <w:r w:rsidRPr="0041169C">
              <w:t>408</w:t>
            </w:r>
          </w:p>
        </w:tc>
        <w:tc>
          <w:tcPr>
            <w:tcW w:w="1260" w:type="dxa"/>
          </w:tcPr>
          <w:p w14:paraId="5B6B9BF8" w14:textId="77777777" w:rsidR="00E36EB1" w:rsidRPr="0041169C" w:rsidRDefault="00E36EB1" w:rsidP="00021EE5">
            <w:r w:rsidRPr="0041169C">
              <w:t>1</w:t>
            </w:r>
          </w:p>
        </w:tc>
        <w:tc>
          <w:tcPr>
            <w:tcW w:w="1237" w:type="dxa"/>
          </w:tcPr>
          <w:p w14:paraId="4A4B6AAF" w14:textId="625740DD" w:rsidR="00E36EB1" w:rsidRPr="0041169C" w:rsidRDefault="00E36EB1" w:rsidP="00021EE5">
            <w:r w:rsidRPr="0041169C">
              <w:t>1.5</w:t>
            </w:r>
          </w:p>
        </w:tc>
        <w:tc>
          <w:tcPr>
            <w:tcW w:w="1103" w:type="dxa"/>
          </w:tcPr>
          <w:p w14:paraId="4A48A380" w14:textId="26FC2EBA" w:rsidR="009F3745" w:rsidRDefault="00FA6C7C" w:rsidP="00745C07">
            <w:r>
              <w:t>$</w:t>
            </w:r>
            <w:r w:rsidR="008F3836">
              <w:t>61.27</w:t>
            </w:r>
          </w:p>
          <w:p w14:paraId="4D152B04" w14:textId="77777777" w:rsidR="00E36EB1" w:rsidRPr="009F3745" w:rsidRDefault="00E36EB1" w:rsidP="009F3745"/>
        </w:tc>
        <w:tc>
          <w:tcPr>
            <w:tcW w:w="1687" w:type="dxa"/>
          </w:tcPr>
          <w:p w14:paraId="5FB53CDD" w14:textId="754A0C4F" w:rsidR="00E36EB1" w:rsidRPr="0041169C" w:rsidRDefault="005F5EA2" w:rsidP="00EA2A5B">
            <w:pPr>
              <w:rPr>
                <w:color w:val="000000"/>
                <w:szCs w:val="24"/>
              </w:rPr>
            </w:pPr>
            <w:r>
              <w:rPr>
                <w:color w:val="000000"/>
                <w:szCs w:val="24"/>
              </w:rPr>
              <w:t>$37,497.24</w:t>
            </w:r>
          </w:p>
        </w:tc>
      </w:tr>
      <w:tr w:rsidR="00EA2A5B" w:rsidRPr="0041169C" w14:paraId="00E18E79" w14:textId="77777777" w:rsidTr="004D3F8D">
        <w:tc>
          <w:tcPr>
            <w:tcW w:w="1525" w:type="dxa"/>
          </w:tcPr>
          <w:p w14:paraId="08BBDCCB" w14:textId="77777777" w:rsidR="00E36EB1" w:rsidRPr="0041169C" w:rsidRDefault="00E36EB1" w:rsidP="00045E20">
            <w:r w:rsidRPr="0041169C">
              <w:t>Total</w:t>
            </w:r>
          </w:p>
        </w:tc>
        <w:tc>
          <w:tcPr>
            <w:tcW w:w="1530" w:type="dxa"/>
          </w:tcPr>
          <w:p w14:paraId="2A12199C" w14:textId="77777777" w:rsidR="00E36EB1" w:rsidRPr="0041169C" w:rsidRDefault="00E36EB1" w:rsidP="00045E20"/>
        </w:tc>
        <w:tc>
          <w:tcPr>
            <w:tcW w:w="1013" w:type="dxa"/>
          </w:tcPr>
          <w:p w14:paraId="136D428D" w14:textId="55B4888B" w:rsidR="00E36EB1" w:rsidRPr="0041169C" w:rsidRDefault="00E36EB1" w:rsidP="00A70F3E">
            <w:r w:rsidRPr="0041169C">
              <w:t>3</w:t>
            </w:r>
            <w:r w:rsidR="00A70F3E">
              <w:t>931</w:t>
            </w:r>
          </w:p>
        </w:tc>
        <w:tc>
          <w:tcPr>
            <w:tcW w:w="1260" w:type="dxa"/>
          </w:tcPr>
          <w:p w14:paraId="619EDCA2" w14:textId="77777777" w:rsidR="00E36EB1" w:rsidRPr="0041169C" w:rsidRDefault="00E36EB1" w:rsidP="00045E20"/>
        </w:tc>
        <w:tc>
          <w:tcPr>
            <w:tcW w:w="1237" w:type="dxa"/>
          </w:tcPr>
          <w:p w14:paraId="268322A5" w14:textId="77777777" w:rsidR="00E36EB1" w:rsidRPr="0041169C" w:rsidRDefault="00E36EB1" w:rsidP="00045E20"/>
        </w:tc>
        <w:tc>
          <w:tcPr>
            <w:tcW w:w="1103" w:type="dxa"/>
          </w:tcPr>
          <w:p w14:paraId="0FD4EE15" w14:textId="3E141F06" w:rsidR="00E36EB1" w:rsidRPr="0041169C" w:rsidRDefault="00E36EB1" w:rsidP="006973CF">
            <w:r w:rsidRPr="0041169C">
              <w:t> </w:t>
            </w:r>
            <w:r w:rsidR="006973CF">
              <w:t>$47.68</w:t>
            </w:r>
          </w:p>
        </w:tc>
        <w:tc>
          <w:tcPr>
            <w:tcW w:w="1687" w:type="dxa"/>
          </w:tcPr>
          <w:p w14:paraId="76BE62CF" w14:textId="47C5F7EB" w:rsidR="00E36EB1" w:rsidRPr="0041169C" w:rsidRDefault="00751F91" w:rsidP="00747907">
            <w:pPr>
              <w:rPr>
                <w:color w:val="000000"/>
                <w:szCs w:val="24"/>
              </w:rPr>
            </w:pPr>
            <w:r>
              <w:rPr>
                <w:color w:val="000000"/>
                <w:szCs w:val="24"/>
              </w:rPr>
              <w:t>$</w:t>
            </w:r>
            <w:r w:rsidR="006973CF">
              <w:rPr>
                <w:color w:val="000000"/>
                <w:szCs w:val="24"/>
              </w:rPr>
              <w:t>170,895.902</w:t>
            </w:r>
          </w:p>
        </w:tc>
      </w:tr>
    </w:tbl>
    <w:p w14:paraId="68236164" w14:textId="3DD293E4" w:rsidR="005449CC" w:rsidRPr="0041169C" w:rsidRDefault="002B7F24" w:rsidP="00045E20">
      <w:r w:rsidRPr="0041169C">
        <w:t>*</w:t>
      </w:r>
      <w:r w:rsidR="006652D5" w:rsidRPr="006652D5">
        <w:t xml:space="preserve"> </w:t>
      </w:r>
      <w:r w:rsidR="006652D5" w:rsidRPr="0041169C">
        <w:t>Some alumni are deceased</w:t>
      </w:r>
      <w:r w:rsidR="006652D5">
        <w:t xml:space="preserve"> or </w:t>
      </w:r>
      <w:r w:rsidR="006652D5" w:rsidRPr="0041169C">
        <w:t>cannot be located</w:t>
      </w:r>
      <w:r w:rsidR="00A70F3E">
        <w:t>. B</w:t>
      </w:r>
      <w:r w:rsidRPr="0041169C">
        <w:t xml:space="preserve">urden assumes </w:t>
      </w:r>
      <w:r w:rsidR="00A70F3E">
        <w:t xml:space="preserve">one </w:t>
      </w:r>
      <w:r w:rsidRPr="0041169C">
        <w:t xml:space="preserve">alumnus </w:t>
      </w:r>
      <w:r w:rsidR="00787289">
        <w:t xml:space="preserve">responds </w:t>
      </w:r>
      <w:r w:rsidRPr="0041169C">
        <w:t xml:space="preserve">every </w:t>
      </w:r>
      <w:r w:rsidR="000274AF">
        <w:t>three</w:t>
      </w:r>
      <w:r w:rsidR="000274AF" w:rsidRPr="0041169C">
        <w:t xml:space="preserve"> </w:t>
      </w:r>
      <w:r w:rsidR="00A70F3E" w:rsidRPr="0041169C">
        <w:t>years</w:t>
      </w:r>
      <w:r w:rsidR="00FC176D">
        <w:t xml:space="preserve"> </w:t>
      </w:r>
      <w:r w:rsidR="00A70F3E">
        <w:t xml:space="preserve">is </w:t>
      </w:r>
      <w:r w:rsidR="005449CC" w:rsidRPr="0041169C">
        <w:t>likely an overestimate of frequency.</w:t>
      </w:r>
      <w:r w:rsidR="00B027D8" w:rsidRPr="0041169C">
        <w:t xml:space="preserve"> Average hourly wage rate takes into consideration </w:t>
      </w:r>
      <w:r w:rsidR="008760C1" w:rsidRPr="0041169C">
        <w:t>an adjustment for cost of living since 201</w:t>
      </w:r>
      <w:r w:rsidR="00751F91">
        <w:t>5</w:t>
      </w:r>
      <w:r w:rsidR="00F32FD4">
        <w:t>,</w:t>
      </w:r>
      <w:r w:rsidR="008760C1" w:rsidRPr="0041169C">
        <w:t xml:space="preserve"> </w:t>
      </w:r>
      <w:r w:rsidR="00B027D8" w:rsidRPr="0041169C">
        <w:t>as well variance among respondent types (e.g., level of education and employment categories).</w:t>
      </w:r>
    </w:p>
    <w:p w14:paraId="305C2454" w14:textId="77777777" w:rsidR="006A7F6D" w:rsidRPr="0041169C" w:rsidRDefault="006A7F6D">
      <w:pPr>
        <w:spacing w:after="200" w:line="276" w:lineRule="auto"/>
      </w:pPr>
    </w:p>
    <w:p w14:paraId="59EA7824" w14:textId="77777777" w:rsidR="002B7F24" w:rsidRPr="0041169C" w:rsidRDefault="002B7F24" w:rsidP="001C611B">
      <w:pPr>
        <w:pStyle w:val="Heading2"/>
      </w:pPr>
      <w:bookmarkStart w:id="18" w:name="_Toc498433377"/>
      <w:bookmarkEnd w:id="16"/>
      <w:bookmarkEnd w:id="17"/>
      <w:r w:rsidRPr="0041169C">
        <w:t>13. Estimate of Other Total Annual Cost Burden to Respondents or Record Keepers</w:t>
      </w:r>
      <w:bookmarkEnd w:id="18"/>
      <w:r w:rsidRPr="0041169C">
        <w:t xml:space="preserve"> </w:t>
      </w:r>
    </w:p>
    <w:p w14:paraId="130FDDD0" w14:textId="77777777" w:rsidR="002B7F24" w:rsidRPr="0041169C" w:rsidRDefault="002B7F24" w:rsidP="00045E20"/>
    <w:p w14:paraId="62BD3B25" w14:textId="77777777" w:rsidR="002B7F24" w:rsidRPr="0041169C" w:rsidRDefault="002B7F24" w:rsidP="00045E20">
      <w:r w:rsidRPr="0041169C">
        <w:t xml:space="preserve">There are no other capital or maintenance costs to respondents.  </w:t>
      </w:r>
    </w:p>
    <w:p w14:paraId="1092D854" w14:textId="77777777" w:rsidR="00880933" w:rsidRPr="0041169C" w:rsidRDefault="00880933" w:rsidP="00045E20"/>
    <w:p w14:paraId="6C81D8D8" w14:textId="77777777" w:rsidR="007D1246" w:rsidRPr="0041169C" w:rsidRDefault="007D1246" w:rsidP="00784EB7">
      <w:pPr>
        <w:pStyle w:val="Heading2"/>
      </w:pPr>
      <w:bookmarkStart w:id="19" w:name="_Toc498433378"/>
      <w:r w:rsidRPr="0041169C">
        <w:t>14. Annualized Cost to the Government</w:t>
      </w:r>
      <w:bookmarkEnd w:id="19"/>
      <w:r w:rsidR="00623262" w:rsidRPr="0041169C">
        <w:t xml:space="preserve"> </w:t>
      </w:r>
    </w:p>
    <w:p w14:paraId="4C68B780" w14:textId="77777777" w:rsidR="007D1246" w:rsidRPr="0041169C" w:rsidRDefault="007D1246" w:rsidP="00045E20"/>
    <w:p w14:paraId="4DF7E280" w14:textId="3326BBC0" w:rsidR="00901759" w:rsidRPr="00D83627" w:rsidRDefault="00901759" w:rsidP="00901759">
      <w:r w:rsidRPr="00D83627">
        <w:t>Cost</w:t>
      </w:r>
      <w:r w:rsidR="009C07CE">
        <w:t>s</w:t>
      </w:r>
      <w:r w:rsidRPr="00D83627">
        <w:t xml:space="preserve"> </w:t>
      </w:r>
      <w:r w:rsidR="002A00D5">
        <w:t xml:space="preserve">are </w:t>
      </w:r>
      <w:r w:rsidR="009C07CE">
        <w:t xml:space="preserve">based on </w:t>
      </w:r>
      <w:r w:rsidR="009C07CE" w:rsidRPr="00D83627">
        <w:t xml:space="preserve">FMS </w:t>
      </w:r>
      <w:r w:rsidR="002A00D5">
        <w:t xml:space="preserve">current </w:t>
      </w:r>
      <w:r w:rsidR="009C07CE" w:rsidRPr="00D83627">
        <w:t xml:space="preserve">requirements identified by fellowships to ensure </w:t>
      </w:r>
      <w:r w:rsidR="009C07CE">
        <w:t xml:space="preserve">that </w:t>
      </w:r>
      <w:r w:rsidR="009C07CE" w:rsidRPr="00D83627">
        <w:t xml:space="preserve">information collection supports the necessary evolution of fellowship </w:t>
      </w:r>
      <w:r w:rsidR="009C07CE">
        <w:t xml:space="preserve">implementation and </w:t>
      </w:r>
      <w:r w:rsidR="009C07CE" w:rsidRPr="00D83627">
        <w:t>management.</w:t>
      </w:r>
    </w:p>
    <w:p w14:paraId="39B91BD2" w14:textId="77777777" w:rsidR="00901759" w:rsidRPr="009C07CE" w:rsidRDefault="00901759" w:rsidP="00901759"/>
    <w:p w14:paraId="0D6D2088" w14:textId="7BF31260" w:rsidR="004605DF" w:rsidRDefault="004605DF" w:rsidP="00901759">
      <w:r w:rsidRPr="009C07CE">
        <w:t xml:space="preserve">The estimated cost to </w:t>
      </w:r>
      <w:r w:rsidR="00B7632E">
        <w:t xml:space="preserve">operate and </w:t>
      </w:r>
      <w:r w:rsidRPr="009C07CE">
        <w:t>maintain currently approved FMS components over three years is $</w:t>
      </w:r>
      <w:r w:rsidR="004A5FF1">
        <w:t>2,550,000</w:t>
      </w:r>
      <w:r w:rsidRPr="009C07CE">
        <w:t xml:space="preserve">.  </w:t>
      </w:r>
      <w:r w:rsidR="004A5FF1" w:rsidRPr="009C07CE">
        <w:t>The annualized cost to the government is $</w:t>
      </w:r>
      <w:r w:rsidR="004A5FF1">
        <w:t>850</w:t>
      </w:r>
      <w:r w:rsidR="004A5FF1" w:rsidRPr="009C07CE">
        <w:t>,000.</w:t>
      </w:r>
      <w:r w:rsidR="004A5FF1">
        <w:t xml:space="preserve"> No development costs are anticipated for FMS</w:t>
      </w:r>
      <w:r w:rsidR="00B7632E">
        <w:t xml:space="preserve"> over the next three years</w:t>
      </w:r>
      <w:r w:rsidR="004A5FF1">
        <w:t>.</w:t>
      </w:r>
      <w:r w:rsidR="004A5FF1" w:rsidRPr="009C07CE">
        <w:t xml:space="preserve"> </w:t>
      </w:r>
    </w:p>
    <w:p w14:paraId="3714E9A2" w14:textId="77777777" w:rsidR="002A00D5" w:rsidRPr="0041169C" w:rsidRDefault="002A00D5" w:rsidP="00901759"/>
    <w:tbl>
      <w:tblPr>
        <w:tblW w:w="8447" w:type="dxa"/>
        <w:tblInd w:w="95" w:type="dxa"/>
        <w:tblCellMar>
          <w:left w:w="0" w:type="dxa"/>
          <w:right w:w="0" w:type="dxa"/>
        </w:tblCellMar>
        <w:tblLook w:val="04A0" w:firstRow="1" w:lastRow="0" w:firstColumn="1" w:lastColumn="0" w:noHBand="0" w:noVBand="1"/>
      </w:tblPr>
      <w:tblGrid>
        <w:gridCol w:w="3253"/>
        <w:gridCol w:w="2880"/>
        <w:gridCol w:w="2314"/>
      </w:tblGrid>
      <w:tr w:rsidR="002A00D5" w14:paraId="21B06D63" w14:textId="77777777" w:rsidTr="002A00D5">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44F302" w14:textId="77777777" w:rsidR="002A00D5" w:rsidRDefault="002A00D5">
            <w:pPr>
              <w:spacing w:line="276" w:lineRule="auto"/>
              <w:rPr>
                <w:szCs w:val="24"/>
              </w:rPr>
            </w:pPr>
            <w:r>
              <w:rPr>
                <w:szCs w:val="24"/>
              </w:rPr>
              <w:t>Item</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52B4302" w14:textId="77777777" w:rsidR="002A00D5" w:rsidRDefault="002A00D5">
            <w:pPr>
              <w:spacing w:line="276" w:lineRule="auto"/>
              <w:rPr>
                <w:szCs w:val="24"/>
              </w:rPr>
            </w:pPr>
            <w:r>
              <w:rPr>
                <w:szCs w:val="24"/>
              </w:rPr>
              <w:t>Cost Categories</w:t>
            </w:r>
          </w:p>
        </w:tc>
        <w:tc>
          <w:tcPr>
            <w:tcW w:w="2314" w:type="dxa"/>
            <w:tcBorders>
              <w:top w:val="single" w:sz="8" w:space="0" w:color="auto"/>
              <w:left w:val="nil"/>
              <w:bottom w:val="single" w:sz="8" w:space="0" w:color="auto"/>
              <w:right w:val="single" w:sz="8" w:space="0" w:color="auto"/>
            </w:tcBorders>
            <w:hideMark/>
          </w:tcPr>
          <w:p w14:paraId="5FA03F7C" w14:textId="5AC9A90D" w:rsidR="002A00D5" w:rsidRDefault="002A00D5" w:rsidP="00710447">
            <w:pPr>
              <w:spacing w:line="276" w:lineRule="auto"/>
              <w:jc w:val="center"/>
              <w:rPr>
                <w:b/>
                <w:bCs/>
                <w:szCs w:val="24"/>
              </w:rPr>
            </w:pPr>
            <w:r>
              <w:rPr>
                <w:szCs w:val="24"/>
              </w:rPr>
              <w:t>Annualized Cost to Federal Government</w:t>
            </w:r>
          </w:p>
        </w:tc>
      </w:tr>
      <w:tr w:rsidR="00710447" w14:paraId="2219B2F1" w14:textId="77777777" w:rsidTr="002A00D5">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A41F01A" w14:textId="28067585" w:rsidR="00710447" w:rsidRDefault="00710447">
            <w:pPr>
              <w:spacing w:line="276" w:lineRule="auto"/>
              <w:rPr>
                <w:szCs w:val="24"/>
              </w:rPr>
            </w:pPr>
            <w:r>
              <w:rPr>
                <w:szCs w:val="24"/>
              </w:rPr>
              <w:t xml:space="preserve">Operations &amp; Maintenance (O&amp;M) Cost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14:paraId="6EA4D8CE" w14:textId="504C5322" w:rsidR="00710447" w:rsidRDefault="00710447">
            <w:pPr>
              <w:spacing w:line="276" w:lineRule="auto"/>
              <w:rPr>
                <w:szCs w:val="24"/>
              </w:rPr>
            </w:pPr>
            <w:r>
              <w:rPr>
                <w:szCs w:val="24"/>
              </w:rPr>
              <w:t>Project Management*</w:t>
            </w:r>
          </w:p>
        </w:tc>
        <w:tc>
          <w:tcPr>
            <w:tcW w:w="2314" w:type="dxa"/>
            <w:tcBorders>
              <w:top w:val="nil"/>
              <w:left w:val="nil"/>
              <w:bottom w:val="nil"/>
              <w:right w:val="single" w:sz="8" w:space="0" w:color="auto"/>
            </w:tcBorders>
          </w:tcPr>
          <w:p w14:paraId="1B1E2389" w14:textId="77777777" w:rsidR="00710447" w:rsidRDefault="00710447">
            <w:pPr>
              <w:spacing w:line="276" w:lineRule="auto"/>
              <w:rPr>
                <w:color w:val="1F497D"/>
                <w:szCs w:val="24"/>
              </w:rPr>
            </w:pPr>
          </w:p>
          <w:p w14:paraId="33F03B24" w14:textId="6E45ECA0" w:rsidR="00710447" w:rsidRDefault="00710447">
            <w:pPr>
              <w:spacing w:line="276" w:lineRule="auto"/>
              <w:rPr>
                <w:color w:val="000000"/>
                <w:szCs w:val="24"/>
              </w:rPr>
            </w:pPr>
            <w:r>
              <w:rPr>
                <w:color w:val="000000"/>
                <w:szCs w:val="24"/>
              </w:rPr>
              <w:t>$130,000</w:t>
            </w:r>
          </w:p>
        </w:tc>
      </w:tr>
      <w:tr w:rsidR="00710447" w14:paraId="1E580E4C" w14:textId="77777777" w:rsidTr="002A00D5">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EF27961" w14:textId="37F83D9D" w:rsidR="00710447" w:rsidRDefault="00710447">
            <w:pPr>
              <w:spacing w:line="276" w:lineRule="auto"/>
              <w:rPr>
                <w:szCs w:val="24"/>
              </w:rPr>
            </w:pPr>
            <w:r>
              <w:rPr>
                <w:szCs w:val="24"/>
              </w:rP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14:paraId="4727500F" w14:textId="186DBE5A" w:rsidR="00710447" w:rsidRDefault="00710447">
            <w:pPr>
              <w:spacing w:line="276" w:lineRule="auto"/>
              <w:rPr>
                <w:szCs w:val="24"/>
              </w:rPr>
            </w:pPr>
            <w:r>
              <w:rPr>
                <w:szCs w:val="24"/>
              </w:rPr>
              <w:t>Business Analyst*</w:t>
            </w:r>
          </w:p>
        </w:tc>
        <w:tc>
          <w:tcPr>
            <w:tcW w:w="2314" w:type="dxa"/>
            <w:tcBorders>
              <w:top w:val="nil"/>
              <w:left w:val="nil"/>
              <w:bottom w:val="nil"/>
              <w:right w:val="single" w:sz="8" w:space="0" w:color="auto"/>
            </w:tcBorders>
          </w:tcPr>
          <w:p w14:paraId="433D3647" w14:textId="452C338C" w:rsidR="00710447" w:rsidRDefault="00710447">
            <w:pPr>
              <w:spacing w:line="276" w:lineRule="auto"/>
              <w:rPr>
                <w:color w:val="000000"/>
                <w:szCs w:val="24"/>
              </w:rPr>
            </w:pPr>
            <w:r>
              <w:rPr>
                <w:color w:val="000000"/>
                <w:szCs w:val="24"/>
              </w:rPr>
              <w:t> $80,000</w:t>
            </w:r>
          </w:p>
        </w:tc>
      </w:tr>
      <w:tr w:rsidR="00710447" w14:paraId="3C39FCA3" w14:textId="77777777" w:rsidTr="002A00D5">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3293E8B" w14:textId="7CBD173E" w:rsidR="00710447" w:rsidRDefault="00710447">
            <w:pPr>
              <w:spacing w:line="276" w:lineRule="auto"/>
              <w:rPr>
                <w:szCs w:val="24"/>
              </w:rPr>
            </w:pPr>
            <w:r>
              <w:rPr>
                <w:szCs w:val="24"/>
              </w:rP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14:paraId="50513888" w14:textId="76BACAC7" w:rsidR="00710447" w:rsidRDefault="00710447">
            <w:pPr>
              <w:spacing w:line="276" w:lineRule="auto"/>
              <w:rPr>
                <w:szCs w:val="24"/>
              </w:rPr>
            </w:pPr>
            <w:r>
              <w:rPr>
                <w:szCs w:val="24"/>
              </w:rPr>
              <w:t>Programming &amp; QA*</w:t>
            </w:r>
          </w:p>
        </w:tc>
        <w:tc>
          <w:tcPr>
            <w:tcW w:w="2314" w:type="dxa"/>
            <w:tcBorders>
              <w:top w:val="nil"/>
              <w:left w:val="nil"/>
              <w:bottom w:val="nil"/>
              <w:right w:val="single" w:sz="8" w:space="0" w:color="auto"/>
            </w:tcBorders>
          </w:tcPr>
          <w:p w14:paraId="32CB4C47" w14:textId="770225F5" w:rsidR="00710447" w:rsidRDefault="00710447">
            <w:pPr>
              <w:spacing w:line="276" w:lineRule="auto"/>
              <w:rPr>
                <w:color w:val="000000"/>
                <w:szCs w:val="24"/>
              </w:rPr>
            </w:pPr>
            <w:r>
              <w:rPr>
                <w:color w:val="000000"/>
                <w:szCs w:val="24"/>
              </w:rPr>
              <w:t> $530,000</w:t>
            </w:r>
          </w:p>
        </w:tc>
      </w:tr>
      <w:tr w:rsidR="00710447" w14:paraId="657D8330" w14:textId="77777777" w:rsidTr="002A00D5">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79DBF93" w14:textId="7BB928BE" w:rsidR="00710447" w:rsidRDefault="00710447">
            <w:pPr>
              <w:spacing w:line="276" w:lineRule="auto"/>
              <w:rPr>
                <w:szCs w:val="24"/>
              </w:rPr>
            </w:pPr>
            <w:r>
              <w:rPr>
                <w:szCs w:val="24"/>
              </w:rP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14:paraId="19CB3363" w14:textId="4F4FC7E4" w:rsidR="00710447" w:rsidRDefault="00710447">
            <w:pPr>
              <w:spacing w:line="276" w:lineRule="auto"/>
              <w:rPr>
                <w:szCs w:val="24"/>
              </w:rPr>
            </w:pPr>
            <w:r>
              <w:rPr>
                <w:szCs w:val="24"/>
              </w:rPr>
              <w:t>ITSO Infrastructure*</w:t>
            </w:r>
          </w:p>
        </w:tc>
        <w:tc>
          <w:tcPr>
            <w:tcW w:w="2314" w:type="dxa"/>
            <w:tcBorders>
              <w:top w:val="nil"/>
              <w:left w:val="nil"/>
              <w:bottom w:val="nil"/>
              <w:right w:val="single" w:sz="8" w:space="0" w:color="auto"/>
            </w:tcBorders>
          </w:tcPr>
          <w:p w14:paraId="5C2DD627" w14:textId="42B4464D" w:rsidR="00710447" w:rsidRDefault="00710447">
            <w:pPr>
              <w:spacing w:line="276" w:lineRule="auto"/>
              <w:rPr>
                <w:color w:val="000000"/>
                <w:szCs w:val="24"/>
              </w:rPr>
            </w:pPr>
            <w:r>
              <w:rPr>
                <w:color w:val="000000"/>
                <w:szCs w:val="24"/>
              </w:rPr>
              <w:t> $10,000</w:t>
            </w:r>
          </w:p>
        </w:tc>
      </w:tr>
      <w:tr w:rsidR="00710447" w14:paraId="7A5D1DE5" w14:textId="77777777" w:rsidTr="00646A75">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B1EAD4B" w14:textId="436BA4CE" w:rsidR="00710447" w:rsidRDefault="00710447">
            <w:pPr>
              <w:spacing w:line="276" w:lineRule="auto"/>
              <w:rPr>
                <w:szCs w:val="24"/>
              </w:rPr>
            </w:pPr>
            <w:r>
              <w:rPr>
                <w:szCs w:val="24"/>
              </w:rP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14:paraId="02EADC75" w14:textId="37EDFD2E" w:rsidR="00710447" w:rsidRDefault="00710447">
            <w:pPr>
              <w:spacing w:line="276" w:lineRule="auto"/>
              <w:rPr>
                <w:szCs w:val="24"/>
              </w:rPr>
            </w:pPr>
            <w:r>
              <w:rPr>
                <w:szCs w:val="24"/>
              </w:rPr>
              <w:t>C&amp;A* + CPIC*</w:t>
            </w:r>
          </w:p>
        </w:tc>
        <w:tc>
          <w:tcPr>
            <w:tcW w:w="2314" w:type="dxa"/>
            <w:tcBorders>
              <w:top w:val="nil"/>
              <w:left w:val="nil"/>
              <w:bottom w:val="nil"/>
              <w:right w:val="single" w:sz="8" w:space="0" w:color="auto"/>
            </w:tcBorders>
          </w:tcPr>
          <w:p w14:paraId="45E4ECCC" w14:textId="40169F02" w:rsidR="00710447" w:rsidRDefault="00710447">
            <w:pPr>
              <w:spacing w:line="276" w:lineRule="auto"/>
              <w:rPr>
                <w:color w:val="000000"/>
                <w:szCs w:val="24"/>
              </w:rPr>
            </w:pPr>
            <w:r>
              <w:rPr>
                <w:color w:val="000000"/>
                <w:szCs w:val="24"/>
              </w:rPr>
              <w:t> $48,000</w:t>
            </w:r>
          </w:p>
        </w:tc>
      </w:tr>
      <w:tr w:rsidR="00710447" w14:paraId="3810061F" w14:textId="77777777" w:rsidTr="002A00D5">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50DC44" w14:textId="09290C0D" w:rsidR="00710447" w:rsidRDefault="00710447">
            <w:pPr>
              <w:spacing w:line="276" w:lineRule="auto"/>
              <w:rPr>
                <w:szCs w:val="24"/>
              </w:rPr>
            </w:pPr>
            <w:r>
              <w:rPr>
                <w:szCs w:val="24"/>
              </w:rPr>
              <w:t> </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F0321" w14:textId="0CBCEBC0" w:rsidR="00710447" w:rsidRDefault="00710447">
            <w:pPr>
              <w:spacing w:line="276" w:lineRule="auto"/>
              <w:rPr>
                <w:szCs w:val="24"/>
              </w:rPr>
            </w:pPr>
            <w:r>
              <w:rPr>
                <w:szCs w:val="24"/>
              </w:rPr>
              <w:t>CDC FTE Costs</w:t>
            </w:r>
          </w:p>
        </w:tc>
        <w:tc>
          <w:tcPr>
            <w:tcW w:w="2314" w:type="dxa"/>
            <w:tcBorders>
              <w:top w:val="nil"/>
              <w:left w:val="nil"/>
              <w:bottom w:val="single" w:sz="8" w:space="0" w:color="auto"/>
              <w:right w:val="single" w:sz="8" w:space="0" w:color="auto"/>
            </w:tcBorders>
            <w:hideMark/>
          </w:tcPr>
          <w:p w14:paraId="77133CCA" w14:textId="6F2F6368" w:rsidR="00710447" w:rsidRDefault="00710447">
            <w:pPr>
              <w:spacing w:line="276" w:lineRule="auto"/>
              <w:rPr>
                <w:szCs w:val="24"/>
              </w:rPr>
            </w:pPr>
            <w:r>
              <w:rPr>
                <w:color w:val="000000"/>
                <w:szCs w:val="24"/>
              </w:rPr>
              <w:t> $48,000</w:t>
            </w:r>
          </w:p>
        </w:tc>
      </w:tr>
      <w:tr w:rsidR="00710447" w14:paraId="60024E26" w14:textId="77777777" w:rsidTr="00646A75">
        <w:trPr>
          <w:trHeight w:val="529"/>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7AD19" w14:textId="534FC74C" w:rsidR="00710447" w:rsidRDefault="00710447">
            <w:pPr>
              <w:spacing w:line="276" w:lineRule="auto"/>
              <w:rPr>
                <w:szCs w:val="24"/>
              </w:rPr>
            </w:pPr>
            <w:r>
              <w:rPr>
                <w:szCs w:val="24"/>
              </w:rPr>
              <w:t>Total O&amp;M Cost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48901E" w14:textId="55600BC0" w:rsidR="00710447" w:rsidRDefault="00710447">
            <w:pPr>
              <w:spacing w:line="276" w:lineRule="auto"/>
              <w:rPr>
                <w:szCs w:val="24"/>
              </w:rPr>
            </w:pPr>
            <w:r>
              <w:rPr>
                <w:szCs w:val="24"/>
              </w:rPr>
              <w:t> </w:t>
            </w:r>
          </w:p>
        </w:tc>
        <w:tc>
          <w:tcPr>
            <w:tcW w:w="2314" w:type="dxa"/>
            <w:tcBorders>
              <w:top w:val="nil"/>
              <w:left w:val="nil"/>
              <w:bottom w:val="single" w:sz="8" w:space="0" w:color="auto"/>
              <w:right w:val="single" w:sz="8" w:space="0" w:color="auto"/>
            </w:tcBorders>
          </w:tcPr>
          <w:p w14:paraId="633E16EC" w14:textId="4BFF3D0E" w:rsidR="00710447" w:rsidRDefault="00710447">
            <w:pPr>
              <w:spacing w:line="276" w:lineRule="auto"/>
              <w:rPr>
                <w:rFonts w:ascii="Calibri" w:hAnsi="Calibri"/>
                <w:color w:val="1F497D"/>
                <w:sz w:val="22"/>
              </w:rPr>
            </w:pPr>
            <w:r>
              <w:rPr>
                <w:color w:val="1F497D"/>
                <w:szCs w:val="24"/>
              </w:rPr>
              <w:t> </w:t>
            </w:r>
            <w:r>
              <w:rPr>
                <w:color w:val="000000"/>
                <w:szCs w:val="24"/>
              </w:rPr>
              <w:t>$850,000</w:t>
            </w:r>
          </w:p>
        </w:tc>
      </w:tr>
      <w:tr w:rsidR="00710447" w14:paraId="5EAF3B68" w14:textId="77777777" w:rsidTr="00646A75">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7CEFA8" w14:textId="44875574" w:rsidR="00710447" w:rsidRDefault="00710447">
            <w:pPr>
              <w:spacing w:line="276" w:lineRule="auto"/>
              <w:rPr>
                <w:szCs w:val="24"/>
              </w:rPr>
            </w:pPr>
            <w:r>
              <w:rPr>
                <w:szCs w:val="24"/>
              </w:rPr>
              <w:t xml:space="preserve">Total Annualized Cost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02D06D" w14:textId="140F8513" w:rsidR="00710447" w:rsidRDefault="00710447">
            <w:pPr>
              <w:spacing w:line="276" w:lineRule="auto"/>
              <w:rPr>
                <w:szCs w:val="24"/>
              </w:rPr>
            </w:pPr>
            <w:r>
              <w:rPr>
                <w:szCs w:val="24"/>
              </w:rPr>
              <w:t> </w:t>
            </w:r>
          </w:p>
        </w:tc>
        <w:tc>
          <w:tcPr>
            <w:tcW w:w="2314" w:type="dxa"/>
            <w:tcBorders>
              <w:top w:val="nil"/>
              <w:left w:val="nil"/>
              <w:bottom w:val="single" w:sz="8" w:space="0" w:color="auto"/>
              <w:right w:val="single" w:sz="8" w:space="0" w:color="auto"/>
            </w:tcBorders>
            <w:hideMark/>
          </w:tcPr>
          <w:p w14:paraId="27A421BE" w14:textId="31A4247C" w:rsidR="00710447" w:rsidRDefault="00710447">
            <w:pPr>
              <w:spacing w:line="276" w:lineRule="auto"/>
              <w:rPr>
                <w:color w:val="000000"/>
                <w:szCs w:val="24"/>
              </w:rPr>
            </w:pPr>
            <w:r>
              <w:rPr>
                <w:color w:val="1F497D"/>
                <w:szCs w:val="24"/>
              </w:rPr>
              <w:t> </w:t>
            </w:r>
            <w:r>
              <w:rPr>
                <w:color w:val="000000"/>
                <w:szCs w:val="24"/>
              </w:rPr>
              <w:t>$850,000</w:t>
            </w:r>
          </w:p>
        </w:tc>
      </w:tr>
    </w:tbl>
    <w:p w14:paraId="4FA3641F" w14:textId="12B86748" w:rsidR="004605DF" w:rsidRDefault="004605DF" w:rsidP="004605DF">
      <w:r w:rsidRPr="0041169C">
        <w:t>*Contractor Costs</w:t>
      </w:r>
    </w:p>
    <w:p w14:paraId="475EDF44" w14:textId="6C423158" w:rsidR="00710447" w:rsidRDefault="00710447" w:rsidP="004605DF"/>
    <w:p w14:paraId="426BFD79" w14:textId="77777777" w:rsidR="00710447" w:rsidRPr="0041169C" w:rsidRDefault="00710447" w:rsidP="004605DF">
      <w:pPr>
        <w:rPr>
          <w:rFonts w:ascii="Calibri" w:hAnsi="Calibri"/>
          <w:sz w:val="22"/>
        </w:rPr>
      </w:pPr>
    </w:p>
    <w:p w14:paraId="3D5C2CE0" w14:textId="77777777" w:rsidR="002B7F24" w:rsidRPr="0041169C" w:rsidRDefault="002B7F24" w:rsidP="001C611B">
      <w:pPr>
        <w:pStyle w:val="Heading2"/>
      </w:pPr>
      <w:bookmarkStart w:id="20" w:name="_Toc498433379"/>
      <w:r w:rsidRPr="0041169C">
        <w:t>15. Explanation for Program Changes or Adjustments</w:t>
      </w:r>
      <w:bookmarkEnd w:id="20"/>
    </w:p>
    <w:p w14:paraId="143268A4" w14:textId="77777777" w:rsidR="00DC4902" w:rsidRPr="0041169C" w:rsidRDefault="00DC4902" w:rsidP="00771741"/>
    <w:p w14:paraId="6CE51831" w14:textId="09690B83" w:rsidR="00784EB7" w:rsidRPr="0041169C" w:rsidRDefault="00771741" w:rsidP="008C24DC">
      <w:r w:rsidRPr="0041169C">
        <w:t xml:space="preserve">This ICR </w:t>
      </w:r>
      <w:r w:rsidR="00D1768B" w:rsidRPr="0041169C">
        <w:t>request</w:t>
      </w:r>
      <w:r w:rsidR="00CD34B8">
        <w:t>s</w:t>
      </w:r>
      <w:r w:rsidR="00D1768B" w:rsidRPr="0041169C">
        <w:t xml:space="preserve"> </w:t>
      </w:r>
      <w:r w:rsidR="001F4607" w:rsidRPr="0041169C">
        <w:t xml:space="preserve">an extension for the currently approved FMS data collection without any substantive changes. In 2015, OMB approval for revision was granted for FMS for a 3-year period. Since 2015, OMB has approved nonsubstantive changes to FMS information collection requests under the same OMB control number, 0920-0765. These changes were made to accurately reflect evolving fellowship eligibility requirements, provide clarification of existing questions, efficiently and effectively accommodate changing needs of host organizations, and to account for the addition of 150 new applicants to the Science Ambassadors Fellowship. A </w:t>
      </w:r>
      <w:r w:rsidR="000274AF">
        <w:t>three</w:t>
      </w:r>
      <w:r w:rsidR="001F4607" w:rsidRPr="0041169C">
        <w:t xml:space="preserve">-year extension will allow all fellowship applicants, public health agencies that host fellowship </w:t>
      </w:r>
      <w:r w:rsidR="00CD34B8" w:rsidRPr="0041169C">
        <w:t>participants</w:t>
      </w:r>
      <w:r w:rsidR="001F4607" w:rsidRPr="0041169C">
        <w:t xml:space="preserve"> and fellowship alumni the continued use of FMS for </w:t>
      </w:r>
      <w:r w:rsidR="00CD34B8">
        <w:t xml:space="preserve">the </w:t>
      </w:r>
      <w:r w:rsidR="001F4607" w:rsidRPr="0041169C">
        <w:t>submission of electronic data.</w:t>
      </w:r>
    </w:p>
    <w:p w14:paraId="2BDE0DFB" w14:textId="77777777" w:rsidR="00872CB0" w:rsidRPr="0041169C" w:rsidRDefault="00872CB0" w:rsidP="008C24DC"/>
    <w:p w14:paraId="2EB91B0E" w14:textId="77777777" w:rsidR="00275FC6" w:rsidRPr="0041169C" w:rsidRDefault="00771741" w:rsidP="00771741">
      <w:r w:rsidRPr="0041169C">
        <w:t>The respondent types and burden hours included for each data collection included in this ICR are nonfederal applicants, alumni, and employees of public health agencies.</w:t>
      </w:r>
      <w:r w:rsidR="001F4607" w:rsidRPr="0041169C">
        <w:t xml:space="preserve"> </w:t>
      </w:r>
      <w:r w:rsidR="001F4607" w:rsidRPr="00551510">
        <w:t xml:space="preserve">As fellowship programs continue to grow, increases in </w:t>
      </w:r>
      <w:r w:rsidRPr="00551510">
        <w:t xml:space="preserve">annualized burden hours </w:t>
      </w:r>
      <w:r w:rsidR="001F4607" w:rsidRPr="00551510">
        <w:t xml:space="preserve">are </w:t>
      </w:r>
      <w:r w:rsidRPr="00551510">
        <w:t xml:space="preserve">the </w:t>
      </w:r>
      <w:r w:rsidR="001F4607" w:rsidRPr="00551510">
        <w:t xml:space="preserve">result of the </w:t>
      </w:r>
      <w:r w:rsidRPr="00551510">
        <w:t>number of respondents</w:t>
      </w:r>
      <w:r w:rsidR="00D56E9E" w:rsidRPr="00551510">
        <w:t xml:space="preserve"> who voluntarily submit information </w:t>
      </w:r>
      <w:r w:rsidRPr="00551510">
        <w:t xml:space="preserve">for each data collection. More applicants </w:t>
      </w:r>
      <w:r w:rsidR="00D660FC">
        <w:t xml:space="preserve">and host sites </w:t>
      </w:r>
      <w:r w:rsidRPr="00551510">
        <w:t xml:space="preserve">are submitting applications </w:t>
      </w:r>
      <w:r w:rsidR="001F4607" w:rsidRPr="00551510">
        <w:t xml:space="preserve">for </w:t>
      </w:r>
      <w:r w:rsidRPr="00551510">
        <w:t>fellowship programs</w:t>
      </w:r>
      <w:r w:rsidR="001F4607" w:rsidRPr="00551510">
        <w:t>, and more graduates</w:t>
      </w:r>
      <w:r w:rsidRPr="00551510">
        <w:t xml:space="preserve"> are updating their information via FMS Alumni Directory</w:t>
      </w:r>
      <w:r w:rsidR="001F4607" w:rsidRPr="00551510">
        <w:t>.</w:t>
      </w:r>
      <w:r w:rsidRPr="0041169C">
        <w:t xml:space="preserve"> </w:t>
      </w:r>
    </w:p>
    <w:p w14:paraId="0E4FAF9C" w14:textId="77777777" w:rsidR="00275FC6" w:rsidRPr="0041169C" w:rsidRDefault="00275FC6" w:rsidP="00771741"/>
    <w:p w14:paraId="4E4A0303" w14:textId="626B9D7D" w:rsidR="002B7F24" w:rsidRPr="0041169C" w:rsidRDefault="002B7F24" w:rsidP="001C611B">
      <w:pPr>
        <w:pStyle w:val="Heading2"/>
      </w:pPr>
      <w:bookmarkStart w:id="21" w:name="_Toc498433380"/>
      <w:r w:rsidRPr="0041169C">
        <w:t>16. Plans for Tabulation and Publication and Project Time Schedule</w:t>
      </w:r>
      <w:bookmarkEnd w:id="21"/>
    </w:p>
    <w:p w14:paraId="08625EB0" w14:textId="77777777" w:rsidR="002B7F24" w:rsidRPr="0041169C" w:rsidRDefault="002B7F24" w:rsidP="00045E20"/>
    <w:p w14:paraId="40D73C30" w14:textId="57C6B686" w:rsidR="002B7F24" w:rsidRPr="0041169C" w:rsidRDefault="00786000" w:rsidP="00045E20">
      <w:r w:rsidRPr="0041169C">
        <w:t xml:space="preserve">This is a request for a three-year </w:t>
      </w:r>
      <w:r w:rsidR="00EA58E7" w:rsidRPr="0041169C">
        <w:t xml:space="preserve">extension </w:t>
      </w:r>
      <w:r w:rsidR="002B6D8E" w:rsidRPr="0041169C">
        <w:t>to the currently approved FMS data collection</w:t>
      </w:r>
      <w:r w:rsidRPr="0041169C">
        <w:t xml:space="preserve">. Internal </w:t>
      </w:r>
      <w:r w:rsidR="00015EB0" w:rsidRPr="0041169C">
        <w:t>reports</w:t>
      </w:r>
      <w:r w:rsidR="002B7F24" w:rsidRPr="0041169C">
        <w:t xml:space="preserve"> will be generated using available </w:t>
      </w:r>
      <w:r w:rsidR="002B6D8E" w:rsidRPr="0041169C">
        <w:t xml:space="preserve">FMS </w:t>
      </w:r>
      <w:r w:rsidR="002B7F24" w:rsidRPr="0041169C">
        <w:t xml:space="preserve">data elements </w:t>
      </w:r>
      <w:r w:rsidRPr="0041169C">
        <w:t xml:space="preserve">to provide </w:t>
      </w:r>
      <w:r w:rsidR="002B6D8E" w:rsidRPr="0041169C">
        <w:t xml:space="preserve">trends </w:t>
      </w:r>
      <w:r w:rsidR="00C472EA" w:rsidRPr="0041169C">
        <w:t xml:space="preserve">and program data </w:t>
      </w:r>
      <w:r w:rsidRPr="0041169C">
        <w:t xml:space="preserve">for </w:t>
      </w:r>
      <w:r w:rsidR="00F533BD" w:rsidRPr="0041169C">
        <w:t xml:space="preserve">DSEPD </w:t>
      </w:r>
      <w:r w:rsidRPr="0041169C">
        <w:t>leadership and fellowship managers</w:t>
      </w:r>
      <w:r w:rsidR="002B7F24" w:rsidRPr="0041169C">
        <w:t xml:space="preserve">. </w:t>
      </w:r>
      <w:r w:rsidR="0024630B" w:rsidRPr="0041169C">
        <w:t>Staff</w:t>
      </w:r>
      <w:r w:rsidR="00FC65D3" w:rsidRPr="0041169C">
        <w:t>s</w:t>
      </w:r>
      <w:r w:rsidR="0024630B" w:rsidRPr="0041169C">
        <w:t xml:space="preserve"> from each fellowship program collect the information and compile </w:t>
      </w:r>
      <w:r w:rsidR="00FC65D3" w:rsidRPr="0041169C">
        <w:t xml:space="preserve">them </w:t>
      </w:r>
      <w:r w:rsidR="0024630B" w:rsidRPr="0041169C">
        <w:t xml:space="preserve">for inclusion in program reports documenting fellowship progress and performance; only aggregate data </w:t>
      </w:r>
      <w:r w:rsidR="00EA58E7" w:rsidRPr="0041169C">
        <w:t>are</w:t>
      </w:r>
      <w:r w:rsidR="00961C78" w:rsidRPr="0041169C">
        <w:t xml:space="preserve"> </w:t>
      </w:r>
      <w:r w:rsidR="0024630B" w:rsidRPr="0041169C">
        <w:t xml:space="preserve">reported. Programmatic data from FMS reported include trends and program data such as the number and types of applicants and host sites, number of selected and matched candidates and </w:t>
      </w:r>
      <w:r w:rsidR="00FC65D3" w:rsidRPr="0041169C">
        <w:t>assignments</w:t>
      </w:r>
      <w:r w:rsidR="0024630B" w:rsidRPr="0041169C">
        <w:t xml:space="preserve">, and demographics of alumni (e.g., employed in private or government sector). </w:t>
      </w:r>
      <w:r w:rsidR="00597530" w:rsidRPr="0041169C">
        <w:t xml:space="preserve">The data elements for </w:t>
      </w:r>
      <w:r w:rsidR="00EA58E7" w:rsidRPr="0041169C">
        <w:t xml:space="preserve">the </w:t>
      </w:r>
      <w:r w:rsidR="00104085" w:rsidRPr="0041169C">
        <w:t xml:space="preserve">EIS example for the </w:t>
      </w:r>
      <w:r w:rsidR="00597530" w:rsidRPr="0041169C">
        <w:t xml:space="preserve">FMS Application Module </w:t>
      </w:r>
      <w:r w:rsidR="002677F1" w:rsidRPr="0041169C">
        <w:t>(Attachment 3)</w:t>
      </w:r>
      <w:r w:rsidR="00104085" w:rsidRPr="0041169C">
        <w:t xml:space="preserve"> and the </w:t>
      </w:r>
      <w:r w:rsidR="00597530" w:rsidRPr="0041169C">
        <w:t>FMS Alumni Directory (Attachment 4)</w:t>
      </w:r>
      <w:r w:rsidR="002677F1" w:rsidRPr="0041169C">
        <w:t>,</w:t>
      </w:r>
      <w:r w:rsidR="00597530" w:rsidRPr="0041169C">
        <w:t xml:space="preserve"> </w:t>
      </w:r>
      <w:r w:rsidR="00104085" w:rsidRPr="0041169C">
        <w:t xml:space="preserve">and </w:t>
      </w:r>
      <w:r w:rsidR="00EA58E7" w:rsidRPr="0041169C">
        <w:t xml:space="preserve">the </w:t>
      </w:r>
      <w:r w:rsidR="00104085" w:rsidRPr="0041169C">
        <w:t>PHAP example for the FMS</w:t>
      </w:r>
      <w:r w:rsidR="00597530" w:rsidRPr="0041169C">
        <w:t xml:space="preserve"> Host Site Module (Attachment 5) are documented </w:t>
      </w:r>
      <w:r w:rsidR="002677F1" w:rsidRPr="0041169C">
        <w:t xml:space="preserve">with screenshots </w:t>
      </w:r>
      <w:r w:rsidR="00FC65D3" w:rsidRPr="0041169C">
        <w:t xml:space="preserve">and  </w:t>
      </w:r>
      <w:r w:rsidR="002677F1" w:rsidRPr="0041169C">
        <w:t>d</w:t>
      </w:r>
      <w:r w:rsidR="00597530" w:rsidRPr="0041169C">
        <w:t xml:space="preserve">edicated tables </w:t>
      </w:r>
      <w:r w:rsidR="002677F1" w:rsidRPr="0041169C">
        <w:t xml:space="preserve">indicating the </w:t>
      </w:r>
      <w:r w:rsidR="00597530" w:rsidRPr="0041169C">
        <w:t>those and additional data elements</w:t>
      </w:r>
      <w:r w:rsidR="00854B27" w:rsidRPr="0041169C">
        <w:t xml:space="preserve"> collected </w:t>
      </w:r>
      <w:r w:rsidR="00597530" w:rsidRPr="0041169C">
        <w:t xml:space="preserve">by other specified fellowship programs. </w:t>
      </w:r>
    </w:p>
    <w:p w14:paraId="1C2CC466" w14:textId="77777777" w:rsidR="007E71ED" w:rsidRPr="0041169C" w:rsidRDefault="007E71ED" w:rsidP="00045E20"/>
    <w:p w14:paraId="7C77310D" w14:textId="77777777" w:rsidR="002B7F24" w:rsidRPr="0041169C" w:rsidRDefault="002B7F24" w:rsidP="00045E20">
      <w:r w:rsidRPr="0041169C">
        <w:t xml:space="preserve">Timeline of Key Events following Receipt of OMB </w:t>
      </w:r>
      <w:r w:rsidR="002F29E6" w:rsidRPr="0041169C">
        <w:t>Approval</w:t>
      </w:r>
      <w:r w:rsidRPr="0041169C">
        <w:t xml:space="preserve"> to </w:t>
      </w:r>
      <w:r w:rsidR="002F29E6" w:rsidRPr="0041169C">
        <w:t>ICR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067"/>
        <w:gridCol w:w="1260"/>
        <w:gridCol w:w="1800"/>
        <w:gridCol w:w="1798"/>
        <w:gridCol w:w="65"/>
        <w:gridCol w:w="2022"/>
      </w:tblGrid>
      <w:tr w:rsidR="002F29E6" w:rsidRPr="0041169C" w14:paraId="599C7F8C" w14:textId="77777777" w:rsidTr="00A07DAD">
        <w:tc>
          <w:tcPr>
            <w:tcW w:w="3910" w:type="pct"/>
            <w:gridSpan w:val="5"/>
            <w:tcBorders>
              <w:top w:val="single" w:sz="4" w:space="0" w:color="auto"/>
              <w:left w:val="single" w:sz="4" w:space="0" w:color="auto"/>
              <w:bottom w:val="single" w:sz="4" w:space="0" w:color="auto"/>
              <w:right w:val="single" w:sz="4" w:space="0" w:color="auto"/>
            </w:tcBorders>
          </w:tcPr>
          <w:p w14:paraId="03A1C22D" w14:textId="77777777" w:rsidR="002F29E6" w:rsidRPr="0041169C" w:rsidRDefault="002F29E6" w:rsidP="002F29E6">
            <w:pPr>
              <w:rPr>
                <w:b/>
              </w:rPr>
            </w:pPr>
            <w:r w:rsidRPr="0041169C">
              <w:rPr>
                <w:b/>
              </w:rPr>
              <w:t>Key Events</w:t>
            </w:r>
          </w:p>
        </w:tc>
        <w:tc>
          <w:tcPr>
            <w:tcW w:w="1090" w:type="pct"/>
            <w:gridSpan w:val="2"/>
            <w:tcBorders>
              <w:top w:val="single" w:sz="4" w:space="0" w:color="auto"/>
              <w:left w:val="single" w:sz="4" w:space="0" w:color="auto"/>
              <w:bottom w:val="single" w:sz="4" w:space="0" w:color="auto"/>
              <w:right w:val="single" w:sz="4" w:space="0" w:color="auto"/>
            </w:tcBorders>
          </w:tcPr>
          <w:p w14:paraId="6FA2F4F6" w14:textId="77777777" w:rsidR="002F29E6" w:rsidRPr="0041169C" w:rsidRDefault="002F29E6" w:rsidP="002F29E6">
            <w:pPr>
              <w:rPr>
                <w:b/>
              </w:rPr>
            </w:pPr>
            <w:r w:rsidRPr="0041169C">
              <w:rPr>
                <w:b/>
              </w:rPr>
              <w:t>Timeline</w:t>
            </w:r>
          </w:p>
        </w:tc>
      </w:tr>
      <w:tr w:rsidR="002F29E6" w:rsidRPr="0041169C" w14:paraId="25BF5DFB" w14:textId="77777777" w:rsidTr="00A07DAD">
        <w:trPr>
          <w:trHeight w:val="465"/>
        </w:trPr>
        <w:tc>
          <w:tcPr>
            <w:tcW w:w="3910" w:type="pct"/>
            <w:gridSpan w:val="5"/>
            <w:tcBorders>
              <w:top w:val="single" w:sz="4" w:space="0" w:color="auto"/>
              <w:left w:val="single" w:sz="4" w:space="0" w:color="auto"/>
              <w:bottom w:val="single" w:sz="4" w:space="0" w:color="auto"/>
              <w:right w:val="single" w:sz="4" w:space="0" w:color="auto"/>
            </w:tcBorders>
          </w:tcPr>
          <w:p w14:paraId="63D5F333" w14:textId="77777777" w:rsidR="002F29E6" w:rsidRPr="0041169C" w:rsidRDefault="002F29E6" w:rsidP="00942642">
            <w:r w:rsidRPr="0041169C">
              <w:t xml:space="preserve">Continue collecting </w:t>
            </w:r>
            <w:r w:rsidRPr="0041169C">
              <w:rPr>
                <w:b/>
              </w:rPr>
              <w:t xml:space="preserve">Host Site Assignment Proposals </w:t>
            </w:r>
            <w:r w:rsidRPr="0041169C">
              <w:t>from nonfederal public health agencies for EIS, PHAP, and PMR</w:t>
            </w:r>
            <w:r w:rsidR="007D53D8" w:rsidRPr="0041169C">
              <w:t>/F</w:t>
            </w:r>
            <w:r w:rsidRPr="0041169C">
              <w:t xml:space="preserve"> </w:t>
            </w:r>
          </w:p>
        </w:tc>
        <w:tc>
          <w:tcPr>
            <w:tcW w:w="1090" w:type="pct"/>
            <w:gridSpan w:val="2"/>
            <w:tcBorders>
              <w:top w:val="single" w:sz="4" w:space="0" w:color="auto"/>
              <w:left w:val="single" w:sz="4" w:space="0" w:color="auto"/>
              <w:bottom w:val="single" w:sz="4" w:space="0" w:color="auto"/>
              <w:right w:val="single" w:sz="4" w:space="0" w:color="auto"/>
            </w:tcBorders>
          </w:tcPr>
          <w:p w14:paraId="21DFE776" w14:textId="77777777" w:rsidR="002F29E6" w:rsidRPr="0041169C" w:rsidRDefault="002F29E6" w:rsidP="002F29E6">
            <w:r w:rsidRPr="0041169C">
              <w:t>Immediately upon receipt of approval</w:t>
            </w:r>
          </w:p>
        </w:tc>
      </w:tr>
      <w:tr w:rsidR="002F29E6" w:rsidRPr="0041169C" w14:paraId="42DA12B2" w14:textId="77777777" w:rsidTr="00A71F38">
        <w:trPr>
          <w:trHeight w:val="107"/>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851DEE" w14:textId="77777777" w:rsidR="002F29E6" w:rsidRPr="0041169C" w:rsidRDefault="002F29E6" w:rsidP="002F29E6"/>
        </w:tc>
      </w:tr>
      <w:tr w:rsidR="002F29E6" w:rsidRPr="0041169C" w14:paraId="7EC134B3" w14:textId="77777777" w:rsidTr="00C715FE">
        <w:trPr>
          <w:trHeight w:val="465"/>
        </w:trPr>
        <w:tc>
          <w:tcPr>
            <w:tcW w:w="3944" w:type="pct"/>
            <w:gridSpan w:val="6"/>
            <w:tcBorders>
              <w:top w:val="single" w:sz="4" w:space="0" w:color="auto"/>
              <w:left w:val="single" w:sz="4" w:space="0" w:color="auto"/>
              <w:bottom w:val="single" w:sz="4" w:space="0" w:color="auto"/>
              <w:right w:val="single" w:sz="4" w:space="0" w:color="auto"/>
            </w:tcBorders>
          </w:tcPr>
          <w:p w14:paraId="430C0B55" w14:textId="77777777" w:rsidR="002F29E6" w:rsidRPr="0041169C" w:rsidRDefault="002F29E6" w:rsidP="00D81134">
            <w:r w:rsidRPr="0041169C">
              <w:t xml:space="preserve">Continue collecting </w:t>
            </w:r>
            <w:r w:rsidRPr="0041169C">
              <w:rPr>
                <w:b/>
              </w:rPr>
              <w:t>Application</w:t>
            </w:r>
            <w:r w:rsidRPr="0041169C">
              <w:t xml:space="preserve"> information for all fellowships from nonfederal </w:t>
            </w:r>
            <w:r w:rsidR="00D81134" w:rsidRPr="0041169C">
              <w:t>applicants</w:t>
            </w:r>
          </w:p>
        </w:tc>
        <w:tc>
          <w:tcPr>
            <w:tcW w:w="1056" w:type="pct"/>
            <w:vMerge w:val="restart"/>
            <w:tcBorders>
              <w:top w:val="single" w:sz="4" w:space="0" w:color="auto"/>
              <w:left w:val="single" w:sz="4" w:space="0" w:color="auto"/>
              <w:right w:val="single" w:sz="4" w:space="0" w:color="auto"/>
            </w:tcBorders>
          </w:tcPr>
          <w:p w14:paraId="401B9F75" w14:textId="77777777" w:rsidR="002F29E6" w:rsidRPr="0041169C" w:rsidRDefault="002F29E6" w:rsidP="002F29E6">
            <w:r w:rsidRPr="0041169C">
              <w:t>Once per year for three years</w:t>
            </w:r>
          </w:p>
        </w:tc>
      </w:tr>
      <w:tr w:rsidR="00A71F38" w:rsidRPr="0041169C" w14:paraId="3E16457A" w14:textId="77777777" w:rsidTr="00C715FE">
        <w:trPr>
          <w:trHeight w:val="59"/>
        </w:trPr>
        <w:tc>
          <w:tcPr>
            <w:tcW w:w="816" w:type="pct"/>
            <w:tcBorders>
              <w:top w:val="single" w:sz="4" w:space="0" w:color="auto"/>
              <w:left w:val="single" w:sz="4" w:space="0" w:color="auto"/>
              <w:bottom w:val="single" w:sz="4" w:space="0" w:color="auto"/>
              <w:right w:val="single" w:sz="4" w:space="0" w:color="auto"/>
            </w:tcBorders>
          </w:tcPr>
          <w:p w14:paraId="550FB821" w14:textId="77777777" w:rsidR="002F29E6" w:rsidRPr="0041169C" w:rsidRDefault="002F29E6" w:rsidP="002F29E6">
            <w:r w:rsidRPr="0041169C">
              <w:t>Fellowship</w:t>
            </w:r>
          </w:p>
        </w:tc>
        <w:tc>
          <w:tcPr>
            <w:tcW w:w="557" w:type="pct"/>
            <w:tcBorders>
              <w:top w:val="single" w:sz="4" w:space="0" w:color="auto"/>
              <w:left w:val="single" w:sz="4" w:space="0" w:color="auto"/>
              <w:bottom w:val="single" w:sz="4" w:space="0" w:color="auto"/>
              <w:right w:val="single" w:sz="4" w:space="0" w:color="auto"/>
            </w:tcBorders>
          </w:tcPr>
          <w:p w14:paraId="5717A2A1" w14:textId="77777777" w:rsidR="002F29E6" w:rsidRPr="0041169C" w:rsidRDefault="002F29E6" w:rsidP="00A71F38">
            <w:r w:rsidRPr="0041169C">
              <w:t xml:space="preserve">Start </w:t>
            </w:r>
            <w:r w:rsidR="00A71F38" w:rsidRPr="0041169C">
              <w:t>Collection</w:t>
            </w:r>
          </w:p>
        </w:tc>
        <w:tc>
          <w:tcPr>
            <w:tcW w:w="658" w:type="pct"/>
            <w:tcBorders>
              <w:top w:val="single" w:sz="4" w:space="0" w:color="auto"/>
              <w:left w:val="single" w:sz="4" w:space="0" w:color="auto"/>
              <w:bottom w:val="single" w:sz="4" w:space="0" w:color="auto"/>
              <w:right w:val="single" w:sz="4" w:space="0" w:color="auto"/>
            </w:tcBorders>
          </w:tcPr>
          <w:p w14:paraId="40C6CFC2" w14:textId="77777777" w:rsidR="002F29E6" w:rsidRPr="0041169C" w:rsidRDefault="002F29E6" w:rsidP="00A71F38">
            <w:r w:rsidRPr="0041169C">
              <w:t xml:space="preserve">End </w:t>
            </w:r>
          </w:p>
          <w:p w14:paraId="261D1414" w14:textId="77777777" w:rsidR="00A71F38" w:rsidRPr="0041169C" w:rsidRDefault="00A71F38" w:rsidP="00A71F38">
            <w:r w:rsidRPr="0041169C">
              <w:t>Collection</w:t>
            </w:r>
          </w:p>
        </w:tc>
        <w:tc>
          <w:tcPr>
            <w:tcW w:w="940" w:type="pct"/>
            <w:tcBorders>
              <w:top w:val="single" w:sz="4" w:space="0" w:color="auto"/>
              <w:left w:val="single" w:sz="4" w:space="0" w:color="auto"/>
              <w:bottom w:val="single" w:sz="4" w:space="0" w:color="auto"/>
              <w:right w:val="single" w:sz="4" w:space="0" w:color="auto"/>
            </w:tcBorders>
          </w:tcPr>
          <w:p w14:paraId="44980B7F" w14:textId="77777777" w:rsidR="002F29E6" w:rsidRPr="0041169C" w:rsidRDefault="002F29E6" w:rsidP="002F29E6">
            <w:r w:rsidRPr="0041169C">
              <w:t>Check Completeness</w:t>
            </w:r>
          </w:p>
        </w:tc>
        <w:tc>
          <w:tcPr>
            <w:tcW w:w="973" w:type="pct"/>
            <w:gridSpan w:val="2"/>
            <w:tcBorders>
              <w:top w:val="single" w:sz="4" w:space="0" w:color="auto"/>
              <w:left w:val="single" w:sz="4" w:space="0" w:color="auto"/>
              <w:right w:val="single" w:sz="4" w:space="0" w:color="auto"/>
            </w:tcBorders>
          </w:tcPr>
          <w:p w14:paraId="17FDE4E0" w14:textId="77777777" w:rsidR="002F29E6" w:rsidRPr="0041169C" w:rsidRDefault="00A71F38" w:rsidP="00A71F38">
            <w:r w:rsidRPr="0041169C">
              <w:t xml:space="preserve">Selection process </w:t>
            </w:r>
          </w:p>
        </w:tc>
        <w:tc>
          <w:tcPr>
            <w:tcW w:w="1056" w:type="pct"/>
            <w:vMerge/>
            <w:tcBorders>
              <w:left w:val="single" w:sz="4" w:space="0" w:color="auto"/>
              <w:right w:val="single" w:sz="4" w:space="0" w:color="auto"/>
            </w:tcBorders>
          </w:tcPr>
          <w:p w14:paraId="024221C5" w14:textId="77777777" w:rsidR="002F29E6" w:rsidRPr="0041169C" w:rsidRDefault="002F29E6" w:rsidP="002F29E6"/>
        </w:tc>
      </w:tr>
      <w:tr w:rsidR="00A71F38" w:rsidRPr="0041169C" w14:paraId="5B71127B"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77743B07" w14:textId="77777777" w:rsidR="002F29E6" w:rsidRPr="0041169C" w:rsidRDefault="002F29E6" w:rsidP="002F29E6">
            <w:r w:rsidRPr="0041169C">
              <w:t>EIS</w:t>
            </w:r>
          </w:p>
        </w:tc>
        <w:tc>
          <w:tcPr>
            <w:tcW w:w="557" w:type="pct"/>
            <w:tcBorders>
              <w:top w:val="single" w:sz="4" w:space="0" w:color="auto"/>
              <w:left w:val="single" w:sz="4" w:space="0" w:color="auto"/>
              <w:bottom w:val="single" w:sz="4" w:space="0" w:color="auto"/>
              <w:right w:val="single" w:sz="4" w:space="0" w:color="auto"/>
            </w:tcBorders>
          </w:tcPr>
          <w:p w14:paraId="410966FE" w14:textId="77777777" w:rsidR="002F29E6" w:rsidRPr="0041169C" w:rsidRDefault="002F29E6" w:rsidP="002F29E6">
            <w:r w:rsidRPr="0041169C">
              <w:t>May 1</w:t>
            </w:r>
          </w:p>
        </w:tc>
        <w:tc>
          <w:tcPr>
            <w:tcW w:w="658" w:type="pct"/>
            <w:tcBorders>
              <w:top w:val="single" w:sz="4" w:space="0" w:color="auto"/>
              <w:left w:val="single" w:sz="4" w:space="0" w:color="auto"/>
              <w:bottom w:val="single" w:sz="4" w:space="0" w:color="auto"/>
              <w:right w:val="single" w:sz="4" w:space="0" w:color="auto"/>
            </w:tcBorders>
          </w:tcPr>
          <w:p w14:paraId="20C0E409" w14:textId="77777777" w:rsidR="002F29E6" w:rsidRPr="0041169C" w:rsidRDefault="002F29E6" w:rsidP="002F29E6">
            <w:r w:rsidRPr="0041169C">
              <w:t>Sep 15</w:t>
            </w:r>
          </w:p>
        </w:tc>
        <w:tc>
          <w:tcPr>
            <w:tcW w:w="940" w:type="pct"/>
            <w:tcBorders>
              <w:top w:val="single" w:sz="4" w:space="0" w:color="auto"/>
              <w:left w:val="single" w:sz="4" w:space="0" w:color="auto"/>
              <w:bottom w:val="single" w:sz="4" w:space="0" w:color="auto"/>
              <w:right w:val="single" w:sz="4" w:space="0" w:color="auto"/>
            </w:tcBorders>
          </w:tcPr>
          <w:p w14:paraId="22F8E4DE" w14:textId="1002B8EA" w:rsidR="002F29E6" w:rsidRPr="0041169C" w:rsidRDefault="002F29E6" w:rsidP="00FA4142">
            <w:r w:rsidRPr="0041169C">
              <w:t>May 1– Sep 15</w:t>
            </w:r>
          </w:p>
        </w:tc>
        <w:tc>
          <w:tcPr>
            <w:tcW w:w="973" w:type="pct"/>
            <w:gridSpan w:val="2"/>
            <w:tcBorders>
              <w:left w:val="single" w:sz="4" w:space="0" w:color="auto"/>
              <w:right w:val="single" w:sz="4" w:space="0" w:color="auto"/>
            </w:tcBorders>
          </w:tcPr>
          <w:p w14:paraId="4170E9F2" w14:textId="783B7622" w:rsidR="002F29E6" w:rsidRPr="0041169C" w:rsidRDefault="002F29E6" w:rsidP="00FA4142">
            <w:r w:rsidRPr="0041169C">
              <w:t>Oct 1–May 15</w:t>
            </w:r>
          </w:p>
        </w:tc>
        <w:tc>
          <w:tcPr>
            <w:tcW w:w="1056" w:type="pct"/>
            <w:vMerge/>
            <w:tcBorders>
              <w:left w:val="single" w:sz="4" w:space="0" w:color="auto"/>
              <w:right w:val="single" w:sz="4" w:space="0" w:color="auto"/>
            </w:tcBorders>
          </w:tcPr>
          <w:p w14:paraId="23CBC5D4" w14:textId="77777777" w:rsidR="002F29E6" w:rsidRPr="0041169C" w:rsidRDefault="002F29E6" w:rsidP="002F29E6"/>
        </w:tc>
      </w:tr>
      <w:tr w:rsidR="00A71F38" w:rsidRPr="0041169C" w14:paraId="587CE583"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1BDEE8EE" w14:textId="77777777" w:rsidR="002F29E6" w:rsidRPr="0041169C" w:rsidRDefault="002F29E6" w:rsidP="002F29E6">
            <w:r w:rsidRPr="0041169C">
              <w:t>PEF</w:t>
            </w:r>
          </w:p>
        </w:tc>
        <w:tc>
          <w:tcPr>
            <w:tcW w:w="557" w:type="pct"/>
            <w:tcBorders>
              <w:top w:val="single" w:sz="4" w:space="0" w:color="auto"/>
              <w:left w:val="single" w:sz="4" w:space="0" w:color="auto"/>
              <w:bottom w:val="single" w:sz="4" w:space="0" w:color="auto"/>
              <w:right w:val="single" w:sz="4" w:space="0" w:color="auto"/>
            </w:tcBorders>
          </w:tcPr>
          <w:p w14:paraId="519AA9AF" w14:textId="77777777" w:rsidR="002F29E6" w:rsidRPr="0041169C" w:rsidRDefault="002F29E6" w:rsidP="002F29E6">
            <w:r w:rsidRPr="0041169C">
              <w:t>Sep 1</w:t>
            </w:r>
          </w:p>
        </w:tc>
        <w:tc>
          <w:tcPr>
            <w:tcW w:w="658" w:type="pct"/>
            <w:tcBorders>
              <w:top w:val="single" w:sz="4" w:space="0" w:color="auto"/>
              <w:left w:val="single" w:sz="4" w:space="0" w:color="auto"/>
              <w:bottom w:val="single" w:sz="4" w:space="0" w:color="auto"/>
              <w:right w:val="single" w:sz="4" w:space="0" w:color="auto"/>
            </w:tcBorders>
          </w:tcPr>
          <w:p w14:paraId="356C7365" w14:textId="77777777" w:rsidR="002F29E6" w:rsidRPr="0041169C" w:rsidRDefault="002F29E6" w:rsidP="002F29E6">
            <w:r w:rsidRPr="0041169C">
              <w:t>Feb 1</w:t>
            </w:r>
          </w:p>
        </w:tc>
        <w:tc>
          <w:tcPr>
            <w:tcW w:w="940" w:type="pct"/>
            <w:tcBorders>
              <w:top w:val="single" w:sz="4" w:space="0" w:color="auto"/>
              <w:left w:val="single" w:sz="4" w:space="0" w:color="auto"/>
              <w:bottom w:val="single" w:sz="4" w:space="0" w:color="auto"/>
              <w:right w:val="single" w:sz="4" w:space="0" w:color="auto"/>
            </w:tcBorders>
          </w:tcPr>
          <w:p w14:paraId="1C93B4D9" w14:textId="047A6DED" w:rsidR="002F29E6" w:rsidRPr="0041169C" w:rsidRDefault="002F29E6" w:rsidP="00FA4142">
            <w:r w:rsidRPr="0041169C">
              <w:t>Oct 1–Feb 15</w:t>
            </w:r>
          </w:p>
        </w:tc>
        <w:tc>
          <w:tcPr>
            <w:tcW w:w="973" w:type="pct"/>
            <w:gridSpan w:val="2"/>
            <w:tcBorders>
              <w:left w:val="single" w:sz="4" w:space="0" w:color="auto"/>
              <w:right w:val="single" w:sz="4" w:space="0" w:color="auto"/>
            </w:tcBorders>
          </w:tcPr>
          <w:p w14:paraId="698DA36C" w14:textId="77777777" w:rsidR="002F29E6" w:rsidRPr="0041169C" w:rsidRDefault="002F29E6" w:rsidP="002F29E6">
            <w:r w:rsidRPr="0041169C">
              <w:t>Feb 15 – Apr 15</w:t>
            </w:r>
          </w:p>
        </w:tc>
        <w:tc>
          <w:tcPr>
            <w:tcW w:w="1056" w:type="pct"/>
            <w:vMerge/>
            <w:tcBorders>
              <w:left w:val="single" w:sz="4" w:space="0" w:color="auto"/>
              <w:right w:val="single" w:sz="4" w:space="0" w:color="auto"/>
            </w:tcBorders>
          </w:tcPr>
          <w:p w14:paraId="79C36815" w14:textId="77777777" w:rsidR="002F29E6" w:rsidRPr="0041169C" w:rsidRDefault="002F29E6" w:rsidP="002F29E6"/>
        </w:tc>
      </w:tr>
      <w:tr w:rsidR="00A71F38" w:rsidRPr="0041169C" w14:paraId="2548706A"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4A7DC468" w14:textId="77777777" w:rsidR="002F29E6" w:rsidRPr="0041169C" w:rsidRDefault="002F29E6" w:rsidP="002F29E6">
            <w:r w:rsidRPr="0041169C">
              <w:t>PHIF</w:t>
            </w:r>
          </w:p>
        </w:tc>
        <w:tc>
          <w:tcPr>
            <w:tcW w:w="557" w:type="pct"/>
            <w:tcBorders>
              <w:top w:val="single" w:sz="4" w:space="0" w:color="auto"/>
              <w:left w:val="single" w:sz="4" w:space="0" w:color="auto"/>
              <w:bottom w:val="single" w:sz="4" w:space="0" w:color="auto"/>
              <w:right w:val="single" w:sz="4" w:space="0" w:color="auto"/>
            </w:tcBorders>
          </w:tcPr>
          <w:p w14:paraId="55E4A03F" w14:textId="77777777" w:rsidR="002F29E6" w:rsidRPr="0041169C" w:rsidRDefault="002F29E6" w:rsidP="002F29E6">
            <w:r w:rsidRPr="0041169C">
              <w:t>Jul 1</w:t>
            </w:r>
          </w:p>
        </w:tc>
        <w:tc>
          <w:tcPr>
            <w:tcW w:w="658" w:type="pct"/>
            <w:tcBorders>
              <w:top w:val="single" w:sz="4" w:space="0" w:color="auto"/>
              <w:left w:val="single" w:sz="4" w:space="0" w:color="auto"/>
              <w:bottom w:val="single" w:sz="4" w:space="0" w:color="auto"/>
              <w:right w:val="single" w:sz="4" w:space="0" w:color="auto"/>
            </w:tcBorders>
          </w:tcPr>
          <w:p w14:paraId="3EE48241" w14:textId="77777777" w:rsidR="002F29E6" w:rsidRPr="0041169C" w:rsidRDefault="002F29E6" w:rsidP="002F29E6">
            <w:r w:rsidRPr="0041169C">
              <w:t>Dec 15</w:t>
            </w:r>
          </w:p>
        </w:tc>
        <w:tc>
          <w:tcPr>
            <w:tcW w:w="940" w:type="pct"/>
            <w:tcBorders>
              <w:top w:val="single" w:sz="4" w:space="0" w:color="auto"/>
              <w:left w:val="single" w:sz="4" w:space="0" w:color="auto"/>
              <w:bottom w:val="single" w:sz="4" w:space="0" w:color="auto"/>
              <w:right w:val="single" w:sz="4" w:space="0" w:color="auto"/>
            </w:tcBorders>
          </w:tcPr>
          <w:p w14:paraId="5F65CAA2" w14:textId="1362B39E" w:rsidR="002F29E6" w:rsidRPr="0041169C" w:rsidRDefault="002F29E6" w:rsidP="00FA4142">
            <w:r w:rsidRPr="0041169C">
              <w:t>July 1–Dec 15</w:t>
            </w:r>
          </w:p>
        </w:tc>
        <w:tc>
          <w:tcPr>
            <w:tcW w:w="973" w:type="pct"/>
            <w:gridSpan w:val="2"/>
            <w:tcBorders>
              <w:left w:val="single" w:sz="4" w:space="0" w:color="auto"/>
              <w:right w:val="single" w:sz="4" w:space="0" w:color="auto"/>
            </w:tcBorders>
          </w:tcPr>
          <w:p w14:paraId="5F1B8C94" w14:textId="77777777" w:rsidR="002F29E6" w:rsidRPr="0041169C" w:rsidRDefault="002F29E6" w:rsidP="002F29E6">
            <w:r w:rsidRPr="0041169C">
              <w:t>Mar 1 – May 15</w:t>
            </w:r>
          </w:p>
        </w:tc>
        <w:tc>
          <w:tcPr>
            <w:tcW w:w="1056" w:type="pct"/>
            <w:vMerge/>
            <w:tcBorders>
              <w:left w:val="single" w:sz="4" w:space="0" w:color="auto"/>
              <w:right w:val="single" w:sz="4" w:space="0" w:color="auto"/>
            </w:tcBorders>
          </w:tcPr>
          <w:p w14:paraId="3EED00E7" w14:textId="77777777" w:rsidR="002F29E6" w:rsidRPr="0041169C" w:rsidRDefault="002F29E6" w:rsidP="002F29E6"/>
        </w:tc>
      </w:tr>
      <w:tr w:rsidR="00A71F38" w:rsidRPr="0041169C" w14:paraId="7CD6ABDA"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670D6BD2" w14:textId="77777777" w:rsidR="002F29E6" w:rsidRPr="0041169C" w:rsidRDefault="002F29E6" w:rsidP="002F29E6">
            <w:r w:rsidRPr="0041169C">
              <w:t>Epi-Elect, Fall Rotations</w:t>
            </w:r>
          </w:p>
        </w:tc>
        <w:tc>
          <w:tcPr>
            <w:tcW w:w="557" w:type="pct"/>
            <w:tcBorders>
              <w:top w:val="single" w:sz="4" w:space="0" w:color="auto"/>
              <w:left w:val="single" w:sz="4" w:space="0" w:color="auto"/>
              <w:bottom w:val="single" w:sz="4" w:space="0" w:color="auto"/>
              <w:right w:val="single" w:sz="4" w:space="0" w:color="auto"/>
            </w:tcBorders>
          </w:tcPr>
          <w:p w14:paraId="08EE44EA" w14:textId="77777777" w:rsidR="002F29E6" w:rsidRPr="0041169C" w:rsidRDefault="002F29E6" w:rsidP="002F29E6">
            <w:r w:rsidRPr="0041169C">
              <w:t>Jan 1</w:t>
            </w:r>
          </w:p>
        </w:tc>
        <w:tc>
          <w:tcPr>
            <w:tcW w:w="658" w:type="pct"/>
            <w:tcBorders>
              <w:top w:val="single" w:sz="4" w:space="0" w:color="auto"/>
              <w:left w:val="single" w:sz="4" w:space="0" w:color="auto"/>
              <w:bottom w:val="single" w:sz="4" w:space="0" w:color="auto"/>
              <w:right w:val="single" w:sz="4" w:space="0" w:color="auto"/>
            </w:tcBorders>
          </w:tcPr>
          <w:p w14:paraId="37D66E85" w14:textId="77777777" w:rsidR="002F29E6" w:rsidRPr="0041169C" w:rsidRDefault="002F29E6" w:rsidP="002F29E6">
            <w:r w:rsidRPr="0041169C">
              <w:t>Mar 30</w:t>
            </w:r>
          </w:p>
        </w:tc>
        <w:tc>
          <w:tcPr>
            <w:tcW w:w="940" w:type="pct"/>
            <w:tcBorders>
              <w:top w:val="single" w:sz="4" w:space="0" w:color="auto"/>
              <w:left w:val="single" w:sz="4" w:space="0" w:color="auto"/>
              <w:bottom w:val="single" w:sz="4" w:space="0" w:color="auto"/>
              <w:right w:val="single" w:sz="4" w:space="0" w:color="auto"/>
            </w:tcBorders>
          </w:tcPr>
          <w:p w14:paraId="385AAFEB" w14:textId="3D588F9E" w:rsidR="002F29E6" w:rsidRPr="0041169C" w:rsidRDefault="002F29E6" w:rsidP="00FA4142">
            <w:r w:rsidRPr="0041169C">
              <w:t>Jan 1–Mar 30</w:t>
            </w:r>
          </w:p>
        </w:tc>
        <w:tc>
          <w:tcPr>
            <w:tcW w:w="973" w:type="pct"/>
            <w:gridSpan w:val="2"/>
            <w:tcBorders>
              <w:left w:val="single" w:sz="4" w:space="0" w:color="auto"/>
              <w:right w:val="single" w:sz="4" w:space="0" w:color="auto"/>
            </w:tcBorders>
          </w:tcPr>
          <w:p w14:paraId="0A1BAEC7" w14:textId="77777777" w:rsidR="002F29E6" w:rsidRPr="0041169C" w:rsidRDefault="002F29E6" w:rsidP="002F29E6">
            <w:r w:rsidRPr="0041169C">
              <w:t>May 1 – Aug 15</w:t>
            </w:r>
          </w:p>
        </w:tc>
        <w:tc>
          <w:tcPr>
            <w:tcW w:w="1056" w:type="pct"/>
            <w:vMerge/>
            <w:tcBorders>
              <w:left w:val="single" w:sz="4" w:space="0" w:color="auto"/>
              <w:right w:val="single" w:sz="4" w:space="0" w:color="auto"/>
            </w:tcBorders>
          </w:tcPr>
          <w:p w14:paraId="630CCB0D" w14:textId="77777777" w:rsidR="002F29E6" w:rsidRPr="0041169C" w:rsidRDefault="002F29E6" w:rsidP="002F29E6"/>
        </w:tc>
      </w:tr>
      <w:tr w:rsidR="00A71F38" w:rsidRPr="0041169C" w14:paraId="4C6574FB"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528BCD3E" w14:textId="77777777" w:rsidR="002F29E6" w:rsidRPr="0041169C" w:rsidRDefault="002F29E6" w:rsidP="002F29E6">
            <w:r w:rsidRPr="0041169C">
              <w:t>Epi-Elect, Spring Rotations</w:t>
            </w:r>
          </w:p>
        </w:tc>
        <w:tc>
          <w:tcPr>
            <w:tcW w:w="557" w:type="pct"/>
            <w:tcBorders>
              <w:top w:val="single" w:sz="4" w:space="0" w:color="auto"/>
              <w:left w:val="single" w:sz="4" w:space="0" w:color="auto"/>
              <w:bottom w:val="single" w:sz="4" w:space="0" w:color="auto"/>
              <w:right w:val="single" w:sz="4" w:space="0" w:color="auto"/>
            </w:tcBorders>
          </w:tcPr>
          <w:p w14:paraId="584DB7E3" w14:textId="77777777" w:rsidR="002F29E6" w:rsidRPr="0041169C" w:rsidRDefault="002F29E6" w:rsidP="002F29E6">
            <w:r w:rsidRPr="0041169C">
              <w:t>Mar 1</w:t>
            </w:r>
          </w:p>
        </w:tc>
        <w:tc>
          <w:tcPr>
            <w:tcW w:w="658" w:type="pct"/>
            <w:tcBorders>
              <w:top w:val="single" w:sz="4" w:space="0" w:color="auto"/>
              <w:left w:val="single" w:sz="4" w:space="0" w:color="auto"/>
              <w:bottom w:val="single" w:sz="4" w:space="0" w:color="auto"/>
              <w:right w:val="single" w:sz="4" w:space="0" w:color="auto"/>
            </w:tcBorders>
          </w:tcPr>
          <w:p w14:paraId="38945CAD" w14:textId="77777777" w:rsidR="002F29E6" w:rsidRPr="0041169C" w:rsidRDefault="002F29E6" w:rsidP="002F29E6">
            <w:r w:rsidRPr="0041169C">
              <w:t>May 30</w:t>
            </w:r>
          </w:p>
        </w:tc>
        <w:tc>
          <w:tcPr>
            <w:tcW w:w="940" w:type="pct"/>
            <w:tcBorders>
              <w:top w:val="single" w:sz="4" w:space="0" w:color="auto"/>
              <w:left w:val="single" w:sz="4" w:space="0" w:color="auto"/>
              <w:bottom w:val="single" w:sz="4" w:space="0" w:color="auto"/>
              <w:right w:val="single" w:sz="4" w:space="0" w:color="auto"/>
            </w:tcBorders>
          </w:tcPr>
          <w:p w14:paraId="2EB43131" w14:textId="50BB4CC2" w:rsidR="002F29E6" w:rsidRPr="0041169C" w:rsidRDefault="00FA4142" w:rsidP="00FA4142">
            <w:r w:rsidRPr="0041169C">
              <w:t>Mar 1</w:t>
            </w:r>
            <w:r w:rsidR="002F29E6" w:rsidRPr="0041169C">
              <w:t xml:space="preserve">–May </w:t>
            </w:r>
            <w:r w:rsidRPr="0041169C">
              <w:t>30</w:t>
            </w:r>
          </w:p>
        </w:tc>
        <w:tc>
          <w:tcPr>
            <w:tcW w:w="973" w:type="pct"/>
            <w:gridSpan w:val="2"/>
            <w:tcBorders>
              <w:left w:val="single" w:sz="4" w:space="0" w:color="auto"/>
              <w:right w:val="single" w:sz="4" w:space="0" w:color="auto"/>
            </w:tcBorders>
          </w:tcPr>
          <w:p w14:paraId="51CFDE32" w14:textId="0CD8E175" w:rsidR="002F29E6" w:rsidRPr="0041169C" w:rsidRDefault="002F29E6" w:rsidP="00FA4142">
            <w:r w:rsidRPr="0041169C">
              <w:t>Jul 1–Oct 15</w:t>
            </w:r>
          </w:p>
        </w:tc>
        <w:tc>
          <w:tcPr>
            <w:tcW w:w="1056" w:type="pct"/>
            <w:vMerge/>
            <w:tcBorders>
              <w:left w:val="single" w:sz="4" w:space="0" w:color="auto"/>
              <w:right w:val="single" w:sz="4" w:space="0" w:color="auto"/>
            </w:tcBorders>
          </w:tcPr>
          <w:p w14:paraId="2E8C0340" w14:textId="77777777" w:rsidR="002F29E6" w:rsidRPr="0041169C" w:rsidRDefault="002F29E6" w:rsidP="002F29E6"/>
        </w:tc>
      </w:tr>
      <w:tr w:rsidR="00A71F38" w:rsidRPr="0041169C" w14:paraId="79B9EF95" w14:textId="77777777" w:rsidTr="00C715FE">
        <w:trPr>
          <w:trHeight w:val="359"/>
        </w:trPr>
        <w:tc>
          <w:tcPr>
            <w:tcW w:w="816" w:type="pct"/>
            <w:tcBorders>
              <w:top w:val="single" w:sz="4" w:space="0" w:color="auto"/>
              <w:left w:val="single" w:sz="4" w:space="0" w:color="auto"/>
              <w:bottom w:val="single" w:sz="4" w:space="0" w:color="auto"/>
              <w:right w:val="single" w:sz="4" w:space="0" w:color="auto"/>
            </w:tcBorders>
          </w:tcPr>
          <w:p w14:paraId="6B45AD01" w14:textId="77777777" w:rsidR="002F29E6" w:rsidRPr="0041169C" w:rsidRDefault="002F29E6" w:rsidP="002F29E6">
            <w:r w:rsidRPr="0041169C">
              <w:t>Hubert</w:t>
            </w:r>
          </w:p>
        </w:tc>
        <w:tc>
          <w:tcPr>
            <w:tcW w:w="557" w:type="pct"/>
            <w:tcBorders>
              <w:top w:val="single" w:sz="4" w:space="0" w:color="auto"/>
              <w:left w:val="single" w:sz="4" w:space="0" w:color="auto"/>
              <w:bottom w:val="single" w:sz="4" w:space="0" w:color="auto"/>
              <w:right w:val="single" w:sz="4" w:space="0" w:color="auto"/>
            </w:tcBorders>
          </w:tcPr>
          <w:p w14:paraId="6B0AE7D0" w14:textId="77777777" w:rsidR="002F29E6" w:rsidRPr="0041169C" w:rsidRDefault="002F29E6" w:rsidP="002F29E6">
            <w:r w:rsidRPr="0041169C">
              <w:t>Jan 1</w:t>
            </w:r>
          </w:p>
        </w:tc>
        <w:tc>
          <w:tcPr>
            <w:tcW w:w="658" w:type="pct"/>
            <w:tcBorders>
              <w:top w:val="single" w:sz="4" w:space="0" w:color="auto"/>
              <w:left w:val="single" w:sz="4" w:space="0" w:color="auto"/>
              <w:bottom w:val="single" w:sz="4" w:space="0" w:color="auto"/>
              <w:right w:val="single" w:sz="4" w:space="0" w:color="auto"/>
            </w:tcBorders>
          </w:tcPr>
          <w:p w14:paraId="1C6BF87F" w14:textId="77777777" w:rsidR="002F29E6" w:rsidRPr="0041169C" w:rsidRDefault="002F29E6" w:rsidP="002F29E6">
            <w:r w:rsidRPr="0041169C">
              <w:t>Feb 28</w:t>
            </w:r>
          </w:p>
        </w:tc>
        <w:tc>
          <w:tcPr>
            <w:tcW w:w="940" w:type="pct"/>
            <w:tcBorders>
              <w:top w:val="single" w:sz="4" w:space="0" w:color="auto"/>
              <w:left w:val="single" w:sz="4" w:space="0" w:color="auto"/>
              <w:bottom w:val="single" w:sz="4" w:space="0" w:color="auto"/>
              <w:right w:val="single" w:sz="4" w:space="0" w:color="auto"/>
            </w:tcBorders>
          </w:tcPr>
          <w:p w14:paraId="7528E332" w14:textId="044C4A55" w:rsidR="002F29E6" w:rsidRPr="0041169C" w:rsidRDefault="002F29E6" w:rsidP="00FA4142">
            <w:r w:rsidRPr="0041169C">
              <w:t>Jan 1–Mar 15</w:t>
            </w:r>
          </w:p>
        </w:tc>
        <w:tc>
          <w:tcPr>
            <w:tcW w:w="973" w:type="pct"/>
            <w:gridSpan w:val="2"/>
            <w:tcBorders>
              <w:left w:val="single" w:sz="4" w:space="0" w:color="auto"/>
              <w:right w:val="single" w:sz="4" w:space="0" w:color="auto"/>
            </w:tcBorders>
          </w:tcPr>
          <w:p w14:paraId="3CA0E4CF" w14:textId="0F8A5116" w:rsidR="002F29E6" w:rsidRPr="0041169C" w:rsidRDefault="002F29E6" w:rsidP="00FA4142">
            <w:r w:rsidRPr="0041169C">
              <w:t>Apr 1–May 15</w:t>
            </w:r>
          </w:p>
        </w:tc>
        <w:tc>
          <w:tcPr>
            <w:tcW w:w="1056" w:type="pct"/>
            <w:vMerge/>
            <w:tcBorders>
              <w:left w:val="single" w:sz="4" w:space="0" w:color="auto"/>
              <w:right w:val="single" w:sz="4" w:space="0" w:color="auto"/>
            </w:tcBorders>
          </w:tcPr>
          <w:p w14:paraId="0376A58E" w14:textId="77777777" w:rsidR="002F29E6" w:rsidRPr="0041169C" w:rsidRDefault="002F29E6" w:rsidP="002F29E6"/>
        </w:tc>
      </w:tr>
      <w:tr w:rsidR="00FC36AF" w:rsidRPr="0041169C" w14:paraId="64F43440"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6D290D67" w14:textId="77777777" w:rsidR="00FC36AF" w:rsidRPr="0041169C" w:rsidRDefault="00FC36AF" w:rsidP="006E323D">
            <w:pPr>
              <w:rPr>
                <w:rFonts w:eastAsia="SimSun"/>
                <w:color w:val="000000"/>
                <w:szCs w:val="24"/>
              </w:rPr>
            </w:pPr>
            <w:r w:rsidRPr="0041169C">
              <w:rPr>
                <w:rFonts w:eastAsia="SimSun"/>
                <w:color w:val="000000"/>
                <w:szCs w:val="24"/>
              </w:rPr>
              <w:t>PMR/F</w:t>
            </w:r>
          </w:p>
        </w:tc>
        <w:tc>
          <w:tcPr>
            <w:tcW w:w="557" w:type="pct"/>
            <w:tcBorders>
              <w:top w:val="single" w:sz="4" w:space="0" w:color="auto"/>
              <w:left w:val="single" w:sz="4" w:space="0" w:color="auto"/>
              <w:bottom w:val="single" w:sz="4" w:space="0" w:color="auto"/>
              <w:right w:val="single" w:sz="4" w:space="0" w:color="auto"/>
            </w:tcBorders>
          </w:tcPr>
          <w:p w14:paraId="5AF4265F" w14:textId="77777777" w:rsidR="00FC36AF" w:rsidRPr="0041169C" w:rsidRDefault="00FC36AF" w:rsidP="006E323D">
            <w:pPr>
              <w:rPr>
                <w:rFonts w:eastAsia="SimSun"/>
                <w:color w:val="000000"/>
                <w:szCs w:val="24"/>
              </w:rPr>
            </w:pPr>
            <w:r w:rsidRPr="0041169C">
              <w:rPr>
                <w:rFonts w:eastAsia="SimSun"/>
                <w:color w:val="000000"/>
                <w:szCs w:val="24"/>
              </w:rPr>
              <w:t>May 1</w:t>
            </w:r>
          </w:p>
        </w:tc>
        <w:tc>
          <w:tcPr>
            <w:tcW w:w="658" w:type="pct"/>
            <w:tcBorders>
              <w:top w:val="single" w:sz="4" w:space="0" w:color="auto"/>
              <w:left w:val="single" w:sz="4" w:space="0" w:color="auto"/>
              <w:bottom w:val="single" w:sz="4" w:space="0" w:color="auto"/>
              <w:right w:val="single" w:sz="4" w:space="0" w:color="auto"/>
            </w:tcBorders>
          </w:tcPr>
          <w:p w14:paraId="6370F163" w14:textId="77777777" w:rsidR="00FC36AF" w:rsidRPr="0041169C" w:rsidRDefault="00FC36AF" w:rsidP="006E323D">
            <w:pPr>
              <w:rPr>
                <w:rFonts w:eastAsia="SimSun"/>
                <w:color w:val="000000"/>
                <w:szCs w:val="24"/>
              </w:rPr>
            </w:pPr>
            <w:r w:rsidRPr="0041169C">
              <w:rPr>
                <w:rFonts w:eastAsia="SimSun"/>
                <w:color w:val="000000"/>
                <w:szCs w:val="24"/>
              </w:rPr>
              <w:t>Oct 15</w:t>
            </w:r>
          </w:p>
        </w:tc>
        <w:tc>
          <w:tcPr>
            <w:tcW w:w="940" w:type="pct"/>
            <w:tcBorders>
              <w:top w:val="single" w:sz="4" w:space="0" w:color="auto"/>
              <w:left w:val="single" w:sz="4" w:space="0" w:color="auto"/>
              <w:bottom w:val="single" w:sz="4" w:space="0" w:color="auto"/>
              <w:right w:val="single" w:sz="4" w:space="0" w:color="auto"/>
            </w:tcBorders>
          </w:tcPr>
          <w:p w14:paraId="7EE94BDC" w14:textId="6E8E076E" w:rsidR="00FC36AF" w:rsidRPr="0041169C" w:rsidRDefault="00FC36AF" w:rsidP="00FA4142">
            <w:pPr>
              <w:rPr>
                <w:rFonts w:eastAsia="SimSun"/>
                <w:color w:val="000000"/>
                <w:szCs w:val="24"/>
              </w:rPr>
            </w:pPr>
            <w:r w:rsidRPr="0041169C">
              <w:rPr>
                <w:rFonts w:eastAsia="SimSun"/>
                <w:color w:val="000000"/>
                <w:szCs w:val="24"/>
              </w:rPr>
              <w:t>May 1–Oct 15</w:t>
            </w:r>
          </w:p>
        </w:tc>
        <w:tc>
          <w:tcPr>
            <w:tcW w:w="973" w:type="pct"/>
            <w:gridSpan w:val="2"/>
            <w:tcBorders>
              <w:left w:val="single" w:sz="4" w:space="0" w:color="auto"/>
              <w:bottom w:val="single" w:sz="4" w:space="0" w:color="auto"/>
              <w:right w:val="single" w:sz="4" w:space="0" w:color="auto"/>
            </w:tcBorders>
          </w:tcPr>
          <w:p w14:paraId="57104283" w14:textId="2AF281D6" w:rsidR="00FC36AF" w:rsidRPr="0041169C" w:rsidRDefault="00FC36AF" w:rsidP="00FA4142">
            <w:r w:rsidRPr="0041169C">
              <w:t>Oct 15–Feb 15</w:t>
            </w:r>
          </w:p>
        </w:tc>
        <w:tc>
          <w:tcPr>
            <w:tcW w:w="1056" w:type="pct"/>
            <w:vMerge/>
            <w:tcBorders>
              <w:left w:val="single" w:sz="4" w:space="0" w:color="auto"/>
              <w:bottom w:val="single" w:sz="4" w:space="0" w:color="auto"/>
              <w:right w:val="single" w:sz="4" w:space="0" w:color="auto"/>
            </w:tcBorders>
          </w:tcPr>
          <w:p w14:paraId="25D484B7" w14:textId="77777777" w:rsidR="00FC36AF" w:rsidRPr="0041169C" w:rsidRDefault="00FC36AF" w:rsidP="002F29E6"/>
        </w:tc>
      </w:tr>
      <w:tr w:rsidR="00A71F38" w:rsidRPr="0041169C" w14:paraId="678F6124"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078557F1" w14:textId="77777777" w:rsidR="002F29E6" w:rsidRPr="0041169C" w:rsidRDefault="002F29E6" w:rsidP="002F29E6">
            <w:r w:rsidRPr="0041169C">
              <w:t>PHAP</w:t>
            </w:r>
          </w:p>
        </w:tc>
        <w:tc>
          <w:tcPr>
            <w:tcW w:w="557" w:type="pct"/>
            <w:tcBorders>
              <w:top w:val="single" w:sz="4" w:space="0" w:color="auto"/>
              <w:left w:val="single" w:sz="4" w:space="0" w:color="auto"/>
              <w:bottom w:val="single" w:sz="4" w:space="0" w:color="auto"/>
              <w:right w:val="single" w:sz="4" w:space="0" w:color="auto"/>
            </w:tcBorders>
          </w:tcPr>
          <w:p w14:paraId="218B601D" w14:textId="77777777" w:rsidR="002F29E6" w:rsidRPr="0041169C" w:rsidRDefault="002F29E6" w:rsidP="002F29E6">
            <w:r w:rsidRPr="0041169C">
              <w:t>Feb 1</w:t>
            </w:r>
          </w:p>
        </w:tc>
        <w:tc>
          <w:tcPr>
            <w:tcW w:w="658" w:type="pct"/>
            <w:tcBorders>
              <w:top w:val="single" w:sz="4" w:space="0" w:color="auto"/>
              <w:left w:val="single" w:sz="4" w:space="0" w:color="auto"/>
              <w:bottom w:val="single" w:sz="4" w:space="0" w:color="auto"/>
              <w:right w:val="single" w:sz="4" w:space="0" w:color="auto"/>
            </w:tcBorders>
          </w:tcPr>
          <w:p w14:paraId="7AF30EC6" w14:textId="77777777" w:rsidR="002F29E6" w:rsidRPr="0041169C" w:rsidRDefault="002F29E6" w:rsidP="002F29E6">
            <w:r w:rsidRPr="0041169C">
              <w:t>May 15</w:t>
            </w:r>
          </w:p>
        </w:tc>
        <w:tc>
          <w:tcPr>
            <w:tcW w:w="940" w:type="pct"/>
            <w:tcBorders>
              <w:top w:val="single" w:sz="4" w:space="0" w:color="auto"/>
              <w:left w:val="single" w:sz="4" w:space="0" w:color="auto"/>
              <w:bottom w:val="single" w:sz="4" w:space="0" w:color="auto"/>
              <w:right w:val="single" w:sz="4" w:space="0" w:color="auto"/>
            </w:tcBorders>
          </w:tcPr>
          <w:p w14:paraId="598AC4C1" w14:textId="207473B2" w:rsidR="002F29E6" w:rsidRPr="0041169C" w:rsidRDefault="002F29E6" w:rsidP="00FA4142">
            <w:r w:rsidRPr="0041169C">
              <w:t>Feb 1–May 15</w:t>
            </w:r>
          </w:p>
        </w:tc>
        <w:tc>
          <w:tcPr>
            <w:tcW w:w="973" w:type="pct"/>
            <w:gridSpan w:val="2"/>
            <w:tcBorders>
              <w:left w:val="single" w:sz="4" w:space="0" w:color="auto"/>
              <w:bottom w:val="single" w:sz="4" w:space="0" w:color="auto"/>
              <w:right w:val="single" w:sz="4" w:space="0" w:color="auto"/>
            </w:tcBorders>
          </w:tcPr>
          <w:p w14:paraId="3BAAFFA6" w14:textId="668DA00E" w:rsidR="002F29E6" w:rsidRPr="0041169C" w:rsidRDefault="002F29E6" w:rsidP="00FA4142">
            <w:r w:rsidRPr="0041169C">
              <w:t>Apr 15–Jul 15</w:t>
            </w:r>
          </w:p>
        </w:tc>
        <w:tc>
          <w:tcPr>
            <w:tcW w:w="1056" w:type="pct"/>
            <w:vMerge/>
            <w:tcBorders>
              <w:left w:val="single" w:sz="4" w:space="0" w:color="auto"/>
              <w:bottom w:val="nil"/>
              <w:right w:val="single" w:sz="4" w:space="0" w:color="auto"/>
            </w:tcBorders>
          </w:tcPr>
          <w:p w14:paraId="2A1E4D7C" w14:textId="77777777" w:rsidR="002F29E6" w:rsidRPr="0041169C" w:rsidRDefault="002F29E6" w:rsidP="002F29E6"/>
        </w:tc>
      </w:tr>
      <w:tr w:rsidR="00A07DAD" w:rsidRPr="0041169C" w14:paraId="7C9CCB69" w14:textId="77777777" w:rsidTr="00C715FE">
        <w:trPr>
          <w:trHeight w:val="58"/>
        </w:trPr>
        <w:tc>
          <w:tcPr>
            <w:tcW w:w="816" w:type="pct"/>
            <w:tcBorders>
              <w:top w:val="single" w:sz="4" w:space="0" w:color="auto"/>
              <w:left w:val="single" w:sz="4" w:space="0" w:color="auto"/>
              <w:bottom w:val="single" w:sz="4" w:space="0" w:color="auto"/>
              <w:right w:val="single" w:sz="4" w:space="0" w:color="auto"/>
            </w:tcBorders>
          </w:tcPr>
          <w:p w14:paraId="4FB38B39" w14:textId="26346BB0" w:rsidR="00A07DAD" w:rsidRPr="0041169C" w:rsidRDefault="00A07DAD" w:rsidP="002F29E6">
            <w:r w:rsidRPr="0041169C">
              <w:t>Science Ambassadors</w:t>
            </w:r>
          </w:p>
        </w:tc>
        <w:tc>
          <w:tcPr>
            <w:tcW w:w="557" w:type="pct"/>
            <w:tcBorders>
              <w:top w:val="single" w:sz="4" w:space="0" w:color="auto"/>
              <w:left w:val="single" w:sz="4" w:space="0" w:color="auto"/>
              <w:bottom w:val="single" w:sz="4" w:space="0" w:color="auto"/>
              <w:right w:val="single" w:sz="4" w:space="0" w:color="auto"/>
            </w:tcBorders>
          </w:tcPr>
          <w:p w14:paraId="78F829EF" w14:textId="77777777" w:rsidR="00A07DAD" w:rsidRPr="0041169C" w:rsidRDefault="006E7473" w:rsidP="002F29E6">
            <w:r w:rsidRPr="0041169C">
              <w:t>Nov 15</w:t>
            </w:r>
          </w:p>
          <w:p w14:paraId="35F0F06F" w14:textId="110F3823" w:rsidR="006E7473" w:rsidRPr="0041169C" w:rsidRDefault="006E7473" w:rsidP="002F29E6"/>
        </w:tc>
        <w:tc>
          <w:tcPr>
            <w:tcW w:w="658" w:type="pct"/>
            <w:tcBorders>
              <w:top w:val="single" w:sz="4" w:space="0" w:color="auto"/>
              <w:left w:val="single" w:sz="4" w:space="0" w:color="auto"/>
              <w:bottom w:val="single" w:sz="4" w:space="0" w:color="auto"/>
              <w:right w:val="single" w:sz="4" w:space="0" w:color="auto"/>
            </w:tcBorders>
          </w:tcPr>
          <w:p w14:paraId="33C16D85" w14:textId="7E9ED0FD" w:rsidR="00A07DAD" w:rsidRPr="0041169C" w:rsidRDefault="00FA4142" w:rsidP="00A07DAD">
            <w:r w:rsidRPr="0041169C">
              <w:t xml:space="preserve">Feb </w:t>
            </w:r>
            <w:r w:rsidR="00A07DAD" w:rsidRPr="0041169C">
              <w:t>15</w:t>
            </w:r>
          </w:p>
          <w:p w14:paraId="7744AD49" w14:textId="62AA2103" w:rsidR="006E7473" w:rsidRPr="0041169C" w:rsidRDefault="006E7473" w:rsidP="00A07DAD"/>
        </w:tc>
        <w:tc>
          <w:tcPr>
            <w:tcW w:w="940" w:type="pct"/>
            <w:tcBorders>
              <w:top w:val="single" w:sz="4" w:space="0" w:color="auto"/>
              <w:left w:val="single" w:sz="4" w:space="0" w:color="auto"/>
              <w:bottom w:val="single" w:sz="4" w:space="0" w:color="auto"/>
              <w:right w:val="single" w:sz="4" w:space="0" w:color="auto"/>
            </w:tcBorders>
          </w:tcPr>
          <w:p w14:paraId="20B8B6FE" w14:textId="1FCE3776" w:rsidR="00A07DAD" w:rsidRPr="0041169C" w:rsidRDefault="00FA4142" w:rsidP="00FA4142">
            <w:r w:rsidRPr="0041169C">
              <w:t>March–April</w:t>
            </w:r>
          </w:p>
        </w:tc>
        <w:tc>
          <w:tcPr>
            <w:tcW w:w="973" w:type="pct"/>
            <w:gridSpan w:val="2"/>
            <w:tcBorders>
              <w:left w:val="single" w:sz="4" w:space="0" w:color="auto"/>
              <w:bottom w:val="single" w:sz="4" w:space="0" w:color="auto"/>
              <w:right w:val="single" w:sz="4" w:space="0" w:color="auto"/>
            </w:tcBorders>
          </w:tcPr>
          <w:p w14:paraId="6950F048" w14:textId="7466984F" w:rsidR="00A07DAD" w:rsidRPr="0041169C" w:rsidRDefault="00FA4142" w:rsidP="00FA4142">
            <w:r w:rsidRPr="0041169C">
              <w:t>Apr 15</w:t>
            </w:r>
            <w:r w:rsidR="00A07DAD" w:rsidRPr="0041169C">
              <w:t>–</w:t>
            </w:r>
            <w:r w:rsidRPr="0041169C">
              <w:t xml:space="preserve">Apr </w:t>
            </w:r>
            <w:r w:rsidR="00A07DAD" w:rsidRPr="0041169C">
              <w:t>30</w:t>
            </w:r>
          </w:p>
        </w:tc>
        <w:tc>
          <w:tcPr>
            <w:tcW w:w="1056" w:type="pct"/>
            <w:tcBorders>
              <w:top w:val="nil"/>
              <w:left w:val="single" w:sz="4" w:space="0" w:color="auto"/>
              <w:bottom w:val="single" w:sz="4" w:space="0" w:color="auto"/>
              <w:right w:val="single" w:sz="4" w:space="0" w:color="auto"/>
            </w:tcBorders>
          </w:tcPr>
          <w:p w14:paraId="611EFB55" w14:textId="77777777" w:rsidR="00A07DAD" w:rsidRPr="0041169C" w:rsidRDefault="00A07DAD" w:rsidP="002F29E6"/>
        </w:tc>
      </w:tr>
      <w:tr w:rsidR="002F29E6" w:rsidRPr="0041169C" w14:paraId="5C32C8E0" w14:textId="77777777" w:rsidTr="00C715FE">
        <w:trPr>
          <w:trHeight w:val="465"/>
        </w:trPr>
        <w:tc>
          <w:tcPr>
            <w:tcW w:w="3944" w:type="pct"/>
            <w:gridSpan w:val="6"/>
            <w:tcBorders>
              <w:top w:val="single" w:sz="4" w:space="0" w:color="auto"/>
              <w:left w:val="single" w:sz="4" w:space="0" w:color="auto"/>
              <w:bottom w:val="single" w:sz="4" w:space="0" w:color="auto"/>
              <w:right w:val="single" w:sz="4" w:space="0" w:color="auto"/>
            </w:tcBorders>
          </w:tcPr>
          <w:p w14:paraId="006868CB" w14:textId="77777777" w:rsidR="002F29E6" w:rsidRPr="0041169C" w:rsidRDefault="002F29E6" w:rsidP="002F29E6">
            <w:r w:rsidRPr="0041169C">
              <w:t xml:space="preserve">Check </w:t>
            </w:r>
            <w:r w:rsidRPr="0041169C">
              <w:rPr>
                <w:b/>
              </w:rPr>
              <w:t>Alumni Directory</w:t>
            </w:r>
            <w:r w:rsidRPr="0041169C">
              <w:t xml:space="preserve"> data for completeness</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4088D3D1" w14:textId="77777777" w:rsidR="002F29E6" w:rsidRPr="0041169C" w:rsidRDefault="002F29E6" w:rsidP="002F29E6">
            <w:r w:rsidRPr="0041169C">
              <w:t>Every three months for 3 years</w:t>
            </w:r>
          </w:p>
        </w:tc>
      </w:tr>
      <w:tr w:rsidR="002F29E6" w:rsidRPr="0041169C" w14:paraId="796C0A5D" w14:textId="77777777" w:rsidTr="00A71F38">
        <w:trPr>
          <w:trHeight w:val="197"/>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511A56" w14:textId="77777777" w:rsidR="002F29E6" w:rsidRPr="0041169C" w:rsidRDefault="002F29E6" w:rsidP="002F29E6"/>
        </w:tc>
      </w:tr>
      <w:tr w:rsidR="002F29E6" w:rsidRPr="0041169C" w14:paraId="34500BA8" w14:textId="77777777" w:rsidTr="00C715FE">
        <w:trPr>
          <w:trHeight w:val="465"/>
        </w:trPr>
        <w:tc>
          <w:tcPr>
            <w:tcW w:w="3944" w:type="pct"/>
            <w:gridSpan w:val="6"/>
            <w:tcBorders>
              <w:top w:val="single" w:sz="4" w:space="0" w:color="auto"/>
              <w:left w:val="single" w:sz="4" w:space="0" w:color="auto"/>
              <w:bottom w:val="single" w:sz="4" w:space="0" w:color="auto"/>
              <w:right w:val="single" w:sz="4" w:space="0" w:color="auto"/>
            </w:tcBorders>
            <w:shd w:val="clear" w:color="auto" w:fill="auto"/>
          </w:tcPr>
          <w:p w14:paraId="40D689AC" w14:textId="77777777" w:rsidR="002F29E6" w:rsidRPr="0041169C" w:rsidRDefault="002F29E6" w:rsidP="002F29E6">
            <w:r w:rsidRPr="0041169C">
              <w:t>End data collection and obtain extension from OMB</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016C56F1" w14:textId="77777777" w:rsidR="002F29E6" w:rsidRPr="0041169C" w:rsidRDefault="002F29E6" w:rsidP="002F29E6">
            <w:r w:rsidRPr="0041169C">
              <w:t>3 years after receipt of approval</w:t>
            </w:r>
          </w:p>
        </w:tc>
      </w:tr>
    </w:tbl>
    <w:p w14:paraId="7DDBF708" w14:textId="77777777" w:rsidR="002B7F24" w:rsidRPr="0041169C" w:rsidRDefault="002B7F24" w:rsidP="00F82188"/>
    <w:p w14:paraId="7AA0F2CA" w14:textId="77777777" w:rsidR="00880933" w:rsidRPr="0041169C" w:rsidRDefault="00880933" w:rsidP="00F82188"/>
    <w:p w14:paraId="0B8F21CD" w14:textId="77777777" w:rsidR="002B7F24" w:rsidRPr="0041169C" w:rsidRDefault="002B7F24" w:rsidP="001C611B">
      <w:pPr>
        <w:pStyle w:val="Heading2"/>
      </w:pPr>
      <w:bookmarkStart w:id="22" w:name="_Toc498433381"/>
      <w:r w:rsidRPr="0041169C">
        <w:t>17. Reasons Display of OMB Expiration Date is Inappropriate</w:t>
      </w:r>
      <w:bookmarkEnd w:id="22"/>
    </w:p>
    <w:p w14:paraId="0D10770A" w14:textId="77777777" w:rsidR="002B7F24" w:rsidRPr="0041169C" w:rsidRDefault="002B7F24" w:rsidP="00F82188"/>
    <w:p w14:paraId="4BB36BA3" w14:textId="77777777" w:rsidR="002B7F24" w:rsidRPr="0041169C" w:rsidRDefault="002B7F24" w:rsidP="00F82188">
      <w:r w:rsidRPr="0041169C">
        <w:t>CDC is not requesting an exemption from displaying the expiration date.</w:t>
      </w:r>
    </w:p>
    <w:p w14:paraId="3D351E1D" w14:textId="77777777" w:rsidR="00880933" w:rsidRPr="0041169C" w:rsidRDefault="00880933" w:rsidP="00F82188"/>
    <w:p w14:paraId="39D10678" w14:textId="77777777" w:rsidR="002B7F24" w:rsidRPr="0041169C" w:rsidRDefault="002B7F24" w:rsidP="00F82188"/>
    <w:p w14:paraId="22F1EB75" w14:textId="77777777" w:rsidR="002B7F24" w:rsidRPr="0041169C" w:rsidRDefault="002B7F24" w:rsidP="001C611B">
      <w:pPr>
        <w:pStyle w:val="Heading2"/>
      </w:pPr>
      <w:bookmarkStart w:id="23" w:name="_Toc498433382"/>
      <w:r w:rsidRPr="0041169C">
        <w:t>18. Exceptions to Certification for Paperwork Reduction Act Submissions</w:t>
      </w:r>
      <w:bookmarkEnd w:id="23"/>
    </w:p>
    <w:p w14:paraId="35E2B462" w14:textId="77777777" w:rsidR="002B7F24" w:rsidRPr="0041169C" w:rsidRDefault="002B7F24" w:rsidP="00F82188"/>
    <w:p w14:paraId="552ED503" w14:textId="7D55131C" w:rsidR="0051520E" w:rsidRPr="0041169C" w:rsidRDefault="00110B7C" w:rsidP="00F82188">
      <w:r>
        <w:t>No e</w:t>
      </w:r>
      <w:r w:rsidR="002B7F24" w:rsidRPr="0041169C">
        <w:t>xceptions to certification</w:t>
      </w:r>
      <w:r w:rsidR="004A17EE">
        <w:t xml:space="preserve"> apply to this request</w:t>
      </w:r>
      <w:r w:rsidR="002B7F24" w:rsidRPr="0041169C">
        <w:t>.</w:t>
      </w:r>
    </w:p>
    <w:p w14:paraId="6C721905" w14:textId="77777777" w:rsidR="0051520E" w:rsidRPr="0041169C" w:rsidRDefault="0051520E" w:rsidP="0051520E"/>
    <w:p w14:paraId="20CF3937" w14:textId="4DBB3258" w:rsidR="003E5E6B" w:rsidRPr="0051520E" w:rsidRDefault="0051520E" w:rsidP="0051520E">
      <w:r w:rsidRPr="0041169C">
        <w:rPr>
          <w:noProof/>
        </w:rPr>
        <mc:AlternateContent>
          <mc:Choice Requires="wps">
            <w:drawing>
              <wp:anchor distT="0" distB="0" distL="114300" distR="114300" simplePos="0" relativeHeight="251660288" behindDoc="0" locked="0" layoutInCell="1" allowOverlap="1" wp14:anchorId="048C6856" wp14:editId="509F1550">
                <wp:simplePos x="0" y="0"/>
                <wp:positionH relativeFrom="column">
                  <wp:posOffset>47708</wp:posOffset>
                </wp:positionH>
                <wp:positionV relativeFrom="paragraph">
                  <wp:posOffset>146547</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A70B3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11.55pt" to="507.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" strokecolor="#4579b8 [3044]"/>
            </w:pict>
          </mc:Fallback>
        </mc:AlternateContent>
      </w:r>
    </w:p>
    <w:sectPr w:rsidR="003E5E6B" w:rsidRPr="0051520E" w:rsidSect="00D609E1">
      <w:type w:val="continuous"/>
      <w:pgSz w:w="12240" w:h="15840" w:code="1"/>
      <w:pgMar w:top="1440" w:right="1440" w:bottom="1440" w:left="1440" w:header="720" w:footer="720"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CAF6F" w14:textId="77777777" w:rsidR="00B6440D" w:rsidRDefault="00B6440D" w:rsidP="00423428">
      <w:r>
        <w:separator/>
      </w:r>
    </w:p>
  </w:endnote>
  <w:endnote w:type="continuationSeparator" w:id="0">
    <w:p w14:paraId="236C35A3" w14:textId="77777777" w:rsidR="00B6440D" w:rsidRDefault="00B6440D" w:rsidP="0042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7A21" w14:textId="77777777" w:rsidR="00B6440D" w:rsidRDefault="00B6440D" w:rsidP="0042342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0D82219" w14:textId="77777777" w:rsidR="00B6440D" w:rsidRDefault="00B6440D" w:rsidP="00423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6712"/>
      <w:docPartObj>
        <w:docPartGallery w:val="Page Numbers (Bottom of Page)"/>
        <w:docPartUnique/>
      </w:docPartObj>
    </w:sdtPr>
    <w:sdtEndPr>
      <w:rPr>
        <w:noProof/>
      </w:rPr>
    </w:sdtEndPr>
    <w:sdtContent>
      <w:p w14:paraId="50631018" w14:textId="77777777" w:rsidR="00B6440D" w:rsidRDefault="00B6440D" w:rsidP="00906DFD">
        <w:pPr>
          <w:pStyle w:val="Footer"/>
        </w:pPr>
      </w:p>
      <w:p w14:paraId="036D4C4D" w14:textId="77777777" w:rsidR="00B6440D" w:rsidRDefault="00B6440D" w:rsidP="00D609E1">
        <w:pPr>
          <w:pStyle w:val="Footer"/>
          <w:pBdr>
            <w:top w:val="single" w:sz="2" w:space="1" w:color="808080" w:themeColor="background1" w:themeShade="80"/>
          </w:pBdr>
        </w:pPr>
        <w:r>
          <w:t xml:space="preserve">Fellowship Management System (FMS) OMB No. </w:t>
        </w:r>
        <w:r w:rsidRPr="00197312">
          <w:t>0920-0765</w:t>
        </w:r>
      </w:p>
      <w:p w14:paraId="1314E8D0" w14:textId="188ECF28" w:rsidR="00B6440D" w:rsidRDefault="00B6440D" w:rsidP="00D609E1">
        <w:pPr>
          <w:pStyle w:val="Footer"/>
          <w:tabs>
            <w:tab w:val="clear" w:pos="8640"/>
            <w:tab w:val="right" w:pos="9360"/>
          </w:tabs>
          <w:rPr>
            <w:noProof/>
          </w:rPr>
        </w:pPr>
        <w:r>
          <w:t>Supporting Statement A</w:t>
        </w:r>
        <w:r>
          <w:tab/>
        </w:r>
        <w:r>
          <w:tab/>
        </w:r>
        <w:r w:rsidRPr="00FF334A">
          <w:rPr>
            <w:rStyle w:val="PageNumber"/>
            <w:szCs w:val="24"/>
          </w:rPr>
          <w:fldChar w:fldCharType="begin"/>
        </w:r>
        <w:r w:rsidRPr="00FF334A">
          <w:rPr>
            <w:rStyle w:val="PageNumber"/>
            <w:szCs w:val="24"/>
          </w:rPr>
          <w:instrText xml:space="preserve">PAGE  </w:instrText>
        </w:r>
        <w:r w:rsidRPr="00FF334A">
          <w:rPr>
            <w:rStyle w:val="PageNumber"/>
            <w:szCs w:val="24"/>
          </w:rPr>
          <w:fldChar w:fldCharType="separate"/>
        </w:r>
        <w:r w:rsidR="002933AF">
          <w:rPr>
            <w:rStyle w:val="PageNumber"/>
            <w:noProof/>
            <w:szCs w:val="24"/>
          </w:rPr>
          <w:t>14</w:t>
        </w:r>
        <w:r w:rsidRPr="00FF334A">
          <w:rPr>
            <w:rStyle w:val="PageNumber"/>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6B4D9" w14:textId="77777777" w:rsidR="00B6440D" w:rsidRDefault="00B6440D" w:rsidP="00423428">
      <w:r>
        <w:separator/>
      </w:r>
    </w:p>
  </w:footnote>
  <w:footnote w:type="continuationSeparator" w:id="0">
    <w:p w14:paraId="0CB5F83D" w14:textId="77777777" w:rsidR="00B6440D" w:rsidRDefault="00B6440D" w:rsidP="00423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FE24C"/>
    <w:multiLevelType w:val="hybridMultilevel"/>
    <w:tmpl w:val="5E63DF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7432A"/>
    <w:multiLevelType w:val="hybridMultilevel"/>
    <w:tmpl w:val="3F3E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F549F"/>
    <w:multiLevelType w:val="hybridMultilevel"/>
    <w:tmpl w:val="DD6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45574"/>
    <w:multiLevelType w:val="hybridMultilevel"/>
    <w:tmpl w:val="162621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40967"/>
    <w:multiLevelType w:val="hybridMultilevel"/>
    <w:tmpl w:val="D6C857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8058E"/>
    <w:multiLevelType w:val="hybridMultilevel"/>
    <w:tmpl w:val="A61AD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2D26E71"/>
    <w:multiLevelType w:val="hybridMultilevel"/>
    <w:tmpl w:val="7834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DB163B"/>
    <w:multiLevelType w:val="hybridMultilevel"/>
    <w:tmpl w:val="3690B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BE71C2"/>
    <w:multiLevelType w:val="hybridMultilevel"/>
    <w:tmpl w:val="BD66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30A05"/>
    <w:multiLevelType w:val="hybridMultilevel"/>
    <w:tmpl w:val="4E6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C0902"/>
    <w:multiLevelType w:val="hybridMultilevel"/>
    <w:tmpl w:val="AAD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103650"/>
    <w:multiLevelType w:val="hybridMultilevel"/>
    <w:tmpl w:val="E30AA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956C89"/>
    <w:multiLevelType w:val="hybridMultilevel"/>
    <w:tmpl w:val="4C2C9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468A3"/>
    <w:multiLevelType w:val="hybridMultilevel"/>
    <w:tmpl w:val="6340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3021A"/>
    <w:multiLevelType w:val="hybridMultilevel"/>
    <w:tmpl w:val="A1E44BAE"/>
    <w:lvl w:ilvl="0" w:tplc="4F40AE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301436"/>
    <w:multiLevelType w:val="hybridMultilevel"/>
    <w:tmpl w:val="BCEA06C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191A89"/>
    <w:multiLevelType w:val="hybridMultilevel"/>
    <w:tmpl w:val="8244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F9394A"/>
    <w:multiLevelType w:val="hybridMultilevel"/>
    <w:tmpl w:val="8794D2A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3328E4"/>
    <w:multiLevelType w:val="hybridMultilevel"/>
    <w:tmpl w:val="18168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BE5455"/>
    <w:multiLevelType w:val="hybridMultilevel"/>
    <w:tmpl w:val="267A7A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A42502"/>
    <w:multiLevelType w:val="hybridMultilevel"/>
    <w:tmpl w:val="7A8840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FE56B2"/>
    <w:multiLevelType w:val="hybridMultilevel"/>
    <w:tmpl w:val="F0AC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
  </w:num>
  <w:num w:numId="4">
    <w:abstractNumId w:val="21"/>
  </w:num>
  <w:num w:numId="5">
    <w:abstractNumId w:val="15"/>
  </w:num>
  <w:num w:numId="6">
    <w:abstractNumId w:val="3"/>
  </w:num>
  <w:num w:numId="7">
    <w:abstractNumId w:val="4"/>
  </w:num>
  <w:num w:numId="8">
    <w:abstractNumId w:val="18"/>
  </w:num>
  <w:num w:numId="9">
    <w:abstractNumId w:val="9"/>
  </w:num>
  <w:num w:numId="10">
    <w:abstractNumId w:val="8"/>
  </w:num>
  <w:num w:numId="11">
    <w:abstractNumId w:val="20"/>
  </w:num>
  <w:num w:numId="12">
    <w:abstractNumId w:val="12"/>
  </w:num>
  <w:num w:numId="13">
    <w:abstractNumId w:val="13"/>
  </w:num>
  <w:num w:numId="14">
    <w:abstractNumId w:val="0"/>
  </w:num>
  <w:num w:numId="15">
    <w:abstractNumId w:val="22"/>
  </w:num>
  <w:num w:numId="16">
    <w:abstractNumId w:val="7"/>
  </w:num>
  <w:num w:numId="17">
    <w:abstractNumId w:val="6"/>
  </w:num>
  <w:num w:numId="18">
    <w:abstractNumId w:val="17"/>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43"/>
    <w:rsid w:val="0000018B"/>
    <w:rsid w:val="00000AC0"/>
    <w:rsid w:val="00002773"/>
    <w:rsid w:val="00006BA5"/>
    <w:rsid w:val="00006BEE"/>
    <w:rsid w:val="0000750F"/>
    <w:rsid w:val="00010029"/>
    <w:rsid w:val="00010F7A"/>
    <w:rsid w:val="0001217F"/>
    <w:rsid w:val="00014738"/>
    <w:rsid w:val="00015EB0"/>
    <w:rsid w:val="00016E41"/>
    <w:rsid w:val="000200CC"/>
    <w:rsid w:val="00020C79"/>
    <w:rsid w:val="00020FAB"/>
    <w:rsid w:val="0002175B"/>
    <w:rsid w:val="000217B2"/>
    <w:rsid w:val="00021E22"/>
    <w:rsid w:val="00021EE5"/>
    <w:rsid w:val="00022ECD"/>
    <w:rsid w:val="0002348D"/>
    <w:rsid w:val="000245C4"/>
    <w:rsid w:val="00024861"/>
    <w:rsid w:val="0002494C"/>
    <w:rsid w:val="00024BC9"/>
    <w:rsid w:val="000268C7"/>
    <w:rsid w:val="000274AF"/>
    <w:rsid w:val="00030D47"/>
    <w:rsid w:val="00032668"/>
    <w:rsid w:val="000326FA"/>
    <w:rsid w:val="00032D9B"/>
    <w:rsid w:val="00032E81"/>
    <w:rsid w:val="00032FA3"/>
    <w:rsid w:val="00034C3A"/>
    <w:rsid w:val="000351CA"/>
    <w:rsid w:val="00035DAD"/>
    <w:rsid w:val="0003623F"/>
    <w:rsid w:val="000365AF"/>
    <w:rsid w:val="00037BE9"/>
    <w:rsid w:val="000408FA"/>
    <w:rsid w:val="00042509"/>
    <w:rsid w:val="000436D3"/>
    <w:rsid w:val="0004421E"/>
    <w:rsid w:val="000445DE"/>
    <w:rsid w:val="00044CC9"/>
    <w:rsid w:val="000452BB"/>
    <w:rsid w:val="00045E20"/>
    <w:rsid w:val="00047139"/>
    <w:rsid w:val="000475D7"/>
    <w:rsid w:val="00047B70"/>
    <w:rsid w:val="000516F9"/>
    <w:rsid w:val="0005212F"/>
    <w:rsid w:val="00052A7E"/>
    <w:rsid w:val="00053CBD"/>
    <w:rsid w:val="00055403"/>
    <w:rsid w:val="0005649A"/>
    <w:rsid w:val="00056B64"/>
    <w:rsid w:val="00060448"/>
    <w:rsid w:val="000609C3"/>
    <w:rsid w:val="00060C8D"/>
    <w:rsid w:val="00061493"/>
    <w:rsid w:val="00062877"/>
    <w:rsid w:val="000636F5"/>
    <w:rsid w:val="000645C6"/>
    <w:rsid w:val="0006480F"/>
    <w:rsid w:val="00064D64"/>
    <w:rsid w:val="000663B7"/>
    <w:rsid w:val="00066EE1"/>
    <w:rsid w:val="00067505"/>
    <w:rsid w:val="00067CE9"/>
    <w:rsid w:val="0007219A"/>
    <w:rsid w:val="00072F2C"/>
    <w:rsid w:val="000730EF"/>
    <w:rsid w:val="000736F1"/>
    <w:rsid w:val="0007456B"/>
    <w:rsid w:val="0007515A"/>
    <w:rsid w:val="000763CE"/>
    <w:rsid w:val="00082473"/>
    <w:rsid w:val="0008370F"/>
    <w:rsid w:val="000838C5"/>
    <w:rsid w:val="00084718"/>
    <w:rsid w:val="00084B88"/>
    <w:rsid w:val="00084FA3"/>
    <w:rsid w:val="00085C6B"/>
    <w:rsid w:val="00085CCB"/>
    <w:rsid w:val="000865A1"/>
    <w:rsid w:val="000918A4"/>
    <w:rsid w:val="00091C76"/>
    <w:rsid w:val="000929A2"/>
    <w:rsid w:val="000934FF"/>
    <w:rsid w:val="00094235"/>
    <w:rsid w:val="0009512E"/>
    <w:rsid w:val="0009552D"/>
    <w:rsid w:val="00096E1B"/>
    <w:rsid w:val="00097476"/>
    <w:rsid w:val="00097D0E"/>
    <w:rsid w:val="000A2757"/>
    <w:rsid w:val="000A2887"/>
    <w:rsid w:val="000A2926"/>
    <w:rsid w:val="000A2B7F"/>
    <w:rsid w:val="000A2DAF"/>
    <w:rsid w:val="000A3336"/>
    <w:rsid w:val="000A6C98"/>
    <w:rsid w:val="000A7257"/>
    <w:rsid w:val="000B014A"/>
    <w:rsid w:val="000B022B"/>
    <w:rsid w:val="000B03B7"/>
    <w:rsid w:val="000B1F22"/>
    <w:rsid w:val="000B29F9"/>
    <w:rsid w:val="000B5540"/>
    <w:rsid w:val="000B688E"/>
    <w:rsid w:val="000B690E"/>
    <w:rsid w:val="000B6C5E"/>
    <w:rsid w:val="000B726E"/>
    <w:rsid w:val="000B79DA"/>
    <w:rsid w:val="000C0012"/>
    <w:rsid w:val="000C006C"/>
    <w:rsid w:val="000C1516"/>
    <w:rsid w:val="000C2400"/>
    <w:rsid w:val="000C2D86"/>
    <w:rsid w:val="000C4754"/>
    <w:rsid w:val="000C4852"/>
    <w:rsid w:val="000C52B5"/>
    <w:rsid w:val="000C649E"/>
    <w:rsid w:val="000C69AA"/>
    <w:rsid w:val="000C6D64"/>
    <w:rsid w:val="000C72A8"/>
    <w:rsid w:val="000C7C71"/>
    <w:rsid w:val="000D035D"/>
    <w:rsid w:val="000D0A67"/>
    <w:rsid w:val="000D1890"/>
    <w:rsid w:val="000D2B6C"/>
    <w:rsid w:val="000D4F52"/>
    <w:rsid w:val="000D6B14"/>
    <w:rsid w:val="000D6B3A"/>
    <w:rsid w:val="000D6C1F"/>
    <w:rsid w:val="000D791D"/>
    <w:rsid w:val="000E085F"/>
    <w:rsid w:val="000E0DB2"/>
    <w:rsid w:val="000E181C"/>
    <w:rsid w:val="000E26D9"/>
    <w:rsid w:val="000E2F79"/>
    <w:rsid w:val="000E4F4D"/>
    <w:rsid w:val="000E5417"/>
    <w:rsid w:val="000E6445"/>
    <w:rsid w:val="000E72E6"/>
    <w:rsid w:val="000E73CC"/>
    <w:rsid w:val="000E78F2"/>
    <w:rsid w:val="000E7D0E"/>
    <w:rsid w:val="000F018A"/>
    <w:rsid w:val="000F0326"/>
    <w:rsid w:val="000F1C70"/>
    <w:rsid w:val="000F2AC3"/>
    <w:rsid w:val="000F2E52"/>
    <w:rsid w:val="000F3A61"/>
    <w:rsid w:val="000F3F22"/>
    <w:rsid w:val="000F494B"/>
    <w:rsid w:val="000F5155"/>
    <w:rsid w:val="000F6E40"/>
    <w:rsid w:val="000F750D"/>
    <w:rsid w:val="001002E3"/>
    <w:rsid w:val="00100535"/>
    <w:rsid w:val="00102091"/>
    <w:rsid w:val="00102314"/>
    <w:rsid w:val="00102659"/>
    <w:rsid w:val="00104085"/>
    <w:rsid w:val="00104A24"/>
    <w:rsid w:val="0010520E"/>
    <w:rsid w:val="0010636E"/>
    <w:rsid w:val="00106414"/>
    <w:rsid w:val="0011055E"/>
    <w:rsid w:val="00110B7C"/>
    <w:rsid w:val="00111F20"/>
    <w:rsid w:val="00112605"/>
    <w:rsid w:val="00113A2C"/>
    <w:rsid w:val="00113DCC"/>
    <w:rsid w:val="001142BE"/>
    <w:rsid w:val="001142E1"/>
    <w:rsid w:val="00115DA3"/>
    <w:rsid w:val="00115F03"/>
    <w:rsid w:val="001171E6"/>
    <w:rsid w:val="00117FA0"/>
    <w:rsid w:val="0012024E"/>
    <w:rsid w:val="00121C1F"/>
    <w:rsid w:val="00121F15"/>
    <w:rsid w:val="001228D8"/>
    <w:rsid w:val="00122BEC"/>
    <w:rsid w:val="00123316"/>
    <w:rsid w:val="0012380D"/>
    <w:rsid w:val="00125333"/>
    <w:rsid w:val="001263C6"/>
    <w:rsid w:val="001266C2"/>
    <w:rsid w:val="00132F3C"/>
    <w:rsid w:val="00133A35"/>
    <w:rsid w:val="0013470A"/>
    <w:rsid w:val="00135E1C"/>
    <w:rsid w:val="00135E4B"/>
    <w:rsid w:val="0013762E"/>
    <w:rsid w:val="00137636"/>
    <w:rsid w:val="0014032C"/>
    <w:rsid w:val="00140CD6"/>
    <w:rsid w:val="0014204C"/>
    <w:rsid w:val="00144D00"/>
    <w:rsid w:val="001456D4"/>
    <w:rsid w:val="001500EB"/>
    <w:rsid w:val="00150A0D"/>
    <w:rsid w:val="00151646"/>
    <w:rsid w:val="00151D7A"/>
    <w:rsid w:val="001540B4"/>
    <w:rsid w:val="00155E11"/>
    <w:rsid w:val="001564C0"/>
    <w:rsid w:val="0015671F"/>
    <w:rsid w:val="0015778E"/>
    <w:rsid w:val="0015789F"/>
    <w:rsid w:val="00157ACC"/>
    <w:rsid w:val="00161724"/>
    <w:rsid w:val="00161E59"/>
    <w:rsid w:val="001632CD"/>
    <w:rsid w:val="00163F38"/>
    <w:rsid w:val="00165170"/>
    <w:rsid w:val="00165A5C"/>
    <w:rsid w:val="00166A9E"/>
    <w:rsid w:val="00167103"/>
    <w:rsid w:val="001674AA"/>
    <w:rsid w:val="00171E6A"/>
    <w:rsid w:val="00172ADC"/>
    <w:rsid w:val="00173064"/>
    <w:rsid w:val="00174234"/>
    <w:rsid w:val="00174682"/>
    <w:rsid w:val="001754F2"/>
    <w:rsid w:val="001757C8"/>
    <w:rsid w:val="00176F3D"/>
    <w:rsid w:val="00177A61"/>
    <w:rsid w:val="00180FA3"/>
    <w:rsid w:val="001818B2"/>
    <w:rsid w:val="00181C93"/>
    <w:rsid w:val="001820A0"/>
    <w:rsid w:val="00183591"/>
    <w:rsid w:val="00183939"/>
    <w:rsid w:val="00183B85"/>
    <w:rsid w:val="00184DB7"/>
    <w:rsid w:val="00185DE2"/>
    <w:rsid w:val="00186259"/>
    <w:rsid w:val="001905D9"/>
    <w:rsid w:val="00190636"/>
    <w:rsid w:val="00191D0B"/>
    <w:rsid w:val="00192D18"/>
    <w:rsid w:val="00193DA1"/>
    <w:rsid w:val="00194203"/>
    <w:rsid w:val="00195DDF"/>
    <w:rsid w:val="00195E4C"/>
    <w:rsid w:val="00195F8C"/>
    <w:rsid w:val="001A0801"/>
    <w:rsid w:val="001A29F1"/>
    <w:rsid w:val="001A3E86"/>
    <w:rsid w:val="001A3F83"/>
    <w:rsid w:val="001A4285"/>
    <w:rsid w:val="001A4BEA"/>
    <w:rsid w:val="001A51D5"/>
    <w:rsid w:val="001A5934"/>
    <w:rsid w:val="001A5A23"/>
    <w:rsid w:val="001B1D1D"/>
    <w:rsid w:val="001B484E"/>
    <w:rsid w:val="001B52ED"/>
    <w:rsid w:val="001B638B"/>
    <w:rsid w:val="001B655E"/>
    <w:rsid w:val="001B6C05"/>
    <w:rsid w:val="001B73FA"/>
    <w:rsid w:val="001C100C"/>
    <w:rsid w:val="001C396A"/>
    <w:rsid w:val="001C3E9B"/>
    <w:rsid w:val="001C4C24"/>
    <w:rsid w:val="001C5606"/>
    <w:rsid w:val="001C5724"/>
    <w:rsid w:val="001C5F08"/>
    <w:rsid w:val="001C611B"/>
    <w:rsid w:val="001C6C87"/>
    <w:rsid w:val="001D154F"/>
    <w:rsid w:val="001D1901"/>
    <w:rsid w:val="001D3225"/>
    <w:rsid w:val="001D3876"/>
    <w:rsid w:val="001D397B"/>
    <w:rsid w:val="001D41E5"/>
    <w:rsid w:val="001D4C56"/>
    <w:rsid w:val="001D4F93"/>
    <w:rsid w:val="001D64DA"/>
    <w:rsid w:val="001D6A95"/>
    <w:rsid w:val="001E098C"/>
    <w:rsid w:val="001E1261"/>
    <w:rsid w:val="001E14DB"/>
    <w:rsid w:val="001E1767"/>
    <w:rsid w:val="001E1868"/>
    <w:rsid w:val="001E34F7"/>
    <w:rsid w:val="001E43E0"/>
    <w:rsid w:val="001E451D"/>
    <w:rsid w:val="001E4D12"/>
    <w:rsid w:val="001E511E"/>
    <w:rsid w:val="001E5507"/>
    <w:rsid w:val="001E6CC5"/>
    <w:rsid w:val="001F01AA"/>
    <w:rsid w:val="001F0B3F"/>
    <w:rsid w:val="001F0EEA"/>
    <w:rsid w:val="001F12E1"/>
    <w:rsid w:val="001F1662"/>
    <w:rsid w:val="001F236F"/>
    <w:rsid w:val="001F2B15"/>
    <w:rsid w:val="001F4607"/>
    <w:rsid w:val="001F541C"/>
    <w:rsid w:val="001F5DEA"/>
    <w:rsid w:val="001F60CB"/>
    <w:rsid w:val="001F7EBA"/>
    <w:rsid w:val="00201881"/>
    <w:rsid w:val="00203064"/>
    <w:rsid w:val="002044C5"/>
    <w:rsid w:val="00204F12"/>
    <w:rsid w:val="00205949"/>
    <w:rsid w:val="00206F08"/>
    <w:rsid w:val="00207D7D"/>
    <w:rsid w:val="00210C5D"/>
    <w:rsid w:val="00212630"/>
    <w:rsid w:val="00212FE3"/>
    <w:rsid w:val="00213EC2"/>
    <w:rsid w:val="0021598B"/>
    <w:rsid w:val="0021714C"/>
    <w:rsid w:val="0022024F"/>
    <w:rsid w:val="00222113"/>
    <w:rsid w:val="00222D2C"/>
    <w:rsid w:val="00222E28"/>
    <w:rsid w:val="00223C53"/>
    <w:rsid w:val="0022425E"/>
    <w:rsid w:val="00225937"/>
    <w:rsid w:val="00227BA9"/>
    <w:rsid w:val="00231AB1"/>
    <w:rsid w:val="00232265"/>
    <w:rsid w:val="002330F9"/>
    <w:rsid w:val="00233B8F"/>
    <w:rsid w:val="0023482D"/>
    <w:rsid w:val="00234E35"/>
    <w:rsid w:val="002356DE"/>
    <w:rsid w:val="0023579C"/>
    <w:rsid w:val="0023590C"/>
    <w:rsid w:val="0023644D"/>
    <w:rsid w:val="002371B3"/>
    <w:rsid w:val="00237851"/>
    <w:rsid w:val="00240DEB"/>
    <w:rsid w:val="00240E99"/>
    <w:rsid w:val="0024150E"/>
    <w:rsid w:val="00241BDD"/>
    <w:rsid w:val="0024270A"/>
    <w:rsid w:val="00243B5C"/>
    <w:rsid w:val="00243C58"/>
    <w:rsid w:val="0024510C"/>
    <w:rsid w:val="00245E9F"/>
    <w:rsid w:val="0024630B"/>
    <w:rsid w:val="002463E5"/>
    <w:rsid w:val="00246727"/>
    <w:rsid w:val="00247A3A"/>
    <w:rsid w:val="00247ECC"/>
    <w:rsid w:val="00250636"/>
    <w:rsid w:val="002509C1"/>
    <w:rsid w:val="00251181"/>
    <w:rsid w:val="0025164D"/>
    <w:rsid w:val="00251A6C"/>
    <w:rsid w:val="0025361E"/>
    <w:rsid w:val="00253DD4"/>
    <w:rsid w:val="00253F96"/>
    <w:rsid w:val="00254CF4"/>
    <w:rsid w:val="00254E1A"/>
    <w:rsid w:val="00255735"/>
    <w:rsid w:val="00256504"/>
    <w:rsid w:val="00256941"/>
    <w:rsid w:val="00256B7D"/>
    <w:rsid w:val="00257325"/>
    <w:rsid w:val="00257B3B"/>
    <w:rsid w:val="0026017D"/>
    <w:rsid w:val="0026052D"/>
    <w:rsid w:val="00260570"/>
    <w:rsid w:val="002606EB"/>
    <w:rsid w:val="00264DA3"/>
    <w:rsid w:val="0026504A"/>
    <w:rsid w:val="00266B4D"/>
    <w:rsid w:val="00267430"/>
    <w:rsid w:val="002676D2"/>
    <w:rsid w:val="002677F1"/>
    <w:rsid w:val="00270AF8"/>
    <w:rsid w:val="002720EE"/>
    <w:rsid w:val="00272716"/>
    <w:rsid w:val="00272CFB"/>
    <w:rsid w:val="00274E04"/>
    <w:rsid w:val="00275813"/>
    <w:rsid w:val="00275949"/>
    <w:rsid w:val="002759B3"/>
    <w:rsid w:val="00275FC6"/>
    <w:rsid w:val="00276D3F"/>
    <w:rsid w:val="002773D8"/>
    <w:rsid w:val="00280A4F"/>
    <w:rsid w:val="0028220A"/>
    <w:rsid w:val="00282F79"/>
    <w:rsid w:val="00283692"/>
    <w:rsid w:val="00285503"/>
    <w:rsid w:val="0028607D"/>
    <w:rsid w:val="00286129"/>
    <w:rsid w:val="00286B76"/>
    <w:rsid w:val="00286FAF"/>
    <w:rsid w:val="00287ACD"/>
    <w:rsid w:val="0029002B"/>
    <w:rsid w:val="00291513"/>
    <w:rsid w:val="00291BA7"/>
    <w:rsid w:val="00291DA3"/>
    <w:rsid w:val="002920C7"/>
    <w:rsid w:val="00293108"/>
    <w:rsid w:val="002933AF"/>
    <w:rsid w:val="0029659B"/>
    <w:rsid w:val="002A00D5"/>
    <w:rsid w:val="002A1100"/>
    <w:rsid w:val="002A1612"/>
    <w:rsid w:val="002A4F89"/>
    <w:rsid w:val="002A7502"/>
    <w:rsid w:val="002A7A53"/>
    <w:rsid w:val="002B0C49"/>
    <w:rsid w:val="002B3500"/>
    <w:rsid w:val="002B3C1E"/>
    <w:rsid w:val="002B60C1"/>
    <w:rsid w:val="002B6D8E"/>
    <w:rsid w:val="002B7F24"/>
    <w:rsid w:val="002C2230"/>
    <w:rsid w:val="002C520F"/>
    <w:rsid w:val="002C5D46"/>
    <w:rsid w:val="002C667B"/>
    <w:rsid w:val="002C7A69"/>
    <w:rsid w:val="002D0432"/>
    <w:rsid w:val="002D1E37"/>
    <w:rsid w:val="002D27D3"/>
    <w:rsid w:val="002D2DAF"/>
    <w:rsid w:val="002D34D8"/>
    <w:rsid w:val="002D381A"/>
    <w:rsid w:val="002D385B"/>
    <w:rsid w:val="002D394E"/>
    <w:rsid w:val="002D50B9"/>
    <w:rsid w:val="002D58A6"/>
    <w:rsid w:val="002D6900"/>
    <w:rsid w:val="002E06D7"/>
    <w:rsid w:val="002E077A"/>
    <w:rsid w:val="002E1819"/>
    <w:rsid w:val="002E27B0"/>
    <w:rsid w:val="002E3567"/>
    <w:rsid w:val="002E591A"/>
    <w:rsid w:val="002E5BBA"/>
    <w:rsid w:val="002F095D"/>
    <w:rsid w:val="002F1EE6"/>
    <w:rsid w:val="002F29E6"/>
    <w:rsid w:val="002F2B5D"/>
    <w:rsid w:val="002F3FC3"/>
    <w:rsid w:val="002F477D"/>
    <w:rsid w:val="002F5F7F"/>
    <w:rsid w:val="002F5FE6"/>
    <w:rsid w:val="002F60BE"/>
    <w:rsid w:val="003009D9"/>
    <w:rsid w:val="0030135F"/>
    <w:rsid w:val="00301CA5"/>
    <w:rsid w:val="00302773"/>
    <w:rsid w:val="00302F20"/>
    <w:rsid w:val="003035A0"/>
    <w:rsid w:val="00303A19"/>
    <w:rsid w:val="00303F0E"/>
    <w:rsid w:val="00303F3B"/>
    <w:rsid w:val="00305133"/>
    <w:rsid w:val="003062E7"/>
    <w:rsid w:val="00307812"/>
    <w:rsid w:val="00311689"/>
    <w:rsid w:val="00312237"/>
    <w:rsid w:val="0031326B"/>
    <w:rsid w:val="003153EA"/>
    <w:rsid w:val="003157E5"/>
    <w:rsid w:val="00316DCD"/>
    <w:rsid w:val="00317A92"/>
    <w:rsid w:val="00320D92"/>
    <w:rsid w:val="003217E5"/>
    <w:rsid w:val="00321C6E"/>
    <w:rsid w:val="00321D75"/>
    <w:rsid w:val="00322756"/>
    <w:rsid w:val="003252E3"/>
    <w:rsid w:val="00326FCC"/>
    <w:rsid w:val="00330DDD"/>
    <w:rsid w:val="00330ECF"/>
    <w:rsid w:val="003310C8"/>
    <w:rsid w:val="003326EB"/>
    <w:rsid w:val="00333339"/>
    <w:rsid w:val="003344A1"/>
    <w:rsid w:val="003358E0"/>
    <w:rsid w:val="00335D40"/>
    <w:rsid w:val="00337665"/>
    <w:rsid w:val="0034065B"/>
    <w:rsid w:val="0034113A"/>
    <w:rsid w:val="00342064"/>
    <w:rsid w:val="00342FB0"/>
    <w:rsid w:val="0034353A"/>
    <w:rsid w:val="00343D6C"/>
    <w:rsid w:val="0034427E"/>
    <w:rsid w:val="00345A08"/>
    <w:rsid w:val="00345BE4"/>
    <w:rsid w:val="00346594"/>
    <w:rsid w:val="0034706B"/>
    <w:rsid w:val="0035078B"/>
    <w:rsid w:val="003509BA"/>
    <w:rsid w:val="00352127"/>
    <w:rsid w:val="003527B1"/>
    <w:rsid w:val="00352E47"/>
    <w:rsid w:val="00353194"/>
    <w:rsid w:val="00353480"/>
    <w:rsid w:val="00355DA7"/>
    <w:rsid w:val="00355DE9"/>
    <w:rsid w:val="00355E12"/>
    <w:rsid w:val="0035680F"/>
    <w:rsid w:val="003571FA"/>
    <w:rsid w:val="003605A8"/>
    <w:rsid w:val="00360F2E"/>
    <w:rsid w:val="00360FB5"/>
    <w:rsid w:val="003625B0"/>
    <w:rsid w:val="00363522"/>
    <w:rsid w:val="00363D22"/>
    <w:rsid w:val="003657E2"/>
    <w:rsid w:val="00366192"/>
    <w:rsid w:val="0037273C"/>
    <w:rsid w:val="00372893"/>
    <w:rsid w:val="00374326"/>
    <w:rsid w:val="00374341"/>
    <w:rsid w:val="00374410"/>
    <w:rsid w:val="003752D2"/>
    <w:rsid w:val="0037635F"/>
    <w:rsid w:val="00377831"/>
    <w:rsid w:val="00377B40"/>
    <w:rsid w:val="003805E2"/>
    <w:rsid w:val="003811B3"/>
    <w:rsid w:val="00381647"/>
    <w:rsid w:val="003817D6"/>
    <w:rsid w:val="00381FC6"/>
    <w:rsid w:val="00382E5F"/>
    <w:rsid w:val="00384ECD"/>
    <w:rsid w:val="00384F95"/>
    <w:rsid w:val="003858F8"/>
    <w:rsid w:val="00386B05"/>
    <w:rsid w:val="0038737B"/>
    <w:rsid w:val="0039259F"/>
    <w:rsid w:val="00394B74"/>
    <w:rsid w:val="003950B5"/>
    <w:rsid w:val="00397192"/>
    <w:rsid w:val="003974BA"/>
    <w:rsid w:val="003A0B82"/>
    <w:rsid w:val="003A2341"/>
    <w:rsid w:val="003A30A0"/>
    <w:rsid w:val="003A32F8"/>
    <w:rsid w:val="003A45F5"/>
    <w:rsid w:val="003A5663"/>
    <w:rsid w:val="003A578B"/>
    <w:rsid w:val="003A6935"/>
    <w:rsid w:val="003A6A15"/>
    <w:rsid w:val="003A6F07"/>
    <w:rsid w:val="003A7607"/>
    <w:rsid w:val="003B1151"/>
    <w:rsid w:val="003B116A"/>
    <w:rsid w:val="003B2D1D"/>
    <w:rsid w:val="003B3DF1"/>
    <w:rsid w:val="003B4AA2"/>
    <w:rsid w:val="003B5A5D"/>
    <w:rsid w:val="003B5AE3"/>
    <w:rsid w:val="003C016C"/>
    <w:rsid w:val="003C1803"/>
    <w:rsid w:val="003C1D4F"/>
    <w:rsid w:val="003C2672"/>
    <w:rsid w:val="003C2687"/>
    <w:rsid w:val="003C2EDF"/>
    <w:rsid w:val="003C4ABB"/>
    <w:rsid w:val="003C58F2"/>
    <w:rsid w:val="003C609F"/>
    <w:rsid w:val="003C7A69"/>
    <w:rsid w:val="003D0DE5"/>
    <w:rsid w:val="003D3469"/>
    <w:rsid w:val="003D4117"/>
    <w:rsid w:val="003D7357"/>
    <w:rsid w:val="003D7994"/>
    <w:rsid w:val="003D7C09"/>
    <w:rsid w:val="003E0D44"/>
    <w:rsid w:val="003E21CB"/>
    <w:rsid w:val="003E2839"/>
    <w:rsid w:val="003E3D3A"/>
    <w:rsid w:val="003E5602"/>
    <w:rsid w:val="003E5E6B"/>
    <w:rsid w:val="003E781B"/>
    <w:rsid w:val="003E7BF8"/>
    <w:rsid w:val="003F24FA"/>
    <w:rsid w:val="003F5246"/>
    <w:rsid w:val="003F78DA"/>
    <w:rsid w:val="003F7F50"/>
    <w:rsid w:val="00400543"/>
    <w:rsid w:val="00400AE9"/>
    <w:rsid w:val="00400BDA"/>
    <w:rsid w:val="00401B46"/>
    <w:rsid w:val="00401F44"/>
    <w:rsid w:val="00402885"/>
    <w:rsid w:val="004048C9"/>
    <w:rsid w:val="00404C70"/>
    <w:rsid w:val="004054B9"/>
    <w:rsid w:val="004055F9"/>
    <w:rsid w:val="00405D3B"/>
    <w:rsid w:val="004067EA"/>
    <w:rsid w:val="00407A99"/>
    <w:rsid w:val="00410F6E"/>
    <w:rsid w:val="0041169C"/>
    <w:rsid w:val="00412D2B"/>
    <w:rsid w:val="00413EA1"/>
    <w:rsid w:val="00414801"/>
    <w:rsid w:val="00414D1B"/>
    <w:rsid w:val="00415521"/>
    <w:rsid w:val="0041575E"/>
    <w:rsid w:val="00416C8F"/>
    <w:rsid w:val="0042011C"/>
    <w:rsid w:val="0042062C"/>
    <w:rsid w:val="00420D55"/>
    <w:rsid w:val="004219DD"/>
    <w:rsid w:val="00422803"/>
    <w:rsid w:val="004229B0"/>
    <w:rsid w:val="0042313D"/>
    <w:rsid w:val="00423428"/>
    <w:rsid w:val="00423693"/>
    <w:rsid w:val="00427AC8"/>
    <w:rsid w:val="0043114E"/>
    <w:rsid w:val="004338C1"/>
    <w:rsid w:val="00435CF7"/>
    <w:rsid w:val="00435E0F"/>
    <w:rsid w:val="0043738E"/>
    <w:rsid w:val="00437954"/>
    <w:rsid w:val="00437CA7"/>
    <w:rsid w:val="004405A2"/>
    <w:rsid w:val="00440651"/>
    <w:rsid w:val="00441EB2"/>
    <w:rsid w:val="00443921"/>
    <w:rsid w:val="00444049"/>
    <w:rsid w:val="0044576F"/>
    <w:rsid w:val="004461BD"/>
    <w:rsid w:val="00451780"/>
    <w:rsid w:val="00454573"/>
    <w:rsid w:val="00457231"/>
    <w:rsid w:val="00457E4B"/>
    <w:rsid w:val="004605DF"/>
    <w:rsid w:val="004633D2"/>
    <w:rsid w:val="0046433D"/>
    <w:rsid w:val="00464475"/>
    <w:rsid w:val="0046468C"/>
    <w:rsid w:val="00464B8B"/>
    <w:rsid w:val="00465BCF"/>
    <w:rsid w:val="004665CB"/>
    <w:rsid w:val="00466762"/>
    <w:rsid w:val="00466AAF"/>
    <w:rsid w:val="004675C0"/>
    <w:rsid w:val="00471713"/>
    <w:rsid w:val="004722F9"/>
    <w:rsid w:val="00472F61"/>
    <w:rsid w:val="00473092"/>
    <w:rsid w:val="0047417A"/>
    <w:rsid w:val="00475832"/>
    <w:rsid w:val="00476550"/>
    <w:rsid w:val="004802BB"/>
    <w:rsid w:val="00482470"/>
    <w:rsid w:val="00485AE8"/>
    <w:rsid w:val="00487059"/>
    <w:rsid w:val="0048717A"/>
    <w:rsid w:val="00490896"/>
    <w:rsid w:val="00490DD9"/>
    <w:rsid w:val="004933D7"/>
    <w:rsid w:val="0049526C"/>
    <w:rsid w:val="0049613B"/>
    <w:rsid w:val="004973DF"/>
    <w:rsid w:val="00497911"/>
    <w:rsid w:val="004979E4"/>
    <w:rsid w:val="004A0D15"/>
    <w:rsid w:val="004A1610"/>
    <w:rsid w:val="004A17EE"/>
    <w:rsid w:val="004A2C78"/>
    <w:rsid w:val="004A2FE9"/>
    <w:rsid w:val="004A357C"/>
    <w:rsid w:val="004A4668"/>
    <w:rsid w:val="004A5FF1"/>
    <w:rsid w:val="004A6497"/>
    <w:rsid w:val="004B02E3"/>
    <w:rsid w:val="004B2988"/>
    <w:rsid w:val="004B2D00"/>
    <w:rsid w:val="004B3ECC"/>
    <w:rsid w:val="004B3F63"/>
    <w:rsid w:val="004B59C5"/>
    <w:rsid w:val="004B5EA7"/>
    <w:rsid w:val="004B6FDB"/>
    <w:rsid w:val="004B7AE0"/>
    <w:rsid w:val="004C013F"/>
    <w:rsid w:val="004C1D4D"/>
    <w:rsid w:val="004C445B"/>
    <w:rsid w:val="004C4B5E"/>
    <w:rsid w:val="004C4C0E"/>
    <w:rsid w:val="004C7C27"/>
    <w:rsid w:val="004D09D9"/>
    <w:rsid w:val="004D0CA2"/>
    <w:rsid w:val="004D3019"/>
    <w:rsid w:val="004D3CE2"/>
    <w:rsid w:val="004D3F8D"/>
    <w:rsid w:val="004D446B"/>
    <w:rsid w:val="004E0423"/>
    <w:rsid w:val="004E2DB3"/>
    <w:rsid w:val="004E38FC"/>
    <w:rsid w:val="004E3BC9"/>
    <w:rsid w:val="004E5A14"/>
    <w:rsid w:val="004E715A"/>
    <w:rsid w:val="004E7849"/>
    <w:rsid w:val="004E7A18"/>
    <w:rsid w:val="004F0AD8"/>
    <w:rsid w:val="004F1352"/>
    <w:rsid w:val="004F2B99"/>
    <w:rsid w:val="004F2C85"/>
    <w:rsid w:val="004F33FE"/>
    <w:rsid w:val="004F3977"/>
    <w:rsid w:val="004F5000"/>
    <w:rsid w:val="004F6460"/>
    <w:rsid w:val="004F6C5B"/>
    <w:rsid w:val="00500ABB"/>
    <w:rsid w:val="00500C49"/>
    <w:rsid w:val="00502109"/>
    <w:rsid w:val="0050225A"/>
    <w:rsid w:val="00505F46"/>
    <w:rsid w:val="00506425"/>
    <w:rsid w:val="00507330"/>
    <w:rsid w:val="005073ED"/>
    <w:rsid w:val="0050790A"/>
    <w:rsid w:val="00507A41"/>
    <w:rsid w:val="0051125E"/>
    <w:rsid w:val="00511FC2"/>
    <w:rsid w:val="00512A96"/>
    <w:rsid w:val="00513F74"/>
    <w:rsid w:val="0051520E"/>
    <w:rsid w:val="00515A2A"/>
    <w:rsid w:val="00516010"/>
    <w:rsid w:val="00516895"/>
    <w:rsid w:val="005171FF"/>
    <w:rsid w:val="00517683"/>
    <w:rsid w:val="00520706"/>
    <w:rsid w:val="005208FB"/>
    <w:rsid w:val="0052166E"/>
    <w:rsid w:val="005217B0"/>
    <w:rsid w:val="00522719"/>
    <w:rsid w:val="00522A6E"/>
    <w:rsid w:val="00523C83"/>
    <w:rsid w:val="00524B5A"/>
    <w:rsid w:val="005257A5"/>
    <w:rsid w:val="00525E2C"/>
    <w:rsid w:val="005268E7"/>
    <w:rsid w:val="0052762B"/>
    <w:rsid w:val="00527E60"/>
    <w:rsid w:val="00527FA2"/>
    <w:rsid w:val="0053005B"/>
    <w:rsid w:val="00530307"/>
    <w:rsid w:val="005303EB"/>
    <w:rsid w:val="0053133B"/>
    <w:rsid w:val="00531CF2"/>
    <w:rsid w:val="0053214F"/>
    <w:rsid w:val="00532395"/>
    <w:rsid w:val="0053301E"/>
    <w:rsid w:val="005333A8"/>
    <w:rsid w:val="0053477E"/>
    <w:rsid w:val="005374C6"/>
    <w:rsid w:val="0054117F"/>
    <w:rsid w:val="00541CEB"/>
    <w:rsid w:val="00541D1C"/>
    <w:rsid w:val="00543A7A"/>
    <w:rsid w:val="00544012"/>
    <w:rsid w:val="0054466C"/>
    <w:rsid w:val="005449CC"/>
    <w:rsid w:val="0054576E"/>
    <w:rsid w:val="00546518"/>
    <w:rsid w:val="00546A34"/>
    <w:rsid w:val="00546B94"/>
    <w:rsid w:val="00546CB8"/>
    <w:rsid w:val="005504C9"/>
    <w:rsid w:val="00550EE8"/>
    <w:rsid w:val="00551510"/>
    <w:rsid w:val="00552633"/>
    <w:rsid w:val="00554327"/>
    <w:rsid w:val="00554595"/>
    <w:rsid w:val="00554714"/>
    <w:rsid w:val="00555849"/>
    <w:rsid w:val="00556166"/>
    <w:rsid w:val="00557E2F"/>
    <w:rsid w:val="00560394"/>
    <w:rsid w:val="005608B3"/>
    <w:rsid w:val="0056097F"/>
    <w:rsid w:val="0056125D"/>
    <w:rsid w:val="0056145E"/>
    <w:rsid w:val="00561A59"/>
    <w:rsid w:val="00562F65"/>
    <w:rsid w:val="005632BA"/>
    <w:rsid w:val="00563964"/>
    <w:rsid w:val="005644A7"/>
    <w:rsid w:val="00564E5B"/>
    <w:rsid w:val="00565A74"/>
    <w:rsid w:val="005665D6"/>
    <w:rsid w:val="00567088"/>
    <w:rsid w:val="00567316"/>
    <w:rsid w:val="00567E1D"/>
    <w:rsid w:val="005709E6"/>
    <w:rsid w:val="00570E66"/>
    <w:rsid w:val="00570F1F"/>
    <w:rsid w:val="0057131F"/>
    <w:rsid w:val="00571DC8"/>
    <w:rsid w:val="00572AD7"/>
    <w:rsid w:val="00574CFB"/>
    <w:rsid w:val="005757DD"/>
    <w:rsid w:val="00575CE6"/>
    <w:rsid w:val="00576B09"/>
    <w:rsid w:val="00577440"/>
    <w:rsid w:val="00583517"/>
    <w:rsid w:val="005839FD"/>
    <w:rsid w:val="00584D63"/>
    <w:rsid w:val="00584E49"/>
    <w:rsid w:val="00585426"/>
    <w:rsid w:val="005859CC"/>
    <w:rsid w:val="00585D2C"/>
    <w:rsid w:val="005926BD"/>
    <w:rsid w:val="0059294A"/>
    <w:rsid w:val="005946DE"/>
    <w:rsid w:val="0059735E"/>
    <w:rsid w:val="00597391"/>
    <w:rsid w:val="00597530"/>
    <w:rsid w:val="005A3946"/>
    <w:rsid w:val="005A3F31"/>
    <w:rsid w:val="005A475B"/>
    <w:rsid w:val="005A5464"/>
    <w:rsid w:val="005A6851"/>
    <w:rsid w:val="005A6B86"/>
    <w:rsid w:val="005A6FEB"/>
    <w:rsid w:val="005A78B8"/>
    <w:rsid w:val="005A7930"/>
    <w:rsid w:val="005A7E8F"/>
    <w:rsid w:val="005A7EC9"/>
    <w:rsid w:val="005B205E"/>
    <w:rsid w:val="005B2500"/>
    <w:rsid w:val="005B4BB4"/>
    <w:rsid w:val="005B4D14"/>
    <w:rsid w:val="005B5D74"/>
    <w:rsid w:val="005B5F67"/>
    <w:rsid w:val="005B61D0"/>
    <w:rsid w:val="005C0098"/>
    <w:rsid w:val="005C1C23"/>
    <w:rsid w:val="005C29B6"/>
    <w:rsid w:val="005C2C8A"/>
    <w:rsid w:val="005C4D7F"/>
    <w:rsid w:val="005C6100"/>
    <w:rsid w:val="005C6509"/>
    <w:rsid w:val="005C67E5"/>
    <w:rsid w:val="005C7CF7"/>
    <w:rsid w:val="005D05A7"/>
    <w:rsid w:val="005D1DA0"/>
    <w:rsid w:val="005D34F1"/>
    <w:rsid w:val="005D3545"/>
    <w:rsid w:val="005D5416"/>
    <w:rsid w:val="005D6E8A"/>
    <w:rsid w:val="005D7896"/>
    <w:rsid w:val="005E0C15"/>
    <w:rsid w:val="005E153A"/>
    <w:rsid w:val="005E19F2"/>
    <w:rsid w:val="005E21E0"/>
    <w:rsid w:val="005E23B1"/>
    <w:rsid w:val="005E555E"/>
    <w:rsid w:val="005E55EF"/>
    <w:rsid w:val="005E585C"/>
    <w:rsid w:val="005E69D5"/>
    <w:rsid w:val="005E7DD9"/>
    <w:rsid w:val="005F0019"/>
    <w:rsid w:val="005F1699"/>
    <w:rsid w:val="005F1909"/>
    <w:rsid w:val="005F3391"/>
    <w:rsid w:val="005F580A"/>
    <w:rsid w:val="005F5EA2"/>
    <w:rsid w:val="0060056B"/>
    <w:rsid w:val="00600DE0"/>
    <w:rsid w:val="00602463"/>
    <w:rsid w:val="00602A7E"/>
    <w:rsid w:val="00602B10"/>
    <w:rsid w:val="00603242"/>
    <w:rsid w:val="00604C36"/>
    <w:rsid w:val="00606575"/>
    <w:rsid w:val="00607744"/>
    <w:rsid w:val="006079B1"/>
    <w:rsid w:val="00607B16"/>
    <w:rsid w:val="006109B6"/>
    <w:rsid w:val="00610A22"/>
    <w:rsid w:val="00610E25"/>
    <w:rsid w:val="00613336"/>
    <w:rsid w:val="00614262"/>
    <w:rsid w:val="00615206"/>
    <w:rsid w:val="006155D5"/>
    <w:rsid w:val="00616C75"/>
    <w:rsid w:val="00617CA7"/>
    <w:rsid w:val="00620A1F"/>
    <w:rsid w:val="0062118D"/>
    <w:rsid w:val="006222BB"/>
    <w:rsid w:val="00623262"/>
    <w:rsid w:val="0062361D"/>
    <w:rsid w:val="00623B30"/>
    <w:rsid w:val="00624C03"/>
    <w:rsid w:val="00624F46"/>
    <w:rsid w:val="0062530C"/>
    <w:rsid w:val="0062543D"/>
    <w:rsid w:val="00627231"/>
    <w:rsid w:val="006301A7"/>
    <w:rsid w:val="00631423"/>
    <w:rsid w:val="00632D25"/>
    <w:rsid w:val="00633C5E"/>
    <w:rsid w:val="00634606"/>
    <w:rsid w:val="00634ADC"/>
    <w:rsid w:val="00635582"/>
    <w:rsid w:val="00640263"/>
    <w:rsid w:val="0064085B"/>
    <w:rsid w:val="00641C43"/>
    <w:rsid w:val="00642C2E"/>
    <w:rsid w:val="00642CDC"/>
    <w:rsid w:val="006445DD"/>
    <w:rsid w:val="006448A3"/>
    <w:rsid w:val="00646625"/>
    <w:rsid w:val="006468A3"/>
    <w:rsid w:val="00646A75"/>
    <w:rsid w:val="006475AF"/>
    <w:rsid w:val="00647662"/>
    <w:rsid w:val="00647E59"/>
    <w:rsid w:val="00647F93"/>
    <w:rsid w:val="006513FB"/>
    <w:rsid w:val="006517A5"/>
    <w:rsid w:val="00652947"/>
    <w:rsid w:val="00652AED"/>
    <w:rsid w:val="00654369"/>
    <w:rsid w:val="00654C39"/>
    <w:rsid w:val="00654CDD"/>
    <w:rsid w:val="006554C9"/>
    <w:rsid w:val="006563E1"/>
    <w:rsid w:val="00657DCF"/>
    <w:rsid w:val="0066103A"/>
    <w:rsid w:val="00661AD4"/>
    <w:rsid w:val="00661B5A"/>
    <w:rsid w:val="00661ECF"/>
    <w:rsid w:val="00663638"/>
    <w:rsid w:val="00663FD9"/>
    <w:rsid w:val="0066465F"/>
    <w:rsid w:val="006650CA"/>
    <w:rsid w:val="006652D5"/>
    <w:rsid w:val="006659F6"/>
    <w:rsid w:val="0066620D"/>
    <w:rsid w:val="00666267"/>
    <w:rsid w:val="006663D8"/>
    <w:rsid w:val="0066717A"/>
    <w:rsid w:val="00667EEC"/>
    <w:rsid w:val="00670E1C"/>
    <w:rsid w:val="00671FF2"/>
    <w:rsid w:val="006721A4"/>
    <w:rsid w:val="006725AC"/>
    <w:rsid w:val="00672713"/>
    <w:rsid w:val="0067373C"/>
    <w:rsid w:val="00674D31"/>
    <w:rsid w:val="00675479"/>
    <w:rsid w:val="00677AB0"/>
    <w:rsid w:val="00681D64"/>
    <w:rsid w:val="00681D68"/>
    <w:rsid w:val="00686152"/>
    <w:rsid w:val="00686167"/>
    <w:rsid w:val="006869AD"/>
    <w:rsid w:val="00691A8F"/>
    <w:rsid w:val="00691BDF"/>
    <w:rsid w:val="00693153"/>
    <w:rsid w:val="00693322"/>
    <w:rsid w:val="00693C1E"/>
    <w:rsid w:val="00695E21"/>
    <w:rsid w:val="00695ED1"/>
    <w:rsid w:val="006960A9"/>
    <w:rsid w:val="006967CE"/>
    <w:rsid w:val="00696B4B"/>
    <w:rsid w:val="006973CF"/>
    <w:rsid w:val="00697542"/>
    <w:rsid w:val="00697903"/>
    <w:rsid w:val="006A08D4"/>
    <w:rsid w:val="006A09CE"/>
    <w:rsid w:val="006A197E"/>
    <w:rsid w:val="006A239C"/>
    <w:rsid w:val="006A2AC1"/>
    <w:rsid w:val="006A3D94"/>
    <w:rsid w:val="006A47A5"/>
    <w:rsid w:val="006A659C"/>
    <w:rsid w:val="006A7887"/>
    <w:rsid w:val="006A7F6D"/>
    <w:rsid w:val="006B08BA"/>
    <w:rsid w:val="006B0FF1"/>
    <w:rsid w:val="006B1AE4"/>
    <w:rsid w:val="006B25EF"/>
    <w:rsid w:val="006B337D"/>
    <w:rsid w:val="006B40F7"/>
    <w:rsid w:val="006B5CA9"/>
    <w:rsid w:val="006B5F00"/>
    <w:rsid w:val="006B6260"/>
    <w:rsid w:val="006B64F2"/>
    <w:rsid w:val="006B7268"/>
    <w:rsid w:val="006B7979"/>
    <w:rsid w:val="006B7B00"/>
    <w:rsid w:val="006C002C"/>
    <w:rsid w:val="006C0987"/>
    <w:rsid w:val="006C1D71"/>
    <w:rsid w:val="006C1E6D"/>
    <w:rsid w:val="006C465C"/>
    <w:rsid w:val="006C5D73"/>
    <w:rsid w:val="006C7616"/>
    <w:rsid w:val="006C7B1E"/>
    <w:rsid w:val="006D01B9"/>
    <w:rsid w:val="006D0F32"/>
    <w:rsid w:val="006D22D5"/>
    <w:rsid w:val="006D37F2"/>
    <w:rsid w:val="006D4C5A"/>
    <w:rsid w:val="006D5E05"/>
    <w:rsid w:val="006D6379"/>
    <w:rsid w:val="006D6541"/>
    <w:rsid w:val="006D6A1B"/>
    <w:rsid w:val="006D70DF"/>
    <w:rsid w:val="006D7219"/>
    <w:rsid w:val="006D74A2"/>
    <w:rsid w:val="006D75F0"/>
    <w:rsid w:val="006E00E9"/>
    <w:rsid w:val="006E1AFA"/>
    <w:rsid w:val="006E2C4C"/>
    <w:rsid w:val="006E323D"/>
    <w:rsid w:val="006E39D5"/>
    <w:rsid w:val="006E5186"/>
    <w:rsid w:val="006E7473"/>
    <w:rsid w:val="006E75BA"/>
    <w:rsid w:val="006F12C5"/>
    <w:rsid w:val="006F20CD"/>
    <w:rsid w:val="006F217E"/>
    <w:rsid w:val="006F2A16"/>
    <w:rsid w:val="006F2FA4"/>
    <w:rsid w:val="006F3D7F"/>
    <w:rsid w:val="006F3FA7"/>
    <w:rsid w:val="006F4B14"/>
    <w:rsid w:val="006F6507"/>
    <w:rsid w:val="006F669B"/>
    <w:rsid w:val="006F680B"/>
    <w:rsid w:val="006F69ED"/>
    <w:rsid w:val="0070162E"/>
    <w:rsid w:val="00702D22"/>
    <w:rsid w:val="007030AC"/>
    <w:rsid w:val="0070474A"/>
    <w:rsid w:val="00706543"/>
    <w:rsid w:val="007068CB"/>
    <w:rsid w:val="00706AD5"/>
    <w:rsid w:val="00707261"/>
    <w:rsid w:val="00707517"/>
    <w:rsid w:val="00710095"/>
    <w:rsid w:val="00710447"/>
    <w:rsid w:val="007113EA"/>
    <w:rsid w:val="00711F22"/>
    <w:rsid w:val="00713459"/>
    <w:rsid w:val="00715F50"/>
    <w:rsid w:val="00716B8E"/>
    <w:rsid w:val="0072018E"/>
    <w:rsid w:val="007217E2"/>
    <w:rsid w:val="007219FA"/>
    <w:rsid w:val="00721B31"/>
    <w:rsid w:val="00722C52"/>
    <w:rsid w:val="00722F77"/>
    <w:rsid w:val="00723507"/>
    <w:rsid w:val="007243BC"/>
    <w:rsid w:val="0072515D"/>
    <w:rsid w:val="00726FD8"/>
    <w:rsid w:val="00730B1A"/>
    <w:rsid w:val="007314DB"/>
    <w:rsid w:val="00732249"/>
    <w:rsid w:val="0073226F"/>
    <w:rsid w:val="0073351A"/>
    <w:rsid w:val="0073370C"/>
    <w:rsid w:val="00733FDA"/>
    <w:rsid w:val="0073523A"/>
    <w:rsid w:val="00735EC4"/>
    <w:rsid w:val="00736F01"/>
    <w:rsid w:val="0073738D"/>
    <w:rsid w:val="007402AC"/>
    <w:rsid w:val="00740A82"/>
    <w:rsid w:val="00743F11"/>
    <w:rsid w:val="0074457D"/>
    <w:rsid w:val="00744688"/>
    <w:rsid w:val="0074490B"/>
    <w:rsid w:val="0074593E"/>
    <w:rsid w:val="00745C07"/>
    <w:rsid w:val="00747614"/>
    <w:rsid w:val="00747907"/>
    <w:rsid w:val="007517E5"/>
    <w:rsid w:val="00751F91"/>
    <w:rsid w:val="00752A26"/>
    <w:rsid w:val="00755B25"/>
    <w:rsid w:val="00755DB5"/>
    <w:rsid w:val="007568A9"/>
    <w:rsid w:val="00756A71"/>
    <w:rsid w:val="00757EFE"/>
    <w:rsid w:val="00760089"/>
    <w:rsid w:val="00760F3A"/>
    <w:rsid w:val="00761F5B"/>
    <w:rsid w:val="00762134"/>
    <w:rsid w:val="00762CD1"/>
    <w:rsid w:val="007643C3"/>
    <w:rsid w:val="00764812"/>
    <w:rsid w:val="00765537"/>
    <w:rsid w:val="00766D94"/>
    <w:rsid w:val="00766E02"/>
    <w:rsid w:val="007679C8"/>
    <w:rsid w:val="00770658"/>
    <w:rsid w:val="00771741"/>
    <w:rsid w:val="00772017"/>
    <w:rsid w:val="0077310B"/>
    <w:rsid w:val="00773700"/>
    <w:rsid w:val="00773F8F"/>
    <w:rsid w:val="007746B4"/>
    <w:rsid w:val="00776274"/>
    <w:rsid w:val="007776EC"/>
    <w:rsid w:val="00777AF2"/>
    <w:rsid w:val="00780CC1"/>
    <w:rsid w:val="00784EB7"/>
    <w:rsid w:val="00786000"/>
    <w:rsid w:val="00787289"/>
    <w:rsid w:val="00790229"/>
    <w:rsid w:val="00792E4A"/>
    <w:rsid w:val="007932EA"/>
    <w:rsid w:val="00793923"/>
    <w:rsid w:val="007958D1"/>
    <w:rsid w:val="007965C2"/>
    <w:rsid w:val="007969FB"/>
    <w:rsid w:val="00797590"/>
    <w:rsid w:val="00797D09"/>
    <w:rsid w:val="007A1D30"/>
    <w:rsid w:val="007A3403"/>
    <w:rsid w:val="007A45C3"/>
    <w:rsid w:val="007A5B8B"/>
    <w:rsid w:val="007A7DCA"/>
    <w:rsid w:val="007B0799"/>
    <w:rsid w:val="007B09B9"/>
    <w:rsid w:val="007B0B56"/>
    <w:rsid w:val="007B239C"/>
    <w:rsid w:val="007B6ACB"/>
    <w:rsid w:val="007B781C"/>
    <w:rsid w:val="007C0458"/>
    <w:rsid w:val="007C1F18"/>
    <w:rsid w:val="007C406E"/>
    <w:rsid w:val="007C4381"/>
    <w:rsid w:val="007C498D"/>
    <w:rsid w:val="007C4A9C"/>
    <w:rsid w:val="007C542D"/>
    <w:rsid w:val="007C6914"/>
    <w:rsid w:val="007C6DA3"/>
    <w:rsid w:val="007C745E"/>
    <w:rsid w:val="007C7DC2"/>
    <w:rsid w:val="007D0237"/>
    <w:rsid w:val="007D119E"/>
    <w:rsid w:val="007D1246"/>
    <w:rsid w:val="007D1846"/>
    <w:rsid w:val="007D1B25"/>
    <w:rsid w:val="007D29D3"/>
    <w:rsid w:val="007D35B9"/>
    <w:rsid w:val="007D3862"/>
    <w:rsid w:val="007D53D8"/>
    <w:rsid w:val="007D56FD"/>
    <w:rsid w:val="007D5874"/>
    <w:rsid w:val="007D5FE0"/>
    <w:rsid w:val="007D5FF2"/>
    <w:rsid w:val="007D7521"/>
    <w:rsid w:val="007D77B7"/>
    <w:rsid w:val="007E080F"/>
    <w:rsid w:val="007E21FA"/>
    <w:rsid w:val="007E244A"/>
    <w:rsid w:val="007E30DA"/>
    <w:rsid w:val="007E3330"/>
    <w:rsid w:val="007E33E3"/>
    <w:rsid w:val="007E3535"/>
    <w:rsid w:val="007E456E"/>
    <w:rsid w:val="007E5386"/>
    <w:rsid w:val="007E5687"/>
    <w:rsid w:val="007E71ED"/>
    <w:rsid w:val="007E7AAA"/>
    <w:rsid w:val="007F0185"/>
    <w:rsid w:val="007F0ABE"/>
    <w:rsid w:val="007F1277"/>
    <w:rsid w:val="007F2823"/>
    <w:rsid w:val="007F40C0"/>
    <w:rsid w:val="007F7324"/>
    <w:rsid w:val="008004A5"/>
    <w:rsid w:val="00800CD1"/>
    <w:rsid w:val="00801CC4"/>
    <w:rsid w:val="00802BC6"/>
    <w:rsid w:val="00803007"/>
    <w:rsid w:val="00803019"/>
    <w:rsid w:val="00804F54"/>
    <w:rsid w:val="00805999"/>
    <w:rsid w:val="00805D26"/>
    <w:rsid w:val="00806F97"/>
    <w:rsid w:val="00807C14"/>
    <w:rsid w:val="008106F4"/>
    <w:rsid w:val="00811D59"/>
    <w:rsid w:val="00811EB8"/>
    <w:rsid w:val="0081248C"/>
    <w:rsid w:val="00813313"/>
    <w:rsid w:val="00814224"/>
    <w:rsid w:val="008149A4"/>
    <w:rsid w:val="008170DB"/>
    <w:rsid w:val="00820356"/>
    <w:rsid w:val="008252D2"/>
    <w:rsid w:val="008253B5"/>
    <w:rsid w:val="008259E8"/>
    <w:rsid w:val="00826819"/>
    <w:rsid w:val="008275FF"/>
    <w:rsid w:val="0083040C"/>
    <w:rsid w:val="008311F1"/>
    <w:rsid w:val="008312CC"/>
    <w:rsid w:val="00835488"/>
    <w:rsid w:val="008356A2"/>
    <w:rsid w:val="00836974"/>
    <w:rsid w:val="008372C0"/>
    <w:rsid w:val="008372C2"/>
    <w:rsid w:val="00837516"/>
    <w:rsid w:val="0083790D"/>
    <w:rsid w:val="00837B2B"/>
    <w:rsid w:val="00837B90"/>
    <w:rsid w:val="00842510"/>
    <w:rsid w:val="00842969"/>
    <w:rsid w:val="008447EF"/>
    <w:rsid w:val="00845E26"/>
    <w:rsid w:val="00846478"/>
    <w:rsid w:val="00846A32"/>
    <w:rsid w:val="00846D78"/>
    <w:rsid w:val="00847261"/>
    <w:rsid w:val="00847372"/>
    <w:rsid w:val="00850D88"/>
    <w:rsid w:val="00852149"/>
    <w:rsid w:val="00853413"/>
    <w:rsid w:val="00853D96"/>
    <w:rsid w:val="008547E3"/>
    <w:rsid w:val="00854B27"/>
    <w:rsid w:val="00855F0B"/>
    <w:rsid w:val="00856466"/>
    <w:rsid w:val="00857E3E"/>
    <w:rsid w:val="008609BD"/>
    <w:rsid w:val="00861C21"/>
    <w:rsid w:val="008622B9"/>
    <w:rsid w:val="008635F6"/>
    <w:rsid w:val="00864ACB"/>
    <w:rsid w:val="00866F02"/>
    <w:rsid w:val="008700E6"/>
    <w:rsid w:val="008719CB"/>
    <w:rsid w:val="00872CB0"/>
    <w:rsid w:val="00872D99"/>
    <w:rsid w:val="008735AF"/>
    <w:rsid w:val="0087421B"/>
    <w:rsid w:val="008743B8"/>
    <w:rsid w:val="00875D7F"/>
    <w:rsid w:val="00875D8C"/>
    <w:rsid w:val="00875EA9"/>
    <w:rsid w:val="008760C1"/>
    <w:rsid w:val="008766F4"/>
    <w:rsid w:val="008808BB"/>
    <w:rsid w:val="00880933"/>
    <w:rsid w:val="00881959"/>
    <w:rsid w:val="008825AC"/>
    <w:rsid w:val="008827C9"/>
    <w:rsid w:val="00883B89"/>
    <w:rsid w:val="00885C11"/>
    <w:rsid w:val="008863AC"/>
    <w:rsid w:val="00887A58"/>
    <w:rsid w:val="00887B0F"/>
    <w:rsid w:val="008906C1"/>
    <w:rsid w:val="008919FE"/>
    <w:rsid w:val="00892C6A"/>
    <w:rsid w:val="00893460"/>
    <w:rsid w:val="00893BCD"/>
    <w:rsid w:val="00893EC5"/>
    <w:rsid w:val="008949B5"/>
    <w:rsid w:val="00894FE2"/>
    <w:rsid w:val="00895079"/>
    <w:rsid w:val="00895138"/>
    <w:rsid w:val="00895B0B"/>
    <w:rsid w:val="00897019"/>
    <w:rsid w:val="00897E6A"/>
    <w:rsid w:val="008A1EE5"/>
    <w:rsid w:val="008A2893"/>
    <w:rsid w:val="008A355C"/>
    <w:rsid w:val="008A4B6E"/>
    <w:rsid w:val="008A5598"/>
    <w:rsid w:val="008A681C"/>
    <w:rsid w:val="008A6A36"/>
    <w:rsid w:val="008A6CE6"/>
    <w:rsid w:val="008A76AB"/>
    <w:rsid w:val="008B199C"/>
    <w:rsid w:val="008B1BD4"/>
    <w:rsid w:val="008B2281"/>
    <w:rsid w:val="008B3AEE"/>
    <w:rsid w:val="008B5738"/>
    <w:rsid w:val="008B5775"/>
    <w:rsid w:val="008B5C46"/>
    <w:rsid w:val="008B62F5"/>
    <w:rsid w:val="008B6C09"/>
    <w:rsid w:val="008B7F6F"/>
    <w:rsid w:val="008C0D51"/>
    <w:rsid w:val="008C1BB5"/>
    <w:rsid w:val="008C202C"/>
    <w:rsid w:val="008C24DC"/>
    <w:rsid w:val="008C4CB8"/>
    <w:rsid w:val="008C5478"/>
    <w:rsid w:val="008C5755"/>
    <w:rsid w:val="008C6A80"/>
    <w:rsid w:val="008C6E68"/>
    <w:rsid w:val="008D09A6"/>
    <w:rsid w:val="008D111A"/>
    <w:rsid w:val="008D1561"/>
    <w:rsid w:val="008D1C29"/>
    <w:rsid w:val="008D32DA"/>
    <w:rsid w:val="008D3BCF"/>
    <w:rsid w:val="008D3BF3"/>
    <w:rsid w:val="008D45EB"/>
    <w:rsid w:val="008D484F"/>
    <w:rsid w:val="008D5EFB"/>
    <w:rsid w:val="008D7358"/>
    <w:rsid w:val="008E04F4"/>
    <w:rsid w:val="008E081F"/>
    <w:rsid w:val="008E126A"/>
    <w:rsid w:val="008E1DA7"/>
    <w:rsid w:val="008E2602"/>
    <w:rsid w:val="008E2CE6"/>
    <w:rsid w:val="008E53D6"/>
    <w:rsid w:val="008E71EA"/>
    <w:rsid w:val="008F18CE"/>
    <w:rsid w:val="008F1CBC"/>
    <w:rsid w:val="008F28BC"/>
    <w:rsid w:val="008F2AF6"/>
    <w:rsid w:val="008F3103"/>
    <w:rsid w:val="008F3836"/>
    <w:rsid w:val="008F3ABA"/>
    <w:rsid w:val="008F4164"/>
    <w:rsid w:val="008F6535"/>
    <w:rsid w:val="008F6FD3"/>
    <w:rsid w:val="008F773A"/>
    <w:rsid w:val="008F7871"/>
    <w:rsid w:val="009007E4"/>
    <w:rsid w:val="00901759"/>
    <w:rsid w:val="0090265C"/>
    <w:rsid w:val="009032F5"/>
    <w:rsid w:val="009033ED"/>
    <w:rsid w:val="0090434E"/>
    <w:rsid w:val="00904DFF"/>
    <w:rsid w:val="00906DFD"/>
    <w:rsid w:val="0091122B"/>
    <w:rsid w:val="00911EDF"/>
    <w:rsid w:val="0091276D"/>
    <w:rsid w:val="00912A55"/>
    <w:rsid w:val="00913159"/>
    <w:rsid w:val="00913C57"/>
    <w:rsid w:val="00914637"/>
    <w:rsid w:val="00914946"/>
    <w:rsid w:val="00915F5D"/>
    <w:rsid w:val="009164D8"/>
    <w:rsid w:val="0091682F"/>
    <w:rsid w:val="00917A31"/>
    <w:rsid w:val="009205F5"/>
    <w:rsid w:val="009221A5"/>
    <w:rsid w:val="00922D2E"/>
    <w:rsid w:val="009236EA"/>
    <w:rsid w:val="00923DEB"/>
    <w:rsid w:val="00925369"/>
    <w:rsid w:val="009263CD"/>
    <w:rsid w:val="00926BD3"/>
    <w:rsid w:val="0093136C"/>
    <w:rsid w:val="00931696"/>
    <w:rsid w:val="00931D0C"/>
    <w:rsid w:val="009325C9"/>
    <w:rsid w:val="00934CAD"/>
    <w:rsid w:val="00937907"/>
    <w:rsid w:val="00937CD9"/>
    <w:rsid w:val="00940DFC"/>
    <w:rsid w:val="00941C42"/>
    <w:rsid w:val="00942642"/>
    <w:rsid w:val="00945F57"/>
    <w:rsid w:val="00946021"/>
    <w:rsid w:val="0094701F"/>
    <w:rsid w:val="00947291"/>
    <w:rsid w:val="00947D9E"/>
    <w:rsid w:val="0095190A"/>
    <w:rsid w:val="00952144"/>
    <w:rsid w:val="00952D9A"/>
    <w:rsid w:val="00952F30"/>
    <w:rsid w:val="00952F33"/>
    <w:rsid w:val="00954EC7"/>
    <w:rsid w:val="00954F9E"/>
    <w:rsid w:val="00955365"/>
    <w:rsid w:val="00955966"/>
    <w:rsid w:val="009570F1"/>
    <w:rsid w:val="0095747D"/>
    <w:rsid w:val="00957A53"/>
    <w:rsid w:val="009605A3"/>
    <w:rsid w:val="00961C78"/>
    <w:rsid w:val="00961D8F"/>
    <w:rsid w:val="00964C72"/>
    <w:rsid w:val="00966B43"/>
    <w:rsid w:val="009673E8"/>
    <w:rsid w:val="00971080"/>
    <w:rsid w:val="00971154"/>
    <w:rsid w:val="0097157F"/>
    <w:rsid w:val="009718F5"/>
    <w:rsid w:val="009728EB"/>
    <w:rsid w:val="009732E8"/>
    <w:rsid w:val="00973858"/>
    <w:rsid w:val="00975E77"/>
    <w:rsid w:val="00981A17"/>
    <w:rsid w:val="00982556"/>
    <w:rsid w:val="00983CB2"/>
    <w:rsid w:val="00985CBE"/>
    <w:rsid w:val="00987856"/>
    <w:rsid w:val="0099244E"/>
    <w:rsid w:val="00993B14"/>
    <w:rsid w:val="0099426A"/>
    <w:rsid w:val="009954FA"/>
    <w:rsid w:val="00995D44"/>
    <w:rsid w:val="00996202"/>
    <w:rsid w:val="0099716E"/>
    <w:rsid w:val="009974E0"/>
    <w:rsid w:val="0099754C"/>
    <w:rsid w:val="009A0090"/>
    <w:rsid w:val="009A0278"/>
    <w:rsid w:val="009A22FD"/>
    <w:rsid w:val="009A37E7"/>
    <w:rsid w:val="009A3E33"/>
    <w:rsid w:val="009A3EAA"/>
    <w:rsid w:val="009A749B"/>
    <w:rsid w:val="009B0C27"/>
    <w:rsid w:val="009B108B"/>
    <w:rsid w:val="009B30F6"/>
    <w:rsid w:val="009B33BE"/>
    <w:rsid w:val="009B3710"/>
    <w:rsid w:val="009B5DB9"/>
    <w:rsid w:val="009B5DC4"/>
    <w:rsid w:val="009B5EBD"/>
    <w:rsid w:val="009B6B8A"/>
    <w:rsid w:val="009B7311"/>
    <w:rsid w:val="009B79B7"/>
    <w:rsid w:val="009B7EC5"/>
    <w:rsid w:val="009C07CE"/>
    <w:rsid w:val="009C1685"/>
    <w:rsid w:val="009C3663"/>
    <w:rsid w:val="009C5424"/>
    <w:rsid w:val="009C6810"/>
    <w:rsid w:val="009C6BED"/>
    <w:rsid w:val="009C6ED9"/>
    <w:rsid w:val="009C76A1"/>
    <w:rsid w:val="009D239E"/>
    <w:rsid w:val="009D2F38"/>
    <w:rsid w:val="009D6842"/>
    <w:rsid w:val="009D6F06"/>
    <w:rsid w:val="009E290B"/>
    <w:rsid w:val="009E3791"/>
    <w:rsid w:val="009E48F1"/>
    <w:rsid w:val="009E5041"/>
    <w:rsid w:val="009E6027"/>
    <w:rsid w:val="009E66F6"/>
    <w:rsid w:val="009E6FB9"/>
    <w:rsid w:val="009F00DD"/>
    <w:rsid w:val="009F05D4"/>
    <w:rsid w:val="009F1381"/>
    <w:rsid w:val="009F261C"/>
    <w:rsid w:val="009F268B"/>
    <w:rsid w:val="009F3745"/>
    <w:rsid w:val="009F3C0A"/>
    <w:rsid w:val="009F40A7"/>
    <w:rsid w:val="009F523C"/>
    <w:rsid w:val="009F5DC7"/>
    <w:rsid w:val="009F5FB2"/>
    <w:rsid w:val="009F68BE"/>
    <w:rsid w:val="009F7939"/>
    <w:rsid w:val="009F7AE7"/>
    <w:rsid w:val="00A002AD"/>
    <w:rsid w:val="00A023BF"/>
    <w:rsid w:val="00A02AF5"/>
    <w:rsid w:val="00A02BA1"/>
    <w:rsid w:val="00A03AF4"/>
    <w:rsid w:val="00A04974"/>
    <w:rsid w:val="00A06935"/>
    <w:rsid w:val="00A07DAD"/>
    <w:rsid w:val="00A10C0A"/>
    <w:rsid w:val="00A10E76"/>
    <w:rsid w:val="00A118B0"/>
    <w:rsid w:val="00A12E3E"/>
    <w:rsid w:val="00A12EEA"/>
    <w:rsid w:val="00A135CD"/>
    <w:rsid w:val="00A13B68"/>
    <w:rsid w:val="00A14D1A"/>
    <w:rsid w:val="00A1664A"/>
    <w:rsid w:val="00A17045"/>
    <w:rsid w:val="00A17761"/>
    <w:rsid w:val="00A22BD1"/>
    <w:rsid w:val="00A231B2"/>
    <w:rsid w:val="00A23876"/>
    <w:rsid w:val="00A241EC"/>
    <w:rsid w:val="00A24B4C"/>
    <w:rsid w:val="00A24BA0"/>
    <w:rsid w:val="00A2547D"/>
    <w:rsid w:val="00A263DD"/>
    <w:rsid w:val="00A272C4"/>
    <w:rsid w:val="00A27359"/>
    <w:rsid w:val="00A31F4C"/>
    <w:rsid w:val="00A32ED4"/>
    <w:rsid w:val="00A348EA"/>
    <w:rsid w:val="00A34A69"/>
    <w:rsid w:val="00A35720"/>
    <w:rsid w:val="00A35E34"/>
    <w:rsid w:val="00A37D40"/>
    <w:rsid w:val="00A41CC8"/>
    <w:rsid w:val="00A41F9D"/>
    <w:rsid w:val="00A423CF"/>
    <w:rsid w:val="00A45571"/>
    <w:rsid w:val="00A459B5"/>
    <w:rsid w:val="00A4637A"/>
    <w:rsid w:val="00A52EF3"/>
    <w:rsid w:val="00A52F91"/>
    <w:rsid w:val="00A534AC"/>
    <w:rsid w:val="00A563EC"/>
    <w:rsid w:val="00A567DD"/>
    <w:rsid w:val="00A570C4"/>
    <w:rsid w:val="00A57B8E"/>
    <w:rsid w:val="00A57DF4"/>
    <w:rsid w:val="00A57FBB"/>
    <w:rsid w:val="00A62382"/>
    <w:rsid w:val="00A630E0"/>
    <w:rsid w:val="00A645B9"/>
    <w:rsid w:val="00A64C64"/>
    <w:rsid w:val="00A65227"/>
    <w:rsid w:val="00A65C31"/>
    <w:rsid w:val="00A65E1C"/>
    <w:rsid w:val="00A667C4"/>
    <w:rsid w:val="00A67CF2"/>
    <w:rsid w:val="00A704EC"/>
    <w:rsid w:val="00A7050B"/>
    <w:rsid w:val="00A70A3B"/>
    <w:rsid w:val="00A70AD7"/>
    <w:rsid w:val="00A70F3E"/>
    <w:rsid w:val="00A714C7"/>
    <w:rsid w:val="00A71783"/>
    <w:rsid w:val="00A71F38"/>
    <w:rsid w:val="00A7277C"/>
    <w:rsid w:val="00A7315C"/>
    <w:rsid w:val="00A7334C"/>
    <w:rsid w:val="00A733EE"/>
    <w:rsid w:val="00A7377E"/>
    <w:rsid w:val="00A73E5C"/>
    <w:rsid w:val="00A74125"/>
    <w:rsid w:val="00A748D7"/>
    <w:rsid w:val="00A7493B"/>
    <w:rsid w:val="00A74971"/>
    <w:rsid w:val="00A760C6"/>
    <w:rsid w:val="00A764CA"/>
    <w:rsid w:val="00A80D70"/>
    <w:rsid w:val="00A816FD"/>
    <w:rsid w:val="00A81985"/>
    <w:rsid w:val="00A8221F"/>
    <w:rsid w:val="00A853EE"/>
    <w:rsid w:val="00A85B6F"/>
    <w:rsid w:val="00A862C7"/>
    <w:rsid w:val="00A86EBE"/>
    <w:rsid w:val="00A904F1"/>
    <w:rsid w:val="00A91211"/>
    <w:rsid w:val="00A9236A"/>
    <w:rsid w:val="00A939B8"/>
    <w:rsid w:val="00A93D6F"/>
    <w:rsid w:val="00A943E3"/>
    <w:rsid w:val="00A94C31"/>
    <w:rsid w:val="00A94F07"/>
    <w:rsid w:val="00A958BC"/>
    <w:rsid w:val="00A95EFB"/>
    <w:rsid w:val="00AA057E"/>
    <w:rsid w:val="00AA122D"/>
    <w:rsid w:val="00AA309C"/>
    <w:rsid w:val="00AA3354"/>
    <w:rsid w:val="00AA3A16"/>
    <w:rsid w:val="00AA6976"/>
    <w:rsid w:val="00AA7151"/>
    <w:rsid w:val="00AA7FC6"/>
    <w:rsid w:val="00AB21F3"/>
    <w:rsid w:val="00AB22E2"/>
    <w:rsid w:val="00AB2660"/>
    <w:rsid w:val="00AB2790"/>
    <w:rsid w:val="00AB36E9"/>
    <w:rsid w:val="00AB44FB"/>
    <w:rsid w:val="00AB523D"/>
    <w:rsid w:val="00AB53BE"/>
    <w:rsid w:val="00AB5A84"/>
    <w:rsid w:val="00AB60B1"/>
    <w:rsid w:val="00AB61A8"/>
    <w:rsid w:val="00AB7E35"/>
    <w:rsid w:val="00AC2049"/>
    <w:rsid w:val="00AC6AAA"/>
    <w:rsid w:val="00AD0712"/>
    <w:rsid w:val="00AD13E1"/>
    <w:rsid w:val="00AD1902"/>
    <w:rsid w:val="00AD1DB1"/>
    <w:rsid w:val="00AD339D"/>
    <w:rsid w:val="00AD352B"/>
    <w:rsid w:val="00AD4309"/>
    <w:rsid w:val="00AD5691"/>
    <w:rsid w:val="00AD588F"/>
    <w:rsid w:val="00AD60ED"/>
    <w:rsid w:val="00AD630F"/>
    <w:rsid w:val="00AD78DF"/>
    <w:rsid w:val="00AD7FCA"/>
    <w:rsid w:val="00AE02A2"/>
    <w:rsid w:val="00AE1AE2"/>
    <w:rsid w:val="00AE3A35"/>
    <w:rsid w:val="00AE6886"/>
    <w:rsid w:val="00AE70D0"/>
    <w:rsid w:val="00AE7C5F"/>
    <w:rsid w:val="00AF00ED"/>
    <w:rsid w:val="00AF1FB7"/>
    <w:rsid w:val="00AF4057"/>
    <w:rsid w:val="00AF4245"/>
    <w:rsid w:val="00AF4B9D"/>
    <w:rsid w:val="00AF6B5D"/>
    <w:rsid w:val="00AF7FD8"/>
    <w:rsid w:val="00B00A1C"/>
    <w:rsid w:val="00B0133B"/>
    <w:rsid w:val="00B027D8"/>
    <w:rsid w:val="00B0357B"/>
    <w:rsid w:val="00B0456B"/>
    <w:rsid w:val="00B0562B"/>
    <w:rsid w:val="00B05693"/>
    <w:rsid w:val="00B05E23"/>
    <w:rsid w:val="00B11244"/>
    <w:rsid w:val="00B12712"/>
    <w:rsid w:val="00B12B68"/>
    <w:rsid w:val="00B13197"/>
    <w:rsid w:val="00B135AD"/>
    <w:rsid w:val="00B135F2"/>
    <w:rsid w:val="00B136E7"/>
    <w:rsid w:val="00B13C18"/>
    <w:rsid w:val="00B146B3"/>
    <w:rsid w:val="00B148C3"/>
    <w:rsid w:val="00B14C9D"/>
    <w:rsid w:val="00B14D18"/>
    <w:rsid w:val="00B14EC8"/>
    <w:rsid w:val="00B16432"/>
    <w:rsid w:val="00B16E2D"/>
    <w:rsid w:val="00B17552"/>
    <w:rsid w:val="00B17A52"/>
    <w:rsid w:val="00B22F81"/>
    <w:rsid w:val="00B23AF8"/>
    <w:rsid w:val="00B241F3"/>
    <w:rsid w:val="00B24797"/>
    <w:rsid w:val="00B252A2"/>
    <w:rsid w:val="00B25886"/>
    <w:rsid w:val="00B26424"/>
    <w:rsid w:val="00B26512"/>
    <w:rsid w:val="00B26EF3"/>
    <w:rsid w:val="00B27DF0"/>
    <w:rsid w:val="00B30766"/>
    <w:rsid w:val="00B3078C"/>
    <w:rsid w:val="00B31FB5"/>
    <w:rsid w:val="00B32CC8"/>
    <w:rsid w:val="00B32CF2"/>
    <w:rsid w:val="00B34147"/>
    <w:rsid w:val="00B379C0"/>
    <w:rsid w:val="00B37BF1"/>
    <w:rsid w:val="00B37DF7"/>
    <w:rsid w:val="00B4262B"/>
    <w:rsid w:val="00B43581"/>
    <w:rsid w:val="00B43B64"/>
    <w:rsid w:val="00B454D6"/>
    <w:rsid w:val="00B45DA8"/>
    <w:rsid w:val="00B45F8A"/>
    <w:rsid w:val="00B46A15"/>
    <w:rsid w:val="00B47D20"/>
    <w:rsid w:val="00B51058"/>
    <w:rsid w:val="00B524BA"/>
    <w:rsid w:val="00B54377"/>
    <w:rsid w:val="00B546FA"/>
    <w:rsid w:val="00B549C1"/>
    <w:rsid w:val="00B549D5"/>
    <w:rsid w:val="00B55D78"/>
    <w:rsid w:val="00B560A7"/>
    <w:rsid w:val="00B57F41"/>
    <w:rsid w:val="00B57FEA"/>
    <w:rsid w:val="00B618D1"/>
    <w:rsid w:val="00B63780"/>
    <w:rsid w:val="00B63FD5"/>
    <w:rsid w:val="00B6411C"/>
    <w:rsid w:val="00B6440D"/>
    <w:rsid w:val="00B64E48"/>
    <w:rsid w:val="00B64ED9"/>
    <w:rsid w:val="00B663AE"/>
    <w:rsid w:val="00B67A50"/>
    <w:rsid w:val="00B67CD3"/>
    <w:rsid w:val="00B71B4D"/>
    <w:rsid w:val="00B73D2D"/>
    <w:rsid w:val="00B74491"/>
    <w:rsid w:val="00B74BAA"/>
    <w:rsid w:val="00B74DB2"/>
    <w:rsid w:val="00B75E56"/>
    <w:rsid w:val="00B7632E"/>
    <w:rsid w:val="00B76513"/>
    <w:rsid w:val="00B770E3"/>
    <w:rsid w:val="00B80562"/>
    <w:rsid w:val="00B80D4B"/>
    <w:rsid w:val="00B8137C"/>
    <w:rsid w:val="00B8166C"/>
    <w:rsid w:val="00B819C2"/>
    <w:rsid w:val="00B81CB1"/>
    <w:rsid w:val="00B82314"/>
    <w:rsid w:val="00B83023"/>
    <w:rsid w:val="00B84D5E"/>
    <w:rsid w:val="00B90216"/>
    <w:rsid w:val="00B90768"/>
    <w:rsid w:val="00B91EB4"/>
    <w:rsid w:val="00B94039"/>
    <w:rsid w:val="00B96976"/>
    <w:rsid w:val="00B97548"/>
    <w:rsid w:val="00BA099E"/>
    <w:rsid w:val="00BA2C2B"/>
    <w:rsid w:val="00BA37BA"/>
    <w:rsid w:val="00BA38C2"/>
    <w:rsid w:val="00BA527B"/>
    <w:rsid w:val="00BA6A94"/>
    <w:rsid w:val="00BB1247"/>
    <w:rsid w:val="00BB1575"/>
    <w:rsid w:val="00BB23FF"/>
    <w:rsid w:val="00BB2C04"/>
    <w:rsid w:val="00BB39D1"/>
    <w:rsid w:val="00BB4E3A"/>
    <w:rsid w:val="00BB6534"/>
    <w:rsid w:val="00BB779A"/>
    <w:rsid w:val="00BC1BF3"/>
    <w:rsid w:val="00BC28F3"/>
    <w:rsid w:val="00BC30F3"/>
    <w:rsid w:val="00BC4B79"/>
    <w:rsid w:val="00BC63D6"/>
    <w:rsid w:val="00BC651D"/>
    <w:rsid w:val="00BC733F"/>
    <w:rsid w:val="00BC7661"/>
    <w:rsid w:val="00BD07A9"/>
    <w:rsid w:val="00BD07CB"/>
    <w:rsid w:val="00BD34C9"/>
    <w:rsid w:val="00BD3752"/>
    <w:rsid w:val="00BD4145"/>
    <w:rsid w:val="00BD6631"/>
    <w:rsid w:val="00BE0213"/>
    <w:rsid w:val="00BE0A8B"/>
    <w:rsid w:val="00BE10F2"/>
    <w:rsid w:val="00BE1D8D"/>
    <w:rsid w:val="00BE32ED"/>
    <w:rsid w:val="00BE41C5"/>
    <w:rsid w:val="00BE465C"/>
    <w:rsid w:val="00BE480D"/>
    <w:rsid w:val="00BE7ED4"/>
    <w:rsid w:val="00BF0201"/>
    <w:rsid w:val="00BF0BF1"/>
    <w:rsid w:val="00BF358B"/>
    <w:rsid w:val="00BF36D3"/>
    <w:rsid w:val="00BF3811"/>
    <w:rsid w:val="00BF438E"/>
    <w:rsid w:val="00BF5134"/>
    <w:rsid w:val="00BF5A67"/>
    <w:rsid w:val="00BF5FB8"/>
    <w:rsid w:val="00BF678E"/>
    <w:rsid w:val="00C01802"/>
    <w:rsid w:val="00C020CE"/>
    <w:rsid w:val="00C028EB"/>
    <w:rsid w:val="00C032EE"/>
    <w:rsid w:val="00C04F4B"/>
    <w:rsid w:val="00C05019"/>
    <w:rsid w:val="00C059C3"/>
    <w:rsid w:val="00C07239"/>
    <w:rsid w:val="00C102A5"/>
    <w:rsid w:val="00C11E6B"/>
    <w:rsid w:val="00C122D8"/>
    <w:rsid w:val="00C1339E"/>
    <w:rsid w:val="00C1386D"/>
    <w:rsid w:val="00C15651"/>
    <w:rsid w:val="00C15B65"/>
    <w:rsid w:val="00C2145F"/>
    <w:rsid w:val="00C21B9E"/>
    <w:rsid w:val="00C21C66"/>
    <w:rsid w:val="00C21EA7"/>
    <w:rsid w:val="00C242C9"/>
    <w:rsid w:val="00C24632"/>
    <w:rsid w:val="00C2622C"/>
    <w:rsid w:val="00C26D0C"/>
    <w:rsid w:val="00C2748E"/>
    <w:rsid w:val="00C27C9A"/>
    <w:rsid w:val="00C32D34"/>
    <w:rsid w:val="00C343C9"/>
    <w:rsid w:val="00C34408"/>
    <w:rsid w:val="00C34877"/>
    <w:rsid w:val="00C3620B"/>
    <w:rsid w:val="00C37BF0"/>
    <w:rsid w:val="00C40487"/>
    <w:rsid w:val="00C407E0"/>
    <w:rsid w:val="00C41FC7"/>
    <w:rsid w:val="00C436D8"/>
    <w:rsid w:val="00C4434D"/>
    <w:rsid w:val="00C44447"/>
    <w:rsid w:val="00C44B5B"/>
    <w:rsid w:val="00C45661"/>
    <w:rsid w:val="00C45820"/>
    <w:rsid w:val="00C4693E"/>
    <w:rsid w:val="00C46D7F"/>
    <w:rsid w:val="00C472EA"/>
    <w:rsid w:val="00C502B4"/>
    <w:rsid w:val="00C503F9"/>
    <w:rsid w:val="00C509BF"/>
    <w:rsid w:val="00C5130B"/>
    <w:rsid w:val="00C51DF3"/>
    <w:rsid w:val="00C52448"/>
    <w:rsid w:val="00C5559D"/>
    <w:rsid w:val="00C558DB"/>
    <w:rsid w:val="00C5660B"/>
    <w:rsid w:val="00C5695B"/>
    <w:rsid w:val="00C600F0"/>
    <w:rsid w:val="00C60C12"/>
    <w:rsid w:val="00C60CC5"/>
    <w:rsid w:val="00C60F12"/>
    <w:rsid w:val="00C617D2"/>
    <w:rsid w:val="00C622B6"/>
    <w:rsid w:val="00C62DAE"/>
    <w:rsid w:val="00C62F5D"/>
    <w:rsid w:val="00C63811"/>
    <w:rsid w:val="00C63843"/>
    <w:rsid w:val="00C67512"/>
    <w:rsid w:val="00C67803"/>
    <w:rsid w:val="00C71170"/>
    <w:rsid w:val="00C715FE"/>
    <w:rsid w:val="00C729D7"/>
    <w:rsid w:val="00C72C7A"/>
    <w:rsid w:val="00C73116"/>
    <w:rsid w:val="00C76FEA"/>
    <w:rsid w:val="00C77B94"/>
    <w:rsid w:val="00C80B69"/>
    <w:rsid w:val="00C80C4B"/>
    <w:rsid w:val="00C80DD0"/>
    <w:rsid w:val="00C8540C"/>
    <w:rsid w:val="00C856C8"/>
    <w:rsid w:val="00C8686D"/>
    <w:rsid w:val="00C875A8"/>
    <w:rsid w:val="00C875EF"/>
    <w:rsid w:val="00C91218"/>
    <w:rsid w:val="00C915AA"/>
    <w:rsid w:val="00C9246A"/>
    <w:rsid w:val="00C93AF4"/>
    <w:rsid w:val="00C946EB"/>
    <w:rsid w:val="00C94F1C"/>
    <w:rsid w:val="00C95548"/>
    <w:rsid w:val="00C95715"/>
    <w:rsid w:val="00C9687A"/>
    <w:rsid w:val="00C96FAF"/>
    <w:rsid w:val="00C9766D"/>
    <w:rsid w:val="00C9788D"/>
    <w:rsid w:val="00C978EE"/>
    <w:rsid w:val="00CA114C"/>
    <w:rsid w:val="00CA1884"/>
    <w:rsid w:val="00CA196B"/>
    <w:rsid w:val="00CA1F06"/>
    <w:rsid w:val="00CA3A6B"/>
    <w:rsid w:val="00CA3B33"/>
    <w:rsid w:val="00CA45BD"/>
    <w:rsid w:val="00CA4EB9"/>
    <w:rsid w:val="00CA513F"/>
    <w:rsid w:val="00CA556E"/>
    <w:rsid w:val="00CA597D"/>
    <w:rsid w:val="00CA65EF"/>
    <w:rsid w:val="00CA7EA6"/>
    <w:rsid w:val="00CA7EE0"/>
    <w:rsid w:val="00CB0F38"/>
    <w:rsid w:val="00CB16E9"/>
    <w:rsid w:val="00CB25E3"/>
    <w:rsid w:val="00CB71C2"/>
    <w:rsid w:val="00CC0BB9"/>
    <w:rsid w:val="00CC2724"/>
    <w:rsid w:val="00CC27D4"/>
    <w:rsid w:val="00CC30D9"/>
    <w:rsid w:val="00CC314B"/>
    <w:rsid w:val="00CC4028"/>
    <w:rsid w:val="00CC46B1"/>
    <w:rsid w:val="00CC5ADF"/>
    <w:rsid w:val="00CD0389"/>
    <w:rsid w:val="00CD05BC"/>
    <w:rsid w:val="00CD12FF"/>
    <w:rsid w:val="00CD13F2"/>
    <w:rsid w:val="00CD34B8"/>
    <w:rsid w:val="00CD409D"/>
    <w:rsid w:val="00CD459A"/>
    <w:rsid w:val="00CD497D"/>
    <w:rsid w:val="00CD5319"/>
    <w:rsid w:val="00CD54C0"/>
    <w:rsid w:val="00CD6820"/>
    <w:rsid w:val="00CD6ADF"/>
    <w:rsid w:val="00CD7895"/>
    <w:rsid w:val="00CE0408"/>
    <w:rsid w:val="00CE13C2"/>
    <w:rsid w:val="00CE14CE"/>
    <w:rsid w:val="00CE4589"/>
    <w:rsid w:val="00CE61D0"/>
    <w:rsid w:val="00CE6BF4"/>
    <w:rsid w:val="00CF0D95"/>
    <w:rsid w:val="00CF10F8"/>
    <w:rsid w:val="00CF111F"/>
    <w:rsid w:val="00CF13A6"/>
    <w:rsid w:val="00CF1DAA"/>
    <w:rsid w:val="00CF2516"/>
    <w:rsid w:val="00CF5BF4"/>
    <w:rsid w:val="00D01A4E"/>
    <w:rsid w:val="00D01E6C"/>
    <w:rsid w:val="00D0305B"/>
    <w:rsid w:val="00D05B8E"/>
    <w:rsid w:val="00D068AB"/>
    <w:rsid w:val="00D06E11"/>
    <w:rsid w:val="00D071D4"/>
    <w:rsid w:val="00D072FE"/>
    <w:rsid w:val="00D10C89"/>
    <w:rsid w:val="00D13FAD"/>
    <w:rsid w:val="00D14890"/>
    <w:rsid w:val="00D14C7D"/>
    <w:rsid w:val="00D1545A"/>
    <w:rsid w:val="00D15D1C"/>
    <w:rsid w:val="00D15D65"/>
    <w:rsid w:val="00D171F6"/>
    <w:rsid w:val="00D1768B"/>
    <w:rsid w:val="00D176C4"/>
    <w:rsid w:val="00D2037B"/>
    <w:rsid w:val="00D20902"/>
    <w:rsid w:val="00D21BC6"/>
    <w:rsid w:val="00D21D4B"/>
    <w:rsid w:val="00D21EB6"/>
    <w:rsid w:val="00D22D31"/>
    <w:rsid w:val="00D23A27"/>
    <w:rsid w:val="00D242F0"/>
    <w:rsid w:val="00D259E7"/>
    <w:rsid w:val="00D26216"/>
    <w:rsid w:val="00D27367"/>
    <w:rsid w:val="00D3187D"/>
    <w:rsid w:val="00D31AB7"/>
    <w:rsid w:val="00D33936"/>
    <w:rsid w:val="00D35D33"/>
    <w:rsid w:val="00D36171"/>
    <w:rsid w:val="00D3681C"/>
    <w:rsid w:val="00D36C89"/>
    <w:rsid w:val="00D36EB2"/>
    <w:rsid w:val="00D371D1"/>
    <w:rsid w:val="00D37C46"/>
    <w:rsid w:val="00D40B26"/>
    <w:rsid w:val="00D42712"/>
    <w:rsid w:val="00D42E77"/>
    <w:rsid w:val="00D4562B"/>
    <w:rsid w:val="00D45C23"/>
    <w:rsid w:val="00D45D8F"/>
    <w:rsid w:val="00D46691"/>
    <w:rsid w:val="00D46B16"/>
    <w:rsid w:val="00D47980"/>
    <w:rsid w:val="00D50A71"/>
    <w:rsid w:val="00D526AF"/>
    <w:rsid w:val="00D5294A"/>
    <w:rsid w:val="00D53DBC"/>
    <w:rsid w:val="00D54B51"/>
    <w:rsid w:val="00D550A3"/>
    <w:rsid w:val="00D5538F"/>
    <w:rsid w:val="00D553F3"/>
    <w:rsid w:val="00D56779"/>
    <w:rsid w:val="00D56E9E"/>
    <w:rsid w:val="00D609E1"/>
    <w:rsid w:val="00D63D43"/>
    <w:rsid w:val="00D660FC"/>
    <w:rsid w:val="00D66B4B"/>
    <w:rsid w:val="00D66BAB"/>
    <w:rsid w:val="00D67617"/>
    <w:rsid w:val="00D718C8"/>
    <w:rsid w:val="00D72C11"/>
    <w:rsid w:val="00D74C40"/>
    <w:rsid w:val="00D7549D"/>
    <w:rsid w:val="00D75865"/>
    <w:rsid w:val="00D759CC"/>
    <w:rsid w:val="00D76A27"/>
    <w:rsid w:val="00D77156"/>
    <w:rsid w:val="00D81129"/>
    <w:rsid w:val="00D81134"/>
    <w:rsid w:val="00D81D43"/>
    <w:rsid w:val="00D82402"/>
    <w:rsid w:val="00D8268B"/>
    <w:rsid w:val="00D82DF0"/>
    <w:rsid w:val="00D8306E"/>
    <w:rsid w:val="00D83627"/>
    <w:rsid w:val="00D90917"/>
    <w:rsid w:val="00D91BBC"/>
    <w:rsid w:val="00D91C17"/>
    <w:rsid w:val="00D91E8B"/>
    <w:rsid w:val="00D92A78"/>
    <w:rsid w:val="00D94025"/>
    <w:rsid w:val="00D95A64"/>
    <w:rsid w:val="00D96C36"/>
    <w:rsid w:val="00D978F8"/>
    <w:rsid w:val="00DA2332"/>
    <w:rsid w:val="00DA2AE4"/>
    <w:rsid w:val="00DA5573"/>
    <w:rsid w:val="00DA648B"/>
    <w:rsid w:val="00DA758F"/>
    <w:rsid w:val="00DB0E8B"/>
    <w:rsid w:val="00DB1894"/>
    <w:rsid w:val="00DB3B73"/>
    <w:rsid w:val="00DC0370"/>
    <w:rsid w:val="00DC0531"/>
    <w:rsid w:val="00DC14B3"/>
    <w:rsid w:val="00DC4786"/>
    <w:rsid w:val="00DC4902"/>
    <w:rsid w:val="00DC499F"/>
    <w:rsid w:val="00DC4BF7"/>
    <w:rsid w:val="00DC4F63"/>
    <w:rsid w:val="00DC50A1"/>
    <w:rsid w:val="00DD00F7"/>
    <w:rsid w:val="00DD0AA1"/>
    <w:rsid w:val="00DD0E34"/>
    <w:rsid w:val="00DD2D17"/>
    <w:rsid w:val="00DD2F2F"/>
    <w:rsid w:val="00DD67BC"/>
    <w:rsid w:val="00DD6A37"/>
    <w:rsid w:val="00DE224B"/>
    <w:rsid w:val="00DE4F59"/>
    <w:rsid w:val="00DE733E"/>
    <w:rsid w:val="00DE7596"/>
    <w:rsid w:val="00DE7D8E"/>
    <w:rsid w:val="00DF1A85"/>
    <w:rsid w:val="00DF2086"/>
    <w:rsid w:val="00DF2EA8"/>
    <w:rsid w:val="00DF548E"/>
    <w:rsid w:val="00DF562D"/>
    <w:rsid w:val="00E01E3B"/>
    <w:rsid w:val="00E029AE"/>
    <w:rsid w:val="00E032BC"/>
    <w:rsid w:val="00E03ADA"/>
    <w:rsid w:val="00E044F5"/>
    <w:rsid w:val="00E04644"/>
    <w:rsid w:val="00E0645B"/>
    <w:rsid w:val="00E06534"/>
    <w:rsid w:val="00E06802"/>
    <w:rsid w:val="00E07C44"/>
    <w:rsid w:val="00E07E8E"/>
    <w:rsid w:val="00E1028A"/>
    <w:rsid w:val="00E10E16"/>
    <w:rsid w:val="00E122E9"/>
    <w:rsid w:val="00E12BE1"/>
    <w:rsid w:val="00E13773"/>
    <w:rsid w:val="00E14F54"/>
    <w:rsid w:val="00E15A15"/>
    <w:rsid w:val="00E15DCD"/>
    <w:rsid w:val="00E16387"/>
    <w:rsid w:val="00E1738F"/>
    <w:rsid w:val="00E17D3F"/>
    <w:rsid w:val="00E20417"/>
    <w:rsid w:val="00E20E32"/>
    <w:rsid w:val="00E210EA"/>
    <w:rsid w:val="00E22298"/>
    <w:rsid w:val="00E23A1D"/>
    <w:rsid w:val="00E23D0B"/>
    <w:rsid w:val="00E2447E"/>
    <w:rsid w:val="00E25D1B"/>
    <w:rsid w:val="00E2700D"/>
    <w:rsid w:val="00E273B4"/>
    <w:rsid w:val="00E3052C"/>
    <w:rsid w:val="00E32687"/>
    <w:rsid w:val="00E33591"/>
    <w:rsid w:val="00E3566C"/>
    <w:rsid w:val="00E36EB1"/>
    <w:rsid w:val="00E37274"/>
    <w:rsid w:val="00E37962"/>
    <w:rsid w:val="00E4163E"/>
    <w:rsid w:val="00E4272C"/>
    <w:rsid w:val="00E4440C"/>
    <w:rsid w:val="00E44981"/>
    <w:rsid w:val="00E4525F"/>
    <w:rsid w:val="00E45C66"/>
    <w:rsid w:val="00E46345"/>
    <w:rsid w:val="00E47C32"/>
    <w:rsid w:val="00E54271"/>
    <w:rsid w:val="00E544A4"/>
    <w:rsid w:val="00E57D21"/>
    <w:rsid w:val="00E61797"/>
    <w:rsid w:val="00E64ABF"/>
    <w:rsid w:val="00E6648C"/>
    <w:rsid w:val="00E66902"/>
    <w:rsid w:val="00E674EC"/>
    <w:rsid w:val="00E6756C"/>
    <w:rsid w:val="00E70532"/>
    <w:rsid w:val="00E713F7"/>
    <w:rsid w:val="00E71792"/>
    <w:rsid w:val="00E74647"/>
    <w:rsid w:val="00E751A8"/>
    <w:rsid w:val="00E75B1D"/>
    <w:rsid w:val="00E76545"/>
    <w:rsid w:val="00E778F3"/>
    <w:rsid w:val="00E779BC"/>
    <w:rsid w:val="00E77FC0"/>
    <w:rsid w:val="00E801A1"/>
    <w:rsid w:val="00E80959"/>
    <w:rsid w:val="00E811FB"/>
    <w:rsid w:val="00E81BB6"/>
    <w:rsid w:val="00E8200D"/>
    <w:rsid w:val="00E8462D"/>
    <w:rsid w:val="00E8546E"/>
    <w:rsid w:val="00E85ABD"/>
    <w:rsid w:val="00E85D2F"/>
    <w:rsid w:val="00E876DA"/>
    <w:rsid w:val="00E9007D"/>
    <w:rsid w:val="00E908DA"/>
    <w:rsid w:val="00E90CFE"/>
    <w:rsid w:val="00E91F12"/>
    <w:rsid w:val="00E96263"/>
    <w:rsid w:val="00E974A6"/>
    <w:rsid w:val="00EA2605"/>
    <w:rsid w:val="00EA2A5B"/>
    <w:rsid w:val="00EA2F90"/>
    <w:rsid w:val="00EA4AD0"/>
    <w:rsid w:val="00EA4D4D"/>
    <w:rsid w:val="00EA5564"/>
    <w:rsid w:val="00EA58E7"/>
    <w:rsid w:val="00EA6FDE"/>
    <w:rsid w:val="00EA7C77"/>
    <w:rsid w:val="00EB05DC"/>
    <w:rsid w:val="00EB1841"/>
    <w:rsid w:val="00EB226D"/>
    <w:rsid w:val="00EB356E"/>
    <w:rsid w:val="00EB6683"/>
    <w:rsid w:val="00EB68D9"/>
    <w:rsid w:val="00EB7D7A"/>
    <w:rsid w:val="00EC0A4B"/>
    <w:rsid w:val="00EC16DB"/>
    <w:rsid w:val="00EC23E1"/>
    <w:rsid w:val="00EC2816"/>
    <w:rsid w:val="00EC2E7A"/>
    <w:rsid w:val="00EC2FDA"/>
    <w:rsid w:val="00EC30A5"/>
    <w:rsid w:val="00EC316A"/>
    <w:rsid w:val="00EC3A91"/>
    <w:rsid w:val="00EC3D0B"/>
    <w:rsid w:val="00EC3E65"/>
    <w:rsid w:val="00EC4F24"/>
    <w:rsid w:val="00EC5A4E"/>
    <w:rsid w:val="00EC5EFF"/>
    <w:rsid w:val="00EC6260"/>
    <w:rsid w:val="00EC658C"/>
    <w:rsid w:val="00EC6F1A"/>
    <w:rsid w:val="00ED21E1"/>
    <w:rsid w:val="00ED3173"/>
    <w:rsid w:val="00ED328F"/>
    <w:rsid w:val="00ED553C"/>
    <w:rsid w:val="00EE1155"/>
    <w:rsid w:val="00EE156E"/>
    <w:rsid w:val="00EE16A1"/>
    <w:rsid w:val="00EE186E"/>
    <w:rsid w:val="00EE1ABB"/>
    <w:rsid w:val="00EE1B43"/>
    <w:rsid w:val="00EE4519"/>
    <w:rsid w:val="00EE4B52"/>
    <w:rsid w:val="00EE5599"/>
    <w:rsid w:val="00EE5B2D"/>
    <w:rsid w:val="00EE6071"/>
    <w:rsid w:val="00EE6A32"/>
    <w:rsid w:val="00EE7A9C"/>
    <w:rsid w:val="00EF035B"/>
    <w:rsid w:val="00EF0CEE"/>
    <w:rsid w:val="00EF127A"/>
    <w:rsid w:val="00EF1E6E"/>
    <w:rsid w:val="00EF3380"/>
    <w:rsid w:val="00EF3980"/>
    <w:rsid w:val="00EF52B1"/>
    <w:rsid w:val="00EF5A48"/>
    <w:rsid w:val="00EF60EC"/>
    <w:rsid w:val="00EF69AE"/>
    <w:rsid w:val="00EF7A2F"/>
    <w:rsid w:val="00F0029B"/>
    <w:rsid w:val="00F01D9A"/>
    <w:rsid w:val="00F0503C"/>
    <w:rsid w:val="00F05842"/>
    <w:rsid w:val="00F05D51"/>
    <w:rsid w:val="00F061F1"/>
    <w:rsid w:val="00F06B59"/>
    <w:rsid w:val="00F07121"/>
    <w:rsid w:val="00F07125"/>
    <w:rsid w:val="00F07983"/>
    <w:rsid w:val="00F10723"/>
    <w:rsid w:val="00F12B38"/>
    <w:rsid w:val="00F13087"/>
    <w:rsid w:val="00F13129"/>
    <w:rsid w:val="00F13FD9"/>
    <w:rsid w:val="00F14349"/>
    <w:rsid w:val="00F1477B"/>
    <w:rsid w:val="00F14B39"/>
    <w:rsid w:val="00F151F1"/>
    <w:rsid w:val="00F15683"/>
    <w:rsid w:val="00F1651C"/>
    <w:rsid w:val="00F16D45"/>
    <w:rsid w:val="00F176A4"/>
    <w:rsid w:val="00F20003"/>
    <w:rsid w:val="00F2066B"/>
    <w:rsid w:val="00F21963"/>
    <w:rsid w:val="00F22222"/>
    <w:rsid w:val="00F222BC"/>
    <w:rsid w:val="00F2250B"/>
    <w:rsid w:val="00F22CB6"/>
    <w:rsid w:val="00F23937"/>
    <w:rsid w:val="00F25F71"/>
    <w:rsid w:val="00F278AA"/>
    <w:rsid w:val="00F279D1"/>
    <w:rsid w:val="00F302FA"/>
    <w:rsid w:val="00F317D6"/>
    <w:rsid w:val="00F320FF"/>
    <w:rsid w:val="00F32FD4"/>
    <w:rsid w:val="00F340FC"/>
    <w:rsid w:val="00F34C4C"/>
    <w:rsid w:val="00F354C4"/>
    <w:rsid w:val="00F37020"/>
    <w:rsid w:val="00F40038"/>
    <w:rsid w:val="00F4068E"/>
    <w:rsid w:val="00F40FB1"/>
    <w:rsid w:val="00F4101B"/>
    <w:rsid w:val="00F41600"/>
    <w:rsid w:val="00F429AC"/>
    <w:rsid w:val="00F44135"/>
    <w:rsid w:val="00F44AE0"/>
    <w:rsid w:val="00F5007B"/>
    <w:rsid w:val="00F51AE4"/>
    <w:rsid w:val="00F51D6D"/>
    <w:rsid w:val="00F51D88"/>
    <w:rsid w:val="00F533BD"/>
    <w:rsid w:val="00F5559A"/>
    <w:rsid w:val="00F55CDC"/>
    <w:rsid w:val="00F571D9"/>
    <w:rsid w:val="00F57ABA"/>
    <w:rsid w:val="00F57FD4"/>
    <w:rsid w:val="00F61BA2"/>
    <w:rsid w:val="00F622C7"/>
    <w:rsid w:val="00F64547"/>
    <w:rsid w:val="00F65E72"/>
    <w:rsid w:val="00F6761B"/>
    <w:rsid w:val="00F70A2C"/>
    <w:rsid w:val="00F7142E"/>
    <w:rsid w:val="00F71C43"/>
    <w:rsid w:val="00F7244C"/>
    <w:rsid w:val="00F72E14"/>
    <w:rsid w:val="00F7564D"/>
    <w:rsid w:val="00F76DAC"/>
    <w:rsid w:val="00F772E4"/>
    <w:rsid w:val="00F81B3B"/>
    <w:rsid w:val="00F82188"/>
    <w:rsid w:val="00F84834"/>
    <w:rsid w:val="00F85E9F"/>
    <w:rsid w:val="00F85F91"/>
    <w:rsid w:val="00F86059"/>
    <w:rsid w:val="00F860F6"/>
    <w:rsid w:val="00F86167"/>
    <w:rsid w:val="00F9181D"/>
    <w:rsid w:val="00F91B7D"/>
    <w:rsid w:val="00F92139"/>
    <w:rsid w:val="00F92E45"/>
    <w:rsid w:val="00F93F2B"/>
    <w:rsid w:val="00F958BD"/>
    <w:rsid w:val="00F97D58"/>
    <w:rsid w:val="00FA07BA"/>
    <w:rsid w:val="00FA0DE6"/>
    <w:rsid w:val="00FA0E02"/>
    <w:rsid w:val="00FA1B42"/>
    <w:rsid w:val="00FA1C6B"/>
    <w:rsid w:val="00FA1F53"/>
    <w:rsid w:val="00FA1FF6"/>
    <w:rsid w:val="00FA2FB8"/>
    <w:rsid w:val="00FA4142"/>
    <w:rsid w:val="00FA4D24"/>
    <w:rsid w:val="00FA58AB"/>
    <w:rsid w:val="00FA58AD"/>
    <w:rsid w:val="00FA5FF1"/>
    <w:rsid w:val="00FA6B84"/>
    <w:rsid w:val="00FA6C7C"/>
    <w:rsid w:val="00FA6FC7"/>
    <w:rsid w:val="00FA7F45"/>
    <w:rsid w:val="00FB07D8"/>
    <w:rsid w:val="00FB1D68"/>
    <w:rsid w:val="00FB23D5"/>
    <w:rsid w:val="00FB3148"/>
    <w:rsid w:val="00FB3820"/>
    <w:rsid w:val="00FB3FA2"/>
    <w:rsid w:val="00FB47DF"/>
    <w:rsid w:val="00FB500D"/>
    <w:rsid w:val="00FB5264"/>
    <w:rsid w:val="00FB6067"/>
    <w:rsid w:val="00FB728F"/>
    <w:rsid w:val="00FC00F5"/>
    <w:rsid w:val="00FC0940"/>
    <w:rsid w:val="00FC1343"/>
    <w:rsid w:val="00FC176D"/>
    <w:rsid w:val="00FC292F"/>
    <w:rsid w:val="00FC2992"/>
    <w:rsid w:val="00FC3371"/>
    <w:rsid w:val="00FC36AF"/>
    <w:rsid w:val="00FC415E"/>
    <w:rsid w:val="00FC6430"/>
    <w:rsid w:val="00FC65D3"/>
    <w:rsid w:val="00FC65DF"/>
    <w:rsid w:val="00FC6E28"/>
    <w:rsid w:val="00FC75FB"/>
    <w:rsid w:val="00FC7692"/>
    <w:rsid w:val="00FD0448"/>
    <w:rsid w:val="00FD0FC5"/>
    <w:rsid w:val="00FD2B8E"/>
    <w:rsid w:val="00FD2EDB"/>
    <w:rsid w:val="00FD2FDF"/>
    <w:rsid w:val="00FD3D8E"/>
    <w:rsid w:val="00FD4634"/>
    <w:rsid w:val="00FD4FEB"/>
    <w:rsid w:val="00FD5D93"/>
    <w:rsid w:val="00FD5E49"/>
    <w:rsid w:val="00FE0490"/>
    <w:rsid w:val="00FE0575"/>
    <w:rsid w:val="00FE062E"/>
    <w:rsid w:val="00FE0E35"/>
    <w:rsid w:val="00FE12EF"/>
    <w:rsid w:val="00FE143E"/>
    <w:rsid w:val="00FE1A25"/>
    <w:rsid w:val="00FE2611"/>
    <w:rsid w:val="00FE5749"/>
    <w:rsid w:val="00FF0BAB"/>
    <w:rsid w:val="00FF334A"/>
    <w:rsid w:val="00FF4224"/>
    <w:rsid w:val="00FF4761"/>
    <w:rsid w:val="00FF56FB"/>
    <w:rsid w:val="00FF5A41"/>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683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28"/>
    <w:pPr>
      <w:spacing w:after="0" w:line="240" w:lineRule="auto"/>
    </w:pPr>
    <w:rPr>
      <w:rFonts w:ascii="Times New Roman" w:hAnsi="Times New Roman" w:cs="Times New Roman"/>
      <w:sz w:val="24"/>
    </w:rPr>
  </w:style>
  <w:style w:type="paragraph" w:styleId="Heading1">
    <w:name w:val="heading 1"/>
    <w:basedOn w:val="Normal"/>
    <w:next w:val="Normal"/>
    <w:uiPriority w:val="9"/>
    <w:qFormat/>
    <w:rsid w:val="001C611B"/>
    <w:pPr>
      <w:outlineLvl w:val="0"/>
    </w:pPr>
    <w:rPr>
      <w:b/>
      <w:caps/>
      <w:sz w:val="32"/>
      <w:szCs w:val="24"/>
    </w:rPr>
  </w:style>
  <w:style w:type="paragraph" w:styleId="Heading2">
    <w:name w:val="heading 2"/>
    <w:basedOn w:val="Normal"/>
    <w:next w:val="Normal"/>
    <w:link w:val="Heading2Char"/>
    <w:uiPriority w:val="9"/>
    <w:unhideWhenUsed/>
    <w:qFormat/>
    <w:rsid w:val="001C611B"/>
    <w:pPr>
      <w:keepNext/>
      <w:keepLines/>
      <w:outlineLvl w:val="1"/>
    </w:pPr>
    <w:rPr>
      <w:rFonts w:eastAsiaTheme="majorEastAsia"/>
      <w:b/>
      <w:bCs/>
      <w:iCs/>
      <w:sz w:val="28"/>
      <w:szCs w:val="24"/>
    </w:rPr>
  </w:style>
  <w:style w:type="paragraph" w:styleId="Heading3">
    <w:name w:val="heading 3"/>
    <w:basedOn w:val="Heading4"/>
    <w:next w:val="Normal"/>
    <w:link w:val="Heading3Char"/>
    <w:uiPriority w:val="9"/>
    <w:unhideWhenUsed/>
    <w:qFormat/>
    <w:rsid w:val="001C611B"/>
    <w:pPr>
      <w:outlineLvl w:val="2"/>
    </w:pPr>
    <w:rPr>
      <w:b/>
    </w:rPr>
  </w:style>
  <w:style w:type="paragraph" w:styleId="Heading4">
    <w:name w:val="heading 4"/>
    <w:basedOn w:val="Normal"/>
    <w:uiPriority w:val="9"/>
    <w:unhideWhenUsed/>
    <w:qFormat/>
    <w:rsid w:val="003D0DE5"/>
    <w:pPr>
      <w:keepNext/>
      <w:keepLines/>
      <w:outlineLvl w:val="3"/>
    </w:pPr>
    <w:rPr>
      <w:rFonts w:eastAsiaTheme="majorEastAsia"/>
      <w:bCs/>
      <w:iCs/>
      <w:u w:val="single"/>
    </w:rPr>
  </w:style>
  <w:style w:type="paragraph" w:styleId="Heading5">
    <w:name w:val="heading 5"/>
    <w:basedOn w:val="Normal"/>
    <w:uiPriority w:val="9"/>
    <w:semiHidden/>
    <w:unhideWhenUsed/>
    <w:qFormat/>
    <w:rsid w:val="00FF33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uiPriority w:val="9"/>
    <w:semiHidden/>
    <w:unhideWhenUsed/>
    <w:qFormat/>
    <w:rsid w:val="00FF33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uiPriority w:val="9"/>
    <w:semiHidden/>
    <w:unhideWhenUsed/>
    <w:qFormat/>
    <w:rsid w:val="00FF33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uiPriority w:val="9"/>
    <w:semiHidden/>
    <w:unhideWhenUsed/>
    <w:qFormat/>
    <w:rsid w:val="00FF334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9"/>
    <w:semiHidden/>
    <w:unhideWhenUsed/>
    <w:qFormat/>
    <w:rsid w:val="00FF33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6543"/>
    <w:rPr>
      <w:color w:val="0000FF"/>
      <w:u w:val="single"/>
    </w:rPr>
  </w:style>
  <w:style w:type="character" w:styleId="PageNumber">
    <w:name w:val="page number"/>
    <w:basedOn w:val="DefaultParagraphFont"/>
    <w:rsid w:val="002E1819"/>
  </w:style>
  <w:style w:type="paragraph" w:styleId="Footer">
    <w:name w:val="footer"/>
    <w:basedOn w:val="Normal"/>
    <w:link w:val="FooterChar"/>
    <w:uiPriority w:val="99"/>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uiPriority w:val="20"/>
    <w:qFormat/>
    <w:rsid w:val="00FF334A"/>
    <w:rPr>
      <w:i/>
      <w:iCs/>
    </w:rPr>
  </w:style>
  <w:style w:type="paragraph" w:styleId="BalloonText">
    <w:name w:val="Balloon Text"/>
    <w:basedOn w:val="Normal"/>
    <w:link w:val="BalloonTextChar"/>
    <w:uiPriority w:val="99"/>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uiPriority w:val="22"/>
    <w:qFormat/>
    <w:rsid w:val="00FF334A"/>
    <w:rPr>
      <w:b/>
      <w:bCs/>
    </w:rPr>
  </w:style>
  <w:style w:type="character" w:styleId="CommentReference">
    <w:name w:val="annotation reference"/>
    <w:basedOn w:val="DefaultParagraphFont"/>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FF334A"/>
    <w:pPr>
      <w:ind w:left="720"/>
      <w:contextualSpacing/>
    </w:pPr>
  </w:style>
  <w:style w:type="paragraph" w:styleId="Title">
    <w:name w:val="Title"/>
    <w:basedOn w:val="Normal"/>
    <w:next w:val="Normal"/>
    <w:link w:val="TitleChar"/>
    <w:uiPriority w:val="10"/>
    <w:qFormat/>
    <w:rsid w:val="001C611B"/>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C611B"/>
    <w:rPr>
      <w:rFonts w:ascii="Times New Roman" w:eastAsiaTheme="majorEastAsia" w:hAnsi="Times New Roman" w:cs="Times New Roman"/>
      <w:b/>
      <w:spacing w:val="5"/>
      <w:kern w:val="28"/>
      <w:sz w:val="36"/>
      <w:szCs w:val="52"/>
    </w:rPr>
  </w:style>
  <w:style w:type="paragraph" w:customStyle="1" w:styleId="Style1">
    <w:name w:val="Style1"/>
    <w:basedOn w:val="Heading2"/>
    <w:link w:val="Style1Char"/>
    <w:qFormat/>
    <w:rsid w:val="00FF334A"/>
    <w:rPr>
      <w:sz w:val="24"/>
    </w:rPr>
  </w:style>
  <w:style w:type="paragraph" w:customStyle="1" w:styleId="Re">
    <w:name w:val="Re"/>
    <w:basedOn w:val="Heading2"/>
    <w:link w:val="ReChar"/>
    <w:rsid w:val="00FF334A"/>
    <w:rPr>
      <w:sz w:val="24"/>
    </w:rPr>
  </w:style>
  <w:style w:type="character" w:customStyle="1" w:styleId="Heading2Char">
    <w:name w:val="Heading 2 Char"/>
    <w:basedOn w:val="DefaultParagraphFont"/>
    <w:link w:val="Heading2"/>
    <w:uiPriority w:val="9"/>
    <w:rsid w:val="001C611B"/>
    <w:rPr>
      <w:rFonts w:ascii="Times New Roman" w:eastAsiaTheme="majorEastAsia" w:hAnsi="Times New Roman" w:cs="Times New Roman"/>
      <w:b/>
      <w:bCs/>
      <w:iCs/>
      <w:sz w:val="28"/>
      <w:szCs w:val="24"/>
    </w:rPr>
  </w:style>
  <w:style w:type="character" w:customStyle="1" w:styleId="Style1Char">
    <w:name w:val="Style1 Char"/>
    <w:basedOn w:val="Heading2Char"/>
    <w:link w:val="Style1"/>
    <w:rsid w:val="00FF334A"/>
    <w:rPr>
      <w:rFonts w:ascii="Times New Roman" w:eastAsiaTheme="majorEastAsia" w:hAnsi="Times New Roman" w:cs="Times New Roman"/>
      <w:b/>
      <w:bCs/>
      <w:iCs/>
      <w:sz w:val="24"/>
      <w:szCs w:val="24"/>
    </w:rPr>
  </w:style>
  <w:style w:type="character" w:styleId="SubtleEmphasis">
    <w:name w:val="Subtle Emphasis"/>
    <w:basedOn w:val="DefaultParagraphFont"/>
    <w:uiPriority w:val="19"/>
    <w:qFormat/>
    <w:rsid w:val="00423428"/>
    <w:rPr>
      <w:i/>
      <w:iCs/>
      <w:color w:val="808080" w:themeColor="text1" w:themeTint="7F"/>
    </w:rPr>
  </w:style>
  <w:style w:type="character" w:customStyle="1" w:styleId="ReChar">
    <w:name w:val="Re Char"/>
    <w:basedOn w:val="Heading2Char"/>
    <w:link w:val="Re"/>
    <w:rsid w:val="00FF334A"/>
    <w:rPr>
      <w:rFonts w:ascii="Times New Roman" w:eastAsiaTheme="majorEastAsia" w:hAnsi="Times New Roman" w:cs="Times New Roman"/>
      <w:b/>
      <w:bCs/>
      <w:iCs/>
      <w:sz w:val="24"/>
      <w:szCs w:val="24"/>
    </w:rPr>
  </w:style>
  <w:style w:type="character" w:customStyle="1" w:styleId="Heading3Char">
    <w:name w:val="Heading 3 Char"/>
    <w:basedOn w:val="DefaultParagraphFont"/>
    <w:link w:val="Heading3"/>
    <w:uiPriority w:val="9"/>
    <w:rsid w:val="001C611B"/>
    <w:rPr>
      <w:rFonts w:ascii="Times New Roman" w:eastAsiaTheme="majorEastAsia" w:hAnsi="Times New Roman" w:cs="Times New Roman"/>
      <w:b/>
      <w:bCs/>
      <w:iCs/>
      <w:sz w:val="24"/>
      <w:u w:val="single"/>
    </w:rPr>
  </w:style>
  <w:style w:type="character" w:styleId="BookTitle">
    <w:name w:val="Book Title"/>
    <w:basedOn w:val="DefaultParagraphFont"/>
    <w:uiPriority w:val="33"/>
    <w:qFormat/>
    <w:rsid w:val="001C611B"/>
    <w:rPr>
      <w:bCs/>
      <w:sz w:val="44"/>
    </w:rPr>
  </w:style>
  <w:style w:type="character" w:customStyle="1" w:styleId="BalloonTextChar">
    <w:name w:val="Balloon Text Char"/>
    <w:link w:val="BalloonText"/>
    <w:uiPriority w:val="99"/>
    <w:locked/>
    <w:rsid w:val="00D15D1C"/>
    <w:rPr>
      <w:rFonts w:ascii="Tahoma" w:hAnsi="Tahoma" w:cs="Tahoma"/>
      <w:sz w:val="16"/>
      <w:szCs w:val="16"/>
    </w:rPr>
  </w:style>
  <w:style w:type="character" w:customStyle="1" w:styleId="FooterChar">
    <w:name w:val="Footer Char"/>
    <w:basedOn w:val="DefaultParagraphFont"/>
    <w:link w:val="Footer"/>
    <w:uiPriority w:val="99"/>
    <w:rsid w:val="00D15D1C"/>
    <w:rPr>
      <w:rFonts w:ascii="Times New Roman" w:hAnsi="Times New Roman" w:cs="Times New Roman"/>
      <w:sz w:val="24"/>
    </w:rPr>
  </w:style>
  <w:style w:type="paragraph" w:styleId="TOCHeading">
    <w:name w:val="TOC Heading"/>
    <w:basedOn w:val="Heading1"/>
    <w:next w:val="Normal"/>
    <w:uiPriority w:val="39"/>
    <w:unhideWhenUsed/>
    <w:qFormat/>
    <w:rsid w:val="00906DFD"/>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rsid w:val="00906DFD"/>
    <w:pPr>
      <w:spacing w:after="100"/>
    </w:pPr>
  </w:style>
  <w:style w:type="paragraph" w:styleId="TOC2">
    <w:name w:val="toc 2"/>
    <w:basedOn w:val="Normal"/>
    <w:next w:val="Normal"/>
    <w:autoRedefine/>
    <w:uiPriority w:val="39"/>
    <w:rsid w:val="002D6900"/>
    <w:pPr>
      <w:tabs>
        <w:tab w:val="right" w:leader="dot" w:pos="9350"/>
      </w:tabs>
      <w:spacing w:after="100"/>
      <w:ind w:left="540" w:hanging="270"/>
    </w:pPr>
  </w:style>
  <w:style w:type="paragraph" w:styleId="TOC3">
    <w:name w:val="toc 3"/>
    <w:basedOn w:val="Normal"/>
    <w:next w:val="Normal"/>
    <w:autoRedefine/>
    <w:uiPriority w:val="39"/>
    <w:rsid w:val="009A3EAA"/>
    <w:pPr>
      <w:tabs>
        <w:tab w:val="right" w:leader="dot" w:pos="9350"/>
      </w:tabs>
      <w:spacing w:after="100"/>
      <w:ind w:left="720"/>
    </w:pPr>
  </w:style>
  <w:style w:type="paragraph" w:styleId="Caption">
    <w:name w:val="caption"/>
    <w:basedOn w:val="Normal"/>
    <w:next w:val="Normal"/>
    <w:uiPriority w:val="35"/>
    <w:unhideWhenUsed/>
    <w:qFormat/>
    <w:rsid w:val="00183B85"/>
    <w:pPr>
      <w:spacing w:after="200"/>
    </w:pPr>
    <w:rPr>
      <w:b/>
      <w:bCs/>
      <w:color w:val="4F81BD" w:themeColor="accent1"/>
      <w:sz w:val="18"/>
      <w:szCs w:val="18"/>
    </w:rPr>
  </w:style>
  <w:style w:type="character" w:customStyle="1" w:styleId="Heading9Char">
    <w:name w:val="Heading 9 Char"/>
    <w:basedOn w:val="DefaultParagraphFont"/>
    <w:link w:val="Heading9"/>
    <w:uiPriority w:val="9"/>
    <w:semiHidden/>
    <w:rsid w:val="008B6C09"/>
    <w:rPr>
      <w:rFonts w:asciiTheme="majorHAnsi" w:eastAsiaTheme="majorEastAsia" w:hAnsiTheme="majorHAnsi" w:cstheme="majorBidi"/>
      <w:i/>
      <w:iCs/>
      <w:color w:val="404040" w:themeColor="text1" w:themeTint="BF"/>
      <w:sz w:val="20"/>
      <w:szCs w:val="20"/>
    </w:rPr>
  </w:style>
  <w:style w:type="character" w:customStyle="1" w:styleId="A8">
    <w:name w:val="A8"/>
    <w:uiPriority w:val="99"/>
    <w:rsid w:val="005632BA"/>
    <w:rPr>
      <w:rFonts w:cs="ITC Franklin Gothic Std Med"/>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28"/>
    <w:pPr>
      <w:spacing w:after="0" w:line="240" w:lineRule="auto"/>
    </w:pPr>
    <w:rPr>
      <w:rFonts w:ascii="Times New Roman" w:hAnsi="Times New Roman" w:cs="Times New Roman"/>
      <w:sz w:val="24"/>
    </w:rPr>
  </w:style>
  <w:style w:type="paragraph" w:styleId="Heading1">
    <w:name w:val="heading 1"/>
    <w:basedOn w:val="Normal"/>
    <w:next w:val="Normal"/>
    <w:uiPriority w:val="9"/>
    <w:qFormat/>
    <w:rsid w:val="001C611B"/>
    <w:pPr>
      <w:outlineLvl w:val="0"/>
    </w:pPr>
    <w:rPr>
      <w:b/>
      <w:caps/>
      <w:sz w:val="32"/>
      <w:szCs w:val="24"/>
    </w:rPr>
  </w:style>
  <w:style w:type="paragraph" w:styleId="Heading2">
    <w:name w:val="heading 2"/>
    <w:basedOn w:val="Normal"/>
    <w:next w:val="Normal"/>
    <w:link w:val="Heading2Char"/>
    <w:uiPriority w:val="9"/>
    <w:unhideWhenUsed/>
    <w:qFormat/>
    <w:rsid w:val="001C611B"/>
    <w:pPr>
      <w:keepNext/>
      <w:keepLines/>
      <w:outlineLvl w:val="1"/>
    </w:pPr>
    <w:rPr>
      <w:rFonts w:eastAsiaTheme="majorEastAsia"/>
      <w:b/>
      <w:bCs/>
      <w:iCs/>
      <w:sz w:val="28"/>
      <w:szCs w:val="24"/>
    </w:rPr>
  </w:style>
  <w:style w:type="paragraph" w:styleId="Heading3">
    <w:name w:val="heading 3"/>
    <w:basedOn w:val="Heading4"/>
    <w:next w:val="Normal"/>
    <w:link w:val="Heading3Char"/>
    <w:uiPriority w:val="9"/>
    <w:unhideWhenUsed/>
    <w:qFormat/>
    <w:rsid w:val="001C611B"/>
    <w:pPr>
      <w:outlineLvl w:val="2"/>
    </w:pPr>
    <w:rPr>
      <w:b/>
    </w:rPr>
  </w:style>
  <w:style w:type="paragraph" w:styleId="Heading4">
    <w:name w:val="heading 4"/>
    <w:basedOn w:val="Normal"/>
    <w:uiPriority w:val="9"/>
    <w:unhideWhenUsed/>
    <w:qFormat/>
    <w:rsid w:val="003D0DE5"/>
    <w:pPr>
      <w:keepNext/>
      <w:keepLines/>
      <w:outlineLvl w:val="3"/>
    </w:pPr>
    <w:rPr>
      <w:rFonts w:eastAsiaTheme="majorEastAsia"/>
      <w:bCs/>
      <w:iCs/>
      <w:u w:val="single"/>
    </w:rPr>
  </w:style>
  <w:style w:type="paragraph" w:styleId="Heading5">
    <w:name w:val="heading 5"/>
    <w:basedOn w:val="Normal"/>
    <w:uiPriority w:val="9"/>
    <w:semiHidden/>
    <w:unhideWhenUsed/>
    <w:qFormat/>
    <w:rsid w:val="00FF33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uiPriority w:val="9"/>
    <w:semiHidden/>
    <w:unhideWhenUsed/>
    <w:qFormat/>
    <w:rsid w:val="00FF33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uiPriority w:val="9"/>
    <w:semiHidden/>
    <w:unhideWhenUsed/>
    <w:qFormat/>
    <w:rsid w:val="00FF33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uiPriority w:val="9"/>
    <w:semiHidden/>
    <w:unhideWhenUsed/>
    <w:qFormat/>
    <w:rsid w:val="00FF334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9"/>
    <w:semiHidden/>
    <w:unhideWhenUsed/>
    <w:qFormat/>
    <w:rsid w:val="00FF33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6543"/>
    <w:rPr>
      <w:color w:val="0000FF"/>
      <w:u w:val="single"/>
    </w:rPr>
  </w:style>
  <w:style w:type="character" w:styleId="PageNumber">
    <w:name w:val="page number"/>
    <w:basedOn w:val="DefaultParagraphFont"/>
    <w:rsid w:val="002E1819"/>
  </w:style>
  <w:style w:type="paragraph" w:styleId="Footer">
    <w:name w:val="footer"/>
    <w:basedOn w:val="Normal"/>
    <w:link w:val="FooterChar"/>
    <w:uiPriority w:val="99"/>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uiPriority w:val="20"/>
    <w:qFormat/>
    <w:rsid w:val="00FF334A"/>
    <w:rPr>
      <w:i/>
      <w:iCs/>
    </w:rPr>
  </w:style>
  <w:style w:type="paragraph" w:styleId="BalloonText">
    <w:name w:val="Balloon Text"/>
    <w:basedOn w:val="Normal"/>
    <w:link w:val="BalloonTextChar"/>
    <w:uiPriority w:val="99"/>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uiPriority w:val="22"/>
    <w:qFormat/>
    <w:rsid w:val="00FF334A"/>
    <w:rPr>
      <w:b/>
      <w:bCs/>
    </w:rPr>
  </w:style>
  <w:style w:type="character" w:styleId="CommentReference">
    <w:name w:val="annotation reference"/>
    <w:basedOn w:val="DefaultParagraphFont"/>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FF334A"/>
    <w:pPr>
      <w:ind w:left="720"/>
      <w:contextualSpacing/>
    </w:pPr>
  </w:style>
  <w:style w:type="paragraph" w:styleId="Title">
    <w:name w:val="Title"/>
    <w:basedOn w:val="Normal"/>
    <w:next w:val="Normal"/>
    <w:link w:val="TitleChar"/>
    <w:uiPriority w:val="10"/>
    <w:qFormat/>
    <w:rsid w:val="001C611B"/>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C611B"/>
    <w:rPr>
      <w:rFonts w:ascii="Times New Roman" w:eastAsiaTheme="majorEastAsia" w:hAnsi="Times New Roman" w:cs="Times New Roman"/>
      <w:b/>
      <w:spacing w:val="5"/>
      <w:kern w:val="28"/>
      <w:sz w:val="36"/>
      <w:szCs w:val="52"/>
    </w:rPr>
  </w:style>
  <w:style w:type="paragraph" w:customStyle="1" w:styleId="Style1">
    <w:name w:val="Style1"/>
    <w:basedOn w:val="Heading2"/>
    <w:link w:val="Style1Char"/>
    <w:qFormat/>
    <w:rsid w:val="00FF334A"/>
    <w:rPr>
      <w:sz w:val="24"/>
    </w:rPr>
  </w:style>
  <w:style w:type="paragraph" w:customStyle="1" w:styleId="Re">
    <w:name w:val="Re"/>
    <w:basedOn w:val="Heading2"/>
    <w:link w:val="ReChar"/>
    <w:rsid w:val="00FF334A"/>
    <w:rPr>
      <w:sz w:val="24"/>
    </w:rPr>
  </w:style>
  <w:style w:type="character" w:customStyle="1" w:styleId="Heading2Char">
    <w:name w:val="Heading 2 Char"/>
    <w:basedOn w:val="DefaultParagraphFont"/>
    <w:link w:val="Heading2"/>
    <w:uiPriority w:val="9"/>
    <w:rsid w:val="001C611B"/>
    <w:rPr>
      <w:rFonts w:ascii="Times New Roman" w:eastAsiaTheme="majorEastAsia" w:hAnsi="Times New Roman" w:cs="Times New Roman"/>
      <w:b/>
      <w:bCs/>
      <w:iCs/>
      <w:sz w:val="28"/>
      <w:szCs w:val="24"/>
    </w:rPr>
  </w:style>
  <w:style w:type="character" w:customStyle="1" w:styleId="Style1Char">
    <w:name w:val="Style1 Char"/>
    <w:basedOn w:val="Heading2Char"/>
    <w:link w:val="Style1"/>
    <w:rsid w:val="00FF334A"/>
    <w:rPr>
      <w:rFonts w:ascii="Times New Roman" w:eastAsiaTheme="majorEastAsia" w:hAnsi="Times New Roman" w:cs="Times New Roman"/>
      <w:b/>
      <w:bCs/>
      <w:iCs/>
      <w:sz w:val="24"/>
      <w:szCs w:val="24"/>
    </w:rPr>
  </w:style>
  <w:style w:type="character" w:styleId="SubtleEmphasis">
    <w:name w:val="Subtle Emphasis"/>
    <w:basedOn w:val="DefaultParagraphFont"/>
    <w:uiPriority w:val="19"/>
    <w:qFormat/>
    <w:rsid w:val="00423428"/>
    <w:rPr>
      <w:i/>
      <w:iCs/>
      <w:color w:val="808080" w:themeColor="text1" w:themeTint="7F"/>
    </w:rPr>
  </w:style>
  <w:style w:type="character" w:customStyle="1" w:styleId="ReChar">
    <w:name w:val="Re Char"/>
    <w:basedOn w:val="Heading2Char"/>
    <w:link w:val="Re"/>
    <w:rsid w:val="00FF334A"/>
    <w:rPr>
      <w:rFonts w:ascii="Times New Roman" w:eastAsiaTheme="majorEastAsia" w:hAnsi="Times New Roman" w:cs="Times New Roman"/>
      <w:b/>
      <w:bCs/>
      <w:iCs/>
      <w:sz w:val="24"/>
      <w:szCs w:val="24"/>
    </w:rPr>
  </w:style>
  <w:style w:type="character" w:customStyle="1" w:styleId="Heading3Char">
    <w:name w:val="Heading 3 Char"/>
    <w:basedOn w:val="DefaultParagraphFont"/>
    <w:link w:val="Heading3"/>
    <w:uiPriority w:val="9"/>
    <w:rsid w:val="001C611B"/>
    <w:rPr>
      <w:rFonts w:ascii="Times New Roman" w:eastAsiaTheme="majorEastAsia" w:hAnsi="Times New Roman" w:cs="Times New Roman"/>
      <w:b/>
      <w:bCs/>
      <w:iCs/>
      <w:sz w:val="24"/>
      <w:u w:val="single"/>
    </w:rPr>
  </w:style>
  <w:style w:type="character" w:styleId="BookTitle">
    <w:name w:val="Book Title"/>
    <w:basedOn w:val="DefaultParagraphFont"/>
    <w:uiPriority w:val="33"/>
    <w:qFormat/>
    <w:rsid w:val="001C611B"/>
    <w:rPr>
      <w:bCs/>
      <w:sz w:val="44"/>
    </w:rPr>
  </w:style>
  <w:style w:type="character" w:customStyle="1" w:styleId="BalloonTextChar">
    <w:name w:val="Balloon Text Char"/>
    <w:link w:val="BalloonText"/>
    <w:uiPriority w:val="99"/>
    <w:locked/>
    <w:rsid w:val="00D15D1C"/>
    <w:rPr>
      <w:rFonts w:ascii="Tahoma" w:hAnsi="Tahoma" w:cs="Tahoma"/>
      <w:sz w:val="16"/>
      <w:szCs w:val="16"/>
    </w:rPr>
  </w:style>
  <w:style w:type="character" w:customStyle="1" w:styleId="FooterChar">
    <w:name w:val="Footer Char"/>
    <w:basedOn w:val="DefaultParagraphFont"/>
    <w:link w:val="Footer"/>
    <w:uiPriority w:val="99"/>
    <w:rsid w:val="00D15D1C"/>
    <w:rPr>
      <w:rFonts w:ascii="Times New Roman" w:hAnsi="Times New Roman" w:cs="Times New Roman"/>
      <w:sz w:val="24"/>
    </w:rPr>
  </w:style>
  <w:style w:type="paragraph" w:styleId="TOCHeading">
    <w:name w:val="TOC Heading"/>
    <w:basedOn w:val="Heading1"/>
    <w:next w:val="Normal"/>
    <w:uiPriority w:val="39"/>
    <w:unhideWhenUsed/>
    <w:qFormat/>
    <w:rsid w:val="00906DFD"/>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rsid w:val="00906DFD"/>
    <w:pPr>
      <w:spacing w:after="100"/>
    </w:pPr>
  </w:style>
  <w:style w:type="paragraph" w:styleId="TOC2">
    <w:name w:val="toc 2"/>
    <w:basedOn w:val="Normal"/>
    <w:next w:val="Normal"/>
    <w:autoRedefine/>
    <w:uiPriority w:val="39"/>
    <w:rsid w:val="002D6900"/>
    <w:pPr>
      <w:tabs>
        <w:tab w:val="right" w:leader="dot" w:pos="9350"/>
      </w:tabs>
      <w:spacing w:after="100"/>
      <w:ind w:left="540" w:hanging="270"/>
    </w:pPr>
  </w:style>
  <w:style w:type="paragraph" w:styleId="TOC3">
    <w:name w:val="toc 3"/>
    <w:basedOn w:val="Normal"/>
    <w:next w:val="Normal"/>
    <w:autoRedefine/>
    <w:uiPriority w:val="39"/>
    <w:rsid w:val="009A3EAA"/>
    <w:pPr>
      <w:tabs>
        <w:tab w:val="right" w:leader="dot" w:pos="9350"/>
      </w:tabs>
      <w:spacing w:after="100"/>
      <w:ind w:left="720"/>
    </w:pPr>
  </w:style>
  <w:style w:type="paragraph" w:styleId="Caption">
    <w:name w:val="caption"/>
    <w:basedOn w:val="Normal"/>
    <w:next w:val="Normal"/>
    <w:uiPriority w:val="35"/>
    <w:unhideWhenUsed/>
    <w:qFormat/>
    <w:rsid w:val="00183B85"/>
    <w:pPr>
      <w:spacing w:after="200"/>
    </w:pPr>
    <w:rPr>
      <w:b/>
      <w:bCs/>
      <w:color w:val="4F81BD" w:themeColor="accent1"/>
      <w:sz w:val="18"/>
      <w:szCs w:val="18"/>
    </w:rPr>
  </w:style>
  <w:style w:type="character" w:customStyle="1" w:styleId="Heading9Char">
    <w:name w:val="Heading 9 Char"/>
    <w:basedOn w:val="DefaultParagraphFont"/>
    <w:link w:val="Heading9"/>
    <w:uiPriority w:val="9"/>
    <w:semiHidden/>
    <w:rsid w:val="008B6C09"/>
    <w:rPr>
      <w:rFonts w:asciiTheme="majorHAnsi" w:eastAsiaTheme="majorEastAsia" w:hAnsiTheme="majorHAnsi" w:cstheme="majorBidi"/>
      <w:i/>
      <w:iCs/>
      <w:color w:val="404040" w:themeColor="text1" w:themeTint="BF"/>
      <w:sz w:val="20"/>
      <w:szCs w:val="20"/>
    </w:rPr>
  </w:style>
  <w:style w:type="character" w:customStyle="1" w:styleId="A8">
    <w:name w:val="A8"/>
    <w:uiPriority w:val="99"/>
    <w:rsid w:val="005632BA"/>
    <w:rPr>
      <w:rFonts w:cs="ITC Franklin Gothic Std Med"/>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4962">
      <w:bodyDiv w:val="1"/>
      <w:marLeft w:val="0"/>
      <w:marRight w:val="0"/>
      <w:marTop w:val="0"/>
      <w:marBottom w:val="0"/>
      <w:divBdr>
        <w:top w:val="none" w:sz="0" w:space="0" w:color="auto"/>
        <w:left w:val="none" w:sz="0" w:space="0" w:color="auto"/>
        <w:bottom w:val="none" w:sz="0" w:space="0" w:color="auto"/>
        <w:right w:val="none" w:sz="0" w:space="0" w:color="auto"/>
      </w:divBdr>
    </w:div>
    <w:div w:id="198855485">
      <w:bodyDiv w:val="1"/>
      <w:marLeft w:val="0"/>
      <w:marRight w:val="0"/>
      <w:marTop w:val="0"/>
      <w:marBottom w:val="0"/>
      <w:divBdr>
        <w:top w:val="none" w:sz="0" w:space="0" w:color="auto"/>
        <w:left w:val="none" w:sz="0" w:space="0" w:color="auto"/>
        <w:bottom w:val="none" w:sz="0" w:space="0" w:color="auto"/>
        <w:right w:val="none" w:sz="0" w:space="0" w:color="auto"/>
      </w:divBdr>
      <w:divsChild>
        <w:div w:id="1541017898">
          <w:marLeft w:val="0"/>
          <w:marRight w:val="0"/>
          <w:marTop w:val="0"/>
          <w:marBottom w:val="0"/>
          <w:divBdr>
            <w:top w:val="none" w:sz="0" w:space="0" w:color="auto"/>
            <w:left w:val="none" w:sz="0" w:space="0" w:color="auto"/>
            <w:bottom w:val="none" w:sz="0" w:space="0" w:color="auto"/>
            <w:right w:val="none" w:sz="0" w:space="0" w:color="auto"/>
          </w:divBdr>
          <w:divsChild>
            <w:div w:id="903565470">
              <w:marLeft w:val="0"/>
              <w:marRight w:val="0"/>
              <w:marTop w:val="0"/>
              <w:marBottom w:val="0"/>
              <w:divBdr>
                <w:top w:val="none" w:sz="0" w:space="0" w:color="auto"/>
                <w:left w:val="none" w:sz="0" w:space="0" w:color="auto"/>
                <w:bottom w:val="none" w:sz="0" w:space="0" w:color="auto"/>
                <w:right w:val="none" w:sz="0" w:space="0" w:color="auto"/>
              </w:divBdr>
            </w:div>
            <w:div w:id="1451631157">
              <w:marLeft w:val="0"/>
              <w:marRight w:val="0"/>
              <w:marTop w:val="0"/>
              <w:marBottom w:val="0"/>
              <w:divBdr>
                <w:top w:val="none" w:sz="0" w:space="0" w:color="auto"/>
                <w:left w:val="none" w:sz="0" w:space="0" w:color="auto"/>
                <w:bottom w:val="none" w:sz="0" w:space="0" w:color="auto"/>
                <w:right w:val="none" w:sz="0" w:space="0" w:color="auto"/>
              </w:divBdr>
            </w:div>
            <w:div w:id="1771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081">
      <w:bodyDiv w:val="1"/>
      <w:marLeft w:val="0"/>
      <w:marRight w:val="0"/>
      <w:marTop w:val="0"/>
      <w:marBottom w:val="0"/>
      <w:divBdr>
        <w:top w:val="none" w:sz="0" w:space="0" w:color="auto"/>
        <w:left w:val="none" w:sz="0" w:space="0" w:color="auto"/>
        <w:bottom w:val="none" w:sz="0" w:space="0" w:color="auto"/>
        <w:right w:val="none" w:sz="0" w:space="0" w:color="auto"/>
      </w:divBdr>
    </w:div>
    <w:div w:id="205796745">
      <w:bodyDiv w:val="1"/>
      <w:marLeft w:val="0"/>
      <w:marRight w:val="0"/>
      <w:marTop w:val="0"/>
      <w:marBottom w:val="0"/>
      <w:divBdr>
        <w:top w:val="none" w:sz="0" w:space="0" w:color="auto"/>
        <w:left w:val="none" w:sz="0" w:space="0" w:color="auto"/>
        <w:bottom w:val="none" w:sz="0" w:space="0" w:color="auto"/>
        <w:right w:val="none" w:sz="0" w:space="0" w:color="auto"/>
      </w:divBdr>
    </w:div>
    <w:div w:id="264659374">
      <w:bodyDiv w:val="1"/>
      <w:marLeft w:val="0"/>
      <w:marRight w:val="0"/>
      <w:marTop w:val="0"/>
      <w:marBottom w:val="0"/>
      <w:divBdr>
        <w:top w:val="none" w:sz="0" w:space="0" w:color="auto"/>
        <w:left w:val="none" w:sz="0" w:space="0" w:color="auto"/>
        <w:bottom w:val="none" w:sz="0" w:space="0" w:color="auto"/>
        <w:right w:val="none" w:sz="0" w:space="0" w:color="auto"/>
      </w:divBdr>
    </w:div>
    <w:div w:id="529152568">
      <w:bodyDiv w:val="1"/>
      <w:marLeft w:val="0"/>
      <w:marRight w:val="0"/>
      <w:marTop w:val="0"/>
      <w:marBottom w:val="0"/>
      <w:divBdr>
        <w:top w:val="none" w:sz="0" w:space="0" w:color="auto"/>
        <w:left w:val="none" w:sz="0" w:space="0" w:color="auto"/>
        <w:bottom w:val="none" w:sz="0" w:space="0" w:color="auto"/>
        <w:right w:val="none" w:sz="0" w:space="0" w:color="auto"/>
      </w:divBdr>
    </w:div>
    <w:div w:id="533923648">
      <w:bodyDiv w:val="1"/>
      <w:marLeft w:val="0"/>
      <w:marRight w:val="0"/>
      <w:marTop w:val="0"/>
      <w:marBottom w:val="0"/>
      <w:divBdr>
        <w:top w:val="none" w:sz="0" w:space="0" w:color="auto"/>
        <w:left w:val="none" w:sz="0" w:space="0" w:color="auto"/>
        <w:bottom w:val="none" w:sz="0" w:space="0" w:color="auto"/>
        <w:right w:val="none" w:sz="0" w:space="0" w:color="auto"/>
      </w:divBdr>
    </w:div>
    <w:div w:id="553733265">
      <w:bodyDiv w:val="1"/>
      <w:marLeft w:val="0"/>
      <w:marRight w:val="0"/>
      <w:marTop w:val="0"/>
      <w:marBottom w:val="0"/>
      <w:divBdr>
        <w:top w:val="none" w:sz="0" w:space="0" w:color="auto"/>
        <w:left w:val="none" w:sz="0" w:space="0" w:color="auto"/>
        <w:bottom w:val="none" w:sz="0" w:space="0" w:color="auto"/>
        <w:right w:val="none" w:sz="0" w:space="0" w:color="auto"/>
      </w:divBdr>
      <w:divsChild>
        <w:div w:id="1280526125">
          <w:marLeft w:val="0"/>
          <w:marRight w:val="0"/>
          <w:marTop w:val="0"/>
          <w:marBottom w:val="0"/>
          <w:divBdr>
            <w:top w:val="none" w:sz="0" w:space="0" w:color="auto"/>
            <w:left w:val="none" w:sz="0" w:space="0" w:color="auto"/>
            <w:bottom w:val="none" w:sz="0" w:space="0" w:color="auto"/>
            <w:right w:val="none" w:sz="0" w:space="0" w:color="auto"/>
          </w:divBdr>
          <w:divsChild>
            <w:div w:id="7087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4743">
      <w:bodyDiv w:val="1"/>
      <w:marLeft w:val="0"/>
      <w:marRight w:val="0"/>
      <w:marTop w:val="0"/>
      <w:marBottom w:val="0"/>
      <w:divBdr>
        <w:top w:val="none" w:sz="0" w:space="0" w:color="auto"/>
        <w:left w:val="none" w:sz="0" w:space="0" w:color="auto"/>
        <w:bottom w:val="none" w:sz="0" w:space="0" w:color="auto"/>
        <w:right w:val="none" w:sz="0" w:space="0" w:color="auto"/>
      </w:divBdr>
    </w:div>
    <w:div w:id="721445164">
      <w:bodyDiv w:val="1"/>
      <w:marLeft w:val="0"/>
      <w:marRight w:val="0"/>
      <w:marTop w:val="0"/>
      <w:marBottom w:val="0"/>
      <w:divBdr>
        <w:top w:val="none" w:sz="0" w:space="0" w:color="auto"/>
        <w:left w:val="none" w:sz="0" w:space="0" w:color="auto"/>
        <w:bottom w:val="none" w:sz="0" w:space="0" w:color="auto"/>
        <w:right w:val="none" w:sz="0" w:space="0" w:color="auto"/>
      </w:divBdr>
    </w:div>
    <w:div w:id="810557718">
      <w:bodyDiv w:val="1"/>
      <w:marLeft w:val="0"/>
      <w:marRight w:val="0"/>
      <w:marTop w:val="0"/>
      <w:marBottom w:val="0"/>
      <w:divBdr>
        <w:top w:val="none" w:sz="0" w:space="0" w:color="auto"/>
        <w:left w:val="none" w:sz="0" w:space="0" w:color="auto"/>
        <w:bottom w:val="none" w:sz="0" w:space="0" w:color="auto"/>
        <w:right w:val="none" w:sz="0" w:space="0" w:color="auto"/>
      </w:divBdr>
    </w:div>
    <w:div w:id="1144660745">
      <w:bodyDiv w:val="1"/>
      <w:marLeft w:val="0"/>
      <w:marRight w:val="0"/>
      <w:marTop w:val="0"/>
      <w:marBottom w:val="0"/>
      <w:divBdr>
        <w:top w:val="none" w:sz="0" w:space="0" w:color="auto"/>
        <w:left w:val="none" w:sz="0" w:space="0" w:color="auto"/>
        <w:bottom w:val="none" w:sz="0" w:space="0" w:color="auto"/>
        <w:right w:val="none" w:sz="0" w:space="0" w:color="auto"/>
      </w:divBdr>
    </w:div>
    <w:div w:id="1224633749">
      <w:bodyDiv w:val="1"/>
      <w:marLeft w:val="0"/>
      <w:marRight w:val="0"/>
      <w:marTop w:val="0"/>
      <w:marBottom w:val="0"/>
      <w:divBdr>
        <w:top w:val="none" w:sz="0" w:space="0" w:color="auto"/>
        <w:left w:val="none" w:sz="0" w:space="0" w:color="auto"/>
        <w:bottom w:val="none" w:sz="0" w:space="0" w:color="auto"/>
        <w:right w:val="none" w:sz="0" w:space="0" w:color="auto"/>
      </w:divBdr>
    </w:div>
    <w:div w:id="1249575853">
      <w:bodyDiv w:val="1"/>
      <w:marLeft w:val="0"/>
      <w:marRight w:val="0"/>
      <w:marTop w:val="0"/>
      <w:marBottom w:val="0"/>
      <w:divBdr>
        <w:top w:val="none" w:sz="0" w:space="0" w:color="auto"/>
        <w:left w:val="none" w:sz="0" w:space="0" w:color="auto"/>
        <w:bottom w:val="none" w:sz="0" w:space="0" w:color="auto"/>
        <w:right w:val="none" w:sz="0" w:space="0" w:color="auto"/>
      </w:divBdr>
    </w:div>
    <w:div w:id="1313943894">
      <w:bodyDiv w:val="1"/>
      <w:marLeft w:val="0"/>
      <w:marRight w:val="0"/>
      <w:marTop w:val="0"/>
      <w:marBottom w:val="0"/>
      <w:divBdr>
        <w:top w:val="none" w:sz="0" w:space="0" w:color="auto"/>
        <w:left w:val="none" w:sz="0" w:space="0" w:color="auto"/>
        <w:bottom w:val="none" w:sz="0" w:space="0" w:color="auto"/>
        <w:right w:val="none" w:sz="0" w:space="0" w:color="auto"/>
      </w:divBdr>
    </w:div>
    <w:div w:id="1317536781">
      <w:bodyDiv w:val="1"/>
      <w:marLeft w:val="0"/>
      <w:marRight w:val="0"/>
      <w:marTop w:val="0"/>
      <w:marBottom w:val="0"/>
      <w:divBdr>
        <w:top w:val="none" w:sz="0" w:space="0" w:color="auto"/>
        <w:left w:val="none" w:sz="0" w:space="0" w:color="auto"/>
        <w:bottom w:val="none" w:sz="0" w:space="0" w:color="auto"/>
        <w:right w:val="none" w:sz="0" w:space="0" w:color="auto"/>
      </w:divBdr>
    </w:div>
    <w:div w:id="1329285420">
      <w:bodyDiv w:val="1"/>
      <w:marLeft w:val="0"/>
      <w:marRight w:val="0"/>
      <w:marTop w:val="0"/>
      <w:marBottom w:val="0"/>
      <w:divBdr>
        <w:top w:val="none" w:sz="0" w:space="0" w:color="auto"/>
        <w:left w:val="none" w:sz="0" w:space="0" w:color="auto"/>
        <w:bottom w:val="none" w:sz="0" w:space="0" w:color="auto"/>
        <w:right w:val="none" w:sz="0" w:space="0" w:color="auto"/>
      </w:divBdr>
    </w:div>
    <w:div w:id="1388608731">
      <w:bodyDiv w:val="1"/>
      <w:marLeft w:val="0"/>
      <w:marRight w:val="0"/>
      <w:marTop w:val="0"/>
      <w:marBottom w:val="0"/>
      <w:divBdr>
        <w:top w:val="none" w:sz="0" w:space="0" w:color="auto"/>
        <w:left w:val="none" w:sz="0" w:space="0" w:color="auto"/>
        <w:bottom w:val="none" w:sz="0" w:space="0" w:color="auto"/>
        <w:right w:val="none" w:sz="0" w:space="0" w:color="auto"/>
      </w:divBdr>
    </w:div>
    <w:div w:id="1439984360">
      <w:bodyDiv w:val="1"/>
      <w:marLeft w:val="0"/>
      <w:marRight w:val="0"/>
      <w:marTop w:val="0"/>
      <w:marBottom w:val="0"/>
      <w:divBdr>
        <w:top w:val="none" w:sz="0" w:space="0" w:color="auto"/>
        <w:left w:val="none" w:sz="0" w:space="0" w:color="auto"/>
        <w:bottom w:val="none" w:sz="0" w:space="0" w:color="auto"/>
        <w:right w:val="none" w:sz="0" w:space="0" w:color="auto"/>
      </w:divBdr>
    </w:div>
    <w:div w:id="1506095116">
      <w:bodyDiv w:val="1"/>
      <w:marLeft w:val="0"/>
      <w:marRight w:val="0"/>
      <w:marTop w:val="0"/>
      <w:marBottom w:val="0"/>
      <w:divBdr>
        <w:top w:val="none" w:sz="0" w:space="0" w:color="auto"/>
        <w:left w:val="none" w:sz="0" w:space="0" w:color="auto"/>
        <w:bottom w:val="none" w:sz="0" w:space="0" w:color="auto"/>
        <w:right w:val="none" w:sz="0" w:space="0" w:color="auto"/>
      </w:divBdr>
    </w:div>
    <w:div w:id="1854414498">
      <w:bodyDiv w:val="1"/>
      <w:marLeft w:val="0"/>
      <w:marRight w:val="0"/>
      <w:marTop w:val="0"/>
      <w:marBottom w:val="0"/>
      <w:divBdr>
        <w:top w:val="none" w:sz="0" w:space="0" w:color="auto"/>
        <w:left w:val="none" w:sz="0" w:space="0" w:color="auto"/>
        <w:bottom w:val="none" w:sz="0" w:space="0" w:color="auto"/>
        <w:right w:val="none" w:sz="0" w:space="0" w:color="auto"/>
      </w:divBdr>
    </w:div>
    <w:div w:id="1889996582">
      <w:bodyDiv w:val="1"/>
      <w:marLeft w:val="0"/>
      <w:marRight w:val="0"/>
      <w:marTop w:val="0"/>
      <w:marBottom w:val="0"/>
      <w:divBdr>
        <w:top w:val="none" w:sz="0" w:space="0" w:color="auto"/>
        <w:left w:val="none" w:sz="0" w:space="0" w:color="auto"/>
        <w:bottom w:val="none" w:sz="0" w:space="0" w:color="auto"/>
        <w:right w:val="none" w:sz="0" w:space="0" w:color="auto"/>
      </w:divBdr>
    </w:div>
    <w:div w:id="2118216234">
      <w:bodyDiv w:val="1"/>
      <w:marLeft w:val="0"/>
      <w:marRight w:val="0"/>
      <w:marTop w:val="0"/>
      <w:marBottom w:val="0"/>
      <w:divBdr>
        <w:top w:val="none" w:sz="0" w:space="0" w:color="auto"/>
        <w:left w:val="none" w:sz="0" w:space="0" w:color="auto"/>
        <w:bottom w:val="none" w:sz="0" w:space="0" w:color="auto"/>
        <w:right w:val="none" w:sz="0" w:space="0" w:color="auto"/>
      </w:divBdr>
    </w:div>
    <w:div w:id="21458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17Tables/html/GS_h.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ndeed.com/salary?q1=GRADUATE+STUDENT+INTERN&amp;l1=U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7DAU5SSH7P55-2010-124</_dlc_DocId>
    <_dlc_DocIdUrl xmlns="61e0aa89-821a-4b43-b623-2509ea82b111">
      <Url>https://esp.cdc.gov/sites/csels/DSEPD/OD/Science/SDT/FMS/_layouts/15/DocIdRedir.aspx?ID=7DAU5SSH7P55-2010-124</Url>
      <Description>7DAU5SSH7P55-2010-124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CA016A6189B4091F96A8831642148" ma:contentTypeVersion="0" ma:contentTypeDescription="Create a new document." ma:contentTypeScope="" ma:versionID="36c2069a8b379f0d82ab1b86fa104939">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780C-660A-4144-B7D9-DBED49BCB5FD}">
  <ds:schemaRefs>
    <ds:schemaRef ds:uri="http://schemas.microsoft.com/sharepoint/events"/>
  </ds:schemaRefs>
</ds:datastoreItem>
</file>

<file path=customXml/itemProps2.xml><?xml version="1.0" encoding="utf-8"?>
<ds:datastoreItem xmlns:ds="http://schemas.openxmlformats.org/officeDocument/2006/customXml" ds:itemID="{847A8168-DF05-408C-981D-C3255C173577}">
  <ds:schemaRefs>
    <ds:schemaRef ds:uri="http://schemas.microsoft.com/office/infopath/2007/PartnerControls"/>
    <ds:schemaRef ds:uri="http://purl.org/dc/elements/1.1/"/>
    <ds:schemaRef ds:uri="http://schemas.microsoft.com/office/2006/metadata/properties"/>
    <ds:schemaRef ds:uri="61e0aa89-821a-4b43-b623-2509ea82b1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8990BC5-3DE7-4402-91E2-BA146FCA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15293-093A-4E6E-B46F-BE6C75DC8152}">
  <ds:schemaRefs>
    <ds:schemaRef ds:uri="http://schemas.microsoft.com/sharepoint/v3/contenttype/forms"/>
  </ds:schemaRefs>
</ds:datastoreItem>
</file>

<file path=customXml/itemProps5.xml><?xml version="1.0" encoding="utf-8"?>
<ds:datastoreItem xmlns:ds="http://schemas.openxmlformats.org/officeDocument/2006/customXml" ds:itemID="{9D03B47A-A354-45D0-A6C4-B790293E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6537</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MASO</Company>
  <LinksUpToDate>false</LinksUpToDate>
  <CharactersWithSpaces>43711</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852056</vt:i4>
      </vt:variant>
      <vt:variant>
        <vt:i4>9</vt:i4>
      </vt:variant>
      <vt:variant>
        <vt:i4>0</vt:i4>
      </vt:variant>
      <vt:variant>
        <vt:i4>5</vt:i4>
      </vt:variant>
      <vt:variant>
        <vt:lpwstr>http://www.opm.gov/oca/10tables/index.asp</vt:lpwstr>
      </vt:variant>
      <vt:variant>
        <vt:lpwstr/>
      </vt:variant>
      <vt:variant>
        <vt:i4>1048607</vt:i4>
      </vt:variant>
      <vt:variant>
        <vt:i4>6</vt:i4>
      </vt:variant>
      <vt:variant>
        <vt:i4>0</vt:i4>
      </vt:variant>
      <vt:variant>
        <vt:i4>5</vt:i4>
      </vt:variant>
      <vt:variant>
        <vt:lpwstr>http://www.indeed.com/salary?q1=GRADUATE+STUDENT+INTERN&amp;l1=US</vt:lpwstr>
      </vt:variant>
      <vt:variant>
        <vt:lpwstr/>
      </vt:variant>
      <vt:variant>
        <vt:i4>3145753</vt:i4>
      </vt:variant>
      <vt:variant>
        <vt:i4>3</vt:i4>
      </vt:variant>
      <vt:variant>
        <vt:i4>0</vt:i4>
      </vt:variant>
      <vt:variant>
        <vt:i4>5</vt:i4>
      </vt:variant>
      <vt:variant>
        <vt:lpwstr>mailto:davfriedman@deloitte.com</vt:lpwstr>
      </vt:variant>
      <vt:variant>
        <vt:lpwstr/>
      </vt: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sxp1</dc:creator>
  <cp:lastModifiedBy>SYSTEM</cp:lastModifiedBy>
  <cp:revision>2</cp:revision>
  <cp:lastPrinted>2017-11-14T19:07:00Z</cp:lastPrinted>
  <dcterms:created xsi:type="dcterms:W3CDTF">2017-11-27T16:31:00Z</dcterms:created>
  <dcterms:modified xsi:type="dcterms:W3CDTF">2017-11-27T16:31:00Z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0x010100992CA016A6189B4091F96A8831642148</vt:lpwstr>
  </property>
  <property fmtid="{D5CDD505-2E9C-101B-9397-08002B2CF9AE}" pid="4" name="_dlc_DocIdItemGuid">
    <vt:lpwstr>72827c74-9396-425c-9ce3-131def143235</vt:lpwstr>
  </property>
</Properties>
</file>