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D4" w:rsidRDefault="006869D4" w:rsidP="006869D4">
      <w:pPr>
        <w:pStyle w:val="NoSpacing"/>
        <w:jc w:val="center"/>
        <w:rPr>
          <w:b/>
        </w:rPr>
      </w:pPr>
      <w:bookmarkStart w:id="0" w:name="_GoBack"/>
      <w:bookmarkEnd w:id="0"/>
    </w:p>
    <w:p w:rsidR="00E25EE5" w:rsidRPr="00E25EE5" w:rsidRDefault="00E25EE5" w:rsidP="00E25EE5">
      <w:pPr>
        <w:pStyle w:val="NoSpacing"/>
        <w:jc w:val="center"/>
        <w:rPr>
          <w:b/>
        </w:rPr>
      </w:pPr>
      <w:r w:rsidRPr="00E25EE5">
        <w:rPr>
          <w:b/>
        </w:rPr>
        <w:t>Pathways: Qualitative Interviews with Post-Partum Women Associated with Congenital Syphilis Cases (Case Mothers)</w:t>
      </w:r>
    </w:p>
    <w:p w:rsidR="001B433F" w:rsidRDefault="001B433F" w:rsidP="006869D4">
      <w:pPr>
        <w:pStyle w:val="NoSpacing"/>
        <w:jc w:val="center"/>
        <w:rPr>
          <w:b/>
        </w:rPr>
      </w:pPr>
    </w:p>
    <w:p w:rsidR="00E227E6" w:rsidRDefault="00E227E6" w:rsidP="006869D4">
      <w:pPr>
        <w:pStyle w:val="NoSpacing"/>
        <w:jc w:val="center"/>
        <w:rPr>
          <w:b/>
        </w:rPr>
      </w:pPr>
      <w:r>
        <w:rPr>
          <w:b/>
        </w:rPr>
        <w:t>Gen</w:t>
      </w:r>
      <w:r w:rsidR="001F2D33">
        <w:rPr>
          <w:b/>
        </w:rPr>
        <w:t>eric</w:t>
      </w:r>
      <w:r>
        <w:rPr>
          <w:b/>
        </w:rPr>
        <w:t xml:space="preserve"> Information Collection Request under OMB </w:t>
      </w:r>
      <w:r w:rsidRPr="006E4CC2">
        <w:rPr>
          <w:b/>
        </w:rPr>
        <w:t>#</w:t>
      </w:r>
      <w:r w:rsidR="006E4CC2" w:rsidRPr="006E4CC2">
        <w:rPr>
          <w:b/>
        </w:rPr>
        <w:t>0920-0840</w:t>
      </w:r>
    </w:p>
    <w:p w:rsidR="00E227E6" w:rsidRDefault="00E227E6" w:rsidP="006869D4">
      <w:pPr>
        <w:pStyle w:val="NoSpacing"/>
        <w:jc w:val="center"/>
        <w:rPr>
          <w:b/>
        </w:rPr>
      </w:pPr>
    </w:p>
    <w:p w:rsidR="00E227E6" w:rsidRDefault="00E227E6" w:rsidP="006869D4">
      <w:pPr>
        <w:pStyle w:val="NoSpacing"/>
        <w:jc w:val="center"/>
        <w:rPr>
          <w:b/>
        </w:rPr>
      </w:pPr>
    </w:p>
    <w:p w:rsidR="0098673D" w:rsidRDefault="0098673D" w:rsidP="006869D4">
      <w:pPr>
        <w:pStyle w:val="NoSpacing"/>
        <w:jc w:val="center"/>
        <w:rPr>
          <w:b/>
        </w:rPr>
      </w:pPr>
    </w:p>
    <w:p w:rsidR="0098673D" w:rsidRDefault="0098673D" w:rsidP="006869D4">
      <w:pPr>
        <w:pStyle w:val="NoSpacing"/>
        <w:jc w:val="center"/>
        <w:rPr>
          <w:b/>
        </w:rPr>
      </w:pPr>
    </w:p>
    <w:p w:rsidR="0098673D" w:rsidRDefault="0098673D" w:rsidP="006869D4">
      <w:pPr>
        <w:pStyle w:val="NoSpacing"/>
        <w:jc w:val="center"/>
        <w:rPr>
          <w:b/>
        </w:rPr>
      </w:pPr>
      <w:r>
        <w:rPr>
          <w:b/>
        </w:rPr>
        <w:t>Section A: Supporting Statement</w:t>
      </w:r>
    </w:p>
    <w:p w:rsidR="0098673D" w:rsidRDefault="0098673D" w:rsidP="006869D4">
      <w:pPr>
        <w:pStyle w:val="NoSpacing"/>
        <w:jc w:val="center"/>
        <w:rPr>
          <w:b/>
        </w:rPr>
      </w:pPr>
    </w:p>
    <w:p w:rsidR="0098673D" w:rsidRDefault="0098673D" w:rsidP="006869D4">
      <w:pPr>
        <w:pStyle w:val="NoSpacing"/>
        <w:jc w:val="center"/>
        <w:rPr>
          <w:b/>
        </w:rPr>
      </w:pPr>
    </w:p>
    <w:p w:rsidR="00053671" w:rsidRDefault="00053671" w:rsidP="006869D4">
      <w:pPr>
        <w:pStyle w:val="NoSpacing"/>
        <w:jc w:val="center"/>
        <w:rPr>
          <w:b/>
        </w:rPr>
      </w:pPr>
    </w:p>
    <w:p w:rsidR="00053671" w:rsidRDefault="00053671" w:rsidP="006869D4">
      <w:pPr>
        <w:pStyle w:val="NoSpacing"/>
        <w:jc w:val="center"/>
        <w:rPr>
          <w:b/>
        </w:rPr>
      </w:pPr>
    </w:p>
    <w:p w:rsidR="001B433F" w:rsidRDefault="00694CC6" w:rsidP="001B433F">
      <w:pPr>
        <w:pStyle w:val="NoSpacing"/>
        <w:jc w:val="center"/>
        <w:rPr>
          <w:b/>
        </w:rPr>
      </w:pPr>
      <w:r>
        <w:rPr>
          <w:b/>
        </w:rPr>
        <w:t>March 1</w:t>
      </w:r>
      <w:r w:rsidR="0078403B">
        <w:rPr>
          <w:b/>
        </w:rPr>
        <w:t>5</w:t>
      </w:r>
      <w:r>
        <w:rPr>
          <w:b/>
        </w:rPr>
        <w:t>, 2019</w:t>
      </w:r>
    </w:p>
    <w:p w:rsidR="00053671" w:rsidRDefault="00053671" w:rsidP="006869D4">
      <w:pPr>
        <w:pStyle w:val="NoSpacing"/>
        <w:jc w:val="center"/>
        <w:rPr>
          <w:b/>
        </w:rPr>
      </w:pPr>
    </w:p>
    <w:p w:rsidR="00053671" w:rsidRDefault="00053671" w:rsidP="006869D4">
      <w:pPr>
        <w:pStyle w:val="NoSpacing"/>
        <w:jc w:val="center"/>
        <w:rPr>
          <w:b/>
        </w:rPr>
      </w:pPr>
    </w:p>
    <w:p w:rsidR="00053671" w:rsidRDefault="00053671" w:rsidP="006869D4">
      <w:pPr>
        <w:pStyle w:val="NoSpacing"/>
        <w:jc w:val="center"/>
        <w:rPr>
          <w:b/>
        </w:rPr>
      </w:pPr>
      <w:r>
        <w:rPr>
          <w:b/>
        </w:rPr>
        <w:t>CONTACT</w:t>
      </w:r>
    </w:p>
    <w:p w:rsidR="00053671" w:rsidRPr="00603813" w:rsidRDefault="00443E25" w:rsidP="00053671">
      <w:pPr>
        <w:jc w:val="center"/>
        <w:rPr>
          <w:shd w:val="clear" w:color="auto" w:fill="FFFFFF"/>
        </w:rPr>
      </w:pPr>
      <w:r>
        <w:rPr>
          <w:bCs/>
          <w:shd w:val="clear" w:color="auto" w:fill="FFFFFF"/>
        </w:rPr>
        <w:t>Monique Carry</w:t>
      </w:r>
      <w:r w:rsidR="00053671" w:rsidRPr="00603813">
        <w:br/>
      </w:r>
      <w:r>
        <w:t>Health Scientist</w:t>
      </w:r>
    </w:p>
    <w:p w:rsidR="004657BF" w:rsidRPr="009B59EB" w:rsidRDefault="00053671" w:rsidP="00053671">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w:t>
      </w:r>
      <w:r w:rsidR="006131F3">
        <w:rPr>
          <w:shd w:val="clear" w:color="auto" w:fill="FFFFFF"/>
        </w:rPr>
        <w:t xml:space="preserve">STD </w:t>
      </w:r>
      <w:r w:rsidRPr="00603813">
        <w:rPr>
          <w:shd w:val="clear" w:color="auto" w:fill="FFFFFF"/>
        </w:rPr>
        <w:t>Prevention</w:t>
      </w:r>
      <w:r w:rsidRPr="00603813">
        <w:t xml:space="preserve"> </w:t>
      </w:r>
      <w:r w:rsidRPr="00603813">
        <w:br/>
      </w:r>
      <w:r w:rsidRPr="00603813">
        <w:rPr>
          <w:shd w:val="clear" w:color="auto" w:fill="FFFFFF"/>
        </w:rPr>
        <w:t xml:space="preserve">1600 Clifton Road, NE, </w:t>
      </w:r>
      <w:r w:rsidRPr="00E22565">
        <w:rPr>
          <w:shd w:val="clear" w:color="auto" w:fill="FFFFFF"/>
        </w:rPr>
        <w:t>Mailstop E-</w:t>
      </w:r>
      <w:r w:rsidR="00680216" w:rsidRPr="00E22565">
        <w:rPr>
          <w:shd w:val="clear" w:color="auto" w:fill="FFFFFF"/>
        </w:rPr>
        <w:t>44</w:t>
      </w:r>
      <w:r w:rsidRPr="00350C40">
        <w:br/>
      </w:r>
      <w:r w:rsidRPr="00B6300F">
        <w:rPr>
          <w:shd w:val="clear" w:color="auto" w:fill="FFFFFF"/>
        </w:rPr>
        <w:t xml:space="preserve">Atlanta, GA </w:t>
      </w:r>
      <w:r w:rsidR="00680216" w:rsidRPr="00DE3165">
        <w:rPr>
          <w:shd w:val="clear" w:color="auto" w:fill="FFFFFF"/>
        </w:rPr>
        <w:t>30329</w:t>
      </w:r>
      <w:r w:rsidRPr="00DE3165">
        <w:br/>
      </w:r>
      <w:r w:rsidRPr="00E04AE1">
        <w:rPr>
          <w:shd w:val="clear" w:color="auto" w:fill="FFFFFF"/>
        </w:rPr>
        <w:t xml:space="preserve">Phone: </w:t>
      </w:r>
      <w:r w:rsidR="00443E25" w:rsidRPr="00443E25">
        <w:rPr>
          <w:shd w:val="clear" w:color="auto" w:fill="FFFFFF"/>
        </w:rPr>
        <w:t>404.639.2275</w:t>
      </w:r>
    </w:p>
    <w:p w:rsidR="00053671" w:rsidRDefault="00053671" w:rsidP="00053671">
      <w:pPr>
        <w:pStyle w:val="NoSpacing"/>
        <w:jc w:val="center"/>
      </w:pPr>
      <w:r w:rsidRPr="009B59EB">
        <w:rPr>
          <w:shd w:val="clear" w:color="auto" w:fill="FFFFFF"/>
        </w:rPr>
        <w:t>Fax: 404-639-</w:t>
      </w:r>
      <w:r w:rsidR="00680216" w:rsidRPr="009B59EB">
        <w:rPr>
          <w:shd w:val="clear" w:color="auto" w:fill="FFFFFF"/>
        </w:rPr>
        <w:t>8622</w:t>
      </w:r>
      <w:r w:rsidRPr="009B59EB">
        <w:br/>
      </w:r>
      <w:r w:rsidRPr="009B59EB">
        <w:rPr>
          <w:shd w:val="clear" w:color="auto" w:fill="FFFFFF"/>
        </w:rPr>
        <w:t>E-mail:</w:t>
      </w:r>
      <w:r w:rsidRPr="009B59EB">
        <w:t> </w:t>
      </w:r>
      <w:r w:rsidR="00443E25">
        <w:t>kju8</w:t>
      </w:r>
      <w:r w:rsidR="006131F3">
        <w:t>@cdc.gov</w:t>
      </w:r>
    </w:p>
    <w:p w:rsidR="00542640" w:rsidRDefault="00542640" w:rsidP="00053671">
      <w:pPr>
        <w:pStyle w:val="NoSpacing"/>
        <w:jc w:val="center"/>
        <w:rPr>
          <w:b/>
        </w:rPr>
      </w:pPr>
    </w:p>
    <w:p w:rsidR="00542640" w:rsidRDefault="00542640" w:rsidP="00053671">
      <w:pPr>
        <w:pStyle w:val="NoSpacing"/>
        <w:jc w:val="center"/>
        <w:rPr>
          <w:b/>
        </w:rPr>
      </w:pPr>
    </w:p>
    <w:p w:rsidR="00542640" w:rsidRDefault="00542640" w:rsidP="00053671">
      <w:pPr>
        <w:pStyle w:val="NoSpacing"/>
        <w:jc w:val="center"/>
        <w:rPr>
          <w:b/>
        </w:rPr>
      </w:pPr>
    </w:p>
    <w:p w:rsidR="00542640" w:rsidRDefault="00542640" w:rsidP="00053671">
      <w:pPr>
        <w:pStyle w:val="NoSpacing"/>
        <w:jc w:val="center"/>
        <w:rPr>
          <w:b/>
        </w:rPr>
      </w:pPr>
    </w:p>
    <w:p w:rsidR="00542640" w:rsidRDefault="00542640">
      <w:pPr>
        <w:spacing w:after="200" w:line="276" w:lineRule="auto"/>
        <w:rPr>
          <w:rFonts w:eastAsiaTheme="minorHAnsi" w:cstheme="minorBidi"/>
          <w:b/>
          <w:szCs w:val="22"/>
        </w:rPr>
      </w:pPr>
      <w:r>
        <w:rPr>
          <w:b/>
        </w:rPr>
        <w:br w:type="page"/>
      </w:r>
    </w:p>
    <w:p w:rsidR="00542640" w:rsidRDefault="00542640" w:rsidP="00542640">
      <w:pPr>
        <w:pStyle w:val="NoSpacing"/>
        <w:pBdr>
          <w:bottom w:val="single" w:sz="4" w:space="1" w:color="auto"/>
        </w:pBdr>
        <w:rPr>
          <w:b/>
        </w:rPr>
      </w:pPr>
      <w:r w:rsidRPr="00E2574F">
        <w:rPr>
          <w:b/>
        </w:rPr>
        <w:lastRenderedPageBreak/>
        <w:t>TABLE OF CONTENTS</w:t>
      </w:r>
    </w:p>
    <w:p w:rsidR="00542640" w:rsidRDefault="00542640" w:rsidP="00542640">
      <w:pPr>
        <w:pStyle w:val="NoSpacing"/>
        <w:rPr>
          <w:b/>
        </w:rPr>
      </w:pPr>
    </w:p>
    <w:sdt>
      <w:sdtPr>
        <w:id w:val="1602600070"/>
        <w:docPartObj>
          <w:docPartGallery w:val="Table of Contents"/>
          <w:docPartUnique/>
        </w:docPartObj>
      </w:sdtPr>
      <w:sdtEndPr>
        <w:rPr>
          <w:b/>
          <w:bCs/>
          <w:noProof/>
        </w:rPr>
      </w:sdtEndPr>
      <w:sdtContent>
        <w:p w:rsidR="003317DD" w:rsidRDefault="00B12EA3">
          <w:pPr>
            <w:pStyle w:val="TOC1"/>
            <w:tabs>
              <w:tab w:val="left" w:pos="480"/>
              <w:tab w:val="right" w:leader="dot" w:pos="10070"/>
            </w:tab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508274287" w:history="1">
            <w:r w:rsidR="003317DD" w:rsidRPr="00130D7D">
              <w:rPr>
                <w:rStyle w:val="Hyperlink"/>
                <w:noProof/>
              </w:rPr>
              <w:t>1.</w:t>
            </w:r>
            <w:r w:rsidR="003317DD">
              <w:rPr>
                <w:rFonts w:asciiTheme="minorHAnsi" w:eastAsiaTheme="minorEastAsia" w:hAnsiTheme="minorHAnsi" w:cstheme="minorBidi"/>
                <w:noProof/>
                <w:sz w:val="22"/>
                <w:szCs w:val="22"/>
              </w:rPr>
              <w:tab/>
            </w:r>
            <w:r w:rsidR="003317DD" w:rsidRPr="00130D7D">
              <w:rPr>
                <w:rStyle w:val="Hyperlink"/>
                <w:noProof/>
              </w:rPr>
              <w:t>Circumstances Making the Collection of Information Necessary</w:t>
            </w:r>
            <w:r w:rsidR="003317DD">
              <w:rPr>
                <w:noProof/>
                <w:webHidden/>
              </w:rPr>
              <w:tab/>
            </w:r>
            <w:r w:rsidR="003317DD">
              <w:rPr>
                <w:noProof/>
                <w:webHidden/>
              </w:rPr>
              <w:fldChar w:fldCharType="begin"/>
            </w:r>
            <w:r w:rsidR="003317DD">
              <w:rPr>
                <w:noProof/>
                <w:webHidden/>
              </w:rPr>
              <w:instrText xml:space="preserve"> PAGEREF _Toc508274287 \h </w:instrText>
            </w:r>
            <w:r w:rsidR="003317DD">
              <w:rPr>
                <w:noProof/>
                <w:webHidden/>
              </w:rPr>
            </w:r>
            <w:r w:rsidR="003317DD">
              <w:rPr>
                <w:noProof/>
                <w:webHidden/>
              </w:rPr>
              <w:fldChar w:fldCharType="separate"/>
            </w:r>
            <w:r w:rsidR="003A2720">
              <w:rPr>
                <w:noProof/>
                <w:webHidden/>
              </w:rPr>
              <w:t>5</w:t>
            </w:r>
            <w:r w:rsidR="003317DD">
              <w:rPr>
                <w:noProof/>
                <w:webHidden/>
              </w:rPr>
              <w:fldChar w:fldCharType="end"/>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88" w:history="1">
            <w:r w:rsidR="00CA4BF2" w:rsidRPr="00130D7D">
              <w:rPr>
                <w:rStyle w:val="Hyperlink"/>
                <w:noProof/>
              </w:rPr>
              <w:t>2.</w:t>
            </w:r>
            <w:r w:rsidR="00CA4BF2">
              <w:rPr>
                <w:rFonts w:asciiTheme="minorHAnsi" w:eastAsiaTheme="minorEastAsia" w:hAnsiTheme="minorHAnsi" w:cstheme="minorBidi"/>
                <w:noProof/>
                <w:sz w:val="22"/>
                <w:szCs w:val="22"/>
              </w:rPr>
              <w:tab/>
            </w:r>
            <w:r w:rsidR="00CA4BF2" w:rsidRPr="00130D7D">
              <w:rPr>
                <w:rStyle w:val="Hyperlink"/>
                <w:noProof/>
              </w:rPr>
              <w:t>Purpose and Use of the Information Collection</w:t>
            </w:r>
            <w:r w:rsidR="00CA4BF2">
              <w:rPr>
                <w:noProof/>
                <w:webHidden/>
              </w:rPr>
              <w:tab/>
              <w:t>7</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89" w:history="1">
            <w:r w:rsidR="00CA4BF2" w:rsidRPr="00130D7D">
              <w:rPr>
                <w:rStyle w:val="Hyperlink"/>
                <w:noProof/>
              </w:rPr>
              <w:t>3.</w:t>
            </w:r>
            <w:r w:rsidR="00CA4BF2">
              <w:rPr>
                <w:rFonts w:asciiTheme="minorHAnsi" w:eastAsiaTheme="minorEastAsia" w:hAnsiTheme="minorHAnsi" w:cstheme="minorBidi"/>
                <w:noProof/>
                <w:sz w:val="22"/>
                <w:szCs w:val="22"/>
              </w:rPr>
              <w:tab/>
            </w:r>
            <w:r w:rsidR="00CA4BF2" w:rsidRPr="00130D7D">
              <w:rPr>
                <w:rStyle w:val="Hyperlink"/>
                <w:noProof/>
              </w:rPr>
              <w:t>Use of Improved Information Technology and Burden Reduction</w:t>
            </w:r>
            <w:r w:rsidR="00CA4BF2">
              <w:rPr>
                <w:noProof/>
                <w:webHidden/>
              </w:rPr>
              <w:tab/>
              <w:t>8</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0" w:history="1">
            <w:r w:rsidR="003317DD" w:rsidRPr="00130D7D">
              <w:rPr>
                <w:rStyle w:val="Hyperlink"/>
                <w:noProof/>
              </w:rPr>
              <w:t>4.</w:t>
            </w:r>
            <w:r w:rsidR="003317DD">
              <w:rPr>
                <w:rFonts w:asciiTheme="minorHAnsi" w:eastAsiaTheme="minorEastAsia" w:hAnsiTheme="minorHAnsi" w:cstheme="minorBidi"/>
                <w:noProof/>
                <w:sz w:val="22"/>
                <w:szCs w:val="22"/>
              </w:rPr>
              <w:tab/>
            </w:r>
            <w:r w:rsidR="003317DD" w:rsidRPr="00130D7D">
              <w:rPr>
                <w:rStyle w:val="Hyperlink"/>
                <w:noProof/>
              </w:rPr>
              <w:t>Efforts to Identify Duplication and Use of Similar Information</w:t>
            </w:r>
            <w:r w:rsidR="003317DD">
              <w:rPr>
                <w:noProof/>
                <w:webHidden/>
              </w:rPr>
              <w:tab/>
            </w:r>
            <w:r w:rsidR="003317DD">
              <w:rPr>
                <w:noProof/>
                <w:webHidden/>
              </w:rPr>
              <w:fldChar w:fldCharType="begin"/>
            </w:r>
            <w:r w:rsidR="003317DD">
              <w:rPr>
                <w:noProof/>
                <w:webHidden/>
              </w:rPr>
              <w:instrText xml:space="preserve"> PAGEREF _Toc508274290 \h </w:instrText>
            </w:r>
            <w:r w:rsidR="003317DD">
              <w:rPr>
                <w:noProof/>
                <w:webHidden/>
              </w:rPr>
            </w:r>
            <w:r w:rsidR="003317DD">
              <w:rPr>
                <w:noProof/>
                <w:webHidden/>
              </w:rPr>
              <w:fldChar w:fldCharType="separate"/>
            </w:r>
            <w:r w:rsidR="003A2720">
              <w:rPr>
                <w:noProof/>
                <w:webHidden/>
              </w:rPr>
              <w:t>8</w:t>
            </w:r>
            <w:r w:rsidR="003317DD">
              <w:rPr>
                <w:noProof/>
                <w:webHidden/>
              </w:rPr>
              <w:fldChar w:fldCharType="end"/>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1" w:history="1">
            <w:r w:rsidR="00CA4BF2" w:rsidRPr="00130D7D">
              <w:rPr>
                <w:rStyle w:val="Hyperlink"/>
                <w:noProof/>
              </w:rPr>
              <w:t>5.</w:t>
            </w:r>
            <w:r w:rsidR="00CA4BF2">
              <w:rPr>
                <w:rFonts w:asciiTheme="minorHAnsi" w:eastAsiaTheme="minorEastAsia" w:hAnsiTheme="minorHAnsi" w:cstheme="minorBidi"/>
                <w:noProof/>
                <w:sz w:val="22"/>
                <w:szCs w:val="22"/>
              </w:rPr>
              <w:tab/>
            </w:r>
            <w:r w:rsidR="00CA4BF2" w:rsidRPr="00130D7D">
              <w:rPr>
                <w:rStyle w:val="Hyperlink"/>
                <w:noProof/>
              </w:rPr>
              <w:t>Impact on Small Businesses or Other Small Entities</w:t>
            </w:r>
            <w:r w:rsidR="00CA4BF2">
              <w:rPr>
                <w:noProof/>
                <w:webHidden/>
              </w:rPr>
              <w:tab/>
              <w:t>9</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2" w:history="1">
            <w:r w:rsidR="00CA4BF2" w:rsidRPr="00130D7D">
              <w:rPr>
                <w:rStyle w:val="Hyperlink"/>
                <w:noProof/>
              </w:rPr>
              <w:t>6.</w:t>
            </w:r>
            <w:r w:rsidR="00CA4BF2">
              <w:rPr>
                <w:rFonts w:asciiTheme="minorHAnsi" w:eastAsiaTheme="minorEastAsia" w:hAnsiTheme="minorHAnsi" w:cstheme="minorBidi"/>
                <w:noProof/>
                <w:sz w:val="22"/>
                <w:szCs w:val="22"/>
              </w:rPr>
              <w:tab/>
            </w:r>
            <w:r w:rsidR="00CA4BF2" w:rsidRPr="00130D7D">
              <w:rPr>
                <w:rStyle w:val="Hyperlink"/>
                <w:noProof/>
              </w:rPr>
              <w:t>Consequences of Collecting the Information Less Frequently</w:t>
            </w:r>
            <w:r w:rsidR="00CA4BF2">
              <w:rPr>
                <w:noProof/>
                <w:webHidden/>
              </w:rPr>
              <w:tab/>
              <w:t>9</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3" w:history="1">
            <w:r w:rsidR="00CA4BF2" w:rsidRPr="00130D7D">
              <w:rPr>
                <w:rStyle w:val="Hyperlink"/>
                <w:noProof/>
              </w:rPr>
              <w:t>7.</w:t>
            </w:r>
            <w:r w:rsidR="00CA4BF2">
              <w:rPr>
                <w:rFonts w:asciiTheme="minorHAnsi" w:eastAsiaTheme="minorEastAsia" w:hAnsiTheme="minorHAnsi" w:cstheme="minorBidi"/>
                <w:noProof/>
                <w:sz w:val="22"/>
                <w:szCs w:val="22"/>
              </w:rPr>
              <w:tab/>
            </w:r>
            <w:r w:rsidR="00CA4BF2" w:rsidRPr="00130D7D">
              <w:rPr>
                <w:rStyle w:val="Hyperlink"/>
                <w:noProof/>
              </w:rPr>
              <w:t>Special Circumstances Relating to the Guidelines of 5 CFR 1320.5</w:t>
            </w:r>
            <w:r w:rsidR="00CA4BF2">
              <w:rPr>
                <w:noProof/>
                <w:webHidden/>
              </w:rPr>
              <w:tab/>
              <w:t>9</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4" w:history="1">
            <w:r w:rsidR="00CA4BF2" w:rsidRPr="00130D7D">
              <w:rPr>
                <w:rStyle w:val="Hyperlink"/>
                <w:noProof/>
              </w:rPr>
              <w:t>8.</w:t>
            </w:r>
            <w:r w:rsidR="00CA4BF2">
              <w:rPr>
                <w:rFonts w:asciiTheme="minorHAnsi" w:eastAsiaTheme="minorEastAsia" w:hAnsiTheme="minorHAnsi" w:cstheme="minorBidi"/>
                <w:noProof/>
                <w:sz w:val="22"/>
                <w:szCs w:val="22"/>
              </w:rPr>
              <w:tab/>
            </w:r>
            <w:r w:rsidR="00CA4BF2" w:rsidRPr="00130D7D">
              <w:rPr>
                <w:rStyle w:val="Hyperlink"/>
                <w:noProof/>
              </w:rPr>
              <w:t>Comments in Response to the Federal Register Notice and Efforts to Consult Outside the Agency</w:t>
            </w:r>
            <w:r w:rsidR="00CA4BF2">
              <w:rPr>
                <w:noProof/>
                <w:webHidden/>
              </w:rPr>
              <w:tab/>
              <w:t>10</w:t>
            </w:r>
          </w:hyperlink>
        </w:p>
        <w:p w:rsidR="003317DD" w:rsidRDefault="00F766BC">
          <w:pPr>
            <w:pStyle w:val="TOC1"/>
            <w:tabs>
              <w:tab w:val="left" w:pos="480"/>
              <w:tab w:val="right" w:leader="dot" w:pos="10070"/>
            </w:tabs>
            <w:rPr>
              <w:rFonts w:asciiTheme="minorHAnsi" w:eastAsiaTheme="minorEastAsia" w:hAnsiTheme="minorHAnsi" w:cstheme="minorBidi"/>
              <w:noProof/>
              <w:sz w:val="22"/>
              <w:szCs w:val="22"/>
            </w:rPr>
          </w:pPr>
          <w:hyperlink w:anchor="_Toc508274295" w:history="1">
            <w:r w:rsidR="00CA4BF2" w:rsidRPr="00130D7D">
              <w:rPr>
                <w:rStyle w:val="Hyperlink"/>
                <w:noProof/>
              </w:rPr>
              <w:t>9.</w:t>
            </w:r>
            <w:r w:rsidR="00CA4BF2">
              <w:rPr>
                <w:rFonts w:asciiTheme="minorHAnsi" w:eastAsiaTheme="minorEastAsia" w:hAnsiTheme="minorHAnsi" w:cstheme="minorBidi"/>
                <w:noProof/>
                <w:sz w:val="22"/>
                <w:szCs w:val="22"/>
              </w:rPr>
              <w:tab/>
            </w:r>
            <w:r w:rsidR="00CA4BF2" w:rsidRPr="00130D7D">
              <w:rPr>
                <w:rStyle w:val="Hyperlink"/>
                <w:noProof/>
              </w:rPr>
              <w:t>Explanation of Any Payment or Gift to Respondents</w:t>
            </w:r>
            <w:r w:rsidR="00CA4BF2">
              <w:rPr>
                <w:noProof/>
                <w:webHidden/>
              </w:rPr>
              <w:tab/>
              <w:t>10</w:t>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296" w:history="1">
            <w:r w:rsidR="00CA4BF2" w:rsidRPr="00130D7D">
              <w:rPr>
                <w:rStyle w:val="Hyperlink"/>
                <w:noProof/>
              </w:rPr>
              <w:t>10.</w:t>
            </w:r>
            <w:r w:rsidR="00CA4BF2">
              <w:rPr>
                <w:rFonts w:asciiTheme="minorHAnsi" w:eastAsiaTheme="minorEastAsia" w:hAnsiTheme="minorHAnsi" w:cstheme="minorBidi"/>
                <w:noProof/>
                <w:sz w:val="22"/>
                <w:szCs w:val="22"/>
              </w:rPr>
              <w:tab/>
            </w:r>
            <w:r w:rsidR="00CA4BF2" w:rsidRPr="00130D7D">
              <w:rPr>
                <w:rStyle w:val="Hyperlink"/>
                <w:noProof/>
              </w:rPr>
              <w:t>Protection of the Privacy and Confidentiality of Information Provided by Respondents</w:t>
            </w:r>
            <w:r w:rsidR="00CA4BF2">
              <w:rPr>
                <w:noProof/>
                <w:webHidden/>
              </w:rPr>
              <w:tab/>
            </w:r>
            <w:r w:rsidR="00CA4BF2">
              <w:rPr>
                <w:noProof/>
                <w:webHidden/>
              </w:rPr>
              <w:fldChar w:fldCharType="begin"/>
            </w:r>
            <w:r w:rsidR="00CA4BF2">
              <w:rPr>
                <w:noProof/>
                <w:webHidden/>
              </w:rPr>
              <w:instrText xml:space="preserve"> PAGEREF _Toc508274296 \h </w:instrText>
            </w:r>
            <w:r w:rsidR="00CA4BF2">
              <w:rPr>
                <w:noProof/>
                <w:webHidden/>
              </w:rPr>
            </w:r>
            <w:r w:rsidR="00CA4BF2">
              <w:rPr>
                <w:noProof/>
                <w:webHidden/>
              </w:rPr>
              <w:fldChar w:fldCharType="separate"/>
            </w:r>
            <w:r w:rsidR="00CA4BF2">
              <w:rPr>
                <w:noProof/>
                <w:webHidden/>
              </w:rPr>
              <w:t>11</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297" w:history="1">
            <w:r w:rsidR="00CA4BF2" w:rsidRPr="00130D7D">
              <w:rPr>
                <w:rStyle w:val="Hyperlink"/>
                <w:noProof/>
              </w:rPr>
              <w:t>11.</w:t>
            </w:r>
            <w:r w:rsidR="00CA4BF2">
              <w:rPr>
                <w:rFonts w:asciiTheme="minorHAnsi" w:eastAsiaTheme="minorEastAsia" w:hAnsiTheme="minorHAnsi" w:cstheme="minorBidi"/>
                <w:noProof/>
                <w:sz w:val="22"/>
                <w:szCs w:val="22"/>
              </w:rPr>
              <w:tab/>
            </w:r>
            <w:r w:rsidR="00CA4BF2" w:rsidRPr="00130D7D">
              <w:rPr>
                <w:rStyle w:val="Hyperlink"/>
                <w:noProof/>
              </w:rPr>
              <w:t>Institutional Review Board (IRB) and Justification for Sensitive Questions</w:t>
            </w:r>
            <w:r w:rsidR="00CA4BF2">
              <w:rPr>
                <w:noProof/>
                <w:webHidden/>
              </w:rPr>
              <w:tab/>
            </w:r>
            <w:r w:rsidR="00CA4BF2">
              <w:rPr>
                <w:noProof/>
                <w:webHidden/>
              </w:rPr>
              <w:fldChar w:fldCharType="begin"/>
            </w:r>
            <w:r w:rsidR="00CA4BF2">
              <w:rPr>
                <w:noProof/>
                <w:webHidden/>
              </w:rPr>
              <w:instrText xml:space="preserve"> PAGEREF _Toc508274297 \h </w:instrText>
            </w:r>
            <w:r w:rsidR="00CA4BF2">
              <w:rPr>
                <w:noProof/>
                <w:webHidden/>
              </w:rPr>
            </w:r>
            <w:r w:rsidR="00CA4BF2">
              <w:rPr>
                <w:noProof/>
                <w:webHidden/>
              </w:rPr>
              <w:fldChar w:fldCharType="separate"/>
            </w:r>
            <w:r w:rsidR="00CA4BF2">
              <w:rPr>
                <w:noProof/>
                <w:webHidden/>
              </w:rPr>
              <w:t>12</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298" w:history="1">
            <w:r w:rsidR="00CA4BF2" w:rsidRPr="00130D7D">
              <w:rPr>
                <w:rStyle w:val="Hyperlink"/>
                <w:noProof/>
              </w:rPr>
              <w:t>12.</w:t>
            </w:r>
            <w:r w:rsidR="00CA4BF2">
              <w:rPr>
                <w:rFonts w:asciiTheme="minorHAnsi" w:eastAsiaTheme="minorEastAsia" w:hAnsiTheme="minorHAnsi" w:cstheme="minorBidi"/>
                <w:noProof/>
                <w:sz w:val="22"/>
                <w:szCs w:val="22"/>
              </w:rPr>
              <w:tab/>
            </w:r>
            <w:r w:rsidR="00CA4BF2" w:rsidRPr="00130D7D">
              <w:rPr>
                <w:rStyle w:val="Hyperlink"/>
                <w:noProof/>
              </w:rPr>
              <w:t>Estimates of Annualized Burden Hours and Costs</w:t>
            </w:r>
            <w:r w:rsidR="00CA4BF2">
              <w:rPr>
                <w:noProof/>
                <w:webHidden/>
              </w:rPr>
              <w:tab/>
            </w:r>
            <w:r w:rsidR="00CA4BF2">
              <w:rPr>
                <w:noProof/>
                <w:webHidden/>
              </w:rPr>
              <w:fldChar w:fldCharType="begin"/>
            </w:r>
            <w:r w:rsidR="00CA4BF2">
              <w:rPr>
                <w:noProof/>
                <w:webHidden/>
              </w:rPr>
              <w:instrText xml:space="preserve"> PAGEREF _Toc508274298 \h </w:instrText>
            </w:r>
            <w:r w:rsidR="00CA4BF2">
              <w:rPr>
                <w:noProof/>
                <w:webHidden/>
              </w:rPr>
            </w:r>
            <w:r w:rsidR="00CA4BF2">
              <w:rPr>
                <w:noProof/>
                <w:webHidden/>
              </w:rPr>
              <w:fldChar w:fldCharType="separate"/>
            </w:r>
            <w:r w:rsidR="00CA4BF2">
              <w:rPr>
                <w:noProof/>
                <w:webHidden/>
              </w:rPr>
              <w:t>12</w:t>
            </w:r>
            <w:r w:rsidR="00CA4BF2">
              <w:rPr>
                <w:noProof/>
                <w:webHidden/>
              </w:rPr>
              <w:fldChar w:fldCharType="end"/>
            </w:r>
          </w:hyperlink>
        </w:p>
        <w:p w:rsidR="003317DD" w:rsidRDefault="00F766BC">
          <w:pPr>
            <w:pStyle w:val="TOC2"/>
            <w:tabs>
              <w:tab w:val="left" w:pos="1100"/>
              <w:tab w:val="right" w:leader="dot" w:pos="10070"/>
            </w:tabs>
            <w:rPr>
              <w:rFonts w:asciiTheme="minorHAnsi" w:eastAsiaTheme="minorEastAsia" w:hAnsiTheme="minorHAnsi" w:cstheme="minorBidi"/>
              <w:noProof/>
              <w:sz w:val="22"/>
              <w:szCs w:val="22"/>
            </w:rPr>
          </w:pPr>
          <w:hyperlink w:anchor="_Toc508274299" w:history="1">
            <w:r w:rsidR="00CA4BF2" w:rsidRPr="00130D7D">
              <w:rPr>
                <w:rStyle w:val="Hyperlink"/>
                <w:noProof/>
              </w:rPr>
              <w:t>12A.</w:t>
            </w:r>
            <w:r w:rsidR="00CA4BF2">
              <w:rPr>
                <w:rFonts w:asciiTheme="minorHAnsi" w:eastAsiaTheme="minorEastAsia" w:hAnsiTheme="minorHAnsi" w:cstheme="minorBidi"/>
                <w:noProof/>
                <w:sz w:val="22"/>
                <w:szCs w:val="22"/>
              </w:rPr>
              <w:tab/>
            </w:r>
            <w:r w:rsidR="00CA4BF2" w:rsidRPr="00130D7D">
              <w:rPr>
                <w:rStyle w:val="Hyperlink"/>
                <w:noProof/>
              </w:rPr>
              <w:t>Estimated Annualized Burden Hours</w:t>
            </w:r>
            <w:r w:rsidR="00CA4BF2">
              <w:rPr>
                <w:noProof/>
                <w:webHidden/>
              </w:rPr>
              <w:tab/>
            </w:r>
            <w:r w:rsidR="00CA4BF2">
              <w:rPr>
                <w:noProof/>
                <w:webHidden/>
              </w:rPr>
              <w:fldChar w:fldCharType="begin"/>
            </w:r>
            <w:r w:rsidR="00CA4BF2">
              <w:rPr>
                <w:noProof/>
                <w:webHidden/>
              </w:rPr>
              <w:instrText xml:space="preserve"> PAGEREF _Toc508274299 \h </w:instrText>
            </w:r>
            <w:r w:rsidR="00CA4BF2">
              <w:rPr>
                <w:noProof/>
                <w:webHidden/>
              </w:rPr>
            </w:r>
            <w:r w:rsidR="00CA4BF2">
              <w:rPr>
                <w:noProof/>
                <w:webHidden/>
              </w:rPr>
              <w:fldChar w:fldCharType="separate"/>
            </w:r>
            <w:r w:rsidR="00CA4BF2">
              <w:rPr>
                <w:noProof/>
                <w:webHidden/>
              </w:rPr>
              <w:t>13</w:t>
            </w:r>
            <w:r w:rsidR="00CA4BF2">
              <w:rPr>
                <w:noProof/>
                <w:webHidden/>
              </w:rPr>
              <w:fldChar w:fldCharType="end"/>
            </w:r>
          </w:hyperlink>
        </w:p>
        <w:p w:rsidR="003317DD" w:rsidRDefault="00F766BC">
          <w:pPr>
            <w:pStyle w:val="TOC2"/>
            <w:tabs>
              <w:tab w:val="left" w:pos="1100"/>
              <w:tab w:val="right" w:leader="dot" w:pos="10070"/>
            </w:tabs>
            <w:rPr>
              <w:rFonts w:asciiTheme="minorHAnsi" w:eastAsiaTheme="minorEastAsia" w:hAnsiTheme="minorHAnsi" w:cstheme="minorBidi"/>
              <w:noProof/>
              <w:sz w:val="22"/>
              <w:szCs w:val="22"/>
            </w:rPr>
          </w:pPr>
          <w:hyperlink w:anchor="_Toc508274300" w:history="1">
            <w:r w:rsidR="00CA4BF2" w:rsidRPr="00130D7D">
              <w:rPr>
                <w:rStyle w:val="Hyperlink"/>
                <w:noProof/>
              </w:rPr>
              <w:t>12B.</w:t>
            </w:r>
            <w:r w:rsidR="00CA4BF2">
              <w:rPr>
                <w:rFonts w:asciiTheme="minorHAnsi" w:eastAsiaTheme="minorEastAsia" w:hAnsiTheme="minorHAnsi" w:cstheme="minorBidi"/>
                <w:noProof/>
                <w:sz w:val="22"/>
                <w:szCs w:val="22"/>
              </w:rPr>
              <w:tab/>
            </w:r>
            <w:r w:rsidR="00CA4BF2" w:rsidRPr="00130D7D">
              <w:rPr>
                <w:rStyle w:val="Hyperlink"/>
                <w:noProof/>
              </w:rPr>
              <w:t>Estimated Annualized Burden Costs</w:t>
            </w:r>
            <w:r w:rsidR="00CA4BF2">
              <w:rPr>
                <w:noProof/>
                <w:webHidden/>
              </w:rPr>
              <w:tab/>
            </w:r>
            <w:r w:rsidR="00CA4BF2">
              <w:rPr>
                <w:noProof/>
                <w:webHidden/>
              </w:rPr>
              <w:fldChar w:fldCharType="begin"/>
            </w:r>
            <w:r w:rsidR="00CA4BF2">
              <w:rPr>
                <w:noProof/>
                <w:webHidden/>
              </w:rPr>
              <w:instrText xml:space="preserve"> PAGEREF _Toc508274300 \h </w:instrText>
            </w:r>
            <w:r w:rsidR="00CA4BF2">
              <w:rPr>
                <w:noProof/>
                <w:webHidden/>
              </w:rPr>
            </w:r>
            <w:r w:rsidR="00CA4BF2">
              <w:rPr>
                <w:noProof/>
                <w:webHidden/>
              </w:rPr>
              <w:fldChar w:fldCharType="separate"/>
            </w:r>
            <w:r w:rsidR="00CA4BF2">
              <w:rPr>
                <w:noProof/>
                <w:webHidden/>
              </w:rPr>
              <w:t>13</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1" w:history="1">
            <w:r w:rsidR="00CA4BF2" w:rsidRPr="00130D7D">
              <w:rPr>
                <w:rStyle w:val="Hyperlink"/>
                <w:noProof/>
              </w:rPr>
              <w:t>13.</w:t>
            </w:r>
            <w:r w:rsidR="00CA4BF2">
              <w:rPr>
                <w:rFonts w:asciiTheme="minorHAnsi" w:eastAsiaTheme="minorEastAsia" w:hAnsiTheme="minorHAnsi" w:cstheme="minorBidi"/>
                <w:noProof/>
                <w:sz w:val="22"/>
                <w:szCs w:val="22"/>
              </w:rPr>
              <w:tab/>
            </w:r>
            <w:r w:rsidR="00CA4BF2" w:rsidRPr="00130D7D">
              <w:rPr>
                <w:rStyle w:val="Hyperlink"/>
                <w:noProof/>
              </w:rPr>
              <w:t>Estimates of Other Total Annual Cost Burden to Respondents and Record Keepers</w:t>
            </w:r>
            <w:r w:rsidR="00CA4BF2">
              <w:rPr>
                <w:noProof/>
                <w:webHidden/>
              </w:rPr>
              <w:tab/>
            </w:r>
            <w:r w:rsidR="00CA4BF2">
              <w:rPr>
                <w:noProof/>
                <w:webHidden/>
              </w:rPr>
              <w:fldChar w:fldCharType="begin"/>
            </w:r>
            <w:r w:rsidR="00CA4BF2">
              <w:rPr>
                <w:noProof/>
                <w:webHidden/>
              </w:rPr>
              <w:instrText xml:space="preserve"> PAGEREF _Toc508274301 \h </w:instrText>
            </w:r>
            <w:r w:rsidR="00CA4BF2">
              <w:rPr>
                <w:noProof/>
                <w:webHidden/>
              </w:rPr>
            </w:r>
            <w:r w:rsidR="00CA4BF2">
              <w:rPr>
                <w:noProof/>
                <w:webHidden/>
              </w:rPr>
              <w:fldChar w:fldCharType="separate"/>
            </w:r>
            <w:r w:rsidR="00CA4BF2">
              <w:rPr>
                <w:noProof/>
                <w:webHidden/>
              </w:rPr>
              <w:t>13</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2" w:history="1">
            <w:r w:rsidR="00CA4BF2" w:rsidRPr="00130D7D">
              <w:rPr>
                <w:rStyle w:val="Hyperlink"/>
                <w:noProof/>
              </w:rPr>
              <w:t>14.</w:t>
            </w:r>
            <w:r w:rsidR="00CA4BF2">
              <w:rPr>
                <w:rFonts w:asciiTheme="minorHAnsi" w:eastAsiaTheme="minorEastAsia" w:hAnsiTheme="minorHAnsi" w:cstheme="minorBidi"/>
                <w:noProof/>
                <w:sz w:val="22"/>
                <w:szCs w:val="22"/>
              </w:rPr>
              <w:tab/>
            </w:r>
            <w:r w:rsidR="00CA4BF2" w:rsidRPr="00130D7D">
              <w:rPr>
                <w:rStyle w:val="Hyperlink"/>
                <w:noProof/>
              </w:rPr>
              <w:t>Annualized Cost to the Federal Government</w:t>
            </w:r>
            <w:r w:rsidR="00CA4BF2">
              <w:rPr>
                <w:noProof/>
                <w:webHidden/>
              </w:rPr>
              <w:tab/>
            </w:r>
            <w:r w:rsidR="00CA4BF2">
              <w:rPr>
                <w:noProof/>
                <w:webHidden/>
              </w:rPr>
              <w:fldChar w:fldCharType="begin"/>
            </w:r>
            <w:r w:rsidR="00CA4BF2">
              <w:rPr>
                <w:noProof/>
                <w:webHidden/>
              </w:rPr>
              <w:instrText xml:space="preserve"> PAGEREF _Toc508274302 \h </w:instrText>
            </w:r>
            <w:r w:rsidR="00CA4BF2">
              <w:rPr>
                <w:noProof/>
                <w:webHidden/>
              </w:rPr>
            </w:r>
            <w:r w:rsidR="00CA4BF2">
              <w:rPr>
                <w:noProof/>
                <w:webHidden/>
              </w:rPr>
              <w:fldChar w:fldCharType="separate"/>
            </w:r>
            <w:r w:rsidR="00CA4BF2">
              <w:rPr>
                <w:noProof/>
                <w:webHidden/>
              </w:rPr>
              <w:t>13</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3" w:history="1">
            <w:r w:rsidR="00CA4BF2" w:rsidRPr="00130D7D">
              <w:rPr>
                <w:rStyle w:val="Hyperlink"/>
                <w:noProof/>
              </w:rPr>
              <w:t>15.</w:t>
            </w:r>
            <w:r w:rsidR="00CA4BF2">
              <w:rPr>
                <w:rFonts w:asciiTheme="minorHAnsi" w:eastAsiaTheme="minorEastAsia" w:hAnsiTheme="minorHAnsi" w:cstheme="minorBidi"/>
                <w:noProof/>
                <w:sz w:val="22"/>
                <w:szCs w:val="22"/>
              </w:rPr>
              <w:tab/>
            </w:r>
            <w:r w:rsidR="00CA4BF2" w:rsidRPr="00130D7D">
              <w:rPr>
                <w:rStyle w:val="Hyperlink"/>
                <w:noProof/>
              </w:rPr>
              <w:t>Explanation for Program Changes or Adjustments</w:t>
            </w:r>
            <w:r w:rsidR="00CA4BF2">
              <w:rPr>
                <w:noProof/>
                <w:webHidden/>
              </w:rPr>
              <w:tab/>
            </w:r>
            <w:r w:rsidR="00CA4BF2">
              <w:rPr>
                <w:noProof/>
                <w:webHidden/>
              </w:rPr>
              <w:fldChar w:fldCharType="begin"/>
            </w:r>
            <w:r w:rsidR="00CA4BF2">
              <w:rPr>
                <w:noProof/>
                <w:webHidden/>
              </w:rPr>
              <w:instrText xml:space="preserve"> PAGEREF _Toc508274303 \h </w:instrText>
            </w:r>
            <w:r w:rsidR="00CA4BF2">
              <w:rPr>
                <w:noProof/>
                <w:webHidden/>
              </w:rPr>
            </w:r>
            <w:r w:rsidR="00CA4BF2">
              <w:rPr>
                <w:noProof/>
                <w:webHidden/>
              </w:rPr>
              <w:fldChar w:fldCharType="separate"/>
            </w:r>
            <w:r w:rsidR="00CA4BF2">
              <w:rPr>
                <w:noProof/>
                <w:webHidden/>
              </w:rPr>
              <w:t>14</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4" w:history="1">
            <w:r w:rsidR="00CA4BF2" w:rsidRPr="00130D7D">
              <w:rPr>
                <w:rStyle w:val="Hyperlink"/>
                <w:noProof/>
              </w:rPr>
              <w:t>16.</w:t>
            </w:r>
            <w:r w:rsidR="00CA4BF2">
              <w:rPr>
                <w:rFonts w:asciiTheme="minorHAnsi" w:eastAsiaTheme="minorEastAsia" w:hAnsiTheme="minorHAnsi" w:cstheme="minorBidi"/>
                <w:noProof/>
                <w:sz w:val="22"/>
                <w:szCs w:val="22"/>
              </w:rPr>
              <w:tab/>
            </w:r>
            <w:r w:rsidR="00CA4BF2" w:rsidRPr="00130D7D">
              <w:rPr>
                <w:rStyle w:val="Hyperlink"/>
                <w:noProof/>
              </w:rPr>
              <w:t>Plans for Tabulation and Publication and Project Time Schedule</w:t>
            </w:r>
            <w:r w:rsidR="00CA4BF2">
              <w:rPr>
                <w:noProof/>
                <w:webHidden/>
              </w:rPr>
              <w:tab/>
            </w:r>
            <w:r w:rsidR="00CA4BF2">
              <w:rPr>
                <w:noProof/>
                <w:webHidden/>
              </w:rPr>
              <w:fldChar w:fldCharType="begin"/>
            </w:r>
            <w:r w:rsidR="00CA4BF2">
              <w:rPr>
                <w:noProof/>
                <w:webHidden/>
              </w:rPr>
              <w:instrText xml:space="preserve"> PAGEREF _Toc508274304 \h </w:instrText>
            </w:r>
            <w:r w:rsidR="00CA4BF2">
              <w:rPr>
                <w:noProof/>
                <w:webHidden/>
              </w:rPr>
            </w:r>
            <w:r w:rsidR="00CA4BF2">
              <w:rPr>
                <w:noProof/>
                <w:webHidden/>
              </w:rPr>
              <w:fldChar w:fldCharType="separate"/>
            </w:r>
            <w:r w:rsidR="00CA4BF2">
              <w:rPr>
                <w:noProof/>
                <w:webHidden/>
              </w:rPr>
              <w:t>14</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5" w:history="1">
            <w:r w:rsidR="00CA4BF2" w:rsidRPr="00130D7D">
              <w:rPr>
                <w:rStyle w:val="Hyperlink"/>
                <w:noProof/>
              </w:rPr>
              <w:t>17.</w:t>
            </w:r>
            <w:r w:rsidR="00CA4BF2">
              <w:rPr>
                <w:rFonts w:asciiTheme="minorHAnsi" w:eastAsiaTheme="minorEastAsia" w:hAnsiTheme="minorHAnsi" w:cstheme="minorBidi"/>
                <w:noProof/>
                <w:sz w:val="22"/>
                <w:szCs w:val="22"/>
              </w:rPr>
              <w:tab/>
            </w:r>
            <w:r w:rsidR="00CA4BF2" w:rsidRPr="00130D7D">
              <w:rPr>
                <w:rStyle w:val="Hyperlink"/>
                <w:noProof/>
              </w:rPr>
              <w:t>Reason(s) Display of OMB Expiration Date is Inappropriate</w:t>
            </w:r>
            <w:r w:rsidR="00CA4BF2">
              <w:rPr>
                <w:noProof/>
                <w:webHidden/>
              </w:rPr>
              <w:tab/>
            </w:r>
            <w:r w:rsidR="00CA4BF2">
              <w:rPr>
                <w:noProof/>
                <w:webHidden/>
              </w:rPr>
              <w:fldChar w:fldCharType="begin"/>
            </w:r>
            <w:r w:rsidR="00CA4BF2">
              <w:rPr>
                <w:noProof/>
                <w:webHidden/>
              </w:rPr>
              <w:instrText xml:space="preserve"> PAGEREF _Toc508274305 \h </w:instrText>
            </w:r>
            <w:r w:rsidR="00CA4BF2">
              <w:rPr>
                <w:noProof/>
                <w:webHidden/>
              </w:rPr>
            </w:r>
            <w:r w:rsidR="00CA4BF2">
              <w:rPr>
                <w:noProof/>
                <w:webHidden/>
              </w:rPr>
              <w:fldChar w:fldCharType="separate"/>
            </w:r>
            <w:r w:rsidR="00CA4BF2">
              <w:rPr>
                <w:noProof/>
                <w:webHidden/>
              </w:rPr>
              <w:t>15</w:t>
            </w:r>
            <w:r w:rsidR="00CA4BF2">
              <w:rPr>
                <w:noProof/>
                <w:webHidden/>
              </w:rPr>
              <w:fldChar w:fldCharType="end"/>
            </w:r>
          </w:hyperlink>
        </w:p>
        <w:p w:rsidR="003317DD" w:rsidRDefault="00F766BC">
          <w:pPr>
            <w:pStyle w:val="TOC1"/>
            <w:tabs>
              <w:tab w:val="left" w:pos="660"/>
              <w:tab w:val="right" w:leader="dot" w:pos="10070"/>
            </w:tabs>
            <w:rPr>
              <w:rFonts w:asciiTheme="minorHAnsi" w:eastAsiaTheme="minorEastAsia" w:hAnsiTheme="minorHAnsi" w:cstheme="minorBidi"/>
              <w:noProof/>
              <w:sz w:val="22"/>
              <w:szCs w:val="22"/>
            </w:rPr>
          </w:pPr>
          <w:hyperlink w:anchor="_Toc508274306" w:history="1">
            <w:r w:rsidR="00CA4BF2" w:rsidRPr="00130D7D">
              <w:rPr>
                <w:rStyle w:val="Hyperlink"/>
                <w:noProof/>
              </w:rPr>
              <w:t>18.</w:t>
            </w:r>
            <w:r w:rsidR="00CA4BF2">
              <w:rPr>
                <w:rFonts w:asciiTheme="minorHAnsi" w:eastAsiaTheme="minorEastAsia" w:hAnsiTheme="minorHAnsi" w:cstheme="minorBidi"/>
                <w:noProof/>
                <w:sz w:val="22"/>
                <w:szCs w:val="22"/>
              </w:rPr>
              <w:tab/>
            </w:r>
            <w:r w:rsidR="00CA4BF2" w:rsidRPr="00130D7D">
              <w:rPr>
                <w:rStyle w:val="Hyperlink"/>
                <w:noProof/>
              </w:rPr>
              <w:t>Exceptions to Certification for Paperwork Reduction Act Submissions</w:t>
            </w:r>
            <w:r w:rsidR="00CA4BF2">
              <w:rPr>
                <w:noProof/>
                <w:webHidden/>
              </w:rPr>
              <w:tab/>
            </w:r>
            <w:r w:rsidR="00CA4BF2">
              <w:rPr>
                <w:noProof/>
                <w:webHidden/>
              </w:rPr>
              <w:fldChar w:fldCharType="begin"/>
            </w:r>
            <w:r w:rsidR="00CA4BF2">
              <w:rPr>
                <w:noProof/>
                <w:webHidden/>
              </w:rPr>
              <w:instrText xml:space="preserve"> PAGEREF _Toc508274306 \h </w:instrText>
            </w:r>
            <w:r w:rsidR="00CA4BF2">
              <w:rPr>
                <w:noProof/>
                <w:webHidden/>
              </w:rPr>
            </w:r>
            <w:r w:rsidR="00CA4BF2">
              <w:rPr>
                <w:noProof/>
                <w:webHidden/>
              </w:rPr>
              <w:fldChar w:fldCharType="separate"/>
            </w:r>
            <w:r w:rsidR="00CA4BF2">
              <w:rPr>
                <w:noProof/>
                <w:webHidden/>
              </w:rPr>
              <w:t>15</w:t>
            </w:r>
            <w:r w:rsidR="00CA4BF2">
              <w:rPr>
                <w:noProof/>
                <w:webHidden/>
              </w:rPr>
              <w:fldChar w:fldCharType="end"/>
            </w:r>
          </w:hyperlink>
        </w:p>
        <w:p w:rsidR="003317DD" w:rsidRDefault="00F766BC">
          <w:pPr>
            <w:pStyle w:val="TOC1"/>
            <w:tabs>
              <w:tab w:val="right" w:leader="dot" w:pos="10070"/>
            </w:tabs>
            <w:rPr>
              <w:rFonts w:asciiTheme="minorHAnsi" w:eastAsiaTheme="minorEastAsia" w:hAnsiTheme="minorHAnsi" w:cstheme="minorBidi"/>
              <w:noProof/>
              <w:sz w:val="22"/>
              <w:szCs w:val="22"/>
            </w:rPr>
          </w:pPr>
          <w:hyperlink w:anchor="_Toc508274307" w:history="1">
            <w:r w:rsidR="00CA4BF2" w:rsidRPr="00130D7D">
              <w:rPr>
                <w:rStyle w:val="Hyperlink"/>
                <w:noProof/>
              </w:rPr>
              <w:t>References:</w:t>
            </w:r>
            <w:r w:rsidR="00CA4BF2">
              <w:rPr>
                <w:noProof/>
                <w:webHidden/>
              </w:rPr>
              <w:tab/>
            </w:r>
            <w:r w:rsidR="00CA4BF2">
              <w:rPr>
                <w:noProof/>
                <w:webHidden/>
              </w:rPr>
              <w:fldChar w:fldCharType="begin"/>
            </w:r>
            <w:r w:rsidR="00CA4BF2">
              <w:rPr>
                <w:noProof/>
                <w:webHidden/>
              </w:rPr>
              <w:instrText xml:space="preserve"> PAGEREF _Toc508274307 \h </w:instrText>
            </w:r>
            <w:r w:rsidR="00CA4BF2">
              <w:rPr>
                <w:noProof/>
                <w:webHidden/>
              </w:rPr>
            </w:r>
            <w:r w:rsidR="00CA4BF2">
              <w:rPr>
                <w:noProof/>
                <w:webHidden/>
              </w:rPr>
              <w:fldChar w:fldCharType="separate"/>
            </w:r>
            <w:r w:rsidR="00CA4BF2">
              <w:rPr>
                <w:noProof/>
                <w:webHidden/>
              </w:rPr>
              <w:t>16</w:t>
            </w:r>
            <w:r w:rsidR="00CA4BF2">
              <w:rPr>
                <w:noProof/>
                <w:webHidden/>
              </w:rPr>
              <w:fldChar w:fldCharType="end"/>
            </w:r>
          </w:hyperlink>
        </w:p>
        <w:p w:rsidR="00B12EA3" w:rsidRDefault="00B12EA3">
          <w:r w:rsidRPr="00B12EA3">
            <w:rPr>
              <w:bCs/>
              <w:noProof/>
            </w:rPr>
            <w:fldChar w:fldCharType="end"/>
          </w:r>
        </w:p>
      </w:sdtContent>
    </w:sdt>
    <w:p w:rsidR="009221FF" w:rsidRDefault="009221FF" w:rsidP="00C46977">
      <w:pPr>
        <w:pStyle w:val="NoSpacing"/>
        <w:pBdr>
          <w:bottom w:val="single" w:sz="4" w:space="1" w:color="auto"/>
        </w:pBdr>
        <w:rPr>
          <w:b/>
        </w:rPr>
      </w:pPr>
      <w:r>
        <w:rPr>
          <w:b/>
        </w:rPr>
        <w:t>EXHIBITS</w:t>
      </w:r>
    </w:p>
    <w:p w:rsidR="009221FF" w:rsidRPr="009221FF" w:rsidRDefault="009221FF" w:rsidP="00542640">
      <w:pPr>
        <w:pStyle w:val="NoSpacing"/>
        <w:rPr>
          <w:b/>
        </w:rPr>
      </w:pPr>
    </w:p>
    <w:p w:rsidR="003317DD"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508274308" w:history="1">
        <w:r w:rsidR="003317DD" w:rsidRPr="006B5B7E">
          <w:rPr>
            <w:rStyle w:val="Hyperlink"/>
            <w:noProof/>
          </w:rPr>
          <w:t>Exhibit 2.1: Overview of Key Variables</w:t>
        </w:r>
        <w:r w:rsidR="003317DD">
          <w:rPr>
            <w:noProof/>
            <w:webHidden/>
          </w:rPr>
          <w:tab/>
        </w:r>
        <w:r w:rsidR="003317DD">
          <w:rPr>
            <w:noProof/>
            <w:webHidden/>
          </w:rPr>
          <w:fldChar w:fldCharType="begin"/>
        </w:r>
        <w:r w:rsidR="003317DD">
          <w:rPr>
            <w:noProof/>
            <w:webHidden/>
          </w:rPr>
          <w:instrText xml:space="preserve"> PAGEREF _Toc508274308 \h </w:instrText>
        </w:r>
        <w:r w:rsidR="003317DD">
          <w:rPr>
            <w:noProof/>
            <w:webHidden/>
          </w:rPr>
        </w:r>
        <w:r w:rsidR="003317DD">
          <w:rPr>
            <w:noProof/>
            <w:webHidden/>
          </w:rPr>
          <w:fldChar w:fldCharType="separate"/>
        </w:r>
        <w:r w:rsidR="003A2720">
          <w:rPr>
            <w:noProof/>
            <w:webHidden/>
          </w:rPr>
          <w:t>7</w:t>
        </w:r>
        <w:r w:rsidR="003317DD">
          <w:rPr>
            <w:noProof/>
            <w:webHidden/>
          </w:rPr>
          <w:fldChar w:fldCharType="end"/>
        </w:r>
      </w:hyperlink>
    </w:p>
    <w:p w:rsidR="003317DD" w:rsidRDefault="00F766BC">
      <w:pPr>
        <w:pStyle w:val="TableofFigures"/>
        <w:tabs>
          <w:tab w:val="right" w:leader="dot" w:pos="10070"/>
        </w:tabs>
        <w:rPr>
          <w:rFonts w:asciiTheme="minorHAnsi" w:eastAsiaTheme="minorEastAsia" w:hAnsiTheme="minorHAnsi" w:cstheme="minorBidi"/>
          <w:noProof/>
          <w:sz w:val="22"/>
          <w:szCs w:val="22"/>
        </w:rPr>
      </w:pPr>
      <w:hyperlink w:anchor="_Toc508274309" w:history="1">
        <w:r w:rsidR="003317DD" w:rsidRPr="006B5B7E">
          <w:rPr>
            <w:rStyle w:val="Hyperlink"/>
            <w:noProof/>
          </w:rPr>
          <w:t>Exhibit 12.1: Estimated Annualized Burden Hours</w:t>
        </w:r>
        <w:r w:rsidR="003317DD">
          <w:rPr>
            <w:noProof/>
            <w:webHidden/>
          </w:rPr>
          <w:tab/>
        </w:r>
        <w:r w:rsidR="003317DD">
          <w:rPr>
            <w:noProof/>
            <w:webHidden/>
          </w:rPr>
          <w:fldChar w:fldCharType="begin"/>
        </w:r>
        <w:r w:rsidR="003317DD">
          <w:rPr>
            <w:noProof/>
            <w:webHidden/>
          </w:rPr>
          <w:instrText xml:space="preserve"> PAGEREF _Toc508274309 \h </w:instrText>
        </w:r>
        <w:r w:rsidR="003317DD">
          <w:rPr>
            <w:noProof/>
            <w:webHidden/>
          </w:rPr>
        </w:r>
        <w:r w:rsidR="003317DD">
          <w:rPr>
            <w:noProof/>
            <w:webHidden/>
          </w:rPr>
          <w:fldChar w:fldCharType="separate"/>
        </w:r>
        <w:r w:rsidR="003A2720">
          <w:rPr>
            <w:noProof/>
            <w:webHidden/>
          </w:rPr>
          <w:t>11</w:t>
        </w:r>
        <w:r w:rsidR="003317DD">
          <w:rPr>
            <w:noProof/>
            <w:webHidden/>
          </w:rPr>
          <w:fldChar w:fldCharType="end"/>
        </w:r>
      </w:hyperlink>
    </w:p>
    <w:p w:rsidR="003317DD" w:rsidRDefault="00F766BC">
      <w:pPr>
        <w:pStyle w:val="TableofFigures"/>
        <w:tabs>
          <w:tab w:val="right" w:leader="dot" w:pos="10070"/>
        </w:tabs>
        <w:rPr>
          <w:rFonts w:asciiTheme="minorHAnsi" w:eastAsiaTheme="minorEastAsia" w:hAnsiTheme="minorHAnsi" w:cstheme="minorBidi"/>
          <w:noProof/>
          <w:sz w:val="22"/>
          <w:szCs w:val="22"/>
        </w:rPr>
      </w:pPr>
      <w:hyperlink w:anchor="_Toc508274310" w:history="1">
        <w:r w:rsidR="003317DD" w:rsidRPr="006B5B7E">
          <w:rPr>
            <w:rStyle w:val="Hyperlink"/>
            <w:noProof/>
          </w:rPr>
          <w:t>Exhibit 12.2: Estimated Annualized Burden Costs</w:t>
        </w:r>
        <w:r w:rsidR="003317DD">
          <w:rPr>
            <w:noProof/>
            <w:webHidden/>
          </w:rPr>
          <w:tab/>
        </w:r>
        <w:r w:rsidR="003317DD">
          <w:rPr>
            <w:noProof/>
            <w:webHidden/>
          </w:rPr>
          <w:fldChar w:fldCharType="begin"/>
        </w:r>
        <w:r w:rsidR="003317DD">
          <w:rPr>
            <w:noProof/>
            <w:webHidden/>
          </w:rPr>
          <w:instrText xml:space="preserve"> PAGEREF _Toc508274310 \h </w:instrText>
        </w:r>
        <w:r w:rsidR="003317DD">
          <w:rPr>
            <w:noProof/>
            <w:webHidden/>
          </w:rPr>
        </w:r>
        <w:r w:rsidR="003317DD">
          <w:rPr>
            <w:noProof/>
            <w:webHidden/>
          </w:rPr>
          <w:fldChar w:fldCharType="separate"/>
        </w:r>
        <w:r w:rsidR="003A2720">
          <w:rPr>
            <w:noProof/>
            <w:webHidden/>
          </w:rPr>
          <w:t>11</w:t>
        </w:r>
        <w:r w:rsidR="003317DD">
          <w:rPr>
            <w:noProof/>
            <w:webHidden/>
          </w:rPr>
          <w:fldChar w:fldCharType="end"/>
        </w:r>
      </w:hyperlink>
    </w:p>
    <w:p w:rsidR="003317DD" w:rsidRDefault="00F766BC">
      <w:pPr>
        <w:pStyle w:val="TableofFigures"/>
        <w:tabs>
          <w:tab w:val="right" w:leader="dot" w:pos="10070"/>
        </w:tabs>
        <w:rPr>
          <w:rFonts w:asciiTheme="minorHAnsi" w:eastAsiaTheme="minorEastAsia" w:hAnsiTheme="minorHAnsi" w:cstheme="minorBidi"/>
          <w:noProof/>
          <w:sz w:val="22"/>
          <w:szCs w:val="22"/>
        </w:rPr>
      </w:pPr>
      <w:hyperlink w:anchor="_Toc508274311" w:history="1">
        <w:r w:rsidR="003317DD" w:rsidRPr="006B5B7E">
          <w:rPr>
            <w:rStyle w:val="Hyperlink"/>
            <w:noProof/>
          </w:rPr>
          <w:t>Exhibit 14.1: Annualized Cost to the Government</w:t>
        </w:r>
        <w:r w:rsidR="003317DD">
          <w:rPr>
            <w:noProof/>
            <w:webHidden/>
          </w:rPr>
          <w:tab/>
        </w:r>
        <w:r w:rsidR="003317DD">
          <w:rPr>
            <w:noProof/>
            <w:webHidden/>
          </w:rPr>
          <w:fldChar w:fldCharType="begin"/>
        </w:r>
        <w:r w:rsidR="003317DD">
          <w:rPr>
            <w:noProof/>
            <w:webHidden/>
          </w:rPr>
          <w:instrText xml:space="preserve"> PAGEREF _Toc508274311 \h </w:instrText>
        </w:r>
        <w:r w:rsidR="003317DD">
          <w:rPr>
            <w:noProof/>
            <w:webHidden/>
          </w:rPr>
        </w:r>
        <w:r w:rsidR="003317DD">
          <w:rPr>
            <w:noProof/>
            <w:webHidden/>
          </w:rPr>
          <w:fldChar w:fldCharType="separate"/>
        </w:r>
        <w:r w:rsidR="003A2720">
          <w:rPr>
            <w:noProof/>
            <w:webHidden/>
          </w:rPr>
          <w:t>12</w:t>
        </w:r>
        <w:r w:rsidR="003317DD">
          <w:rPr>
            <w:noProof/>
            <w:webHidden/>
          </w:rPr>
          <w:fldChar w:fldCharType="end"/>
        </w:r>
      </w:hyperlink>
    </w:p>
    <w:p w:rsidR="003317DD" w:rsidRDefault="00F766BC">
      <w:pPr>
        <w:pStyle w:val="TableofFigures"/>
        <w:tabs>
          <w:tab w:val="right" w:leader="dot" w:pos="10070"/>
        </w:tabs>
        <w:rPr>
          <w:rFonts w:asciiTheme="minorHAnsi" w:eastAsiaTheme="minorEastAsia" w:hAnsiTheme="minorHAnsi" w:cstheme="minorBidi"/>
          <w:noProof/>
          <w:sz w:val="22"/>
          <w:szCs w:val="22"/>
        </w:rPr>
      </w:pPr>
      <w:hyperlink w:anchor="_Toc508274312" w:history="1">
        <w:r w:rsidR="003317DD" w:rsidRPr="006B5B7E">
          <w:rPr>
            <w:rStyle w:val="Hyperlink"/>
            <w:noProof/>
          </w:rPr>
          <w:t>Exhibit 16.1: Project Time Schedule</w:t>
        </w:r>
        <w:r w:rsidR="003317DD">
          <w:rPr>
            <w:noProof/>
            <w:webHidden/>
          </w:rPr>
          <w:tab/>
        </w:r>
        <w:r w:rsidR="003317DD">
          <w:rPr>
            <w:noProof/>
            <w:webHidden/>
          </w:rPr>
          <w:fldChar w:fldCharType="begin"/>
        </w:r>
        <w:r w:rsidR="003317DD">
          <w:rPr>
            <w:noProof/>
            <w:webHidden/>
          </w:rPr>
          <w:instrText xml:space="preserve"> PAGEREF _Toc508274312 \h </w:instrText>
        </w:r>
        <w:r w:rsidR="003317DD">
          <w:rPr>
            <w:noProof/>
            <w:webHidden/>
          </w:rPr>
        </w:r>
        <w:r w:rsidR="003317DD">
          <w:rPr>
            <w:noProof/>
            <w:webHidden/>
          </w:rPr>
          <w:fldChar w:fldCharType="separate"/>
        </w:r>
        <w:r w:rsidR="003A2720">
          <w:rPr>
            <w:noProof/>
            <w:webHidden/>
          </w:rPr>
          <w:t>12</w:t>
        </w:r>
        <w:r w:rsidR="003317DD">
          <w:rPr>
            <w:noProof/>
            <w:webHidden/>
          </w:rPr>
          <w:fldChar w:fldCharType="end"/>
        </w:r>
      </w:hyperlink>
    </w:p>
    <w:p w:rsidR="00347120" w:rsidRDefault="009221FF" w:rsidP="00C46977">
      <w:pPr>
        <w:pStyle w:val="NoSpacing"/>
      </w:pPr>
      <w:r>
        <w:fldChar w:fldCharType="end"/>
      </w:r>
    </w:p>
    <w:p w:rsidR="00347120" w:rsidRPr="00C46977" w:rsidRDefault="00347120" w:rsidP="00925BA9">
      <w:pPr>
        <w:pStyle w:val="NoSpacing"/>
        <w:pBdr>
          <w:bottom w:val="single" w:sz="4" w:space="1" w:color="auto"/>
        </w:pBdr>
        <w:rPr>
          <w:b/>
        </w:rPr>
      </w:pPr>
      <w:r w:rsidRPr="00C46977">
        <w:rPr>
          <w:b/>
        </w:rPr>
        <w:t>LIST OF ATTACHMENTS</w:t>
      </w:r>
    </w:p>
    <w:p w:rsidR="00347120" w:rsidRDefault="00347120" w:rsidP="00C46977">
      <w:pPr>
        <w:pStyle w:val="NoSpacing"/>
        <w:contextualSpacing/>
      </w:pPr>
    </w:p>
    <w:p w:rsidR="00FD0DC2" w:rsidRDefault="009951A9" w:rsidP="00C73AE8">
      <w:pPr>
        <w:pStyle w:val="NoSpacing"/>
        <w:tabs>
          <w:tab w:val="left" w:pos="360"/>
        </w:tabs>
        <w:spacing w:line="360" w:lineRule="auto"/>
        <w:contextualSpacing/>
      </w:pPr>
      <w:r>
        <w:rPr>
          <w:b/>
        </w:rPr>
        <w:t>Attachment 1</w:t>
      </w:r>
      <w:r>
        <w:t xml:space="preserve"> </w:t>
      </w:r>
      <w:r w:rsidR="00FD0DC2">
        <w:t>Authorizing Legislation</w:t>
      </w:r>
    </w:p>
    <w:p w:rsidR="00FD0DC2" w:rsidRDefault="00FD0DC2" w:rsidP="00C73AE8">
      <w:pPr>
        <w:pStyle w:val="NoSpacing"/>
        <w:tabs>
          <w:tab w:val="left" w:pos="360"/>
        </w:tabs>
        <w:spacing w:line="360" w:lineRule="auto"/>
        <w:contextualSpacing/>
      </w:pPr>
      <w:r>
        <w:rPr>
          <w:b/>
        </w:rPr>
        <w:t xml:space="preserve">Attachment 2 </w:t>
      </w:r>
      <w:r>
        <w:t>60-Day FRN</w:t>
      </w:r>
    </w:p>
    <w:p w:rsidR="009951A9" w:rsidRPr="009951A9" w:rsidRDefault="00FD0DC2" w:rsidP="00C73AE8">
      <w:pPr>
        <w:pStyle w:val="NoSpacing"/>
        <w:tabs>
          <w:tab w:val="left" w:pos="360"/>
        </w:tabs>
        <w:spacing w:line="360" w:lineRule="auto"/>
        <w:contextualSpacing/>
      </w:pPr>
      <w:r>
        <w:rPr>
          <w:b/>
        </w:rPr>
        <w:t xml:space="preserve">Attachment 3 </w:t>
      </w:r>
      <w:r w:rsidR="009951A9">
        <w:t>Recruitment Materials</w:t>
      </w:r>
    </w:p>
    <w:p w:rsidR="00AA75BF" w:rsidRDefault="00FD0DC2" w:rsidP="00C73AE8">
      <w:pPr>
        <w:pStyle w:val="NoSpacing"/>
        <w:tabs>
          <w:tab w:val="left" w:pos="360"/>
        </w:tabs>
        <w:spacing w:line="360" w:lineRule="auto"/>
        <w:contextualSpacing/>
      </w:pPr>
      <w:r>
        <w:tab/>
        <w:t>3</w:t>
      </w:r>
      <w:r w:rsidR="004167F8">
        <w:t>a.Recruitment Script</w:t>
      </w:r>
    </w:p>
    <w:p w:rsidR="00B87638" w:rsidRDefault="00B87638" w:rsidP="00C73AE8">
      <w:pPr>
        <w:pStyle w:val="NoSpacing"/>
        <w:tabs>
          <w:tab w:val="left" w:pos="360"/>
        </w:tabs>
        <w:spacing w:line="360" w:lineRule="auto"/>
        <w:contextualSpacing/>
      </w:pPr>
      <w:r>
        <w:lastRenderedPageBreak/>
        <w:t>3b. Recruitment Verification Form</w:t>
      </w:r>
    </w:p>
    <w:p w:rsidR="0064671E" w:rsidRDefault="0064671E" w:rsidP="00C73AE8">
      <w:pPr>
        <w:pStyle w:val="NoSpacing"/>
        <w:tabs>
          <w:tab w:val="left" w:pos="360"/>
        </w:tabs>
        <w:spacing w:line="360" w:lineRule="auto"/>
        <w:contextualSpacing/>
      </w:pPr>
      <w:r>
        <w:t>3</w:t>
      </w:r>
      <w:r w:rsidR="00B87638">
        <w:t>c</w:t>
      </w:r>
      <w:r>
        <w:t>. Interview Scheduling Script</w:t>
      </w:r>
    </w:p>
    <w:p w:rsidR="00E72740" w:rsidRDefault="00FD0DC2" w:rsidP="00C73AE8">
      <w:pPr>
        <w:pStyle w:val="NoSpacing"/>
        <w:tabs>
          <w:tab w:val="left" w:pos="360"/>
        </w:tabs>
        <w:spacing w:line="360" w:lineRule="auto"/>
        <w:contextualSpacing/>
      </w:pPr>
      <w:r>
        <w:rPr>
          <w:b/>
        </w:rPr>
        <w:t>Attachment 4</w:t>
      </w:r>
      <w:r w:rsidR="00347120">
        <w:rPr>
          <w:b/>
        </w:rPr>
        <w:t xml:space="preserve"> </w:t>
      </w:r>
      <w:r w:rsidR="00CF44C9">
        <w:t>Consent Form</w:t>
      </w:r>
    </w:p>
    <w:p w:rsidR="00347120" w:rsidRDefault="00FD0DC2" w:rsidP="00C73AE8">
      <w:pPr>
        <w:pStyle w:val="NoSpacing"/>
        <w:tabs>
          <w:tab w:val="left" w:pos="360"/>
        </w:tabs>
        <w:spacing w:line="360" w:lineRule="auto"/>
        <w:contextualSpacing/>
      </w:pPr>
      <w:r>
        <w:rPr>
          <w:b/>
        </w:rPr>
        <w:t>Attachment 5</w:t>
      </w:r>
      <w:r w:rsidR="00347120">
        <w:t xml:space="preserve"> </w:t>
      </w:r>
      <w:r w:rsidR="004167F8">
        <w:t>Data Collection Instrument</w:t>
      </w:r>
    </w:p>
    <w:p w:rsidR="00347120" w:rsidRDefault="00FD0DC2" w:rsidP="00C73AE8">
      <w:pPr>
        <w:pStyle w:val="NoSpacing"/>
        <w:tabs>
          <w:tab w:val="left" w:pos="360"/>
        </w:tabs>
        <w:spacing w:line="360" w:lineRule="auto"/>
        <w:contextualSpacing/>
      </w:pPr>
      <w:r>
        <w:tab/>
        <w:t>5</w:t>
      </w:r>
      <w:r w:rsidR="004167F8">
        <w:t>a</w:t>
      </w:r>
      <w:r w:rsidR="00E91107">
        <w:t xml:space="preserve">. Interview Guide </w:t>
      </w:r>
    </w:p>
    <w:p w:rsidR="00542640" w:rsidRDefault="009951A9" w:rsidP="00C73AE8">
      <w:pPr>
        <w:pStyle w:val="NoSpacing"/>
        <w:tabs>
          <w:tab w:val="left" w:pos="360"/>
        </w:tabs>
        <w:spacing w:line="360" w:lineRule="auto"/>
        <w:contextualSpacing/>
      </w:pPr>
      <w:r>
        <w:rPr>
          <w:b/>
        </w:rPr>
        <w:t xml:space="preserve">Attachment </w:t>
      </w:r>
      <w:r w:rsidR="00FD0DC2">
        <w:rPr>
          <w:b/>
        </w:rPr>
        <w:t>6</w:t>
      </w:r>
      <w:r w:rsidR="00347120">
        <w:t xml:space="preserve"> </w:t>
      </w:r>
      <w:r w:rsidR="00CF44C9">
        <w:t>IRB Letter of Approval</w:t>
      </w:r>
    </w:p>
    <w:p w:rsidR="00C73AE8" w:rsidRDefault="00C73AE8">
      <w:pPr>
        <w:spacing w:after="200" w:line="276" w:lineRule="auto"/>
        <w:rPr>
          <w:rFonts w:eastAsiaTheme="minorHAnsi" w:cstheme="minorBidi"/>
          <w:szCs w:val="22"/>
        </w:rPr>
      </w:pPr>
      <w:r>
        <w:br w:type="page"/>
      </w:r>
    </w:p>
    <w:p w:rsidR="00C73AE8" w:rsidRDefault="00C73AE8" w:rsidP="006E4CC2">
      <w:pPr>
        <w:pStyle w:val="NoSpacing"/>
        <w:tabs>
          <w:tab w:val="left" w:pos="360"/>
        </w:tabs>
        <w:contextualSpacing/>
      </w:pPr>
    </w:p>
    <w:p w:rsidR="00FD0DC2" w:rsidRPr="006E4CC2" w:rsidRDefault="00FD0DC2" w:rsidP="006E4CC2">
      <w:pPr>
        <w:pStyle w:val="NoSpacing"/>
        <w:tabs>
          <w:tab w:val="left" w:pos="360"/>
        </w:tabs>
      </w:pPr>
    </w:p>
    <w:tbl>
      <w:tblPr>
        <w:tblStyle w:val="TableGrid"/>
        <w:tblW w:w="0" w:type="auto"/>
        <w:tblLook w:val="04A0" w:firstRow="1" w:lastRow="0" w:firstColumn="1" w:lastColumn="0" w:noHBand="0" w:noVBand="1"/>
      </w:tblPr>
      <w:tblGrid>
        <w:gridCol w:w="10070"/>
      </w:tblGrid>
      <w:tr w:rsidR="00B12EA3" w:rsidTr="00E2574F">
        <w:trPr>
          <w:trHeight w:val="3860"/>
        </w:trPr>
        <w:tc>
          <w:tcPr>
            <w:tcW w:w="10070" w:type="dxa"/>
          </w:tcPr>
          <w:p w:rsidR="00810B9E" w:rsidRPr="0064671E" w:rsidRDefault="00B12EA3" w:rsidP="003259B5">
            <w:pPr>
              <w:pStyle w:val="NoSpacing"/>
              <w:numPr>
                <w:ilvl w:val="0"/>
                <w:numId w:val="1"/>
              </w:numPr>
              <w:rPr>
                <w:rFonts w:cs="Times New Roman"/>
                <w:b/>
              </w:rPr>
            </w:pPr>
            <w:r w:rsidRPr="0064671E">
              <w:rPr>
                <w:rFonts w:cs="Times New Roman"/>
                <w:b/>
              </w:rPr>
              <w:t xml:space="preserve">Goals of the study: </w:t>
            </w:r>
            <w:r w:rsidR="004167F8" w:rsidRPr="003317DD">
              <w:rPr>
                <w:rFonts w:cs="Times New Roman"/>
              </w:rPr>
              <w:t xml:space="preserve">The goal of this qualitative project is to better understand and identify factors that result in deviations from the “ideal” pregnancy narrative, as well as factors that are protective, supportive, or that appear to facilitate access to and use of timely and adequate prenatal care and syphilis diagnosis and treatment during pregnancy. We will 1) document </w:t>
            </w:r>
            <w:r w:rsidR="004167F8" w:rsidRPr="003317DD">
              <w:rPr>
                <w:rFonts w:cs="Times New Roman"/>
                <w:bCs/>
                <w:lang w:val="it-IT"/>
              </w:rPr>
              <w:t xml:space="preserve">women associated with congenital syphilis (CS) cases (case mothers) </w:t>
            </w:r>
            <w:r w:rsidR="004167F8" w:rsidRPr="003317DD">
              <w:rPr>
                <w:rFonts w:cs="Times New Roman"/>
              </w:rPr>
              <w:t>recollections of and perspectives about their pregnancy and prenatal care experience, 2) attempt to identify potential protective or supportive factors that would facilitate care and reduce the risk of CS, and 3) identify strategies to reach vulnerable women and increase awareness of the risks of CS during pregnancy</w:t>
            </w:r>
            <w:r w:rsidR="003317DD">
              <w:rPr>
                <w:rFonts w:cs="Times New Roman"/>
              </w:rPr>
              <w:t>.</w:t>
            </w:r>
          </w:p>
          <w:p w:rsidR="00B12EA3" w:rsidRPr="0064671E" w:rsidRDefault="00B12EA3" w:rsidP="003259B5">
            <w:pPr>
              <w:pStyle w:val="NoSpacing"/>
              <w:numPr>
                <w:ilvl w:val="0"/>
                <w:numId w:val="1"/>
              </w:numPr>
              <w:rPr>
                <w:rFonts w:cs="Times New Roman"/>
                <w:b/>
              </w:rPr>
            </w:pPr>
            <w:r w:rsidRPr="0064671E">
              <w:rPr>
                <w:rFonts w:cs="Times New Roman"/>
                <w:b/>
              </w:rPr>
              <w:t>Intended use:</w:t>
            </w:r>
            <w:r w:rsidR="00B328D6" w:rsidRPr="0064671E">
              <w:rPr>
                <w:rFonts w:cs="Times New Roman"/>
                <w:b/>
              </w:rPr>
              <w:t xml:space="preserve"> </w:t>
            </w:r>
            <w:r w:rsidR="004167F8" w:rsidRPr="0064671E">
              <w:rPr>
                <w:rFonts w:cs="Times New Roman"/>
                <w:bCs/>
              </w:rPr>
              <w:t xml:space="preserve">Findings from the interviews will help increase STD program capacity to reach women at risk for </w:t>
            </w:r>
            <w:r w:rsidR="004167F8" w:rsidRPr="0064671E">
              <w:rPr>
                <w:rFonts w:cs="Times New Roman"/>
                <w:bCs/>
                <w:lang w:val="it-IT"/>
              </w:rPr>
              <w:t>congenital syphilis (CS)</w:t>
            </w:r>
            <w:r w:rsidR="004167F8" w:rsidRPr="0064671E">
              <w:rPr>
                <w:rFonts w:cs="Times New Roman"/>
                <w:bCs/>
              </w:rPr>
              <w:t>, and will prevent CS cases by identifying strategies for improving outreach and education to women at risk for CS.</w:t>
            </w:r>
          </w:p>
          <w:p w:rsidR="00810B9E" w:rsidRPr="003317DD" w:rsidRDefault="00B12EA3" w:rsidP="003259B5">
            <w:pPr>
              <w:pStyle w:val="NoSpacing"/>
              <w:numPr>
                <w:ilvl w:val="0"/>
                <w:numId w:val="1"/>
              </w:numPr>
              <w:rPr>
                <w:rFonts w:cs="Times New Roman"/>
                <w:b/>
              </w:rPr>
            </w:pPr>
            <w:r w:rsidRPr="003317DD">
              <w:rPr>
                <w:rFonts w:cs="Times New Roman"/>
                <w:b/>
              </w:rPr>
              <w:t>Methods to be used to collect data:</w:t>
            </w:r>
            <w:r w:rsidR="00A34D13" w:rsidRPr="003317DD">
              <w:rPr>
                <w:rFonts w:cs="Times New Roman"/>
                <w:b/>
              </w:rPr>
              <w:t xml:space="preserve"> </w:t>
            </w:r>
            <w:r w:rsidR="00A34D13" w:rsidRPr="003317DD">
              <w:rPr>
                <w:rFonts w:cs="Times New Roman"/>
              </w:rPr>
              <w:t xml:space="preserve">Data will be collected </w:t>
            </w:r>
            <w:r w:rsidR="004167F8" w:rsidRPr="003317DD">
              <w:rPr>
                <w:rFonts w:cs="Times New Roman"/>
              </w:rPr>
              <w:t>from sixty</w:t>
            </w:r>
            <w:r w:rsidR="004167F8" w:rsidRPr="003317DD">
              <w:rPr>
                <w:rFonts w:cs="Times New Roman"/>
                <w:bCs/>
              </w:rPr>
              <w:t xml:space="preserve"> (60) semi-structured, 90-minute long, in-person qualitative interviews using a timeline elicitation method. </w:t>
            </w:r>
          </w:p>
          <w:p w:rsidR="00B12276" w:rsidRPr="0064671E" w:rsidRDefault="00B12EA3" w:rsidP="003259B5">
            <w:pPr>
              <w:pStyle w:val="NoSpacing"/>
              <w:numPr>
                <w:ilvl w:val="0"/>
                <w:numId w:val="1"/>
              </w:numPr>
              <w:rPr>
                <w:rFonts w:cs="Times New Roman"/>
                <w:b/>
              </w:rPr>
            </w:pPr>
            <w:r w:rsidRPr="003317DD">
              <w:rPr>
                <w:rFonts w:cs="Times New Roman"/>
                <w:b/>
              </w:rPr>
              <w:t>The subpopulation to be studied:</w:t>
            </w:r>
            <w:r w:rsidR="00207534" w:rsidRPr="003317DD">
              <w:rPr>
                <w:rFonts w:cs="Times New Roman"/>
                <w:b/>
              </w:rPr>
              <w:t xml:space="preserve"> </w:t>
            </w:r>
            <w:r w:rsidR="00B12276" w:rsidRPr="003317DD">
              <w:rPr>
                <w:rFonts w:cs="Times New Roman"/>
              </w:rPr>
              <w:t>Data will be collected from</w:t>
            </w:r>
            <w:r w:rsidR="004167F8" w:rsidRPr="003317DD">
              <w:rPr>
                <w:rFonts w:cs="Times New Roman"/>
                <w:bCs/>
              </w:rPr>
              <w:t xml:space="preserve"> </w:t>
            </w:r>
            <w:r w:rsidR="004167F8" w:rsidRPr="003317DD">
              <w:rPr>
                <w:rFonts w:cs="Times New Roman"/>
                <w:bCs/>
                <w:szCs w:val="24"/>
                <w:lang w:val="it-IT"/>
              </w:rPr>
              <w:t>case mothers in three CDC-funded jurisdictions: the states of California and Florida and the metropolitan statistical area (MSA) of Chicago.</w:t>
            </w:r>
            <w:r w:rsidR="004167F8" w:rsidRPr="0064671E">
              <w:rPr>
                <w:rFonts w:cs="Times New Roman"/>
                <w:bCs/>
              </w:rPr>
              <w:t>The number of interviews to be conducted in each site will be based on weighted averages related to disease burden, but will be approximately 20 per location.</w:t>
            </w:r>
          </w:p>
          <w:p w:rsidR="00B12EA3" w:rsidRPr="00B12EA3" w:rsidRDefault="00B12EA3" w:rsidP="004167F8">
            <w:pPr>
              <w:pStyle w:val="NoSpacing"/>
              <w:numPr>
                <w:ilvl w:val="0"/>
                <w:numId w:val="1"/>
              </w:numPr>
              <w:rPr>
                <w:b/>
              </w:rPr>
            </w:pPr>
            <w:r w:rsidRPr="0064671E">
              <w:rPr>
                <w:rFonts w:cs="Times New Roman"/>
                <w:b/>
              </w:rPr>
              <w:t>How data will be analyzed:</w:t>
            </w:r>
            <w:r w:rsidR="003539FB" w:rsidRPr="0064671E">
              <w:rPr>
                <w:rFonts w:cs="Times New Roman"/>
                <w:b/>
              </w:rPr>
              <w:t xml:space="preserve"> </w:t>
            </w:r>
            <w:r w:rsidR="003E2A65" w:rsidRPr="0064671E">
              <w:rPr>
                <w:rFonts w:cs="Times New Roman"/>
                <w:noProof/>
                <w:szCs w:val="24"/>
              </w:rPr>
              <w:t xml:space="preserve">Qualitative coding </w:t>
            </w:r>
            <w:r w:rsidR="00950C89" w:rsidRPr="0064671E">
              <w:rPr>
                <w:rFonts w:cs="Times New Roman"/>
                <w:noProof/>
                <w:szCs w:val="24"/>
              </w:rPr>
              <w:t xml:space="preserve">and thematic analysis </w:t>
            </w:r>
            <w:r w:rsidR="003E2A65" w:rsidRPr="0064671E">
              <w:rPr>
                <w:rFonts w:cs="Times New Roman"/>
                <w:noProof/>
                <w:szCs w:val="24"/>
              </w:rPr>
              <w:t xml:space="preserve">of </w:t>
            </w:r>
            <w:r w:rsidR="004167F8" w:rsidRPr="0064671E">
              <w:rPr>
                <w:rFonts w:cs="Times New Roman"/>
                <w:noProof/>
                <w:szCs w:val="24"/>
              </w:rPr>
              <w:t xml:space="preserve">60 </w:t>
            </w:r>
            <w:r w:rsidR="003E2A65" w:rsidRPr="0064671E">
              <w:rPr>
                <w:rFonts w:cs="Times New Roman"/>
                <w:noProof/>
                <w:szCs w:val="24"/>
              </w:rPr>
              <w:t>in</w:t>
            </w:r>
            <w:r w:rsidR="007447B9" w:rsidRPr="0064671E">
              <w:rPr>
                <w:rFonts w:cs="Times New Roman"/>
                <w:noProof/>
                <w:szCs w:val="24"/>
              </w:rPr>
              <w:t>-d</w:t>
            </w:r>
            <w:r w:rsidR="003E2A65" w:rsidRPr="003317DD">
              <w:rPr>
                <w:rFonts w:cs="Times New Roman"/>
                <w:noProof/>
                <w:szCs w:val="24"/>
              </w:rPr>
              <w:t>epth inter</w:t>
            </w:r>
            <w:r w:rsidR="00CB62C5" w:rsidRPr="003317DD">
              <w:rPr>
                <w:rFonts w:cs="Times New Roman"/>
                <w:noProof/>
                <w:szCs w:val="24"/>
              </w:rPr>
              <w:t>view transcripts using computer-</w:t>
            </w:r>
            <w:r w:rsidR="003E2A65" w:rsidRPr="003317DD">
              <w:rPr>
                <w:rFonts w:cs="Times New Roman"/>
                <w:noProof/>
                <w:szCs w:val="24"/>
              </w:rPr>
              <w:t>assisted qualitative data analysis software</w:t>
            </w:r>
            <w:r w:rsidR="004167F8" w:rsidRPr="003317DD">
              <w:rPr>
                <w:rFonts w:cs="Times New Roman"/>
                <w:noProof/>
                <w:szCs w:val="24"/>
              </w:rPr>
              <w:t xml:space="preserve"> Nvivo 11</w:t>
            </w:r>
            <w:r w:rsidR="003E2A65" w:rsidRPr="003317DD">
              <w:rPr>
                <w:rFonts w:cs="Times New Roman"/>
                <w:noProof/>
                <w:szCs w:val="24"/>
              </w:rPr>
              <w:t>.</w:t>
            </w:r>
          </w:p>
        </w:tc>
      </w:tr>
    </w:tbl>
    <w:p w:rsidR="00B12EA3" w:rsidRDefault="00B12EA3" w:rsidP="00B12EA3">
      <w:pPr>
        <w:pStyle w:val="NoSpacing"/>
      </w:pPr>
    </w:p>
    <w:p w:rsidR="00B12EA3" w:rsidRDefault="00B12EA3" w:rsidP="00B12EA3">
      <w:pPr>
        <w:pStyle w:val="NoSpacing"/>
      </w:pPr>
    </w:p>
    <w:p w:rsidR="00C73AE8" w:rsidRDefault="00C73AE8">
      <w:pPr>
        <w:spacing w:after="200" w:line="276" w:lineRule="auto"/>
        <w:rPr>
          <w:rFonts w:eastAsiaTheme="minorHAnsi" w:cstheme="minorBidi"/>
          <w:b/>
          <w:szCs w:val="22"/>
        </w:rPr>
      </w:pPr>
      <w:r>
        <w:rPr>
          <w:b/>
        </w:rPr>
        <w:br w:type="page"/>
      </w:r>
    </w:p>
    <w:p w:rsidR="00F734ED" w:rsidRPr="00F734ED" w:rsidRDefault="00F734ED" w:rsidP="00B12EA3">
      <w:pPr>
        <w:pStyle w:val="NoSpacing"/>
        <w:rPr>
          <w:b/>
        </w:rPr>
      </w:pPr>
      <w:r w:rsidRPr="00F734ED">
        <w:rPr>
          <w:b/>
        </w:rPr>
        <w:t>Supporting Statement</w:t>
      </w:r>
    </w:p>
    <w:p w:rsidR="00B12EA3" w:rsidRDefault="00B12EA3" w:rsidP="00B12EA3">
      <w:pPr>
        <w:pStyle w:val="NoSpacing"/>
      </w:pPr>
    </w:p>
    <w:p w:rsidR="00B12EA3" w:rsidRPr="00E90840" w:rsidRDefault="00F734ED" w:rsidP="00B12EA3">
      <w:pPr>
        <w:pStyle w:val="NoSpacing"/>
        <w:rPr>
          <w:b/>
        </w:rPr>
      </w:pPr>
      <w:r w:rsidRPr="00F734ED">
        <w:rPr>
          <w:b/>
        </w:rPr>
        <w:t xml:space="preserve">A. </w:t>
      </w:r>
      <w:r w:rsidRPr="00F734ED">
        <w:rPr>
          <w:b/>
          <w:u w:val="single"/>
        </w:rPr>
        <w:t>Justification</w:t>
      </w:r>
    </w:p>
    <w:p w:rsidR="00B12EA3" w:rsidRDefault="00B12EA3" w:rsidP="00E53653">
      <w:pPr>
        <w:pStyle w:val="Heading1"/>
      </w:pPr>
      <w:bookmarkStart w:id="1" w:name="_Toc508274287"/>
      <w:r w:rsidRPr="00B12EA3">
        <w:t>Circumstances Making the Collection of Information Necessary</w:t>
      </w:r>
      <w:bookmarkEnd w:id="1"/>
    </w:p>
    <w:p w:rsidR="000D10E8" w:rsidRDefault="000D10E8" w:rsidP="000D10E8"/>
    <w:p w:rsidR="00A05F7F" w:rsidRPr="003317DD" w:rsidRDefault="00067E1B" w:rsidP="00A05F7F">
      <w:pPr>
        <w:spacing w:line="360" w:lineRule="auto"/>
      </w:pPr>
      <w:r w:rsidRPr="0064671E">
        <w:t>The Centers for Disease Control and Prevention’s</w:t>
      </w:r>
      <w:r w:rsidR="00F94AE4" w:rsidRPr="0064671E">
        <w:t xml:space="preserve"> (CDC)</w:t>
      </w:r>
      <w:r w:rsidRPr="0064671E">
        <w:t xml:space="preserve"> Division of </w:t>
      </w:r>
      <w:r w:rsidR="00E824BA" w:rsidRPr="0064671E">
        <w:t>STD</w:t>
      </w:r>
      <w:r w:rsidRPr="0064671E">
        <w:t xml:space="preserve"> Prevention, (D</w:t>
      </w:r>
      <w:r w:rsidR="00E824BA" w:rsidRPr="0064671E">
        <w:t>STDP</w:t>
      </w:r>
      <w:r w:rsidR="00F15707" w:rsidRPr="0064671E">
        <w:t>) requests OMB approval for a qualitative</w:t>
      </w:r>
      <w:r w:rsidR="00F94AE4" w:rsidRPr="0064671E">
        <w:t xml:space="preserve"> extramural</w:t>
      </w:r>
      <w:r w:rsidRPr="0064671E">
        <w:t xml:space="preserve"> research study entitled, </w:t>
      </w:r>
    </w:p>
    <w:p w:rsidR="00067E1B" w:rsidRPr="003317DD" w:rsidRDefault="006D2247" w:rsidP="006E4CC2">
      <w:pPr>
        <w:spacing w:line="360" w:lineRule="auto"/>
      </w:pPr>
      <w:r>
        <w:t>“</w:t>
      </w:r>
      <w:r w:rsidR="00A05F7F" w:rsidRPr="003317DD">
        <w:t>Pathways: Qualitative Interviews with Post-Partum Women Associated with Congenital Syphilis Cases (Case Mothers)</w:t>
      </w:r>
      <w:r w:rsidR="00E824BA" w:rsidRPr="003317DD">
        <w:t>”</w:t>
      </w:r>
      <w:r w:rsidR="00A05F7F" w:rsidRPr="003317DD">
        <w:rPr>
          <w:bCs/>
          <w:lang w:val="it-IT"/>
        </w:rPr>
        <w:t xml:space="preserve"> </w:t>
      </w:r>
      <w:r w:rsidR="00A05F7F" w:rsidRPr="0064671E">
        <w:rPr>
          <w:bCs/>
          <w:lang w:val="it-IT"/>
        </w:rPr>
        <w:t>in three CDC-funded jurisdictions: the states of California and Florida and the metropolitan statistical area (MSA) of Chicago,</w:t>
      </w:r>
      <w:r w:rsidR="00067E1B" w:rsidRPr="0064671E">
        <w:t xml:space="preserve"> under </w:t>
      </w:r>
      <w:r w:rsidR="003259B5" w:rsidRPr="0064671E">
        <w:t xml:space="preserve">“Formative Research and Tool Development” </w:t>
      </w:r>
      <w:r w:rsidR="00067E1B" w:rsidRPr="0064671E">
        <w:t>Generic Clearanc</w:t>
      </w:r>
      <w:r w:rsidR="00E824BA" w:rsidRPr="0064671E">
        <w:t xml:space="preserve">e </w:t>
      </w:r>
      <w:r w:rsidR="00067E1B" w:rsidRPr="0064671E">
        <w:t>OMB #</w:t>
      </w:r>
      <w:r w:rsidR="006E4CC2" w:rsidRPr="003317DD">
        <w:t>0920-0840</w:t>
      </w:r>
      <w:r w:rsidR="000E619E" w:rsidRPr="003317DD">
        <w:t xml:space="preserve"> (expires 1/31/2019)</w:t>
      </w:r>
      <w:r w:rsidR="006E4CC2" w:rsidRPr="003317DD">
        <w:t xml:space="preserve">. </w:t>
      </w:r>
      <w:r w:rsidR="007325ED" w:rsidRPr="003317DD">
        <w:t xml:space="preserve">CDC will sponsor this </w:t>
      </w:r>
      <w:r w:rsidR="00582903" w:rsidRPr="003317DD">
        <w:t>data collection activity</w:t>
      </w:r>
      <w:r w:rsidR="005E6F8D" w:rsidRPr="003317DD">
        <w:t>.</w:t>
      </w:r>
      <w:r w:rsidR="00582903" w:rsidRPr="003317DD">
        <w:t xml:space="preserve"> </w:t>
      </w:r>
      <w:r w:rsidR="005E6F8D" w:rsidRPr="003317DD">
        <w:t>D</w:t>
      </w:r>
      <w:r w:rsidR="007325ED" w:rsidRPr="003317DD">
        <w:t>ata co</w:t>
      </w:r>
      <w:r w:rsidR="002F426C" w:rsidRPr="003317DD">
        <w:t>llection will be carried out by</w:t>
      </w:r>
      <w:r w:rsidR="00582903" w:rsidRPr="003317DD">
        <w:t xml:space="preserve"> </w:t>
      </w:r>
      <w:r w:rsidR="00E44523" w:rsidRPr="003317DD">
        <w:t>CDC’s cooperative agreement partner, Association of State and Territorial Health Officials (ASTHO).</w:t>
      </w:r>
    </w:p>
    <w:p w:rsidR="00E44523" w:rsidRPr="003317DD" w:rsidRDefault="002102E0" w:rsidP="00E44523">
      <w:pPr>
        <w:tabs>
          <w:tab w:val="left" w:pos="2054"/>
        </w:tabs>
        <w:spacing w:line="360" w:lineRule="auto"/>
      </w:pPr>
      <w:r>
        <w:t xml:space="preserve">If syphilis is not appropriately treated in pregnant women, it can lead to stillbirth, death of an infant after birth, or serious medical complications for the infant. </w:t>
      </w:r>
      <w:r w:rsidRPr="002102E0">
        <w:t xml:space="preserve">Our proposed data collection has the potential to address a critical knowledge gap, gathering first-hand information through in-depth interviews from women whose babies were affected by congenital syphilis, also known as case mothers. In 2017, CDC issued an official Call to Action to combat rising rates of syphilis, including congenital syphilis, in the US, making this data collection a Division priority. The data from this project will build </w:t>
      </w:r>
      <w:r>
        <w:t>sexually transmitted disease (</w:t>
      </w:r>
      <w:r w:rsidRPr="002102E0">
        <w:t>STD</w:t>
      </w:r>
      <w:r>
        <w:t>)</w:t>
      </w:r>
      <w:r w:rsidRPr="002102E0">
        <w:t xml:space="preserve"> program capacity to prevent perinatal transmission of syphilis by working with state and local partners. </w:t>
      </w:r>
      <w:r>
        <w:br/>
      </w:r>
      <w:r w:rsidRPr="002102E0">
        <w:t xml:space="preserve">Specifically, we ask information on these women’s living situation, sources of support, factors that affect frequency and timing of prenatal care, and factors that influenced inadequate treatment for syphilis. Asking these questions of the </w:t>
      </w:r>
      <w:r w:rsidR="001349E3" w:rsidRPr="00666229">
        <w:t>individuals</w:t>
      </w:r>
      <w:r w:rsidR="001349E3">
        <w:t xml:space="preserve"> </w:t>
      </w:r>
      <w:r w:rsidRPr="002102E0">
        <w:t xml:space="preserve">directly affected via in-depth interviews helps illuminate their decision making processes, who was involved in decision making, factors considered before making decisions, what could have changed the decision, and how women feel about the decisions they made. The information we collect will help identify barriers and missed opportunities throughout the care continuum. Our partner state and local STD programs can use this information to develop strategies to improve their programming around congenital syphilis. Without speaking to women directly, STD programs can only infer this information second-handedly from case reports, surveillance, and medical records, which is often incomplete and not readily available. </w:t>
      </w:r>
      <w:r w:rsidR="00E44523" w:rsidRPr="003317DD">
        <w:t xml:space="preserve">The purpose of this qualitative study is to better understand and document the experiences and perspectives of CS case mothers. A case of CS occurs when a pregnant woman with untreated syphilis passes the infection to her fetus in utero. CS case mothers are identified as associated with a case according to the CDC surveillance definition based on maternal and/or infant criteria (2016 Surveillance Report).  The majority of CS cases are prevented through routine screening and treatment of pregnant women during prenatal care. </w:t>
      </w:r>
    </w:p>
    <w:p w:rsidR="00E44523" w:rsidRPr="003317DD" w:rsidRDefault="00E44523" w:rsidP="00E44523">
      <w:pPr>
        <w:tabs>
          <w:tab w:val="left" w:pos="2054"/>
        </w:tabs>
        <w:spacing w:line="360" w:lineRule="auto"/>
      </w:pPr>
      <w:r w:rsidRPr="003317DD">
        <w:t xml:space="preserve"> In recent </w:t>
      </w:r>
      <w:r w:rsidR="00107B10" w:rsidRPr="003317DD">
        <w:t>years,</w:t>
      </w:r>
      <w:r w:rsidRPr="003317DD">
        <w:t xml:space="preserve"> syphilis cases have surged in the US, and after a period of decline, CS has rebounded. CS cases increased every year between 2012 and 2016. In 2016, there were 628 cases of CS, including 41 syphilitic stillbirths, with the highest rates reported from the West (25.6 cases per 100,000 live births) and South (17.8 cases per 100,000 live births) compared to the national rate of 15.7 cases per 100,000 live births (2016 Surveillance Report).  The vast majority of CS cases are concentrated in a small number of states and in a small number of counties within states. </w:t>
      </w:r>
    </w:p>
    <w:p w:rsidR="00E44523" w:rsidRPr="003317DD" w:rsidRDefault="00E44523" w:rsidP="00E44523">
      <w:pPr>
        <w:tabs>
          <w:tab w:val="left" w:pos="2054"/>
        </w:tabs>
        <w:spacing w:line="360" w:lineRule="auto"/>
      </w:pPr>
      <w:r w:rsidRPr="003317DD">
        <w:t xml:space="preserve">A substantial proportion of CS case mothers lack timely and adequate prenatal care. In 2014, there were 458 cases of CS reported in the US. More than a fifth (21.8%) of women associated with these cases did not receive any prenatal care at all. More than two-thirds (68.6%) of women received </w:t>
      </w:r>
      <w:r w:rsidRPr="003317DD">
        <w:rPr>
          <w:u w:val="single"/>
        </w:rPr>
        <w:t>some</w:t>
      </w:r>
      <w:r w:rsidRPr="003317DD">
        <w:t xml:space="preserve"> prenatal care, but were inadequately treated, or untreated, for syphilis (Bowen et al 2015).  There are insufficient data to ascertain how many prenatal visits these women actually had, or when during pregnancy these visits occurred, but Su et al (2015) reported that only 14% of women associated with CS cases from 1999-2013 had 10 or more prenatal care visits.  </w:t>
      </w:r>
    </w:p>
    <w:p w:rsidR="00E44523" w:rsidRPr="003317DD" w:rsidRDefault="00E44523" w:rsidP="00E44523">
      <w:pPr>
        <w:tabs>
          <w:tab w:val="left" w:pos="2054"/>
        </w:tabs>
        <w:spacing w:line="360" w:lineRule="auto"/>
      </w:pPr>
      <w:r w:rsidRPr="003317DD">
        <w:t xml:space="preserve">For women who obtain </w:t>
      </w:r>
      <w:r w:rsidRPr="003317DD">
        <w:rPr>
          <w:u w:val="single"/>
        </w:rPr>
        <w:t>some</w:t>
      </w:r>
      <w:r w:rsidRPr="003317DD">
        <w:t xml:space="preserve"> amount of prenatal care, delays in recognizing and diagnosing pregnancy, along with an insufficient number or poor timing of prenatal care visits during the pregnancy, can shorten the window of opportunity for diagnosing and effectively treating syphilis infections. Disruption of the timeline for routine screening and timely treatment of syphilis in pregnant women can result in a pregnant woman with syphilis transmitting the infection to her infant in utero, resulting in a case of congenital syphilis. </w:t>
      </w:r>
    </w:p>
    <w:p w:rsidR="0010665D" w:rsidRDefault="0010665D" w:rsidP="0010665D">
      <w:pPr>
        <w:tabs>
          <w:tab w:val="left" w:pos="2054"/>
        </w:tabs>
        <w:spacing w:line="360" w:lineRule="auto"/>
      </w:pPr>
      <w:r>
        <w:t>There are many psychosocial and behavioral factors that prevent or delay women’s use of prenatal care services including unplanned or unwanted pregnancy; denial or concealment of the pregnancy; lack of awareness of a pregnancy; unawareness of or lack of belief in the importance and timeliness of prenatal care; and mental health, substance abuse, or other emotional, family or personal problems. In addition, women experience situational factors such as difficulty finding transportation or child care that prevent them from getting regular care during pregnancy (Braveman, et al. 2000; Feijen-de Jong, et al. 2011; Goldenberg, et al. 1992; Johnson, et al. 2011; Phillippi 2009). Structural and health systems factors that affect prenatal care include lack of insurance coverage, late enrollment in insurance or Medicaid, and the cost of co-pays  (Egerter, et al. 2002; Nothnagle, et al. 2000; Rittenhouse, et al. 2003; Weir, et al. 2011).</w:t>
      </w:r>
    </w:p>
    <w:p w:rsidR="0010665D" w:rsidRDefault="0010665D" w:rsidP="0010665D">
      <w:pPr>
        <w:tabs>
          <w:tab w:val="left" w:pos="2054"/>
        </w:tabs>
        <w:spacing w:line="360" w:lineRule="auto"/>
      </w:pPr>
      <w:r>
        <w:t xml:space="preserve">There are also missed opportunities within the health system to screen and treat pregnant women for syphilis. CDC recommends serological screening for syphilis of all pregnant women during the first prenatal care visit. Women who live in high syphilis morbidity areas, or who are at risk for obtaining suboptimal prenantal care, should be rescreened early in the third trimester and at delivery. While 46 states have laws requiring at least one screening test during pregnancy, only 12 states require screening in the third trimester. Screening in both the first and third trimesters allows providers to monitor the effectiveness of treatment and the patient’s response. However, states requiring additional screening are not necessarily states with the highest morbidity (Hollier, et al. 2003). There are also missed opportunities when pregnant women who may be at high risk for syphilis are not screened in emergency room settings (Warner, et al. 2001).   </w:t>
      </w:r>
    </w:p>
    <w:p w:rsidR="00CC6AB1" w:rsidRPr="0064671E" w:rsidRDefault="0010665D" w:rsidP="00E53653">
      <w:pPr>
        <w:pStyle w:val="Heading1"/>
        <w:rPr>
          <w:rFonts w:cs="Times New Roman"/>
          <w:szCs w:val="24"/>
        </w:rPr>
      </w:pPr>
      <w:r>
        <w:t xml:space="preserve"> </w:t>
      </w:r>
      <w:bookmarkStart w:id="2" w:name="_Toc508274288"/>
      <w:r w:rsidR="00CC6AB1" w:rsidRPr="0064671E">
        <w:rPr>
          <w:rFonts w:cs="Times New Roman"/>
          <w:szCs w:val="24"/>
        </w:rPr>
        <w:t>Purpose and Use of the Information Collection</w:t>
      </w:r>
      <w:bookmarkEnd w:id="2"/>
    </w:p>
    <w:p w:rsidR="00CC6AB1" w:rsidRPr="0064671E" w:rsidRDefault="00CC6AB1" w:rsidP="00F951D1"/>
    <w:p w:rsidR="003317DD" w:rsidRPr="003317DD" w:rsidRDefault="00D01AB3" w:rsidP="003317DD">
      <w:pPr>
        <w:spacing w:line="360" w:lineRule="auto"/>
      </w:pPr>
      <w:r w:rsidRPr="003317DD">
        <w:t xml:space="preserve">The purpose of this </w:t>
      </w:r>
      <w:r w:rsidR="007325ED" w:rsidRPr="003317DD">
        <w:t xml:space="preserve">information collection </w:t>
      </w:r>
      <w:r w:rsidRPr="003317DD">
        <w:t xml:space="preserve">is to conduct </w:t>
      </w:r>
      <w:r w:rsidR="002521ED" w:rsidRPr="003317DD">
        <w:t>in-</w:t>
      </w:r>
      <w:r w:rsidR="00DE0EA1" w:rsidRPr="003317DD">
        <w:t>depth interviews</w:t>
      </w:r>
      <w:r w:rsidR="003317DD" w:rsidRPr="003317DD">
        <w:t xml:space="preserve"> to better understand and identify factors that result in deviations from the “ideal” pregnancy narrative, as well as factors that are protective, supportive, or that appear to facilitate access to and use of timely and adequate prenatal care and syphilis diagnosis and treatment during pregnancy. We will 1) document </w:t>
      </w:r>
      <w:r w:rsidR="003317DD" w:rsidRPr="003317DD">
        <w:rPr>
          <w:bCs/>
          <w:lang w:val="it-IT"/>
        </w:rPr>
        <w:t xml:space="preserve">women associated with congenital syphilis (CS) cases (case mothers) </w:t>
      </w:r>
      <w:r w:rsidR="003317DD" w:rsidRPr="003317DD">
        <w:t>recollections of and perspectives about their pregnancy and prenatal care experience, 2) attempt to identify potential protective or supportive factors that would facilitate care and reduce the risk of CS, and 3) identify strategies to reach vulnerable women and increase awareness of the risks of CS during pregnancy.</w:t>
      </w:r>
    </w:p>
    <w:p w:rsidR="006A15E8" w:rsidRPr="003317DD" w:rsidRDefault="006A15E8" w:rsidP="006E4CC2">
      <w:pPr>
        <w:spacing w:line="360" w:lineRule="auto"/>
      </w:pPr>
    </w:p>
    <w:p w:rsidR="006E4CC2" w:rsidRPr="003317DD" w:rsidRDefault="00890B50" w:rsidP="006E4CC2">
      <w:pPr>
        <w:pStyle w:val="Default"/>
        <w:spacing w:line="360" w:lineRule="auto"/>
      </w:pPr>
      <w:r w:rsidRPr="003317DD">
        <w:t>The</w:t>
      </w:r>
      <w:r w:rsidR="000F4D42" w:rsidRPr="003317DD">
        <w:t xml:space="preserve"> </w:t>
      </w:r>
      <w:r w:rsidR="003D2D57" w:rsidRPr="003317DD">
        <w:t xml:space="preserve">planned </w:t>
      </w:r>
      <w:r w:rsidR="000F4D42" w:rsidRPr="003317DD">
        <w:t xml:space="preserve">study design </w:t>
      </w:r>
      <w:r w:rsidR="003317DD" w:rsidRPr="003317DD">
        <w:t>will use purposive, targeted sampling to recruit 60 case mothers to participate in an interview from all women identified as CS case mothers in 2015, 2016, or 2017 in the three sites</w:t>
      </w:r>
      <w:r w:rsidR="003317DD" w:rsidRPr="003317DD">
        <w:rPr>
          <w:bCs/>
        </w:rPr>
        <w:t>.</w:t>
      </w:r>
      <w:r w:rsidR="003317DD" w:rsidRPr="003317DD">
        <w:t xml:space="preserve">  Unlike probability sampling, the goal of purposive sampling is not to achieve objectivity in the selection of the sample or to necessarily attempt to make statistical inferences from the sample being studied to the wider population of interest. Instead, researchers following a qualitative research design that includes purposive sampling tend to be interested in the intricacies of the sample being studied.  Thus, with purposive sampling, there are strong theoretical reasons for the chosen cases to be included in the sample. In this case, the purposive sampling of CS case mothers allows us to respond to the stated research objectives. </w:t>
      </w:r>
      <w:r w:rsidR="00F936F5" w:rsidRPr="003317DD">
        <w:rPr>
          <w:w w:val="105"/>
        </w:rPr>
        <w:t xml:space="preserve">We will use qualitative, in-depth interviews to collect </w:t>
      </w:r>
      <w:r w:rsidR="003D2D57" w:rsidRPr="003317DD">
        <w:rPr>
          <w:w w:val="105"/>
        </w:rPr>
        <w:t>data</w:t>
      </w:r>
      <w:r w:rsidR="003F3217" w:rsidRPr="003317DD">
        <w:rPr>
          <w:w w:val="105"/>
        </w:rPr>
        <w:t xml:space="preserve"> for this study (</w:t>
      </w:r>
      <w:r w:rsidR="003F3217" w:rsidRPr="003317DD">
        <w:rPr>
          <w:b/>
          <w:w w:val="105"/>
        </w:rPr>
        <w:t xml:space="preserve">Attachment </w:t>
      </w:r>
      <w:r w:rsidR="00107B10" w:rsidRPr="003317DD">
        <w:rPr>
          <w:b/>
          <w:w w:val="105"/>
        </w:rPr>
        <w:t>5a</w:t>
      </w:r>
      <w:r w:rsidR="00F936F5" w:rsidRPr="003317DD">
        <w:rPr>
          <w:w w:val="105"/>
        </w:rPr>
        <w:t xml:space="preserve">). The in-depth interviews will primarily include open-ended questions with some closed-ended questions designed to elicit information on </w:t>
      </w:r>
      <w:r w:rsidR="003317DD" w:rsidRPr="003317DD">
        <w:rPr>
          <w:w w:val="105"/>
        </w:rPr>
        <w:t>participants’ pregnancy, prenatal care, and syphilis diagnosis experiences related to those events. Key</w:t>
      </w:r>
      <w:r w:rsidR="00F936F5" w:rsidRPr="003317DD">
        <w:rPr>
          <w:w w:val="105"/>
        </w:rPr>
        <w:t xml:space="preserve"> variables to be explored through the interviews are described in Exhibit 2.1 below. All data collection instruments have been approved by the </w:t>
      </w:r>
    </w:p>
    <w:p w:rsidR="000F4D42" w:rsidRDefault="006E4CC2" w:rsidP="006E4CC2">
      <w:pPr>
        <w:pStyle w:val="BodyText"/>
        <w:spacing w:after="0" w:line="360" w:lineRule="auto"/>
        <w:rPr>
          <w:w w:val="105"/>
        </w:rPr>
      </w:pPr>
      <w:r w:rsidRPr="003317DD">
        <w:t xml:space="preserve"> </w:t>
      </w:r>
      <w:r w:rsidR="00107B10" w:rsidRPr="003317DD">
        <w:t xml:space="preserve">CDC </w:t>
      </w:r>
      <w:r w:rsidRPr="003317DD">
        <w:t xml:space="preserve">Institutional Review Board </w:t>
      </w:r>
      <w:r w:rsidR="00F936F5" w:rsidRPr="003317DD">
        <w:rPr>
          <w:w w:val="105"/>
        </w:rPr>
        <w:t>(</w:t>
      </w:r>
      <w:r w:rsidR="00F936F5" w:rsidRPr="003317DD">
        <w:rPr>
          <w:b/>
          <w:w w:val="105"/>
        </w:rPr>
        <w:t xml:space="preserve">Attachment </w:t>
      </w:r>
      <w:r w:rsidR="009E080C" w:rsidRPr="003317DD">
        <w:rPr>
          <w:b/>
          <w:w w:val="105"/>
        </w:rPr>
        <w:t>6</w:t>
      </w:r>
      <w:r w:rsidR="00F936F5" w:rsidRPr="003317DD">
        <w:rPr>
          <w:w w:val="105"/>
        </w:rPr>
        <w:t>).</w:t>
      </w:r>
      <w:r w:rsidR="007666DB">
        <w:rPr>
          <w:w w:val="105"/>
        </w:rPr>
        <w:t xml:space="preserve"> </w:t>
      </w:r>
      <w:r w:rsidR="000F4D42" w:rsidRPr="0064671E">
        <w:rPr>
          <w:w w:val="105"/>
        </w:rPr>
        <w:t xml:space="preserve">CDC, in partnership with </w:t>
      </w:r>
      <w:r w:rsidR="00D37C0E" w:rsidRPr="0064671E">
        <w:rPr>
          <w:w w:val="105"/>
        </w:rPr>
        <w:t>partner</w:t>
      </w:r>
      <w:r w:rsidR="000F4D42" w:rsidRPr="0064671E">
        <w:rPr>
          <w:w w:val="105"/>
        </w:rPr>
        <w:t xml:space="preserve"> staff, will identify and develop appropriate dissemination opportunities for these findings. </w:t>
      </w:r>
      <w:r w:rsidR="003D2D57" w:rsidRPr="0064671E">
        <w:rPr>
          <w:w w:val="105"/>
        </w:rPr>
        <w:t xml:space="preserve">The results of this study are not </w:t>
      </w:r>
      <w:r w:rsidR="009E080C" w:rsidRPr="0064671E">
        <w:rPr>
          <w:w w:val="105"/>
        </w:rPr>
        <w:t xml:space="preserve"> generalizable</w:t>
      </w:r>
      <w:r w:rsidR="009E080C" w:rsidRPr="003317DD">
        <w:rPr>
          <w:w w:val="105"/>
        </w:rPr>
        <w:t xml:space="preserve"> to the larger population</w:t>
      </w:r>
      <w:r w:rsidR="000D027B">
        <w:rPr>
          <w:w w:val="105"/>
        </w:rPr>
        <w:t>. I</w:t>
      </w:r>
      <w:r w:rsidR="000D027B" w:rsidRPr="003317DD">
        <w:rPr>
          <w:w w:val="105"/>
        </w:rPr>
        <w:t xml:space="preserve">nformation </w:t>
      </w:r>
      <w:r w:rsidR="00A8482E" w:rsidRPr="003317DD">
        <w:rPr>
          <w:w w:val="105"/>
        </w:rPr>
        <w:t>collected will be used to revise, augment or finalize communication campaign platforms and systems.</w:t>
      </w:r>
    </w:p>
    <w:p w:rsidR="00666229" w:rsidRPr="00666229" w:rsidRDefault="00666229" w:rsidP="00666229">
      <w:pPr>
        <w:pStyle w:val="BodyText"/>
        <w:spacing w:after="0" w:line="360" w:lineRule="auto"/>
        <w:rPr>
          <w:w w:val="105"/>
        </w:rPr>
      </w:pPr>
      <w:r w:rsidRPr="00666229">
        <w:rPr>
          <w:w w:val="105"/>
        </w:rPr>
        <w:t xml:space="preserve">CDC will not be drawing any inferences </w:t>
      </w:r>
      <w:r>
        <w:rPr>
          <w:w w:val="105"/>
        </w:rPr>
        <w:t>from this</w:t>
      </w:r>
      <w:r w:rsidRPr="00666229">
        <w:rPr>
          <w:w w:val="105"/>
        </w:rPr>
        <w:t xml:space="preserve"> data</w:t>
      </w:r>
      <w:r>
        <w:rPr>
          <w:w w:val="105"/>
        </w:rPr>
        <w:t>. This data</w:t>
      </w:r>
      <w:r w:rsidRPr="00666229">
        <w:rPr>
          <w:w w:val="105"/>
        </w:rPr>
        <w:t xml:space="preserve"> is not generalizable. CDC will share its final report with OMB.</w:t>
      </w:r>
    </w:p>
    <w:p w:rsidR="00F72954" w:rsidRPr="003317DD" w:rsidRDefault="00F72954" w:rsidP="00F72954"/>
    <w:p w:rsidR="00F72954" w:rsidRPr="003317DD" w:rsidRDefault="00C91C02" w:rsidP="00C91C02">
      <w:pPr>
        <w:pStyle w:val="Caption"/>
        <w:rPr>
          <w:sz w:val="24"/>
          <w:szCs w:val="24"/>
        </w:rPr>
      </w:pPr>
      <w:bookmarkStart w:id="3" w:name="_Toc508274308"/>
      <w:r w:rsidRPr="003317DD">
        <w:rPr>
          <w:sz w:val="24"/>
          <w:szCs w:val="24"/>
        </w:rPr>
        <w:t xml:space="preserve">Exhibit </w:t>
      </w:r>
      <w:r w:rsidR="006E41AA" w:rsidRPr="003317DD">
        <w:rPr>
          <w:sz w:val="24"/>
          <w:szCs w:val="24"/>
        </w:rPr>
        <w:fldChar w:fldCharType="begin"/>
      </w:r>
      <w:r w:rsidR="006E41AA" w:rsidRPr="003317DD">
        <w:rPr>
          <w:sz w:val="24"/>
          <w:szCs w:val="24"/>
        </w:rPr>
        <w:instrText xml:space="preserve"> STYLEREF 1 \s </w:instrText>
      </w:r>
      <w:r w:rsidR="006E41AA" w:rsidRPr="003317DD">
        <w:rPr>
          <w:sz w:val="24"/>
          <w:szCs w:val="24"/>
        </w:rPr>
        <w:fldChar w:fldCharType="separate"/>
      </w:r>
      <w:r w:rsidR="00E25EE5" w:rsidRPr="003317DD">
        <w:rPr>
          <w:noProof/>
          <w:sz w:val="24"/>
          <w:szCs w:val="24"/>
        </w:rPr>
        <w:t>2</w:t>
      </w:r>
      <w:r w:rsidR="006E41AA" w:rsidRPr="003317DD">
        <w:rPr>
          <w:noProof/>
          <w:sz w:val="24"/>
          <w:szCs w:val="24"/>
        </w:rPr>
        <w:fldChar w:fldCharType="end"/>
      </w:r>
      <w:r w:rsidRPr="003317DD">
        <w:rPr>
          <w:sz w:val="24"/>
          <w:szCs w:val="24"/>
        </w:rPr>
        <w:t>.</w:t>
      </w:r>
      <w:r w:rsidR="006E41AA" w:rsidRPr="003317DD">
        <w:rPr>
          <w:sz w:val="24"/>
          <w:szCs w:val="24"/>
        </w:rPr>
        <w:fldChar w:fldCharType="begin"/>
      </w:r>
      <w:r w:rsidR="006E41AA" w:rsidRPr="003317DD">
        <w:rPr>
          <w:sz w:val="24"/>
          <w:szCs w:val="24"/>
        </w:rPr>
        <w:instrText xml:space="preserve"> SEQ Exhibit \* ARABIC \s 1 </w:instrText>
      </w:r>
      <w:r w:rsidR="006E41AA" w:rsidRPr="003317DD">
        <w:rPr>
          <w:sz w:val="24"/>
          <w:szCs w:val="24"/>
        </w:rPr>
        <w:fldChar w:fldCharType="separate"/>
      </w:r>
      <w:r w:rsidR="00E25EE5" w:rsidRPr="003317DD">
        <w:rPr>
          <w:noProof/>
          <w:sz w:val="24"/>
          <w:szCs w:val="24"/>
        </w:rPr>
        <w:t>1</w:t>
      </w:r>
      <w:r w:rsidR="006E41AA" w:rsidRPr="003317DD">
        <w:rPr>
          <w:noProof/>
          <w:sz w:val="24"/>
          <w:szCs w:val="24"/>
        </w:rPr>
        <w:fldChar w:fldCharType="end"/>
      </w:r>
      <w:r w:rsidRPr="003317DD">
        <w:rPr>
          <w:sz w:val="24"/>
          <w:szCs w:val="24"/>
        </w:rPr>
        <w:t>: Overview of Key Variables</w:t>
      </w:r>
      <w:bookmarkEnd w:id="3"/>
    </w:p>
    <w:p w:rsidR="00C91C02" w:rsidRPr="0064671E" w:rsidRDefault="00C91C02" w:rsidP="00C91C02"/>
    <w:tbl>
      <w:tblPr>
        <w:tblStyle w:val="TableGrid"/>
        <w:tblW w:w="0" w:type="auto"/>
        <w:tblLook w:val="04A0" w:firstRow="1" w:lastRow="0" w:firstColumn="1" w:lastColumn="0" w:noHBand="0" w:noVBand="1"/>
      </w:tblPr>
      <w:tblGrid>
        <w:gridCol w:w="4888"/>
      </w:tblGrid>
      <w:tr w:rsidR="00B02928" w:rsidRPr="003317DD" w:rsidTr="00F72954">
        <w:tc>
          <w:tcPr>
            <w:tcW w:w="4888" w:type="dxa"/>
          </w:tcPr>
          <w:p w:rsidR="00B02928" w:rsidRPr="003317DD" w:rsidRDefault="0009552D" w:rsidP="008A2E78">
            <w:pPr>
              <w:pStyle w:val="ListParagraph"/>
              <w:ind w:left="360"/>
              <w:jc w:val="center"/>
              <w:rPr>
                <w:rFonts w:ascii="Times New Roman" w:hAnsi="Times New Roman"/>
                <w:b/>
                <w:sz w:val="24"/>
                <w:szCs w:val="24"/>
              </w:rPr>
            </w:pPr>
            <w:r w:rsidRPr="003317DD">
              <w:rPr>
                <w:rFonts w:ascii="Times New Roman" w:hAnsi="Times New Roman"/>
                <w:b/>
                <w:sz w:val="24"/>
                <w:szCs w:val="24"/>
                <w:lang w:val="en-US"/>
              </w:rPr>
              <w:t>Case Moms</w:t>
            </w:r>
            <w:r w:rsidR="00B02928" w:rsidRPr="003317DD">
              <w:rPr>
                <w:rFonts w:ascii="Times New Roman" w:hAnsi="Times New Roman"/>
                <w:b/>
                <w:sz w:val="24"/>
                <w:szCs w:val="24"/>
              </w:rPr>
              <w:t xml:space="preserve"> (Att</w:t>
            </w:r>
            <w:r w:rsidR="00B02928" w:rsidRPr="003317DD">
              <w:rPr>
                <w:rFonts w:ascii="Times New Roman" w:hAnsi="Times New Roman"/>
                <w:b/>
                <w:sz w:val="24"/>
                <w:szCs w:val="24"/>
                <w:lang w:val="en-US"/>
              </w:rPr>
              <w:t>achment</w:t>
            </w:r>
            <w:r w:rsidR="00B02928" w:rsidRPr="003317DD">
              <w:rPr>
                <w:rFonts w:ascii="Times New Roman" w:hAnsi="Times New Roman"/>
                <w:b/>
                <w:sz w:val="24"/>
                <w:szCs w:val="24"/>
              </w:rPr>
              <w:t xml:space="preserve"> </w:t>
            </w:r>
            <w:r w:rsidR="0064553E" w:rsidRPr="003317DD">
              <w:rPr>
                <w:rFonts w:ascii="Times New Roman" w:hAnsi="Times New Roman"/>
                <w:b/>
                <w:sz w:val="24"/>
                <w:szCs w:val="24"/>
                <w:lang w:val="en-US"/>
              </w:rPr>
              <w:t>5</w:t>
            </w:r>
            <w:r w:rsidRPr="003317DD">
              <w:rPr>
                <w:rFonts w:ascii="Times New Roman" w:hAnsi="Times New Roman"/>
                <w:b/>
                <w:sz w:val="24"/>
                <w:szCs w:val="24"/>
                <w:lang w:val="en-US"/>
              </w:rPr>
              <w:t>a</w:t>
            </w:r>
            <w:r w:rsidR="00B02928" w:rsidRPr="003317DD">
              <w:rPr>
                <w:rFonts w:ascii="Times New Roman" w:hAnsi="Times New Roman"/>
                <w:b/>
                <w:sz w:val="24"/>
                <w:szCs w:val="24"/>
              </w:rPr>
              <w:t>)</w:t>
            </w:r>
          </w:p>
        </w:tc>
      </w:tr>
      <w:tr w:rsidR="00B02928" w:rsidRPr="003317DD" w:rsidTr="00F72954">
        <w:tc>
          <w:tcPr>
            <w:tcW w:w="4888" w:type="dxa"/>
          </w:tcPr>
          <w:p w:rsidR="00B02928" w:rsidRPr="003317DD" w:rsidRDefault="00B02928" w:rsidP="00AC3B51">
            <w:pPr>
              <w:pStyle w:val="ListParagraph"/>
              <w:numPr>
                <w:ilvl w:val="0"/>
                <w:numId w:val="12"/>
              </w:numPr>
              <w:rPr>
                <w:rFonts w:ascii="Times New Roman" w:hAnsi="Times New Roman"/>
                <w:sz w:val="24"/>
                <w:szCs w:val="24"/>
              </w:rPr>
            </w:pPr>
            <w:r w:rsidRPr="003317DD">
              <w:rPr>
                <w:rFonts w:ascii="Times New Roman" w:hAnsi="Times New Roman"/>
                <w:sz w:val="24"/>
                <w:szCs w:val="24"/>
                <w:lang w:val="en-US"/>
              </w:rPr>
              <w:t>Demographics</w:t>
            </w:r>
          </w:p>
          <w:p w:rsidR="00B02928" w:rsidRPr="003317DD" w:rsidRDefault="003317DD" w:rsidP="00AC3B51">
            <w:pPr>
              <w:pStyle w:val="ListParagraph"/>
              <w:numPr>
                <w:ilvl w:val="0"/>
                <w:numId w:val="12"/>
              </w:numPr>
              <w:rPr>
                <w:rFonts w:ascii="Times New Roman" w:hAnsi="Times New Roman"/>
                <w:sz w:val="24"/>
                <w:szCs w:val="24"/>
              </w:rPr>
            </w:pPr>
            <w:r w:rsidRPr="003317DD">
              <w:rPr>
                <w:rFonts w:ascii="Times New Roman" w:hAnsi="Times New Roman"/>
                <w:sz w:val="24"/>
                <w:szCs w:val="24"/>
                <w:lang w:val="en-US"/>
              </w:rPr>
              <w:t xml:space="preserve">Experiences of Pregnancy Diagnoses </w:t>
            </w:r>
          </w:p>
          <w:p w:rsidR="00B02928" w:rsidRPr="003317DD" w:rsidRDefault="003317DD" w:rsidP="003317DD">
            <w:pPr>
              <w:pStyle w:val="ListParagraph"/>
              <w:numPr>
                <w:ilvl w:val="0"/>
                <w:numId w:val="12"/>
              </w:numPr>
              <w:rPr>
                <w:rFonts w:ascii="Times New Roman" w:hAnsi="Times New Roman"/>
                <w:sz w:val="24"/>
                <w:szCs w:val="24"/>
              </w:rPr>
            </w:pPr>
            <w:r w:rsidRPr="003317DD">
              <w:rPr>
                <w:rFonts w:ascii="Times New Roman" w:hAnsi="Times New Roman"/>
                <w:sz w:val="24"/>
                <w:szCs w:val="24"/>
                <w:lang w:val="en-US"/>
              </w:rPr>
              <w:t>Prenatal Care during 1</w:t>
            </w:r>
            <w:r w:rsidRPr="003317DD">
              <w:rPr>
                <w:rFonts w:ascii="Times New Roman" w:hAnsi="Times New Roman"/>
                <w:sz w:val="24"/>
                <w:szCs w:val="24"/>
                <w:vertAlign w:val="superscript"/>
                <w:lang w:val="en-US"/>
              </w:rPr>
              <w:t>St</w:t>
            </w:r>
            <w:r w:rsidRPr="003317DD">
              <w:rPr>
                <w:rFonts w:ascii="Times New Roman" w:hAnsi="Times New Roman"/>
                <w:sz w:val="24"/>
                <w:szCs w:val="24"/>
                <w:lang w:val="en-US"/>
              </w:rPr>
              <w:t>, 2</w:t>
            </w:r>
            <w:r w:rsidRPr="003317DD">
              <w:rPr>
                <w:rFonts w:ascii="Times New Roman" w:hAnsi="Times New Roman"/>
                <w:sz w:val="24"/>
                <w:szCs w:val="24"/>
                <w:vertAlign w:val="superscript"/>
                <w:lang w:val="en-US"/>
              </w:rPr>
              <w:t>nd</w:t>
            </w:r>
            <w:r w:rsidRPr="003317DD">
              <w:rPr>
                <w:rFonts w:ascii="Times New Roman" w:hAnsi="Times New Roman"/>
                <w:sz w:val="24"/>
                <w:szCs w:val="24"/>
                <w:lang w:val="en-US"/>
              </w:rPr>
              <w:t>, and 3</w:t>
            </w:r>
            <w:r w:rsidRPr="003317DD">
              <w:rPr>
                <w:rFonts w:ascii="Times New Roman" w:hAnsi="Times New Roman"/>
                <w:sz w:val="24"/>
                <w:szCs w:val="24"/>
                <w:vertAlign w:val="superscript"/>
                <w:lang w:val="en-US"/>
              </w:rPr>
              <w:t>rd</w:t>
            </w:r>
            <w:r w:rsidRPr="003317DD">
              <w:rPr>
                <w:rFonts w:ascii="Times New Roman" w:hAnsi="Times New Roman"/>
                <w:sz w:val="24"/>
                <w:szCs w:val="24"/>
                <w:lang w:val="en-US"/>
              </w:rPr>
              <w:t xml:space="preserve"> Trimester</w:t>
            </w:r>
          </w:p>
          <w:p w:rsidR="003317DD" w:rsidRPr="003317DD" w:rsidRDefault="003317DD" w:rsidP="006E4CC2">
            <w:pPr>
              <w:pStyle w:val="ListParagraph"/>
              <w:numPr>
                <w:ilvl w:val="0"/>
                <w:numId w:val="12"/>
              </w:numPr>
              <w:rPr>
                <w:rFonts w:ascii="Times New Roman" w:hAnsi="Times New Roman"/>
                <w:sz w:val="24"/>
                <w:szCs w:val="24"/>
              </w:rPr>
            </w:pPr>
            <w:r>
              <w:rPr>
                <w:rFonts w:ascii="Times New Roman" w:hAnsi="Times New Roman"/>
                <w:sz w:val="24"/>
                <w:szCs w:val="24"/>
                <w:lang w:val="en-US"/>
              </w:rPr>
              <w:t>Syphilis Diagnosis</w:t>
            </w:r>
          </w:p>
          <w:p w:rsidR="003317DD" w:rsidRPr="003317DD" w:rsidRDefault="003317DD" w:rsidP="006E4CC2">
            <w:pPr>
              <w:pStyle w:val="ListParagraph"/>
              <w:numPr>
                <w:ilvl w:val="0"/>
                <w:numId w:val="12"/>
              </w:numPr>
              <w:rPr>
                <w:rFonts w:ascii="Times New Roman" w:hAnsi="Times New Roman"/>
                <w:sz w:val="24"/>
                <w:szCs w:val="24"/>
              </w:rPr>
            </w:pPr>
            <w:r>
              <w:rPr>
                <w:rFonts w:ascii="Times New Roman" w:hAnsi="Times New Roman"/>
                <w:sz w:val="24"/>
                <w:szCs w:val="24"/>
                <w:lang w:val="en-US"/>
              </w:rPr>
              <w:t>Post Pregnancy Experiences</w:t>
            </w:r>
          </w:p>
        </w:tc>
      </w:tr>
    </w:tbl>
    <w:p w:rsidR="006E4CC2" w:rsidRPr="003317DD" w:rsidRDefault="006E4CC2" w:rsidP="00F72954"/>
    <w:p w:rsidR="00CC6AB1" w:rsidRPr="003317DD" w:rsidRDefault="00CC6AB1" w:rsidP="00F72954">
      <w:pPr>
        <w:pStyle w:val="Heading1"/>
        <w:rPr>
          <w:rFonts w:cs="Times New Roman"/>
          <w:szCs w:val="24"/>
        </w:rPr>
      </w:pPr>
      <w:bookmarkStart w:id="4" w:name="_Toc508274289"/>
      <w:r w:rsidRPr="003317DD">
        <w:rPr>
          <w:rFonts w:cs="Times New Roman"/>
          <w:szCs w:val="24"/>
        </w:rPr>
        <w:t>Use of Improved Information Technology and Burden Reduction</w:t>
      </w:r>
      <w:bookmarkEnd w:id="4"/>
    </w:p>
    <w:p w:rsidR="00CC6AB1" w:rsidRPr="003317DD" w:rsidRDefault="00CC6AB1" w:rsidP="00F951D1"/>
    <w:p w:rsidR="005E6F8D" w:rsidRPr="003317DD" w:rsidRDefault="00107B10" w:rsidP="006E4CC2">
      <w:pPr>
        <w:spacing w:line="360" w:lineRule="auto"/>
        <w:jc w:val="both"/>
      </w:pPr>
      <w:r w:rsidRPr="003317DD">
        <w:t>Trained qualitative interviewers subcontracted by ASTHO</w:t>
      </w:r>
      <w:r w:rsidRPr="003317DD" w:rsidDel="007202CA">
        <w:t xml:space="preserve"> </w:t>
      </w:r>
      <w:r w:rsidR="00933271" w:rsidRPr="003317DD">
        <w:t xml:space="preserve">will conduct individual </w:t>
      </w:r>
      <w:r w:rsidRPr="003317DD">
        <w:t xml:space="preserve">in-depth </w:t>
      </w:r>
      <w:r w:rsidR="00933271" w:rsidRPr="003317DD">
        <w:t xml:space="preserve">interviews at a time and location that is convenient to the selected </w:t>
      </w:r>
      <w:r w:rsidR="00C73AE8" w:rsidRPr="003317DD">
        <w:t>respondents</w:t>
      </w:r>
      <w:r w:rsidR="0064553E" w:rsidRPr="003317DD">
        <w:t>.</w:t>
      </w:r>
      <w:r w:rsidR="00933271" w:rsidRPr="003317DD">
        <w:t xml:space="preserve"> </w:t>
      </w:r>
      <w:r w:rsidR="00AD4D5A" w:rsidRPr="00AD4D5A">
        <w:t>Body language and facial cues are critical to understand where additional probing may be needed or should stop, and telephone or web interviews limit the interviewer’s ability to read both. Thus, the contractor will conduct the individual, in-depth interviews (IDIs) in person. After asking for and receiving permission from the respondent, the contractor will audio-record the interviews and transcribe recordings after the interview. This limits the burden on the respondent (no additional burden after completing the interview) and allows the interviewer to focus on building and maintaining rapport with the respondent.</w:t>
      </w:r>
    </w:p>
    <w:p w:rsidR="00CC6AB1" w:rsidRPr="003317DD" w:rsidRDefault="00CC6AB1" w:rsidP="00E53653">
      <w:pPr>
        <w:pStyle w:val="Heading1"/>
        <w:rPr>
          <w:rFonts w:cs="Times New Roman"/>
          <w:szCs w:val="24"/>
        </w:rPr>
      </w:pPr>
      <w:bookmarkStart w:id="5" w:name="_Toc508274290"/>
      <w:r w:rsidRPr="003317DD">
        <w:rPr>
          <w:rFonts w:cs="Times New Roman"/>
          <w:szCs w:val="24"/>
        </w:rPr>
        <w:t>Efforts to Identify Duplication and Use of Similar Information</w:t>
      </w:r>
      <w:bookmarkEnd w:id="5"/>
    </w:p>
    <w:p w:rsidR="00CC6AB1" w:rsidRPr="003317DD" w:rsidRDefault="00CC6AB1" w:rsidP="00F75369"/>
    <w:p w:rsidR="00933271" w:rsidRPr="003317DD" w:rsidRDefault="00003E5D" w:rsidP="006E4CC2">
      <w:pPr>
        <w:spacing w:line="360" w:lineRule="auto"/>
      </w:pPr>
      <w:r w:rsidRPr="003317DD">
        <w:t xml:space="preserve">The interviews will collect key information that the Agency believes is not captured elsewhere. The Agency believes no other data collection effort has been conducted or has been planned to collect similar information for these populations. CDC conducted a review of similar studies prior to the issuance of the </w:t>
      </w:r>
      <w:r w:rsidR="00B6300F" w:rsidRPr="003317DD">
        <w:t>cooperative agreement</w:t>
      </w:r>
      <w:r w:rsidRPr="003317DD">
        <w:t xml:space="preserve">, and determined that this study is collecting unique information from the populations. Therefore, our </w:t>
      </w:r>
      <w:r w:rsidR="00C73AE8" w:rsidRPr="003317DD">
        <w:t xml:space="preserve">study </w:t>
      </w:r>
      <w:r w:rsidRPr="003317DD">
        <w:t xml:space="preserve">requires the collection of this new primary data. There would be no reason for another </w:t>
      </w:r>
      <w:r w:rsidR="00B30AEA" w:rsidRPr="003317DD">
        <w:t xml:space="preserve">Federal Agency to </w:t>
      </w:r>
      <w:r w:rsidR="00C73AE8" w:rsidRPr="003317DD">
        <w:t>conduct a similar study</w:t>
      </w:r>
      <w:r w:rsidR="00933271" w:rsidRPr="003317DD">
        <w:t>.</w:t>
      </w:r>
    </w:p>
    <w:p w:rsidR="00CC6AB1" w:rsidRPr="003317DD" w:rsidRDefault="00CC6AB1" w:rsidP="00F75369">
      <w:pPr>
        <w:pStyle w:val="Heading1"/>
        <w:rPr>
          <w:rFonts w:cs="Times New Roman"/>
          <w:szCs w:val="24"/>
        </w:rPr>
      </w:pPr>
      <w:bookmarkStart w:id="6" w:name="_Toc508274291"/>
      <w:r w:rsidRPr="003317DD">
        <w:rPr>
          <w:rFonts w:cs="Times New Roman"/>
          <w:szCs w:val="24"/>
        </w:rPr>
        <w:t>Impact on Small Businesses or Other Small Entities</w:t>
      </w:r>
      <w:bookmarkEnd w:id="6"/>
    </w:p>
    <w:p w:rsidR="00C73AE8" w:rsidRPr="003317DD" w:rsidRDefault="00C73AE8" w:rsidP="00C73AE8">
      <w:pPr>
        <w:spacing w:line="360" w:lineRule="auto"/>
      </w:pPr>
    </w:p>
    <w:p w:rsidR="00B30AEA" w:rsidRPr="003317DD" w:rsidRDefault="003D2D57" w:rsidP="00C73AE8">
      <w:pPr>
        <w:spacing w:line="360" w:lineRule="auto"/>
      </w:pPr>
      <w:r w:rsidRPr="003317DD">
        <w:t xml:space="preserve">This study will </w:t>
      </w:r>
      <w:r w:rsidR="00107B10" w:rsidRPr="003317DD">
        <w:t>collaborate</w:t>
      </w:r>
      <w:r w:rsidRPr="003317DD">
        <w:t xml:space="preserve"> </w:t>
      </w:r>
      <w:r w:rsidR="0062644D" w:rsidRPr="003317DD">
        <w:t xml:space="preserve">with local </w:t>
      </w:r>
      <w:r w:rsidR="00107B10" w:rsidRPr="003317DD">
        <w:t xml:space="preserve">health departments </w:t>
      </w:r>
      <w:r w:rsidR="00107B10" w:rsidRPr="003317DD">
        <w:rPr>
          <w:bCs/>
          <w:lang w:val="it-IT"/>
        </w:rPr>
        <w:t>in three CDC-funded jurisdictions: the states of California and Florida and the metropolitan statistical area (MSA) of Chicago</w:t>
      </w:r>
      <w:r w:rsidR="007666DB">
        <w:rPr>
          <w:bCs/>
          <w:lang w:val="it-IT"/>
        </w:rPr>
        <w:t xml:space="preserve"> </w:t>
      </w:r>
      <w:r w:rsidR="0062644D" w:rsidRPr="003317DD" w:rsidDel="0062644D">
        <w:t xml:space="preserve"> </w:t>
      </w:r>
      <w:r w:rsidR="00B30AEA" w:rsidRPr="003317DD">
        <w:t xml:space="preserve">to aid in recruiting potential respondents by identifying eligible potential </w:t>
      </w:r>
      <w:r w:rsidR="00C73AE8" w:rsidRPr="003317DD">
        <w:t>respondents</w:t>
      </w:r>
      <w:r w:rsidR="00B30AEA" w:rsidRPr="003317DD">
        <w:t xml:space="preserve"> </w:t>
      </w:r>
      <w:r w:rsidR="003F3217" w:rsidRPr="003317DD">
        <w:t xml:space="preserve">through their routine </w:t>
      </w:r>
      <w:r w:rsidRPr="003317DD">
        <w:t xml:space="preserve">and regularly occurring </w:t>
      </w:r>
      <w:r w:rsidR="003F3217" w:rsidRPr="003317DD">
        <w:t xml:space="preserve">activities </w:t>
      </w:r>
      <w:r w:rsidR="00B30AEA" w:rsidRPr="003317DD">
        <w:t>and referring them to the study. We do not anticipate substantial burden.</w:t>
      </w:r>
    </w:p>
    <w:p w:rsidR="00CC6AB1" w:rsidRPr="003317DD" w:rsidRDefault="00CC6AB1" w:rsidP="00B30AEA">
      <w:pPr>
        <w:pStyle w:val="Heading1"/>
        <w:rPr>
          <w:rFonts w:cs="Times New Roman"/>
          <w:szCs w:val="24"/>
        </w:rPr>
      </w:pPr>
      <w:bookmarkStart w:id="7" w:name="_Toc508274292"/>
      <w:r w:rsidRPr="003317DD">
        <w:rPr>
          <w:rFonts w:cs="Times New Roman"/>
          <w:szCs w:val="24"/>
        </w:rPr>
        <w:t>Consequences of Collecting the Information Less Frequently</w:t>
      </w:r>
      <w:bookmarkEnd w:id="7"/>
    </w:p>
    <w:p w:rsidR="00C73AE8" w:rsidRPr="003317DD" w:rsidRDefault="00C73AE8" w:rsidP="00C73AE8">
      <w:pPr>
        <w:spacing w:line="360" w:lineRule="auto"/>
        <w:rPr>
          <w:bCs/>
        </w:rPr>
      </w:pPr>
    </w:p>
    <w:p w:rsidR="00856DCF" w:rsidRPr="0064671E" w:rsidRDefault="00856DCF" w:rsidP="00C73AE8">
      <w:pPr>
        <w:spacing w:line="360" w:lineRule="auto"/>
      </w:pPr>
      <w:r w:rsidRPr="003317DD">
        <w:rPr>
          <w:bCs/>
        </w:rPr>
        <w:t xml:space="preserve">The present study will provide the primary qualitative data needed to understand </w:t>
      </w:r>
      <w:r w:rsidR="00107B10" w:rsidRPr="003317DD">
        <w:rPr>
          <w:bCs/>
        </w:rPr>
        <w:t>perspectives of CS case mothers regarding their pregnancy and prenatal care experiences, interactions with the health system, and syphilis diagnoses.</w:t>
      </w:r>
      <w:r w:rsidRPr="0064671E">
        <w:rPr>
          <w:bCs/>
        </w:rPr>
        <w:t xml:space="preserve"> If this evaluation were not conducted, it would not be possible to </w:t>
      </w:r>
      <w:r w:rsidR="00107B10" w:rsidRPr="0064671E">
        <w:rPr>
          <w:bCs/>
        </w:rPr>
        <w:t>identify barriers and facilitators of timely syphilis screening and treatment among pregnant women as well as linkages between STD programs and partners who provide care to vulnerable pregnant women</w:t>
      </w:r>
      <w:r w:rsidRPr="0064671E">
        <w:rPr>
          <w:bCs/>
        </w:rPr>
        <w:t>. The length of data collection is 2-</w:t>
      </w:r>
      <w:r w:rsidR="00B6300F" w:rsidRPr="0064671E">
        <w:rPr>
          <w:bCs/>
        </w:rPr>
        <w:t xml:space="preserve">4 </w:t>
      </w:r>
      <w:r w:rsidRPr="0064671E">
        <w:rPr>
          <w:bCs/>
        </w:rPr>
        <w:t>months and data will only be collected once.</w:t>
      </w:r>
    </w:p>
    <w:p w:rsidR="00CC6AB1" w:rsidRPr="0064671E" w:rsidRDefault="00CC6AB1" w:rsidP="00856DCF">
      <w:pPr>
        <w:pStyle w:val="Heading1"/>
        <w:rPr>
          <w:rFonts w:cs="Times New Roman"/>
          <w:szCs w:val="24"/>
        </w:rPr>
      </w:pPr>
      <w:bookmarkStart w:id="8" w:name="_Toc508274293"/>
      <w:r w:rsidRPr="0064671E">
        <w:rPr>
          <w:rFonts w:cs="Times New Roman"/>
          <w:szCs w:val="24"/>
        </w:rPr>
        <w:t>Special Circumstances Relating to the Guidelines of 5 CFR 1320.5</w:t>
      </w:r>
      <w:bookmarkEnd w:id="8"/>
    </w:p>
    <w:p w:rsidR="00CC6AB1" w:rsidRPr="003317DD" w:rsidRDefault="00CC6AB1" w:rsidP="00F951D1"/>
    <w:p w:rsidR="006E4CC2" w:rsidRPr="003317DD" w:rsidRDefault="00CC6AB1" w:rsidP="00F951D1">
      <w:r w:rsidRPr="003317DD">
        <w:t>This data collection effort does not involve any special circumstances.</w:t>
      </w:r>
    </w:p>
    <w:p w:rsidR="006E4CC2" w:rsidRPr="003317DD" w:rsidRDefault="006E4CC2" w:rsidP="00F951D1"/>
    <w:p w:rsidR="00CC6AB1" w:rsidRPr="003317DD" w:rsidRDefault="00CC6AB1" w:rsidP="00E53653">
      <w:pPr>
        <w:pStyle w:val="Heading1"/>
        <w:rPr>
          <w:rFonts w:cs="Times New Roman"/>
          <w:szCs w:val="24"/>
        </w:rPr>
      </w:pPr>
      <w:bookmarkStart w:id="9" w:name="_Toc508274294"/>
      <w:r w:rsidRPr="003317DD">
        <w:rPr>
          <w:rFonts w:cs="Times New Roman"/>
          <w:szCs w:val="24"/>
        </w:rPr>
        <w:t>Comments in Response to the Federal Register Notice and Efforts to Consult Outside the Agency</w:t>
      </w:r>
      <w:bookmarkEnd w:id="9"/>
    </w:p>
    <w:p w:rsidR="00CC6AB1" w:rsidRPr="003317DD" w:rsidRDefault="00CC6AB1" w:rsidP="00D467C4"/>
    <w:p w:rsidR="002302EE" w:rsidRPr="003317DD" w:rsidRDefault="00961EEC" w:rsidP="002302EE">
      <w:pPr>
        <w:spacing w:line="360" w:lineRule="auto"/>
        <w:rPr>
          <w:bCs/>
        </w:rPr>
      </w:pPr>
      <w:r w:rsidRPr="003317DD">
        <w:rPr>
          <w:bCs/>
        </w:rPr>
        <w:t xml:space="preserve">8a. </w:t>
      </w:r>
      <w:r w:rsidR="002302EE" w:rsidRPr="003317DD">
        <w:rPr>
          <w:bCs/>
        </w:rPr>
        <w:t xml:space="preserve">For sub-collection requests under a generic approval, Federal Register Notices are not required and none were published. A </w:t>
      </w:r>
      <w:r w:rsidR="00E3750B" w:rsidRPr="003317DD">
        <w:rPr>
          <w:bCs/>
        </w:rPr>
        <w:t>60</w:t>
      </w:r>
      <w:r w:rsidR="002302EE" w:rsidRPr="003317DD">
        <w:rPr>
          <w:bCs/>
        </w:rPr>
        <w:t xml:space="preserve">-Day Federal Register Notice for the generic clearance 0920-0840 was published on </w:t>
      </w:r>
      <w:r w:rsidR="00E91FEF" w:rsidRPr="003317DD">
        <w:rPr>
          <w:bCs/>
        </w:rPr>
        <w:t>06</w:t>
      </w:r>
      <w:r w:rsidR="002302EE" w:rsidRPr="003317DD">
        <w:rPr>
          <w:bCs/>
        </w:rPr>
        <w:t>/</w:t>
      </w:r>
      <w:r w:rsidR="00E91FEF" w:rsidRPr="003317DD">
        <w:rPr>
          <w:bCs/>
        </w:rPr>
        <w:t>25/2015</w:t>
      </w:r>
      <w:r w:rsidR="002302EE" w:rsidRPr="003317DD">
        <w:rPr>
          <w:bCs/>
        </w:rPr>
        <w:t xml:space="preserve">, Vol. </w:t>
      </w:r>
      <w:r w:rsidR="00E91FEF" w:rsidRPr="003317DD">
        <w:rPr>
          <w:bCs/>
        </w:rPr>
        <w:t>80</w:t>
      </w:r>
      <w:r w:rsidR="002302EE" w:rsidRPr="003317DD">
        <w:rPr>
          <w:bCs/>
        </w:rPr>
        <w:t xml:space="preserve"> No. </w:t>
      </w:r>
      <w:r w:rsidR="00E91FEF" w:rsidRPr="003317DD">
        <w:rPr>
          <w:bCs/>
        </w:rPr>
        <w:t>122</w:t>
      </w:r>
      <w:r w:rsidR="002302EE" w:rsidRPr="003317DD">
        <w:rPr>
          <w:bCs/>
        </w:rPr>
        <w:t xml:space="preserve">, pages </w:t>
      </w:r>
      <w:r w:rsidR="00E91FEF" w:rsidRPr="003317DD">
        <w:rPr>
          <w:bCs/>
        </w:rPr>
        <w:t>36540-36542</w:t>
      </w:r>
      <w:r w:rsidR="002302EE" w:rsidRPr="003317DD">
        <w:rPr>
          <w:bCs/>
        </w:rPr>
        <w:t xml:space="preserve">, exp. </w:t>
      </w:r>
      <w:r w:rsidR="00E91FEF" w:rsidRPr="003317DD">
        <w:rPr>
          <w:bCs/>
        </w:rPr>
        <w:t>01/31/2019</w:t>
      </w:r>
      <w:r w:rsidR="002302EE" w:rsidRPr="003317DD">
        <w:rPr>
          <w:bCs/>
        </w:rPr>
        <w:t>.</w:t>
      </w:r>
    </w:p>
    <w:p w:rsidR="00C1216F" w:rsidRPr="003317DD" w:rsidRDefault="00C1216F" w:rsidP="006E4CC2">
      <w:pPr>
        <w:spacing w:line="360" w:lineRule="auto"/>
      </w:pPr>
      <w:r w:rsidRPr="003317DD">
        <w:t xml:space="preserve">In addition, </w:t>
      </w:r>
      <w:r w:rsidR="008A498C" w:rsidRPr="003317DD">
        <w:t>t</w:t>
      </w:r>
      <w:r w:rsidR="003D2D57" w:rsidRPr="003317DD">
        <w:t xml:space="preserve">he following </w:t>
      </w:r>
      <w:r w:rsidR="00B6300F" w:rsidRPr="003317DD">
        <w:t xml:space="preserve">partnering </w:t>
      </w:r>
      <w:r w:rsidR="003D2D57" w:rsidRPr="003317DD">
        <w:t>staff</w:t>
      </w:r>
      <w:r w:rsidR="003F3217" w:rsidRPr="003317DD">
        <w:t xml:space="preserve"> at </w:t>
      </w:r>
      <w:r w:rsidR="006E41AA" w:rsidRPr="003317DD">
        <w:t>ASTHO</w:t>
      </w:r>
      <w:r w:rsidR="006E41AA" w:rsidRPr="003317DD" w:rsidDel="00B6300F">
        <w:t xml:space="preserve"> </w:t>
      </w:r>
      <w:r w:rsidR="006E41AA" w:rsidRPr="003317DD">
        <w:t xml:space="preserve">and local Health Departments </w:t>
      </w:r>
      <w:r w:rsidR="00A71916" w:rsidRPr="003317DD">
        <w:t xml:space="preserve">were consulted for the development of this study. There were no unresolved issues associated with the consultation process. Aside from the official </w:t>
      </w:r>
      <w:r w:rsidR="0064553E" w:rsidRPr="003317DD">
        <w:t>60-day</w:t>
      </w:r>
      <w:r w:rsidR="00A71916" w:rsidRPr="003317DD">
        <w:t xml:space="preserve"> public comment period</w:t>
      </w:r>
      <w:r w:rsidR="0014691A" w:rsidRPr="003317DD">
        <w:t xml:space="preserve"> for the Generic data collection</w:t>
      </w:r>
      <w:r w:rsidR="00A71916" w:rsidRPr="003317DD">
        <w:t xml:space="preserve">, there were no other public contacts or opportunities for public comment on this </w:t>
      </w:r>
      <w:r w:rsidR="007F7EDD" w:rsidRPr="003317DD">
        <w:t>information collection</w:t>
      </w:r>
      <w:r w:rsidR="00A71916" w:rsidRPr="003317DD">
        <w:t xml:space="preserve">. </w:t>
      </w:r>
    </w:p>
    <w:p w:rsidR="001757F8" w:rsidRPr="003317DD" w:rsidRDefault="001757F8" w:rsidP="001757F8">
      <w:r w:rsidRPr="003317DD">
        <w:t xml:space="preserve">8b. </w:t>
      </w:r>
      <w:r w:rsidR="006E41AA" w:rsidRPr="003317DD">
        <w:t xml:space="preserve">ASTHO </w:t>
      </w:r>
      <w:r w:rsidRPr="003317DD">
        <w:t xml:space="preserve">consultant on this project include: </w:t>
      </w:r>
    </w:p>
    <w:p w:rsidR="00141B0A" w:rsidRPr="003317DD" w:rsidRDefault="00141B0A" w:rsidP="001757F8"/>
    <w:p w:rsidR="00141B0A" w:rsidRPr="003317DD" w:rsidRDefault="00141B0A" w:rsidP="0064671E">
      <w:pPr>
        <w:pBdr>
          <w:top w:val="single" w:sz="4" w:space="1" w:color="auto"/>
          <w:left w:val="single" w:sz="4" w:space="4" w:color="auto"/>
          <w:bottom w:val="single" w:sz="4" w:space="1" w:color="auto"/>
          <w:right w:val="single" w:sz="4" w:space="4" w:color="auto"/>
        </w:pBdr>
      </w:pPr>
      <w:r w:rsidRPr="003317DD">
        <w:t>Geetika Nadkarni, MPH</w:t>
      </w:r>
      <w:r w:rsidRPr="003317DD">
        <w:br/>
        <w:t xml:space="preserve">Director, Infectious </w:t>
      </w:r>
      <w:r w:rsidR="00016715" w:rsidRPr="003317DD">
        <w:t xml:space="preserve">Diseases </w:t>
      </w:r>
      <w:r w:rsidRPr="003317DD">
        <w:br/>
        <w:t xml:space="preserve">(571) 527-3164 </w:t>
      </w:r>
      <w:r w:rsidRPr="003317DD">
        <w:rPr>
          <w:color w:val="AEAAAA"/>
        </w:rPr>
        <w:t xml:space="preserve">| </w:t>
      </w:r>
      <w:r w:rsidRPr="003317DD">
        <w:t>Association of State and Territorial Health Officials</w:t>
      </w:r>
      <w:r w:rsidRPr="003317DD">
        <w:br/>
      </w:r>
      <w:r w:rsidRPr="003317DD">
        <w:rPr>
          <w:b/>
          <w:bCs/>
        </w:rPr>
        <w:t>National Headquarters:</w:t>
      </w:r>
      <w:r w:rsidRPr="003317DD">
        <w:t xml:space="preserve"> 2231 Crystal Drive, Suite 450, Arlington, VA 22202</w:t>
      </w:r>
    </w:p>
    <w:p w:rsidR="00141B0A" w:rsidRPr="003317DD" w:rsidRDefault="00141B0A" w:rsidP="0064671E">
      <w:pPr>
        <w:pBdr>
          <w:top w:val="single" w:sz="4" w:space="1" w:color="auto"/>
          <w:left w:val="single" w:sz="4" w:space="4" w:color="auto"/>
          <w:bottom w:val="single" w:sz="4" w:space="1" w:color="auto"/>
          <w:right w:val="single" w:sz="4" w:space="4" w:color="auto"/>
        </w:pBdr>
      </w:pPr>
      <w:r w:rsidRPr="003317DD">
        <w:rPr>
          <w:b/>
          <w:bCs/>
        </w:rPr>
        <w:t>Regional Office:</w:t>
      </w:r>
      <w:r w:rsidRPr="003317DD">
        <w:t xml:space="preserve"> 600 Peachtree Street NE, Suite 1000, Atlanta, GA 30308</w:t>
      </w:r>
    </w:p>
    <w:p w:rsidR="00141B0A" w:rsidRPr="003317DD" w:rsidRDefault="00141B0A" w:rsidP="001757F8"/>
    <w:p w:rsidR="00C1216F" w:rsidRPr="003317DD" w:rsidRDefault="00C1216F" w:rsidP="00D467C4"/>
    <w:p w:rsidR="00CC6AB1" w:rsidRPr="003317DD" w:rsidRDefault="00CC6AB1" w:rsidP="00E53653">
      <w:pPr>
        <w:pStyle w:val="Heading1"/>
        <w:rPr>
          <w:rFonts w:cs="Times New Roman"/>
          <w:szCs w:val="24"/>
        </w:rPr>
      </w:pPr>
      <w:bookmarkStart w:id="10" w:name="_Toc508274295"/>
      <w:r w:rsidRPr="003317DD">
        <w:rPr>
          <w:rFonts w:cs="Times New Roman"/>
          <w:szCs w:val="24"/>
        </w:rPr>
        <w:t>Explanation of Any Payment or Gift to Respondents</w:t>
      </w:r>
      <w:bookmarkEnd w:id="10"/>
    </w:p>
    <w:p w:rsidR="00CC6AB1" w:rsidRPr="003317DD" w:rsidRDefault="00CC6AB1" w:rsidP="00D467C4"/>
    <w:p w:rsidR="005C375D" w:rsidRPr="0064671E" w:rsidRDefault="004B3D61" w:rsidP="005C375D">
      <w:pPr>
        <w:autoSpaceDE w:val="0"/>
        <w:autoSpaceDN w:val="0"/>
        <w:adjustRightInd w:val="0"/>
        <w:spacing w:line="360" w:lineRule="auto"/>
      </w:pPr>
      <w:r w:rsidRPr="003317DD">
        <w:t>Interview</w:t>
      </w:r>
      <w:r w:rsidR="005C375D" w:rsidRPr="003317DD">
        <w:rPr>
          <w:rFonts w:eastAsiaTheme="minorHAnsi"/>
        </w:rPr>
        <w:t xml:space="preserve"> </w:t>
      </w:r>
      <w:r w:rsidR="005C375D" w:rsidRPr="0064671E">
        <w:t>respondents will each receive a $</w:t>
      </w:r>
      <w:r w:rsidR="00016715" w:rsidRPr="0064671E">
        <w:t xml:space="preserve">60 </w:t>
      </w:r>
      <w:r w:rsidR="005C375D" w:rsidRPr="0064671E">
        <w:t xml:space="preserve">token of appreciation in the form of </w:t>
      </w:r>
      <w:r w:rsidR="00016715" w:rsidRPr="0064671E">
        <w:t>a Visa</w:t>
      </w:r>
      <w:r w:rsidR="005C375D" w:rsidRPr="0064671E">
        <w:t xml:space="preserve"> gift card. 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(Abreu &amp; Winters 1999; Shettle 1999). Additionally, offering tokens of appreciation is cost-efficient, decreasing cost to </w:t>
      </w:r>
      <w:r w:rsidR="00516519">
        <w:t xml:space="preserve">the </w:t>
      </w:r>
      <w:r w:rsidR="005C375D" w:rsidRPr="0064671E">
        <w:t>government by reducing the number of contact attempts necessary to gain participation when no token of appreciation is offered (Bricker 2014).</w:t>
      </w:r>
    </w:p>
    <w:p w:rsidR="00495C50" w:rsidRPr="00495C50" w:rsidRDefault="00495C50" w:rsidP="00495C50">
      <w:pPr>
        <w:autoSpaceDE w:val="0"/>
        <w:autoSpaceDN w:val="0"/>
        <w:adjustRightInd w:val="0"/>
        <w:spacing w:line="360" w:lineRule="auto"/>
      </w:pPr>
      <w:r w:rsidRPr="00495C50">
        <w:t xml:space="preserve">Remuneration has been used in other HIV/STD-related CDC data collection efforts, such as for National HIV Behavioral Surveillance (OMB 0920-0770, exp. 5/31/2014) and the Testing Brief Messages for </w:t>
      </w:r>
      <w:r>
        <w:t>BL</w:t>
      </w:r>
      <w:r w:rsidRPr="00495C50">
        <w:t xml:space="preserve">MSM Study (OMB 0920-14SY under 0920-0840, exp. 1/31/2019), which included high risk populations and had a similar length of time for completing the client interview as in this proposed research. In all of these other projects, tokens of appreciation were used to help increase participation rates.  </w:t>
      </w:r>
    </w:p>
    <w:p w:rsidR="002102E0" w:rsidRDefault="002102E0" w:rsidP="002102E0">
      <w:pPr>
        <w:autoSpaceDE w:val="0"/>
        <w:autoSpaceDN w:val="0"/>
        <w:adjustRightInd w:val="0"/>
        <w:spacing w:line="360" w:lineRule="auto"/>
      </w:pPr>
      <w:r>
        <w:t xml:space="preserve">Participating in a 90-minute in-depth interview requires a considerable investment of personal time and potential for inconvenience to the respondent. Women who volunteer to participate in this research do so at the significant cost of their own time, transportation, lost wages, and need for childcare.  </w:t>
      </w:r>
    </w:p>
    <w:p w:rsidR="002102E0" w:rsidRDefault="002102E0" w:rsidP="002102E0">
      <w:pPr>
        <w:autoSpaceDE w:val="0"/>
        <w:autoSpaceDN w:val="0"/>
        <w:adjustRightInd w:val="0"/>
        <w:spacing w:line="360" w:lineRule="auto"/>
      </w:pPr>
      <w:r>
        <w:t>The $60 propose</w:t>
      </w:r>
      <w:r w:rsidR="000475C9">
        <w:t>d token of appreciation is commensu</w:t>
      </w:r>
      <w:r>
        <w:t>rate with government-wide practices, which include a $40 token of appreciation for a one-hour, up to $75 for a 90 – 120 min. in-depth interview, designed to include needs associated with traveling to a facility (e.g., gas, parking, taxi, day care needs). Groth (2010) stated when applied in a reasonable manner, financial incentives are not an unjust inducement to participation and are an approach that acknowledges participants for their time and effort. Financial incentives can contribute to minority participation without using coercion (Halpern et al., 2004). In fact, payment affirms participants’ value and the importance of their participation (Russell et al., 2000). It can also equalize the burden placed on participants in terms of time and cost to participation (Russell et al., 2000).</w:t>
      </w:r>
    </w:p>
    <w:p w:rsidR="002102E0" w:rsidRDefault="002102E0" w:rsidP="002102E0">
      <w:pPr>
        <w:autoSpaceDE w:val="0"/>
        <w:autoSpaceDN w:val="0"/>
        <w:adjustRightInd w:val="0"/>
        <w:spacing w:line="360" w:lineRule="auto"/>
      </w:pPr>
      <w:r>
        <w:t>The $60 amount is also consistent with other tokens of appreciation used in CDC-sponsored HIV/STD data collection efforts, using similar methodologies, and targeting similar vulnerable and at-risk populations; including the “Using Qualitative Methods to Understand Issues in HIV Prevention, Care and Treatment in the</w:t>
      </w:r>
    </w:p>
    <w:p w:rsidR="002102E0" w:rsidRDefault="002102E0" w:rsidP="002102E0">
      <w:pPr>
        <w:autoSpaceDE w:val="0"/>
        <w:autoSpaceDN w:val="0"/>
        <w:adjustRightInd w:val="0"/>
        <w:spacing w:line="360" w:lineRule="auto"/>
      </w:pPr>
      <w:r>
        <w:t xml:space="preserve">United States” (OMB 0920-1091, exp. 09/30/2021), “National HIV Behavioral Surveillance” (OMB 0920-0770, exp. 5/31/2014) and the “Testing Brief Messages for BLMSM Study” (OMB 0920-14SY under 0920-0840, exp. 1/31/2019). </w:t>
      </w:r>
    </w:p>
    <w:p w:rsidR="002102E0" w:rsidRDefault="002102E0" w:rsidP="002102E0">
      <w:pPr>
        <w:autoSpaceDE w:val="0"/>
        <w:autoSpaceDN w:val="0"/>
        <w:adjustRightInd w:val="0"/>
        <w:spacing w:line="360" w:lineRule="auto"/>
      </w:pPr>
      <w:r>
        <w:t>Research has shown offering tokens of appreciation is cost-efficient, decreasing cost to the government by increasing participation and reducing the number of contact attempts necessary to gain participation compared to data collections where no token of appreciation is offered (Church, 1993;  Singer et al.,</w:t>
      </w:r>
      <w:r w:rsidR="00815E83">
        <w:t xml:space="preserve"> 2008</w:t>
      </w:r>
      <w:r>
        <w:t>; Bricker 2014).Although they effect of incentives on response rates and non-response bias are used to primarily characterize quantitative data collections (i.e. surveys); offering monetary tokens of appreciation for qualitative research, such as in-depth interviews, is a common and encouraged practice used to increase higher levels of engagement, increase recruitment time, limit “no shows”, and lower overall project costs in qu</w:t>
      </w:r>
      <w:r w:rsidR="00815E83">
        <w:t>alitative research (</w:t>
      </w:r>
      <w:r>
        <w:t xml:space="preserve">Hagglund 2017) . </w:t>
      </w:r>
    </w:p>
    <w:p w:rsidR="005C375D" w:rsidRPr="003317DD" w:rsidRDefault="002102E0" w:rsidP="006F42D1">
      <w:pPr>
        <w:autoSpaceDE w:val="0"/>
        <w:autoSpaceDN w:val="0"/>
        <w:adjustRightInd w:val="0"/>
        <w:spacing w:line="360" w:lineRule="auto"/>
      </w:pPr>
      <w:r>
        <w:t>CDC-IRB approved this incentive amount and did not consider it too high or coercive considering the population, amount of time required, and the sensitive nature of the topics discussed in the interview.</w:t>
      </w:r>
      <w:r w:rsidR="005C375D" w:rsidRPr="003317DD">
        <w:t xml:space="preserve"> Data quality depends on being able to recruit engaged respondents who are willing to spend time and share their perspectives with the interviewer. The study team feels that anything less than $</w:t>
      </w:r>
      <w:r w:rsidR="00016715" w:rsidRPr="003317DD">
        <w:t xml:space="preserve">60 </w:t>
      </w:r>
      <w:r w:rsidR="005C375D" w:rsidRPr="003317DD">
        <w:t xml:space="preserve">is likely to hamper recruitment and would not be reflective of the level of appreciation warranted by the respondent’s contribution to the study aims. </w:t>
      </w:r>
    </w:p>
    <w:p w:rsidR="00B12EA3" w:rsidRPr="003317DD" w:rsidRDefault="00B12EA3" w:rsidP="00E53653">
      <w:pPr>
        <w:pStyle w:val="Heading1"/>
        <w:rPr>
          <w:rFonts w:cs="Times New Roman"/>
          <w:szCs w:val="24"/>
        </w:rPr>
      </w:pPr>
      <w:bookmarkStart w:id="11" w:name="_Toc508274296"/>
      <w:r w:rsidRPr="003317DD">
        <w:rPr>
          <w:rFonts w:cs="Times New Roman"/>
          <w:szCs w:val="24"/>
        </w:rPr>
        <w:t>Protection of the Privacy and Confidentiality of Information Provided by Respondents</w:t>
      </w:r>
      <w:bookmarkEnd w:id="11"/>
    </w:p>
    <w:p w:rsidR="007C2B6F" w:rsidRPr="003317DD" w:rsidRDefault="007C2B6F" w:rsidP="00D467C4"/>
    <w:p w:rsidR="00242341" w:rsidRPr="003317DD" w:rsidRDefault="00242341" w:rsidP="006E4CC2">
      <w:pPr>
        <w:spacing w:line="360" w:lineRule="auto"/>
      </w:pPr>
      <w:r w:rsidRPr="003317DD">
        <w:t>The NCHHSTP PRA Coordinator has reviewed this project and determined the Privacy Act does not apply since personally identifiable information (PII) will not be transmitted to the CDC.</w:t>
      </w:r>
    </w:p>
    <w:p w:rsidR="00B447EE" w:rsidRPr="003317DD" w:rsidRDefault="00B447EE" w:rsidP="006E4CC2">
      <w:pPr>
        <w:spacing w:line="360" w:lineRule="auto"/>
      </w:pPr>
      <w:r w:rsidRPr="003317DD">
        <w:t xml:space="preserve">We will inform respondents that their responses will be kept private to the extent permitted by the law. </w:t>
      </w:r>
      <w:r w:rsidR="002102E0">
        <w:t>Names will be stripped fro</w:t>
      </w:r>
      <w:r w:rsidR="006F42D1">
        <w:t xml:space="preserve">m transcripts of interviews before transcripts are transmitted to CDC. </w:t>
      </w:r>
      <w:r w:rsidRPr="003317DD">
        <w:t xml:space="preserve">All </w:t>
      </w:r>
      <w:r w:rsidR="00C73AE8" w:rsidRPr="003317DD">
        <w:t>respondents</w:t>
      </w:r>
      <w:r w:rsidRPr="003317DD">
        <w:t xml:space="preserve"> interviewed will be informed that the information collected will not be attributable directly to the respondent and will only be discussed among members of the </w:t>
      </w:r>
      <w:r w:rsidR="007F1E53" w:rsidRPr="003317DD">
        <w:t xml:space="preserve">research </w:t>
      </w:r>
      <w:r w:rsidRPr="003317DD">
        <w:t>team. Terms of the CDC contract authorizing data collection require the contractor to maintain the privacy of all information collected. Accordingly, individuals’ data will be kept private and protected to the extent permitted by law.</w:t>
      </w:r>
    </w:p>
    <w:p w:rsidR="00B12EA3" w:rsidRPr="003317DD" w:rsidRDefault="00B12EA3" w:rsidP="0038668E">
      <w:pPr>
        <w:pStyle w:val="Heading1"/>
        <w:rPr>
          <w:rFonts w:eastAsia="Times New Roman" w:cs="Times New Roman"/>
          <w:szCs w:val="24"/>
        </w:rPr>
      </w:pPr>
      <w:bookmarkStart w:id="12" w:name="_Toc508274297"/>
      <w:r w:rsidRPr="003317DD">
        <w:rPr>
          <w:rFonts w:cs="Times New Roman"/>
          <w:szCs w:val="24"/>
        </w:rPr>
        <w:t>Institutional Review Board (IRB) and Justification for Sensitive Questions</w:t>
      </w:r>
      <w:bookmarkEnd w:id="12"/>
    </w:p>
    <w:p w:rsidR="007C2B6F" w:rsidRPr="003317DD" w:rsidRDefault="007C2B6F" w:rsidP="00D467C4"/>
    <w:p w:rsidR="00D312D3" w:rsidRPr="003317DD" w:rsidRDefault="00D312D3" w:rsidP="00D467C4">
      <w:r w:rsidRPr="003317DD">
        <w:t>IRB Approval</w:t>
      </w:r>
      <w:r w:rsidR="001F5846" w:rsidRPr="003317DD">
        <w:t>:</w:t>
      </w:r>
    </w:p>
    <w:p w:rsidR="00D312D3" w:rsidRPr="003317DD" w:rsidRDefault="00D312D3" w:rsidP="00D467C4"/>
    <w:p w:rsidR="003C3C33" w:rsidRPr="003317DD" w:rsidRDefault="003340FF" w:rsidP="006E4CC2">
      <w:pPr>
        <w:rPr>
          <w:w w:val="105"/>
          <w:highlight w:val="yellow"/>
        </w:rPr>
      </w:pPr>
      <w:r w:rsidRPr="003317DD">
        <w:t xml:space="preserve">This study has been reviewed and approved by </w:t>
      </w:r>
      <w:r w:rsidR="006E4CC2" w:rsidRPr="003317DD">
        <w:t xml:space="preserve">the </w:t>
      </w:r>
      <w:r w:rsidR="00016715" w:rsidRPr="003317DD">
        <w:rPr>
          <w:w w:val="105"/>
        </w:rPr>
        <w:t xml:space="preserve">CDC </w:t>
      </w:r>
      <w:r w:rsidR="006E4CC2" w:rsidRPr="003317DD">
        <w:rPr>
          <w:w w:val="105"/>
        </w:rPr>
        <w:t xml:space="preserve">Institutional Review Board </w:t>
      </w:r>
      <w:r w:rsidR="00A61B2E" w:rsidRPr="003317DD">
        <w:rPr>
          <w:w w:val="105"/>
        </w:rPr>
        <w:t xml:space="preserve">IRB </w:t>
      </w:r>
      <w:r w:rsidR="009951A9" w:rsidRPr="003317DD">
        <w:t>(</w:t>
      </w:r>
      <w:r w:rsidR="009951A9" w:rsidRPr="003317DD">
        <w:rPr>
          <w:b/>
        </w:rPr>
        <w:t xml:space="preserve">Attachment </w:t>
      </w:r>
      <w:r w:rsidR="00E3750B" w:rsidRPr="003317DD">
        <w:rPr>
          <w:b/>
        </w:rPr>
        <w:t>6</w:t>
      </w:r>
      <w:r w:rsidR="009D6649" w:rsidRPr="003317DD">
        <w:t>)</w:t>
      </w:r>
      <w:r w:rsidRPr="003317DD">
        <w:t xml:space="preserve">. </w:t>
      </w:r>
    </w:p>
    <w:p w:rsidR="003C3C33" w:rsidRDefault="003C3C33" w:rsidP="00D467C4"/>
    <w:p w:rsidR="006F42D1" w:rsidRPr="006F42D1" w:rsidRDefault="006F42D1" w:rsidP="006F42D1">
      <w:pPr>
        <w:spacing w:line="360" w:lineRule="auto"/>
      </w:pPr>
      <w:r w:rsidRPr="006F42D1">
        <w:t>All project staff, contracted interviewers, including state and local health departments site personnel were included in and approved by CDC’s IRB, on June 7, 2018.  All project staff received a copy of CDC’s approved IRB protocol for this project. Each local site had the option to go through their own local IRB or defer to CDC’s IRB, because the CDC-level review was inclusive of all the sites.  Florida and California elected to defer to CDCs IRB, Chicago went through the additional layer of their own local IRB, using the CDC approved protocol package and received approval October 26, 2018.</w:t>
      </w:r>
    </w:p>
    <w:p w:rsidR="006F42D1" w:rsidRDefault="006F42D1" w:rsidP="00D467C4"/>
    <w:p w:rsidR="006F42D1" w:rsidRPr="003317DD" w:rsidRDefault="006F42D1" w:rsidP="00D467C4"/>
    <w:p w:rsidR="003C3C33" w:rsidRPr="00495C50" w:rsidRDefault="003C3C33" w:rsidP="00D467C4">
      <w:r w:rsidRPr="00495C50">
        <w:t>Sensitive Questions</w:t>
      </w:r>
      <w:r w:rsidR="001F5846" w:rsidRPr="00495C50">
        <w:t>:</w:t>
      </w:r>
    </w:p>
    <w:p w:rsidR="003C3C33" w:rsidRPr="00495C50" w:rsidRDefault="003C3C33" w:rsidP="00D467C4"/>
    <w:p w:rsidR="00AC254E" w:rsidRPr="003317DD" w:rsidRDefault="00D6673F" w:rsidP="006E4CC2">
      <w:pPr>
        <w:spacing w:line="360" w:lineRule="auto"/>
        <w:jc w:val="both"/>
      </w:pPr>
      <w:r w:rsidRPr="00495C50">
        <w:t>This study is an initiative aimed to</w:t>
      </w:r>
      <w:r w:rsidR="00232A59" w:rsidRPr="00495C50">
        <w:t xml:space="preserve"> </w:t>
      </w:r>
      <w:r w:rsidR="00BA1759" w:rsidRPr="00495C50">
        <w:t xml:space="preserve">inform the development of strategies to prevent and reduce </w:t>
      </w:r>
      <w:r w:rsidR="00495C50">
        <w:t xml:space="preserve">congenital </w:t>
      </w:r>
      <w:r w:rsidR="00BA1759" w:rsidRPr="00495C50">
        <w:t xml:space="preserve">syphilis transmission </w:t>
      </w:r>
      <w:r w:rsidR="00C73AE8" w:rsidRPr="00495C50">
        <w:t xml:space="preserve">and promote sexual health among </w:t>
      </w:r>
      <w:r w:rsidR="00495C50">
        <w:t>women at high risk for syphilis</w:t>
      </w:r>
      <w:r w:rsidRPr="00495C50">
        <w:t xml:space="preserve">. </w:t>
      </w:r>
      <w:r w:rsidR="00495C50" w:rsidRPr="00495C50">
        <w:t xml:space="preserve">As such, our information collection entails measurement of sensitive syphilis diagnosis-related information. All contracting staff will be trained to provide respondents with city-specific hotlines for STD-care related and mental health care organizations as needed. We will inform all participants that they may skip any question or stop participation at any time for any reason. </w:t>
      </w:r>
    </w:p>
    <w:p w:rsidR="00B12EA3" w:rsidRPr="003317DD" w:rsidRDefault="00B12EA3" w:rsidP="00E53653">
      <w:pPr>
        <w:pStyle w:val="Heading1"/>
        <w:rPr>
          <w:rFonts w:cs="Times New Roman"/>
          <w:szCs w:val="24"/>
        </w:rPr>
      </w:pPr>
      <w:bookmarkStart w:id="13" w:name="_Toc508274298"/>
      <w:r w:rsidRPr="003317DD">
        <w:rPr>
          <w:rFonts w:cs="Times New Roman"/>
          <w:szCs w:val="24"/>
        </w:rPr>
        <w:t>Estimates of Annualized Burden Hours and Costs</w:t>
      </w:r>
      <w:bookmarkEnd w:id="13"/>
    </w:p>
    <w:p w:rsidR="002D3D0C" w:rsidRPr="003317DD" w:rsidRDefault="002D3D0C" w:rsidP="002D3D0C"/>
    <w:p w:rsidR="008452CD" w:rsidRPr="003317DD" w:rsidRDefault="001F5846" w:rsidP="006E4CC2">
      <w:pPr>
        <w:spacing w:line="360" w:lineRule="auto"/>
      </w:pPr>
      <w:r w:rsidRPr="003317DD">
        <w:rPr>
          <w:b/>
        </w:rPr>
        <w:t>Exhibits 12.1</w:t>
      </w:r>
      <w:r w:rsidRPr="003317DD">
        <w:t xml:space="preserve"> and </w:t>
      </w:r>
      <w:r w:rsidR="00232A59" w:rsidRPr="003317DD">
        <w:rPr>
          <w:b/>
        </w:rPr>
        <w:t>12.2</w:t>
      </w:r>
      <w:r w:rsidR="00232A59" w:rsidRPr="003317DD">
        <w:t xml:space="preserve"> provide details about how the estimates of burden hours and costs were calculated. We calculated the overall burden per respondent by multiplying the frequency of response by the time to complete each data collection item. </w:t>
      </w:r>
      <w:r w:rsidR="00016715" w:rsidRPr="003317DD">
        <w:t>All women referred to the project</w:t>
      </w:r>
      <w:r w:rsidR="00232A59" w:rsidRPr="003317DD">
        <w:t xml:space="preserve"> </w:t>
      </w:r>
      <w:r w:rsidR="00016715" w:rsidRPr="003317DD">
        <w:t xml:space="preserve">by the local health departments </w:t>
      </w:r>
      <w:r w:rsidR="00232A59" w:rsidRPr="003317DD">
        <w:t xml:space="preserve">will </w:t>
      </w:r>
      <w:r w:rsidR="00016715" w:rsidRPr="003317DD">
        <w:t xml:space="preserve">meet eligibility </w:t>
      </w:r>
      <w:r w:rsidR="0064671E" w:rsidRPr="003317DD">
        <w:t>for the</w:t>
      </w:r>
      <w:r w:rsidR="00232A59" w:rsidRPr="003317DD">
        <w:t xml:space="preserve"> study</w:t>
      </w:r>
      <w:r w:rsidR="00F81AFD" w:rsidRPr="003317DD">
        <w:t xml:space="preserve">, so they will not be screened. </w:t>
      </w:r>
      <w:r w:rsidR="006B0BFB">
        <w:t xml:space="preserve">Eligible women will be contacted for recruitment by health department staff.  We estimate that approximately 100 eligible women will be contacted per each of the three sites, for a total of 300 women contacted. The recruitment script (Att. 3a) and follow on interview scheduling script for those women who agree to participate (Att 3c) are expected to take a total of 5 minutes each. </w:t>
      </w:r>
      <w:r w:rsidR="00232A59" w:rsidRPr="003317DD">
        <w:t>The in-depth interviews</w:t>
      </w:r>
      <w:r w:rsidR="006B0BFB">
        <w:t xml:space="preserve"> (Att. 5a) </w:t>
      </w:r>
      <w:r w:rsidR="006B0BFB" w:rsidRPr="003317DD">
        <w:t>for</w:t>
      </w:r>
      <w:r w:rsidR="00232A59" w:rsidRPr="003317DD">
        <w:t xml:space="preserve"> </w:t>
      </w:r>
      <w:r w:rsidR="00016715" w:rsidRPr="003317DD">
        <w:t>case moms is</w:t>
      </w:r>
      <w:r w:rsidR="00232A59" w:rsidRPr="003317DD">
        <w:t xml:space="preserve"> expected to take a total of </w:t>
      </w:r>
      <w:r w:rsidR="00016715" w:rsidRPr="003317DD">
        <w:t xml:space="preserve">90 </w:t>
      </w:r>
      <w:r w:rsidR="00232A59" w:rsidRPr="003317DD">
        <w:t>minutes (1</w:t>
      </w:r>
      <w:r w:rsidR="00016715" w:rsidRPr="003317DD">
        <w:t>.5</w:t>
      </w:r>
      <w:r w:rsidR="00232A59" w:rsidRPr="003317DD">
        <w:t xml:space="preserve"> hour) each. The total number of burden hours is</w:t>
      </w:r>
      <w:r w:rsidR="006B0BFB">
        <w:t>120.</w:t>
      </w:r>
    </w:p>
    <w:p w:rsidR="00332F80" w:rsidRPr="003317DD" w:rsidRDefault="00332F80" w:rsidP="00E53653">
      <w:pPr>
        <w:pStyle w:val="Heading2"/>
        <w:rPr>
          <w:rFonts w:cs="Times New Roman"/>
          <w:szCs w:val="24"/>
        </w:rPr>
      </w:pPr>
      <w:bookmarkStart w:id="14" w:name="_Toc444867858"/>
      <w:bookmarkStart w:id="15" w:name="_Toc444883709"/>
      <w:bookmarkStart w:id="16" w:name="_Toc445385234"/>
      <w:bookmarkStart w:id="17" w:name="_Toc508274299"/>
      <w:r w:rsidRPr="003317DD">
        <w:rPr>
          <w:rFonts w:cs="Times New Roman"/>
          <w:szCs w:val="24"/>
        </w:rPr>
        <w:t>Estimated Annualized Burden Hours</w:t>
      </w:r>
      <w:bookmarkEnd w:id="14"/>
      <w:bookmarkEnd w:id="15"/>
      <w:bookmarkEnd w:id="16"/>
      <w:bookmarkEnd w:id="17"/>
    </w:p>
    <w:p w:rsidR="00332F80" w:rsidRDefault="00332F80" w:rsidP="00D467C4"/>
    <w:p w:rsidR="00E53653" w:rsidRPr="007376F4" w:rsidRDefault="00E86C70" w:rsidP="00E6566E">
      <w:pPr>
        <w:pStyle w:val="Caption"/>
      </w:pPr>
      <w:bookmarkStart w:id="18" w:name="_Toc508274309"/>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E25EE5">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E25EE5">
        <w:rPr>
          <w:noProof/>
          <w:sz w:val="24"/>
          <w:szCs w:val="24"/>
        </w:rPr>
        <w:t>1</w:t>
      </w:r>
      <w:r w:rsidR="00C91C02">
        <w:rPr>
          <w:sz w:val="24"/>
          <w:szCs w:val="24"/>
        </w:rPr>
        <w:fldChar w:fldCharType="end"/>
      </w:r>
      <w:r w:rsidRPr="00E6566E">
        <w:rPr>
          <w:sz w:val="24"/>
          <w:szCs w:val="24"/>
        </w:rPr>
        <w:t>: Estimated Annualized Burden Hours</w:t>
      </w:r>
      <w:bookmarkEnd w:id="18"/>
    </w:p>
    <w:p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rsidTr="00F951D1">
        <w:trPr>
          <w:cantSplit/>
          <w:tblHeader/>
        </w:trPr>
        <w:tc>
          <w:tcPr>
            <w:tcW w:w="1527" w:type="dxa"/>
            <w:tcBorders>
              <w:top w:val="single" w:sz="2" w:space="0" w:color="000000"/>
              <w:left w:val="single" w:sz="2" w:space="0" w:color="000000"/>
              <w:bottom w:val="nil"/>
              <w:right w:val="nil"/>
            </w:tcBorders>
          </w:tcPr>
          <w:p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rsidR="000879CA" w:rsidRPr="00603813" w:rsidRDefault="000879CA" w:rsidP="001054F6">
            <w:pPr>
              <w:rPr>
                <w:b/>
                <w:sz w:val="20"/>
                <w:szCs w:val="20"/>
              </w:rPr>
            </w:pPr>
            <w:r w:rsidRPr="00603813">
              <w:rPr>
                <w:b/>
                <w:sz w:val="20"/>
                <w:szCs w:val="20"/>
              </w:rPr>
              <w:t xml:space="preserve">Total </w:t>
            </w:r>
          </w:p>
          <w:p w:rsidR="000879CA" w:rsidRPr="00603813" w:rsidRDefault="000879CA" w:rsidP="001054F6">
            <w:pPr>
              <w:rPr>
                <w:b/>
                <w:sz w:val="20"/>
                <w:szCs w:val="20"/>
              </w:rPr>
            </w:pPr>
            <w:r w:rsidRPr="00603813">
              <w:rPr>
                <w:b/>
                <w:sz w:val="20"/>
                <w:szCs w:val="20"/>
              </w:rPr>
              <w:t>Burden</w:t>
            </w:r>
          </w:p>
          <w:p w:rsidR="000879CA" w:rsidRPr="00603813" w:rsidRDefault="000879CA" w:rsidP="001054F6">
            <w:pPr>
              <w:rPr>
                <w:b/>
                <w:sz w:val="20"/>
                <w:szCs w:val="20"/>
              </w:rPr>
            </w:pPr>
            <w:r w:rsidRPr="00603813">
              <w:rPr>
                <w:b/>
                <w:sz w:val="20"/>
                <w:szCs w:val="20"/>
              </w:rPr>
              <w:t>Hours</w:t>
            </w:r>
          </w:p>
        </w:tc>
      </w:tr>
      <w:tr w:rsidR="008F339E" w:rsidRPr="00603813" w:rsidTr="00F951D1">
        <w:trPr>
          <w:cantSplit/>
        </w:trPr>
        <w:tc>
          <w:tcPr>
            <w:tcW w:w="1527" w:type="dxa"/>
            <w:tcBorders>
              <w:top w:val="single" w:sz="2" w:space="0" w:color="000000"/>
              <w:left w:val="single" w:sz="2" w:space="0" w:color="000000"/>
              <w:right w:val="nil"/>
            </w:tcBorders>
          </w:tcPr>
          <w:p w:rsidR="008F339E" w:rsidRPr="008C571A"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rsidR="008F339E" w:rsidRPr="00C2034B" w:rsidRDefault="006B0BFB" w:rsidP="00C73AE8">
            <w:pPr>
              <w:ind w:left="-39" w:right="51"/>
              <w:rPr>
                <w:iCs/>
                <w:sz w:val="20"/>
                <w:szCs w:val="20"/>
              </w:rPr>
            </w:pPr>
            <w:r>
              <w:rPr>
                <w:iCs/>
                <w:sz w:val="20"/>
                <w:szCs w:val="20"/>
              </w:rPr>
              <w:t>Recruitment Script</w:t>
            </w:r>
            <w:r w:rsidR="00960A76">
              <w:rPr>
                <w:iCs/>
                <w:sz w:val="20"/>
                <w:szCs w:val="20"/>
              </w:rPr>
              <w:t xml:space="preserve">(Att. </w:t>
            </w:r>
            <w:r>
              <w:rPr>
                <w:iCs/>
                <w:sz w:val="20"/>
                <w:szCs w:val="20"/>
              </w:rPr>
              <w:t>3</w:t>
            </w:r>
            <w:r w:rsidR="00016715">
              <w:rPr>
                <w:iCs/>
                <w:sz w:val="20"/>
                <w:szCs w:val="20"/>
              </w:rPr>
              <w:t>a</w:t>
            </w:r>
            <w:r w:rsidR="00960A76">
              <w:rPr>
                <w:iCs/>
                <w:sz w:val="20"/>
                <w:szCs w:val="20"/>
              </w:rPr>
              <w:t>)</w:t>
            </w:r>
          </w:p>
        </w:tc>
        <w:tc>
          <w:tcPr>
            <w:tcW w:w="1890" w:type="dxa"/>
            <w:tcBorders>
              <w:top w:val="single" w:sz="2" w:space="0" w:color="000000"/>
              <w:left w:val="single" w:sz="2" w:space="0" w:color="000000"/>
              <w:bottom w:val="single" w:sz="2" w:space="0" w:color="000000"/>
              <w:right w:val="nil"/>
            </w:tcBorders>
            <w:vAlign w:val="center"/>
          </w:tcPr>
          <w:p w:rsidR="008F339E" w:rsidRDefault="006B0BFB">
            <w:pPr>
              <w:jc w:val="center"/>
              <w:rPr>
                <w:sz w:val="20"/>
                <w:szCs w:val="20"/>
              </w:rPr>
            </w:pPr>
            <w:r>
              <w:rPr>
                <w:sz w:val="20"/>
                <w:szCs w:val="20"/>
              </w:rPr>
              <w:t>300</w:t>
            </w:r>
          </w:p>
        </w:tc>
        <w:tc>
          <w:tcPr>
            <w:tcW w:w="1710" w:type="dxa"/>
            <w:tcBorders>
              <w:top w:val="single" w:sz="2" w:space="0" w:color="000000"/>
              <w:left w:val="single" w:sz="2" w:space="0" w:color="000000"/>
              <w:bottom w:val="single" w:sz="2" w:space="0" w:color="000000"/>
              <w:right w:val="nil"/>
            </w:tcBorders>
            <w:vAlign w:val="center"/>
          </w:tcPr>
          <w:p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8F339E" w:rsidRDefault="006B0BFB"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8F339E" w:rsidRDefault="006B0BFB" w:rsidP="006B0BFB">
            <w:pPr>
              <w:jc w:val="center"/>
              <w:rPr>
                <w:sz w:val="20"/>
                <w:szCs w:val="20"/>
              </w:rPr>
            </w:pPr>
            <w:r>
              <w:rPr>
                <w:sz w:val="20"/>
                <w:szCs w:val="20"/>
              </w:rPr>
              <w:t>25</w:t>
            </w:r>
          </w:p>
        </w:tc>
      </w:tr>
      <w:tr w:rsidR="006B0BFB" w:rsidRPr="00603813" w:rsidTr="00F951D1">
        <w:trPr>
          <w:cantSplit/>
        </w:trPr>
        <w:tc>
          <w:tcPr>
            <w:tcW w:w="1527" w:type="dxa"/>
            <w:tcBorders>
              <w:top w:val="single" w:sz="2" w:space="0" w:color="000000"/>
              <w:left w:val="single" w:sz="2" w:space="0" w:color="000000"/>
              <w:right w:val="nil"/>
            </w:tcBorders>
          </w:tcPr>
          <w:p w:rsidR="006B0BFB" w:rsidRPr="008F339E" w:rsidRDefault="006B0BFB"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rsidR="006B0BFB" w:rsidRDefault="006B0BFB" w:rsidP="00C73AE8">
            <w:pPr>
              <w:ind w:left="-39" w:right="51"/>
              <w:rPr>
                <w:iCs/>
                <w:sz w:val="20"/>
                <w:szCs w:val="20"/>
              </w:rPr>
            </w:pPr>
            <w:r>
              <w:rPr>
                <w:iCs/>
                <w:sz w:val="20"/>
                <w:szCs w:val="20"/>
              </w:rPr>
              <w:t>Interview Scheduling Script ( Att. 3c)</w:t>
            </w:r>
          </w:p>
        </w:tc>
        <w:tc>
          <w:tcPr>
            <w:tcW w:w="1890" w:type="dxa"/>
            <w:tcBorders>
              <w:top w:val="single" w:sz="2" w:space="0" w:color="000000"/>
              <w:left w:val="single" w:sz="2" w:space="0" w:color="000000"/>
              <w:bottom w:val="single" w:sz="2" w:space="0" w:color="000000"/>
              <w:right w:val="nil"/>
            </w:tcBorders>
            <w:vAlign w:val="center"/>
          </w:tcPr>
          <w:p w:rsidR="006B0BFB" w:rsidRDefault="006B0BFB">
            <w:pPr>
              <w:jc w:val="center"/>
              <w:rPr>
                <w:sz w:val="20"/>
                <w:szCs w:val="20"/>
              </w:rPr>
            </w:pPr>
            <w:r>
              <w:rPr>
                <w:sz w:val="20"/>
                <w:szCs w:val="20"/>
              </w:rPr>
              <w:t>60</w:t>
            </w:r>
          </w:p>
        </w:tc>
        <w:tc>
          <w:tcPr>
            <w:tcW w:w="1710" w:type="dxa"/>
            <w:tcBorders>
              <w:top w:val="single" w:sz="2" w:space="0" w:color="000000"/>
              <w:left w:val="single" w:sz="2" w:space="0" w:color="000000"/>
              <w:bottom w:val="single" w:sz="2" w:space="0" w:color="000000"/>
              <w:right w:val="nil"/>
            </w:tcBorders>
            <w:vAlign w:val="center"/>
          </w:tcPr>
          <w:p w:rsidR="006B0BFB" w:rsidRDefault="006B0BFB">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6B0BFB" w:rsidRDefault="006B0BFB"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6B0BFB" w:rsidRDefault="006B0BFB" w:rsidP="001054F6">
            <w:pPr>
              <w:jc w:val="center"/>
              <w:rPr>
                <w:sz w:val="20"/>
                <w:szCs w:val="20"/>
              </w:rPr>
            </w:pPr>
            <w:r>
              <w:rPr>
                <w:sz w:val="20"/>
                <w:szCs w:val="20"/>
              </w:rPr>
              <w:t>5</w:t>
            </w:r>
          </w:p>
        </w:tc>
      </w:tr>
      <w:tr w:rsidR="006B0BFB" w:rsidRPr="00603813" w:rsidTr="00F951D1">
        <w:trPr>
          <w:cantSplit/>
        </w:trPr>
        <w:tc>
          <w:tcPr>
            <w:tcW w:w="1527" w:type="dxa"/>
            <w:tcBorders>
              <w:top w:val="single" w:sz="2" w:space="0" w:color="000000"/>
              <w:left w:val="single" w:sz="2" w:space="0" w:color="000000"/>
              <w:right w:val="nil"/>
            </w:tcBorders>
          </w:tcPr>
          <w:p w:rsidR="006B0BFB" w:rsidRPr="008F339E" w:rsidRDefault="006B0BFB"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rsidR="006B0BFB" w:rsidRDefault="006B0BFB" w:rsidP="00C73AE8">
            <w:pPr>
              <w:ind w:left="-39" w:right="51"/>
              <w:rPr>
                <w:iCs/>
                <w:sz w:val="20"/>
                <w:szCs w:val="20"/>
              </w:rPr>
            </w:pPr>
            <w:r>
              <w:rPr>
                <w:iCs/>
                <w:sz w:val="20"/>
                <w:szCs w:val="20"/>
              </w:rPr>
              <w:t>Interview Guide (Att. 5a)</w:t>
            </w:r>
          </w:p>
        </w:tc>
        <w:tc>
          <w:tcPr>
            <w:tcW w:w="1890" w:type="dxa"/>
            <w:tcBorders>
              <w:top w:val="single" w:sz="2" w:space="0" w:color="000000"/>
              <w:left w:val="single" w:sz="2" w:space="0" w:color="000000"/>
              <w:bottom w:val="single" w:sz="2" w:space="0" w:color="000000"/>
              <w:right w:val="nil"/>
            </w:tcBorders>
            <w:vAlign w:val="center"/>
          </w:tcPr>
          <w:p w:rsidR="006B0BFB" w:rsidRDefault="006B0BFB">
            <w:pPr>
              <w:jc w:val="center"/>
              <w:rPr>
                <w:sz w:val="20"/>
                <w:szCs w:val="20"/>
              </w:rPr>
            </w:pPr>
            <w:r>
              <w:rPr>
                <w:sz w:val="20"/>
                <w:szCs w:val="20"/>
              </w:rPr>
              <w:t>60</w:t>
            </w:r>
          </w:p>
        </w:tc>
        <w:tc>
          <w:tcPr>
            <w:tcW w:w="1710" w:type="dxa"/>
            <w:tcBorders>
              <w:top w:val="single" w:sz="2" w:space="0" w:color="000000"/>
              <w:left w:val="single" w:sz="2" w:space="0" w:color="000000"/>
              <w:bottom w:val="single" w:sz="2" w:space="0" w:color="000000"/>
              <w:right w:val="nil"/>
            </w:tcBorders>
            <w:vAlign w:val="center"/>
          </w:tcPr>
          <w:p w:rsidR="006B0BFB" w:rsidRDefault="006B0BFB">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6B0BFB" w:rsidRDefault="006B0BFB" w:rsidP="00CF191F">
            <w:pPr>
              <w:ind w:right="-39"/>
              <w:jc w:val="center"/>
              <w:rPr>
                <w:sz w:val="20"/>
                <w:szCs w:val="20"/>
              </w:rPr>
            </w:pPr>
            <w:r>
              <w:rPr>
                <w:sz w:val="20"/>
                <w:szCs w:val="20"/>
              </w:rPr>
              <w:t>1.5</w:t>
            </w:r>
          </w:p>
        </w:tc>
        <w:tc>
          <w:tcPr>
            <w:tcW w:w="1170" w:type="dxa"/>
            <w:tcBorders>
              <w:top w:val="single" w:sz="2" w:space="0" w:color="000000"/>
              <w:left w:val="single" w:sz="2" w:space="0" w:color="000000"/>
              <w:bottom w:val="single" w:sz="2" w:space="0" w:color="000000"/>
              <w:right w:val="single" w:sz="2" w:space="0" w:color="000000"/>
            </w:tcBorders>
            <w:vAlign w:val="center"/>
          </w:tcPr>
          <w:p w:rsidR="006B0BFB" w:rsidRDefault="006B0BFB" w:rsidP="001054F6">
            <w:pPr>
              <w:jc w:val="center"/>
              <w:rPr>
                <w:sz w:val="20"/>
                <w:szCs w:val="20"/>
              </w:rPr>
            </w:pPr>
            <w:r>
              <w:rPr>
                <w:sz w:val="20"/>
                <w:szCs w:val="20"/>
              </w:rPr>
              <w:t>90</w:t>
            </w:r>
          </w:p>
        </w:tc>
      </w:tr>
      <w:tr w:rsidR="000879CA" w:rsidRPr="00603813"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0879CA" w:rsidRPr="00603813" w:rsidRDefault="006B0BFB" w:rsidP="00F15AEE">
            <w:pPr>
              <w:jc w:val="center"/>
              <w:rPr>
                <w:b/>
                <w:sz w:val="20"/>
                <w:szCs w:val="20"/>
              </w:rPr>
            </w:pPr>
            <w:r>
              <w:rPr>
                <w:b/>
                <w:sz w:val="20"/>
                <w:szCs w:val="20"/>
              </w:rPr>
              <w:t>120</w:t>
            </w:r>
          </w:p>
        </w:tc>
      </w:tr>
    </w:tbl>
    <w:p w:rsidR="00332F80" w:rsidRPr="00603813" w:rsidRDefault="00332F80" w:rsidP="00332F80">
      <w:pPr>
        <w:rPr>
          <w:b/>
        </w:rPr>
      </w:pPr>
    </w:p>
    <w:p w:rsidR="00332F80" w:rsidRPr="00E6566E" w:rsidRDefault="00332F80" w:rsidP="00E53653">
      <w:pPr>
        <w:pStyle w:val="Heading2"/>
        <w:rPr>
          <w:b w:val="0"/>
        </w:rPr>
      </w:pPr>
      <w:bookmarkStart w:id="19" w:name="_Toc444867859"/>
      <w:bookmarkStart w:id="20" w:name="_Toc444883710"/>
      <w:bookmarkStart w:id="21" w:name="_Toc445385235"/>
      <w:bookmarkStart w:id="22" w:name="_Toc508274300"/>
      <w:r w:rsidRPr="00E6566E">
        <w:t>Estimated Annualized Burden Costs</w:t>
      </w:r>
      <w:bookmarkEnd w:id="19"/>
      <w:bookmarkEnd w:id="20"/>
      <w:bookmarkEnd w:id="21"/>
      <w:bookmarkEnd w:id="22"/>
    </w:p>
    <w:p w:rsidR="00332F80" w:rsidRPr="00603813" w:rsidRDefault="00332F80" w:rsidP="00332F80"/>
    <w:p w:rsidR="00332F80" w:rsidRPr="00603813" w:rsidRDefault="00332F80" w:rsidP="006E4CC2">
      <w:pPr>
        <w:spacing w:line="360" w:lineRule="auto"/>
      </w:pPr>
      <w:r w:rsidRPr="00603813">
        <w:t xml:space="preserve">The annualized costs to the respondents are described in </w:t>
      </w:r>
      <w:r w:rsidRPr="00961EEC">
        <w:rPr>
          <w:b/>
        </w:rPr>
        <w:t xml:space="preserve">Exhibit </w:t>
      </w:r>
      <w:r w:rsidR="0029515C" w:rsidRPr="00961EEC">
        <w:rPr>
          <w:b/>
        </w:rPr>
        <w:t>12</w:t>
      </w:r>
      <w:r w:rsidR="00DE4370" w:rsidRPr="00961EEC">
        <w:rPr>
          <w:b/>
        </w:rPr>
        <w:t>.</w:t>
      </w:r>
      <w:r w:rsidR="0029515C" w:rsidRPr="00961EEC">
        <w:rPr>
          <w:b/>
        </w:rPr>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00F81AFD">
        <w:t xml:space="preserve"> </w:t>
      </w:r>
      <w:r w:rsidR="00AF44AB">
        <w:t>May,</w:t>
      </w:r>
      <w:r w:rsidR="00F81AFD" w:rsidRPr="00337F57">
        <w:t>201</w:t>
      </w:r>
      <w:r w:rsidR="00016715">
        <w:t>6</w:t>
      </w:r>
      <w:r w:rsidRPr="00337F57">
        <w:t xml:space="preserve"> </w:t>
      </w:r>
      <w:r w:rsidR="0029515C" w:rsidRPr="00337F57">
        <w:t>(</w:t>
      </w:r>
      <w:hyperlink r:id="rId9" w:history="1">
        <w:r w:rsidRPr="00337F57">
          <w:rPr>
            <w:rStyle w:val="Hyperlink"/>
          </w:rPr>
          <w:t>http://www.bls.gov/oes/current/oes_nat.htm</w:t>
        </w:r>
      </w:hyperlink>
      <w:r w:rsidR="00506E45" w:rsidRPr="00337F57">
        <w:t>)</w:t>
      </w:r>
      <w:r w:rsidRPr="00337F57">
        <w:rPr>
          <w:color w:val="0070C0"/>
        </w:rPr>
        <w:t xml:space="preserve"> </w:t>
      </w:r>
      <w:hyperlink w:history="1"/>
      <w:r w:rsidRPr="00337F57">
        <w:t>w</w:t>
      </w:r>
      <w:r w:rsidR="0029515C" w:rsidRPr="00337F57">
        <w:t>ere</w:t>
      </w:r>
      <w:r w:rsidRPr="00337F57">
        <w:t xml:space="preserve"> used to estimate the hourly wage rate for the general public for the purpose of this GenIC request. The total estimated cost of the burden to respondents is approximately </w:t>
      </w:r>
      <w:r w:rsidR="00987256" w:rsidRPr="00337F57">
        <w:t>$</w:t>
      </w:r>
      <w:r w:rsidR="00016715" w:rsidRPr="00016715">
        <w:t>2,</w:t>
      </w:r>
      <w:r w:rsidR="00B861B0">
        <w:t>863.20</w:t>
      </w:r>
      <w:r w:rsidR="00943B21" w:rsidRPr="00337F57">
        <w:t>.  This</w:t>
      </w:r>
      <w:r w:rsidRPr="00337F57">
        <w:t xml:space="preserve"> cost represents the total burden hours of general respondents multiplied by t</w:t>
      </w:r>
      <w:r w:rsidR="00F81AFD" w:rsidRPr="00E04AE1">
        <w:t>he average hourly wage rate ($23</w:t>
      </w:r>
      <w:r w:rsidRPr="00E04AE1">
        <w:t>.</w:t>
      </w:r>
      <w:r w:rsidR="00016715">
        <w:t>86</w:t>
      </w:r>
      <w:r w:rsidRPr="009B59EB">
        <w:t>).</w:t>
      </w:r>
      <w:r w:rsidRPr="00603813">
        <w:t xml:space="preserve"> </w:t>
      </w:r>
    </w:p>
    <w:p w:rsidR="00332F80" w:rsidRPr="00603813" w:rsidRDefault="00332F80" w:rsidP="00332F80">
      <w:pPr>
        <w:pStyle w:val="Caption"/>
        <w:rPr>
          <w:sz w:val="24"/>
          <w:szCs w:val="24"/>
        </w:rPr>
      </w:pPr>
      <w:r w:rsidRPr="00603813">
        <w:t xml:space="preserve"> </w:t>
      </w:r>
    </w:p>
    <w:p w:rsidR="00E53653" w:rsidRPr="007376F4" w:rsidRDefault="00E53653" w:rsidP="00E6566E">
      <w:pPr>
        <w:pStyle w:val="Caption"/>
        <w:keepNext/>
      </w:pPr>
      <w:bookmarkStart w:id="23" w:name="_Toc508274310"/>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E25EE5">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E25EE5">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3"/>
    </w:p>
    <w:p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rsidTr="00F951D1">
        <w:trPr>
          <w:cantSplit/>
          <w:tblHeader/>
        </w:trPr>
        <w:tc>
          <w:tcPr>
            <w:tcW w:w="1890" w:type="dxa"/>
            <w:tcBorders>
              <w:top w:val="single" w:sz="2" w:space="0" w:color="000000"/>
              <w:left w:val="single" w:sz="2" w:space="0" w:color="000000"/>
              <w:bottom w:val="nil"/>
              <w:right w:val="nil"/>
            </w:tcBorders>
          </w:tcPr>
          <w:p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rsidR="00332F80" w:rsidRPr="00603813" w:rsidRDefault="00332F80" w:rsidP="005B4518">
            <w:pPr>
              <w:rPr>
                <w:b/>
                <w:sz w:val="20"/>
                <w:szCs w:val="20"/>
              </w:rPr>
            </w:pPr>
            <w:r w:rsidRPr="00603813">
              <w:rPr>
                <w:b/>
                <w:sz w:val="20"/>
                <w:szCs w:val="20"/>
              </w:rPr>
              <w:t xml:space="preserve">Total </w:t>
            </w:r>
          </w:p>
          <w:p w:rsidR="00332F80" w:rsidRPr="00603813" w:rsidRDefault="00332F80" w:rsidP="005B4518">
            <w:pPr>
              <w:rPr>
                <w:b/>
                <w:sz w:val="20"/>
                <w:szCs w:val="20"/>
              </w:rPr>
            </w:pPr>
            <w:r w:rsidRPr="00603813">
              <w:rPr>
                <w:b/>
                <w:sz w:val="20"/>
                <w:szCs w:val="20"/>
              </w:rPr>
              <w:t>Burden</w:t>
            </w:r>
          </w:p>
          <w:p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rsidR="00332F80" w:rsidRPr="00603813" w:rsidRDefault="00332F80" w:rsidP="005B4518">
            <w:pPr>
              <w:rPr>
                <w:b/>
                <w:sz w:val="20"/>
                <w:szCs w:val="20"/>
              </w:rPr>
            </w:pPr>
            <w:r w:rsidRPr="00603813">
              <w:rPr>
                <w:b/>
                <w:sz w:val="20"/>
                <w:szCs w:val="20"/>
              </w:rPr>
              <w:t>Total Respondent Costs</w:t>
            </w:r>
          </w:p>
        </w:tc>
      </w:tr>
      <w:tr w:rsidR="006B0BFB" w:rsidRPr="00603813" w:rsidTr="00F951D1">
        <w:trPr>
          <w:cantSplit/>
        </w:trPr>
        <w:tc>
          <w:tcPr>
            <w:tcW w:w="1890" w:type="dxa"/>
            <w:tcBorders>
              <w:top w:val="single" w:sz="4" w:space="0" w:color="auto"/>
              <w:left w:val="single" w:sz="4" w:space="0" w:color="auto"/>
              <w:bottom w:val="single" w:sz="4" w:space="0" w:color="auto"/>
              <w:right w:val="single" w:sz="4" w:space="0" w:color="auto"/>
            </w:tcBorders>
          </w:tcPr>
          <w:p w:rsidR="006B0BFB" w:rsidRDefault="006B0BFB" w:rsidP="006B0BFB">
            <w:pPr>
              <w:rPr>
                <w:sz w:val="20"/>
                <w:szCs w:val="20"/>
              </w:rPr>
            </w:pPr>
            <w:r w:rsidRPr="008F339E">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6B0BFB" w:rsidRDefault="006B0BFB" w:rsidP="006B0BFB">
            <w:pPr>
              <w:ind w:left="-39" w:right="51"/>
              <w:rPr>
                <w:sz w:val="20"/>
                <w:szCs w:val="20"/>
              </w:rPr>
            </w:pPr>
            <w:r>
              <w:rPr>
                <w:iCs/>
                <w:sz w:val="20"/>
                <w:szCs w:val="20"/>
              </w:rPr>
              <w:t>Recruitment Script</w:t>
            </w:r>
            <w:r w:rsidR="00B861B0">
              <w:rPr>
                <w:iCs/>
                <w:sz w:val="20"/>
                <w:szCs w:val="20"/>
              </w:rPr>
              <w:t xml:space="preserve"> </w:t>
            </w:r>
            <w:r>
              <w:rPr>
                <w:iCs/>
                <w:sz w:val="20"/>
                <w:szCs w:val="20"/>
              </w:rPr>
              <w:t>(Att.</w:t>
            </w:r>
            <w:r w:rsidR="00B861B0">
              <w:rPr>
                <w:iCs/>
                <w:sz w:val="20"/>
                <w:szCs w:val="20"/>
              </w:rPr>
              <w:t xml:space="preserve"> </w:t>
            </w:r>
            <w:r>
              <w:rPr>
                <w:iCs/>
                <w:sz w:val="20"/>
                <w:szCs w:val="20"/>
              </w:rPr>
              <w:t>3a)</w:t>
            </w:r>
          </w:p>
        </w:tc>
        <w:tc>
          <w:tcPr>
            <w:tcW w:w="1890" w:type="dxa"/>
            <w:tcBorders>
              <w:top w:val="single" w:sz="2" w:space="0" w:color="000000"/>
              <w:left w:val="single" w:sz="2" w:space="0" w:color="000000"/>
              <w:bottom w:val="single" w:sz="2" w:space="0" w:color="000000"/>
              <w:right w:val="nil"/>
            </w:tcBorders>
            <w:vAlign w:val="center"/>
          </w:tcPr>
          <w:p w:rsidR="006B0BFB" w:rsidRDefault="006B0BFB" w:rsidP="006B0BFB">
            <w:pPr>
              <w:jc w:val="center"/>
              <w:rPr>
                <w:sz w:val="20"/>
                <w:szCs w:val="20"/>
              </w:rPr>
            </w:pPr>
            <w:r>
              <w:rPr>
                <w:sz w:val="20"/>
                <w:szCs w:val="20"/>
              </w:rPr>
              <w:t>25</w:t>
            </w:r>
          </w:p>
        </w:tc>
        <w:tc>
          <w:tcPr>
            <w:tcW w:w="1710" w:type="dxa"/>
            <w:tcBorders>
              <w:top w:val="single" w:sz="2" w:space="0" w:color="000000"/>
              <w:left w:val="single" w:sz="2" w:space="0" w:color="000000"/>
              <w:bottom w:val="single" w:sz="2" w:space="0" w:color="000000"/>
              <w:right w:val="nil"/>
            </w:tcBorders>
            <w:vAlign w:val="center"/>
          </w:tcPr>
          <w:p w:rsidR="006B0BFB" w:rsidRDefault="006B0BFB" w:rsidP="006B0BFB">
            <w:pPr>
              <w:ind w:right="-39"/>
              <w:jc w:val="center"/>
              <w:rPr>
                <w:sz w:val="20"/>
                <w:szCs w:val="20"/>
              </w:rPr>
            </w:pPr>
            <w:r>
              <w:rPr>
                <w:sz w:val="20"/>
                <w:szCs w:val="20"/>
              </w:rPr>
              <w:t>$23.86</w:t>
            </w:r>
          </w:p>
        </w:tc>
        <w:tc>
          <w:tcPr>
            <w:tcW w:w="1800" w:type="dxa"/>
            <w:tcBorders>
              <w:top w:val="single" w:sz="2" w:space="0" w:color="000000"/>
              <w:left w:val="single" w:sz="2" w:space="0" w:color="000000"/>
              <w:bottom w:val="single" w:sz="2" w:space="0" w:color="000000"/>
              <w:right w:val="single" w:sz="2" w:space="0" w:color="000000"/>
            </w:tcBorders>
            <w:vAlign w:val="center"/>
          </w:tcPr>
          <w:p w:rsidR="006B0BFB" w:rsidRDefault="00B861B0" w:rsidP="006B0BFB">
            <w:pPr>
              <w:ind w:right="-39"/>
              <w:jc w:val="center"/>
              <w:rPr>
                <w:sz w:val="20"/>
                <w:szCs w:val="20"/>
              </w:rPr>
            </w:pPr>
            <w:r>
              <w:rPr>
                <w:sz w:val="20"/>
                <w:szCs w:val="20"/>
              </w:rPr>
              <w:t>$596.50</w:t>
            </w:r>
          </w:p>
        </w:tc>
      </w:tr>
      <w:tr w:rsidR="006B0BFB" w:rsidRPr="00603813" w:rsidTr="00F951D1">
        <w:trPr>
          <w:cantSplit/>
        </w:trPr>
        <w:tc>
          <w:tcPr>
            <w:tcW w:w="1890" w:type="dxa"/>
            <w:tcBorders>
              <w:top w:val="single" w:sz="4" w:space="0" w:color="auto"/>
              <w:left w:val="single" w:sz="4" w:space="0" w:color="auto"/>
              <w:bottom w:val="single" w:sz="4" w:space="0" w:color="auto"/>
              <w:right w:val="single" w:sz="4" w:space="0" w:color="auto"/>
            </w:tcBorders>
          </w:tcPr>
          <w:p w:rsidR="006B0BFB" w:rsidRDefault="006B0BFB" w:rsidP="006B0BFB">
            <w:pPr>
              <w:rPr>
                <w:sz w:val="20"/>
                <w:szCs w:val="20"/>
              </w:rPr>
            </w:pPr>
            <w:r w:rsidRPr="008F339E">
              <w:rPr>
                <w:sz w:val="20"/>
                <w:szCs w:val="20"/>
              </w:rPr>
              <w:t>General Public- Adults</w:t>
            </w:r>
          </w:p>
        </w:tc>
        <w:tc>
          <w:tcPr>
            <w:tcW w:w="1800" w:type="dxa"/>
            <w:tcBorders>
              <w:top w:val="single" w:sz="2" w:space="0" w:color="000000"/>
              <w:left w:val="single" w:sz="4" w:space="0" w:color="auto"/>
              <w:bottom w:val="single" w:sz="2" w:space="0" w:color="000000"/>
              <w:right w:val="nil"/>
            </w:tcBorders>
          </w:tcPr>
          <w:p w:rsidR="006B0BFB" w:rsidRDefault="006B0BFB" w:rsidP="006B0BFB">
            <w:pPr>
              <w:ind w:left="-39" w:right="51"/>
              <w:rPr>
                <w:sz w:val="20"/>
                <w:szCs w:val="20"/>
              </w:rPr>
            </w:pPr>
            <w:r>
              <w:rPr>
                <w:iCs/>
                <w:sz w:val="20"/>
                <w:szCs w:val="20"/>
              </w:rPr>
              <w:t>Interview Scheduling Script ( Att. 3c)</w:t>
            </w:r>
          </w:p>
        </w:tc>
        <w:tc>
          <w:tcPr>
            <w:tcW w:w="1890" w:type="dxa"/>
            <w:tcBorders>
              <w:top w:val="single" w:sz="2" w:space="0" w:color="000000"/>
              <w:left w:val="single" w:sz="2" w:space="0" w:color="000000"/>
              <w:bottom w:val="single" w:sz="2" w:space="0" w:color="000000"/>
              <w:right w:val="nil"/>
            </w:tcBorders>
            <w:vAlign w:val="center"/>
          </w:tcPr>
          <w:p w:rsidR="006B0BFB" w:rsidRDefault="006B0BFB" w:rsidP="006B0BFB">
            <w:pPr>
              <w:jc w:val="center"/>
              <w:rPr>
                <w:sz w:val="20"/>
                <w:szCs w:val="20"/>
              </w:rPr>
            </w:pPr>
            <w:r>
              <w:rPr>
                <w:sz w:val="20"/>
                <w:szCs w:val="20"/>
              </w:rPr>
              <w:t>5</w:t>
            </w:r>
          </w:p>
        </w:tc>
        <w:tc>
          <w:tcPr>
            <w:tcW w:w="1710" w:type="dxa"/>
            <w:tcBorders>
              <w:top w:val="single" w:sz="2" w:space="0" w:color="000000"/>
              <w:left w:val="single" w:sz="2" w:space="0" w:color="000000"/>
              <w:bottom w:val="single" w:sz="2" w:space="0" w:color="000000"/>
              <w:right w:val="nil"/>
            </w:tcBorders>
            <w:vAlign w:val="center"/>
          </w:tcPr>
          <w:p w:rsidR="006B0BFB" w:rsidRDefault="006B0BFB" w:rsidP="006B0BFB">
            <w:pPr>
              <w:ind w:right="-39"/>
              <w:jc w:val="center"/>
              <w:rPr>
                <w:sz w:val="20"/>
                <w:szCs w:val="20"/>
              </w:rPr>
            </w:pPr>
            <w:r>
              <w:rPr>
                <w:sz w:val="20"/>
                <w:szCs w:val="20"/>
              </w:rPr>
              <w:t>$23.86</w:t>
            </w:r>
          </w:p>
        </w:tc>
        <w:tc>
          <w:tcPr>
            <w:tcW w:w="1800" w:type="dxa"/>
            <w:tcBorders>
              <w:top w:val="single" w:sz="2" w:space="0" w:color="000000"/>
              <w:left w:val="single" w:sz="2" w:space="0" w:color="000000"/>
              <w:bottom w:val="single" w:sz="2" w:space="0" w:color="000000"/>
              <w:right w:val="single" w:sz="2" w:space="0" w:color="000000"/>
            </w:tcBorders>
            <w:vAlign w:val="center"/>
          </w:tcPr>
          <w:p w:rsidR="006B0BFB" w:rsidRDefault="00B861B0" w:rsidP="006B0BFB">
            <w:pPr>
              <w:ind w:right="-39"/>
              <w:jc w:val="center"/>
              <w:rPr>
                <w:sz w:val="20"/>
                <w:szCs w:val="20"/>
              </w:rPr>
            </w:pPr>
            <w:r>
              <w:rPr>
                <w:sz w:val="20"/>
                <w:szCs w:val="20"/>
              </w:rPr>
              <w:t>$119.30</w:t>
            </w:r>
          </w:p>
        </w:tc>
      </w:tr>
      <w:tr w:rsidR="006B0BFB" w:rsidRPr="00603813" w:rsidTr="00F951D1">
        <w:trPr>
          <w:cantSplit/>
        </w:trPr>
        <w:tc>
          <w:tcPr>
            <w:tcW w:w="1890" w:type="dxa"/>
            <w:tcBorders>
              <w:top w:val="single" w:sz="4" w:space="0" w:color="auto"/>
              <w:left w:val="single" w:sz="4" w:space="0" w:color="auto"/>
              <w:bottom w:val="single" w:sz="4" w:space="0" w:color="auto"/>
              <w:right w:val="single" w:sz="4" w:space="0" w:color="auto"/>
            </w:tcBorders>
          </w:tcPr>
          <w:p w:rsidR="006B0BFB" w:rsidRDefault="006B0BFB" w:rsidP="006B0BFB">
            <w:pPr>
              <w:rPr>
                <w:sz w:val="20"/>
                <w:szCs w:val="20"/>
              </w:rPr>
            </w:pPr>
            <w:r>
              <w:rPr>
                <w:sz w:val="20"/>
                <w:szCs w:val="20"/>
              </w:rPr>
              <w:t xml:space="preserve">General Public- </w:t>
            </w:r>
          </w:p>
          <w:p w:rsidR="006B0BFB" w:rsidRPr="00B930C9" w:rsidRDefault="006B0BFB" w:rsidP="006B0BFB">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rsidR="006B0BFB" w:rsidRPr="00960A76" w:rsidRDefault="006B0BFB" w:rsidP="006B0BFB">
            <w:pPr>
              <w:ind w:left="-39" w:right="51"/>
              <w:rPr>
                <w:sz w:val="20"/>
                <w:szCs w:val="20"/>
              </w:rPr>
            </w:pPr>
            <w:r>
              <w:rPr>
                <w:sz w:val="20"/>
                <w:szCs w:val="20"/>
              </w:rPr>
              <w:t>Interview Guide</w:t>
            </w:r>
            <w:r w:rsidRPr="00960A76">
              <w:rPr>
                <w:sz w:val="20"/>
                <w:szCs w:val="20"/>
              </w:rPr>
              <w:t xml:space="preserve"> (Att. </w:t>
            </w:r>
            <w:r>
              <w:rPr>
                <w:sz w:val="20"/>
                <w:szCs w:val="20"/>
              </w:rPr>
              <w:t>5a</w:t>
            </w:r>
            <w:r w:rsidRPr="00960A76">
              <w:rPr>
                <w:sz w:val="20"/>
                <w:szCs w:val="20"/>
              </w:rPr>
              <w:t>)</w:t>
            </w:r>
          </w:p>
        </w:tc>
        <w:tc>
          <w:tcPr>
            <w:tcW w:w="1890" w:type="dxa"/>
            <w:tcBorders>
              <w:top w:val="single" w:sz="2" w:space="0" w:color="000000"/>
              <w:left w:val="single" w:sz="2" w:space="0" w:color="000000"/>
              <w:bottom w:val="single" w:sz="2" w:space="0" w:color="000000"/>
              <w:right w:val="nil"/>
            </w:tcBorders>
            <w:vAlign w:val="center"/>
          </w:tcPr>
          <w:p w:rsidR="006B0BFB" w:rsidRDefault="006B0BFB" w:rsidP="006B0BFB">
            <w:pPr>
              <w:jc w:val="center"/>
              <w:rPr>
                <w:sz w:val="20"/>
                <w:szCs w:val="20"/>
              </w:rPr>
            </w:pPr>
            <w:r>
              <w:rPr>
                <w:sz w:val="20"/>
                <w:szCs w:val="20"/>
              </w:rPr>
              <w:t>90</w:t>
            </w:r>
          </w:p>
        </w:tc>
        <w:tc>
          <w:tcPr>
            <w:tcW w:w="1710" w:type="dxa"/>
            <w:tcBorders>
              <w:top w:val="single" w:sz="2" w:space="0" w:color="000000"/>
              <w:left w:val="single" w:sz="2" w:space="0" w:color="000000"/>
              <w:bottom w:val="single" w:sz="2" w:space="0" w:color="000000"/>
              <w:right w:val="nil"/>
            </w:tcBorders>
            <w:vAlign w:val="center"/>
          </w:tcPr>
          <w:p w:rsidR="006B0BFB" w:rsidRDefault="006B0BFB" w:rsidP="006B0BFB">
            <w:pPr>
              <w:ind w:right="-39"/>
              <w:jc w:val="center"/>
              <w:rPr>
                <w:sz w:val="20"/>
                <w:szCs w:val="20"/>
              </w:rPr>
            </w:pPr>
            <w:r>
              <w:rPr>
                <w:sz w:val="20"/>
                <w:szCs w:val="20"/>
              </w:rPr>
              <w:t>$23.86</w:t>
            </w:r>
          </w:p>
        </w:tc>
        <w:tc>
          <w:tcPr>
            <w:tcW w:w="1800" w:type="dxa"/>
            <w:tcBorders>
              <w:top w:val="single" w:sz="2" w:space="0" w:color="000000"/>
              <w:left w:val="single" w:sz="2" w:space="0" w:color="000000"/>
              <w:bottom w:val="single" w:sz="2" w:space="0" w:color="000000"/>
              <w:right w:val="single" w:sz="2" w:space="0" w:color="000000"/>
            </w:tcBorders>
            <w:vAlign w:val="center"/>
          </w:tcPr>
          <w:p w:rsidR="006B0BFB" w:rsidRDefault="006B0BFB" w:rsidP="006B0BFB">
            <w:pPr>
              <w:ind w:right="-39"/>
              <w:jc w:val="center"/>
              <w:rPr>
                <w:sz w:val="20"/>
                <w:szCs w:val="20"/>
              </w:rPr>
            </w:pPr>
            <w:r>
              <w:rPr>
                <w:sz w:val="20"/>
                <w:szCs w:val="20"/>
              </w:rPr>
              <w:t>$2,147.40</w:t>
            </w:r>
          </w:p>
        </w:tc>
      </w:tr>
      <w:tr w:rsidR="006B0BFB" w:rsidRPr="00603813"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6B0BFB" w:rsidRPr="00603813" w:rsidRDefault="006B0BFB" w:rsidP="006B0BFB">
            <w:pPr>
              <w:ind w:right="224"/>
              <w:jc w:val="right"/>
              <w:rPr>
                <w:b/>
                <w:sz w:val="20"/>
                <w:szCs w:val="20"/>
              </w:rPr>
            </w:pPr>
            <w:r>
              <w:rPr>
                <w:b/>
                <w:sz w:val="20"/>
                <w:szCs w:val="20"/>
              </w:rPr>
              <w:t>Total $</w:t>
            </w:r>
            <w:r w:rsidR="00B861B0" w:rsidRPr="00016715">
              <w:t>2,</w:t>
            </w:r>
            <w:r w:rsidR="00B861B0">
              <w:t>863.20</w:t>
            </w:r>
          </w:p>
        </w:tc>
      </w:tr>
    </w:tbl>
    <w:p w:rsidR="00B12EA3" w:rsidRDefault="00B12EA3" w:rsidP="00AC254E">
      <w:pPr>
        <w:pStyle w:val="Heading1"/>
      </w:pPr>
      <w:bookmarkStart w:id="24" w:name="_Toc508274301"/>
      <w:r w:rsidRPr="00B12EA3">
        <w:t>Estimates of Other Total Annual Cost Burden to Respondents and Record Keepers</w:t>
      </w:r>
      <w:bookmarkEnd w:id="24"/>
    </w:p>
    <w:p w:rsidR="00332F80" w:rsidRDefault="00332F80" w:rsidP="00F951D1"/>
    <w:p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rsidR="00332F80" w:rsidRDefault="00B12EA3" w:rsidP="00F951D1">
      <w:pPr>
        <w:pStyle w:val="Heading1"/>
      </w:pPr>
      <w:bookmarkStart w:id="25" w:name="_Toc508274302"/>
      <w:r w:rsidRPr="00E6566E">
        <w:t>Annualized Cost to the Federal Government</w:t>
      </w:r>
      <w:bookmarkEnd w:id="25"/>
    </w:p>
    <w:p w:rsidR="0038668E" w:rsidRDefault="0038668E" w:rsidP="00332F80"/>
    <w:p w:rsidR="00332F80" w:rsidRPr="00603813" w:rsidRDefault="0038668E" w:rsidP="006E4CC2">
      <w:pPr>
        <w:spacing w:line="360" w:lineRule="auto"/>
      </w:pPr>
      <w:r w:rsidRPr="0038668E">
        <w:t xml:space="preserve">The estimated annualized cost to carry out the data collection activities </w:t>
      </w:r>
      <w:r w:rsidRPr="004C32F9">
        <w:t>is $</w:t>
      </w:r>
      <w:r w:rsidR="00016715" w:rsidRPr="0064671E">
        <w:t>197,060.90</w:t>
      </w:r>
      <w:r w:rsidRPr="004C32F9">
        <w:t>.</w:t>
      </w:r>
      <w:r w:rsidRPr="0038668E">
        <w:t xml:space="preserve">  This estimate includes the cost of recruitment, screening, conducting the interviews, analysis and reporting, as well as the total cost of the tokens of appreciation ($</w:t>
      </w:r>
      <w:r w:rsidR="00016715">
        <w:t>60</w:t>
      </w:r>
      <w:r w:rsidR="00016715" w:rsidRPr="0038668E">
        <w:t xml:space="preserve"> </w:t>
      </w:r>
      <w:r w:rsidRPr="0038668E">
        <w:t>per comple</w:t>
      </w:r>
      <w:r w:rsidR="000E32B9">
        <w:t>ted interview, for a total of $</w:t>
      </w:r>
      <w:r w:rsidR="00016715">
        <w:t>3,600</w:t>
      </w:r>
      <w:r w:rsidRPr="0038668E">
        <w:t>).</w:t>
      </w:r>
    </w:p>
    <w:p w:rsidR="0038668E" w:rsidRDefault="0038668E" w:rsidP="00E6566E">
      <w:pPr>
        <w:pStyle w:val="Caption"/>
        <w:keepNext/>
        <w:rPr>
          <w:sz w:val="24"/>
          <w:szCs w:val="24"/>
        </w:rPr>
      </w:pPr>
    </w:p>
    <w:p w:rsidR="00E53653" w:rsidRPr="007376F4" w:rsidRDefault="00E53653" w:rsidP="00E6566E">
      <w:pPr>
        <w:pStyle w:val="Caption"/>
        <w:keepNext/>
      </w:pPr>
      <w:bookmarkStart w:id="26" w:name="_Toc508274311"/>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E25EE5">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E25EE5">
        <w:rPr>
          <w:noProof/>
          <w:sz w:val="24"/>
          <w:szCs w:val="24"/>
        </w:rPr>
        <w:t>1</w:t>
      </w:r>
      <w:r w:rsidR="00C91C02">
        <w:rPr>
          <w:sz w:val="24"/>
          <w:szCs w:val="24"/>
        </w:rPr>
        <w:fldChar w:fldCharType="end"/>
      </w:r>
      <w:r w:rsidRPr="00E6566E">
        <w:rPr>
          <w:sz w:val="24"/>
          <w:szCs w:val="24"/>
        </w:rPr>
        <w:t>: Annualized Cost to the Government</w:t>
      </w:r>
      <w:bookmarkEnd w:id="26"/>
    </w:p>
    <w:p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rsidR="00332F80" w:rsidRPr="00EE4F87" w:rsidRDefault="00332F80" w:rsidP="005B4518">
            <w:pPr>
              <w:tabs>
                <w:tab w:val="center" w:pos="4320"/>
                <w:tab w:val="right" w:pos="8640"/>
              </w:tabs>
              <w:spacing w:line="50" w:lineRule="exact"/>
              <w:rPr>
                <w:sz w:val="22"/>
                <w:szCs w:val="22"/>
              </w:rPr>
            </w:pPr>
          </w:p>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rsidR="00332F80" w:rsidRPr="00EE4F87" w:rsidRDefault="0038668E"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w:t>
            </w:r>
            <w:r w:rsidR="00332F80" w:rsidRPr="00EE4F87">
              <w:rPr>
                <w:sz w:val="22"/>
                <w:szCs w:val="22"/>
              </w:rPr>
              <w:t xml:space="preserve"> </w:t>
            </w:r>
            <w:r w:rsidR="00337F57">
              <w:rPr>
                <w:sz w:val="22"/>
                <w:szCs w:val="22"/>
              </w:rPr>
              <w:t>Co-Project Lead</w:t>
            </w:r>
            <w:r w:rsidR="00337F57" w:rsidRPr="00EE4F87">
              <w:rPr>
                <w:sz w:val="22"/>
                <w:szCs w:val="22"/>
              </w:rPr>
              <w:t xml:space="preserve"> </w:t>
            </w:r>
            <w:r w:rsidR="00332F80" w:rsidRPr="00EE4F87">
              <w:rPr>
                <w:sz w:val="22"/>
                <w:szCs w:val="22"/>
              </w:rPr>
              <w:t>(GS-</w:t>
            </w:r>
            <w:r w:rsidR="00016715">
              <w:rPr>
                <w:sz w:val="22"/>
                <w:szCs w:val="22"/>
              </w:rPr>
              <w:t>13</w:t>
            </w:r>
            <w:r w:rsidR="00016715" w:rsidRPr="00EE4F87">
              <w:rPr>
                <w:sz w:val="22"/>
                <w:szCs w:val="22"/>
              </w:rPr>
              <w:t xml:space="preserve"> </w:t>
            </w:r>
            <w:r w:rsidR="00332F80" w:rsidRPr="00EE4F87">
              <w:rPr>
                <w:sz w:val="22"/>
                <w:szCs w:val="22"/>
              </w:rPr>
              <w:t>0.20 FTE)</w:t>
            </w:r>
          </w:p>
        </w:tc>
        <w:tc>
          <w:tcPr>
            <w:tcW w:w="1895" w:type="dxa"/>
            <w:vAlign w:val="center"/>
          </w:tcPr>
          <w:p w:rsidR="00332F80" w:rsidRPr="00EE4F87" w:rsidRDefault="00332F80"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016715">
              <w:rPr>
                <w:sz w:val="22"/>
                <w:szCs w:val="22"/>
              </w:rPr>
              <w:t>20,258.80</w:t>
            </w:r>
          </w:p>
        </w:tc>
      </w:tr>
      <w:tr w:rsidR="00332F80" w:rsidRPr="00EE4F87"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332F80" w:rsidRPr="00EE4F87" w:rsidRDefault="00332F80"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846E9C">
              <w:rPr>
                <w:sz w:val="22"/>
                <w:szCs w:val="22"/>
              </w:rPr>
              <w:t xml:space="preserve"> </w:t>
            </w:r>
            <w:r w:rsidR="00016715">
              <w:rPr>
                <w:sz w:val="22"/>
                <w:szCs w:val="22"/>
              </w:rPr>
              <w:t>Scientist</w:t>
            </w:r>
            <w:r w:rsidR="00337F57" w:rsidRPr="00EE4F87">
              <w:rPr>
                <w:sz w:val="22"/>
                <w:szCs w:val="22"/>
              </w:rPr>
              <w:t xml:space="preserve"> </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w:t>
            </w:r>
            <w:r w:rsidR="00016715">
              <w:rPr>
                <w:sz w:val="22"/>
                <w:szCs w:val="22"/>
              </w:rPr>
              <w:t>1</w:t>
            </w:r>
            <w:r w:rsidRPr="00EE4F87">
              <w:rPr>
                <w:sz w:val="22"/>
                <w:szCs w:val="22"/>
              </w:rPr>
              <w:t>0 FTE)</w:t>
            </w:r>
          </w:p>
        </w:tc>
        <w:tc>
          <w:tcPr>
            <w:tcW w:w="1895" w:type="dxa"/>
            <w:vAlign w:val="center"/>
          </w:tcPr>
          <w:p w:rsidR="00332F80" w:rsidRPr="00EE4F87" w:rsidRDefault="00332F80"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016715">
              <w:rPr>
                <w:sz w:val="22"/>
                <w:szCs w:val="22"/>
              </w:rPr>
              <w:t>10,079.40</w:t>
            </w:r>
          </w:p>
        </w:tc>
      </w:tr>
      <w:tr w:rsidR="00332F80" w:rsidRPr="00EE4F87"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w:t>
            </w:r>
            <w:r w:rsidR="00016715">
              <w:rPr>
                <w:sz w:val="22"/>
                <w:szCs w:val="22"/>
              </w:rPr>
              <w:t xml:space="preserve">Health </w:t>
            </w:r>
            <w:r w:rsidR="00E2574F" w:rsidRPr="00EE4F87">
              <w:rPr>
                <w:sz w:val="22"/>
                <w:szCs w:val="22"/>
              </w:rPr>
              <w:t>Scientist</w:t>
            </w:r>
            <w:r w:rsidR="00846E9C">
              <w:rPr>
                <w:sz w:val="22"/>
                <w:szCs w:val="22"/>
              </w:rPr>
              <w:t xml:space="preserve"> </w:t>
            </w:r>
            <w:r w:rsidRPr="00EE4F87">
              <w:rPr>
                <w:sz w:val="22"/>
                <w:szCs w:val="22"/>
              </w:rPr>
              <w:t>(GS-1</w:t>
            </w:r>
            <w:r w:rsidR="00337F57">
              <w:rPr>
                <w:sz w:val="22"/>
                <w:szCs w:val="22"/>
              </w:rPr>
              <w:t>3</w:t>
            </w:r>
            <w:r w:rsidRPr="00EE4F87">
              <w:rPr>
                <w:sz w:val="22"/>
                <w:szCs w:val="22"/>
              </w:rPr>
              <w:t>, 0.</w:t>
            </w:r>
            <w:r w:rsidR="00337F57">
              <w:rPr>
                <w:sz w:val="22"/>
                <w:szCs w:val="22"/>
              </w:rPr>
              <w:t>1</w:t>
            </w:r>
            <w:r w:rsidRPr="00EE4F87">
              <w:rPr>
                <w:sz w:val="22"/>
                <w:szCs w:val="22"/>
              </w:rPr>
              <w:t>0 FTE)</w:t>
            </w:r>
          </w:p>
        </w:tc>
        <w:tc>
          <w:tcPr>
            <w:tcW w:w="1895" w:type="dxa"/>
            <w:vAlign w:val="center"/>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016715">
              <w:rPr>
                <w:sz w:val="22"/>
                <w:szCs w:val="22"/>
              </w:rPr>
              <w:t>10,079.40</w:t>
            </w:r>
          </w:p>
        </w:tc>
      </w:tr>
      <w:tr w:rsidR="00016715" w:rsidRPr="00EE4F87" w:rsidTr="004629B2">
        <w:tc>
          <w:tcPr>
            <w:tcW w:w="1933" w:type="dxa"/>
          </w:tcPr>
          <w:p w:rsidR="00016715" w:rsidRPr="00EE4F87" w:rsidRDefault="00016715"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016715" w:rsidRPr="00EE4F87" w:rsidRDefault="00016715"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 xml:space="preserve">CDC </w:t>
            </w:r>
            <w:r>
              <w:rPr>
                <w:sz w:val="22"/>
                <w:szCs w:val="22"/>
              </w:rPr>
              <w:t xml:space="preserve">Health </w:t>
            </w:r>
            <w:r w:rsidRPr="00EE4F87">
              <w:rPr>
                <w:sz w:val="22"/>
                <w:szCs w:val="22"/>
              </w:rPr>
              <w:t>Scientist</w:t>
            </w:r>
            <w:r>
              <w:rPr>
                <w:sz w:val="22"/>
                <w:szCs w:val="22"/>
              </w:rPr>
              <w:t xml:space="preserve"> </w:t>
            </w:r>
            <w:r w:rsidRPr="00EE4F87">
              <w:rPr>
                <w:sz w:val="22"/>
                <w:szCs w:val="22"/>
              </w:rPr>
              <w:t>(GS-1</w:t>
            </w:r>
            <w:r>
              <w:rPr>
                <w:sz w:val="22"/>
                <w:szCs w:val="22"/>
              </w:rPr>
              <w:t>1</w:t>
            </w:r>
            <w:r w:rsidRPr="00EE4F87">
              <w:rPr>
                <w:sz w:val="22"/>
                <w:szCs w:val="22"/>
              </w:rPr>
              <w:t>, 0.</w:t>
            </w:r>
            <w:r>
              <w:rPr>
                <w:sz w:val="22"/>
                <w:szCs w:val="22"/>
              </w:rPr>
              <w:t>1</w:t>
            </w:r>
            <w:r w:rsidRPr="00EE4F87">
              <w:rPr>
                <w:sz w:val="22"/>
                <w:szCs w:val="22"/>
              </w:rPr>
              <w:t>0 FTE)</w:t>
            </w:r>
          </w:p>
        </w:tc>
        <w:tc>
          <w:tcPr>
            <w:tcW w:w="1895" w:type="dxa"/>
            <w:vAlign w:val="center"/>
          </w:tcPr>
          <w:p w:rsidR="00016715" w:rsidRPr="00EE4F87" w:rsidRDefault="00016715"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Pr>
                <w:sz w:val="22"/>
                <w:szCs w:val="22"/>
              </w:rPr>
              <w:t>$6,643.30</w:t>
            </w:r>
          </w:p>
        </w:tc>
      </w:tr>
      <w:tr w:rsidR="00332F80" w:rsidRPr="00EE4F87"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rsidR="00332F80" w:rsidRPr="00EE4F87" w:rsidRDefault="00332F80"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016715">
              <w:rPr>
                <w:b/>
                <w:sz w:val="22"/>
                <w:szCs w:val="22"/>
              </w:rPr>
              <w:t>47,060.90</w:t>
            </w:r>
          </w:p>
        </w:tc>
      </w:tr>
      <w:tr w:rsidR="00332F80" w:rsidRPr="00EE4F87" w:rsidTr="004629B2">
        <w:tc>
          <w:tcPr>
            <w:tcW w:w="1933" w:type="dxa"/>
          </w:tcPr>
          <w:p w:rsidR="00332F80" w:rsidRPr="00EE4F87" w:rsidRDefault="00337F57"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CoAg</w:t>
            </w:r>
            <w:r w:rsidRPr="00EE4F87">
              <w:rPr>
                <w:sz w:val="22"/>
                <w:szCs w:val="22"/>
              </w:rPr>
              <w:t xml:space="preserve"> </w:t>
            </w:r>
            <w:r w:rsidR="00EE4F87" w:rsidRPr="00EE4F87">
              <w:rPr>
                <w:sz w:val="22"/>
                <w:szCs w:val="22"/>
              </w:rPr>
              <w:t>Costs</w:t>
            </w:r>
            <w:r w:rsidR="004629B2">
              <w:rPr>
                <w:sz w:val="22"/>
                <w:szCs w:val="22"/>
              </w:rPr>
              <w:t xml:space="preserve"> </w:t>
            </w:r>
          </w:p>
        </w:tc>
        <w:tc>
          <w:tcPr>
            <w:tcW w:w="4850" w:type="dxa"/>
            <w:vAlign w:val="center"/>
          </w:tcPr>
          <w:p w:rsidR="00332F80" w:rsidRPr="00EE4F87" w:rsidRDefault="008519CC"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Annual </w:t>
            </w:r>
            <w:r w:rsidR="00337F57">
              <w:rPr>
                <w:b/>
                <w:sz w:val="22"/>
                <w:szCs w:val="22"/>
              </w:rPr>
              <w:t>Cooperative Agreement (NNPHI</w:t>
            </w:r>
            <w:r>
              <w:rPr>
                <w:b/>
                <w:sz w:val="22"/>
                <w:szCs w:val="22"/>
              </w:rPr>
              <w:t xml:space="preserve"> </w:t>
            </w:r>
            <w:r w:rsidR="00104E90">
              <w:rPr>
                <w:b/>
                <w:sz w:val="22"/>
                <w:szCs w:val="22"/>
              </w:rPr>
              <w:t>#</w:t>
            </w:r>
            <w:r w:rsidR="00337F57" w:rsidRPr="00E131A3">
              <w:t xml:space="preserve"> CDC-RFA-OT13-1302</w:t>
            </w:r>
            <w:r w:rsidR="00104E90">
              <w:rPr>
                <w:b/>
                <w:sz w:val="22"/>
                <w:szCs w:val="22"/>
              </w:rPr>
              <w:t>)</w:t>
            </w:r>
            <w:r w:rsidR="00332F80" w:rsidRPr="00EE4F87">
              <w:rPr>
                <w:b/>
                <w:sz w:val="22"/>
                <w:szCs w:val="22"/>
              </w:rPr>
              <w:t xml:space="preserve">               </w:t>
            </w:r>
          </w:p>
        </w:tc>
        <w:tc>
          <w:tcPr>
            <w:tcW w:w="1895" w:type="dxa"/>
            <w:vAlign w:val="center"/>
          </w:tcPr>
          <w:p w:rsidR="00332F80" w:rsidRPr="00EE4F87" w:rsidRDefault="00332F80"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00337F57">
              <w:rPr>
                <w:b/>
                <w:sz w:val="22"/>
                <w:szCs w:val="22"/>
              </w:rPr>
              <w:t>150,000</w:t>
            </w:r>
          </w:p>
        </w:tc>
      </w:tr>
      <w:tr w:rsidR="00332F80" w:rsidRPr="00603813" w:rsidTr="004629B2">
        <w:tc>
          <w:tcPr>
            <w:tcW w:w="1933"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rsidR="00332F80" w:rsidRPr="00EE4F87" w:rsidRDefault="0038668E" w:rsidP="00016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Pr>
                <w:b/>
                <w:sz w:val="22"/>
                <w:szCs w:val="22"/>
              </w:rPr>
              <w:t>$</w:t>
            </w:r>
            <w:r w:rsidR="00016715">
              <w:rPr>
                <w:b/>
                <w:sz w:val="22"/>
                <w:szCs w:val="22"/>
              </w:rPr>
              <w:t>197,060.90</w:t>
            </w:r>
          </w:p>
        </w:tc>
      </w:tr>
    </w:tbl>
    <w:p w:rsidR="00B12EA3" w:rsidRDefault="00B12EA3" w:rsidP="00E53653">
      <w:pPr>
        <w:pStyle w:val="Heading1"/>
      </w:pPr>
      <w:bookmarkStart w:id="27" w:name="_Toc508274303"/>
      <w:r w:rsidRPr="00B12EA3">
        <w:t>Explanation for Program Changes or Adjustments</w:t>
      </w:r>
      <w:bookmarkEnd w:id="27"/>
    </w:p>
    <w:p w:rsidR="00332F80" w:rsidRDefault="00332F80" w:rsidP="00F951D1"/>
    <w:p w:rsidR="005E6F8D" w:rsidRPr="00E90840" w:rsidRDefault="00332F80" w:rsidP="00E90840">
      <w:pPr>
        <w:autoSpaceDE w:val="0"/>
        <w:autoSpaceDN w:val="0"/>
        <w:adjustRightInd w:val="0"/>
        <w:contextualSpacing/>
        <w:jc w:val="both"/>
        <w:rPr>
          <w:bCs/>
        </w:rPr>
      </w:pPr>
      <w:r w:rsidRPr="00603813">
        <w:rPr>
          <w:bCs/>
        </w:rPr>
        <w:t xml:space="preserve">This is a new </w:t>
      </w:r>
      <w:r>
        <w:rPr>
          <w:bCs/>
        </w:rPr>
        <w:t>GenIC</w:t>
      </w:r>
      <w:r w:rsidRPr="00603813">
        <w:rPr>
          <w:bCs/>
        </w:rPr>
        <w:t xml:space="preserve"> information collection request (ICR). </w:t>
      </w:r>
    </w:p>
    <w:p w:rsidR="00332F80" w:rsidRDefault="00B12EA3" w:rsidP="00026DB7">
      <w:pPr>
        <w:pStyle w:val="Heading1"/>
      </w:pPr>
      <w:bookmarkStart w:id="28" w:name="_Toc508274304"/>
      <w:r w:rsidRPr="00C46977">
        <w:t>Plans for Tabulation and Publication and Project Time Schedule</w:t>
      </w:r>
      <w:bookmarkEnd w:id="28"/>
    </w:p>
    <w:p w:rsidR="00104E90" w:rsidRDefault="00104E90" w:rsidP="00104E90"/>
    <w:p w:rsidR="00104E90" w:rsidRDefault="00104E90" w:rsidP="006E4CC2">
      <w:pPr>
        <w:spacing w:line="360" w:lineRule="auto"/>
        <w:jc w:val="both"/>
      </w:pPr>
      <w:r w:rsidRPr="00603813">
        <w:t xml:space="preserve">Tabulation will include descriptive characteristics of respondents collected in the first part of the interview (e.g., city, </w:t>
      </w:r>
      <w:r>
        <w:t xml:space="preserve">age, </w:t>
      </w:r>
      <w:r w:rsidR="00E04AE1">
        <w:t>education</w:t>
      </w:r>
      <w:r>
        <w:t xml:space="preserve">, </w:t>
      </w:r>
      <w:r w:rsidR="00E04AE1">
        <w:t>employment status</w:t>
      </w:r>
      <w:r w:rsidRPr="00603813">
        <w:t xml:space="preserve">).  </w:t>
      </w:r>
      <w:r>
        <w:t xml:space="preserve">Data collection will occur between </w:t>
      </w:r>
      <w:r w:rsidR="002E1F49">
        <w:t>Aug-Oct</w:t>
      </w:r>
      <w:r w:rsidR="00016715">
        <w:t xml:space="preserve"> </w:t>
      </w:r>
      <w:r w:rsidR="008A4E7B">
        <w:t>201</w:t>
      </w:r>
      <w:r w:rsidR="00016715">
        <w:t>8</w:t>
      </w:r>
      <w:r>
        <w:t xml:space="preserve">, analyses will be carried out in </w:t>
      </w:r>
      <w:r w:rsidR="002E1F49">
        <w:t>Oct-Dec 2018</w:t>
      </w:r>
      <w:r>
        <w:t xml:space="preserve">, and the final data set and report will be submitted in </w:t>
      </w:r>
      <w:r w:rsidR="002E1F49">
        <w:t>January 2019</w:t>
      </w:r>
      <w:r>
        <w:t xml:space="preserve">. </w:t>
      </w:r>
      <w:r w:rsidRPr="00603813">
        <w:t xml:space="preserve">The project timeline is detailed in </w:t>
      </w:r>
      <w:r w:rsidRPr="00961EEC">
        <w:rPr>
          <w:b/>
        </w:rPr>
        <w:t>exhibit 16.1</w:t>
      </w:r>
      <w:r w:rsidRPr="00603813">
        <w:t>.</w:t>
      </w:r>
    </w:p>
    <w:p w:rsidR="00104E90" w:rsidRPr="00104E90" w:rsidRDefault="00104E90" w:rsidP="00104E90"/>
    <w:p w:rsidR="00E86C70" w:rsidRPr="007376F4" w:rsidRDefault="00E86C70" w:rsidP="00E6566E">
      <w:pPr>
        <w:pStyle w:val="Caption"/>
        <w:keepNext/>
      </w:pPr>
      <w:bookmarkStart w:id="29" w:name="_Toc508274312"/>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E25EE5">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E25EE5">
        <w:rPr>
          <w:noProof/>
          <w:sz w:val="24"/>
          <w:szCs w:val="24"/>
        </w:rPr>
        <w:t>1</w:t>
      </w:r>
      <w:r w:rsidR="00C91C02">
        <w:rPr>
          <w:sz w:val="24"/>
          <w:szCs w:val="24"/>
        </w:rPr>
        <w:fldChar w:fldCharType="end"/>
      </w:r>
      <w:r w:rsidRPr="00E6566E">
        <w:rPr>
          <w:sz w:val="24"/>
          <w:szCs w:val="24"/>
        </w:rPr>
        <w:t>: Project Time Schedule</w:t>
      </w:r>
      <w:bookmarkEnd w:id="29"/>
    </w:p>
    <w:p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2F80" w:rsidRPr="00E6566E" w:rsidRDefault="00332F80" w:rsidP="005B4518">
            <w:pPr>
              <w:spacing w:before="100" w:beforeAutospacing="1" w:after="100" w:afterAutospacing="1"/>
            </w:pPr>
            <w:r w:rsidRPr="00E6566E">
              <w:t> </w:t>
            </w:r>
          </w:p>
          <w:p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2F80" w:rsidRPr="00E6566E" w:rsidRDefault="00332F80" w:rsidP="005B4518">
            <w:pPr>
              <w:spacing w:before="100" w:beforeAutospacing="1" w:after="100" w:afterAutospacing="1"/>
              <w:jc w:val="center"/>
            </w:pPr>
            <w:r w:rsidRPr="00E6566E">
              <w:t> </w:t>
            </w:r>
          </w:p>
          <w:p w:rsidR="00332F80" w:rsidRPr="00E6566E" w:rsidRDefault="00332F80" w:rsidP="005B4518">
            <w:pPr>
              <w:spacing w:before="100" w:beforeAutospacing="1" w:after="100" w:afterAutospacing="1"/>
              <w:jc w:val="center"/>
            </w:pPr>
            <w:r w:rsidRPr="00E6566E">
              <w:rPr>
                <w:b/>
                <w:bCs/>
              </w:rPr>
              <w:t>Time Schedule</w:t>
            </w:r>
          </w:p>
        </w:tc>
      </w:tr>
      <w:tr w:rsidR="00332F80" w:rsidRPr="00E6566E"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ans, study protocol</w:t>
            </w:r>
            <w:r w:rsidR="00C43CAC">
              <w:t>, IRB and PD approvals</w:t>
            </w:r>
            <w:r w:rsidRPr="005E6F8D">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F80" w:rsidRPr="005E6F8D" w:rsidRDefault="00016715" w:rsidP="00336819">
            <w:pPr>
              <w:spacing w:before="100" w:beforeAutospacing="1" w:after="100" w:afterAutospacing="1"/>
            </w:pPr>
            <w:r>
              <w:t xml:space="preserve">Oct </w:t>
            </w:r>
            <w:r w:rsidR="001F5846">
              <w:t>201</w:t>
            </w:r>
            <w:r>
              <w:t>7</w:t>
            </w:r>
            <w:r w:rsidR="00C43CAC">
              <w:t xml:space="preserve">- </w:t>
            </w:r>
            <w:r w:rsidR="00336819">
              <w:t xml:space="preserve">May </w:t>
            </w:r>
            <w:r w:rsidR="001F5846">
              <w:t>201</w:t>
            </w:r>
            <w:r>
              <w:t>8</w:t>
            </w:r>
          </w:p>
        </w:tc>
      </w:tr>
      <w:tr w:rsidR="006343C9" w:rsidRPr="00E6566E"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343C9" w:rsidRPr="005E6F8D" w:rsidRDefault="006343C9" w:rsidP="00244129">
            <w:pPr>
              <w:spacing w:before="100" w:beforeAutospacing="1" w:after="100" w:afterAutospacing="1"/>
            </w:pPr>
            <w:r w:rsidRPr="005E6F8D">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6343C9" w:rsidRPr="005E6F8D" w:rsidRDefault="00336819" w:rsidP="00244129">
            <w:pPr>
              <w:spacing w:before="100" w:beforeAutospacing="1" w:after="100" w:afterAutospacing="1"/>
            </w:pPr>
            <w:r>
              <w:t xml:space="preserve">Jun </w:t>
            </w:r>
            <w:r w:rsidR="00AF44AB">
              <w:t>2018</w:t>
            </w:r>
          </w:p>
        </w:tc>
      </w:tr>
      <w:tr w:rsidR="00332F80" w:rsidRPr="00E6566E"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F80" w:rsidRPr="005E6F8D" w:rsidRDefault="00332F80" w:rsidP="00244129">
            <w:pPr>
              <w:spacing w:before="100" w:beforeAutospacing="1" w:after="100" w:afterAutospacing="1"/>
            </w:pPr>
            <w:r w:rsidRPr="005E6F8D">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F80" w:rsidRPr="005E6F8D" w:rsidRDefault="00104E90" w:rsidP="00244129">
            <w:pPr>
              <w:spacing w:before="100" w:beforeAutospacing="1" w:after="100" w:afterAutospacing="1"/>
            </w:pPr>
            <w:r w:rsidRPr="005E6F8D">
              <w:t>After OMB Approval</w:t>
            </w:r>
          </w:p>
        </w:tc>
      </w:tr>
      <w:tr w:rsidR="00332F80" w:rsidRPr="00E6566E"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F80" w:rsidRPr="005E6F8D" w:rsidRDefault="00332F80" w:rsidP="00244129">
            <w:pPr>
              <w:spacing w:before="100" w:beforeAutospacing="1" w:after="100" w:afterAutospacing="1"/>
            </w:pPr>
            <w:r w:rsidRPr="005E6F8D">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F80" w:rsidRPr="005E6F8D" w:rsidRDefault="00104E90" w:rsidP="001F5846">
            <w:pPr>
              <w:spacing w:before="100" w:beforeAutospacing="1" w:after="100" w:afterAutospacing="1"/>
            </w:pPr>
            <w:r w:rsidRPr="005E6F8D">
              <w:t>1-</w:t>
            </w:r>
            <w:r w:rsidR="00A54920">
              <w:t>3</w:t>
            </w:r>
            <w:r w:rsidRPr="005E6F8D">
              <w:t xml:space="preserve"> months after OMB Approval</w:t>
            </w:r>
          </w:p>
        </w:tc>
      </w:tr>
      <w:tr w:rsidR="00332F80" w:rsidRPr="00E6566E"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F80" w:rsidRPr="005E6F8D" w:rsidRDefault="00332F80" w:rsidP="00244129">
            <w:pPr>
              <w:spacing w:before="100" w:beforeAutospacing="1" w:after="100" w:afterAutospacing="1"/>
            </w:pPr>
            <w:r w:rsidRPr="005E6F8D">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F80" w:rsidRPr="005E6F8D" w:rsidRDefault="001F5846" w:rsidP="001F5846">
            <w:pPr>
              <w:spacing w:before="100" w:beforeAutospacing="1" w:after="100" w:afterAutospacing="1"/>
            </w:pPr>
            <w:r>
              <w:t>4</w:t>
            </w:r>
            <w:r w:rsidR="001D6DDB" w:rsidRPr="005E6F8D">
              <w:t>-</w:t>
            </w:r>
            <w:r>
              <w:t>6</w:t>
            </w:r>
            <w:r w:rsidR="00104E90" w:rsidRPr="005E6F8D">
              <w:t xml:space="preserve"> months after OMB Approval</w:t>
            </w:r>
          </w:p>
        </w:tc>
      </w:tr>
      <w:tr w:rsidR="00332F80" w:rsidRPr="00603813"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F80" w:rsidRPr="005E6F8D" w:rsidRDefault="00332F80" w:rsidP="00244129">
            <w:pPr>
              <w:spacing w:before="100" w:beforeAutospacing="1" w:after="100" w:afterAutospacing="1"/>
            </w:pPr>
            <w:r w:rsidRPr="005E6F8D">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F80" w:rsidRPr="005E6F8D" w:rsidRDefault="001F5846" w:rsidP="00244129">
            <w:pPr>
              <w:spacing w:before="100" w:beforeAutospacing="1" w:after="100" w:afterAutospacing="1"/>
            </w:pPr>
            <w:r>
              <w:t>7</w:t>
            </w:r>
            <w:r w:rsidR="008A4E7B" w:rsidRPr="005E6F8D">
              <w:t xml:space="preserve"> months after OMB Approval </w:t>
            </w:r>
          </w:p>
        </w:tc>
      </w:tr>
    </w:tbl>
    <w:p w:rsidR="00041B9F" w:rsidRDefault="00041B9F" w:rsidP="00332F80">
      <w:pPr>
        <w:jc w:val="both"/>
        <w:rPr>
          <w:highlight w:val="yellow"/>
        </w:rPr>
      </w:pPr>
    </w:p>
    <w:p w:rsidR="00B12EA3" w:rsidRDefault="00065F39" w:rsidP="002F2F2C">
      <w:pPr>
        <w:spacing w:line="360" w:lineRule="auto"/>
        <w:jc w:val="both"/>
      </w:pPr>
      <w:r w:rsidRPr="00961EEC">
        <w:t>In compliance with the CDC policy on data management and access, we will develop a final, de-identified (names, other PII, and locations will be removed) qualitative database for this study along with the corresponding data documentation. This database will be made publicly available within 30 months of the end of data collection, if the final de-identified data are of sufficient quality and usefulness</w:t>
      </w:r>
      <w:r w:rsidR="002A6DEF">
        <w:t>.</w:t>
      </w:r>
      <w:r w:rsidRPr="00961EEC">
        <w:t xml:space="preserve"> </w:t>
      </w:r>
      <w:bookmarkStart w:id="30" w:name="_Toc508274305"/>
      <w:r w:rsidR="00B12EA3" w:rsidRPr="00B12EA3">
        <w:t>Reason(s) Display of OMB Expiration Date is Inappropriate</w:t>
      </w:r>
      <w:bookmarkEnd w:id="30"/>
    </w:p>
    <w:p w:rsidR="00332F80" w:rsidRDefault="00332F80" w:rsidP="00F951D1"/>
    <w:p w:rsidR="00332F80" w:rsidRPr="00F951D1" w:rsidRDefault="00332F80" w:rsidP="00F951D1">
      <w:r w:rsidRPr="00603813">
        <w:t xml:space="preserve">We do not seek approval to eliminate the expiration date. </w:t>
      </w:r>
    </w:p>
    <w:p w:rsidR="00542640" w:rsidRDefault="00B12EA3" w:rsidP="00E53653">
      <w:pPr>
        <w:pStyle w:val="Heading1"/>
      </w:pPr>
      <w:bookmarkStart w:id="31" w:name="_Toc508274306"/>
      <w:r w:rsidRPr="00B12EA3">
        <w:t>E</w:t>
      </w:r>
      <w:r w:rsidRPr="00E53653">
        <w:rPr>
          <w:rStyle w:val="Heading1Char"/>
        </w:rPr>
        <w:t>x</w:t>
      </w:r>
      <w:r w:rsidRPr="00B12EA3">
        <w:t>ceptions to Certification for Paperwork Reduction Act Submissions</w:t>
      </w:r>
      <w:bookmarkEnd w:id="31"/>
    </w:p>
    <w:p w:rsidR="00332F80" w:rsidRDefault="00332F80" w:rsidP="00F951D1"/>
    <w:p w:rsidR="001D6DDB" w:rsidRDefault="00332F80" w:rsidP="00AF44AB">
      <w:r w:rsidRPr="00332F80">
        <w:t>There are no exemptions to the certification.</w:t>
      </w:r>
    </w:p>
    <w:p w:rsidR="00495C50" w:rsidRDefault="00495C50">
      <w:pPr>
        <w:spacing w:after="200" w:line="276" w:lineRule="auto"/>
      </w:pPr>
      <w:r>
        <w:br w:type="page"/>
      </w:r>
    </w:p>
    <w:p w:rsidR="00AF44AB" w:rsidRDefault="00AF44AB" w:rsidP="00AF44AB"/>
    <w:p w:rsidR="000E619E" w:rsidRDefault="000E619E" w:rsidP="000E619E">
      <w:pPr>
        <w:pStyle w:val="Heading1"/>
        <w:numPr>
          <w:ilvl w:val="0"/>
          <w:numId w:val="0"/>
        </w:numPr>
      </w:pPr>
      <w:bookmarkStart w:id="32" w:name="_Toc448296092"/>
      <w:bookmarkStart w:id="33" w:name="_Toc508274307"/>
      <w:r>
        <w:t>References:</w:t>
      </w:r>
      <w:bookmarkEnd w:id="32"/>
      <w:bookmarkEnd w:id="33"/>
    </w:p>
    <w:p w:rsidR="00826F55" w:rsidRPr="00826F55" w:rsidRDefault="00826F55" w:rsidP="00826F55"/>
    <w:p w:rsidR="00E44523" w:rsidRDefault="00E44523" w:rsidP="00E04AE1">
      <w:pPr>
        <w:tabs>
          <w:tab w:val="left" w:pos="2204"/>
        </w:tabs>
      </w:pPr>
    </w:p>
    <w:p w:rsidR="00844380" w:rsidRDefault="00844380" w:rsidP="00844380">
      <w:pPr>
        <w:tabs>
          <w:tab w:val="left" w:pos="2204"/>
        </w:tabs>
        <w:rPr>
          <w:noProof/>
        </w:rPr>
      </w:pPr>
      <w:r>
        <w:rPr>
          <w:noProof/>
        </w:rPr>
        <w:t>Abreu DA, Winters F. Using monetary incentives to reduce attrition in the survey of income and program participation. Proceedings of the Survey Research Methods Section of the American Statistical Association 1999</w:t>
      </w:r>
    </w:p>
    <w:p w:rsidR="00844380" w:rsidRDefault="00844380" w:rsidP="00844380">
      <w:pPr>
        <w:tabs>
          <w:tab w:val="left" w:pos="2204"/>
        </w:tabs>
        <w:rPr>
          <w:noProof/>
        </w:rPr>
      </w:pPr>
    </w:p>
    <w:p w:rsidR="00844380" w:rsidRDefault="00844380" w:rsidP="00844380">
      <w:pPr>
        <w:pStyle w:val="EndNoteBibliography"/>
      </w:pPr>
      <w:r>
        <w:t xml:space="preserve">Bricker, Jeff (2014) Survey Incentives, Survey Effort, and Survey Costs. Finance and Economics Discussion Series, Divisions of Research &amp; Statistics and Monetary Affairs, Federal Reserve Board, Washington, D.C. </w:t>
      </w:r>
      <w:hyperlink r:id="rId10" w:history="1">
        <w:r w:rsidRPr="00A503BC">
          <w:rPr>
            <w:rStyle w:val="Hyperlink"/>
          </w:rPr>
          <w:t>https://www.federalreserve.gov/econresdata/feds/2014/files/201474pap.pdf</w:t>
        </w:r>
      </w:hyperlink>
    </w:p>
    <w:p w:rsidR="00844380" w:rsidRDefault="00844380" w:rsidP="00844380">
      <w:pPr>
        <w:pStyle w:val="EndNoteBibliography"/>
      </w:pPr>
    </w:p>
    <w:p w:rsidR="00844380" w:rsidRDefault="00844380" w:rsidP="00844380">
      <w:pPr>
        <w:pStyle w:val="EndNoteBibliography"/>
      </w:pPr>
      <w:r w:rsidRPr="003317DD">
        <w:t>Braveman P, Marchi K, Egerter S, Pearl M, Neuhaus J. Barriers to timely prenatal care among women with insurance: the importance of prepregnancy factors. Obstet Gynecol. 2000; 95:874-80.</w:t>
      </w:r>
    </w:p>
    <w:p w:rsidR="00844380" w:rsidRDefault="00844380" w:rsidP="00844380">
      <w:pPr>
        <w:pStyle w:val="EndNoteBibliography"/>
      </w:pPr>
    </w:p>
    <w:p w:rsidR="00844380" w:rsidRDefault="00844380" w:rsidP="00844380">
      <w:pPr>
        <w:pStyle w:val="EndNoteBibliography"/>
      </w:pPr>
      <w:r>
        <w:t>Church AH. Estimating the effect of incentives on mail survey response rates: a meta-analysis. Public Opinion Quarterly. 1993;57(1):62-79.</w:t>
      </w:r>
    </w:p>
    <w:p w:rsidR="00844380" w:rsidRDefault="00844380" w:rsidP="00844380">
      <w:pPr>
        <w:pStyle w:val="EndNoteBibliography"/>
      </w:pPr>
    </w:p>
    <w:p w:rsidR="00844380" w:rsidRDefault="00844380" w:rsidP="00844380">
      <w:pPr>
        <w:pStyle w:val="EndNoteBibliography"/>
      </w:pPr>
      <w:r w:rsidRPr="003317DD">
        <w:t>Egerter S, Braveman P, Marchi K. Timing of insurance coverage and use of prenatal care among low-income women. Am J Public Health. 2002; 92:423-7.</w:t>
      </w:r>
    </w:p>
    <w:p w:rsidR="00844380" w:rsidRDefault="00844380" w:rsidP="00844380">
      <w:pPr>
        <w:pStyle w:val="EndNoteBibliography"/>
      </w:pPr>
    </w:p>
    <w:p w:rsidR="00844380" w:rsidRDefault="00844380" w:rsidP="00844380">
      <w:pPr>
        <w:pStyle w:val="EndNoteBibliography"/>
      </w:pPr>
      <w:r w:rsidRPr="003317DD">
        <w:t>Feijen-de Jong EI, Jansen DE, Baarveld F, van der Schans CP, Schellevis FG, Reijneveld SA. Determinants of late and/or inadequate use of prenatal healthcare in high-income countries: a systematic review. European journal of public health. 2011.</w:t>
      </w:r>
    </w:p>
    <w:p w:rsidR="00844380" w:rsidRDefault="00844380" w:rsidP="00844380">
      <w:pPr>
        <w:pStyle w:val="EndNoteBibliography"/>
      </w:pPr>
    </w:p>
    <w:p w:rsidR="0064671E" w:rsidRDefault="00E44523" w:rsidP="00844380">
      <w:pPr>
        <w:pStyle w:val="EndNoteBibliography"/>
      </w:pPr>
      <w:r w:rsidRPr="003317DD">
        <w:fldChar w:fldCharType="begin"/>
      </w:r>
      <w:r w:rsidRPr="003317DD">
        <w:instrText xml:space="preserve"> ADDIN EN.REFLIST </w:instrText>
      </w:r>
      <w:r w:rsidRPr="003317DD">
        <w:fldChar w:fldCharType="separate"/>
      </w:r>
      <w:r w:rsidR="0064671E" w:rsidRPr="0064671E">
        <w:t>Goldenberg RL, Patterson ET, Freese MP. Maternal demographic, situational and psychosocial factors and their relationship to enrollment in prenatal care: a review of the literature. Women Health. 1992; 19:133-51.</w:t>
      </w:r>
    </w:p>
    <w:p w:rsidR="00844380" w:rsidRDefault="00844380" w:rsidP="00844380">
      <w:pPr>
        <w:rPr>
          <w:rFonts w:eastAsia="Calibri"/>
          <w:color w:val="000000"/>
          <w:u w:color="000000"/>
          <w:bdr w:val="nil"/>
        </w:rPr>
      </w:pPr>
    </w:p>
    <w:p w:rsidR="00844380" w:rsidRDefault="00844380" w:rsidP="00844380">
      <w:pPr>
        <w:rPr>
          <w:rFonts w:eastAsia="Calibri"/>
          <w:color w:val="000000"/>
          <w:u w:color="000000"/>
          <w:bdr w:val="nil"/>
        </w:rPr>
      </w:pPr>
      <w:r w:rsidRPr="00844380">
        <w:rPr>
          <w:rFonts w:eastAsia="Calibri"/>
          <w:color w:val="000000"/>
          <w:u w:color="000000"/>
          <w:bdr w:val="nil"/>
        </w:rPr>
        <w:t>Groth SW. Honorarium or coercion: use of incentives for participants in clinical research. J N Y State Nurses Assoc. 2010;41(1):11-22</w:t>
      </w:r>
    </w:p>
    <w:p w:rsidR="00E40B50" w:rsidRPr="003317DD" w:rsidRDefault="00E40B50" w:rsidP="0064671E">
      <w:pPr>
        <w:pStyle w:val="EndNoteBibliography"/>
      </w:pPr>
    </w:p>
    <w:p w:rsidR="00844380" w:rsidRDefault="00844380" w:rsidP="00844380">
      <w:pPr>
        <w:pStyle w:val="EndNoteBibliography"/>
      </w:pPr>
      <w:r>
        <w:t>Hagglund D. (2008). Six guidelines for compensating research participants. Dimensional Research. https://dimensionalresearch.com/blog/2009/04/06/market-research-how-should-you-compensate-participants/</w:t>
      </w:r>
    </w:p>
    <w:p w:rsidR="00844380" w:rsidRDefault="00844380" w:rsidP="00844380">
      <w:pPr>
        <w:pStyle w:val="EndNoteBibliography"/>
      </w:pPr>
    </w:p>
    <w:p w:rsidR="00844380" w:rsidRDefault="00844380" w:rsidP="00844380">
      <w:pPr>
        <w:pStyle w:val="EndNoteBibliography"/>
      </w:pPr>
      <w:r w:rsidRPr="003317DD">
        <w:t>Hollier LM, Hill J, Sheffield JS, Wendel GD, Jr. State laws regarding prenatal syphilis screening in the United States. Am J Obstet Gynecol. 2003; 189:1178-83.</w:t>
      </w:r>
    </w:p>
    <w:p w:rsidR="00844380" w:rsidRPr="003317DD" w:rsidRDefault="00844380" w:rsidP="0064671E">
      <w:pPr>
        <w:pStyle w:val="EndNoteBibliography"/>
      </w:pPr>
    </w:p>
    <w:p w:rsidR="0064671E" w:rsidRDefault="0064671E" w:rsidP="0064671E">
      <w:pPr>
        <w:pStyle w:val="EndNoteBibliography"/>
      </w:pPr>
      <w:r w:rsidRPr="003317DD">
        <w:t>Johnson AA, Wesley BD, El-Khorazaty MN, Utter JM, Bhaskar B, Hatcher BJ, et al. African American and Latino patient versus provider perceptions of determinants of prenatal care initiation. Matern Child Health J. 2011; 15 Suppl 1:S27-34.</w:t>
      </w:r>
    </w:p>
    <w:p w:rsidR="00844380" w:rsidRPr="003317DD" w:rsidRDefault="00844380" w:rsidP="0064671E">
      <w:pPr>
        <w:pStyle w:val="EndNoteBibliography"/>
      </w:pPr>
    </w:p>
    <w:p w:rsidR="00844380" w:rsidRDefault="00844380" w:rsidP="00844380">
      <w:pPr>
        <w:pStyle w:val="EndNoteBibliography"/>
      </w:pPr>
      <w:r w:rsidRPr="003317DD">
        <w:t>Nothnagle M, Marchi K, Egerter S, Braveman P. Risk factors for late or no prenatal care following Medicaid expansions in California. Matern Child Health J. 2000; 4:251-9.</w:t>
      </w:r>
    </w:p>
    <w:p w:rsidR="00844380" w:rsidRDefault="00844380" w:rsidP="0064671E">
      <w:pPr>
        <w:pStyle w:val="EndNoteBibliography"/>
      </w:pPr>
    </w:p>
    <w:p w:rsidR="0064671E" w:rsidRDefault="0064671E" w:rsidP="0064671E">
      <w:pPr>
        <w:pStyle w:val="EndNoteBibliography"/>
      </w:pPr>
      <w:r w:rsidRPr="003317DD">
        <w:t>Phillippi JC. Women's Perceptions of Access to Prenatal Care in the United States: A Literature Review. Journal of Midwifery &amp; Womens Health. 2009; 54:219-25.</w:t>
      </w:r>
    </w:p>
    <w:p w:rsidR="00844380" w:rsidRPr="003317DD" w:rsidRDefault="00844380" w:rsidP="0064671E">
      <w:pPr>
        <w:pStyle w:val="EndNoteBibliography"/>
      </w:pPr>
    </w:p>
    <w:p w:rsidR="00844380" w:rsidRPr="003317DD" w:rsidRDefault="00844380" w:rsidP="0064671E">
      <w:pPr>
        <w:pStyle w:val="EndNoteBibliography"/>
      </w:pPr>
    </w:p>
    <w:p w:rsidR="0064671E" w:rsidRDefault="0064671E" w:rsidP="0064671E">
      <w:pPr>
        <w:pStyle w:val="EndNoteBibliography"/>
      </w:pPr>
      <w:r w:rsidRPr="003317DD">
        <w:t>Rittenhouse DR, Braveman P, Marchi K. Improvements in prenatal insurance coverage and utilization of care in California: an unsung public health victory. Matern Child Health J. 2003; 7:75-86.</w:t>
      </w:r>
    </w:p>
    <w:p w:rsidR="00844380" w:rsidRPr="003317DD" w:rsidRDefault="00844380" w:rsidP="0064671E">
      <w:pPr>
        <w:pStyle w:val="EndNoteBibliography"/>
      </w:pPr>
    </w:p>
    <w:p w:rsidR="00844380" w:rsidRDefault="00844380" w:rsidP="00844380">
      <w:pPr>
        <w:rPr>
          <w:rFonts w:eastAsia="Calibri"/>
          <w:color w:val="000000"/>
          <w:u w:color="000000"/>
          <w:bdr w:val="nil"/>
        </w:rPr>
      </w:pPr>
      <w:r w:rsidRPr="00844380">
        <w:rPr>
          <w:rFonts w:eastAsia="Calibri"/>
          <w:color w:val="000000"/>
          <w:u w:color="000000"/>
          <w:bdr w:val="nil"/>
        </w:rPr>
        <w:t>Russell ML, Moralejo DG, Burgess ED. Paying research subjects: Participants' perspectives. Journal of Medical Ethics. 2000;26(2):126–130.</w:t>
      </w:r>
    </w:p>
    <w:p w:rsidR="00844380" w:rsidRDefault="00844380" w:rsidP="00844380">
      <w:pPr>
        <w:rPr>
          <w:rFonts w:eastAsia="Calibri"/>
          <w:color w:val="000000"/>
          <w:u w:color="000000"/>
          <w:bdr w:val="nil"/>
        </w:rPr>
      </w:pPr>
    </w:p>
    <w:p w:rsidR="00844380" w:rsidRDefault="00844380" w:rsidP="00844380">
      <w:pPr>
        <w:rPr>
          <w:rFonts w:eastAsia="Calibri"/>
          <w:color w:val="000000"/>
          <w:u w:color="000000"/>
          <w:bdr w:val="nil"/>
        </w:rPr>
      </w:pPr>
      <w:r w:rsidRPr="00844380">
        <w:rPr>
          <w:rFonts w:eastAsia="Calibri"/>
          <w:color w:val="000000"/>
          <w:u w:color="000000"/>
          <w:bdr w:val="nil"/>
        </w:rPr>
        <w:t>Singer E, Couper MP. Do incentives exert undue influence on survey participation? experimental evidence. J Empir Res Hum Res Ethics. 2008;3(3):49-56.</w:t>
      </w:r>
    </w:p>
    <w:p w:rsidR="00844380" w:rsidRDefault="00844380" w:rsidP="00844380">
      <w:pPr>
        <w:rPr>
          <w:rFonts w:eastAsia="Calibri"/>
          <w:color w:val="000000"/>
          <w:u w:color="000000"/>
          <w:bdr w:val="nil"/>
        </w:rPr>
      </w:pPr>
    </w:p>
    <w:p w:rsidR="00844380" w:rsidRDefault="00844380" w:rsidP="00844380">
      <w:pPr>
        <w:pStyle w:val="EndNoteBibliography"/>
      </w:pPr>
      <w:r w:rsidRPr="003317DD">
        <w:t>Warner L, Rochat RW, Fichtner RR, Stoll BJ, Nathan L, Toomey KE. Missed opportunities for congenital syphilis prevention in an urban southeastern hospital. Sex Transm Dis. 2001; 28:92-8.</w:t>
      </w:r>
    </w:p>
    <w:p w:rsidR="00844380" w:rsidRDefault="00844380" w:rsidP="0064671E">
      <w:pPr>
        <w:pStyle w:val="EndNoteBibliography"/>
      </w:pPr>
    </w:p>
    <w:p w:rsidR="0064671E" w:rsidRDefault="0064671E" w:rsidP="0064671E">
      <w:pPr>
        <w:pStyle w:val="EndNoteBibliography"/>
      </w:pPr>
      <w:r w:rsidRPr="003317DD">
        <w:t>Weir S, Posner HE, Zhang J, Willis G, Baxter JD, Clark RE. Predictors of prenatal and postpartum care adequacy in a medicaid managed care population. Womens Health Issues. 2011; 21:277-85.</w:t>
      </w:r>
    </w:p>
    <w:p w:rsidR="00844380" w:rsidRPr="003317DD" w:rsidRDefault="00844380" w:rsidP="0064671E">
      <w:pPr>
        <w:pStyle w:val="EndNoteBibliography"/>
      </w:pPr>
    </w:p>
    <w:p w:rsidR="00844380" w:rsidRPr="003317DD" w:rsidRDefault="00844380" w:rsidP="0064671E">
      <w:pPr>
        <w:pStyle w:val="EndNoteBibliography"/>
      </w:pPr>
    </w:p>
    <w:p w:rsidR="00844380" w:rsidRPr="003317DD" w:rsidRDefault="00844380" w:rsidP="0064671E">
      <w:pPr>
        <w:pStyle w:val="EndNoteBibliography"/>
      </w:pPr>
    </w:p>
    <w:p w:rsidR="00844380" w:rsidRPr="003317DD" w:rsidRDefault="00844380" w:rsidP="0064671E">
      <w:pPr>
        <w:pStyle w:val="EndNoteBibliography"/>
      </w:pPr>
    </w:p>
    <w:p w:rsidR="006C655A" w:rsidRPr="006C655A" w:rsidRDefault="00E44523" w:rsidP="00844380">
      <w:pPr>
        <w:pStyle w:val="Body"/>
      </w:pPr>
      <w:r w:rsidRPr="003317DD">
        <w:rPr>
          <w:rFonts w:ascii="Times New Roman" w:hAnsi="Times New Roman" w:cs="Times New Roman"/>
          <w:sz w:val="24"/>
          <w:szCs w:val="24"/>
        </w:rPr>
        <w:fldChar w:fldCharType="end"/>
      </w:r>
      <w:r w:rsidR="0064671E" w:rsidRPr="0064671E">
        <w:rPr>
          <w:rFonts w:ascii="Times New Roman" w:hAnsi="Times New Roman" w:cs="Times New Roman"/>
        </w:rPr>
        <w:t xml:space="preserve"> </w:t>
      </w:r>
      <w:r w:rsidR="0064671E">
        <w:rPr>
          <w:rFonts w:ascii="Times New Roman" w:hAnsi="Times New Roman" w:cs="Times New Roman"/>
        </w:rPr>
        <w:t xml:space="preserve"> </w:t>
      </w:r>
    </w:p>
    <w:sectPr w:rsidR="006C655A" w:rsidRPr="006C655A" w:rsidSect="00CC6AB1">
      <w:footerReference w:type="default" r:id="rId11"/>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18" w:rsidRDefault="007A2E18" w:rsidP="008B5D54">
      <w:r>
        <w:separator/>
      </w:r>
    </w:p>
  </w:endnote>
  <w:endnote w:type="continuationSeparator" w:id="0">
    <w:p w:rsidR="007A2E18" w:rsidRDefault="007A2E1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rsidR="007A2E18" w:rsidRDefault="007A2E18">
        <w:pPr>
          <w:pStyle w:val="Footer"/>
          <w:jc w:val="center"/>
        </w:pPr>
        <w:r>
          <w:fldChar w:fldCharType="begin"/>
        </w:r>
        <w:r>
          <w:instrText xml:space="preserve"> PAGE   \* MERGEFORMAT </w:instrText>
        </w:r>
        <w:r>
          <w:fldChar w:fldCharType="separate"/>
        </w:r>
        <w:r w:rsidR="00F766BC">
          <w:rPr>
            <w:noProof/>
          </w:rPr>
          <w:t>1</w:t>
        </w:r>
        <w:r>
          <w:rPr>
            <w:noProof/>
          </w:rPr>
          <w:fldChar w:fldCharType="end"/>
        </w:r>
      </w:p>
    </w:sdtContent>
  </w:sdt>
  <w:p w:rsidR="007A2E18" w:rsidRDefault="007A2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18" w:rsidRDefault="007A2E18" w:rsidP="008B5D54">
      <w:r>
        <w:separator/>
      </w:r>
    </w:p>
  </w:footnote>
  <w:footnote w:type="continuationSeparator" w:id="0">
    <w:p w:rsidR="007A2E18" w:rsidRDefault="007A2E1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D726C"/>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90B10"/>
    <w:multiLevelType w:val="hybridMultilevel"/>
    <w:tmpl w:val="23B89A6E"/>
    <w:lvl w:ilvl="0" w:tplc="F2600912">
      <w:start w:val="1"/>
      <w:numFmt w:val="bullet"/>
      <w:lvlText w:val=""/>
      <w:lvlJc w:val="left"/>
      <w:pPr>
        <w:ind w:left="720" w:hanging="360"/>
      </w:pPr>
      <w:rPr>
        <w:rFonts w:ascii="Symbol" w:hAnsi="Symbol" w:hint="default"/>
        <w:b w:val="0"/>
        <w:bCs w:val="0"/>
        <w:i w:val="0"/>
        <w:i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4622A"/>
    <w:multiLevelType w:val="multilevel"/>
    <w:tmpl w:val="09125016"/>
    <w:numStyleLink w:val="Style1"/>
  </w:abstractNum>
  <w:abstractNum w:abstractNumId="11">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9C90D56"/>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CE6DA7"/>
    <w:multiLevelType w:val="hybridMultilevel"/>
    <w:tmpl w:val="AB18609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86010"/>
    <w:multiLevelType w:val="hybridMultilevel"/>
    <w:tmpl w:val="5D8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5"/>
  </w:num>
  <w:num w:numId="3">
    <w:abstractNumId w:val="14"/>
  </w:num>
  <w:num w:numId="4">
    <w:abstractNumId w:val="7"/>
  </w:num>
  <w:num w:numId="5">
    <w:abstractNumId w:val="24"/>
  </w:num>
  <w:num w:numId="6">
    <w:abstractNumId w:val="6"/>
  </w:num>
  <w:num w:numId="7">
    <w:abstractNumId w:val="11"/>
  </w:num>
  <w:num w:numId="8">
    <w:abstractNumId w:val="10"/>
  </w:num>
  <w:num w:numId="9">
    <w:abstractNumId w:val="0"/>
  </w:num>
  <w:num w:numId="10">
    <w:abstractNumId w:val="5"/>
  </w:num>
  <w:num w:numId="11">
    <w:abstractNumId w:val="16"/>
  </w:num>
  <w:num w:numId="12">
    <w:abstractNumId w:val="22"/>
  </w:num>
  <w:num w:numId="13">
    <w:abstractNumId w:val="4"/>
  </w:num>
  <w:num w:numId="14">
    <w:abstractNumId w:val="2"/>
  </w:num>
  <w:num w:numId="15">
    <w:abstractNumId w:val="9"/>
  </w:num>
  <w:num w:numId="16">
    <w:abstractNumId w:val="23"/>
  </w:num>
  <w:num w:numId="17">
    <w:abstractNumId w:val="20"/>
  </w:num>
  <w:num w:numId="18">
    <w:abstractNumId w:val="19"/>
  </w:num>
  <w:num w:numId="19">
    <w:abstractNumId w:val="18"/>
  </w:num>
  <w:num w:numId="20">
    <w:abstractNumId w:val="3"/>
  </w:num>
  <w:num w:numId="21">
    <w:abstractNumId w:val="8"/>
  </w:num>
  <w:num w:numId="22">
    <w:abstractNumId w:val="17"/>
  </w:num>
  <w:num w:numId="23">
    <w:abstractNumId w:val="1"/>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W1tDQ2MTUxMjM2tbBQ0lEKTi0uzszPAykwrgUATp6hLSwAAAA="/>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3E5D"/>
    <w:rsid w:val="00006403"/>
    <w:rsid w:val="00015090"/>
    <w:rsid w:val="00016715"/>
    <w:rsid w:val="00017B88"/>
    <w:rsid w:val="00026DB7"/>
    <w:rsid w:val="00030FFE"/>
    <w:rsid w:val="00031545"/>
    <w:rsid w:val="000317BA"/>
    <w:rsid w:val="00040CE0"/>
    <w:rsid w:val="00041B9F"/>
    <w:rsid w:val="000475C9"/>
    <w:rsid w:val="00051586"/>
    <w:rsid w:val="00053671"/>
    <w:rsid w:val="00056DD2"/>
    <w:rsid w:val="000652BE"/>
    <w:rsid w:val="00065F39"/>
    <w:rsid w:val="000674D0"/>
    <w:rsid w:val="00067E1B"/>
    <w:rsid w:val="00081E33"/>
    <w:rsid w:val="00082EA9"/>
    <w:rsid w:val="000879CA"/>
    <w:rsid w:val="00093DF9"/>
    <w:rsid w:val="0009552D"/>
    <w:rsid w:val="000B1947"/>
    <w:rsid w:val="000C20AB"/>
    <w:rsid w:val="000C793C"/>
    <w:rsid w:val="000D027B"/>
    <w:rsid w:val="000D10E8"/>
    <w:rsid w:val="000D3C8A"/>
    <w:rsid w:val="000D7D1D"/>
    <w:rsid w:val="000E1128"/>
    <w:rsid w:val="000E16D3"/>
    <w:rsid w:val="000E209D"/>
    <w:rsid w:val="000E2854"/>
    <w:rsid w:val="000E32B9"/>
    <w:rsid w:val="000E619E"/>
    <w:rsid w:val="000F1DE3"/>
    <w:rsid w:val="000F2DDC"/>
    <w:rsid w:val="000F4D42"/>
    <w:rsid w:val="000F76B4"/>
    <w:rsid w:val="00104E90"/>
    <w:rsid w:val="001054F6"/>
    <w:rsid w:val="0010665D"/>
    <w:rsid w:val="00106FDF"/>
    <w:rsid w:val="00107B10"/>
    <w:rsid w:val="0012271A"/>
    <w:rsid w:val="0013226B"/>
    <w:rsid w:val="0013306F"/>
    <w:rsid w:val="00134095"/>
    <w:rsid w:val="001349E3"/>
    <w:rsid w:val="00134B29"/>
    <w:rsid w:val="00141B0A"/>
    <w:rsid w:val="0014691A"/>
    <w:rsid w:val="001503E6"/>
    <w:rsid w:val="001515AA"/>
    <w:rsid w:val="00153F9D"/>
    <w:rsid w:val="00157A3F"/>
    <w:rsid w:val="001669F8"/>
    <w:rsid w:val="00171ECE"/>
    <w:rsid w:val="001757F8"/>
    <w:rsid w:val="00177836"/>
    <w:rsid w:val="00185DD3"/>
    <w:rsid w:val="0019449E"/>
    <w:rsid w:val="00195E37"/>
    <w:rsid w:val="001A1DAB"/>
    <w:rsid w:val="001A1EFA"/>
    <w:rsid w:val="001B3429"/>
    <w:rsid w:val="001B433F"/>
    <w:rsid w:val="001B4A66"/>
    <w:rsid w:val="001C0CE3"/>
    <w:rsid w:val="001C77A3"/>
    <w:rsid w:val="001D0AB9"/>
    <w:rsid w:val="001D29E7"/>
    <w:rsid w:val="001D3CDF"/>
    <w:rsid w:val="001D4A65"/>
    <w:rsid w:val="001D6DDB"/>
    <w:rsid w:val="001E01ED"/>
    <w:rsid w:val="001F181F"/>
    <w:rsid w:val="001F2D33"/>
    <w:rsid w:val="001F5846"/>
    <w:rsid w:val="00200775"/>
    <w:rsid w:val="002014E2"/>
    <w:rsid w:val="00203A50"/>
    <w:rsid w:val="00207534"/>
    <w:rsid w:val="002102E0"/>
    <w:rsid w:val="00225BDB"/>
    <w:rsid w:val="002302EE"/>
    <w:rsid w:val="00232A59"/>
    <w:rsid w:val="0023769F"/>
    <w:rsid w:val="00240A5C"/>
    <w:rsid w:val="00242341"/>
    <w:rsid w:val="002425F1"/>
    <w:rsid w:val="00242998"/>
    <w:rsid w:val="00244129"/>
    <w:rsid w:val="00244D05"/>
    <w:rsid w:val="002521ED"/>
    <w:rsid w:val="002568B4"/>
    <w:rsid w:val="00265EDF"/>
    <w:rsid w:val="0026711D"/>
    <w:rsid w:val="00280D66"/>
    <w:rsid w:val="0028198D"/>
    <w:rsid w:val="0029515C"/>
    <w:rsid w:val="002961D6"/>
    <w:rsid w:val="002A0ADA"/>
    <w:rsid w:val="002A4419"/>
    <w:rsid w:val="002A4FE1"/>
    <w:rsid w:val="002A6DEF"/>
    <w:rsid w:val="002B2D0D"/>
    <w:rsid w:val="002B66EF"/>
    <w:rsid w:val="002C3AE2"/>
    <w:rsid w:val="002C6BD1"/>
    <w:rsid w:val="002D0E19"/>
    <w:rsid w:val="002D3D0C"/>
    <w:rsid w:val="002E15F4"/>
    <w:rsid w:val="002E1F49"/>
    <w:rsid w:val="002E24C0"/>
    <w:rsid w:val="002E4E76"/>
    <w:rsid w:val="002F2F2C"/>
    <w:rsid w:val="002F426C"/>
    <w:rsid w:val="002F4791"/>
    <w:rsid w:val="002F714D"/>
    <w:rsid w:val="00306159"/>
    <w:rsid w:val="003132A5"/>
    <w:rsid w:val="00321C21"/>
    <w:rsid w:val="003259B5"/>
    <w:rsid w:val="00331282"/>
    <w:rsid w:val="003317DD"/>
    <w:rsid w:val="00332F80"/>
    <w:rsid w:val="003340FF"/>
    <w:rsid w:val="00334FDA"/>
    <w:rsid w:val="00336819"/>
    <w:rsid w:val="003377A5"/>
    <w:rsid w:val="00337F57"/>
    <w:rsid w:val="00347120"/>
    <w:rsid w:val="00350C40"/>
    <w:rsid w:val="00352D80"/>
    <w:rsid w:val="003539FB"/>
    <w:rsid w:val="00364053"/>
    <w:rsid w:val="00367B56"/>
    <w:rsid w:val="0037216F"/>
    <w:rsid w:val="003737AF"/>
    <w:rsid w:val="00380753"/>
    <w:rsid w:val="0038668E"/>
    <w:rsid w:val="003901F6"/>
    <w:rsid w:val="003971F9"/>
    <w:rsid w:val="003A040D"/>
    <w:rsid w:val="003A2720"/>
    <w:rsid w:val="003C3C33"/>
    <w:rsid w:val="003C511F"/>
    <w:rsid w:val="003D1EC2"/>
    <w:rsid w:val="003D2D57"/>
    <w:rsid w:val="003E2A65"/>
    <w:rsid w:val="003F3217"/>
    <w:rsid w:val="003F3408"/>
    <w:rsid w:val="004003F7"/>
    <w:rsid w:val="00401AFC"/>
    <w:rsid w:val="004167F8"/>
    <w:rsid w:val="004243F5"/>
    <w:rsid w:val="00425316"/>
    <w:rsid w:val="00441432"/>
    <w:rsid w:val="00443E25"/>
    <w:rsid w:val="00453494"/>
    <w:rsid w:val="0045728B"/>
    <w:rsid w:val="00460441"/>
    <w:rsid w:val="00460D47"/>
    <w:rsid w:val="004629B2"/>
    <w:rsid w:val="004633D8"/>
    <w:rsid w:val="004657BF"/>
    <w:rsid w:val="00481132"/>
    <w:rsid w:val="00485E43"/>
    <w:rsid w:val="00486E88"/>
    <w:rsid w:val="00490338"/>
    <w:rsid w:val="00495C50"/>
    <w:rsid w:val="004B3702"/>
    <w:rsid w:val="004B3D61"/>
    <w:rsid w:val="004C2697"/>
    <w:rsid w:val="004C32F9"/>
    <w:rsid w:val="004C3356"/>
    <w:rsid w:val="004D205C"/>
    <w:rsid w:val="004D4DD0"/>
    <w:rsid w:val="004D5389"/>
    <w:rsid w:val="004D632E"/>
    <w:rsid w:val="004E3544"/>
    <w:rsid w:val="004E678A"/>
    <w:rsid w:val="004E72EA"/>
    <w:rsid w:val="004F56DE"/>
    <w:rsid w:val="004F65C6"/>
    <w:rsid w:val="00506E45"/>
    <w:rsid w:val="00511D75"/>
    <w:rsid w:val="00515886"/>
    <w:rsid w:val="00516519"/>
    <w:rsid w:val="00521503"/>
    <w:rsid w:val="0052486D"/>
    <w:rsid w:val="005248A5"/>
    <w:rsid w:val="00536ED0"/>
    <w:rsid w:val="00537E55"/>
    <w:rsid w:val="00542640"/>
    <w:rsid w:val="00543719"/>
    <w:rsid w:val="00546ADD"/>
    <w:rsid w:val="00550E55"/>
    <w:rsid w:val="005622BF"/>
    <w:rsid w:val="005631EE"/>
    <w:rsid w:val="0057169B"/>
    <w:rsid w:val="00572DE9"/>
    <w:rsid w:val="00582502"/>
    <w:rsid w:val="00582903"/>
    <w:rsid w:val="00582C8E"/>
    <w:rsid w:val="005853D9"/>
    <w:rsid w:val="00592EA2"/>
    <w:rsid w:val="005A038A"/>
    <w:rsid w:val="005A0F49"/>
    <w:rsid w:val="005A599D"/>
    <w:rsid w:val="005B0C43"/>
    <w:rsid w:val="005B4518"/>
    <w:rsid w:val="005B7263"/>
    <w:rsid w:val="005C375D"/>
    <w:rsid w:val="005C5398"/>
    <w:rsid w:val="005C7600"/>
    <w:rsid w:val="005C7B17"/>
    <w:rsid w:val="005E57B6"/>
    <w:rsid w:val="005E6F8D"/>
    <w:rsid w:val="005F3CB0"/>
    <w:rsid w:val="005F51A2"/>
    <w:rsid w:val="0060115E"/>
    <w:rsid w:val="00605AD2"/>
    <w:rsid w:val="00606E0A"/>
    <w:rsid w:val="006131F3"/>
    <w:rsid w:val="00617B96"/>
    <w:rsid w:val="00622CA8"/>
    <w:rsid w:val="00625F34"/>
    <w:rsid w:val="0062644D"/>
    <w:rsid w:val="006343C9"/>
    <w:rsid w:val="0064553E"/>
    <w:rsid w:val="00645D4A"/>
    <w:rsid w:val="0064671E"/>
    <w:rsid w:val="0064763C"/>
    <w:rsid w:val="00657BDF"/>
    <w:rsid w:val="00663BC9"/>
    <w:rsid w:val="00666229"/>
    <w:rsid w:val="00674ABA"/>
    <w:rsid w:val="006775DC"/>
    <w:rsid w:val="00680216"/>
    <w:rsid w:val="00686217"/>
    <w:rsid w:val="006869D4"/>
    <w:rsid w:val="00690E5E"/>
    <w:rsid w:val="00694CC6"/>
    <w:rsid w:val="006A15E8"/>
    <w:rsid w:val="006B07DF"/>
    <w:rsid w:val="006B0BFB"/>
    <w:rsid w:val="006B56C4"/>
    <w:rsid w:val="006C3409"/>
    <w:rsid w:val="006C500C"/>
    <w:rsid w:val="006C655A"/>
    <w:rsid w:val="006C6578"/>
    <w:rsid w:val="006D2247"/>
    <w:rsid w:val="006E41AA"/>
    <w:rsid w:val="006E4CC2"/>
    <w:rsid w:val="006E4F97"/>
    <w:rsid w:val="006F03EA"/>
    <w:rsid w:val="006F1880"/>
    <w:rsid w:val="006F3440"/>
    <w:rsid w:val="006F42D1"/>
    <w:rsid w:val="00706BCB"/>
    <w:rsid w:val="00711044"/>
    <w:rsid w:val="007202CA"/>
    <w:rsid w:val="00720709"/>
    <w:rsid w:val="00724D04"/>
    <w:rsid w:val="007311C6"/>
    <w:rsid w:val="00731B24"/>
    <w:rsid w:val="00731BE3"/>
    <w:rsid w:val="007325ED"/>
    <w:rsid w:val="00733192"/>
    <w:rsid w:val="007376F4"/>
    <w:rsid w:val="007402B8"/>
    <w:rsid w:val="007447B9"/>
    <w:rsid w:val="00747020"/>
    <w:rsid w:val="0075552D"/>
    <w:rsid w:val="00757F44"/>
    <w:rsid w:val="007666DB"/>
    <w:rsid w:val="00777FC0"/>
    <w:rsid w:val="0078403B"/>
    <w:rsid w:val="007841E3"/>
    <w:rsid w:val="00786C47"/>
    <w:rsid w:val="00795399"/>
    <w:rsid w:val="007A2E18"/>
    <w:rsid w:val="007A2FDD"/>
    <w:rsid w:val="007B3D63"/>
    <w:rsid w:val="007B4891"/>
    <w:rsid w:val="007C2B6F"/>
    <w:rsid w:val="007C71F5"/>
    <w:rsid w:val="007D0BF7"/>
    <w:rsid w:val="007D4C07"/>
    <w:rsid w:val="007E405F"/>
    <w:rsid w:val="007E72EF"/>
    <w:rsid w:val="007F1E53"/>
    <w:rsid w:val="007F7EDD"/>
    <w:rsid w:val="00810B9E"/>
    <w:rsid w:val="00811F53"/>
    <w:rsid w:val="00815C35"/>
    <w:rsid w:val="00815E83"/>
    <w:rsid w:val="008261DA"/>
    <w:rsid w:val="00826F55"/>
    <w:rsid w:val="00844380"/>
    <w:rsid w:val="008452CD"/>
    <w:rsid w:val="008457FB"/>
    <w:rsid w:val="00846E9C"/>
    <w:rsid w:val="008519CC"/>
    <w:rsid w:val="0085327E"/>
    <w:rsid w:val="00856DCF"/>
    <w:rsid w:val="008574B9"/>
    <w:rsid w:val="008839F0"/>
    <w:rsid w:val="008845A2"/>
    <w:rsid w:val="00890B50"/>
    <w:rsid w:val="00895F7B"/>
    <w:rsid w:val="008A2E78"/>
    <w:rsid w:val="008A498C"/>
    <w:rsid w:val="008A4E7B"/>
    <w:rsid w:val="008B01EB"/>
    <w:rsid w:val="008B180A"/>
    <w:rsid w:val="008B5D54"/>
    <w:rsid w:val="008C09DC"/>
    <w:rsid w:val="008C5507"/>
    <w:rsid w:val="008E6D5A"/>
    <w:rsid w:val="008F339E"/>
    <w:rsid w:val="008F6383"/>
    <w:rsid w:val="00901DC6"/>
    <w:rsid w:val="009039B7"/>
    <w:rsid w:val="00904F07"/>
    <w:rsid w:val="00905CCE"/>
    <w:rsid w:val="00910A43"/>
    <w:rsid w:val="00913292"/>
    <w:rsid w:val="00913A3E"/>
    <w:rsid w:val="009221FF"/>
    <w:rsid w:val="00924A81"/>
    <w:rsid w:val="00925BA9"/>
    <w:rsid w:val="009330AF"/>
    <w:rsid w:val="00933271"/>
    <w:rsid w:val="009371FE"/>
    <w:rsid w:val="00943B21"/>
    <w:rsid w:val="009501CD"/>
    <w:rsid w:val="0095035F"/>
    <w:rsid w:val="00950C89"/>
    <w:rsid w:val="00956B5D"/>
    <w:rsid w:val="009579AD"/>
    <w:rsid w:val="00960A76"/>
    <w:rsid w:val="00961EEC"/>
    <w:rsid w:val="00963092"/>
    <w:rsid w:val="0096557A"/>
    <w:rsid w:val="00965E71"/>
    <w:rsid w:val="0097154E"/>
    <w:rsid w:val="00980F7C"/>
    <w:rsid w:val="009811EB"/>
    <w:rsid w:val="009830DB"/>
    <w:rsid w:val="00984478"/>
    <w:rsid w:val="0098673D"/>
    <w:rsid w:val="00987256"/>
    <w:rsid w:val="009951A9"/>
    <w:rsid w:val="0099750D"/>
    <w:rsid w:val="009A2571"/>
    <w:rsid w:val="009B4858"/>
    <w:rsid w:val="009B59EB"/>
    <w:rsid w:val="009D041A"/>
    <w:rsid w:val="009D4CC5"/>
    <w:rsid w:val="009D6649"/>
    <w:rsid w:val="009E080C"/>
    <w:rsid w:val="009F2B1C"/>
    <w:rsid w:val="00A00005"/>
    <w:rsid w:val="00A022C0"/>
    <w:rsid w:val="00A05F7F"/>
    <w:rsid w:val="00A107EA"/>
    <w:rsid w:val="00A12865"/>
    <w:rsid w:val="00A200F6"/>
    <w:rsid w:val="00A31F59"/>
    <w:rsid w:val="00A34D13"/>
    <w:rsid w:val="00A46777"/>
    <w:rsid w:val="00A51C29"/>
    <w:rsid w:val="00A54920"/>
    <w:rsid w:val="00A55C9F"/>
    <w:rsid w:val="00A61B2E"/>
    <w:rsid w:val="00A71916"/>
    <w:rsid w:val="00A74155"/>
    <w:rsid w:val="00A76979"/>
    <w:rsid w:val="00A80799"/>
    <w:rsid w:val="00A8482E"/>
    <w:rsid w:val="00AA1ED6"/>
    <w:rsid w:val="00AA75BF"/>
    <w:rsid w:val="00AB388C"/>
    <w:rsid w:val="00AB78EA"/>
    <w:rsid w:val="00AC254E"/>
    <w:rsid w:val="00AC3B51"/>
    <w:rsid w:val="00AC60FB"/>
    <w:rsid w:val="00AD4495"/>
    <w:rsid w:val="00AD4D5A"/>
    <w:rsid w:val="00AE50F8"/>
    <w:rsid w:val="00AF2647"/>
    <w:rsid w:val="00AF44AB"/>
    <w:rsid w:val="00AF5C75"/>
    <w:rsid w:val="00AF6D1E"/>
    <w:rsid w:val="00AF6FD9"/>
    <w:rsid w:val="00B02928"/>
    <w:rsid w:val="00B03E4D"/>
    <w:rsid w:val="00B057DB"/>
    <w:rsid w:val="00B06922"/>
    <w:rsid w:val="00B10932"/>
    <w:rsid w:val="00B12276"/>
    <w:rsid w:val="00B12EA3"/>
    <w:rsid w:val="00B13FC6"/>
    <w:rsid w:val="00B24C5D"/>
    <w:rsid w:val="00B24E32"/>
    <w:rsid w:val="00B250E0"/>
    <w:rsid w:val="00B30AEA"/>
    <w:rsid w:val="00B30E3B"/>
    <w:rsid w:val="00B328D6"/>
    <w:rsid w:val="00B343E9"/>
    <w:rsid w:val="00B43B8D"/>
    <w:rsid w:val="00B447EE"/>
    <w:rsid w:val="00B45362"/>
    <w:rsid w:val="00B53CFF"/>
    <w:rsid w:val="00B553B8"/>
    <w:rsid w:val="00B55735"/>
    <w:rsid w:val="00B608AC"/>
    <w:rsid w:val="00B62FF3"/>
    <w:rsid w:val="00B6300F"/>
    <w:rsid w:val="00B65B0C"/>
    <w:rsid w:val="00B82C9D"/>
    <w:rsid w:val="00B861B0"/>
    <w:rsid w:val="00B87197"/>
    <w:rsid w:val="00B87638"/>
    <w:rsid w:val="00B930C9"/>
    <w:rsid w:val="00B9447E"/>
    <w:rsid w:val="00BA1759"/>
    <w:rsid w:val="00BA7B25"/>
    <w:rsid w:val="00BC60F9"/>
    <w:rsid w:val="00BD0B38"/>
    <w:rsid w:val="00BD534C"/>
    <w:rsid w:val="00BE30BA"/>
    <w:rsid w:val="00BF1EB9"/>
    <w:rsid w:val="00BF4C06"/>
    <w:rsid w:val="00C1216F"/>
    <w:rsid w:val="00C1474B"/>
    <w:rsid w:val="00C15DB7"/>
    <w:rsid w:val="00C2034B"/>
    <w:rsid w:val="00C317D7"/>
    <w:rsid w:val="00C37E9C"/>
    <w:rsid w:val="00C436DC"/>
    <w:rsid w:val="00C43CAC"/>
    <w:rsid w:val="00C46977"/>
    <w:rsid w:val="00C60A58"/>
    <w:rsid w:val="00C62F5E"/>
    <w:rsid w:val="00C67BED"/>
    <w:rsid w:val="00C70483"/>
    <w:rsid w:val="00C709BF"/>
    <w:rsid w:val="00C70C6E"/>
    <w:rsid w:val="00C736A4"/>
    <w:rsid w:val="00C73AE8"/>
    <w:rsid w:val="00C80AE5"/>
    <w:rsid w:val="00C81AAD"/>
    <w:rsid w:val="00C8370A"/>
    <w:rsid w:val="00C84609"/>
    <w:rsid w:val="00C8537E"/>
    <w:rsid w:val="00C91C02"/>
    <w:rsid w:val="00CA4BF2"/>
    <w:rsid w:val="00CB031A"/>
    <w:rsid w:val="00CB62C5"/>
    <w:rsid w:val="00CC5FFB"/>
    <w:rsid w:val="00CC6AB1"/>
    <w:rsid w:val="00CC6AFA"/>
    <w:rsid w:val="00CD3D52"/>
    <w:rsid w:val="00CE4B90"/>
    <w:rsid w:val="00CF191F"/>
    <w:rsid w:val="00CF44C9"/>
    <w:rsid w:val="00CF5EFA"/>
    <w:rsid w:val="00D01AB3"/>
    <w:rsid w:val="00D071EB"/>
    <w:rsid w:val="00D07372"/>
    <w:rsid w:val="00D07617"/>
    <w:rsid w:val="00D10D3C"/>
    <w:rsid w:val="00D12ECD"/>
    <w:rsid w:val="00D17FA6"/>
    <w:rsid w:val="00D21275"/>
    <w:rsid w:val="00D312D3"/>
    <w:rsid w:val="00D329C3"/>
    <w:rsid w:val="00D37337"/>
    <w:rsid w:val="00D37C0E"/>
    <w:rsid w:val="00D45665"/>
    <w:rsid w:val="00D467C4"/>
    <w:rsid w:val="00D473E4"/>
    <w:rsid w:val="00D4797E"/>
    <w:rsid w:val="00D528B9"/>
    <w:rsid w:val="00D55A4B"/>
    <w:rsid w:val="00D56E26"/>
    <w:rsid w:val="00D6673F"/>
    <w:rsid w:val="00D66FE5"/>
    <w:rsid w:val="00D70265"/>
    <w:rsid w:val="00DA2BE9"/>
    <w:rsid w:val="00DB7501"/>
    <w:rsid w:val="00DC0C2E"/>
    <w:rsid w:val="00DC184D"/>
    <w:rsid w:val="00DC3C26"/>
    <w:rsid w:val="00DC57CC"/>
    <w:rsid w:val="00DD4021"/>
    <w:rsid w:val="00DE0EA1"/>
    <w:rsid w:val="00DE2A5A"/>
    <w:rsid w:val="00DE3165"/>
    <w:rsid w:val="00DE4370"/>
    <w:rsid w:val="00DF71D5"/>
    <w:rsid w:val="00E036C0"/>
    <w:rsid w:val="00E04AE1"/>
    <w:rsid w:val="00E22565"/>
    <w:rsid w:val="00E227E6"/>
    <w:rsid w:val="00E2574F"/>
    <w:rsid w:val="00E25EE5"/>
    <w:rsid w:val="00E269F4"/>
    <w:rsid w:val="00E342ED"/>
    <w:rsid w:val="00E344D5"/>
    <w:rsid w:val="00E3571A"/>
    <w:rsid w:val="00E368ED"/>
    <w:rsid w:val="00E3750B"/>
    <w:rsid w:val="00E40B50"/>
    <w:rsid w:val="00E44523"/>
    <w:rsid w:val="00E45F70"/>
    <w:rsid w:val="00E477CF"/>
    <w:rsid w:val="00E50603"/>
    <w:rsid w:val="00E53653"/>
    <w:rsid w:val="00E56897"/>
    <w:rsid w:val="00E57785"/>
    <w:rsid w:val="00E6566E"/>
    <w:rsid w:val="00E72740"/>
    <w:rsid w:val="00E75091"/>
    <w:rsid w:val="00E80B2F"/>
    <w:rsid w:val="00E824BA"/>
    <w:rsid w:val="00E830C0"/>
    <w:rsid w:val="00E86BF9"/>
    <w:rsid w:val="00E86C70"/>
    <w:rsid w:val="00E90840"/>
    <w:rsid w:val="00E91107"/>
    <w:rsid w:val="00E91FEF"/>
    <w:rsid w:val="00E95231"/>
    <w:rsid w:val="00E95779"/>
    <w:rsid w:val="00EA31E0"/>
    <w:rsid w:val="00EA4C0B"/>
    <w:rsid w:val="00EB3A87"/>
    <w:rsid w:val="00EB46EE"/>
    <w:rsid w:val="00EB7706"/>
    <w:rsid w:val="00EC3F14"/>
    <w:rsid w:val="00ED0207"/>
    <w:rsid w:val="00ED127C"/>
    <w:rsid w:val="00ED75FB"/>
    <w:rsid w:val="00EE4F87"/>
    <w:rsid w:val="00EF465A"/>
    <w:rsid w:val="00F0313D"/>
    <w:rsid w:val="00F119BC"/>
    <w:rsid w:val="00F11C39"/>
    <w:rsid w:val="00F12DA9"/>
    <w:rsid w:val="00F13485"/>
    <w:rsid w:val="00F15707"/>
    <w:rsid w:val="00F15AEE"/>
    <w:rsid w:val="00F1727A"/>
    <w:rsid w:val="00F22BAE"/>
    <w:rsid w:val="00F27976"/>
    <w:rsid w:val="00F353ED"/>
    <w:rsid w:val="00F54C87"/>
    <w:rsid w:val="00F55853"/>
    <w:rsid w:val="00F72954"/>
    <w:rsid w:val="00F734ED"/>
    <w:rsid w:val="00F75369"/>
    <w:rsid w:val="00F766BC"/>
    <w:rsid w:val="00F81AFD"/>
    <w:rsid w:val="00F82D55"/>
    <w:rsid w:val="00F84573"/>
    <w:rsid w:val="00F867DA"/>
    <w:rsid w:val="00F9212B"/>
    <w:rsid w:val="00F936F5"/>
    <w:rsid w:val="00F94AE4"/>
    <w:rsid w:val="00F94C18"/>
    <w:rsid w:val="00F951D1"/>
    <w:rsid w:val="00F9622C"/>
    <w:rsid w:val="00F967BA"/>
    <w:rsid w:val="00F97FAA"/>
    <w:rsid w:val="00FA12E8"/>
    <w:rsid w:val="00FB7764"/>
    <w:rsid w:val="00FC1704"/>
    <w:rsid w:val="00FD0DC2"/>
    <w:rsid w:val="00FD6609"/>
    <w:rsid w:val="00FE58EA"/>
    <w:rsid w:val="00FE7D83"/>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A05F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05F7F"/>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A05F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05F7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642196946">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187019954">
      <w:bodyDiv w:val="1"/>
      <w:marLeft w:val="0"/>
      <w:marRight w:val="0"/>
      <w:marTop w:val="0"/>
      <w:marBottom w:val="0"/>
      <w:divBdr>
        <w:top w:val="none" w:sz="0" w:space="0" w:color="auto"/>
        <w:left w:val="none" w:sz="0" w:space="0" w:color="auto"/>
        <w:bottom w:val="none" w:sz="0" w:space="0" w:color="auto"/>
        <w:right w:val="none" w:sz="0" w:space="0" w:color="auto"/>
      </w:divBdr>
    </w:div>
    <w:div w:id="1450130234">
      <w:bodyDiv w:val="1"/>
      <w:marLeft w:val="0"/>
      <w:marRight w:val="0"/>
      <w:marTop w:val="0"/>
      <w:marBottom w:val="0"/>
      <w:divBdr>
        <w:top w:val="none" w:sz="0" w:space="0" w:color="auto"/>
        <w:left w:val="none" w:sz="0" w:space="0" w:color="auto"/>
        <w:bottom w:val="none" w:sz="0" w:space="0" w:color="auto"/>
        <w:right w:val="none" w:sz="0" w:space="0" w:color="auto"/>
      </w:divBdr>
    </w:div>
    <w:div w:id="1529444391">
      <w:bodyDiv w:val="1"/>
      <w:marLeft w:val="0"/>
      <w:marRight w:val="0"/>
      <w:marTop w:val="0"/>
      <w:marBottom w:val="0"/>
      <w:divBdr>
        <w:top w:val="none" w:sz="0" w:space="0" w:color="auto"/>
        <w:left w:val="none" w:sz="0" w:space="0" w:color="auto"/>
        <w:bottom w:val="none" w:sz="0" w:space="0" w:color="auto"/>
        <w:right w:val="none" w:sz="0" w:space="0" w:color="auto"/>
      </w:divBdr>
    </w:div>
    <w:div w:id="1553229360">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serve.gov/econresdata/feds/2014/files/201474pap.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5DBD92F0-2FF3-4AD5-9C60-8CD80B39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2019-03-26T13:43:00Z</dcterms:created>
  <dcterms:modified xsi:type="dcterms:W3CDTF">2019-03-26T13:43:00Z</dcterms:modified>
</cp:coreProperties>
</file>