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38515" w14:textId="76D4CB54" w:rsidR="006869D4" w:rsidRDefault="006869D4" w:rsidP="00F95454">
      <w:pPr>
        <w:pStyle w:val="NoSpacing"/>
        <w:spacing w:before="120" w:after="120"/>
        <w:mirrorIndents/>
        <w:jc w:val="center"/>
        <w:rPr>
          <w:b/>
        </w:rPr>
      </w:pPr>
      <w:bookmarkStart w:id="0" w:name="_GoBack"/>
      <w:bookmarkEnd w:id="0"/>
    </w:p>
    <w:p w14:paraId="44FF1C00" w14:textId="77777777" w:rsidR="009F6A65" w:rsidRDefault="00E227E6" w:rsidP="009F6A65">
      <w:pPr>
        <w:pStyle w:val="NoSpacing"/>
        <w:spacing w:before="120"/>
        <w:mirrorIndents/>
        <w:jc w:val="center"/>
      </w:pPr>
      <w:r w:rsidRPr="00412543">
        <w:t>Gen</w:t>
      </w:r>
      <w:r w:rsidR="001F2D33" w:rsidRPr="00412543">
        <w:t>eric</w:t>
      </w:r>
      <w:r w:rsidRPr="00412543">
        <w:t xml:space="preserve"> Information Collection under </w:t>
      </w:r>
      <w:r w:rsidR="00480176">
        <w:t xml:space="preserve">Formative Research and Tool Development </w:t>
      </w:r>
    </w:p>
    <w:p w14:paraId="2D4C5522" w14:textId="6B9EC52C" w:rsidR="00E227E6" w:rsidRPr="009C6B25" w:rsidRDefault="00E227E6" w:rsidP="00037D13">
      <w:pPr>
        <w:pStyle w:val="NoSpacing"/>
        <w:spacing w:after="120"/>
        <w:mirrorIndents/>
        <w:jc w:val="center"/>
        <w:rPr>
          <w:b/>
        </w:rPr>
      </w:pPr>
      <w:r w:rsidRPr="009C6B25">
        <w:rPr>
          <w:b/>
        </w:rPr>
        <w:t>OMB #0920-</w:t>
      </w:r>
      <w:r w:rsidR="00B1673A" w:rsidRPr="009C6B25">
        <w:rPr>
          <w:b/>
        </w:rPr>
        <w:t>0840</w:t>
      </w:r>
    </w:p>
    <w:p w14:paraId="0EB4D8C9" w14:textId="77777777" w:rsidR="00D3462F" w:rsidRDefault="00D3462F" w:rsidP="00D3462F">
      <w:pPr>
        <w:pStyle w:val="NoSpacing"/>
        <w:spacing w:before="120" w:after="120"/>
        <w:mirrorIndents/>
        <w:jc w:val="center"/>
      </w:pPr>
      <w:r>
        <w:t>Virtual F</w:t>
      </w:r>
      <w:r w:rsidRPr="007618CF">
        <w:t xml:space="preserve">ocus Groups </w:t>
      </w:r>
      <w:r>
        <w:t>with Primary Care Physicians and OBGYNs:</w:t>
      </w:r>
      <w:r>
        <w:br/>
      </w:r>
      <w:r w:rsidRPr="000E05AF">
        <w:t>Attitudes about Proposed Hepatitis C Screening Guidelines</w:t>
      </w:r>
      <w:r>
        <w:rPr>
          <w:b/>
        </w:rPr>
        <w:br/>
      </w:r>
      <w:r w:rsidRPr="00857138">
        <w:t xml:space="preserve"> </w:t>
      </w:r>
      <w:r>
        <w:t>DVH 2019</w:t>
      </w:r>
    </w:p>
    <w:p w14:paraId="646ACD0B" w14:textId="77777777" w:rsidR="00E227E6" w:rsidRDefault="00E227E6" w:rsidP="00F95454">
      <w:pPr>
        <w:pStyle w:val="NoSpacing"/>
        <w:spacing w:before="120" w:after="120"/>
        <w:mirrorIndents/>
        <w:jc w:val="center"/>
        <w:rPr>
          <w:b/>
        </w:rPr>
      </w:pPr>
    </w:p>
    <w:p w14:paraId="70491B13" w14:textId="77777777" w:rsidR="00E227E6" w:rsidRDefault="00E227E6" w:rsidP="00F95454">
      <w:pPr>
        <w:pStyle w:val="NoSpacing"/>
        <w:spacing w:before="120" w:after="120"/>
        <w:mirrorIndents/>
        <w:jc w:val="center"/>
        <w:rPr>
          <w:b/>
        </w:rPr>
      </w:pPr>
    </w:p>
    <w:p w14:paraId="3FA0A050" w14:textId="77777777" w:rsidR="0098673D" w:rsidRDefault="0098673D" w:rsidP="00F95454">
      <w:pPr>
        <w:pStyle w:val="NoSpacing"/>
        <w:spacing w:before="120" w:after="120"/>
        <w:mirrorIndents/>
        <w:jc w:val="center"/>
        <w:rPr>
          <w:b/>
        </w:rPr>
      </w:pPr>
    </w:p>
    <w:p w14:paraId="1032F302" w14:textId="01A5147B" w:rsidR="0098673D" w:rsidRDefault="00256843" w:rsidP="00F95454">
      <w:pPr>
        <w:pStyle w:val="NoSpacing"/>
        <w:spacing w:before="120" w:after="120"/>
        <w:mirrorIndents/>
        <w:jc w:val="center"/>
        <w:rPr>
          <w:b/>
        </w:rPr>
      </w:pPr>
      <w:r>
        <w:rPr>
          <w:b/>
        </w:rPr>
        <w:t xml:space="preserve"> </w:t>
      </w:r>
    </w:p>
    <w:p w14:paraId="0DA15451" w14:textId="77777777" w:rsidR="0098673D" w:rsidRPr="00374CFA" w:rsidRDefault="0098673D" w:rsidP="00F95454">
      <w:pPr>
        <w:pStyle w:val="NoSpacing"/>
        <w:spacing w:before="120" w:after="120"/>
        <w:mirrorIndents/>
        <w:jc w:val="center"/>
        <w:rPr>
          <w:sz w:val="28"/>
          <w:szCs w:val="28"/>
        </w:rPr>
      </w:pPr>
      <w:r w:rsidRPr="00374CFA">
        <w:rPr>
          <w:sz w:val="28"/>
          <w:szCs w:val="28"/>
        </w:rPr>
        <w:t>Section A: Supporting Statement</w:t>
      </w:r>
    </w:p>
    <w:p w14:paraId="012C70EF" w14:textId="77777777" w:rsidR="0098673D" w:rsidRDefault="0098673D" w:rsidP="00F95454">
      <w:pPr>
        <w:pStyle w:val="NoSpacing"/>
        <w:spacing w:before="120" w:after="120"/>
        <w:mirrorIndents/>
        <w:jc w:val="center"/>
        <w:rPr>
          <w:b/>
        </w:rPr>
      </w:pPr>
    </w:p>
    <w:p w14:paraId="20F53B92" w14:textId="77777777" w:rsidR="0098673D" w:rsidRDefault="0098673D" w:rsidP="00F95454">
      <w:pPr>
        <w:pStyle w:val="NoSpacing"/>
        <w:spacing w:before="120" w:after="120"/>
        <w:mirrorIndents/>
        <w:jc w:val="center"/>
        <w:rPr>
          <w:b/>
        </w:rPr>
      </w:pPr>
    </w:p>
    <w:p w14:paraId="7AFB1319" w14:textId="77777777" w:rsidR="00053671" w:rsidRDefault="00053671" w:rsidP="00F95454">
      <w:pPr>
        <w:pStyle w:val="NoSpacing"/>
        <w:spacing w:before="120" w:after="120"/>
        <w:mirrorIndents/>
        <w:jc w:val="center"/>
        <w:rPr>
          <w:b/>
        </w:rPr>
      </w:pPr>
    </w:p>
    <w:p w14:paraId="04EE08F6" w14:textId="77777777" w:rsidR="00053671" w:rsidRDefault="00053671" w:rsidP="00F95454">
      <w:pPr>
        <w:pStyle w:val="NoSpacing"/>
        <w:spacing w:before="120" w:after="120"/>
        <w:mirrorIndents/>
        <w:jc w:val="center"/>
        <w:rPr>
          <w:b/>
        </w:rPr>
      </w:pPr>
    </w:p>
    <w:p w14:paraId="09B6F01D" w14:textId="6F39ED95" w:rsidR="005A0F49" w:rsidRPr="00412543" w:rsidRDefault="009563E6" w:rsidP="00F95454">
      <w:pPr>
        <w:pStyle w:val="NoSpacing"/>
        <w:spacing w:before="120" w:after="120"/>
        <w:mirrorIndents/>
        <w:jc w:val="center"/>
      </w:pPr>
      <w:r>
        <w:t>November 18</w:t>
      </w:r>
      <w:r w:rsidR="00480176" w:rsidRPr="00B270BB">
        <w:t>, 2019</w:t>
      </w:r>
    </w:p>
    <w:p w14:paraId="3ADA8582" w14:textId="77777777" w:rsidR="00053671" w:rsidRDefault="00053671" w:rsidP="00F95454">
      <w:pPr>
        <w:pStyle w:val="NoSpacing"/>
        <w:spacing w:before="120" w:after="120"/>
        <w:mirrorIndents/>
        <w:jc w:val="center"/>
        <w:rPr>
          <w:b/>
        </w:rPr>
      </w:pPr>
    </w:p>
    <w:p w14:paraId="6C409248" w14:textId="77777777" w:rsidR="00053671" w:rsidRDefault="00053671" w:rsidP="00F95454">
      <w:pPr>
        <w:pStyle w:val="NoSpacing"/>
        <w:spacing w:before="120" w:after="120"/>
        <w:mirrorIndents/>
        <w:jc w:val="center"/>
        <w:rPr>
          <w:b/>
        </w:rPr>
      </w:pPr>
    </w:p>
    <w:p w14:paraId="0438CDFE" w14:textId="77777777" w:rsidR="00053671" w:rsidRDefault="00053671" w:rsidP="00F95454">
      <w:pPr>
        <w:pStyle w:val="NoSpacing"/>
        <w:spacing w:before="120" w:after="120"/>
        <w:mirrorIndents/>
        <w:jc w:val="center"/>
        <w:rPr>
          <w:b/>
        </w:rPr>
      </w:pPr>
      <w:r>
        <w:rPr>
          <w:b/>
        </w:rPr>
        <w:t>CONTACT</w:t>
      </w:r>
    </w:p>
    <w:p w14:paraId="33994E80" w14:textId="217DB65F" w:rsidR="00480176" w:rsidRDefault="00480176" w:rsidP="00480176">
      <w:pPr>
        <w:spacing w:before="120"/>
        <w:mirrorIndents/>
        <w:jc w:val="center"/>
        <w:rPr>
          <w:bCs/>
          <w:shd w:val="clear" w:color="auto" w:fill="FFFFFF"/>
        </w:rPr>
      </w:pPr>
      <w:r>
        <w:rPr>
          <w:bCs/>
          <w:shd w:val="clear" w:color="auto" w:fill="FFFFFF"/>
        </w:rPr>
        <w:t xml:space="preserve">Cynthia Jorgensen, DrPH </w:t>
      </w:r>
    </w:p>
    <w:p w14:paraId="71543EE5" w14:textId="77777777" w:rsidR="00E81722" w:rsidRDefault="00E81722" w:rsidP="00E81722">
      <w:pPr>
        <w:mirrorIndents/>
        <w:jc w:val="center"/>
        <w:rPr>
          <w:bCs/>
          <w:shd w:val="clear" w:color="auto" w:fill="FFFFFF"/>
        </w:rPr>
      </w:pPr>
      <w:r>
        <w:rPr>
          <w:bCs/>
          <w:shd w:val="clear" w:color="auto" w:fill="FFFFFF"/>
        </w:rPr>
        <w:t>Alycia Downs, MPH</w:t>
      </w:r>
    </w:p>
    <w:p w14:paraId="47FDCEA1" w14:textId="77777777" w:rsidR="00E81722" w:rsidRPr="00603813" w:rsidRDefault="00E81722" w:rsidP="00E81722">
      <w:pPr>
        <w:spacing w:after="120"/>
        <w:mirrorIndents/>
        <w:jc w:val="center"/>
        <w:rPr>
          <w:shd w:val="clear" w:color="auto" w:fill="FFFFFF"/>
        </w:rPr>
      </w:pPr>
      <w:r>
        <w:rPr>
          <w:bCs/>
          <w:shd w:val="clear" w:color="auto" w:fill="FFFFFF"/>
        </w:rPr>
        <w:t>NCHHSTP/DVH/OD Communication Team Lead</w:t>
      </w:r>
      <w:r w:rsidRPr="00603813">
        <w:br/>
      </w:r>
      <w:r>
        <w:t>Co-Principal Investigators</w:t>
      </w:r>
    </w:p>
    <w:p w14:paraId="6ECA2A02" w14:textId="77777777" w:rsidR="00E81722" w:rsidRDefault="00E81722" w:rsidP="00480176">
      <w:pPr>
        <w:spacing w:before="120"/>
        <w:mirrorIndents/>
        <w:jc w:val="center"/>
        <w:rPr>
          <w:bCs/>
          <w:shd w:val="clear" w:color="auto" w:fill="FFFFFF"/>
        </w:rPr>
      </w:pPr>
    </w:p>
    <w:p w14:paraId="12434A3D" w14:textId="7AAA7883" w:rsidR="00053671" w:rsidRPr="00603813" w:rsidRDefault="00480176" w:rsidP="002E11F0">
      <w:pPr>
        <w:spacing w:after="120"/>
        <w:mirrorIndents/>
        <w:jc w:val="center"/>
        <w:rPr>
          <w:shd w:val="clear" w:color="auto" w:fill="FFFFFF"/>
        </w:rPr>
      </w:pPr>
      <w:r>
        <w:rPr>
          <w:bCs/>
          <w:shd w:val="clear" w:color="auto" w:fill="FFFFFF"/>
        </w:rPr>
        <w:t>NCHHSTP/DVH/OD Communication Team Lead</w:t>
      </w:r>
      <w:r w:rsidR="00053671" w:rsidRPr="00603813">
        <w:br/>
      </w:r>
      <w:r w:rsidR="002E11F0">
        <w:t>Principal Investigator</w:t>
      </w:r>
    </w:p>
    <w:p w14:paraId="41C4B684" w14:textId="77777777" w:rsidR="00587434" w:rsidRDefault="00053671" w:rsidP="0008071D">
      <w:pPr>
        <w:pStyle w:val="NoSpacing"/>
        <w:spacing w:before="120"/>
        <w:mirrorIndents/>
        <w:jc w:val="center"/>
      </w:pPr>
      <w:r w:rsidRPr="00603813">
        <w:rPr>
          <w:shd w:val="clear" w:color="auto" w:fill="FFFFFF"/>
        </w:rPr>
        <w:t>Centers for Disease Control and Prevention</w:t>
      </w:r>
      <w:r w:rsidRPr="00603813">
        <w:br/>
      </w:r>
      <w:r w:rsidR="0008071D" w:rsidRPr="00587434">
        <w:rPr>
          <w:shd w:val="clear" w:color="auto" w:fill="FFFFFF"/>
        </w:rPr>
        <w:t>National Center for HIV/AIDS, Viral Hepatitis, STD, and TB Prevention (NCHHSTP)</w:t>
      </w:r>
      <w:r w:rsidRPr="00603813">
        <w:t xml:space="preserve"> </w:t>
      </w:r>
    </w:p>
    <w:p w14:paraId="1334FA20" w14:textId="020A7B8A" w:rsidR="0008071D" w:rsidRDefault="00587434" w:rsidP="00587434">
      <w:pPr>
        <w:pStyle w:val="NoSpacing"/>
        <w:mirrorIndents/>
        <w:jc w:val="center"/>
        <w:rPr>
          <w:shd w:val="clear" w:color="auto" w:fill="FFFFFF"/>
        </w:rPr>
      </w:pPr>
      <w:r w:rsidRPr="00587434">
        <w:t>Division of Viral Hepatitis</w:t>
      </w:r>
      <w:r w:rsidR="00053671" w:rsidRPr="00603813">
        <w:br/>
      </w:r>
      <w:r w:rsidR="00053671" w:rsidRPr="00603813">
        <w:rPr>
          <w:shd w:val="clear" w:color="auto" w:fill="FFFFFF"/>
        </w:rPr>
        <w:t xml:space="preserve">1600 Clifton Road, NE, Mailstop </w:t>
      </w:r>
      <w:r w:rsidR="000423B0" w:rsidRPr="000423B0">
        <w:rPr>
          <w:shd w:val="clear" w:color="auto" w:fill="FFFFFF"/>
        </w:rPr>
        <w:t>G-37</w:t>
      </w:r>
    </w:p>
    <w:p w14:paraId="2247D907" w14:textId="2802EC6E" w:rsidR="0008071D" w:rsidRDefault="00053671" w:rsidP="0008071D">
      <w:pPr>
        <w:pStyle w:val="NoSpacing"/>
        <w:mirrorIndents/>
        <w:jc w:val="center"/>
        <w:rPr>
          <w:shd w:val="clear" w:color="auto" w:fill="FFFFFF"/>
        </w:rPr>
      </w:pPr>
      <w:r w:rsidRPr="00603813">
        <w:rPr>
          <w:shd w:val="clear" w:color="auto" w:fill="FFFFFF"/>
        </w:rPr>
        <w:t>Atlanta, GA 30333</w:t>
      </w:r>
      <w:r w:rsidRPr="00603813">
        <w:br/>
      </w:r>
      <w:r w:rsidRPr="00603813">
        <w:rPr>
          <w:shd w:val="clear" w:color="auto" w:fill="FFFFFF"/>
        </w:rPr>
        <w:t xml:space="preserve">Phone: </w:t>
      </w:r>
      <w:r w:rsidR="0008071D">
        <w:t>404-718-8534</w:t>
      </w:r>
    </w:p>
    <w:p w14:paraId="3A83CC25" w14:textId="471E2EE5" w:rsidR="00053671" w:rsidRPr="0008071D" w:rsidRDefault="00053671" w:rsidP="0008071D">
      <w:pPr>
        <w:pStyle w:val="NoSpacing"/>
        <w:spacing w:before="120" w:after="120"/>
        <w:mirrorIndents/>
        <w:jc w:val="center"/>
        <w:rPr>
          <w:shd w:val="clear" w:color="auto" w:fill="FFFFFF"/>
        </w:rPr>
      </w:pPr>
      <w:r w:rsidRPr="00603813">
        <w:rPr>
          <w:shd w:val="clear" w:color="auto" w:fill="FFFFFF"/>
        </w:rPr>
        <w:t>E-mail:</w:t>
      </w:r>
      <w:r w:rsidRPr="00603813">
        <w:t> </w:t>
      </w:r>
      <w:hyperlink r:id="rId9" w:history="1">
        <w:r w:rsidR="002A32F5" w:rsidRPr="001972DF">
          <w:rPr>
            <w:rStyle w:val="Hyperlink"/>
          </w:rPr>
          <w:t>cxj4@cdc.gov</w:t>
        </w:r>
      </w:hyperlink>
      <w:r w:rsidR="002A32F5">
        <w:t xml:space="preserve"> </w:t>
      </w:r>
    </w:p>
    <w:p w14:paraId="6D3B73F1" w14:textId="77777777" w:rsidR="00542640" w:rsidRDefault="00542640" w:rsidP="00F95454">
      <w:pPr>
        <w:pStyle w:val="NoSpacing"/>
        <w:spacing w:before="120" w:after="120"/>
        <w:mirrorIndents/>
        <w:jc w:val="center"/>
        <w:rPr>
          <w:b/>
        </w:rPr>
      </w:pPr>
    </w:p>
    <w:p w14:paraId="1CDBCFDA" w14:textId="77777777" w:rsidR="00542640" w:rsidRDefault="00542640" w:rsidP="00F95454">
      <w:pPr>
        <w:pStyle w:val="NoSpacing"/>
        <w:spacing w:before="120" w:after="120"/>
        <w:mirrorIndents/>
        <w:jc w:val="center"/>
        <w:rPr>
          <w:b/>
        </w:rPr>
      </w:pPr>
    </w:p>
    <w:p w14:paraId="37C195DE" w14:textId="77777777" w:rsidR="00542640" w:rsidRDefault="00542640" w:rsidP="00F95454">
      <w:pPr>
        <w:pStyle w:val="NoSpacing"/>
        <w:spacing w:before="120" w:after="120"/>
        <w:mirrorIndents/>
        <w:jc w:val="center"/>
        <w:rPr>
          <w:b/>
        </w:rPr>
      </w:pPr>
    </w:p>
    <w:p w14:paraId="189F3DEB" w14:textId="77777777" w:rsidR="00542640" w:rsidRDefault="00542640" w:rsidP="00F95454">
      <w:pPr>
        <w:pStyle w:val="NoSpacing"/>
        <w:spacing w:before="120" w:after="120"/>
        <w:mirrorIndents/>
        <w:jc w:val="center"/>
        <w:rPr>
          <w:b/>
        </w:rPr>
      </w:pPr>
    </w:p>
    <w:p w14:paraId="0038FF52" w14:textId="77777777" w:rsidR="00542640" w:rsidRDefault="00542640" w:rsidP="003B3841">
      <w:pPr>
        <w:pStyle w:val="NoSpacing"/>
        <w:pBdr>
          <w:bottom w:val="single" w:sz="4" w:space="1" w:color="auto"/>
        </w:pBdr>
        <w:mirrorIndents/>
        <w:rPr>
          <w:b/>
        </w:rPr>
      </w:pPr>
      <w:r w:rsidRPr="00E2574F">
        <w:rPr>
          <w:b/>
        </w:rPr>
        <w:lastRenderedPageBreak/>
        <w:t>TABLE OF CONTENTS</w:t>
      </w:r>
    </w:p>
    <w:p w14:paraId="25A78CC9" w14:textId="62140344" w:rsidR="00542640" w:rsidRDefault="00542640" w:rsidP="003B3841">
      <w:pPr>
        <w:pStyle w:val="NoSpacing"/>
        <w:mirrorIndents/>
        <w:rPr>
          <w:b/>
        </w:rPr>
      </w:pPr>
    </w:p>
    <w:p w14:paraId="57F5E17E" w14:textId="77777777" w:rsidR="004907FD" w:rsidRPr="009A4BB4" w:rsidRDefault="004907FD" w:rsidP="004907FD">
      <w:pPr>
        <w:numPr>
          <w:ilvl w:val="0"/>
          <w:numId w:val="25"/>
        </w:numPr>
        <w:tabs>
          <w:tab w:val="left" w:pos="440"/>
          <w:tab w:val="right" w:leader="dot" w:pos="10070"/>
        </w:tabs>
        <w:spacing w:after="120"/>
        <w:contextualSpacing/>
      </w:pPr>
      <w:r w:rsidRPr="009A4BB4">
        <w:t>Circumstances Making the Collection of Information Necessary</w:t>
      </w:r>
      <w:r w:rsidRPr="009A4BB4">
        <w:tab/>
        <w:t>3</w:t>
      </w:r>
    </w:p>
    <w:p w14:paraId="0ED892C4" w14:textId="77777777" w:rsidR="004907FD" w:rsidRPr="009A4BB4" w:rsidRDefault="004907FD" w:rsidP="004907FD">
      <w:pPr>
        <w:numPr>
          <w:ilvl w:val="0"/>
          <w:numId w:val="25"/>
        </w:numPr>
        <w:tabs>
          <w:tab w:val="left" w:pos="440"/>
          <w:tab w:val="right" w:leader="dot" w:pos="10070"/>
        </w:tabs>
        <w:spacing w:after="120"/>
        <w:contextualSpacing/>
      </w:pPr>
      <w:r w:rsidRPr="009A4BB4">
        <w:t>Purpose and Use</w:t>
      </w:r>
      <w:r>
        <w:t xml:space="preserve"> of the Information Collection</w:t>
      </w:r>
      <w:r>
        <w:tab/>
        <w:t>4</w:t>
      </w:r>
    </w:p>
    <w:p w14:paraId="25832393" w14:textId="77777777" w:rsidR="004907FD" w:rsidRPr="009A4BB4" w:rsidRDefault="004907FD" w:rsidP="004907FD">
      <w:pPr>
        <w:numPr>
          <w:ilvl w:val="0"/>
          <w:numId w:val="25"/>
        </w:numPr>
        <w:tabs>
          <w:tab w:val="left" w:pos="440"/>
          <w:tab w:val="right" w:leader="dot" w:pos="10070"/>
        </w:tabs>
        <w:spacing w:after="120"/>
        <w:contextualSpacing/>
      </w:pPr>
      <w:r w:rsidRPr="009A4BB4">
        <w:t xml:space="preserve">Use of Improved Information Technology and </w:t>
      </w:r>
      <w:r>
        <w:t>Burden Reduction</w:t>
      </w:r>
      <w:r>
        <w:tab/>
        <w:t>5</w:t>
      </w:r>
    </w:p>
    <w:p w14:paraId="32F884FC" w14:textId="77777777" w:rsidR="004907FD" w:rsidRPr="009A4BB4" w:rsidRDefault="004907FD" w:rsidP="004907FD">
      <w:pPr>
        <w:numPr>
          <w:ilvl w:val="0"/>
          <w:numId w:val="25"/>
        </w:numPr>
        <w:tabs>
          <w:tab w:val="left" w:pos="440"/>
          <w:tab w:val="right" w:leader="dot" w:pos="10070"/>
        </w:tabs>
        <w:spacing w:after="120"/>
        <w:contextualSpacing/>
      </w:pPr>
      <w:r w:rsidRPr="009A4BB4">
        <w:t xml:space="preserve">Efforts to Identify Duplication </w:t>
      </w:r>
      <w:r>
        <w:t>and Use of Similar Information</w:t>
      </w:r>
      <w:r>
        <w:tab/>
        <w:t>5</w:t>
      </w:r>
    </w:p>
    <w:p w14:paraId="03129570" w14:textId="77777777" w:rsidR="004907FD" w:rsidRPr="009A4BB4" w:rsidRDefault="004907FD" w:rsidP="004907FD">
      <w:pPr>
        <w:numPr>
          <w:ilvl w:val="0"/>
          <w:numId w:val="25"/>
        </w:numPr>
        <w:tabs>
          <w:tab w:val="left" w:pos="440"/>
          <w:tab w:val="right" w:leader="dot" w:pos="10070"/>
        </w:tabs>
        <w:spacing w:after="120"/>
        <w:contextualSpacing/>
      </w:pPr>
      <w:r w:rsidRPr="009A4BB4">
        <w:t>Impact on Small Businesses or Other Small Entities</w:t>
      </w:r>
      <w:r w:rsidRPr="009A4BB4">
        <w:tab/>
      </w:r>
      <w:r>
        <w:t>6</w:t>
      </w:r>
    </w:p>
    <w:p w14:paraId="7AFB8DA6" w14:textId="77777777" w:rsidR="004907FD" w:rsidRPr="009A4BB4" w:rsidRDefault="004907FD" w:rsidP="004907FD">
      <w:pPr>
        <w:numPr>
          <w:ilvl w:val="0"/>
          <w:numId w:val="25"/>
        </w:numPr>
        <w:tabs>
          <w:tab w:val="left" w:pos="440"/>
          <w:tab w:val="right" w:leader="dot" w:pos="10070"/>
        </w:tabs>
        <w:spacing w:after="120"/>
        <w:contextualSpacing/>
      </w:pPr>
      <w:r w:rsidRPr="009A4BB4">
        <w:t>Consequences of Collecting the Information Less Frequently</w:t>
      </w:r>
      <w:r w:rsidRPr="009A4BB4">
        <w:tab/>
      </w:r>
      <w:r>
        <w:t>6</w:t>
      </w:r>
    </w:p>
    <w:p w14:paraId="1F7620B4" w14:textId="77777777" w:rsidR="004907FD" w:rsidRPr="009A4BB4" w:rsidRDefault="004907FD" w:rsidP="004907FD">
      <w:pPr>
        <w:numPr>
          <w:ilvl w:val="0"/>
          <w:numId w:val="25"/>
        </w:numPr>
        <w:tabs>
          <w:tab w:val="left" w:pos="440"/>
          <w:tab w:val="right" w:leader="dot" w:pos="10070"/>
        </w:tabs>
        <w:spacing w:after="120"/>
        <w:contextualSpacing/>
      </w:pPr>
      <w:r w:rsidRPr="009A4BB4">
        <w:t>Special Circumstances Relating to the Guidelines of 5 CFR 1320.5</w:t>
      </w:r>
      <w:r w:rsidRPr="009A4BB4">
        <w:tab/>
      </w:r>
      <w:r>
        <w:t>6</w:t>
      </w:r>
    </w:p>
    <w:p w14:paraId="11D16C7D" w14:textId="77777777" w:rsidR="004907FD" w:rsidRPr="009A4BB4" w:rsidRDefault="004907FD" w:rsidP="004907FD">
      <w:pPr>
        <w:numPr>
          <w:ilvl w:val="0"/>
          <w:numId w:val="25"/>
        </w:numPr>
        <w:tabs>
          <w:tab w:val="left" w:pos="440"/>
          <w:tab w:val="right" w:leader="dot" w:pos="10070"/>
        </w:tabs>
        <w:spacing w:after="120"/>
        <w:contextualSpacing/>
      </w:pPr>
      <w:r w:rsidRPr="009A4BB4">
        <w:t>Comments in Response to the Federal Register Notice and Efforts to Consult Outside Agency</w:t>
      </w:r>
      <w:r w:rsidRPr="009A4BB4">
        <w:tab/>
      </w:r>
      <w:r>
        <w:t>6</w:t>
      </w:r>
    </w:p>
    <w:p w14:paraId="2A3BBBBF" w14:textId="77777777" w:rsidR="004907FD" w:rsidRPr="009A4BB4" w:rsidRDefault="004907FD" w:rsidP="004907FD">
      <w:pPr>
        <w:numPr>
          <w:ilvl w:val="0"/>
          <w:numId w:val="25"/>
        </w:numPr>
        <w:tabs>
          <w:tab w:val="left" w:pos="440"/>
          <w:tab w:val="right" w:leader="dot" w:pos="10070"/>
        </w:tabs>
        <w:spacing w:after="120"/>
        <w:contextualSpacing/>
      </w:pPr>
      <w:r w:rsidRPr="009A4BB4">
        <w:t>Explanation of Any Payment or Gift to Respondents</w:t>
      </w:r>
      <w:r w:rsidRPr="009A4BB4">
        <w:tab/>
      </w:r>
      <w:r>
        <w:t>6</w:t>
      </w:r>
    </w:p>
    <w:p w14:paraId="509E5B0A" w14:textId="77777777" w:rsidR="004907FD" w:rsidRPr="009A4BB4" w:rsidRDefault="004907FD" w:rsidP="004907FD">
      <w:pPr>
        <w:numPr>
          <w:ilvl w:val="0"/>
          <w:numId w:val="25"/>
        </w:numPr>
        <w:tabs>
          <w:tab w:val="left" w:pos="440"/>
          <w:tab w:val="right" w:leader="dot" w:pos="10070"/>
        </w:tabs>
        <w:spacing w:after="120"/>
        <w:contextualSpacing/>
      </w:pPr>
      <w:r w:rsidRPr="009A4BB4">
        <w:t>Protection of the Privacy and Confidentiality of Information Provided by Respondents</w:t>
      </w:r>
      <w:r w:rsidRPr="009A4BB4">
        <w:tab/>
      </w:r>
      <w:r>
        <w:t>6</w:t>
      </w:r>
    </w:p>
    <w:p w14:paraId="66176180" w14:textId="77777777" w:rsidR="004907FD" w:rsidRPr="009A4BB4" w:rsidRDefault="004907FD" w:rsidP="004907FD">
      <w:pPr>
        <w:numPr>
          <w:ilvl w:val="0"/>
          <w:numId w:val="25"/>
        </w:numPr>
        <w:tabs>
          <w:tab w:val="left" w:pos="440"/>
          <w:tab w:val="right" w:leader="dot" w:pos="10070"/>
        </w:tabs>
        <w:spacing w:after="120"/>
        <w:contextualSpacing/>
      </w:pPr>
      <w:r w:rsidRPr="009A4BB4">
        <w:t>Institutional Review Board (IRB) Review and Justifi</w:t>
      </w:r>
      <w:r>
        <w:t>cation for Sensitive Questions</w:t>
      </w:r>
      <w:r>
        <w:tab/>
        <w:t>7</w:t>
      </w:r>
    </w:p>
    <w:p w14:paraId="2A0467A8" w14:textId="77777777" w:rsidR="004907FD" w:rsidRPr="009A4BB4" w:rsidRDefault="004907FD" w:rsidP="004907FD">
      <w:pPr>
        <w:numPr>
          <w:ilvl w:val="0"/>
          <w:numId w:val="25"/>
        </w:numPr>
        <w:tabs>
          <w:tab w:val="left" w:pos="440"/>
          <w:tab w:val="right" w:leader="dot" w:pos="10070"/>
        </w:tabs>
        <w:spacing w:after="120"/>
        <w:contextualSpacing/>
      </w:pPr>
      <w:r w:rsidRPr="009A4BB4">
        <w:t>Estimates of Ann</w:t>
      </w:r>
      <w:r>
        <w:t>ualized Burden Hours and Costs</w:t>
      </w:r>
      <w:r>
        <w:tab/>
        <w:t>7</w:t>
      </w:r>
    </w:p>
    <w:p w14:paraId="0609710D" w14:textId="77777777" w:rsidR="004907FD" w:rsidRPr="009A4BB4" w:rsidRDefault="004907FD" w:rsidP="004907FD">
      <w:pPr>
        <w:tabs>
          <w:tab w:val="left" w:pos="440"/>
          <w:tab w:val="right" w:leader="dot" w:pos="10070"/>
        </w:tabs>
        <w:spacing w:after="120"/>
        <w:ind w:left="360"/>
        <w:contextualSpacing/>
      </w:pPr>
      <w:r>
        <w:t xml:space="preserve">12A. </w:t>
      </w:r>
      <w:r w:rsidRPr="009A4BB4">
        <w:t>Est</w:t>
      </w:r>
      <w:r>
        <w:t>imated Annualized Burden Hours</w:t>
      </w:r>
      <w:r>
        <w:tab/>
        <w:t>8</w:t>
      </w:r>
    </w:p>
    <w:p w14:paraId="3342AB1B" w14:textId="77777777" w:rsidR="004907FD" w:rsidRPr="009A4BB4" w:rsidRDefault="004907FD" w:rsidP="004907FD">
      <w:pPr>
        <w:tabs>
          <w:tab w:val="left" w:pos="440"/>
          <w:tab w:val="right" w:leader="dot" w:pos="10070"/>
        </w:tabs>
        <w:spacing w:after="120"/>
        <w:ind w:left="360"/>
        <w:contextualSpacing/>
      </w:pPr>
      <w:r>
        <w:t xml:space="preserve">12B. </w:t>
      </w:r>
      <w:r w:rsidRPr="009A4BB4">
        <w:t>Est</w:t>
      </w:r>
      <w:r>
        <w:t>imated Annualized Burden Costs</w:t>
      </w:r>
      <w:r>
        <w:tab/>
        <w:t>8</w:t>
      </w:r>
    </w:p>
    <w:p w14:paraId="1FAB0B2B" w14:textId="77777777" w:rsidR="004907FD" w:rsidRPr="009A4BB4" w:rsidRDefault="004907FD" w:rsidP="004907FD">
      <w:pPr>
        <w:numPr>
          <w:ilvl w:val="0"/>
          <w:numId w:val="25"/>
        </w:numPr>
        <w:tabs>
          <w:tab w:val="left" w:pos="440"/>
          <w:tab w:val="right" w:leader="dot" w:pos="10070"/>
        </w:tabs>
        <w:spacing w:after="120"/>
        <w:contextualSpacing/>
      </w:pPr>
      <w:r w:rsidRPr="009A4BB4">
        <w:t>Estimates of Other Total Annual Cost Burden to Respondents and Record Keepers</w:t>
      </w:r>
      <w:r w:rsidRPr="009A4BB4">
        <w:tab/>
      </w:r>
      <w:r>
        <w:t>8</w:t>
      </w:r>
    </w:p>
    <w:p w14:paraId="7FD83AB9" w14:textId="77777777" w:rsidR="004907FD" w:rsidRPr="009A4BB4" w:rsidRDefault="004907FD" w:rsidP="004907FD">
      <w:pPr>
        <w:numPr>
          <w:ilvl w:val="0"/>
          <w:numId w:val="25"/>
        </w:numPr>
        <w:tabs>
          <w:tab w:val="left" w:pos="440"/>
          <w:tab w:val="right" w:leader="dot" w:pos="10070"/>
        </w:tabs>
        <w:spacing w:after="120"/>
        <w:contextualSpacing/>
      </w:pPr>
      <w:r w:rsidRPr="009A4BB4">
        <w:t>Annualized C</w:t>
      </w:r>
      <w:r>
        <w:t>ost to the Federal Government</w:t>
      </w:r>
      <w:r>
        <w:tab/>
        <w:t>8</w:t>
      </w:r>
    </w:p>
    <w:p w14:paraId="2551BDB3" w14:textId="77777777" w:rsidR="004907FD" w:rsidRPr="009A4BB4" w:rsidRDefault="004907FD" w:rsidP="004907FD">
      <w:pPr>
        <w:numPr>
          <w:ilvl w:val="0"/>
          <w:numId w:val="25"/>
        </w:numPr>
        <w:tabs>
          <w:tab w:val="left" w:pos="440"/>
          <w:tab w:val="right" w:leader="dot" w:pos="10070"/>
        </w:tabs>
        <w:spacing w:after="120"/>
        <w:contextualSpacing/>
      </w:pPr>
      <w:r w:rsidRPr="009A4BB4">
        <w:t>Explanation for Program Changes or Adjustments</w:t>
      </w:r>
      <w:r w:rsidRPr="009A4BB4">
        <w:tab/>
      </w:r>
      <w:r>
        <w:t>9</w:t>
      </w:r>
    </w:p>
    <w:p w14:paraId="4BE7447C" w14:textId="77777777" w:rsidR="004907FD" w:rsidRPr="009A4BB4" w:rsidRDefault="004907FD" w:rsidP="004907FD">
      <w:pPr>
        <w:numPr>
          <w:ilvl w:val="0"/>
          <w:numId w:val="25"/>
        </w:numPr>
        <w:tabs>
          <w:tab w:val="left" w:pos="440"/>
          <w:tab w:val="right" w:leader="dot" w:pos="10070"/>
        </w:tabs>
        <w:spacing w:after="120"/>
        <w:contextualSpacing/>
      </w:pPr>
      <w:r w:rsidRPr="009A4BB4">
        <w:t>Plans for Tabulation and Publication and Project Time Schedule</w:t>
      </w:r>
      <w:r w:rsidRPr="009A4BB4">
        <w:tab/>
      </w:r>
      <w:r>
        <w:t>9</w:t>
      </w:r>
    </w:p>
    <w:p w14:paraId="023B1554" w14:textId="77777777" w:rsidR="004907FD" w:rsidRPr="009A4BB4" w:rsidRDefault="004907FD" w:rsidP="004907FD">
      <w:pPr>
        <w:numPr>
          <w:ilvl w:val="0"/>
          <w:numId w:val="25"/>
        </w:numPr>
        <w:tabs>
          <w:tab w:val="left" w:pos="440"/>
          <w:tab w:val="right" w:leader="dot" w:pos="10070"/>
        </w:tabs>
        <w:spacing w:after="120"/>
        <w:contextualSpacing/>
      </w:pPr>
      <w:r w:rsidRPr="009A4BB4">
        <w:t>Reason(s) Display of OMB Expiration Date is Inappropriate</w:t>
      </w:r>
      <w:r w:rsidRPr="009A4BB4">
        <w:tab/>
      </w:r>
      <w:r>
        <w:t>9</w:t>
      </w:r>
    </w:p>
    <w:p w14:paraId="2FADE78C" w14:textId="77777777" w:rsidR="004907FD" w:rsidRPr="009A4BB4" w:rsidRDefault="004907FD" w:rsidP="004907FD">
      <w:pPr>
        <w:numPr>
          <w:ilvl w:val="0"/>
          <w:numId w:val="25"/>
        </w:numPr>
        <w:tabs>
          <w:tab w:val="left" w:pos="440"/>
          <w:tab w:val="right" w:leader="dot" w:pos="10070"/>
        </w:tabs>
        <w:spacing w:after="120"/>
        <w:contextualSpacing/>
      </w:pPr>
      <w:r w:rsidRPr="009A4BB4">
        <w:t>Exceptions to Certification for Paperwork Reduction Act Submissions</w:t>
      </w:r>
      <w:r w:rsidRPr="009A4BB4">
        <w:tab/>
      </w:r>
      <w:r>
        <w:t>9</w:t>
      </w:r>
    </w:p>
    <w:p w14:paraId="3D98A9E6" w14:textId="77777777" w:rsidR="004907FD" w:rsidRPr="009A4BB4" w:rsidRDefault="004907FD" w:rsidP="004907FD">
      <w:pPr>
        <w:pBdr>
          <w:bottom w:val="single" w:sz="4" w:space="1" w:color="auto"/>
        </w:pBdr>
        <w:mirrorIndents/>
        <w:rPr>
          <w:rFonts w:eastAsia="Calibri"/>
          <w:b/>
          <w:color w:val="C00000"/>
        </w:rPr>
      </w:pPr>
    </w:p>
    <w:p w14:paraId="24BAA457" w14:textId="77777777" w:rsidR="004907FD" w:rsidRPr="009A4BB4" w:rsidRDefault="004907FD" w:rsidP="004907FD">
      <w:pPr>
        <w:pBdr>
          <w:bottom w:val="single" w:sz="4" w:space="1" w:color="auto"/>
        </w:pBdr>
        <w:mirrorIndents/>
        <w:rPr>
          <w:rFonts w:eastAsia="Calibri"/>
          <w:b/>
        </w:rPr>
      </w:pPr>
      <w:r w:rsidRPr="009A4BB4">
        <w:rPr>
          <w:rFonts w:eastAsia="Calibri"/>
          <w:b/>
        </w:rPr>
        <w:t>EXHIBITS</w:t>
      </w:r>
    </w:p>
    <w:p w14:paraId="273F5188" w14:textId="77777777" w:rsidR="004907FD" w:rsidRPr="009A4BB4" w:rsidRDefault="004907FD" w:rsidP="004907FD">
      <w:pPr>
        <w:tabs>
          <w:tab w:val="right" w:leader="dot" w:pos="10070"/>
        </w:tabs>
        <w:mirrorIndents/>
        <w:rPr>
          <w:rFonts w:ascii="Calibri" w:hAnsi="Calibri"/>
          <w:noProof/>
        </w:rPr>
      </w:pPr>
      <w:r w:rsidRPr="009A4BB4">
        <w:rPr>
          <w:b/>
        </w:rPr>
        <w:fldChar w:fldCharType="begin"/>
      </w:r>
      <w:r w:rsidRPr="009A4BB4">
        <w:rPr>
          <w:b/>
        </w:rPr>
        <w:instrText xml:space="preserve"> TOC \h \z \c "Exhibit" </w:instrText>
      </w:r>
      <w:r w:rsidRPr="009A4BB4">
        <w:rPr>
          <w:b/>
        </w:rPr>
        <w:fldChar w:fldCharType="separate"/>
      </w:r>
    </w:p>
    <w:p w14:paraId="4327A386" w14:textId="77777777" w:rsidR="004907FD" w:rsidRPr="009A4BB4" w:rsidRDefault="001D3929" w:rsidP="004907FD">
      <w:pPr>
        <w:tabs>
          <w:tab w:val="right" w:leader="dot" w:pos="10070"/>
        </w:tabs>
        <w:mirrorIndents/>
        <w:rPr>
          <w:rFonts w:ascii="Calibri" w:hAnsi="Calibri"/>
          <w:noProof/>
          <w:color w:val="000000" w:themeColor="text1"/>
        </w:rPr>
      </w:pPr>
      <w:hyperlink w:anchor="_Toc449541623" w:history="1">
        <w:r w:rsidR="004907FD" w:rsidRPr="009A4BB4">
          <w:rPr>
            <w:noProof/>
            <w:color w:val="000000" w:themeColor="text1"/>
          </w:rPr>
          <w:t>Exhibit 12.1: Estimated Annualized Burden Hours</w:t>
        </w:r>
        <w:r w:rsidR="004907FD" w:rsidRPr="009A4BB4">
          <w:rPr>
            <w:noProof/>
            <w:webHidden/>
            <w:color w:val="000000" w:themeColor="text1"/>
          </w:rPr>
          <w:tab/>
        </w:r>
        <w:r w:rsidR="004907FD">
          <w:rPr>
            <w:noProof/>
            <w:webHidden/>
            <w:color w:val="000000" w:themeColor="text1"/>
          </w:rPr>
          <w:t>8</w:t>
        </w:r>
      </w:hyperlink>
    </w:p>
    <w:p w14:paraId="62B932B4" w14:textId="77777777" w:rsidR="004907FD" w:rsidRPr="009A4BB4" w:rsidRDefault="001D3929" w:rsidP="004907FD">
      <w:pPr>
        <w:tabs>
          <w:tab w:val="right" w:leader="dot" w:pos="10070"/>
        </w:tabs>
        <w:mirrorIndents/>
        <w:rPr>
          <w:rFonts w:ascii="Calibri" w:hAnsi="Calibri"/>
          <w:noProof/>
          <w:color w:val="000000" w:themeColor="text1"/>
        </w:rPr>
      </w:pPr>
      <w:hyperlink w:anchor="_Toc449541624" w:history="1">
        <w:r w:rsidR="004907FD" w:rsidRPr="009A4BB4">
          <w:rPr>
            <w:noProof/>
            <w:color w:val="000000" w:themeColor="text1"/>
          </w:rPr>
          <w:t>Exhibit 12.2: Estimated Annualized Burden Costs</w:t>
        </w:r>
        <w:r w:rsidR="004907FD" w:rsidRPr="009A4BB4">
          <w:rPr>
            <w:noProof/>
            <w:webHidden/>
            <w:color w:val="000000" w:themeColor="text1"/>
          </w:rPr>
          <w:tab/>
        </w:r>
        <w:r w:rsidR="004907FD" w:rsidRPr="009A4BB4">
          <w:rPr>
            <w:noProof/>
            <w:webHidden/>
            <w:color w:val="000000" w:themeColor="text1"/>
          </w:rPr>
          <w:fldChar w:fldCharType="begin"/>
        </w:r>
        <w:r w:rsidR="004907FD" w:rsidRPr="009A4BB4">
          <w:rPr>
            <w:noProof/>
            <w:webHidden/>
            <w:color w:val="000000" w:themeColor="text1"/>
          </w:rPr>
          <w:instrText xml:space="preserve"> PAGEREF _Toc449541624 \h </w:instrText>
        </w:r>
        <w:r w:rsidR="004907FD" w:rsidRPr="009A4BB4">
          <w:rPr>
            <w:noProof/>
            <w:webHidden/>
            <w:color w:val="000000" w:themeColor="text1"/>
          </w:rPr>
        </w:r>
        <w:r w:rsidR="004907FD" w:rsidRPr="009A4BB4">
          <w:rPr>
            <w:noProof/>
            <w:webHidden/>
            <w:color w:val="000000" w:themeColor="text1"/>
          </w:rPr>
          <w:fldChar w:fldCharType="separate"/>
        </w:r>
        <w:r w:rsidR="004907FD" w:rsidRPr="009A4BB4">
          <w:rPr>
            <w:noProof/>
            <w:webHidden/>
            <w:color w:val="000000" w:themeColor="text1"/>
          </w:rPr>
          <w:t>8</w:t>
        </w:r>
        <w:r w:rsidR="004907FD" w:rsidRPr="009A4BB4">
          <w:rPr>
            <w:noProof/>
            <w:webHidden/>
            <w:color w:val="000000" w:themeColor="text1"/>
          </w:rPr>
          <w:fldChar w:fldCharType="end"/>
        </w:r>
      </w:hyperlink>
    </w:p>
    <w:p w14:paraId="75DB1A39" w14:textId="77777777" w:rsidR="004907FD" w:rsidRPr="009A4BB4" w:rsidRDefault="001D3929" w:rsidP="004907FD">
      <w:pPr>
        <w:tabs>
          <w:tab w:val="right" w:leader="dot" w:pos="10070"/>
        </w:tabs>
        <w:mirrorIndents/>
        <w:rPr>
          <w:rFonts w:ascii="Calibri" w:hAnsi="Calibri"/>
          <w:noProof/>
          <w:color w:val="000000" w:themeColor="text1"/>
        </w:rPr>
      </w:pPr>
      <w:hyperlink w:anchor="_Toc449541625" w:history="1">
        <w:r w:rsidR="004907FD" w:rsidRPr="009A4BB4">
          <w:rPr>
            <w:noProof/>
            <w:color w:val="000000" w:themeColor="text1"/>
          </w:rPr>
          <w:t>Exhibit 14.1: Annualized Cost to the Federal Government</w:t>
        </w:r>
        <w:r w:rsidR="004907FD" w:rsidRPr="009A4BB4">
          <w:rPr>
            <w:noProof/>
            <w:webHidden/>
            <w:color w:val="000000" w:themeColor="text1"/>
          </w:rPr>
          <w:tab/>
        </w:r>
        <w:r w:rsidR="004907FD">
          <w:rPr>
            <w:noProof/>
            <w:webHidden/>
            <w:color w:val="000000" w:themeColor="text1"/>
          </w:rPr>
          <w:t>9</w:t>
        </w:r>
      </w:hyperlink>
    </w:p>
    <w:p w14:paraId="718A000E" w14:textId="77777777" w:rsidR="004907FD" w:rsidRPr="009A4BB4" w:rsidRDefault="001D3929" w:rsidP="004907FD">
      <w:pPr>
        <w:tabs>
          <w:tab w:val="right" w:leader="dot" w:pos="10070"/>
        </w:tabs>
        <w:mirrorIndents/>
        <w:rPr>
          <w:rFonts w:ascii="Calibri" w:hAnsi="Calibri"/>
          <w:noProof/>
          <w:color w:val="000000" w:themeColor="text1"/>
        </w:rPr>
      </w:pPr>
      <w:hyperlink w:anchor="_Toc449541626" w:history="1">
        <w:r w:rsidR="004907FD" w:rsidRPr="009A4BB4">
          <w:rPr>
            <w:noProof/>
            <w:color w:val="000000" w:themeColor="text1"/>
          </w:rPr>
          <w:t>Exhibit 16.1: Project Time Schedule</w:t>
        </w:r>
        <w:r w:rsidR="004907FD" w:rsidRPr="009A4BB4">
          <w:rPr>
            <w:noProof/>
            <w:webHidden/>
            <w:color w:val="000000" w:themeColor="text1"/>
          </w:rPr>
          <w:tab/>
        </w:r>
        <w:r w:rsidR="004907FD" w:rsidRPr="009A4BB4">
          <w:rPr>
            <w:noProof/>
            <w:webHidden/>
            <w:color w:val="000000" w:themeColor="text1"/>
          </w:rPr>
          <w:fldChar w:fldCharType="begin"/>
        </w:r>
        <w:r w:rsidR="004907FD" w:rsidRPr="009A4BB4">
          <w:rPr>
            <w:noProof/>
            <w:webHidden/>
            <w:color w:val="000000" w:themeColor="text1"/>
          </w:rPr>
          <w:instrText xml:space="preserve"> PAGEREF _Toc449541626 \h </w:instrText>
        </w:r>
        <w:r w:rsidR="004907FD" w:rsidRPr="009A4BB4">
          <w:rPr>
            <w:noProof/>
            <w:webHidden/>
            <w:color w:val="000000" w:themeColor="text1"/>
          </w:rPr>
        </w:r>
        <w:r w:rsidR="004907FD" w:rsidRPr="009A4BB4">
          <w:rPr>
            <w:noProof/>
            <w:webHidden/>
            <w:color w:val="000000" w:themeColor="text1"/>
          </w:rPr>
          <w:fldChar w:fldCharType="separate"/>
        </w:r>
        <w:r w:rsidR="004907FD" w:rsidRPr="009A4BB4">
          <w:rPr>
            <w:noProof/>
            <w:webHidden/>
            <w:color w:val="000000" w:themeColor="text1"/>
          </w:rPr>
          <w:t>9</w:t>
        </w:r>
        <w:r w:rsidR="004907FD" w:rsidRPr="009A4BB4">
          <w:rPr>
            <w:noProof/>
            <w:webHidden/>
            <w:color w:val="000000" w:themeColor="text1"/>
          </w:rPr>
          <w:fldChar w:fldCharType="end"/>
        </w:r>
      </w:hyperlink>
    </w:p>
    <w:p w14:paraId="3FB7760C" w14:textId="563102F5" w:rsidR="003B3841" w:rsidRDefault="004907FD" w:rsidP="004907FD">
      <w:pPr>
        <w:pStyle w:val="NoSpacing"/>
        <w:mirrorIndents/>
        <w:rPr>
          <w:b/>
        </w:rPr>
      </w:pPr>
      <w:r w:rsidRPr="009A4BB4">
        <w:rPr>
          <w:rFonts w:eastAsia="Calibri" w:cs="Times New Roman"/>
        </w:rPr>
        <w:fldChar w:fldCharType="end"/>
      </w:r>
    </w:p>
    <w:p w14:paraId="2D50569E" w14:textId="2B3F8AAA" w:rsidR="00347120" w:rsidRPr="00C46977" w:rsidRDefault="00347120" w:rsidP="003B3841">
      <w:pPr>
        <w:pStyle w:val="NoSpacing"/>
        <w:pBdr>
          <w:bottom w:val="single" w:sz="4" w:space="1" w:color="auto"/>
        </w:pBdr>
        <w:mirrorIndents/>
        <w:rPr>
          <w:b/>
        </w:rPr>
      </w:pPr>
      <w:r w:rsidRPr="00C46977">
        <w:rPr>
          <w:b/>
        </w:rPr>
        <w:t>LIST OF ATTACHMENTS</w:t>
      </w:r>
    </w:p>
    <w:p w14:paraId="09F5260B" w14:textId="77777777" w:rsidR="00347120" w:rsidRDefault="00347120" w:rsidP="003B3841">
      <w:pPr>
        <w:pStyle w:val="NoSpacing"/>
        <w:mirrorIndents/>
      </w:pPr>
    </w:p>
    <w:p w14:paraId="4534E473" w14:textId="11CB06AC" w:rsidR="00E240BF" w:rsidRDefault="00E240BF" w:rsidP="00E240BF">
      <w:pPr>
        <w:pStyle w:val="NoSpacing"/>
        <w:tabs>
          <w:tab w:val="left" w:pos="360"/>
        </w:tabs>
        <w:mirrorIndents/>
      </w:pPr>
      <w:r w:rsidRPr="00D96359">
        <w:rPr>
          <w:b/>
        </w:rPr>
        <w:t>Attachment 1</w:t>
      </w:r>
      <w:r w:rsidRPr="00D96359">
        <w:t xml:space="preserve"> </w:t>
      </w:r>
      <w:r w:rsidR="00421917">
        <w:t>Authorizing Legislation</w:t>
      </w:r>
    </w:p>
    <w:p w14:paraId="6293A36D" w14:textId="73A94ED7" w:rsidR="00A60D3F" w:rsidRDefault="00A056A5" w:rsidP="003B3841">
      <w:pPr>
        <w:pStyle w:val="NoSpacing"/>
        <w:tabs>
          <w:tab w:val="left" w:pos="360"/>
        </w:tabs>
        <w:mirrorIndents/>
      </w:pPr>
      <w:r>
        <w:rPr>
          <w:b/>
        </w:rPr>
        <w:t>Attachment 2</w:t>
      </w:r>
      <w:r w:rsidR="00D96359" w:rsidRPr="00D96359">
        <w:t xml:space="preserve"> </w:t>
      </w:r>
      <w:r w:rsidR="009D7271">
        <w:t>Initial Recruitment Email</w:t>
      </w:r>
    </w:p>
    <w:p w14:paraId="7032D2FF" w14:textId="501D02CC" w:rsidR="00E72740" w:rsidRPr="00D96359" w:rsidRDefault="00A056A5" w:rsidP="003B3841">
      <w:pPr>
        <w:pStyle w:val="NoSpacing"/>
        <w:tabs>
          <w:tab w:val="left" w:pos="360"/>
        </w:tabs>
        <w:mirrorIndents/>
      </w:pPr>
      <w:r>
        <w:rPr>
          <w:b/>
        </w:rPr>
        <w:t>Attachment 3</w:t>
      </w:r>
      <w:r w:rsidR="00347120" w:rsidRPr="00D96359">
        <w:rPr>
          <w:b/>
        </w:rPr>
        <w:t xml:space="preserve"> </w:t>
      </w:r>
      <w:r w:rsidR="00A60D3F">
        <w:t>Recruitment Screener</w:t>
      </w:r>
    </w:p>
    <w:p w14:paraId="2C2DE9CD" w14:textId="662F50A9" w:rsidR="00A60D3F" w:rsidRPr="00A60D3F" w:rsidRDefault="00A056A5" w:rsidP="003B3841">
      <w:pPr>
        <w:pStyle w:val="NoSpacing"/>
        <w:tabs>
          <w:tab w:val="left" w:pos="360"/>
        </w:tabs>
        <w:mirrorIndents/>
      </w:pPr>
      <w:r>
        <w:rPr>
          <w:b/>
        </w:rPr>
        <w:t>Attachment 4</w:t>
      </w:r>
      <w:r w:rsidR="00D96359" w:rsidRPr="00D96359">
        <w:t xml:space="preserve"> </w:t>
      </w:r>
      <w:r w:rsidR="00A60D3F">
        <w:t>Consent Form</w:t>
      </w:r>
    </w:p>
    <w:p w14:paraId="0B8EC21E" w14:textId="77777777" w:rsidR="009D7271" w:rsidRDefault="00D96359" w:rsidP="003B3841">
      <w:pPr>
        <w:pStyle w:val="NoSpacing"/>
        <w:tabs>
          <w:tab w:val="left" w:pos="360"/>
        </w:tabs>
        <w:mirrorIndents/>
      </w:pPr>
      <w:r w:rsidRPr="00D96359">
        <w:rPr>
          <w:b/>
        </w:rPr>
        <w:t>Attachment</w:t>
      </w:r>
      <w:r w:rsidRPr="00D96359">
        <w:t xml:space="preserve"> </w:t>
      </w:r>
      <w:r w:rsidR="00A056A5">
        <w:rPr>
          <w:b/>
        </w:rPr>
        <w:t>5</w:t>
      </w:r>
      <w:r w:rsidR="00347120" w:rsidRPr="00D96359">
        <w:t xml:space="preserve"> </w:t>
      </w:r>
      <w:r w:rsidR="009D7271">
        <w:t>Focus Group Participation Confirmation Letter</w:t>
      </w:r>
    </w:p>
    <w:p w14:paraId="7DFC3C4F" w14:textId="4BAEFA6E" w:rsidR="009D7271" w:rsidRDefault="009D7271" w:rsidP="009D7271">
      <w:pPr>
        <w:pStyle w:val="NoSpacing"/>
        <w:tabs>
          <w:tab w:val="left" w:pos="360"/>
        </w:tabs>
        <w:mirrorIndents/>
      </w:pPr>
      <w:r w:rsidRPr="00D96359">
        <w:rPr>
          <w:b/>
        </w:rPr>
        <w:t>Attachment</w:t>
      </w:r>
      <w:r w:rsidRPr="00D96359">
        <w:t xml:space="preserve"> </w:t>
      </w:r>
      <w:r>
        <w:rPr>
          <w:b/>
        </w:rPr>
        <w:t>6</w:t>
      </w:r>
      <w:r w:rsidRPr="00D96359">
        <w:t xml:space="preserve"> </w:t>
      </w:r>
      <w:r>
        <w:t>Focus Group Recruitment Spreadsheet</w:t>
      </w:r>
    </w:p>
    <w:p w14:paraId="089F3599" w14:textId="18D64840" w:rsidR="009D7271" w:rsidRDefault="009D7271" w:rsidP="009D7271">
      <w:pPr>
        <w:pStyle w:val="NoSpacing"/>
        <w:tabs>
          <w:tab w:val="left" w:pos="360"/>
        </w:tabs>
        <w:mirrorIndents/>
      </w:pPr>
      <w:r w:rsidRPr="00D96359">
        <w:rPr>
          <w:b/>
        </w:rPr>
        <w:t>Attachment</w:t>
      </w:r>
      <w:r w:rsidRPr="00D96359">
        <w:t xml:space="preserve"> </w:t>
      </w:r>
      <w:r>
        <w:t>7</w:t>
      </w:r>
      <w:r w:rsidRPr="00D96359">
        <w:t xml:space="preserve"> </w:t>
      </w:r>
      <w:r>
        <w:t>Discussion Guide</w:t>
      </w:r>
    </w:p>
    <w:p w14:paraId="0546CF9D" w14:textId="165ECC9C" w:rsidR="00347120" w:rsidRDefault="009D7271" w:rsidP="003B3841">
      <w:pPr>
        <w:pStyle w:val="NoSpacing"/>
        <w:tabs>
          <w:tab w:val="left" w:pos="360"/>
        </w:tabs>
        <w:mirrorIndents/>
      </w:pPr>
      <w:r w:rsidRPr="00951C80">
        <w:rPr>
          <w:b/>
        </w:rPr>
        <w:t>Attachment 8</w:t>
      </w:r>
      <w:r w:rsidR="00347120" w:rsidRPr="00951C80">
        <w:t xml:space="preserve"> </w:t>
      </w:r>
      <w:r w:rsidR="00CF44C9" w:rsidRPr="00951C80">
        <w:t>IRB Approval</w:t>
      </w:r>
      <w:r w:rsidR="008A70CF">
        <w:t xml:space="preserve"> Certification</w:t>
      </w:r>
    </w:p>
    <w:p w14:paraId="682388CC" w14:textId="52F55C83" w:rsidR="009B5C38" w:rsidRPr="00CB3BDE" w:rsidRDefault="009D7271" w:rsidP="003B3841">
      <w:pPr>
        <w:pStyle w:val="NoSpacing"/>
        <w:tabs>
          <w:tab w:val="left" w:pos="360"/>
        </w:tabs>
        <w:mirrorIndents/>
      </w:pPr>
      <w:r w:rsidRPr="00CB3BDE">
        <w:rPr>
          <w:b/>
        </w:rPr>
        <w:t>Attachment 9</w:t>
      </w:r>
      <w:r w:rsidR="009B5C38" w:rsidRPr="00CB3BDE">
        <w:t xml:space="preserve"> Data </w:t>
      </w:r>
      <w:r w:rsidR="00B270BB" w:rsidRPr="00CB3BDE">
        <w:t>Management</w:t>
      </w:r>
      <w:r w:rsidR="009B5C38" w:rsidRPr="00CB3BDE">
        <w:t xml:space="preserve"> Plan</w:t>
      </w:r>
    </w:p>
    <w:p w14:paraId="1250C48D" w14:textId="06891F78" w:rsidR="005B5D5C" w:rsidRPr="00DC56F1" w:rsidRDefault="009D7271" w:rsidP="003B3841">
      <w:pPr>
        <w:pStyle w:val="NoSpacing"/>
        <w:tabs>
          <w:tab w:val="left" w:pos="360"/>
        </w:tabs>
        <w:mirrorIndents/>
      </w:pPr>
      <w:r w:rsidRPr="00CB3BDE">
        <w:rPr>
          <w:b/>
        </w:rPr>
        <w:t>Attachment 10</w:t>
      </w:r>
      <w:r w:rsidR="00DC56F1" w:rsidRPr="00CB3BDE">
        <w:rPr>
          <w:b/>
        </w:rPr>
        <w:t xml:space="preserve"> </w:t>
      </w:r>
      <w:r w:rsidR="00DC56F1" w:rsidRPr="00CB3BDE">
        <w:t xml:space="preserve">Privacy </w:t>
      </w:r>
      <w:r w:rsidR="00B45435" w:rsidRPr="00CB3BDE">
        <w:t>Impact Assessment</w:t>
      </w:r>
    </w:p>
    <w:p w14:paraId="171B3D85" w14:textId="3BB2022A" w:rsidR="005B5D5C" w:rsidRDefault="005B5D5C" w:rsidP="003B3841">
      <w:pPr>
        <w:pStyle w:val="NoSpacing"/>
        <w:tabs>
          <w:tab w:val="left" w:pos="360"/>
        </w:tabs>
        <w:mirrorIndents/>
      </w:pPr>
    </w:p>
    <w:p w14:paraId="57FEAA20" w14:textId="1C850E91" w:rsidR="005B3D89" w:rsidRDefault="005B3D89" w:rsidP="003B3841">
      <w:pPr>
        <w:pStyle w:val="NoSpacing"/>
        <w:tabs>
          <w:tab w:val="left" w:pos="360"/>
        </w:tabs>
        <w:mirrorIndents/>
      </w:pPr>
    </w:p>
    <w:p w14:paraId="6E137FD1" w14:textId="3666E127" w:rsidR="00542640" w:rsidRDefault="00542640" w:rsidP="003B3841">
      <w:pPr>
        <w:mirrorIndents/>
        <w:rPr>
          <w:b/>
        </w:rPr>
      </w:pPr>
    </w:p>
    <w:p w14:paraId="55181C2A" w14:textId="77777777" w:rsidR="00200D2C" w:rsidRPr="00E2574F" w:rsidRDefault="00200D2C" w:rsidP="003B3841">
      <w:pPr>
        <w:mirrorIndents/>
        <w:rPr>
          <w:b/>
        </w:rPr>
      </w:pP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0A0719B7" w14:textId="0F0B9855" w:rsidR="00587434" w:rsidRPr="000260CE" w:rsidRDefault="00B12EA3" w:rsidP="000260CE">
            <w:pPr>
              <w:pStyle w:val="NoSpacing"/>
              <w:numPr>
                <w:ilvl w:val="0"/>
                <w:numId w:val="1"/>
              </w:numPr>
              <w:spacing w:before="120" w:after="120"/>
              <w:mirrorIndents/>
              <w:rPr>
                <w:b/>
              </w:rPr>
            </w:pPr>
            <w:r w:rsidRPr="00FB7AA8">
              <w:rPr>
                <w:b/>
              </w:rPr>
              <w:lastRenderedPageBreak/>
              <w:t xml:space="preserve">Goals of the study: </w:t>
            </w:r>
            <w:r w:rsidR="00F30E45">
              <w:t xml:space="preserve">This qualitative research focuses on </w:t>
            </w:r>
            <w:r w:rsidR="00587434">
              <w:t>primary care physicians (PCP</w:t>
            </w:r>
            <w:r w:rsidR="000260CE">
              <w:t xml:space="preserve">s) and obstetrician-gynecologists (OBGYNs) </w:t>
            </w:r>
            <w:r w:rsidR="0084464A">
              <w:t>with t</w:t>
            </w:r>
            <w:r w:rsidR="000260CE">
              <w:t>he goal of gather</w:t>
            </w:r>
            <w:r w:rsidR="0084464A">
              <w:t>ing</w:t>
            </w:r>
            <w:r w:rsidR="00587434" w:rsidRPr="00587434">
              <w:t xml:space="preserve"> insights about </w:t>
            </w:r>
            <w:r w:rsidR="0084464A">
              <w:t xml:space="preserve">their </w:t>
            </w:r>
            <w:r w:rsidR="00587434" w:rsidRPr="00587434">
              <w:t xml:space="preserve">practices, knowledge, and attitudes around testing for hepatitis C and their </w:t>
            </w:r>
            <w:r w:rsidR="0084464A">
              <w:t>attitudes and intentions to</w:t>
            </w:r>
            <w:r w:rsidR="00587434" w:rsidRPr="00587434">
              <w:t xml:space="preserve"> a universal testing recommendation</w:t>
            </w:r>
            <w:r w:rsidR="009111F6">
              <w:t xml:space="preserve"> for all adults and </w:t>
            </w:r>
            <w:r w:rsidR="0084464A">
              <w:t>all</w:t>
            </w:r>
            <w:r w:rsidR="009111F6">
              <w:t xml:space="preserve"> pregnant women during each pregnancy</w:t>
            </w:r>
            <w:r w:rsidR="0084464A">
              <w:t xml:space="preserve">. </w:t>
            </w:r>
          </w:p>
          <w:p w14:paraId="1D02776F" w14:textId="5890CFA7" w:rsidR="00B12EA3" w:rsidRPr="00AC05E8" w:rsidRDefault="00B12EA3" w:rsidP="00AC05E8">
            <w:pPr>
              <w:pStyle w:val="NoSpacing"/>
              <w:numPr>
                <w:ilvl w:val="0"/>
                <w:numId w:val="1"/>
              </w:numPr>
              <w:spacing w:before="120" w:after="120"/>
              <w:mirrorIndents/>
              <w:rPr>
                <w:b/>
              </w:rPr>
            </w:pPr>
            <w:r w:rsidRPr="00FB7AA8">
              <w:rPr>
                <w:b/>
              </w:rPr>
              <w:t>Intended use:</w:t>
            </w:r>
            <w:r w:rsidR="00B328D6" w:rsidRPr="00FB7AA8">
              <w:rPr>
                <w:b/>
              </w:rPr>
              <w:t xml:space="preserve"> </w:t>
            </w:r>
            <w:r w:rsidR="00AC05E8">
              <w:rPr>
                <w:rFonts w:cs="Times New Roman"/>
                <w:szCs w:val="24"/>
              </w:rPr>
              <w:t xml:space="preserve">Study outcomes will </w:t>
            </w:r>
            <w:r w:rsidR="0084464A" w:rsidRPr="00587434">
              <w:t xml:space="preserve">inform </w:t>
            </w:r>
            <w:r w:rsidR="0084464A">
              <w:t>DVH’s educational efforts around hepatitis C testing and</w:t>
            </w:r>
            <w:r w:rsidR="009111F6">
              <w:t xml:space="preserve"> a</w:t>
            </w:r>
            <w:r w:rsidR="00AC05E8" w:rsidRPr="00FB7AA8">
              <w:t xml:space="preserve">re not intended to be generalized to the </w:t>
            </w:r>
            <w:r w:rsidR="0084464A">
              <w:t xml:space="preserve">entire physician community. </w:t>
            </w:r>
            <w:r w:rsidR="00D419B4">
              <w:t xml:space="preserve">The results </w:t>
            </w:r>
            <w:r w:rsidR="00FB7AA8">
              <w:t xml:space="preserve">will </w:t>
            </w:r>
            <w:r w:rsidR="00FB7AA8" w:rsidRPr="00FB7AA8">
              <w:t>provide CDC a</w:t>
            </w:r>
            <w:r w:rsidR="00D419B4">
              <w:t xml:space="preserve">n increased understanding of provider-related </w:t>
            </w:r>
            <w:r w:rsidR="00E240BF">
              <w:t xml:space="preserve">motivators and </w:t>
            </w:r>
            <w:r w:rsidR="00D419B4">
              <w:t>barriers related to screening f</w:t>
            </w:r>
            <w:r w:rsidR="009111F6">
              <w:t>or hepatitis C among all adults</w:t>
            </w:r>
            <w:r w:rsidR="00D419B4">
              <w:t xml:space="preserve"> and women during each pregnancy</w:t>
            </w:r>
            <w:r w:rsidR="00E240BF">
              <w:t>, and will help inform education, outreach, and other strategies as appropriate</w:t>
            </w:r>
            <w:r w:rsidR="00D419B4">
              <w:t>.</w:t>
            </w:r>
          </w:p>
          <w:p w14:paraId="02AC9B98" w14:textId="76DB8CED" w:rsidR="00810B9E" w:rsidRPr="00FB7AA8" w:rsidRDefault="00B12EA3" w:rsidP="00F95454">
            <w:pPr>
              <w:pStyle w:val="NoSpacing"/>
              <w:numPr>
                <w:ilvl w:val="0"/>
                <w:numId w:val="1"/>
              </w:numPr>
              <w:spacing w:before="120" w:after="120"/>
              <w:mirrorIndents/>
              <w:rPr>
                <w:b/>
              </w:rPr>
            </w:pPr>
            <w:r w:rsidRPr="00FB7AA8">
              <w:rPr>
                <w:b/>
              </w:rPr>
              <w:t>Methods to be used to collect data:</w:t>
            </w:r>
            <w:r w:rsidR="00A34D13" w:rsidRPr="00FB7AA8">
              <w:rPr>
                <w:b/>
              </w:rPr>
              <w:t xml:space="preserve"> </w:t>
            </w:r>
            <w:r w:rsidR="00A34D13" w:rsidRPr="00FB7AA8">
              <w:t xml:space="preserve">Data will be collected </w:t>
            </w:r>
            <w:r w:rsidR="003E2A65" w:rsidRPr="00FB7AA8">
              <w:t xml:space="preserve">from </w:t>
            </w:r>
            <w:r w:rsidR="00150705">
              <w:t xml:space="preserve">a total of </w:t>
            </w:r>
            <w:r w:rsidR="004C5B7B" w:rsidRPr="00014297">
              <w:t>128</w:t>
            </w:r>
            <w:r w:rsidR="009A2571" w:rsidRPr="00014297">
              <w:t xml:space="preserve"> individuals</w:t>
            </w:r>
            <w:r w:rsidR="009A2571" w:rsidRPr="00FB7AA8">
              <w:t xml:space="preserve"> through </w:t>
            </w:r>
            <w:r w:rsidR="00731B24" w:rsidRPr="00FB7AA8">
              <w:t>semi-structured</w:t>
            </w:r>
            <w:r w:rsidR="009A2571" w:rsidRPr="00FB7AA8">
              <w:t>, qualitative</w:t>
            </w:r>
            <w:r w:rsidR="00F353ED" w:rsidRPr="00FB7AA8">
              <w:t xml:space="preserve"> </w:t>
            </w:r>
            <w:r w:rsidR="0084464A">
              <w:t xml:space="preserve">virtual </w:t>
            </w:r>
            <w:r w:rsidR="00D419B4">
              <w:t>focus groups.</w:t>
            </w:r>
          </w:p>
          <w:p w14:paraId="67C82716" w14:textId="4F89025B" w:rsidR="00B12EA3" w:rsidRPr="00B12EA3" w:rsidRDefault="00B12EA3" w:rsidP="00890BFF">
            <w:pPr>
              <w:pStyle w:val="NoSpacing"/>
              <w:numPr>
                <w:ilvl w:val="0"/>
                <w:numId w:val="1"/>
              </w:numPr>
              <w:spacing w:before="120" w:after="120"/>
              <w:mirrorIndents/>
              <w:rPr>
                <w:b/>
              </w:rPr>
            </w:pPr>
            <w:r w:rsidRPr="00FB7AA8">
              <w:rPr>
                <w:b/>
              </w:rPr>
              <w:t>How data will be analyzed:</w:t>
            </w:r>
            <w:r w:rsidR="003539FB" w:rsidRPr="00FB7AA8">
              <w:rPr>
                <w:b/>
              </w:rPr>
              <w:t xml:space="preserve"> </w:t>
            </w:r>
            <w:r w:rsidR="00E240BF">
              <w:rPr>
                <w:noProof/>
                <w:szCs w:val="24"/>
              </w:rPr>
              <w:t>Data will be analyzed via d</w:t>
            </w:r>
            <w:r w:rsidR="00C47736">
              <w:rPr>
                <w:noProof/>
                <w:szCs w:val="24"/>
              </w:rPr>
              <w:t>irect observation as well as a</w:t>
            </w:r>
            <w:r w:rsidR="00D419B4">
              <w:rPr>
                <w:noProof/>
                <w:szCs w:val="24"/>
              </w:rPr>
              <w:t>nalysis of transcripts</w:t>
            </w:r>
            <w:r w:rsidR="00374CFA">
              <w:rPr>
                <w:noProof/>
                <w:szCs w:val="24"/>
              </w:rPr>
              <w:t xml:space="preserve"> to identify themes and patterns</w:t>
            </w:r>
            <w:r w:rsidR="00E240BF">
              <w:rPr>
                <w:noProof/>
                <w:szCs w:val="24"/>
              </w:rPr>
              <w:t>.</w:t>
            </w:r>
          </w:p>
        </w:tc>
      </w:tr>
    </w:tbl>
    <w:p w14:paraId="33849E7F" w14:textId="77777777" w:rsidR="00B12EA3" w:rsidRDefault="00B12EA3" w:rsidP="00F95454">
      <w:pPr>
        <w:pStyle w:val="NoSpacing"/>
        <w:spacing w:before="120" w:after="120"/>
        <w:mirrorIndents/>
      </w:pPr>
    </w:p>
    <w:p w14:paraId="6B0500C1" w14:textId="77777777" w:rsidR="00F734ED" w:rsidRPr="00F734ED" w:rsidRDefault="00F734ED" w:rsidP="00F95454">
      <w:pPr>
        <w:pStyle w:val="NoSpacing"/>
        <w:spacing w:before="120" w:after="120"/>
        <w:mirrorIndents/>
        <w:rPr>
          <w:b/>
        </w:rPr>
      </w:pPr>
      <w:r w:rsidRPr="00F734ED">
        <w:rPr>
          <w:b/>
        </w:rPr>
        <w:t>Supporting Statement</w:t>
      </w:r>
    </w:p>
    <w:p w14:paraId="32E1ACF3" w14:textId="2F1C42DA" w:rsidR="00B12EA3" w:rsidRPr="00E90840" w:rsidRDefault="00F734ED" w:rsidP="00F95454">
      <w:pPr>
        <w:pStyle w:val="NoSpacing"/>
        <w:spacing w:before="120" w:after="120"/>
        <w:mirrorIndents/>
        <w:rPr>
          <w:b/>
        </w:rPr>
      </w:pPr>
      <w:r w:rsidRPr="00F734ED">
        <w:rPr>
          <w:b/>
        </w:rPr>
        <w:t xml:space="preserve">A. </w:t>
      </w:r>
      <w:r w:rsidRPr="00F734ED">
        <w:rPr>
          <w:b/>
          <w:u w:val="single"/>
        </w:rPr>
        <w:t>Justification</w:t>
      </w:r>
    </w:p>
    <w:p w14:paraId="16B4B2A2" w14:textId="21511C47" w:rsidR="00B12EA3" w:rsidRDefault="00B12EA3" w:rsidP="00F95454">
      <w:pPr>
        <w:pStyle w:val="Heading1"/>
        <w:spacing w:before="120" w:after="120"/>
        <w:mirrorIndents/>
      </w:pPr>
      <w:bookmarkStart w:id="1" w:name="_Toc448296072"/>
      <w:r w:rsidRPr="00B12EA3">
        <w:t>Circumstances Making the Collection of Information Necessary</w:t>
      </w:r>
      <w:bookmarkEnd w:id="1"/>
    </w:p>
    <w:p w14:paraId="08A02B17" w14:textId="2D6748CB" w:rsidR="00890BFF" w:rsidRDefault="00067E1B" w:rsidP="000E05AF">
      <w:pPr>
        <w:widowControl w:val="0"/>
        <w:mirrorIndents/>
      </w:pPr>
      <w:r w:rsidRPr="00067E1B">
        <w:t>The Centers for Disease Control and Prevention’s</w:t>
      </w:r>
      <w:r w:rsidR="00F94AE4">
        <w:t xml:space="preserve"> (CDC)</w:t>
      </w:r>
      <w:r w:rsidRPr="00067E1B">
        <w:t xml:space="preserve"> Division of </w:t>
      </w:r>
      <w:r w:rsidR="00C47736">
        <w:t>Viral Hepatitis</w:t>
      </w:r>
      <w:r w:rsidRPr="00067E1B">
        <w:t>, (D</w:t>
      </w:r>
      <w:r w:rsidR="00C47736">
        <w:t>VH</w:t>
      </w:r>
      <w:r w:rsidR="00F15707">
        <w:t>) requests OMB approval for a qualitative</w:t>
      </w:r>
      <w:r w:rsidR="00F94AE4">
        <w:t xml:space="preserve"> </w:t>
      </w:r>
      <w:r w:rsidRPr="00067E1B">
        <w:t>research study entitled, “</w:t>
      </w:r>
      <w:r w:rsidR="000E05AF">
        <w:t>Virtual Focus Groups with Primary Care Physicians and OBGYNs: Attitudes about Proposed Hepatitis C Screening Guidelines</w:t>
      </w:r>
      <w:r w:rsidR="000E05AF" w:rsidRPr="00C47736" w:rsidDel="003A1889">
        <w:t xml:space="preserve"> </w:t>
      </w:r>
      <w:r w:rsidRPr="00067E1B">
        <w:t xml:space="preserve">” under </w:t>
      </w:r>
      <w:r w:rsidR="00BF4C06">
        <w:t xml:space="preserve">the </w:t>
      </w:r>
      <w:r w:rsidR="00A170D4">
        <w:t>Formative Research and Tool Development</w:t>
      </w:r>
      <w:r w:rsidRPr="00067E1B">
        <w:t xml:space="preserve"> Generic Clearance (OMB #0920-</w:t>
      </w:r>
      <w:r w:rsidR="00B1673A">
        <w:t>0840</w:t>
      </w:r>
      <w:r w:rsidRPr="00067E1B">
        <w:t>, expires</w:t>
      </w:r>
      <w:r w:rsidR="00B1673A" w:rsidRPr="00B1673A">
        <w:t xml:space="preserve"> 1/31/2019</w:t>
      </w:r>
      <w:r w:rsidR="00AA0B72">
        <w:t>)</w:t>
      </w:r>
      <w:r w:rsidRPr="00067E1B">
        <w:t>.</w:t>
      </w:r>
      <w:r w:rsidR="00F94AE4">
        <w:t xml:space="preserve"> </w:t>
      </w:r>
      <w:r w:rsidR="007325ED">
        <w:t>CDC sponsor</w:t>
      </w:r>
      <w:r w:rsidR="00EE683F">
        <w:t>s</w:t>
      </w:r>
      <w:r w:rsidR="007325ED">
        <w:t xml:space="preserve"> this </w:t>
      </w:r>
      <w:r w:rsidR="006E2395">
        <w:t xml:space="preserve">current </w:t>
      </w:r>
      <w:r w:rsidR="00582903">
        <w:t>data collection activity</w:t>
      </w:r>
      <w:r w:rsidR="005E6F8D">
        <w:t>.</w:t>
      </w:r>
      <w:r w:rsidR="00582903">
        <w:t xml:space="preserve"> </w:t>
      </w:r>
      <w:r w:rsidR="005E6F8D">
        <w:t>D</w:t>
      </w:r>
      <w:r w:rsidR="007325ED">
        <w:t xml:space="preserve">ata collection will be carried out by </w:t>
      </w:r>
      <w:r w:rsidR="00582903">
        <w:t xml:space="preserve">the CDC’s </w:t>
      </w:r>
      <w:r w:rsidR="007325ED">
        <w:t xml:space="preserve">contractor, </w:t>
      </w:r>
      <w:r w:rsidR="00A170D4" w:rsidRPr="00137E91">
        <w:t>KRC Research</w:t>
      </w:r>
      <w:r w:rsidR="00374CFA" w:rsidRPr="00137E91">
        <w:t xml:space="preserve"> (KRC)</w:t>
      </w:r>
      <w:r w:rsidR="00582903" w:rsidRPr="00137E91">
        <w:t>,</w:t>
      </w:r>
      <w:r w:rsidR="00582903">
        <w:t xml:space="preserve"> in conjunction with its subcontracting partners</w:t>
      </w:r>
      <w:bookmarkStart w:id="2" w:name="_Toc448296073"/>
      <w:r w:rsidR="00A170D4">
        <w:t>.</w:t>
      </w:r>
      <w:r w:rsidR="00C15501">
        <w:t xml:space="preserve"> </w:t>
      </w:r>
      <w:r w:rsidR="00D0502B">
        <w:t>CDC will not receive any personally identifiable information.</w:t>
      </w:r>
    </w:p>
    <w:p w14:paraId="55C6CED3" w14:textId="42DE8472" w:rsidR="00414AC8" w:rsidRPr="00D60D10" w:rsidRDefault="00414AC8" w:rsidP="007B0C84">
      <w:pPr>
        <w:widowControl w:val="0"/>
        <w:mirrorIndents/>
      </w:pPr>
    </w:p>
    <w:p w14:paraId="775F23D7" w14:textId="2A6D9F20" w:rsidR="008733C2" w:rsidRDefault="008733C2" w:rsidP="008733C2">
      <w:pPr>
        <w:pStyle w:val="NormalWeb"/>
        <w:shd w:val="clear" w:color="auto" w:fill="FFFFFF"/>
        <w:spacing w:before="0" w:beforeAutospacing="0" w:after="0" w:afterAutospacing="0"/>
      </w:pPr>
      <w:r w:rsidRPr="008733C2">
        <w:t xml:space="preserve">There are an estimated 2.4 million people living with hepatitis C in the United States, about 50% of whom are unaware they are currently infected. </w:t>
      </w:r>
      <w:r w:rsidRPr="00D60D10">
        <w:t>Hepatitis C is a liver infection caused by the hepatitis C virus. Hepatitis C can range from a mild illness lasting a few weeks to a serious, lifelong illness. Approximately 75%–85% of people who become infected with hepatitis C virus will develop a chronic infection that, if untreated, can lead to liver damage, cirrhosis (scarring of the liver), liver cancer, and even death.</w:t>
      </w:r>
      <w:r>
        <w:t xml:space="preserve"> </w:t>
      </w:r>
    </w:p>
    <w:p w14:paraId="7F46FF04" w14:textId="77777777" w:rsidR="008733C2" w:rsidRDefault="008733C2" w:rsidP="008733C2">
      <w:pPr>
        <w:pStyle w:val="NormalWeb"/>
        <w:shd w:val="clear" w:color="auto" w:fill="FFFFFF"/>
        <w:spacing w:before="0" w:beforeAutospacing="0" w:after="0" w:afterAutospacing="0"/>
      </w:pPr>
    </w:p>
    <w:p w14:paraId="6B5332C1" w14:textId="43D5701C" w:rsidR="008733C2" w:rsidRPr="008733C2" w:rsidRDefault="008733C2" w:rsidP="008733C2">
      <w:pPr>
        <w:pStyle w:val="NormalWeb"/>
        <w:shd w:val="clear" w:color="auto" w:fill="FFFFFF"/>
        <w:spacing w:before="0" w:beforeAutospacing="0" w:after="0" w:afterAutospacing="0"/>
      </w:pPr>
      <w:r w:rsidRPr="008733C2">
        <w:t>Testing identifies people living with hepatitis C, which is the first step in the linkage to care and treatment. There have been tremendous advancements in hepatitis C treatment over the last decade; improved treatments can cure the disease for</w:t>
      </w:r>
      <w:r w:rsidR="00A37745">
        <w:t xml:space="preserve"> over 90% of </w:t>
      </w:r>
      <w:r w:rsidRPr="008733C2">
        <w:t>people within 8-12 weeks. This effort will help identify barriers and motivators to hepatitis C testing by physicians, and will inform CDC’s educational efforts and campaign activities, as well as help inform other potential interventions.</w:t>
      </w:r>
    </w:p>
    <w:p w14:paraId="2411E93D" w14:textId="5B5A8D82" w:rsidR="00D60D10" w:rsidRPr="00D60D10" w:rsidRDefault="00D60D10" w:rsidP="007B0C84">
      <w:pPr>
        <w:widowControl w:val="0"/>
        <w:mirrorIndents/>
      </w:pPr>
    </w:p>
    <w:p w14:paraId="5BF2119B" w14:textId="1E59314A" w:rsidR="00D60D10" w:rsidRPr="00D60D10" w:rsidRDefault="009F5EAB" w:rsidP="007B0C84">
      <w:pPr>
        <w:widowControl w:val="0"/>
        <w:mirrorIndents/>
      </w:pPr>
      <w:r>
        <w:t xml:space="preserve">To identify people with chronic hepatitis C, </w:t>
      </w:r>
      <w:r w:rsidR="00D60D10" w:rsidRPr="00D60D10">
        <w:t xml:space="preserve">CDC </w:t>
      </w:r>
      <w:r w:rsidR="00137E91">
        <w:t xml:space="preserve">currently </w:t>
      </w:r>
      <w:r w:rsidR="00D60D10" w:rsidRPr="00D60D10">
        <w:t xml:space="preserve">recommends </w:t>
      </w:r>
      <w:r>
        <w:t>the</w:t>
      </w:r>
      <w:r w:rsidR="00D60D10" w:rsidRPr="00D60D10">
        <w:t xml:space="preserve"> following p</w:t>
      </w:r>
      <w:r w:rsidR="00553F39">
        <w:t>eople</w:t>
      </w:r>
      <w:r>
        <w:t xml:space="preserve"> be tested</w:t>
      </w:r>
      <w:r w:rsidR="00D60D10" w:rsidRPr="00D60D10">
        <w:t xml:space="preserve">: </w:t>
      </w:r>
    </w:p>
    <w:p w14:paraId="6CFB017E" w14:textId="307D90DB" w:rsidR="00D60D10" w:rsidRPr="00D60D10" w:rsidRDefault="00D60D10" w:rsidP="00D60D10">
      <w:pPr>
        <w:numPr>
          <w:ilvl w:val="0"/>
          <w:numId w:val="21"/>
        </w:numPr>
        <w:shd w:val="clear" w:color="auto" w:fill="FFFFFF"/>
        <w:rPr>
          <w:color w:val="000000"/>
        </w:rPr>
      </w:pPr>
      <w:r>
        <w:rPr>
          <w:color w:val="000000"/>
        </w:rPr>
        <w:t>Everyone born from 1945 t</w:t>
      </w:r>
      <w:r w:rsidRPr="00D60D10">
        <w:rPr>
          <w:color w:val="000000"/>
        </w:rPr>
        <w:t>o 1965</w:t>
      </w:r>
      <w:r w:rsidR="009F5EAB">
        <w:rPr>
          <w:color w:val="000000"/>
        </w:rPr>
        <w:t>;</w:t>
      </w:r>
    </w:p>
    <w:p w14:paraId="747531C9" w14:textId="28496661" w:rsidR="00D60D10" w:rsidRPr="00D60D10" w:rsidRDefault="00D60D10" w:rsidP="00D60D10">
      <w:pPr>
        <w:numPr>
          <w:ilvl w:val="0"/>
          <w:numId w:val="21"/>
        </w:numPr>
        <w:shd w:val="clear" w:color="auto" w:fill="FFFFFF"/>
        <w:rPr>
          <w:color w:val="000000"/>
        </w:rPr>
      </w:pPr>
      <w:r w:rsidRPr="00D60D10">
        <w:rPr>
          <w:color w:val="000000"/>
        </w:rPr>
        <w:t>Anyone who received clotting factor concentrates made before 1987</w:t>
      </w:r>
      <w:r>
        <w:rPr>
          <w:color w:val="000000"/>
        </w:rPr>
        <w:t>;</w:t>
      </w:r>
    </w:p>
    <w:p w14:paraId="4F03E554" w14:textId="114096E0" w:rsidR="00D60D10" w:rsidRPr="00D60D10" w:rsidRDefault="00D60D10" w:rsidP="00D60D10">
      <w:pPr>
        <w:numPr>
          <w:ilvl w:val="0"/>
          <w:numId w:val="21"/>
        </w:numPr>
        <w:shd w:val="clear" w:color="auto" w:fill="FFFFFF"/>
        <w:rPr>
          <w:color w:val="000000"/>
        </w:rPr>
      </w:pPr>
      <w:r w:rsidRPr="00D60D10">
        <w:rPr>
          <w:color w:val="000000"/>
        </w:rPr>
        <w:t>Recipients of blood transfusions or solid organ transplants prior to July 1992</w:t>
      </w:r>
      <w:r>
        <w:rPr>
          <w:color w:val="000000"/>
        </w:rPr>
        <w:t>;</w:t>
      </w:r>
    </w:p>
    <w:p w14:paraId="6381A45A" w14:textId="451208C6" w:rsidR="00D60D10" w:rsidRPr="00D60D10" w:rsidRDefault="00D60D10" w:rsidP="00D60D10">
      <w:pPr>
        <w:numPr>
          <w:ilvl w:val="0"/>
          <w:numId w:val="21"/>
        </w:numPr>
        <w:shd w:val="clear" w:color="auto" w:fill="FFFFFF"/>
        <w:rPr>
          <w:color w:val="000000"/>
        </w:rPr>
      </w:pPr>
      <w:r w:rsidRPr="00D60D10">
        <w:rPr>
          <w:color w:val="000000"/>
        </w:rPr>
        <w:t>Long-term hemodialysis patients</w:t>
      </w:r>
      <w:r>
        <w:rPr>
          <w:color w:val="000000"/>
        </w:rPr>
        <w:t>;</w:t>
      </w:r>
    </w:p>
    <w:p w14:paraId="53B20290" w14:textId="5299654B" w:rsidR="00D60D10" w:rsidRPr="00D60D10" w:rsidRDefault="00D60D10" w:rsidP="00D60D10">
      <w:pPr>
        <w:numPr>
          <w:ilvl w:val="0"/>
          <w:numId w:val="21"/>
        </w:numPr>
        <w:shd w:val="clear" w:color="auto" w:fill="FFFFFF"/>
        <w:rPr>
          <w:color w:val="000000"/>
        </w:rPr>
      </w:pPr>
      <w:r w:rsidRPr="00D60D10">
        <w:rPr>
          <w:color w:val="000000"/>
        </w:rPr>
        <w:t>People with known exposures to the hepatitis C virus, such as</w:t>
      </w:r>
      <w:r>
        <w:rPr>
          <w:color w:val="000000"/>
        </w:rPr>
        <w:t xml:space="preserve"> </w:t>
      </w:r>
      <w:r w:rsidRPr="00D60D10">
        <w:rPr>
          <w:color w:val="000000"/>
        </w:rPr>
        <w:t>health care workers or public safety workers after needle sticks involving blood from someone infected with hepatitis C virus</w:t>
      </w:r>
      <w:r>
        <w:rPr>
          <w:color w:val="000000"/>
        </w:rPr>
        <w:t xml:space="preserve">, and </w:t>
      </w:r>
      <w:r w:rsidRPr="00D60D10">
        <w:rPr>
          <w:color w:val="000000"/>
        </w:rPr>
        <w:t>recipients of blood or organs from a donor who tested positive for the hepatitis C virus</w:t>
      </w:r>
      <w:r>
        <w:rPr>
          <w:color w:val="000000"/>
        </w:rPr>
        <w:t>;</w:t>
      </w:r>
    </w:p>
    <w:p w14:paraId="574FCAD8" w14:textId="3EFD87B9" w:rsidR="00D60D10" w:rsidRPr="00D60D10" w:rsidRDefault="00D60D10" w:rsidP="00D60D10">
      <w:pPr>
        <w:numPr>
          <w:ilvl w:val="0"/>
          <w:numId w:val="21"/>
        </w:numPr>
        <w:shd w:val="clear" w:color="auto" w:fill="FFFFFF"/>
        <w:rPr>
          <w:color w:val="000000"/>
        </w:rPr>
      </w:pPr>
      <w:r w:rsidRPr="00D60D10">
        <w:rPr>
          <w:color w:val="000000"/>
        </w:rPr>
        <w:t>People with HIV infection</w:t>
      </w:r>
      <w:r>
        <w:rPr>
          <w:color w:val="000000"/>
        </w:rPr>
        <w:t>;</w:t>
      </w:r>
    </w:p>
    <w:p w14:paraId="33F80866" w14:textId="0B7DA9FE" w:rsidR="00D60D10" w:rsidRDefault="00D60D10" w:rsidP="00D60D10">
      <w:pPr>
        <w:numPr>
          <w:ilvl w:val="0"/>
          <w:numId w:val="21"/>
        </w:numPr>
        <w:shd w:val="clear" w:color="auto" w:fill="FFFFFF"/>
        <w:rPr>
          <w:color w:val="000000"/>
        </w:rPr>
      </w:pPr>
      <w:r w:rsidRPr="00D60D10">
        <w:rPr>
          <w:color w:val="000000"/>
        </w:rPr>
        <w:t>Children born to mothers with hepatitis C</w:t>
      </w:r>
      <w:r>
        <w:rPr>
          <w:color w:val="000000"/>
        </w:rPr>
        <w:t>; and</w:t>
      </w:r>
    </w:p>
    <w:p w14:paraId="20BD65B5" w14:textId="54E404DA" w:rsidR="00D60D10" w:rsidRPr="00D60D10" w:rsidRDefault="00D60D10" w:rsidP="00D60D10">
      <w:pPr>
        <w:numPr>
          <w:ilvl w:val="0"/>
          <w:numId w:val="21"/>
        </w:numPr>
        <w:shd w:val="clear" w:color="auto" w:fill="FFFFFF"/>
        <w:rPr>
          <w:color w:val="000000"/>
        </w:rPr>
      </w:pPr>
      <w:r w:rsidRPr="00D60D10">
        <w:rPr>
          <w:color w:val="000000"/>
        </w:rPr>
        <w:t>Current or former injection drug users, including those who injected only once many years ago</w:t>
      </w:r>
      <w:r>
        <w:rPr>
          <w:color w:val="000000"/>
        </w:rPr>
        <w:t>.</w:t>
      </w:r>
    </w:p>
    <w:p w14:paraId="74FCDC29" w14:textId="77777777" w:rsidR="00D60D10" w:rsidRPr="00D60D10" w:rsidRDefault="00D60D10" w:rsidP="00D60D10">
      <w:pPr>
        <w:shd w:val="clear" w:color="auto" w:fill="FFFFFF"/>
        <w:rPr>
          <w:color w:val="000000"/>
        </w:rPr>
      </w:pPr>
    </w:p>
    <w:p w14:paraId="4D671096" w14:textId="081AC4EE" w:rsidR="00D60D10" w:rsidRPr="00D60D10" w:rsidRDefault="00D60D10" w:rsidP="00D60D10">
      <w:pPr>
        <w:pStyle w:val="NormalWeb"/>
        <w:shd w:val="clear" w:color="auto" w:fill="FFFFFF"/>
        <w:spacing w:before="0" w:beforeAutospacing="0" w:after="0" w:afterAutospacing="0"/>
        <w:rPr>
          <w:color w:val="000000"/>
        </w:rPr>
      </w:pPr>
      <w:r w:rsidRPr="00D60D10">
        <w:rPr>
          <w:color w:val="000000"/>
        </w:rPr>
        <w:t>Other experts, including the U.S.</w:t>
      </w:r>
      <w:r>
        <w:rPr>
          <w:color w:val="000000"/>
        </w:rPr>
        <w:t xml:space="preserve"> Preventive Services Task Force, also recommends testing for</w:t>
      </w:r>
      <w:r w:rsidRPr="00D60D10">
        <w:rPr>
          <w:color w:val="000000"/>
        </w:rPr>
        <w:t>:</w:t>
      </w:r>
    </w:p>
    <w:p w14:paraId="05F43B0A" w14:textId="2DA00851" w:rsidR="00D60D10" w:rsidRPr="00D60D10" w:rsidRDefault="00D60D10" w:rsidP="00D60D10">
      <w:pPr>
        <w:numPr>
          <w:ilvl w:val="0"/>
          <w:numId w:val="22"/>
        </w:numPr>
        <w:shd w:val="clear" w:color="auto" w:fill="FFFFFF"/>
        <w:rPr>
          <w:color w:val="000000"/>
        </w:rPr>
      </w:pPr>
      <w:r w:rsidRPr="00D60D10">
        <w:rPr>
          <w:color w:val="000000"/>
        </w:rPr>
        <w:t>People in jails or prisons</w:t>
      </w:r>
      <w:r>
        <w:rPr>
          <w:color w:val="000000"/>
        </w:rPr>
        <w:t>;</w:t>
      </w:r>
    </w:p>
    <w:p w14:paraId="04F2E8A8" w14:textId="3E235365" w:rsidR="00D60D10" w:rsidRDefault="00D60D10" w:rsidP="00D60D10">
      <w:pPr>
        <w:numPr>
          <w:ilvl w:val="0"/>
          <w:numId w:val="22"/>
        </w:numPr>
        <w:shd w:val="clear" w:color="auto" w:fill="FFFFFF"/>
        <w:rPr>
          <w:color w:val="000000"/>
        </w:rPr>
      </w:pPr>
      <w:r w:rsidRPr="00D60D10">
        <w:rPr>
          <w:color w:val="000000"/>
        </w:rPr>
        <w:t>People who use drugs snorted through the nose (in addit</w:t>
      </w:r>
      <w:r>
        <w:rPr>
          <w:color w:val="000000"/>
        </w:rPr>
        <w:t>ion to people who inject drugs); and</w:t>
      </w:r>
    </w:p>
    <w:p w14:paraId="0B1A297D" w14:textId="0B2A5472" w:rsidR="00D60D10" w:rsidRDefault="00D60D10" w:rsidP="00D60D10">
      <w:pPr>
        <w:numPr>
          <w:ilvl w:val="0"/>
          <w:numId w:val="22"/>
        </w:numPr>
        <w:shd w:val="clear" w:color="auto" w:fill="FFFFFF"/>
        <w:rPr>
          <w:color w:val="000000"/>
        </w:rPr>
      </w:pPr>
      <w:r w:rsidRPr="00D60D10">
        <w:rPr>
          <w:color w:val="000000"/>
        </w:rPr>
        <w:t>People who get an unregulated tattoo.</w:t>
      </w:r>
    </w:p>
    <w:p w14:paraId="71F642FF" w14:textId="2A5054A8" w:rsidR="00A74030" w:rsidRDefault="00A74030" w:rsidP="00A74030">
      <w:pPr>
        <w:shd w:val="clear" w:color="auto" w:fill="FFFFFF"/>
        <w:rPr>
          <w:color w:val="000000"/>
        </w:rPr>
      </w:pPr>
    </w:p>
    <w:p w14:paraId="42AC9BD6" w14:textId="3794EE54" w:rsidR="00A74030" w:rsidRPr="00A74030" w:rsidRDefault="00A74030" w:rsidP="00A74030">
      <w:pPr>
        <w:pStyle w:val="NormalWeb"/>
        <w:shd w:val="clear" w:color="auto" w:fill="FFFFFF"/>
        <w:spacing w:before="0" w:beforeAutospacing="0" w:after="0" w:afterAutospacing="0"/>
        <w:rPr>
          <w:color w:val="000000"/>
        </w:rPr>
      </w:pPr>
      <w:r w:rsidRPr="00A74030">
        <w:rPr>
          <w:color w:val="000000"/>
        </w:rPr>
        <w:t xml:space="preserve">Getting tested for hepatitis C </w:t>
      </w:r>
      <w:r w:rsidR="009F5EAB">
        <w:rPr>
          <w:color w:val="000000"/>
        </w:rPr>
        <w:t>is not</w:t>
      </w:r>
      <w:r>
        <w:rPr>
          <w:color w:val="000000"/>
        </w:rPr>
        <w:t xml:space="preserve"> </w:t>
      </w:r>
      <w:r w:rsidRPr="00A74030">
        <w:rPr>
          <w:color w:val="000000"/>
        </w:rPr>
        <w:t>part of routine prenatal care</w:t>
      </w:r>
      <w:r w:rsidR="002C4020">
        <w:rPr>
          <w:color w:val="000000"/>
        </w:rPr>
        <w:t>,</w:t>
      </w:r>
      <w:r>
        <w:rPr>
          <w:color w:val="000000"/>
        </w:rPr>
        <w:t xml:space="preserve"> except for pregnant woman who have</w:t>
      </w:r>
      <w:r w:rsidRPr="00A74030">
        <w:rPr>
          <w:color w:val="000000"/>
        </w:rPr>
        <w:t> </w:t>
      </w:r>
      <w:r>
        <w:rPr>
          <w:color w:val="000000"/>
        </w:rPr>
        <w:t>risk factors</w:t>
      </w:r>
      <w:r w:rsidRPr="00A74030">
        <w:rPr>
          <w:color w:val="000000"/>
        </w:rPr>
        <w:t>.</w:t>
      </w:r>
    </w:p>
    <w:p w14:paraId="2C42F4C5" w14:textId="4992382A" w:rsidR="00B238B2" w:rsidRDefault="00B238B2" w:rsidP="0085017F">
      <w:pPr>
        <w:pStyle w:val="NormalWeb"/>
        <w:shd w:val="clear" w:color="auto" w:fill="FFFFFF"/>
        <w:spacing w:before="0" w:beforeAutospacing="0" w:after="0" w:afterAutospacing="0"/>
        <w:rPr>
          <w:color w:val="000000"/>
        </w:rPr>
      </w:pPr>
    </w:p>
    <w:p w14:paraId="60E05155" w14:textId="7F8F575D" w:rsidR="00ED4755" w:rsidRPr="00A37745" w:rsidRDefault="00553F39" w:rsidP="009F5EAB">
      <w:pPr>
        <w:widowControl w:val="0"/>
        <w:mirrorIndents/>
      </w:pPr>
      <w:r>
        <w:rPr>
          <w:color w:val="000000"/>
        </w:rPr>
        <w:t>C</w:t>
      </w:r>
      <w:r w:rsidR="00ED4755" w:rsidRPr="00A37745">
        <w:rPr>
          <w:color w:val="000000"/>
        </w:rPr>
        <w:t xml:space="preserve">urrent recommendations have not been sufficient for identifying all the people living with hepatitis C. </w:t>
      </w:r>
      <w:r w:rsidR="009F5EAB" w:rsidRPr="00A37745">
        <w:t xml:space="preserve">Nearly half with chronic hepatitis C are unaware they are currently infected. </w:t>
      </w:r>
      <w:r w:rsidR="00ED4755" w:rsidRPr="00A37745">
        <w:rPr>
          <w:color w:val="000000"/>
        </w:rPr>
        <w:t>As a result, CDC is considering recommending one-time hepatitis C antibody testing for all adults includ</w:t>
      </w:r>
      <w:r w:rsidR="009F5EAB" w:rsidRPr="00A37745">
        <w:rPr>
          <w:color w:val="000000"/>
        </w:rPr>
        <w:t xml:space="preserve">ing those with no risk factors and </w:t>
      </w:r>
      <w:r>
        <w:rPr>
          <w:color w:val="000000"/>
        </w:rPr>
        <w:t xml:space="preserve">for </w:t>
      </w:r>
      <w:r w:rsidR="009F5EAB" w:rsidRPr="00A37745">
        <w:rPr>
          <w:color w:val="000000"/>
        </w:rPr>
        <w:t>pregnant women</w:t>
      </w:r>
      <w:r w:rsidR="00A37745" w:rsidRPr="00A37745">
        <w:rPr>
          <w:color w:val="000000"/>
        </w:rPr>
        <w:t xml:space="preserve"> during each pregnancy</w:t>
      </w:r>
      <w:r w:rsidR="009F5EAB" w:rsidRPr="00A37745">
        <w:rPr>
          <w:color w:val="000000"/>
        </w:rPr>
        <w:t>.</w:t>
      </w:r>
    </w:p>
    <w:p w14:paraId="12B71734" w14:textId="524E0F82" w:rsidR="00B238B2" w:rsidRDefault="00B238B2" w:rsidP="0085017F">
      <w:pPr>
        <w:pStyle w:val="NormalWeb"/>
        <w:shd w:val="clear" w:color="auto" w:fill="FFFFFF"/>
        <w:spacing w:before="0" w:beforeAutospacing="0" w:after="0" w:afterAutospacing="0"/>
        <w:rPr>
          <w:color w:val="000000"/>
        </w:rPr>
      </w:pPr>
    </w:p>
    <w:p w14:paraId="6DC11F11" w14:textId="7C18DD4F" w:rsidR="00D0502B" w:rsidRDefault="00B238B2" w:rsidP="007C4CBD">
      <w:pPr>
        <w:pStyle w:val="NormalWeb"/>
        <w:shd w:val="clear" w:color="auto" w:fill="FFFFFF"/>
        <w:spacing w:before="0" w:beforeAutospacing="0" w:after="0" w:afterAutospacing="0"/>
      </w:pPr>
      <w:r w:rsidRPr="007B0C84">
        <w:t xml:space="preserve">If CDC’s universal recommendation is </w:t>
      </w:r>
      <w:r w:rsidRPr="00553F39">
        <w:t>implemented</w:t>
      </w:r>
      <w:r>
        <w:t xml:space="preserve"> by physicians, </w:t>
      </w:r>
      <w:r w:rsidR="00553F39">
        <w:t xml:space="preserve">more </w:t>
      </w:r>
      <w:r>
        <w:t xml:space="preserve">chronic hepatitis </w:t>
      </w:r>
      <w:r w:rsidR="00553F39">
        <w:t xml:space="preserve">C </w:t>
      </w:r>
      <w:r>
        <w:t>can be identified and</w:t>
      </w:r>
      <w:r w:rsidRPr="007B0C84">
        <w:t xml:space="preserve"> </w:t>
      </w:r>
      <w:r w:rsidR="00137E91">
        <w:t>the morbidity and mortality associated with hepatitis C can be reduced once those identified get curative treatment</w:t>
      </w:r>
      <w:r w:rsidRPr="007B0C84">
        <w:t>.</w:t>
      </w:r>
      <w:r>
        <w:t xml:space="preserve"> </w:t>
      </w:r>
      <w:r w:rsidR="00553F39">
        <w:t>Physicians</w:t>
      </w:r>
      <w:r w:rsidR="00137E91">
        <w:t>,</w:t>
      </w:r>
      <w:r w:rsidR="00553F39">
        <w:t xml:space="preserve"> and their decision whether or not to implement these recommendations</w:t>
      </w:r>
      <w:r w:rsidR="00137E91">
        <w:t>,</w:t>
      </w:r>
      <w:r w:rsidR="00553F39">
        <w:t xml:space="preserve"> </w:t>
      </w:r>
      <w:r w:rsidR="00137E91">
        <w:t>are</w:t>
      </w:r>
      <w:r w:rsidR="00713C0C">
        <w:t xml:space="preserve"> the</w:t>
      </w:r>
      <w:r w:rsidR="00553F39">
        <w:t xml:space="preserve"> critical element</w:t>
      </w:r>
      <w:r w:rsidR="00713C0C">
        <w:t xml:space="preserve"> in getting people who are chronically infected tested so they can get treatment and get cured. </w:t>
      </w:r>
    </w:p>
    <w:p w14:paraId="3AFD34D6" w14:textId="77777777" w:rsidR="003E5B68" w:rsidRDefault="003E5B68" w:rsidP="00AE35D9">
      <w:pPr>
        <w:widowControl w:val="0"/>
        <w:mirrorIndents/>
      </w:pPr>
    </w:p>
    <w:p w14:paraId="671F2A8C" w14:textId="55C8A6BE" w:rsidR="003E5B68" w:rsidRDefault="00CC6AB1" w:rsidP="008A16FB">
      <w:pPr>
        <w:pStyle w:val="Heading1"/>
        <w:spacing w:before="120" w:after="120"/>
        <w:mirrorIndents/>
      </w:pPr>
      <w:r w:rsidRPr="00B12EA3">
        <w:t>Purpose and Use of the Information Collection</w:t>
      </w:r>
      <w:bookmarkEnd w:id="2"/>
    </w:p>
    <w:p w14:paraId="126D2488" w14:textId="666835E6" w:rsidR="003E5B68" w:rsidRPr="003E5B68" w:rsidRDefault="003E5B68" w:rsidP="003E5B68">
      <w:pPr>
        <w:pStyle w:val="Normal1"/>
        <w:spacing w:before="120" w:after="120"/>
      </w:pPr>
      <w:r w:rsidRPr="003E5B68">
        <w:t xml:space="preserve">CDC </w:t>
      </w:r>
      <w:r w:rsidR="003A1889">
        <w:t>wishe</w:t>
      </w:r>
      <w:r w:rsidR="0085383F">
        <w:t>s</w:t>
      </w:r>
      <w:r w:rsidR="003A1889">
        <w:t xml:space="preserve"> to </w:t>
      </w:r>
      <w:r w:rsidRPr="003E5B68">
        <w:t xml:space="preserve">conduct </w:t>
      </w:r>
      <w:r w:rsidR="003A1889">
        <w:t xml:space="preserve">this </w:t>
      </w:r>
      <w:r w:rsidRPr="003E5B68">
        <w:t>formative research in order to understand physicians’ attitudes, beliefs and behaviors around hepatitis C testing and get their reaction to a proposed universal testing recommendation</w:t>
      </w:r>
      <w:r w:rsidR="000345A1" w:rsidRPr="003E5B68">
        <w:t xml:space="preserve">. </w:t>
      </w:r>
      <w:r w:rsidR="000345A1">
        <w:t>T</w:t>
      </w:r>
      <w:r w:rsidR="000345A1" w:rsidRPr="000345A1">
        <w:t xml:space="preserve">his work falls within the scoop of what is outline for NCHHSTP’s 4 priority diseases, which includes hepatitis C.  The </w:t>
      </w:r>
      <w:r w:rsidR="000345A1">
        <w:t>methodology</w:t>
      </w:r>
      <w:r w:rsidR="000345A1" w:rsidRPr="000345A1">
        <w:t xml:space="preserve"> of information collection </w:t>
      </w:r>
      <w:r w:rsidR="000345A1">
        <w:t>is</w:t>
      </w:r>
      <w:r w:rsidR="000345A1" w:rsidRPr="000345A1">
        <w:t xml:space="preserve"> approved under the generic package </w:t>
      </w:r>
      <w:r w:rsidR="000345A1">
        <w:t xml:space="preserve">and </w:t>
      </w:r>
      <w:r w:rsidR="000345A1" w:rsidRPr="000345A1">
        <w:t xml:space="preserve">will </w:t>
      </w:r>
      <w:r w:rsidR="000345A1">
        <w:t>use</w:t>
      </w:r>
      <w:r w:rsidR="000345A1" w:rsidRPr="000345A1">
        <w:t xml:space="preserve"> qualitative interviewing using volunteer respondents for exploratory and formative research to develop intervention methods and materials.  Interviews will </w:t>
      </w:r>
      <w:r w:rsidR="000345A1">
        <w:t>consist of</w:t>
      </w:r>
      <w:r w:rsidR="000345A1" w:rsidRPr="000345A1">
        <w:t xml:space="preserve"> groups conducted virtually via the internet (i.e. internet focus groups). Results of qualitative interviews will be used to develop population-appropriate methods, interventions, messages, products, and campaigns.  </w:t>
      </w:r>
    </w:p>
    <w:p w14:paraId="001F3194" w14:textId="336F3EA8" w:rsidR="003E5B68" w:rsidRPr="00A056A5" w:rsidRDefault="003E5B68" w:rsidP="003E5B68">
      <w:pPr>
        <w:pStyle w:val="Normal1"/>
        <w:spacing w:before="120" w:after="120"/>
      </w:pPr>
      <w:r w:rsidRPr="003E5B68">
        <w:t xml:space="preserve">Thus, DVH requests OMB approval to explore reactions to the universal recommendation, as well as barriers and motivators to physician hepatitis C testing. </w:t>
      </w:r>
      <w:r w:rsidR="00A056A5">
        <w:t>DVH</w:t>
      </w:r>
      <w:r w:rsidR="00A056A5" w:rsidRPr="003E5B68">
        <w:t xml:space="preserve"> </w:t>
      </w:r>
      <w:r w:rsidR="00A056A5">
        <w:t xml:space="preserve">will use </w:t>
      </w:r>
      <w:r w:rsidR="00A056A5" w:rsidRPr="003E5B68">
        <w:t xml:space="preserve">these insights </w:t>
      </w:r>
      <w:r w:rsidR="00A056A5">
        <w:t>to inform education,</w:t>
      </w:r>
      <w:r w:rsidR="00A056A5" w:rsidRPr="003E5B68">
        <w:t xml:space="preserve"> outreach, </w:t>
      </w:r>
      <w:r w:rsidR="00A056A5">
        <w:t>and other strategies as appropriate</w:t>
      </w:r>
      <w:r w:rsidR="00A056A5" w:rsidRPr="003E5B68">
        <w:t xml:space="preserve">. </w:t>
      </w:r>
      <w:r w:rsidRPr="003E5B68">
        <w:t xml:space="preserve">CDC is sponsoring this </w:t>
      </w:r>
      <w:r w:rsidR="00137E91">
        <w:t xml:space="preserve">effort </w:t>
      </w:r>
      <w:r w:rsidRPr="003E5B68">
        <w:t>to ensure high quality, actionable information is available for health care providers.</w:t>
      </w:r>
      <w:r w:rsidRPr="003E5B68">
        <w:rPr>
          <w:b/>
        </w:rPr>
        <w:t xml:space="preserve"> </w:t>
      </w:r>
    </w:p>
    <w:p w14:paraId="0F7F8905" w14:textId="06CC8C50" w:rsidR="00AE35D9" w:rsidRDefault="00C2533B" w:rsidP="00AE35D9">
      <w:pPr>
        <w:spacing w:before="120" w:after="120"/>
        <w:mirrorIndents/>
      </w:pPr>
      <w:r>
        <w:t xml:space="preserve">Interview data will be gathered from a total of </w:t>
      </w:r>
      <w:r w:rsidR="001658D3" w:rsidRPr="00137E91">
        <w:t>128</w:t>
      </w:r>
      <w:r w:rsidRPr="00137E91">
        <w:t xml:space="preserve"> practicing physicians across </w:t>
      </w:r>
      <w:r w:rsidR="001658D3" w:rsidRPr="00137E91">
        <w:t>16</w:t>
      </w:r>
      <w:r w:rsidRPr="00137E91">
        <w:t xml:space="preserve"> virtual (online) focus group</w:t>
      </w:r>
      <w:r w:rsidR="004E5482" w:rsidRPr="00137E91">
        <w:t>s comprised of 8</w:t>
      </w:r>
      <w:r w:rsidRPr="00137E91">
        <w:t xml:space="preserve"> physicians per</w:t>
      </w:r>
      <w:r>
        <w:t xml:space="preserve"> group. Half of the groups will be comprised of primary care physicians, and half will be comprised of OBGYNs. Physicians</w:t>
      </w:r>
      <w:r w:rsidRPr="001319BD">
        <w:t xml:space="preserve"> will be recruite</w:t>
      </w:r>
      <w:r>
        <w:t>d for virtual focus groups from across the United States and the District of Columbia</w:t>
      </w:r>
      <w:r w:rsidRPr="001319BD">
        <w:t>.</w:t>
      </w:r>
      <w:r>
        <w:t xml:space="preserve"> Contractor team members and associated vendors involved with this study will </w:t>
      </w:r>
      <w:r w:rsidR="00AE35D9" w:rsidRPr="004334AB">
        <w:t>screen</w:t>
      </w:r>
      <w:r w:rsidR="00AE35D9">
        <w:t xml:space="preserve"> potential participants</w:t>
      </w:r>
      <w:r w:rsidR="00AE35D9" w:rsidRPr="004334AB">
        <w:t xml:space="preserve"> for </w:t>
      </w:r>
      <w:r w:rsidR="00AE35D9">
        <w:t xml:space="preserve">study </w:t>
      </w:r>
      <w:r w:rsidR="00AE35D9" w:rsidRPr="004334AB">
        <w:t>eligibility</w:t>
      </w:r>
      <w:r w:rsidR="00AE35D9">
        <w:t xml:space="preserve"> with </w:t>
      </w:r>
      <w:r w:rsidR="00AE35D9" w:rsidRPr="00B64D28">
        <w:t xml:space="preserve">the </w:t>
      </w:r>
      <w:r w:rsidR="00AE35D9">
        <w:t xml:space="preserve">physician </w:t>
      </w:r>
      <w:r w:rsidR="00AE35D9" w:rsidRPr="00B64D28">
        <w:t>screening</w:t>
      </w:r>
      <w:r w:rsidR="00AE35D9">
        <w:t xml:space="preserve"> tool (</w:t>
      </w:r>
      <w:r w:rsidR="00AE35D9" w:rsidRPr="006B04E5">
        <w:rPr>
          <w:b/>
        </w:rPr>
        <w:t xml:space="preserve">Attachment </w:t>
      </w:r>
      <w:r w:rsidR="004B4F62" w:rsidRPr="006B04E5">
        <w:rPr>
          <w:b/>
        </w:rPr>
        <w:t>3</w:t>
      </w:r>
      <w:r w:rsidR="00AE35D9">
        <w:rPr>
          <w:b/>
        </w:rPr>
        <w:t>)</w:t>
      </w:r>
      <w:r w:rsidR="00AE35D9" w:rsidRPr="00B64D28">
        <w:t>.</w:t>
      </w:r>
      <w:r w:rsidR="00AE35D9">
        <w:rPr>
          <w:b/>
        </w:rPr>
        <w:t xml:space="preserve"> </w:t>
      </w:r>
      <w:r w:rsidR="00AE35D9">
        <w:t>Eligible physicians</w:t>
      </w:r>
      <w:r w:rsidR="00AE35D9" w:rsidRPr="009A4982">
        <w:t xml:space="preserve"> who choose to </w:t>
      </w:r>
      <w:r w:rsidR="00AE35D9">
        <w:t xml:space="preserve">participate </w:t>
      </w:r>
      <w:r w:rsidR="00AE35D9" w:rsidRPr="009A4982">
        <w:t>will be sch</w:t>
      </w:r>
      <w:r w:rsidR="00AE35D9">
        <w:t xml:space="preserve">eduled </w:t>
      </w:r>
      <w:r w:rsidR="00706CB0">
        <w:t>for</w:t>
      </w:r>
      <w:r w:rsidR="003A1889">
        <w:t xml:space="preserve"> </w:t>
      </w:r>
      <w:r w:rsidR="00AE35D9">
        <w:t xml:space="preserve">a group </w:t>
      </w:r>
      <w:r w:rsidR="00AE35D9" w:rsidRPr="009A4982">
        <w:t xml:space="preserve">at a time that is convenient to them. </w:t>
      </w:r>
    </w:p>
    <w:p w14:paraId="0E911566" w14:textId="4061EE74" w:rsidR="008A6ECE" w:rsidRDefault="00AE35D9" w:rsidP="00AE35D9">
      <w:pPr>
        <w:spacing w:before="120" w:after="120"/>
        <w:mirrorIndents/>
        <w:rPr>
          <w:color w:val="000000" w:themeColor="text1"/>
        </w:rPr>
      </w:pPr>
      <w:r w:rsidRPr="004B4F62">
        <w:t xml:space="preserve">Participants will be asked to complete an informed consent form </w:t>
      </w:r>
      <w:r w:rsidRPr="004B4F62">
        <w:rPr>
          <w:b/>
        </w:rPr>
        <w:t>(</w:t>
      </w:r>
      <w:r w:rsidRPr="006B04E5">
        <w:rPr>
          <w:b/>
        </w:rPr>
        <w:t xml:space="preserve">Attachment </w:t>
      </w:r>
      <w:r w:rsidR="004B4F62" w:rsidRPr="006B04E5">
        <w:rPr>
          <w:b/>
        </w:rPr>
        <w:t>4</w:t>
      </w:r>
      <w:r w:rsidR="00BB055C" w:rsidRPr="004B4F62">
        <w:t>).</w:t>
      </w:r>
      <w:r w:rsidR="008A6ECE" w:rsidRPr="004B4F62">
        <w:rPr>
          <w:color w:val="000000" w:themeColor="text1"/>
        </w:rPr>
        <w:t xml:space="preserve"> </w:t>
      </w:r>
    </w:p>
    <w:p w14:paraId="6D8385B9" w14:textId="5B81CBF5" w:rsidR="00C2533B" w:rsidRPr="008A6ECE" w:rsidRDefault="00AE35D9" w:rsidP="008A6ECE">
      <w:pPr>
        <w:spacing w:before="120" w:after="120"/>
        <w:mirrorIndents/>
        <w:rPr>
          <w:color w:val="000000" w:themeColor="text1"/>
          <w:highlight w:val="yellow"/>
        </w:rPr>
      </w:pPr>
      <w:r w:rsidRPr="001319BD">
        <w:t>We will use</w:t>
      </w:r>
      <w:r>
        <w:t xml:space="preserve"> a</w:t>
      </w:r>
      <w:r w:rsidRPr="001319BD">
        <w:t xml:space="preserve"> </w:t>
      </w:r>
      <w:r>
        <w:t xml:space="preserve">semi-structured </w:t>
      </w:r>
      <w:r w:rsidRPr="001319BD">
        <w:t xml:space="preserve">qualitative </w:t>
      </w:r>
      <w:r>
        <w:t>interview guide</w:t>
      </w:r>
      <w:r w:rsidRPr="001319BD">
        <w:t xml:space="preserve"> to collect information </w:t>
      </w:r>
      <w:r w:rsidRPr="009A4982">
        <w:t>(</w:t>
      </w:r>
      <w:r w:rsidRPr="006B04E5">
        <w:rPr>
          <w:b/>
        </w:rPr>
        <w:t xml:space="preserve">Attachment </w:t>
      </w:r>
      <w:r w:rsidR="008D4A37" w:rsidRPr="006B04E5">
        <w:rPr>
          <w:b/>
        </w:rPr>
        <w:t>7</w:t>
      </w:r>
      <w:r w:rsidRPr="00E70C71">
        <w:rPr>
          <w:b/>
        </w:rPr>
        <w:t>)</w:t>
      </w:r>
      <w:r w:rsidRPr="009A4982">
        <w:t xml:space="preserve">. </w:t>
      </w:r>
      <w:r w:rsidR="00C2533B">
        <w:t xml:space="preserve">This research will </w:t>
      </w:r>
      <w:r w:rsidR="00C2533B" w:rsidRPr="009B0438">
        <w:t xml:space="preserve">explore knowledge and attitudes </w:t>
      </w:r>
      <w:r w:rsidR="00C2533B">
        <w:t xml:space="preserve">among physicians </w:t>
      </w:r>
      <w:r w:rsidR="00C2533B" w:rsidRPr="009B0438">
        <w:t xml:space="preserve">about hepatitis C </w:t>
      </w:r>
      <w:r w:rsidR="00C2533B">
        <w:t>screening practices,</w:t>
      </w:r>
      <w:r w:rsidR="00C2533B" w:rsidRPr="009B0438">
        <w:t xml:space="preserve"> implementation of CDC’s </w:t>
      </w:r>
      <w:r w:rsidR="00C2533B">
        <w:t xml:space="preserve">current </w:t>
      </w:r>
      <w:r w:rsidR="00C2533B" w:rsidRPr="009B0438">
        <w:t>hepatitis C testing recommendations</w:t>
      </w:r>
      <w:r w:rsidR="00C2533B">
        <w:t>, as well and reactions to the new universal hepatitis C screening recommendation from CDC</w:t>
      </w:r>
      <w:r w:rsidR="00C2533B" w:rsidRPr="009B0438">
        <w:t xml:space="preserve">.  </w:t>
      </w:r>
    </w:p>
    <w:p w14:paraId="5FFB6A4A" w14:textId="7F545240" w:rsidR="00C2533B" w:rsidRDefault="00C2533B" w:rsidP="00C2533B">
      <w:pPr>
        <w:spacing w:before="120" w:after="120"/>
        <w:mirrorIndents/>
      </w:pPr>
      <w:r w:rsidRPr="0082377F">
        <w:t xml:space="preserve">The qualitative data collected will be used to </w:t>
      </w:r>
      <w:r>
        <w:t xml:space="preserve">prepare a </w:t>
      </w:r>
      <w:r w:rsidRPr="0082377F">
        <w:t>report</w:t>
      </w:r>
      <w:r>
        <w:t xml:space="preserve"> that summarizes</w:t>
      </w:r>
      <w:r w:rsidRPr="0082377F">
        <w:t xml:space="preserve"> </w:t>
      </w:r>
      <w:r>
        <w:t xml:space="preserve">current physician mind states and influences with regard to hepatitis testing, to the current and new universal screening recommendation, </w:t>
      </w:r>
      <w:r w:rsidR="00706CB0">
        <w:t xml:space="preserve">and </w:t>
      </w:r>
      <w:r>
        <w:t xml:space="preserve">barriers and motivators to screening all U.S. adults. </w:t>
      </w:r>
    </w:p>
    <w:p w14:paraId="72F5C55C" w14:textId="038F704C" w:rsidR="00AE35D9" w:rsidRDefault="006E715C" w:rsidP="00F95454">
      <w:pPr>
        <w:spacing w:before="120" w:after="120"/>
        <w:mirrorIndents/>
      </w:pPr>
      <w:r>
        <w:t xml:space="preserve">The purpose is practical and necessary. </w:t>
      </w:r>
      <w:r w:rsidR="00706CB0">
        <w:t>The f</w:t>
      </w:r>
      <w:r w:rsidR="00AE35D9">
        <w:t>indings</w:t>
      </w:r>
      <w:r w:rsidR="00AE35D9" w:rsidRPr="004B315D">
        <w:t xml:space="preserve"> will be communicated to relevant </w:t>
      </w:r>
      <w:r w:rsidR="00AE35D9">
        <w:t>CDC leadership to</w:t>
      </w:r>
      <w:r w:rsidR="00AE35D9" w:rsidRPr="004B315D">
        <w:t xml:space="preserve"> use to strengthen </w:t>
      </w:r>
      <w:r w:rsidR="00AE35D9">
        <w:t xml:space="preserve">its </w:t>
      </w:r>
      <w:r>
        <w:t xml:space="preserve">hepatitis C </w:t>
      </w:r>
      <w:r w:rsidR="00AE35D9">
        <w:t xml:space="preserve">education, </w:t>
      </w:r>
      <w:r w:rsidR="004B4F62">
        <w:t>outreach, and other strategies as appropriate</w:t>
      </w:r>
      <w:r w:rsidR="00AE35D9" w:rsidRPr="004B315D">
        <w:t>.</w:t>
      </w:r>
      <w:r w:rsidR="00AE35D9">
        <w:t xml:space="preserve"> </w:t>
      </w:r>
      <w:r>
        <w:t xml:space="preserve">Specifically, the </w:t>
      </w:r>
      <w:r w:rsidR="00AE35D9">
        <w:t>information</w:t>
      </w:r>
      <w:r w:rsidR="00A170D4" w:rsidRPr="009B0438">
        <w:t xml:space="preserve"> will be used </w:t>
      </w:r>
      <w:r w:rsidR="00D0502B">
        <w:t xml:space="preserve">by CDC to </w:t>
      </w:r>
      <w:r w:rsidR="00A170D4" w:rsidRPr="009B0438">
        <w:t>inform</w:t>
      </w:r>
      <w:r w:rsidR="00A170D4" w:rsidRPr="009B0438" w:rsidDel="00C63ED7">
        <w:t xml:space="preserve"> </w:t>
      </w:r>
      <w:r w:rsidR="00D0502B">
        <w:t xml:space="preserve">its </w:t>
      </w:r>
      <w:r w:rsidR="00A170D4">
        <w:t xml:space="preserve">communication and education efforts with health care providers in support of the </w:t>
      </w:r>
      <w:r w:rsidR="00A170D4" w:rsidRPr="006E715C">
        <w:rPr>
          <w:b/>
          <w:i/>
        </w:rPr>
        <w:t>Know More Hepatitis (KMH</w:t>
      </w:r>
      <w:r w:rsidR="00A170D4" w:rsidRPr="006E715C">
        <w:rPr>
          <w:b/>
        </w:rPr>
        <w:t>) educational</w:t>
      </w:r>
      <w:r w:rsidR="00A170D4" w:rsidRPr="006E715C">
        <w:rPr>
          <w:b/>
          <w:i/>
        </w:rPr>
        <w:t xml:space="preserve"> </w:t>
      </w:r>
      <w:r w:rsidR="00A170D4" w:rsidRPr="006E715C">
        <w:rPr>
          <w:b/>
        </w:rPr>
        <w:t>campaign</w:t>
      </w:r>
      <w:r w:rsidR="00A170D4" w:rsidRPr="009B0438">
        <w:t xml:space="preserve">. The KMH campaign </w:t>
      </w:r>
      <w:r w:rsidR="00A170D4">
        <w:t xml:space="preserve">is designed to support CDC hepatitis C testing recommendations </w:t>
      </w:r>
      <w:r w:rsidR="007B0C84">
        <w:t>among</w:t>
      </w:r>
      <w:r w:rsidR="00A170D4">
        <w:t xml:space="preserve"> </w:t>
      </w:r>
      <w:r w:rsidR="007B0C84">
        <w:t>primary care physicians (PCPs) and obstetrician-gynecologists (OBGYNs) whose direct responsibility is patient care among the primary consumer audience.</w:t>
      </w:r>
    </w:p>
    <w:p w14:paraId="18B1FD20" w14:textId="439DB767" w:rsidR="006E715C" w:rsidRDefault="00975630" w:rsidP="00F95454">
      <w:pPr>
        <w:spacing w:before="120" w:after="120"/>
        <w:mirrorIndents/>
        <w:rPr>
          <w:bCs/>
          <w:shd w:val="clear" w:color="auto" w:fill="FFFFFF"/>
        </w:rPr>
      </w:pPr>
      <w:r w:rsidRPr="009B0438">
        <w:t xml:space="preserve">Information gained from the focus groups will be </w:t>
      </w:r>
      <w:r w:rsidR="00EA7B3B">
        <w:t xml:space="preserve">shared with CDC by the contractor team </w:t>
      </w:r>
      <w:r w:rsidRPr="009B0438">
        <w:t>in aggregate note format and will not contain any names or other perso</w:t>
      </w:r>
      <w:r w:rsidR="00FC2B3C">
        <w:t>nally identifiable information.</w:t>
      </w:r>
      <w:r w:rsidRPr="009B0438">
        <w:t xml:space="preserve"> </w:t>
      </w:r>
      <w:r w:rsidRPr="006B04E5">
        <w:rPr>
          <w:bCs/>
          <w:shd w:val="clear" w:color="auto" w:fill="FFFFFF"/>
        </w:rPr>
        <w:t xml:space="preserve">See response to </w:t>
      </w:r>
      <w:r w:rsidRPr="006B04E5">
        <w:rPr>
          <w:b/>
          <w:bCs/>
          <w:shd w:val="clear" w:color="auto" w:fill="FFFFFF"/>
        </w:rPr>
        <w:t>Question 10</w:t>
      </w:r>
      <w:r w:rsidRPr="006B04E5">
        <w:rPr>
          <w:bCs/>
          <w:shd w:val="clear" w:color="auto" w:fill="FFFFFF"/>
        </w:rPr>
        <w:t xml:space="preserve"> for</w:t>
      </w:r>
      <w:r w:rsidRPr="004B4F62">
        <w:rPr>
          <w:bCs/>
          <w:shd w:val="clear" w:color="auto" w:fill="FFFFFF"/>
        </w:rPr>
        <w:t xml:space="preserve"> more information on confidentiality and privacy. </w:t>
      </w:r>
    </w:p>
    <w:p w14:paraId="1491C409" w14:textId="77777777" w:rsidR="00427EB5" w:rsidRDefault="00427EB5" w:rsidP="00F95454">
      <w:pPr>
        <w:spacing w:before="120" w:after="120"/>
        <w:mirrorIndents/>
      </w:pPr>
    </w:p>
    <w:p w14:paraId="2AEDBE62" w14:textId="37DC003D" w:rsidR="006B7366" w:rsidRDefault="00CC6AB1" w:rsidP="00F95454">
      <w:pPr>
        <w:pStyle w:val="Heading1"/>
        <w:spacing w:before="120" w:after="120"/>
        <w:mirrorIndents/>
      </w:pPr>
      <w:bookmarkStart w:id="3" w:name="_Toc448296074"/>
      <w:r w:rsidRPr="00B12EA3">
        <w:t>Use of Improved Information Technology and Burden Reduction</w:t>
      </w:r>
      <w:bookmarkEnd w:id="3"/>
    </w:p>
    <w:p w14:paraId="4F43F596" w14:textId="01ACB2BC" w:rsidR="00944AB9" w:rsidRDefault="00AF69F7" w:rsidP="00944AB9">
      <w:pPr>
        <w:spacing w:before="120" w:after="120"/>
        <w:mirrorIndents/>
      </w:pPr>
      <w:r w:rsidRPr="00F42159">
        <w:t xml:space="preserve">The contracting team </w:t>
      </w:r>
      <w:r>
        <w:t xml:space="preserve">will </w:t>
      </w:r>
      <w:r w:rsidRPr="006B04E5">
        <w:t>screen potential physician participants by telephone</w:t>
      </w:r>
      <w:r w:rsidR="00EA7B3B" w:rsidRPr="006B04E5">
        <w:t xml:space="preserve"> using a</w:t>
      </w:r>
      <w:r w:rsidRPr="006B04E5">
        <w:t xml:space="preserve"> screening tool </w:t>
      </w:r>
      <w:r w:rsidRPr="006B04E5">
        <w:rPr>
          <w:b/>
        </w:rPr>
        <w:t xml:space="preserve">(Attachment </w:t>
      </w:r>
      <w:r w:rsidR="004B4F62" w:rsidRPr="006B04E5">
        <w:rPr>
          <w:b/>
        </w:rPr>
        <w:t>3</w:t>
      </w:r>
      <w:r w:rsidRPr="006B04E5">
        <w:rPr>
          <w:b/>
        </w:rPr>
        <w:t>)</w:t>
      </w:r>
      <w:r w:rsidRPr="006B04E5">
        <w:t xml:space="preserve">. </w:t>
      </w:r>
      <w:r w:rsidR="00EA7B3B" w:rsidRPr="006B04E5">
        <w:t>Qualifying p</w:t>
      </w:r>
      <w:r w:rsidR="00944AB9" w:rsidRPr="006B04E5">
        <w:t xml:space="preserve">hysicians will all be asked to provide a signed consent form prior to participating in </w:t>
      </w:r>
      <w:r w:rsidR="004B4F62" w:rsidRPr="006B04E5">
        <w:t xml:space="preserve">and for </w:t>
      </w:r>
      <w:r w:rsidR="00EA7B3B" w:rsidRPr="006B04E5">
        <w:t>recording</w:t>
      </w:r>
      <w:r w:rsidR="00944AB9" w:rsidRPr="006B04E5">
        <w:t xml:space="preserve"> focus group</w:t>
      </w:r>
      <w:r w:rsidR="00EA7B3B" w:rsidRPr="006B04E5">
        <w:t>s</w:t>
      </w:r>
      <w:r w:rsidR="00944AB9" w:rsidRPr="006B04E5">
        <w:t xml:space="preserve"> (</w:t>
      </w:r>
      <w:r w:rsidR="00944AB9" w:rsidRPr="006B04E5">
        <w:rPr>
          <w:b/>
        </w:rPr>
        <w:t xml:space="preserve">Attachment </w:t>
      </w:r>
      <w:r w:rsidR="004B4F62" w:rsidRPr="006B04E5">
        <w:rPr>
          <w:b/>
        </w:rPr>
        <w:t>4</w:t>
      </w:r>
      <w:r w:rsidR="00944AB9" w:rsidRPr="006B04E5">
        <w:t>).</w:t>
      </w:r>
      <w:r w:rsidR="00944AB9">
        <w:t xml:space="preserve"> </w:t>
      </w:r>
    </w:p>
    <w:p w14:paraId="0DD1599B" w14:textId="0215D154" w:rsidR="00975630" w:rsidRDefault="00944AB9" w:rsidP="00F95454">
      <w:pPr>
        <w:spacing w:before="120" w:after="120"/>
        <w:mirrorIndents/>
      </w:pPr>
      <w:r w:rsidRPr="00C5458E">
        <w:t>After asking for and re</w:t>
      </w:r>
      <w:r>
        <w:t>ceivin</w:t>
      </w:r>
      <w:r w:rsidR="004B4F62">
        <w:t xml:space="preserve">g signed consent forms from </w:t>
      </w:r>
      <w:r>
        <w:t>participant</w:t>
      </w:r>
      <w:r w:rsidR="004B4F62">
        <w:t>s</w:t>
      </w:r>
      <w:r w:rsidRPr="00C5458E">
        <w:t>,</w:t>
      </w:r>
      <w:r>
        <w:t xml:space="preserve"> </w:t>
      </w:r>
      <w:r w:rsidR="00AF69F7">
        <w:t xml:space="preserve">staff from the contracting team will conduct the groups virtually using a web-based platform with webcams and voice for phone to allow qualifying physicians to </w:t>
      </w:r>
      <w:r w:rsidR="00975630">
        <w:t xml:space="preserve">gather </w:t>
      </w:r>
      <w:r w:rsidR="00AF69F7">
        <w:t xml:space="preserve">virtually from the convenience of their office or home across the fifty states and </w:t>
      </w:r>
      <w:r w:rsidR="004B4F62">
        <w:t xml:space="preserve">Washington, </w:t>
      </w:r>
      <w:r w:rsidR="00AF69F7">
        <w:t>D</w:t>
      </w:r>
      <w:r w:rsidR="004B4F62">
        <w:t>.</w:t>
      </w:r>
      <w:r w:rsidR="00AF69F7">
        <w:t>C</w:t>
      </w:r>
      <w:r w:rsidR="004B4F62">
        <w:t>.</w:t>
      </w:r>
      <w:r w:rsidR="00AF69F7">
        <w:t>,</w:t>
      </w:r>
      <w:r w:rsidR="00AF69F7" w:rsidRPr="00AF69F7">
        <w:t xml:space="preserve"> </w:t>
      </w:r>
      <w:r w:rsidR="00AF69F7">
        <w:t xml:space="preserve">without traveling to a physical location. Furthermore, they </w:t>
      </w:r>
      <w:r w:rsidR="00AF69F7" w:rsidRPr="00F42159">
        <w:t xml:space="preserve">will conduct </w:t>
      </w:r>
      <w:r w:rsidR="00AF69F7">
        <w:t>the focus groups</w:t>
      </w:r>
      <w:r w:rsidR="00AF69F7" w:rsidRPr="00F42159">
        <w:t xml:space="preserve"> at a time that is convenient to participants. </w:t>
      </w:r>
      <w:r w:rsidR="00AF69F7">
        <w:t xml:space="preserve">These technologies </w:t>
      </w:r>
      <w:r w:rsidR="001829BA">
        <w:t xml:space="preserve">reduce the burden of time and travel.  </w:t>
      </w:r>
    </w:p>
    <w:p w14:paraId="0B02B529" w14:textId="5F7649DA" w:rsidR="00975630" w:rsidRPr="000211D0" w:rsidRDefault="004B4F62" w:rsidP="001829BA">
      <w:pPr>
        <w:spacing w:after="120"/>
      </w:pPr>
      <w:r w:rsidRPr="000211D0">
        <w:t>Virtual groups work well for the physician audience.</w:t>
      </w:r>
      <w:r>
        <w:t xml:space="preserve"> </w:t>
      </w:r>
      <w:r w:rsidR="001829BA">
        <w:t>The platform</w:t>
      </w:r>
      <w:r w:rsidR="00975630" w:rsidRPr="000211D0">
        <w:t xml:space="preserve"> is web-based, meaning that it does not download anything to a person’s personal computer (participants and viewers need only have an internet connection and the latest version of Adobe on their computers).</w:t>
      </w:r>
      <w:r w:rsidR="001829BA">
        <w:t xml:space="preserve"> </w:t>
      </w:r>
      <w:r w:rsidR="00975630" w:rsidRPr="000211D0">
        <w:t xml:space="preserve">Civicom allows for virtual focus groups with webcams to be conducted seamlessly, drawing upon all of the benefits of in-person focus groups without the limitation of geography. Respondents see and hear each other and interact in real-time. </w:t>
      </w:r>
    </w:p>
    <w:p w14:paraId="01EC8A3D" w14:textId="1E414CE7" w:rsidR="00975630" w:rsidRPr="000211D0" w:rsidRDefault="00975630" w:rsidP="001829BA">
      <w:pPr>
        <w:spacing w:after="120"/>
      </w:pPr>
      <w:r w:rsidRPr="000211D0">
        <w:t xml:space="preserve">To mitigate </w:t>
      </w:r>
      <w:r w:rsidR="001829BA">
        <w:t>any technological complications</w:t>
      </w:r>
      <w:r w:rsidRPr="000211D0">
        <w:t xml:space="preserve">, </w:t>
      </w:r>
      <w:r w:rsidR="00944AB9">
        <w:t>the contracting team has</w:t>
      </w:r>
      <w:r w:rsidRPr="000211D0">
        <w:t xml:space="preserve"> a technician </w:t>
      </w:r>
      <w:r w:rsidR="004B4F62">
        <w:t xml:space="preserve">virtually </w:t>
      </w:r>
      <w:r w:rsidRPr="000211D0">
        <w:t>present at e</w:t>
      </w:r>
      <w:r w:rsidR="004B4F62">
        <w:t>ach of the focus groups to help</w:t>
      </w:r>
      <w:r w:rsidRPr="000211D0">
        <w:t xml:space="preserve"> </w:t>
      </w:r>
      <w:r w:rsidR="004B4F62">
        <w:t>as needed with any technology (phone</w:t>
      </w:r>
      <w:r w:rsidRPr="000211D0">
        <w:t>, internet, and webcam</w:t>
      </w:r>
      <w:r w:rsidR="004B4F62">
        <w:t>)</w:t>
      </w:r>
      <w:r w:rsidRPr="000211D0">
        <w:t xml:space="preserve"> </w:t>
      </w:r>
      <w:r w:rsidR="004B4F62">
        <w:t>challenges</w:t>
      </w:r>
      <w:r w:rsidRPr="000211D0">
        <w:t xml:space="preserve"> for respondents, viewers, and the moderator, should they arise</w:t>
      </w:r>
      <w:r>
        <w:t xml:space="preserve">.  </w:t>
      </w:r>
    </w:p>
    <w:p w14:paraId="6A8EFB70" w14:textId="0518CEC1" w:rsidR="006775DC" w:rsidRDefault="00944AB9" w:rsidP="00F95454">
      <w:pPr>
        <w:spacing w:before="120" w:after="120"/>
        <w:mirrorIndents/>
      </w:pPr>
      <w:r>
        <w:t>T</w:t>
      </w:r>
      <w:r w:rsidR="00933271" w:rsidRPr="00C5458E">
        <w:t xml:space="preserve">he contracting team will record the </w:t>
      </w:r>
      <w:r w:rsidR="00130E5F">
        <w:t>focus group conversations</w:t>
      </w:r>
      <w:r w:rsidR="00933271" w:rsidRPr="00C5458E">
        <w:t xml:space="preserve"> and transcribe recordings after the interview. This limits the burden on the </w:t>
      </w:r>
      <w:r w:rsidR="00C03F9D">
        <w:t>participant</w:t>
      </w:r>
      <w:r w:rsidR="00933271" w:rsidRPr="00C5458E">
        <w:t xml:space="preserve"> (no additional burden after completing the interview) and allows the interviewer to focus on building a</w:t>
      </w:r>
      <w:r w:rsidR="00130E5F">
        <w:t xml:space="preserve">nd maintaining rapport with </w:t>
      </w:r>
      <w:r w:rsidR="00C03F9D">
        <w:t>participant</w:t>
      </w:r>
      <w:r w:rsidR="00130E5F">
        <w:t>s</w:t>
      </w:r>
      <w:r w:rsidR="00933271" w:rsidRPr="00C5458E">
        <w:t>.</w:t>
      </w:r>
    </w:p>
    <w:p w14:paraId="77A42E3E" w14:textId="77777777" w:rsidR="005E6F8D" w:rsidRDefault="005E6F8D" w:rsidP="004B4F62">
      <w:pPr>
        <w:spacing w:before="120"/>
        <w:mirrorIndents/>
        <w:jc w:val="both"/>
      </w:pPr>
    </w:p>
    <w:p w14:paraId="0F163E5C" w14:textId="22597E96" w:rsidR="00CC6AB1" w:rsidRDefault="00CC6AB1" w:rsidP="00F95454">
      <w:pPr>
        <w:pStyle w:val="Heading1"/>
        <w:spacing w:before="120" w:after="120"/>
        <w:mirrorIndents/>
      </w:pPr>
      <w:bookmarkStart w:id="4" w:name="_Toc448296075"/>
      <w:r w:rsidRPr="00B12EA3">
        <w:t>Efforts to Identify Duplication and Use of Similar Information</w:t>
      </w:r>
      <w:bookmarkEnd w:id="4"/>
    </w:p>
    <w:p w14:paraId="70BD8C63" w14:textId="5901944F" w:rsidR="00504656" w:rsidRDefault="00F52F33" w:rsidP="00504656">
      <w:pPr>
        <w:tabs>
          <w:tab w:val="left" w:pos="720"/>
        </w:tabs>
        <w:spacing w:before="120" w:after="120"/>
        <w:mirrorIndents/>
      </w:pPr>
      <w:r>
        <w:t xml:space="preserve">The Agency </w:t>
      </w:r>
      <w:r w:rsidRPr="00D741C0">
        <w:t xml:space="preserve">is </w:t>
      </w:r>
      <w:r w:rsidR="00D741C0" w:rsidRPr="00D741C0">
        <w:t xml:space="preserve">considering </w:t>
      </w:r>
      <w:r w:rsidRPr="00D741C0">
        <w:t>a</w:t>
      </w:r>
      <w:r>
        <w:t xml:space="preserve"> universal patient screening recommendation based on </w:t>
      </w:r>
      <w:r w:rsidR="00B57BE0">
        <w:t xml:space="preserve">expert opinion and </w:t>
      </w:r>
      <w:r>
        <w:t xml:space="preserve">scientific evidence. </w:t>
      </w:r>
    </w:p>
    <w:p w14:paraId="56A4C003" w14:textId="59B149D6" w:rsidR="00AA172C" w:rsidRDefault="00504656" w:rsidP="00504656">
      <w:pPr>
        <w:tabs>
          <w:tab w:val="left" w:pos="720"/>
        </w:tabs>
        <w:spacing w:before="120" w:after="120"/>
        <w:mirrorIndents/>
        <w:rPr>
          <w:rFonts w:eastAsia="Calibri"/>
        </w:rPr>
      </w:pPr>
      <w:r>
        <w:t>To</w:t>
      </w:r>
      <w:r w:rsidR="00F52F33">
        <w:t xml:space="preserve"> the Agency’s knowledge, there is no other available research to guide the agency in its communications related to its proposed universal patient screening recommendation. </w:t>
      </w:r>
      <w:r w:rsidR="00AA172C" w:rsidRPr="00A04495">
        <w:t xml:space="preserve">There </w:t>
      </w:r>
      <w:r w:rsidR="00AA172C">
        <w:t>is</w:t>
      </w:r>
      <w:r w:rsidR="00AA172C" w:rsidRPr="00A04495">
        <w:t xml:space="preserve"> no reason for another Federal Agency to </w:t>
      </w:r>
      <w:r w:rsidR="00AA172C">
        <w:t>collect this information</w:t>
      </w:r>
      <w:r w:rsidR="00AA172C" w:rsidRPr="00A04495">
        <w:t>.</w:t>
      </w:r>
      <w:r w:rsidR="00AA172C">
        <w:rPr>
          <w:rFonts w:eastAsia="Calibri"/>
        </w:rPr>
        <w:t xml:space="preserve"> </w:t>
      </w:r>
    </w:p>
    <w:p w14:paraId="01417B62" w14:textId="12D706F0" w:rsidR="007E699C" w:rsidRDefault="00AA172C" w:rsidP="00B57BE0">
      <w:pPr>
        <w:tabs>
          <w:tab w:val="left" w:pos="720"/>
        </w:tabs>
        <w:spacing w:before="120" w:after="120"/>
        <w:mirrorIndents/>
      </w:pPr>
      <w:r>
        <w:t xml:space="preserve">In summary, the Agency has determined that the information it needs is essential, unique, does not exist and is not planned from other sources, and so </w:t>
      </w:r>
      <w:r w:rsidR="00B57BE0">
        <w:t xml:space="preserve">requests to </w:t>
      </w:r>
      <w:r>
        <w:t>obtain this information from among physicians using primary research.</w:t>
      </w:r>
      <w:r w:rsidR="00B57BE0">
        <w:t xml:space="preserve"> CDC desires to effectively communicate this universal hepatitis C screening recommendation to physicians to make them aware </w:t>
      </w:r>
      <w:r w:rsidR="00B57BE0" w:rsidRPr="00AA172C">
        <w:rPr>
          <w:i/>
        </w:rPr>
        <w:t>and</w:t>
      </w:r>
      <w:r w:rsidR="00B57BE0">
        <w:t xml:space="preserve"> motivate them to implement the recommendation. </w:t>
      </w:r>
    </w:p>
    <w:p w14:paraId="45B921C7" w14:textId="04330522" w:rsidR="00CC6AB1" w:rsidRDefault="00CC6AB1" w:rsidP="007E699C">
      <w:pPr>
        <w:pStyle w:val="Heading1"/>
        <w:spacing w:before="120" w:after="120"/>
        <w:mirrorIndents/>
      </w:pPr>
      <w:bookmarkStart w:id="5" w:name="_Toc448296076"/>
      <w:r w:rsidRPr="00B12EA3">
        <w:t>Impact on Small Businesses or Other Small Entities</w:t>
      </w:r>
      <w:bookmarkEnd w:id="5"/>
    </w:p>
    <w:p w14:paraId="7C17A669" w14:textId="733A2136" w:rsidR="00F95454" w:rsidRDefault="00CC6AB1" w:rsidP="00F95454">
      <w:pPr>
        <w:spacing w:before="120" w:after="120"/>
        <w:mirrorIndents/>
      </w:pPr>
      <w:r w:rsidRPr="00F42159">
        <w:t xml:space="preserve">This </w:t>
      </w:r>
      <w:r w:rsidR="00E368ED" w:rsidRPr="00F42159">
        <w:t xml:space="preserve">information </w:t>
      </w:r>
      <w:r w:rsidRPr="00F42159">
        <w:t>collection does not involve burden to small businesses or other small entities.</w:t>
      </w:r>
      <w:r w:rsidR="00E206AE">
        <w:br/>
      </w:r>
    </w:p>
    <w:p w14:paraId="55BE02A1" w14:textId="1A42ADD3" w:rsidR="00CC6AB1" w:rsidRDefault="00CC6AB1" w:rsidP="00F95454">
      <w:pPr>
        <w:pStyle w:val="Heading1"/>
        <w:spacing w:before="120" w:after="120"/>
        <w:mirrorIndents/>
      </w:pPr>
      <w:bookmarkStart w:id="6" w:name="_Toc448296077"/>
      <w:r w:rsidRPr="00F9622C">
        <w:t>Consequences</w:t>
      </w:r>
      <w:r w:rsidRPr="00B12EA3">
        <w:t xml:space="preserve"> of Collecting the Information Less Frequently</w:t>
      </w:r>
      <w:bookmarkEnd w:id="6"/>
    </w:p>
    <w:p w14:paraId="1FE4D2A1" w14:textId="6DE2CEF6" w:rsidR="00130E5F" w:rsidRDefault="007F7EDD" w:rsidP="00F95454">
      <w:pPr>
        <w:spacing w:before="120" w:after="120"/>
        <w:mirrorIndents/>
        <w:rPr>
          <w:bCs/>
        </w:rPr>
      </w:pPr>
      <w:r w:rsidRPr="00A04495">
        <w:rPr>
          <w:bCs/>
        </w:rPr>
        <w:t xml:space="preserve">This information collection </w:t>
      </w:r>
      <w:r w:rsidR="00DC0C2E" w:rsidRPr="00A04495">
        <w:rPr>
          <w:bCs/>
        </w:rPr>
        <w:t xml:space="preserve">will provide the primary qualitative data needed </w:t>
      </w:r>
      <w:r w:rsidR="00130E5F">
        <w:rPr>
          <w:bCs/>
        </w:rPr>
        <w:t>t</w:t>
      </w:r>
      <w:r w:rsidR="00AA172C">
        <w:rPr>
          <w:bCs/>
        </w:rPr>
        <w:t xml:space="preserve">o </w:t>
      </w:r>
      <w:r w:rsidR="00AA172C">
        <w:t>effectively communicate the universal hepatitis C screening recommendation to physicians</w:t>
      </w:r>
      <w:r w:rsidR="002A5A29">
        <w:t xml:space="preserve"> and</w:t>
      </w:r>
      <w:r w:rsidR="00AA172C">
        <w:t xml:space="preserve"> to </w:t>
      </w:r>
      <w:r w:rsidR="002A5A29">
        <w:t xml:space="preserve">understand any identified barriers so CDC can address those issues in </w:t>
      </w:r>
      <w:r w:rsidR="008D628E">
        <w:t xml:space="preserve">education, outreach and other strategies as appropriate. </w:t>
      </w:r>
      <w:r w:rsidR="002A5A29">
        <w:t xml:space="preserve">. </w:t>
      </w:r>
    </w:p>
    <w:p w14:paraId="660C26E5" w14:textId="7EFF1948" w:rsidR="00316981" w:rsidRPr="005F3060" w:rsidRDefault="002C3AE2" w:rsidP="00F95454">
      <w:pPr>
        <w:spacing w:before="120" w:after="120"/>
        <w:mirrorIndents/>
        <w:rPr>
          <w:bCs/>
        </w:rPr>
      </w:pPr>
      <w:r w:rsidRPr="00A04495">
        <w:rPr>
          <w:bCs/>
        </w:rPr>
        <w:t>If t</w:t>
      </w:r>
      <w:r w:rsidR="002A5A29">
        <w:rPr>
          <w:bCs/>
        </w:rPr>
        <w:t xml:space="preserve">hese groups are </w:t>
      </w:r>
      <w:r w:rsidRPr="00A04495">
        <w:rPr>
          <w:bCs/>
        </w:rPr>
        <w:t xml:space="preserve">not conducted, </w:t>
      </w:r>
      <w:r w:rsidR="008D628E">
        <w:t xml:space="preserve">CDC </w:t>
      </w:r>
      <w:r w:rsidR="003F14C2">
        <w:t xml:space="preserve">will be lacking </w:t>
      </w:r>
      <w:r w:rsidRPr="00A04495">
        <w:rPr>
          <w:bCs/>
        </w:rPr>
        <w:t xml:space="preserve">an in-depth contextual understanding </w:t>
      </w:r>
      <w:r w:rsidRPr="00A04495">
        <w:rPr>
          <w:bCs/>
          <w:lang w:bidi="en-US"/>
        </w:rPr>
        <w:t>of</w:t>
      </w:r>
      <w:r w:rsidR="000816E0">
        <w:rPr>
          <w:bCs/>
          <w:lang w:bidi="en-US"/>
        </w:rPr>
        <w:t xml:space="preserve"> factors that may affect the success of </w:t>
      </w:r>
      <w:r w:rsidR="002A5A29">
        <w:rPr>
          <w:bCs/>
          <w:lang w:bidi="en-US"/>
        </w:rPr>
        <w:t>implem</w:t>
      </w:r>
      <w:r w:rsidR="00E7576E">
        <w:rPr>
          <w:bCs/>
          <w:lang w:bidi="en-US"/>
        </w:rPr>
        <w:t>en</w:t>
      </w:r>
      <w:r w:rsidR="002A5A29">
        <w:rPr>
          <w:bCs/>
          <w:lang w:bidi="en-US"/>
        </w:rPr>
        <w:t xml:space="preserve">tation of new recommendations. </w:t>
      </w:r>
      <w:r w:rsidR="00582903" w:rsidRPr="00A04495">
        <w:rPr>
          <w:bCs/>
          <w:lang w:bidi="en-US"/>
        </w:rPr>
        <w:t xml:space="preserve"> </w:t>
      </w:r>
      <w:r w:rsidR="00E206AE">
        <w:rPr>
          <w:bCs/>
          <w:lang w:bidi="en-US"/>
        </w:rPr>
        <w:br/>
      </w:r>
    </w:p>
    <w:p w14:paraId="19581741" w14:textId="36DB443F" w:rsidR="00CC6AB1" w:rsidRDefault="00CC6AB1" w:rsidP="00F95454">
      <w:pPr>
        <w:pStyle w:val="Heading1"/>
        <w:spacing w:before="120" w:after="120"/>
        <w:mirrorIndents/>
      </w:pPr>
      <w:bookmarkStart w:id="7" w:name="_Toc448296078"/>
      <w:r w:rsidRPr="00B12EA3">
        <w:t>Special Circumstances Relating to the Guidelines of 5 CFR 1320.5</w:t>
      </w:r>
      <w:bookmarkEnd w:id="7"/>
    </w:p>
    <w:p w14:paraId="226566BE" w14:textId="171A76A6" w:rsidR="00F95454" w:rsidRDefault="00CC6AB1" w:rsidP="00F95454">
      <w:pPr>
        <w:spacing w:before="120" w:after="120"/>
        <w:mirrorIndents/>
      </w:pPr>
      <w:r w:rsidRPr="00A04495">
        <w:t>This data collection effort does not involve any special circumstances.</w:t>
      </w:r>
    </w:p>
    <w:p w14:paraId="6D468C74" w14:textId="1162A810" w:rsidR="00872E3B" w:rsidRPr="00D467C4" w:rsidRDefault="00872E3B" w:rsidP="00F95454">
      <w:pPr>
        <w:spacing w:before="120" w:after="120"/>
        <w:mirrorIndents/>
      </w:pPr>
    </w:p>
    <w:p w14:paraId="0FDC9E36" w14:textId="109020A0" w:rsidR="00CC6AB1" w:rsidRDefault="00CC6AB1" w:rsidP="00F95454">
      <w:pPr>
        <w:pStyle w:val="Heading1"/>
        <w:spacing w:before="120" w:after="120"/>
        <w:mirrorIndents/>
      </w:pPr>
      <w:bookmarkStart w:id="8" w:name="_Toc448296079"/>
      <w:r w:rsidRPr="00B12EA3">
        <w:t>Comments in Response to the Federal Register Notice and Efforts to Consult Outside the Agency</w:t>
      </w:r>
      <w:bookmarkEnd w:id="8"/>
    </w:p>
    <w:p w14:paraId="679597FF" w14:textId="26CD3884" w:rsidR="005F3060" w:rsidRDefault="00213189" w:rsidP="00F95454">
      <w:pPr>
        <w:spacing w:before="120" w:after="120"/>
        <w:mirrorIndents/>
      </w:pPr>
      <w:r w:rsidRPr="00213189">
        <w:t>A 60 day FRN notice to solicit public comments was published for the Generic umbrella collection (0920-0840) in the Federal Register on 04/23/2018, Volume 83, Number 78, Page Number 17663-17664. No public comments were received.</w:t>
      </w:r>
      <w:r w:rsidR="00A71916" w:rsidRPr="003A6A6C">
        <w:t xml:space="preserve"> </w:t>
      </w:r>
    </w:p>
    <w:p w14:paraId="5700D26F" w14:textId="372A2CE1" w:rsidR="00C1216F" w:rsidRDefault="00A71916" w:rsidP="00F95454">
      <w:pPr>
        <w:spacing w:before="120" w:after="120"/>
        <w:mirrorIndents/>
      </w:pPr>
      <w:r w:rsidRPr="00973A03">
        <w:t>Aside from the official 60 day public comment period</w:t>
      </w:r>
      <w:r w:rsidR="0014691A" w:rsidRPr="00973A03">
        <w:t xml:space="preserve"> for the Generic data collection</w:t>
      </w:r>
      <w:r w:rsidRPr="00973A03">
        <w:t xml:space="preserve">, there were no other public contacts or opportunities for public comment on this </w:t>
      </w:r>
      <w:r w:rsidR="007F7EDD" w:rsidRPr="00973A03">
        <w:t>information collection</w:t>
      </w:r>
      <w:r w:rsidRPr="00973A03">
        <w:t>.</w:t>
      </w:r>
      <w:r w:rsidRPr="003A6A6C">
        <w:t xml:space="preserve"> </w:t>
      </w:r>
    </w:p>
    <w:p w14:paraId="2F989310" w14:textId="027D3C58" w:rsidR="00CC6AB1" w:rsidRDefault="00CC6AB1" w:rsidP="00F95454">
      <w:pPr>
        <w:pStyle w:val="Heading1"/>
        <w:spacing w:before="120" w:after="120"/>
        <w:mirrorIndents/>
      </w:pPr>
      <w:bookmarkStart w:id="9" w:name="_Toc448296080"/>
      <w:r w:rsidRPr="00B12EA3">
        <w:t>Explanation of Any Payment or Gift to Respondents</w:t>
      </w:r>
      <w:bookmarkEnd w:id="9"/>
    </w:p>
    <w:p w14:paraId="04285968" w14:textId="617AB2BB" w:rsidR="001C516C" w:rsidRPr="005E4982" w:rsidRDefault="005F3060" w:rsidP="00432322">
      <w:pPr>
        <w:spacing w:before="120" w:after="120"/>
        <w:mirrorIndents/>
      </w:pPr>
      <w:r>
        <w:t xml:space="preserve">Voluntary physician participants </w:t>
      </w:r>
      <w:r w:rsidR="004B3D61" w:rsidRPr="00EC5C59">
        <w:t xml:space="preserve">will </w:t>
      </w:r>
      <w:r w:rsidR="00D473E4" w:rsidRPr="00EC5C59">
        <w:t xml:space="preserve">each </w:t>
      </w:r>
      <w:r w:rsidR="004B3D61" w:rsidRPr="00EC5C59">
        <w:t xml:space="preserve">receive </w:t>
      </w:r>
      <w:r w:rsidR="00D473E4" w:rsidRPr="00B1673A">
        <w:t>a $</w:t>
      </w:r>
      <w:r w:rsidR="00706CB0" w:rsidRPr="00B1673A">
        <w:t>100</w:t>
      </w:r>
      <w:r w:rsidR="00D473E4" w:rsidRPr="00B1673A">
        <w:t xml:space="preserve"> token of appreciation.</w:t>
      </w:r>
      <w:r w:rsidR="00F34537">
        <w:t xml:space="preserve"> </w:t>
      </w:r>
      <w:r w:rsidR="005E4982" w:rsidRPr="0078411B">
        <w:rPr>
          <w:bCs/>
          <w:iCs/>
        </w:rPr>
        <w:t xml:space="preserve">Offering tokens of appreciation is necessary to </w:t>
      </w:r>
      <w:r w:rsidR="005E4982">
        <w:rPr>
          <w:bCs/>
          <w:iCs/>
        </w:rPr>
        <w:t>subject matter experts, like physicians</w:t>
      </w:r>
      <w:r w:rsidR="005E4982" w:rsidRPr="0078411B">
        <w:rPr>
          <w:bCs/>
          <w:iCs/>
        </w:rPr>
        <w:t xml:space="preserve">. </w:t>
      </w:r>
      <w:r w:rsidR="00706CB0">
        <w:t>T</w:t>
      </w:r>
      <w:r w:rsidR="00EC5C59" w:rsidRPr="004368F1">
        <w:t>his amount is</w:t>
      </w:r>
      <w:r w:rsidR="007F1AE0">
        <w:t xml:space="preserve"> </w:t>
      </w:r>
      <w:r w:rsidR="00EC5C59" w:rsidRPr="004368F1">
        <w:t xml:space="preserve">consistent with </w:t>
      </w:r>
      <w:r w:rsidR="00706CB0">
        <w:t>the hourly wage rate of physicians</w:t>
      </w:r>
      <w:r w:rsidR="00EC5C59" w:rsidRPr="004368F1">
        <w:t>.</w:t>
      </w:r>
      <w:r w:rsidR="00706CB0">
        <w:t xml:space="preserve"> DVH is requesting 75 minutes of physician time.</w:t>
      </w:r>
      <w:r w:rsidR="00EC5C59">
        <w:t xml:space="preserve"> </w:t>
      </w:r>
      <w:r w:rsidR="00D473E4" w:rsidRPr="00EC5C59">
        <w:t xml:space="preserve">Although there has been some debate on the necessity of offering tokens of appreciation, numerous studies have shown that tokens of appreciation can significantly increase response rates, and the use of tokens of appreciation is expected to enhance survey response rates </w:t>
      </w:r>
      <w:r w:rsidR="00F8363E">
        <w:t xml:space="preserve">among subject matter experts </w:t>
      </w:r>
      <w:r w:rsidR="00D473E4" w:rsidRPr="00EC5C59">
        <w:t>without biasing responses.</w:t>
      </w:r>
      <w:r w:rsidR="004B4F62">
        <w:rPr>
          <w:vertAlign w:val="superscript"/>
        </w:rPr>
        <w:t xml:space="preserve"> </w:t>
      </w:r>
      <w:r w:rsidR="00E83EFA" w:rsidRPr="00432322">
        <w:t>This improves the validity and reliability of the data,</w:t>
      </w:r>
      <w:r w:rsidR="00E83EFA" w:rsidRPr="00432322">
        <w:rPr>
          <w:b/>
        </w:rPr>
        <w:t xml:space="preserve"> </w:t>
      </w:r>
      <w:r w:rsidR="00E83EFA" w:rsidRPr="00432322">
        <w:t xml:space="preserve">which is of utmost importance in this scientific study. </w:t>
      </w:r>
      <w:r w:rsidR="00E206AE">
        <w:br/>
      </w:r>
    </w:p>
    <w:p w14:paraId="1E8F1170" w14:textId="3691393E" w:rsidR="00AE35D9" w:rsidRPr="00AE35D9" w:rsidRDefault="00B12EA3" w:rsidP="0011632B">
      <w:pPr>
        <w:pStyle w:val="Heading1"/>
        <w:spacing w:before="120" w:after="120"/>
        <w:mirrorIndents/>
      </w:pPr>
      <w:bookmarkStart w:id="10" w:name="_Toc448296081"/>
      <w:r w:rsidRPr="00B12EA3">
        <w:t>Protection of the Privacy and Confidentiality of Information Provided by Respondents</w:t>
      </w:r>
      <w:bookmarkEnd w:id="10"/>
    </w:p>
    <w:p w14:paraId="7B4C77ED" w14:textId="69877849" w:rsidR="00EA7B3B" w:rsidRDefault="00827286" w:rsidP="00827286">
      <w:pPr>
        <w:spacing w:before="120" w:after="120"/>
        <w:mirrorIndents/>
      </w:pPr>
      <w:r w:rsidRPr="007C4CBD">
        <w:t xml:space="preserve">The CDC Privacy Officer has assessed this package for applicability of 5 U.S.C. § 552a, and determined that the Privacy Act </w:t>
      </w:r>
      <w:r w:rsidRPr="007C4CBD">
        <w:rPr>
          <w:b/>
        </w:rPr>
        <w:t>does apply</w:t>
      </w:r>
      <w:r w:rsidRPr="007C4CBD">
        <w:t xml:space="preserve"> to the overall information collection. </w:t>
      </w:r>
      <w:r w:rsidR="00073EFB" w:rsidRPr="007C4CBD">
        <w:t xml:space="preserve">CDC has completed a Privacy Impact Assessment of the </w:t>
      </w:r>
      <w:r w:rsidR="00755BBA" w:rsidRPr="007C4CBD">
        <w:t xml:space="preserve">data </w:t>
      </w:r>
      <w:r w:rsidR="00073EFB" w:rsidRPr="007C4CBD">
        <w:t xml:space="preserve">system used by the </w:t>
      </w:r>
      <w:r w:rsidR="00843673" w:rsidRPr="007C4CBD">
        <w:t xml:space="preserve">study </w:t>
      </w:r>
      <w:r w:rsidR="00073EFB" w:rsidRPr="007C4CBD">
        <w:t>contractor team (</w:t>
      </w:r>
      <w:r w:rsidR="00374CFA" w:rsidRPr="007C4CBD">
        <w:rPr>
          <w:b/>
        </w:rPr>
        <w:t xml:space="preserve">Attachment </w:t>
      </w:r>
      <w:r w:rsidR="008D4A37" w:rsidRPr="007C4CBD">
        <w:rPr>
          <w:b/>
        </w:rPr>
        <w:t>10</w:t>
      </w:r>
      <w:r w:rsidR="00073EFB" w:rsidRPr="007C4CBD">
        <w:t>).</w:t>
      </w:r>
      <w:r w:rsidR="00073EFB">
        <w:t xml:space="preserve"> </w:t>
      </w:r>
      <w:r>
        <w:t xml:space="preserve"> </w:t>
      </w:r>
      <w:r w:rsidR="00EA7B3B">
        <w:t xml:space="preserve"> </w:t>
      </w:r>
    </w:p>
    <w:p w14:paraId="4D0F28ED" w14:textId="77777777" w:rsidR="00DB54EF" w:rsidRDefault="0085195B" w:rsidP="0085195B">
      <w:pPr>
        <w:spacing w:after="120"/>
      </w:pPr>
      <w:r>
        <w:t>I</w:t>
      </w:r>
      <w:r w:rsidR="00AB7D0D" w:rsidRPr="009B0438">
        <w:t xml:space="preserve">nformation gained from the focus groups will be in aggregate </w:t>
      </w:r>
      <w:r w:rsidR="00374CFA">
        <w:t xml:space="preserve">narrative </w:t>
      </w:r>
      <w:r w:rsidR="00AB7D0D" w:rsidRPr="009B0438">
        <w:t xml:space="preserve">note format and will not contain any names or other personally identifiable information.  The information gained from the focus groups will be qualitative in nature, and not used to generate statistical information. </w:t>
      </w:r>
    </w:p>
    <w:p w14:paraId="16C6791A" w14:textId="52CAE710" w:rsidR="0085195B" w:rsidRDefault="00AB7D0D" w:rsidP="0085195B">
      <w:pPr>
        <w:spacing w:after="120"/>
      </w:pPr>
      <w:r w:rsidRPr="009B0438">
        <w:t xml:space="preserve">Following the groups, a report will be prepared of content from the groups and will analyze the information to identify key themes, insights, and findings. The </w:t>
      </w:r>
      <w:r w:rsidR="003B20C9">
        <w:t xml:space="preserve">information </w:t>
      </w:r>
      <w:r w:rsidRPr="009B0438">
        <w:t xml:space="preserve">will be used by </w:t>
      </w:r>
      <w:r>
        <w:t>CDC</w:t>
      </w:r>
      <w:r w:rsidRPr="009B0438">
        <w:t xml:space="preserve"> staff to </w:t>
      </w:r>
      <w:r>
        <w:t xml:space="preserve">inform </w:t>
      </w:r>
      <w:r w:rsidR="003B20C9">
        <w:t xml:space="preserve">education, outreach, and other strategies as appropriate. </w:t>
      </w:r>
      <w:r w:rsidRPr="006D6472">
        <w:t>Information is internal and is not intended fo</w:t>
      </w:r>
      <w:r w:rsidR="0085195B" w:rsidRPr="006D6472">
        <w:t>r release outside of the agency</w:t>
      </w:r>
      <w:r w:rsidR="003B20C9" w:rsidRPr="006D6472">
        <w:t>.</w:t>
      </w:r>
    </w:p>
    <w:p w14:paraId="489BBA87" w14:textId="2AC7148C" w:rsidR="00EB0E04" w:rsidRPr="006D6472" w:rsidRDefault="0085195B" w:rsidP="00706CB0">
      <w:pPr>
        <w:spacing w:after="120"/>
      </w:pPr>
      <w:r w:rsidRPr="000211D0">
        <w:t>KRC’s recruitment par</w:t>
      </w:r>
      <w:r>
        <w:t xml:space="preserve">tner </w:t>
      </w:r>
      <w:r w:rsidR="00374CFA">
        <w:t>is</w:t>
      </w:r>
      <w:r>
        <w:t xml:space="preserve"> Reckner Healthcare</w:t>
      </w:r>
      <w:r w:rsidR="00374CFA">
        <w:t xml:space="preserve"> (Reckner)</w:t>
      </w:r>
      <w:r>
        <w:t xml:space="preserve">. </w:t>
      </w:r>
      <w:r w:rsidR="00532891">
        <w:t>Potentially qualifying st</w:t>
      </w:r>
      <w:r w:rsidRPr="000211D0">
        <w:t xml:space="preserve">udy participants </w:t>
      </w:r>
      <w:r w:rsidR="003B20C9">
        <w:t xml:space="preserve">will be drawn </w:t>
      </w:r>
      <w:r w:rsidRPr="000211D0">
        <w:t xml:space="preserve">from </w:t>
      </w:r>
      <w:r>
        <w:t>the</w:t>
      </w:r>
      <w:r w:rsidRPr="000211D0">
        <w:t xml:space="preserve"> Reckner Healthcare </w:t>
      </w:r>
      <w:r>
        <w:t>physician pan</w:t>
      </w:r>
      <w:r w:rsidR="003B20C9">
        <w:t xml:space="preserve">el, a volunteer national panel of physicians. </w:t>
      </w:r>
      <w:r w:rsidR="003B20C9" w:rsidRPr="006D6472">
        <w:t xml:space="preserve">Physician panelists </w:t>
      </w:r>
      <w:r w:rsidRPr="006D6472">
        <w:t>will</w:t>
      </w:r>
      <w:r w:rsidR="003B20C9" w:rsidRPr="006D6472">
        <w:t xml:space="preserve"> first</w:t>
      </w:r>
      <w:r w:rsidRPr="006D6472">
        <w:t xml:space="preserve"> be contacted </w:t>
      </w:r>
      <w:r w:rsidR="003B20C9" w:rsidRPr="006D6472">
        <w:t xml:space="preserve">by Reckner </w:t>
      </w:r>
      <w:r w:rsidRPr="006D6472">
        <w:t>via email</w:t>
      </w:r>
      <w:r w:rsidR="00532891" w:rsidRPr="006D6472">
        <w:t xml:space="preserve"> and invited to </w:t>
      </w:r>
      <w:r w:rsidR="00374CFA" w:rsidRPr="006D6472">
        <w:t>participate</w:t>
      </w:r>
      <w:r w:rsidR="003B20C9" w:rsidRPr="006D6472">
        <w:t xml:space="preserve"> </w:t>
      </w:r>
      <w:r w:rsidR="003B20C9" w:rsidRPr="006D6472">
        <w:rPr>
          <w:b/>
        </w:rPr>
        <w:t>(Attachment 2)</w:t>
      </w:r>
      <w:r w:rsidR="00374CFA" w:rsidRPr="006D6472">
        <w:t xml:space="preserve">. If </w:t>
      </w:r>
      <w:r w:rsidR="00714363" w:rsidRPr="006D6472">
        <w:t>potential participants are interested in participating</w:t>
      </w:r>
      <w:r w:rsidR="00374CFA" w:rsidRPr="006D6472">
        <w:t xml:space="preserve">, </w:t>
      </w:r>
      <w:r w:rsidR="00714363" w:rsidRPr="006D6472">
        <w:t>Reckner will screen</w:t>
      </w:r>
      <w:r w:rsidR="00374CFA" w:rsidRPr="006D6472">
        <w:t xml:space="preserve"> </w:t>
      </w:r>
      <w:r w:rsidR="00714363" w:rsidRPr="006D6472">
        <w:t xml:space="preserve">them </w:t>
      </w:r>
      <w:r w:rsidR="003B20C9" w:rsidRPr="006D6472">
        <w:t xml:space="preserve">by telephone using a screening tool </w:t>
      </w:r>
      <w:r w:rsidR="003B20C9" w:rsidRPr="006D6472">
        <w:rPr>
          <w:b/>
        </w:rPr>
        <w:t>(Attachment 3)</w:t>
      </w:r>
      <w:r w:rsidR="003B20C9" w:rsidRPr="006D6472">
        <w:t xml:space="preserve"> to determine if they qualify.</w:t>
      </w:r>
      <w:r w:rsidR="00714363" w:rsidRPr="006D6472">
        <w:t xml:space="preserve"> </w:t>
      </w:r>
    </w:p>
    <w:p w14:paraId="221314E3" w14:textId="77777777" w:rsidR="00EB0E04" w:rsidRPr="006D6472" w:rsidRDefault="00EB0E04" w:rsidP="00EB0E04">
      <w:pPr>
        <w:spacing w:after="120"/>
      </w:pPr>
      <w:r w:rsidRPr="006D6472">
        <w:t xml:space="preserve">CDC will be identified as the sole sponsor of the activity. Individuals will be advised that participation is voluntary and their responses will be treated with confidentiality. They will be asked to read and sign a consent form </w:t>
      </w:r>
      <w:r w:rsidRPr="006D6472">
        <w:rPr>
          <w:b/>
        </w:rPr>
        <w:t>(Attachment 4)</w:t>
      </w:r>
      <w:r w:rsidRPr="006D6472">
        <w:t>.</w:t>
      </w:r>
    </w:p>
    <w:p w14:paraId="25D08191" w14:textId="14332C38" w:rsidR="003B20C9" w:rsidRDefault="00714363" w:rsidP="00706CB0">
      <w:pPr>
        <w:spacing w:after="120"/>
      </w:pPr>
      <w:r w:rsidRPr="006D6472">
        <w:t xml:space="preserve">Personally identifiable information from qualifying individuals will </w:t>
      </w:r>
      <w:r w:rsidR="00DB54EF" w:rsidRPr="006D6472">
        <w:t xml:space="preserve">not be distributed outside of Reckner. </w:t>
      </w:r>
      <w:r w:rsidRPr="006D6472">
        <w:t>Other information</w:t>
      </w:r>
      <w:r w:rsidR="00DB54EF" w:rsidRPr="006D6472">
        <w:t xml:space="preserve"> gathered </w:t>
      </w:r>
      <w:r w:rsidR="009F1D6A" w:rsidRPr="006D6472">
        <w:t xml:space="preserve">by Reckner from qualifying respondents </w:t>
      </w:r>
      <w:r w:rsidR="00DB54EF" w:rsidRPr="006D6472">
        <w:t xml:space="preserve">in the screening tool </w:t>
      </w:r>
      <w:r w:rsidRPr="006D6472">
        <w:t>will be summarized in a</w:t>
      </w:r>
      <w:r w:rsidR="009F1D6A" w:rsidRPr="006D6472">
        <w:t xml:space="preserve">n anonymized spreadsheet which will be distributed to </w:t>
      </w:r>
      <w:r w:rsidRPr="006D6472">
        <w:t>KRC Research and CDC</w:t>
      </w:r>
      <w:r w:rsidR="00DB54EF" w:rsidRPr="006D6472">
        <w:t xml:space="preserve"> (</w:t>
      </w:r>
      <w:r w:rsidR="00DB54EF" w:rsidRPr="006D6472">
        <w:rPr>
          <w:b/>
        </w:rPr>
        <w:t xml:space="preserve">Attachment </w:t>
      </w:r>
      <w:r w:rsidR="008D4A37" w:rsidRPr="006D6472">
        <w:rPr>
          <w:b/>
        </w:rPr>
        <w:t>6</w:t>
      </w:r>
      <w:r w:rsidR="009F1D6A" w:rsidRPr="006D6472">
        <w:t>)</w:t>
      </w:r>
      <w:r w:rsidRPr="006D6472">
        <w:t>.</w:t>
      </w:r>
      <w:r>
        <w:t xml:space="preserve"> </w:t>
      </w:r>
    </w:p>
    <w:p w14:paraId="5C1CD226" w14:textId="2B8606D3" w:rsidR="00714363" w:rsidRDefault="009F1D6A" w:rsidP="00706CB0">
      <w:pPr>
        <w:spacing w:after="120"/>
      </w:pPr>
      <w:bookmarkStart w:id="11" w:name="_Toc46653200"/>
      <w:bookmarkStart w:id="12" w:name="_Toc46653508"/>
      <w:bookmarkStart w:id="13" w:name="_Toc46653816"/>
      <w:bookmarkStart w:id="14" w:name="_Toc46811240"/>
      <w:bookmarkStart w:id="15" w:name="_Toc46811562"/>
      <w:bookmarkStart w:id="16" w:name="_Toc46811884"/>
      <w:bookmarkStart w:id="17" w:name="_Toc46812206"/>
      <w:bookmarkStart w:id="18" w:name="_Toc46812528"/>
      <w:bookmarkStart w:id="19" w:name="_Toc46812850"/>
      <w:bookmarkStart w:id="20" w:name="_Toc46813173"/>
      <w:bookmarkStart w:id="21" w:name="_Toc46813496"/>
      <w:bookmarkStart w:id="22" w:name="_Toc46813805"/>
      <w:bookmarkStart w:id="23" w:name="_Toc46830141"/>
      <w:bookmarkStart w:id="24" w:name="_Toc46830498"/>
      <w:bookmarkStart w:id="25" w:name="_Toc46830860"/>
      <w:bookmarkStart w:id="26" w:name="_Toc46831224"/>
      <w:bookmarkStart w:id="27" w:name="_Toc46831589"/>
      <w:bookmarkStart w:id="28" w:name="_Toc46831954"/>
      <w:bookmarkStart w:id="29" w:name="_Toc46832319"/>
      <w:bookmarkStart w:id="30" w:name="_Toc46832552"/>
      <w:bookmarkStart w:id="31" w:name="_Toc46651360"/>
      <w:bookmarkStart w:id="32" w:name="_Toc46651967"/>
      <w:bookmarkStart w:id="33" w:name="_Toc46652275"/>
      <w:bookmarkStart w:id="34" w:name="_Toc46652583"/>
      <w:bookmarkStart w:id="35" w:name="_Toc46652892"/>
      <w:bookmarkStart w:id="36" w:name="_Toc46653201"/>
      <w:bookmarkStart w:id="37" w:name="_Toc46653509"/>
      <w:bookmarkStart w:id="38" w:name="_Toc46653817"/>
      <w:bookmarkStart w:id="39" w:name="_Toc46811241"/>
      <w:bookmarkStart w:id="40" w:name="_Toc46811563"/>
      <w:bookmarkStart w:id="41" w:name="_Toc46811885"/>
      <w:bookmarkStart w:id="42" w:name="_Toc46812207"/>
      <w:bookmarkStart w:id="43" w:name="_Toc46812529"/>
      <w:bookmarkStart w:id="44" w:name="_Toc46812851"/>
      <w:bookmarkStart w:id="45" w:name="_Toc46813174"/>
      <w:bookmarkStart w:id="46" w:name="_Toc46813497"/>
      <w:bookmarkStart w:id="47" w:name="_Toc46813806"/>
      <w:bookmarkStart w:id="48" w:name="_Toc46830142"/>
      <w:bookmarkStart w:id="49" w:name="_Toc46830499"/>
      <w:bookmarkStart w:id="50" w:name="_Toc46830861"/>
      <w:bookmarkStart w:id="51" w:name="_Toc46831225"/>
      <w:bookmarkStart w:id="52" w:name="_Toc46831590"/>
      <w:bookmarkStart w:id="53" w:name="_Toc46831955"/>
      <w:bookmarkStart w:id="54" w:name="_Toc46832320"/>
      <w:bookmarkStart w:id="55" w:name="_Toc46832553"/>
      <w:bookmarkStart w:id="56" w:name="_Toc46650442"/>
      <w:bookmarkStart w:id="57" w:name="_Toc46650745"/>
      <w:bookmarkStart w:id="58" w:name="_Toc46651053"/>
      <w:bookmarkStart w:id="59" w:name="_Toc46651361"/>
      <w:bookmarkStart w:id="60" w:name="_Toc46651968"/>
      <w:bookmarkStart w:id="61" w:name="_Toc46652276"/>
      <w:bookmarkStart w:id="62" w:name="_Toc46652584"/>
      <w:bookmarkStart w:id="63" w:name="_Toc46652893"/>
      <w:bookmarkStart w:id="64" w:name="_Toc46653202"/>
      <w:bookmarkStart w:id="65" w:name="_Toc46653510"/>
      <w:bookmarkStart w:id="66" w:name="_Toc46653818"/>
      <w:bookmarkStart w:id="67" w:name="_Toc46811242"/>
      <w:bookmarkStart w:id="68" w:name="_Toc46811564"/>
      <w:bookmarkStart w:id="69" w:name="_Toc46811886"/>
      <w:bookmarkStart w:id="70" w:name="_Toc46812208"/>
      <w:bookmarkStart w:id="71" w:name="_Toc46812530"/>
      <w:bookmarkStart w:id="72" w:name="_Toc46812852"/>
      <w:bookmarkStart w:id="73" w:name="_Toc46813175"/>
      <w:bookmarkStart w:id="74" w:name="_Toc46813498"/>
      <w:bookmarkStart w:id="75" w:name="_Toc46813807"/>
      <w:bookmarkStart w:id="76" w:name="_Toc46830143"/>
      <w:bookmarkStart w:id="77" w:name="_Toc46830500"/>
      <w:bookmarkStart w:id="78" w:name="_Toc46830862"/>
      <w:bookmarkStart w:id="79" w:name="_Toc46831226"/>
      <w:bookmarkStart w:id="80" w:name="_Toc46831591"/>
      <w:bookmarkStart w:id="81" w:name="_Toc46831956"/>
      <w:bookmarkStart w:id="82" w:name="_Toc46832321"/>
      <w:bookmarkStart w:id="83" w:name="_Toc46832554"/>
      <w:bookmarkStart w:id="84" w:name="_Toc46650443"/>
      <w:bookmarkStart w:id="85" w:name="_Toc46650746"/>
      <w:bookmarkStart w:id="86" w:name="_Toc46651054"/>
      <w:bookmarkStart w:id="87" w:name="_Toc46651362"/>
      <w:bookmarkStart w:id="88" w:name="_Toc46651969"/>
      <w:bookmarkStart w:id="89" w:name="_Toc46652277"/>
      <w:bookmarkStart w:id="90" w:name="_Toc46652585"/>
      <w:bookmarkStart w:id="91" w:name="_Toc46652894"/>
      <w:bookmarkStart w:id="92" w:name="_Toc46653203"/>
      <w:bookmarkStart w:id="93" w:name="_Toc46653511"/>
      <w:bookmarkStart w:id="94" w:name="_Toc46653819"/>
      <w:bookmarkStart w:id="95" w:name="_Toc46811243"/>
      <w:bookmarkStart w:id="96" w:name="_Toc46811565"/>
      <w:bookmarkStart w:id="97" w:name="_Toc46811887"/>
      <w:bookmarkStart w:id="98" w:name="_Toc46812209"/>
      <w:bookmarkStart w:id="99" w:name="_Toc46812531"/>
      <w:bookmarkStart w:id="100" w:name="_Toc46812853"/>
      <w:bookmarkStart w:id="101" w:name="_Toc46813176"/>
      <w:bookmarkStart w:id="102" w:name="_Toc46813499"/>
      <w:bookmarkStart w:id="103" w:name="_Toc46813808"/>
      <w:bookmarkStart w:id="104" w:name="_Toc46830144"/>
      <w:bookmarkStart w:id="105" w:name="_Toc46830501"/>
      <w:bookmarkStart w:id="106" w:name="_Toc46830863"/>
      <w:bookmarkStart w:id="107" w:name="_Toc46831227"/>
      <w:bookmarkStart w:id="108" w:name="_Toc46831592"/>
      <w:bookmarkStart w:id="109" w:name="_Toc46831957"/>
      <w:bookmarkStart w:id="110" w:name="_Toc46832322"/>
      <w:bookmarkStart w:id="111" w:name="_Toc46832555"/>
      <w:bookmarkStart w:id="112" w:name="_Toc46650748"/>
      <w:bookmarkStart w:id="113" w:name="_Toc46651056"/>
      <w:bookmarkStart w:id="114" w:name="_Toc46651364"/>
      <w:bookmarkStart w:id="115" w:name="_Toc46651971"/>
      <w:bookmarkStart w:id="116" w:name="_Toc46652279"/>
      <w:bookmarkStart w:id="117" w:name="_Toc46652587"/>
      <w:bookmarkStart w:id="118" w:name="_Toc46652896"/>
      <w:bookmarkStart w:id="119" w:name="_Toc46653205"/>
      <w:bookmarkStart w:id="120" w:name="_Toc46653513"/>
      <w:bookmarkStart w:id="121" w:name="_Toc46653821"/>
      <w:bookmarkStart w:id="122" w:name="_Toc46811245"/>
      <w:bookmarkStart w:id="123" w:name="_Toc46811567"/>
      <w:bookmarkStart w:id="124" w:name="_Toc46811889"/>
      <w:bookmarkStart w:id="125" w:name="_Toc46812211"/>
      <w:bookmarkStart w:id="126" w:name="_Toc46812533"/>
      <w:bookmarkStart w:id="127" w:name="_Toc46812855"/>
      <w:bookmarkStart w:id="128" w:name="_Toc46813178"/>
      <w:bookmarkStart w:id="129" w:name="_Toc46813501"/>
      <w:bookmarkStart w:id="130" w:name="_Toc46813810"/>
      <w:bookmarkStart w:id="131" w:name="_Toc46830146"/>
      <w:bookmarkStart w:id="132" w:name="_Toc46830503"/>
      <w:bookmarkStart w:id="133" w:name="_Toc46830865"/>
      <w:bookmarkStart w:id="134" w:name="_Toc46831229"/>
      <w:bookmarkStart w:id="135" w:name="_Toc46831594"/>
      <w:bookmarkStart w:id="136" w:name="_Toc46831959"/>
      <w:bookmarkStart w:id="137" w:name="_Toc46832324"/>
      <w:bookmarkStart w:id="138" w:name="_Toc46832557"/>
      <w:bookmarkStart w:id="139" w:name="_Toc46650749"/>
      <w:bookmarkStart w:id="140" w:name="_Toc46651057"/>
      <w:bookmarkStart w:id="141" w:name="_Toc46651365"/>
      <w:bookmarkStart w:id="142" w:name="_Toc46651972"/>
      <w:bookmarkStart w:id="143" w:name="_Toc46652280"/>
      <w:bookmarkStart w:id="144" w:name="_Toc46652588"/>
      <w:bookmarkStart w:id="145" w:name="_Toc46652897"/>
      <w:bookmarkStart w:id="146" w:name="_Toc46653206"/>
      <w:bookmarkStart w:id="147" w:name="_Toc46653514"/>
      <w:bookmarkStart w:id="148" w:name="_Toc46653822"/>
      <w:bookmarkStart w:id="149" w:name="_Toc46811246"/>
      <w:bookmarkStart w:id="150" w:name="_Toc46811568"/>
      <w:bookmarkStart w:id="151" w:name="_Toc46811890"/>
      <w:bookmarkStart w:id="152" w:name="_Toc46812212"/>
      <w:bookmarkStart w:id="153" w:name="_Toc46812534"/>
      <w:bookmarkStart w:id="154" w:name="_Toc46812856"/>
      <w:bookmarkStart w:id="155" w:name="_Toc46813179"/>
      <w:bookmarkStart w:id="156" w:name="_Toc46813502"/>
      <w:bookmarkStart w:id="157" w:name="_Toc46813811"/>
      <w:bookmarkStart w:id="158" w:name="_Toc46830147"/>
      <w:bookmarkStart w:id="159" w:name="_Toc46830504"/>
      <w:bookmarkStart w:id="160" w:name="_Toc46830866"/>
      <w:bookmarkStart w:id="161" w:name="_Toc46831230"/>
      <w:bookmarkStart w:id="162" w:name="_Toc46831595"/>
      <w:bookmarkStart w:id="163" w:name="_Toc46831960"/>
      <w:bookmarkStart w:id="164" w:name="_Toc46832325"/>
      <w:bookmarkStart w:id="165" w:name="_Toc46832558"/>
      <w:bookmarkStart w:id="166" w:name="_Toc46147169"/>
      <w:bookmarkStart w:id="167" w:name="_Toc46649838"/>
      <w:bookmarkStart w:id="168" w:name="_Toc46650140"/>
      <w:bookmarkStart w:id="169" w:name="_Toc46650750"/>
      <w:bookmarkStart w:id="170" w:name="_Toc46651058"/>
      <w:bookmarkStart w:id="171" w:name="_Toc46651366"/>
      <w:bookmarkStart w:id="172" w:name="_Toc46651973"/>
      <w:bookmarkStart w:id="173" w:name="_Toc46652281"/>
      <w:bookmarkStart w:id="174" w:name="_Toc46652589"/>
      <w:bookmarkStart w:id="175" w:name="_Toc46652898"/>
      <w:bookmarkStart w:id="176" w:name="_Toc46653207"/>
      <w:bookmarkStart w:id="177" w:name="_Toc46653515"/>
      <w:bookmarkStart w:id="178" w:name="_Toc46653823"/>
      <w:bookmarkStart w:id="179" w:name="_Toc46811247"/>
      <w:bookmarkStart w:id="180" w:name="_Toc46811569"/>
      <w:bookmarkStart w:id="181" w:name="_Toc46811891"/>
      <w:bookmarkStart w:id="182" w:name="_Toc46812213"/>
      <w:bookmarkStart w:id="183" w:name="_Toc46812535"/>
      <w:bookmarkStart w:id="184" w:name="_Toc46812857"/>
      <w:bookmarkStart w:id="185" w:name="_Toc46813180"/>
      <w:bookmarkStart w:id="186" w:name="_Toc46813503"/>
      <w:bookmarkStart w:id="187" w:name="_Toc46813812"/>
      <w:bookmarkStart w:id="188" w:name="_Toc46830148"/>
      <w:bookmarkStart w:id="189" w:name="_Toc46830505"/>
      <w:bookmarkStart w:id="190" w:name="_Toc46830867"/>
      <w:bookmarkStart w:id="191" w:name="_Toc46831231"/>
      <w:bookmarkStart w:id="192" w:name="_Toc46831596"/>
      <w:bookmarkStart w:id="193" w:name="_Toc46831961"/>
      <w:bookmarkStart w:id="194" w:name="_Toc46832326"/>
      <w:bookmarkStart w:id="195" w:name="_Toc46832559"/>
      <w:bookmarkStart w:id="196" w:name="_Toc46650446"/>
      <w:bookmarkStart w:id="197" w:name="_Toc46650753"/>
      <w:bookmarkStart w:id="198" w:name="_Toc46651061"/>
      <w:bookmarkStart w:id="199" w:name="_Toc46651369"/>
      <w:bookmarkStart w:id="200" w:name="_Toc46651668"/>
      <w:bookmarkStart w:id="201" w:name="_Toc46651976"/>
      <w:bookmarkStart w:id="202" w:name="_Toc46652284"/>
      <w:bookmarkStart w:id="203" w:name="_Toc46652592"/>
      <w:bookmarkStart w:id="204" w:name="_Toc46652901"/>
      <w:bookmarkStart w:id="205" w:name="_Toc46653209"/>
      <w:bookmarkStart w:id="206" w:name="_Toc46653517"/>
      <w:bookmarkStart w:id="207" w:name="_Toc46653825"/>
      <w:bookmarkStart w:id="208" w:name="_Toc46811249"/>
      <w:bookmarkStart w:id="209" w:name="_Toc46811571"/>
      <w:bookmarkStart w:id="210" w:name="_Toc46811893"/>
      <w:bookmarkStart w:id="211" w:name="_Toc46812215"/>
      <w:bookmarkStart w:id="212" w:name="_Toc46812537"/>
      <w:bookmarkStart w:id="213" w:name="_Toc46812859"/>
      <w:bookmarkStart w:id="214" w:name="_Toc46813182"/>
      <w:bookmarkStart w:id="215" w:name="_Toc46813505"/>
      <w:bookmarkStart w:id="216" w:name="_Toc46813814"/>
      <w:bookmarkStart w:id="217" w:name="_Toc46830150"/>
      <w:bookmarkStart w:id="218" w:name="_Toc46830507"/>
      <w:bookmarkStart w:id="219" w:name="_Toc46830869"/>
      <w:bookmarkStart w:id="220" w:name="_Toc46831233"/>
      <w:bookmarkStart w:id="221" w:name="_Toc46831598"/>
      <w:bookmarkStart w:id="222" w:name="_Toc46831963"/>
      <w:bookmarkStart w:id="223" w:name="_Toc46832328"/>
      <w:bookmarkStart w:id="224" w:name="_Toc46832561"/>
      <w:bookmarkStart w:id="225" w:name="_Toc128982148"/>
      <w:bookmarkStart w:id="226" w:name="_Toc128983228"/>
      <w:bookmarkStart w:id="227" w:name="_Toc12898359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Thus, o</w:t>
      </w:r>
      <w:r w:rsidR="00827286" w:rsidRPr="00C34C13">
        <w:t xml:space="preserve">nly </w:t>
      </w:r>
      <w:r w:rsidR="003B20C9">
        <w:t xml:space="preserve">Reckner </w:t>
      </w:r>
      <w:r w:rsidR="00827286" w:rsidRPr="00C34C13">
        <w:t xml:space="preserve">staff </w:t>
      </w:r>
      <w:r w:rsidR="00714363">
        <w:t xml:space="preserve">will have access to </w:t>
      </w:r>
      <w:r>
        <w:t>personally identifiable information (</w:t>
      </w:r>
      <w:r w:rsidR="00714363">
        <w:t xml:space="preserve">full </w:t>
      </w:r>
      <w:r w:rsidR="003B20C9">
        <w:t xml:space="preserve">respondent </w:t>
      </w:r>
      <w:r w:rsidR="00714363">
        <w:t>name, phone number, and email</w:t>
      </w:r>
      <w:r>
        <w:t>)</w:t>
      </w:r>
      <w:r w:rsidR="00714363">
        <w:t xml:space="preserve">. </w:t>
      </w:r>
      <w:r w:rsidR="00877BE2" w:rsidRPr="00877BE2">
        <w:t>CDC staff will not be involved with sample recruitment and will never know the identities of any study respondents</w:t>
      </w:r>
      <w:r w:rsidR="00877BE2">
        <w:t xml:space="preserve">. </w:t>
      </w:r>
    </w:p>
    <w:p w14:paraId="72128784" w14:textId="72270540" w:rsidR="00B12EA3" w:rsidRDefault="00B12EA3" w:rsidP="00F95454">
      <w:pPr>
        <w:pStyle w:val="Heading1"/>
        <w:spacing w:before="120" w:after="120"/>
        <w:mirrorIndents/>
      </w:pPr>
      <w:bookmarkStart w:id="228" w:name="_Toc448296082"/>
      <w:r w:rsidRPr="00B12EA3">
        <w:t>Institutional Review Board (IRB) and Justification for Sensitive Questions</w:t>
      </w:r>
      <w:bookmarkEnd w:id="228"/>
    </w:p>
    <w:p w14:paraId="31727D57" w14:textId="20CEF159" w:rsidR="00532891" w:rsidRPr="008A70CF" w:rsidRDefault="00532891" w:rsidP="00532891">
      <w:pPr>
        <w:spacing w:before="120" w:after="120"/>
        <w:mirrorIndents/>
        <w:rPr>
          <w:u w:val="single"/>
        </w:rPr>
      </w:pPr>
      <w:r w:rsidRPr="008A70CF">
        <w:rPr>
          <w:u w:val="single"/>
        </w:rPr>
        <w:t>IRB Review</w:t>
      </w:r>
    </w:p>
    <w:p w14:paraId="40FD0BB2" w14:textId="6E5049D8" w:rsidR="008A70CF" w:rsidRPr="006D6472" w:rsidRDefault="008A70CF" w:rsidP="008A70CF">
      <w:pPr>
        <w:spacing w:before="120" w:after="120"/>
        <w:mirrorIndents/>
      </w:pPr>
      <w:r w:rsidRPr="008172D1">
        <w:t xml:space="preserve">This study has been reviewed and approved by the </w:t>
      </w:r>
      <w:r>
        <w:t>Ethical &amp; Independent Review Services</w:t>
      </w:r>
      <w:r w:rsidRPr="00A06E57">
        <w:t xml:space="preserve"> </w:t>
      </w:r>
      <w:r w:rsidRPr="006D6472">
        <w:rPr>
          <w:b/>
        </w:rPr>
        <w:t>(Attachment 8)</w:t>
      </w:r>
      <w:r w:rsidRPr="006D6472">
        <w:t>. The approved IRB protocol is also included as a supplemental document to Part B.</w:t>
      </w:r>
    </w:p>
    <w:p w14:paraId="1761E88A" w14:textId="25599491" w:rsidR="003C3C33" w:rsidRPr="006D6472" w:rsidRDefault="003C3C33" w:rsidP="003C10A5">
      <w:pPr>
        <w:spacing w:before="120" w:after="120"/>
        <w:mirrorIndents/>
        <w:rPr>
          <w:u w:val="single"/>
        </w:rPr>
      </w:pPr>
      <w:r w:rsidRPr="006D6472">
        <w:rPr>
          <w:u w:val="single"/>
        </w:rPr>
        <w:t>Sensitive Questions</w:t>
      </w:r>
    </w:p>
    <w:p w14:paraId="6C660CBC" w14:textId="085D8C19" w:rsidR="00AC254E" w:rsidRPr="006D6472" w:rsidRDefault="00D6673F" w:rsidP="003C10A5">
      <w:pPr>
        <w:spacing w:before="120" w:after="120"/>
        <w:mirrorIndents/>
      </w:pPr>
      <w:r w:rsidRPr="006D6472">
        <w:t xml:space="preserve">This </w:t>
      </w:r>
      <w:r w:rsidR="00532891" w:rsidRPr="006D6472">
        <w:t>study among physicians wil</w:t>
      </w:r>
      <w:r w:rsidR="00374CFA" w:rsidRPr="006D6472">
        <w:t>l not involve questions</w:t>
      </w:r>
      <w:r w:rsidR="00532891" w:rsidRPr="006D6472">
        <w:t xml:space="preserve"> considered sensitive.</w:t>
      </w:r>
      <w:r w:rsidR="00E206AE" w:rsidRPr="006D6472">
        <w:br/>
      </w:r>
    </w:p>
    <w:p w14:paraId="213CDFB6" w14:textId="2CB72938" w:rsidR="00D64D74" w:rsidRPr="006D6472" w:rsidRDefault="00D64D74" w:rsidP="00D64D74">
      <w:pPr>
        <w:pStyle w:val="Heading1"/>
        <w:spacing w:before="120" w:after="120"/>
        <w:mirrorIndents/>
      </w:pPr>
      <w:r w:rsidRPr="006D6472">
        <w:t>Estimates of Annualized Burden Hours and Costs</w:t>
      </w:r>
    </w:p>
    <w:p w14:paraId="2E144F30" w14:textId="08B2E693" w:rsidR="00D64D74" w:rsidRPr="006D6472" w:rsidRDefault="00D64D74" w:rsidP="00D64D74">
      <w:pPr>
        <w:spacing w:before="120" w:after="120"/>
        <w:mirrorIndents/>
      </w:pPr>
      <w:r w:rsidRPr="006D6472">
        <w:t xml:space="preserve">The recruitment period is six weeks. This data collection will include 128 physicians. We expect to screen 400 physicians, and we expect 32% to be eligible and to participant in the data collection, which yields a final client sample size of 128. Contractor staff will screen potential physician participants for eligibility by phone, which will take approximately ten minutes </w:t>
      </w:r>
      <w:r w:rsidRPr="006D6472">
        <w:rPr>
          <w:b/>
        </w:rPr>
        <w:t xml:space="preserve">(Attachment </w:t>
      </w:r>
      <w:r w:rsidR="00EC4A0C" w:rsidRPr="006D6472">
        <w:rPr>
          <w:b/>
        </w:rPr>
        <w:t>3</w:t>
      </w:r>
      <w:r w:rsidRPr="006D6472">
        <w:rPr>
          <w:b/>
        </w:rPr>
        <w:t>).</w:t>
      </w:r>
      <w:r w:rsidRPr="006D6472">
        <w:t xml:space="preserve"> </w:t>
      </w:r>
      <w:r w:rsidR="00EC4A0C" w:rsidRPr="006D6472">
        <w:t xml:space="preserve">The consent form </w:t>
      </w:r>
      <w:r w:rsidR="00EC4A0C" w:rsidRPr="006D6472">
        <w:rPr>
          <w:b/>
        </w:rPr>
        <w:t>(Attachment 4)</w:t>
      </w:r>
      <w:r w:rsidR="00EC4A0C" w:rsidRPr="006D6472">
        <w:t xml:space="preserve"> will take approximately 3 minutes to complete and will be administered once. </w:t>
      </w:r>
      <w:r w:rsidRPr="006D6472">
        <w:t xml:space="preserve">The focus group discussion </w:t>
      </w:r>
      <w:r w:rsidRPr="006D6472">
        <w:rPr>
          <w:b/>
        </w:rPr>
        <w:t xml:space="preserve">(Attachment </w:t>
      </w:r>
      <w:r w:rsidR="008D4A37" w:rsidRPr="006D6472">
        <w:rPr>
          <w:b/>
        </w:rPr>
        <w:t>7</w:t>
      </w:r>
      <w:r w:rsidRPr="006D6472">
        <w:rPr>
          <w:b/>
        </w:rPr>
        <w:t>)</w:t>
      </w:r>
      <w:r w:rsidRPr="006D6472">
        <w:t xml:space="preserve"> will take 75 minutes to complete and will be administered once. </w:t>
      </w:r>
    </w:p>
    <w:p w14:paraId="5C2EBEE0" w14:textId="079A14C5" w:rsidR="00D64D74" w:rsidRDefault="00D64D74" w:rsidP="00D64D74">
      <w:pPr>
        <w:spacing w:before="120" w:after="120"/>
        <w:mirrorIndents/>
      </w:pPr>
      <w:r w:rsidRPr="006D6472">
        <w:t xml:space="preserve">Exhibits 12.1 and 12.2 provide further details about how the estimates of burden hours and costs were calculated. The estimated annualized burden is </w:t>
      </w:r>
      <w:r w:rsidR="00EC4A0C" w:rsidRPr="006D6472">
        <w:t>233.4</w:t>
      </w:r>
      <w:r w:rsidRPr="006D6472">
        <w:t xml:space="preserve"> hours.</w:t>
      </w:r>
    </w:p>
    <w:p w14:paraId="3D1B776C" w14:textId="3EB101E1" w:rsidR="004907FD" w:rsidRDefault="004907FD" w:rsidP="00D64D74">
      <w:pPr>
        <w:spacing w:before="120" w:after="120"/>
        <w:mirrorIndents/>
      </w:pPr>
    </w:p>
    <w:p w14:paraId="27A1F0D4" w14:textId="68F32446" w:rsidR="004907FD" w:rsidRDefault="004907FD" w:rsidP="00D64D74">
      <w:pPr>
        <w:spacing w:before="120" w:after="120"/>
        <w:mirrorIndents/>
      </w:pPr>
    </w:p>
    <w:p w14:paraId="52C38917" w14:textId="77777777" w:rsidR="004907FD" w:rsidRDefault="004907FD" w:rsidP="00D64D74">
      <w:pPr>
        <w:spacing w:before="120" w:after="120"/>
        <w:mirrorIndents/>
      </w:pPr>
    </w:p>
    <w:p w14:paraId="085D7A6F" w14:textId="77777777" w:rsidR="00D64D74" w:rsidRDefault="00D64D74" w:rsidP="00D64D74">
      <w:pPr>
        <w:pStyle w:val="Heading2"/>
        <w:spacing w:before="120" w:after="120"/>
        <w:mirrorIndents/>
      </w:pPr>
      <w:bookmarkStart w:id="229" w:name="_Toc444867858"/>
      <w:bookmarkStart w:id="230" w:name="_Toc444883709"/>
      <w:bookmarkStart w:id="231" w:name="_Toc445385234"/>
      <w:bookmarkStart w:id="232" w:name="_Toc448296084"/>
      <w:r>
        <w:t>Estimated Annualized Burden Hours</w:t>
      </w:r>
      <w:bookmarkEnd w:id="229"/>
      <w:bookmarkEnd w:id="230"/>
      <w:bookmarkEnd w:id="231"/>
      <w:bookmarkEnd w:id="232"/>
    </w:p>
    <w:p w14:paraId="052EACC0" w14:textId="251620EB" w:rsidR="00D64D74" w:rsidRPr="00532891" w:rsidRDefault="00D64D74" w:rsidP="00D64D74">
      <w:pPr>
        <w:pStyle w:val="Caption"/>
        <w:spacing w:before="120" w:after="120"/>
        <w:mirrorIndents/>
        <w:rPr>
          <w:sz w:val="24"/>
          <w:szCs w:val="24"/>
        </w:rPr>
      </w:pPr>
      <w:bookmarkStart w:id="233" w:name="_Toc449541623"/>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037D13">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037D13">
        <w:rPr>
          <w:noProof/>
          <w:sz w:val="24"/>
          <w:szCs w:val="24"/>
        </w:rPr>
        <w:t>1</w:t>
      </w:r>
      <w:r>
        <w:rPr>
          <w:sz w:val="24"/>
          <w:szCs w:val="24"/>
        </w:rPr>
        <w:fldChar w:fldCharType="end"/>
      </w:r>
      <w:r w:rsidRPr="00E6566E">
        <w:rPr>
          <w:sz w:val="24"/>
          <w:szCs w:val="24"/>
        </w:rPr>
        <w:t>: Estimated Annualized Burden Hours</w:t>
      </w:r>
      <w:bookmarkEnd w:id="233"/>
      <w:r>
        <w:t xml:space="preserve"> </w:t>
      </w:r>
    </w:p>
    <w:tbl>
      <w:tblP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1584"/>
        <w:gridCol w:w="1584"/>
        <w:gridCol w:w="1584"/>
      </w:tblGrid>
      <w:tr w:rsidR="00D64D74" w14:paraId="3180D95C" w14:textId="77777777" w:rsidTr="008A64DB">
        <w:trPr>
          <w:trHeight w:val="274"/>
        </w:trPr>
        <w:tc>
          <w:tcPr>
            <w:tcW w:w="4225" w:type="dxa"/>
          </w:tcPr>
          <w:p w14:paraId="6AA5EC9B" w14:textId="77777777" w:rsidR="00D64D74" w:rsidRPr="00512CA7" w:rsidRDefault="00D64D74" w:rsidP="008A64DB">
            <w:pPr>
              <w:rPr>
                <w:b/>
              </w:rPr>
            </w:pPr>
            <w:r w:rsidRPr="00512CA7">
              <w:rPr>
                <w:b/>
              </w:rPr>
              <w:t xml:space="preserve">Category of Respondent </w:t>
            </w:r>
            <w:r>
              <w:rPr>
                <w:b/>
              </w:rPr>
              <w:t>Activity</w:t>
            </w:r>
          </w:p>
        </w:tc>
        <w:tc>
          <w:tcPr>
            <w:tcW w:w="1584" w:type="dxa"/>
          </w:tcPr>
          <w:p w14:paraId="7A72F29D" w14:textId="77777777" w:rsidR="00D64D74" w:rsidRPr="00512CA7" w:rsidRDefault="00D64D74" w:rsidP="008A64DB">
            <w:pPr>
              <w:jc w:val="center"/>
              <w:rPr>
                <w:b/>
              </w:rPr>
            </w:pPr>
            <w:r w:rsidRPr="00512CA7">
              <w:rPr>
                <w:b/>
              </w:rPr>
              <w:t>No. of Respondents</w:t>
            </w:r>
          </w:p>
        </w:tc>
        <w:tc>
          <w:tcPr>
            <w:tcW w:w="1584" w:type="dxa"/>
          </w:tcPr>
          <w:p w14:paraId="26D257FD" w14:textId="77777777" w:rsidR="00D64D74" w:rsidRPr="00512CA7" w:rsidRDefault="00D64D74" w:rsidP="008A64DB">
            <w:pPr>
              <w:jc w:val="center"/>
              <w:rPr>
                <w:b/>
              </w:rPr>
            </w:pPr>
            <w:r w:rsidRPr="00512CA7">
              <w:rPr>
                <w:b/>
              </w:rPr>
              <w:t>Participation Time</w:t>
            </w:r>
            <w:r>
              <w:rPr>
                <w:b/>
              </w:rPr>
              <w:t xml:space="preserve"> (min.)</w:t>
            </w:r>
          </w:p>
        </w:tc>
        <w:tc>
          <w:tcPr>
            <w:tcW w:w="1584" w:type="dxa"/>
          </w:tcPr>
          <w:p w14:paraId="6E864E90" w14:textId="77777777" w:rsidR="00D64D74" w:rsidRPr="00512CA7" w:rsidRDefault="00D64D74" w:rsidP="008A64DB">
            <w:pPr>
              <w:jc w:val="center"/>
              <w:rPr>
                <w:b/>
              </w:rPr>
            </w:pPr>
            <w:r w:rsidRPr="00512CA7">
              <w:rPr>
                <w:b/>
              </w:rPr>
              <w:t>Burden</w:t>
            </w:r>
            <w:r>
              <w:rPr>
                <w:b/>
              </w:rPr>
              <w:t xml:space="preserve"> Hours</w:t>
            </w:r>
          </w:p>
        </w:tc>
      </w:tr>
      <w:tr w:rsidR="00D64D74" w14:paraId="116DD660" w14:textId="77777777" w:rsidTr="008A64DB">
        <w:trPr>
          <w:trHeight w:val="274"/>
        </w:trPr>
        <w:tc>
          <w:tcPr>
            <w:tcW w:w="4225" w:type="dxa"/>
          </w:tcPr>
          <w:p w14:paraId="371F5964" w14:textId="0A175219" w:rsidR="00D64D74" w:rsidRPr="00512CA7" w:rsidRDefault="00D64D74" w:rsidP="008A64DB">
            <w:pPr>
              <w:rPr>
                <w:b/>
              </w:rPr>
            </w:pPr>
            <w:r>
              <w:t xml:space="preserve">Physicians – </w:t>
            </w:r>
            <w:r w:rsidR="00683125">
              <w:t>Screener</w:t>
            </w:r>
          </w:p>
        </w:tc>
        <w:tc>
          <w:tcPr>
            <w:tcW w:w="1584" w:type="dxa"/>
          </w:tcPr>
          <w:p w14:paraId="48B5294B" w14:textId="77777777" w:rsidR="00D64D74" w:rsidRPr="00217AB6" w:rsidRDefault="00D64D74" w:rsidP="008A64DB">
            <w:pPr>
              <w:jc w:val="right"/>
              <w:rPr>
                <w:b/>
              </w:rPr>
            </w:pPr>
            <w:r w:rsidRPr="00217AB6">
              <w:t>400</w:t>
            </w:r>
          </w:p>
        </w:tc>
        <w:tc>
          <w:tcPr>
            <w:tcW w:w="1584" w:type="dxa"/>
          </w:tcPr>
          <w:p w14:paraId="68FE0586" w14:textId="77777777" w:rsidR="00D64D74" w:rsidRPr="00217AB6" w:rsidRDefault="00D64D74" w:rsidP="008A64DB">
            <w:pPr>
              <w:jc w:val="right"/>
              <w:rPr>
                <w:b/>
              </w:rPr>
            </w:pPr>
            <w:r>
              <w:t>10</w:t>
            </w:r>
          </w:p>
        </w:tc>
        <w:tc>
          <w:tcPr>
            <w:tcW w:w="1584" w:type="dxa"/>
          </w:tcPr>
          <w:p w14:paraId="7426D95E" w14:textId="77777777" w:rsidR="00D64D74" w:rsidRPr="00217AB6" w:rsidRDefault="00D64D74" w:rsidP="008A64DB">
            <w:pPr>
              <w:jc w:val="right"/>
              <w:rPr>
                <w:b/>
              </w:rPr>
            </w:pPr>
            <w:r w:rsidRPr="00217AB6">
              <w:t xml:space="preserve">67 </w:t>
            </w:r>
          </w:p>
        </w:tc>
      </w:tr>
      <w:tr w:rsidR="00EC4A0C" w14:paraId="478E8C99" w14:textId="77777777" w:rsidTr="008A64DB">
        <w:trPr>
          <w:trHeight w:val="274"/>
        </w:trPr>
        <w:tc>
          <w:tcPr>
            <w:tcW w:w="4225" w:type="dxa"/>
          </w:tcPr>
          <w:p w14:paraId="7C15F40E" w14:textId="0AFB2F25" w:rsidR="00EC4A0C" w:rsidRDefault="00EC4A0C" w:rsidP="008A64DB">
            <w:r>
              <w:t>Physicians – Consent Form</w:t>
            </w:r>
          </w:p>
        </w:tc>
        <w:tc>
          <w:tcPr>
            <w:tcW w:w="1584" w:type="dxa"/>
          </w:tcPr>
          <w:p w14:paraId="7140A768" w14:textId="2F0CA999" w:rsidR="00EC4A0C" w:rsidRPr="00217AB6" w:rsidRDefault="00EC4A0C" w:rsidP="008A64DB">
            <w:pPr>
              <w:jc w:val="right"/>
            </w:pPr>
            <w:r>
              <w:t>128</w:t>
            </w:r>
          </w:p>
        </w:tc>
        <w:tc>
          <w:tcPr>
            <w:tcW w:w="1584" w:type="dxa"/>
          </w:tcPr>
          <w:p w14:paraId="58633764" w14:textId="4ABE0FAC" w:rsidR="00EC4A0C" w:rsidRDefault="00EC4A0C" w:rsidP="008A64DB">
            <w:pPr>
              <w:jc w:val="right"/>
            </w:pPr>
            <w:r>
              <w:t>3</w:t>
            </w:r>
          </w:p>
        </w:tc>
        <w:tc>
          <w:tcPr>
            <w:tcW w:w="1584" w:type="dxa"/>
          </w:tcPr>
          <w:p w14:paraId="7150E5D8" w14:textId="11DE58D4" w:rsidR="00EC4A0C" w:rsidRPr="00217AB6" w:rsidRDefault="00EC4A0C" w:rsidP="008A64DB">
            <w:pPr>
              <w:jc w:val="right"/>
            </w:pPr>
            <w:r>
              <w:t>6</w:t>
            </w:r>
          </w:p>
        </w:tc>
      </w:tr>
      <w:tr w:rsidR="00D64D74" w14:paraId="60E898E4" w14:textId="77777777" w:rsidTr="008A64DB">
        <w:trPr>
          <w:trHeight w:val="274"/>
        </w:trPr>
        <w:tc>
          <w:tcPr>
            <w:tcW w:w="4225" w:type="dxa"/>
          </w:tcPr>
          <w:p w14:paraId="3DC5D1A7" w14:textId="2C4A5AAE" w:rsidR="00D64D74" w:rsidRDefault="00D64D74" w:rsidP="008A64DB">
            <w:r>
              <w:t>Physicians – Focus Group</w:t>
            </w:r>
          </w:p>
        </w:tc>
        <w:tc>
          <w:tcPr>
            <w:tcW w:w="1584" w:type="dxa"/>
          </w:tcPr>
          <w:p w14:paraId="6908D705" w14:textId="77777777" w:rsidR="00D64D74" w:rsidRPr="00217AB6" w:rsidRDefault="00D64D74" w:rsidP="008A64DB">
            <w:pPr>
              <w:jc w:val="right"/>
            </w:pPr>
            <w:r w:rsidRPr="00217AB6">
              <w:t>128</w:t>
            </w:r>
          </w:p>
        </w:tc>
        <w:tc>
          <w:tcPr>
            <w:tcW w:w="1584" w:type="dxa"/>
          </w:tcPr>
          <w:p w14:paraId="132DD57A" w14:textId="77777777" w:rsidR="00D64D74" w:rsidRPr="00217AB6" w:rsidRDefault="00D64D74" w:rsidP="008A64DB">
            <w:pPr>
              <w:jc w:val="right"/>
            </w:pPr>
            <w:r>
              <w:t>75</w:t>
            </w:r>
          </w:p>
        </w:tc>
        <w:tc>
          <w:tcPr>
            <w:tcW w:w="1584" w:type="dxa"/>
          </w:tcPr>
          <w:p w14:paraId="60636A0F" w14:textId="77777777" w:rsidR="00D64D74" w:rsidRPr="00217AB6" w:rsidRDefault="00D64D74" w:rsidP="008A64DB">
            <w:pPr>
              <w:jc w:val="right"/>
            </w:pPr>
            <w:r>
              <w:t>160</w:t>
            </w:r>
          </w:p>
        </w:tc>
      </w:tr>
      <w:tr w:rsidR="00D64D74" w:rsidRPr="0042426B" w14:paraId="3041B382" w14:textId="77777777" w:rsidTr="008A64DB">
        <w:trPr>
          <w:trHeight w:val="289"/>
        </w:trPr>
        <w:tc>
          <w:tcPr>
            <w:tcW w:w="4225" w:type="dxa"/>
          </w:tcPr>
          <w:p w14:paraId="563E3BB1" w14:textId="2B1FB120" w:rsidR="00D64D74" w:rsidRPr="00512CA7" w:rsidRDefault="00D64D74" w:rsidP="008A64DB">
            <w:pPr>
              <w:rPr>
                <w:b/>
              </w:rPr>
            </w:pPr>
            <w:r w:rsidRPr="00512CA7">
              <w:rPr>
                <w:b/>
              </w:rPr>
              <w:t>Tota</w:t>
            </w:r>
            <w:r w:rsidR="00EC4A0C">
              <w:rPr>
                <w:b/>
              </w:rPr>
              <w:t>l</w:t>
            </w:r>
          </w:p>
        </w:tc>
        <w:tc>
          <w:tcPr>
            <w:tcW w:w="1584" w:type="dxa"/>
          </w:tcPr>
          <w:p w14:paraId="2C84DF7A" w14:textId="77777777" w:rsidR="00D64D74" w:rsidRPr="00217AB6" w:rsidRDefault="00D64D74" w:rsidP="008A64DB">
            <w:pPr>
              <w:jc w:val="right"/>
              <w:rPr>
                <w:b/>
              </w:rPr>
            </w:pPr>
            <w:r w:rsidRPr="00217AB6">
              <w:rPr>
                <w:b/>
              </w:rPr>
              <w:t>528</w:t>
            </w:r>
          </w:p>
        </w:tc>
        <w:tc>
          <w:tcPr>
            <w:tcW w:w="1584" w:type="dxa"/>
          </w:tcPr>
          <w:p w14:paraId="007E0D90" w14:textId="388F4D6C" w:rsidR="00D64D74" w:rsidRPr="00D64D74" w:rsidRDefault="00D64D74" w:rsidP="008A64DB">
            <w:pPr>
              <w:jc w:val="right"/>
              <w:rPr>
                <w:b/>
              </w:rPr>
            </w:pPr>
            <w:r w:rsidRPr="00D64D74">
              <w:rPr>
                <w:b/>
              </w:rPr>
              <w:t>85</w:t>
            </w:r>
          </w:p>
        </w:tc>
        <w:tc>
          <w:tcPr>
            <w:tcW w:w="1584" w:type="dxa"/>
          </w:tcPr>
          <w:p w14:paraId="7EDAF04D" w14:textId="1B6A43F0" w:rsidR="00D64D74" w:rsidRPr="0042426B" w:rsidRDefault="00D64D74" w:rsidP="00EC4A0C">
            <w:pPr>
              <w:jc w:val="right"/>
              <w:rPr>
                <w:b/>
                <w:highlight w:val="yellow"/>
              </w:rPr>
            </w:pPr>
            <w:r w:rsidRPr="006D6472">
              <w:rPr>
                <w:b/>
              </w:rPr>
              <w:t>2</w:t>
            </w:r>
            <w:r w:rsidR="00EC4A0C" w:rsidRPr="006D6472">
              <w:rPr>
                <w:b/>
              </w:rPr>
              <w:t>33</w:t>
            </w:r>
          </w:p>
        </w:tc>
      </w:tr>
    </w:tbl>
    <w:p w14:paraId="63905911" w14:textId="77777777" w:rsidR="00D64D74" w:rsidRPr="00E6566E" w:rsidRDefault="00D64D74" w:rsidP="00D64D74">
      <w:pPr>
        <w:pStyle w:val="Heading2"/>
        <w:spacing w:before="120" w:after="120"/>
        <w:mirrorIndents/>
        <w:rPr>
          <w:b w:val="0"/>
        </w:rPr>
      </w:pPr>
      <w:bookmarkStart w:id="234" w:name="_Toc444867859"/>
      <w:bookmarkStart w:id="235" w:name="_Toc444883710"/>
      <w:bookmarkStart w:id="236" w:name="_Toc445385235"/>
      <w:bookmarkStart w:id="237" w:name="_Toc448296085"/>
      <w:r w:rsidRPr="00E6566E">
        <w:t>Estimated Annualized Burden Costs</w:t>
      </w:r>
      <w:bookmarkEnd w:id="234"/>
      <w:bookmarkEnd w:id="235"/>
      <w:bookmarkEnd w:id="236"/>
      <w:bookmarkEnd w:id="237"/>
    </w:p>
    <w:p w14:paraId="33B5CF06" w14:textId="77777777" w:rsidR="00D64D74" w:rsidRDefault="00D64D74" w:rsidP="00D64D74">
      <w:pPr>
        <w:spacing w:before="120" w:after="120"/>
        <w:mirrorIndents/>
      </w:pPr>
      <w:r w:rsidRPr="007E5176">
        <w:t xml:space="preserve">The annualized costs to the </w:t>
      </w:r>
      <w:r>
        <w:t>participants</w:t>
      </w:r>
      <w:r w:rsidRPr="007E5176">
        <w:t xml:space="preserve"> are described in Exhibit 12.</w:t>
      </w:r>
      <w:r>
        <w:t>2</w:t>
      </w:r>
      <w:r w:rsidRPr="007E5176">
        <w:t xml:space="preserve">. </w:t>
      </w:r>
      <w:r>
        <w:t>To estimate the hourly wage rate of those involved in this study, we have used information from the</w:t>
      </w:r>
      <w:r w:rsidRPr="007E5176">
        <w:t xml:space="preserve"> United States Bureau of Labor Statistics</w:t>
      </w:r>
      <w:r>
        <w:t xml:space="preserve"> (BLS). Results from the latest BLS Occupational Employment Statistics survey (conducted in May 2018) were released on March 29, 2019 and form the basis of the estimates below. (Source: </w:t>
      </w:r>
      <w:hyperlink r:id="rId10" w:history="1">
        <w:r w:rsidRPr="00B2350C">
          <w:rPr>
            <w:rStyle w:val="Hyperlink"/>
          </w:rPr>
          <w:t>https://www.bls.gov/news.release/ocwage.t01.htm</w:t>
        </w:r>
      </w:hyperlink>
      <w:r>
        <w:t>)</w:t>
      </w:r>
    </w:p>
    <w:p w14:paraId="60D3D798" w14:textId="299A384E" w:rsidR="00D64D74" w:rsidRDefault="00D64D74" w:rsidP="00D64D74">
      <w:pPr>
        <w:spacing w:before="120" w:after="120"/>
        <w:mirrorIndents/>
      </w:pPr>
      <w:r>
        <w:t>The mean hourly wage for “family and general practitioners,” the best available analogue for this study’s primary care physician audience, is $101.82. The mean hourly wage for o</w:t>
      </w:r>
      <w:r w:rsidRPr="00523C60">
        <w:t>bstetricians and gynecologists</w:t>
      </w:r>
      <w:r>
        <w:t xml:space="preserve"> is $114.58. Because an equal number of respondents from both groups will participate in this study, and because we anticipate no differences in their rate of qualification, we have used the average of these two hourly wages ($108.20) below.</w:t>
      </w:r>
    </w:p>
    <w:p w14:paraId="3A02C7D2" w14:textId="5171ED5D" w:rsidR="00D64D74" w:rsidRPr="00BC096D" w:rsidRDefault="00D64D74" w:rsidP="00D64D74">
      <w:pPr>
        <w:spacing w:before="120" w:after="120"/>
        <w:mirrorIndents/>
        <w:rPr>
          <w:color w:val="000000" w:themeColor="text1"/>
        </w:rPr>
      </w:pPr>
      <w:r w:rsidRPr="00BC096D">
        <w:rPr>
          <w:color w:val="000000" w:themeColor="text1"/>
        </w:rPr>
        <w:t xml:space="preserve">The total estimated cost of the burden to participants is approximately </w:t>
      </w:r>
      <w:r w:rsidR="00951C80" w:rsidRPr="008422A5">
        <w:rPr>
          <w:color w:val="000000" w:themeColor="text1"/>
        </w:rPr>
        <w:t>$25,253.88</w:t>
      </w:r>
      <w:r>
        <w:rPr>
          <w:color w:val="000000" w:themeColor="text1"/>
        </w:rPr>
        <w:t>, which</w:t>
      </w:r>
      <w:r w:rsidRPr="00BC096D">
        <w:rPr>
          <w:color w:val="000000" w:themeColor="text1"/>
        </w:rPr>
        <w:t xml:space="preserve"> represents the total burden hour</w:t>
      </w:r>
      <w:r>
        <w:rPr>
          <w:color w:val="000000" w:themeColor="text1"/>
        </w:rPr>
        <w:t xml:space="preserve">s </w:t>
      </w:r>
      <w:r w:rsidRPr="00BC096D">
        <w:rPr>
          <w:color w:val="000000" w:themeColor="text1"/>
        </w:rPr>
        <w:t xml:space="preserve">multiplied by the average hourly wage rate ($108.20). </w:t>
      </w:r>
    </w:p>
    <w:p w14:paraId="17B8A8D2" w14:textId="0D347F69" w:rsidR="00D64D74" w:rsidRDefault="00D64D74" w:rsidP="00D64D74">
      <w:pPr>
        <w:pStyle w:val="Caption"/>
        <w:spacing w:before="120" w:after="120"/>
        <w:mirrorIndents/>
        <w:rPr>
          <w:sz w:val="24"/>
          <w:szCs w:val="24"/>
        </w:rPr>
      </w:pPr>
      <w:r w:rsidRPr="00603813">
        <w:t xml:space="preserve"> </w:t>
      </w:r>
      <w:bookmarkStart w:id="238" w:name="_Toc449541624"/>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037D13">
        <w:rPr>
          <w:noProof/>
          <w:sz w:val="24"/>
          <w:szCs w:val="24"/>
        </w:rPr>
        <w:t>12</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037D13">
        <w:rPr>
          <w:noProof/>
          <w:sz w:val="24"/>
          <w:szCs w:val="24"/>
        </w:rPr>
        <w:t>2</w:t>
      </w:r>
      <w:r>
        <w:rPr>
          <w:sz w:val="24"/>
          <w:szCs w:val="24"/>
        </w:rPr>
        <w:fldChar w:fldCharType="end"/>
      </w:r>
      <w:r w:rsidRPr="00E6566E">
        <w:rPr>
          <w:sz w:val="24"/>
          <w:szCs w:val="24"/>
        </w:rPr>
        <w:t xml:space="preserve">: Estimated Annualized Burden </w:t>
      </w:r>
      <w:r>
        <w:rPr>
          <w:sz w:val="24"/>
          <w:szCs w:val="24"/>
        </w:rPr>
        <w:t>Costs</w:t>
      </w:r>
      <w:bookmarkEnd w:id="238"/>
    </w:p>
    <w:tbl>
      <w:tblP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1440"/>
        <w:gridCol w:w="1530"/>
        <w:gridCol w:w="1782"/>
      </w:tblGrid>
      <w:tr w:rsidR="00D64D74" w14:paraId="6B4F4890" w14:textId="77777777" w:rsidTr="00460BD9">
        <w:trPr>
          <w:trHeight w:val="274"/>
        </w:trPr>
        <w:tc>
          <w:tcPr>
            <w:tcW w:w="4225" w:type="dxa"/>
          </w:tcPr>
          <w:p w14:paraId="2231387D" w14:textId="77777777" w:rsidR="00D64D74" w:rsidRPr="00512CA7" w:rsidRDefault="00D64D74" w:rsidP="008A64DB">
            <w:pPr>
              <w:rPr>
                <w:b/>
              </w:rPr>
            </w:pPr>
            <w:r w:rsidRPr="00512CA7">
              <w:rPr>
                <w:b/>
              </w:rPr>
              <w:t xml:space="preserve">Category of Respondent </w:t>
            </w:r>
            <w:r>
              <w:rPr>
                <w:b/>
              </w:rPr>
              <w:t>Activity</w:t>
            </w:r>
          </w:p>
        </w:tc>
        <w:tc>
          <w:tcPr>
            <w:tcW w:w="1440" w:type="dxa"/>
          </w:tcPr>
          <w:p w14:paraId="5550CFBA" w14:textId="77777777" w:rsidR="00D64D74" w:rsidRPr="0062606A" w:rsidRDefault="00D64D74" w:rsidP="008A64DB">
            <w:pPr>
              <w:mirrorIndents/>
              <w:jc w:val="center"/>
              <w:rPr>
                <w:b/>
              </w:rPr>
            </w:pPr>
            <w:r w:rsidRPr="0062606A">
              <w:rPr>
                <w:b/>
              </w:rPr>
              <w:t>Burden</w:t>
            </w:r>
          </w:p>
          <w:p w14:paraId="183DF4E1" w14:textId="77777777" w:rsidR="00D64D74" w:rsidRPr="00512CA7" w:rsidRDefault="00D64D74" w:rsidP="008A64DB">
            <w:pPr>
              <w:jc w:val="center"/>
              <w:rPr>
                <w:b/>
              </w:rPr>
            </w:pPr>
            <w:r w:rsidRPr="0062606A">
              <w:rPr>
                <w:b/>
              </w:rPr>
              <w:t>Hours</w:t>
            </w:r>
          </w:p>
        </w:tc>
        <w:tc>
          <w:tcPr>
            <w:tcW w:w="1530" w:type="dxa"/>
          </w:tcPr>
          <w:p w14:paraId="1BE81B34" w14:textId="77777777" w:rsidR="00D64D74" w:rsidRPr="00512CA7" w:rsidRDefault="00D64D74" w:rsidP="008A64DB">
            <w:pPr>
              <w:jc w:val="center"/>
              <w:rPr>
                <w:b/>
              </w:rPr>
            </w:pPr>
            <w:r w:rsidRPr="0062606A">
              <w:rPr>
                <w:b/>
              </w:rPr>
              <w:t>Hourly Wage Rate</w:t>
            </w:r>
          </w:p>
        </w:tc>
        <w:tc>
          <w:tcPr>
            <w:tcW w:w="1782" w:type="dxa"/>
          </w:tcPr>
          <w:p w14:paraId="32686DF6" w14:textId="77777777" w:rsidR="00D64D74" w:rsidRPr="00512CA7" w:rsidRDefault="00D64D74" w:rsidP="008A64DB">
            <w:pPr>
              <w:jc w:val="center"/>
              <w:rPr>
                <w:b/>
              </w:rPr>
            </w:pPr>
            <w:r w:rsidRPr="0062606A">
              <w:rPr>
                <w:b/>
              </w:rPr>
              <w:t>Respondent Costs</w:t>
            </w:r>
          </w:p>
        </w:tc>
      </w:tr>
      <w:tr w:rsidR="00D64D74" w14:paraId="14F7799E" w14:textId="77777777" w:rsidTr="00460BD9">
        <w:trPr>
          <w:trHeight w:val="274"/>
        </w:trPr>
        <w:tc>
          <w:tcPr>
            <w:tcW w:w="4225" w:type="dxa"/>
          </w:tcPr>
          <w:p w14:paraId="5B9FA01E" w14:textId="22F1D865" w:rsidR="00D64D74" w:rsidRPr="00512CA7" w:rsidRDefault="00D64D74" w:rsidP="008A64DB">
            <w:pPr>
              <w:rPr>
                <w:b/>
              </w:rPr>
            </w:pPr>
            <w:r>
              <w:t xml:space="preserve">Physicians – </w:t>
            </w:r>
            <w:r w:rsidR="00683125">
              <w:t>S</w:t>
            </w:r>
            <w:r w:rsidR="00683125" w:rsidRPr="00747E3B">
              <w:t>creene</w:t>
            </w:r>
            <w:r w:rsidR="00683125">
              <w:t>r</w:t>
            </w:r>
          </w:p>
        </w:tc>
        <w:tc>
          <w:tcPr>
            <w:tcW w:w="1440" w:type="dxa"/>
          </w:tcPr>
          <w:p w14:paraId="15CE76A4" w14:textId="77777777" w:rsidR="00D64D74" w:rsidRPr="00217AB6" w:rsidRDefault="00D64D74" w:rsidP="008A64DB">
            <w:pPr>
              <w:jc w:val="right"/>
              <w:rPr>
                <w:b/>
              </w:rPr>
            </w:pPr>
            <w:r w:rsidRPr="00217AB6">
              <w:t xml:space="preserve">67 </w:t>
            </w:r>
          </w:p>
        </w:tc>
        <w:tc>
          <w:tcPr>
            <w:tcW w:w="1530" w:type="dxa"/>
            <w:vAlign w:val="center"/>
          </w:tcPr>
          <w:p w14:paraId="2CAA3FF4" w14:textId="77777777" w:rsidR="00D64D74" w:rsidRPr="00217AB6" w:rsidRDefault="00D64D74" w:rsidP="008A64DB">
            <w:pPr>
              <w:jc w:val="right"/>
              <w:rPr>
                <w:b/>
              </w:rPr>
            </w:pPr>
            <w:r>
              <w:t>$108.20</w:t>
            </w:r>
          </w:p>
        </w:tc>
        <w:tc>
          <w:tcPr>
            <w:tcW w:w="1782" w:type="dxa"/>
            <w:vAlign w:val="center"/>
          </w:tcPr>
          <w:p w14:paraId="1A644D55" w14:textId="377002DB" w:rsidR="00D64D74" w:rsidRPr="00BC096D" w:rsidRDefault="00D64D74" w:rsidP="008A64DB">
            <w:pPr>
              <w:jc w:val="right"/>
              <w:rPr>
                <w:b/>
                <w:color w:val="000000" w:themeColor="text1"/>
              </w:rPr>
            </w:pPr>
            <w:r w:rsidRPr="00BC096D">
              <w:rPr>
                <w:color w:val="000000" w:themeColor="text1"/>
              </w:rPr>
              <w:t>$7,249</w:t>
            </w:r>
            <w:r w:rsidR="00460BD9">
              <w:rPr>
                <w:color w:val="000000" w:themeColor="text1"/>
              </w:rPr>
              <w:t>.</w:t>
            </w:r>
            <w:r w:rsidRPr="00BC096D">
              <w:rPr>
                <w:color w:val="000000" w:themeColor="text1"/>
              </w:rPr>
              <w:t>40</w:t>
            </w:r>
          </w:p>
        </w:tc>
      </w:tr>
      <w:tr w:rsidR="00EC4A0C" w14:paraId="61B929CB" w14:textId="77777777" w:rsidTr="00460BD9">
        <w:trPr>
          <w:trHeight w:val="274"/>
        </w:trPr>
        <w:tc>
          <w:tcPr>
            <w:tcW w:w="4225" w:type="dxa"/>
          </w:tcPr>
          <w:p w14:paraId="04D3658E" w14:textId="49E9D63E" w:rsidR="00EC4A0C" w:rsidRDefault="00EC4A0C" w:rsidP="00EC4A0C">
            <w:r>
              <w:t>Physicians – Consent Form</w:t>
            </w:r>
          </w:p>
        </w:tc>
        <w:tc>
          <w:tcPr>
            <w:tcW w:w="1440" w:type="dxa"/>
          </w:tcPr>
          <w:p w14:paraId="3CEBBE7F" w14:textId="1A027C1C" w:rsidR="00EC4A0C" w:rsidRDefault="00EC4A0C" w:rsidP="00EC4A0C">
            <w:pPr>
              <w:jc w:val="right"/>
            </w:pPr>
            <w:r>
              <w:t>6</w:t>
            </w:r>
          </w:p>
        </w:tc>
        <w:tc>
          <w:tcPr>
            <w:tcW w:w="1530" w:type="dxa"/>
          </w:tcPr>
          <w:p w14:paraId="3AF7D3AC" w14:textId="02CE0675" w:rsidR="00EC4A0C" w:rsidRDefault="00EC4A0C" w:rsidP="00EC4A0C">
            <w:pPr>
              <w:jc w:val="right"/>
            </w:pPr>
            <w:r>
              <w:t>$108.20</w:t>
            </w:r>
          </w:p>
        </w:tc>
        <w:tc>
          <w:tcPr>
            <w:tcW w:w="1782" w:type="dxa"/>
          </w:tcPr>
          <w:p w14:paraId="5080368A" w14:textId="7C16076B" w:rsidR="00EC4A0C" w:rsidRPr="00BC096D" w:rsidRDefault="00EC4A0C" w:rsidP="00841EF0">
            <w:pPr>
              <w:jc w:val="right"/>
              <w:rPr>
                <w:color w:val="000000" w:themeColor="text1"/>
              </w:rPr>
            </w:pPr>
            <w:r>
              <w:t>$</w:t>
            </w:r>
            <w:r w:rsidR="00841EF0">
              <w:t>649.20</w:t>
            </w:r>
          </w:p>
        </w:tc>
      </w:tr>
      <w:tr w:rsidR="00D64D74" w14:paraId="69DCDCE1" w14:textId="77777777" w:rsidTr="00460BD9">
        <w:trPr>
          <w:trHeight w:val="274"/>
        </w:trPr>
        <w:tc>
          <w:tcPr>
            <w:tcW w:w="4225" w:type="dxa"/>
          </w:tcPr>
          <w:p w14:paraId="75015DAA" w14:textId="77777777" w:rsidR="00D64D74" w:rsidRDefault="00D64D74" w:rsidP="008A64DB">
            <w:r>
              <w:t>Physicians – Focus Group</w:t>
            </w:r>
          </w:p>
        </w:tc>
        <w:tc>
          <w:tcPr>
            <w:tcW w:w="1440" w:type="dxa"/>
          </w:tcPr>
          <w:p w14:paraId="50733699" w14:textId="77777777" w:rsidR="00D64D74" w:rsidRPr="00217AB6" w:rsidRDefault="00D64D74" w:rsidP="008A64DB">
            <w:pPr>
              <w:jc w:val="right"/>
            </w:pPr>
            <w:r>
              <w:t>160</w:t>
            </w:r>
          </w:p>
        </w:tc>
        <w:tc>
          <w:tcPr>
            <w:tcW w:w="1530" w:type="dxa"/>
            <w:vAlign w:val="center"/>
          </w:tcPr>
          <w:p w14:paraId="6F025E86" w14:textId="77777777" w:rsidR="00D64D74" w:rsidRPr="00217AB6" w:rsidRDefault="00D64D74" w:rsidP="008A64DB">
            <w:pPr>
              <w:jc w:val="right"/>
            </w:pPr>
            <w:r>
              <w:t>$108.20</w:t>
            </w:r>
          </w:p>
        </w:tc>
        <w:tc>
          <w:tcPr>
            <w:tcW w:w="1782" w:type="dxa"/>
            <w:vAlign w:val="center"/>
          </w:tcPr>
          <w:p w14:paraId="48F13DCE" w14:textId="77777777" w:rsidR="00D64D74" w:rsidRPr="00BC096D" w:rsidRDefault="00D64D74" w:rsidP="008A64DB">
            <w:pPr>
              <w:jc w:val="right"/>
              <w:rPr>
                <w:color w:val="000000" w:themeColor="text1"/>
              </w:rPr>
            </w:pPr>
            <w:r w:rsidRPr="00BC096D">
              <w:rPr>
                <w:color w:val="000000" w:themeColor="text1"/>
              </w:rPr>
              <w:t>$17,312.00</w:t>
            </w:r>
          </w:p>
        </w:tc>
      </w:tr>
      <w:tr w:rsidR="00D64D74" w:rsidRPr="00951C80" w14:paraId="4B993427" w14:textId="77777777" w:rsidTr="00460BD9">
        <w:trPr>
          <w:trHeight w:val="289"/>
        </w:trPr>
        <w:tc>
          <w:tcPr>
            <w:tcW w:w="4225" w:type="dxa"/>
          </w:tcPr>
          <w:p w14:paraId="591283CC" w14:textId="77777777" w:rsidR="00D64D74" w:rsidRPr="00512CA7" w:rsidRDefault="00D64D74" w:rsidP="008A64DB">
            <w:pPr>
              <w:rPr>
                <w:b/>
              </w:rPr>
            </w:pPr>
            <w:r w:rsidRPr="00512CA7">
              <w:rPr>
                <w:b/>
              </w:rPr>
              <w:t>Totals</w:t>
            </w:r>
          </w:p>
        </w:tc>
        <w:tc>
          <w:tcPr>
            <w:tcW w:w="1440" w:type="dxa"/>
          </w:tcPr>
          <w:p w14:paraId="3656FDB4" w14:textId="3A7871F5" w:rsidR="00D64D74" w:rsidRPr="00217AB6" w:rsidRDefault="00841EF0" w:rsidP="008A64DB">
            <w:pPr>
              <w:jc w:val="right"/>
              <w:rPr>
                <w:b/>
              </w:rPr>
            </w:pPr>
            <w:r>
              <w:rPr>
                <w:b/>
              </w:rPr>
              <w:t>233</w:t>
            </w:r>
          </w:p>
        </w:tc>
        <w:tc>
          <w:tcPr>
            <w:tcW w:w="1530" w:type="dxa"/>
          </w:tcPr>
          <w:p w14:paraId="424FBF01" w14:textId="39B8A81C" w:rsidR="00D64D74" w:rsidRPr="00BC096D" w:rsidRDefault="00D64D74" w:rsidP="008A64DB">
            <w:pPr>
              <w:jc w:val="right"/>
              <w:rPr>
                <w:b/>
              </w:rPr>
            </w:pPr>
          </w:p>
        </w:tc>
        <w:tc>
          <w:tcPr>
            <w:tcW w:w="1782" w:type="dxa"/>
            <w:vAlign w:val="center"/>
          </w:tcPr>
          <w:p w14:paraId="085F5053" w14:textId="23DA899F" w:rsidR="00D64D74" w:rsidRPr="00951C80" w:rsidRDefault="00D64D74" w:rsidP="00841EF0">
            <w:pPr>
              <w:jc w:val="right"/>
              <w:rPr>
                <w:b/>
                <w:color w:val="000000" w:themeColor="text1"/>
                <w:highlight w:val="yellow"/>
              </w:rPr>
            </w:pPr>
            <w:r w:rsidRPr="008422A5">
              <w:rPr>
                <w:b/>
                <w:color w:val="000000" w:themeColor="text1"/>
              </w:rPr>
              <w:t>$</w:t>
            </w:r>
            <w:r w:rsidR="00841EF0">
              <w:rPr>
                <w:b/>
                <w:color w:val="000000" w:themeColor="text1"/>
              </w:rPr>
              <w:t>2</w:t>
            </w:r>
            <w:r w:rsidR="00460BD9">
              <w:rPr>
                <w:b/>
                <w:color w:val="000000" w:themeColor="text1"/>
              </w:rPr>
              <w:t>5,</w:t>
            </w:r>
            <w:r w:rsidR="00841EF0">
              <w:rPr>
                <w:b/>
                <w:color w:val="000000" w:themeColor="text1"/>
              </w:rPr>
              <w:t>210.60</w:t>
            </w:r>
          </w:p>
        </w:tc>
      </w:tr>
    </w:tbl>
    <w:p w14:paraId="4F729841" w14:textId="77777777" w:rsidR="00D64D74" w:rsidRPr="00960C12" w:rsidRDefault="00D64D74" w:rsidP="00D64D74"/>
    <w:p w14:paraId="07331FCD" w14:textId="77777777" w:rsidR="00D64D74" w:rsidRDefault="00D64D74" w:rsidP="00D64D74">
      <w:pPr>
        <w:pStyle w:val="Heading1"/>
        <w:spacing w:before="120" w:after="120"/>
        <w:mirrorIndents/>
      </w:pPr>
      <w:bookmarkStart w:id="239" w:name="_Toc448296086"/>
      <w:r w:rsidRPr="00B12EA3">
        <w:t>Estimates of Other Total Annual Cost Burden to Respondents and Record Keepers</w:t>
      </w:r>
      <w:bookmarkEnd w:id="239"/>
    </w:p>
    <w:p w14:paraId="4F57B145" w14:textId="0CA4E441" w:rsidR="00D64D74" w:rsidRDefault="00D64D74" w:rsidP="00D64D74">
      <w:pPr>
        <w:spacing w:before="120" w:after="120"/>
        <w:mirrorIndents/>
      </w:pPr>
      <w:r w:rsidRPr="00F15684">
        <w:t xml:space="preserve">There are no other </w:t>
      </w:r>
      <w:r w:rsidR="00E240BF">
        <w:t xml:space="preserve">costs to respondents or record keepers </w:t>
      </w:r>
      <w:r w:rsidRPr="00F15684">
        <w:t xml:space="preserve">for participating in this </w:t>
      </w:r>
      <w:r w:rsidR="00D17CF3">
        <w:t>research</w:t>
      </w:r>
      <w:r w:rsidRPr="00F15684">
        <w:t>.</w:t>
      </w:r>
    </w:p>
    <w:p w14:paraId="72388DF0" w14:textId="77777777" w:rsidR="00D64D74" w:rsidRPr="00F951D1" w:rsidRDefault="00D64D74" w:rsidP="00A60D3F">
      <w:pPr>
        <w:spacing w:before="120"/>
        <w:mirrorIndents/>
      </w:pPr>
    </w:p>
    <w:p w14:paraId="7EAA2346" w14:textId="77777777" w:rsidR="00D64D74" w:rsidRDefault="00D64D74" w:rsidP="00D64D74">
      <w:pPr>
        <w:pStyle w:val="Heading1"/>
        <w:spacing w:before="120" w:after="120"/>
        <w:mirrorIndents/>
      </w:pPr>
      <w:bookmarkStart w:id="240" w:name="_Toc448296087"/>
      <w:r w:rsidRPr="00E6566E">
        <w:t>Annualized Cost to the Federal Government</w:t>
      </w:r>
      <w:bookmarkEnd w:id="240"/>
    </w:p>
    <w:p w14:paraId="5FDAB718" w14:textId="566E2DF6" w:rsidR="005C348B" w:rsidRDefault="005C348B" w:rsidP="005C348B">
      <w:pPr>
        <w:spacing w:before="120" w:after="120"/>
        <w:mirrorIndents/>
      </w:pPr>
      <w:r w:rsidRPr="008422A5">
        <w:t>Exhibit 14.1 provides the annualized cost to the government, which totals $</w:t>
      </w:r>
      <w:r w:rsidR="008422A5" w:rsidRPr="008422A5">
        <w:t>25,253</w:t>
      </w:r>
      <w:r w:rsidR="00014297" w:rsidRPr="008422A5">
        <w:t xml:space="preserve"> </w:t>
      </w:r>
      <w:r w:rsidRPr="008422A5">
        <w:t>using the 2019 Atlanta locality salary schedule. CDC supports costs for hepatitis C task orders using funds budgeted for these purposes. Managing</w:t>
      </w:r>
      <w:r w:rsidRPr="00B65A4F">
        <w:t xml:space="preserve"> the project, providing technical assistance, monitoring and analyzing the submitted data, and generating assorted reports </w:t>
      </w:r>
      <w:r>
        <w:t>will</w:t>
      </w:r>
      <w:r w:rsidRPr="00B65A4F">
        <w:t xml:space="preserve"> require the expertise of </w:t>
      </w:r>
      <w:r>
        <w:t>two</w:t>
      </w:r>
      <w:r w:rsidRPr="00B65A4F">
        <w:t xml:space="preserve"> CDC staff. </w:t>
      </w:r>
    </w:p>
    <w:p w14:paraId="7682DCFD" w14:textId="34D9AD27" w:rsidR="004907FD" w:rsidRDefault="004907FD" w:rsidP="005C348B">
      <w:pPr>
        <w:spacing w:before="120" w:after="120"/>
        <w:mirrorIndents/>
      </w:pPr>
    </w:p>
    <w:p w14:paraId="1DD49041" w14:textId="77777777" w:rsidR="004907FD" w:rsidRPr="00B65A4F" w:rsidRDefault="004907FD" w:rsidP="005C348B">
      <w:pPr>
        <w:spacing w:before="120" w:after="120"/>
        <w:mirrorIndents/>
      </w:pPr>
    </w:p>
    <w:p w14:paraId="64AEF606" w14:textId="1DD49041" w:rsidR="005C348B" w:rsidRPr="007376F4" w:rsidRDefault="005C348B" w:rsidP="005C348B">
      <w:pPr>
        <w:pStyle w:val="Caption"/>
        <w:keepNext/>
        <w:spacing w:before="120" w:after="120"/>
        <w:mirrorIndents/>
      </w:pPr>
      <w:bookmarkStart w:id="241" w:name="_Toc449541625"/>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037D13">
        <w:rPr>
          <w:noProof/>
          <w:sz w:val="24"/>
          <w:szCs w:val="24"/>
        </w:rPr>
        <w:t>14</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037D13">
        <w:rPr>
          <w:noProof/>
          <w:sz w:val="24"/>
          <w:szCs w:val="24"/>
        </w:rPr>
        <w:t>1</w:t>
      </w:r>
      <w:r>
        <w:rPr>
          <w:sz w:val="24"/>
          <w:szCs w:val="24"/>
        </w:rPr>
        <w:fldChar w:fldCharType="end"/>
      </w:r>
      <w:r w:rsidRPr="00E6566E">
        <w:rPr>
          <w:sz w:val="24"/>
          <w:szCs w:val="24"/>
        </w:rPr>
        <w:t>: Annualized Cost to the Government</w:t>
      </w:r>
      <w:bookmarkEnd w:id="241"/>
      <w:r>
        <w:rPr>
          <w:sz w:val="24"/>
          <w:szCs w:val="24"/>
        </w:rPr>
        <w:t xml:space="preserve"> (2019 scale)</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43"/>
        <w:gridCol w:w="5447"/>
        <w:gridCol w:w="2340"/>
      </w:tblGrid>
      <w:tr w:rsidR="005C348B" w:rsidRPr="00D02168" w14:paraId="0317DA25" w14:textId="77777777" w:rsidTr="008A64DB">
        <w:tc>
          <w:tcPr>
            <w:tcW w:w="1843" w:type="dxa"/>
          </w:tcPr>
          <w:p w14:paraId="27212A02"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bCs/>
              </w:rPr>
            </w:pPr>
            <w:r w:rsidRPr="00D02168">
              <w:rPr>
                <w:b/>
                <w:bCs/>
              </w:rPr>
              <w:t>Expense Type</w:t>
            </w:r>
          </w:p>
        </w:tc>
        <w:tc>
          <w:tcPr>
            <w:tcW w:w="5447" w:type="dxa"/>
          </w:tcPr>
          <w:p w14:paraId="3E5562CC"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Expense Explanation</w:t>
            </w:r>
          </w:p>
        </w:tc>
        <w:tc>
          <w:tcPr>
            <w:tcW w:w="2340" w:type="dxa"/>
          </w:tcPr>
          <w:p w14:paraId="6CBBFE4E"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Annual Costs (dollars)</w:t>
            </w:r>
          </w:p>
        </w:tc>
      </w:tr>
      <w:tr w:rsidR="005C348B" w:rsidRPr="00D02168" w14:paraId="04A9BAD0" w14:textId="77777777" w:rsidTr="008A64DB">
        <w:tc>
          <w:tcPr>
            <w:tcW w:w="1843" w:type="dxa"/>
          </w:tcPr>
          <w:p w14:paraId="45186ED2"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Direct Costs</w:t>
            </w:r>
          </w:p>
        </w:tc>
        <w:tc>
          <w:tcPr>
            <w:tcW w:w="5447" w:type="dxa"/>
            <w:vAlign w:val="center"/>
          </w:tcPr>
          <w:p w14:paraId="55603CAA" w14:textId="21C3CAE5" w:rsidR="005C348B" w:rsidRPr="00D02168" w:rsidRDefault="005C348B" w:rsidP="007E1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 xml:space="preserve">CDC, </w:t>
            </w:r>
            <w:r w:rsidR="007E1C5D">
              <w:t>Health Education Specialist (GS-13</w:t>
            </w:r>
            <w:r w:rsidRPr="00D02168">
              <w:t>,</w:t>
            </w:r>
            <w:r w:rsidR="007E1C5D">
              <w:t xml:space="preserve"> 0.1</w:t>
            </w:r>
            <w:r w:rsidRPr="00D02168">
              <w:t>0 FTE)</w:t>
            </w:r>
          </w:p>
        </w:tc>
        <w:tc>
          <w:tcPr>
            <w:tcW w:w="2340" w:type="dxa"/>
            <w:vAlign w:val="center"/>
          </w:tcPr>
          <w:p w14:paraId="68043673" w14:textId="7EBD8E1A" w:rsidR="005C348B" w:rsidRPr="00014297"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014297">
              <w:t>$</w:t>
            </w:r>
            <w:r w:rsidR="007E1C5D" w:rsidRPr="00014297">
              <w:t>9,328</w:t>
            </w:r>
            <w:r w:rsidRPr="00014297">
              <w:t>.20</w:t>
            </w:r>
          </w:p>
        </w:tc>
      </w:tr>
      <w:tr w:rsidR="005C348B" w:rsidRPr="00D02168" w14:paraId="453827FC" w14:textId="77777777" w:rsidTr="008A64DB">
        <w:tc>
          <w:tcPr>
            <w:tcW w:w="1843" w:type="dxa"/>
          </w:tcPr>
          <w:p w14:paraId="7E7079A7"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3BF7EF6F" w14:textId="43D7841A"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w:t>
            </w:r>
            <w:r w:rsidR="007E1C5D">
              <w:t xml:space="preserve"> Health</w:t>
            </w:r>
            <w:r w:rsidRPr="00D02168">
              <w:t xml:space="preserve"> Scientist (GS-1</w:t>
            </w:r>
            <w:r w:rsidR="007E1C5D">
              <w:t>4</w:t>
            </w:r>
            <w:r w:rsidRPr="00D02168">
              <w:t xml:space="preserve">, </w:t>
            </w:r>
            <w:r w:rsidR="007E1C5D">
              <w:t>0.</w:t>
            </w:r>
            <w:r w:rsidRPr="00D02168">
              <w:t>0</w:t>
            </w:r>
            <w:r w:rsidR="007E1C5D">
              <w:t>5</w:t>
            </w:r>
            <w:r w:rsidRPr="00D02168">
              <w:t xml:space="preserve"> FTE)</w:t>
            </w:r>
          </w:p>
        </w:tc>
        <w:tc>
          <w:tcPr>
            <w:tcW w:w="2340" w:type="dxa"/>
            <w:vAlign w:val="center"/>
          </w:tcPr>
          <w:p w14:paraId="31A9413A" w14:textId="594C53B2" w:rsidR="005C348B" w:rsidRPr="00014297" w:rsidRDefault="005C348B" w:rsidP="007E1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014297">
              <w:t>$</w:t>
            </w:r>
            <w:r w:rsidR="007E1C5D" w:rsidRPr="00014297">
              <w:t>5,511.55</w:t>
            </w:r>
          </w:p>
        </w:tc>
      </w:tr>
      <w:tr w:rsidR="005C348B" w:rsidRPr="00D02168" w14:paraId="07665BD6" w14:textId="77777777" w:rsidTr="008A64DB">
        <w:tc>
          <w:tcPr>
            <w:tcW w:w="1843" w:type="dxa"/>
          </w:tcPr>
          <w:p w14:paraId="416C469E"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71DDFE27"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rPr>
                <w:b/>
              </w:rPr>
              <w:t xml:space="preserve">           Subtotal, Direct Costs</w:t>
            </w:r>
          </w:p>
        </w:tc>
        <w:tc>
          <w:tcPr>
            <w:tcW w:w="2340" w:type="dxa"/>
            <w:vAlign w:val="center"/>
          </w:tcPr>
          <w:p w14:paraId="6C6C0771" w14:textId="649EE8E0" w:rsidR="005C348B" w:rsidRPr="007E1C5D" w:rsidRDefault="007E1C5D" w:rsidP="007E1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014297">
              <w:rPr>
                <w:b/>
              </w:rPr>
              <w:t>$14,839.75</w:t>
            </w:r>
          </w:p>
        </w:tc>
      </w:tr>
      <w:tr w:rsidR="005C348B" w:rsidRPr="00D02168" w14:paraId="67050527" w14:textId="77777777" w:rsidTr="008A64DB">
        <w:tc>
          <w:tcPr>
            <w:tcW w:w="1843" w:type="dxa"/>
          </w:tcPr>
          <w:p w14:paraId="7CDDD5DD"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 xml:space="preserve">Contract Costs </w:t>
            </w:r>
          </w:p>
        </w:tc>
        <w:tc>
          <w:tcPr>
            <w:tcW w:w="5447" w:type="dxa"/>
            <w:vAlign w:val="center"/>
          </w:tcPr>
          <w:p w14:paraId="6562772B" w14:textId="7626432D" w:rsidR="005C348B" w:rsidRPr="00F95904" w:rsidRDefault="005C348B" w:rsidP="00014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Annual Contract Costs  </w:t>
            </w:r>
            <w:r w:rsidRPr="00014297">
              <w:rPr>
                <w:b/>
              </w:rPr>
              <w:t>(200-</w:t>
            </w:r>
            <w:r w:rsidR="00014297" w:rsidRPr="00014297">
              <w:rPr>
                <w:b/>
              </w:rPr>
              <w:t>2016-F-90427)</w:t>
            </w:r>
            <w:r w:rsidRPr="00F95904">
              <w:rPr>
                <w:b/>
              </w:rPr>
              <w:t xml:space="preserve">               </w:t>
            </w:r>
          </w:p>
        </w:tc>
        <w:tc>
          <w:tcPr>
            <w:tcW w:w="2340" w:type="dxa"/>
            <w:vAlign w:val="center"/>
          </w:tcPr>
          <w:p w14:paraId="0D829E71" w14:textId="2C5470E5" w:rsidR="005C348B" w:rsidRPr="008422A5" w:rsidRDefault="005C348B" w:rsidP="00811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8422A5">
              <w:rPr>
                <w:b/>
              </w:rPr>
              <w:t>$</w:t>
            </w:r>
            <w:r w:rsidR="008422A5" w:rsidRPr="008422A5">
              <w:rPr>
                <w:b/>
              </w:rPr>
              <w:t>107</w:t>
            </w:r>
            <w:r w:rsidR="0081194B" w:rsidRPr="008422A5">
              <w:rPr>
                <w:b/>
              </w:rPr>
              <w:t>,000</w:t>
            </w:r>
          </w:p>
        </w:tc>
      </w:tr>
      <w:tr w:rsidR="005C348B" w:rsidRPr="00D02168" w14:paraId="13F8BA50" w14:textId="77777777" w:rsidTr="008A64DB">
        <w:tc>
          <w:tcPr>
            <w:tcW w:w="1843" w:type="dxa"/>
          </w:tcPr>
          <w:p w14:paraId="46A39A89" w14:textId="77777777" w:rsidR="005C348B" w:rsidRPr="00D02168"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tcPr>
          <w:p w14:paraId="0D6C4CCB" w14:textId="77777777" w:rsidR="005C348B" w:rsidRPr="00F95904" w:rsidRDefault="005C348B" w:rsidP="008A6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TOTAL COST TO THE GOVERNMENT </w:t>
            </w:r>
          </w:p>
        </w:tc>
        <w:tc>
          <w:tcPr>
            <w:tcW w:w="2340" w:type="dxa"/>
          </w:tcPr>
          <w:p w14:paraId="0ECAC51E" w14:textId="41E3315F" w:rsidR="005C348B" w:rsidRPr="008422A5" w:rsidRDefault="005C348B" w:rsidP="00811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8422A5">
              <w:rPr>
                <w:b/>
              </w:rPr>
              <w:t xml:space="preserve">$ </w:t>
            </w:r>
            <w:r w:rsidR="008422A5" w:rsidRPr="008422A5">
              <w:rPr>
                <w:b/>
              </w:rPr>
              <w:t>121,839.75</w:t>
            </w:r>
          </w:p>
        </w:tc>
      </w:tr>
    </w:tbl>
    <w:p w14:paraId="52A7A8BF" w14:textId="77777777" w:rsidR="00D64D74" w:rsidRPr="00D64D74" w:rsidRDefault="00D64D74" w:rsidP="00D64D74">
      <w:pPr>
        <w:autoSpaceDE w:val="0"/>
        <w:autoSpaceDN w:val="0"/>
        <w:adjustRightInd w:val="0"/>
        <w:spacing w:before="120" w:after="120"/>
        <w:mirrorIndents/>
        <w:jc w:val="both"/>
        <w:rPr>
          <w:bCs/>
        </w:rPr>
      </w:pPr>
    </w:p>
    <w:p w14:paraId="0027368F" w14:textId="766681C5" w:rsidR="00B12EA3" w:rsidRDefault="00B12EA3" w:rsidP="00F95454">
      <w:pPr>
        <w:pStyle w:val="Heading1"/>
        <w:spacing w:before="120" w:after="120"/>
        <w:mirrorIndents/>
      </w:pPr>
      <w:bookmarkStart w:id="242" w:name="_Toc448296088"/>
      <w:r w:rsidRPr="00B12EA3">
        <w:t>Explanation for Program Changes or Adjustments</w:t>
      </w:r>
      <w:bookmarkEnd w:id="242"/>
    </w:p>
    <w:p w14:paraId="12E59EA5" w14:textId="56BD10DF" w:rsidR="00332F80" w:rsidRDefault="00332F80" w:rsidP="00F95454">
      <w:pPr>
        <w:autoSpaceDE w:val="0"/>
        <w:autoSpaceDN w:val="0"/>
        <w:adjustRightInd w:val="0"/>
        <w:spacing w:before="120" w:after="120"/>
        <w:mirrorIndents/>
        <w:jc w:val="both"/>
        <w:rPr>
          <w:bCs/>
        </w:rPr>
      </w:pPr>
      <w:r w:rsidRPr="009C5D88">
        <w:rPr>
          <w:bCs/>
        </w:rPr>
        <w:t xml:space="preserve">This is a new </w:t>
      </w:r>
      <w:r w:rsidR="00427EB5">
        <w:rPr>
          <w:bCs/>
        </w:rPr>
        <w:t>genIC request under Generic request 0920-0840</w:t>
      </w:r>
      <w:r w:rsidRPr="00014297">
        <w:rPr>
          <w:bCs/>
        </w:rPr>
        <w:t>.</w:t>
      </w:r>
      <w:r w:rsidRPr="00603813">
        <w:rPr>
          <w:bCs/>
        </w:rPr>
        <w:t xml:space="preserve"> </w:t>
      </w:r>
    </w:p>
    <w:p w14:paraId="08E6E6B7" w14:textId="77777777" w:rsidR="005E6F8D" w:rsidRDefault="005E6F8D" w:rsidP="00F95454">
      <w:pPr>
        <w:autoSpaceDE w:val="0"/>
        <w:autoSpaceDN w:val="0"/>
        <w:adjustRightInd w:val="0"/>
        <w:spacing w:before="120" w:after="120"/>
        <w:mirrorIndents/>
        <w:jc w:val="both"/>
        <w:rPr>
          <w:bCs/>
        </w:rPr>
      </w:pPr>
    </w:p>
    <w:p w14:paraId="6DB91386" w14:textId="33251CB3" w:rsidR="00332F80" w:rsidRDefault="00B12EA3" w:rsidP="00F95454">
      <w:pPr>
        <w:pStyle w:val="Heading1"/>
        <w:spacing w:before="120" w:after="120"/>
        <w:mirrorIndents/>
      </w:pPr>
      <w:bookmarkStart w:id="243" w:name="_Toc448296089"/>
      <w:r w:rsidRPr="00C46977">
        <w:t>Plans for Tabulation and Publication and Project Time Schedule</w:t>
      </w:r>
      <w:bookmarkEnd w:id="243"/>
    </w:p>
    <w:p w14:paraId="5892749C" w14:textId="68C6169D" w:rsidR="00104E90" w:rsidRDefault="00104E90" w:rsidP="003C10A5">
      <w:pPr>
        <w:spacing w:before="120" w:after="120"/>
        <w:mirrorIndents/>
      </w:pPr>
      <w:r w:rsidRPr="009C5D88">
        <w:t>Tabulation will include descripti</w:t>
      </w:r>
      <w:r w:rsidR="003C10A5">
        <w:t xml:space="preserve">ve characteristics </w:t>
      </w:r>
      <w:r w:rsidR="00E240BF">
        <w:t xml:space="preserve">and feedback from </w:t>
      </w:r>
      <w:r w:rsidR="003C10A5">
        <w:t>participant</w:t>
      </w:r>
      <w:r w:rsidRPr="009C5D88">
        <w:t>s</w:t>
      </w:r>
      <w:r w:rsidR="00E240BF">
        <w:t xml:space="preserve"> in narrative form</w:t>
      </w:r>
      <w:r w:rsidRPr="00B953B0">
        <w:t xml:space="preserve">.  Data collection will occur between </w:t>
      </w:r>
      <w:r w:rsidR="008422A5">
        <w:t>2</w:t>
      </w:r>
      <w:r w:rsidR="00014297" w:rsidRPr="008422A5">
        <w:t>-4 months</w:t>
      </w:r>
      <w:r w:rsidR="00014297">
        <w:t xml:space="preserve"> after OMB approval with analysis carried our 5-8 months after OMB approval, </w:t>
      </w:r>
      <w:r w:rsidRPr="00B953B0">
        <w:t xml:space="preserve">and the final report will be submitted </w:t>
      </w:r>
      <w:r w:rsidR="00014297">
        <w:t>10</w:t>
      </w:r>
      <w:r w:rsidR="0081194B">
        <w:t>-12</w:t>
      </w:r>
      <w:r w:rsidR="00014297">
        <w:t xml:space="preserve"> months after OMB approval. </w:t>
      </w:r>
      <w:r w:rsidRPr="00B953B0">
        <w:t>The</w:t>
      </w:r>
      <w:r w:rsidRPr="009C5D88">
        <w:t xml:space="preserve"> project timeline is detailed in exhibit 16.1.</w:t>
      </w:r>
    </w:p>
    <w:p w14:paraId="6EFB6473" w14:textId="7088D46B" w:rsidR="00E86C70" w:rsidRDefault="00E86C70" w:rsidP="00F95454">
      <w:pPr>
        <w:pStyle w:val="Caption"/>
        <w:keepNext/>
        <w:spacing w:before="120" w:after="120"/>
        <w:mirrorIndents/>
        <w:rPr>
          <w:sz w:val="24"/>
          <w:szCs w:val="24"/>
        </w:rPr>
      </w:pPr>
      <w:bookmarkStart w:id="244" w:name="_Toc44954162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037D13">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037D13">
        <w:rPr>
          <w:noProof/>
          <w:sz w:val="24"/>
          <w:szCs w:val="24"/>
        </w:rPr>
        <w:t>1</w:t>
      </w:r>
      <w:r w:rsidR="00C91C02">
        <w:rPr>
          <w:sz w:val="24"/>
          <w:szCs w:val="24"/>
        </w:rPr>
        <w:fldChar w:fldCharType="end"/>
      </w:r>
      <w:r w:rsidRPr="00E6566E">
        <w:rPr>
          <w:sz w:val="24"/>
          <w:szCs w:val="24"/>
        </w:rPr>
        <w:t>: Project Time Schedule</w:t>
      </w:r>
      <w:bookmarkEnd w:id="2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3960"/>
      </w:tblGrid>
      <w:tr w:rsidR="007D2C4F" w:rsidRPr="00B474EC" w14:paraId="1ADF7033" w14:textId="77777777" w:rsidTr="004C5B7B">
        <w:tc>
          <w:tcPr>
            <w:tcW w:w="5305" w:type="dxa"/>
            <w:tcMar>
              <w:top w:w="0" w:type="dxa"/>
              <w:left w:w="108" w:type="dxa"/>
              <w:bottom w:w="0" w:type="dxa"/>
              <w:right w:w="108" w:type="dxa"/>
            </w:tcMar>
            <w:hideMark/>
          </w:tcPr>
          <w:p w14:paraId="6595C061" w14:textId="77777777" w:rsidR="007D2C4F" w:rsidRPr="00B474EC" w:rsidRDefault="007D2C4F" w:rsidP="00F95454">
            <w:pPr>
              <w:mirrorIndents/>
            </w:pPr>
            <w:r w:rsidRPr="00B474EC">
              <w:rPr>
                <w:b/>
                <w:bCs/>
              </w:rPr>
              <w:t>Activity</w:t>
            </w:r>
          </w:p>
        </w:tc>
        <w:tc>
          <w:tcPr>
            <w:tcW w:w="3960" w:type="dxa"/>
            <w:tcMar>
              <w:top w:w="0" w:type="dxa"/>
              <w:left w:w="108" w:type="dxa"/>
              <w:bottom w:w="0" w:type="dxa"/>
              <w:right w:w="108" w:type="dxa"/>
            </w:tcMar>
            <w:hideMark/>
          </w:tcPr>
          <w:p w14:paraId="3D02435F" w14:textId="77777777" w:rsidR="007D2C4F" w:rsidRPr="00B474EC" w:rsidRDefault="007D2C4F" w:rsidP="00F95454">
            <w:pPr>
              <w:mirrorIndents/>
              <w:jc w:val="center"/>
            </w:pPr>
            <w:r w:rsidRPr="00B474EC">
              <w:rPr>
                <w:b/>
                <w:bCs/>
              </w:rPr>
              <w:t>Time Schedule</w:t>
            </w:r>
          </w:p>
        </w:tc>
      </w:tr>
      <w:tr w:rsidR="007D2C4F" w:rsidRPr="00B474EC" w14:paraId="407A9610" w14:textId="77777777" w:rsidTr="004C5B7B">
        <w:tc>
          <w:tcPr>
            <w:tcW w:w="5305" w:type="dxa"/>
            <w:tcMar>
              <w:top w:w="0" w:type="dxa"/>
              <w:left w:w="108" w:type="dxa"/>
              <w:bottom w:w="0" w:type="dxa"/>
              <w:right w:w="108" w:type="dxa"/>
            </w:tcMar>
            <w:vAlign w:val="center"/>
            <w:hideMark/>
          </w:tcPr>
          <w:p w14:paraId="08E02275" w14:textId="77777777" w:rsidR="007D2C4F" w:rsidRPr="00B474EC" w:rsidRDefault="007D2C4F" w:rsidP="00F95454">
            <w:pPr>
              <w:mirrorIndents/>
            </w:pPr>
            <w:r w:rsidRPr="00B474EC">
              <w:t xml:space="preserve">Develop data collection tools, sampling and data plans, study protocol </w:t>
            </w:r>
          </w:p>
        </w:tc>
        <w:tc>
          <w:tcPr>
            <w:tcW w:w="3960" w:type="dxa"/>
            <w:tcMar>
              <w:top w:w="0" w:type="dxa"/>
              <w:left w:w="108" w:type="dxa"/>
              <w:bottom w:w="0" w:type="dxa"/>
              <w:right w:w="108" w:type="dxa"/>
            </w:tcMar>
            <w:vAlign w:val="center"/>
          </w:tcPr>
          <w:p w14:paraId="19969263" w14:textId="643D3A95" w:rsidR="007D2C4F" w:rsidRPr="00B474EC" w:rsidRDefault="004C5B7B" w:rsidP="00E240BF">
            <w:pPr>
              <w:mirrorIndents/>
            </w:pPr>
            <w:r>
              <w:t xml:space="preserve">March to </w:t>
            </w:r>
            <w:r w:rsidR="008422A5">
              <w:t>September</w:t>
            </w:r>
            <w:r>
              <w:t xml:space="preserve"> 2019</w:t>
            </w:r>
          </w:p>
        </w:tc>
      </w:tr>
      <w:tr w:rsidR="007D2C4F" w:rsidRPr="00B474EC" w14:paraId="21545BE8" w14:textId="77777777" w:rsidTr="004C5B7B">
        <w:tc>
          <w:tcPr>
            <w:tcW w:w="5305" w:type="dxa"/>
            <w:tcMar>
              <w:top w:w="0" w:type="dxa"/>
              <w:left w:w="108" w:type="dxa"/>
              <w:bottom w:w="0" w:type="dxa"/>
              <w:right w:w="108" w:type="dxa"/>
            </w:tcMar>
            <w:vAlign w:val="center"/>
          </w:tcPr>
          <w:p w14:paraId="39DBC332" w14:textId="77777777" w:rsidR="007D2C4F" w:rsidRPr="00B474EC" w:rsidRDefault="007D2C4F" w:rsidP="00F95454">
            <w:pPr>
              <w:mirrorIndents/>
            </w:pPr>
            <w:r w:rsidRPr="00B474EC">
              <w:t>OMB Submission</w:t>
            </w:r>
          </w:p>
        </w:tc>
        <w:tc>
          <w:tcPr>
            <w:tcW w:w="3960" w:type="dxa"/>
            <w:tcMar>
              <w:top w:w="0" w:type="dxa"/>
              <w:left w:w="108" w:type="dxa"/>
              <w:bottom w:w="0" w:type="dxa"/>
              <w:right w:w="108" w:type="dxa"/>
            </w:tcMar>
            <w:vAlign w:val="center"/>
          </w:tcPr>
          <w:p w14:paraId="3EDC37C5" w14:textId="7909FDE4" w:rsidR="007D2C4F" w:rsidRPr="00B474EC" w:rsidRDefault="008422A5" w:rsidP="007D3913">
            <w:pPr>
              <w:mirrorIndents/>
            </w:pPr>
            <w:r w:rsidRPr="008422A5">
              <w:t>October</w:t>
            </w:r>
            <w:r w:rsidR="004C5B7B" w:rsidRPr="008422A5">
              <w:t xml:space="preserve"> 2019</w:t>
            </w:r>
          </w:p>
        </w:tc>
      </w:tr>
      <w:tr w:rsidR="007D2C4F" w:rsidRPr="00B474EC" w14:paraId="092283B1" w14:textId="77777777" w:rsidTr="004C5B7B">
        <w:tc>
          <w:tcPr>
            <w:tcW w:w="5305" w:type="dxa"/>
            <w:tcMar>
              <w:top w:w="0" w:type="dxa"/>
              <w:left w:w="108" w:type="dxa"/>
              <w:bottom w:w="0" w:type="dxa"/>
              <w:right w:w="108" w:type="dxa"/>
            </w:tcMar>
            <w:vAlign w:val="center"/>
            <w:hideMark/>
          </w:tcPr>
          <w:p w14:paraId="3C5696DE" w14:textId="77777777" w:rsidR="007D2C4F" w:rsidRPr="00B474EC" w:rsidRDefault="007D2C4F" w:rsidP="00F95454">
            <w:pPr>
              <w:mirrorIndents/>
            </w:pPr>
            <w:r w:rsidRPr="00B474EC">
              <w:t>Recruitment  </w:t>
            </w:r>
          </w:p>
        </w:tc>
        <w:tc>
          <w:tcPr>
            <w:tcW w:w="3960" w:type="dxa"/>
            <w:tcMar>
              <w:top w:w="0" w:type="dxa"/>
              <w:left w:w="108" w:type="dxa"/>
              <w:bottom w:w="0" w:type="dxa"/>
              <w:right w:w="108" w:type="dxa"/>
            </w:tcMar>
            <w:vAlign w:val="center"/>
          </w:tcPr>
          <w:p w14:paraId="60E69657" w14:textId="2C2D4543" w:rsidR="007D2C4F" w:rsidRPr="00B474EC" w:rsidRDefault="00D45E08" w:rsidP="004C5B7B">
            <w:pPr>
              <w:mirrorIndents/>
            </w:pPr>
            <w:r>
              <w:t>1 months a</w:t>
            </w:r>
            <w:r w:rsidR="007D2C4F" w:rsidRPr="00B474EC">
              <w:t>fter OMB Approval</w:t>
            </w:r>
            <w:r>
              <w:t xml:space="preserve"> </w:t>
            </w:r>
          </w:p>
        </w:tc>
      </w:tr>
      <w:tr w:rsidR="007D2C4F" w:rsidRPr="00B474EC" w14:paraId="6C2B5F7D" w14:textId="77777777" w:rsidTr="004C5B7B">
        <w:tc>
          <w:tcPr>
            <w:tcW w:w="5305" w:type="dxa"/>
            <w:tcMar>
              <w:top w:w="0" w:type="dxa"/>
              <w:left w:w="108" w:type="dxa"/>
              <w:bottom w:w="0" w:type="dxa"/>
              <w:right w:w="108" w:type="dxa"/>
            </w:tcMar>
            <w:vAlign w:val="center"/>
            <w:hideMark/>
          </w:tcPr>
          <w:p w14:paraId="0C22C8FD" w14:textId="77777777" w:rsidR="007D2C4F" w:rsidRPr="00B474EC" w:rsidRDefault="007D2C4F" w:rsidP="00F95454">
            <w:pPr>
              <w:mirrorIndents/>
            </w:pPr>
            <w:r w:rsidRPr="00B474EC">
              <w:t>Data Collection  </w:t>
            </w:r>
          </w:p>
        </w:tc>
        <w:tc>
          <w:tcPr>
            <w:tcW w:w="3960" w:type="dxa"/>
            <w:tcMar>
              <w:top w:w="0" w:type="dxa"/>
              <w:left w:w="108" w:type="dxa"/>
              <w:bottom w:w="0" w:type="dxa"/>
              <w:right w:w="108" w:type="dxa"/>
            </w:tcMar>
            <w:vAlign w:val="center"/>
          </w:tcPr>
          <w:p w14:paraId="2D85416B" w14:textId="6E73BA7C" w:rsidR="007D2C4F" w:rsidRPr="00B474EC" w:rsidRDefault="008422A5" w:rsidP="00014297">
            <w:pPr>
              <w:mirrorIndents/>
            </w:pPr>
            <w:r>
              <w:t>2</w:t>
            </w:r>
            <w:r w:rsidR="00014297">
              <w:t>-4</w:t>
            </w:r>
            <w:r w:rsidR="007D2C4F" w:rsidRPr="00B474EC">
              <w:t xml:space="preserve"> months after OMB Approval</w:t>
            </w:r>
          </w:p>
        </w:tc>
      </w:tr>
      <w:tr w:rsidR="007D2C4F" w:rsidRPr="00B474EC" w14:paraId="2FA032F7" w14:textId="77777777" w:rsidTr="004C5B7B">
        <w:tc>
          <w:tcPr>
            <w:tcW w:w="5305" w:type="dxa"/>
            <w:tcMar>
              <w:top w:w="0" w:type="dxa"/>
              <w:left w:w="108" w:type="dxa"/>
              <w:bottom w:w="0" w:type="dxa"/>
              <w:right w:w="108" w:type="dxa"/>
            </w:tcMar>
            <w:vAlign w:val="center"/>
            <w:hideMark/>
          </w:tcPr>
          <w:p w14:paraId="56FB3266" w14:textId="3D08020F" w:rsidR="007D2C4F" w:rsidRPr="00B474EC" w:rsidRDefault="007D2C4F" w:rsidP="007D3913">
            <w:pPr>
              <w:mirrorIndents/>
            </w:pPr>
            <w:r w:rsidRPr="00B474EC">
              <w:t>Data analysis finalized</w:t>
            </w:r>
          </w:p>
        </w:tc>
        <w:tc>
          <w:tcPr>
            <w:tcW w:w="3960" w:type="dxa"/>
            <w:tcMar>
              <w:top w:w="0" w:type="dxa"/>
              <w:left w:w="108" w:type="dxa"/>
              <w:bottom w:w="0" w:type="dxa"/>
              <w:right w:w="108" w:type="dxa"/>
            </w:tcMar>
            <w:vAlign w:val="center"/>
          </w:tcPr>
          <w:p w14:paraId="7DC953C9" w14:textId="5CAB5E56" w:rsidR="007D2C4F" w:rsidRPr="00B474EC" w:rsidRDefault="0081194B" w:rsidP="004C5B7B">
            <w:pPr>
              <w:mirrorIndents/>
            </w:pPr>
            <w:r>
              <w:t>5</w:t>
            </w:r>
            <w:r w:rsidR="004C5B7B">
              <w:t>-8</w:t>
            </w:r>
            <w:r w:rsidR="007D2C4F" w:rsidRPr="00B474EC">
              <w:t xml:space="preserve"> months after OMB Approval</w:t>
            </w:r>
          </w:p>
        </w:tc>
      </w:tr>
      <w:tr w:rsidR="007D3913" w:rsidRPr="00B474EC" w14:paraId="081E813F" w14:textId="77777777" w:rsidTr="004C5B7B">
        <w:tc>
          <w:tcPr>
            <w:tcW w:w="5305" w:type="dxa"/>
            <w:tcMar>
              <w:top w:w="0" w:type="dxa"/>
              <w:left w:w="108" w:type="dxa"/>
              <w:bottom w:w="0" w:type="dxa"/>
              <w:right w:w="108" w:type="dxa"/>
            </w:tcMar>
            <w:vAlign w:val="center"/>
          </w:tcPr>
          <w:p w14:paraId="5646F886" w14:textId="2B586C9D" w:rsidR="007D3913" w:rsidRPr="00B474EC" w:rsidRDefault="007D3913" w:rsidP="007D3913">
            <w:pPr>
              <w:mirrorIndents/>
            </w:pPr>
            <w:r>
              <w:t>Draft report and final report written</w:t>
            </w:r>
          </w:p>
        </w:tc>
        <w:tc>
          <w:tcPr>
            <w:tcW w:w="3960" w:type="dxa"/>
            <w:tcMar>
              <w:top w:w="0" w:type="dxa"/>
              <w:left w:w="108" w:type="dxa"/>
              <w:bottom w:w="0" w:type="dxa"/>
              <w:right w:w="108" w:type="dxa"/>
            </w:tcMar>
            <w:vAlign w:val="center"/>
          </w:tcPr>
          <w:p w14:paraId="7BB92071" w14:textId="0EB332CA" w:rsidR="007D3913" w:rsidRPr="00B474EC" w:rsidRDefault="00014297" w:rsidP="00014297">
            <w:pPr>
              <w:mirrorIndents/>
            </w:pPr>
            <w:r>
              <w:t>7-9</w:t>
            </w:r>
            <w:r w:rsidR="004C5B7B">
              <w:t xml:space="preserve"> months after OMB approval</w:t>
            </w:r>
          </w:p>
        </w:tc>
      </w:tr>
      <w:tr w:rsidR="007D2C4F" w:rsidRPr="00B474EC" w14:paraId="15167263" w14:textId="77777777" w:rsidTr="004C5B7B">
        <w:tc>
          <w:tcPr>
            <w:tcW w:w="5305" w:type="dxa"/>
            <w:tcMar>
              <w:top w:w="0" w:type="dxa"/>
              <w:left w:w="108" w:type="dxa"/>
              <w:bottom w:w="0" w:type="dxa"/>
              <w:right w:w="108" w:type="dxa"/>
            </w:tcMar>
            <w:vAlign w:val="center"/>
            <w:hideMark/>
          </w:tcPr>
          <w:p w14:paraId="2FD00BC4" w14:textId="77777777" w:rsidR="007D2C4F" w:rsidRPr="00B474EC" w:rsidRDefault="007D2C4F" w:rsidP="00F95454">
            <w:pPr>
              <w:mirrorIndents/>
            </w:pPr>
            <w:r w:rsidRPr="00B474EC">
              <w:t>Final data set and final report submitted to CDC</w:t>
            </w:r>
          </w:p>
        </w:tc>
        <w:tc>
          <w:tcPr>
            <w:tcW w:w="3960" w:type="dxa"/>
            <w:tcMar>
              <w:top w:w="0" w:type="dxa"/>
              <w:left w:w="108" w:type="dxa"/>
              <w:bottom w:w="0" w:type="dxa"/>
              <w:right w:w="108" w:type="dxa"/>
            </w:tcMar>
            <w:vAlign w:val="center"/>
          </w:tcPr>
          <w:p w14:paraId="5B603678" w14:textId="25EC83A8" w:rsidR="007D2C4F" w:rsidRPr="00B474EC" w:rsidRDefault="00014297" w:rsidP="00014297">
            <w:pPr>
              <w:mirrorIndents/>
            </w:pPr>
            <w:r>
              <w:t>10</w:t>
            </w:r>
            <w:r w:rsidR="0081194B">
              <w:t>-12</w:t>
            </w:r>
            <w:r w:rsidR="004C5B7B">
              <w:t xml:space="preserve"> months after OMB Approval</w:t>
            </w:r>
          </w:p>
        </w:tc>
      </w:tr>
    </w:tbl>
    <w:p w14:paraId="4558D3BF" w14:textId="605CD1BB" w:rsidR="00077208" w:rsidRPr="00077208" w:rsidRDefault="006D6472" w:rsidP="00077208">
      <w:pPr>
        <w:pStyle w:val="Heading1"/>
        <w:numPr>
          <w:ilvl w:val="0"/>
          <w:numId w:val="0"/>
        </w:numPr>
        <w:spacing w:before="120" w:after="120"/>
        <w:mirrorIndents/>
        <w:rPr>
          <w:b w:val="0"/>
        </w:rPr>
      </w:pPr>
      <w:r w:rsidRPr="006D6472">
        <w:rPr>
          <w:b w:val="0"/>
        </w:rPr>
        <w:t>The information gained will be used by an internal CDC audience to understand provider-related motivators and barriers related to screening for hepatitis C among all adults and women during each pregnancy and will help inform education and outreach strategies. The population most likely to use the information is an internal CDC audience.  The expected volume of use would not be large enough to justify the resource costs in making the dataset available.</w:t>
      </w:r>
      <w:bookmarkStart w:id="245" w:name="_Toc448296090"/>
      <w:r w:rsidRPr="00077208">
        <w:rPr>
          <w:b w:val="0"/>
        </w:rPr>
        <w:t xml:space="preserve"> </w:t>
      </w:r>
    </w:p>
    <w:p w14:paraId="5E10EBF4" w14:textId="5A77E9FF" w:rsidR="00B12EA3" w:rsidRDefault="00B12EA3" w:rsidP="00872E3B">
      <w:pPr>
        <w:pStyle w:val="Heading1"/>
        <w:spacing w:before="120" w:after="120"/>
        <w:mirrorIndents/>
      </w:pPr>
      <w:r w:rsidRPr="00B12EA3">
        <w:t>Reason(s) Display of OMB Expiration Date is Inappropriate</w:t>
      </w:r>
      <w:bookmarkEnd w:id="245"/>
    </w:p>
    <w:p w14:paraId="78B387FA" w14:textId="683EF5AC" w:rsidR="00F95454" w:rsidRPr="00F951D1" w:rsidRDefault="00332F80" w:rsidP="00F95454">
      <w:pPr>
        <w:spacing w:before="120" w:after="120"/>
        <w:mirrorIndents/>
      </w:pPr>
      <w:r w:rsidRPr="00603813">
        <w:t xml:space="preserve">We do not seek approval to eliminate the expiration date. </w:t>
      </w:r>
    </w:p>
    <w:p w14:paraId="64729C1A" w14:textId="52431784" w:rsidR="00542640" w:rsidRDefault="00B12EA3" w:rsidP="00F95454">
      <w:pPr>
        <w:pStyle w:val="Heading1"/>
        <w:spacing w:before="120" w:after="120"/>
        <w:mirrorIndents/>
      </w:pPr>
      <w:bookmarkStart w:id="246" w:name="_Toc448296091"/>
      <w:r w:rsidRPr="00B12EA3">
        <w:t>E</w:t>
      </w:r>
      <w:r w:rsidRPr="00E53653">
        <w:rPr>
          <w:rStyle w:val="Heading1Char"/>
        </w:rPr>
        <w:t>x</w:t>
      </w:r>
      <w:r w:rsidRPr="00B12EA3">
        <w:t>ceptions to Certification for Paperwork Reduction Act Submissions</w:t>
      </w:r>
      <w:bookmarkEnd w:id="246"/>
    </w:p>
    <w:p w14:paraId="7C4350FB" w14:textId="069B6196" w:rsidR="006869D4" w:rsidRDefault="00427EB5" w:rsidP="00F95454">
      <w:pPr>
        <w:spacing w:before="120" w:after="120"/>
        <w:mirrorIndents/>
      </w:pPr>
      <w:r>
        <w:t>The activities comply with the requirements in 5 CFR 1320.9</w:t>
      </w:r>
      <w:r w:rsidR="00332F80" w:rsidRPr="00332F80">
        <w:t>.</w:t>
      </w:r>
    </w:p>
    <w:p w14:paraId="58DE565B" w14:textId="5C05E219" w:rsidR="005F3060" w:rsidRPr="005F3060" w:rsidRDefault="005F3060" w:rsidP="004C5B7B">
      <w:pPr>
        <w:pStyle w:val="EndNoteBibliography"/>
        <w:spacing w:before="120" w:after="120"/>
        <w:mirrorIndents/>
        <w:rPr>
          <w:b/>
        </w:rPr>
      </w:pPr>
    </w:p>
    <w:sectPr w:rsidR="005F3060" w:rsidRPr="005F3060" w:rsidSect="00CC6AB1">
      <w:footerReference w:type="default" r:id="rId11"/>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2F6A6" w14:textId="77777777" w:rsidR="008A64DB" w:rsidRDefault="008A64DB" w:rsidP="008B5D54">
      <w:r>
        <w:separator/>
      </w:r>
    </w:p>
  </w:endnote>
  <w:endnote w:type="continuationSeparator" w:id="0">
    <w:p w14:paraId="35F8640C" w14:textId="77777777" w:rsidR="008A64DB" w:rsidRDefault="008A64D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56D33063" w14:textId="29006093" w:rsidR="008A64DB" w:rsidRDefault="008A64DB">
        <w:pPr>
          <w:pStyle w:val="Footer"/>
          <w:jc w:val="center"/>
        </w:pPr>
        <w:r>
          <w:fldChar w:fldCharType="begin"/>
        </w:r>
        <w:r>
          <w:instrText xml:space="preserve"> PAGE   \* MERGEFORMAT </w:instrText>
        </w:r>
        <w:r>
          <w:fldChar w:fldCharType="separate"/>
        </w:r>
        <w:r w:rsidR="001D3929">
          <w:rPr>
            <w:noProof/>
          </w:rPr>
          <w:t>1</w:t>
        </w:r>
        <w:r>
          <w:rPr>
            <w:noProof/>
          </w:rPr>
          <w:fldChar w:fldCharType="end"/>
        </w:r>
      </w:p>
    </w:sdtContent>
  </w:sdt>
  <w:p w14:paraId="14B64FA2" w14:textId="77777777" w:rsidR="008A64DB" w:rsidRDefault="008A6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EBF03" w14:textId="77777777" w:rsidR="008A64DB" w:rsidRDefault="008A64DB" w:rsidP="008B5D54">
      <w:r>
        <w:separator/>
      </w:r>
    </w:p>
  </w:footnote>
  <w:footnote w:type="continuationSeparator" w:id="0">
    <w:p w14:paraId="57979B38" w14:textId="77777777" w:rsidR="008A64DB" w:rsidRDefault="008A64D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50399"/>
    <w:multiLevelType w:val="hybridMultilevel"/>
    <w:tmpl w:val="59F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F32B6"/>
    <w:multiLevelType w:val="multilevel"/>
    <w:tmpl w:val="3C04E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D6133"/>
    <w:multiLevelType w:val="multilevel"/>
    <w:tmpl w:val="668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C28C1"/>
    <w:multiLevelType w:val="hybridMultilevel"/>
    <w:tmpl w:val="580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44622A"/>
    <w:multiLevelType w:val="multilevel"/>
    <w:tmpl w:val="09125016"/>
    <w:numStyleLink w:val="Style1"/>
  </w:abstractNum>
  <w:abstractNum w:abstractNumId="11">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A114ACC"/>
    <w:multiLevelType w:val="hybridMultilevel"/>
    <w:tmpl w:val="691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16D3"/>
    <w:multiLevelType w:val="multilevel"/>
    <w:tmpl w:val="9CD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0684D"/>
    <w:multiLevelType w:val="hybridMultilevel"/>
    <w:tmpl w:val="3B44056E"/>
    <w:lvl w:ilvl="0" w:tplc="B372BA9C">
      <w:start w:val="5"/>
      <w:numFmt w:val="decimal"/>
      <w:lvlText w:val="%1."/>
      <w:lvlJc w:val="left"/>
      <w:pPr>
        <w:tabs>
          <w:tab w:val="num" w:pos="720"/>
        </w:tabs>
        <w:ind w:left="720" w:hanging="360"/>
      </w:pPr>
    </w:lvl>
    <w:lvl w:ilvl="1" w:tplc="8D0CB13E">
      <w:start w:val="206"/>
      <w:numFmt w:val="bullet"/>
      <w:lvlText w:val="•"/>
      <w:lvlJc w:val="left"/>
      <w:pPr>
        <w:tabs>
          <w:tab w:val="num" w:pos="1440"/>
        </w:tabs>
        <w:ind w:left="1440" w:hanging="360"/>
      </w:pPr>
      <w:rPr>
        <w:rFonts w:ascii="Arial" w:hAnsi="Arial" w:hint="default"/>
      </w:rPr>
    </w:lvl>
    <w:lvl w:ilvl="2" w:tplc="32622BC4" w:tentative="1">
      <w:start w:val="1"/>
      <w:numFmt w:val="decimal"/>
      <w:lvlText w:val="%3."/>
      <w:lvlJc w:val="left"/>
      <w:pPr>
        <w:tabs>
          <w:tab w:val="num" w:pos="2160"/>
        </w:tabs>
        <w:ind w:left="2160" w:hanging="360"/>
      </w:pPr>
    </w:lvl>
    <w:lvl w:ilvl="3" w:tplc="8662D626" w:tentative="1">
      <w:start w:val="1"/>
      <w:numFmt w:val="decimal"/>
      <w:lvlText w:val="%4."/>
      <w:lvlJc w:val="left"/>
      <w:pPr>
        <w:tabs>
          <w:tab w:val="num" w:pos="2880"/>
        </w:tabs>
        <w:ind w:left="2880" w:hanging="360"/>
      </w:pPr>
    </w:lvl>
    <w:lvl w:ilvl="4" w:tplc="30DCC60E" w:tentative="1">
      <w:start w:val="1"/>
      <w:numFmt w:val="decimal"/>
      <w:lvlText w:val="%5."/>
      <w:lvlJc w:val="left"/>
      <w:pPr>
        <w:tabs>
          <w:tab w:val="num" w:pos="3600"/>
        </w:tabs>
        <w:ind w:left="3600" w:hanging="360"/>
      </w:pPr>
    </w:lvl>
    <w:lvl w:ilvl="5" w:tplc="82FC96D0" w:tentative="1">
      <w:start w:val="1"/>
      <w:numFmt w:val="decimal"/>
      <w:lvlText w:val="%6."/>
      <w:lvlJc w:val="left"/>
      <w:pPr>
        <w:tabs>
          <w:tab w:val="num" w:pos="4320"/>
        </w:tabs>
        <w:ind w:left="4320" w:hanging="360"/>
      </w:pPr>
    </w:lvl>
    <w:lvl w:ilvl="6" w:tplc="3CDE69DA" w:tentative="1">
      <w:start w:val="1"/>
      <w:numFmt w:val="decimal"/>
      <w:lvlText w:val="%7."/>
      <w:lvlJc w:val="left"/>
      <w:pPr>
        <w:tabs>
          <w:tab w:val="num" w:pos="5040"/>
        </w:tabs>
        <w:ind w:left="5040" w:hanging="360"/>
      </w:pPr>
    </w:lvl>
    <w:lvl w:ilvl="7" w:tplc="6BDEB458" w:tentative="1">
      <w:start w:val="1"/>
      <w:numFmt w:val="decimal"/>
      <w:lvlText w:val="%8."/>
      <w:lvlJc w:val="left"/>
      <w:pPr>
        <w:tabs>
          <w:tab w:val="num" w:pos="5760"/>
        </w:tabs>
        <w:ind w:left="5760" w:hanging="360"/>
      </w:pPr>
    </w:lvl>
    <w:lvl w:ilvl="8" w:tplc="2CA28C6E" w:tentative="1">
      <w:start w:val="1"/>
      <w:numFmt w:val="decimal"/>
      <w:lvlText w:val="%9."/>
      <w:lvlJc w:val="left"/>
      <w:pPr>
        <w:tabs>
          <w:tab w:val="num" w:pos="6480"/>
        </w:tabs>
        <w:ind w:left="6480" w:hanging="360"/>
      </w:pPr>
    </w:lvl>
  </w:abstractNum>
  <w:abstractNum w:abstractNumId="17">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614D1"/>
    <w:multiLevelType w:val="multilevel"/>
    <w:tmpl w:val="AE2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003845"/>
    <w:multiLevelType w:val="hybridMultilevel"/>
    <w:tmpl w:val="0BDEBB9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F27CD6"/>
    <w:multiLevelType w:val="multilevel"/>
    <w:tmpl w:val="D646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805BC7"/>
    <w:multiLevelType w:val="hybridMultilevel"/>
    <w:tmpl w:val="360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nsid w:val="75CE40A6"/>
    <w:multiLevelType w:val="hybridMultilevel"/>
    <w:tmpl w:val="CF1C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E10EB"/>
    <w:multiLevelType w:val="multilevel"/>
    <w:tmpl w:val="F5F0AB58"/>
    <w:lvl w:ilvl="0">
      <w:start w:val="1"/>
      <w:numFmt w:val="decimal"/>
      <w:pStyle w:val="Heading1"/>
      <w:lvlText w:val="%1."/>
      <w:lvlJc w:val="left"/>
      <w:pPr>
        <w:ind w:left="736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15"/>
  </w:num>
  <w:num w:numId="3">
    <w:abstractNumId w:val="14"/>
  </w:num>
  <w:num w:numId="4">
    <w:abstractNumId w:val="9"/>
  </w:num>
  <w:num w:numId="5">
    <w:abstractNumId w:val="25"/>
  </w:num>
  <w:num w:numId="6">
    <w:abstractNumId w:val="7"/>
  </w:num>
  <w:num w:numId="7">
    <w:abstractNumId w:val="11"/>
  </w:num>
  <w:num w:numId="8">
    <w:abstractNumId w:val="10"/>
  </w:num>
  <w:num w:numId="9">
    <w:abstractNumId w:val="0"/>
  </w:num>
  <w:num w:numId="10">
    <w:abstractNumId w:val="5"/>
  </w:num>
  <w:num w:numId="11">
    <w:abstractNumId w:val="17"/>
  </w:num>
  <w:num w:numId="12">
    <w:abstractNumId w:val="23"/>
  </w:num>
  <w:num w:numId="13">
    <w:abstractNumId w:val="4"/>
  </w:num>
  <w:num w:numId="14">
    <w:abstractNumId w:val="1"/>
  </w:num>
  <w:num w:numId="15">
    <w:abstractNumId w:val="2"/>
  </w:num>
  <w:num w:numId="16">
    <w:abstractNumId w:val="18"/>
  </w:num>
  <w:num w:numId="17">
    <w:abstractNumId w:val="6"/>
  </w:num>
  <w:num w:numId="18">
    <w:abstractNumId w:val="13"/>
  </w:num>
  <w:num w:numId="19">
    <w:abstractNumId w:val="8"/>
  </w:num>
  <w:num w:numId="20">
    <w:abstractNumId w:val="22"/>
  </w:num>
  <w:num w:numId="21">
    <w:abstractNumId w:val="3"/>
  </w:num>
  <w:num w:numId="22">
    <w:abstractNumId w:val="20"/>
  </w:num>
  <w:num w:numId="23">
    <w:abstractNumId w:val="16"/>
  </w:num>
  <w:num w:numId="24">
    <w:abstractNumId w:val="12"/>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1697"/>
    <w:rsid w:val="00006403"/>
    <w:rsid w:val="00006A29"/>
    <w:rsid w:val="00013FAA"/>
    <w:rsid w:val="00014227"/>
    <w:rsid w:val="00014297"/>
    <w:rsid w:val="00015AE7"/>
    <w:rsid w:val="00017B88"/>
    <w:rsid w:val="0002165C"/>
    <w:rsid w:val="000260CE"/>
    <w:rsid w:val="00026DB7"/>
    <w:rsid w:val="00030FFE"/>
    <w:rsid w:val="00031545"/>
    <w:rsid w:val="000317BA"/>
    <w:rsid w:val="00031D61"/>
    <w:rsid w:val="00033F30"/>
    <w:rsid w:val="000345A1"/>
    <w:rsid w:val="00037930"/>
    <w:rsid w:val="00037D13"/>
    <w:rsid w:val="00040CE0"/>
    <w:rsid w:val="00041B9F"/>
    <w:rsid w:val="000423B0"/>
    <w:rsid w:val="00044340"/>
    <w:rsid w:val="00051586"/>
    <w:rsid w:val="00053671"/>
    <w:rsid w:val="00056DD2"/>
    <w:rsid w:val="0006247E"/>
    <w:rsid w:val="000652BE"/>
    <w:rsid w:val="00065B9C"/>
    <w:rsid w:val="0006639A"/>
    <w:rsid w:val="000678AE"/>
    <w:rsid w:val="00067E1B"/>
    <w:rsid w:val="00070D4D"/>
    <w:rsid w:val="00071920"/>
    <w:rsid w:val="00073EFB"/>
    <w:rsid w:val="000747AC"/>
    <w:rsid w:val="00074FDE"/>
    <w:rsid w:val="00076D10"/>
    <w:rsid w:val="00077208"/>
    <w:rsid w:val="000777EF"/>
    <w:rsid w:val="0008071D"/>
    <w:rsid w:val="000816E0"/>
    <w:rsid w:val="00081E33"/>
    <w:rsid w:val="00082EA9"/>
    <w:rsid w:val="00086F46"/>
    <w:rsid w:val="000879CA"/>
    <w:rsid w:val="000912C9"/>
    <w:rsid w:val="00093DF9"/>
    <w:rsid w:val="00096AFC"/>
    <w:rsid w:val="000A0AC0"/>
    <w:rsid w:val="000A56BD"/>
    <w:rsid w:val="000A5E51"/>
    <w:rsid w:val="000A73A6"/>
    <w:rsid w:val="000B1828"/>
    <w:rsid w:val="000B1947"/>
    <w:rsid w:val="000C20AB"/>
    <w:rsid w:val="000D10E8"/>
    <w:rsid w:val="000D3C8A"/>
    <w:rsid w:val="000D7D1D"/>
    <w:rsid w:val="000E05AF"/>
    <w:rsid w:val="000E1128"/>
    <w:rsid w:val="000E144A"/>
    <w:rsid w:val="000E16D3"/>
    <w:rsid w:val="000E209D"/>
    <w:rsid w:val="000E2854"/>
    <w:rsid w:val="000E31D5"/>
    <w:rsid w:val="000E3652"/>
    <w:rsid w:val="000F1DE3"/>
    <w:rsid w:val="000F2DDC"/>
    <w:rsid w:val="000F4CAA"/>
    <w:rsid w:val="001015FC"/>
    <w:rsid w:val="00103FF5"/>
    <w:rsid w:val="00104E90"/>
    <w:rsid w:val="001054F6"/>
    <w:rsid w:val="00105EBF"/>
    <w:rsid w:val="00106FDF"/>
    <w:rsid w:val="0011632B"/>
    <w:rsid w:val="0012271A"/>
    <w:rsid w:val="0013020F"/>
    <w:rsid w:val="00130E5F"/>
    <w:rsid w:val="001319BD"/>
    <w:rsid w:val="0013226B"/>
    <w:rsid w:val="00134095"/>
    <w:rsid w:val="00134B29"/>
    <w:rsid w:val="00137E91"/>
    <w:rsid w:val="001433A9"/>
    <w:rsid w:val="00145159"/>
    <w:rsid w:val="00145687"/>
    <w:rsid w:val="0014691A"/>
    <w:rsid w:val="001503E6"/>
    <w:rsid w:val="00150705"/>
    <w:rsid w:val="00150BF0"/>
    <w:rsid w:val="00150C9B"/>
    <w:rsid w:val="001515AA"/>
    <w:rsid w:val="00153F9D"/>
    <w:rsid w:val="00155815"/>
    <w:rsid w:val="00156C6A"/>
    <w:rsid w:val="00157A3F"/>
    <w:rsid w:val="001658D3"/>
    <w:rsid w:val="00171ECE"/>
    <w:rsid w:val="00172F69"/>
    <w:rsid w:val="00177836"/>
    <w:rsid w:val="001812AE"/>
    <w:rsid w:val="001829BA"/>
    <w:rsid w:val="00185DD3"/>
    <w:rsid w:val="0019449E"/>
    <w:rsid w:val="00195E37"/>
    <w:rsid w:val="001A0D01"/>
    <w:rsid w:val="001A1DAB"/>
    <w:rsid w:val="001A1EFA"/>
    <w:rsid w:val="001B323C"/>
    <w:rsid w:val="001B4A66"/>
    <w:rsid w:val="001B4D2B"/>
    <w:rsid w:val="001B60A2"/>
    <w:rsid w:val="001B6AFB"/>
    <w:rsid w:val="001C0CE3"/>
    <w:rsid w:val="001C516C"/>
    <w:rsid w:val="001C77A3"/>
    <w:rsid w:val="001D0AB9"/>
    <w:rsid w:val="001D29E7"/>
    <w:rsid w:val="001D3929"/>
    <w:rsid w:val="001D6DDB"/>
    <w:rsid w:val="001E01ED"/>
    <w:rsid w:val="001F181F"/>
    <w:rsid w:val="001F2D33"/>
    <w:rsid w:val="00200775"/>
    <w:rsid w:val="00200B70"/>
    <w:rsid w:val="00200D2C"/>
    <w:rsid w:val="002014E2"/>
    <w:rsid w:val="002019A9"/>
    <w:rsid w:val="00201B4A"/>
    <w:rsid w:val="00203A50"/>
    <w:rsid w:val="00204AFB"/>
    <w:rsid w:val="0020663A"/>
    <w:rsid w:val="00206828"/>
    <w:rsid w:val="00207534"/>
    <w:rsid w:val="00213189"/>
    <w:rsid w:val="002202FF"/>
    <w:rsid w:val="002213CC"/>
    <w:rsid w:val="0023115C"/>
    <w:rsid w:val="002332D6"/>
    <w:rsid w:val="002368E4"/>
    <w:rsid w:val="0023769F"/>
    <w:rsid w:val="00240A5C"/>
    <w:rsid w:val="00240E62"/>
    <w:rsid w:val="0024170B"/>
    <w:rsid w:val="00242341"/>
    <w:rsid w:val="002425F1"/>
    <w:rsid w:val="00242998"/>
    <w:rsid w:val="00242BC8"/>
    <w:rsid w:val="00244129"/>
    <w:rsid w:val="00244D05"/>
    <w:rsid w:val="00250A78"/>
    <w:rsid w:val="002525F3"/>
    <w:rsid w:val="0025627B"/>
    <w:rsid w:val="00256843"/>
    <w:rsid w:val="002568B4"/>
    <w:rsid w:val="00265EDF"/>
    <w:rsid w:val="002661C7"/>
    <w:rsid w:val="0026711D"/>
    <w:rsid w:val="00270C3A"/>
    <w:rsid w:val="002739D6"/>
    <w:rsid w:val="00275ADF"/>
    <w:rsid w:val="00276C85"/>
    <w:rsid w:val="00280D66"/>
    <w:rsid w:val="0028198D"/>
    <w:rsid w:val="0028773F"/>
    <w:rsid w:val="00291F2D"/>
    <w:rsid w:val="00293D1E"/>
    <w:rsid w:val="0029515C"/>
    <w:rsid w:val="002961D6"/>
    <w:rsid w:val="002965F6"/>
    <w:rsid w:val="00297D51"/>
    <w:rsid w:val="002A0ADA"/>
    <w:rsid w:val="002A32F5"/>
    <w:rsid w:val="002A4FE1"/>
    <w:rsid w:val="002A5A29"/>
    <w:rsid w:val="002B2D0D"/>
    <w:rsid w:val="002B5CE2"/>
    <w:rsid w:val="002C3AE2"/>
    <w:rsid w:val="002C4020"/>
    <w:rsid w:val="002C6BD1"/>
    <w:rsid w:val="002D3D0C"/>
    <w:rsid w:val="002E11F0"/>
    <w:rsid w:val="002E24C0"/>
    <w:rsid w:val="002E4E76"/>
    <w:rsid w:val="002E50F1"/>
    <w:rsid w:val="002E5112"/>
    <w:rsid w:val="002F24DC"/>
    <w:rsid w:val="002F4995"/>
    <w:rsid w:val="002F5602"/>
    <w:rsid w:val="002F72C7"/>
    <w:rsid w:val="00305A1B"/>
    <w:rsid w:val="00316981"/>
    <w:rsid w:val="00321C21"/>
    <w:rsid w:val="00331282"/>
    <w:rsid w:val="00332F80"/>
    <w:rsid w:val="003340FF"/>
    <w:rsid w:val="003344F5"/>
    <w:rsid w:val="00334FDA"/>
    <w:rsid w:val="00343F28"/>
    <w:rsid w:val="00344C7C"/>
    <w:rsid w:val="00347120"/>
    <w:rsid w:val="0035130B"/>
    <w:rsid w:val="00352D80"/>
    <w:rsid w:val="003539FB"/>
    <w:rsid w:val="00354810"/>
    <w:rsid w:val="00357721"/>
    <w:rsid w:val="003703FF"/>
    <w:rsid w:val="0037216F"/>
    <w:rsid w:val="003737AF"/>
    <w:rsid w:val="00374CFA"/>
    <w:rsid w:val="00376B2C"/>
    <w:rsid w:val="00377FA8"/>
    <w:rsid w:val="00380753"/>
    <w:rsid w:val="003901F6"/>
    <w:rsid w:val="00390FA0"/>
    <w:rsid w:val="003962DF"/>
    <w:rsid w:val="003971F9"/>
    <w:rsid w:val="003A1889"/>
    <w:rsid w:val="003A6A6C"/>
    <w:rsid w:val="003A6D91"/>
    <w:rsid w:val="003B20C9"/>
    <w:rsid w:val="003B3841"/>
    <w:rsid w:val="003B3EE9"/>
    <w:rsid w:val="003B47DD"/>
    <w:rsid w:val="003C10A5"/>
    <w:rsid w:val="003C12D1"/>
    <w:rsid w:val="003C221F"/>
    <w:rsid w:val="003C3C33"/>
    <w:rsid w:val="003C5773"/>
    <w:rsid w:val="003D1EC2"/>
    <w:rsid w:val="003D7EF0"/>
    <w:rsid w:val="003E13AC"/>
    <w:rsid w:val="003E2A65"/>
    <w:rsid w:val="003E478F"/>
    <w:rsid w:val="003E5B68"/>
    <w:rsid w:val="003F027D"/>
    <w:rsid w:val="003F14C2"/>
    <w:rsid w:val="003F3408"/>
    <w:rsid w:val="004003F7"/>
    <w:rsid w:val="00401AFC"/>
    <w:rsid w:val="004021B3"/>
    <w:rsid w:val="004042A2"/>
    <w:rsid w:val="00404D96"/>
    <w:rsid w:val="00412543"/>
    <w:rsid w:val="00414AC8"/>
    <w:rsid w:val="00417F9E"/>
    <w:rsid w:val="00421917"/>
    <w:rsid w:val="0042426B"/>
    <w:rsid w:val="00424B0A"/>
    <w:rsid w:val="00426032"/>
    <w:rsid w:val="00427C03"/>
    <w:rsid w:val="00427EB5"/>
    <w:rsid w:val="00432322"/>
    <w:rsid w:val="0043305F"/>
    <w:rsid w:val="004334AB"/>
    <w:rsid w:val="00441432"/>
    <w:rsid w:val="00450740"/>
    <w:rsid w:val="00453494"/>
    <w:rsid w:val="00453EC7"/>
    <w:rsid w:val="0045429A"/>
    <w:rsid w:val="00460BD9"/>
    <w:rsid w:val="00460D47"/>
    <w:rsid w:val="004629B2"/>
    <w:rsid w:val="004633D8"/>
    <w:rsid w:val="004657BF"/>
    <w:rsid w:val="004713DD"/>
    <w:rsid w:val="0047402D"/>
    <w:rsid w:val="00480063"/>
    <w:rsid w:val="00480176"/>
    <w:rsid w:val="0048458E"/>
    <w:rsid w:val="00485E43"/>
    <w:rsid w:val="004907FD"/>
    <w:rsid w:val="00493F64"/>
    <w:rsid w:val="00494049"/>
    <w:rsid w:val="004B25CE"/>
    <w:rsid w:val="004B3702"/>
    <w:rsid w:val="004B3D61"/>
    <w:rsid w:val="004B4F62"/>
    <w:rsid w:val="004B5036"/>
    <w:rsid w:val="004B71A2"/>
    <w:rsid w:val="004C2697"/>
    <w:rsid w:val="004C3356"/>
    <w:rsid w:val="004C581B"/>
    <w:rsid w:val="004C5B7B"/>
    <w:rsid w:val="004D028F"/>
    <w:rsid w:val="004D205C"/>
    <w:rsid w:val="004D4DD0"/>
    <w:rsid w:val="004D5389"/>
    <w:rsid w:val="004D5B15"/>
    <w:rsid w:val="004D632E"/>
    <w:rsid w:val="004E0E3A"/>
    <w:rsid w:val="004E3395"/>
    <w:rsid w:val="004E3544"/>
    <w:rsid w:val="004E5482"/>
    <w:rsid w:val="004E72EA"/>
    <w:rsid w:val="004F442A"/>
    <w:rsid w:val="004F56DE"/>
    <w:rsid w:val="004F65C6"/>
    <w:rsid w:val="004F71D7"/>
    <w:rsid w:val="00501270"/>
    <w:rsid w:val="00504656"/>
    <w:rsid w:val="00506031"/>
    <w:rsid w:val="0050634D"/>
    <w:rsid w:val="00506E45"/>
    <w:rsid w:val="00511D75"/>
    <w:rsid w:val="00515886"/>
    <w:rsid w:val="00517E93"/>
    <w:rsid w:val="00523479"/>
    <w:rsid w:val="0052486D"/>
    <w:rsid w:val="005248A5"/>
    <w:rsid w:val="00527365"/>
    <w:rsid w:val="00532891"/>
    <w:rsid w:val="00536AF1"/>
    <w:rsid w:val="00536ED0"/>
    <w:rsid w:val="00537E55"/>
    <w:rsid w:val="00541712"/>
    <w:rsid w:val="00542640"/>
    <w:rsid w:val="00546A5E"/>
    <w:rsid w:val="00546ADD"/>
    <w:rsid w:val="00546B52"/>
    <w:rsid w:val="00550E55"/>
    <w:rsid w:val="00552FDF"/>
    <w:rsid w:val="00553F39"/>
    <w:rsid w:val="00562BBB"/>
    <w:rsid w:val="00565EDB"/>
    <w:rsid w:val="0057169B"/>
    <w:rsid w:val="005743EC"/>
    <w:rsid w:val="00574FA6"/>
    <w:rsid w:val="00580606"/>
    <w:rsid w:val="00582502"/>
    <w:rsid w:val="0058267E"/>
    <w:rsid w:val="00582903"/>
    <w:rsid w:val="00582C8E"/>
    <w:rsid w:val="00587434"/>
    <w:rsid w:val="00587EC2"/>
    <w:rsid w:val="00591E48"/>
    <w:rsid w:val="005A038A"/>
    <w:rsid w:val="005A0F49"/>
    <w:rsid w:val="005B016B"/>
    <w:rsid w:val="005B0C43"/>
    <w:rsid w:val="005B32E6"/>
    <w:rsid w:val="005B3D89"/>
    <w:rsid w:val="005B4518"/>
    <w:rsid w:val="005B5D5C"/>
    <w:rsid w:val="005B7263"/>
    <w:rsid w:val="005B7DF7"/>
    <w:rsid w:val="005C348B"/>
    <w:rsid w:val="005C4186"/>
    <w:rsid w:val="005C5398"/>
    <w:rsid w:val="005C7600"/>
    <w:rsid w:val="005C7B17"/>
    <w:rsid w:val="005D10E7"/>
    <w:rsid w:val="005D5165"/>
    <w:rsid w:val="005D66B4"/>
    <w:rsid w:val="005D6E34"/>
    <w:rsid w:val="005D7BF0"/>
    <w:rsid w:val="005E2979"/>
    <w:rsid w:val="005E4982"/>
    <w:rsid w:val="005E6916"/>
    <w:rsid w:val="005E6F8D"/>
    <w:rsid w:val="005F3060"/>
    <w:rsid w:val="005F32F0"/>
    <w:rsid w:val="005F51A2"/>
    <w:rsid w:val="0060115E"/>
    <w:rsid w:val="00602878"/>
    <w:rsid w:val="00606904"/>
    <w:rsid w:val="00606E0A"/>
    <w:rsid w:val="00613E64"/>
    <w:rsid w:val="00617B96"/>
    <w:rsid w:val="00620F8B"/>
    <w:rsid w:val="00622CA8"/>
    <w:rsid w:val="00623078"/>
    <w:rsid w:val="00623F86"/>
    <w:rsid w:val="00624CE1"/>
    <w:rsid w:val="00625F34"/>
    <w:rsid w:val="0062606A"/>
    <w:rsid w:val="006343C9"/>
    <w:rsid w:val="00637F5D"/>
    <w:rsid w:val="0064023D"/>
    <w:rsid w:val="00657BDF"/>
    <w:rsid w:val="00663BC9"/>
    <w:rsid w:val="00674C2B"/>
    <w:rsid w:val="00674DC2"/>
    <w:rsid w:val="006775DC"/>
    <w:rsid w:val="00681610"/>
    <w:rsid w:val="00683125"/>
    <w:rsid w:val="00686217"/>
    <w:rsid w:val="006869D4"/>
    <w:rsid w:val="00690E5E"/>
    <w:rsid w:val="00695F39"/>
    <w:rsid w:val="006A1A16"/>
    <w:rsid w:val="006A4424"/>
    <w:rsid w:val="006A4A39"/>
    <w:rsid w:val="006B04E5"/>
    <w:rsid w:val="006B07DF"/>
    <w:rsid w:val="006B0C20"/>
    <w:rsid w:val="006B56C4"/>
    <w:rsid w:val="006B7366"/>
    <w:rsid w:val="006C1A1E"/>
    <w:rsid w:val="006C500C"/>
    <w:rsid w:val="006C5228"/>
    <w:rsid w:val="006C655A"/>
    <w:rsid w:val="006C6578"/>
    <w:rsid w:val="006D6472"/>
    <w:rsid w:val="006E2395"/>
    <w:rsid w:val="006E4F97"/>
    <w:rsid w:val="006E715C"/>
    <w:rsid w:val="006F070E"/>
    <w:rsid w:val="006F3440"/>
    <w:rsid w:val="00706BCB"/>
    <w:rsid w:val="00706CB0"/>
    <w:rsid w:val="00713C0C"/>
    <w:rsid w:val="00714363"/>
    <w:rsid w:val="00720709"/>
    <w:rsid w:val="00724D04"/>
    <w:rsid w:val="007311C6"/>
    <w:rsid w:val="00731B24"/>
    <w:rsid w:val="007325ED"/>
    <w:rsid w:val="00733192"/>
    <w:rsid w:val="007376F4"/>
    <w:rsid w:val="0074100D"/>
    <w:rsid w:val="00743F22"/>
    <w:rsid w:val="007442C3"/>
    <w:rsid w:val="007447B9"/>
    <w:rsid w:val="00747020"/>
    <w:rsid w:val="007530B7"/>
    <w:rsid w:val="00754E12"/>
    <w:rsid w:val="0075552D"/>
    <w:rsid w:val="00755BBA"/>
    <w:rsid w:val="00757F44"/>
    <w:rsid w:val="007606B7"/>
    <w:rsid w:val="007667E1"/>
    <w:rsid w:val="00772A65"/>
    <w:rsid w:val="00773161"/>
    <w:rsid w:val="00775675"/>
    <w:rsid w:val="00777448"/>
    <w:rsid w:val="00777FC0"/>
    <w:rsid w:val="00782BDE"/>
    <w:rsid w:val="0078411B"/>
    <w:rsid w:val="007841E3"/>
    <w:rsid w:val="00784DDF"/>
    <w:rsid w:val="00786C5A"/>
    <w:rsid w:val="00792F8A"/>
    <w:rsid w:val="007A0C90"/>
    <w:rsid w:val="007A2FDD"/>
    <w:rsid w:val="007A3DAD"/>
    <w:rsid w:val="007B0C84"/>
    <w:rsid w:val="007B3D63"/>
    <w:rsid w:val="007B4891"/>
    <w:rsid w:val="007B4CA8"/>
    <w:rsid w:val="007C20D8"/>
    <w:rsid w:val="007C2B6F"/>
    <w:rsid w:val="007C4CBD"/>
    <w:rsid w:val="007C70CD"/>
    <w:rsid w:val="007C71F5"/>
    <w:rsid w:val="007D2C4F"/>
    <w:rsid w:val="007D3913"/>
    <w:rsid w:val="007D4C07"/>
    <w:rsid w:val="007E1C5D"/>
    <w:rsid w:val="007E405F"/>
    <w:rsid w:val="007E5176"/>
    <w:rsid w:val="007E6191"/>
    <w:rsid w:val="007E699C"/>
    <w:rsid w:val="007E72EF"/>
    <w:rsid w:val="007F1AE0"/>
    <w:rsid w:val="007F1E53"/>
    <w:rsid w:val="007F4F7A"/>
    <w:rsid w:val="007F7EDD"/>
    <w:rsid w:val="00800068"/>
    <w:rsid w:val="008102BB"/>
    <w:rsid w:val="0081086B"/>
    <w:rsid w:val="00810B9E"/>
    <w:rsid w:val="0081194B"/>
    <w:rsid w:val="00815C35"/>
    <w:rsid w:val="0081618D"/>
    <w:rsid w:val="00817236"/>
    <w:rsid w:val="008172D1"/>
    <w:rsid w:val="00823552"/>
    <w:rsid w:val="0082377F"/>
    <w:rsid w:val="00825415"/>
    <w:rsid w:val="00827286"/>
    <w:rsid w:val="00831EA0"/>
    <w:rsid w:val="008320F7"/>
    <w:rsid w:val="00834315"/>
    <w:rsid w:val="0084098E"/>
    <w:rsid w:val="00841EF0"/>
    <w:rsid w:val="008422A5"/>
    <w:rsid w:val="00842C29"/>
    <w:rsid w:val="00843673"/>
    <w:rsid w:val="00843E71"/>
    <w:rsid w:val="0084464A"/>
    <w:rsid w:val="008452CD"/>
    <w:rsid w:val="008457FB"/>
    <w:rsid w:val="0085017F"/>
    <w:rsid w:val="0085195B"/>
    <w:rsid w:val="008519CC"/>
    <w:rsid w:val="00852956"/>
    <w:rsid w:val="0085383F"/>
    <w:rsid w:val="008541D4"/>
    <w:rsid w:val="00857138"/>
    <w:rsid w:val="008574B9"/>
    <w:rsid w:val="00872E3B"/>
    <w:rsid w:val="008733C2"/>
    <w:rsid w:val="0087762E"/>
    <w:rsid w:val="00877BE2"/>
    <w:rsid w:val="008809A1"/>
    <w:rsid w:val="00882365"/>
    <w:rsid w:val="008839F0"/>
    <w:rsid w:val="008845A2"/>
    <w:rsid w:val="008865B5"/>
    <w:rsid w:val="00886C49"/>
    <w:rsid w:val="00890B73"/>
    <w:rsid w:val="00890BFF"/>
    <w:rsid w:val="008928A3"/>
    <w:rsid w:val="008A0D9E"/>
    <w:rsid w:val="008A16FB"/>
    <w:rsid w:val="008A19F2"/>
    <w:rsid w:val="008A1E78"/>
    <w:rsid w:val="008A2B9C"/>
    <w:rsid w:val="008A3AA0"/>
    <w:rsid w:val="008A4739"/>
    <w:rsid w:val="008A4E7B"/>
    <w:rsid w:val="008A64DB"/>
    <w:rsid w:val="008A6ECE"/>
    <w:rsid w:val="008A70CF"/>
    <w:rsid w:val="008B180A"/>
    <w:rsid w:val="008B5D54"/>
    <w:rsid w:val="008B7B1C"/>
    <w:rsid w:val="008C0758"/>
    <w:rsid w:val="008C09DC"/>
    <w:rsid w:val="008C0F50"/>
    <w:rsid w:val="008C1BEA"/>
    <w:rsid w:val="008C3782"/>
    <w:rsid w:val="008C5507"/>
    <w:rsid w:val="008D47EF"/>
    <w:rsid w:val="008D4A37"/>
    <w:rsid w:val="008D5F8D"/>
    <w:rsid w:val="008D628E"/>
    <w:rsid w:val="008E10CB"/>
    <w:rsid w:val="008E5022"/>
    <w:rsid w:val="008E6D5A"/>
    <w:rsid w:val="008F04BA"/>
    <w:rsid w:val="008F34F0"/>
    <w:rsid w:val="008F6383"/>
    <w:rsid w:val="008F675C"/>
    <w:rsid w:val="008F6B1C"/>
    <w:rsid w:val="00903A14"/>
    <w:rsid w:val="00904F07"/>
    <w:rsid w:val="00910A43"/>
    <w:rsid w:val="009111E8"/>
    <w:rsid w:val="009111F6"/>
    <w:rsid w:val="00913292"/>
    <w:rsid w:val="009132DF"/>
    <w:rsid w:val="00913A3E"/>
    <w:rsid w:val="009221FF"/>
    <w:rsid w:val="00924A81"/>
    <w:rsid w:val="00925BA9"/>
    <w:rsid w:val="009330AF"/>
    <w:rsid w:val="00933271"/>
    <w:rsid w:val="009371FE"/>
    <w:rsid w:val="00940241"/>
    <w:rsid w:val="00941A61"/>
    <w:rsid w:val="009423E7"/>
    <w:rsid w:val="00943B21"/>
    <w:rsid w:val="00944AB9"/>
    <w:rsid w:val="00947351"/>
    <w:rsid w:val="009501CD"/>
    <w:rsid w:val="00951C80"/>
    <w:rsid w:val="009563E6"/>
    <w:rsid w:val="0095683F"/>
    <w:rsid w:val="00956B5D"/>
    <w:rsid w:val="009579AD"/>
    <w:rsid w:val="00957EBB"/>
    <w:rsid w:val="00963092"/>
    <w:rsid w:val="009636FA"/>
    <w:rsid w:val="0096557A"/>
    <w:rsid w:val="00965E71"/>
    <w:rsid w:val="00973A03"/>
    <w:rsid w:val="00974E01"/>
    <w:rsid w:val="00975630"/>
    <w:rsid w:val="00976441"/>
    <w:rsid w:val="00980F7C"/>
    <w:rsid w:val="009811EB"/>
    <w:rsid w:val="00982E03"/>
    <w:rsid w:val="009830DB"/>
    <w:rsid w:val="0098459C"/>
    <w:rsid w:val="0098673D"/>
    <w:rsid w:val="00987256"/>
    <w:rsid w:val="009951A9"/>
    <w:rsid w:val="0099750D"/>
    <w:rsid w:val="009A2571"/>
    <w:rsid w:val="009A38A1"/>
    <w:rsid w:val="009A4982"/>
    <w:rsid w:val="009A6CEF"/>
    <w:rsid w:val="009B396D"/>
    <w:rsid w:val="009B4858"/>
    <w:rsid w:val="009B5C38"/>
    <w:rsid w:val="009C3FFF"/>
    <w:rsid w:val="009C5D88"/>
    <w:rsid w:val="009C6B25"/>
    <w:rsid w:val="009C7405"/>
    <w:rsid w:val="009D041A"/>
    <w:rsid w:val="009D2DAC"/>
    <w:rsid w:val="009D4CC5"/>
    <w:rsid w:val="009D6649"/>
    <w:rsid w:val="009D7271"/>
    <w:rsid w:val="009E1B12"/>
    <w:rsid w:val="009F1D6A"/>
    <w:rsid w:val="009F2B1C"/>
    <w:rsid w:val="009F4C05"/>
    <w:rsid w:val="009F5EAB"/>
    <w:rsid w:val="009F6A65"/>
    <w:rsid w:val="00A00005"/>
    <w:rsid w:val="00A003CC"/>
    <w:rsid w:val="00A02DE6"/>
    <w:rsid w:val="00A04495"/>
    <w:rsid w:val="00A056A5"/>
    <w:rsid w:val="00A06E04"/>
    <w:rsid w:val="00A06E57"/>
    <w:rsid w:val="00A07E2E"/>
    <w:rsid w:val="00A12865"/>
    <w:rsid w:val="00A12ABA"/>
    <w:rsid w:val="00A155B7"/>
    <w:rsid w:val="00A170D4"/>
    <w:rsid w:val="00A200F6"/>
    <w:rsid w:val="00A31F59"/>
    <w:rsid w:val="00A32FBE"/>
    <w:rsid w:val="00A34D13"/>
    <w:rsid w:val="00A3575B"/>
    <w:rsid w:val="00A37745"/>
    <w:rsid w:val="00A46777"/>
    <w:rsid w:val="00A51C29"/>
    <w:rsid w:val="00A552D2"/>
    <w:rsid w:val="00A55C9F"/>
    <w:rsid w:val="00A60B75"/>
    <w:rsid w:val="00A60D3F"/>
    <w:rsid w:val="00A63A65"/>
    <w:rsid w:val="00A64F2A"/>
    <w:rsid w:val="00A71916"/>
    <w:rsid w:val="00A732A6"/>
    <w:rsid w:val="00A74030"/>
    <w:rsid w:val="00A74155"/>
    <w:rsid w:val="00A753EB"/>
    <w:rsid w:val="00A76979"/>
    <w:rsid w:val="00A775DF"/>
    <w:rsid w:val="00A80799"/>
    <w:rsid w:val="00A90552"/>
    <w:rsid w:val="00AA0B72"/>
    <w:rsid w:val="00AA172C"/>
    <w:rsid w:val="00AA1ED6"/>
    <w:rsid w:val="00AB5CA8"/>
    <w:rsid w:val="00AB78EA"/>
    <w:rsid w:val="00AB7D0D"/>
    <w:rsid w:val="00AC05E8"/>
    <w:rsid w:val="00AC254E"/>
    <w:rsid w:val="00AC25ED"/>
    <w:rsid w:val="00AC3C90"/>
    <w:rsid w:val="00AC60FB"/>
    <w:rsid w:val="00AD031E"/>
    <w:rsid w:val="00AD27E0"/>
    <w:rsid w:val="00AD2807"/>
    <w:rsid w:val="00AD4495"/>
    <w:rsid w:val="00AD617D"/>
    <w:rsid w:val="00AD7976"/>
    <w:rsid w:val="00AD7CCE"/>
    <w:rsid w:val="00AE0874"/>
    <w:rsid w:val="00AE35D9"/>
    <w:rsid w:val="00AE50F8"/>
    <w:rsid w:val="00AE7050"/>
    <w:rsid w:val="00AF2647"/>
    <w:rsid w:val="00AF69F7"/>
    <w:rsid w:val="00AF6D1E"/>
    <w:rsid w:val="00AF6FD9"/>
    <w:rsid w:val="00B01EA2"/>
    <w:rsid w:val="00B01F8A"/>
    <w:rsid w:val="00B03E4D"/>
    <w:rsid w:val="00B057DB"/>
    <w:rsid w:val="00B06922"/>
    <w:rsid w:val="00B10932"/>
    <w:rsid w:val="00B11437"/>
    <w:rsid w:val="00B12EA3"/>
    <w:rsid w:val="00B1394D"/>
    <w:rsid w:val="00B13A15"/>
    <w:rsid w:val="00B13D7C"/>
    <w:rsid w:val="00B148B5"/>
    <w:rsid w:val="00B1673A"/>
    <w:rsid w:val="00B170CE"/>
    <w:rsid w:val="00B238B2"/>
    <w:rsid w:val="00B24C5D"/>
    <w:rsid w:val="00B24E32"/>
    <w:rsid w:val="00B250E0"/>
    <w:rsid w:val="00B270BB"/>
    <w:rsid w:val="00B328D6"/>
    <w:rsid w:val="00B343E9"/>
    <w:rsid w:val="00B36F42"/>
    <w:rsid w:val="00B414DF"/>
    <w:rsid w:val="00B42992"/>
    <w:rsid w:val="00B42A00"/>
    <w:rsid w:val="00B447EE"/>
    <w:rsid w:val="00B45362"/>
    <w:rsid w:val="00B45435"/>
    <w:rsid w:val="00B470EB"/>
    <w:rsid w:val="00B474EC"/>
    <w:rsid w:val="00B52D00"/>
    <w:rsid w:val="00B55735"/>
    <w:rsid w:val="00B57BE0"/>
    <w:rsid w:val="00B608AC"/>
    <w:rsid w:val="00B62FF3"/>
    <w:rsid w:val="00B64D28"/>
    <w:rsid w:val="00B65A4F"/>
    <w:rsid w:val="00B65B0C"/>
    <w:rsid w:val="00B712D6"/>
    <w:rsid w:val="00B72AE8"/>
    <w:rsid w:val="00B76486"/>
    <w:rsid w:val="00B76615"/>
    <w:rsid w:val="00B82C9D"/>
    <w:rsid w:val="00B930C9"/>
    <w:rsid w:val="00B9447E"/>
    <w:rsid w:val="00B953B0"/>
    <w:rsid w:val="00B962E4"/>
    <w:rsid w:val="00BA7B25"/>
    <w:rsid w:val="00BB055C"/>
    <w:rsid w:val="00BB0F3A"/>
    <w:rsid w:val="00BB3F53"/>
    <w:rsid w:val="00BC004B"/>
    <w:rsid w:val="00BC38BA"/>
    <w:rsid w:val="00BC60F9"/>
    <w:rsid w:val="00BC7371"/>
    <w:rsid w:val="00BD0B38"/>
    <w:rsid w:val="00BD7FDE"/>
    <w:rsid w:val="00BE0850"/>
    <w:rsid w:val="00BF1EB9"/>
    <w:rsid w:val="00BF2A04"/>
    <w:rsid w:val="00BF2B6F"/>
    <w:rsid w:val="00BF4C06"/>
    <w:rsid w:val="00BF671C"/>
    <w:rsid w:val="00C00EDB"/>
    <w:rsid w:val="00C03F9D"/>
    <w:rsid w:val="00C1216F"/>
    <w:rsid w:val="00C1474B"/>
    <w:rsid w:val="00C15501"/>
    <w:rsid w:val="00C15DB7"/>
    <w:rsid w:val="00C172B3"/>
    <w:rsid w:val="00C17EE7"/>
    <w:rsid w:val="00C202D5"/>
    <w:rsid w:val="00C24A59"/>
    <w:rsid w:val="00C2533B"/>
    <w:rsid w:val="00C25635"/>
    <w:rsid w:val="00C36986"/>
    <w:rsid w:val="00C37E9C"/>
    <w:rsid w:val="00C421C2"/>
    <w:rsid w:val="00C436DC"/>
    <w:rsid w:val="00C46977"/>
    <w:rsid w:val="00C47736"/>
    <w:rsid w:val="00C50810"/>
    <w:rsid w:val="00C53CE5"/>
    <w:rsid w:val="00C5458E"/>
    <w:rsid w:val="00C56A3A"/>
    <w:rsid w:val="00C60213"/>
    <w:rsid w:val="00C60A58"/>
    <w:rsid w:val="00C61DD4"/>
    <w:rsid w:val="00C62F5E"/>
    <w:rsid w:val="00C64735"/>
    <w:rsid w:val="00C67BED"/>
    <w:rsid w:val="00C67C7D"/>
    <w:rsid w:val="00C70483"/>
    <w:rsid w:val="00C70C6E"/>
    <w:rsid w:val="00C72912"/>
    <w:rsid w:val="00C736A4"/>
    <w:rsid w:val="00C74F4A"/>
    <w:rsid w:val="00C81AAD"/>
    <w:rsid w:val="00C8370A"/>
    <w:rsid w:val="00C84609"/>
    <w:rsid w:val="00C91C02"/>
    <w:rsid w:val="00C9502D"/>
    <w:rsid w:val="00CA7D49"/>
    <w:rsid w:val="00CB031A"/>
    <w:rsid w:val="00CB3BDE"/>
    <w:rsid w:val="00CB51BB"/>
    <w:rsid w:val="00CB62C5"/>
    <w:rsid w:val="00CC211B"/>
    <w:rsid w:val="00CC297C"/>
    <w:rsid w:val="00CC3B01"/>
    <w:rsid w:val="00CC568F"/>
    <w:rsid w:val="00CC5FFB"/>
    <w:rsid w:val="00CC6AB1"/>
    <w:rsid w:val="00CD441E"/>
    <w:rsid w:val="00CE4936"/>
    <w:rsid w:val="00CF191F"/>
    <w:rsid w:val="00CF2DFB"/>
    <w:rsid w:val="00CF3EE1"/>
    <w:rsid w:val="00CF44C9"/>
    <w:rsid w:val="00CF5622"/>
    <w:rsid w:val="00CF5EFA"/>
    <w:rsid w:val="00D01AB3"/>
    <w:rsid w:val="00D02168"/>
    <w:rsid w:val="00D02668"/>
    <w:rsid w:val="00D028B0"/>
    <w:rsid w:val="00D02DEF"/>
    <w:rsid w:val="00D0502B"/>
    <w:rsid w:val="00D05089"/>
    <w:rsid w:val="00D05FAB"/>
    <w:rsid w:val="00D071EB"/>
    <w:rsid w:val="00D07372"/>
    <w:rsid w:val="00D07617"/>
    <w:rsid w:val="00D17CF3"/>
    <w:rsid w:val="00D17FA6"/>
    <w:rsid w:val="00D21275"/>
    <w:rsid w:val="00D312D3"/>
    <w:rsid w:val="00D329C3"/>
    <w:rsid w:val="00D3462F"/>
    <w:rsid w:val="00D37337"/>
    <w:rsid w:val="00D419B4"/>
    <w:rsid w:val="00D45665"/>
    <w:rsid w:val="00D45E08"/>
    <w:rsid w:val="00D467C4"/>
    <w:rsid w:val="00D473E4"/>
    <w:rsid w:val="00D4797E"/>
    <w:rsid w:val="00D528B9"/>
    <w:rsid w:val="00D543AA"/>
    <w:rsid w:val="00D55A4B"/>
    <w:rsid w:val="00D56E26"/>
    <w:rsid w:val="00D601A8"/>
    <w:rsid w:val="00D60D10"/>
    <w:rsid w:val="00D62D1E"/>
    <w:rsid w:val="00D63688"/>
    <w:rsid w:val="00D64D74"/>
    <w:rsid w:val="00D6673F"/>
    <w:rsid w:val="00D66FE5"/>
    <w:rsid w:val="00D70265"/>
    <w:rsid w:val="00D70D00"/>
    <w:rsid w:val="00D70EC7"/>
    <w:rsid w:val="00D741C0"/>
    <w:rsid w:val="00D74C3B"/>
    <w:rsid w:val="00D7645F"/>
    <w:rsid w:val="00D7760E"/>
    <w:rsid w:val="00D84695"/>
    <w:rsid w:val="00D96359"/>
    <w:rsid w:val="00D96E48"/>
    <w:rsid w:val="00DA06C8"/>
    <w:rsid w:val="00DA2EFC"/>
    <w:rsid w:val="00DA3EA4"/>
    <w:rsid w:val="00DB13DE"/>
    <w:rsid w:val="00DB54EF"/>
    <w:rsid w:val="00DB632D"/>
    <w:rsid w:val="00DC0C2E"/>
    <w:rsid w:val="00DC3C26"/>
    <w:rsid w:val="00DC56F1"/>
    <w:rsid w:val="00DC57CC"/>
    <w:rsid w:val="00DC64D6"/>
    <w:rsid w:val="00DC68BA"/>
    <w:rsid w:val="00DC71F2"/>
    <w:rsid w:val="00DD1B1B"/>
    <w:rsid w:val="00DD3B22"/>
    <w:rsid w:val="00DD4021"/>
    <w:rsid w:val="00DE2A5A"/>
    <w:rsid w:val="00DE4370"/>
    <w:rsid w:val="00DF291A"/>
    <w:rsid w:val="00DF3B92"/>
    <w:rsid w:val="00DF71D5"/>
    <w:rsid w:val="00E005EF"/>
    <w:rsid w:val="00E036C0"/>
    <w:rsid w:val="00E06F4F"/>
    <w:rsid w:val="00E10087"/>
    <w:rsid w:val="00E11DD3"/>
    <w:rsid w:val="00E206AE"/>
    <w:rsid w:val="00E227E6"/>
    <w:rsid w:val="00E240BF"/>
    <w:rsid w:val="00E2574F"/>
    <w:rsid w:val="00E25E5B"/>
    <w:rsid w:val="00E26604"/>
    <w:rsid w:val="00E315F0"/>
    <w:rsid w:val="00E344D5"/>
    <w:rsid w:val="00E35701"/>
    <w:rsid w:val="00E3571A"/>
    <w:rsid w:val="00E368ED"/>
    <w:rsid w:val="00E4144C"/>
    <w:rsid w:val="00E45F70"/>
    <w:rsid w:val="00E477CF"/>
    <w:rsid w:val="00E47D1A"/>
    <w:rsid w:val="00E50603"/>
    <w:rsid w:val="00E50DA8"/>
    <w:rsid w:val="00E53653"/>
    <w:rsid w:val="00E56897"/>
    <w:rsid w:val="00E57070"/>
    <w:rsid w:val="00E57785"/>
    <w:rsid w:val="00E6049F"/>
    <w:rsid w:val="00E64086"/>
    <w:rsid w:val="00E6566E"/>
    <w:rsid w:val="00E65FF8"/>
    <w:rsid w:val="00E66F37"/>
    <w:rsid w:val="00E70C71"/>
    <w:rsid w:val="00E72740"/>
    <w:rsid w:val="00E7576E"/>
    <w:rsid w:val="00E763FE"/>
    <w:rsid w:val="00E76B94"/>
    <w:rsid w:val="00E81722"/>
    <w:rsid w:val="00E830C0"/>
    <w:rsid w:val="00E83EFA"/>
    <w:rsid w:val="00E8562C"/>
    <w:rsid w:val="00E86BF9"/>
    <w:rsid w:val="00E86C70"/>
    <w:rsid w:val="00E90840"/>
    <w:rsid w:val="00E95231"/>
    <w:rsid w:val="00E95779"/>
    <w:rsid w:val="00EA31E0"/>
    <w:rsid w:val="00EA4C0B"/>
    <w:rsid w:val="00EA7B3B"/>
    <w:rsid w:val="00EB00AF"/>
    <w:rsid w:val="00EB0E04"/>
    <w:rsid w:val="00EB46EE"/>
    <w:rsid w:val="00EB7706"/>
    <w:rsid w:val="00EB7D6E"/>
    <w:rsid w:val="00EC3F14"/>
    <w:rsid w:val="00EC4A0C"/>
    <w:rsid w:val="00EC5C59"/>
    <w:rsid w:val="00ED0207"/>
    <w:rsid w:val="00ED127C"/>
    <w:rsid w:val="00ED14C4"/>
    <w:rsid w:val="00ED3A5B"/>
    <w:rsid w:val="00ED4755"/>
    <w:rsid w:val="00ED62D3"/>
    <w:rsid w:val="00ED75FB"/>
    <w:rsid w:val="00EE4F87"/>
    <w:rsid w:val="00EE683F"/>
    <w:rsid w:val="00EF1FA3"/>
    <w:rsid w:val="00EF28D6"/>
    <w:rsid w:val="00EF42C5"/>
    <w:rsid w:val="00F014B6"/>
    <w:rsid w:val="00F025EB"/>
    <w:rsid w:val="00F119BC"/>
    <w:rsid w:val="00F11C39"/>
    <w:rsid w:val="00F13485"/>
    <w:rsid w:val="00F15684"/>
    <w:rsid w:val="00F15707"/>
    <w:rsid w:val="00F15AEE"/>
    <w:rsid w:val="00F1727A"/>
    <w:rsid w:val="00F22BAE"/>
    <w:rsid w:val="00F26954"/>
    <w:rsid w:val="00F27976"/>
    <w:rsid w:val="00F30E45"/>
    <w:rsid w:val="00F34537"/>
    <w:rsid w:val="00F353ED"/>
    <w:rsid w:val="00F3592B"/>
    <w:rsid w:val="00F3714D"/>
    <w:rsid w:val="00F4093A"/>
    <w:rsid w:val="00F42159"/>
    <w:rsid w:val="00F52F33"/>
    <w:rsid w:val="00F534E7"/>
    <w:rsid w:val="00F54C87"/>
    <w:rsid w:val="00F55853"/>
    <w:rsid w:val="00F64CC0"/>
    <w:rsid w:val="00F64E04"/>
    <w:rsid w:val="00F72954"/>
    <w:rsid w:val="00F734ED"/>
    <w:rsid w:val="00F75369"/>
    <w:rsid w:val="00F82D55"/>
    <w:rsid w:val="00F83380"/>
    <w:rsid w:val="00F8363E"/>
    <w:rsid w:val="00F84573"/>
    <w:rsid w:val="00F867DA"/>
    <w:rsid w:val="00F907C9"/>
    <w:rsid w:val="00F918BB"/>
    <w:rsid w:val="00F9212B"/>
    <w:rsid w:val="00F94AE4"/>
    <w:rsid w:val="00F94F35"/>
    <w:rsid w:val="00F951D1"/>
    <w:rsid w:val="00F95454"/>
    <w:rsid w:val="00F95904"/>
    <w:rsid w:val="00F9622C"/>
    <w:rsid w:val="00F97FAA"/>
    <w:rsid w:val="00FB7AA8"/>
    <w:rsid w:val="00FC0162"/>
    <w:rsid w:val="00FC1704"/>
    <w:rsid w:val="00FC2B3C"/>
    <w:rsid w:val="00FC3CFD"/>
    <w:rsid w:val="00FD091D"/>
    <w:rsid w:val="00FD2FD5"/>
    <w:rsid w:val="00FD3BED"/>
    <w:rsid w:val="00FD6609"/>
    <w:rsid w:val="00FD6A23"/>
    <w:rsid w:val="00FD6AEB"/>
    <w:rsid w:val="00FE2976"/>
    <w:rsid w:val="00FE505B"/>
    <w:rsid w:val="00FE7D83"/>
    <w:rsid w:val="00FF1CB4"/>
    <w:rsid w:val="00FF37D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95F39"/>
  </w:style>
  <w:style w:type="character" w:customStyle="1" w:styleId="articletitle">
    <w:name w:val="articletitle"/>
    <w:basedOn w:val="DefaultParagraphFont"/>
    <w:rsid w:val="00695F39"/>
  </w:style>
  <w:style w:type="character" w:customStyle="1" w:styleId="journaltitle">
    <w:name w:val="journaltitle"/>
    <w:basedOn w:val="DefaultParagraphFont"/>
    <w:rsid w:val="00695F39"/>
  </w:style>
  <w:style w:type="character" w:customStyle="1" w:styleId="pubyear">
    <w:name w:val="pubyear"/>
    <w:basedOn w:val="DefaultParagraphFont"/>
    <w:rsid w:val="00695F39"/>
  </w:style>
  <w:style w:type="character" w:customStyle="1" w:styleId="vol">
    <w:name w:val="vol"/>
    <w:basedOn w:val="DefaultParagraphFont"/>
    <w:rsid w:val="00695F39"/>
  </w:style>
  <w:style w:type="character" w:customStyle="1" w:styleId="pagefirst">
    <w:name w:val="pagefirst"/>
    <w:basedOn w:val="DefaultParagraphFont"/>
    <w:rsid w:val="00695F39"/>
  </w:style>
  <w:style w:type="character" w:customStyle="1" w:styleId="pagelast">
    <w:name w:val="pagelast"/>
    <w:basedOn w:val="DefaultParagraphFont"/>
    <w:rsid w:val="00695F39"/>
  </w:style>
  <w:style w:type="paragraph" w:styleId="NormalWeb">
    <w:name w:val="Normal (Web)"/>
    <w:basedOn w:val="Normal"/>
    <w:uiPriority w:val="99"/>
    <w:unhideWhenUsed/>
    <w:rsid w:val="00414AC8"/>
    <w:pPr>
      <w:spacing w:before="100" w:beforeAutospacing="1" w:after="100" w:afterAutospacing="1"/>
    </w:pPr>
  </w:style>
  <w:style w:type="character" w:styleId="Strong">
    <w:name w:val="Strong"/>
    <w:basedOn w:val="DefaultParagraphFont"/>
    <w:uiPriority w:val="22"/>
    <w:qFormat/>
    <w:rsid w:val="00414AC8"/>
    <w:rPr>
      <w:b/>
      <w:bCs/>
    </w:rPr>
  </w:style>
  <w:style w:type="character" w:customStyle="1" w:styleId="sr-only">
    <w:name w:val="sr-only"/>
    <w:basedOn w:val="DefaultParagraphFont"/>
    <w:rsid w:val="00D60D10"/>
  </w:style>
  <w:style w:type="character" w:styleId="Emphasis">
    <w:name w:val="Emphasis"/>
    <w:basedOn w:val="DefaultParagraphFont"/>
    <w:uiPriority w:val="20"/>
    <w:qFormat/>
    <w:rsid w:val="0085017F"/>
    <w:rPr>
      <w:i/>
      <w:iCs/>
    </w:rPr>
  </w:style>
  <w:style w:type="paragraph" w:customStyle="1" w:styleId="bulletlistintro">
    <w:name w:val="bulletlistintro"/>
    <w:basedOn w:val="Normal"/>
    <w:rsid w:val="00A74030"/>
    <w:pPr>
      <w:spacing w:before="100" w:beforeAutospacing="1" w:after="100" w:afterAutospacing="1"/>
    </w:pPr>
  </w:style>
  <w:style w:type="character" w:styleId="FollowedHyperlink">
    <w:name w:val="FollowedHyperlink"/>
    <w:basedOn w:val="DefaultParagraphFont"/>
    <w:uiPriority w:val="99"/>
    <w:semiHidden/>
    <w:unhideWhenUsed/>
    <w:rsid w:val="001658D3"/>
    <w:rPr>
      <w:color w:val="800080" w:themeColor="followedHyperlink"/>
      <w:u w:val="single"/>
    </w:rPr>
  </w:style>
  <w:style w:type="character" w:customStyle="1" w:styleId="A9">
    <w:name w:val="A9"/>
    <w:uiPriority w:val="99"/>
    <w:rsid w:val="000E144A"/>
    <w:rPr>
      <w:rFonts w:cs="ITC Franklin Gothic Std Book"/>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95F39"/>
  </w:style>
  <w:style w:type="character" w:customStyle="1" w:styleId="articletitle">
    <w:name w:val="articletitle"/>
    <w:basedOn w:val="DefaultParagraphFont"/>
    <w:rsid w:val="00695F39"/>
  </w:style>
  <w:style w:type="character" w:customStyle="1" w:styleId="journaltitle">
    <w:name w:val="journaltitle"/>
    <w:basedOn w:val="DefaultParagraphFont"/>
    <w:rsid w:val="00695F39"/>
  </w:style>
  <w:style w:type="character" w:customStyle="1" w:styleId="pubyear">
    <w:name w:val="pubyear"/>
    <w:basedOn w:val="DefaultParagraphFont"/>
    <w:rsid w:val="00695F39"/>
  </w:style>
  <w:style w:type="character" w:customStyle="1" w:styleId="vol">
    <w:name w:val="vol"/>
    <w:basedOn w:val="DefaultParagraphFont"/>
    <w:rsid w:val="00695F39"/>
  </w:style>
  <w:style w:type="character" w:customStyle="1" w:styleId="pagefirst">
    <w:name w:val="pagefirst"/>
    <w:basedOn w:val="DefaultParagraphFont"/>
    <w:rsid w:val="00695F39"/>
  </w:style>
  <w:style w:type="character" w:customStyle="1" w:styleId="pagelast">
    <w:name w:val="pagelast"/>
    <w:basedOn w:val="DefaultParagraphFont"/>
    <w:rsid w:val="00695F39"/>
  </w:style>
  <w:style w:type="paragraph" w:styleId="NormalWeb">
    <w:name w:val="Normal (Web)"/>
    <w:basedOn w:val="Normal"/>
    <w:uiPriority w:val="99"/>
    <w:unhideWhenUsed/>
    <w:rsid w:val="00414AC8"/>
    <w:pPr>
      <w:spacing w:before="100" w:beforeAutospacing="1" w:after="100" w:afterAutospacing="1"/>
    </w:pPr>
  </w:style>
  <w:style w:type="character" w:styleId="Strong">
    <w:name w:val="Strong"/>
    <w:basedOn w:val="DefaultParagraphFont"/>
    <w:uiPriority w:val="22"/>
    <w:qFormat/>
    <w:rsid w:val="00414AC8"/>
    <w:rPr>
      <w:b/>
      <w:bCs/>
    </w:rPr>
  </w:style>
  <w:style w:type="character" w:customStyle="1" w:styleId="sr-only">
    <w:name w:val="sr-only"/>
    <w:basedOn w:val="DefaultParagraphFont"/>
    <w:rsid w:val="00D60D10"/>
  </w:style>
  <w:style w:type="character" w:styleId="Emphasis">
    <w:name w:val="Emphasis"/>
    <w:basedOn w:val="DefaultParagraphFont"/>
    <w:uiPriority w:val="20"/>
    <w:qFormat/>
    <w:rsid w:val="0085017F"/>
    <w:rPr>
      <w:i/>
      <w:iCs/>
    </w:rPr>
  </w:style>
  <w:style w:type="paragraph" w:customStyle="1" w:styleId="bulletlistintro">
    <w:name w:val="bulletlistintro"/>
    <w:basedOn w:val="Normal"/>
    <w:rsid w:val="00A74030"/>
    <w:pPr>
      <w:spacing w:before="100" w:beforeAutospacing="1" w:after="100" w:afterAutospacing="1"/>
    </w:pPr>
  </w:style>
  <w:style w:type="character" w:styleId="FollowedHyperlink">
    <w:name w:val="FollowedHyperlink"/>
    <w:basedOn w:val="DefaultParagraphFont"/>
    <w:uiPriority w:val="99"/>
    <w:semiHidden/>
    <w:unhideWhenUsed/>
    <w:rsid w:val="001658D3"/>
    <w:rPr>
      <w:color w:val="800080" w:themeColor="followedHyperlink"/>
      <w:u w:val="single"/>
    </w:rPr>
  </w:style>
  <w:style w:type="character" w:customStyle="1" w:styleId="A9">
    <w:name w:val="A9"/>
    <w:uiPriority w:val="99"/>
    <w:rsid w:val="000E144A"/>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291712398">
      <w:bodyDiv w:val="1"/>
      <w:marLeft w:val="0"/>
      <w:marRight w:val="0"/>
      <w:marTop w:val="0"/>
      <w:marBottom w:val="0"/>
      <w:divBdr>
        <w:top w:val="none" w:sz="0" w:space="0" w:color="auto"/>
        <w:left w:val="none" w:sz="0" w:space="0" w:color="auto"/>
        <w:bottom w:val="none" w:sz="0" w:space="0" w:color="auto"/>
        <w:right w:val="none" w:sz="0" w:space="0" w:color="auto"/>
      </w:divBdr>
      <w:divsChild>
        <w:div w:id="925725525">
          <w:marLeft w:val="547"/>
          <w:marRight w:val="0"/>
          <w:marTop w:val="120"/>
          <w:marBottom w:val="0"/>
          <w:divBdr>
            <w:top w:val="none" w:sz="0" w:space="0" w:color="auto"/>
            <w:left w:val="none" w:sz="0" w:space="0" w:color="auto"/>
            <w:bottom w:val="none" w:sz="0" w:space="0" w:color="auto"/>
            <w:right w:val="none" w:sz="0" w:space="0" w:color="auto"/>
          </w:divBdr>
        </w:div>
        <w:div w:id="374891838">
          <w:marLeft w:val="1166"/>
          <w:marRight w:val="0"/>
          <w:marTop w:val="120"/>
          <w:marBottom w:val="0"/>
          <w:divBdr>
            <w:top w:val="none" w:sz="0" w:space="0" w:color="auto"/>
            <w:left w:val="none" w:sz="0" w:space="0" w:color="auto"/>
            <w:bottom w:val="none" w:sz="0" w:space="0" w:color="auto"/>
            <w:right w:val="none" w:sz="0" w:space="0" w:color="auto"/>
          </w:divBdr>
        </w:div>
      </w:divsChild>
    </w:div>
    <w:div w:id="317729156">
      <w:bodyDiv w:val="1"/>
      <w:marLeft w:val="0"/>
      <w:marRight w:val="0"/>
      <w:marTop w:val="0"/>
      <w:marBottom w:val="0"/>
      <w:divBdr>
        <w:top w:val="none" w:sz="0" w:space="0" w:color="auto"/>
        <w:left w:val="none" w:sz="0" w:space="0" w:color="auto"/>
        <w:bottom w:val="none" w:sz="0" w:space="0" w:color="auto"/>
        <w:right w:val="none" w:sz="0" w:space="0" w:color="auto"/>
      </w:divBdr>
    </w:div>
    <w:div w:id="765687497">
      <w:bodyDiv w:val="1"/>
      <w:marLeft w:val="0"/>
      <w:marRight w:val="0"/>
      <w:marTop w:val="0"/>
      <w:marBottom w:val="0"/>
      <w:divBdr>
        <w:top w:val="none" w:sz="0" w:space="0" w:color="auto"/>
        <w:left w:val="none" w:sz="0" w:space="0" w:color="auto"/>
        <w:bottom w:val="none" w:sz="0" w:space="0" w:color="auto"/>
        <w:right w:val="none" w:sz="0" w:space="0" w:color="auto"/>
      </w:divBdr>
    </w:div>
    <w:div w:id="805465766">
      <w:bodyDiv w:val="1"/>
      <w:marLeft w:val="0"/>
      <w:marRight w:val="0"/>
      <w:marTop w:val="0"/>
      <w:marBottom w:val="0"/>
      <w:divBdr>
        <w:top w:val="none" w:sz="0" w:space="0" w:color="auto"/>
        <w:left w:val="none" w:sz="0" w:space="0" w:color="auto"/>
        <w:bottom w:val="none" w:sz="0" w:space="0" w:color="auto"/>
        <w:right w:val="none" w:sz="0" w:space="0" w:color="auto"/>
      </w:divBdr>
    </w:div>
    <w:div w:id="947733112">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1742237">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 w:id="21034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news.release/ocwage.t01.htm" TargetMode="External"/><Relationship Id="rId4" Type="http://schemas.microsoft.com/office/2007/relationships/stylesWithEffects" Target="stylesWithEffects.xml"/><Relationship Id="rId9" Type="http://schemas.openxmlformats.org/officeDocument/2006/relationships/hyperlink" Target="mailto:cxj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67F84BD8-DEFA-4BEF-BDE7-7AFB1CFE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2019-11-20T18:19:00Z</dcterms:created>
  <dcterms:modified xsi:type="dcterms:W3CDTF">2019-11-20T18:19:00Z</dcterms:modified>
</cp:coreProperties>
</file>