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A71F" w14:textId="77777777" w:rsidR="005342FB" w:rsidRDefault="005342FB" w:rsidP="00A675C3">
      <w:pPr>
        <w:pStyle w:val="NoSpacing"/>
        <w:jc w:val="center"/>
        <w:rPr>
          <w:b/>
        </w:rPr>
      </w:pPr>
      <w:bookmarkStart w:id="0" w:name="_GoBack"/>
      <w:bookmarkEnd w:id="0"/>
    </w:p>
    <w:p w14:paraId="14ECFEE8" w14:textId="77777777" w:rsidR="009174C4" w:rsidRDefault="009174C4" w:rsidP="00A675C3">
      <w:pPr>
        <w:pStyle w:val="NoSpacing"/>
        <w:mirrorIndents/>
        <w:jc w:val="center"/>
      </w:pPr>
      <w:r>
        <w:t>Virtual Focus Groups with Primary Care Physicians and OBGYNs:</w:t>
      </w:r>
      <w:r>
        <w:br/>
        <w:t>Attitudes about Proposed Hepatitis C Screening Guidelines</w:t>
      </w:r>
      <w:r>
        <w:rPr>
          <w:b/>
        </w:rPr>
        <w:br/>
      </w:r>
      <w:r>
        <w:t xml:space="preserve"> DVH 2019</w:t>
      </w:r>
    </w:p>
    <w:p w14:paraId="62FBD56F" w14:textId="77777777" w:rsidR="009174C4" w:rsidRDefault="009174C4" w:rsidP="00A675C3">
      <w:pPr>
        <w:pStyle w:val="NoSpacing"/>
        <w:mirrorIndents/>
        <w:jc w:val="center"/>
      </w:pPr>
      <w:r>
        <w:t xml:space="preserve">Generic Information Collection under Formative Research and Tool Development </w:t>
      </w:r>
    </w:p>
    <w:p w14:paraId="7237E447" w14:textId="77777777" w:rsidR="009174C4" w:rsidRDefault="009174C4" w:rsidP="00A675C3">
      <w:pPr>
        <w:pStyle w:val="NoSpacing"/>
        <w:mirrorIndents/>
        <w:jc w:val="center"/>
      </w:pPr>
      <w:r>
        <w:t>OMB #0920-0840</w:t>
      </w:r>
    </w:p>
    <w:p w14:paraId="155DE912" w14:textId="77777777" w:rsidR="00497C2F" w:rsidRPr="006D36BB" w:rsidRDefault="00497C2F" w:rsidP="00A675C3">
      <w:pPr>
        <w:spacing w:line="276" w:lineRule="auto"/>
        <w:jc w:val="center"/>
        <w:rPr>
          <w:rFonts w:ascii="Courier New" w:hAnsi="Courier New" w:cs="Courier New"/>
          <w:b/>
          <w:sz w:val="22"/>
          <w:szCs w:val="22"/>
        </w:rPr>
      </w:pPr>
    </w:p>
    <w:p w14:paraId="6F4F2C31" w14:textId="77777777" w:rsidR="001E17C7" w:rsidRDefault="001E17C7" w:rsidP="00A675C3">
      <w:pPr>
        <w:pStyle w:val="NoSpacing"/>
        <w:mirrorIndents/>
        <w:jc w:val="center"/>
        <w:rPr>
          <w:b/>
        </w:rPr>
      </w:pPr>
    </w:p>
    <w:p w14:paraId="4B5F4CCF" w14:textId="77777777" w:rsidR="001E17C7" w:rsidRDefault="001E17C7" w:rsidP="00A675C3">
      <w:pPr>
        <w:pStyle w:val="NoSpacing"/>
        <w:mirrorIndents/>
        <w:jc w:val="center"/>
        <w:rPr>
          <w:b/>
        </w:rPr>
      </w:pPr>
    </w:p>
    <w:p w14:paraId="22128887" w14:textId="77777777" w:rsidR="001E17C7" w:rsidRDefault="001E17C7" w:rsidP="00A675C3">
      <w:pPr>
        <w:pStyle w:val="NoSpacing"/>
        <w:mirrorIndents/>
        <w:jc w:val="center"/>
        <w:rPr>
          <w:b/>
        </w:rPr>
      </w:pPr>
    </w:p>
    <w:p w14:paraId="3C0C6907" w14:textId="77777777" w:rsidR="001E17C7" w:rsidRDefault="001E17C7" w:rsidP="00A675C3">
      <w:pPr>
        <w:pStyle w:val="NoSpacing"/>
        <w:mirrorIndents/>
        <w:jc w:val="center"/>
        <w:rPr>
          <w:b/>
        </w:rPr>
      </w:pPr>
      <w:r>
        <w:rPr>
          <w:b/>
        </w:rPr>
        <w:t xml:space="preserve"> </w:t>
      </w:r>
    </w:p>
    <w:p w14:paraId="4325FE0B" w14:textId="51FB9407" w:rsidR="001E17C7" w:rsidRPr="00C94A54" w:rsidRDefault="001E17C7" w:rsidP="00A675C3">
      <w:pPr>
        <w:pStyle w:val="NoSpacing"/>
        <w:mirrorIndents/>
        <w:jc w:val="center"/>
        <w:rPr>
          <w:sz w:val="28"/>
          <w:szCs w:val="28"/>
        </w:rPr>
      </w:pPr>
      <w:r w:rsidRPr="00C94A54">
        <w:rPr>
          <w:sz w:val="28"/>
          <w:szCs w:val="28"/>
        </w:rPr>
        <w:t>Section B: Supporting Statement</w:t>
      </w:r>
    </w:p>
    <w:p w14:paraId="238FD74C" w14:textId="77777777" w:rsidR="001E17C7" w:rsidRDefault="001E17C7" w:rsidP="00A675C3">
      <w:pPr>
        <w:pStyle w:val="NoSpacing"/>
        <w:mirrorIndents/>
        <w:jc w:val="center"/>
        <w:rPr>
          <w:b/>
        </w:rPr>
      </w:pPr>
    </w:p>
    <w:p w14:paraId="60433648" w14:textId="77777777" w:rsidR="001E17C7" w:rsidRDefault="001E17C7" w:rsidP="00A675C3">
      <w:pPr>
        <w:pStyle w:val="NoSpacing"/>
        <w:mirrorIndents/>
        <w:jc w:val="center"/>
        <w:rPr>
          <w:b/>
        </w:rPr>
      </w:pPr>
    </w:p>
    <w:p w14:paraId="0D86406D" w14:textId="77777777" w:rsidR="001E17C7" w:rsidRDefault="001E17C7" w:rsidP="00A675C3">
      <w:pPr>
        <w:pStyle w:val="NoSpacing"/>
        <w:mirrorIndents/>
        <w:jc w:val="center"/>
        <w:rPr>
          <w:b/>
        </w:rPr>
      </w:pPr>
    </w:p>
    <w:p w14:paraId="72624806" w14:textId="77777777" w:rsidR="001E17C7" w:rsidRDefault="001E17C7" w:rsidP="00A675C3">
      <w:pPr>
        <w:pStyle w:val="NoSpacing"/>
        <w:mirrorIndents/>
        <w:jc w:val="center"/>
        <w:rPr>
          <w:b/>
        </w:rPr>
      </w:pPr>
    </w:p>
    <w:p w14:paraId="3F71F163" w14:textId="190D637E" w:rsidR="001E17C7" w:rsidRPr="00412543" w:rsidRDefault="005E668D" w:rsidP="00A675C3">
      <w:pPr>
        <w:pStyle w:val="NoSpacing"/>
        <w:mirrorIndents/>
        <w:jc w:val="center"/>
      </w:pPr>
      <w:r w:rsidRPr="005E668D">
        <w:t xml:space="preserve">September 27, </w:t>
      </w:r>
      <w:r w:rsidR="001E17C7" w:rsidRPr="005E668D">
        <w:t>2019</w:t>
      </w:r>
    </w:p>
    <w:p w14:paraId="11462953" w14:textId="77777777" w:rsidR="001E17C7" w:rsidRDefault="001E17C7" w:rsidP="00A675C3">
      <w:pPr>
        <w:pStyle w:val="NoSpacing"/>
        <w:mirrorIndents/>
        <w:jc w:val="center"/>
        <w:rPr>
          <w:b/>
        </w:rPr>
      </w:pPr>
    </w:p>
    <w:p w14:paraId="4BAC1E22" w14:textId="77777777" w:rsidR="001E17C7" w:rsidRDefault="001E17C7" w:rsidP="00A675C3">
      <w:pPr>
        <w:pStyle w:val="NoSpacing"/>
        <w:mirrorIndents/>
        <w:jc w:val="center"/>
        <w:rPr>
          <w:b/>
        </w:rPr>
      </w:pPr>
    </w:p>
    <w:p w14:paraId="250CD50C" w14:textId="77777777" w:rsidR="001E17C7" w:rsidRDefault="001E17C7" w:rsidP="00A675C3">
      <w:pPr>
        <w:pStyle w:val="NoSpacing"/>
        <w:mirrorIndents/>
        <w:jc w:val="center"/>
        <w:rPr>
          <w:b/>
        </w:rPr>
      </w:pPr>
      <w:r>
        <w:rPr>
          <w:b/>
        </w:rPr>
        <w:t>CONTACT</w:t>
      </w:r>
    </w:p>
    <w:p w14:paraId="7855E6E7" w14:textId="50B4BB18" w:rsidR="001E17C7" w:rsidRDefault="001E17C7" w:rsidP="00A675C3">
      <w:pPr>
        <w:mirrorIndents/>
        <w:jc w:val="center"/>
        <w:rPr>
          <w:bCs/>
          <w:shd w:val="clear" w:color="auto" w:fill="FFFFFF"/>
        </w:rPr>
      </w:pPr>
      <w:r>
        <w:rPr>
          <w:bCs/>
          <w:shd w:val="clear" w:color="auto" w:fill="FFFFFF"/>
        </w:rPr>
        <w:t xml:space="preserve">Cynthia Jorgensen, DrPH </w:t>
      </w:r>
    </w:p>
    <w:p w14:paraId="407A5DBD" w14:textId="39E5D887" w:rsidR="005A3C31" w:rsidRDefault="005A3C31" w:rsidP="00A675C3">
      <w:pPr>
        <w:mirrorIndents/>
        <w:jc w:val="center"/>
        <w:rPr>
          <w:bCs/>
          <w:shd w:val="clear" w:color="auto" w:fill="FFFFFF"/>
        </w:rPr>
      </w:pPr>
      <w:r>
        <w:rPr>
          <w:bCs/>
          <w:shd w:val="clear" w:color="auto" w:fill="FFFFFF"/>
        </w:rPr>
        <w:t>Alycia Downs, MPH</w:t>
      </w:r>
    </w:p>
    <w:p w14:paraId="128818F1" w14:textId="5D02A0A7" w:rsidR="001E17C7" w:rsidRPr="00603813" w:rsidRDefault="001E17C7" w:rsidP="00A675C3">
      <w:pPr>
        <w:mirrorIndents/>
        <w:jc w:val="center"/>
        <w:rPr>
          <w:shd w:val="clear" w:color="auto" w:fill="FFFFFF"/>
        </w:rPr>
      </w:pPr>
      <w:r>
        <w:rPr>
          <w:bCs/>
          <w:shd w:val="clear" w:color="auto" w:fill="FFFFFF"/>
        </w:rPr>
        <w:t>NCHHSTP/DVH/OD Communication Team Lead</w:t>
      </w:r>
      <w:r w:rsidRPr="00603813">
        <w:br/>
      </w:r>
      <w:r w:rsidR="005A3C31">
        <w:t>Co-</w:t>
      </w:r>
      <w:r>
        <w:t>Principal Investigator</w:t>
      </w:r>
      <w:r w:rsidR="005A3C31">
        <w:t>s</w:t>
      </w:r>
    </w:p>
    <w:p w14:paraId="0A31941F" w14:textId="77777777" w:rsidR="001E17C7" w:rsidRDefault="001E17C7" w:rsidP="00A675C3">
      <w:pPr>
        <w:pStyle w:val="NoSpacing"/>
        <w:mirrorIndents/>
        <w:jc w:val="center"/>
      </w:pPr>
      <w:r w:rsidRPr="00603813">
        <w:rPr>
          <w:shd w:val="clear" w:color="auto" w:fill="FFFFFF"/>
        </w:rPr>
        <w:t>Centers for Disease Control and Prevention</w:t>
      </w:r>
      <w:r w:rsidRPr="00603813">
        <w:br/>
      </w:r>
      <w:r w:rsidRPr="00587434">
        <w:rPr>
          <w:shd w:val="clear" w:color="auto" w:fill="FFFFFF"/>
        </w:rPr>
        <w:t>National Center for HIV/AIDS, Viral Hepatitis, STD, and TB Prevention (NCHHSTP)</w:t>
      </w:r>
      <w:r w:rsidRPr="00603813">
        <w:t xml:space="preserve"> </w:t>
      </w:r>
    </w:p>
    <w:p w14:paraId="2B0C1014" w14:textId="669E377C" w:rsidR="001E17C7" w:rsidRDefault="001E17C7" w:rsidP="00A675C3">
      <w:pPr>
        <w:pStyle w:val="NoSpacing"/>
        <w:mirrorIndents/>
        <w:jc w:val="center"/>
        <w:rPr>
          <w:shd w:val="clear" w:color="auto" w:fill="FFFFFF"/>
        </w:rPr>
      </w:pPr>
      <w:r w:rsidRPr="00587434">
        <w:t>Division of Viral Hepatitis</w:t>
      </w:r>
      <w:r w:rsidRPr="00603813">
        <w:br/>
      </w:r>
      <w:r w:rsidRPr="00603813">
        <w:rPr>
          <w:shd w:val="clear" w:color="auto" w:fill="FFFFFF"/>
        </w:rPr>
        <w:t xml:space="preserve">1600 Clifton Road, NE, Mailstop </w:t>
      </w:r>
      <w:r w:rsidR="00133BC0" w:rsidRPr="00700C11">
        <w:rPr>
          <w:shd w:val="clear" w:color="auto" w:fill="FFFFFF"/>
        </w:rPr>
        <w:t>G-37</w:t>
      </w:r>
    </w:p>
    <w:p w14:paraId="08D18631" w14:textId="77777777" w:rsidR="001E17C7" w:rsidRDefault="001E17C7" w:rsidP="00A675C3">
      <w:pPr>
        <w:pStyle w:val="NoSpacing"/>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t>404-718-8534</w:t>
      </w:r>
    </w:p>
    <w:p w14:paraId="6915BEBE" w14:textId="77777777" w:rsidR="001E17C7" w:rsidRPr="0008071D" w:rsidRDefault="001E17C7" w:rsidP="00A675C3">
      <w:pPr>
        <w:pStyle w:val="NoSpacing"/>
        <w:mirrorIndents/>
        <w:jc w:val="center"/>
        <w:rPr>
          <w:shd w:val="clear" w:color="auto" w:fill="FFFFFF"/>
        </w:rPr>
      </w:pPr>
      <w:r w:rsidRPr="00603813">
        <w:rPr>
          <w:shd w:val="clear" w:color="auto" w:fill="FFFFFF"/>
        </w:rPr>
        <w:t>E-mail:</w:t>
      </w:r>
      <w:r w:rsidRPr="00603813">
        <w:t> </w:t>
      </w:r>
      <w:r w:rsidRPr="0008071D">
        <w:t>cxj4@cdc.gov</w:t>
      </w:r>
    </w:p>
    <w:p w14:paraId="02438107" w14:textId="77777777" w:rsidR="001E17C7" w:rsidRDefault="001E17C7" w:rsidP="00A675C3">
      <w:pPr>
        <w:pStyle w:val="NoSpacing"/>
        <w:mirrorIndents/>
        <w:jc w:val="center"/>
        <w:rPr>
          <w:b/>
        </w:rPr>
      </w:pPr>
    </w:p>
    <w:p w14:paraId="72B9A2A3" w14:textId="77777777" w:rsidR="001E17C7" w:rsidRDefault="001E17C7" w:rsidP="00A675C3">
      <w:pPr>
        <w:pStyle w:val="NoSpacing"/>
        <w:mirrorIndents/>
        <w:jc w:val="center"/>
        <w:rPr>
          <w:b/>
        </w:rPr>
      </w:pPr>
    </w:p>
    <w:p w14:paraId="56A130CA" w14:textId="77777777" w:rsidR="001E17C7" w:rsidRDefault="001E17C7" w:rsidP="00A675C3">
      <w:pPr>
        <w:pStyle w:val="NoSpacing"/>
        <w:mirrorIndents/>
        <w:jc w:val="center"/>
        <w:rPr>
          <w:b/>
        </w:rPr>
      </w:pPr>
    </w:p>
    <w:p w14:paraId="00D9A39B" w14:textId="77777777" w:rsidR="001E17C7" w:rsidRDefault="001E17C7" w:rsidP="00A675C3">
      <w:pPr>
        <w:pStyle w:val="NoSpacing"/>
        <w:mirrorIndents/>
        <w:jc w:val="center"/>
        <w:rPr>
          <w:b/>
        </w:rPr>
      </w:pPr>
    </w:p>
    <w:p w14:paraId="2F8A30FA" w14:textId="77777777" w:rsidR="005342FB" w:rsidRDefault="005342FB" w:rsidP="00A675C3">
      <w:pPr>
        <w:pStyle w:val="NoSpacing"/>
        <w:pageBreakBefore/>
        <w:pBdr>
          <w:bottom w:val="single" w:sz="4" w:space="1" w:color="auto"/>
        </w:pBdr>
        <w:rPr>
          <w:b/>
        </w:rPr>
      </w:pPr>
      <w:r w:rsidRPr="00D3747B">
        <w:rPr>
          <w:b/>
        </w:rPr>
        <w:lastRenderedPageBreak/>
        <w:t>TABLE OF CONTENTS</w:t>
      </w:r>
    </w:p>
    <w:p w14:paraId="381335DF" w14:textId="77777777" w:rsidR="00A675C3" w:rsidRDefault="00A675C3" w:rsidP="00A675C3">
      <w:pPr>
        <w:pStyle w:val="TOC1"/>
        <w:spacing w:after="0"/>
        <w:ind w:left="720"/>
      </w:pPr>
    </w:p>
    <w:p w14:paraId="7BA1A4D1" w14:textId="0F21532F" w:rsidR="00126AD5" w:rsidRDefault="00126AD5" w:rsidP="00A675C3">
      <w:pPr>
        <w:pStyle w:val="TOC1"/>
        <w:numPr>
          <w:ilvl w:val="0"/>
          <w:numId w:val="20"/>
        </w:numPr>
        <w:spacing w:after="0"/>
      </w:pPr>
      <w:r>
        <w:t>Research O</w:t>
      </w:r>
      <w:r w:rsidR="00B512A0">
        <w:t xml:space="preserve">bjectives  </w:t>
      </w:r>
      <w:r>
        <w:tab/>
        <w:t>3</w:t>
      </w:r>
    </w:p>
    <w:p w14:paraId="0C80FA4F" w14:textId="77777777" w:rsidR="00A675C3" w:rsidRPr="00A675C3" w:rsidRDefault="00A675C3" w:rsidP="00A675C3"/>
    <w:p w14:paraId="27710AF1" w14:textId="4F81F44D" w:rsidR="00126AD5" w:rsidRDefault="00126AD5" w:rsidP="00A675C3">
      <w:pPr>
        <w:pStyle w:val="TOC1"/>
        <w:numPr>
          <w:ilvl w:val="0"/>
          <w:numId w:val="20"/>
        </w:numPr>
        <w:spacing w:after="0"/>
      </w:pPr>
      <w:r>
        <w:t>Method, Respondent Universe, and Screening Criteria</w:t>
      </w:r>
      <w:r>
        <w:tab/>
        <w:t>3</w:t>
      </w:r>
    </w:p>
    <w:p w14:paraId="4786161F" w14:textId="77777777" w:rsidR="00A675C3" w:rsidRPr="00A675C3" w:rsidRDefault="00A675C3" w:rsidP="00A675C3"/>
    <w:p w14:paraId="342AF285" w14:textId="7FDB65AC" w:rsidR="00126AD5" w:rsidRDefault="00A675C3" w:rsidP="00A675C3">
      <w:pPr>
        <w:pStyle w:val="TOC1"/>
        <w:numPr>
          <w:ilvl w:val="0"/>
          <w:numId w:val="20"/>
        </w:numPr>
        <w:spacing w:after="0"/>
      </w:pPr>
      <w:r>
        <w:t>Sampling and Recruitment</w:t>
      </w:r>
      <w:r>
        <w:tab/>
        <w:t>4</w:t>
      </w:r>
    </w:p>
    <w:p w14:paraId="29E80A1C" w14:textId="77777777" w:rsidR="00A675C3" w:rsidRPr="00A675C3" w:rsidRDefault="00A675C3" w:rsidP="00A675C3"/>
    <w:p w14:paraId="01F30379" w14:textId="434D7256" w:rsidR="00126AD5" w:rsidRDefault="00126AD5" w:rsidP="00A675C3">
      <w:pPr>
        <w:pStyle w:val="TOC1"/>
        <w:numPr>
          <w:ilvl w:val="0"/>
          <w:numId w:val="20"/>
        </w:numPr>
        <w:spacing w:after="0"/>
      </w:pPr>
      <w:r>
        <w:t>Procedures for</w:t>
      </w:r>
      <w:r w:rsidR="00A675C3">
        <w:t xml:space="preserve"> the Collection of Information</w:t>
      </w:r>
      <w:r w:rsidR="00A675C3">
        <w:tab/>
        <w:t>5</w:t>
      </w:r>
    </w:p>
    <w:p w14:paraId="3ACF2A96" w14:textId="77777777" w:rsidR="00A675C3" w:rsidRPr="00A675C3" w:rsidRDefault="00A675C3" w:rsidP="00A675C3"/>
    <w:p w14:paraId="47A26351" w14:textId="02513D28" w:rsidR="00126AD5" w:rsidRDefault="00126AD5" w:rsidP="00A675C3">
      <w:pPr>
        <w:pStyle w:val="TOC1"/>
        <w:numPr>
          <w:ilvl w:val="0"/>
          <w:numId w:val="20"/>
        </w:numPr>
        <w:spacing w:after="0"/>
      </w:pPr>
      <w:r>
        <w:t>Methods to Maximize Response R</w:t>
      </w:r>
      <w:r w:rsidR="00A675C3">
        <w:t>ates and Deal with No Response</w:t>
      </w:r>
      <w:r w:rsidR="00A675C3">
        <w:tab/>
        <w:t>6</w:t>
      </w:r>
    </w:p>
    <w:p w14:paraId="283CFCFB" w14:textId="77777777" w:rsidR="00A675C3" w:rsidRPr="00A675C3" w:rsidRDefault="00A675C3" w:rsidP="00A675C3"/>
    <w:p w14:paraId="61126AF9" w14:textId="2A37B584" w:rsidR="00126AD5" w:rsidRDefault="00126AD5" w:rsidP="00A675C3">
      <w:pPr>
        <w:pStyle w:val="TOC1"/>
        <w:numPr>
          <w:ilvl w:val="0"/>
          <w:numId w:val="20"/>
        </w:numPr>
        <w:spacing w:after="0"/>
      </w:pPr>
      <w:r>
        <w:t>Tests of Procedur</w:t>
      </w:r>
      <w:r w:rsidR="00A675C3">
        <w:t>es or Methods to be Undertaken</w:t>
      </w:r>
      <w:r w:rsidR="00A675C3">
        <w:tab/>
        <w:t>6</w:t>
      </w:r>
    </w:p>
    <w:p w14:paraId="23D9F4BF" w14:textId="77777777" w:rsidR="00A675C3" w:rsidRPr="00A675C3" w:rsidRDefault="00A675C3" w:rsidP="00A675C3"/>
    <w:p w14:paraId="4A103417" w14:textId="61B9DAC2" w:rsidR="00D3747B" w:rsidRDefault="00126AD5" w:rsidP="00A675C3">
      <w:pPr>
        <w:pStyle w:val="TOC1"/>
        <w:numPr>
          <w:ilvl w:val="0"/>
          <w:numId w:val="20"/>
        </w:numPr>
        <w:spacing w:after="0"/>
      </w:pPr>
      <w:r>
        <w:t>Individuals Consulted on Statistical Aspects and Individuals Co</w:t>
      </w:r>
      <w:r w:rsidR="00A675C3">
        <w:t>llecting and/or Analyzing Data</w:t>
      </w:r>
      <w:r w:rsidR="00A675C3">
        <w:tab/>
        <w:t>6</w:t>
      </w:r>
    </w:p>
    <w:p w14:paraId="320A2EBA" w14:textId="6C089735" w:rsidR="00857798" w:rsidRDefault="00857798" w:rsidP="00857798"/>
    <w:p w14:paraId="209DC318" w14:textId="734B8C3D" w:rsidR="00857798" w:rsidRDefault="00857798" w:rsidP="00857798"/>
    <w:p w14:paraId="37B9FE8C" w14:textId="77777777" w:rsidR="00857798" w:rsidRPr="00C46977" w:rsidRDefault="00857798" w:rsidP="00857798">
      <w:pPr>
        <w:pStyle w:val="NoSpacing"/>
        <w:pBdr>
          <w:bottom w:val="single" w:sz="4" w:space="1" w:color="auto"/>
        </w:pBdr>
        <w:mirrorIndents/>
        <w:rPr>
          <w:b/>
        </w:rPr>
      </w:pPr>
      <w:r w:rsidRPr="00C46977">
        <w:rPr>
          <w:b/>
        </w:rPr>
        <w:t>LIST OF ATTACHMENTS</w:t>
      </w:r>
    </w:p>
    <w:p w14:paraId="75670F9B" w14:textId="77777777" w:rsidR="00857798" w:rsidRDefault="00857798" w:rsidP="00857798">
      <w:pPr>
        <w:pStyle w:val="NoSpacing"/>
        <w:mirrorIndents/>
      </w:pPr>
    </w:p>
    <w:p w14:paraId="0DCEB54F" w14:textId="34A90027" w:rsidR="00857798" w:rsidRDefault="00857798" w:rsidP="00857798">
      <w:pPr>
        <w:pStyle w:val="NoSpacing"/>
        <w:tabs>
          <w:tab w:val="left" w:pos="360"/>
        </w:tabs>
        <w:mirrorIndents/>
      </w:pPr>
      <w:r w:rsidRPr="00F429ED">
        <w:rPr>
          <w:b/>
        </w:rPr>
        <w:t>Attachment 1</w:t>
      </w:r>
      <w:r w:rsidR="00F429ED" w:rsidRPr="00F429ED">
        <w:rPr>
          <w:b/>
        </w:rPr>
        <w:t>1</w:t>
      </w:r>
      <w:r w:rsidRPr="00F429ED">
        <w:t xml:space="preserve"> Approved IRB Protocol</w:t>
      </w:r>
    </w:p>
    <w:p w14:paraId="344FEC6F" w14:textId="77777777" w:rsidR="00857798" w:rsidRPr="00857798" w:rsidRDefault="00857798" w:rsidP="00857798"/>
    <w:p w14:paraId="6AAB2447" w14:textId="1B54345A" w:rsidR="00F05870" w:rsidRDefault="00F05870" w:rsidP="00A675C3">
      <w:pPr>
        <w:spacing w:line="276" w:lineRule="auto"/>
        <w:rPr>
          <w:rFonts w:eastAsiaTheme="minorHAnsi" w:cstheme="minorBidi"/>
          <w:szCs w:val="22"/>
        </w:rPr>
      </w:pPr>
      <w:r>
        <w:br w:type="page"/>
      </w:r>
    </w:p>
    <w:p w14:paraId="3C32E1B5" w14:textId="32AD7282" w:rsidR="00C42B38" w:rsidRDefault="00824849" w:rsidP="00A675C3">
      <w:pPr>
        <w:pStyle w:val="Heading1"/>
        <w:spacing w:before="0"/>
        <w:ind w:left="432"/>
        <w:rPr>
          <w:b w:val="0"/>
        </w:rPr>
      </w:pPr>
      <w:bookmarkStart w:id="1" w:name="_Toc445107011"/>
      <w:r>
        <w:lastRenderedPageBreak/>
        <w:t>RESEARCH OBJECTIVES</w:t>
      </w:r>
    </w:p>
    <w:p w14:paraId="49BF3A6F" w14:textId="77777777" w:rsidR="00020DA6" w:rsidRPr="00020DA6" w:rsidRDefault="00020DA6" w:rsidP="00A675C3">
      <w:pPr>
        <w:ind w:left="720" w:hanging="720"/>
        <w:rPr>
          <w:b/>
        </w:rPr>
      </w:pPr>
    </w:p>
    <w:p w14:paraId="0709B1CD" w14:textId="4D190818" w:rsidR="00C42B38" w:rsidRDefault="00C42B38" w:rsidP="00A675C3">
      <w:pPr>
        <w:rPr>
          <w:szCs w:val="20"/>
        </w:rPr>
      </w:pPr>
      <w:r w:rsidRPr="000211D0">
        <w:rPr>
          <w:szCs w:val="20"/>
        </w:rPr>
        <w:t>The primary objective</w:t>
      </w:r>
      <w:r w:rsidR="00B512A0">
        <w:rPr>
          <w:szCs w:val="20"/>
        </w:rPr>
        <w:t xml:space="preserve"> of this qualitative research effort</w:t>
      </w:r>
      <w:r w:rsidRPr="000211D0">
        <w:rPr>
          <w:szCs w:val="20"/>
        </w:rPr>
        <w:t xml:space="preserve"> is to understand primary care physician</w:t>
      </w:r>
      <w:r w:rsidR="00B512A0">
        <w:rPr>
          <w:szCs w:val="20"/>
        </w:rPr>
        <w:t>s’</w:t>
      </w:r>
      <w:r w:rsidRPr="000211D0">
        <w:rPr>
          <w:szCs w:val="20"/>
        </w:rPr>
        <w:t xml:space="preserve"> (PCP) and obstetrics and gynecology physician</w:t>
      </w:r>
      <w:r w:rsidR="00B512A0">
        <w:rPr>
          <w:szCs w:val="20"/>
        </w:rPr>
        <w:t>s’</w:t>
      </w:r>
      <w:r w:rsidRPr="000211D0">
        <w:rPr>
          <w:szCs w:val="20"/>
        </w:rPr>
        <w:t xml:space="preserve"> (OBGYN) </w:t>
      </w:r>
      <w:r w:rsidR="005A3C31">
        <w:rPr>
          <w:szCs w:val="20"/>
        </w:rPr>
        <w:t xml:space="preserve">reactions and attitudes towards CDC’s </w:t>
      </w:r>
      <w:r w:rsidR="007063D1">
        <w:rPr>
          <w:szCs w:val="20"/>
        </w:rPr>
        <w:t xml:space="preserve">proposed </w:t>
      </w:r>
      <w:r w:rsidR="005A3C31">
        <w:rPr>
          <w:szCs w:val="20"/>
        </w:rPr>
        <w:t xml:space="preserve">screening guideline that recommends </w:t>
      </w:r>
      <w:r>
        <w:rPr>
          <w:szCs w:val="20"/>
        </w:rPr>
        <w:t xml:space="preserve">routine </w:t>
      </w:r>
      <w:r w:rsidRPr="000211D0">
        <w:rPr>
          <w:szCs w:val="20"/>
        </w:rPr>
        <w:t xml:space="preserve">testing for </w:t>
      </w:r>
      <w:r w:rsidR="00133BC0">
        <w:rPr>
          <w:szCs w:val="20"/>
        </w:rPr>
        <w:t>h</w:t>
      </w:r>
      <w:r w:rsidRPr="000211D0">
        <w:rPr>
          <w:szCs w:val="20"/>
        </w:rPr>
        <w:t xml:space="preserve">epatitis C among </w:t>
      </w:r>
      <w:r w:rsidRPr="00126042">
        <w:rPr>
          <w:szCs w:val="20"/>
        </w:rPr>
        <w:t>adults aged 18+ and pregnant women</w:t>
      </w:r>
      <w:r w:rsidR="007063D1">
        <w:rPr>
          <w:szCs w:val="20"/>
        </w:rPr>
        <w:t xml:space="preserve"> during each pregnancy</w:t>
      </w:r>
      <w:r w:rsidRPr="000211D0">
        <w:rPr>
          <w:szCs w:val="20"/>
        </w:rPr>
        <w:t xml:space="preserve">. </w:t>
      </w:r>
      <w:r w:rsidR="00B84D1B">
        <w:rPr>
          <w:szCs w:val="20"/>
        </w:rPr>
        <w:t>Guiding research questions are</w:t>
      </w:r>
      <w:r w:rsidRPr="000211D0">
        <w:rPr>
          <w:szCs w:val="20"/>
        </w:rPr>
        <w:t>:</w:t>
      </w:r>
    </w:p>
    <w:p w14:paraId="545852EA" w14:textId="77777777" w:rsidR="00A675C3" w:rsidRPr="000211D0" w:rsidRDefault="00A675C3" w:rsidP="00A675C3">
      <w:pPr>
        <w:rPr>
          <w:szCs w:val="20"/>
        </w:rPr>
      </w:pPr>
    </w:p>
    <w:p w14:paraId="1535FB33" w14:textId="38F19990" w:rsidR="00B84D1B" w:rsidRPr="00B84D1B" w:rsidRDefault="00B84D1B" w:rsidP="00A675C3">
      <w:pPr>
        <w:pStyle w:val="CommentText"/>
        <w:numPr>
          <w:ilvl w:val="0"/>
          <w:numId w:val="21"/>
        </w:numPr>
        <w:rPr>
          <w:sz w:val="24"/>
          <w:szCs w:val="24"/>
        </w:rPr>
      </w:pPr>
      <w:r w:rsidRPr="00B84D1B">
        <w:rPr>
          <w:sz w:val="24"/>
          <w:szCs w:val="24"/>
        </w:rPr>
        <w:t xml:space="preserve">What are physicians’ current attitudes on screening patients for hepatitis C? </w:t>
      </w:r>
    </w:p>
    <w:p w14:paraId="52F2A13A" w14:textId="77777777" w:rsidR="00B84D1B" w:rsidRPr="00B84D1B" w:rsidRDefault="00B84D1B" w:rsidP="00A675C3">
      <w:pPr>
        <w:pStyle w:val="CommentText"/>
        <w:numPr>
          <w:ilvl w:val="0"/>
          <w:numId w:val="21"/>
        </w:numPr>
        <w:rPr>
          <w:sz w:val="24"/>
          <w:szCs w:val="24"/>
        </w:rPr>
      </w:pPr>
      <w:r w:rsidRPr="00B84D1B">
        <w:rPr>
          <w:sz w:val="24"/>
          <w:szCs w:val="24"/>
        </w:rPr>
        <w:t>What are physicians’ reactions to CDC’s proposed universal hepatitis C screening recommendation?</w:t>
      </w:r>
    </w:p>
    <w:p w14:paraId="412015C5" w14:textId="77777777" w:rsidR="00B84D1B" w:rsidRPr="00B84D1B" w:rsidRDefault="00B84D1B" w:rsidP="00A675C3">
      <w:pPr>
        <w:pStyle w:val="CommentText"/>
        <w:numPr>
          <w:ilvl w:val="0"/>
          <w:numId w:val="21"/>
        </w:numPr>
        <w:rPr>
          <w:sz w:val="24"/>
          <w:szCs w:val="24"/>
        </w:rPr>
      </w:pPr>
      <w:r w:rsidRPr="00B84D1B">
        <w:rPr>
          <w:sz w:val="24"/>
          <w:szCs w:val="24"/>
        </w:rPr>
        <w:t>What are physicians’ reactions to CDC’s proposed prevalence-based hepatitis C screening recommendation?</w:t>
      </w:r>
    </w:p>
    <w:p w14:paraId="06F00F65" w14:textId="77777777" w:rsidR="00B84D1B" w:rsidRPr="00B84D1B" w:rsidRDefault="00B84D1B" w:rsidP="00A675C3">
      <w:pPr>
        <w:pStyle w:val="CommentText"/>
        <w:numPr>
          <w:ilvl w:val="0"/>
          <w:numId w:val="21"/>
        </w:numPr>
        <w:rPr>
          <w:sz w:val="24"/>
          <w:szCs w:val="24"/>
        </w:rPr>
      </w:pPr>
      <w:r w:rsidRPr="00B84D1B">
        <w:rPr>
          <w:sz w:val="24"/>
          <w:szCs w:val="24"/>
        </w:rPr>
        <w:t>What are physicians’ reactions to CDC’s proposed hepatitis C screening recommendation for women during each pregnancy?</w:t>
      </w:r>
    </w:p>
    <w:p w14:paraId="428B4D97" w14:textId="00ABFBF9" w:rsidR="00B84D1B" w:rsidRDefault="00B84D1B" w:rsidP="00A675C3">
      <w:pPr>
        <w:pStyle w:val="CommentText"/>
        <w:numPr>
          <w:ilvl w:val="0"/>
          <w:numId w:val="21"/>
        </w:numPr>
        <w:rPr>
          <w:sz w:val="24"/>
          <w:szCs w:val="24"/>
        </w:rPr>
      </w:pPr>
      <w:r w:rsidRPr="00B84D1B">
        <w:rPr>
          <w:sz w:val="24"/>
          <w:szCs w:val="24"/>
        </w:rPr>
        <w:t>What are physicians’ reactions to CDC’s proposed prevalence-based hepatitis C screening recommendation for women during each pregnancy?</w:t>
      </w:r>
    </w:p>
    <w:p w14:paraId="084B745C" w14:textId="27217C11" w:rsidR="00C4791D" w:rsidRDefault="00C4791D" w:rsidP="00A675C3">
      <w:pPr>
        <w:pStyle w:val="CommentText"/>
        <w:numPr>
          <w:ilvl w:val="0"/>
          <w:numId w:val="21"/>
        </w:numPr>
        <w:rPr>
          <w:sz w:val="24"/>
          <w:szCs w:val="24"/>
        </w:rPr>
      </w:pPr>
      <w:r w:rsidRPr="00B84D1B">
        <w:rPr>
          <w:sz w:val="24"/>
          <w:szCs w:val="24"/>
        </w:rPr>
        <w:t xml:space="preserve">What are physicians’ reactions to </w:t>
      </w:r>
      <w:r w:rsidR="00824849">
        <w:rPr>
          <w:sz w:val="24"/>
          <w:szCs w:val="24"/>
        </w:rPr>
        <w:t>the rationale behind CDC’s proposed screening recommendations</w:t>
      </w:r>
      <w:r w:rsidRPr="00B84D1B">
        <w:rPr>
          <w:sz w:val="24"/>
          <w:szCs w:val="24"/>
        </w:rPr>
        <w:t>?</w:t>
      </w:r>
    </w:p>
    <w:p w14:paraId="2F84482A" w14:textId="6698917D" w:rsidR="00F05870" w:rsidRPr="00F05870" w:rsidRDefault="00F05870" w:rsidP="00A675C3"/>
    <w:bookmarkEnd w:id="1"/>
    <w:p w14:paraId="76E95F08" w14:textId="63DC6210" w:rsidR="00FC1AE1" w:rsidRPr="00FC1AE1" w:rsidRDefault="00127DB8" w:rsidP="00A675C3">
      <w:pPr>
        <w:pStyle w:val="Heading1"/>
        <w:spacing w:before="0"/>
        <w:ind w:left="450" w:hanging="450"/>
      </w:pPr>
      <w:r>
        <w:t>METHOD, RESPONDENT UNIVERSE, AND SCREENING CRITERIA</w:t>
      </w:r>
    </w:p>
    <w:p w14:paraId="562FDB12" w14:textId="14DBC5DE" w:rsidR="00EC2F5B" w:rsidRDefault="00EC2F5B" w:rsidP="00A675C3"/>
    <w:p w14:paraId="25F658A2" w14:textId="0B29F726" w:rsidR="00020DA6" w:rsidRDefault="00B512A0" w:rsidP="00A675C3">
      <w:pPr>
        <w:rPr>
          <w:b/>
        </w:rPr>
      </w:pPr>
      <w:r>
        <w:rPr>
          <w:b/>
        </w:rPr>
        <w:t xml:space="preserve">Research Support </w:t>
      </w:r>
      <w:r w:rsidR="00A675C3">
        <w:rPr>
          <w:b/>
        </w:rPr>
        <w:t>and Method</w:t>
      </w:r>
    </w:p>
    <w:p w14:paraId="459B4C48" w14:textId="77777777" w:rsidR="00824849" w:rsidRPr="000211D0" w:rsidRDefault="00824849" w:rsidP="00A675C3">
      <w:pPr>
        <w:rPr>
          <w:b/>
        </w:rPr>
      </w:pPr>
    </w:p>
    <w:p w14:paraId="11115265" w14:textId="34AC6FCE" w:rsidR="00400413" w:rsidRDefault="00B512A0" w:rsidP="00A675C3">
      <w:r>
        <w:t xml:space="preserve">The Division of Viral Hepatitis (DVH) </w:t>
      </w:r>
      <w:r w:rsidR="0030212D" w:rsidRPr="00747E3B">
        <w:t xml:space="preserve">has </w:t>
      </w:r>
      <w:r w:rsidR="0030212D">
        <w:t xml:space="preserve">a communication support contract with Weber Shandwick to support all the training, education, and communication efforts undertaken by the </w:t>
      </w:r>
      <w:r>
        <w:t>d</w:t>
      </w:r>
      <w:r w:rsidR="0030212D">
        <w:t>ivision</w:t>
      </w:r>
      <w:r>
        <w:t xml:space="preserve">. </w:t>
      </w:r>
      <w:r w:rsidR="0030212D" w:rsidRPr="00747E3B">
        <w:t>KRC Research</w:t>
      </w:r>
      <w:r w:rsidR="0030212D">
        <w:t xml:space="preserve"> (KRC)</w:t>
      </w:r>
      <w:r w:rsidR="0030212D" w:rsidRPr="00747E3B">
        <w:t xml:space="preserve">, </w:t>
      </w:r>
      <w:r w:rsidR="0030212D">
        <w:t xml:space="preserve">is </w:t>
      </w:r>
      <w:r>
        <w:t xml:space="preserve">part of the Weber Shandwick contract, and is an independent research arm </w:t>
      </w:r>
      <w:r w:rsidR="0030212D">
        <w:t xml:space="preserve">with extensive experience in designing and conducting both quantitative and qualitative research for federal agencies, including CDC. </w:t>
      </w:r>
      <w:r w:rsidR="007A69C9">
        <w:t>KRC</w:t>
      </w:r>
      <w:r w:rsidR="00440081" w:rsidRPr="000211D0">
        <w:t xml:space="preserve"> will conduct </w:t>
      </w:r>
      <w:r w:rsidR="00126042">
        <w:t>sixteen</w:t>
      </w:r>
      <w:r w:rsidR="00440081" w:rsidRPr="000211D0">
        <w:t xml:space="preserve"> </w:t>
      </w:r>
      <w:r w:rsidR="00440081">
        <w:t>75</w:t>
      </w:r>
      <w:r w:rsidR="00440081" w:rsidRPr="000211D0">
        <w:t xml:space="preserve">-minute </w:t>
      </w:r>
      <w:r w:rsidR="00C42B38">
        <w:t xml:space="preserve">virtual </w:t>
      </w:r>
      <w:r w:rsidR="00440081" w:rsidRPr="00C42B38">
        <w:rPr>
          <w:b/>
        </w:rPr>
        <w:t>focus groups</w:t>
      </w:r>
      <w:r w:rsidR="00440081">
        <w:t xml:space="preserve">, </w:t>
      </w:r>
      <w:r w:rsidR="00126042">
        <w:t>eight</w:t>
      </w:r>
      <w:r w:rsidR="00440081">
        <w:t xml:space="preserve"> among </w:t>
      </w:r>
      <w:r w:rsidR="00440081">
        <w:rPr>
          <w:b/>
        </w:rPr>
        <w:t xml:space="preserve">primary care physicians (PCPs) </w:t>
      </w:r>
      <w:r w:rsidR="00440081" w:rsidRPr="00D227B5">
        <w:t xml:space="preserve">and </w:t>
      </w:r>
      <w:r w:rsidR="00126042">
        <w:t xml:space="preserve">eight </w:t>
      </w:r>
      <w:r w:rsidR="00440081" w:rsidRPr="00D227B5">
        <w:t xml:space="preserve">among </w:t>
      </w:r>
      <w:r w:rsidR="00440081" w:rsidRPr="00D227B5">
        <w:rPr>
          <w:b/>
        </w:rPr>
        <w:t>obstetrician-gynecologists (OBGYNs)</w:t>
      </w:r>
      <w:r w:rsidR="00440081" w:rsidRPr="000211D0">
        <w:t xml:space="preserve"> who completed medical school and who are licensed to practice in the United States. </w:t>
      </w:r>
      <w:r w:rsidR="0030212D">
        <w:t>Details of the recruitment and implementation of the groups are described below.</w:t>
      </w:r>
    </w:p>
    <w:p w14:paraId="28D2430B" w14:textId="77777777" w:rsidR="00127DB8" w:rsidRPr="00127DB8" w:rsidRDefault="00127DB8" w:rsidP="00A675C3"/>
    <w:p w14:paraId="2C536B33" w14:textId="1CDC7637" w:rsidR="005205C3" w:rsidRDefault="005205C3" w:rsidP="00A675C3">
      <w:pPr>
        <w:spacing w:line="276" w:lineRule="auto"/>
        <w:rPr>
          <w:b/>
        </w:rPr>
      </w:pPr>
      <w:r w:rsidRPr="005205C3">
        <w:rPr>
          <w:b/>
        </w:rPr>
        <w:t>Respondent Universe</w:t>
      </w:r>
    </w:p>
    <w:p w14:paraId="50AFCEB5" w14:textId="77777777" w:rsidR="00A675C3" w:rsidRPr="005205C3" w:rsidRDefault="00A675C3" w:rsidP="00A675C3">
      <w:pPr>
        <w:spacing w:line="276" w:lineRule="auto"/>
        <w:rPr>
          <w:b/>
        </w:rPr>
      </w:pPr>
    </w:p>
    <w:p w14:paraId="162A2E09" w14:textId="6EF4B250" w:rsidR="0025328B" w:rsidRDefault="00126042" w:rsidP="00A675C3">
      <w:r w:rsidRPr="00747E3B">
        <w:t xml:space="preserve">KRC </w:t>
      </w:r>
      <w:r w:rsidR="007A69C9">
        <w:t>will recruit and</w:t>
      </w:r>
      <w:r w:rsidRPr="00747E3B">
        <w:t xml:space="preserve"> screen physicians for</w:t>
      </w:r>
      <w:r w:rsidR="00020DA6">
        <w:t xml:space="preserve"> eligibility for </w:t>
      </w:r>
      <w:r w:rsidR="004B419C">
        <w:t xml:space="preserve">the virtual </w:t>
      </w:r>
      <w:r w:rsidRPr="00747E3B">
        <w:t xml:space="preserve">focus groups. Participants will be identified and recruited from a large proprietary national database </w:t>
      </w:r>
      <w:r>
        <w:t xml:space="preserve">managed by </w:t>
      </w:r>
      <w:r w:rsidR="007A69C9">
        <w:t>KRC’s</w:t>
      </w:r>
      <w:r>
        <w:t xml:space="preserve"> recruitment partner, </w:t>
      </w:r>
      <w:r w:rsidRPr="000211D0">
        <w:t>Reckner Healthcare</w:t>
      </w:r>
      <w:r w:rsidR="0086747F">
        <w:t xml:space="preserve"> (Reckner)</w:t>
      </w:r>
      <w:r>
        <w:t xml:space="preserve">. </w:t>
      </w:r>
      <w:r w:rsidRPr="00747E3B">
        <w:t xml:space="preserve">Providers in the database have already agreed </w:t>
      </w:r>
      <w:r w:rsidR="004A7032">
        <w:t xml:space="preserve">consented </w:t>
      </w:r>
      <w:r w:rsidRPr="00747E3B">
        <w:t xml:space="preserve">to </w:t>
      </w:r>
      <w:r w:rsidR="001E0C26" w:rsidRPr="003E3C1B">
        <w:t xml:space="preserve">be </w:t>
      </w:r>
      <w:r w:rsidR="001E0C26">
        <w:t xml:space="preserve">invited to participate </w:t>
      </w:r>
      <w:r w:rsidRPr="00747E3B">
        <w:t xml:space="preserve">in health related </w:t>
      </w:r>
      <w:r w:rsidR="001E0C26">
        <w:t xml:space="preserve">research studies, including </w:t>
      </w:r>
      <w:r w:rsidRPr="00747E3B">
        <w:t xml:space="preserve">focus groups. </w:t>
      </w:r>
      <w:r w:rsidR="00F94147">
        <w:t xml:space="preserve">Reckner’s database have almost 100,000 </w:t>
      </w:r>
      <w:r w:rsidR="002C78CF">
        <w:t xml:space="preserve">PCP and OBGYN </w:t>
      </w:r>
      <w:r w:rsidR="00F94147">
        <w:t>physicians registered in their database.</w:t>
      </w:r>
    </w:p>
    <w:p w14:paraId="4E7C332A" w14:textId="77777777" w:rsidR="0025328B" w:rsidRDefault="0025328B" w:rsidP="00A675C3"/>
    <w:p w14:paraId="616430C3" w14:textId="77777777" w:rsidR="00824849" w:rsidRDefault="00824849" w:rsidP="00A675C3">
      <w:pPr>
        <w:autoSpaceDE w:val="0"/>
        <w:autoSpaceDN w:val="0"/>
        <w:rPr>
          <w:b/>
        </w:rPr>
      </w:pPr>
    </w:p>
    <w:p w14:paraId="338EE941" w14:textId="77777777" w:rsidR="00824849" w:rsidRDefault="00824849" w:rsidP="00A675C3">
      <w:pPr>
        <w:autoSpaceDE w:val="0"/>
        <w:autoSpaceDN w:val="0"/>
        <w:rPr>
          <w:b/>
        </w:rPr>
      </w:pPr>
    </w:p>
    <w:p w14:paraId="2B889083" w14:textId="7516E4F3" w:rsidR="00824849" w:rsidRDefault="00824849" w:rsidP="00A675C3">
      <w:pPr>
        <w:autoSpaceDE w:val="0"/>
        <w:autoSpaceDN w:val="0"/>
        <w:rPr>
          <w:b/>
        </w:rPr>
      </w:pPr>
    </w:p>
    <w:p w14:paraId="0A5A2934" w14:textId="77777777" w:rsidR="00A675C3" w:rsidRDefault="00A675C3" w:rsidP="00A675C3">
      <w:pPr>
        <w:autoSpaceDE w:val="0"/>
        <w:autoSpaceDN w:val="0"/>
        <w:rPr>
          <w:b/>
        </w:rPr>
      </w:pPr>
    </w:p>
    <w:p w14:paraId="7B45583C" w14:textId="3A24A988" w:rsidR="0025328B" w:rsidRPr="002629CD" w:rsidRDefault="002629CD" w:rsidP="00A675C3">
      <w:pPr>
        <w:autoSpaceDE w:val="0"/>
        <w:autoSpaceDN w:val="0"/>
        <w:rPr>
          <w:b/>
        </w:rPr>
      </w:pPr>
      <w:r w:rsidRPr="002629CD">
        <w:rPr>
          <w:b/>
        </w:rPr>
        <w:lastRenderedPageBreak/>
        <w:t>Recruitment Screening C</w:t>
      </w:r>
      <w:r w:rsidR="0025328B" w:rsidRPr="002629CD">
        <w:rPr>
          <w:b/>
        </w:rPr>
        <w:t>riteria</w:t>
      </w:r>
    </w:p>
    <w:p w14:paraId="2E56FCE5" w14:textId="77777777" w:rsidR="0025328B" w:rsidRDefault="0025328B" w:rsidP="00A675C3">
      <w:pPr>
        <w:autoSpaceDE w:val="0"/>
        <w:autoSpaceDN w:val="0"/>
        <w:rPr>
          <w:b/>
        </w:rPr>
      </w:pPr>
    </w:p>
    <w:p w14:paraId="76913CAD" w14:textId="3C699E93" w:rsidR="0025328B" w:rsidRDefault="00A75D3B" w:rsidP="00A675C3">
      <w:r>
        <w:t>C</w:t>
      </w:r>
      <w:r w:rsidR="0025328B" w:rsidRPr="00747E3B">
        <w:t>riteria for eligibility</w:t>
      </w:r>
      <w:r>
        <w:t xml:space="preserve"> for these virtual focus groups</w:t>
      </w:r>
      <w:r w:rsidR="000D61F9">
        <w:t xml:space="preserve"> </w:t>
      </w:r>
      <w:r w:rsidR="00A70499">
        <w:t>are similar for PCPs and OBGYNs. PCPs must identify as h</w:t>
      </w:r>
      <w:r w:rsidR="00A70499" w:rsidRPr="000211D0">
        <w:t>av</w:t>
      </w:r>
      <w:r w:rsidR="00A70499">
        <w:t>ing</w:t>
      </w:r>
      <w:r w:rsidR="00A70499" w:rsidRPr="000211D0">
        <w:t xml:space="preserve"> one of the following medical subspecialties:</w:t>
      </w:r>
      <w:r w:rsidR="00A70499">
        <w:t xml:space="preserve"> </w:t>
      </w:r>
      <w:r w:rsidR="00E22BA6">
        <w:t>family physician, general internist, g</w:t>
      </w:r>
      <w:r w:rsidR="00A70499" w:rsidRPr="000211D0">
        <w:t xml:space="preserve">eneral practitioner, or </w:t>
      </w:r>
      <w:r w:rsidR="00E22BA6">
        <w:rPr>
          <w:rStyle w:val="tgc"/>
          <w:lang w:val="en"/>
        </w:rPr>
        <w:t>combined internal m</w:t>
      </w:r>
      <w:r w:rsidR="00A70499" w:rsidRPr="005205C3">
        <w:rPr>
          <w:rStyle w:val="tgc"/>
          <w:lang w:val="en"/>
        </w:rPr>
        <w:t xml:space="preserve">edicine </w:t>
      </w:r>
      <w:r w:rsidR="00E22BA6">
        <w:rPr>
          <w:rStyle w:val="tgc"/>
          <w:lang w:val="en"/>
        </w:rPr>
        <w:t xml:space="preserve">and </w:t>
      </w:r>
      <w:r w:rsidR="00E22BA6">
        <w:rPr>
          <w:rStyle w:val="tgc"/>
          <w:bCs/>
          <w:lang w:val="en"/>
        </w:rPr>
        <w:t>p</w:t>
      </w:r>
      <w:r w:rsidR="00A70499" w:rsidRPr="005205C3">
        <w:rPr>
          <w:rStyle w:val="tgc"/>
          <w:bCs/>
          <w:lang w:val="en"/>
        </w:rPr>
        <w:t>ediatrics</w:t>
      </w:r>
      <w:r w:rsidR="00A70499">
        <w:rPr>
          <w:rStyle w:val="tgc"/>
          <w:bCs/>
          <w:lang w:val="en"/>
        </w:rPr>
        <w:t xml:space="preserve">. OBGYNs must practice </w:t>
      </w:r>
      <w:r w:rsidR="00A70499" w:rsidRPr="003E6B4E">
        <w:t xml:space="preserve">obstetrics </w:t>
      </w:r>
      <w:r w:rsidR="00A70499">
        <w:t xml:space="preserve">or </w:t>
      </w:r>
      <w:r w:rsidR="00A70499" w:rsidRPr="003E6B4E">
        <w:t>obstetrics and gynecology</w:t>
      </w:r>
      <w:r w:rsidR="00A70499">
        <w:t xml:space="preserve">. </w:t>
      </w:r>
      <w:r w:rsidR="00E22BA6">
        <w:t xml:space="preserve"> Recruitment will include a diversity of gender, age, and race/ethnic identity. </w:t>
      </w:r>
      <w:r w:rsidR="00A70499">
        <w:rPr>
          <w:rStyle w:val="tgc"/>
          <w:bCs/>
          <w:lang w:val="en"/>
        </w:rPr>
        <w:t xml:space="preserve">Other requirements </w:t>
      </w:r>
      <w:r w:rsidR="000D61F9">
        <w:t xml:space="preserve">are summarized below. </w:t>
      </w:r>
      <w:r w:rsidR="0025328B" w:rsidRPr="00747E3B">
        <w:t xml:space="preserve"> </w:t>
      </w:r>
    </w:p>
    <w:p w14:paraId="6C309AE9" w14:textId="77777777" w:rsidR="0025328B" w:rsidRDefault="0025328B" w:rsidP="00A675C3"/>
    <w:p w14:paraId="4520EAD9" w14:textId="5FB81938" w:rsidR="0025328B" w:rsidRPr="00B91D6D" w:rsidRDefault="0025328B" w:rsidP="00A675C3">
      <w:pPr>
        <w:pStyle w:val="Normal1"/>
        <w:jc w:val="center"/>
        <w:rPr>
          <w:b/>
        </w:rPr>
      </w:pPr>
      <w:r w:rsidRPr="00B91D6D">
        <w:rPr>
          <w:b/>
        </w:rPr>
        <w:t>Exhibit 1.1 Summary of Recruitment Targets</w:t>
      </w:r>
    </w:p>
    <w:p w14:paraId="1ADE5F06" w14:textId="24B356BC" w:rsidR="0025328B" w:rsidRPr="001E17C7" w:rsidRDefault="0025328B" w:rsidP="00A675C3">
      <w:pPr>
        <w:pStyle w:val="Normal1"/>
        <w:jc w:val="center"/>
      </w:pPr>
      <w:r>
        <w:rPr>
          <w:noProof/>
        </w:rPr>
        <w:drawing>
          <wp:inline distT="0" distB="0" distL="0" distR="0" wp14:anchorId="5FF03B00" wp14:editId="7AFA8F06">
            <wp:extent cx="4121150" cy="1231900"/>
            <wp:effectExtent l="0" t="0" r="0" b="635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70AA0B0" w14:textId="4324CEE4" w:rsidR="0025328B" w:rsidRDefault="0025328B" w:rsidP="00A675C3">
      <w:pPr>
        <w:autoSpaceDE w:val="0"/>
        <w:autoSpaceDN w:val="0"/>
        <w:rPr>
          <w:b/>
        </w:rPr>
      </w:pPr>
    </w:p>
    <w:p w14:paraId="0E0EDE31" w14:textId="7BCF7558" w:rsidR="005205C3" w:rsidRPr="00AD7578" w:rsidRDefault="0025328B" w:rsidP="00A675C3">
      <w:pPr>
        <w:autoSpaceDE w:val="0"/>
        <w:autoSpaceDN w:val="0"/>
      </w:pPr>
      <w:r w:rsidRPr="00AD7578">
        <w:t>All focus group participants will be required to meet the following criteria:</w:t>
      </w:r>
    </w:p>
    <w:p w14:paraId="60D5A10F" w14:textId="77777777" w:rsidR="00A675C3" w:rsidRPr="00AD7578" w:rsidRDefault="00A675C3" w:rsidP="00A675C3">
      <w:pPr>
        <w:autoSpaceDE w:val="0"/>
        <w:autoSpaceDN w:val="0"/>
      </w:pPr>
    </w:p>
    <w:p w14:paraId="1766DADA" w14:textId="5518AC98" w:rsidR="0025328B" w:rsidRPr="00AD7578" w:rsidRDefault="0025328B" w:rsidP="00A675C3">
      <w:pPr>
        <w:numPr>
          <w:ilvl w:val="0"/>
          <w:numId w:val="14"/>
        </w:numPr>
      </w:pPr>
      <w:r w:rsidRPr="00AD7578">
        <w:t>Licensed Medical Doctors (MDs</w:t>
      </w:r>
      <w:r w:rsidR="00012470" w:rsidRPr="00AD7578">
        <w:t xml:space="preserve"> or DOs</w:t>
      </w:r>
      <w:r w:rsidRPr="00AD7578">
        <w:t>)</w:t>
      </w:r>
      <w:r w:rsidR="00133BC0" w:rsidRPr="00AD7578">
        <w:t xml:space="preserve"> </w:t>
      </w:r>
    </w:p>
    <w:p w14:paraId="5FE695C4" w14:textId="400C0B08" w:rsidR="0025328B" w:rsidRPr="00AD7578" w:rsidRDefault="0025328B" w:rsidP="00A675C3">
      <w:pPr>
        <w:numPr>
          <w:ilvl w:val="0"/>
          <w:numId w:val="14"/>
        </w:numPr>
      </w:pPr>
      <w:r w:rsidRPr="00AD7578">
        <w:t>Graduated from medi</w:t>
      </w:r>
      <w:r w:rsidR="005205C3" w:rsidRPr="00AD7578">
        <w:t>cal school in the United States</w:t>
      </w:r>
    </w:p>
    <w:p w14:paraId="2C0C5F5D" w14:textId="250A32CF" w:rsidR="0025328B" w:rsidRPr="00AD7578" w:rsidRDefault="0025328B" w:rsidP="00A675C3">
      <w:pPr>
        <w:numPr>
          <w:ilvl w:val="0"/>
          <w:numId w:val="14"/>
        </w:numPr>
      </w:pPr>
      <w:r w:rsidRPr="00AD7578">
        <w:t>Completed their primary care physician residency betwe</w:t>
      </w:r>
      <w:r w:rsidR="005205C3" w:rsidRPr="00AD7578">
        <w:t>en 1980 and 2017</w:t>
      </w:r>
    </w:p>
    <w:p w14:paraId="30E3E2D3" w14:textId="77777777" w:rsidR="005205C3" w:rsidRPr="00AD7578" w:rsidRDefault="005205C3" w:rsidP="00A675C3">
      <w:pPr>
        <w:numPr>
          <w:ilvl w:val="0"/>
          <w:numId w:val="14"/>
        </w:numPr>
      </w:pPr>
      <w:r w:rsidRPr="00AD7578">
        <w:t>Primary responsibility is direct patient care, and as such dedicate:</w:t>
      </w:r>
    </w:p>
    <w:p w14:paraId="3181835B" w14:textId="77777777" w:rsidR="005205C3" w:rsidRPr="00AD7578" w:rsidRDefault="005205C3" w:rsidP="00A675C3">
      <w:pPr>
        <w:numPr>
          <w:ilvl w:val="1"/>
          <w:numId w:val="14"/>
        </w:numPr>
      </w:pPr>
      <w:r w:rsidRPr="00AD7578">
        <w:t>20 or more hours per week to direct patient care</w:t>
      </w:r>
    </w:p>
    <w:p w14:paraId="50991792" w14:textId="77777777" w:rsidR="005205C3" w:rsidRPr="00AD7578" w:rsidRDefault="005205C3" w:rsidP="00A675C3">
      <w:pPr>
        <w:numPr>
          <w:ilvl w:val="1"/>
          <w:numId w:val="14"/>
        </w:numPr>
      </w:pPr>
      <w:r w:rsidRPr="00AD7578">
        <w:t>50% or more time to adult care</w:t>
      </w:r>
    </w:p>
    <w:p w14:paraId="1C2A09E4" w14:textId="22761368" w:rsidR="005205C3" w:rsidRPr="00AD7578" w:rsidRDefault="005205C3" w:rsidP="00A675C3">
      <w:pPr>
        <w:numPr>
          <w:ilvl w:val="1"/>
          <w:numId w:val="14"/>
        </w:numPr>
      </w:pPr>
      <w:r w:rsidRPr="00AD7578">
        <w:t>For those with a subspecialty, practice less than half time in that subspecialty</w:t>
      </w:r>
    </w:p>
    <w:p w14:paraId="787BB249" w14:textId="19079E23" w:rsidR="005205C3" w:rsidRPr="00AD7578" w:rsidRDefault="005205C3" w:rsidP="00A675C3">
      <w:pPr>
        <w:numPr>
          <w:ilvl w:val="0"/>
          <w:numId w:val="14"/>
        </w:numPr>
      </w:pPr>
      <w:r w:rsidRPr="00AD7578">
        <w:t>Work in any of the following practice settings: solo practice, single specialty group practice, multi-specialty group practice, Staff Model Health Maintenance Organization or HMO, Other model HMO, Managed Care Organization, Network managed care systems such as PPOs, Mixed model practice, or Hospital-based practice</w:t>
      </w:r>
    </w:p>
    <w:p w14:paraId="6594A1FE" w14:textId="77777777" w:rsidR="00A763B9" w:rsidRPr="00AD7578" w:rsidRDefault="00A763B9" w:rsidP="00A675C3"/>
    <w:p w14:paraId="45C05BA5" w14:textId="18314B03" w:rsidR="00127DB8" w:rsidRPr="00AD7578" w:rsidRDefault="00127DB8" w:rsidP="00A675C3">
      <w:pPr>
        <w:pStyle w:val="Heading1"/>
        <w:spacing w:before="0"/>
        <w:ind w:left="450" w:hanging="450"/>
      </w:pPr>
      <w:r w:rsidRPr="00AD7578">
        <w:t>SAMPLING AND RECRUITMENT</w:t>
      </w:r>
    </w:p>
    <w:p w14:paraId="3617796C" w14:textId="77777777" w:rsidR="00A675C3" w:rsidRPr="00AD7578" w:rsidRDefault="00A675C3" w:rsidP="00A675C3"/>
    <w:p w14:paraId="4243E1AD" w14:textId="2F49F2DC" w:rsidR="000378D1" w:rsidRPr="00AD7578" w:rsidRDefault="000378D1" w:rsidP="00A675C3">
      <w:r w:rsidRPr="00AD7578">
        <w:t xml:space="preserve">KRC’s recruitment partner is Reckner Healthcare (Reckner). Potentially qualifying study participants will be drawn from the Reckner Healthcare physician panel, a volunteer national panel of physicians. </w:t>
      </w:r>
    </w:p>
    <w:p w14:paraId="42F6BAA3" w14:textId="77777777" w:rsidR="00A675C3" w:rsidRPr="00AD7578" w:rsidRDefault="00A675C3" w:rsidP="00A675C3"/>
    <w:p w14:paraId="52AE80F5" w14:textId="061A0FB0" w:rsidR="00020B7E" w:rsidRPr="00AD7578" w:rsidRDefault="000378D1" w:rsidP="00A675C3">
      <w:r w:rsidRPr="00AD7578">
        <w:t>The sample of potential focus group participants will be drawn using stratified random sampling. Stratified regional samples for each of the physician segments will be drawn within each U.S. Census region using computer-based random selection/list-generating software.  Participants are pre-screened for being either a PCP or OBGYN.</w:t>
      </w:r>
    </w:p>
    <w:p w14:paraId="30D896D3" w14:textId="77777777" w:rsidR="00A675C3" w:rsidRPr="00AD7578" w:rsidRDefault="00A675C3" w:rsidP="00A675C3"/>
    <w:p w14:paraId="515AE033" w14:textId="48E75B65" w:rsidR="000378D1" w:rsidRPr="00AD7578" w:rsidRDefault="00020B7E" w:rsidP="00A675C3">
      <w:r w:rsidRPr="00AD7578">
        <w:t>Potentially qualified participants will be sent an email from Reckner (</w:t>
      </w:r>
      <w:r w:rsidRPr="00AD7578">
        <w:rPr>
          <w:b/>
        </w:rPr>
        <w:t>Attachment 2</w:t>
      </w:r>
      <w:r w:rsidRPr="00AD7578">
        <w:t xml:space="preserve">) that explains the purpose of the virtual focus groups, and encourages those interested to complete screening. </w:t>
      </w:r>
      <w:r w:rsidR="000378D1" w:rsidRPr="00AD7578">
        <w:t xml:space="preserve">If potential participants are interested in participating, Reckner will screen them by telephone using a screening tool </w:t>
      </w:r>
      <w:r w:rsidR="000378D1" w:rsidRPr="00AD7578">
        <w:rPr>
          <w:b/>
        </w:rPr>
        <w:t>(Attachment 3)</w:t>
      </w:r>
      <w:r w:rsidR="000378D1" w:rsidRPr="00AD7578">
        <w:t xml:space="preserve"> to determine if they qualify. </w:t>
      </w:r>
    </w:p>
    <w:p w14:paraId="57781843" w14:textId="104604E2" w:rsidR="00020B7E" w:rsidRPr="00AD7578" w:rsidRDefault="000378D1" w:rsidP="00A675C3">
      <w:r w:rsidRPr="00AD7578">
        <w:t>Physicians who do not respond to the initial outreach email will be contacted by Reckner via telephone and asked if they are interested in participating in the project.  If they are interested, Reckner will ask the qualifying screener questions (</w:t>
      </w:r>
      <w:r w:rsidRPr="00AD7578">
        <w:rPr>
          <w:b/>
        </w:rPr>
        <w:t>Attachment 3</w:t>
      </w:r>
      <w:r w:rsidRPr="00AD7578">
        <w:t xml:space="preserve">).  </w:t>
      </w:r>
    </w:p>
    <w:p w14:paraId="6936049A" w14:textId="77777777" w:rsidR="00A675C3" w:rsidRPr="00AD7578" w:rsidRDefault="00A675C3" w:rsidP="00A675C3"/>
    <w:p w14:paraId="04C0C4E8" w14:textId="6D506E78" w:rsidR="00020B7E" w:rsidRPr="00AD7578" w:rsidRDefault="000378D1" w:rsidP="00A675C3">
      <w:pPr>
        <w:autoSpaceDE w:val="0"/>
        <w:autoSpaceDN w:val="0"/>
      </w:pPr>
      <w:r w:rsidRPr="00AD7578">
        <w:t xml:space="preserve">Once it is determined that a physician qualifies for the study, he or she was asked whether or not they would like to participate in a virtual focus group that will require about 75 minutes of their time. Qualified physicians will be given a choice of groups in which to participate to make participation as convenient as possible.  </w:t>
      </w:r>
    </w:p>
    <w:p w14:paraId="41AAE85B" w14:textId="77777777" w:rsidR="00A675C3" w:rsidRPr="00AD7578" w:rsidRDefault="00A675C3" w:rsidP="00A675C3">
      <w:pPr>
        <w:autoSpaceDE w:val="0"/>
        <w:autoSpaceDN w:val="0"/>
      </w:pPr>
    </w:p>
    <w:p w14:paraId="512BDA03" w14:textId="3F0E9A85" w:rsidR="00020B7E" w:rsidRPr="00AD7578" w:rsidRDefault="00020B7E" w:rsidP="00A675C3">
      <w:r w:rsidRPr="00AD7578">
        <w:t xml:space="preserve">CDC will be identified as the sole sponsor of the activity. Individuals will be advised that participation is voluntary and their responses will be treated with confidentiality. They will be asked to read and sign a consent form </w:t>
      </w:r>
      <w:r w:rsidRPr="00AD7578">
        <w:rPr>
          <w:b/>
        </w:rPr>
        <w:t>(Attachment 4)</w:t>
      </w:r>
      <w:r w:rsidRPr="00AD7578">
        <w:t>.</w:t>
      </w:r>
    </w:p>
    <w:p w14:paraId="2E4AB85C" w14:textId="77777777" w:rsidR="00A675C3" w:rsidRPr="00AD7578" w:rsidRDefault="00A675C3" w:rsidP="00A675C3"/>
    <w:p w14:paraId="06514109" w14:textId="4D0109DE" w:rsidR="00020B7E" w:rsidRPr="00AD7578" w:rsidRDefault="00020B7E" w:rsidP="00A675C3">
      <w:pPr>
        <w:autoSpaceDE w:val="0"/>
        <w:autoSpaceDN w:val="0"/>
      </w:pPr>
      <w:r w:rsidRPr="00AD7578">
        <w:t xml:space="preserve">Reckner will protect the names and any other personal identifiable information (PII) on the physicians, which will be kept on password protected computers accessible only to Reckner staff. </w:t>
      </w:r>
    </w:p>
    <w:p w14:paraId="3BE45B05" w14:textId="77777777" w:rsidR="00A675C3" w:rsidRPr="00AD7578" w:rsidRDefault="00A675C3" w:rsidP="00A675C3">
      <w:pPr>
        <w:autoSpaceDE w:val="0"/>
        <w:autoSpaceDN w:val="0"/>
      </w:pPr>
    </w:p>
    <w:p w14:paraId="0B7E7804" w14:textId="23704C58" w:rsidR="00020B7E" w:rsidRPr="00AD7578" w:rsidRDefault="00020B7E" w:rsidP="00A675C3">
      <w:r w:rsidRPr="00AD7578">
        <w:t>Personally identifiable information from qualifying individuals will not be distributed outside of Reckner. Other information gathered by Reckner from qualifying respondents in the screening tool will be summarized in an anonymized spreadsheet which will be distributed to KRC Research and CDC (</w:t>
      </w:r>
      <w:r w:rsidR="006B5EE6" w:rsidRPr="00AD7578">
        <w:rPr>
          <w:b/>
        </w:rPr>
        <w:t>Attachment 6</w:t>
      </w:r>
      <w:r w:rsidRPr="00AD7578">
        <w:t xml:space="preserve">). </w:t>
      </w:r>
    </w:p>
    <w:p w14:paraId="4F29425A" w14:textId="77777777" w:rsidR="00A675C3" w:rsidRPr="00AD7578" w:rsidRDefault="00A675C3" w:rsidP="00A675C3"/>
    <w:p w14:paraId="75A502D1" w14:textId="39B0CC36" w:rsidR="0025328B" w:rsidRPr="00AD7578" w:rsidRDefault="00020B7E" w:rsidP="00A675C3">
      <w:r w:rsidRPr="00AD7578">
        <w:t xml:space="preserve">Thus, only Reckner staff will have access to personally identifiable information (full respondent name, phone number, and email). PII will not be shared with CDC. CDC staff will not be involved with sample recruitment and will never know the identities of any study respondents. </w:t>
      </w:r>
    </w:p>
    <w:p w14:paraId="1C8BC129" w14:textId="537292CB" w:rsidR="00440081" w:rsidRPr="00AD7578" w:rsidRDefault="00440081" w:rsidP="006B5EE6">
      <w:pPr>
        <w:autoSpaceDE w:val="0"/>
        <w:autoSpaceDN w:val="0"/>
      </w:pPr>
      <w:r w:rsidRPr="00AD7578">
        <w:t xml:space="preserve">Once scheduled, a confirmation email or letter </w:t>
      </w:r>
      <w:r w:rsidR="006B5EE6" w:rsidRPr="00AD7578">
        <w:t>(</w:t>
      </w:r>
      <w:r w:rsidR="006B5EE6" w:rsidRPr="00AD7578">
        <w:rPr>
          <w:b/>
        </w:rPr>
        <w:t>Attachment 5</w:t>
      </w:r>
      <w:r w:rsidR="006B5EE6" w:rsidRPr="00AD7578">
        <w:t xml:space="preserve">) </w:t>
      </w:r>
      <w:r w:rsidRPr="00AD7578">
        <w:t xml:space="preserve">will be sent to the participants </w:t>
      </w:r>
      <w:r w:rsidR="00E40ED4" w:rsidRPr="00AD7578">
        <w:t>confirming</w:t>
      </w:r>
      <w:r w:rsidRPr="00AD7578">
        <w:t xml:space="preserve"> the </w:t>
      </w:r>
      <w:r w:rsidR="00E40ED4" w:rsidRPr="00AD7578">
        <w:t xml:space="preserve">appointment and outlining </w:t>
      </w:r>
      <w:r w:rsidRPr="00AD7578">
        <w:t>technology requirements. </w:t>
      </w:r>
    </w:p>
    <w:p w14:paraId="4D78E58A" w14:textId="77777777" w:rsidR="0025328B" w:rsidRPr="00AD7578" w:rsidRDefault="0025328B" w:rsidP="00A675C3">
      <w:pPr>
        <w:autoSpaceDE w:val="0"/>
        <w:autoSpaceDN w:val="0"/>
      </w:pPr>
    </w:p>
    <w:p w14:paraId="4B8BF3F4" w14:textId="62BEBE96" w:rsidR="00846787" w:rsidRPr="00AD7578" w:rsidRDefault="00A675C3" w:rsidP="00A675C3">
      <w:pPr>
        <w:pStyle w:val="Heading1"/>
        <w:spacing w:before="0"/>
        <w:ind w:left="450" w:hanging="450"/>
      </w:pPr>
      <w:bookmarkStart w:id="2" w:name="_Toc445107012"/>
      <w:r w:rsidRPr="00AD7578">
        <w:t>PROCEDURES FOR THE COLLECTION OF INFORMATION</w:t>
      </w:r>
      <w:bookmarkEnd w:id="2"/>
    </w:p>
    <w:p w14:paraId="242F70E0" w14:textId="77777777" w:rsidR="00A675C3" w:rsidRPr="00AD7578" w:rsidRDefault="00A675C3" w:rsidP="00A675C3"/>
    <w:p w14:paraId="0444F5AB" w14:textId="4A9E4C0B" w:rsidR="0025328B" w:rsidRPr="00AD7578" w:rsidRDefault="0025328B" w:rsidP="00A675C3">
      <w:r w:rsidRPr="00AD7578">
        <w:t xml:space="preserve">Each 75-minute focus group will be moderated by a professional </w:t>
      </w:r>
      <w:r w:rsidR="00127DB8" w:rsidRPr="00AD7578">
        <w:t xml:space="preserve">and experienced KRC </w:t>
      </w:r>
      <w:r w:rsidRPr="00AD7578">
        <w:t xml:space="preserve">moderator using Civicom, an </w:t>
      </w:r>
      <w:r w:rsidR="00127DB8" w:rsidRPr="00AD7578">
        <w:t xml:space="preserve">easy-to-use adobe-based online platform, </w:t>
      </w:r>
      <w:r w:rsidRPr="00AD7578">
        <w:t>and telephone for voice.</w:t>
      </w:r>
      <w:r w:rsidR="00FC3722" w:rsidRPr="00AD7578">
        <w:t xml:space="preserve"> </w:t>
      </w:r>
      <w:r w:rsidRPr="00AD7578">
        <w:t>Civicom is web-based</w:t>
      </w:r>
      <w:r w:rsidR="004F5FDA" w:rsidRPr="00AD7578">
        <w:t xml:space="preserve"> platform and does not require a </w:t>
      </w:r>
      <w:r w:rsidRPr="00AD7578">
        <w:t>download</w:t>
      </w:r>
      <w:r w:rsidR="004F5FDA" w:rsidRPr="00AD7578">
        <w:t>ed file</w:t>
      </w:r>
      <w:r w:rsidR="00766F8D" w:rsidRPr="00AD7578">
        <w:t xml:space="preserve"> </w:t>
      </w:r>
      <w:r w:rsidRPr="00AD7578">
        <w:t xml:space="preserve">to a person’s personal </w:t>
      </w:r>
      <w:r w:rsidR="00127DB8" w:rsidRPr="00AD7578">
        <w:t>computer. P</w:t>
      </w:r>
      <w:r w:rsidRPr="00AD7578">
        <w:t>articipants and viewers need only have an internet connection and the latest versi</w:t>
      </w:r>
      <w:r w:rsidR="00127DB8" w:rsidRPr="00AD7578">
        <w:t>on of Adobe on their computers to use the platform.</w:t>
      </w:r>
    </w:p>
    <w:p w14:paraId="7A00B40C" w14:textId="77777777" w:rsidR="0025328B" w:rsidRPr="00AD7578" w:rsidRDefault="0025328B" w:rsidP="00A675C3">
      <w:pPr>
        <w:rPr>
          <w:u w:val="single"/>
        </w:rPr>
      </w:pPr>
    </w:p>
    <w:p w14:paraId="64914E9A" w14:textId="2FAED01A" w:rsidR="0025328B" w:rsidRPr="00AD7578" w:rsidRDefault="0025328B" w:rsidP="00A675C3">
      <w:r w:rsidRPr="00AD7578">
        <w:t>Civicom allows for virtual focus groups with webcams to be conducted seamlessly, drawing upon all of the benefits of in-person focus groups witho</w:t>
      </w:r>
      <w:r w:rsidR="00127DB8" w:rsidRPr="00AD7578">
        <w:t xml:space="preserve">ut the limitation of geography. </w:t>
      </w:r>
      <w:r w:rsidRPr="00AD7578">
        <w:t>Respondents will be able to see and hear each other, and interact in real-tim</w:t>
      </w:r>
      <w:r w:rsidR="00127DB8" w:rsidRPr="00AD7578">
        <w:t>e</w:t>
      </w:r>
      <w:r w:rsidR="00B84D1B" w:rsidRPr="00AD7578">
        <w:t xml:space="preserve">. </w:t>
      </w:r>
      <w:r w:rsidR="00D46EF0" w:rsidRPr="00AD7578">
        <w:t>The technology also allows the research team to show content and materials, to get “hand counts,” and to show images or video.</w:t>
      </w:r>
    </w:p>
    <w:p w14:paraId="47125060" w14:textId="77777777" w:rsidR="00272615" w:rsidRPr="00AD7578" w:rsidRDefault="00272615" w:rsidP="00A675C3"/>
    <w:p w14:paraId="355D5A5E" w14:textId="696D82CB" w:rsidR="0025328B" w:rsidRPr="00AD7578" w:rsidRDefault="00D46EF0" w:rsidP="00A675C3">
      <w:r w:rsidRPr="00AD7578">
        <w:t xml:space="preserve">At the time of the group, respondents both call in and log on to the platform. </w:t>
      </w:r>
      <w:r w:rsidR="0025328B" w:rsidRPr="00AD7578">
        <w:t>Once all participants are on the line</w:t>
      </w:r>
      <w:r w:rsidRPr="00AD7578">
        <w:t xml:space="preserve"> and connected</w:t>
      </w:r>
      <w:r w:rsidR="0025328B" w:rsidRPr="00AD7578">
        <w:t xml:space="preserve">, the technician connects them to the moderator and remains </w:t>
      </w:r>
      <w:r w:rsidRPr="00AD7578">
        <w:t>available</w:t>
      </w:r>
      <w:r w:rsidR="0025328B" w:rsidRPr="00AD7578">
        <w:t xml:space="preserve"> for the duration of the group. Both respondents and the moderator use their own telephones to talk during the focus groups. Should anything go wrong with their internet connection, conversation can continue seamlessly while the technician works to troubleshoot.</w:t>
      </w:r>
    </w:p>
    <w:p w14:paraId="31BE362E" w14:textId="77777777" w:rsidR="00272615" w:rsidRPr="00AD7578" w:rsidRDefault="00272615" w:rsidP="00A675C3"/>
    <w:p w14:paraId="733BDF1C" w14:textId="32D88288" w:rsidR="0025328B" w:rsidRDefault="00D46EF0" w:rsidP="00A675C3">
      <w:r w:rsidRPr="00AD7578">
        <w:t>The platform can accommodate observers</w:t>
      </w:r>
      <w:r w:rsidR="00766F8D" w:rsidRPr="00AD7578">
        <w:t xml:space="preserve"> from CDC and the project team</w:t>
      </w:r>
      <w:r w:rsidRPr="00AD7578">
        <w:t>, similar to a “backroom” of a focus group facility. CDC o</w:t>
      </w:r>
      <w:r w:rsidR="0025328B" w:rsidRPr="00AD7578">
        <w:t xml:space="preserve">bservers have the option of watching and listening in </w:t>
      </w:r>
      <w:r w:rsidR="0079165B" w:rsidRPr="00AD7578">
        <w:t>by</w:t>
      </w:r>
      <w:r w:rsidR="0070742B" w:rsidRPr="00AD7578">
        <w:t xml:space="preserve"> </w:t>
      </w:r>
      <w:r w:rsidR="0079165B" w:rsidRPr="00AD7578">
        <w:t>l</w:t>
      </w:r>
      <w:r w:rsidR="0025328B" w:rsidRPr="00AD7578">
        <w:t>ogging onto the platform</w:t>
      </w:r>
      <w:r w:rsidR="0079165B" w:rsidRPr="00AD7578">
        <w:t xml:space="preserve"> and listen either through their computers or telephone lines. </w:t>
      </w:r>
      <w:r w:rsidR="00766F8D" w:rsidRPr="00AD7578">
        <w:t xml:space="preserve">Only first names are used to protect identities. Participants will be advised (Consent form, </w:t>
      </w:r>
      <w:r w:rsidR="00766F8D" w:rsidRPr="00AD7578">
        <w:rPr>
          <w:b/>
        </w:rPr>
        <w:t>Attachment #4</w:t>
      </w:r>
      <w:r w:rsidR="00766F8D" w:rsidRPr="00AD7578">
        <w:t>) that project staff members may listen in on the focus groups and take notes d</w:t>
      </w:r>
      <w:r w:rsidR="00FC3722" w:rsidRPr="00AD7578">
        <w:t>uring the gr</w:t>
      </w:r>
      <w:r w:rsidR="00766F8D" w:rsidRPr="00AD7578">
        <w:t>oups.</w:t>
      </w:r>
      <w:r w:rsidR="00766F8D">
        <w:t xml:space="preserve"> </w:t>
      </w:r>
    </w:p>
    <w:p w14:paraId="2325B6FD" w14:textId="77777777" w:rsidR="00AA3F4E" w:rsidRPr="000211D0" w:rsidRDefault="00AA3F4E" w:rsidP="00A675C3"/>
    <w:p w14:paraId="7E64254C" w14:textId="2F2AACF0" w:rsidR="005342FB" w:rsidRDefault="00A675C3" w:rsidP="00A675C3">
      <w:pPr>
        <w:pStyle w:val="Heading1"/>
        <w:spacing w:before="0"/>
        <w:ind w:left="432"/>
      </w:pPr>
      <w:bookmarkStart w:id="3" w:name="_Toc445107013"/>
      <w:r w:rsidRPr="00A675C3">
        <w:t>METHODS TO MAXIMIZE RESPONSE RATES AND DEAL WITH NO RESPONSE</w:t>
      </w:r>
      <w:bookmarkEnd w:id="3"/>
    </w:p>
    <w:p w14:paraId="13394743" w14:textId="77777777" w:rsidR="00A675C3" w:rsidRPr="00A675C3" w:rsidRDefault="00A675C3" w:rsidP="00A675C3"/>
    <w:p w14:paraId="62F7D99B" w14:textId="1C844193" w:rsidR="0014326C" w:rsidRDefault="00FC3722" w:rsidP="00A675C3">
      <w:pPr>
        <w:autoSpaceDE w:val="0"/>
        <w:autoSpaceDN w:val="0"/>
        <w:adjustRightInd w:val="0"/>
        <w:rPr>
          <w:bCs/>
        </w:rPr>
      </w:pPr>
      <w:r>
        <w:rPr>
          <w:bCs/>
        </w:rPr>
        <w:t xml:space="preserve">KRC </w:t>
      </w:r>
      <w:r w:rsidR="0014326C" w:rsidRPr="00141DB4">
        <w:rPr>
          <w:bCs/>
        </w:rPr>
        <w:t xml:space="preserve">will use the following procedures to maximize cooperation and to achieve </w:t>
      </w:r>
      <w:r>
        <w:rPr>
          <w:bCs/>
        </w:rPr>
        <w:t>high levels of participation</w:t>
      </w:r>
      <w:r w:rsidR="0014326C" w:rsidRPr="00141DB4">
        <w:rPr>
          <w:bCs/>
        </w:rPr>
        <w:t>:</w:t>
      </w:r>
    </w:p>
    <w:p w14:paraId="03B0B805" w14:textId="34AD4FE5" w:rsidR="00FC3722" w:rsidRDefault="00FC3722" w:rsidP="00A675C3">
      <w:pPr>
        <w:numPr>
          <w:ilvl w:val="0"/>
          <w:numId w:val="8"/>
        </w:numPr>
        <w:autoSpaceDE w:val="0"/>
        <w:autoSpaceDN w:val="0"/>
        <w:adjustRightInd w:val="0"/>
        <w:rPr>
          <w:bCs/>
        </w:rPr>
      </w:pPr>
      <w:bookmarkStart w:id="4" w:name="_Toc445107014"/>
      <w:r>
        <w:rPr>
          <w:bCs/>
        </w:rPr>
        <w:t xml:space="preserve">Use of a voluntary and pre-screened panel in which respondents have </w:t>
      </w:r>
      <w:r w:rsidR="0038590E">
        <w:rPr>
          <w:bCs/>
        </w:rPr>
        <w:t>consented to be included</w:t>
      </w:r>
      <w:r w:rsidR="0015019A">
        <w:rPr>
          <w:bCs/>
        </w:rPr>
        <w:t>;</w:t>
      </w:r>
    </w:p>
    <w:p w14:paraId="58A89F55" w14:textId="77DEC753" w:rsidR="00FC3722" w:rsidRPr="00700C11" w:rsidRDefault="00FC3722" w:rsidP="00A675C3">
      <w:pPr>
        <w:numPr>
          <w:ilvl w:val="0"/>
          <w:numId w:val="8"/>
        </w:numPr>
        <w:autoSpaceDE w:val="0"/>
        <w:autoSpaceDN w:val="0"/>
        <w:adjustRightInd w:val="0"/>
        <w:rPr>
          <w:bCs/>
        </w:rPr>
      </w:pPr>
      <w:r>
        <w:rPr>
          <w:bCs/>
        </w:rPr>
        <w:t xml:space="preserve">The </w:t>
      </w:r>
      <w:r w:rsidR="0038590E">
        <w:rPr>
          <w:bCs/>
        </w:rPr>
        <w:t xml:space="preserve">project </w:t>
      </w:r>
      <w:r>
        <w:rPr>
          <w:bCs/>
        </w:rPr>
        <w:t xml:space="preserve">will be identified as sponsored by CDC, which can be appealing to </w:t>
      </w:r>
      <w:r w:rsidRPr="00700C11">
        <w:rPr>
          <w:bCs/>
        </w:rPr>
        <w:t>physicians;</w:t>
      </w:r>
    </w:p>
    <w:p w14:paraId="5EDAB3C5" w14:textId="0F118B1E" w:rsidR="00FC3722" w:rsidRPr="00700C11" w:rsidRDefault="004F75AD" w:rsidP="00A675C3">
      <w:pPr>
        <w:numPr>
          <w:ilvl w:val="0"/>
          <w:numId w:val="8"/>
        </w:numPr>
        <w:autoSpaceDE w:val="0"/>
        <w:autoSpaceDN w:val="0"/>
        <w:adjustRightInd w:val="0"/>
        <w:rPr>
          <w:bCs/>
        </w:rPr>
      </w:pPr>
      <w:r w:rsidRPr="00700C11">
        <w:rPr>
          <w:bCs/>
        </w:rPr>
        <w:t xml:space="preserve">A </w:t>
      </w:r>
      <w:r w:rsidR="00707340" w:rsidRPr="00700C11">
        <w:rPr>
          <w:bCs/>
        </w:rPr>
        <w:t>$</w:t>
      </w:r>
      <w:r w:rsidR="00133BC0" w:rsidRPr="00700C11">
        <w:rPr>
          <w:bCs/>
        </w:rPr>
        <w:t>100</w:t>
      </w:r>
      <w:r w:rsidR="00B97486" w:rsidRPr="00700C11">
        <w:rPr>
          <w:bCs/>
        </w:rPr>
        <w:t xml:space="preserve"> </w:t>
      </w:r>
      <w:r w:rsidRPr="00700C11">
        <w:rPr>
          <w:bCs/>
        </w:rPr>
        <w:t>token of appreciation will be provided to key participants upon compl</w:t>
      </w:r>
      <w:r w:rsidR="00FC3722" w:rsidRPr="00700C11">
        <w:rPr>
          <w:bCs/>
        </w:rPr>
        <w:t>etion of the interview;</w:t>
      </w:r>
    </w:p>
    <w:p w14:paraId="50CAE467" w14:textId="05870EFA" w:rsidR="0057145B" w:rsidRDefault="004F75AD" w:rsidP="00A675C3">
      <w:pPr>
        <w:numPr>
          <w:ilvl w:val="0"/>
          <w:numId w:val="8"/>
        </w:numPr>
        <w:autoSpaceDE w:val="0"/>
        <w:autoSpaceDN w:val="0"/>
        <w:adjustRightInd w:val="0"/>
        <w:rPr>
          <w:b/>
          <w:bCs/>
        </w:rPr>
      </w:pPr>
      <w:r w:rsidRPr="00AB002F">
        <w:rPr>
          <w:bCs/>
        </w:rPr>
        <w:t xml:space="preserve">All recruitment materials indicate the voluntary nature of the study. </w:t>
      </w:r>
    </w:p>
    <w:p w14:paraId="295645FE" w14:textId="07393E66" w:rsidR="00F05243" w:rsidRDefault="00F05243" w:rsidP="00A675C3">
      <w:pPr>
        <w:autoSpaceDE w:val="0"/>
        <w:autoSpaceDN w:val="0"/>
        <w:adjustRightInd w:val="0"/>
        <w:rPr>
          <w:b/>
          <w:bCs/>
        </w:rPr>
      </w:pPr>
    </w:p>
    <w:p w14:paraId="3A1B9497" w14:textId="1E71B61C" w:rsidR="009128BB" w:rsidRDefault="009128BB" w:rsidP="00A675C3">
      <w:pPr>
        <w:autoSpaceDE w:val="0"/>
        <w:autoSpaceDN w:val="0"/>
        <w:adjustRightInd w:val="0"/>
        <w:rPr>
          <w:bCs/>
        </w:rPr>
      </w:pPr>
      <w:r w:rsidRPr="009128BB">
        <w:rPr>
          <w:bCs/>
        </w:rPr>
        <w:t xml:space="preserve">As in the case with qualitative research, </w:t>
      </w:r>
      <w:r>
        <w:rPr>
          <w:bCs/>
        </w:rPr>
        <w:t>no response rate is calculated.</w:t>
      </w:r>
    </w:p>
    <w:p w14:paraId="0B6416FC" w14:textId="77777777" w:rsidR="00A763B9" w:rsidRPr="009128BB" w:rsidRDefault="00A763B9" w:rsidP="00A675C3">
      <w:pPr>
        <w:autoSpaceDE w:val="0"/>
        <w:autoSpaceDN w:val="0"/>
        <w:adjustRightInd w:val="0"/>
        <w:rPr>
          <w:bCs/>
        </w:rPr>
      </w:pPr>
    </w:p>
    <w:p w14:paraId="12A92AD2" w14:textId="048B7ECA" w:rsidR="005342FB" w:rsidRDefault="00A675C3" w:rsidP="00A675C3">
      <w:pPr>
        <w:pStyle w:val="Heading1"/>
        <w:spacing w:before="0"/>
        <w:ind w:left="432"/>
      </w:pPr>
      <w:r w:rsidRPr="00A675C3">
        <w:t>TESTS OF PROCEDURES OR METHODS TO BE UNDERTAKEN</w:t>
      </w:r>
      <w:bookmarkEnd w:id="4"/>
    </w:p>
    <w:p w14:paraId="768BC91F" w14:textId="77777777" w:rsidR="00A675C3" w:rsidRPr="00A675C3" w:rsidRDefault="00A675C3" w:rsidP="00A675C3"/>
    <w:p w14:paraId="647E82CD" w14:textId="4103D2F6" w:rsidR="00FC3722" w:rsidRDefault="00FC3722" w:rsidP="00A675C3">
      <w:pPr>
        <w:autoSpaceDE w:val="0"/>
        <w:autoSpaceDN w:val="0"/>
        <w:adjustRightInd w:val="0"/>
      </w:pPr>
      <w:bookmarkStart w:id="5" w:name="_Toc445107015"/>
      <w:r>
        <w:t>N/A</w:t>
      </w:r>
    </w:p>
    <w:p w14:paraId="4AC1113E" w14:textId="77777777" w:rsidR="00766F8D" w:rsidRDefault="00766F8D" w:rsidP="00A675C3">
      <w:pPr>
        <w:autoSpaceDE w:val="0"/>
        <w:autoSpaceDN w:val="0"/>
        <w:adjustRightInd w:val="0"/>
      </w:pPr>
    </w:p>
    <w:p w14:paraId="5CB112BD" w14:textId="5EC71BB9" w:rsidR="005342FB" w:rsidRDefault="00A675C3" w:rsidP="00A675C3">
      <w:pPr>
        <w:pStyle w:val="Heading1"/>
        <w:spacing w:before="0"/>
        <w:ind w:left="432"/>
      </w:pPr>
      <w:r w:rsidRPr="00A675C3">
        <w:t>INDIVIDUALS CONSULTED ON STATISTICAL ASPECTS AND INDIVIDUALS COLLECTING AND/OR ANALYZING DATA</w:t>
      </w:r>
      <w:bookmarkEnd w:id="5"/>
    </w:p>
    <w:p w14:paraId="7BAF3B72" w14:textId="77777777" w:rsidR="00A675C3" w:rsidRPr="00A675C3" w:rsidRDefault="00A675C3" w:rsidP="00A675C3"/>
    <w:p w14:paraId="0F3AF097" w14:textId="52D79E56" w:rsidR="00FC3722" w:rsidRDefault="008A18E1" w:rsidP="00A675C3">
      <w:r w:rsidRPr="00712100">
        <w:t xml:space="preserve">Exhibit </w:t>
      </w:r>
      <w:r w:rsidR="00FF1B1C" w:rsidRPr="00712100">
        <w:t>5.1</w:t>
      </w:r>
      <w:r w:rsidRPr="00712100">
        <w:t xml:space="preserve"> below lists the project team members who were consulted on the aspects of research design and those who will be collecting and analyzing the data. </w:t>
      </w:r>
    </w:p>
    <w:p w14:paraId="34E2245B" w14:textId="77777777" w:rsidR="00A675C3" w:rsidRDefault="00A675C3" w:rsidP="00A675C3"/>
    <w:p w14:paraId="3B2D535A" w14:textId="1D391A5B" w:rsidR="00FC3722" w:rsidRDefault="008A18E1" w:rsidP="00A675C3">
      <w:r w:rsidRPr="00712100">
        <w:t xml:space="preserve">The CDC staff </w:t>
      </w:r>
      <w:r w:rsidR="002B44F3">
        <w:t xml:space="preserve">and </w:t>
      </w:r>
      <w:r w:rsidR="00FC3722">
        <w:t xml:space="preserve">KRC </w:t>
      </w:r>
      <w:r w:rsidR="00766F8D">
        <w:t xml:space="preserve">Research </w:t>
      </w:r>
      <w:r w:rsidRPr="00712100">
        <w:t xml:space="preserve">are primarily responsible for the design </w:t>
      </w:r>
      <w:r w:rsidR="00766F8D">
        <w:t xml:space="preserve">of the research. </w:t>
      </w:r>
      <w:r w:rsidR="002B44F3">
        <w:t xml:space="preserve">KRC is responsible for the </w:t>
      </w:r>
      <w:r w:rsidRPr="00712100">
        <w:t>implementation of the research; data collection and analyzing data</w:t>
      </w:r>
      <w:r w:rsidR="002B44F3">
        <w:t xml:space="preserve">. CDC and KRC will jointly prepare </w:t>
      </w:r>
      <w:r w:rsidRPr="00712100">
        <w:t xml:space="preserve">and present findings at meetings and in publications. </w:t>
      </w:r>
    </w:p>
    <w:p w14:paraId="32B4C5FD" w14:textId="77777777" w:rsidR="00A675C3" w:rsidRDefault="00A675C3" w:rsidP="00A675C3"/>
    <w:p w14:paraId="1028C530" w14:textId="6DB0E504" w:rsidR="005342FB" w:rsidRDefault="008A18E1" w:rsidP="00A675C3">
      <w:r w:rsidRPr="00712100">
        <w:t xml:space="preserve">The </w:t>
      </w:r>
      <w:r w:rsidR="00C24CB1" w:rsidRPr="00712100">
        <w:t xml:space="preserve">CDC </w:t>
      </w:r>
      <w:r w:rsidRPr="00712100">
        <w:t xml:space="preserve">staff will neither collect data from nor interact with research participants. Data will be collected by </w:t>
      </w:r>
      <w:r w:rsidR="002B44F3">
        <w:t xml:space="preserve">KRC staff listed below. </w:t>
      </w:r>
      <w:r w:rsidRPr="00712100">
        <w:t xml:space="preserve">No individual identifiers will be linkable to collected data, and no individually identifiable private information will be shared with or accessible by CDC staff. </w:t>
      </w:r>
      <w:r w:rsidR="00C24CB1" w:rsidRPr="00712100">
        <w:t>All members of the research team will work together to analyze the data and generate reports containing summaries of the findings.</w:t>
      </w:r>
    </w:p>
    <w:p w14:paraId="364EAF62" w14:textId="77777777" w:rsidR="00A675C3" w:rsidRDefault="00A675C3" w:rsidP="00A675C3"/>
    <w:p w14:paraId="7FBCE023" w14:textId="77777777" w:rsidR="00857798" w:rsidRDefault="00857798">
      <w:pPr>
        <w:spacing w:after="200" w:line="276" w:lineRule="auto"/>
        <w:rPr>
          <w:b/>
          <w:iCs/>
          <w:szCs w:val="18"/>
        </w:rPr>
      </w:pPr>
      <w:bookmarkStart w:id="6" w:name="_Toc500513544"/>
      <w:r>
        <w:br w:type="page"/>
      </w:r>
    </w:p>
    <w:p w14:paraId="072184D4" w14:textId="2C9C357E" w:rsidR="008A18E1" w:rsidRDefault="007F29CE" w:rsidP="00A675C3">
      <w:pPr>
        <w:pStyle w:val="Caption"/>
        <w:spacing w:after="0"/>
      </w:pPr>
      <w:r>
        <w:t xml:space="preserve">Exhibit </w:t>
      </w:r>
      <w:r w:rsidR="00533CC8">
        <w:rPr>
          <w:noProof/>
        </w:rPr>
        <w:t>1</w:t>
      </w:r>
      <w:r>
        <w:t xml:space="preserve">: Statistical </w:t>
      </w:r>
      <w:r w:rsidR="00533CC8">
        <w:t xml:space="preserve">Consultants and Project Team </w:t>
      </w:r>
      <w:bookmarkEnd w:id="6"/>
      <w:r w:rsidR="00533CC8">
        <w:t>Members</w:t>
      </w:r>
    </w:p>
    <w:tbl>
      <w:tblPr>
        <w:tblStyle w:val="TableGrid"/>
        <w:tblW w:w="0" w:type="auto"/>
        <w:tblLook w:val="04A0" w:firstRow="1" w:lastRow="0" w:firstColumn="1" w:lastColumn="0" w:noHBand="0" w:noVBand="1"/>
      </w:tblPr>
      <w:tblGrid>
        <w:gridCol w:w="2425"/>
        <w:gridCol w:w="1766"/>
        <w:gridCol w:w="1664"/>
        <w:gridCol w:w="3495"/>
      </w:tblGrid>
      <w:tr w:rsidR="008A18E1" w:rsidRPr="00073E48" w14:paraId="6077F904" w14:textId="77777777" w:rsidTr="00533CC8">
        <w:tc>
          <w:tcPr>
            <w:tcW w:w="2425" w:type="dxa"/>
            <w:shd w:val="clear" w:color="auto" w:fill="F2F2F2" w:themeFill="background1" w:themeFillShade="F2"/>
          </w:tcPr>
          <w:p w14:paraId="2BF169F2" w14:textId="77777777" w:rsidR="008A18E1" w:rsidRPr="00073E48" w:rsidRDefault="008A18E1" w:rsidP="00A675C3">
            <w:pPr>
              <w:rPr>
                <w:b/>
                <w:sz w:val="20"/>
                <w:szCs w:val="20"/>
              </w:rPr>
            </w:pPr>
            <w:r w:rsidRPr="00073E48">
              <w:rPr>
                <w:b/>
                <w:sz w:val="20"/>
                <w:szCs w:val="20"/>
              </w:rPr>
              <w:t>Team Member</w:t>
            </w:r>
          </w:p>
        </w:tc>
        <w:tc>
          <w:tcPr>
            <w:tcW w:w="1766" w:type="dxa"/>
            <w:shd w:val="clear" w:color="auto" w:fill="F2F2F2" w:themeFill="background1" w:themeFillShade="F2"/>
          </w:tcPr>
          <w:p w14:paraId="677A33D7" w14:textId="77777777" w:rsidR="008A18E1" w:rsidRPr="00073E48" w:rsidRDefault="008A18E1" w:rsidP="00A675C3">
            <w:pPr>
              <w:rPr>
                <w:b/>
                <w:sz w:val="20"/>
                <w:szCs w:val="20"/>
              </w:rPr>
            </w:pPr>
            <w:r w:rsidRPr="00073E48">
              <w:rPr>
                <w:b/>
                <w:sz w:val="20"/>
                <w:szCs w:val="20"/>
              </w:rPr>
              <w:t>Organization</w:t>
            </w:r>
          </w:p>
        </w:tc>
        <w:tc>
          <w:tcPr>
            <w:tcW w:w="1664" w:type="dxa"/>
            <w:shd w:val="clear" w:color="auto" w:fill="F2F2F2" w:themeFill="background1" w:themeFillShade="F2"/>
          </w:tcPr>
          <w:p w14:paraId="5623B185" w14:textId="77777777" w:rsidR="008A18E1" w:rsidRPr="00073E48" w:rsidRDefault="008A18E1" w:rsidP="00A675C3">
            <w:pPr>
              <w:rPr>
                <w:b/>
                <w:sz w:val="20"/>
                <w:szCs w:val="20"/>
              </w:rPr>
            </w:pPr>
            <w:r w:rsidRPr="00073E48">
              <w:rPr>
                <w:b/>
                <w:sz w:val="20"/>
                <w:szCs w:val="20"/>
              </w:rPr>
              <w:t>Phone</w:t>
            </w:r>
          </w:p>
        </w:tc>
        <w:tc>
          <w:tcPr>
            <w:tcW w:w="3495" w:type="dxa"/>
            <w:shd w:val="clear" w:color="auto" w:fill="F2F2F2" w:themeFill="background1" w:themeFillShade="F2"/>
          </w:tcPr>
          <w:p w14:paraId="325E232B" w14:textId="77777777" w:rsidR="008A18E1" w:rsidRPr="00073E48" w:rsidRDefault="008A18E1" w:rsidP="00A675C3">
            <w:pPr>
              <w:rPr>
                <w:b/>
                <w:sz w:val="20"/>
                <w:szCs w:val="20"/>
              </w:rPr>
            </w:pPr>
            <w:r w:rsidRPr="00073E48">
              <w:rPr>
                <w:b/>
                <w:sz w:val="20"/>
                <w:szCs w:val="20"/>
              </w:rPr>
              <w:t>Email</w:t>
            </w:r>
          </w:p>
        </w:tc>
      </w:tr>
      <w:tr w:rsidR="008A18E1" w:rsidRPr="00073E48" w14:paraId="3C6A5FED" w14:textId="77777777" w:rsidTr="00533CC8">
        <w:tc>
          <w:tcPr>
            <w:tcW w:w="2425" w:type="dxa"/>
          </w:tcPr>
          <w:p w14:paraId="75990AD5" w14:textId="59C10D2A" w:rsidR="008A18E1" w:rsidRPr="00073E48" w:rsidRDefault="00533CC8" w:rsidP="00A675C3">
            <w:pPr>
              <w:rPr>
                <w:sz w:val="20"/>
                <w:szCs w:val="20"/>
              </w:rPr>
            </w:pPr>
            <w:r w:rsidRPr="00533CC8">
              <w:rPr>
                <w:sz w:val="20"/>
                <w:szCs w:val="20"/>
              </w:rPr>
              <w:t xml:space="preserve">Cynthia Jorgensen, DrPH </w:t>
            </w:r>
          </w:p>
        </w:tc>
        <w:tc>
          <w:tcPr>
            <w:tcW w:w="1766" w:type="dxa"/>
          </w:tcPr>
          <w:p w14:paraId="0B417B4D" w14:textId="77777777" w:rsidR="008A18E1" w:rsidRPr="00073E48" w:rsidRDefault="008A18E1" w:rsidP="00A675C3">
            <w:pPr>
              <w:rPr>
                <w:sz w:val="20"/>
                <w:szCs w:val="20"/>
              </w:rPr>
            </w:pPr>
            <w:r w:rsidRPr="00073E48">
              <w:rPr>
                <w:sz w:val="20"/>
                <w:szCs w:val="20"/>
              </w:rPr>
              <w:t>CDC</w:t>
            </w:r>
          </w:p>
        </w:tc>
        <w:tc>
          <w:tcPr>
            <w:tcW w:w="1664" w:type="dxa"/>
          </w:tcPr>
          <w:p w14:paraId="6A23FE6E" w14:textId="1A32CF59" w:rsidR="008A18E1" w:rsidRPr="00533CC8" w:rsidRDefault="00533CC8" w:rsidP="00A675C3">
            <w:pPr>
              <w:rPr>
                <w:sz w:val="20"/>
                <w:szCs w:val="20"/>
              </w:rPr>
            </w:pPr>
            <w:r w:rsidRPr="00533CC8">
              <w:rPr>
                <w:sz w:val="20"/>
                <w:szCs w:val="20"/>
              </w:rPr>
              <w:t>404-718-8534 </w:t>
            </w:r>
            <w:r>
              <w:rPr>
                <w:sz w:val="20"/>
                <w:szCs w:val="20"/>
              </w:rPr>
              <w:t xml:space="preserve"> </w:t>
            </w:r>
          </w:p>
        </w:tc>
        <w:tc>
          <w:tcPr>
            <w:tcW w:w="3495" w:type="dxa"/>
          </w:tcPr>
          <w:p w14:paraId="01E4AA6A" w14:textId="70E75061" w:rsidR="008A18E1" w:rsidRPr="00073E48" w:rsidRDefault="00533CC8" w:rsidP="00A675C3">
            <w:pPr>
              <w:rPr>
                <w:sz w:val="20"/>
                <w:szCs w:val="20"/>
              </w:rPr>
            </w:pPr>
            <w:r w:rsidRPr="00533CC8">
              <w:rPr>
                <w:sz w:val="20"/>
                <w:szCs w:val="20"/>
              </w:rPr>
              <w:t>cxj4@cdc.gov</w:t>
            </w:r>
          </w:p>
        </w:tc>
      </w:tr>
      <w:tr w:rsidR="008A18E1" w:rsidRPr="00251E1C" w14:paraId="1C9072A4" w14:textId="77777777" w:rsidTr="00533CC8">
        <w:tc>
          <w:tcPr>
            <w:tcW w:w="2425" w:type="dxa"/>
          </w:tcPr>
          <w:p w14:paraId="57EEE283" w14:textId="2E9774BA" w:rsidR="008A18E1" w:rsidRPr="00073E48" w:rsidRDefault="00251E1C" w:rsidP="00A675C3">
            <w:pPr>
              <w:rPr>
                <w:sz w:val="20"/>
                <w:szCs w:val="20"/>
              </w:rPr>
            </w:pPr>
            <w:r w:rsidRPr="00251E1C">
              <w:rPr>
                <w:sz w:val="20"/>
                <w:szCs w:val="20"/>
              </w:rPr>
              <w:t>Alycia</w:t>
            </w:r>
            <w:r w:rsidR="00F019F8">
              <w:rPr>
                <w:sz w:val="20"/>
                <w:szCs w:val="20"/>
              </w:rPr>
              <w:t xml:space="preserve"> </w:t>
            </w:r>
            <w:r w:rsidRPr="00251E1C">
              <w:rPr>
                <w:sz w:val="20"/>
                <w:szCs w:val="20"/>
              </w:rPr>
              <w:t>Downs</w:t>
            </w:r>
          </w:p>
        </w:tc>
        <w:tc>
          <w:tcPr>
            <w:tcW w:w="1766" w:type="dxa"/>
          </w:tcPr>
          <w:p w14:paraId="02749D27" w14:textId="77777777" w:rsidR="008A18E1" w:rsidRPr="00073E48" w:rsidRDefault="008A18E1" w:rsidP="00A675C3">
            <w:pPr>
              <w:rPr>
                <w:sz w:val="20"/>
                <w:szCs w:val="20"/>
              </w:rPr>
            </w:pPr>
            <w:r w:rsidRPr="00073E48">
              <w:rPr>
                <w:sz w:val="20"/>
                <w:szCs w:val="20"/>
              </w:rPr>
              <w:t>CDC</w:t>
            </w:r>
          </w:p>
        </w:tc>
        <w:tc>
          <w:tcPr>
            <w:tcW w:w="1664" w:type="dxa"/>
          </w:tcPr>
          <w:p w14:paraId="4EBD8150" w14:textId="10DB2BB5" w:rsidR="008A18E1" w:rsidRPr="00073E48" w:rsidRDefault="00E30632" w:rsidP="00A675C3">
            <w:pPr>
              <w:rPr>
                <w:sz w:val="20"/>
                <w:szCs w:val="20"/>
              </w:rPr>
            </w:pPr>
            <w:r>
              <w:rPr>
                <w:sz w:val="20"/>
                <w:szCs w:val="20"/>
              </w:rPr>
              <w:t>404-718-8509</w:t>
            </w:r>
          </w:p>
        </w:tc>
        <w:tc>
          <w:tcPr>
            <w:tcW w:w="3495" w:type="dxa"/>
          </w:tcPr>
          <w:p w14:paraId="5716B0FB" w14:textId="14A6CE7F" w:rsidR="008A18E1" w:rsidRPr="00073E48" w:rsidRDefault="00251E1C" w:rsidP="00A675C3">
            <w:pPr>
              <w:rPr>
                <w:sz w:val="20"/>
                <w:szCs w:val="20"/>
              </w:rPr>
            </w:pPr>
            <w:r w:rsidRPr="00251E1C">
              <w:rPr>
                <w:sz w:val="20"/>
                <w:szCs w:val="20"/>
              </w:rPr>
              <w:t>gfy4@cdc.gov</w:t>
            </w:r>
          </w:p>
        </w:tc>
      </w:tr>
      <w:tr w:rsidR="008A18E1" w:rsidRPr="00073E48" w14:paraId="4BD35080" w14:textId="77777777" w:rsidTr="00533CC8">
        <w:tc>
          <w:tcPr>
            <w:tcW w:w="2425" w:type="dxa"/>
          </w:tcPr>
          <w:p w14:paraId="1D504FC7" w14:textId="1A74FAE5" w:rsidR="008A18E1" w:rsidRPr="00073E48" w:rsidRDefault="00FC3722" w:rsidP="00A675C3">
            <w:pPr>
              <w:rPr>
                <w:sz w:val="20"/>
                <w:szCs w:val="20"/>
              </w:rPr>
            </w:pPr>
            <w:r>
              <w:rPr>
                <w:sz w:val="20"/>
                <w:szCs w:val="20"/>
              </w:rPr>
              <w:t>Mark Richards, PhD</w:t>
            </w:r>
          </w:p>
        </w:tc>
        <w:tc>
          <w:tcPr>
            <w:tcW w:w="1766" w:type="dxa"/>
          </w:tcPr>
          <w:p w14:paraId="2D1144FC" w14:textId="295C991B" w:rsidR="008A18E1" w:rsidRPr="00073E48" w:rsidRDefault="00FC3722" w:rsidP="00A675C3">
            <w:pPr>
              <w:rPr>
                <w:sz w:val="20"/>
                <w:szCs w:val="20"/>
              </w:rPr>
            </w:pPr>
            <w:r>
              <w:rPr>
                <w:sz w:val="20"/>
                <w:szCs w:val="20"/>
              </w:rPr>
              <w:t>KRC Research</w:t>
            </w:r>
          </w:p>
        </w:tc>
        <w:tc>
          <w:tcPr>
            <w:tcW w:w="1664" w:type="dxa"/>
          </w:tcPr>
          <w:p w14:paraId="0A903A29" w14:textId="16F67B63" w:rsidR="008A18E1" w:rsidRPr="00073E48" w:rsidRDefault="00FC3722" w:rsidP="00A675C3">
            <w:pPr>
              <w:rPr>
                <w:sz w:val="20"/>
                <w:szCs w:val="20"/>
              </w:rPr>
            </w:pPr>
            <w:r>
              <w:rPr>
                <w:sz w:val="20"/>
                <w:szCs w:val="20"/>
              </w:rPr>
              <w:t>202-</w:t>
            </w:r>
            <w:r w:rsidR="00533CC8">
              <w:rPr>
                <w:sz w:val="20"/>
                <w:szCs w:val="20"/>
              </w:rPr>
              <w:t>230-8767</w:t>
            </w:r>
          </w:p>
        </w:tc>
        <w:tc>
          <w:tcPr>
            <w:tcW w:w="3495" w:type="dxa"/>
          </w:tcPr>
          <w:p w14:paraId="5A13FCBA" w14:textId="37C02AAF" w:rsidR="008A18E1" w:rsidRPr="00073E48" w:rsidRDefault="00533CC8" w:rsidP="00A675C3">
            <w:pPr>
              <w:rPr>
                <w:sz w:val="20"/>
                <w:szCs w:val="20"/>
              </w:rPr>
            </w:pPr>
            <w:r>
              <w:rPr>
                <w:sz w:val="20"/>
                <w:szCs w:val="20"/>
              </w:rPr>
              <w:t>mrichards@krcresearch.com</w:t>
            </w:r>
          </w:p>
        </w:tc>
      </w:tr>
      <w:tr w:rsidR="00533CC8" w:rsidRPr="00073E48" w14:paraId="6869015D" w14:textId="77777777" w:rsidTr="00533CC8">
        <w:tc>
          <w:tcPr>
            <w:tcW w:w="2425" w:type="dxa"/>
          </w:tcPr>
          <w:p w14:paraId="04C40BAE" w14:textId="4BC41B38" w:rsidR="00533CC8" w:rsidRPr="00073E48" w:rsidRDefault="00533CC8" w:rsidP="00A675C3">
            <w:pPr>
              <w:rPr>
                <w:sz w:val="20"/>
                <w:szCs w:val="20"/>
              </w:rPr>
            </w:pPr>
            <w:r>
              <w:rPr>
                <w:sz w:val="20"/>
                <w:szCs w:val="20"/>
              </w:rPr>
              <w:t>Lindsay Gutekunst</w:t>
            </w:r>
          </w:p>
        </w:tc>
        <w:tc>
          <w:tcPr>
            <w:tcW w:w="1766" w:type="dxa"/>
          </w:tcPr>
          <w:p w14:paraId="7000C921" w14:textId="2FAC460A" w:rsidR="00533CC8" w:rsidRPr="00073E48" w:rsidRDefault="00533CC8" w:rsidP="00A675C3">
            <w:pPr>
              <w:rPr>
                <w:sz w:val="20"/>
                <w:szCs w:val="20"/>
              </w:rPr>
            </w:pPr>
            <w:r>
              <w:rPr>
                <w:sz w:val="20"/>
                <w:szCs w:val="20"/>
              </w:rPr>
              <w:t>KRC Research</w:t>
            </w:r>
          </w:p>
        </w:tc>
        <w:tc>
          <w:tcPr>
            <w:tcW w:w="1664" w:type="dxa"/>
          </w:tcPr>
          <w:p w14:paraId="6930FCA8" w14:textId="28240299" w:rsidR="00533CC8" w:rsidRPr="00073E48" w:rsidRDefault="00533CC8" w:rsidP="00A675C3">
            <w:pPr>
              <w:rPr>
                <w:sz w:val="20"/>
                <w:szCs w:val="20"/>
              </w:rPr>
            </w:pPr>
            <w:r>
              <w:rPr>
                <w:sz w:val="20"/>
                <w:szCs w:val="20"/>
              </w:rPr>
              <w:t>202-585-2922</w:t>
            </w:r>
          </w:p>
        </w:tc>
        <w:tc>
          <w:tcPr>
            <w:tcW w:w="3495" w:type="dxa"/>
          </w:tcPr>
          <w:p w14:paraId="1759BB09" w14:textId="1934072E" w:rsidR="00533CC8" w:rsidRPr="00073E48" w:rsidRDefault="00533CC8" w:rsidP="00A675C3">
            <w:pPr>
              <w:rPr>
                <w:sz w:val="20"/>
                <w:szCs w:val="20"/>
              </w:rPr>
            </w:pPr>
            <w:r>
              <w:rPr>
                <w:sz w:val="20"/>
                <w:szCs w:val="20"/>
              </w:rPr>
              <w:t>lgutekunst@krcresearch.com</w:t>
            </w:r>
          </w:p>
        </w:tc>
      </w:tr>
    </w:tbl>
    <w:p w14:paraId="3ACE5413" w14:textId="4E0ED18B" w:rsidR="00857798" w:rsidRDefault="00857798" w:rsidP="00A675C3">
      <w:pPr>
        <w:pStyle w:val="EndNoteBibliography"/>
      </w:pPr>
    </w:p>
    <w:sectPr w:rsidR="00857798" w:rsidSect="00776859">
      <w:footerReference w:type="defaul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683BB" w14:textId="77777777" w:rsidR="001B6EAC" w:rsidRDefault="001B6EAC" w:rsidP="008B5D54">
      <w:r>
        <w:separator/>
      </w:r>
    </w:p>
  </w:endnote>
  <w:endnote w:type="continuationSeparator" w:id="0">
    <w:p w14:paraId="478647F2" w14:textId="77777777" w:rsidR="001B6EAC" w:rsidRDefault="001B6EA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7EDD85FC" w14:textId="7C5BD59E" w:rsidR="008A6C1D" w:rsidRDefault="008A6C1D">
        <w:pPr>
          <w:pStyle w:val="Footer"/>
          <w:jc w:val="right"/>
        </w:pPr>
        <w:r>
          <w:fldChar w:fldCharType="begin"/>
        </w:r>
        <w:r>
          <w:instrText xml:space="preserve"> PAGE   \* MERGEFORMAT </w:instrText>
        </w:r>
        <w:r>
          <w:fldChar w:fldCharType="separate"/>
        </w:r>
        <w:r w:rsidR="00B035B9">
          <w:rPr>
            <w:noProof/>
          </w:rPr>
          <w:t>3</w:t>
        </w:r>
        <w:r>
          <w:rPr>
            <w:noProof/>
          </w:rPr>
          <w:fldChar w:fldCharType="end"/>
        </w:r>
      </w:p>
    </w:sdtContent>
  </w:sdt>
  <w:p w14:paraId="136A1CD8" w14:textId="77777777" w:rsidR="008A6C1D" w:rsidRDefault="008A6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65D79" w14:textId="77777777" w:rsidR="001B6EAC" w:rsidRDefault="001B6EAC" w:rsidP="008B5D54">
      <w:r>
        <w:separator/>
      </w:r>
    </w:p>
  </w:footnote>
  <w:footnote w:type="continuationSeparator" w:id="0">
    <w:p w14:paraId="24B0364E" w14:textId="77777777" w:rsidR="001B6EAC" w:rsidRDefault="001B6EA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16CF7"/>
    <w:multiLevelType w:val="hybridMultilevel"/>
    <w:tmpl w:val="07324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BDD0B65"/>
    <w:multiLevelType w:val="hybridMultilevel"/>
    <w:tmpl w:val="63CE2C8E"/>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E62082"/>
    <w:multiLevelType w:val="hybridMultilevel"/>
    <w:tmpl w:val="ECE8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14ACC"/>
    <w:multiLevelType w:val="hybridMultilevel"/>
    <w:tmpl w:val="691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17E5D"/>
    <w:multiLevelType w:val="hybridMultilevel"/>
    <w:tmpl w:val="320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07E3A"/>
    <w:multiLevelType w:val="hybridMultilevel"/>
    <w:tmpl w:val="011E38A0"/>
    <w:lvl w:ilvl="0" w:tplc="9BEC53E8">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E40A6"/>
    <w:multiLevelType w:val="hybridMultilevel"/>
    <w:tmpl w:val="CF1C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FB12C7"/>
    <w:multiLevelType w:val="multilevel"/>
    <w:tmpl w:val="08006CBE"/>
    <w:lvl w:ilvl="0">
      <w:start w:val="1"/>
      <w:numFmt w:val="decimal"/>
      <w:pStyle w:val="Heading1"/>
      <w:lvlText w:val="%1."/>
      <w:lvlJc w:val="left"/>
      <w:pPr>
        <w:ind w:left="792" w:hanging="432"/>
      </w:pPr>
      <w:rPr>
        <w:rFonts w:hint="default"/>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7"/>
  </w:num>
  <w:num w:numId="2">
    <w:abstractNumId w:val="4"/>
  </w:num>
  <w:num w:numId="3">
    <w:abstractNumId w:val="11"/>
  </w:num>
  <w:num w:numId="4">
    <w:abstractNumId w:val="9"/>
  </w:num>
  <w:num w:numId="5">
    <w:abstractNumId w:val="12"/>
  </w:num>
  <w:num w:numId="6">
    <w:abstractNumId w:val="1"/>
  </w:num>
  <w:num w:numId="7">
    <w:abstractNumId w:val="0"/>
  </w:num>
  <w:num w:numId="8">
    <w:abstractNumId w:val="4"/>
  </w:num>
  <w:num w:numId="9">
    <w:abstractNumId w:val="7"/>
  </w:num>
  <w:num w:numId="10">
    <w:abstractNumId w:val="6"/>
  </w:num>
  <w:num w:numId="11">
    <w:abstractNumId w:val="8"/>
  </w:num>
  <w:num w:numId="12">
    <w:abstractNumId w:val="2"/>
  </w:num>
  <w:num w:numId="13">
    <w:abstractNumId w:val="5"/>
  </w:num>
  <w:num w:numId="14">
    <w:abstractNumId w:val="3"/>
  </w:num>
  <w:num w:numId="15">
    <w:abstractNumId w:val="13"/>
  </w:num>
  <w:num w:numId="16">
    <w:abstractNumId w:val="10"/>
  </w:num>
  <w:num w:numId="17">
    <w:abstractNumId w:val="17"/>
  </w:num>
  <w:num w:numId="18">
    <w:abstractNumId w:val="17"/>
  </w:num>
  <w:num w:numId="19">
    <w:abstractNumId w:val="17"/>
  </w:num>
  <w:num w:numId="20">
    <w:abstractNumId w:val="16"/>
  </w:num>
  <w:num w:numId="21">
    <w:abstractNumId w:val="14"/>
  </w:num>
  <w:num w:numId="22">
    <w:abstractNumId w:val="15"/>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2C5F"/>
    <w:rsid w:val="00007829"/>
    <w:rsid w:val="00012470"/>
    <w:rsid w:val="00013F21"/>
    <w:rsid w:val="00015EF5"/>
    <w:rsid w:val="00020B7E"/>
    <w:rsid w:val="00020DA6"/>
    <w:rsid w:val="00034A29"/>
    <w:rsid w:val="000366A9"/>
    <w:rsid w:val="000378D1"/>
    <w:rsid w:val="00045245"/>
    <w:rsid w:val="000609EC"/>
    <w:rsid w:val="00062F18"/>
    <w:rsid w:val="00065992"/>
    <w:rsid w:val="00072466"/>
    <w:rsid w:val="00073E48"/>
    <w:rsid w:val="0008658F"/>
    <w:rsid w:val="00087E3A"/>
    <w:rsid w:val="000B4057"/>
    <w:rsid w:val="000C1542"/>
    <w:rsid w:val="000D03CA"/>
    <w:rsid w:val="000D61F9"/>
    <w:rsid w:val="000E3245"/>
    <w:rsid w:val="000E44D4"/>
    <w:rsid w:val="00103914"/>
    <w:rsid w:val="00104443"/>
    <w:rsid w:val="00124844"/>
    <w:rsid w:val="00126042"/>
    <w:rsid w:val="00126AD5"/>
    <w:rsid w:val="00127DB8"/>
    <w:rsid w:val="00133175"/>
    <w:rsid w:val="00133BC0"/>
    <w:rsid w:val="00134942"/>
    <w:rsid w:val="001371C7"/>
    <w:rsid w:val="00141DB4"/>
    <w:rsid w:val="0014326C"/>
    <w:rsid w:val="00144C9D"/>
    <w:rsid w:val="00146CDD"/>
    <w:rsid w:val="0015019A"/>
    <w:rsid w:val="0015788E"/>
    <w:rsid w:val="0016459B"/>
    <w:rsid w:val="00171195"/>
    <w:rsid w:val="001809A3"/>
    <w:rsid w:val="00187F1C"/>
    <w:rsid w:val="00190CE1"/>
    <w:rsid w:val="001A6B03"/>
    <w:rsid w:val="001B6EAC"/>
    <w:rsid w:val="001B7EBF"/>
    <w:rsid w:val="001C3299"/>
    <w:rsid w:val="001D1363"/>
    <w:rsid w:val="001E0C26"/>
    <w:rsid w:val="001E17C7"/>
    <w:rsid w:val="001E3E12"/>
    <w:rsid w:val="001F37A1"/>
    <w:rsid w:val="00246F1C"/>
    <w:rsid w:val="00251E1C"/>
    <w:rsid w:val="0025328B"/>
    <w:rsid w:val="002629CD"/>
    <w:rsid w:val="00267890"/>
    <w:rsid w:val="00267AA8"/>
    <w:rsid w:val="00272615"/>
    <w:rsid w:val="00277210"/>
    <w:rsid w:val="00296D84"/>
    <w:rsid w:val="002B44F3"/>
    <w:rsid w:val="002B4D1E"/>
    <w:rsid w:val="002C0062"/>
    <w:rsid w:val="002C78CF"/>
    <w:rsid w:val="002F27E6"/>
    <w:rsid w:val="002F42D4"/>
    <w:rsid w:val="0030212D"/>
    <w:rsid w:val="00302D00"/>
    <w:rsid w:val="00304668"/>
    <w:rsid w:val="00311E64"/>
    <w:rsid w:val="0031423B"/>
    <w:rsid w:val="0032129A"/>
    <w:rsid w:val="00325C9D"/>
    <w:rsid w:val="0032730F"/>
    <w:rsid w:val="00334D47"/>
    <w:rsid w:val="0035710F"/>
    <w:rsid w:val="00360327"/>
    <w:rsid w:val="00360D45"/>
    <w:rsid w:val="003725B9"/>
    <w:rsid w:val="0038590E"/>
    <w:rsid w:val="003908E6"/>
    <w:rsid w:val="003978FC"/>
    <w:rsid w:val="0039799B"/>
    <w:rsid w:val="003A2A70"/>
    <w:rsid w:val="003A2F22"/>
    <w:rsid w:val="003D3BBE"/>
    <w:rsid w:val="003D4F04"/>
    <w:rsid w:val="003D5CAB"/>
    <w:rsid w:val="003E0B03"/>
    <w:rsid w:val="003E3C1B"/>
    <w:rsid w:val="003E6B4E"/>
    <w:rsid w:val="003F06B2"/>
    <w:rsid w:val="003F35DB"/>
    <w:rsid w:val="00400413"/>
    <w:rsid w:val="00402291"/>
    <w:rsid w:val="0042065E"/>
    <w:rsid w:val="00421540"/>
    <w:rsid w:val="00440081"/>
    <w:rsid w:val="00444F8B"/>
    <w:rsid w:val="00453F8E"/>
    <w:rsid w:val="00455029"/>
    <w:rsid w:val="00465BBD"/>
    <w:rsid w:val="00471A8D"/>
    <w:rsid w:val="0047702A"/>
    <w:rsid w:val="00480A43"/>
    <w:rsid w:val="00490D2F"/>
    <w:rsid w:val="00494459"/>
    <w:rsid w:val="0049650B"/>
    <w:rsid w:val="00497C2F"/>
    <w:rsid w:val="004A6D0D"/>
    <w:rsid w:val="004A7032"/>
    <w:rsid w:val="004A7CB0"/>
    <w:rsid w:val="004B419C"/>
    <w:rsid w:val="004C36D1"/>
    <w:rsid w:val="004D2026"/>
    <w:rsid w:val="004E489F"/>
    <w:rsid w:val="004F3BC3"/>
    <w:rsid w:val="004F3FD5"/>
    <w:rsid w:val="004F5FDA"/>
    <w:rsid w:val="004F75AD"/>
    <w:rsid w:val="005002CE"/>
    <w:rsid w:val="00503CCA"/>
    <w:rsid w:val="0051707B"/>
    <w:rsid w:val="005205C3"/>
    <w:rsid w:val="00522512"/>
    <w:rsid w:val="00525786"/>
    <w:rsid w:val="00527188"/>
    <w:rsid w:val="005339B7"/>
    <w:rsid w:val="00533CC8"/>
    <w:rsid w:val="005342FB"/>
    <w:rsid w:val="0053739F"/>
    <w:rsid w:val="00541A6E"/>
    <w:rsid w:val="00554673"/>
    <w:rsid w:val="00555471"/>
    <w:rsid w:val="0055675E"/>
    <w:rsid w:val="00557CB3"/>
    <w:rsid w:val="00566CC6"/>
    <w:rsid w:val="0057145B"/>
    <w:rsid w:val="00575167"/>
    <w:rsid w:val="00581B33"/>
    <w:rsid w:val="00597105"/>
    <w:rsid w:val="005A3A8D"/>
    <w:rsid w:val="005A3C31"/>
    <w:rsid w:val="005A6CB0"/>
    <w:rsid w:val="005B2FD1"/>
    <w:rsid w:val="005C226C"/>
    <w:rsid w:val="005C7D3F"/>
    <w:rsid w:val="005D0F7C"/>
    <w:rsid w:val="005E2E30"/>
    <w:rsid w:val="005E668D"/>
    <w:rsid w:val="005F079D"/>
    <w:rsid w:val="00601129"/>
    <w:rsid w:val="00606E0F"/>
    <w:rsid w:val="00607C89"/>
    <w:rsid w:val="00615AD1"/>
    <w:rsid w:val="00644E20"/>
    <w:rsid w:val="0065402A"/>
    <w:rsid w:val="00670D29"/>
    <w:rsid w:val="00671880"/>
    <w:rsid w:val="0067665A"/>
    <w:rsid w:val="00686860"/>
    <w:rsid w:val="006A0117"/>
    <w:rsid w:val="006B0155"/>
    <w:rsid w:val="006B5EE6"/>
    <w:rsid w:val="006C6578"/>
    <w:rsid w:val="006D5AE8"/>
    <w:rsid w:val="006E3721"/>
    <w:rsid w:val="006F6C4E"/>
    <w:rsid w:val="00700C11"/>
    <w:rsid w:val="0070250C"/>
    <w:rsid w:val="007063D1"/>
    <w:rsid w:val="007072EC"/>
    <w:rsid w:val="00707340"/>
    <w:rsid w:val="0070742B"/>
    <w:rsid w:val="00712100"/>
    <w:rsid w:val="0072096D"/>
    <w:rsid w:val="00720E62"/>
    <w:rsid w:val="00762367"/>
    <w:rsid w:val="007643F2"/>
    <w:rsid w:val="00766F8D"/>
    <w:rsid w:val="00776859"/>
    <w:rsid w:val="00786952"/>
    <w:rsid w:val="0079165B"/>
    <w:rsid w:val="00792029"/>
    <w:rsid w:val="007928DC"/>
    <w:rsid w:val="007A56E0"/>
    <w:rsid w:val="007A69C9"/>
    <w:rsid w:val="007B4308"/>
    <w:rsid w:val="007B485A"/>
    <w:rsid w:val="007B5497"/>
    <w:rsid w:val="007C3075"/>
    <w:rsid w:val="007C43A0"/>
    <w:rsid w:val="007D2B57"/>
    <w:rsid w:val="007D4C9E"/>
    <w:rsid w:val="007E0DC4"/>
    <w:rsid w:val="007E6FF0"/>
    <w:rsid w:val="007F29CE"/>
    <w:rsid w:val="007F5034"/>
    <w:rsid w:val="007F7A34"/>
    <w:rsid w:val="00815162"/>
    <w:rsid w:val="008238F6"/>
    <w:rsid w:val="00824849"/>
    <w:rsid w:val="008253CC"/>
    <w:rsid w:val="00831DC9"/>
    <w:rsid w:val="00846787"/>
    <w:rsid w:val="00851A91"/>
    <w:rsid w:val="00851B91"/>
    <w:rsid w:val="00854CD3"/>
    <w:rsid w:val="008561AC"/>
    <w:rsid w:val="00857798"/>
    <w:rsid w:val="0086747F"/>
    <w:rsid w:val="00892BA9"/>
    <w:rsid w:val="008A04E1"/>
    <w:rsid w:val="008A18E1"/>
    <w:rsid w:val="008A423B"/>
    <w:rsid w:val="008A6C1D"/>
    <w:rsid w:val="008B22CA"/>
    <w:rsid w:val="008B2F17"/>
    <w:rsid w:val="008B5D54"/>
    <w:rsid w:val="008D34B2"/>
    <w:rsid w:val="008D61A7"/>
    <w:rsid w:val="008F519C"/>
    <w:rsid w:val="008F57CA"/>
    <w:rsid w:val="00907990"/>
    <w:rsid w:val="009128BB"/>
    <w:rsid w:val="0091459E"/>
    <w:rsid w:val="009174C4"/>
    <w:rsid w:val="00922698"/>
    <w:rsid w:val="00923019"/>
    <w:rsid w:val="0092340F"/>
    <w:rsid w:val="0092419F"/>
    <w:rsid w:val="009310EA"/>
    <w:rsid w:val="00937383"/>
    <w:rsid w:val="00945206"/>
    <w:rsid w:val="009467D2"/>
    <w:rsid w:val="0095730B"/>
    <w:rsid w:val="00957AB6"/>
    <w:rsid w:val="00967B5D"/>
    <w:rsid w:val="00997978"/>
    <w:rsid w:val="009A0B10"/>
    <w:rsid w:val="009C1652"/>
    <w:rsid w:val="00A22655"/>
    <w:rsid w:val="00A25777"/>
    <w:rsid w:val="00A347F2"/>
    <w:rsid w:val="00A675C3"/>
    <w:rsid w:val="00A70499"/>
    <w:rsid w:val="00A75D3B"/>
    <w:rsid w:val="00A763B9"/>
    <w:rsid w:val="00A920ED"/>
    <w:rsid w:val="00AA3F4E"/>
    <w:rsid w:val="00AA739C"/>
    <w:rsid w:val="00AB002F"/>
    <w:rsid w:val="00AB04FA"/>
    <w:rsid w:val="00AB6846"/>
    <w:rsid w:val="00AC1ACA"/>
    <w:rsid w:val="00AC2FA9"/>
    <w:rsid w:val="00AC47D6"/>
    <w:rsid w:val="00AD7578"/>
    <w:rsid w:val="00AF23F7"/>
    <w:rsid w:val="00AF3865"/>
    <w:rsid w:val="00AF3A32"/>
    <w:rsid w:val="00B035B9"/>
    <w:rsid w:val="00B177B4"/>
    <w:rsid w:val="00B27474"/>
    <w:rsid w:val="00B471BB"/>
    <w:rsid w:val="00B512A0"/>
    <w:rsid w:val="00B55735"/>
    <w:rsid w:val="00B608AC"/>
    <w:rsid w:val="00B7262F"/>
    <w:rsid w:val="00B84D1B"/>
    <w:rsid w:val="00B873AA"/>
    <w:rsid w:val="00B91D6D"/>
    <w:rsid w:val="00B96201"/>
    <w:rsid w:val="00B97486"/>
    <w:rsid w:val="00BA1CA4"/>
    <w:rsid w:val="00BA26E1"/>
    <w:rsid w:val="00BB4F58"/>
    <w:rsid w:val="00BC11C9"/>
    <w:rsid w:val="00BD188E"/>
    <w:rsid w:val="00BD4D1F"/>
    <w:rsid w:val="00BE5C39"/>
    <w:rsid w:val="00BF7FA1"/>
    <w:rsid w:val="00C24CB1"/>
    <w:rsid w:val="00C33466"/>
    <w:rsid w:val="00C34C13"/>
    <w:rsid w:val="00C35267"/>
    <w:rsid w:val="00C40F09"/>
    <w:rsid w:val="00C42B38"/>
    <w:rsid w:val="00C4791D"/>
    <w:rsid w:val="00C541DB"/>
    <w:rsid w:val="00C67A4F"/>
    <w:rsid w:val="00C722C4"/>
    <w:rsid w:val="00C76EA3"/>
    <w:rsid w:val="00C77023"/>
    <w:rsid w:val="00C8223C"/>
    <w:rsid w:val="00C93B7A"/>
    <w:rsid w:val="00C946C2"/>
    <w:rsid w:val="00C94A54"/>
    <w:rsid w:val="00CC3D19"/>
    <w:rsid w:val="00CC755C"/>
    <w:rsid w:val="00CD1409"/>
    <w:rsid w:val="00CD6D16"/>
    <w:rsid w:val="00CE6AA8"/>
    <w:rsid w:val="00CF3DD7"/>
    <w:rsid w:val="00D0040C"/>
    <w:rsid w:val="00D025A5"/>
    <w:rsid w:val="00D14157"/>
    <w:rsid w:val="00D207FC"/>
    <w:rsid w:val="00D2200F"/>
    <w:rsid w:val="00D24DE7"/>
    <w:rsid w:val="00D254EE"/>
    <w:rsid w:val="00D3747B"/>
    <w:rsid w:val="00D42DFD"/>
    <w:rsid w:val="00D46EF0"/>
    <w:rsid w:val="00D51C1E"/>
    <w:rsid w:val="00D547BF"/>
    <w:rsid w:val="00D554F6"/>
    <w:rsid w:val="00D67D34"/>
    <w:rsid w:val="00D81402"/>
    <w:rsid w:val="00D90173"/>
    <w:rsid w:val="00DA02D4"/>
    <w:rsid w:val="00DB4101"/>
    <w:rsid w:val="00DC57CC"/>
    <w:rsid w:val="00DD0CC8"/>
    <w:rsid w:val="00DD286B"/>
    <w:rsid w:val="00DD7025"/>
    <w:rsid w:val="00DE25CC"/>
    <w:rsid w:val="00DE34D1"/>
    <w:rsid w:val="00DE69FC"/>
    <w:rsid w:val="00DE77DD"/>
    <w:rsid w:val="00DF6A21"/>
    <w:rsid w:val="00E04084"/>
    <w:rsid w:val="00E22BA6"/>
    <w:rsid w:val="00E30632"/>
    <w:rsid w:val="00E31337"/>
    <w:rsid w:val="00E3297C"/>
    <w:rsid w:val="00E3387C"/>
    <w:rsid w:val="00E40ED4"/>
    <w:rsid w:val="00E451A4"/>
    <w:rsid w:val="00E45AB7"/>
    <w:rsid w:val="00E557C3"/>
    <w:rsid w:val="00E65754"/>
    <w:rsid w:val="00E66EA4"/>
    <w:rsid w:val="00E769A2"/>
    <w:rsid w:val="00E80326"/>
    <w:rsid w:val="00E85841"/>
    <w:rsid w:val="00E90EC3"/>
    <w:rsid w:val="00EA0E5E"/>
    <w:rsid w:val="00EB13A4"/>
    <w:rsid w:val="00EC2F5B"/>
    <w:rsid w:val="00EE64BF"/>
    <w:rsid w:val="00EF2A6A"/>
    <w:rsid w:val="00EF61CB"/>
    <w:rsid w:val="00EF7978"/>
    <w:rsid w:val="00F019F8"/>
    <w:rsid w:val="00F04D64"/>
    <w:rsid w:val="00F05243"/>
    <w:rsid w:val="00F05870"/>
    <w:rsid w:val="00F14245"/>
    <w:rsid w:val="00F14695"/>
    <w:rsid w:val="00F21E20"/>
    <w:rsid w:val="00F26AE9"/>
    <w:rsid w:val="00F429ED"/>
    <w:rsid w:val="00F4439E"/>
    <w:rsid w:val="00F615AE"/>
    <w:rsid w:val="00F94147"/>
    <w:rsid w:val="00FA06CC"/>
    <w:rsid w:val="00FA09E0"/>
    <w:rsid w:val="00FA2F57"/>
    <w:rsid w:val="00FB2D71"/>
    <w:rsid w:val="00FC0B16"/>
    <w:rsid w:val="00FC1AE1"/>
    <w:rsid w:val="00FC3722"/>
    <w:rsid w:val="00FD3E15"/>
    <w:rsid w:val="00FD5A9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nhideWhenUsed/>
    <w:rsid w:val="005A6CB0"/>
    <w:rPr>
      <w:sz w:val="20"/>
      <w:szCs w:val="20"/>
    </w:rPr>
  </w:style>
  <w:style w:type="character" w:customStyle="1" w:styleId="FootnoteTextChar">
    <w:name w:val="Footnote Text Char"/>
    <w:basedOn w:val="DefaultParagraphFont"/>
    <w:link w:val="FootnoteText"/>
    <w:uiPriority w:val="4"/>
    <w:rsid w:val="005A6CB0"/>
    <w:rPr>
      <w:rFonts w:ascii="Times New Roman" w:eastAsia="Times New Roman" w:hAnsi="Times New Roman" w:cs="Times New Roman"/>
      <w:sz w:val="20"/>
      <w:szCs w:val="20"/>
    </w:rPr>
  </w:style>
  <w:style w:type="character" w:styleId="FootnoteReference">
    <w:name w:val="footnote reference"/>
    <w:basedOn w:val="DefaultParagraphFont"/>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 w:type="character" w:customStyle="1" w:styleId="tgc">
    <w:name w:val="_tgc"/>
    <w:rsid w:val="00440081"/>
  </w:style>
  <w:style w:type="paragraph" w:customStyle="1" w:styleId="Bullettable">
    <w:name w:val="Bullettable"/>
    <w:basedOn w:val="Normal"/>
    <w:rsid w:val="00EB13A4"/>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nhideWhenUsed/>
    <w:rsid w:val="005A6CB0"/>
    <w:rPr>
      <w:sz w:val="20"/>
      <w:szCs w:val="20"/>
    </w:rPr>
  </w:style>
  <w:style w:type="character" w:customStyle="1" w:styleId="FootnoteTextChar">
    <w:name w:val="Footnote Text Char"/>
    <w:basedOn w:val="DefaultParagraphFont"/>
    <w:link w:val="FootnoteText"/>
    <w:uiPriority w:val="4"/>
    <w:rsid w:val="005A6CB0"/>
    <w:rPr>
      <w:rFonts w:ascii="Times New Roman" w:eastAsia="Times New Roman" w:hAnsi="Times New Roman" w:cs="Times New Roman"/>
      <w:sz w:val="20"/>
      <w:szCs w:val="20"/>
    </w:rPr>
  </w:style>
  <w:style w:type="character" w:styleId="FootnoteReference">
    <w:name w:val="footnote reference"/>
    <w:basedOn w:val="DefaultParagraphFont"/>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 w:type="character" w:customStyle="1" w:styleId="tgc">
    <w:name w:val="_tgc"/>
    <w:rsid w:val="00440081"/>
  </w:style>
  <w:style w:type="paragraph" w:customStyle="1" w:styleId="Bullettable">
    <w:name w:val="Bullettable"/>
    <w:basedOn w:val="Normal"/>
    <w:rsid w:val="00EB13A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2722">
      <w:bodyDiv w:val="1"/>
      <w:marLeft w:val="0"/>
      <w:marRight w:val="0"/>
      <w:marTop w:val="0"/>
      <w:marBottom w:val="0"/>
      <w:divBdr>
        <w:top w:val="none" w:sz="0" w:space="0" w:color="auto"/>
        <w:left w:val="none" w:sz="0" w:space="0" w:color="auto"/>
        <w:bottom w:val="none" w:sz="0" w:space="0" w:color="auto"/>
        <w:right w:val="none" w:sz="0" w:space="0" w:color="auto"/>
      </w:divBdr>
    </w:div>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798958341">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25654452">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267889404">
      <w:bodyDiv w:val="1"/>
      <w:marLeft w:val="0"/>
      <w:marRight w:val="0"/>
      <w:marTop w:val="0"/>
      <w:marBottom w:val="0"/>
      <w:divBdr>
        <w:top w:val="none" w:sz="0" w:space="0" w:color="auto"/>
        <w:left w:val="none" w:sz="0" w:space="0" w:color="auto"/>
        <w:bottom w:val="none" w:sz="0" w:space="0" w:color="auto"/>
        <w:right w:val="none" w:sz="0" w:space="0" w:color="auto"/>
      </w:divBdr>
    </w:div>
    <w:div w:id="1307122382">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25850692">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 w:id="1892375807">
      <w:bodyDiv w:val="1"/>
      <w:marLeft w:val="0"/>
      <w:marRight w:val="0"/>
      <w:marTop w:val="0"/>
      <w:marBottom w:val="0"/>
      <w:divBdr>
        <w:top w:val="none" w:sz="0" w:space="0" w:color="auto"/>
        <w:left w:val="none" w:sz="0" w:space="0" w:color="auto"/>
        <w:bottom w:val="none" w:sz="0" w:space="0" w:color="auto"/>
        <w:right w:val="none" w:sz="0" w:space="0" w:color="auto"/>
      </w:divBdr>
    </w:div>
    <w:div w:id="20870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E2A75D-1E81-4BB8-8EF0-76FF635541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1A67B0A-7D14-44A8-A3B8-9AC416B42F98}">
      <dgm:prSet phldrT="[Text]" custT="1"/>
      <dgm:spPr/>
      <dgm:t>
        <a:bodyPr/>
        <a:lstStyle/>
        <a:p>
          <a:r>
            <a:rPr lang="en-US" sz="1000"/>
            <a:t>128 Study Participants</a:t>
          </a:r>
        </a:p>
      </dgm:t>
    </dgm:pt>
    <dgm:pt modelId="{006C99FC-AB1D-4DDD-ADF5-A288C0371711}" type="parTrans" cxnId="{833AF9F0-1BA2-4F41-B548-3C5F3C63A962}">
      <dgm:prSet/>
      <dgm:spPr/>
      <dgm:t>
        <a:bodyPr/>
        <a:lstStyle/>
        <a:p>
          <a:endParaRPr lang="en-US"/>
        </a:p>
      </dgm:t>
    </dgm:pt>
    <dgm:pt modelId="{65E8D0FC-8012-423A-92B4-3F88EF6D1F6E}" type="sibTrans" cxnId="{833AF9F0-1BA2-4F41-B548-3C5F3C63A962}">
      <dgm:prSet/>
      <dgm:spPr/>
      <dgm:t>
        <a:bodyPr/>
        <a:lstStyle/>
        <a:p>
          <a:endParaRPr lang="en-US"/>
        </a:p>
      </dgm:t>
    </dgm:pt>
    <dgm:pt modelId="{0401B22D-4BDC-4C3E-ABE1-1BAE3BF58BFF}">
      <dgm:prSet phldrT="[Text]" custT="1"/>
      <dgm:spPr/>
      <dgm:t>
        <a:bodyPr/>
        <a:lstStyle/>
        <a:p>
          <a:r>
            <a:rPr lang="en-US" sz="1000"/>
            <a:t>64 Primary Care</a:t>
          </a:r>
        </a:p>
      </dgm:t>
    </dgm:pt>
    <dgm:pt modelId="{5D5787B0-8287-40F0-A1FB-995EEEA01C5B}" type="parTrans" cxnId="{C2EA9727-BDB7-4E6D-91F8-F456623BA273}">
      <dgm:prSet/>
      <dgm:spPr/>
      <dgm:t>
        <a:bodyPr/>
        <a:lstStyle/>
        <a:p>
          <a:endParaRPr lang="en-US"/>
        </a:p>
      </dgm:t>
    </dgm:pt>
    <dgm:pt modelId="{6A29C9CC-3D75-4862-AD77-E614A3F1C5E9}" type="sibTrans" cxnId="{C2EA9727-BDB7-4E6D-91F8-F456623BA273}">
      <dgm:prSet/>
      <dgm:spPr/>
      <dgm:t>
        <a:bodyPr/>
        <a:lstStyle/>
        <a:p>
          <a:endParaRPr lang="en-US"/>
        </a:p>
      </dgm:t>
    </dgm:pt>
    <dgm:pt modelId="{004683A0-D78B-437E-A9EE-F739698B08D7}">
      <dgm:prSet phldrT="[Text]" custT="1"/>
      <dgm:spPr/>
      <dgm:t>
        <a:bodyPr/>
        <a:lstStyle/>
        <a:p>
          <a:r>
            <a:rPr lang="en-US" sz="1000"/>
            <a:t>64 OBGYN</a:t>
          </a:r>
        </a:p>
      </dgm:t>
    </dgm:pt>
    <dgm:pt modelId="{F7D4F634-8492-42C8-A663-9A622697674A}" type="parTrans" cxnId="{775DD638-7AB9-400C-A74A-F85AA155BBA8}">
      <dgm:prSet/>
      <dgm:spPr/>
      <dgm:t>
        <a:bodyPr/>
        <a:lstStyle/>
        <a:p>
          <a:endParaRPr lang="en-US"/>
        </a:p>
      </dgm:t>
    </dgm:pt>
    <dgm:pt modelId="{1F780FE4-F939-4BE4-B669-0ED728D8804E}" type="sibTrans" cxnId="{775DD638-7AB9-400C-A74A-F85AA155BBA8}">
      <dgm:prSet/>
      <dgm:spPr/>
      <dgm:t>
        <a:bodyPr/>
        <a:lstStyle/>
        <a:p>
          <a:endParaRPr lang="en-US"/>
        </a:p>
      </dgm:t>
    </dgm:pt>
    <dgm:pt modelId="{3C06DD4F-C1E6-4C6E-A680-6107CC263EC1}" type="pres">
      <dgm:prSet presAssocID="{E1E2A75D-1E81-4BB8-8EF0-76FF63554196}" presName="mainComposite" presStyleCnt="0">
        <dgm:presLayoutVars>
          <dgm:chPref val="1"/>
          <dgm:dir/>
          <dgm:animOne val="branch"/>
          <dgm:animLvl val="lvl"/>
          <dgm:resizeHandles val="exact"/>
        </dgm:presLayoutVars>
      </dgm:prSet>
      <dgm:spPr/>
      <dgm:t>
        <a:bodyPr/>
        <a:lstStyle/>
        <a:p>
          <a:endParaRPr lang="en-US"/>
        </a:p>
      </dgm:t>
    </dgm:pt>
    <dgm:pt modelId="{804415DD-9096-417F-82C8-94BCCF1AFDED}" type="pres">
      <dgm:prSet presAssocID="{E1E2A75D-1E81-4BB8-8EF0-76FF63554196}" presName="hierFlow" presStyleCnt="0"/>
      <dgm:spPr/>
    </dgm:pt>
    <dgm:pt modelId="{CF4A3264-A47B-4FCD-9F15-B881ECCF597D}" type="pres">
      <dgm:prSet presAssocID="{E1E2A75D-1E81-4BB8-8EF0-76FF63554196}" presName="hierChild1" presStyleCnt="0">
        <dgm:presLayoutVars>
          <dgm:chPref val="1"/>
          <dgm:animOne val="branch"/>
          <dgm:animLvl val="lvl"/>
        </dgm:presLayoutVars>
      </dgm:prSet>
      <dgm:spPr/>
    </dgm:pt>
    <dgm:pt modelId="{335D6F66-7F6A-46F9-97CC-F0977DCAD812}" type="pres">
      <dgm:prSet presAssocID="{D1A67B0A-7D14-44A8-A3B8-9AC416B42F98}" presName="Name14" presStyleCnt="0"/>
      <dgm:spPr/>
    </dgm:pt>
    <dgm:pt modelId="{8E64F21B-DA8A-4280-A891-3FF5930DEE4C}" type="pres">
      <dgm:prSet presAssocID="{D1A67B0A-7D14-44A8-A3B8-9AC416B42F98}" presName="level1Shape" presStyleLbl="node0" presStyleIdx="0" presStyleCnt="1" custScaleX="336356" custScaleY="143906" custLinFactY="-100000" custLinFactNeighborX="18981" custLinFactNeighborY="-128802">
        <dgm:presLayoutVars>
          <dgm:chPref val="3"/>
        </dgm:presLayoutVars>
      </dgm:prSet>
      <dgm:spPr/>
      <dgm:t>
        <a:bodyPr/>
        <a:lstStyle/>
        <a:p>
          <a:endParaRPr lang="en-US"/>
        </a:p>
      </dgm:t>
    </dgm:pt>
    <dgm:pt modelId="{A453C5BE-05DD-412E-BA2D-F0A752083FFA}" type="pres">
      <dgm:prSet presAssocID="{D1A67B0A-7D14-44A8-A3B8-9AC416B42F98}" presName="hierChild2" presStyleCnt="0"/>
      <dgm:spPr/>
    </dgm:pt>
    <dgm:pt modelId="{3DEA9E30-AC24-47FA-AF97-CBC13442B1E8}" type="pres">
      <dgm:prSet presAssocID="{5D5787B0-8287-40F0-A1FB-995EEEA01C5B}" presName="Name19" presStyleLbl="parChTrans1D2" presStyleIdx="0" presStyleCnt="2"/>
      <dgm:spPr/>
      <dgm:t>
        <a:bodyPr/>
        <a:lstStyle/>
        <a:p>
          <a:endParaRPr lang="en-US"/>
        </a:p>
      </dgm:t>
    </dgm:pt>
    <dgm:pt modelId="{7AD695FE-A2EA-4670-AFEC-73BACACF65FB}" type="pres">
      <dgm:prSet presAssocID="{0401B22D-4BDC-4C3E-ABE1-1BAE3BF58BFF}" presName="Name21" presStyleCnt="0"/>
      <dgm:spPr/>
    </dgm:pt>
    <dgm:pt modelId="{ED512933-AAEC-4B24-BA03-FB91E783CCEC}" type="pres">
      <dgm:prSet presAssocID="{0401B22D-4BDC-4C3E-ABE1-1BAE3BF58BFF}" presName="level2Shape" presStyleLbl="node2" presStyleIdx="0" presStyleCnt="2"/>
      <dgm:spPr/>
      <dgm:t>
        <a:bodyPr/>
        <a:lstStyle/>
        <a:p>
          <a:endParaRPr lang="en-US"/>
        </a:p>
      </dgm:t>
    </dgm:pt>
    <dgm:pt modelId="{42ABD5A4-EB92-49BF-BB66-E92DD80DD378}" type="pres">
      <dgm:prSet presAssocID="{0401B22D-4BDC-4C3E-ABE1-1BAE3BF58BFF}" presName="hierChild3" presStyleCnt="0"/>
      <dgm:spPr/>
    </dgm:pt>
    <dgm:pt modelId="{1C47AF92-D28F-444D-AD86-D5DCF4A54614}" type="pres">
      <dgm:prSet presAssocID="{F7D4F634-8492-42C8-A663-9A622697674A}" presName="Name19" presStyleLbl="parChTrans1D2" presStyleIdx="1" presStyleCnt="2"/>
      <dgm:spPr/>
      <dgm:t>
        <a:bodyPr/>
        <a:lstStyle/>
        <a:p>
          <a:endParaRPr lang="en-US"/>
        </a:p>
      </dgm:t>
    </dgm:pt>
    <dgm:pt modelId="{ED8E1151-9448-4471-A004-7241C62D20BE}" type="pres">
      <dgm:prSet presAssocID="{004683A0-D78B-437E-A9EE-F739698B08D7}" presName="Name21" presStyleCnt="0"/>
      <dgm:spPr/>
    </dgm:pt>
    <dgm:pt modelId="{41BFCA2C-B3DF-4EDC-80EE-66D2D5361267}" type="pres">
      <dgm:prSet presAssocID="{004683A0-D78B-437E-A9EE-F739698B08D7}" presName="level2Shape" presStyleLbl="node2" presStyleIdx="1" presStyleCnt="2"/>
      <dgm:spPr/>
      <dgm:t>
        <a:bodyPr/>
        <a:lstStyle/>
        <a:p>
          <a:endParaRPr lang="en-US"/>
        </a:p>
      </dgm:t>
    </dgm:pt>
    <dgm:pt modelId="{76B53F6D-8DC2-4B6C-A22A-34F0B83951EB}" type="pres">
      <dgm:prSet presAssocID="{004683A0-D78B-437E-A9EE-F739698B08D7}" presName="hierChild3" presStyleCnt="0"/>
      <dgm:spPr/>
    </dgm:pt>
    <dgm:pt modelId="{DD023A7B-5A93-4023-BAED-80FF16C0BAAF}" type="pres">
      <dgm:prSet presAssocID="{E1E2A75D-1E81-4BB8-8EF0-76FF63554196}" presName="bgShapesFlow" presStyleCnt="0"/>
      <dgm:spPr/>
    </dgm:pt>
  </dgm:ptLst>
  <dgm:cxnLst>
    <dgm:cxn modelId="{833AF9F0-1BA2-4F41-B548-3C5F3C63A962}" srcId="{E1E2A75D-1E81-4BB8-8EF0-76FF63554196}" destId="{D1A67B0A-7D14-44A8-A3B8-9AC416B42F98}" srcOrd="0" destOrd="0" parTransId="{006C99FC-AB1D-4DDD-ADF5-A288C0371711}" sibTransId="{65E8D0FC-8012-423A-92B4-3F88EF6D1F6E}"/>
    <dgm:cxn modelId="{66D8ABAB-0358-4DB3-8D7B-252D2CB6E878}" type="presOf" srcId="{D1A67B0A-7D14-44A8-A3B8-9AC416B42F98}" destId="{8E64F21B-DA8A-4280-A891-3FF5930DEE4C}" srcOrd="0" destOrd="0" presId="urn:microsoft.com/office/officeart/2005/8/layout/hierarchy6"/>
    <dgm:cxn modelId="{A64AC567-852B-4726-99C5-FCEE83520818}" type="presOf" srcId="{0401B22D-4BDC-4C3E-ABE1-1BAE3BF58BFF}" destId="{ED512933-AAEC-4B24-BA03-FB91E783CCEC}" srcOrd="0" destOrd="0" presId="urn:microsoft.com/office/officeart/2005/8/layout/hierarchy6"/>
    <dgm:cxn modelId="{3E253073-E55A-4FB2-A6EF-6097BA2249A0}" type="presOf" srcId="{E1E2A75D-1E81-4BB8-8EF0-76FF63554196}" destId="{3C06DD4F-C1E6-4C6E-A680-6107CC263EC1}" srcOrd="0" destOrd="0" presId="urn:microsoft.com/office/officeart/2005/8/layout/hierarchy6"/>
    <dgm:cxn modelId="{AEAF097C-EF10-4819-B026-01CE5760DE39}" type="presOf" srcId="{5D5787B0-8287-40F0-A1FB-995EEEA01C5B}" destId="{3DEA9E30-AC24-47FA-AF97-CBC13442B1E8}" srcOrd="0" destOrd="0" presId="urn:microsoft.com/office/officeart/2005/8/layout/hierarchy6"/>
    <dgm:cxn modelId="{C2EA9727-BDB7-4E6D-91F8-F456623BA273}" srcId="{D1A67B0A-7D14-44A8-A3B8-9AC416B42F98}" destId="{0401B22D-4BDC-4C3E-ABE1-1BAE3BF58BFF}" srcOrd="0" destOrd="0" parTransId="{5D5787B0-8287-40F0-A1FB-995EEEA01C5B}" sibTransId="{6A29C9CC-3D75-4862-AD77-E614A3F1C5E9}"/>
    <dgm:cxn modelId="{775DD638-7AB9-400C-A74A-F85AA155BBA8}" srcId="{D1A67B0A-7D14-44A8-A3B8-9AC416B42F98}" destId="{004683A0-D78B-437E-A9EE-F739698B08D7}" srcOrd="1" destOrd="0" parTransId="{F7D4F634-8492-42C8-A663-9A622697674A}" sibTransId="{1F780FE4-F939-4BE4-B669-0ED728D8804E}"/>
    <dgm:cxn modelId="{FF464227-60FC-4A10-ABF8-04F5B06CB308}" type="presOf" srcId="{F7D4F634-8492-42C8-A663-9A622697674A}" destId="{1C47AF92-D28F-444D-AD86-D5DCF4A54614}" srcOrd="0" destOrd="0" presId="urn:microsoft.com/office/officeart/2005/8/layout/hierarchy6"/>
    <dgm:cxn modelId="{1917530F-7CBD-4560-82B8-6819B10E6F8F}" type="presOf" srcId="{004683A0-D78B-437E-A9EE-F739698B08D7}" destId="{41BFCA2C-B3DF-4EDC-80EE-66D2D5361267}" srcOrd="0" destOrd="0" presId="urn:microsoft.com/office/officeart/2005/8/layout/hierarchy6"/>
    <dgm:cxn modelId="{1D9A5482-85EE-409E-935E-57A4D43D0849}" type="presParOf" srcId="{3C06DD4F-C1E6-4C6E-A680-6107CC263EC1}" destId="{804415DD-9096-417F-82C8-94BCCF1AFDED}" srcOrd="0" destOrd="0" presId="urn:microsoft.com/office/officeart/2005/8/layout/hierarchy6"/>
    <dgm:cxn modelId="{80D701E3-121B-49FA-AF73-D5DF31BF0F45}" type="presParOf" srcId="{804415DD-9096-417F-82C8-94BCCF1AFDED}" destId="{CF4A3264-A47B-4FCD-9F15-B881ECCF597D}" srcOrd="0" destOrd="0" presId="urn:microsoft.com/office/officeart/2005/8/layout/hierarchy6"/>
    <dgm:cxn modelId="{7A8951F0-BC04-4101-A151-CE7A31431E7E}" type="presParOf" srcId="{CF4A3264-A47B-4FCD-9F15-B881ECCF597D}" destId="{335D6F66-7F6A-46F9-97CC-F0977DCAD812}" srcOrd="0" destOrd="0" presId="urn:microsoft.com/office/officeart/2005/8/layout/hierarchy6"/>
    <dgm:cxn modelId="{6943F37A-EE60-4F8F-A490-B6ED23A4145C}" type="presParOf" srcId="{335D6F66-7F6A-46F9-97CC-F0977DCAD812}" destId="{8E64F21B-DA8A-4280-A891-3FF5930DEE4C}" srcOrd="0" destOrd="0" presId="urn:microsoft.com/office/officeart/2005/8/layout/hierarchy6"/>
    <dgm:cxn modelId="{81D007D1-0076-450D-A701-43DAD9AC1A94}" type="presParOf" srcId="{335D6F66-7F6A-46F9-97CC-F0977DCAD812}" destId="{A453C5BE-05DD-412E-BA2D-F0A752083FFA}" srcOrd="1" destOrd="0" presId="urn:microsoft.com/office/officeart/2005/8/layout/hierarchy6"/>
    <dgm:cxn modelId="{33C0B346-641C-4CF4-92A1-B72CA9575CDD}" type="presParOf" srcId="{A453C5BE-05DD-412E-BA2D-F0A752083FFA}" destId="{3DEA9E30-AC24-47FA-AF97-CBC13442B1E8}" srcOrd="0" destOrd="0" presId="urn:microsoft.com/office/officeart/2005/8/layout/hierarchy6"/>
    <dgm:cxn modelId="{75773E07-21DA-4A74-B70E-C1F5BF78B36E}" type="presParOf" srcId="{A453C5BE-05DD-412E-BA2D-F0A752083FFA}" destId="{7AD695FE-A2EA-4670-AFEC-73BACACF65FB}" srcOrd="1" destOrd="0" presId="urn:microsoft.com/office/officeart/2005/8/layout/hierarchy6"/>
    <dgm:cxn modelId="{0378BF09-9FEA-4808-A492-CF7EB3F45553}" type="presParOf" srcId="{7AD695FE-A2EA-4670-AFEC-73BACACF65FB}" destId="{ED512933-AAEC-4B24-BA03-FB91E783CCEC}" srcOrd="0" destOrd="0" presId="urn:microsoft.com/office/officeart/2005/8/layout/hierarchy6"/>
    <dgm:cxn modelId="{910653E8-DC8C-4453-AB5C-0F942CA54530}" type="presParOf" srcId="{7AD695FE-A2EA-4670-AFEC-73BACACF65FB}" destId="{42ABD5A4-EB92-49BF-BB66-E92DD80DD378}" srcOrd="1" destOrd="0" presId="urn:microsoft.com/office/officeart/2005/8/layout/hierarchy6"/>
    <dgm:cxn modelId="{B87A2243-E660-477C-8317-9F265348ECC5}" type="presParOf" srcId="{A453C5BE-05DD-412E-BA2D-F0A752083FFA}" destId="{1C47AF92-D28F-444D-AD86-D5DCF4A54614}" srcOrd="2" destOrd="0" presId="urn:microsoft.com/office/officeart/2005/8/layout/hierarchy6"/>
    <dgm:cxn modelId="{6356E3AF-F5A8-4AC8-A05E-FC051A503FB8}" type="presParOf" srcId="{A453C5BE-05DD-412E-BA2D-F0A752083FFA}" destId="{ED8E1151-9448-4471-A004-7241C62D20BE}" srcOrd="3" destOrd="0" presId="urn:microsoft.com/office/officeart/2005/8/layout/hierarchy6"/>
    <dgm:cxn modelId="{8528A029-4454-4839-8CD8-1547A0ED090D}" type="presParOf" srcId="{ED8E1151-9448-4471-A004-7241C62D20BE}" destId="{41BFCA2C-B3DF-4EDC-80EE-66D2D5361267}" srcOrd="0" destOrd="0" presId="urn:microsoft.com/office/officeart/2005/8/layout/hierarchy6"/>
    <dgm:cxn modelId="{12013B5B-25D1-43D7-9707-0A0C71D5AAED}" type="presParOf" srcId="{ED8E1151-9448-4471-A004-7241C62D20BE}" destId="{76B53F6D-8DC2-4B6C-A22A-34F0B83951EB}" srcOrd="1" destOrd="0" presId="urn:microsoft.com/office/officeart/2005/8/layout/hierarchy6"/>
    <dgm:cxn modelId="{47A6EC24-4D68-480F-859A-E93A9F91517B}" type="presParOf" srcId="{3C06DD4F-C1E6-4C6E-A680-6107CC263EC1}" destId="{DD023A7B-5A93-4023-BAED-80FF16C0BAAF}" srcOrd="1" destOrd="0" presId="urn:microsoft.com/office/officeart/2005/8/layout/hierarchy6"/>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64F21B-DA8A-4280-A891-3FF5930DEE4C}">
      <dsp:nvSpPr>
        <dsp:cNvPr id="0" name=""/>
        <dsp:cNvSpPr/>
      </dsp:nvSpPr>
      <dsp:spPr>
        <a:xfrm>
          <a:off x="1090844" y="0"/>
          <a:ext cx="2186201" cy="6235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128 Study Participants</a:t>
          </a:r>
        </a:p>
      </dsp:txBody>
      <dsp:txXfrm>
        <a:off x="1109107" y="18263"/>
        <a:ext cx="2149675" cy="587034"/>
      </dsp:txXfrm>
    </dsp:sp>
    <dsp:sp modelId="{3DEA9E30-AC24-47FA-AF97-CBC13442B1E8}">
      <dsp:nvSpPr>
        <dsp:cNvPr id="0" name=""/>
        <dsp:cNvSpPr/>
      </dsp:nvSpPr>
      <dsp:spPr>
        <a:xfrm>
          <a:off x="1638096" y="623560"/>
          <a:ext cx="545848" cy="174176"/>
        </a:xfrm>
        <a:custGeom>
          <a:avLst/>
          <a:gdLst/>
          <a:ahLst/>
          <a:cxnLst/>
          <a:rect l="0" t="0" r="0" b="0"/>
          <a:pathLst>
            <a:path>
              <a:moveTo>
                <a:pt x="545848" y="0"/>
              </a:moveTo>
              <a:lnTo>
                <a:pt x="545848" y="87088"/>
              </a:lnTo>
              <a:lnTo>
                <a:pt x="0" y="87088"/>
              </a:lnTo>
              <a:lnTo>
                <a:pt x="0" y="174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512933-AAEC-4B24-BA03-FB91E783CCEC}">
      <dsp:nvSpPr>
        <dsp:cNvPr id="0" name=""/>
        <dsp:cNvSpPr/>
      </dsp:nvSpPr>
      <dsp:spPr>
        <a:xfrm>
          <a:off x="1313113" y="797736"/>
          <a:ext cx="649966" cy="4333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64 Primary Care</a:t>
          </a:r>
        </a:p>
      </dsp:txBody>
      <dsp:txXfrm>
        <a:off x="1325804" y="810427"/>
        <a:ext cx="624584" cy="407929"/>
      </dsp:txXfrm>
    </dsp:sp>
    <dsp:sp modelId="{1C47AF92-D28F-444D-AD86-D5DCF4A54614}">
      <dsp:nvSpPr>
        <dsp:cNvPr id="0" name=""/>
        <dsp:cNvSpPr/>
      </dsp:nvSpPr>
      <dsp:spPr>
        <a:xfrm>
          <a:off x="2183945" y="623560"/>
          <a:ext cx="299108" cy="174176"/>
        </a:xfrm>
        <a:custGeom>
          <a:avLst/>
          <a:gdLst/>
          <a:ahLst/>
          <a:cxnLst/>
          <a:rect l="0" t="0" r="0" b="0"/>
          <a:pathLst>
            <a:path>
              <a:moveTo>
                <a:pt x="0" y="0"/>
              </a:moveTo>
              <a:lnTo>
                <a:pt x="0" y="87088"/>
              </a:lnTo>
              <a:lnTo>
                <a:pt x="299108" y="87088"/>
              </a:lnTo>
              <a:lnTo>
                <a:pt x="299108" y="174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BFCA2C-B3DF-4EDC-80EE-66D2D5361267}">
      <dsp:nvSpPr>
        <dsp:cNvPr id="0" name=""/>
        <dsp:cNvSpPr/>
      </dsp:nvSpPr>
      <dsp:spPr>
        <a:xfrm>
          <a:off x="2158069" y="797736"/>
          <a:ext cx="649966" cy="4333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64 OBGYN</a:t>
          </a:r>
        </a:p>
      </dsp:txBody>
      <dsp:txXfrm>
        <a:off x="2170760" y="810427"/>
        <a:ext cx="624584" cy="4079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F82C0DE-7799-49A8-BDBD-73B57737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2</cp:revision>
  <cp:lastPrinted>2019-07-30T22:31:00Z</cp:lastPrinted>
  <dcterms:created xsi:type="dcterms:W3CDTF">2019-11-14T18:14:00Z</dcterms:created>
  <dcterms:modified xsi:type="dcterms:W3CDTF">2019-11-14T18:14:00Z</dcterms:modified>
</cp:coreProperties>
</file>