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60F31A" w14:textId="42298C40" w:rsidR="0048246C" w:rsidRPr="009E2ECF" w:rsidRDefault="00BF1803" w:rsidP="00BF1803">
      <w:pPr>
        <w:jc w:val="center"/>
        <w:rPr>
          <w:b/>
        </w:rPr>
      </w:pPr>
      <w:bookmarkStart w:id="0" w:name="_GoBack"/>
      <w:bookmarkEnd w:id="0"/>
      <w:r w:rsidRPr="009E2ECF">
        <w:rPr>
          <w:b/>
        </w:rPr>
        <w:t>SUPPORTING STATEMENT</w:t>
      </w:r>
      <w:r w:rsidR="0048246C" w:rsidRPr="009E2ECF">
        <w:rPr>
          <w:b/>
        </w:rPr>
        <w:t xml:space="preserve"> </w:t>
      </w:r>
    </w:p>
    <w:p w14:paraId="255B09F5" w14:textId="34280715" w:rsidR="0048246C" w:rsidRPr="00BF1803" w:rsidRDefault="0048246C" w:rsidP="00BF1803">
      <w:pPr>
        <w:jc w:val="center"/>
        <w:rPr>
          <w:b/>
        </w:rPr>
      </w:pPr>
      <w:r w:rsidRPr="00BF1803">
        <w:rPr>
          <w:b/>
        </w:rPr>
        <w:t>Approval of a newly approved data collection without an OMB control number for the National Use-of-Force</w:t>
      </w:r>
      <w:r w:rsidR="00BF1803">
        <w:rPr>
          <w:b/>
        </w:rPr>
        <w:t xml:space="preserve"> (UoF)</w:t>
      </w:r>
      <w:r w:rsidRPr="00BF1803">
        <w:rPr>
          <w:b/>
        </w:rPr>
        <w:t xml:space="preserve"> Data Collection</w:t>
      </w:r>
    </w:p>
    <w:p w14:paraId="3099C9DB" w14:textId="77777777" w:rsidR="00CF534E" w:rsidRPr="00A02298" w:rsidRDefault="00F268ED">
      <w:pPr>
        <w:rPr>
          <w:b/>
          <w:bCs/>
        </w:rPr>
      </w:pPr>
      <w:r>
        <w:rPr>
          <w:b/>
          <w:bCs/>
        </w:rPr>
        <w:t>OMB Control #</w:t>
      </w:r>
    </w:p>
    <w:p w14:paraId="16E1A5D6" w14:textId="77777777" w:rsidR="004E786C" w:rsidRPr="00A02298" w:rsidRDefault="004E786C"/>
    <w:p w14:paraId="69A3BCF6" w14:textId="77777777" w:rsidR="00CF534E" w:rsidRPr="00A02298" w:rsidRDefault="00CF534E">
      <w:r w:rsidRPr="00A02298">
        <w:t xml:space="preserve">Part A. </w:t>
      </w:r>
      <w:r w:rsidR="00097654" w:rsidRPr="00A02298">
        <w:t xml:space="preserve"> </w:t>
      </w:r>
      <w:r w:rsidRPr="00A02298">
        <w:t>Justification</w:t>
      </w:r>
    </w:p>
    <w:p w14:paraId="49950860" w14:textId="77777777" w:rsidR="00CF534E" w:rsidRPr="00A02298" w:rsidRDefault="00CF534E"/>
    <w:p w14:paraId="756F3100" w14:textId="4EF64838" w:rsidR="00CF534E" w:rsidRPr="00A02298" w:rsidRDefault="00CF534E">
      <w:r w:rsidRPr="00A02298">
        <w:t xml:space="preserve">1.  </w:t>
      </w:r>
      <w:r w:rsidRPr="00595985">
        <w:rPr>
          <w:u w:val="single"/>
        </w:rPr>
        <w:t>Necessity of Information</w:t>
      </w:r>
      <w:r w:rsidRPr="00A02298">
        <w:t xml:space="preserve"> </w:t>
      </w:r>
    </w:p>
    <w:p w14:paraId="45B7BCF1" w14:textId="77777777" w:rsidR="00CF534E" w:rsidRPr="00A02298" w:rsidRDefault="00CF534E"/>
    <w:p w14:paraId="34D851C7" w14:textId="21317574" w:rsidR="0048246C" w:rsidRPr="00A02298" w:rsidRDefault="0048246C" w:rsidP="0048246C">
      <w:pPr>
        <w:pStyle w:val="ListParagraph"/>
        <w:ind w:left="360"/>
        <w:rPr>
          <w:rFonts w:ascii="Times New Roman" w:hAnsi="Times New Roman"/>
          <w:sz w:val="24"/>
          <w:szCs w:val="24"/>
        </w:rPr>
      </w:pPr>
      <w:r w:rsidRPr="00A02298">
        <w:rPr>
          <w:rFonts w:ascii="Times New Roman" w:eastAsia="Times New Roman" w:hAnsi="Times New Roman"/>
          <w:color w:val="000000"/>
          <w:kern w:val="28"/>
          <w:sz w:val="24"/>
          <w:szCs w:val="24"/>
        </w:rPr>
        <w:t xml:space="preserve">Police-involved shootings and use of force have long been topics of national discussion, but a number of high-profile cases in which subjects died or were injured during arrests have heightened awareness of these incidents in recent years. The opportunity to analyze information related to use-of-force incidents and to have an informed dialogue is hindered by the lack of nationwide statistics. </w:t>
      </w:r>
      <w:r w:rsidRPr="00A02298">
        <w:rPr>
          <w:rFonts w:ascii="Times New Roman" w:hAnsi="Times New Roman"/>
          <w:sz w:val="24"/>
          <w:szCs w:val="24"/>
        </w:rPr>
        <w:t xml:space="preserve">The National </w:t>
      </w:r>
      <w:r w:rsidR="00BF1803">
        <w:rPr>
          <w:rFonts w:ascii="Times New Roman" w:hAnsi="Times New Roman"/>
          <w:sz w:val="24"/>
          <w:szCs w:val="24"/>
        </w:rPr>
        <w:t>UoF</w:t>
      </w:r>
      <w:r w:rsidRPr="00A02298">
        <w:rPr>
          <w:rFonts w:ascii="Times New Roman" w:hAnsi="Times New Roman"/>
          <w:sz w:val="24"/>
          <w:szCs w:val="24"/>
        </w:rPr>
        <w:t xml:space="preserve"> Data Collection will facilitate important conversations with communities regarding law enforcement actions in relation to decisions to use force, and works in concert with recommendations from </w:t>
      </w:r>
      <w:r w:rsidR="00BF1803">
        <w:rPr>
          <w:rFonts w:ascii="Times New Roman" w:hAnsi="Times New Roman"/>
          <w:sz w:val="24"/>
          <w:szCs w:val="24"/>
        </w:rPr>
        <w:t>former</w:t>
      </w:r>
      <w:r w:rsidRPr="00A02298">
        <w:rPr>
          <w:rFonts w:ascii="Times New Roman" w:hAnsi="Times New Roman"/>
          <w:sz w:val="24"/>
          <w:szCs w:val="24"/>
        </w:rPr>
        <w:t xml:space="preserve"> President</w:t>
      </w:r>
      <w:r w:rsidR="00BF1803">
        <w:rPr>
          <w:rFonts w:ascii="Times New Roman" w:hAnsi="Times New Roman"/>
          <w:sz w:val="24"/>
          <w:szCs w:val="24"/>
        </w:rPr>
        <w:t xml:space="preserve"> Barack Obama’s</w:t>
      </w:r>
      <w:r w:rsidRPr="00A02298">
        <w:rPr>
          <w:rFonts w:ascii="Times New Roman" w:hAnsi="Times New Roman"/>
          <w:sz w:val="24"/>
          <w:szCs w:val="24"/>
        </w:rPr>
        <w:t xml:space="preserve"> Task Force on 21</w:t>
      </w:r>
      <w:r w:rsidRPr="00A02298">
        <w:rPr>
          <w:rFonts w:ascii="Times New Roman" w:hAnsi="Times New Roman"/>
          <w:sz w:val="24"/>
          <w:szCs w:val="24"/>
          <w:vertAlign w:val="superscript"/>
        </w:rPr>
        <w:t>st</w:t>
      </w:r>
      <w:r w:rsidRPr="00A02298">
        <w:rPr>
          <w:rFonts w:ascii="Times New Roman" w:hAnsi="Times New Roman"/>
          <w:sz w:val="24"/>
          <w:szCs w:val="24"/>
        </w:rPr>
        <w:t xml:space="preserve"> Century Policing.  Given a growing desire among law enforcement organizations to increase their own transparency and embrace principles of procedural justice, this collection expand</w:t>
      </w:r>
      <w:r w:rsidR="00BA0E5F">
        <w:rPr>
          <w:rFonts w:ascii="Times New Roman" w:hAnsi="Times New Roman"/>
          <w:sz w:val="24"/>
          <w:szCs w:val="24"/>
        </w:rPr>
        <w:t>s</w:t>
      </w:r>
      <w:r w:rsidRPr="00A02298">
        <w:rPr>
          <w:rFonts w:ascii="Times New Roman" w:hAnsi="Times New Roman"/>
          <w:sz w:val="24"/>
          <w:szCs w:val="24"/>
        </w:rPr>
        <w:t xml:space="preserve"> the measure to a broader scope of Use-of-Force incidents to include nonfatal instances.</w:t>
      </w:r>
    </w:p>
    <w:p w14:paraId="69C60C2B" w14:textId="77777777" w:rsidR="0048246C" w:rsidRPr="00A02298" w:rsidRDefault="0048246C" w:rsidP="0048246C">
      <w:pPr>
        <w:pStyle w:val="ListParagraph"/>
        <w:ind w:left="360"/>
        <w:rPr>
          <w:rFonts w:ascii="Times New Roman" w:hAnsi="Times New Roman"/>
          <w:sz w:val="24"/>
          <w:szCs w:val="24"/>
        </w:rPr>
      </w:pPr>
    </w:p>
    <w:p w14:paraId="6DCDB565" w14:textId="0173B14C" w:rsidR="0048246C" w:rsidRPr="00A02298" w:rsidRDefault="0048246C" w:rsidP="0048246C">
      <w:pPr>
        <w:pStyle w:val="ListParagraph"/>
        <w:ind w:left="360"/>
        <w:rPr>
          <w:rFonts w:ascii="Times New Roman" w:hAnsi="Times New Roman"/>
          <w:sz w:val="24"/>
          <w:szCs w:val="24"/>
        </w:rPr>
      </w:pPr>
      <w:r w:rsidRPr="00A02298">
        <w:rPr>
          <w:rFonts w:ascii="Times New Roman" w:hAnsi="Times New Roman"/>
          <w:sz w:val="24"/>
          <w:szCs w:val="24"/>
        </w:rPr>
        <w:t xml:space="preserve">There is no legal mandate to participate in this collection; however, the Federal Bureau of Investigation (FBI) vetted this topic through its Criminal Justice Information Services (CJIS) Advisory Policy Board (APB) for approval.  The CJIS APB is a committee comprised of representatives from the law enforcement and criminal justice communities who advise the FBI Director on matters related to the criminal justice information systems the CJIS Division manages.  The APB meets semi-annually and provides recommended actions on policy and technical issues, to include the Uniform Crime Reporting (UCR) Program.  On December 3, 2015, the CJIS APB made the following recommendations </w:t>
      </w:r>
      <w:r w:rsidR="00BA0E5F">
        <w:rPr>
          <w:rFonts w:ascii="Times New Roman" w:hAnsi="Times New Roman"/>
          <w:sz w:val="24"/>
          <w:szCs w:val="24"/>
        </w:rPr>
        <w:t>which</w:t>
      </w:r>
      <w:r w:rsidRPr="00A02298">
        <w:rPr>
          <w:rFonts w:ascii="Times New Roman" w:hAnsi="Times New Roman"/>
          <w:sz w:val="24"/>
          <w:szCs w:val="24"/>
        </w:rPr>
        <w:t xml:space="preserve"> were signed by</w:t>
      </w:r>
      <w:r w:rsidR="00BF1803">
        <w:rPr>
          <w:rFonts w:ascii="Times New Roman" w:hAnsi="Times New Roman"/>
          <w:sz w:val="24"/>
          <w:szCs w:val="24"/>
        </w:rPr>
        <w:t xml:space="preserve"> then</w:t>
      </w:r>
      <w:r w:rsidRPr="00A02298">
        <w:rPr>
          <w:rFonts w:ascii="Times New Roman" w:hAnsi="Times New Roman"/>
          <w:sz w:val="24"/>
          <w:szCs w:val="24"/>
        </w:rPr>
        <w:t xml:space="preserve"> FBI Director James B. Comey in February 2016.</w:t>
      </w:r>
    </w:p>
    <w:p w14:paraId="07B4D37D" w14:textId="77777777" w:rsidR="0048246C" w:rsidRPr="00A02298" w:rsidRDefault="0048246C" w:rsidP="0048246C">
      <w:pPr>
        <w:pStyle w:val="ListParagraph"/>
        <w:ind w:left="360"/>
        <w:rPr>
          <w:rFonts w:ascii="Times New Roman" w:hAnsi="Times New Roman"/>
          <w:sz w:val="24"/>
          <w:szCs w:val="24"/>
        </w:rPr>
      </w:pPr>
    </w:p>
    <w:p w14:paraId="3F221630" w14:textId="77777777" w:rsidR="0048246C" w:rsidRPr="00A02298" w:rsidRDefault="0048246C" w:rsidP="0048246C">
      <w:pPr>
        <w:pStyle w:val="ListParagraph"/>
        <w:ind w:left="360"/>
        <w:rPr>
          <w:rFonts w:ascii="Times New Roman" w:hAnsi="Times New Roman"/>
          <w:b/>
          <w:sz w:val="24"/>
          <w:szCs w:val="24"/>
        </w:rPr>
      </w:pPr>
      <w:r w:rsidRPr="00A02298">
        <w:rPr>
          <w:rFonts w:ascii="Times New Roman" w:hAnsi="Times New Roman"/>
          <w:b/>
          <w:sz w:val="24"/>
          <w:szCs w:val="24"/>
        </w:rPr>
        <w:t>APB Recommendation 1</w:t>
      </w:r>
    </w:p>
    <w:p w14:paraId="19B9F69F" w14:textId="77777777" w:rsidR="0048246C" w:rsidRPr="00A02298" w:rsidRDefault="0048246C" w:rsidP="0048246C">
      <w:pPr>
        <w:pStyle w:val="ListParagraph"/>
        <w:ind w:left="360"/>
        <w:rPr>
          <w:rFonts w:ascii="Times New Roman" w:hAnsi="Times New Roman"/>
          <w:b/>
          <w:sz w:val="24"/>
          <w:szCs w:val="24"/>
        </w:rPr>
      </w:pPr>
    </w:p>
    <w:p w14:paraId="0E36FAAC" w14:textId="77777777" w:rsidR="0048246C" w:rsidRPr="00A02298" w:rsidRDefault="0048246C" w:rsidP="0048246C">
      <w:pPr>
        <w:pStyle w:val="ListParagraph"/>
        <w:ind w:left="360"/>
        <w:rPr>
          <w:rFonts w:ascii="Times New Roman" w:hAnsi="Times New Roman"/>
          <w:sz w:val="24"/>
          <w:szCs w:val="24"/>
        </w:rPr>
      </w:pPr>
      <w:r w:rsidRPr="00A02298">
        <w:rPr>
          <w:rFonts w:ascii="Times New Roman" w:hAnsi="Times New Roman"/>
          <w:sz w:val="24"/>
          <w:szCs w:val="24"/>
        </w:rPr>
        <w:t xml:space="preserve">“The APB recommends the collection and reporting of use of force by a law enforcement officer (as defined by LEOKA) to the FBI.  The collection and reporting would include use of force that results in the death or serious bodily injury of a person, as well as when a law enforcement officer discharges a firearm at or in the direction of a person.  The definition of serious bodily injury will be based, in part, upon 18 USC Section 2246 (4).  The term ‘serious bodily injury’ means bodily injury that involves a substantial risk of death, unconsciousness, protracted and obvious disfigurement, or protracted loss or impairment of the function of a bodily member, organ, or mental faculty.” </w:t>
      </w:r>
    </w:p>
    <w:p w14:paraId="6E3B41D8" w14:textId="77777777" w:rsidR="0048246C" w:rsidRPr="00A02298" w:rsidRDefault="0048246C" w:rsidP="0048246C">
      <w:pPr>
        <w:pStyle w:val="ListParagraph"/>
        <w:ind w:left="360"/>
        <w:rPr>
          <w:rFonts w:ascii="Times New Roman" w:hAnsi="Times New Roman"/>
          <w:sz w:val="24"/>
          <w:szCs w:val="24"/>
        </w:rPr>
      </w:pPr>
    </w:p>
    <w:p w14:paraId="7259DF7F" w14:textId="77777777" w:rsidR="0048246C" w:rsidRPr="00A02298" w:rsidRDefault="0048246C" w:rsidP="0048246C">
      <w:pPr>
        <w:pStyle w:val="ListParagraph"/>
        <w:ind w:left="360"/>
        <w:rPr>
          <w:rFonts w:ascii="Times New Roman" w:hAnsi="Times New Roman"/>
          <w:b/>
          <w:sz w:val="24"/>
          <w:szCs w:val="24"/>
        </w:rPr>
      </w:pPr>
      <w:r w:rsidRPr="00A02298">
        <w:rPr>
          <w:rFonts w:ascii="Times New Roman" w:hAnsi="Times New Roman"/>
          <w:b/>
          <w:sz w:val="24"/>
          <w:szCs w:val="24"/>
        </w:rPr>
        <w:lastRenderedPageBreak/>
        <w:t>APB Recommendation 2</w:t>
      </w:r>
    </w:p>
    <w:p w14:paraId="7CDFF7DB" w14:textId="77777777" w:rsidR="0048246C" w:rsidRPr="00A02298" w:rsidRDefault="0048246C" w:rsidP="0048246C">
      <w:pPr>
        <w:pStyle w:val="ListParagraph"/>
        <w:ind w:left="360"/>
        <w:rPr>
          <w:rFonts w:ascii="Times New Roman" w:hAnsi="Times New Roman"/>
          <w:b/>
          <w:sz w:val="24"/>
          <w:szCs w:val="24"/>
        </w:rPr>
      </w:pPr>
    </w:p>
    <w:p w14:paraId="37347BFA" w14:textId="77777777" w:rsidR="0048246C" w:rsidRPr="00A02298" w:rsidRDefault="0048246C" w:rsidP="0048246C">
      <w:pPr>
        <w:pStyle w:val="ListParagraph"/>
        <w:ind w:left="360"/>
        <w:rPr>
          <w:rFonts w:ascii="Times New Roman" w:hAnsi="Times New Roman"/>
          <w:sz w:val="24"/>
          <w:szCs w:val="24"/>
        </w:rPr>
      </w:pPr>
      <w:r w:rsidRPr="00A02298">
        <w:rPr>
          <w:rFonts w:ascii="Times New Roman" w:hAnsi="Times New Roman"/>
          <w:sz w:val="24"/>
          <w:szCs w:val="24"/>
        </w:rPr>
        <w:t>“The APB recommends collection of data elements included in the DICRA and other data elements as determined by a Task Force, to include at a minimum:</w:t>
      </w:r>
    </w:p>
    <w:p w14:paraId="7385038E" w14:textId="77777777" w:rsidR="0048246C" w:rsidRPr="00A02298" w:rsidRDefault="0048246C" w:rsidP="0048246C">
      <w:pPr>
        <w:pStyle w:val="ListParagraph"/>
        <w:numPr>
          <w:ilvl w:val="0"/>
          <w:numId w:val="1"/>
        </w:numPr>
        <w:ind w:left="1260" w:hanging="360"/>
        <w:rPr>
          <w:rFonts w:ascii="Times New Roman" w:hAnsi="Times New Roman"/>
          <w:sz w:val="24"/>
          <w:szCs w:val="24"/>
        </w:rPr>
      </w:pPr>
      <w:r w:rsidRPr="00A02298">
        <w:rPr>
          <w:rFonts w:ascii="Times New Roman" w:hAnsi="Times New Roman"/>
          <w:sz w:val="24"/>
          <w:szCs w:val="24"/>
        </w:rPr>
        <w:t>Age, sex, race, ethnicity, height, and weight of the officer(s)</w:t>
      </w:r>
    </w:p>
    <w:p w14:paraId="50E64157" w14:textId="77777777" w:rsidR="0048246C" w:rsidRPr="00A02298" w:rsidRDefault="0048246C" w:rsidP="0048246C">
      <w:pPr>
        <w:pStyle w:val="ListParagraph"/>
        <w:numPr>
          <w:ilvl w:val="0"/>
          <w:numId w:val="1"/>
        </w:numPr>
        <w:ind w:left="1260" w:hanging="360"/>
        <w:rPr>
          <w:rFonts w:ascii="Times New Roman" w:hAnsi="Times New Roman"/>
          <w:sz w:val="24"/>
          <w:szCs w:val="24"/>
        </w:rPr>
      </w:pPr>
      <w:r w:rsidRPr="00A02298">
        <w:rPr>
          <w:rFonts w:ascii="Times New Roman" w:hAnsi="Times New Roman"/>
          <w:sz w:val="24"/>
          <w:szCs w:val="24"/>
        </w:rPr>
        <w:t>Age, sex, race, ethnicity, height, and weight of the subject(s)</w:t>
      </w:r>
    </w:p>
    <w:p w14:paraId="2C659008" w14:textId="77777777" w:rsidR="0048246C" w:rsidRPr="00A02298" w:rsidRDefault="0048246C" w:rsidP="0048246C">
      <w:pPr>
        <w:pStyle w:val="ListParagraph"/>
        <w:numPr>
          <w:ilvl w:val="0"/>
          <w:numId w:val="1"/>
        </w:numPr>
        <w:ind w:left="1260" w:hanging="360"/>
        <w:rPr>
          <w:rFonts w:ascii="Times New Roman" w:hAnsi="Times New Roman"/>
          <w:sz w:val="24"/>
          <w:szCs w:val="24"/>
        </w:rPr>
      </w:pPr>
      <w:r w:rsidRPr="00A02298">
        <w:rPr>
          <w:rFonts w:ascii="Times New Roman" w:hAnsi="Times New Roman"/>
          <w:sz w:val="24"/>
          <w:szCs w:val="24"/>
        </w:rPr>
        <w:t>Date and time of the incident</w:t>
      </w:r>
    </w:p>
    <w:p w14:paraId="4F534C2F" w14:textId="77777777" w:rsidR="0048246C" w:rsidRPr="00A02298" w:rsidRDefault="0048246C" w:rsidP="0048246C">
      <w:pPr>
        <w:pStyle w:val="ListParagraph"/>
        <w:numPr>
          <w:ilvl w:val="0"/>
          <w:numId w:val="1"/>
        </w:numPr>
        <w:ind w:left="1260" w:hanging="360"/>
        <w:rPr>
          <w:rFonts w:ascii="Times New Roman" w:hAnsi="Times New Roman"/>
          <w:sz w:val="24"/>
          <w:szCs w:val="24"/>
        </w:rPr>
      </w:pPr>
      <w:r w:rsidRPr="00A02298">
        <w:rPr>
          <w:rFonts w:ascii="Times New Roman" w:hAnsi="Times New Roman"/>
          <w:sz w:val="24"/>
          <w:szCs w:val="24"/>
        </w:rPr>
        <w:t>Location of the incident [location codes from the NIBRS]</w:t>
      </w:r>
    </w:p>
    <w:p w14:paraId="499E99A4" w14:textId="77777777" w:rsidR="0048246C" w:rsidRPr="00A02298" w:rsidRDefault="0048246C" w:rsidP="0048246C">
      <w:pPr>
        <w:pStyle w:val="ListParagraph"/>
        <w:numPr>
          <w:ilvl w:val="0"/>
          <w:numId w:val="1"/>
        </w:numPr>
        <w:ind w:left="1260" w:hanging="360"/>
        <w:rPr>
          <w:rFonts w:ascii="Times New Roman" w:hAnsi="Times New Roman"/>
          <w:sz w:val="24"/>
          <w:szCs w:val="24"/>
        </w:rPr>
      </w:pPr>
      <w:r w:rsidRPr="00A02298">
        <w:rPr>
          <w:rFonts w:ascii="Times New Roman" w:hAnsi="Times New Roman"/>
          <w:sz w:val="24"/>
          <w:szCs w:val="24"/>
        </w:rPr>
        <w:t>Injury/Death of subject(s) [gunshot wound/apparent broken bones/possible internal injury/severe laceration/loss of teeth/other major injury/death]</w:t>
      </w:r>
    </w:p>
    <w:p w14:paraId="6478F800" w14:textId="77777777" w:rsidR="0048246C" w:rsidRPr="00A02298" w:rsidRDefault="0048246C" w:rsidP="0048246C">
      <w:pPr>
        <w:pStyle w:val="ListParagraph"/>
        <w:numPr>
          <w:ilvl w:val="0"/>
          <w:numId w:val="1"/>
        </w:numPr>
        <w:ind w:left="1260" w:hanging="360"/>
        <w:rPr>
          <w:rFonts w:ascii="Times New Roman" w:hAnsi="Times New Roman"/>
          <w:sz w:val="24"/>
          <w:szCs w:val="24"/>
        </w:rPr>
      </w:pPr>
      <w:r w:rsidRPr="00A02298">
        <w:rPr>
          <w:rFonts w:ascii="Times New Roman" w:hAnsi="Times New Roman"/>
          <w:sz w:val="24"/>
          <w:szCs w:val="24"/>
        </w:rPr>
        <w:t>Officer(s) injured [yes/no]</w:t>
      </w:r>
    </w:p>
    <w:p w14:paraId="0FCF0686" w14:textId="77777777" w:rsidR="0048246C" w:rsidRPr="00A02298" w:rsidRDefault="0048246C" w:rsidP="0048246C">
      <w:pPr>
        <w:pStyle w:val="ListParagraph"/>
        <w:numPr>
          <w:ilvl w:val="0"/>
          <w:numId w:val="1"/>
        </w:numPr>
        <w:ind w:left="1260" w:hanging="360"/>
        <w:rPr>
          <w:rFonts w:ascii="Times New Roman" w:hAnsi="Times New Roman"/>
          <w:sz w:val="24"/>
          <w:szCs w:val="24"/>
        </w:rPr>
      </w:pPr>
      <w:r w:rsidRPr="00A02298">
        <w:rPr>
          <w:rFonts w:ascii="Times New Roman" w:hAnsi="Times New Roman"/>
          <w:sz w:val="24"/>
          <w:szCs w:val="24"/>
        </w:rPr>
        <w:t>Officer injury type(s) [apparent broken bones/possible internal injury/severe laceration/loss of teeth/other major injury/unconsciousness/death]</w:t>
      </w:r>
    </w:p>
    <w:p w14:paraId="1439F316" w14:textId="77777777" w:rsidR="0048246C" w:rsidRPr="00A02298" w:rsidRDefault="0048246C" w:rsidP="0048246C">
      <w:pPr>
        <w:pStyle w:val="ListParagraph"/>
        <w:numPr>
          <w:ilvl w:val="0"/>
          <w:numId w:val="1"/>
        </w:numPr>
        <w:ind w:left="1260" w:hanging="360"/>
        <w:rPr>
          <w:rFonts w:ascii="Times New Roman" w:hAnsi="Times New Roman"/>
          <w:sz w:val="24"/>
          <w:szCs w:val="24"/>
        </w:rPr>
      </w:pPr>
      <w:r w:rsidRPr="00A02298">
        <w:rPr>
          <w:rFonts w:ascii="Times New Roman" w:hAnsi="Times New Roman"/>
          <w:sz w:val="24"/>
          <w:szCs w:val="24"/>
        </w:rPr>
        <w:t>Reason for initial contact between subject and officer [request for response to criminal or suspicious activity/request for medical, mental health, or welfare assistance/routine patrol other than traffic stop/traffic stop/warrant service/other/unknown]</w:t>
      </w:r>
    </w:p>
    <w:p w14:paraId="0E2F5382" w14:textId="77777777" w:rsidR="0048246C" w:rsidRPr="00A02298" w:rsidRDefault="0048246C" w:rsidP="0048246C">
      <w:pPr>
        <w:pStyle w:val="ListParagraph"/>
        <w:numPr>
          <w:ilvl w:val="0"/>
          <w:numId w:val="1"/>
        </w:numPr>
        <w:ind w:left="1260" w:hanging="360"/>
        <w:rPr>
          <w:rFonts w:ascii="Times New Roman" w:hAnsi="Times New Roman"/>
          <w:sz w:val="24"/>
          <w:szCs w:val="24"/>
        </w:rPr>
      </w:pPr>
      <w:r w:rsidRPr="00A02298">
        <w:rPr>
          <w:rFonts w:ascii="Times New Roman" w:hAnsi="Times New Roman"/>
          <w:sz w:val="24"/>
          <w:szCs w:val="24"/>
        </w:rPr>
        <w:t>Subject(s) resisted [yes/no]</w:t>
      </w:r>
    </w:p>
    <w:p w14:paraId="48A364C3" w14:textId="77777777" w:rsidR="0048246C" w:rsidRPr="00A02298" w:rsidRDefault="0048246C" w:rsidP="0048246C">
      <w:pPr>
        <w:pStyle w:val="ListParagraph"/>
        <w:numPr>
          <w:ilvl w:val="0"/>
          <w:numId w:val="1"/>
        </w:numPr>
        <w:ind w:left="1260" w:hanging="360"/>
        <w:rPr>
          <w:rFonts w:ascii="Times New Roman" w:hAnsi="Times New Roman"/>
          <w:sz w:val="24"/>
          <w:szCs w:val="24"/>
        </w:rPr>
      </w:pPr>
      <w:r w:rsidRPr="00A02298">
        <w:rPr>
          <w:rFonts w:ascii="Times New Roman" w:hAnsi="Times New Roman"/>
          <w:sz w:val="24"/>
          <w:szCs w:val="24"/>
        </w:rPr>
        <w:t>Was the threat of force by the subject(s) directed to the officer or to another party?</w:t>
      </w:r>
    </w:p>
    <w:p w14:paraId="3F5D7211" w14:textId="77777777" w:rsidR="0048246C" w:rsidRPr="00A02298" w:rsidRDefault="0048246C" w:rsidP="0048246C">
      <w:pPr>
        <w:pStyle w:val="ListParagraph"/>
        <w:numPr>
          <w:ilvl w:val="0"/>
          <w:numId w:val="1"/>
        </w:numPr>
        <w:ind w:left="1260" w:hanging="360"/>
        <w:rPr>
          <w:rFonts w:ascii="Times New Roman" w:hAnsi="Times New Roman"/>
          <w:sz w:val="24"/>
          <w:szCs w:val="24"/>
        </w:rPr>
      </w:pPr>
      <w:r w:rsidRPr="00A02298">
        <w:rPr>
          <w:rFonts w:ascii="Times New Roman" w:hAnsi="Times New Roman"/>
          <w:sz w:val="24"/>
          <w:szCs w:val="24"/>
        </w:rPr>
        <w:t>Type of subject resistance/weapon involvement</w:t>
      </w:r>
    </w:p>
    <w:p w14:paraId="7EEDDF39" w14:textId="77777777" w:rsidR="0048246C" w:rsidRPr="00A02298" w:rsidRDefault="0048246C" w:rsidP="0048246C">
      <w:pPr>
        <w:pStyle w:val="ListParagraph"/>
        <w:numPr>
          <w:ilvl w:val="0"/>
          <w:numId w:val="1"/>
        </w:numPr>
        <w:ind w:left="1260" w:hanging="360"/>
        <w:rPr>
          <w:rFonts w:ascii="Times New Roman" w:hAnsi="Times New Roman"/>
          <w:sz w:val="24"/>
          <w:szCs w:val="24"/>
        </w:rPr>
      </w:pPr>
      <w:r w:rsidRPr="00A02298">
        <w:rPr>
          <w:rFonts w:ascii="Times New Roman" w:hAnsi="Times New Roman"/>
          <w:sz w:val="24"/>
          <w:szCs w:val="24"/>
        </w:rPr>
        <w:t>Apparent physical impairment of the subject (Yes/No/Unknown)</w:t>
      </w:r>
    </w:p>
    <w:p w14:paraId="069980E0" w14:textId="77777777" w:rsidR="0048246C" w:rsidRPr="00A02298" w:rsidRDefault="0048246C" w:rsidP="0048246C">
      <w:pPr>
        <w:pStyle w:val="ListParagraph"/>
        <w:numPr>
          <w:ilvl w:val="0"/>
          <w:numId w:val="1"/>
        </w:numPr>
        <w:ind w:left="1260" w:hanging="360"/>
        <w:rPr>
          <w:rFonts w:ascii="Times New Roman" w:hAnsi="Times New Roman"/>
          <w:sz w:val="24"/>
          <w:szCs w:val="24"/>
        </w:rPr>
      </w:pPr>
      <w:r w:rsidRPr="00A02298">
        <w:rPr>
          <w:rFonts w:ascii="Times New Roman" w:hAnsi="Times New Roman"/>
          <w:sz w:val="24"/>
          <w:szCs w:val="24"/>
        </w:rPr>
        <w:t>Was the subject(s) armed or believed to be armed?</w:t>
      </w:r>
    </w:p>
    <w:p w14:paraId="49F1CBE5" w14:textId="77777777" w:rsidR="0048246C" w:rsidRPr="00A02298" w:rsidRDefault="0048246C" w:rsidP="0048246C">
      <w:pPr>
        <w:pStyle w:val="ListParagraph"/>
        <w:numPr>
          <w:ilvl w:val="0"/>
          <w:numId w:val="1"/>
        </w:numPr>
        <w:ind w:left="1260" w:hanging="360"/>
        <w:rPr>
          <w:rFonts w:ascii="Times New Roman" w:hAnsi="Times New Roman"/>
          <w:sz w:val="24"/>
          <w:szCs w:val="24"/>
        </w:rPr>
      </w:pPr>
      <w:r w:rsidRPr="00A02298">
        <w:rPr>
          <w:rFonts w:ascii="Times New Roman" w:hAnsi="Times New Roman"/>
          <w:sz w:val="24"/>
          <w:szCs w:val="24"/>
        </w:rPr>
        <w:t>Type of force used to cause injury or death [firearm/conducted energy device (Taser)/explosive device/pepper or OC spray/baton or blunt instrument/personal weapons/other]”</w:t>
      </w:r>
    </w:p>
    <w:p w14:paraId="5C27E4B6" w14:textId="77777777" w:rsidR="0048246C" w:rsidRPr="00A02298" w:rsidRDefault="0048246C" w:rsidP="0048246C">
      <w:pPr>
        <w:pStyle w:val="ListParagraph"/>
        <w:ind w:left="360"/>
        <w:rPr>
          <w:rFonts w:ascii="Times New Roman" w:hAnsi="Times New Roman"/>
          <w:sz w:val="24"/>
          <w:szCs w:val="24"/>
        </w:rPr>
      </w:pPr>
    </w:p>
    <w:p w14:paraId="017DEFC4" w14:textId="44723273" w:rsidR="0048246C" w:rsidRDefault="0048246C" w:rsidP="0048246C">
      <w:pPr>
        <w:pStyle w:val="ListParagraph"/>
        <w:ind w:left="360" w:hanging="360"/>
        <w:rPr>
          <w:rFonts w:ascii="Times New Roman" w:hAnsi="Times New Roman"/>
          <w:b/>
          <w:sz w:val="24"/>
          <w:szCs w:val="24"/>
        </w:rPr>
      </w:pPr>
      <w:r w:rsidRPr="00A02298">
        <w:rPr>
          <w:rFonts w:ascii="Times New Roman" w:hAnsi="Times New Roman"/>
          <w:b/>
          <w:sz w:val="24"/>
          <w:szCs w:val="24"/>
        </w:rPr>
        <w:t>APB Recommendation 3</w:t>
      </w:r>
    </w:p>
    <w:p w14:paraId="6C0644C9" w14:textId="77777777" w:rsidR="00934023" w:rsidRPr="00A02298" w:rsidRDefault="00934023" w:rsidP="0048246C">
      <w:pPr>
        <w:pStyle w:val="ListParagraph"/>
        <w:ind w:left="360" w:hanging="360"/>
        <w:rPr>
          <w:rFonts w:ascii="Times New Roman" w:hAnsi="Times New Roman"/>
          <w:b/>
          <w:sz w:val="24"/>
          <w:szCs w:val="24"/>
        </w:rPr>
      </w:pPr>
    </w:p>
    <w:p w14:paraId="5763D6EB" w14:textId="7C70768D" w:rsidR="00CF534E" w:rsidRPr="00A02298" w:rsidRDefault="0048246C" w:rsidP="0048246C">
      <w:pPr>
        <w:pStyle w:val="ListParagraph"/>
        <w:ind w:left="360"/>
        <w:rPr>
          <w:rFonts w:ascii="Times New Roman" w:hAnsi="Times New Roman"/>
          <w:b/>
          <w:sz w:val="24"/>
          <w:szCs w:val="24"/>
        </w:rPr>
      </w:pPr>
      <w:r w:rsidRPr="00A02298">
        <w:rPr>
          <w:rFonts w:ascii="Times New Roman" w:hAnsi="Times New Roman"/>
          <w:sz w:val="24"/>
          <w:szCs w:val="24"/>
        </w:rPr>
        <w:t>“The APB recommends the creation of a separate collection mechanism under the FBI CJIS for the reporting of use-of-force data.  The new data collection will be maintained separately by the national UCR Program and apart from the criminal incident and offense information.  CJIS Systems Officers, in consultation with UCR Program Managers, will determine if agencies within their jurisdiction may submit directly to the FBI.  UCR Programs will have timely and on-going access to all data submitted directly to the FBI.”</w:t>
      </w:r>
    </w:p>
    <w:p w14:paraId="2C38CF5D" w14:textId="77777777" w:rsidR="00CF534E" w:rsidRPr="00A02298" w:rsidRDefault="00CF534E">
      <w:r w:rsidRPr="00A02298">
        <w:t xml:space="preserve">2.  </w:t>
      </w:r>
      <w:r w:rsidRPr="00595985">
        <w:rPr>
          <w:u w:val="single"/>
        </w:rPr>
        <w:t>Needs and Uses:</w:t>
      </w:r>
    </w:p>
    <w:p w14:paraId="1A77E77F" w14:textId="77777777" w:rsidR="00CF534E" w:rsidRPr="00A02298" w:rsidRDefault="00CF534E"/>
    <w:p w14:paraId="04F8BC45" w14:textId="2BA8C13E" w:rsidR="00621FBC" w:rsidRDefault="0048246C" w:rsidP="0048246C">
      <w:pPr>
        <w:pStyle w:val="ListParagraph"/>
        <w:autoSpaceDE w:val="0"/>
        <w:autoSpaceDN w:val="0"/>
        <w:adjustRightInd w:val="0"/>
        <w:spacing w:after="0" w:line="240" w:lineRule="auto"/>
        <w:ind w:left="360"/>
        <w:rPr>
          <w:rFonts w:ascii="Times New Roman" w:hAnsi="Times New Roman"/>
          <w:sz w:val="24"/>
          <w:szCs w:val="24"/>
        </w:rPr>
      </w:pPr>
      <w:r w:rsidRPr="00A02298">
        <w:rPr>
          <w:rFonts w:ascii="Times New Roman" w:hAnsi="Times New Roman"/>
          <w:sz w:val="24"/>
          <w:szCs w:val="24"/>
        </w:rPr>
        <w:t>The goal of this new data collection on law enforcement officer use of force is to produce a national picture of the trends and characteristics of use of force by a law enforcement officer (as defined by the Law Enforcement Officer Killed and Assaulted [LEOKA] Program) for law enforcement and the communities they serve.  The collection and reporting include</w:t>
      </w:r>
      <w:r w:rsidR="00BA0E5F">
        <w:rPr>
          <w:rFonts w:ascii="Times New Roman" w:hAnsi="Times New Roman"/>
          <w:sz w:val="24"/>
          <w:szCs w:val="24"/>
        </w:rPr>
        <w:t>s</w:t>
      </w:r>
      <w:r w:rsidRPr="00A02298">
        <w:rPr>
          <w:rFonts w:ascii="Times New Roman" w:hAnsi="Times New Roman"/>
          <w:sz w:val="24"/>
          <w:szCs w:val="24"/>
        </w:rPr>
        <w:t xml:space="preserve"> use of force </w:t>
      </w:r>
      <w:r w:rsidR="00BA0E5F">
        <w:rPr>
          <w:rFonts w:ascii="Times New Roman" w:hAnsi="Times New Roman"/>
          <w:sz w:val="24"/>
          <w:szCs w:val="24"/>
        </w:rPr>
        <w:t xml:space="preserve">which </w:t>
      </w:r>
      <w:r w:rsidRPr="00A02298">
        <w:rPr>
          <w:rFonts w:ascii="Times New Roman" w:hAnsi="Times New Roman"/>
          <w:sz w:val="24"/>
          <w:szCs w:val="24"/>
        </w:rPr>
        <w:t xml:space="preserve">results in the death or serious bodily injury of a person, as well as when a law </w:t>
      </w:r>
      <w:r w:rsidRPr="00A02298">
        <w:rPr>
          <w:rFonts w:ascii="Times New Roman" w:hAnsi="Times New Roman"/>
          <w:sz w:val="24"/>
          <w:szCs w:val="24"/>
        </w:rPr>
        <w:lastRenderedPageBreak/>
        <w:t>enforcement officer discharges a firearm at or in the direction of a person.  The data collected include</w:t>
      </w:r>
      <w:r w:rsidR="00BA0E5F">
        <w:rPr>
          <w:rFonts w:ascii="Times New Roman" w:hAnsi="Times New Roman"/>
          <w:sz w:val="24"/>
          <w:szCs w:val="24"/>
        </w:rPr>
        <w:t>s</w:t>
      </w:r>
      <w:r w:rsidRPr="00A02298">
        <w:rPr>
          <w:rFonts w:ascii="Times New Roman" w:hAnsi="Times New Roman"/>
          <w:sz w:val="24"/>
          <w:szCs w:val="24"/>
        </w:rPr>
        <w:t xml:space="preserve"> information on the officers, the subjects, and the circumstances surrounding the incident itself.  The data collection focus</w:t>
      </w:r>
      <w:r w:rsidR="00BA0E5F">
        <w:rPr>
          <w:rFonts w:ascii="Times New Roman" w:hAnsi="Times New Roman"/>
          <w:sz w:val="24"/>
          <w:szCs w:val="24"/>
        </w:rPr>
        <w:t>es</w:t>
      </w:r>
      <w:r w:rsidRPr="00A02298">
        <w:rPr>
          <w:rFonts w:ascii="Times New Roman" w:hAnsi="Times New Roman"/>
          <w:sz w:val="24"/>
          <w:szCs w:val="24"/>
        </w:rPr>
        <w:t xml:space="preserve"> on information readily known and attainable by law enforcement with the initial investigation following an incident rather than any assessment of whether the officer acted lawfully or within the bounds of department policies.  </w:t>
      </w:r>
    </w:p>
    <w:p w14:paraId="555B6155" w14:textId="77777777" w:rsidR="003E24CF" w:rsidRDefault="003E24CF" w:rsidP="0048246C">
      <w:pPr>
        <w:pStyle w:val="ListParagraph"/>
        <w:autoSpaceDE w:val="0"/>
        <w:autoSpaceDN w:val="0"/>
        <w:adjustRightInd w:val="0"/>
        <w:spacing w:after="0" w:line="240" w:lineRule="auto"/>
        <w:ind w:left="360"/>
        <w:rPr>
          <w:rFonts w:ascii="Times New Roman" w:hAnsi="Times New Roman"/>
          <w:sz w:val="24"/>
          <w:szCs w:val="24"/>
        </w:rPr>
      </w:pPr>
    </w:p>
    <w:p w14:paraId="19C0AF45" w14:textId="040A43C4" w:rsidR="006A400F" w:rsidRPr="003E24CF" w:rsidRDefault="003E24CF" w:rsidP="003E24CF">
      <w:pPr>
        <w:pStyle w:val="ListParagraph"/>
        <w:ind w:left="360"/>
        <w:rPr>
          <w:rFonts w:ascii="Times New Roman" w:hAnsi="Times New Roman"/>
          <w:sz w:val="24"/>
          <w:szCs w:val="24"/>
        </w:rPr>
      </w:pPr>
      <w:r w:rsidRPr="00595985">
        <w:rPr>
          <w:b/>
        </w:rPr>
        <w:t>Pilot</w:t>
      </w:r>
    </w:p>
    <w:p w14:paraId="4D78CA37" w14:textId="4E6E9A51" w:rsidR="003E24CF" w:rsidRPr="003E24CF" w:rsidRDefault="006A400F">
      <w:pPr>
        <w:pStyle w:val="ListParagraph"/>
        <w:ind w:left="360"/>
      </w:pPr>
      <w:r w:rsidRPr="006A400F">
        <w:rPr>
          <w:rFonts w:ascii="Times New Roman" w:hAnsi="Times New Roman"/>
          <w:sz w:val="24"/>
          <w:szCs w:val="24"/>
        </w:rPr>
        <w:t xml:space="preserve">The pilot study </w:t>
      </w:r>
      <w:r w:rsidRPr="00697735">
        <w:rPr>
          <w:rFonts w:ascii="Times New Roman" w:hAnsi="Times New Roman"/>
          <w:sz w:val="24"/>
          <w:szCs w:val="24"/>
        </w:rPr>
        <w:t>consisted of two phases.  Each phase included a set of target agencies and states allowing for sufficient data to evaluate intercoder reliability in the application of definitions and guidance.  While survey design “best practices” can be used to inform the process of eliciting information from individuals providing law enforcement statistics for the</w:t>
      </w:r>
      <w:r w:rsidR="00256C6B">
        <w:rPr>
          <w:rFonts w:ascii="Times New Roman" w:hAnsi="Times New Roman"/>
          <w:sz w:val="24"/>
          <w:szCs w:val="24"/>
        </w:rPr>
        <w:t xml:space="preserve"> FBI</w:t>
      </w:r>
      <w:r w:rsidRPr="00697735">
        <w:rPr>
          <w:rFonts w:ascii="Times New Roman" w:hAnsi="Times New Roman"/>
          <w:sz w:val="24"/>
          <w:szCs w:val="24"/>
        </w:rPr>
        <w:t xml:space="preserve"> UCR Program, the data collection is more similar to an extensive process of content analysis.  Information captured within law enforcement records and narratives serve as the basis for the statistical information forwarded to the FBI.  The challenge for the FBI UCR Program is to communicate coding schemes based upon a common set of definitions.  Instructions and manuals, as well as training modules and curricula, were developed and served to help guide individuals at </w:t>
      </w:r>
      <w:r w:rsidR="00772204">
        <w:rPr>
          <w:rFonts w:ascii="Times New Roman" w:hAnsi="Times New Roman"/>
          <w:sz w:val="24"/>
          <w:szCs w:val="24"/>
        </w:rPr>
        <w:t>law enforcement agencies (</w:t>
      </w:r>
      <w:r w:rsidRPr="00697735">
        <w:rPr>
          <w:rFonts w:ascii="Times New Roman" w:hAnsi="Times New Roman"/>
          <w:sz w:val="24"/>
          <w:szCs w:val="24"/>
        </w:rPr>
        <w:t>LEAs</w:t>
      </w:r>
      <w:r w:rsidR="00772204">
        <w:rPr>
          <w:rFonts w:ascii="Times New Roman" w:hAnsi="Times New Roman"/>
          <w:sz w:val="24"/>
          <w:szCs w:val="24"/>
        </w:rPr>
        <w:t>)</w:t>
      </w:r>
      <w:r w:rsidRPr="00697735">
        <w:rPr>
          <w:rFonts w:ascii="Times New Roman" w:hAnsi="Times New Roman"/>
          <w:sz w:val="24"/>
          <w:szCs w:val="24"/>
        </w:rPr>
        <w:t xml:space="preserve"> to translate their local records into a uniform manner.  While basic instructions were provided during the pilot study, the results of the pilot study identified concepts with less consensus across locations and types of LEAs for the future development of in-depth instructions, manuals, training modules, and curricula.</w:t>
      </w:r>
    </w:p>
    <w:p w14:paraId="4B7470BC" w14:textId="49C0A6B4" w:rsidR="009C6CCD" w:rsidRPr="00697735" w:rsidRDefault="00AA4D3B" w:rsidP="00697735">
      <w:pPr>
        <w:ind w:left="360" w:hanging="360"/>
        <w:rPr>
          <w:i/>
        </w:rPr>
      </w:pPr>
      <w:r>
        <w:tab/>
      </w:r>
      <w:r w:rsidRPr="00595985">
        <w:rPr>
          <w:b/>
          <w:i/>
        </w:rPr>
        <w:t>Phase I</w:t>
      </w:r>
    </w:p>
    <w:p w14:paraId="4D15BCBB" w14:textId="1BC4C103" w:rsidR="009C6CCD" w:rsidRPr="006C2A36" w:rsidRDefault="009C6CCD" w:rsidP="00697735">
      <w:pPr>
        <w:pStyle w:val="ListParagraph"/>
        <w:ind w:left="360"/>
        <w:contextualSpacing w:val="0"/>
        <w:rPr>
          <w:rFonts w:ascii="Times New Roman" w:hAnsi="Times New Roman"/>
          <w:sz w:val="24"/>
          <w:szCs w:val="24"/>
        </w:rPr>
      </w:pPr>
      <w:r w:rsidRPr="006C2A36">
        <w:rPr>
          <w:rFonts w:ascii="Times New Roman" w:hAnsi="Times New Roman"/>
          <w:sz w:val="24"/>
          <w:szCs w:val="24"/>
        </w:rPr>
        <w:t xml:space="preserve">The activities of the first phase of the pilot focused on a prospective comparison of reported incidents submitted in the UoF data collection through the data collection tool on </w:t>
      </w:r>
      <w:r w:rsidR="00772204">
        <w:rPr>
          <w:rFonts w:ascii="Times New Roman" w:hAnsi="Times New Roman"/>
          <w:sz w:val="24"/>
          <w:szCs w:val="24"/>
        </w:rPr>
        <w:t>the Law Enforcement Enterprise Portal (</w:t>
      </w:r>
      <w:r w:rsidRPr="006C2A36">
        <w:rPr>
          <w:rFonts w:ascii="Times New Roman" w:hAnsi="Times New Roman"/>
          <w:sz w:val="24"/>
          <w:szCs w:val="24"/>
        </w:rPr>
        <w:t>LEEP</w:t>
      </w:r>
      <w:r w:rsidR="00772204">
        <w:rPr>
          <w:rFonts w:ascii="Times New Roman" w:hAnsi="Times New Roman"/>
          <w:sz w:val="24"/>
          <w:szCs w:val="24"/>
        </w:rPr>
        <w:t>)</w:t>
      </w:r>
      <w:r w:rsidRPr="006C2A36">
        <w:rPr>
          <w:rFonts w:ascii="Times New Roman" w:hAnsi="Times New Roman"/>
          <w:sz w:val="24"/>
          <w:szCs w:val="24"/>
        </w:rPr>
        <w:t xml:space="preserve"> to the original records voluntarily provided by the reporting agency to the FBI.  Those recruited agencies agreed to participate in the pilot study and understood local records would be forwarded to the FBI upon submission of statistical information to the UoF data collection tool.  The local case information was redacted of any personally identifiable information prior to its forwarding to the FBI, and the FBI destroyed all local records upon completion of the pilot study.</w:t>
      </w:r>
    </w:p>
    <w:p w14:paraId="5EA9CBBB" w14:textId="77777777" w:rsidR="009C6CCD" w:rsidRPr="006C2A36" w:rsidRDefault="009C6CCD" w:rsidP="00697735">
      <w:pPr>
        <w:spacing w:after="160" w:line="259" w:lineRule="auto"/>
        <w:ind w:left="360"/>
      </w:pPr>
      <w:r w:rsidRPr="006C2A36">
        <w:t>The targeted agencies for participation in the pilot study included three groups of agencies</w:t>
      </w:r>
      <w:r>
        <w:t>, while also accepting agencies of any size who voluntarily approached the FBI to provide their information</w:t>
      </w:r>
      <w:r w:rsidRPr="006C2A36">
        <w:t>:</w:t>
      </w:r>
    </w:p>
    <w:p w14:paraId="32F9B421" w14:textId="0E700712" w:rsidR="009C6CCD" w:rsidRPr="006C2A36" w:rsidRDefault="009C6CCD" w:rsidP="00634B3F">
      <w:pPr>
        <w:pStyle w:val="ListParagraph"/>
        <w:numPr>
          <w:ilvl w:val="0"/>
          <w:numId w:val="4"/>
        </w:numPr>
        <w:rPr>
          <w:rFonts w:ascii="Times New Roman" w:hAnsi="Times New Roman"/>
          <w:sz w:val="24"/>
          <w:szCs w:val="24"/>
        </w:rPr>
      </w:pPr>
      <w:r w:rsidRPr="006C2A36">
        <w:rPr>
          <w:rFonts w:ascii="Times New Roman" w:hAnsi="Times New Roman"/>
          <w:sz w:val="24"/>
          <w:szCs w:val="24"/>
        </w:rPr>
        <w:t xml:space="preserve">The largest local LEAs with a workforce of 750 or more sworn officers were targeted.  The group of the largest agencies included at least 68 agencies across 23 states based on information submitted to the </w:t>
      </w:r>
      <w:r w:rsidR="00256C6B">
        <w:rPr>
          <w:rFonts w:ascii="Times New Roman" w:hAnsi="Times New Roman"/>
          <w:sz w:val="24"/>
          <w:szCs w:val="24"/>
        </w:rPr>
        <w:t xml:space="preserve">FBI </w:t>
      </w:r>
      <w:r w:rsidRPr="006C2A36">
        <w:rPr>
          <w:rFonts w:ascii="Times New Roman" w:hAnsi="Times New Roman"/>
          <w:sz w:val="24"/>
          <w:szCs w:val="24"/>
        </w:rPr>
        <w:t xml:space="preserve">UCR Program.  Each state/local agency was approached through their UCR Program Manager for their voluntary agreement to provide data for submission to the UoF data collection and participate in the pilot study activities.  </w:t>
      </w:r>
    </w:p>
    <w:p w14:paraId="30801EBF" w14:textId="24950CF1" w:rsidR="009C6CCD" w:rsidRPr="006C2A36" w:rsidRDefault="009C6CCD">
      <w:pPr>
        <w:pStyle w:val="ListParagraph"/>
        <w:numPr>
          <w:ilvl w:val="0"/>
          <w:numId w:val="4"/>
        </w:numPr>
        <w:rPr>
          <w:rFonts w:ascii="Times New Roman" w:hAnsi="Times New Roman"/>
          <w:sz w:val="24"/>
          <w:szCs w:val="24"/>
        </w:rPr>
      </w:pPr>
      <w:r w:rsidRPr="006C2A36">
        <w:rPr>
          <w:rFonts w:ascii="Times New Roman" w:hAnsi="Times New Roman"/>
          <w:sz w:val="24"/>
          <w:szCs w:val="24"/>
        </w:rPr>
        <w:t>The FBI identified</w:t>
      </w:r>
      <w:r w:rsidR="00220B17">
        <w:rPr>
          <w:rFonts w:ascii="Times New Roman" w:hAnsi="Times New Roman"/>
          <w:sz w:val="24"/>
          <w:szCs w:val="24"/>
        </w:rPr>
        <w:t xml:space="preserve"> </w:t>
      </w:r>
      <w:r w:rsidRPr="006C2A36">
        <w:rPr>
          <w:rFonts w:ascii="Times New Roman" w:hAnsi="Times New Roman"/>
          <w:sz w:val="24"/>
          <w:szCs w:val="24"/>
        </w:rPr>
        <w:t>state</w:t>
      </w:r>
      <w:r>
        <w:rPr>
          <w:rFonts w:ascii="Times New Roman" w:hAnsi="Times New Roman"/>
          <w:sz w:val="24"/>
          <w:szCs w:val="24"/>
        </w:rPr>
        <w:t xml:space="preserve"> UCR programs</w:t>
      </w:r>
      <w:r w:rsidRPr="006C2A36">
        <w:rPr>
          <w:rFonts w:ascii="Times New Roman" w:hAnsi="Times New Roman"/>
          <w:sz w:val="24"/>
          <w:szCs w:val="24"/>
        </w:rPr>
        <w:t xml:space="preserve"> to participate on a voluntary basis.  </w:t>
      </w:r>
    </w:p>
    <w:p w14:paraId="3E28472D" w14:textId="016D45EC" w:rsidR="009C6CCD" w:rsidRPr="006C2A36" w:rsidRDefault="009C6CCD">
      <w:pPr>
        <w:pStyle w:val="ListParagraph"/>
        <w:numPr>
          <w:ilvl w:val="0"/>
          <w:numId w:val="4"/>
        </w:numPr>
        <w:rPr>
          <w:rFonts w:ascii="Times New Roman" w:hAnsi="Times New Roman"/>
          <w:sz w:val="24"/>
          <w:szCs w:val="24"/>
        </w:rPr>
      </w:pPr>
      <w:r w:rsidRPr="006C2A36">
        <w:rPr>
          <w:rFonts w:ascii="Times New Roman" w:hAnsi="Times New Roman"/>
          <w:sz w:val="24"/>
          <w:szCs w:val="24"/>
        </w:rPr>
        <w:t>All four Department of Justice (DOJ) LEAs voluntar</w:t>
      </w:r>
      <w:r w:rsidR="00315EDB">
        <w:rPr>
          <w:rFonts w:ascii="Times New Roman" w:hAnsi="Times New Roman"/>
          <w:sz w:val="24"/>
          <w:szCs w:val="24"/>
        </w:rPr>
        <w:t>il</w:t>
      </w:r>
      <w:r w:rsidRPr="006C2A36">
        <w:rPr>
          <w:rFonts w:ascii="Times New Roman" w:hAnsi="Times New Roman"/>
          <w:sz w:val="24"/>
          <w:szCs w:val="24"/>
        </w:rPr>
        <w:t>y participat</w:t>
      </w:r>
      <w:r w:rsidR="00315EDB">
        <w:rPr>
          <w:rFonts w:ascii="Times New Roman" w:hAnsi="Times New Roman"/>
          <w:sz w:val="24"/>
          <w:szCs w:val="24"/>
        </w:rPr>
        <w:t>ed</w:t>
      </w:r>
      <w:r w:rsidRPr="006C2A36">
        <w:rPr>
          <w:rFonts w:ascii="Times New Roman" w:hAnsi="Times New Roman"/>
          <w:sz w:val="24"/>
          <w:szCs w:val="24"/>
        </w:rPr>
        <w:t>.</w:t>
      </w:r>
    </w:p>
    <w:p w14:paraId="2A3F4F42" w14:textId="5820213C" w:rsidR="009C6CCD" w:rsidRPr="006C2A36" w:rsidRDefault="009C6CCD" w:rsidP="00697735">
      <w:pPr>
        <w:spacing w:after="160" w:line="259" w:lineRule="auto"/>
        <w:ind w:left="360"/>
      </w:pPr>
      <w:r w:rsidRPr="006C2A36">
        <w:t xml:space="preserve">These state UCR </w:t>
      </w:r>
      <w:r w:rsidR="00256C6B">
        <w:t>p</w:t>
      </w:r>
      <w:r w:rsidRPr="006C2A36">
        <w:t>rograms were selected based upon the results of the canvass of the states during pre-testing and subsequent conversations with state representatives about the pilot study.  These identified states represented UCR programs using the data collection tool on LEEP to manage the data collection for their UCR Programs.</w:t>
      </w:r>
    </w:p>
    <w:p w14:paraId="24DDB093" w14:textId="3B07F229" w:rsidR="009C6CCD" w:rsidRPr="006C2A36" w:rsidRDefault="009C6CCD" w:rsidP="00697735">
      <w:pPr>
        <w:spacing w:after="160" w:line="259" w:lineRule="auto"/>
        <w:ind w:left="360"/>
      </w:pPr>
      <w:r w:rsidRPr="006C2A36">
        <w:t>The Phase I assessment consisted of an administrative review and data quality review.  As a prelude to the review of local agency records, the FBI asked each LEA specific questions about their participation in the National UoF Data Collection.  The intent was to assess their understanding of and capabilities to comply with data collection guidelines.  This occurred upon the submission of the first incident to the National UoF Data Collection pilot.  Agencies wh</w:t>
      </w:r>
      <w:r w:rsidR="00315EDB">
        <w:t>o</w:t>
      </w:r>
      <w:r w:rsidRPr="006C2A36">
        <w:t xml:space="preserve"> opted to participate in the pilot study were provided an overview of the intent of the collection and expressed an interest in wanting to assist the FBI with its development.  In addition, information regarding the reasons for refusal were systematically recorded and reviewed for agencies </w:t>
      </w:r>
      <w:r w:rsidR="00315EDB">
        <w:t xml:space="preserve">who </w:t>
      </w:r>
      <w:r w:rsidRPr="006C2A36">
        <w:t>opt</w:t>
      </w:r>
      <w:r w:rsidR="00315EDB">
        <w:t>ed</w:t>
      </w:r>
      <w:r w:rsidRPr="006C2A36">
        <w:t xml:space="preserve"> not to participate in the pilot.  This data was analyzed for detectable patterns by type of agency, region, or any other agency characteristic.</w:t>
      </w:r>
    </w:p>
    <w:p w14:paraId="67CBBEBB" w14:textId="3AE1D03C" w:rsidR="009C6CCD" w:rsidRPr="006C2A36" w:rsidRDefault="009C6CCD" w:rsidP="00697735">
      <w:pPr>
        <w:spacing w:after="160" w:line="259" w:lineRule="auto"/>
        <w:ind w:left="360"/>
      </w:pPr>
      <w:r w:rsidRPr="006C2A36">
        <w:t xml:space="preserve">Following review of the LEAs provided documentation on the UoF incident, the FBI independently and blindly completed the fields in the Incident, Subject, and Officer sections of the data collection.  The FBI assisted with assessing whether data collection guidelines were consistently interpreted and applied.  The FBI will share a copy of the pilot study report with all participating agencies following OMB approval.  </w:t>
      </w:r>
    </w:p>
    <w:p w14:paraId="04A3C99E" w14:textId="77777777" w:rsidR="009C6CCD" w:rsidRPr="006C2A36" w:rsidRDefault="00634B3F" w:rsidP="00634B3F">
      <w:pPr>
        <w:tabs>
          <w:tab w:val="left" w:pos="360"/>
        </w:tabs>
        <w:spacing w:after="160" w:line="259" w:lineRule="auto"/>
      </w:pPr>
      <w:r>
        <w:tab/>
      </w:r>
      <w:r w:rsidR="009C6CCD" w:rsidRPr="006C2A36">
        <w:t>The overall objectives of the Phase I of the pilot study were:</w:t>
      </w:r>
    </w:p>
    <w:p w14:paraId="1A7A5B16" w14:textId="77777777" w:rsidR="009C6CCD" w:rsidRPr="006C2A36" w:rsidRDefault="009C6CCD" w:rsidP="009C6CCD">
      <w:pPr>
        <w:pStyle w:val="ListParagraph"/>
        <w:numPr>
          <w:ilvl w:val="0"/>
          <w:numId w:val="8"/>
        </w:numPr>
        <w:spacing w:after="0"/>
        <w:rPr>
          <w:rFonts w:ascii="Times New Roman" w:hAnsi="Times New Roman"/>
          <w:sz w:val="24"/>
          <w:szCs w:val="24"/>
        </w:rPr>
      </w:pPr>
      <w:r w:rsidRPr="006C2A36">
        <w:rPr>
          <w:rFonts w:ascii="Times New Roman" w:hAnsi="Times New Roman"/>
          <w:sz w:val="24"/>
          <w:szCs w:val="24"/>
        </w:rPr>
        <w:t xml:space="preserve">To measure the extent LEAs exhibit a consistent interpretation of the variables in the National UoF Data Collection with the FBI as measured by the intercoder reliability measure of Cohen’s kappa.  </w:t>
      </w:r>
    </w:p>
    <w:p w14:paraId="630526AB" w14:textId="77777777" w:rsidR="009C6CCD" w:rsidRPr="006C2A36" w:rsidRDefault="009C6CCD" w:rsidP="009C6CCD">
      <w:pPr>
        <w:pStyle w:val="ListParagraph"/>
        <w:numPr>
          <w:ilvl w:val="0"/>
          <w:numId w:val="8"/>
        </w:numPr>
        <w:spacing w:after="0"/>
        <w:rPr>
          <w:rFonts w:ascii="Times New Roman" w:hAnsi="Times New Roman"/>
          <w:sz w:val="24"/>
          <w:szCs w:val="24"/>
        </w:rPr>
      </w:pPr>
      <w:r w:rsidRPr="006C2A36">
        <w:rPr>
          <w:rFonts w:ascii="Times New Roman" w:hAnsi="Times New Roman"/>
          <w:sz w:val="24"/>
          <w:szCs w:val="24"/>
        </w:rPr>
        <w:t>To measure the extent LEAs exhibit a consistent interpretation of serious bodily injury as measured by intercoder reliability between FBI and agency.</w:t>
      </w:r>
    </w:p>
    <w:p w14:paraId="57A9597E" w14:textId="77777777" w:rsidR="009C6CCD" w:rsidRPr="006C2A36" w:rsidRDefault="009C6CCD">
      <w:pPr>
        <w:pStyle w:val="ListParagraph"/>
        <w:numPr>
          <w:ilvl w:val="0"/>
          <w:numId w:val="8"/>
        </w:numPr>
        <w:tabs>
          <w:tab w:val="left" w:pos="3690"/>
        </w:tabs>
        <w:spacing w:after="0"/>
        <w:rPr>
          <w:rFonts w:ascii="Times New Roman" w:hAnsi="Times New Roman"/>
        </w:rPr>
      </w:pPr>
      <w:r w:rsidRPr="006C2A36">
        <w:rPr>
          <w:rFonts w:ascii="Times New Roman" w:hAnsi="Times New Roman"/>
          <w:sz w:val="24"/>
          <w:szCs w:val="24"/>
        </w:rPr>
        <w:t>For the FBI to make corresponding recommendations regarding coding schemes and definitions.</w:t>
      </w:r>
      <w:r w:rsidRPr="006C2A36">
        <w:rPr>
          <w:rFonts w:ascii="Times New Roman" w:hAnsi="Times New Roman"/>
        </w:rPr>
        <w:tab/>
      </w:r>
    </w:p>
    <w:p w14:paraId="16DB1BC8" w14:textId="77777777" w:rsidR="009C6CCD" w:rsidRPr="006C2A36" w:rsidRDefault="009C6CCD" w:rsidP="009C6CCD">
      <w:pPr>
        <w:pStyle w:val="ListParagraph"/>
        <w:numPr>
          <w:ilvl w:val="0"/>
          <w:numId w:val="7"/>
        </w:numPr>
        <w:spacing w:after="0"/>
        <w:rPr>
          <w:rFonts w:ascii="Times New Roman" w:hAnsi="Times New Roman"/>
          <w:sz w:val="24"/>
          <w:szCs w:val="24"/>
        </w:rPr>
      </w:pPr>
      <w:r w:rsidRPr="006C2A36">
        <w:rPr>
          <w:rFonts w:ascii="Times New Roman" w:hAnsi="Times New Roman"/>
          <w:sz w:val="24"/>
          <w:szCs w:val="24"/>
        </w:rPr>
        <w:t>To identify what additional concepts may need to be explored with the subset of LEAs for Phase II.</w:t>
      </w:r>
    </w:p>
    <w:p w14:paraId="6EC5756F" w14:textId="77777777" w:rsidR="009C6CCD" w:rsidRPr="006C2A36" w:rsidRDefault="009C6CCD">
      <w:pPr>
        <w:pStyle w:val="ListParagraph"/>
        <w:numPr>
          <w:ilvl w:val="0"/>
          <w:numId w:val="7"/>
        </w:numPr>
        <w:spacing w:after="0"/>
        <w:rPr>
          <w:rFonts w:ascii="Times New Roman" w:hAnsi="Times New Roman"/>
          <w:sz w:val="24"/>
          <w:szCs w:val="24"/>
        </w:rPr>
      </w:pPr>
      <w:r w:rsidRPr="006C2A36">
        <w:rPr>
          <w:rFonts w:ascii="Times New Roman" w:hAnsi="Times New Roman"/>
          <w:sz w:val="24"/>
          <w:szCs w:val="24"/>
        </w:rPr>
        <w:t>To systematically record reasons for refusals to participate in the pilot study.</w:t>
      </w:r>
    </w:p>
    <w:p w14:paraId="283722DB" w14:textId="291EFBA6" w:rsidR="00356D00" w:rsidRDefault="009C6CCD" w:rsidP="00595985">
      <w:pPr>
        <w:pStyle w:val="ListParagraph"/>
        <w:numPr>
          <w:ilvl w:val="0"/>
          <w:numId w:val="7"/>
        </w:numPr>
      </w:pPr>
      <w:r w:rsidRPr="006C2A36">
        <w:rPr>
          <w:rFonts w:ascii="Times New Roman" w:hAnsi="Times New Roman"/>
          <w:sz w:val="24"/>
          <w:szCs w:val="24"/>
        </w:rPr>
        <w:t xml:space="preserve">To work with </w:t>
      </w:r>
      <w:r w:rsidR="00256C6B">
        <w:rPr>
          <w:rFonts w:ascii="Times New Roman" w:hAnsi="Times New Roman"/>
          <w:sz w:val="24"/>
          <w:szCs w:val="24"/>
        </w:rPr>
        <w:t xml:space="preserve">state </w:t>
      </w:r>
      <w:r w:rsidRPr="006C2A36">
        <w:rPr>
          <w:rFonts w:ascii="Times New Roman" w:hAnsi="Times New Roman"/>
          <w:sz w:val="24"/>
          <w:szCs w:val="24"/>
        </w:rPr>
        <w:t>UCR Program Managers in the pilot states to identify any potential problems with record-keeping impeding the ability to provide the UoF information to the FBI.</w:t>
      </w:r>
      <w:r w:rsidR="00356D00" w:rsidRPr="00356D00">
        <w:t xml:space="preserve"> </w:t>
      </w:r>
    </w:p>
    <w:p w14:paraId="6640E507" w14:textId="77777777" w:rsidR="00356D00" w:rsidRDefault="00356D00" w:rsidP="00697735">
      <w:pPr>
        <w:pStyle w:val="ListParagraph"/>
      </w:pPr>
    </w:p>
    <w:p w14:paraId="629F2398" w14:textId="4E59D23C" w:rsidR="00356D00" w:rsidRPr="00697735" w:rsidRDefault="00356D00" w:rsidP="00697735">
      <w:pPr>
        <w:pStyle w:val="ListParagraph"/>
        <w:ind w:left="360"/>
        <w:rPr>
          <w:rFonts w:ascii="Times New Roman" w:hAnsi="Times New Roman"/>
          <w:sz w:val="24"/>
          <w:szCs w:val="24"/>
        </w:rPr>
      </w:pPr>
      <w:r>
        <w:rPr>
          <w:rFonts w:ascii="Times New Roman" w:hAnsi="Times New Roman"/>
          <w:sz w:val="24"/>
          <w:szCs w:val="24"/>
        </w:rPr>
        <w:t>Phase I of the pilot study lasted three months</w:t>
      </w:r>
      <w:r w:rsidR="00597128">
        <w:rPr>
          <w:rFonts w:ascii="Times New Roman" w:hAnsi="Times New Roman"/>
          <w:sz w:val="24"/>
          <w:szCs w:val="24"/>
        </w:rPr>
        <w:t>;</w:t>
      </w:r>
      <w:r>
        <w:rPr>
          <w:rFonts w:ascii="Times New Roman" w:hAnsi="Times New Roman"/>
          <w:sz w:val="24"/>
          <w:szCs w:val="24"/>
        </w:rPr>
        <w:t xml:space="preserve"> began July 1, 2017</w:t>
      </w:r>
      <w:r w:rsidR="00597128">
        <w:rPr>
          <w:rFonts w:ascii="Times New Roman" w:hAnsi="Times New Roman"/>
          <w:sz w:val="24"/>
          <w:szCs w:val="24"/>
        </w:rPr>
        <w:t>; and</w:t>
      </w:r>
      <w:r>
        <w:rPr>
          <w:rFonts w:ascii="Times New Roman" w:hAnsi="Times New Roman"/>
          <w:sz w:val="24"/>
          <w:szCs w:val="24"/>
        </w:rPr>
        <w:t xml:space="preserve"> conclud</w:t>
      </w:r>
      <w:r w:rsidR="00597128">
        <w:rPr>
          <w:rFonts w:ascii="Times New Roman" w:hAnsi="Times New Roman"/>
          <w:sz w:val="24"/>
          <w:szCs w:val="24"/>
        </w:rPr>
        <w:t>ed</w:t>
      </w:r>
      <w:r>
        <w:rPr>
          <w:rFonts w:ascii="Times New Roman" w:hAnsi="Times New Roman"/>
          <w:sz w:val="24"/>
          <w:szCs w:val="24"/>
        </w:rPr>
        <w:t xml:space="preserve"> on      September 30, 2017</w:t>
      </w:r>
    </w:p>
    <w:p w14:paraId="340D1DE6" w14:textId="12C1DD42" w:rsidR="009C6CCD" w:rsidRPr="00595985" w:rsidRDefault="00AA4D3B" w:rsidP="00697735">
      <w:pPr>
        <w:ind w:left="360"/>
        <w:rPr>
          <w:b/>
        </w:rPr>
      </w:pPr>
      <w:r w:rsidRPr="00595985">
        <w:rPr>
          <w:b/>
          <w:i/>
        </w:rPr>
        <w:t>Phase II</w:t>
      </w:r>
    </w:p>
    <w:p w14:paraId="7640C7E2" w14:textId="3573DA86" w:rsidR="009C6CCD" w:rsidRPr="006C2A36" w:rsidRDefault="009C6CCD" w:rsidP="00697735">
      <w:pPr>
        <w:spacing w:after="160" w:line="259" w:lineRule="auto"/>
        <w:ind w:left="360"/>
      </w:pPr>
      <w:r w:rsidRPr="006C2A36">
        <w:t>LEAs participating in Phase I served as the sampling frame for Phase II.  Phase II was an extension of the records review and comparison with targeted, on-site visits to a sample of agencies.  The FBI worked with the Bureau of Justice Statistics (BJS) in the development of a statistically</w:t>
      </w:r>
      <w:r w:rsidR="00597128">
        <w:t xml:space="preserve"> </w:t>
      </w:r>
      <w:r w:rsidRPr="006C2A36">
        <w:t>defensible sampling strategy.  LEA participation in this phase was also voluntary and occurred during a three-month time</w:t>
      </w:r>
      <w:r w:rsidR="00597128">
        <w:t>-</w:t>
      </w:r>
      <w:r w:rsidRPr="006C2A36">
        <w:t>period following the conclusion of Phase I.</w:t>
      </w:r>
    </w:p>
    <w:p w14:paraId="14676C42" w14:textId="7B261018" w:rsidR="009C6CCD" w:rsidRPr="006C2A36" w:rsidRDefault="009C6CCD" w:rsidP="00697735">
      <w:pPr>
        <w:pStyle w:val="ListParagraph"/>
        <w:ind w:left="360"/>
        <w:contextualSpacing w:val="0"/>
        <w:rPr>
          <w:rFonts w:ascii="Times New Roman" w:hAnsi="Times New Roman"/>
          <w:sz w:val="24"/>
          <w:szCs w:val="24"/>
        </w:rPr>
      </w:pPr>
      <w:r w:rsidRPr="006C2A36">
        <w:rPr>
          <w:rFonts w:ascii="Times New Roman" w:hAnsi="Times New Roman"/>
          <w:sz w:val="24"/>
          <w:szCs w:val="24"/>
        </w:rPr>
        <w:t>The original set of agencies recruited for the first phase served as a basis for the selection of agencies in the second phase.  The FBI also continued to accept agencies providing data voluntarily to the collection.</w:t>
      </w:r>
    </w:p>
    <w:p w14:paraId="5EB0E55C" w14:textId="212F3AD9" w:rsidR="009C6CCD" w:rsidRPr="006C2A36" w:rsidRDefault="009C6CCD" w:rsidP="00697735">
      <w:pPr>
        <w:pStyle w:val="ListParagraph"/>
        <w:ind w:left="360"/>
        <w:contextualSpacing w:val="0"/>
        <w:rPr>
          <w:rFonts w:ascii="Times New Roman" w:hAnsi="Times New Roman"/>
          <w:sz w:val="24"/>
          <w:szCs w:val="24"/>
        </w:rPr>
      </w:pPr>
      <w:r w:rsidRPr="006C2A36">
        <w:rPr>
          <w:rFonts w:ascii="Times New Roman" w:hAnsi="Times New Roman"/>
          <w:sz w:val="24"/>
          <w:szCs w:val="24"/>
        </w:rPr>
        <w:t>The activities of Phase II primarily centered on an extension of the records review and comparison with targeted, on-site visits with a sample of pilot agencies.  Due to the small numbers of incidents submitted to the data collection and the wide dispersion of pilot agencies, the FBI used a purposefully</w:t>
      </w:r>
      <w:r w:rsidR="00597128">
        <w:rPr>
          <w:rFonts w:ascii="Times New Roman" w:hAnsi="Times New Roman"/>
          <w:sz w:val="24"/>
          <w:szCs w:val="24"/>
        </w:rPr>
        <w:t xml:space="preserve"> </w:t>
      </w:r>
      <w:r w:rsidRPr="006C2A36">
        <w:rPr>
          <w:rFonts w:ascii="Times New Roman" w:hAnsi="Times New Roman"/>
          <w:sz w:val="24"/>
          <w:szCs w:val="24"/>
        </w:rPr>
        <w:t>chosen sample of agencies for on-site visits by FBI personnel.  The FBI</w:t>
      </w:r>
      <w:r>
        <w:rPr>
          <w:rFonts w:ascii="Times New Roman" w:hAnsi="Times New Roman"/>
          <w:sz w:val="24"/>
          <w:szCs w:val="24"/>
        </w:rPr>
        <w:t>,</w:t>
      </w:r>
      <w:r w:rsidRPr="006C2A36">
        <w:rPr>
          <w:rFonts w:ascii="Times New Roman" w:hAnsi="Times New Roman"/>
          <w:sz w:val="24"/>
          <w:szCs w:val="24"/>
        </w:rPr>
        <w:t xml:space="preserve"> in consultation with the BJS</w:t>
      </w:r>
      <w:r>
        <w:rPr>
          <w:rFonts w:ascii="Times New Roman" w:hAnsi="Times New Roman"/>
          <w:sz w:val="24"/>
          <w:szCs w:val="24"/>
        </w:rPr>
        <w:t>,</w:t>
      </w:r>
      <w:r w:rsidRPr="006C2A36">
        <w:rPr>
          <w:rFonts w:ascii="Times New Roman" w:hAnsi="Times New Roman"/>
          <w:sz w:val="24"/>
          <w:szCs w:val="24"/>
        </w:rPr>
        <w:t xml:space="preserve"> selected six agencies in four locations to represent key areas of variation and diversity for reporting agencies.  There were three major metropolitan police departments and two county agencies.  In addition, a state agency with primary responsibility for reporting data for all agencies in the state was also included.</w:t>
      </w:r>
    </w:p>
    <w:p w14:paraId="361012D2" w14:textId="77777777" w:rsidR="009C6CCD" w:rsidRPr="006C2A36" w:rsidRDefault="009C6CCD" w:rsidP="00697735">
      <w:pPr>
        <w:spacing w:line="259" w:lineRule="auto"/>
        <w:ind w:left="360"/>
      </w:pPr>
      <w:r w:rsidRPr="006C2A36">
        <w:t xml:space="preserve">The primary objective of the on-site visits was to understand factors which contributed to the level of underreporting of within-scope incidents—especially those with serious bodily injury or firearm discharges.  The on-site visits also allowed for an assessment of local record-keeping capabilities.  While this did not allow for an estimate of the level of underreporting by agencies, the information and insight gained from the </w:t>
      </w:r>
      <w:r>
        <w:t>on-</w:t>
      </w:r>
      <w:r w:rsidRPr="006C2A36">
        <w:t>site visits allowed the FBI to develop appropriate responses to mitigate those effects.</w:t>
      </w:r>
    </w:p>
    <w:p w14:paraId="21AEDD54" w14:textId="77777777" w:rsidR="009C6CCD" w:rsidRPr="006C2A36" w:rsidRDefault="009C6CCD" w:rsidP="009C6CCD"/>
    <w:p w14:paraId="26A95E09" w14:textId="6058C808" w:rsidR="009C6CCD" w:rsidRPr="006C2A36" w:rsidRDefault="00AA4D3B" w:rsidP="00AA4D3B">
      <w:pPr>
        <w:tabs>
          <w:tab w:val="left" w:pos="360"/>
        </w:tabs>
        <w:spacing w:line="259" w:lineRule="auto"/>
      </w:pPr>
      <w:r>
        <w:tab/>
      </w:r>
      <w:r w:rsidR="009C6CCD" w:rsidRPr="006C2A36">
        <w:t>The objectives of Phase II were:</w:t>
      </w:r>
    </w:p>
    <w:p w14:paraId="4A89537D" w14:textId="25E1EA40" w:rsidR="009C6CCD" w:rsidRPr="006C2A36" w:rsidRDefault="009C6CCD" w:rsidP="009C6CCD">
      <w:pPr>
        <w:pStyle w:val="ListParagraph"/>
        <w:numPr>
          <w:ilvl w:val="0"/>
          <w:numId w:val="10"/>
        </w:numPr>
        <w:spacing w:after="0"/>
        <w:rPr>
          <w:rFonts w:ascii="Times New Roman" w:hAnsi="Times New Roman"/>
          <w:sz w:val="24"/>
          <w:szCs w:val="24"/>
        </w:rPr>
      </w:pPr>
      <w:r w:rsidRPr="006C2A36">
        <w:rPr>
          <w:rFonts w:ascii="Times New Roman" w:hAnsi="Times New Roman"/>
          <w:sz w:val="24"/>
          <w:szCs w:val="24"/>
        </w:rPr>
        <w:t>To ascertain factors which contributed to either underreporting or over-reporting of incidents</w:t>
      </w:r>
      <w:r w:rsidR="004D7117">
        <w:rPr>
          <w:rFonts w:ascii="Times New Roman" w:hAnsi="Times New Roman"/>
          <w:sz w:val="24"/>
          <w:szCs w:val="24"/>
        </w:rPr>
        <w:t>.</w:t>
      </w:r>
    </w:p>
    <w:p w14:paraId="1154C28C" w14:textId="77777777" w:rsidR="009C6CCD" w:rsidRPr="006C2A36" w:rsidRDefault="009C6CCD">
      <w:pPr>
        <w:pStyle w:val="ListParagraph"/>
        <w:numPr>
          <w:ilvl w:val="0"/>
          <w:numId w:val="10"/>
        </w:numPr>
        <w:spacing w:after="0"/>
        <w:rPr>
          <w:rFonts w:ascii="Times New Roman" w:hAnsi="Times New Roman"/>
          <w:sz w:val="24"/>
          <w:szCs w:val="24"/>
        </w:rPr>
      </w:pPr>
      <w:r w:rsidRPr="006C2A36">
        <w:rPr>
          <w:rFonts w:ascii="Times New Roman" w:hAnsi="Times New Roman"/>
          <w:sz w:val="24"/>
          <w:szCs w:val="24"/>
        </w:rPr>
        <w:t>To assess whether any incidents occurred which should have been reported to the National UoF Data Collection, based upon the definition of serious bodily injury or firearm discharges, but were not.</w:t>
      </w:r>
    </w:p>
    <w:p w14:paraId="7BB82A0E" w14:textId="77777777" w:rsidR="009C6CCD" w:rsidRPr="006C2A36" w:rsidRDefault="009C6CCD">
      <w:pPr>
        <w:pStyle w:val="ListParagraph"/>
        <w:numPr>
          <w:ilvl w:val="0"/>
          <w:numId w:val="10"/>
        </w:numPr>
        <w:spacing w:after="0"/>
        <w:rPr>
          <w:rFonts w:ascii="Times New Roman" w:hAnsi="Times New Roman"/>
          <w:sz w:val="24"/>
          <w:szCs w:val="24"/>
        </w:rPr>
      </w:pPr>
      <w:r w:rsidRPr="006C2A36">
        <w:rPr>
          <w:rFonts w:ascii="Times New Roman" w:hAnsi="Times New Roman"/>
          <w:sz w:val="24"/>
          <w:szCs w:val="24"/>
        </w:rPr>
        <w:t>To further explore factors negatively impacting the reliable recording of characteristics of incidents of law enforcement UoF as measured in the National UoF Data Collection.</w:t>
      </w:r>
    </w:p>
    <w:p w14:paraId="1DB139F6" w14:textId="48FEB9D7" w:rsidR="00AA4D3B" w:rsidRPr="006C2A36" w:rsidRDefault="009C6CCD" w:rsidP="00697735">
      <w:pPr>
        <w:pStyle w:val="ListParagraph"/>
        <w:ind w:left="1080"/>
        <w:rPr>
          <w:rFonts w:ascii="Times New Roman" w:hAnsi="Times New Roman"/>
          <w:sz w:val="24"/>
          <w:szCs w:val="24"/>
        </w:rPr>
      </w:pPr>
      <w:r w:rsidRPr="006C2A36">
        <w:rPr>
          <w:rFonts w:ascii="Times New Roman" w:hAnsi="Times New Roman"/>
          <w:sz w:val="24"/>
          <w:szCs w:val="24"/>
        </w:rPr>
        <w:t>To allow for an assessment of local-record-keeping capabilities and testing of any possible adjustments made to the language of instructions and data elements or changes to the data collection which may have been implemented during Phase I.</w:t>
      </w:r>
    </w:p>
    <w:p w14:paraId="330949D1" w14:textId="77777777" w:rsidR="00356D00" w:rsidRPr="00666708" w:rsidRDefault="00356D00" w:rsidP="00356D00">
      <w:pPr>
        <w:ind w:left="360"/>
      </w:pPr>
      <w:r w:rsidRPr="00666708">
        <w:t xml:space="preserve">The Phase II of the pilot study </w:t>
      </w:r>
      <w:r>
        <w:t>lasted</w:t>
      </w:r>
      <w:r w:rsidRPr="00666708">
        <w:t xml:space="preserve"> three months and </w:t>
      </w:r>
      <w:r>
        <w:t>began</w:t>
      </w:r>
      <w:r w:rsidRPr="00666708">
        <w:t xml:space="preserve"> at the conclusion of Phase I</w:t>
      </w:r>
      <w:r>
        <w:t xml:space="preserve"> on October 1, 2017 concluding on December 31, 2017</w:t>
      </w:r>
      <w:r w:rsidRPr="00666708">
        <w:t>.</w:t>
      </w:r>
      <w:r>
        <w:t xml:space="preserve">  The results of Phase II of the pilot study were provided to the OMB at its conclusion and did not include any substantive changes.  The full collection of the data will not proceed until clearance from OMB is received.</w:t>
      </w:r>
      <w:r w:rsidRPr="00666708">
        <w:t xml:space="preserve">  </w:t>
      </w:r>
    </w:p>
    <w:p w14:paraId="1AD5A1F4" w14:textId="77777777" w:rsidR="003E24CF" w:rsidRPr="003E24CF" w:rsidRDefault="003E24CF" w:rsidP="00697735"/>
    <w:p w14:paraId="10B2C47E" w14:textId="77777777" w:rsidR="003E24CF" w:rsidRPr="00595985" w:rsidRDefault="003E24CF" w:rsidP="003E24CF">
      <w:pPr>
        <w:pStyle w:val="ListParagraph"/>
        <w:ind w:left="360"/>
        <w:rPr>
          <w:rFonts w:ascii="Times New Roman" w:hAnsi="Times New Roman"/>
          <w:b/>
          <w:i/>
          <w:sz w:val="24"/>
          <w:szCs w:val="24"/>
        </w:rPr>
      </w:pPr>
      <w:r w:rsidRPr="00595985">
        <w:rPr>
          <w:rFonts w:ascii="Times New Roman" w:hAnsi="Times New Roman"/>
          <w:b/>
          <w:i/>
          <w:sz w:val="24"/>
          <w:szCs w:val="24"/>
        </w:rPr>
        <w:t>Analytical Plan and Publication from Pilot Study</w:t>
      </w:r>
    </w:p>
    <w:p w14:paraId="3528C7C0" w14:textId="11769A68" w:rsidR="00634B3F" w:rsidRDefault="004D7117" w:rsidP="00697735">
      <w:pPr>
        <w:ind w:left="360"/>
      </w:pPr>
      <w:r>
        <w:t>Following OMB approval,</w:t>
      </w:r>
      <w:r w:rsidR="009C6CCD" w:rsidRPr="006C2A36">
        <w:t xml:space="preserve"> the FBI will release a report  at the request of law enforcement, detailing the results of its pilot study data collection and analysis.  The results from the pilot study will be released to the public and will consist of primarily three sections.  The first section will provide the results of the on-site assessment regarding underreporting and completeness, as well as an assessment of the reliability of reported data from the Phase I records review.  All results in this section will be pooled, and no individual agency will be identified.  The second section will provide results of the analysis of nonresponse and missing data—to include refusals to participate in the pilot study.  This section will also identify whether a need clearly exists for a nonresponse bias study and a proposed methodology for the study.  Again, all results will be pooled, and no individual agency will be identified in the second section.  As the pilot study only has two phases, the third section of the report will detail the data collection policies and procedures which will assist with maintaining data quality and completeness as a permanent and final data collection.  The third section will also detail any on-going collaboration and partnership between the FBI and the BJS to achieve and maintain a high-level of data quality.  Finally, an optional fourth section will list basic agency-level counts of reported data from all participating agencies as a showcase of item completeness and quality.  In addition to the public report, the FBI will provide opportunities for the participating agencies in the two phases of the pilot study to hear the results directly and ask questions.  This will occur through teleconferences.</w:t>
      </w:r>
    </w:p>
    <w:p w14:paraId="7883F081" w14:textId="77777777" w:rsidR="008D0DEA" w:rsidRDefault="008D0DEA" w:rsidP="00697735">
      <w:pPr>
        <w:ind w:left="360"/>
      </w:pPr>
    </w:p>
    <w:p w14:paraId="78AE8A4F" w14:textId="77777777" w:rsidR="008D0DEA" w:rsidRPr="00595985" w:rsidRDefault="008D0DEA" w:rsidP="008D0DEA">
      <w:pPr>
        <w:pStyle w:val="Heading2"/>
        <w:ind w:firstLine="360"/>
        <w:rPr>
          <w:rFonts w:ascii="Times New Roman" w:hAnsi="Times New Roman" w:cs="Times New Roman"/>
          <w:b/>
          <w:i/>
          <w:color w:val="auto"/>
          <w:sz w:val="24"/>
          <w:szCs w:val="24"/>
        </w:rPr>
      </w:pPr>
      <w:r w:rsidRPr="00595985">
        <w:rPr>
          <w:rFonts w:ascii="Times New Roman" w:hAnsi="Times New Roman" w:cs="Times New Roman"/>
          <w:b/>
          <w:i/>
          <w:color w:val="auto"/>
          <w:sz w:val="24"/>
          <w:szCs w:val="24"/>
        </w:rPr>
        <w:t>Terms of Clearance</w:t>
      </w:r>
    </w:p>
    <w:p w14:paraId="5AFCE5DE" w14:textId="77777777" w:rsidR="008D0DEA" w:rsidRPr="00595985" w:rsidRDefault="008D0DEA" w:rsidP="008D0DEA">
      <w:pPr>
        <w:rPr>
          <w:b/>
        </w:rPr>
      </w:pPr>
    </w:p>
    <w:p w14:paraId="330B6884" w14:textId="77777777" w:rsidR="008D0DEA" w:rsidRPr="00E66930" w:rsidRDefault="008D0DEA" w:rsidP="008D0DEA">
      <w:pPr>
        <w:ind w:left="360"/>
      </w:pPr>
      <w:r w:rsidRPr="00E66930">
        <w:t>The FBI recognizes the importance of response rates and population coverage for the ability of the National UoF Data Collection to generate valid national estimates of the UoF by police officers.  After consultation with OMB, FBI agrees to the following terms of clearance describing the quality standards which will apply to the dissemination of the results.  For the purpose of these conditions, “coverage rate” refers to the total law enforcement officer population covered by UoF.  In addition, “coverage rate” will be considered on both a state-by-state basis, as well as a national scale.  “Key variables” include subject injuries received and type of force used.  Item non-response refers to the percent of respondents that either do not answer the question associated with a key variable or answer “unknown and unlikely to ever be known.”</w:t>
      </w:r>
    </w:p>
    <w:p w14:paraId="57B554E3" w14:textId="77777777" w:rsidR="008D0DEA" w:rsidRPr="00E66930" w:rsidRDefault="008D0DEA" w:rsidP="008D0DEA">
      <w:pPr>
        <w:rPr>
          <w:rFonts w:eastAsiaTheme="minorHAnsi"/>
        </w:rPr>
      </w:pPr>
    </w:p>
    <w:p w14:paraId="62866680" w14:textId="77777777" w:rsidR="008D0DEA" w:rsidRPr="0001755F" w:rsidRDefault="008D0DEA" w:rsidP="008D0DEA">
      <w:pPr>
        <w:ind w:firstLine="360"/>
      </w:pPr>
      <w:r w:rsidRPr="00220B17">
        <w:t>For the first year of collection</w:t>
      </w:r>
      <w:r w:rsidRPr="0001755F">
        <w:t>,</w:t>
      </w:r>
    </w:p>
    <w:p w14:paraId="591714C4" w14:textId="77777777" w:rsidR="008D0DEA" w:rsidRPr="00E66930" w:rsidRDefault="008D0DEA" w:rsidP="008D0DEA">
      <w:r w:rsidRPr="00E66930">
        <w:t xml:space="preserve"> </w:t>
      </w:r>
    </w:p>
    <w:p w14:paraId="65847BFE" w14:textId="77777777" w:rsidR="008D0DEA" w:rsidRPr="00E66930" w:rsidRDefault="008D0DEA" w:rsidP="008D0DEA">
      <w:pPr>
        <w:pStyle w:val="ListParagraph"/>
        <w:numPr>
          <w:ilvl w:val="0"/>
          <w:numId w:val="49"/>
        </w:numPr>
        <w:spacing w:line="252" w:lineRule="auto"/>
        <w:ind w:left="990"/>
        <w:rPr>
          <w:rFonts w:ascii="Times New Roman" w:hAnsi="Times New Roman"/>
          <w:sz w:val="24"/>
          <w:szCs w:val="24"/>
        </w:rPr>
      </w:pPr>
      <w:r w:rsidRPr="00E66930">
        <w:rPr>
          <w:rFonts w:ascii="Times New Roman" w:hAnsi="Times New Roman"/>
          <w:sz w:val="24"/>
          <w:szCs w:val="24"/>
        </w:rPr>
        <w:t>If the coverage rate is 80 percent or greater and the item non-response is 30 percent or less, then no conditions apply to the dissemination of the results.</w:t>
      </w:r>
    </w:p>
    <w:p w14:paraId="2695A27B" w14:textId="77777777" w:rsidR="008D0DEA" w:rsidRPr="00E66930" w:rsidRDefault="008D0DEA" w:rsidP="008D0DEA">
      <w:pPr>
        <w:pStyle w:val="ListParagraph"/>
        <w:numPr>
          <w:ilvl w:val="0"/>
          <w:numId w:val="49"/>
        </w:numPr>
        <w:spacing w:line="252" w:lineRule="auto"/>
        <w:ind w:left="990"/>
        <w:rPr>
          <w:rFonts w:ascii="Times New Roman" w:hAnsi="Times New Roman"/>
          <w:sz w:val="24"/>
          <w:szCs w:val="24"/>
        </w:rPr>
      </w:pPr>
      <w:r w:rsidRPr="00E66930">
        <w:rPr>
          <w:rFonts w:ascii="Times New Roman" w:hAnsi="Times New Roman"/>
          <w:sz w:val="24"/>
          <w:szCs w:val="24"/>
        </w:rPr>
        <w:t>If the coverage rate is between 60 percent and 80 percent or the item non-response is greater than 30 percent, then the FBI will not release counts or totals, but may release ratios or percentages.</w:t>
      </w:r>
    </w:p>
    <w:p w14:paraId="55870F0A" w14:textId="77777777" w:rsidR="008D0DEA" w:rsidRPr="00E66930" w:rsidRDefault="008D0DEA" w:rsidP="008D0DEA">
      <w:pPr>
        <w:pStyle w:val="ListParagraph"/>
        <w:numPr>
          <w:ilvl w:val="0"/>
          <w:numId w:val="49"/>
        </w:numPr>
        <w:spacing w:line="252" w:lineRule="auto"/>
        <w:ind w:left="990"/>
        <w:rPr>
          <w:rFonts w:ascii="Times New Roman" w:hAnsi="Times New Roman"/>
          <w:sz w:val="24"/>
          <w:szCs w:val="24"/>
        </w:rPr>
      </w:pPr>
      <w:r w:rsidRPr="00E66930">
        <w:rPr>
          <w:rFonts w:ascii="Times New Roman" w:hAnsi="Times New Roman"/>
          <w:sz w:val="24"/>
          <w:szCs w:val="24"/>
        </w:rPr>
        <w:t>If the coverage rate is between 40 percent and 60 percent, then the FBI may release only the response percentages for the key variables across the entire population and for subpopulations which represent 20 percent or more of the total population.</w:t>
      </w:r>
    </w:p>
    <w:p w14:paraId="3958E1FA" w14:textId="77777777" w:rsidR="008D0DEA" w:rsidRPr="00E66930" w:rsidRDefault="008D0DEA" w:rsidP="008D0DEA">
      <w:pPr>
        <w:pStyle w:val="ListParagraph"/>
        <w:numPr>
          <w:ilvl w:val="0"/>
          <w:numId w:val="49"/>
        </w:numPr>
        <w:spacing w:line="252" w:lineRule="auto"/>
        <w:ind w:left="990"/>
        <w:rPr>
          <w:rFonts w:ascii="Times New Roman" w:hAnsi="Times New Roman"/>
          <w:sz w:val="24"/>
          <w:szCs w:val="24"/>
        </w:rPr>
      </w:pPr>
      <w:r w:rsidRPr="00E66930">
        <w:rPr>
          <w:rFonts w:ascii="Times New Roman" w:hAnsi="Times New Roman"/>
          <w:sz w:val="24"/>
          <w:szCs w:val="24"/>
        </w:rPr>
        <w:t>If the coverage rate is less than 40 percent, the FBI will not disseminate results.</w:t>
      </w:r>
    </w:p>
    <w:p w14:paraId="21E20A84" w14:textId="0E0E4932" w:rsidR="008D0DEA" w:rsidRDefault="008D0DEA" w:rsidP="00697735">
      <w:pPr>
        <w:ind w:left="360"/>
      </w:pPr>
      <w:r w:rsidRPr="00E66930">
        <w:t xml:space="preserve">In subsequent years, if any combination of conditions three and four are met for three consecutive years, or if condition four is met for two consecutive years, then the FBI will discontinue the collection and explore alternate approaches for collecting the information, for example by working cooperatively with the </w:t>
      </w:r>
      <w:r w:rsidR="00256C6B">
        <w:t>BJS</w:t>
      </w:r>
      <w:r w:rsidRPr="00E66930">
        <w:t xml:space="preserve"> to expand their current efforts to collect information on deaths in custody, to include law enforcement.</w:t>
      </w:r>
    </w:p>
    <w:p w14:paraId="3CB17777" w14:textId="77777777" w:rsidR="007C6C6B" w:rsidRPr="00A02298" w:rsidRDefault="007C6C6B"/>
    <w:p w14:paraId="7F40EBDD" w14:textId="34FDE72B" w:rsidR="00CF534E" w:rsidRPr="00A02298" w:rsidRDefault="00CF534E">
      <w:r w:rsidRPr="00A02298">
        <w:t xml:space="preserve">3.  </w:t>
      </w:r>
      <w:r w:rsidRPr="00595985">
        <w:rPr>
          <w:u w:val="single"/>
        </w:rPr>
        <w:t>Use of Technology</w:t>
      </w:r>
    </w:p>
    <w:p w14:paraId="78A5831B" w14:textId="77777777" w:rsidR="00CF534E" w:rsidRPr="00A02298" w:rsidRDefault="00CF534E"/>
    <w:p w14:paraId="00A38C89" w14:textId="67A700E1" w:rsidR="0048246C" w:rsidRPr="00A02298" w:rsidRDefault="0048246C" w:rsidP="0048246C">
      <w:pPr>
        <w:ind w:left="360"/>
      </w:pPr>
      <w:r w:rsidRPr="00A02298">
        <w:t xml:space="preserve">The National </w:t>
      </w:r>
      <w:r w:rsidR="00BF1803">
        <w:t>UoF</w:t>
      </w:r>
      <w:r w:rsidRPr="00A02298">
        <w:t xml:space="preserve"> Data Collection</w:t>
      </w:r>
      <w:r w:rsidR="00BA0E5F">
        <w:t xml:space="preserve"> </w:t>
      </w:r>
      <w:r w:rsidRPr="00A02298">
        <w:t>provide</w:t>
      </w:r>
      <w:r w:rsidR="00BA0E5F">
        <w:t>s</w:t>
      </w:r>
      <w:r w:rsidRPr="00A02298">
        <w:t xml:space="preserve"> a centralized repository for the responsible (local, state, tribal, and federal law enforcement) representatives to submit data on the circumstances, individuals, and officers involved in use-of-force incidents. </w:t>
      </w:r>
      <w:r w:rsidR="009865FA">
        <w:t xml:space="preserve"> </w:t>
      </w:r>
      <w:r w:rsidRPr="00A02298">
        <w:t xml:space="preserve">The system is a robust tool that enables the nation’s law enforcement communities to capture, submit, and publish timely and accurate use-of-force data. Two types of interfaces are </w:t>
      </w:r>
      <w:r w:rsidR="00BA0E5F">
        <w:t>available</w:t>
      </w:r>
      <w:r w:rsidR="00BA0E5F" w:rsidRPr="00A02298">
        <w:t xml:space="preserve"> </w:t>
      </w:r>
      <w:r w:rsidRPr="00A02298">
        <w:t xml:space="preserve">for the final system: The National </w:t>
      </w:r>
      <w:r w:rsidR="00BF1803">
        <w:t>UoF</w:t>
      </w:r>
      <w:r w:rsidRPr="00A02298">
        <w:t xml:space="preserve"> Data Collection portal for users who wish to utilize an FBI</w:t>
      </w:r>
      <w:r w:rsidR="009865FA">
        <w:t>-</w:t>
      </w:r>
      <w:r w:rsidRPr="00A02298">
        <w:t>developed interface to submit and manage their agencies use-of-force incidents, or a Bulk Data Submission capability, allowing agencies with existing automated data capture and reporting system to generate a standards based electronic file for submission.  This gives agencies the choice to report data in a manner that best aligns with their current technical capabilities and reporting processes.  Within the portal, users are provided prompted-navigation through each screen, values such as: “Save”, “Pending Investigation”, and “Unknown”  enable contributor</w:t>
      </w:r>
      <w:r w:rsidR="00291934">
        <w:t>s</w:t>
      </w:r>
      <w:r w:rsidRPr="00A02298">
        <w:t xml:space="preserve"> to start an incident report without having all of the data</w:t>
      </w:r>
      <w:r w:rsidR="00291934">
        <w:t>,</w:t>
      </w:r>
      <w:r w:rsidRPr="00A02298">
        <w:t xml:space="preserve"> and then return to complete and submit the report at a later time.  A Zero Report </w:t>
      </w:r>
      <w:r w:rsidR="00951E78">
        <w:t xml:space="preserve">feature </w:t>
      </w:r>
      <w:r w:rsidRPr="00A02298">
        <w:t>allow</w:t>
      </w:r>
      <w:r w:rsidR="00951E78">
        <w:t>s</w:t>
      </w:r>
      <w:r w:rsidRPr="00A02298">
        <w:t xml:space="preserve"> agencies who have no use-of-force incidents within a month to report there were no incidents.  Zero Reports allow the FBI to understand </w:t>
      </w:r>
      <w:r w:rsidR="00951E78">
        <w:t xml:space="preserve">jurisdictions which had </w:t>
      </w:r>
      <w:r w:rsidRPr="00A02298">
        <w:t xml:space="preserve">no incidents versus agencies who did not report. </w:t>
      </w:r>
      <w:r w:rsidR="00951E78">
        <w:t xml:space="preserve"> </w:t>
      </w:r>
      <w:r w:rsidRPr="00A02298">
        <w:t>Detailed information about these and other features are included within this document.</w:t>
      </w:r>
    </w:p>
    <w:p w14:paraId="1D5322A3" w14:textId="77777777" w:rsidR="0048246C" w:rsidRPr="00A02298" w:rsidRDefault="0048246C" w:rsidP="0048246C">
      <w:pPr>
        <w:ind w:left="360"/>
      </w:pPr>
    </w:p>
    <w:p w14:paraId="196489E8" w14:textId="430031C4" w:rsidR="0048246C" w:rsidRPr="00A02298" w:rsidRDefault="0048246C" w:rsidP="0048246C">
      <w:pPr>
        <w:ind w:left="360"/>
      </w:pPr>
      <w:r w:rsidRPr="00A02298">
        <w:t xml:space="preserve">All users access the portal through the LEEP.  The portal uses the LEEP authentication and the related user account within the use-of-force application to provide role-based access to information and functionality within the software.  The FBI established a </w:t>
      </w:r>
      <w:r w:rsidR="00BF1803">
        <w:t xml:space="preserve">UoF </w:t>
      </w:r>
      <w:r w:rsidRPr="00A02298">
        <w:t xml:space="preserve">Data Collection help desk </w:t>
      </w:r>
      <w:r w:rsidR="00BA0E5F">
        <w:t xml:space="preserve">which </w:t>
      </w:r>
      <w:r w:rsidRPr="00A02298">
        <w:t xml:space="preserve">provides a full range of support including user enrollment, workflow navigation, and troubleshooting technical or access issues. </w:t>
      </w:r>
    </w:p>
    <w:p w14:paraId="410B3B39" w14:textId="77777777" w:rsidR="00CF534E" w:rsidRPr="00A02298" w:rsidRDefault="00CF534E"/>
    <w:p w14:paraId="66EBC2CC" w14:textId="77777777" w:rsidR="00CF534E" w:rsidRPr="00A02298" w:rsidRDefault="00CF534E">
      <w:pPr>
        <w:sectPr w:rsidR="00CF534E" w:rsidRPr="00A02298">
          <w:footerReference w:type="default" r:id="rId9"/>
          <w:pgSz w:w="12240" w:h="15840"/>
          <w:pgMar w:top="1440" w:right="1440" w:bottom="1350" w:left="1440" w:header="1440" w:footer="1350" w:gutter="0"/>
          <w:cols w:space="720"/>
          <w:noEndnote/>
        </w:sectPr>
      </w:pPr>
    </w:p>
    <w:p w14:paraId="7D9D0065" w14:textId="092C4855" w:rsidR="00CF534E" w:rsidRPr="00A02298" w:rsidRDefault="00CF534E">
      <w:r w:rsidRPr="00A02298">
        <w:t xml:space="preserve">4.  </w:t>
      </w:r>
      <w:r w:rsidRPr="00595985">
        <w:rPr>
          <w:u w:val="single"/>
        </w:rPr>
        <w:t>Efforts to Identify Duplication</w:t>
      </w:r>
    </w:p>
    <w:p w14:paraId="0B251F4D" w14:textId="77777777" w:rsidR="00CF534E" w:rsidRPr="00A02298" w:rsidRDefault="00CF534E"/>
    <w:p w14:paraId="2A2E8326" w14:textId="68928BA9" w:rsidR="0048246C" w:rsidRPr="00A02298" w:rsidRDefault="0048246C" w:rsidP="0048246C">
      <w:pPr>
        <w:ind w:left="360"/>
      </w:pPr>
      <w:r w:rsidRPr="00A02298">
        <w:t xml:space="preserve">The National </w:t>
      </w:r>
      <w:r w:rsidR="00BF1803">
        <w:t>UoF</w:t>
      </w:r>
      <w:r w:rsidRPr="00A02298">
        <w:t xml:space="preserve"> Data Collection has the potential to create duplicative reporting of similar information by </w:t>
      </w:r>
      <w:r w:rsidR="00772204">
        <w:t xml:space="preserve">LEAs </w:t>
      </w:r>
      <w:r w:rsidRPr="00A02298">
        <w:t xml:space="preserve">to the DOJ.  Both the National </w:t>
      </w:r>
      <w:r w:rsidR="00BF1803">
        <w:t>UoF</w:t>
      </w:r>
      <w:r w:rsidRPr="00A02298">
        <w:t xml:space="preserve"> Data Collection and the DOJ’s Death in Custody Reporting Act of 2013 (DICRA) collection amass data on fatalities that result from a use of force by law enforcement.  However, information in the DOJ’s collection on in-custody deaths </w:t>
      </w:r>
      <w:r w:rsidR="004E37B2">
        <w:t>which</w:t>
      </w:r>
      <w:r w:rsidRPr="00A02298">
        <w:t xml:space="preserve"> result from accidents, suicides, and natural causes will not be a part of the </w:t>
      </w:r>
      <w:r w:rsidR="004E37B2">
        <w:t xml:space="preserve">National </w:t>
      </w:r>
      <w:r w:rsidR="00BF1803">
        <w:t>UoF</w:t>
      </w:r>
      <w:r w:rsidR="004E37B2">
        <w:t xml:space="preserve"> Data</w:t>
      </w:r>
      <w:r w:rsidR="004E37B2" w:rsidRPr="00A02298">
        <w:t xml:space="preserve"> </w:t>
      </w:r>
      <w:r w:rsidR="004E37B2">
        <w:t>C</w:t>
      </w:r>
      <w:r w:rsidRPr="00A02298">
        <w:t xml:space="preserve">ollection.  Conversely, the FBI </w:t>
      </w:r>
      <w:r w:rsidR="004E37B2">
        <w:t>is</w:t>
      </w:r>
      <w:r w:rsidRPr="00A02298">
        <w:t xml:space="preserve"> collecting information on some nonfatal encounters between law enforcement and </w:t>
      </w:r>
      <w:r w:rsidR="00595985">
        <w:t>subjects</w:t>
      </w:r>
      <w:r w:rsidRPr="00A02298">
        <w:t xml:space="preserve"> </w:t>
      </w:r>
      <w:r w:rsidR="004E37B2">
        <w:t>which</w:t>
      </w:r>
      <w:r w:rsidRPr="00A02298">
        <w:t xml:space="preserve"> are not within the scope of the DOJ’s collection.  The </w:t>
      </w:r>
      <w:r w:rsidR="004E37B2">
        <w:t xml:space="preserve">National </w:t>
      </w:r>
      <w:r w:rsidR="00BF1803">
        <w:t>UoF</w:t>
      </w:r>
      <w:r w:rsidR="004E37B2">
        <w:t xml:space="preserve"> Data</w:t>
      </w:r>
      <w:r w:rsidRPr="00A02298">
        <w:t xml:space="preserve"> </w:t>
      </w:r>
      <w:r w:rsidR="004E37B2">
        <w:t>C</w:t>
      </w:r>
      <w:r w:rsidRPr="00A02298">
        <w:t xml:space="preserve">ollection also provides a way to ascertain information about the officers involved in instances of use of force by law enforcement </w:t>
      </w:r>
      <w:r w:rsidR="004E37B2">
        <w:t>which</w:t>
      </w:r>
      <w:r w:rsidRPr="00A02298">
        <w:t xml:space="preserve"> is not collected within the DOJ’s collection.</w:t>
      </w:r>
    </w:p>
    <w:p w14:paraId="556A08CB" w14:textId="77777777" w:rsidR="0048246C" w:rsidRPr="00A02298" w:rsidRDefault="00A50E5E" w:rsidP="0048246C">
      <w:pPr>
        <w:keepNext/>
        <w:ind w:left="360"/>
      </w:pPr>
      <w:r w:rsidRPr="00A02298">
        <w:rPr>
          <w:noProof/>
        </w:rPr>
        <w:drawing>
          <wp:inline distT="0" distB="0" distL="0" distR="0" wp14:anchorId="1D8FA172" wp14:editId="2A3148F7">
            <wp:extent cx="5953125" cy="3343275"/>
            <wp:effectExtent l="19050" t="19050" r="28575" b="28575"/>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53125" cy="3343275"/>
                    </a:xfrm>
                    <a:prstGeom prst="rect">
                      <a:avLst/>
                    </a:prstGeom>
                    <a:noFill/>
                    <a:ln w="9525" cmpd="sng">
                      <a:solidFill>
                        <a:srgbClr val="5B9BD5"/>
                      </a:solidFill>
                      <a:miter lim="800000"/>
                      <a:headEnd/>
                      <a:tailEnd/>
                    </a:ln>
                    <a:effectLst/>
                  </pic:spPr>
                </pic:pic>
              </a:graphicData>
            </a:graphic>
          </wp:inline>
        </w:drawing>
      </w:r>
    </w:p>
    <w:p w14:paraId="5FE0323B" w14:textId="5904C99B" w:rsidR="0048246C" w:rsidRPr="00A02298" w:rsidRDefault="0048246C" w:rsidP="0048246C">
      <w:pPr>
        <w:pStyle w:val="Caption"/>
        <w:ind w:left="360"/>
        <w:rPr>
          <w:rFonts w:ascii="Times New Roman" w:hAnsi="Times New Roman"/>
          <w:sz w:val="24"/>
          <w:szCs w:val="24"/>
        </w:rPr>
      </w:pPr>
      <w:r w:rsidRPr="00A02298">
        <w:rPr>
          <w:rFonts w:ascii="Times New Roman" w:hAnsi="Times New Roman"/>
          <w:sz w:val="24"/>
          <w:szCs w:val="24"/>
        </w:rPr>
        <w:t xml:space="preserve">Figure </w:t>
      </w:r>
      <w:r w:rsidRPr="00A02298">
        <w:rPr>
          <w:rFonts w:ascii="Times New Roman" w:hAnsi="Times New Roman"/>
          <w:sz w:val="24"/>
          <w:szCs w:val="24"/>
        </w:rPr>
        <w:fldChar w:fldCharType="begin"/>
      </w:r>
      <w:r w:rsidRPr="00A02298">
        <w:rPr>
          <w:rFonts w:ascii="Times New Roman" w:hAnsi="Times New Roman"/>
          <w:sz w:val="24"/>
          <w:szCs w:val="24"/>
        </w:rPr>
        <w:instrText xml:space="preserve"> SEQ Figure \* ARABIC </w:instrText>
      </w:r>
      <w:r w:rsidRPr="00A02298">
        <w:rPr>
          <w:rFonts w:ascii="Times New Roman" w:hAnsi="Times New Roman"/>
          <w:sz w:val="24"/>
          <w:szCs w:val="24"/>
        </w:rPr>
        <w:fldChar w:fldCharType="separate"/>
      </w:r>
      <w:r w:rsidR="00514F4E">
        <w:rPr>
          <w:rFonts w:ascii="Times New Roman" w:hAnsi="Times New Roman"/>
          <w:noProof/>
          <w:sz w:val="24"/>
          <w:szCs w:val="24"/>
        </w:rPr>
        <w:t>1</w:t>
      </w:r>
      <w:r w:rsidRPr="00A02298">
        <w:rPr>
          <w:rFonts w:ascii="Times New Roman" w:hAnsi="Times New Roman"/>
          <w:noProof/>
          <w:sz w:val="24"/>
          <w:szCs w:val="24"/>
        </w:rPr>
        <w:fldChar w:fldCharType="end"/>
      </w:r>
      <w:r w:rsidRPr="00A02298">
        <w:rPr>
          <w:rFonts w:ascii="Times New Roman" w:hAnsi="Times New Roman"/>
          <w:sz w:val="24"/>
          <w:szCs w:val="24"/>
        </w:rPr>
        <w:t xml:space="preserve">. Scope of Data Collections from the DICRA and the </w:t>
      </w:r>
      <w:r w:rsidR="00595985">
        <w:rPr>
          <w:rFonts w:ascii="Times New Roman" w:hAnsi="Times New Roman"/>
          <w:sz w:val="24"/>
          <w:szCs w:val="24"/>
        </w:rPr>
        <w:t>National</w:t>
      </w:r>
      <w:r w:rsidRPr="00A02298">
        <w:rPr>
          <w:rFonts w:ascii="Times New Roman" w:hAnsi="Times New Roman"/>
          <w:sz w:val="24"/>
          <w:szCs w:val="24"/>
        </w:rPr>
        <w:t>Use-of-Force Collection</w:t>
      </w:r>
    </w:p>
    <w:p w14:paraId="36F3DD26" w14:textId="6C2AD6A6" w:rsidR="0048246C" w:rsidRPr="00A02298" w:rsidRDefault="0048246C" w:rsidP="0048246C">
      <w:pPr>
        <w:ind w:left="360"/>
      </w:pPr>
      <w:r w:rsidRPr="00A02298">
        <w:t xml:space="preserve">While duplicative reporting may be unavoidable in the maintenance of two data collections within the DOJ, the FBI is working closely with the DOJ to ensure there is no duplicative record-keeping by law enforcement.  </w:t>
      </w:r>
      <w:r w:rsidR="00917EB1">
        <w:t xml:space="preserve">  The FBI and the BJS will develop a communications strategy in order to manage any release of information on the subject of law enforcement use-of-force.  This strategy will specifically address any differences between the two agencies’ collections of use-of-force data in order to facilitate the proper interpretation of the data. </w:t>
      </w:r>
      <w:r w:rsidRPr="00A02298">
        <w:t xml:space="preserve"> </w:t>
      </w:r>
    </w:p>
    <w:p w14:paraId="4477BADE" w14:textId="77777777" w:rsidR="00F65D05" w:rsidRPr="00A02298" w:rsidRDefault="00F65D05"/>
    <w:p w14:paraId="4048BC1A" w14:textId="42799C2F" w:rsidR="00CF534E" w:rsidRPr="00A02298" w:rsidRDefault="00CF534E">
      <w:r w:rsidRPr="00A02298">
        <w:t xml:space="preserve">5.   </w:t>
      </w:r>
      <w:r w:rsidRPr="00595985">
        <w:rPr>
          <w:u w:val="single"/>
        </w:rPr>
        <w:t>Methods to Minimize Burden on Small Businesses</w:t>
      </w:r>
    </w:p>
    <w:p w14:paraId="41650909" w14:textId="77777777" w:rsidR="00CF534E" w:rsidRPr="00A02298" w:rsidRDefault="00CF534E"/>
    <w:p w14:paraId="5C188512" w14:textId="7D4B2DDA" w:rsidR="0048246C" w:rsidRPr="00A02298" w:rsidRDefault="0048246C" w:rsidP="0048246C">
      <w:pPr>
        <w:pStyle w:val="ListParagraph"/>
        <w:autoSpaceDE w:val="0"/>
        <w:autoSpaceDN w:val="0"/>
        <w:adjustRightInd w:val="0"/>
        <w:spacing w:after="0" w:line="240" w:lineRule="auto"/>
        <w:ind w:left="360"/>
        <w:rPr>
          <w:rFonts w:ascii="Times New Roman" w:hAnsi="Times New Roman"/>
          <w:sz w:val="24"/>
          <w:szCs w:val="24"/>
        </w:rPr>
      </w:pPr>
      <w:r w:rsidRPr="00A02298">
        <w:rPr>
          <w:rFonts w:ascii="Times New Roman" w:hAnsi="Times New Roman"/>
          <w:sz w:val="24"/>
          <w:szCs w:val="24"/>
        </w:rPr>
        <w:t xml:space="preserve">Small government entities may be impacted by the National </w:t>
      </w:r>
      <w:r w:rsidR="00BF1803">
        <w:rPr>
          <w:rFonts w:ascii="Times New Roman" w:hAnsi="Times New Roman"/>
          <w:sz w:val="24"/>
          <w:szCs w:val="24"/>
        </w:rPr>
        <w:t>UoF</w:t>
      </w:r>
      <w:r w:rsidRPr="00A02298">
        <w:rPr>
          <w:rFonts w:ascii="Times New Roman" w:hAnsi="Times New Roman"/>
          <w:sz w:val="24"/>
          <w:szCs w:val="24"/>
        </w:rPr>
        <w:t xml:space="preserve"> Data Collection.  In mitigation, the FBI built the data collection tool as a web portal </w:t>
      </w:r>
      <w:r w:rsidR="004E37B2">
        <w:rPr>
          <w:rFonts w:ascii="Times New Roman" w:hAnsi="Times New Roman"/>
          <w:sz w:val="24"/>
          <w:szCs w:val="24"/>
        </w:rPr>
        <w:t>which</w:t>
      </w:r>
      <w:r w:rsidRPr="00A02298">
        <w:rPr>
          <w:rFonts w:ascii="Times New Roman" w:hAnsi="Times New Roman"/>
          <w:sz w:val="24"/>
          <w:szCs w:val="24"/>
        </w:rPr>
        <w:t xml:space="preserve"> serve</w:t>
      </w:r>
      <w:r w:rsidR="004E37B2">
        <w:rPr>
          <w:rFonts w:ascii="Times New Roman" w:hAnsi="Times New Roman"/>
          <w:sz w:val="24"/>
          <w:szCs w:val="24"/>
        </w:rPr>
        <w:t>s</w:t>
      </w:r>
      <w:r w:rsidRPr="00A02298">
        <w:rPr>
          <w:rFonts w:ascii="Times New Roman" w:hAnsi="Times New Roman"/>
          <w:sz w:val="24"/>
          <w:szCs w:val="24"/>
        </w:rPr>
        <w:t xml:space="preserve"> as a low/no-cost solution to </w:t>
      </w:r>
      <w:r w:rsidR="00772204">
        <w:rPr>
          <w:rFonts w:ascii="Times New Roman" w:hAnsi="Times New Roman"/>
          <w:sz w:val="24"/>
          <w:szCs w:val="24"/>
        </w:rPr>
        <w:t>LEAs</w:t>
      </w:r>
      <w:r w:rsidRPr="00A02298">
        <w:rPr>
          <w:rFonts w:ascii="Times New Roman" w:hAnsi="Times New Roman"/>
          <w:sz w:val="24"/>
          <w:szCs w:val="24"/>
        </w:rPr>
        <w:t xml:space="preserve"> who do not have or plan to build their own collection system.</w:t>
      </w:r>
    </w:p>
    <w:p w14:paraId="33B5E579" w14:textId="77777777" w:rsidR="00CF534E" w:rsidRPr="00A02298" w:rsidRDefault="00CF534E"/>
    <w:p w14:paraId="643115F1" w14:textId="482AF064" w:rsidR="00CF534E" w:rsidRPr="00A02298" w:rsidRDefault="00CF534E" w:rsidP="00A02298">
      <w:pPr>
        <w:keepNext/>
      </w:pPr>
      <w:r w:rsidRPr="00A02298">
        <w:t xml:space="preserve">6.  </w:t>
      </w:r>
      <w:r w:rsidRPr="00595985">
        <w:rPr>
          <w:u w:val="single"/>
        </w:rPr>
        <w:t>Consequences of Less Frequent Collection</w:t>
      </w:r>
    </w:p>
    <w:p w14:paraId="4A23A73A" w14:textId="77777777" w:rsidR="00CF534E" w:rsidRPr="00A02298" w:rsidRDefault="00CF534E"/>
    <w:p w14:paraId="54D32C64" w14:textId="77777777" w:rsidR="0048246C" w:rsidRPr="00A02298" w:rsidRDefault="0048246C" w:rsidP="0048246C">
      <w:pPr>
        <w:ind w:left="360"/>
      </w:pPr>
      <w:r w:rsidRPr="00A02298">
        <w:t xml:space="preserve">Community leaders have called for changes to existing data collections on law enforcement use of force to understand facts and circumstances surrounding these incidents.  The response and leadership from the law enforcement community has been overwhelmingly positive, as law enforcement executives clearly recognize the need for better use-of-force data in support of their own mission and for greater transparency with the communities they serve.  Many of the major national and state law enforcement organizations have passed or are proposing resolutions and modeling policies to encourage their membership to provide better information on use-of-force incidents for the benefit of their diverse communities.  </w:t>
      </w:r>
    </w:p>
    <w:p w14:paraId="445AEDBE" w14:textId="0483DE28" w:rsidR="0048246C" w:rsidRPr="00A02298" w:rsidRDefault="0048246C" w:rsidP="0048246C">
      <w:pPr>
        <w:ind w:left="360"/>
      </w:pPr>
      <w:r w:rsidRPr="00A02298">
        <w:t xml:space="preserve">The United States Congress and state legislatures also are focusing attention on the current lack of standardized data available on law enforcement use-of-force incidents.  The FBI reviewed and provided comment on seven separate pieces of legislation </w:t>
      </w:r>
      <w:r w:rsidR="00E77D88">
        <w:t>which</w:t>
      </w:r>
      <w:r w:rsidR="00E77D88" w:rsidRPr="00A02298">
        <w:t xml:space="preserve"> </w:t>
      </w:r>
      <w:r w:rsidRPr="00A02298">
        <w:t xml:space="preserve">were introduced into Congress from 2014 to </w:t>
      </w:r>
      <w:r w:rsidR="00E77D88">
        <w:t>P</w:t>
      </w:r>
      <w:r w:rsidRPr="00A02298">
        <w:t>resent.  The DICRA was signed into law by</w:t>
      </w:r>
      <w:r w:rsidR="00E77D88">
        <w:t xml:space="preserve"> then</w:t>
      </w:r>
      <w:r w:rsidRPr="00A02298">
        <w:t xml:space="preserve"> President Barack Obama in December 2014, reestablishing the DOJ data collection on in-custody deaths.  In addition to activity on the national-level, many states, including Colorado and California, have passed additional legislation that requires the collection of use-of-force data by their law enforcement/criminal justice agencies. </w:t>
      </w:r>
    </w:p>
    <w:p w14:paraId="6F5F5DB3" w14:textId="77777777" w:rsidR="0048246C" w:rsidRPr="00A02298" w:rsidRDefault="0048246C" w:rsidP="0048246C">
      <w:pPr>
        <w:ind w:left="360"/>
      </w:pPr>
    </w:p>
    <w:p w14:paraId="389A8766" w14:textId="4E89D88A" w:rsidR="0048246C" w:rsidRPr="00A02298" w:rsidRDefault="0048246C" w:rsidP="0048246C">
      <w:pPr>
        <w:ind w:left="360"/>
      </w:pPr>
      <w:r w:rsidRPr="00A02298">
        <w:t xml:space="preserve">Finally, national leaders including </w:t>
      </w:r>
      <w:r w:rsidR="00E77D88">
        <w:t xml:space="preserve">former </w:t>
      </w:r>
      <w:r w:rsidRPr="00A02298">
        <w:t xml:space="preserve">President Obama and </w:t>
      </w:r>
      <w:r w:rsidR="00E77D88">
        <w:t xml:space="preserve">former </w:t>
      </w:r>
      <w:r w:rsidRPr="00A02298">
        <w:t>FBI Director James B. Comey have highlighted the need for greater understanding of the dynamics of law enforcement use of force.  President Obama convened the President’s Task Force on 21</w:t>
      </w:r>
      <w:r w:rsidRPr="00A02298">
        <w:rPr>
          <w:vertAlign w:val="superscript"/>
        </w:rPr>
        <w:t>st</w:t>
      </w:r>
      <w:r w:rsidRPr="00A02298">
        <w:t xml:space="preserve"> Century Policing, which released its final report in May 2015.  In the final report’s recommendations was a call for greater transparency and more data about police interactions with the public.  In his “Hard Truths” speech delivered at Georgetown University in February 2015, </w:t>
      </w:r>
      <w:r w:rsidR="00E77D88">
        <w:t xml:space="preserve">then </w:t>
      </w:r>
      <w:r w:rsidRPr="00A02298">
        <w:t xml:space="preserve">FBI Director Comey stated, “Without complete and accurate data, we are left with ‘ideological thunderbolts.’ ”  With the goal of increasing our understanding of law enforcement use of force, the FBI is leading an intensely collaborative process to both improve the information already collected on law enforcement use-of-force fatalities, as well as begin collecting nonfatal uses of force, to assist our society in understanding and dealing with these situations more effectively.  </w:t>
      </w:r>
    </w:p>
    <w:p w14:paraId="1B493923" w14:textId="77777777" w:rsidR="00CF534E" w:rsidRPr="00A02298" w:rsidRDefault="00CF534E"/>
    <w:p w14:paraId="6321A876" w14:textId="51EE5B74" w:rsidR="00CF534E" w:rsidRPr="00A02298" w:rsidRDefault="00CF534E">
      <w:r w:rsidRPr="00A02298">
        <w:t xml:space="preserve">7.  </w:t>
      </w:r>
      <w:r w:rsidRPr="00595985">
        <w:rPr>
          <w:u w:val="single"/>
        </w:rPr>
        <w:t>Special Circumstances Influencing Collection</w:t>
      </w:r>
    </w:p>
    <w:p w14:paraId="1D48B247" w14:textId="77777777" w:rsidR="00CF534E" w:rsidRPr="00A02298" w:rsidRDefault="00CF534E"/>
    <w:p w14:paraId="08EC077E" w14:textId="2516276B" w:rsidR="0048246C" w:rsidRPr="00A02298" w:rsidRDefault="0048246C" w:rsidP="0048246C">
      <w:pPr>
        <w:pStyle w:val="ListParagraph"/>
        <w:autoSpaceDE w:val="0"/>
        <w:autoSpaceDN w:val="0"/>
        <w:adjustRightInd w:val="0"/>
        <w:spacing w:after="0" w:line="240" w:lineRule="auto"/>
        <w:ind w:left="360"/>
        <w:rPr>
          <w:rFonts w:ascii="Times New Roman" w:hAnsi="Times New Roman"/>
          <w:sz w:val="24"/>
          <w:szCs w:val="24"/>
        </w:rPr>
      </w:pPr>
      <w:r w:rsidRPr="00A02298">
        <w:rPr>
          <w:rFonts w:ascii="Times New Roman" w:hAnsi="Times New Roman"/>
          <w:sz w:val="24"/>
          <w:szCs w:val="24"/>
        </w:rPr>
        <w:t xml:space="preserve">The FBI is requesting all local, state, tribal, and federal </w:t>
      </w:r>
      <w:r w:rsidR="00772204">
        <w:rPr>
          <w:rFonts w:ascii="Times New Roman" w:hAnsi="Times New Roman"/>
          <w:sz w:val="24"/>
          <w:szCs w:val="24"/>
        </w:rPr>
        <w:t>LEAs</w:t>
      </w:r>
      <w:r w:rsidRPr="00A02298">
        <w:rPr>
          <w:rFonts w:ascii="Times New Roman" w:hAnsi="Times New Roman"/>
          <w:sz w:val="24"/>
          <w:szCs w:val="24"/>
        </w:rPr>
        <w:t xml:space="preserve"> submit monthly reports of use-of-force incidents, to also include Zero Reports if no law enforcement use-of-force incident occurred to better qualify any existing national trends.  This is the same frequency of reporting requested for other </w:t>
      </w:r>
      <w:r w:rsidR="00256C6B">
        <w:rPr>
          <w:rFonts w:ascii="Times New Roman" w:hAnsi="Times New Roman"/>
          <w:sz w:val="24"/>
          <w:szCs w:val="24"/>
        </w:rPr>
        <w:t xml:space="preserve">FBI </w:t>
      </w:r>
      <w:r w:rsidRPr="00A02298">
        <w:rPr>
          <w:rFonts w:ascii="Times New Roman" w:hAnsi="Times New Roman"/>
          <w:sz w:val="24"/>
          <w:szCs w:val="24"/>
        </w:rPr>
        <w:t>UCR Program initiatives.</w:t>
      </w:r>
    </w:p>
    <w:p w14:paraId="61E81B01" w14:textId="77777777" w:rsidR="00CF534E" w:rsidRPr="00A02298" w:rsidRDefault="00CF534E"/>
    <w:p w14:paraId="2060D1FA" w14:textId="5DF2ECF7" w:rsidR="00CF534E" w:rsidRPr="00A02298" w:rsidRDefault="00CF534E">
      <w:r w:rsidRPr="00A02298">
        <w:t xml:space="preserve">8.  </w:t>
      </w:r>
      <w:r w:rsidRPr="00595985">
        <w:rPr>
          <w:u w:val="single"/>
        </w:rPr>
        <w:t>Public Comments and Consultations</w:t>
      </w:r>
    </w:p>
    <w:p w14:paraId="3D642AC7" w14:textId="77777777" w:rsidR="00CF534E" w:rsidRPr="00A02298" w:rsidRDefault="00CF534E"/>
    <w:p w14:paraId="46C9EEA8" w14:textId="77777777" w:rsidR="0048246C" w:rsidRPr="00A02298" w:rsidRDefault="0048246C" w:rsidP="0048246C">
      <w:pPr>
        <w:pStyle w:val="ListParagraph"/>
        <w:autoSpaceDE w:val="0"/>
        <w:autoSpaceDN w:val="0"/>
        <w:adjustRightInd w:val="0"/>
        <w:spacing w:after="0" w:line="240" w:lineRule="auto"/>
        <w:ind w:left="360"/>
        <w:rPr>
          <w:rFonts w:ascii="Times New Roman" w:hAnsi="Times New Roman"/>
          <w:b/>
          <w:sz w:val="24"/>
          <w:szCs w:val="24"/>
        </w:rPr>
      </w:pPr>
      <w:r w:rsidRPr="00A02298">
        <w:rPr>
          <w:rFonts w:ascii="Times New Roman" w:hAnsi="Times New Roman"/>
          <w:b/>
          <w:sz w:val="24"/>
          <w:szCs w:val="24"/>
        </w:rPr>
        <w:t>October 5, 2016 Pages 69084-69087</w:t>
      </w:r>
    </w:p>
    <w:p w14:paraId="4BD57F1E" w14:textId="77777777" w:rsidR="0048246C" w:rsidRPr="00A02298" w:rsidRDefault="0048246C" w:rsidP="0048246C">
      <w:pPr>
        <w:ind w:firstLine="360"/>
        <w:rPr>
          <w:b/>
        </w:rPr>
      </w:pPr>
      <w:r w:rsidRPr="00A02298">
        <w:rPr>
          <w:b/>
        </w:rPr>
        <w:t>Comments Received During 60-day Federal Register Notice (FRN)</w:t>
      </w:r>
    </w:p>
    <w:p w14:paraId="587A84CD" w14:textId="77777777" w:rsidR="0048246C" w:rsidRPr="00A02298" w:rsidRDefault="0048246C" w:rsidP="0048246C">
      <w:pPr>
        <w:ind w:firstLine="360"/>
        <w:rPr>
          <w:b/>
        </w:rPr>
      </w:pPr>
    </w:p>
    <w:p w14:paraId="6F45A3AE" w14:textId="77777777" w:rsidR="0048246C" w:rsidRPr="00A02298" w:rsidRDefault="0048246C" w:rsidP="0048246C">
      <w:pPr>
        <w:ind w:left="360"/>
      </w:pPr>
      <w:r w:rsidRPr="00A02298">
        <w:t>The FBI received comments from nineteen individuals and organizations during the 60-day FRN posted from October 5, 2016 to December 5, 2016.  The notice asked for comments in four major areas:</w:t>
      </w:r>
    </w:p>
    <w:p w14:paraId="5DA54A0A" w14:textId="77777777" w:rsidR="0048246C" w:rsidRPr="00A02298" w:rsidRDefault="0048246C" w:rsidP="0048246C">
      <w:pPr>
        <w:ind w:left="360"/>
      </w:pPr>
    </w:p>
    <w:p w14:paraId="291636FA" w14:textId="77777777" w:rsidR="0048246C" w:rsidRPr="00A02298" w:rsidRDefault="0048246C" w:rsidP="0048246C">
      <w:pPr>
        <w:pStyle w:val="ListParagraph"/>
        <w:numPr>
          <w:ilvl w:val="0"/>
          <w:numId w:val="2"/>
        </w:numPr>
        <w:spacing w:line="256" w:lineRule="auto"/>
        <w:ind w:left="1260"/>
        <w:rPr>
          <w:rFonts w:ascii="Times New Roman" w:hAnsi="Times New Roman"/>
          <w:sz w:val="24"/>
          <w:szCs w:val="24"/>
        </w:rPr>
      </w:pPr>
      <w:r w:rsidRPr="00A02298">
        <w:rPr>
          <w:rFonts w:ascii="Times New Roman" w:hAnsi="Times New Roman"/>
          <w:sz w:val="24"/>
          <w:szCs w:val="24"/>
        </w:rPr>
        <w:t>Whether the proposed collection is necessary for the proper performance for the functions of the FBI, including whether the information will have practical utility</w:t>
      </w:r>
    </w:p>
    <w:p w14:paraId="5447EA63" w14:textId="77777777" w:rsidR="0048246C" w:rsidRPr="00A02298" w:rsidRDefault="0048246C" w:rsidP="0048246C">
      <w:pPr>
        <w:pStyle w:val="ListParagraph"/>
        <w:numPr>
          <w:ilvl w:val="0"/>
          <w:numId w:val="2"/>
        </w:numPr>
        <w:spacing w:line="256" w:lineRule="auto"/>
        <w:ind w:left="1260"/>
        <w:rPr>
          <w:rFonts w:ascii="Times New Roman" w:hAnsi="Times New Roman"/>
          <w:sz w:val="24"/>
          <w:szCs w:val="24"/>
        </w:rPr>
      </w:pPr>
      <w:r w:rsidRPr="00A02298">
        <w:rPr>
          <w:rFonts w:ascii="Times New Roman" w:hAnsi="Times New Roman"/>
          <w:sz w:val="24"/>
          <w:szCs w:val="24"/>
        </w:rPr>
        <w:t>The accuracy of the agency’s estimate of the burden of the proposed collection of information, including the validity of the methodology and assumptions used</w:t>
      </w:r>
    </w:p>
    <w:p w14:paraId="65F7C270" w14:textId="77777777" w:rsidR="0048246C" w:rsidRPr="00A02298" w:rsidRDefault="0048246C" w:rsidP="0048246C">
      <w:pPr>
        <w:pStyle w:val="ListParagraph"/>
        <w:numPr>
          <w:ilvl w:val="0"/>
          <w:numId w:val="2"/>
        </w:numPr>
        <w:spacing w:line="256" w:lineRule="auto"/>
        <w:ind w:left="1260"/>
        <w:rPr>
          <w:rFonts w:ascii="Times New Roman" w:hAnsi="Times New Roman"/>
          <w:sz w:val="24"/>
          <w:szCs w:val="24"/>
        </w:rPr>
      </w:pPr>
      <w:r w:rsidRPr="00A02298">
        <w:rPr>
          <w:rFonts w:ascii="Times New Roman" w:hAnsi="Times New Roman"/>
          <w:sz w:val="24"/>
          <w:szCs w:val="24"/>
        </w:rPr>
        <w:t>Whether and, if so, how the quality, utility, and clarity of the information to be collected can be enhanced</w:t>
      </w:r>
    </w:p>
    <w:p w14:paraId="6CEB20CC" w14:textId="77777777" w:rsidR="0048246C" w:rsidRPr="00A02298" w:rsidRDefault="0048246C" w:rsidP="0048246C">
      <w:pPr>
        <w:pStyle w:val="ListParagraph"/>
        <w:numPr>
          <w:ilvl w:val="0"/>
          <w:numId w:val="2"/>
        </w:numPr>
        <w:spacing w:line="256" w:lineRule="auto"/>
        <w:ind w:left="1260"/>
        <w:rPr>
          <w:rFonts w:ascii="Times New Roman" w:hAnsi="Times New Roman"/>
          <w:sz w:val="24"/>
          <w:szCs w:val="24"/>
        </w:rPr>
      </w:pPr>
      <w:r w:rsidRPr="00A02298">
        <w:rPr>
          <w:rFonts w:ascii="Times New Roman" w:hAnsi="Times New Roman"/>
          <w:sz w:val="24"/>
          <w:szCs w:val="24"/>
        </w:rPr>
        <w:t>Minimize the burden of the collection of information on those who are to respond, including through the use of appropriate automated, electronic, mechanical, or other technological collection techniques or other forms of information technology, e.g., permitting electronic submission of responses</w:t>
      </w:r>
    </w:p>
    <w:p w14:paraId="13561159" w14:textId="46951862" w:rsidR="0048246C" w:rsidRPr="00A02298" w:rsidRDefault="0048246C" w:rsidP="0048246C">
      <w:pPr>
        <w:ind w:left="360"/>
      </w:pPr>
      <w:r w:rsidRPr="00A02298">
        <w:t xml:space="preserve">Three of the nineteen comments received were from potential contributing </w:t>
      </w:r>
      <w:r w:rsidR="00772204">
        <w:t>LEAs</w:t>
      </w:r>
      <w:r w:rsidRPr="00A02298">
        <w:t>.  Their comments centered more on questions regarding the implementation of the data collection rather than directly commenting on the four major areas requested.</w:t>
      </w:r>
      <w:r w:rsidR="000C1DD0">
        <w:t xml:space="preserve">  Those implementation questions were addressed directly to each commenter.  In general, the remaining comments received through the 60-day notice did not raise any issues the necessitated changing the methodology of collection or the information collected.  The FBI used a process to determine the content and scope of the National </w:t>
      </w:r>
      <w:r w:rsidR="00BF1803">
        <w:t>UoF</w:t>
      </w:r>
      <w:r w:rsidR="000C1DD0">
        <w:t xml:space="preserve"> Data Collection focused on maximizing the participation of the law enforcement community.  The initial content</w:t>
      </w:r>
      <w:r w:rsidRPr="00A02298">
        <w:t xml:space="preserve"> </w:t>
      </w:r>
      <w:r w:rsidR="000C1DD0">
        <w:t xml:space="preserve">of the data collection reflects the level of detail on these use-of-force incidents </w:t>
      </w:r>
      <w:r w:rsidR="004E37B2">
        <w:t>which</w:t>
      </w:r>
      <w:r w:rsidR="000C1DD0">
        <w:t xml:space="preserve"> is both known </w:t>
      </w:r>
      <w:r w:rsidR="00DF0C71">
        <w:t xml:space="preserve">immediately </w:t>
      </w:r>
      <w:r w:rsidR="000C1DD0">
        <w:t xml:space="preserve">after the occurrence and could be shared.  The additional information suggested </w:t>
      </w:r>
      <w:r w:rsidR="003E4C50">
        <w:t>by</w:t>
      </w:r>
      <w:r w:rsidR="00595985">
        <w:t xml:space="preserve"> the agencies who submitted comments</w:t>
      </w:r>
      <w:r w:rsidR="003E4C50">
        <w:t xml:space="preserve"> will be held in abeyance by the FBI until the next revision of the data collection.</w:t>
      </w:r>
      <w:r w:rsidRPr="00A02298">
        <w:t xml:space="preserve"> </w:t>
      </w:r>
      <w:r w:rsidR="00DF0C71">
        <w:t xml:space="preserve"> </w:t>
      </w:r>
      <w:r w:rsidRPr="00A02298">
        <w:t xml:space="preserve">The </w:t>
      </w:r>
      <w:r w:rsidR="003E4C50">
        <w:t xml:space="preserve">content </w:t>
      </w:r>
      <w:r w:rsidRPr="00A02298">
        <w:t xml:space="preserve">of </w:t>
      </w:r>
      <w:r w:rsidR="003E4C50">
        <w:t>these</w:t>
      </w:r>
      <w:r w:rsidRPr="00A02298">
        <w:t xml:space="preserve"> comments </w:t>
      </w:r>
      <w:r w:rsidR="003E4C50">
        <w:t>are</w:t>
      </w:r>
      <w:r w:rsidRPr="00A02298">
        <w:t xml:space="preserve"> summarized by area.  Detailed information</w:t>
      </w:r>
      <w:r w:rsidR="000C1DD0">
        <w:t xml:space="preserve"> on each comment</w:t>
      </w:r>
      <w:r w:rsidRPr="00A02298">
        <w:t xml:space="preserve"> is available upon request.</w:t>
      </w:r>
      <w:r w:rsidR="000C1DD0">
        <w:t xml:space="preserve">  </w:t>
      </w:r>
    </w:p>
    <w:p w14:paraId="67E431B6" w14:textId="77777777" w:rsidR="0048246C" w:rsidRPr="00A02298" w:rsidRDefault="0048246C" w:rsidP="0048246C">
      <w:pPr>
        <w:ind w:left="360"/>
      </w:pPr>
    </w:p>
    <w:p w14:paraId="3853FDAA" w14:textId="77777777" w:rsidR="0048246C" w:rsidRPr="00A02298" w:rsidRDefault="0048246C" w:rsidP="0048246C">
      <w:pPr>
        <w:ind w:left="360" w:firstLine="720"/>
        <w:rPr>
          <w:u w:val="single"/>
        </w:rPr>
      </w:pPr>
      <w:r w:rsidRPr="00A02298">
        <w:rPr>
          <w:u w:val="single"/>
        </w:rPr>
        <w:t>Whether the collection is necessary</w:t>
      </w:r>
    </w:p>
    <w:p w14:paraId="093747D7" w14:textId="77777777" w:rsidR="0048246C" w:rsidRPr="00A02298" w:rsidRDefault="0048246C" w:rsidP="0048246C">
      <w:pPr>
        <w:ind w:left="360" w:firstLine="720"/>
      </w:pPr>
    </w:p>
    <w:p w14:paraId="28CBB7DB" w14:textId="6F5C27CF" w:rsidR="0048246C" w:rsidRPr="00A02298" w:rsidRDefault="0048246C" w:rsidP="0048246C">
      <w:pPr>
        <w:ind w:left="360"/>
      </w:pPr>
      <w:r w:rsidRPr="00A02298">
        <w:t xml:space="preserve">There were some comments regarding whether a data collection such as this is appropriate for the FBI to manage.  One commenter in particular mentioned this information would be more appropriately gathered from death certificate information.  Others stated concerns about the voluntary nature of the data collection and whether </w:t>
      </w:r>
      <w:r w:rsidR="004E37B2">
        <w:t xml:space="preserve">it </w:t>
      </w:r>
      <w:r w:rsidRPr="00A02298">
        <w:t>would contribute to a skewed perception of law enforcement use of force—especially since federal participation appears to be compulsory.</w:t>
      </w:r>
    </w:p>
    <w:p w14:paraId="2A59219B" w14:textId="77777777" w:rsidR="0048246C" w:rsidRPr="00A02298" w:rsidRDefault="0048246C" w:rsidP="0048246C">
      <w:pPr>
        <w:ind w:left="360"/>
      </w:pPr>
    </w:p>
    <w:p w14:paraId="386AF101" w14:textId="77777777" w:rsidR="0048246C" w:rsidRPr="00A02298" w:rsidRDefault="0048246C" w:rsidP="0048246C">
      <w:pPr>
        <w:ind w:left="360" w:firstLine="720"/>
        <w:rPr>
          <w:u w:val="single"/>
        </w:rPr>
      </w:pPr>
      <w:r w:rsidRPr="00A02298">
        <w:rPr>
          <w:u w:val="single"/>
        </w:rPr>
        <w:t>Accuracy of burden estimate</w:t>
      </w:r>
    </w:p>
    <w:p w14:paraId="79AC87F4" w14:textId="77777777" w:rsidR="0048246C" w:rsidRPr="00A02298" w:rsidRDefault="0048246C" w:rsidP="0048246C">
      <w:pPr>
        <w:ind w:left="360" w:firstLine="720"/>
        <w:rPr>
          <w:u w:val="single"/>
        </w:rPr>
      </w:pPr>
    </w:p>
    <w:p w14:paraId="6AE89E9D" w14:textId="3D701820" w:rsidR="0048246C" w:rsidRPr="00A02298" w:rsidRDefault="0048246C" w:rsidP="0048246C">
      <w:pPr>
        <w:ind w:left="360"/>
      </w:pPr>
      <w:r w:rsidRPr="00A02298">
        <w:t xml:space="preserve">Only one commenter expressed a concern that burden estimate for reporting by </w:t>
      </w:r>
      <w:r w:rsidR="00772204">
        <w:t>LEAs</w:t>
      </w:r>
      <w:r w:rsidRPr="00A02298">
        <w:t xml:space="preserve"> is not accurate.</w:t>
      </w:r>
    </w:p>
    <w:p w14:paraId="7919DA5A" w14:textId="77777777" w:rsidR="0048246C" w:rsidRPr="00A02298" w:rsidRDefault="0048246C" w:rsidP="0048246C">
      <w:pPr>
        <w:ind w:left="360"/>
      </w:pPr>
    </w:p>
    <w:p w14:paraId="6FDAAF7F" w14:textId="77777777" w:rsidR="0048246C" w:rsidRPr="00A02298" w:rsidRDefault="0048246C" w:rsidP="0048246C">
      <w:pPr>
        <w:ind w:left="360" w:firstLine="720"/>
        <w:rPr>
          <w:u w:val="single"/>
        </w:rPr>
      </w:pPr>
      <w:r w:rsidRPr="00A02298">
        <w:rPr>
          <w:u w:val="single"/>
        </w:rPr>
        <w:t>Quality, utility, and clarity of the information to be collected</w:t>
      </w:r>
    </w:p>
    <w:p w14:paraId="338B7E45" w14:textId="77777777" w:rsidR="0048246C" w:rsidRPr="00A02298" w:rsidRDefault="0048246C" w:rsidP="0048246C">
      <w:pPr>
        <w:ind w:left="360" w:firstLine="720"/>
      </w:pPr>
    </w:p>
    <w:p w14:paraId="0977DC89" w14:textId="77777777" w:rsidR="0048246C" w:rsidRPr="00A02298" w:rsidRDefault="0048246C" w:rsidP="0048246C">
      <w:pPr>
        <w:ind w:left="360"/>
      </w:pPr>
      <w:r w:rsidRPr="00A02298">
        <w:t>The majority of the comments centered upon the quality, utility, and clarity of the information to be collected.  While some commenters expressed a desire for more information to be collected on the incidents, subjects, and officers involved, others were apprehensive of the amount of information being collected on the officers and its impact on officer privacy.  In many cases, the information requested by the commenter was already included as part of the proposed data collection.</w:t>
      </w:r>
    </w:p>
    <w:p w14:paraId="5654217A" w14:textId="77777777" w:rsidR="0048246C" w:rsidRPr="00A02298" w:rsidRDefault="0048246C" w:rsidP="0048246C">
      <w:pPr>
        <w:ind w:left="360"/>
      </w:pPr>
    </w:p>
    <w:p w14:paraId="74951784" w14:textId="105A5B12" w:rsidR="0048246C" w:rsidRPr="00A02298" w:rsidRDefault="0048246C" w:rsidP="0048246C">
      <w:pPr>
        <w:ind w:left="360"/>
      </w:pPr>
      <w:r w:rsidRPr="00A02298">
        <w:t xml:space="preserve">In addition, there were a few commenters that wanted to see the scope of the entire data collection be expanded to include all uses of force by law enforcement regardless of the result to the subject; other injuries sustained in law enforcement custody (e.g., “rough rides” in a police vehicle); or to encompass potentially criminal acts by law enforcement (e.g., sexual assault by a law enforcement officer under the color of law).  </w:t>
      </w:r>
    </w:p>
    <w:p w14:paraId="16B406C3" w14:textId="77777777" w:rsidR="0048246C" w:rsidRPr="00A02298" w:rsidRDefault="0048246C" w:rsidP="0048246C">
      <w:pPr>
        <w:ind w:left="360"/>
      </w:pPr>
    </w:p>
    <w:p w14:paraId="13741838" w14:textId="7564740A" w:rsidR="0048246C" w:rsidRPr="00A02298" w:rsidRDefault="0048246C" w:rsidP="0048246C">
      <w:pPr>
        <w:ind w:left="360"/>
      </w:pPr>
      <w:r w:rsidRPr="00A02298">
        <w:t xml:space="preserve">Beyond specific information </w:t>
      </w:r>
      <w:r w:rsidR="004E37B2">
        <w:t>which</w:t>
      </w:r>
      <w:r w:rsidRPr="00A02298">
        <w:t xml:space="preserve"> either should or should not be included in the data collection, questions were raised about reporting requirements and guidance.  Commenters expressed a need for clear directions and standards for use during the data collection.  Some commenters asked for the pilot collection to be made a permanent, mandatory collection for all law enforcement.</w:t>
      </w:r>
    </w:p>
    <w:p w14:paraId="67D1EAB7" w14:textId="77777777" w:rsidR="0048246C" w:rsidRPr="00A02298" w:rsidRDefault="0048246C" w:rsidP="0048246C">
      <w:pPr>
        <w:ind w:left="360"/>
      </w:pPr>
    </w:p>
    <w:p w14:paraId="7B266E88" w14:textId="77777777" w:rsidR="0048246C" w:rsidRPr="00A02298" w:rsidRDefault="0048246C" w:rsidP="0048246C">
      <w:pPr>
        <w:ind w:left="360" w:firstLine="720"/>
        <w:rPr>
          <w:u w:val="single"/>
        </w:rPr>
      </w:pPr>
      <w:r w:rsidRPr="00A02298">
        <w:rPr>
          <w:u w:val="single"/>
        </w:rPr>
        <w:t>Minimizing the burden through technology</w:t>
      </w:r>
    </w:p>
    <w:p w14:paraId="0C6B4182" w14:textId="77777777" w:rsidR="0048246C" w:rsidRPr="00A02298" w:rsidRDefault="0048246C" w:rsidP="0048246C">
      <w:pPr>
        <w:ind w:left="360" w:firstLine="720"/>
        <w:rPr>
          <w:u w:val="single"/>
        </w:rPr>
      </w:pPr>
    </w:p>
    <w:p w14:paraId="09BCD380" w14:textId="77777777" w:rsidR="0048246C" w:rsidRPr="00A02298" w:rsidRDefault="0048246C" w:rsidP="0048246C">
      <w:pPr>
        <w:ind w:left="360"/>
      </w:pPr>
      <w:r w:rsidRPr="00A02298">
        <w:t>A small number of commenters, including two with information technology companies, advocated for the use of automated systems to collect information on law enforcement use of force.</w:t>
      </w:r>
    </w:p>
    <w:p w14:paraId="2C0A7C9D" w14:textId="77777777" w:rsidR="0048246C" w:rsidRPr="00A02298" w:rsidRDefault="0048246C" w:rsidP="0048246C">
      <w:pPr>
        <w:ind w:left="360"/>
      </w:pPr>
    </w:p>
    <w:p w14:paraId="295B65D5" w14:textId="77777777" w:rsidR="0048246C" w:rsidRPr="00A02298" w:rsidRDefault="0048246C" w:rsidP="0048246C">
      <w:pPr>
        <w:ind w:left="360" w:firstLine="720"/>
        <w:rPr>
          <w:b/>
        </w:rPr>
      </w:pPr>
      <w:r w:rsidRPr="00A02298">
        <w:rPr>
          <w:b/>
        </w:rPr>
        <w:t>Development and Stakeholder Engagement</w:t>
      </w:r>
    </w:p>
    <w:p w14:paraId="325E6B34" w14:textId="77777777" w:rsidR="0048246C" w:rsidRPr="00A02298" w:rsidRDefault="0048246C" w:rsidP="0048246C">
      <w:pPr>
        <w:ind w:left="360" w:firstLine="720"/>
        <w:rPr>
          <w:b/>
        </w:rPr>
      </w:pPr>
    </w:p>
    <w:p w14:paraId="6B438706" w14:textId="77777777" w:rsidR="0048246C" w:rsidRPr="00A02298" w:rsidRDefault="0048246C" w:rsidP="0048246C">
      <w:pPr>
        <w:ind w:left="360"/>
      </w:pPr>
      <w:r w:rsidRPr="00A02298">
        <w:t>In addition to receiving comments during the initial 60-day FRN, the FBI also pursued a significant amount of stakeholder engagement over the course of 2015 and 2016.</w:t>
      </w:r>
    </w:p>
    <w:p w14:paraId="189FE8EB" w14:textId="77777777" w:rsidR="0048246C" w:rsidRPr="00A02298" w:rsidRDefault="0048246C" w:rsidP="0048246C">
      <w:pPr>
        <w:rPr>
          <w:b/>
        </w:rPr>
      </w:pPr>
    </w:p>
    <w:p w14:paraId="49B73D09" w14:textId="77777777" w:rsidR="0048246C" w:rsidRPr="00A02298" w:rsidRDefault="0048246C" w:rsidP="0048246C">
      <w:pPr>
        <w:ind w:left="360" w:firstLine="720"/>
        <w:rPr>
          <w:b/>
        </w:rPr>
      </w:pPr>
      <w:r w:rsidRPr="00A02298">
        <w:rPr>
          <w:b/>
        </w:rPr>
        <w:t>CJIS Advisory Policy Board - Spring 2015</w:t>
      </w:r>
    </w:p>
    <w:p w14:paraId="15AD6EEB" w14:textId="77777777" w:rsidR="0048246C" w:rsidRPr="00A02298" w:rsidRDefault="0048246C" w:rsidP="0048246C">
      <w:pPr>
        <w:ind w:left="360" w:firstLine="720"/>
        <w:rPr>
          <w:b/>
        </w:rPr>
      </w:pPr>
    </w:p>
    <w:p w14:paraId="3984EF62" w14:textId="77777777" w:rsidR="0048246C" w:rsidRPr="00A02298" w:rsidRDefault="0048246C" w:rsidP="0048246C">
      <w:pPr>
        <w:ind w:left="360"/>
      </w:pPr>
      <w:r w:rsidRPr="00A02298">
        <w:t xml:space="preserve">The FBI’s initial proposal was to pursue the addition of nonfatal officer-involved shootings to the existing information on justifiable homicide.  Beginning in March 2015, the FBI CJIS Division worked with its APB to consider the question of whether to pursue the collection.  </w:t>
      </w:r>
    </w:p>
    <w:p w14:paraId="3BE05D6A" w14:textId="24EF6891" w:rsidR="0048246C" w:rsidRPr="00A02298" w:rsidRDefault="0048246C" w:rsidP="0048246C">
      <w:pPr>
        <w:ind w:left="360"/>
      </w:pPr>
      <w:r w:rsidRPr="00A02298">
        <w:t xml:space="preserve">The CJIS APB is a committee comprised of representatives from the law enforcement and criminal justice communities who advise the FBI Director on matters related to the criminal justice information systems the CJIS Division manages.  The APB meets semi-annually and provides recommended actions on policy and technical issues, to include the </w:t>
      </w:r>
      <w:r w:rsidR="00256C6B">
        <w:t xml:space="preserve">FBI </w:t>
      </w:r>
      <w:r w:rsidRPr="00A02298">
        <w:t xml:space="preserve">UCR Program.  </w:t>
      </w:r>
    </w:p>
    <w:p w14:paraId="296C8B0B" w14:textId="77777777" w:rsidR="0048246C" w:rsidRPr="00A02298" w:rsidRDefault="0048246C" w:rsidP="0048246C">
      <w:pPr>
        <w:ind w:left="360"/>
      </w:pPr>
    </w:p>
    <w:p w14:paraId="441EEF2D" w14:textId="29C48DCF" w:rsidR="0048246C" w:rsidRPr="00A02298" w:rsidRDefault="0048246C" w:rsidP="0048246C">
      <w:pPr>
        <w:ind w:left="360"/>
      </w:pPr>
      <w:r w:rsidRPr="00A02298">
        <w:t xml:space="preserve">While this body does not have the expertise to provide advice on matters of statistical methodology, the APB does provide two important functions.  First, its membership is a geographically-diverse group of experts on criminal justice records maintained by </w:t>
      </w:r>
      <w:r w:rsidR="00772204">
        <w:t>LEAs</w:t>
      </w:r>
      <w:r w:rsidRPr="00A02298">
        <w:t xml:space="preserve"> at all levels of government—local, state, tribal, and federal.  These representatives can provide important feedback on the potential impact of any change or addition to the UCR data collections on the law enforcement community.  Secondly, the APB represents the universe from which the UCR data are collected.  Through the APB process, the FBI is able to engage in critical discussions that inform decisions about content and scope of law enforcement statistics.</w:t>
      </w:r>
    </w:p>
    <w:p w14:paraId="71CA6471" w14:textId="77777777" w:rsidR="0048246C" w:rsidRPr="00A02298" w:rsidRDefault="0048246C" w:rsidP="0048246C">
      <w:pPr>
        <w:ind w:left="360"/>
      </w:pPr>
    </w:p>
    <w:p w14:paraId="7C7C2DBF" w14:textId="77777777" w:rsidR="0048246C" w:rsidRPr="00A02298" w:rsidRDefault="0048246C" w:rsidP="0048246C">
      <w:pPr>
        <w:ind w:left="360"/>
      </w:pPr>
      <w:r w:rsidRPr="00A02298">
        <w:t>On June 3, 2015, the APB received the recommendation to approve the data collection and passed the following amended motion:</w:t>
      </w:r>
    </w:p>
    <w:p w14:paraId="42F3EB67" w14:textId="77777777" w:rsidR="0048246C" w:rsidRPr="00A02298" w:rsidRDefault="0048246C" w:rsidP="0048246C">
      <w:pPr>
        <w:ind w:left="360"/>
      </w:pPr>
    </w:p>
    <w:p w14:paraId="229AA15E" w14:textId="77777777" w:rsidR="0048246C" w:rsidRPr="00A02298" w:rsidRDefault="0048246C" w:rsidP="00A02298">
      <w:pPr>
        <w:keepNext/>
        <w:keepLines/>
        <w:ind w:left="720"/>
      </w:pPr>
      <w:r w:rsidRPr="00A02298">
        <w:t>“The UCR Program to develop a method to collect information on nonfatal/fatal shootings by law enforcement in the line-of-duty.  The UCR Program will work with local law enforcement agencies and the five major national law enforcement organizations to develop what information to collect and the best method to do so and bring the topic back through the APB Process.”</w:t>
      </w:r>
    </w:p>
    <w:p w14:paraId="212D498C" w14:textId="77777777" w:rsidR="0048246C" w:rsidRPr="00A02298" w:rsidRDefault="0048246C" w:rsidP="0048246C">
      <w:pPr>
        <w:ind w:left="720"/>
      </w:pPr>
    </w:p>
    <w:p w14:paraId="616B54C0" w14:textId="77777777" w:rsidR="0048246C" w:rsidRPr="00A02298" w:rsidRDefault="0048246C" w:rsidP="0048246C">
      <w:pPr>
        <w:ind w:left="360" w:firstLine="720"/>
        <w:rPr>
          <w:b/>
        </w:rPr>
      </w:pPr>
      <w:r w:rsidRPr="00A02298">
        <w:rPr>
          <w:b/>
        </w:rPr>
        <w:t>Meeting of Major Law Enforcement Organizations</w:t>
      </w:r>
    </w:p>
    <w:p w14:paraId="6D9F423B" w14:textId="77777777" w:rsidR="0048246C" w:rsidRPr="00A02298" w:rsidRDefault="0048246C" w:rsidP="0048246C">
      <w:pPr>
        <w:ind w:left="360" w:firstLine="720"/>
        <w:rPr>
          <w:b/>
        </w:rPr>
      </w:pPr>
    </w:p>
    <w:p w14:paraId="11BCD4A3" w14:textId="74810082" w:rsidR="0048246C" w:rsidRPr="00A02298" w:rsidRDefault="0048246C" w:rsidP="0048246C">
      <w:pPr>
        <w:ind w:left="360"/>
      </w:pPr>
      <w:r w:rsidRPr="00A02298">
        <w:t xml:space="preserve">Based upon the direction of the CJIS APB, the FBI also began efforts to solicit input from the major law enforcement organizations.  Representatives from the major law enforcement organizations including the International Association of Chiefs of Police (IACP), Major City Chiefs Association (MCCA), National Sheriffs’ Association (NSA), Major County Sheriffs’ </w:t>
      </w:r>
      <w:r w:rsidR="00220B17">
        <w:t>of America</w:t>
      </w:r>
      <w:r w:rsidRPr="00A02298">
        <w:t xml:space="preserve"> (MCSA), Association of State Criminal Investigative Agencies (ASCIA), and the Police Executive Research Forum (PERF) met with representatives from the CJIS APB, FBI, and the DOJ to discuss the next steps regarding the creation of the new data collection on officer-involved shootings.  The result of the meeting was a unanimous endorsement of a data collection system, to include the following definition and content.</w:t>
      </w:r>
    </w:p>
    <w:p w14:paraId="143626CB" w14:textId="77777777" w:rsidR="0048246C" w:rsidRPr="00A02298" w:rsidRDefault="0048246C" w:rsidP="0048246C">
      <w:pPr>
        <w:ind w:left="360"/>
      </w:pPr>
    </w:p>
    <w:p w14:paraId="7C7AE859" w14:textId="77777777" w:rsidR="0048246C" w:rsidRPr="00A02298" w:rsidRDefault="0048246C" w:rsidP="0048246C">
      <w:pPr>
        <w:ind w:firstLine="360"/>
      </w:pPr>
      <w:r w:rsidRPr="00A02298">
        <w:t>The participants at the meeting on September 18, 2015, proposed the following definition:</w:t>
      </w:r>
    </w:p>
    <w:p w14:paraId="12309DCA" w14:textId="77777777" w:rsidR="0048246C" w:rsidRPr="00A02298" w:rsidRDefault="0048246C" w:rsidP="0048246C">
      <w:pPr>
        <w:ind w:firstLine="360"/>
      </w:pPr>
    </w:p>
    <w:p w14:paraId="6E2200CF" w14:textId="77777777" w:rsidR="0048246C" w:rsidRPr="00A02298" w:rsidRDefault="0048246C" w:rsidP="0048246C">
      <w:pPr>
        <w:ind w:left="1440"/>
      </w:pPr>
      <w:r w:rsidRPr="00A02298">
        <w:t>“Law Enforcement Officer’s as defined by the Law Enforcement Officer Killed and Assaulted (LEOKA) Program Use of Force (LEOUF) that results in the death or serious physical injury to a person, or when the law enforcement officer discharges a firearm at or in the direction of a person.”</w:t>
      </w:r>
    </w:p>
    <w:p w14:paraId="2985E868" w14:textId="77777777" w:rsidR="0048246C" w:rsidRPr="00A02298" w:rsidRDefault="0048246C" w:rsidP="0048246C">
      <w:pPr>
        <w:ind w:left="1440"/>
      </w:pPr>
    </w:p>
    <w:p w14:paraId="1131A424" w14:textId="7D07ED0E" w:rsidR="0048246C" w:rsidRPr="00A02298" w:rsidRDefault="0048246C" w:rsidP="0048246C">
      <w:pPr>
        <w:ind w:left="360"/>
      </w:pPr>
      <w:r w:rsidRPr="00A02298">
        <w:t xml:space="preserve">The effects of this definition were threefold.  First, it expanded the collection to include the use of force </w:t>
      </w:r>
      <w:r w:rsidR="00BF1803">
        <w:t>which</w:t>
      </w:r>
      <w:r w:rsidRPr="00A02298">
        <w:t xml:space="preserve"> results in serious physical injury, rather than the original focus of officer-involved shootings.  Secondly, the inclusion of the definition of law enforcement as set by the LEOKA Program would allow for some flexibility to expand the scope of the National </w:t>
      </w:r>
      <w:r w:rsidR="00BF1803">
        <w:t>UoF</w:t>
      </w:r>
      <w:r w:rsidRPr="00A02298">
        <w:t xml:space="preserve"> Data Collection in parallel with the LEOKA data collection.  Finally, the definition does not require a law enforcement agency determine that the use of force was justified. </w:t>
      </w:r>
    </w:p>
    <w:p w14:paraId="3872C20F" w14:textId="77777777" w:rsidR="0048246C" w:rsidRPr="00A02298" w:rsidRDefault="0048246C" w:rsidP="0048246C">
      <w:pPr>
        <w:ind w:left="360"/>
      </w:pPr>
    </w:p>
    <w:p w14:paraId="258B9025" w14:textId="341E2421" w:rsidR="0048246C" w:rsidRPr="00A02298" w:rsidRDefault="0048246C" w:rsidP="0048246C">
      <w:pPr>
        <w:ind w:left="360"/>
      </w:pPr>
      <w:r w:rsidRPr="00A02298">
        <w:t xml:space="preserve">In addition to the proposed definition for the types of incidents eligible for reporting in the National </w:t>
      </w:r>
      <w:r w:rsidR="00BF1803">
        <w:t>UoF</w:t>
      </w:r>
      <w:r w:rsidR="00514F4E">
        <w:t xml:space="preserve"> </w:t>
      </w:r>
      <w:r w:rsidRPr="00A02298">
        <w:t>Data Collection, the representatives from the major law enforcement organizations proposed content to be collected on every incident that meets the criteria of the definition.  The proposed data elements included basic information on the officers involved, the subjects of the use of force, and circumstances related to the use of force, which served as the basis for the final recommendation approved by the CJIS APB.  These data should be collected by the FBI as a part of its UCR Program, but collected separately from the rest of the criminal incident and offense information the FBI currently maintains.  These proposals were brought to the CJIS APB for consideration.</w:t>
      </w:r>
    </w:p>
    <w:p w14:paraId="1AD17492" w14:textId="77777777" w:rsidR="00A02298" w:rsidRDefault="00A02298" w:rsidP="006F244F">
      <w:pPr>
        <w:keepNext/>
        <w:rPr>
          <w:b/>
        </w:rPr>
      </w:pPr>
    </w:p>
    <w:p w14:paraId="7071C39A" w14:textId="77777777" w:rsidR="0048246C" w:rsidRPr="00A02298" w:rsidRDefault="0048246C" w:rsidP="00A02298">
      <w:pPr>
        <w:keepNext/>
        <w:ind w:left="360" w:firstLine="720"/>
        <w:rPr>
          <w:b/>
        </w:rPr>
      </w:pPr>
      <w:r w:rsidRPr="00A02298">
        <w:rPr>
          <w:b/>
        </w:rPr>
        <w:t>CJIS Advisory Policy Board - Fall 2015</w:t>
      </w:r>
    </w:p>
    <w:p w14:paraId="5769DE7C" w14:textId="77777777" w:rsidR="0048246C" w:rsidRPr="00A02298" w:rsidRDefault="0048246C" w:rsidP="0048246C">
      <w:pPr>
        <w:ind w:left="360" w:firstLine="720"/>
        <w:rPr>
          <w:b/>
        </w:rPr>
      </w:pPr>
    </w:p>
    <w:p w14:paraId="1389187C" w14:textId="77777777" w:rsidR="0048246C" w:rsidRPr="00A02298" w:rsidRDefault="0048246C" w:rsidP="0048246C">
      <w:pPr>
        <w:ind w:left="360"/>
      </w:pPr>
      <w:r w:rsidRPr="00A02298">
        <w:t xml:space="preserve">After the meeting with the law enforcement representatives in September 2015, the FBI introduced a topic to address the question of whether a new data collection on law enforcement officer use of force would be recommended to the FBI Director.  On December 3, 2015, the CJIS APB approved the motions set forth in the response to Question 1 in Supporting Statement, Part A.  </w:t>
      </w:r>
    </w:p>
    <w:p w14:paraId="0D7D13EF" w14:textId="77777777" w:rsidR="0048246C" w:rsidRPr="00A02298" w:rsidRDefault="0048246C" w:rsidP="0048246C">
      <w:pPr>
        <w:ind w:left="360"/>
      </w:pPr>
    </w:p>
    <w:p w14:paraId="127264DC" w14:textId="77777777" w:rsidR="0048246C" w:rsidRPr="00A02298" w:rsidRDefault="0048246C" w:rsidP="0048246C">
      <w:pPr>
        <w:ind w:left="360" w:firstLine="720"/>
        <w:rPr>
          <w:b/>
        </w:rPr>
      </w:pPr>
      <w:r w:rsidRPr="00A02298">
        <w:rPr>
          <w:b/>
        </w:rPr>
        <w:t>Task Force</w:t>
      </w:r>
    </w:p>
    <w:p w14:paraId="499405C4" w14:textId="77777777" w:rsidR="0048246C" w:rsidRPr="00A02298" w:rsidRDefault="0048246C" w:rsidP="0048246C">
      <w:pPr>
        <w:ind w:left="360" w:firstLine="720"/>
        <w:rPr>
          <w:b/>
        </w:rPr>
      </w:pPr>
    </w:p>
    <w:p w14:paraId="4EAE12BC" w14:textId="19EA3D62" w:rsidR="0048246C" w:rsidRPr="00A02298" w:rsidRDefault="0048246C" w:rsidP="0048246C">
      <w:pPr>
        <w:ind w:left="360"/>
      </w:pPr>
      <w:r w:rsidRPr="00A02298">
        <w:t xml:space="preserve">As specified in the CJIS APB Recommendation 2, the FBI moved to establish a Use-of-Force Task Force to make the decision on the additional content of the new data collection in January 2016.  Central to the discussion on the content of the final data collection was ensuring law enforcement would not be overly burdened by duplicate reporting </w:t>
      </w:r>
      <w:r w:rsidR="000D37EC">
        <w:t xml:space="preserve">which </w:t>
      </w:r>
      <w:r w:rsidRPr="00A02298">
        <w:t>could arise because of requirements in the DICRA of 2013.  The Use-of-Force Task Force is comprised of representatives from major law enforcement organizations and local, tribal, and federal law enforcement representatives.  Specifically, the following organizations are represented on the Use-of-Force Task Force:</w:t>
      </w:r>
    </w:p>
    <w:p w14:paraId="07118AAC" w14:textId="77777777" w:rsidR="0048246C" w:rsidRPr="00A02298" w:rsidRDefault="0048246C" w:rsidP="0048246C">
      <w:pPr>
        <w:ind w:left="360"/>
      </w:pPr>
    </w:p>
    <w:p w14:paraId="470189D4" w14:textId="77777777" w:rsidR="0048246C" w:rsidRPr="00A02298" w:rsidRDefault="0048246C" w:rsidP="0048246C">
      <w:pPr>
        <w:pStyle w:val="ListParagraph"/>
        <w:numPr>
          <w:ilvl w:val="0"/>
          <w:numId w:val="3"/>
        </w:numPr>
        <w:spacing w:line="256" w:lineRule="auto"/>
        <w:ind w:left="1260" w:hanging="360"/>
        <w:rPr>
          <w:rFonts w:ascii="Times New Roman" w:hAnsi="Times New Roman"/>
          <w:sz w:val="24"/>
          <w:szCs w:val="24"/>
        </w:rPr>
      </w:pPr>
      <w:r w:rsidRPr="00A02298">
        <w:rPr>
          <w:rFonts w:ascii="Times New Roman" w:hAnsi="Times New Roman"/>
          <w:sz w:val="24"/>
          <w:szCs w:val="24"/>
        </w:rPr>
        <w:t>IACP</w:t>
      </w:r>
    </w:p>
    <w:p w14:paraId="21115D57" w14:textId="77777777" w:rsidR="0048246C" w:rsidRPr="00A02298" w:rsidRDefault="0048246C" w:rsidP="0048246C">
      <w:pPr>
        <w:pStyle w:val="ListParagraph"/>
        <w:numPr>
          <w:ilvl w:val="0"/>
          <w:numId w:val="3"/>
        </w:numPr>
        <w:spacing w:line="256" w:lineRule="auto"/>
        <w:ind w:left="1260" w:hanging="360"/>
        <w:rPr>
          <w:rFonts w:ascii="Times New Roman" w:hAnsi="Times New Roman"/>
          <w:sz w:val="24"/>
          <w:szCs w:val="24"/>
        </w:rPr>
      </w:pPr>
      <w:r w:rsidRPr="00A02298">
        <w:rPr>
          <w:rFonts w:ascii="Times New Roman" w:hAnsi="Times New Roman"/>
          <w:sz w:val="24"/>
          <w:szCs w:val="24"/>
        </w:rPr>
        <w:t>NSA</w:t>
      </w:r>
    </w:p>
    <w:p w14:paraId="3236857C" w14:textId="77777777" w:rsidR="0048246C" w:rsidRPr="00A02298" w:rsidRDefault="0048246C" w:rsidP="0048246C">
      <w:pPr>
        <w:pStyle w:val="ListParagraph"/>
        <w:numPr>
          <w:ilvl w:val="0"/>
          <w:numId w:val="3"/>
        </w:numPr>
        <w:spacing w:line="256" w:lineRule="auto"/>
        <w:ind w:left="1260" w:hanging="360"/>
        <w:rPr>
          <w:rFonts w:ascii="Times New Roman" w:hAnsi="Times New Roman"/>
          <w:sz w:val="24"/>
          <w:szCs w:val="24"/>
        </w:rPr>
      </w:pPr>
      <w:r w:rsidRPr="00A02298">
        <w:rPr>
          <w:rFonts w:ascii="Times New Roman" w:hAnsi="Times New Roman"/>
          <w:sz w:val="24"/>
          <w:szCs w:val="24"/>
        </w:rPr>
        <w:t>MCCA</w:t>
      </w:r>
    </w:p>
    <w:p w14:paraId="70ABA655" w14:textId="77777777" w:rsidR="0048246C" w:rsidRPr="00A02298" w:rsidRDefault="0048246C" w:rsidP="0048246C">
      <w:pPr>
        <w:pStyle w:val="ListParagraph"/>
        <w:numPr>
          <w:ilvl w:val="0"/>
          <w:numId w:val="3"/>
        </w:numPr>
        <w:spacing w:line="256" w:lineRule="auto"/>
        <w:ind w:left="1260" w:hanging="360"/>
        <w:rPr>
          <w:rFonts w:ascii="Times New Roman" w:hAnsi="Times New Roman"/>
          <w:sz w:val="24"/>
          <w:szCs w:val="24"/>
        </w:rPr>
      </w:pPr>
      <w:r w:rsidRPr="00A02298">
        <w:rPr>
          <w:rFonts w:ascii="Times New Roman" w:hAnsi="Times New Roman"/>
          <w:sz w:val="24"/>
          <w:szCs w:val="24"/>
        </w:rPr>
        <w:t>MCSA</w:t>
      </w:r>
    </w:p>
    <w:p w14:paraId="0419053E" w14:textId="77777777" w:rsidR="0048246C" w:rsidRPr="00A02298" w:rsidRDefault="0048246C" w:rsidP="0048246C">
      <w:pPr>
        <w:pStyle w:val="ListParagraph"/>
        <w:numPr>
          <w:ilvl w:val="0"/>
          <w:numId w:val="3"/>
        </w:numPr>
        <w:spacing w:line="256" w:lineRule="auto"/>
        <w:ind w:left="1260" w:hanging="360"/>
        <w:rPr>
          <w:rFonts w:ascii="Times New Roman" w:hAnsi="Times New Roman"/>
          <w:sz w:val="24"/>
          <w:szCs w:val="24"/>
        </w:rPr>
      </w:pPr>
      <w:r w:rsidRPr="00A02298">
        <w:rPr>
          <w:rFonts w:ascii="Times New Roman" w:hAnsi="Times New Roman"/>
          <w:sz w:val="24"/>
          <w:szCs w:val="24"/>
        </w:rPr>
        <w:t>PERF</w:t>
      </w:r>
    </w:p>
    <w:p w14:paraId="4EEAC076" w14:textId="77777777" w:rsidR="0048246C" w:rsidRPr="00A02298" w:rsidRDefault="0048246C" w:rsidP="0048246C">
      <w:pPr>
        <w:pStyle w:val="ListParagraph"/>
        <w:numPr>
          <w:ilvl w:val="0"/>
          <w:numId w:val="3"/>
        </w:numPr>
        <w:spacing w:line="256" w:lineRule="auto"/>
        <w:ind w:left="1260" w:hanging="360"/>
        <w:rPr>
          <w:rFonts w:ascii="Times New Roman" w:hAnsi="Times New Roman"/>
          <w:sz w:val="24"/>
          <w:szCs w:val="24"/>
        </w:rPr>
      </w:pPr>
      <w:r w:rsidRPr="00A02298">
        <w:rPr>
          <w:rFonts w:ascii="Times New Roman" w:hAnsi="Times New Roman"/>
          <w:sz w:val="24"/>
          <w:szCs w:val="24"/>
        </w:rPr>
        <w:t>ASCIA</w:t>
      </w:r>
    </w:p>
    <w:p w14:paraId="1EE65DC3" w14:textId="77777777" w:rsidR="0048246C" w:rsidRPr="00A02298" w:rsidRDefault="0048246C" w:rsidP="0048246C">
      <w:pPr>
        <w:pStyle w:val="ListParagraph"/>
        <w:numPr>
          <w:ilvl w:val="0"/>
          <w:numId w:val="3"/>
        </w:numPr>
        <w:spacing w:line="256" w:lineRule="auto"/>
        <w:ind w:left="1260" w:hanging="360"/>
        <w:rPr>
          <w:rFonts w:ascii="Times New Roman" w:hAnsi="Times New Roman"/>
          <w:sz w:val="24"/>
          <w:szCs w:val="24"/>
        </w:rPr>
      </w:pPr>
      <w:r w:rsidRPr="00A02298">
        <w:rPr>
          <w:rFonts w:ascii="Times New Roman" w:hAnsi="Times New Roman"/>
          <w:sz w:val="24"/>
          <w:szCs w:val="24"/>
        </w:rPr>
        <w:t>National Organization of Black Law Enforcement Executives</w:t>
      </w:r>
    </w:p>
    <w:p w14:paraId="06A7D517" w14:textId="77777777" w:rsidR="0048246C" w:rsidRPr="00A02298" w:rsidRDefault="0048246C" w:rsidP="0048246C">
      <w:pPr>
        <w:pStyle w:val="ListParagraph"/>
        <w:numPr>
          <w:ilvl w:val="0"/>
          <w:numId w:val="3"/>
        </w:numPr>
        <w:spacing w:line="256" w:lineRule="auto"/>
        <w:ind w:left="1260" w:hanging="360"/>
        <w:rPr>
          <w:rFonts w:ascii="Times New Roman" w:hAnsi="Times New Roman"/>
          <w:sz w:val="24"/>
          <w:szCs w:val="24"/>
        </w:rPr>
      </w:pPr>
      <w:r w:rsidRPr="00A02298">
        <w:rPr>
          <w:rFonts w:ascii="Times New Roman" w:hAnsi="Times New Roman"/>
          <w:sz w:val="24"/>
          <w:szCs w:val="24"/>
        </w:rPr>
        <w:t>Association of State UCR Programs (ASUCRP)</w:t>
      </w:r>
    </w:p>
    <w:p w14:paraId="6FA67F43" w14:textId="77777777" w:rsidR="0048246C" w:rsidRPr="00A02298" w:rsidRDefault="0048246C" w:rsidP="0048246C">
      <w:pPr>
        <w:ind w:left="360"/>
      </w:pPr>
      <w:r w:rsidRPr="00A02298">
        <w:t>In addition to representatives from these major organizations, the task force welcomed observers from the Office of the Deputy Attorney General</w:t>
      </w:r>
      <w:r w:rsidR="001F2915">
        <w:t xml:space="preserve"> (ODAG)</w:t>
      </w:r>
      <w:r w:rsidRPr="00A02298">
        <w:t>, the Community Oriented Policing Services Office, DOJ, and the BJS.</w:t>
      </w:r>
    </w:p>
    <w:p w14:paraId="616D181C" w14:textId="77777777" w:rsidR="0048246C" w:rsidRPr="00A02298" w:rsidRDefault="0048246C" w:rsidP="0048246C">
      <w:pPr>
        <w:ind w:left="360"/>
      </w:pPr>
    </w:p>
    <w:p w14:paraId="6E3A8126" w14:textId="20DAA88E" w:rsidR="00594CD9" w:rsidRDefault="0048246C">
      <w:pPr>
        <w:ind w:left="360"/>
      </w:pPr>
      <w:r w:rsidRPr="00A02298">
        <w:t>The Task Force</w:t>
      </w:r>
      <w:r w:rsidR="00634B3F">
        <w:t xml:space="preserve"> held monthly teleconferences, </w:t>
      </w:r>
      <w:r w:rsidR="00A53E2F">
        <w:t>and</w:t>
      </w:r>
      <w:r w:rsidRPr="00A02298">
        <w:t xml:space="preserve"> met </w:t>
      </w:r>
      <w:r w:rsidR="000D37EC">
        <w:t xml:space="preserve">in person </w:t>
      </w:r>
      <w:r w:rsidRPr="00A02298">
        <w:t xml:space="preserve">on </w:t>
      </w:r>
      <w:r w:rsidR="00594CD9">
        <w:t>six</w:t>
      </w:r>
      <w:r w:rsidRPr="00A02298">
        <w:t xml:space="preserve"> occasions (January 27, 2016; March 17, 2016; May 4-5, 2016;</w:t>
      </w:r>
      <w:r w:rsidR="00594CD9">
        <w:t xml:space="preserve"> </w:t>
      </w:r>
      <w:r w:rsidRPr="00A02298">
        <w:t>August 3, 2016</w:t>
      </w:r>
      <w:r w:rsidR="00594CD9">
        <w:t>; September 7, 2017; and February 22, 2018</w:t>
      </w:r>
      <w:r w:rsidRPr="00A02298">
        <w:t xml:space="preserve">).  </w:t>
      </w:r>
      <w:r w:rsidR="00594CD9">
        <w:t xml:space="preserve">The Task Force will meet a seventh occasion on September 12, 2018.  </w:t>
      </w:r>
      <w:r w:rsidRPr="00A02298">
        <w:t>On May 4, 2016, the Task Force discussed the scope of the data collection, specific responsibilities related to the reporting and handling of use-of-force data, and a final set of data elements for consideration.  This final set of data elements is provided in the Appendix  and builds upon the first set of recommended data elements that was a result of the December 2015 CJIS APB Meeting.  The Task Force have also provided recommendations that address marketing and dissemination plans.</w:t>
      </w:r>
    </w:p>
    <w:p w14:paraId="55798737" w14:textId="77777777" w:rsidR="001F2915" w:rsidRDefault="001F2915" w:rsidP="0048246C">
      <w:pPr>
        <w:ind w:left="360"/>
      </w:pPr>
    </w:p>
    <w:p w14:paraId="32451EED" w14:textId="77777777" w:rsidR="001F2915" w:rsidRPr="00595985" w:rsidRDefault="001F2915" w:rsidP="001F2915">
      <w:pPr>
        <w:ind w:left="360" w:firstLine="630"/>
        <w:rPr>
          <w:b/>
        </w:rPr>
      </w:pPr>
      <w:r w:rsidRPr="00595985">
        <w:rPr>
          <w:b/>
        </w:rPr>
        <w:t>Coordination with DOJ</w:t>
      </w:r>
    </w:p>
    <w:p w14:paraId="20C02AB0" w14:textId="77777777" w:rsidR="001F2915" w:rsidRDefault="001F2915" w:rsidP="0048246C">
      <w:pPr>
        <w:ind w:left="360"/>
      </w:pPr>
    </w:p>
    <w:p w14:paraId="3450AF29" w14:textId="75C0F4F5" w:rsidR="001F2915" w:rsidRPr="00A02298" w:rsidRDefault="001F2915">
      <w:pPr>
        <w:ind w:left="360"/>
      </w:pPr>
      <w:r>
        <w:t xml:space="preserve">The FBI was in close contact with the DOJ leadership in the ODAG and the Office of Legal Policy for the last quarter of 2016 and early in 2017 prior to the change in presidential administration.  This coordination took the form of weekly teleconferences where the stakeholder agencies and groups impacted by the collection of use-of-force data were able to provide regular updates to each group’s or agency’s initiatives.  While the calls were suspended after the change in administration, </w:t>
      </w:r>
      <w:r w:rsidR="00534707">
        <w:t>the FBI remains committed to coordinate with efforts to minimize any potential burden to law enforcement.</w:t>
      </w:r>
    </w:p>
    <w:p w14:paraId="165C7AF5" w14:textId="77777777" w:rsidR="00CF534E" w:rsidRPr="00A02298" w:rsidRDefault="00CF534E"/>
    <w:p w14:paraId="74E5D248" w14:textId="06825E6F" w:rsidR="00CF534E" w:rsidRPr="00A02298" w:rsidRDefault="00CF534E">
      <w:r w:rsidRPr="00A02298">
        <w:t xml:space="preserve">9.  </w:t>
      </w:r>
      <w:r w:rsidRPr="00595985">
        <w:rPr>
          <w:u w:val="single"/>
        </w:rPr>
        <w:t>Payment of Gift to Claimants</w:t>
      </w:r>
    </w:p>
    <w:p w14:paraId="2FC106B9" w14:textId="77777777" w:rsidR="00CF534E" w:rsidRPr="00A02298" w:rsidRDefault="00CF534E"/>
    <w:p w14:paraId="1B2BB6B5" w14:textId="77777777" w:rsidR="0048246C" w:rsidRPr="00A02298" w:rsidRDefault="0048246C" w:rsidP="0048246C">
      <w:pPr>
        <w:pStyle w:val="ListParagraph"/>
        <w:autoSpaceDE w:val="0"/>
        <w:autoSpaceDN w:val="0"/>
        <w:adjustRightInd w:val="0"/>
        <w:spacing w:after="0" w:line="240" w:lineRule="auto"/>
        <w:ind w:left="360"/>
        <w:rPr>
          <w:rFonts w:ascii="Times New Roman" w:hAnsi="Times New Roman"/>
          <w:sz w:val="24"/>
          <w:szCs w:val="24"/>
        </w:rPr>
      </w:pPr>
      <w:r w:rsidRPr="00A02298">
        <w:rPr>
          <w:rFonts w:ascii="Times New Roman" w:hAnsi="Times New Roman"/>
          <w:sz w:val="24"/>
          <w:szCs w:val="24"/>
        </w:rPr>
        <w:t>Not applicable.</w:t>
      </w:r>
    </w:p>
    <w:p w14:paraId="770D0CE0" w14:textId="77777777" w:rsidR="00F65D05" w:rsidRPr="00A02298" w:rsidRDefault="00F65D05"/>
    <w:p w14:paraId="4AB3E662" w14:textId="526D6C84" w:rsidR="00CF534E" w:rsidRPr="00A02298" w:rsidRDefault="00CF534E">
      <w:r w:rsidRPr="00A02298">
        <w:t xml:space="preserve">10.  </w:t>
      </w:r>
      <w:r w:rsidRPr="00595985">
        <w:rPr>
          <w:u w:val="single"/>
        </w:rPr>
        <w:t>Assurance of Confidentiality</w:t>
      </w:r>
    </w:p>
    <w:p w14:paraId="729A24ED" w14:textId="77777777" w:rsidR="00F65D05" w:rsidRPr="00A02298" w:rsidRDefault="00F65D05"/>
    <w:p w14:paraId="1E878472" w14:textId="5349B314" w:rsidR="00E10E51" w:rsidRDefault="0048246C" w:rsidP="0048246C">
      <w:pPr>
        <w:pStyle w:val="Default"/>
        <w:ind w:left="360"/>
        <w:rPr>
          <w:rFonts w:ascii="Times New Roman" w:hAnsi="Times New Roman" w:cs="Times New Roman"/>
        </w:rPr>
      </w:pPr>
      <w:r w:rsidRPr="00A02298">
        <w:rPr>
          <w:rFonts w:ascii="Times New Roman" w:hAnsi="Times New Roman" w:cs="Times New Roman"/>
        </w:rPr>
        <w:t xml:space="preserve">As discussed above, the greatest privacy risk from the National </w:t>
      </w:r>
      <w:r w:rsidR="00BF1803">
        <w:rPr>
          <w:rFonts w:ascii="Times New Roman" w:hAnsi="Times New Roman" w:cs="Times New Roman"/>
        </w:rPr>
        <w:t>UoF</w:t>
      </w:r>
      <w:r w:rsidRPr="00A02298">
        <w:rPr>
          <w:rFonts w:ascii="Times New Roman" w:hAnsi="Times New Roman" w:cs="Times New Roman"/>
        </w:rPr>
        <w:t xml:space="preserve"> Data Collection arises from the linkability of the information collected with outside sources of information to potentially identify the officer(s) or subject(s) involved in a specific use-of-force incident.  To mitigate this risk, access to individual incident information is restricted to the submitting agency of the incident and FBI employees supporting the National </w:t>
      </w:r>
      <w:r w:rsidR="00BF1803">
        <w:rPr>
          <w:rFonts w:ascii="Times New Roman" w:hAnsi="Times New Roman" w:cs="Times New Roman"/>
        </w:rPr>
        <w:t>UoF</w:t>
      </w:r>
      <w:r w:rsidR="00A53E2F">
        <w:rPr>
          <w:rFonts w:ascii="Times New Roman" w:hAnsi="Times New Roman" w:cs="Times New Roman"/>
        </w:rPr>
        <w:t xml:space="preserve"> </w:t>
      </w:r>
      <w:r w:rsidRPr="00A02298">
        <w:rPr>
          <w:rFonts w:ascii="Times New Roman" w:hAnsi="Times New Roman" w:cs="Times New Roman"/>
        </w:rPr>
        <w:t xml:space="preserve">Data Collection.  Access to information within the National </w:t>
      </w:r>
      <w:r w:rsidR="00BF1803">
        <w:rPr>
          <w:rFonts w:ascii="Times New Roman" w:hAnsi="Times New Roman" w:cs="Times New Roman"/>
        </w:rPr>
        <w:t>UoF</w:t>
      </w:r>
      <w:r w:rsidRPr="00A02298">
        <w:rPr>
          <w:rFonts w:ascii="Times New Roman" w:hAnsi="Times New Roman" w:cs="Times New Roman"/>
        </w:rPr>
        <w:t xml:space="preserve"> Data Collection system is controlled by user role.  </w:t>
      </w:r>
      <w:r w:rsidR="00E10E51">
        <w:rPr>
          <w:rFonts w:ascii="Times New Roman" w:hAnsi="Times New Roman" w:cs="Times New Roman"/>
        </w:rPr>
        <w:t xml:space="preserve">The FBI has completed a Privacy Impact Assessment on the National </w:t>
      </w:r>
      <w:r w:rsidR="00BF1803">
        <w:rPr>
          <w:rFonts w:ascii="Times New Roman" w:hAnsi="Times New Roman" w:cs="Times New Roman"/>
        </w:rPr>
        <w:t>UoF</w:t>
      </w:r>
      <w:r w:rsidR="00E10E51">
        <w:rPr>
          <w:rFonts w:ascii="Times New Roman" w:hAnsi="Times New Roman" w:cs="Times New Roman"/>
        </w:rPr>
        <w:t xml:space="preserve"> Data Collection and is under review by the DOJ.  A system of records notice was not completed because submission of incidents to the National </w:t>
      </w:r>
      <w:r w:rsidR="00BF1803">
        <w:rPr>
          <w:rFonts w:ascii="Times New Roman" w:hAnsi="Times New Roman" w:cs="Times New Roman"/>
        </w:rPr>
        <w:t>UoF</w:t>
      </w:r>
      <w:r w:rsidR="00E10E51">
        <w:rPr>
          <w:rFonts w:ascii="Times New Roman" w:hAnsi="Times New Roman" w:cs="Times New Roman"/>
        </w:rPr>
        <w:t xml:space="preserve"> Data Collection system is voluntary.  Discretion for submittal lies with the law enforcement unit/department involved.  The National </w:t>
      </w:r>
      <w:r w:rsidR="00BF1803">
        <w:rPr>
          <w:rFonts w:ascii="Times New Roman" w:hAnsi="Times New Roman" w:cs="Times New Roman"/>
        </w:rPr>
        <w:t>UoF</w:t>
      </w:r>
      <w:r w:rsidR="00E10E51">
        <w:rPr>
          <w:rFonts w:ascii="Times New Roman" w:hAnsi="Times New Roman" w:cs="Times New Roman"/>
        </w:rPr>
        <w:t xml:space="preserve"> Data Collection is not a system of records under the Privacy Act and, similar to the UCR system, does not notify individuals involved in the incident (law enforcement or civilian) that the information is being submitted.  No personally identifiable information on living individuals is collected by the National </w:t>
      </w:r>
      <w:r w:rsidR="00BF1803">
        <w:rPr>
          <w:rFonts w:ascii="Times New Roman" w:hAnsi="Times New Roman" w:cs="Times New Roman"/>
        </w:rPr>
        <w:t>UoF</w:t>
      </w:r>
      <w:r w:rsidR="00E10E51">
        <w:rPr>
          <w:rFonts w:ascii="Times New Roman" w:hAnsi="Times New Roman" w:cs="Times New Roman"/>
        </w:rPr>
        <w:t xml:space="preserve"> Data Collection.</w:t>
      </w:r>
    </w:p>
    <w:p w14:paraId="4FF0D611" w14:textId="77777777" w:rsidR="00E10E51" w:rsidRDefault="00E10E51" w:rsidP="0048246C">
      <w:pPr>
        <w:pStyle w:val="Default"/>
        <w:ind w:left="360"/>
        <w:rPr>
          <w:rFonts w:ascii="Times New Roman" w:hAnsi="Times New Roman" w:cs="Times New Roman"/>
        </w:rPr>
      </w:pPr>
    </w:p>
    <w:p w14:paraId="65511D0B" w14:textId="39CA6C15" w:rsidR="0048246C" w:rsidRPr="00A02298" w:rsidRDefault="0048246C" w:rsidP="0048246C">
      <w:pPr>
        <w:pStyle w:val="Default"/>
        <w:ind w:left="360"/>
        <w:rPr>
          <w:rFonts w:ascii="Times New Roman" w:hAnsi="Times New Roman" w:cs="Times New Roman"/>
        </w:rPr>
      </w:pPr>
      <w:r w:rsidRPr="00A02298">
        <w:rPr>
          <w:rFonts w:ascii="Times New Roman" w:hAnsi="Times New Roman" w:cs="Times New Roman"/>
        </w:rPr>
        <w:t xml:space="preserve">Statistical information from the National </w:t>
      </w:r>
      <w:r w:rsidR="00BF1803">
        <w:rPr>
          <w:rFonts w:ascii="Times New Roman" w:hAnsi="Times New Roman" w:cs="Times New Roman"/>
        </w:rPr>
        <w:t>UoF</w:t>
      </w:r>
      <w:r w:rsidRPr="00A02298">
        <w:rPr>
          <w:rFonts w:ascii="Times New Roman" w:hAnsi="Times New Roman" w:cs="Times New Roman"/>
        </w:rPr>
        <w:t xml:space="preserve"> Data Collection will be published</w:t>
      </w:r>
      <w:r w:rsidR="000D37EC">
        <w:rPr>
          <w:rFonts w:ascii="Times New Roman" w:hAnsi="Times New Roman" w:cs="Times New Roman"/>
        </w:rPr>
        <w:t xml:space="preserve"> according to the terms of clearance established by OMB provided in this document</w:t>
      </w:r>
      <w:r w:rsidRPr="00A02298">
        <w:rPr>
          <w:rFonts w:ascii="Times New Roman" w:hAnsi="Times New Roman" w:cs="Times New Roman"/>
        </w:rPr>
        <w:t xml:space="preserve">.  The statistical information published will use aggregated data from incident submissions to the National </w:t>
      </w:r>
      <w:r w:rsidR="00BF1803">
        <w:rPr>
          <w:rFonts w:ascii="Times New Roman" w:hAnsi="Times New Roman" w:cs="Times New Roman"/>
        </w:rPr>
        <w:t>UoF</w:t>
      </w:r>
      <w:r w:rsidRPr="00A02298">
        <w:rPr>
          <w:rFonts w:ascii="Times New Roman" w:hAnsi="Times New Roman" w:cs="Times New Roman"/>
        </w:rPr>
        <w:t xml:space="preserve"> Data Collection </w:t>
      </w:r>
      <w:r w:rsidR="000D37EC">
        <w:rPr>
          <w:rFonts w:ascii="Times New Roman" w:hAnsi="Times New Roman" w:cs="Times New Roman"/>
        </w:rPr>
        <w:t>which</w:t>
      </w:r>
      <w:r w:rsidRPr="00A02298">
        <w:rPr>
          <w:rFonts w:ascii="Times New Roman" w:hAnsi="Times New Roman" w:cs="Times New Roman"/>
        </w:rPr>
        <w:t xml:space="preserve"> will limit the ability of the reader or user to link information back to a particular individual.  For example, agencies will submit the specific address location of a use-of-force incident; however, the published statistics will not include incident information from a specific address.  Rather, the location information will be used to provide information about use-of-force incidents to refine geographical presentations for states, regional areas, or nationally.  Information regarding use-of-force incidents by a specific law enforcement agency will be limited to basic numeric counts of incidents.</w:t>
      </w:r>
      <w:r w:rsidR="00E10E51">
        <w:rPr>
          <w:rFonts w:ascii="Times New Roman" w:hAnsi="Times New Roman"/>
        </w:rPr>
        <w:t xml:space="preserve">  The FBI anticipates it will receive research requests for the underlying raw data from use-of-force incident submissions.  To meet research needs, the FBI will create a sanitized data set from submitted incidents to the National </w:t>
      </w:r>
      <w:r w:rsidR="00BF1803">
        <w:rPr>
          <w:rFonts w:ascii="Times New Roman" w:hAnsi="Times New Roman"/>
        </w:rPr>
        <w:t>UoF</w:t>
      </w:r>
      <w:r w:rsidR="00E10E51">
        <w:rPr>
          <w:rFonts w:ascii="Times New Roman" w:hAnsi="Times New Roman"/>
        </w:rPr>
        <w:t xml:space="preserve"> Data Collection to ensure that information cannot be linked back to specific individuals while still allowing data to be used for statistical research purposes.  The FBI will collaborate with other federal statistical agencies, as well as the Federal Committee on Statistical Methodology to identify “best practices” in the development of the sanitized data set.</w:t>
      </w:r>
    </w:p>
    <w:p w14:paraId="73D42B26" w14:textId="77777777" w:rsidR="0048246C" w:rsidRPr="00A02298" w:rsidRDefault="0048246C" w:rsidP="0048246C">
      <w:pPr>
        <w:pStyle w:val="Default"/>
        <w:ind w:left="360"/>
        <w:rPr>
          <w:rFonts w:ascii="Times New Roman" w:hAnsi="Times New Roman" w:cs="Times New Roman"/>
        </w:rPr>
      </w:pPr>
    </w:p>
    <w:p w14:paraId="2D88502F" w14:textId="49BFBEDC" w:rsidR="0048246C" w:rsidRPr="00A02298" w:rsidRDefault="0048246C" w:rsidP="0048246C">
      <w:pPr>
        <w:pStyle w:val="Default"/>
        <w:ind w:left="360"/>
        <w:rPr>
          <w:rFonts w:ascii="Times New Roman" w:hAnsi="Times New Roman" w:cs="Times New Roman"/>
        </w:rPr>
      </w:pPr>
      <w:r w:rsidRPr="00A02298">
        <w:rPr>
          <w:rFonts w:ascii="Times New Roman" w:hAnsi="Times New Roman" w:cs="Times New Roman"/>
          <w:snapToGrid w:val="0"/>
        </w:rPr>
        <w:t xml:space="preserve">Access to the raw data within the National </w:t>
      </w:r>
      <w:r w:rsidR="00BF1803">
        <w:rPr>
          <w:rFonts w:ascii="Times New Roman" w:hAnsi="Times New Roman" w:cs="Times New Roman"/>
          <w:snapToGrid w:val="0"/>
        </w:rPr>
        <w:t>UoF</w:t>
      </w:r>
      <w:r w:rsidRPr="00A02298">
        <w:rPr>
          <w:rFonts w:ascii="Times New Roman" w:hAnsi="Times New Roman" w:cs="Times New Roman"/>
          <w:snapToGrid w:val="0"/>
        </w:rPr>
        <w:t xml:space="preserve"> Data Collection is restricted to contributing </w:t>
      </w:r>
      <w:r w:rsidR="00772204">
        <w:rPr>
          <w:rFonts w:ascii="Times New Roman" w:hAnsi="Times New Roman" w:cs="Times New Roman"/>
          <w:snapToGrid w:val="0"/>
        </w:rPr>
        <w:t>LEAs</w:t>
      </w:r>
      <w:r w:rsidRPr="00A02298">
        <w:rPr>
          <w:rFonts w:ascii="Times New Roman" w:hAnsi="Times New Roman" w:cs="Times New Roman"/>
          <w:snapToGrid w:val="0"/>
        </w:rPr>
        <w:t xml:space="preserve"> and FBI personnel supporting the National </w:t>
      </w:r>
      <w:r w:rsidR="00BF1803">
        <w:rPr>
          <w:rFonts w:ascii="Times New Roman" w:hAnsi="Times New Roman" w:cs="Times New Roman"/>
          <w:snapToGrid w:val="0"/>
        </w:rPr>
        <w:t>UoF</w:t>
      </w:r>
      <w:r w:rsidR="00613783">
        <w:rPr>
          <w:rFonts w:ascii="Times New Roman" w:hAnsi="Times New Roman" w:cs="Times New Roman"/>
          <w:snapToGrid w:val="0"/>
        </w:rPr>
        <w:t xml:space="preserve"> </w:t>
      </w:r>
      <w:r w:rsidRPr="00A02298">
        <w:rPr>
          <w:rFonts w:ascii="Times New Roman" w:hAnsi="Times New Roman" w:cs="Times New Roman"/>
          <w:snapToGrid w:val="0"/>
        </w:rPr>
        <w:t xml:space="preserve">Data Collection.  A sanitized data set from submitted National </w:t>
      </w:r>
      <w:r w:rsidR="00BF1803">
        <w:rPr>
          <w:rFonts w:ascii="Times New Roman" w:hAnsi="Times New Roman" w:cs="Times New Roman"/>
          <w:snapToGrid w:val="0"/>
        </w:rPr>
        <w:t>UoF</w:t>
      </w:r>
      <w:r w:rsidRPr="00A02298">
        <w:rPr>
          <w:rFonts w:ascii="Times New Roman" w:hAnsi="Times New Roman" w:cs="Times New Roman"/>
          <w:snapToGrid w:val="0"/>
        </w:rPr>
        <w:t xml:space="preserve"> Data Collection incidents will be created using industry standards to ensure that the information cannot be linked back specific individuals while still allowing raw data to be used for statistical research purposes.</w:t>
      </w:r>
    </w:p>
    <w:p w14:paraId="6178ECD2" w14:textId="77777777" w:rsidR="00594BFE" w:rsidRPr="00A02298" w:rsidRDefault="00594BFE"/>
    <w:p w14:paraId="772214A5" w14:textId="77777777" w:rsidR="00F65D05" w:rsidRPr="00A02298" w:rsidRDefault="00F65D05">
      <w:pPr>
        <w:sectPr w:rsidR="00F65D05" w:rsidRPr="00A02298">
          <w:type w:val="continuous"/>
          <w:pgSz w:w="12240" w:h="15840"/>
          <w:pgMar w:top="1440" w:right="1440" w:bottom="1350" w:left="1440" w:header="1440" w:footer="1350" w:gutter="0"/>
          <w:cols w:space="720"/>
          <w:noEndnote/>
        </w:sectPr>
      </w:pPr>
    </w:p>
    <w:p w14:paraId="717EEE68" w14:textId="5C09E698" w:rsidR="00CF534E" w:rsidRPr="00595985" w:rsidRDefault="00CF534E">
      <w:pPr>
        <w:rPr>
          <w:u w:val="single"/>
        </w:rPr>
      </w:pPr>
      <w:r w:rsidRPr="00A02298">
        <w:t xml:space="preserve">11.  </w:t>
      </w:r>
      <w:r w:rsidRPr="00595985">
        <w:rPr>
          <w:u w:val="single"/>
        </w:rPr>
        <w:t>Justification for Sensitive Questions</w:t>
      </w:r>
    </w:p>
    <w:p w14:paraId="2D8CFE59" w14:textId="77777777" w:rsidR="00CF534E" w:rsidRPr="00A02298" w:rsidRDefault="00CF534E"/>
    <w:p w14:paraId="15066BD5" w14:textId="77777777" w:rsidR="0048246C" w:rsidRPr="00A02298" w:rsidRDefault="0048246C" w:rsidP="0048246C">
      <w:pPr>
        <w:ind w:left="360"/>
      </w:pPr>
      <w:r w:rsidRPr="00A02298">
        <w:t>Not applicable.</w:t>
      </w:r>
    </w:p>
    <w:p w14:paraId="32639981" w14:textId="77777777" w:rsidR="006F47B7" w:rsidRPr="00A02298" w:rsidRDefault="006F47B7"/>
    <w:p w14:paraId="3204BC83" w14:textId="02E04BE9" w:rsidR="00CF534E" w:rsidRPr="00A02298" w:rsidRDefault="006F47B7">
      <w:r w:rsidRPr="00A02298">
        <w:t>1</w:t>
      </w:r>
      <w:r w:rsidR="00B50EA9" w:rsidRPr="00A02298">
        <w:t xml:space="preserve">2.  </w:t>
      </w:r>
      <w:r w:rsidR="00B50EA9" w:rsidRPr="00595985">
        <w:rPr>
          <w:u w:val="single"/>
        </w:rPr>
        <w:t>Estimate of Hour Burden</w:t>
      </w:r>
    </w:p>
    <w:p w14:paraId="7AC0AE79" w14:textId="77777777" w:rsidR="00CF534E" w:rsidRPr="00A02298" w:rsidRDefault="00CF534E"/>
    <w:p w14:paraId="4CF263B3" w14:textId="71CCD254" w:rsidR="0048246C" w:rsidRPr="00A02298" w:rsidRDefault="0048246C" w:rsidP="0048246C">
      <w:pPr>
        <w:ind w:left="360"/>
      </w:pPr>
      <w:r w:rsidRPr="00A02298">
        <w:t xml:space="preserve">An estimated 701,486 law enforcement officers will participate in the National </w:t>
      </w:r>
      <w:r w:rsidR="00BF1803">
        <w:t>UoF</w:t>
      </w:r>
      <w:r w:rsidRPr="00A02298">
        <w:t xml:space="preserve"> Data Collection.  The estimated burden hours per incident is 0.63 for completion.</w:t>
      </w:r>
    </w:p>
    <w:p w14:paraId="09E79ABB" w14:textId="032A8F33" w:rsidR="0048246C" w:rsidRPr="00A02298" w:rsidRDefault="0048246C" w:rsidP="0048246C">
      <w:pPr>
        <w:ind w:left="360"/>
      </w:pPr>
      <w:r w:rsidRPr="00A02298">
        <w:t xml:space="preserve">Two separate burden estimates are provided for the proposed collection—one for the pilot study and a second for the annual collection to include all </w:t>
      </w:r>
      <w:r w:rsidR="00772204">
        <w:t>LEAs</w:t>
      </w:r>
      <w:r w:rsidRPr="00A02298">
        <w:t xml:space="preserve">.  Burden estimates were based on sources from the FBI UCR Program, the BJS, and the Centers for Disease Control (CDC).  The BJS has recently estimated that approximately 1,400 fatalities attributed to a law enforcement use of force occur annually (Planty, et al., 2015, </w:t>
      </w:r>
      <w:r w:rsidRPr="00A02298">
        <w:rPr>
          <w:i/>
        </w:rPr>
        <w:t>Arrest-Related Deaths Program: Data Quality Profile</w:t>
      </w:r>
      <w:r w:rsidRPr="00A02298">
        <w:t>, &lt;http://www.bjs.gov/index.cfm?ty=pbdetail&amp;iid=5260&gt;).  In addition, the CDC estimates the incidences of fatal and nonfatal injury—including those due to legal intervention—from emergency department data.  In their piece entitled, “The real risks during deadly police shootouts:  Accuracy of the naïve shooter,” Lewinski, et al. (2015) estimates law enforcement officers miss their target approximately 50 percent of the time at the firing range</w:t>
      </w:r>
      <w:r w:rsidR="00046E23">
        <w:t>.</w:t>
      </w:r>
      <w:r w:rsidRPr="00A02298">
        <w:t xml:space="preserve"> </w:t>
      </w:r>
      <w:r w:rsidR="00046E23">
        <w:t xml:space="preserve"> This</w:t>
      </w:r>
      <w:r w:rsidRPr="00A02298">
        <w:t xml:space="preserve"> </w:t>
      </w:r>
      <w:r w:rsidR="00046E23">
        <w:t xml:space="preserve">simple estimate </w:t>
      </w:r>
      <w:r w:rsidRPr="00A02298">
        <w:t xml:space="preserve">was used for the number of firearm discharges at or in the direction of a person, but did not strike the individual.  In addition, the </w:t>
      </w:r>
      <w:r w:rsidR="00046E23">
        <w:t xml:space="preserve">FBI </w:t>
      </w:r>
      <w:r w:rsidRPr="00A02298">
        <w:t xml:space="preserve">UCR Program collects counts of the number of law enforcement sworn and civilian employees in </w:t>
      </w:r>
      <w:r w:rsidR="00772204">
        <w:t>LEAs</w:t>
      </w:r>
      <w:r w:rsidRPr="00A02298">
        <w:t xml:space="preserve">. </w:t>
      </w:r>
    </w:p>
    <w:p w14:paraId="15279D1A" w14:textId="77777777" w:rsidR="0048246C" w:rsidRPr="00A02298" w:rsidRDefault="0048246C" w:rsidP="0048246C">
      <w:pPr>
        <w:ind w:left="360"/>
      </w:pPr>
    </w:p>
    <w:p w14:paraId="2BC2A585" w14:textId="77777777" w:rsidR="0048246C" w:rsidRPr="00A02298" w:rsidRDefault="0048246C" w:rsidP="0048246C">
      <w:pPr>
        <w:ind w:left="360"/>
      </w:pPr>
      <w:r w:rsidRPr="00A02298">
        <w:t>The table below uses a rate per officer to estimate the anticipated number of reports that could be received within the two pilot phases and an annual collection.  Because the nonfatal injury due to legal intervention estimate from the CDC does not provide any overt measure of severity, these injuries are estimated to be as high as 82,283 or as low as 5,546.  Based upon these estimates, the FBI is requesting 52,416 burden hours for an annual collection of this data.</w:t>
      </w:r>
    </w:p>
    <w:p w14:paraId="6554A632" w14:textId="77777777" w:rsidR="0048246C" w:rsidRPr="00A02298" w:rsidRDefault="0048246C" w:rsidP="0048246C">
      <w:pPr>
        <w:ind w:left="360"/>
      </w:pPr>
    </w:p>
    <w:p w14:paraId="7B78C5EB" w14:textId="77777777" w:rsidR="0048246C" w:rsidRPr="00A02298" w:rsidRDefault="0048246C" w:rsidP="0048246C">
      <w:pPr>
        <w:ind w:left="360"/>
      </w:pPr>
    </w:p>
    <w:p w14:paraId="634DCEF1" w14:textId="77777777" w:rsidR="0048246C" w:rsidRPr="00A02298" w:rsidRDefault="0048246C" w:rsidP="0048246C">
      <w:pPr>
        <w:ind w:left="360"/>
        <w:sectPr w:rsidR="0048246C" w:rsidRPr="00A02298" w:rsidSect="0048246C">
          <w:footerReference w:type="default" r:id="rId11"/>
          <w:type w:val="continuous"/>
          <w:pgSz w:w="12240" w:h="15840"/>
          <w:pgMar w:top="1440" w:right="1440" w:bottom="1440" w:left="1440" w:header="720" w:footer="720" w:gutter="0"/>
          <w:pgNumType w:start="0"/>
          <w:cols w:space="720"/>
          <w:titlePg/>
          <w:docGrid w:linePitch="360"/>
        </w:sectPr>
      </w:pPr>
    </w:p>
    <w:p w14:paraId="3B08D615" w14:textId="77777777" w:rsidR="00CF534E" w:rsidRPr="00A02298" w:rsidRDefault="00CF534E"/>
    <w:tbl>
      <w:tblPr>
        <w:tblpPr w:leftFromText="180" w:rightFromText="180" w:vertAnchor="page" w:horzAnchor="margin" w:tblpY="2236"/>
        <w:tblW w:w="11640" w:type="dxa"/>
        <w:tblLayout w:type="fixed"/>
        <w:tblLook w:val="04A0" w:firstRow="1" w:lastRow="0" w:firstColumn="1" w:lastColumn="0" w:noHBand="0" w:noVBand="1"/>
      </w:tblPr>
      <w:tblGrid>
        <w:gridCol w:w="1737"/>
        <w:gridCol w:w="1531"/>
        <w:gridCol w:w="1272"/>
        <w:gridCol w:w="1024"/>
        <w:gridCol w:w="1007"/>
        <w:gridCol w:w="1024"/>
        <w:gridCol w:w="1007"/>
        <w:gridCol w:w="1007"/>
        <w:gridCol w:w="1024"/>
        <w:gridCol w:w="1007"/>
      </w:tblGrid>
      <w:tr w:rsidR="0048246C" w:rsidRPr="00A02298" w14:paraId="58E49FB5" w14:textId="77777777" w:rsidTr="009F56EA">
        <w:trPr>
          <w:trHeight w:val="330"/>
        </w:trPr>
        <w:tc>
          <w:tcPr>
            <w:tcW w:w="11640" w:type="dxa"/>
            <w:gridSpan w:val="10"/>
            <w:tcBorders>
              <w:top w:val="double" w:sz="6" w:space="0" w:color="auto"/>
              <w:left w:val="nil"/>
              <w:bottom w:val="double" w:sz="6" w:space="0" w:color="auto"/>
              <w:right w:val="nil"/>
            </w:tcBorders>
            <w:shd w:val="clear" w:color="auto" w:fill="auto"/>
            <w:noWrap/>
            <w:vAlign w:val="center"/>
            <w:hideMark/>
          </w:tcPr>
          <w:p w14:paraId="5D09B7FF" w14:textId="77777777" w:rsidR="0048246C" w:rsidRPr="00A02298" w:rsidRDefault="0048246C" w:rsidP="009F56EA">
            <w:pPr>
              <w:jc w:val="center"/>
              <w:rPr>
                <w:color w:val="000000"/>
                <w:sz w:val="18"/>
                <w:szCs w:val="18"/>
              </w:rPr>
            </w:pPr>
            <w:r w:rsidRPr="00A02298">
              <w:rPr>
                <w:color w:val="000000"/>
                <w:sz w:val="18"/>
                <w:szCs w:val="18"/>
              </w:rPr>
              <w:t>Estimated Burden for Pilot Study</w:t>
            </w:r>
          </w:p>
        </w:tc>
      </w:tr>
      <w:tr w:rsidR="0048246C" w:rsidRPr="00A02298" w14:paraId="1D42A5A7" w14:textId="77777777" w:rsidTr="009F56EA">
        <w:trPr>
          <w:trHeight w:val="840"/>
        </w:trPr>
        <w:tc>
          <w:tcPr>
            <w:tcW w:w="1737" w:type="dxa"/>
            <w:tcBorders>
              <w:top w:val="nil"/>
              <w:left w:val="nil"/>
              <w:bottom w:val="single" w:sz="4" w:space="0" w:color="auto"/>
              <w:right w:val="nil"/>
            </w:tcBorders>
            <w:shd w:val="clear" w:color="auto" w:fill="auto"/>
            <w:noWrap/>
            <w:vAlign w:val="bottom"/>
            <w:hideMark/>
          </w:tcPr>
          <w:p w14:paraId="55CFB613" w14:textId="77777777" w:rsidR="0048246C" w:rsidRPr="00A02298" w:rsidRDefault="0048246C" w:rsidP="009F56EA">
            <w:pPr>
              <w:jc w:val="center"/>
              <w:rPr>
                <w:color w:val="000000"/>
                <w:sz w:val="18"/>
              </w:rPr>
            </w:pPr>
          </w:p>
        </w:tc>
        <w:tc>
          <w:tcPr>
            <w:tcW w:w="1531" w:type="dxa"/>
            <w:tcBorders>
              <w:top w:val="nil"/>
              <w:left w:val="nil"/>
              <w:bottom w:val="single" w:sz="4" w:space="0" w:color="auto"/>
              <w:right w:val="single" w:sz="8" w:space="0" w:color="auto"/>
            </w:tcBorders>
            <w:shd w:val="clear" w:color="auto" w:fill="auto"/>
            <w:noWrap/>
            <w:vAlign w:val="bottom"/>
            <w:hideMark/>
          </w:tcPr>
          <w:p w14:paraId="1C88D025" w14:textId="77777777" w:rsidR="0048246C" w:rsidRPr="00A02298" w:rsidRDefault="0048246C" w:rsidP="009F56EA">
            <w:pPr>
              <w:rPr>
                <w:color w:val="000000"/>
              </w:rPr>
            </w:pPr>
            <w:r w:rsidRPr="00A02298">
              <w:rPr>
                <w:color w:val="000000"/>
              </w:rPr>
              <w:t> </w:t>
            </w:r>
          </w:p>
        </w:tc>
        <w:tc>
          <w:tcPr>
            <w:tcW w:w="1272" w:type="dxa"/>
            <w:tcBorders>
              <w:top w:val="nil"/>
              <w:left w:val="nil"/>
              <w:bottom w:val="single" w:sz="8" w:space="0" w:color="auto"/>
              <w:right w:val="nil"/>
            </w:tcBorders>
            <w:shd w:val="clear" w:color="auto" w:fill="auto"/>
            <w:noWrap/>
            <w:vAlign w:val="bottom"/>
            <w:hideMark/>
          </w:tcPr>
          <w:p w14:paraId="47A5DBBB" w14:textId="77777777" w:rsidR="0048246C" w:rsidRPr="00A02298" w:rsidRDefault="0048246C" w:rsidP="009F56EA">
            <w:pPr>
              <w:rPr>
                <w:color w:val="000000"/>
              </w:rPr>
            </w:pPr>
            <w:r w:rsidRPr="00A02298">
              <w:rPr>
                <w:color w:val="000000"/>
              </w:rPr>
              <w:t> </w:t>
            </w:r>
          </w:p>
        </w:tc>
        <w:tc>
          <w:tcPr>
            <w:tcW w:w="2031" w:type="dxa"/>
            <w:gridSpan w:val="2"/>
            <w:tcBorders>
              <w:top w:val="double" w:sz="6" w:space="0" w:color="auto"/>
              <w:left w:val="nil"/>
              <w:bottom w:val="single" w:sz="8" w:space="0" w:color="auto"/>
              <w:right w:val="nil"/>
            </w:tcBorders>
            <w:shd w:val="clear" w:color="auto" w:fill="auto"/>
            <w:noWrap/>
            <w:vAlign w:val="center"/>
            <w:hideMark/>
          </w:tcPr>
          <w:p w14:paraId="40EB68EE" w14:textId="77777777" w:rsidR="0048246C" w:rsidRPr="00A02298" w:rsidRDefault="0048246C" w:rsidP="009F56EA">
            <w:pPr>
              <w:jc w:val="center"/>
              <w:rPr>
                <w:color w:val="000000"/>
                <w:sz w:val="18"/>
                <w:szCs w:val="18"/>
              </w:rPr>
            </w:pPr>
            <w:r w:rsidRPr="00A02298">
              <w:rPr>
                <w:color w:val="000000"/>
                <w:sz w:val="18"/>
                <w:szCs w:val="18"/>
              </w:rPr>
              <w:t>Annual Rate per officer</w:t>
            </w:r>
          </w:p>
        </w:tc>
        <w:tc>
          <w:tcPr>
            <w:tcW w:w="2031" w:type="dxa"/>
            <w:gridSpan w:val="2"/>
            <w:tcBorders>
              <w:top w:val="double" w:sz="6" w:space="0" w:color="auto"/>
              <w:left w:val="nil"/>
              <w:bottom w:val="single" w:sz="8" w:space="0" w:color="auto"/>
              <w:right w:val="single" w:sz="8" w:space="0" w:color="000000"/>
            </w:tcBorders>
            <w:shd w:val="clear" w:color="auto" w:fill="auto"/>
            <w:vAlign w:val="center"/>
            <w:hideMark/>
          </w:tcPr>
          <w:p w14:paraId="22253DB1" w14:textId="77777777" w:rsidR="0048246C" w:rsidRPr="00A02298" w:rsidRDefault="0048246C" w:rsidP="009F56EA">
            <w:pPr>
              <w:jc w:val="center"/>
              <w:rPr>
                <w:color w:val="000000"/>
                <w:sz w:val="18"/>
                <w:szCs w:val="18"/>
              </w:rPr>
            </w:pPr>
            <w:r w:rsidRPr="00A02298">
              <w:rPr>
                <w:color w:val="000000"/>
                <w:sz w:val="18"/>
                <w:szCs w:val="18"/>
              </w:rPr>
              <w:t>Estimated Number of Incidents</w:t>
            </w:r>
          </w:p>
        </w:tc>
        <w:tc>
          <w:tcPr>
            <w:tcW w:w="3038" w:type="dxa"/>
            <w:gridSpan w:val="3"/>
            <w:tcBorders>
              <w:top w:val="double" w:sz="6" w:space="0" w:color="auto"/>
              <w:left w:val="nil"/>
              <w:bottom w:val="single" w:sz="8" w:space="0" w:color="auto"/>
              <w:right w:val="nil"/>
            </w:tcBorders>
            <w:shd w:val="clear" w:color="auto" w:fill="auto"/>
            <w:noWrap/>
            <w:vAlign w:val="center"/>
            <w:hideMark/>
          </w:tcPr>
          <w:p w14:paraId="09BC70DE" w14:textId="77777777" w:rsidR="0048246C" w:rsidRPr="00A02298" w:rsidRDefault="0048246C" w:rsidP="009F56EA">
            <w:pPr>
              <w:jc w:val="center"/>
              <w:rPr>
                <w:color w:val="000000"/>
                <w:sz w:val="18"/>
                <w:szCs w:val="18"/>
              </w:rPr>
            </w:pPr>
            <w:r w:rsidRPr="00A02298">
              <w:rPr>
                <w:color w:val="000000"/>
                <w:sz w:val="18"/>
                <w:szCs w:val="18"/>
              </w:rPr>
              <w:t>Estimated burden hours</w:t>
            </w:r>
          </w:p>
        </w:tc>
      </w:tr>
      <w:tr w:rsidR="0048246C" w:rsidRPr="00A02298" w14:paraId="2FC5C482" w14:textId="77777777" w:rsidTr="009F56EA">
        <w:trPr>
          <w:trHeight w:val="975"/>
        </w:trPr>
        <w:tc>
          <w:tcPr>
            <w:tcW w:w="1737" w:type="dxa"/>
            <w:tcBorders>
              <w:top w:val="single" w:sz="4" w:space="0" w:color="auto"/>
              <w:left w:val="nil"/>
              <w:bottom w:val="single" w:sz="8" w:space="0" w:color="auto"/>
              <w:right w:val="nil"/>
            </w:tcBorders>
            <w:shd w:val="clear" w:color="auto" w:fill="auto"/>
            <w:noWrap/>
            <w:vAlign w:val="center"/>
            <w:hideMark/>
          </w:tcPr>
          <w:p w14:paraId="20D9C991" w14:textId="77777777" w:rsidR="0048246C" w:rsidRPr="00A02298" w:rsidRDefault="0048246C" w:rsidP="009F56EA">
            <w:pPr>
              <w:rPr>
                <w:color w:val="000000"/>
                <w:sz w:val="18"/>
                <w:szCs w:val="18"/>
              </w:rPr>
            </w:pPr>
            <w:r w:rsidRPr="00A02298">
              <w:rPr>
                <w:color w:val="000000"/>
                <w:sz w:val="18"/>
                <w:szCs w:val="18"/>
              </w:rPr>
              <w:t>Timeframe</w:t>
            </w:r>
          </w:p>
        </w:tc>
        <w:tc>
          <w:tcPr>
            <w:tcW w:w="1531" w:type="dxa"/>
            <w:tcBorders>
              <w:top w:val="single" w:sz="4" w:space="0" w:color="auto"/>
              <w:left w:val="nil"/>
              <w:bottom w:val="single" w:sz="8" w:space="0" w:color="auto"/>
              <w:right w:val="single" w:sz="8" w:space="0" w:color="auto"/>
            </w:tcBorders>
            <w:shd w:val="clear" w:color="auto" w:fill="auto"/>
            <w:noWrap/>
            <w:vAlign w:val="center"/>
            <w:hideMark/>
          </w:tcPr>
          <w:p w14:paraId="5E16879B" w14:textId="77777777" w:rsidR="0048246C" w:rsidRPr="00A02298" w:rsidRDefault="0048246C" w:rsidP="009F56EA">
            <w:pPr>
              <w:rPr>
                <w:color w:val="000000"/>
                <w:sz w:val="18"/>
                <w:szCs w:val="18"/>
              </w:rPr>
            </w:pPr>
            <w:r w:rsidRPr="00A02298">
              <w:rPr>
                <w:color w:val="000000"/>
                <w:sz w:val="18"/>
                <w:szCs w:val="18"/>
              </w:rPr>
              <w:t>Reporting Group</w:t>
            </w:r>
          </w:p>
        </w:tc>
        <w:tc>
          <w:tcPr>
            <w:tcW w:w="1272" w:type="dxa"/>
            <w:tcBorders>
              <w:top w:val="nil"/>
              <w:left w:val="nil"/>
              <w:bottom w:val="single" w:sz="8" w:space="0" w:color="auto"/>
              <w:right w:val="nil"/>
            </w:tcBorders>
            <w:shd w:val="clear" w:color="auto" w:fill="auto"/>
            <w:vAlign w:val="center"/>
            <w:hideMark/>
          </w:tcPr>
          <w:p w14:paraId="215D2D89" w14:textId="77777777" w:rsidR="0048246C" w:rsidRPr="00A02298" w:rsidRDefault="0048246C" w:rsidP="009F56EA">
            <w:pPr>
              <w:rPr>
                <w:color w:val="000000"/>
                <w:sz w:val="18"/>
                <w:szCs w:val="18"/>
              </w:rPr>
            </w:pPr>
            <w:r w:rsidRPr="00A02298">
              <w:rPr>
                <w:color w:val="000000"/>
                <w:sz w:val="18"/>
                <w:szCs w:val="18"/>
              </w:rPr>
              <w:t>Approximate Number of officers</w:t>
            </w:r>
          </w:p>
        </w:tc>
        <w:tc>
          <w:tcPr>
            <w:tcW w:w="1024" w:type="dxa"/>
            <w:tcBorders>
              <w:top w:val="nil"/>
              <w:left w:val="nil"/>
              <w:bottom w:val="single" w:sz="8" w:space="0" w:color="auto"/>
              <w:right w:val="nil"/>
            </w:tcBorders>
            <w:shd w:val="clear" w:color="auto" w:fill="auto"/>
            <w:vAlign w:val="center"/>
            <w:hideMark/>
          </w:tcPr>
          <w:p w14:paraId="0EA8ADA6" w14:textId="77777777" w:rsidR="0048246C" w:rsidRPr="00A02298" w:rsidRDefault="0048246C" w:rsidP="009F56EA">
            <w:pPr>
              <w:jc w:val="right"/>
              <w:rPr>
                <w:color w:val="000000"/>
                <w:sz w:val="18"/>
                <w:szCs w:val="18"/>
              </w:rPr>
            </w:pPr>
            <w:r w:rsidRPr="00A02298">
              <w:rPr>
                <w:color w:val="000000"/>
                <w:sz w:val="18"/>
                <w:szCs w:val="18"/>
              </w:rPr>
              <w:t>Maximum</w:t>
            </w:r>
          </w:p>
        </w:tc>
        <w:tc>
          <w:tcPr>
            <w:tcW w:w="1007" w:type="dxa"/>
            <w:tcBorders>
              <w:top w:val="nil"/>
              <w:left w:val="nil"/>
              <w:bottom w:val="single" w:sz="8" w:space="0" w:color="auto"/>
              <w:right w:val="nil"/>
            </w:tcBorders>
            <w:shd w:val="clear" w:color="auto" w:fill="auto"/>
            <w:vAlign w:val="center"/>
            <w:hideMark/>
          </w:tcPr>
          <w:p w14:paraId="781A7AB7" w14:textId="77777777" w:rsidR="0048246C" w:rsidRPr="00A02298" w:rsidRDefault="0048246C" w:rsidP="009F56EA">
            <w:pPr>
              <w:jc w:val="right"/>
              <w:rPr>
                <w:color w:val="000000"/>
                <w:sz w:val="18"/>
                <w:szCs w:val="18"/>
              </w:rPr>
            </w:pPr>
            <w:r w:rsidRPr="00A02298">
              <w:rPr>
                <w:color w:val="000000"/>
                <w:sz w:val="18"/>
                <w:szCs w:val="18"/>
              </w:rPr>
              <w:t>Minimum</w:t>
            </w:r>
          </w:p>
        </w:tc>
        <w:tc>
          <w:tcPr>
            <w:tcW w:w="1024" w:type="dxa"/>
            <w:tcBorders>
              <w:top w:val="nil"/>
              <w:left w:val="nil"/>
              <w:bottom w:val="single" w:sz="8" w:space="0" w:color="auto"/>
              <w:right w:val="nil"/>
            </w:tcBorders>
            <w:shd w:val="clear" w:color="auto" w:fill="auto"/>
            <w:vAlign w:val="center"/>
            <w:hideMark/>
          </w:tcPr>
          <w:p w14:paraId="2AE2AE46" w14:textId="77777777" w:rsidR="0048246C" w:rsidRPr="00A02298" w:rsidRDefault="0048246C" w:rsidP="009F56EA">
            <w:pPr>
              <w:jc w:val="right"/>
              <w:rPr>
                <w:color w:val="000000"/>
                <w:sz w:val="18"/>
                <w:szCs w:val="18"/>
              </w:rPr>
            </w:pPr>
            <w:r w:rsidRPr="00A02298">
              <w:rPr>
                <w:color w:val="000000"/>
                <w:sz w:val="18"/>
                <w:szCs w:val="18"/>
              </w:rPr>
              <w:t>Maximum (3 mos)</w:t>
            </w:r>
          </w:p>
        </w:tc>
        <w:tc>
          <w:tcPr>
            <w:tcW w:w="1007" w:type="dxa"/>
            <w:tcBorders>
              <w:top w:val="nil"/>
              <w:left w:val="nil"/>
              <w:bottom w:val="single" w:sz="8" w:space="0" w:color="auto"/>
              <w:right w:val="single" w:sz="8" w:space="0" w:color="auto"/>
            </w:tcBorders>
            <w:shd w:val="clear" w:color="auto" w:fill="auto"/>
            <w:vAlign w:val="center"/>
            <w:hideMark/>
          </w:tcPr>
          <w:p w14:paraId="55448D91" w14:textId="77777777" w:rsidR="0048246C" w:rsidRPr="00A02298" w:rsidRDefault="0048246C" w:rsidP="009F56EA">
            <w:pPr>
              <w:jc w:val="right"/>
              <w:rPr>
                <w:color w:val="000000"/>
                <w:sz w:val="18"/>
                <w:szCs w:val="18"/>
              </w:rPr>
            </w:pPr>
            <w:r w:rsidRPr="00A02298">
              <w:rPr>
                <w:color w:val="000000"/>
                <w:sz w:val="18"/>
                <w:szCs w:val="18"/>
              </w:rPr>
              <w:t>Minimum (3 mos)</w:t>
            </w:r>
          </w:p>
        </w:tc>
        <w:tc>
          <w:tcPr>
            <w:tcW w:w="1007" w:type="dxa"/>
            <w:tcBorders>
              <w:top w:val="nil"/>
              <w:left w:val="nil"/>
              <w:bottom w:val="single" w:sz="8" w:space="0" w:color="auto"/>
              <w:right w:val="nil"/>
            </w:tcBorders>
            <w:shd w:val="clear" w:color="auto" w:fill="auto"/>
            <w:vAlign w:val="center"/>
            <w:hideMark/>
          </w:tcPr>
          <w:p w14:paraId="41F7E139" w14:textId="77777777" w:rsidR="0048246C" w:rsidRPr="00A02298" w:rsidRDefault="0048246C" w:rsidP="009F56EA">
            <w:pPr>
              <w:jc w:val="right"/>
              <w:rPr>
                <w:color w:val="000000"/>
                <w:sz w:val="18"/>
                <w:szCs w:val="18"/>
              </w:rPr>
            </w:pPr>
            <w:r w:rsidRPr="00A02298">
              <w:rPr>
                <w:color w:val="000000"/>
                <w:sz w:val="18"/>
                <w:szCs w:val="18"/>
              </w:rPr>
              <w:t>Estimated burden hours per incident</w:t>
            </w:r>
          </w:p>
        </w:tc>
        <w:tc>
          <w:tcPr>
            <w:tcW w:w="1024" w:type="dxa"/>
            <w:tcBorders>
              <w:top w:val="nil"/>
              <w:left w:val="nil"/>
              <w:bottom w:val="single" w:sz="8" w:space="0" w:color="auto"/>
              <w:right w:val="nil"/>
            </w:tcBorders>
            <w:shd w:val="clear" w:color="auto" w:fill="auto"/>
            <w:vAlign w:val="center"/>
            <w:hideMark/>
          </w:tcPr>
          <w:p w14:paraId="5D88109C" w14:textId="77777777" w:rsidR="0048246C" w:rsidRPr="00A02298" w:rsidRDefault="0048246C" w:rsidP="009F56EA">
            <w:pPr>
              <w:jc w:val="right"/>
              <w:rPr>
                <w:color w:val="000000"/>
                <w:sz w:val="18"/>
                <w:szCs w:val="18"/>
              </w:rPr>
            </w:pPr>
            <w:r w:rsidRPr="00A02298">
              <w:rPr>
                <w:color w:val="000000"/>
                <w:sz w:val="18"/>
                <w:szCs w:val="18"/>
              </w:rPr>
              <w:t>Maximum</w:t>
            </w:r>
          </w:p>
        </w:tc>
        <w:tc>
          <w:tcPr>
            <w:tcW w:w="1007" w:type="dxa"/>
            <w:tcBorders>
              <w:top w:val="nil"/>
              <w:left w:val="nil"/>
              <w:bottom w:val="single" w:sz="8" w:space="0" w:color="auto"/>
              <w:right w:val="nil"/>
            </w:tcBorders>
            <w:shd w:val="clear" w:color="auto" w:fill="auto"/>
            <w:vAlign w:val="center"/>
            <w:hideMark/>
          </w:tcPr>
          <w:p w14:paraId="47F226C2" w14:textId="77777777" w:rsidR="0048246C" w:rsidRPr="00A02298" w:rsidRDefault="0048246C" w:rsidP="009F56EA">
            <w:pPr>
              <w:jc w:val="right"/>
              <w:rPr>
                <w:color w:val="000000"/>
                <w:sz w:val="18"/>
                <w:szCs w:val="18"/>
              </w:rPr>
            </w:pPr>
            <w:r w:rsidRPr="00A02298">
              <w:rPr>
                <w:color w:val="000000"/>
                <w:sz w:val="18"/>
                <w:szCs w:val="18"/>
              </w:rPr>
              <w:t>Minimum</w:t>
            </w:r>
          </w:p>
        </w:tc>
      </w:tr>
      <w:tr w:rsidR="0048246C" w:rsidRPr="00A02298" w14:paraId="66E5BE93" w14:textId="77777777" w:rsidTr="009F56EA">
        <w:trPr>
          <w:trHeight w:val="300"/>
        </w:trPr>
        <w:tc>
          <w:tcPr>
            <w:tcW w:w="1737" w:type="dxa"/>
            <w:tcBorders>
              <w:top w:val="nil"/>
              <w:left w:val="nil"/>
              <w:bottom w:val="nil"/>
              <w:right w:val="nil"/>
            </w:tcBorders>
            <w:shd w:val="clear" w:color="auto" w:fill="auto"/>
            <w:noWrap/>
            <w:vAlign w:val="center"/>
            <w:hideMark/>
          </w:tcPr>
          <w:p w14:paraId="51107582" w14:textId="77777777" w:rsidR="0048246C" w:rsidRPr="00A02298" w:rsidRDefault="0048246C" w:rsidP="009F56EA">
            <w:pPr>
              <w:rPr>
                <w:color w:val="000000"/>
                <w:sz w:val="18"/>
                <w:szCs w:val="18"/>
              </w:rPr>
            </w:pPr>
            <w:r w:rsidRPr="00A02298">
              <w:rPr>
                <w:color w:val="000000"/>
                <w:sz w:val="18"/>
                <w:szCs w:val="18"/>
              </w:rPr>
              <w:t xml:space="preserve">Pilot I </w:t>
            </w:r>
          </w:p>
        </w:tc>
        <w:tc>
          <w:tcPr>
            <w:tcW w:w="1531" w:type="dxa"/>
            <w:vMerge w:val="restart"/>
            <w:tcBorders>
              <w:top w:val="nil"/>
              <w:left w:val="nil"/>
              <w:bottom w:val="nil"/>
              <w:right w:val="single" w:sz="8" w:space="0" w:color="auto"/>
            </w:tcBorders>
            <w:shd w:val="clear" w:color="auto" w:fill="auto"/>
            <w:noWrap/>
            <w:vAlign w:val="center"/>
            <w:hideMark/>
          </w:tcPr>
          <w:p w14:paraId="7F78E499" w14:textId="77777777" w:rsidR="0048246C" w:rsidRPr="00A02298" w:rsidRDefault="0048246C" w:rsidP="009F56EA">
            <w:pPr>
              <w:rPr>
                <w:color w:val="000000"/>
                <w:sz w:val="18"/>
                <w:szCs w:val="18"/>
              </w:rPr>
            </w:pPr>
            <w:r w:rsidRPr="00A02298">
              <w:rPr>
                <w:color w:val="000000"/>
                <w:sz w:val="18"/>
                <w:szCs w:val="18"/>
              </w:rPr>
              <w:t>Large agencies</w:t>
            </w:r>
          </w:p>
        </w:tc>
        <w:tc>
          <w:tcPr>
            <w:tcW w:w="1272" w:type="dxa"/>
            <w:vMerge w:val="restart"/>
            <w:tcBorders>
              <w:top w:val="nil"/>
              <w:left w:val="single" w:sz="8" w:space="0" w:color="auto"/>
              <w:bottom w:val="nil"/>
              <w:right w:val="nil"/>
            </w:tcBorders>
            <w:shd w:val="clear" w:color="auto" w:fill="auto"/>
            <w:noWrap/>
            <w:vAlign w:val="center"/>
            <w:hideMark/>
          </w:tcPr>
          <w:p w14:paraId="5BE6C2C2" w14:textId="77777777" w:rsidR="0048246C" w:rsidRPr="00A02298" w:rsidRDefault="0048246C" w:rsidP="009F56EA">
            <w:pPr>
              <w:jc w:val="right"/>
              <w:rPr>
                <w:color w:val="000000"/>
                <w:sz w:val="18"/>
                <w:szCs w:val="18"/>
              </w:rPr>
            </w:pPr>
            <w:r w:rsidRPr="00A02298">
              <w:rPr>
                <w:color w:val="000000"/>
                <w:sz w:val="18"/>
                <w:szCs w:val="18"/>
              </w:rPr>
              <w:t>178,557</w:t>
            </w:r>
          </w:p>
        </w:tc>
        <w:tc>
          <w:tcPr>
            <w:tcW w:w="1024" w:type="dxa"/>
            <w:vMerge w:val="restart"/>
            <w:tcBorders>
              <w:top w:val="nil"/>
              <w:left w:val="nil"/>
              <w:bottom w:val="nil"/>
              <w:right w:val="nil"/>
            </w:tcBorders>
            <w:shd w:val="clear" w:color="auto" w:fill="auto"/>
            <w:noWrap/>
            <w:vAlign w:val="center"/>
            <w:hideMark/>
          </w:tcPr>
          <w:p w14:paraId="3ECA6C03" w14:textId="77777777" w:rsidR="0048246C" w:rsidRPr="00A02298" w:rsidRDefault="0048246C" w:rsidP="009F56EA">
            <w:pPr>
              <w:jc w:val="right"/>
              <w:rPr>
                <w:color w:val="000000"/>
                <w:sz w:val="18"/>
                <w:szCs w:val="18"/>
              </w:rPr>
            </w:pPr>
            <w:r w:rsidRPr="00A02298">
              <w:rPr>
                <w:color w:val="000000"/>
                <w:sz w:val="18"/>
                <w:szCs w:val="18"/>
              </w:rPr>
              <w:t>0.112</w:t>
            </w:r>
          </w:p>
        </w:tc>
        <w:tc>
          <w:tcPr>
            <w:tcW w:w="1007" w:type="dxa"/>
            <w:vMerge w:val="restart"/>
            <w:tcBorders>
              <w:top w:val="nil"/>
              <w:left w:val="nil"/>
              <w:bottom w:val="nil"/>
              <w:right w:val="nil"/>
            </w:tcBorders>
            <w:shd w:val="clear" w:color="auto" w:fill="auto"/>
            <w:noWrap/>
            <w:vAlign w:val="center"/>
            <w:hideMark/>
          </w:tcPr>
          <w:p w14:paraId="769E7944" w14:textId="77777777" w:rsidR="0048246C" w:rsidRPr="00A02298" w:rsidRDefault="0048246C" w:rsidP="009F56EA">
            <w:pPr>
              <w:jc w:val="right"/>
              <w:rPr>
                <w:color w:val="000000"/>
                <w:sz w:val="18"/>
                <w:szCs w:val="18"/>
              </w:rPr>
            </w:pPr>
            <w:r w:rsidRPr="00A02298">
              <w:rPr>
                <w:color w:val="000000"/>
                <w:sz w:val="18"/>
                <w:szCs w:val="18"/>
              </w:rPr>
              <w:t>0.012</w:t>
            </w:r>
          </w:p>
        </w:tc>
        <w:tc>
          <w:tcPr>
            <w:tcW w:w="1024" w:type="dxa"/>
            <w:vMerge w:val="restart"/>
            <w:tcBorders>
              <w:top w:val="nil"/>
              <w:left w:val="nil"/>
              <w:bottom w:val="nil"/>
              <w:right w:val="nil"/>
            </w:tcBorders>
            <w:shd w:val="clear" w:color="auto" w:fill="auto"/>
            <w:noWrap/>
            <w:vAlign w:val="center"/>
            <w:hideMark/>
          </w:tcPr>
          <w:p w14:paraId="389F1F2A" w14:textId="77777777" w:rsidR="0048246C" w:rsidRPr="00A02298" w:rsidRDefault="0048246C" w:rsidP="009F56EA">
            <w:pPr>
              <w:jc w:val="right"/>
              <w:rPr>
                <w:color w:val="000000"/>
                <w:sz w:val="18"/>
                <w:szCs w:val="18"/>
              </w:rPr>
            </w:pPr>
            <w:r w:rsidRPr="00A02298">
              <w:rPr>
                <w:color w:val="000000"/>
                <w:sz w:val="18"/>
                <w:szCs w:val="18"/>
              </w:rPr>
              <w:t>5,000</w:t>
            </w:r>
          </w:p>
        </w:tc>
        <w:tc>
          <w:tcPr>
            <w:tcW w:w="1007" w:type="dxa"/>
            <w:vMerge w:val="restart"/>
            <w:tcBorders>
              <w:top w:val="nil"/>
              <w:left w:val="nil"/>
              <w:bottom w:val="nil"/>
              <w:right w:val="single" w:sz="8" w:space="0" w:color="auto"/>
            </w:tcBorders>
            <w:shd w:val="clear" w:color="auto" w:fill="auto"/>
            <w:noWrap/>
            <w:vAlign w:val="center"/>
            <w:hideMark/>
          </w:tcPr>
          <w:p w14:paraId="4B7B52AB" w14:textId="77777777" w:rsidR="0048246C" w:rsidRPr="00A02298" w:rsidRDefault="0048246C" w:rsidP="009F56EA">
            <w:pPr>
              <w:jc w:val="right"/>
              <w:rPr>
                <w:color w:val="000000"/>
                <w:sz w:val="18"/>
                <w:szCs w:val="18"/>
              </w:rPr>
            </w:pPr>
            <w:r w:rsidRPr="00A02298">
              <w:rPr>
                <w:color w:val="000000"/>
                <w:sz w:val="18"/>
                <w:szCs w:val="18"/>
              </w:rPr>
              <w:t>536</w:t>
            </w:r>
          </w:p>
        </w:tc>
        <w:tc>
          <w:tcPr>
            <w:tcW w:w="1007" w:type="dxa"/>
            <w:vMerge w:val="restart"/>
            <w:tcBorders>
              <w:top w:val="nil"/>
              <w:left w:val="single" w:sz="8" w:space="0" w:color="auto"/>
              <w:bottom w:val="nil"/>
              <w:right w:val="nil"/>
            </w:tcBorders>
            <w:shd w:val="clear" w:color="auto" w:fill="auto"/>
            <w:noWrap/>
            <w:vAlign w:val="center"/>
            <w:hideMark/>
          </w:tcPr>
          <w:p w14:paraId="551F3DBD" w14:textId="77777777" w:rsidR="0048246C" w:rsidRPr="00A02298" w:rsidRDefault="0048246C" w:rsidP="009F56EA">
            <w:pPr>
              <w:jc w:val="right"/>
              <w:rPr>
                <w:color w:val="000000"/>
                <w:sz w:val="18"/>
                <w:szCs w:val="18"/>
              </w:rPr>
            </w:pPr>
            <w:r w:rsidRPr="00A02298">
              <w:rPr>
                <w:color w:val="000000"/>
                <w:sz w:val="18"/>
                <w:szCs w:val="18"/>
              </w:rPr>
              <w:t>0.63</w:t>
            </w:r>
          </w:p>
        </w:tc>
        <w:tc>
          <w:tcPr>
            <w:tcW w:w="1024" w:type="dxa"/>
            <w:vMerge w:val="restart"/>
            <w:tcBorders>
              <w:top w:val="nil"/>
              <w:left w:val="nil"/>
              <w:bottom w:val="nil"/>
              <w:right w:val="nil"/>
            </w:tcBorders>
            <w:shd w:val="clear" w:color="auto" w:fill="auto"/>
            <w:noWrap/>
            <w:vAlign w:val="center"/>
            <w:hideMark/>
          </w:tcPr>
          <w:p w14:paraId="2A9070C6" w14:textId="77777777" w:rsidR="0048246C" w:rsidRPr="00A02298" w:rsidRDefault="0048246C" w:rsidP="009F56EA">
            <w:pPr>
              <w:jc w:val="right"/>
              <w:rPr>
                <w:color w:val="000000"/>
                <w:sz w:val="18"/>
                <w:szCs w:val="18"/>
              </w:rPr>
            </w:pPr>
            <w:r w:rsidRPr="00A02298">
              <w:rPr>
                <w:color w:val="000000"/>
                <w:sz w:val="18"/>
                <w:szCs w:val="18"/>
              </w:rPr>
              <w:t>3,150</w:t>
            </w:r>
          </w:p>
        </w:tc>
        <w:tc>
          <w:tcPr>
            <w:tcW w:w="1007" w:type="dxa"/>
            <w:vMerge w:val="restart"/>
            <w:tcBorders>
              <w:top w:val="nil"/>
              <w:left w:val="nil"/>
              <w:bottom w:val="nil"/>
              <w:right w:val="nil"/>
            </w:tcBorders>
            <w:shd w:val="clear" w:color="auto" w:fill="auto"/>
            <w:noWrap/>
            <w:vAlign w:val="center"/>
            <w:hideMark/>
          </w:tcPr>
          <w:p w14:paraId="0243321A" w14:textId="77777777" w:rsidR="0048246C" w:rsidRPr="00A02298" w:rsidRDefault="0048246C" w:rsidP="009F56EA">
            <w:pPr>
              <w:jc w:val="right"/>
              <w:rPr>
                <w:color w:val="000000"/>
                <w:sz w:val="18"/>
                <w:szCs w:val="18"/>
              </w:rPr>
            </w:pPr>
            <w:r w:rsidRPr="00A02298">
              <w:rPr>
                <w:color w:val="000000"/>
                <w:sz w:val="18"/>
                <w:szCs w:val="18"/>
              </w:rPr>
              <w:t>338</w:t>
            </w:r>
          </w:p>
        </w:tc>
      </w:tr>
      <w:tr w:rsidR="0048246C" w:rsidRPr="00A02298" w14:paraId="1676ECE2" w14:textId="77777777" w:rsidTr="009F56EA">
        <w:trPr>
          <w:trHeight w:val="300"/>
        </w:trPr>
        <w:tc>
          <w:tcPr>
            <w:tcW w:w="1737" w:type="dxa"/>
            <w:tcBorders>
              <w:top w:val="nil"/>
              <w:left w:val="nil"/>
              <w:bottom w:val="nil"/>
              <w:right w:val="nil"/>
            </w:tcBorders>
            <w:shd w:val="clear" w:color="auto" w:fill="auto"/>
            <w:noWrap/>
            <w:vAlign w:val="center"/>
            <w:hideMark/>
          </w:tcPr>
          <w:p w14:paraId="16CCF0EA" w14:textId="77777777" w:rsidR="0048246C" w:rsidRPr="00A02298" w:rsidRDefault="0048246C" w:rsidP="009F56EA">
            <w:pPr>
              <w:rPr>
                <w:color w:val="000000"/>
                <w:sz w:val="18"/>
                <w:szCs w:val="18"/>
              </w:rPr>
            </w:pPr>
            <w:r w:rsidRPr="00A02298">
              <w:rPr>
                <w:color w:val="000000"/>
                <w:sz w:val="18"/>
                <w:szCs w:val="18"/>
              </w:rPr>
              <w:t>(3 months)</w:t>
            </w:r>
          </w:p>
        </w:tc>
        <w:tc>
          <w:tcPr>
            <w:tcW w:w="1531" w:type="dxa"/>
            <w:vMerge/>
            <w:tcBorders>
              <w:top w:val="nil"/>
              <w:left w:val="nil"/>
              <w:bottom w:val="nil"/>
              <w:right w:val="single" w:sz="8" w:space="0" w:color="auto"/>
            </w:tcBorders>
            <w:vAlign w:val="center"/>
            <w:hideMark/>
          </w:tcPr>
          <w:p w14:paraId="4F42ED84" w14:textId="77777777" w:rsidR="0048246C" w:rsidRPr="00A02298" w:rsidRDefault="0048246C" w:rsidP="009F56EA">
            <w:pPr>
              <w:rPr>
                <w:color w:val="000000"/>
                <w:sz w:val="18"/>
                <w:szCs w:val="18"/>
              </w:rPr>
            </w:pPr>
          </w:p>
        </w:tc>
        <w:tc>
          <w:tcPr>
            <w:tcW w:w="1272" w:type="dxa"/>
            <w:vMerge/>
            <w:tcBorders>
              <w:top w:val="nil"/>
              <w:left w:val="single" w:sz="8" w:space="0" w:color="auto"/>
              <w:bottom w:val="nil"/>
              <w:right w:val="nil"/>
            </w:tcBorders>
            <w:vAlign w:val="center"/>
            <w:hideMark/>
          </w:tcPr>
          <w:p w14:paraId="559EB6BF" w14:textId="77777777" w:rsidR="0048246C" w:rsidRPr="00A02298" w:rsidRDefault="0048246C" w:rsidP="009F56EA">
            <w:pPr>
              <w:rPr>
                <w:color w:val="000000"/>
                <w:sz w:val="18"/>
                <w:szCs w:val="18"/>
              </w:rPr>
            </w:pPr>
          </w:p>
        </w:tc>
        <w:tc>
          <w:tcPr>
            <w:tcW w:w="1024" w:type="dxa"/>
            <w:vMerge/>
            <w:tcBorders>
              <w:top w:val="nil"/>
              <w:left w:val="nil"/>
              <w:bottom w:val="nil"/>
              <w:right w:val="nil"/>
            </w:tcBorders>
            <w:vAlign w:val="center"/>
            <w:hideMark/>
          </w:tcPr>
          <w:p w14:paraId="44D59667" w14:textId="77777777" w:rsidR="0048246C" w:rsidRPr="00A02298" w:rsidRDefault="0048246C" w:rsidP="009F56EA">
            <w:pPr>
              <w:rPr>
                <w:color w:val="000000"/>
                <w:sz w:val="18"/>
                <w:szCs w:val="18"/>
              </w:rPr>
            </w:pPr>
          </w:p>
        </w:tc>
        <w:tc>
          <w:tcPr>
            <w:tcW w:w="1007" w:type="dxa"/>
            <w:vMerge/>
            <w:tcBorders>
              <w:top w:val="nil"/>
              <w:left w:val="nil"/>
              <w:bottom w:val="nil"/>
              <w:right w:val="nil"/>
            </w:tcBorders>
            <w:vAlign w:val="center"/>
            <w:hideMark/>
          </w:tcPr>
          <w:p w14:paraId="50F7BF2A" w14:textId="77777777" w:rsidR="0048246C" w:rsidRPr="00A02298" w:rsidRDefault="0048246C" w:rsidP="009F56EA">
            <w:pPr>
              <w:rPr>
                <w:color w:val="000000"/>
                <w:sz w:val="18"/>
                <w:szCs w:val="18"/>
              </w:rPr>
            </w:pPr>
          </w:p>
        </w:tc>
        <w:tc>
          <w:tcPr>
            <w:tcW w:w="1024" w:type="dxa"/>
            <w:vMerge/>
            <w:tcBorders>
              <w:top w:val="nil"/>
              <w:left w:val="nil"/>
              <w:bottom w:val="nil"/>
              <w:right w:val="nil"/>
            </w:tcBorders>
            <w:vAlign w:val="center"/>
            <w:hideMark/>
          </w:tcPr>
          <w:p w14:paraId="4B6D8E9D" w14:textId="77777777" w:rsidR="0048246C" w:rsidRPr="00A02298" w:rsidRDefault="0048246C" w:rsidP="009F56EA">
            <w:pPr>
              <w:rPr>
                <w:color w:val="000000"/>
                <w:sz w:val="18"/>
                <w:szCs w:val="18"/>
              </w:rPr>
            </w:pPr>
          </w:p>
        </w:tc>
        <w:tc>
          <w:tcPr>
            <w:tcW w:w="1007" w:type="dxa"/>
            <w:vMerge/>
            <w:tcBorders>
              <w:top w:val="nil"/>
              <w:left w:val="nil"/>
              <w:bottom w:val="nil"/>
              <w:right w:val="single" w:sz="8" w:space="0" w:color="auto"/>
            </w:tcBorders>
            <w:vAlign w:val="center"/>
            <w:hideMark/>
          </w:tcPr>
          <w:p w14:paraId="45050D81" w14:textId="77777777" w:rsidR="0048246C" w:rsidRPr="00A02298" w:rsidRDefault="0048246C" w:rsidP="009F56EA">
            <w:pPr>
              <w:rPr>
                <w:color w:val="000000"/>
                <w:sz w:val="18"/>
                <w:szCs w:val="18"/>
              </w:rPr>
            </w:pPr>
          </w:p>
        </w:tc>
        <w:tc>
          <w:tcPr>
            <w:tcW w:w="1007" w:type="dxa"/>
            <w:vMerge/>
            <w:tcBorders>
              <w:top w:val="nil"/>
              <w:left w:val="single" w:sz="8" w:space="0" w:color="auto"/>
              <w:bottom w:val="nil"/>
              <w:right w:val="nil"/>
            </w:tcBorders>
            <w:vAlign w:val="center"/>
            <w:hideMark/>
          </w:tcPr>
          <w:p w14:paraId="6DE3D9FD" w14:textId="77777777" w:rsidR="0048246C" w:rsidRPr="00A02298" w:rsidRDefault="0048246C" w:rsidP="009F56EA">
            <w:pPr>
              <w:rPr>
                <w:color w:val="000000"/>
                <w:sz w:val="18"/>
                <w:szCs w:val="18"/>
              </w:rPr>
            </w:pPr>
          </w:p>
        </w:tc>
        <w:tc>
          <w:tcPr>
            <w:tcW w:w="1024" w:type="dxa"/>
            <w:vMerge/>
            <w:tcBorders>
              <w:top w:val="nil"/>
              <w:left w:val="nil"/>
              <w:bottom w:val="nil"/>
              <w:right w:val="nil"/>
            </w:tcBorders>
            <w:vAlign w:val="center"/>
            <w:hideMark/>
          </w:tcPr>
          <w:p w14:paraId="592EADBA" w14:textId="77777777" w:rsidR="0048246C" w:rsidRPr="00A02298" w:rsidRDefault="0048246C" w:rsidP="009F56EA">
            <w:pPr>
              <w:rPr>
                <w:color w:val="000000"/>
                <w:sz w:val="18"/>
                <w:szCs w:val="18"/>
              </w:rPr>
            </w:pPr>
          </w:p>
        </w:tc>
        <w:tc>
          <w:tcPr>
            <w:tcW w:w="1007" w:type="dxa"/>
            <w:vMerge/>
            <w:tcBorders>
              <w:top w:val="nil"/>
              <w:left w:val="nil"/>
              <w:bottom w:val="nil"/>
              <w:right w:val="nil"/>
            </w:tcBorders>
            <w:vAlign w:val="center"/>
            <w:hideMark/>
          </w:tcPr>
          <w:p w14:paraId="6ECBAB48" w14:textId="77777777" w:rsidR="0048246C" w:rsidRPr="00A02298" w:rsidRDefault="0048246C" w:rsidP="009F56EA">
            <w:pPr>
              <w:rPr>
                <w:color w:val="000000"/>
                <w:sz w:val="18"/>
                <w:szCs w:val="18"/>
              </w:rPr>
            </w:pPr>
          </w:p>
        </w:tc>
      </w:tr>
      <w:tr w:rsidR="0048246C" w:rsidRPr="00A02298" w14:paraId="192CCD2B" w14:textId="77777777" w:rsidTr="009F56EA">
        <w:trPr>
          <w:trHeight w:val="300"/>
        </w:trPr>
        <w:tc>
          <w:tcPr>
            <w:tcW w:w="1737" w:type="dxa"/>
            <w:tcBorders>
              <w:top w:val="nil"/>
              <w:left w:val="nil"/>
              <w:bottom w:val="nil"/>
              <w:right w:val="nil"/>
            </w:tcBorders>
            <w:shd w:val="clear" w:color="auto" w:fill="auto"/>
            <w:noWrap/>
            <w:vAlign w:val="bottom"/>
            <w:hideMark/>
          </w:tcPr>
          <w:p w14:paraId="6B6A5A2A" w14:textId="77777777" w:rsidR="0048246C" w:rsidRPr="00A02298" w:rsidRDefault="0048246C" w:rsidP="009F56EA">
            <w:pPr>
              <w:rPr>
                <w:color w:val="000000"/>
                <w:sz w:val="18"/>
                <w:szCs w:val="18"/>
              </w:rPr>
            </w:pPr>
          </w:p>
        </w:tc>
        <w:tc>
          <w:tcPr>
            <w:tcW w:w="1531" w:type="dxa"/>
            <w:tcBorders>
              <w:top w:val="nil"/>
              <w:left w:val="nil"/>
              <w:bottom w:val="nil"/>
              <w:right w:val="single" w:sz="8" w:space="0" w:color="auto"/>
            </w:tcBorders>
            <w:shd w:val="clear" w:color="auto" w:fill="auto"/>
            <w:noWrap/>
            <w:vAlign w:val="center"/>
            <w:hideMark/>
          </w:tcPr>
          <w:p w14:paraId="6A11E2B5" w14:textId="77777777" w:rsidR="0048246C" w:rsidRPr="00A02298" w:rsidRDefault="0048246C" w:rsidP="009F56EA">
            <w:pPr>
              <w:rPr>
                <w:color w:val="000000"/>
                <w:sz w:val="18"/>
                <w:szCs w:val="18"/>
              </w:rPr>
            </w:pPr>
            <w:r w:rsidRPr="00A02298">
              <w:rPr>
                <w:color w:val="000000"/>
                <w:sz w:val="18"/>
                <w:szCs w:val="18"/>
              </w:rPr>
              <w:t>Pilot I States</w:t>
            </w:r>
          </w:p>
        </w:tc>
        <w:tc>
          <w:tcPr>
            <w:tcW w:w="1272" w:type="dxa"/>
            <w:tcBorders>
              <w:top w:val="nil"/>
              <w:left w:val="nil"/>
              <w:bottom w:val="nil"/>
              <w:right w:val="nil"/>
            </w:tcBorders>
            <w:shd w:val="clear" w:color="auto" w:fill="auto"/>
            <w:noWrap/>
            <w:vAlign w:val="center"/>
            <w:hideMark/>
          </w:tcPr>
          <w:p w14:paraId="4B3337DC" w14:textId="77777777" w:rsidR="0048246C" w:rsidRPr="00A02298" w:rsidRDefault="0048246C" w:rsidP="009F56EA">
            <w:pPr>
              <w:jc w:val="right"/>
              <w:rPr>
                <w:color w:val="000000"/>
                <w:sz w:val="18"/>
                <w:szCs w:val="18"/>
              </w:rPr>
            </w:pPr>
            <w:r w:rsidRPr="00A02298">
              <w:rPr>
                <w:color w:val="000000"/>
                <w:sz w:val="18"/>
                <w:szCs w:val="18"/>
              </w:rPr>
              <w:t>54,781</w:t>
            </w:r>
          </w:p>
        </w:tc>
        <w:tc>
          <w:tcPr>
            <w:tcW w:w="1024" w:type="dxa"/>
            <w:tcBorders>
              <w:top w:val="nil"/>
              <w:left w:val="nil"/>
              <w:bottom w:val="nil"/>
              <w:right w:val="nil"/>
            </w:tcBorders>
            <w:shd w:val="clear" w:color="auto" w:fill="auto"/>
            <w:noWrap/>
            <w:vAlign w:val="center"/>
            <w:hideMark/>
          </w:tcPr>
          <w:p w14:paraId="06F2C14D" w14:textId="77777777" w:rsidR="0048246C" w:rsidRPr="00A02298" w:rsidRDefault="0048246C" w:rsidP="009F56EA">
            <w:pPr>
              <w:jc w:val="right"/>
              <w:rPr>
                <w:color w:val="000000"/>
                <w:sz w:val="18"/>
                <w:szCs w:val="18"/>
              </w:rPr>
            </w:pPr>
            <w:r w:rsidRPr="00A02298">
              <w:rPr>
                <w:color w:val="000000"/>
                <w:sz w:val="18"/>
                <w:szCs w:val="18"/>
              </w:rPr>
              <w:t>0.112</w:t>
            </w:r>
          </w:p>
        </w:tc>
        <w:tc>
          <w:tcPr>
            <w:tcW w:w="1007" w:type="dxa"/>
            <w:tcBorders>
              <w:top w:val="nil"/>
              <w:left w:val="nil"/>
              <w:bottom w:val="nil"/>
              <w:right w:val="nil"/>
            </w:tcBorders>
            <w:shd w:val="clear" w:color="auto" w:fill="auto"/>
            <w:noWrap/>
            <w:vAlign w:val="center"/>
            <w:hideMark/>
          </w:tcPr>
          <w:p w14:paraId="29EE5A4D" w14:textId="77777777" w:rsidR="0048246C" w:rsidRPr="00A02298" w:rsidRDefault="0048246C" w:rsidP="009F56EA">
            <w:pPr>
              <w:jc w:val="right"/>
              <w:rPr>
                <w:color w:val="000000"/>
                <w:sz w:val="18"/>
                <w:szCs w:val="18"/>
              </w:rPr>
            </w:pPr>
            <w:r w:rsidRPr="00A02298">
              <w:rPr>
                <w:color w:val="000000"/>
                <w:sz w:val="18"/>
                <w:szCs w:val="18"/>
              </w:rPr>
              <w:t>0.012</w:t>
            </w:r>
          </w:p>
        </w:tc>
        <w:tc>
          <w:tcPr>
            <w:tcW w:w="1024" w:type="dxa"/>
            <w:tcBorders>
              <w:top w:val="nil"/>
              <w:left w:val="nil"/>
              <w:bottom w:val="nil"/>
              <w:right w:val="nil"/>
            </w:tcBorders>
            <w:shd w:val="clear" w:color="auto" w:fill="auto"/>
            <w:noWrap/>
            <w:vAlign w:val="center"/>
            <w:hideMark/>
          </w:tcPr>
          <w:p w14:paraId="380AFFB5" w14:textId="77777777" w:rsidR="0048246C" w:rsidRPr="00A02298" w:rsidRDefault="0048246C" w:rsidP="009F56EA">
            <w:pPr>
              <w:jc w:val="right"/>
              <w:rPr>
                <w:color w:val="000000"/>
                <w:sz w:val="18"/>
                <w:szCs w:val="18"/>
              </w:rPr>
            </w:pPr>
            <w:r w:rsidRPr="00A02298">
              <w:rPr>
                <w:color w:val="000000"/>
                <w:sz w:val="18"/>
                <w:szCs w:val="18"/>
              </w:rPr>
              <w:t>1,534</w:t>
            </w:r>
          </w:p>
        </w:tc>
        <w:tc>
          <w:tcPr>
            <w:tcW w:w="1007" w:type="dxa"/>
            <w:tcBorders>
              <w:top w:val="nil"/>
              <w:left w:val="nil"/>
              <w:bottom w:val="nil"/>
              <w:right w:val="single" w:sz="8" w:space="0" w:color="auto"/>
            </w:tcBorders>
            <w:shd w:val="clear" w:color="auto" w:fill="auto"/>
            <w:noWrap/>
            <w:vAlign w:val="center"/>
            <w:hideMark/>
          </w:tcPr>
          <w:p w14:paraId="1900A463" w14:textId="77777777" w:rsidR="0048246C" w:rsidRPr="00A02298" w:rsidRDefault="0048246C" w:rsidP="009F56EA">
            <w:pPr>
              <w:jc w:val="right"/>
              <w:rPr>
                <w:color w:val="000000"/>
                <w:sz w:val="18"/>
                <w:szCs w:val="18"/>
              </w:rPr>
            </w:pPr>
            <w:r w:rsidRPr="00A02298">
              <w:rPr>
                <w:color w:val="000000"/>
                <w:sz w:val="18"/>
                <w:szCs w:val="18"/>
              </w:rPr>
              <w:t>165</w:t>
            </w:r>
          </w:p>
        </w:tc>
        <w:tc>
          <w:tcPr>
            <w:tcW w:w="1007" w:type="dxa"/>
            <w:tcBorders>
              <w:top w:val="nil"/>
              <w:left w:val="nil"/>
              <w:bottom w:val="nil"/>
              <w:right w:val="nil"/>
            </w:tcBorders>
            <w:shd w:val="clear" w:color="auto" w:fill="auto"/>
            <w:noWrap/>
            <w:vAlign w:val="center"/>
            <w:hideMark/>
          </w:tcPr>
          <w:p w14:paraId="48AF3771" w14:textId="77777777" w:rsidR="0048246C" w:rsidRPr="00A02298" w:rsidRDefault="0048246C" w:rsidP="009F56EA">
            <w:pPr>
              <w:jc w:val="right"/>
              <w:rPr>
                <w:color w:val="000000"/>
                <w:sz w:val="18"/>
                <w:szCs w:val="18"/>
              </w:rPr>
            </w:pPr>
            <w:r w:rsidRPr="00A02298">
              <w:rPr>
                <w:color w:val="000000"/>
                <w:sz w:val="18"/>
                <w:szCs w:val="18"/>
              </w:rPr>
              <w:t>0.63</w:t>
            </w:r>
          </w:p>
        </w:tc>
        <w:tc>
          <w:tcPr>
            <w:tcW w:w="1024" w:type="dxa"/>
            <w:tcBorders>
              <w:top w:val="nil"/>
              <w:left w:val="nil"/>
              <w:bottom w:val="nil"/>
              <w:right w:val="nil"/>
            </w:tcBorders>
            <w:shd w:val="clear" w:color="auto" w:fill="auto"/>
            <w:noWrap/>
            <w:vAlign w:val="center"/>
            <w:hideMark/>
          </w:tcPr>
          <w:p w14:paraId="04EEBCDA" w14:textId="77777777" w:rsidR="0048246C" w:rsidRPr="00A02298" w:rsidRDefault="0048246C" w:rsidP="009F56EA">
            <w:pPr>
              <w:jc w:val="right"/>
              <w:rPr>
                <w:color w:val="000000"/>
                <w:sz w:val="18"/>
                <w:szCs w:val="18"/>
              </w:rPr>
            </w:pPr>
            <w:r w:rsidRPr="00A02298">
              <w:rPr>
                <w:color w:val="000000"/>
                <w:sz w:val="18"/>
                <w:szCs w:val="18"/>
              </w:rPr>
              <w:t>966</w:t>
            </w:r>
          </w:p>
        </w:tc>
        <w:tc>
          <w:tcPr>
            <w:tcW w:w="1007" w:type="dxa"/>
            <w:tcBorders>
              <w:top w:val="nil"/>
              <w:left w:val="nil"/>
              <w:bottom w:val="nil"/>
              <w:right w:val="nil"/>
            </w:tcBorders>
            <w:shd w:val="clear" w:color="auto" w:fill="auto"/>
            <w:noWrap/>
            <w:vAlign w:val="center"/>
            <w:hideMark/>
          </w:tcPr>
          <w:p w14:paraId="55CF9FA8" w14:textId="77777777" w:rsidR="0048246C" w:rsidRPr="00A02298" w:rsidRDefault="0048246C" w:rsidP="009F56EA">
            <w:pPr>
              <w:jc w:val="right"/>
              <w:rPr>
                <w:color w:val="000000"/>
                <w:sz w:val="18"/>
                <w:szCs w:val="18"/>
              </w:rPr>
            </w:pPr>
            <w:r w:rsidRPr="00A02298">
              <w:rPr>
                <w:color w:val="000000"/>
                <w:sz w:val="18"/>
                <w:szCs w:val="18"/>
              </w:rPr>
              <w:t>104</w:t>
            </w:r>
          </w:p>
        </w:tc>
      </w:tr>
      <w:tr w:rsidR="0048246C" w:rsidRPr="00A02298" w14:paraId="567A575B" w14:textId="77777777" w:rsidTr="009F56EA">
        <w:trPr>
          <w:trHeight w:val="300"/>
        </w:trPr>
        <w:tc>
          <w:tcPr>
            <w:tcW w:w="1737" w:type="dxa"/>
            <w:tcBorders>
              <w:top w:val="nil"/>
              <w:left w:val="nil"/>
              <w:bottom w:val="nil"/>
              <w:right w:val="nil"/>
            </w:tcBorders>
            <w:shd w:val="clear" w:color="auto" w:fill="auto"/>
            <w:noWrap/>
            <w:vAlign w:val="center"/>
            <w:hideMark/>
          </w:tcPr>
          <w:p w14:paraId="66C7BBFE" w14:textId="77777777" w:rsidR="0048246C" w:rsidRPr="00A02298" w:rsidRDefault="0048246C" w:rsidP="009F56EA">
            <w:pPr>
              <w:rPr>
                <w:color w:val="000000"/>
                <w:sz w:val="18"/>
                <w:szCs w:val="18"/>
              </w:rPr>
            </w:pPr>
            <w:r w:rsidRPr="00A02298">
              <w:rPr>
                <w:color w:val="000000"/>
                <w:sz w:val="18"/>
                <w:szCs w:val="18"/>
              </w:rPr>
              <w:t xml:space="preserve">Pilot II </w:t>
            </w:r>
          </w:p>
        </w:tc>
        <w:tc>
          <w:tcPr>
            <w:tcW w:w="1531" w:type="dxa"/>
            <w:vMerge w:val="restart"/>
            <w:tcBorders>
              <w:top w:val="nil"/>
              <w:left w:val="nil"/>
              <w:bottom w:val="nil"/>
              <w:right w:val="single" w:sz="8" w:space="0" w:color="auto"/>
            </w:tcBorders>
            <w:shd w:val="clear" w:color="auto" w:fill="auto"/>
            <w:noWrap/>
            <w:vAlign w:val="center"/>
            <w:hideMark/>
          </w:tcPr>
          <w:p w14:paraId="1783E328" w14:textId="77777777" w:rsidR="0048246C" w:rsidRPr="00A02298" w:rsidRDefault="0048246C" w:rsidP="009F56EA">
            <w:pPr>
              <w:rPr>
                <w:color w:val="000000"/>
                <w:sz w:val="18"/>
                <w:szCs w:val="18"/>
              </w:rPr>
            </w:pPr>
            <w:r w:rsidRPr="00A02298">
              <w:rPr>
                <w:color w:val="000000"/>
                <w:sz w:val="18"/>
                <w:szCs w:val="18"/>
              </w:rPr>
              <w:t>Large agencies</w:t>
            </w:r>
          </w:p>
        </w:tc>
        <w:tc>
          <w:tcPr>
            <w:tcW w:w="1272" w:type="dxa"/>
            <w:vMerge w:val="restart"/>
            <w:tcBorders>
              <w:top w:val="nil"/>
              <w:left w:val="single" w:sz="8" w:space="0" w:color="auto"/>
              <w:bottom w:val="nil"/>
              <w:right w:val="nil"/>
            </w:tcBorders>
            <w:shd w:val="clear" w:color="auto" w:fill="auto"/>
            <w:noWrap/>
            <w:vAlign w:val="center"/>
            <w:hideMark/>
          </w:tcPr>
          <w:p w14:paraId="39AE2DE1" w14:textId="77777777" w:rsidR="0048246C" w:rsidRPr="00A02298" w:rsidRDefault="0048246C" w:rsidP="009F56EA">
            <w:pPr>
              <w:jc w:val="right"/>
              <w:rPr>
                <w:color w:val="000000"/>
                <w:sz w:val="18"/>
                <w:szCs w:val="18"/>
              </w:rPr>
            </w:pPr>
            <w:r w:rsidRPr="00A02298">
              <w:rPr>
                <w:color w:val="000000"/>
                <w:sz w:val="18"/>
                <w:szCs w:val="18"/>
              </w:rPr>
              <w:t>178,557</w:t>
            </w:r>
          </w:p>
        </w:tc>
        <w:tc>
          <w:tcPr>
            <w:tcW w:w="1024" w:type="dxa"/>
            <w:vMerge w:val="restart"/>
            <w:tcBorders>
              <w:top w:val="nil"/>
              <w:left w:val="nil"/>
              <w:bottom w:val="nil"/>
              <w:right w:val="nil"/>
            </w:tcBorders>
            <w:shd w:val="clear" w:color="auto" w:fill="auto"/>
            <w:noWrap/>
            <w:vAlign w:val="center"/>
            <w:hideMark/>
          </w:tcPr>
          <w:p w14:paraId="6A22DAFD" w14:textId="77777777" w:rsidR="0048246C" w:rsidRPr="00A02298" w:rsidRDefault="0048246C" w:rsidP="009F56EA">
            <w:pPr>
              <w:jc w:val="right"/>
              <w:rPr>
                <w:color w:val="000000"/>
                <w:sz w:val="18"/>
                <w:szCs w:val="18"/>
              </w:rPr>
            </w:pPr>
            <w:r w:rsidRPr="00A02298">
              <w:rPr>
                <w:color w:val="000000"/>
                <w:sz w:val="18"/>
                <w:szCs w:val="18"/>
              </w:rPr>
              <w:t>0.112</w:t>
            </w:r>
          </w:p>
        </w:tc>
        <w:tc>
          <w:tcPr>
            <w:tcW w:w="1007" w:type="dxa"/>
            <w:vMerge w:val="restart"/>
            <w:tcBorders>
              <w:top w:val="nil"/>
              <w:left w:val="nil"/>
              <w:bottom w:val="nil"/>
              <w:right w:val="nil"/>
            </w:tcBorders>
            <w:shd w:val="clear" w:color="auto" w:fill="auto"/>
            <w:noWrap/>
            <w:vAlign w:val="center"/>
            <w:hideMark/>
          </w:tcPr>
          <w:p w14:paraId="56381C56" w14:textId="77777777" w:rsidR="0048246C" w:rsidRPr="00A02298" w:rsidRDefault="0048246C" w:rsidP="009F56EA">
            <w:pPr>
              <w:jc w:val="right"/>
              <w:rPr>
                <w:color w:val="000000"/>
                <w:sz w:val="18"/>
                <w:szCs w:val="18"/>
              </w:rPr>
            </w:pPr>
            <w:r w:rsidRPr="00A02298">
              <w:rPr>
                <w:color w:val="000000"/>
                <w:sz w:val="18"/>
                <w:szCs w:val="18"/>
              </w:rPr>
              <w:t>0.012</w:t>
            </w:r>
          </w:p>
        </w:tc>
        <w:tc>
          <w:tcPr>
            <w:tcW w:w="1024" w:type="dxa"/>
            <w:vMerge w:val="restart"/>
            <w:tcBorders>
              <w:top w:val="nil"/>
              <w:left w:val="nil"/>
              <w:bottom w:val="nil"/>
              <w:right w:val="nil"/>
            </w:tcBorders>
            <w:shd w:val="clear" w:color="auto" w:fill="auto"/>
            <w:noWrap/>
            <w:vAlign w:val="center"/>
            <w:hideMark/>
          </w:tcPr>
          <w:p w14:paraId="41A3F5D2" w14:textId="77777777" w:rsidR="0048246C" w:rsidRPr="00A02298" w:rsidRDefault="0048246C" w:rsidP="009F56EA">
            <w:pPr>
              <w:jc w:val="right"/>
              <w:rPr>
                <w:color w:val="000000"/>
                <w:sz w:val="18"/>
                <w:szCs w:val="18"/>
              </w:rPr>
            </w:pPr>
            <w:r w:rsidRPr="00A02298">
              <w:rPr>
                <w:color w:val="000000"/>
                <w:sz w:val="18"/>
                <w:szCs w:val="18"/>
              </w:rPr>
              <w:t>5,000</w:t>
            </w:r>
          </w:p>
        </w:tc>
        <w:tc>
          <w:tcPr>
            <w:tcW w:w="1007" w:type="dxa"/>
            <w:vMerge w:val="restart"/>
            <w:tcBorders>
              <w:top w:val="nil"/>
              <w:left w:val="nil"/>
              <w:bottom w:val="nil"/>
              <w:right w:val="single" w:sz="8" w:space="0" w:color="auto"/>
            </w:tcBorders>
            <w:shd w:val="clear" w:color="auto" w:fill="auto"/>
            <w:noWrap/>
            <w:vAlign w:val="center"/>
            <w:hideMark/>
          </w:tcPr>
          <w:p w14:paraId="4A1A4651" w14:textId="77777777" w:rsidR="0048246C" w:rsidRPr="00A02298" w:rsidRDefault="0048246C" w:rsidP="009F56EA">
            <w:pPr>
              <w:jc w:val="right"/>
              <w:rPr>
                <w:color w:val="000000"/>
                <w:sz w:val="18"/>
                <w:szCs w:val="18"/>
              </w:rPr>
            </w:pPr>
            <w:r w:rsidRPr="00A02298">
              <w:rPr>
                <w:color w:val="000000"/>
                <w:sz w:val="18"/>
                <w:szCs w:val="18"/>
              </w:rPr>
              <w:t>554</w:t>
            </w:r>
          </w:p>
        </w:tc>
        <w:tc>
          <w:tcPr>
            <w:tcW w:w="1007" w:type="dxa"/>
            <w:vMerge w:val="restart"/>
            <w:tcBorders>
              <w:top w:val="nil"/>
              <w:left w:val="single" w:sz="8" w:space="0" w:color="auto"/>
              <w:bottom w:val="nil"/>
              <w:right w:val="nil"/>
            </w:tcBorders>
            <w:shd w:val="clear" w:color="auto" w:fill="auto"/>
            <w:noWrap/>
            <w:vAlign w:val="center"/>
            <w:hideMark/>
          </w:tcPr>
          <w:p w14:paraId="6D0860C6" w14:textId="77777777" w:rsidR="0048246C" w:rsidRPr="00A02298" w:rsidRDefault="0048246C" w:rsidP="009F56EA">
            <w:pPr>
              <w:jc w:val="right"/>
              <w:rPr>
                <w:color w:val="000000"/>
                <w:sz w:val="18"/>
                <w:szCs w:val="18"/>
              </w:rPr>
            </w:pPr>
            <w:r w:rsidRPr="00A02298">
              <w:rPr>
                <w:color w:val="000000"/>
                <w:sz w:val="18"/>
                <w:szCs w:val="18"/>
              </w:rPr>
              <w:t>0.63</w:t>
            </w:r>
          </w:p>
        </w:tc>
        <w:tc>
          <w:tcPr>
            <w:tcW w:w="1024" w:type="dxa"/>
            <w:vMerge w:val="restart"/>
            <w:tcBorders>
              <w:top w:val="nil"/>
              <w:left w:val="nil"/>
              <w:bottom w:val="nil"/>
              <w:right w:val="nil"/>
            </w:tcBorders>
            <w:shd w:val="clear" w:color="auto" w:fill="auto"/>
            <w:noWrap/>
            <w:vAlign w:val="center"/>
            <w:hideMark/>
          </w:tcPr>
          <w:p w14:paraId="7575737A" w14:textId="77777777" w:rsidR="0048246C" w:rsidRPr="00A02298" w:rsidRDefault="0048246C" w:rsidP="009F56EA">
            <w:pPr>
              <w:jc w:val="right"/>
              <w:rPr>
                <w:color w:val="000000"/>
                <w:sz w:val="18"/>
                <w:szCs w:val="18"/>
              </w:rPr>
            </w:pPr>
            <w:r w:rsidRPr="00A02298">
              <w:rPr>
                <w:color w:val="000000"/>
                <w:sz w:val="18"/>
                <w:szCs w:val="18"/>
              </w:rPr>
              <w:t>3,150</w:t>
            </w:r>
          </w:p>
        </w:tc>
        <w:tc>
          <w:tcPr>
            <w:tcW w:w="1007" w:type="dxa"/>
            <w:vMerge w:val="restart"/>
            <w:tcBorders>
              <w:top w:val="nil"/>
              <w:left w:val="nil"/>
              <w:bottom w:val="nil"/>
              <w:right w:val="nil"/>
            </w:tcBorders>
            <w:shd w:val="clear" w:color="auto" w:fill="auto"/>
            <w:noWrap/>
            <w:vAlign w:val="center"/>
            <w:hideMark/>
          </w:tcPr>
          <w:p w14:paraId="35DC10B9" w14:textId="77777777" w:rsidR="0048246C" w:rsidRPr="00A02298" w:rsidRDefault="0048246C" w:rsidP="009F56EA">
            <w:pPr>
              <w:jc w:val="right"/>
              <w:rPr>
                <w:color w:val="000000"/>
                <w:sz w:val="18"/>
                <w:szCs w:val="18"/>
              </w:rPr>
            </w:pPr>
            <w:r w:rsidRPr="00A02298">
              <w:rPr>
                <w:color w:val="000000"/>
                <w:sz w:val="18"/>
                <w:szCs w:val="18"/>
              </w:rPr>
              <w:t>349</w:t>
            </w:r>
          </w:p>
        </w:tc>
      </w:tr>
      <w:tr w:rsidR="0048246C" w:rsidRPr="00A02298" w14:paraId="7CBD8A3D" w14:textId="77777777" w:rsidTr="009F56EA">
        <w:trPr>
          <w:trHeight w:val="300"/>
        </w:trPr>
        <w:tc>
          <w:tcPr>
            <w:tcW w:w="1737" w:type="dxa"/>
            <w:tcBorders>
              <w:top w:val="nil"/>
              <w:left w:val="nil"/>
              <w:bottom w:val="nil"/>
              <w:right w:val="nil"/>
            </w:tcBorders>
            <w:shd w:val="clear" w:color="auto" w:fill="auto"/>
            <w:noWrap/>
            <w:vAlign w:val="center"/>
            <w:hideMark/>
          </w:tcPr>
          <w:p w14:paraId="2E762935" w14:textId="77777777" w:rsidR="0048246C" w:rsidRPr="00A02298" w:rsidRDefault="0048246C" w:rsidP="009F56EA">
            <w:pPr>
              <w:rPr>
                <w:color w:val="000000"/>
                <w:sz w:val="18"/>
                <w:szCs w:val="18"/>
              </w:rPr>
            </w:pPr>
            <w:r w:rsidRPr="00A02298">
              <w:rPr>
                <w:color w:val="000000"/>
                <w:sz w:val="18"/>
                <w:szCs w:val="18"/>
              </w:rPr>
              <w:t>(3 months)</w:t>
            </w:r>
          </w:p>
        </w:tc>
        <w:tc>
          <w:tcPr>
            <w:tcW w:w="1531" w:type="dxa"/>
            <w:vMerge/>
            <w:tcBorders>
              <w:top w:val="nil"/>
              <w:left w:val="nil"/>
              <w:bottom w:val="nil"/>
              <w:right w:val="single" w:sz="8" w:space="0" w:color="auto"/>
            </w:tcBorders>
            <w:vAlign w:val="center"/>
            <w:hideMark/>
          </w:tcPr>
          <w:p w14:paraId="0617A65B" w14:textId="77777777" w:rsidR="0048246C" w:rsidRPr="00A02298" w:rsidRDefault="0048246C" w:rsidP="009F56EA">
            <w:pPr>
              <w:rPr>
                <w:color w:val="000000"/>
                <w:sz w:val="18"/>
                <w:szCs w:val="18"/>
              </w:rPr>
            </w:pPr>
          </w:p>
        </w:tc>
        <w:tc>
          <w:tcPr>
            <w:tcW w:w="1272" w:type="dxa"/>
            <w:vMerge/>
            <w:tcBorders>
              <w:top w:val="nil"/>
              <w:left w:val="single" w:sz="8" w:space="0" w:color="auto"/>
              <w:bottom w:val="nil"/>
              <w:right w:val="nil"/>
            </w:tcBorders>
            <w:vAlign w:val="center"/>
            <w:hideMark/>
          </w:tcPr>
          <w:p w14:paraId="5455AB34" w14:textId="77777777" w:rsidR="0048246C" w:rsidRPr="00A02298" w:rsidRDefault="0048246C" w:rsidP="009F56EA">
            <w:pPr>
              <w:rPr>
                <w:color w:val="000000"/>
                <w:sz w:val="18"/>
                <w:szCs w:val="18"/>
              </w:rPr>
            </w:pPr>
          </w:p>
        </w:tc>
        <w:tc>
          <w:tcPr>
            <w:tcW w:w="1024" w:type="dxa"/>
            <w:vMerge/>
            <w:tcBorders>
              <w:top w:val="nil"/>
              <w:left w:val="nil"/>
              <w:bottom w:val="nil"/>
              <w:right w:val="nil"/>
            </w:tcBorders>
            <w:vAlign w:val="center"/>
            <w:hideMark/>
          </w:tcPr>
          <w:p w14:paraId="7595C1EE" w14:textId="77777777" w:rsidR="0048246C" w:rsidRPr="00A02298" w:rsidRDefault="0048246C" w:rsidP="009F56EA">
            <w:pPr>
              <w:rPr>
                <w:color w:val="000000"/>
                <w:sz w:val="18"/>
                <w:szCs w:val="18"/>
              </w:rPr>
            </w:pPr>
          </w:p>
        </w:tc>
        <w:tc>
          <w:tcPr>
            <w:tcW w:w="1007" w:type="dxa"/>
            <w:vMerge/>
            <w:tcBorders>
              <w:top w:val="nil"/>
              <w:left w:val="nil"/>
              <w:bottom w:val="nil"/>
              <w:right w:val="nil"/>
            </w:tcBorders>
            <w:vAlign w:val="center"/>
            <w:hideMark/>
          </w:tcPr>
          <w:p w14:paraId="0D3DB1B6" w14:textId="77777777" w:rsidR="0048246C" w:rsidRPr="00A02298" w:rsidRDefault="0048246C" w:rsidP="009F56EA">
            <w:pPr>
              <w:rPr>
                <w:color w:val="000000"/>
                <w:sz w:val="18"/>
                <w:szCs w:val="18"/>
              </w:rPr>
            </w:pPr>
          </w:p>
        </w:tc>
        <w:tc>
          <w:tcPr>
            <w:tcW w:w="1024" w:type="dxa"/>
            <w:vMerge/>
            <w:tcBorders>
              <w:top w:val="nil"/>
              <w:left w:val="nil"/>
              <w:bottom w:val="nil"/>
              <w:right w:val="nil"/>
            </w:tcBorders>
            <w:vAlign w:val="center"/>
            <w:hideMark/>
          </w:tcPr>
          <w:p w14:paraId="12D75C7A" w14:textId="77777777" w:rsidR="0048246C" w:rsidRPr="00A02298" w:rsidRDefault="0048246C" w:rsidP="009F56EA">
            <w:pPr>
              <w:rPr>
                <w:color w:val="000000"/>
                <w:sz w:val="18"/>
                <w:szCs w:val="18"/>
              </w:rPr>
            </w:pPr>
          </w:p>
        </w:tc>
        <w:tc>
          <w:tcPr>
            <w:tcW w:w="1007" w:type="dxa"/>
            <w:vMerge/>
            <w:tcBorders>
              <w:top w:val="nil"/>
              <w:left w:val="nil"/>
              <w:bottom w:val="nil"/>
              <w:right w:val="single" w:sz="8" w:space="0" w:color="auto"/>
            </w:tcBorders>
            <w:vAlign w:val="center"/>
            <w:hideMark/>
          </w:tcPr>
          <w:p w14:paraId="6B036120" w14:textId="77777777" w:rsidR="0048246C" w:rsidRPr="00A02298" w:rsidRDefault="0048246C" w:rsidP="009F56EA">
            <w:pPr>
              <w:rPr>
                <w:color w:val="000000"/>
                <w:sz w:val="18"/>
                <w:szCs w:val="18"/>
              </w:rPr>
            </w:pPr>
          </w:p>
        </w:tc>
        <w:tc>
          <w:tcPr>
            <w:tcW w:w="1007" w:type="dxa"/>
            <w:vMerge/>
            <w:tcBorders>
              <w:top w:val="nil"/>
              <w:left w:val="single" w:sz="8" w:space="0" w:color="auto"/>
              <w:bottom w:val="nil"/>
              <w:right w:val="nil"/>
            </w:tcBorders>
            <w:vAlign w:val="center"/>
            <w:hideMark/>
          </w:tcPr>
          <w:p w14:paraId="7BB1FA4A" w14:textId="77777777" w:rsidR="0048246C" w:rsidRPr="00A02298" w:rsidRDefault="0048246C" w:rsidP="009F56EA">
            <w:pPr>
              <w:rPr>
                <w:color w:val="000000"/>
                <w:sz w:val="18"/>
                <w:szCs w:val="18"/>
              </w:rPr>
            </w:pPr>
          </w:p>
        </w:tc>
        <w:tc>
          <w:tcPr>
            <w:tcW w:w="1024" w:type="dxa"/>
            <w:vMerge/>
            <w:tcBorders>
              <w:top w:val="nil"/>
              <w:left w:val="nil"/>
              <w:bottom w:val="nil"/>
              <w:right w:val="nil"/>
            </w:tcBorders>
            <w:vAlign w:val="center"/>
            <w:hideMark/>
          </w:tcPr>
          <w:p w14:paraId="75DBD7D9" w14:textId="77777777" w:rsidR="0048246C" w:rsidRPr="00A02298" w:rsidRDefault="0048246C" w:rsidP="009F56EA">
            <w:pPr>
              <w:rPr>
                <w:color w:val="000000"/>
                <w:sz w:val="18"/>
                <w:szCs w:val="18"/>
              </w:rPr>
            </w:pPr>
          </w:p>
        </w:tc>
        <w:tc>
          <w:tcPr>
            <w:tcW w:w="1007" w:type="dxa"/>
            <w:vMerge/>
            <w:tcBorders>
              <w:top w:val="nil"/>
              <w:left w:val="nil"/>
              <w:bottom w:val="nil"/>
              <w:right w:val="nil"/>
            </w:tcBorders>
            <w:vAlign w:val="center"/>
            <w:hideMark/>
          </w:tcPr>
          <w:p w14:paraId="0DF4A07D" w14:textId="77777777" w:rsidR="0048246C" w:rsidRPr="00A02298" w:rsidRDefault="0048246C" w:rsidP="009F56EA">
            <w:pPr>
              <w:rPr>
                <w:color w:val="000000"/>
                <w:sz w:val="18"/>
                <w:szCs w:val="18"/>
              </w:rPr>
            </w:pPr>
          </w:p>
        </w:tc>
      </w:tr>
      <w:tr w:rsidR="0048246C" w:rsidRPr="00A02298" w14:paraId="08CEB1A6" w14:textId="77777777" w:rsidTr="009F56EA">
        <w:trPr>
          <w:trHeight w:val="300"/>
        </w:trPr>
        <w:tc>
          <w:tcPr>
            <w:tcW w:w="1737" w:type="dxa"/>
            <w:tcBorders>
              <w:top w:val="nil"/>
              <w:left w:val="nil"/>
              <w:bottom w:val="nil"/>
              <w:right w:val="nil"/>
            </w:tcBorders>
            <w:shd w:val="clear" w:color="auto" w:fill="auto"/>
            <w:noWrap/>
            <w:vAlign w:val="bottom"/>
            <w:hideMark/>
          </w:tcPr>
          <w:p w14:paraId="0E6D3429" w14:textId="77777777" w:rsidR="0048246C" w:rsidRPr="00A02298" w:rsidRDefault="0048246C" w:rsidP="009F56EA">
            <w:pPr>
              <w:rPr>
                <w:color w:val="000000"/>
                <w:sz w:val="18"/>
                <w:szCs w:val="18"/>
              </w:rPr>
            </w:pPr>
          </w:p>
        </w:tc>
        <w:tc>
          <w:tcPr>
            <w:tcW w:w="1531" w:type="dxa"/>
            <w:tcBorders>
              <w:top w:val="nil"/>
              <w:left w:val="nil"/>
              <w:bottom w:val="nil"/>
              <w:right w:val="single" w:sz="8" w:space="0" w:color="auto"/>
            </w:tcBorders>
            <w:shd w:val="clear" w:color="auto" w:fill="auto"/>
            <w:noWrap/>
            <w:vAlign w:val="center"/>
            <w:hideMark/>
          </w:tcPr>
          <w:p w14:paraId="0E76AEE3" w14:textId="77777777" w:rsidR="0048246C" w:rsidRPr="00A02298" w:rsidRDefault="0048246C" w:rsidP="009F56EA">
            <w:pPr>
              <w:rPr>
                <w:color w:val="000000"/>
                <w:sz w:val="18"/>
                <w:szCs w:val="18"/>
              </w:rPr>
            </w:pPr>
            <w:r w:rsidRPr="00A02298">
              <w:rPr>
                <w:color w:val="000000"/>
                <w:sz w:val="18"/>
                <w:szCs w:val="18"/>
              </w:rPr>
              <w:t>Pilot I &amp; II States</w:t>
            </w:r>
          </w:p>
        </w:tc>
        <w:tc>
          <w:tcPr>
            <w:tcW w:w="1272" w:type="dxa"/>
            <w:tcBorders>
              <w:top w:val="nil"/>
              <w:left w:val="nil"/>
              <w:bottom w:val="nil"/>
              <w:right w:val="nil"/>
            </w:tcBorders>
            <w:shd w:val="clear" w:color="auto" w:fill="auto"/>
            <w:noWrap/>
            <w:vAlign w:val="center"/>
            <w:hideMark/>
          </w:tcPr>
          <w:p w14:paraId="7A1FF176" w14:textId="77777777" w:rsidR="0048246C" w:rsidRPr="00A02298" w:rsidRDefault="0048246C" w:rsidP="009F56EA">
            <w:pPr>
              <w:jc w:val="right"/>
              <w:rPr>
                <w:color w:val="000000"/>
                <w:sz w:val="18"/>
                <w:szCs w:val="18"/>
              </w:rPr>
            </w:pPr>
            <w:r w:rsidRPr="00A02298">
              <w:rPr>
                <w:color w:val="000000"/>
                <w:sz w:val="18"/>
                <w:szCs w:val="18"/>
              </w:rPr>
              <w:t>82,172</w:t>
            </w:r>
          </w:p>
        </w:tc>
        <w:tc>
          <w:tcPr>
            <w:tcW w:w="1024" w:type="dxa"/>
            <w:tcBorders>
              <w:top w:val="nil"/>
              <w:left w:val="nil"/>
              <w:bottom w:val="nil"/>
              <w:right w:val="nil"/>
            </w:tcBorders>
            <w:shd w:val="clear" w:color="auto" w:fill="auto"/>
            <w:noWrap/>
            <w:vAlign w:val="center"/>
            <w:hideMark/>
          </w:tcPr>
          <w:p w14:paraId="367F2225" w14:textId="77777777" w:rsidR="0048246C" w:rsidRPr="00A02298" w:rsidRDefault="0048246C" w:rsidP="009F56EA">
            <w:pPr>
              <w:jc w:val="right"/>
              <w:rPr>
                <w:color w:val="000000"/>
                <w:sz w:val="18"/>
                <w:szCs w:val="18"/>
              </w:rPr>
            </w:pPr>
            <w:r w:rsidRPr="00A02298">
              <w:rPr>
                <w:color w:val="000000"/>
                <w:sz w:val="18"/>
                <w:szCs w:val="18"/>
              </w:rPr>
              <w:t>0.112</w:t>
            </w:r>
          </w:p>
        </w:tc>
        <w:tc>
          <w:tcPr>
            <w:tcW w:w="1007" w:type="dxa"/>
            <w:tcBorders>
              <w:top w:val="nil"/>
              <w:left w:val="nil"/>
              <w:bottom w:val="nil"/>
              <w:right w:val="nil"/>
            </w:tcBorders>
            <w:shd w:val="clear" w:color="auto" w:fill="auto"/>
            <w:noWrap/>
            <w:vAlign w:val="center"/>
            <w:hideMark/>
          </w:tcPr>
          <w:p w14:paraId="464DBD08" w14:textId="77777777" w:rsidR="0048246C" w:rsidRPr="00A02298" w:rsidRDefault="0048246C" w:rsidP="009F56EA">
            <w:pPr>
              <w:jc w:val="right"/>
              <w:rPr>
                <w:color w:val="000000"/>
                <w:sz w:val="18"/>
                <w:szCs w:val="18"/>
              </w:rPr>
            </w:pPr>
            <w:r w:rsidRPr="00A02298">
              <w:rPr>
                <w:color w:val="000000"/>
                <w:sz w:val="18"/>
                <w:szCs w:val="18"/>
              </w:rPr>
              <w:t>0.012</w:t>
            </w:r>
          </w:p>
        </w:tc>
        <w:tc>
          <w:tcPr>
            <w:tcW w:w="1024" w:type="dxa"/>
            <w:tcBorders>
              <w:top w:val="nil"/>
              <w:left w:val="nil"/>
              <w:bottom w:val="nil"/>
              <w:right w:val="nil"/>
            </w:tcBorders>
            <w:shd w:val="clear" w:color="auto" w:fill="auto"/>
            <w:noWrap/>
            <w:vAlign w:val="center"/>
            <w:hideMark/>
          </w:tcPr>
          <w:p w14:paraId="2F59C2B6" w14:textId="77777777" w:rsidR="0048246C" w:rsidRPr="00A02298" w:rsidRDefault="0048246C" w:rsidP="009F56EA">
            <w:pPr>
              <w:jc w:val="right"/>
              <w:rPr>
                <w:color w:val="000000"/>
                <w:sz w:val="18"/>
                <w:szCs w:val="18"/>
              </w:rPr>
            </w:pPr>
            <w:r w:rsidRPr="00A02298">
              <w:rPr>
                <w:color w:val="000000"/>
                <w:sz w:val="18"/>
                <w:szCs w:val="18"/>
              </w:rPr>
              <w:t>2,300</w:t>
            </w:r>
          </w:p>
        </w:tc>
        <w:tc>
          <w:tcPr>
            <w:tcW w:w="1007" w:type="dxa"/>
            <w:tcBorders>
              <w:top w:val="nil"/>
              <w:left w:val="nil"/>
              <w:bottom w:val="nil"/>
              <w:right w:val="single" w:sz="8" w:space="0" w:color="auto"/>
            </w:tcBorders>
            <w:shd w:val="clear" w:color="auto" w:fill="auto"/>
            <w:noWrap/>
            <w:vAlign w:val="center"/>
            <w:hideMark/>
          </w:tcPr>
          <w:p w14:paraId="218F7BB0" w14:textId="77777777" w:rsidR="0048246C" w:rsidRPr="00A02298" w:rsidRDefault="0048246C" w:rsidP="009F56EA">
            <w:pPr>
              <w:jc w:val="right"/>
              <w:rPr>
                <w:color w:val="000000"/>
                <w:sz w:val="18"/>
                <w:szCs w:val="18"/>
              </w:rPr>
            </w:pPr>
            <w:r w:rsidRPr="00A02298">
              <w:rPr>
                <w:color w:val="000000"/>
                <w:sz w:val="18"/>
                <w:szCs w:val="18"/>
              </w:rPr>
              <w:t>247</w:t>
            </w:r>
          </w:p>
        </w:tc>
        <w:tc>
          <w:tcPr>
            <w:tcW w:w="1007" w:type="dxa"/>
            <w:tcBorders>
              <w:top w:val="nil"/>
              <w:left w:val="nil"/>
              <w:bottom w:val="nil"/>
              <w:right w:val="nil"/>
            </w:tcBorders>
            <w:shd w:val="clear" w:color="auto" w:fill="auto"/>
            <w:noWrap/>
            <w:vAlign w:val="center"/>
            <w:hideMark/>
          </w:tcPr>
          <w:p w14:paraId="1888D1ED" w14:textId="77777777" w:rsidR="0048246C" w:rsidRPr="00A02298" w:rsidRDefault="0048246C" w:rsidP="009F56EA">
            <w:pPr>
              <w:jc w:val="right"/>
              <w:rPr>
                <w:color w:val="000000"/>
                <w:sz w:val="18"/>
                <w:szCs w:val="18"/>
              </w:rPr>
            </w:pPr>
            <w:r w:rsidRPr="00A02298">
              <w:rPr>
                <w:color w:val="000000"/>
                <w:sz w:val="18"/>
                <w:szCs w:val="18"/>
              </w:rPr>
              <w:t>0.63</w:t>
            </w:r>
          </w:p>
        </w:tc>
        <w:tc>
          <w:tcPr>
            <w:tcW w:w="1024" w:type="dxa"/>
            <w:tcBorders>
              <w:top w:val="nil"/>
              <w:left w:val="nil"/>
              <w:bottom w:val="nil"/>
              <w:right w:val="nil"/>
            </w:tcBorders>
            <w:shd w:val="clear" w:color="auto" w:fill="auto"/>
            <w:noWrap/>
            <w:vAlign w:val="center"/>
            <w:hideMark/>
          </w:tcPr>
          <w:p w14:paraId="53EA3369" w14:textId="77777777" w:rsidR="0048246C" w:rsidRPr="00A02298" w:rsidRDefault="0048246C" w:rsidP="009F56EA">
            <w:pPr>
              <w:jc w:val="right"/>
              <w:rPr>
                <w:color w:val="000000"/>
                <w:sz w:val="18"/>
                <w:szCs w:val="18"/>
              </w:rPr>
            </w:pPr>
            <w:r w:rsidRPr="00A02298">
              <w:rPr>
                <w:color w:val="000000"/>
                <w:sz w:val="18"/>
                <w:szCs w:val="18"/>
              </w:rPr>
              <w:t>6,140</w:t>
            </w:r>
          </w:p>
        </w:tc>
        <w:tc>
          <w:tcPr>
            <w:tcW w:w="1007" w:type="dxa"/>
            <w:tcBorders>
              <w:top w:val="nil"/>
              <w:left w:val="nil"/>
              <w:bottom w:val="nil"/>
              <w:right w:val="nil"/>
            </w:tcBorders>
            <w:shd w:val="clear" w:color="auto" w:fill="auto"/>
            <w:noWrap/>
            <w:vAlign w:val="center"/>
            <w:hideMark/>
          </w:tcPr>
          <w:p w14:paraId="5AC31377" w14:textId="77777777" w:rsidR="0048246C" w:rsidRPr="00A02298" w:rsidRDefault="0048246C" w:rsidP="009F56EA">
            <w:pPr>
              <w:jc w:val="right"/>
              <w:rPr>
                <w:color w:val="000000"/>
                <w:sz w:val="18"/>
                <w:szCs w:val="18"/>
              </w:rPr>
            </w:pPr>
            <w:r w:rsidRPr="00A02298">
              <w:rPr>
                <w:color w:val="000000"/>
                <w:sz w:val="18"/>
                <w:szCs w:val="18"/>
              </w:rPr>
              <w:t>156</w:t>
            </w:r>
          </w:p>
        </w:tc>
      </w:tr>
      <w:tr w:rsidR="0048246C" w:rsidRPr="00A02298" w14:paraId="14E0C76A" w14:textId="77777777" w:rsidTr="009F56EA">
        <w:trPr>
          <w:trHeight w:val="300"/>
        </w:trPr>
        <w:tc>
          <w:tcPr>
            <w:tcW w:w="1737" w:type="dxa"/>
            <w:tcBorders>
              <w:top w:val="nil"/>
              <w:left w:val="nil"/>
              <w:bottom w:val="nil"/>
              <w:right w:val="nil"/>
            </w:tcBorders>
            <w:shd w:val="clear" w:color="auto" w:fill="auto"/>
            <w:noWrap/>
            <w:vAlign w:val="center"/>
            <w:hideMark/>
          </w:tcPr>
          <w:p w14:paraId="7C81D29E" w14:textId="77777777" w:rsidR="0048246C" w:rsidRPr="00A02298" w:rsidRDefault="0048246C" w:rsidP="009F56EA">
            <w:pPr>
              <w:rPr>
                <w:color w:val="000000"/>
                <w:sz w:val="18"/>
                <w:szCs w:val="18"/>
              </w:rPr>
            </w:pPr>
            <w:r w:rsidRPr="00A02298">
              <w:rPr>
                <w:color w:val="000000"/>
                <w:sz w:val="18"/>
                <w:szCs w:val="18"/>
              </w:rPr>
              <w:t xml:space="preserve">Pilot Total </w:t>
            </w:r>
          </w:p>
        </w:tc>
        <w:tc>
          <w:tcPr>
            <w:tcW w:w="1531" w:type="dxa"/>
            <w:vMerge w:val="restart"/>
            <w:tcBorders>
              <w:top w:val="nil"/>
              <w:left w:val="nil"/>
              <w:bottom w:val="double" w:sz="6" w:space="0" w:color="000000"/>
              <w:right w:val="single" w:sz="8" w:space="0" w:color="auto"/>
            </w:tcBorders>
            <w:shd w:val="clear" w:color="auto" w:fill="auto"/>
            <w:noWrap/>
            <w:vAlign w:val="center"/>
            <w:hideMark/>
          </w:tcPr>
          <w:p w14:paraId="1B79E2C6" w14:textId="77777777" w:rsidR="0048246C" w:rsidRPr="00A02298" w:rsidRDefault="0048246C" w:rsidP="009F56EA">
            <w:pPr>
              <w:jc w:val="right"/>
              <w:rPr>
                <w:color w:val="000000"/>
                <w:sz w:val="18"/>
                <w:szCs w:val="18"/>
              </w:rPr>
            </w:pPr>
            <w:r w:rsidRPr="00A02298">
              <w:rPr>
                <w:color w:val="000000"/>
                <w:sz w:val="18"/>
                <w:szCs w:val="18"/>
              </w:rPr>
              <w:t>--</w:t>
            </w:r>
          </w:p>
        </w:tc>
        <w:tc>
          <w:tcPr>
            <w:tcW w:w="1272" w:type="dxa"/>
            <w:vMerge w:val="restart"/>
            <w:tcBorders>
              <w:top w:val="nil"/>
              <w:left w:val="single" w:sz="8" w:space="0" w:color="auto"/>
              <w:bottom w:val="double" w:sz="6" w:space="0" w:color="000000"/>
              <w:right w:val="nil"/>
            </w:tcBorders>
            <w:shd w:val="clear" w:color="auto" w:fill="auto"/>
            <w:noWrap/>
            <w:vAlign w:val="center"/>
            <w:hideMark/>
          </w:tcPr>
          <w:p w14:paraId="2DFD84A5" w14:textId="77777777" w:rsidR="0048246C" w:rsidRPr="00A02298" w:rsidRDefault="0048246C" w:rsidP="009F56EA">
            <w:pPr>
              <w:jc w:val="right"/>
              <w:rPr>
                <w:color w:val="000000"/>
                <w:sz w:val="18"/>
              </w:rPr>
            </w:pPr>
            <w:r w:rsidRPr="00A02298">
              <w:rPr>
                <w:color w:val="000000"/>
                <w:sz w:val="18"/>
              </w:rPr>
              <w:t>--</w:t>
            </w:r>
          </w:p>
        </w:tc>
        <w:tc>
          <w:tcPr>
            <w:tcW w:w="1024" w:type="dxa"/>
            <w:vMerge w:val="restart"/>
            <w:tcBorders>
              <w:top w:val="nil"/>
              <w:left w:val="nil"/>
              <w:bottom w:val="double" w:sz="6" w:space="0" w:color="000000"/>
              <w:right w:val="nil"/>
            </w:tcBorders>
            <w:shd w:val="clear" w:color="auto" w:fill="auto"/>
            <w:noWrap/>
            <w:vAlign w:val="center"/>
            <w:hideMark/>
          </w:tcPr>
          <w:p w14:paraId="71D6890D" w14:textId="77777777" w:rsidR="0048246C" w:rsidRPr="00A02298" w:rsidRDefault="0048246C" w:rsidP="009F56EA">
            <w:pPr>
              <w:jc w:val="right"/>
              <w:rPr>
                <w:color w:val="000000"/>
                <w:sz w:val="18"/>
              </w:rPr>
            </w:pPr>
            <w:r w:rsidRPr="00A02298">
              <w:rPr>
                <w:color w:val="000000"/>
                <w:sz w:val="18"/>
              </w:rPr>
              <w:t>--</w:t>
            </w:r>
          </w:p>
        </w:tc>
        <w:tc>
          <w:tcPr>
            <w:tcW w:w="1007" w:type="dxa"/>
            <w:vMerge w:val="restart"/>
            <w:tcBorders>
              <w:top w:val="nil"/>
              <w:left w:val="nil"/>
              <w:bottom w:val="double" w:sz="6" w:space="0" w:color="000000"/>
              <w:right w:val="nil"/>
            </w:tcBorders>
            <w:shd w:val="clear" w:color="auto" w:fill="auto"/>
            <w:noWrap/>
            <w:vAlign w:val="center"/>
            <w:hideMark/>
          </w:tcPr>
          <w:p w14:paraId="4E54B321" w14:textId="77777777" w:rsidR="0048246C" w:rsidRPr="00A02298" w:rsidRDefault="0048246C" w:rsidP="009F56EA">
            <w:pPr>
              <w:jc w:val="right"/>
              <w:rPr>
                <w:color w:val="000000"/>
                <w:sz w:val="18"/>
              </w:rPr>
            </w:pPr>
            <w:r w:rsidRPr="00A02298">
              <w:rPr>
                <w:color w:val="000000"/>
                <w:sz w:val="18"/>
              </w:rPr>
              <w:t>--</w:t>
            </w:r>
          </w:p>
        </w:tc>
        <w:tc>
          <w:tcPr>
            <w:tcW w:w="1024" w:type="dxa"/>
            <w:vMerge w:val="restart"/>
            <w:tcBorders>
              <w:top w:val="nil"/>
              <w:left w:val="nil"/>
              <w:bottom w:val="double" w:sz="6" w:space="0" w:color="000000"/>
              <w:right w:val="nil"/>
            </w:tcBorders>
            <w:shd w:val="clear" w:color="auto" w:fill="auto"/>
            <w:noWrap/>
            <w:vAlign w:val="center"/>
            <w:hideMark/>
          </w:tcPr>
          <w:p w14:paraId="2268D920" w14:textId="77777777" w:rsidR="0048246C" w:rsidRPr="00A02298" w:rsidRDefault="0048246C" w:rsidP="009F56EA">
            <w:pPr>
              <w:jc w:val="right"/>
              <w:rPr>
                <w:color w:val="000000"/>
                <w:sz w:val="18"/>
                <w:szCs w:val="18"/>
              </w:rPr>
            </w:pPr>
            <w:r w:rsidRPr="00A02298">
              <w:rPr>
                <w:color w:val="000000"/>
                <w:sz w:val="18"/>
                <w:szCs w:val="18"/>
              </w:rPr>
              <w:t>13,834</w:t>
            </w:r>
          </w:p>
        </w:tc>
        <w:tc>
          <w:tcPr>
            <w:tcW w:w="1007" w:type="dxa"/>
            <w:vMerge w:val="restart"/>
            <w:tcBorders>
              <w:top w:val="nil"/>
              <w:left w:val="nil"/>
              <w:bottom w:val="double" w:sz="6" w:space="0" w:color="000000"/>
              <w:right w:val="single" w:sz="8" w:space="0" w:color="auto"/>
            </w:tcBorders>
            <w:shd w:val="clear" w:color="auto" w:fill="auto"/>
            <w:noWrap/>
            <w:vAlign w:val="center"/>
            <w:hideMark/>
          </w:tcPr>
          <w:p w14:paraId="2B5E55D3" w14:textId="77777777" w:rsidR="0048246C" w:rsidRPr="00A02298" w:rsidRDefault="0048246C" w:rsidP="009F56EA">
            <w:pPr>
              <w:jc w:val="right"/>
              <w:rPr>
                <w:color w:val="000000"/>
                <w:sz w:val="18"/>
                <w:szCs w:val="18"/>
              </w:rPr>
            </w:pPr>
            <w:r w:rsidRPr="00A02298">
              <w:rPr>
                <w:color w:val="000000"/>
                <w:sz w:val="18"/>
                <w:szCs w:val="18"/>
              </w:rPr>
              <w:t>1,502</w:t>
            </w:r>
          </w:p>
        </w:tc>
        <w:tc>
          <w:tcPr>
            <w:tcW w:w="1007" w:type="dxa"/>
            <w:vMerge w:val="restart"/>
            <w:tcBorders>
              <w:top w:val="nil"/>
              <w:left w:val="single" w:sz="8" w:space="0" w:color="auto"/>
              <w:bottom w:val="double" w:sz="6" w:space="0" w:color="000000"/>
              <w:right w:val="nil"/>
            </w:tcBorders>
            <w:shd w:val="clear" w:color="auto" w:fill="auto"/>
            <w:noWrap/>
            <w:vAlign w:val="center"/>
            <w:hideMark/>
          </w:tcPr>
          <w:p w14:paraId="5D0F5824" w14:textId="77777777" w:rsidR="0048246C" w:rsidRPr="00A02298" w:rsidRDefault="0048246C" w:rsidP="009F56EA">
            <w:pPr>
              <w:jc w:val="right"/>
              <w:rPr>
                <w:color w:val="000000"/>
                <w:sz w:val="18"/>
                <w:szCs w:val="18"/>
              </w:rPr>
            </w:pPr>
            <w:r w:rsidRPr="00A02298">
              <w:rPr>
                <w:color w:val="000000"/>
                <w:sz w:val="18"/>
                <w:szCs w:val="18"/>
              </w:rPr>
              <w:t>0.63</w:t>
            </w:r>
          </w:p>
        </w:tc>
        <w:tc>
          <w:tcPr>
            <w:tcW w:w="1024" w:type="dxa"/>
            <w:vMerge w:val="restart"/>
            <w:tcBorders>
              <w:top w:val="nil"/>
              <w:left w:val="nil"/>
              <w:bottom w:val="double" w:sz="6" w:space="0" w:color="000000"/>
              <w:right w:val="nil"/>
            </w:tcBorders>
            <w:shd w:val="clear" w:color="auto" w:fill="auto"/>
            <w:noWrap/>
            <w:vAlign w:val="center"/>
            <w:hideMark/>
          </w:tcPr>
          <w:p w14:paraId="30B54AC6" w14:textId="77777777" w:rsidR="0048246C" w:rsidRPr="00A02298" w:rsidRDefault="0048246C" w:rsidP="009F56EA">
            <w:pPr>
              <w:jc w:val="right"/>
              <w:rPr>
                <w:color w:val="000000"/>
                <w:sz w:val="18"/>
                <w:szCs w:val="18"/>
              </w:rPr>
            </w:pPr>
            <w:r w:rsidRPr="00A02298">
              <w:rPr>
                <w:color w:val="000000"/>
                <w:sz w:val="18"/>
                <w:szCs w:val="18"/>
              </w:rPr>
              <w:t>13,406</w:t>
            </w:r>
          </w:p>
        </w:tc>
        <w:tc>
          <w:tcPr>
            <w:tcW w:w="1007" w:type="dxa"/>
            <w:vMerge w:val="restart"/>
            <w:tcBorders>
              <w:top w:val="nil"/>
              <w:left w:val="nil"/>
              <w:bottom w:val="double" w:sz="6" w:space="0" w:color="000000"/>
              <w:right w:val="nil"/>
            </w:tcBorders>
            <w:shd w:val="clear" w:color="auto" w:fill="auto"/>
            <w:noWrap/>
            <w:vAlign w:val="center"/>
            <w:hideMark/>
          </w:tcPr>
          <w:p w14:paraId="360264C6" w14:textId="77777777" w:rsidR="0048246C" w:rsidRPr="00A02298" w:rsidRDefault="0048246C" w:rsidP="009F56EA">
            <w:pPr>
              <w:jc w:val="right"/>
              <w:rPr>
                <w:color w:val="000000"/>
                <w:sz w:val="18"/>
                <w:szCs w:val="18"/>
              </w:rPr>
            </w:pPr>
            <w:r w:rsidRPr="00A02298">
              <w:rPr>
                <w:color w:val="000000"/>
                <w:sz w:val="18"/>
                <w:szCs w:val="18"/>
              </w:rPr>
              <w:t>947</w:t>
            </w:r>
          </w:p>
        </w:tc>
      </w:tr>
      <w:tr w:rsidR="0048246C" w:rsidRPr="00A02298" w14:paraId="259F0967" w14:textId="77777777" w:rsidTr="009F56EA">
        <w:trPr>
          <w:trHeight w:val="315"/>
        </w:trPr>
        <w:tc>
          <w:tcPr>
            <w:tcW w:w="1737" w:type="dxa"/>
            <w:tcBorders>
              <w:top w:val="nil"/>
              <w:left w:val="nil"/>
              <w:bottom w:val="double" w:sz="6" w:space="0" w:color="auto"/>
              <w:right w:val="nil"/>
            </w:tcBorders>
            <w:shd w:val="clear" w:color="auto" w:fill="auto"/>
            <w:noWrap/>
            <w:vAlign w:val="center"/>
            <w:hideMark/>
          </w:tcPr>
          <w:p w14:paraId="0E4EEBED" w14:textId="77777777" w:rsidR="0048246C" w:rsidRPr="00A02298" w:rsidRDefault="0048246C" w:rsidP="009F56EA">
            <w:pPr>
              <w:rPr>
                <w:color w:val="000000"/>
                <w:sz w:val="18"/>
                <w:szCs w:val="18"/>
              </w:rPr>
            </w:pPr>
            <w:r w:rsidRPr="00A02298">
              <w:rPr>
                <w:color w:val="000000"/>
                <w:sz w:val="18"/>
                <w:szCs w:val="18"/>
              </w:rPr>
              <w:t>(6 months)</w:t>
            </w:r>
          </w:p>
        </w:tc>
        <w:tc>
          <w:tcPr>
            <w:tcW w:w="1531" w:type="dxa"/>
            <w:vMerge/>
            <w:tcBorders>
              <w:top w:val="nil"/>
              <w:left w:val="nil"/>
              <w:bottom w:val="double" w:sz="6" w:space="0" w:color="000000"/>
              <w:right w:val="single" w:sz="8" w:space="0" w:color="auto"/>
            </w:tcBorders>
            <w:vAlign w:val="center"/>
            <w:hideMark/>
          </w:tcPr>
          <w:p w14:paraId="04BDA257" w14:textId="77777777" w:rsidR="0048246C" w:rsidRPr="00A02298" w:rsidRDefault="0048246C" w:rsidP="009F56EA">
            <w:pPr>
              <w:rPr>
                <w:color w:val="000000"/>
                <w:sz w:val="18"/>
                <w:szCs w:val="18"/>
              </w:rPr>
            </w:pPr>
          </w:p>
        </w:tc>
        <w:tc>
          <w:tcPr>
            <w:tcW w:w="1272" w:type="dxa"/>
            <w:vMerge/>
            <w:tcBorders>
              <w:top w:val="nil"/>
              <w:left w:val="single" w:sz="8" w:space="0" w:color="auto"/>
              <w:bottom w:val="double" w:sz="6" w:space="0" w:color="000000"/>
              <w:right w:val="nil"/>
            </w:tcBorders>
            <w:vAlign w:val="center"/>
            <w:hideMark/>
          </w:tcPr>
          <w:p w14:paraId="7A09A2C4" w14:textId="77777777" w:rsidR="0048246C" w:rsidRPr="00A02298" w:rsidRDefault="0048246C" w:rsidP="009F56EA">
            <w:pPr>
              <w:rPr>
                <w:color w:val="000000"/>
                <w:sz w:val="18"/>
                <w:szCs w:val="18"/>
              </w:rPr>
            </w:pPr>
          </w:p>
        </w:tc>
        <w:tc>
          <w:tcPr>
            <w:tcW w:w="1024" w:type="dxa"/>
            <w:vMerge/>
            <w:tcBorders>
              <w:top w:val="nil"/>
              <w:left w:val="nil"/>
              <w:bottom w:val="double" w:sz="6" w:space="0" w:color="000000"/>
              <w:right w:val="nil"/>
            </w:tcBorders>
            <w:vAlign w:val="center"/>
            <w:hideMark/>
          </w:tcPr>
          <w:p w14:paraId="5EB63E20" w14:textId="77777777" w:rsidR="0048246C" w:rsidRPr="00A02298" w:rsidRDefault="0048246C" w:rsidP="009F56EA">
            <w:pPr>
              <w:rPr>
                <w:color w:val="000000"/>
                <w:sz w:val="18"/>
                <w:szCs w:val="18"/>
              </w:rPr>
            </w:pPr>
          </w:p>
        </w:tc>
        <w:tc>
          <w:tcPr>
            <w:tcW w:w="1007" w:type="dxa"/>
            <w:vMerge/>
            <w:tcBorders>
              <w:top w:val="nil"/>
              <w:left w:val="nil"/>
              <w:bottom w:val="double" w:sz="6" w:space="0" w:color="000000"/>
              <w:right w:val="nil"/>
            </w:tcBorders>
            <w:vAlign w:val="center"/>
            <w:hideMark/>
          </w:tcPr>
          <w:p w14:paraId="107A3475" w14:textId="77777777" w:rsidR="0048246C" w:rsidRPr="00A02298" w:rsidRDefault="0048246C" w:rsidP="009F56EA">
            <w:pPr>
              <w:rPr>
                <w:color w:val="000000"/>
                <w:sz w:val="18"/>
                <w:szCs w:val="18"/>
              </w:rPr>
            </w:pPr>
          </w:p>
        </w:tc>
        <w:tc>
          <w:tcPr>
            <w:tcW w:w="1024" w:type="dxa"/>
            <w:vMerge/>
            <w:tcBorders>
              <w:top w:val="nil"/>
              <w:left w:val="nil"/>
              <w:bottom w:val="double" w:sz="6" w:space="0" w:color="000000"/>
              <w:right w:val="nil"/>
            </w:tcBorders>
            <w:vAlign w:val="center"/>
            <w:hideMark/>
          </w:tcPr>
          <w:p w14:paraId="3B3B3662" w14:textId="77777777" w:rsidR="0048246C" w:rsidRPr="00A02298" w:rsidRDefault="0048246C" w:rsidP="009F56EA">
            <w:pPr>
              <w:rPr>
                <w:color w:val="000000"/>
                <w:sz w:val="18"/>
                <w:szCs w:val="18"/>
              </w:rPr>
            </w:pPr>
          </w:p>
        </w:tc>
        <w:tc>
          <w:tcPr>
            <w:tcW w:w="1007" w:type="dxa"/>
            <w:vMerge/>
            <w:tcBorders>
              <w:top w:val="nil"/>
              <w:left w:val="nil"/>
              <w:bottom w:val="double" w:sz="6" w:space="0" w:color="000000"/>
              <w:right w:val="single" w:sz="8" w:space="0" w:color="auto"/>
            </w:tcBorders>
            <w:vAlign w:val="center"/>
            <w:hideMark/>
          </w:tcPr>
          <w:p w14:paraId="69A22B2F" w14:textId="77777777" w:rsidR="0048246C" w:rsidRPr="00A02298" w:rsidRDefault="0048246C" w:rsidP="009F56EA">
            <w:pPr>
              <w:rPr>
                <w:color w:val="000000"/>
                <w:sz w:val="18"/>
                <w:szCs w:val="18"/>
              </w:rPr>
            </w:pPr>
          </w:p>
        </w:tc>
        <w:tc>
          <w:tcPr>
            <w:tcW w:w="1007" w:type="dxa"/>
            <w:vMerge/>
            <w:tcBorders>
              <w:top w:val="nil"/>
              <w:left w:val="single" w:sz="8" w:space="0" w:color="auto"/>
              <w:bottom w:val="double" w:sz="6" w:space="0" w:color="000000"/>
              <w:right w:val="nil"/>
            </w:tcBorders>
            <w:vAlign w:val="center"/>
            <w:hideMark/>
          </w:tcPr>
          <w:p w14:paraId="0D5FA542" w14:textId="77777777" w:rsidR="0048246C" w:rsidRPr="00A02298" w:rsidRDefault="0048246C" w:rsidP="009F56EA">
            <w:pPr>
              <w:rPr>
                <w:color w:val="000000"/>
                <w:sz w:val="18"/>
                <w:szCs w:val="18"/>
              </w:rPr>
            </w:pPr>
          </w:p>
        </w:tc>
        <w:tc>
          <w:tcPr>
            <w:tcW w:w="1024" w:type="dxa"/>
            <w:vMerge/>
            <w:tcBorders>
              <w:top w:val="nil"/>
              <w:left w:val="nil"/>
              <w:bottom w:val="double" w:sz="6" w:space="0" w:color="000000"/>
              <w:right w:val="nil"/>
            </w:tcBorders>
            <w:vAlign w:val="center"/>
            <w:hideMark/>
          </w:tcPr>
          <w:p w14:paraId="2953A022" w14:textId="77777777" w:rsidR="0048246C" w:rsidRPr="00A02298" w:rsidRDefault="0048246C" w:rsidP="009F56EA">
            <w:pPr>
              <w:rPr>
                <w:color w:val="000000"/>
                <w:sz w:val="18"/>
                <w:szCs w:val="18"/>
              </w:rPr>
            </w:pPr>
          </w:p>
        </w:tc>
        <w:tc>
          <w:tcPr>
            <w:tcW w:w="1007" w:type="dxa"/>
            <w:vMerge/>
            <w:tcBorders>
              <w:top w:val="nil"/>
              <w:left w:val="nil"/>
              <w:bottom w:val="double" w:sz="6" w:space="0" w:color="000000"/>
              <w:right w:val="nil"/>
            </w:tcBorders>
            <w:vAlign w:val="center"/>
            <w:hideMark/>
          </w:tcPr>
          <w:p w14:paraId="0832F2F3" w14:textId="77777777" w:rsidR="0048246C" w:rsidRPr="00A02298" w:rsidRDefault="0048246C" w:rsidP="009F56EA">
            <w:pPr>
              <w:rPr>
                <w:color w:val="000000"/>
                <w:sz w:val="18"/>
                <w:szCs w:val="18"/>
              </w:rPr>
            </w:pPr>
          </w:p>
        </w:tc>
      </w:tr>
      <w:tr w:rsidR="0048246C" w:rsidRPr="00A02298" w14:paraId="50773A01" w14:textId="77777777" w:rsidTr="009F56EA">
        <w:trPr>
          <w:trHeight w:val="330"/>
        </w:trPr>
        <w:tc>
          <w:tcPr>
            <w:tcW w:w="11640" w:type="dxa"/>
            <w:gridSpan w:val="10"/>
            <w:tcBorders>
              <w:top w:val="double" w:sz="6" w:space="0" w:color="auto"/>
              <w:left w:val="nil"/>
              <w:bottom w:val="single" w:sz="8" w:space="0" w:color="auto"/>
              <w:right w:val="nil"/>
            </w:tcBorders>
            <w:shd w:val="clear" w:color="auto" w:fill="auto"/>
            <w:noWrap/>
            <w:vAlign w:val="center"/>
            <w:hideMark/>
          </w:tcPr>
          <w:p w14:paraId="613885F0" w14:textId="77777777" w:rsidR="0048246C" w:rsidRPr="00A02298" w:rsidRDefault="0048246C" w:rsidP="009F56EA">
            <w:pPr>
              <w:jc w:val="center"/>
              <w:rPr>
                <w:color w:val="000000"/>
                <w:sz w:val="18"/>
                <w:szCs w:val="18"/>
              </w:rPr>
            </w:pPr>
            <w:r w:rsidRPr="00A02298">
              <w:rPr>
                <w:color w:val="000000"/>
                <w:sz w:val="18"/>
                <w:szCs w:val="18"/>
              </w:rPr>
              <w:t>Estimated Burden for All Law Enforcement Agencies in Annual Collection</w:t>
            </w:r>
          </w:p>
        </w:tc>
      </w:tr>
      <w:tr w:rsidR="0048246C" w:rsidRPr="00A02298" w14:paraId="58001C5B" w14:textId="77777777" w:rsidTr="009F56EA">
        <w:trPr>
          <w:trHeight w:val="975"/>
        </w:trPr>
        <w:tc>
          <w:tcPr>
            <w:tcW w:w="1737" w:type="dxa"/>
            <w:tcBorders>
              <w:top w:val="nil"/>
              <w:left w:val="nil"/>
              <w:bottom w:val="single" w:sz="8" w:space="0" w:color="auto"/>
              <w:right w:val="nil"/>
            </w:tcBorders>
            <w:shd w:val="clear" w:color="auto" w:fill="auto"/>
            <w:noWrap/>
            <w:vAlign w:val="center"/>
            <w:hideMark/>
          </w:tcPr>
          <w:p w14:paraId="08F90ED6" w14:textId="77777777" w:rsidR="0048246C" w:rsidRPr="00A02298" w:rsidRDefault="0048246C" w:rsidP="009F56EA">
            <w:pPr>
              <w:rPr>
                <w:color w:val="000000"/>
                <w:sz w:val="18"/>
                <w:szCs w:val="18"/>
              </w:rPr>
            </w:pPr>
            <w:r w:rsidRPr="00A02298">
              <w:rPr>
                <w:color w:val="000000"/>
                <w:sz w:val="18"/>
                <w:szCs w:val="18"/>
              </w:rPr>
              <w:t>Timeframe</w:t>
            </w:r>
          </w:p>
        </w:tc>
        <w:tc>
          <w:tcPr>
            <w:tcW w:w="1531" w:type="dxa"/>
            <w:tcBorders>
              <w:top w:val="nil"/>
              <w:left w:val="nil"/>
              <w:bottom w:val="single" w:sz="8" w:space="0" w:color="auto"/>
              <w:right w:val="single" w:sz="8" w:space="0" w:color="auto"/>
            </w:tcBorders>
            <w:shd w:val="clear" w:color="auto" w:fill="auto"/>
            <w:noWrap/>
            <w:vAlign w:val="center"/>
            <w:hideMark/>
          </w:tcPr>
          <w:p w14:paraId="55BACC62" w14:textId="77777777" w:rsidR="0048246C" w:rsidRPr="00A02298" w:rsidRDefault="0048246C" w:rsidP="009F56EA">
            <w:pPr>
              <w:rPr>
                <w:color w:val="000000"/>
                <w:sz w:val="18"/>
                <w:szCs w:val="18"/>
              </w:rPr>
            </w:pPr>
            <w:r w:rsidRPr="00A02298">
              <w:rPr>
                <w:color w:val="000000"/>
                <w:sz w:val="18"/>
                <w:szCs w:val="18"/>
              </w:rPr>
              <w:t>Reporting Group</w:t>
            </w:r>
          </w:p>
        </w:tc>
        <w:tc>
          <w:tcPr>
            <w:tcW w:w="1272" w:type="dxa"/>
            <w:tcBorders>
              <w:top w:val="nil"/>
              <w:left w:val="nil"/>
              <w:bottom w:val="single" w:sz="8" w:space="0" w:color="auto"/>
              <w:right w:val="nil"/>
            </w:tcBorders>
            <w:shd w:val="clear" w:color="auto" w:fill="auto"/>
            <w:vAlign w:val="center"/>
            <w:hideMark/>
          </w:tcPr>
          <w:p w14:paraId="7A3F9E9E" w14:textId="77777777" w:rsidR="0048246C" w:rsidRPr="00A02298" w:rsidRDefault="0048246C" w:rsidP="009F56EA">
            <w:pPr>
              <w:jc w:val="right"/>
              <w:rPr>
                <w:color w:val="000000"/>
                <w:sz w:val="18"/>
                <w:szCs w:val="18"/>
              </w:rPr>
            </w:pPr>
            <w:r w:rsidRPr="00A02298">
              <w:rPr>
                <w:color w:val="000000"/>
                <w:sz w:val="18"/>
                <w:szCs w:val="18"/>
              </w:rPr>
              <w:t>Approximate Number of officers</w:t>
            </w:r>
          </w:p>
        </w:tc>
        <w:tc>
          <w:tcPr>
            <w:tcW w:w="1024" w:type="dxa"/>
            <w:tcBorders>
              <w:top w:val="nil"/>
              <w:left w:val="nil"/>
              <w:bottom w:val="single" w:sz="8" w:space="0" w:color="auto"/>
              <w:right w:val="nil"/>
            </w:tcBorders>
            <w:shd w:val="clear" w:color="auto" w:fill="auto"/>
            <w:noWrap/>
            <w:vAlign w:val="center"/>
            <w:hideMark/>
          </w:tcPr>
          <w:p w14:paraId="75B51D7D" w14:textId="77777777" w:rsidR="0048246C" w:rsidRPr="00A02298" w:rsidRDefault="0048246C" w:rsidP="009F56EA">
            <w:pPr>
              <w:jc w:val="right"/>
              <w:rPr>
                <w:color w:val="000000"/>
                <w:sz w:val="18"/>
                <w:szCs w:val="18"/>
              </w:rPr>
            </w:pPr>
            <w:r w:rsidRPr="00A02298">
              <w:rPr>
                <w:color w:val="000000"/>
                <w:sz w:val="18"/>
                <w:szCs w:val="18"/>
              </w:rPr>
              <w:t>Maximum</w:t>
            </w:r>
          </w:p>
        </w:tc>
        <w:tc>
          <w:tcPr>
            <w:tcW w:w="1007" w:type="dxa"/>
            <w:tcBorders>
              <w:top w:val="nil"/>
              <w:left w:val="nil"/>
              <w:bottom w:val="single" w:sz="8" w:space="0" w:color="auto"/>
              <w:right w:val="nil"/>
            </w:tcBorders>
            <w:shd w:val="clear" w:color="auto" w:fill="auto"/>
            <w:noWrap/>
            <w:vAlign w:val="center"/>
            <w:hideMark/>
          </w:tcPr>
          <w:p w14:paraId="40393B9F" w14:textId="77777777" w:rsidR="0048246C" w:rsidRPr="00A02298" w:rsidRDefault="0048246C" w:rsidP="009F56EA">
            <w:pPr>
              <w:jc w:val="right"/>
              <w:rPr>
                <w:color w:val="000000"/>
                <w:sz w:val="18"/>
                <w:szCs w:val="18"/>
              </w:rPr>
            </w:pPr>
            <w:r w:rsidRPr="00A02298">
              <w:rPr>
                <w:color w:val="000000"/>
                <w:sz w:val="18"/>
                <w:szCs w:val="18"/>
              </w:rPr>
              <w:t>Minimum</w:t>
            </w:r>
          </w:p>
        </w:tc>
        <w:tc>
          <w:tcPr>
            <w:tcW w:w="1024" w:type="dxa"/>
            <w:tcBorders>
              <w:top w:val="nil"/>
              <w:left w:val="nil"/>
              <w:bottom w:val="single" w:sz="8" w:space="0" w:color="auto"/>
              <w:right w:val="nil"/>
            </w:tcBorders>
            <w:shd w:val="clear" w:color="auto" w:fill="auto"/>
            <w:noWrap/>
            <w:vAlign w:val="center"/>
            <w:hideMark/>
          </w:tcPr>
          <w:p w14:paraId="6EB11C4C" w14:textId="77777777" w:rsidR="0048246C" w:rsidRPr="00A02298" w:rsidRDefault="0048246C" w:rsidP="009F56EA">
            <w:pPr>
              <w:jc w:val="right"/>
              <w:rPr>
                <w:color w:val="000000"/>
                <w:sz w:val="18"/>
                <w:szCs w:val="18"/>
              </w:rPr>
            </w:pPr>
            <w:r w:rsidRPr="00A02298">
              <w:rPr>
                <w:color w:val="000000"/>
                <w:sz w:val="18"/>
                <w:szCs w:val="18"/>
              </w:rPr>
              <w:t>Maximum</w:t>
            </w:r>
          </w:p>
        </w:tc>
        <w:tc>
          <w:tcPr>
            <w:tcW w:w="1007" w:type="dxa"/>
            <w:tcBorders>
              <w:top w:val="nil"/>
              <w:left w:val="nil"/>
              <w:bottom w:val="single" w:sz="8" w:space="0" w:color="auto"/>
              <w:right w:val="single" w:sz="8" w:space="0" w:color="auto"/>
            </w:tcBorders>
            <w:shd w:val="clear" w:color="auto" w:fill="auto"/>
            <w:noWrap/>
            <w:vAlign w:val="center"/>
            <w:hideMark/>
          </w:tcPr>
          <w:p w14:paraId="1B979223" w14:textId="77777777" w:rsidR="0048246C" w:rsidRPr="00A02298" w:rsidRDefault="0048246C" w:rsidP="009F56EA">
            <w:pPr>
              <w:jc w:val="right"/>
              <w:rPr>
                <w:color w:val="000000"/>
                <w:sz w:val="18"/>
                <w:szCs w:val="18"/>
              </w:rPr>
            </w:pPr>
            <w:r w:rsidRPr="00A02298">
              <w:rPr>
                <w:color w:val="000000"/>
                <w:sz w:val="18"/>
                <w:szCs w:val="18"/>
              </w:rPr>
              <w:t>Minimum</w:t>
            </w:r>
          </w:p>
        </w:tc>
        <w:tc>
          <w:tcPr>
            <w:tcW w:w="1007" w:type="dxa"/>
            <w:tcBorders>
              <w:top w:val="nil"/>
              <w:left w:val="nil"/>
              <w:bottom w:val="single" w:sz="8" w:space="0" w:color="auto"/>
              <w:right w:val="nil"/>
            </w:tcBorders>
            <w:shd w:val="clear" w:color="auto" w:fill="auto"/>
            <w:vAlign w:val="center"/>
            <w:hideMark/>
          </w:tcPr>
          <w:p w14:paraId="20CE0C61" w14:textId="77777777" w:rsidR="0048246C" w:rsidRPr="00A02298" w:rsidRDefault="0048246C" w:rsidP="009F56EA">
            <w:pPr>
              <w:jc w:val="right"/>
              <w:rPr>
                <w:color w:val="000000"/>
                <w:sz w:val="18"/>
                <w:szCs w:val="18"/>
              </w:rPr>
            </w:pPr>
            <w:r w:rsidRPr="00A02298">
              <w:rPr>
                <w:color w:val="000000"/>
                <w:sz w:val="18"/>
                <w:szCs w:val="18"/>
              </w:rPr>
              <w:t>Estimated burden hours per incident</w:t>
            </w:r>
          </w:p>
        </w:tc>
        <w:tc>
          <w:tcPr>
            <w:tcW w:w="1024" w:type="dxa"/>
            <w:tcBorders>
              <w:top w:val="nil"/>
              <w:left w:val="nil"/>
              <w:bottom w:val="single" w:sz="8" w:space="0" w:color="auto"/>
              <w:right w:val="nil"/>
            </w:tcBorders>
            <w:shd w:val="clear" w:color="auto" w:fill="auto"/>
            <w:noWrap/>
            <w:vAlign w:val="center"/>
            <w:hideMark/>
          </w:tcPr>
          <w:p w14:paraId="1BBD998A" w14:textId="77777777" w:rsidR="0048246C" w:rsidRPr="00A02298" w:rsidRDefault="0048246C" w:rsidP="009F56EA">
            <w:pPr>
              <w:jc w:val="right"/>
              <w:rPr>
                <w:color w:val="000000"/>
                <w:sz w:val="18"/>
                <w:szCs w:val="18"/>
              </w:rPr>
            </w:pPr>
            <w:r w:rsidRPr="00A02298">
              <w:rPr>
                <w:color w:val="000000"/>
                <w:sz w:val="18"/>
                <w:szCs w:val="18"/>
              </w:rPr>
              <w:t>Maximum</w:t>
            </w:r>
          </w:p>
        </w:tc>
        <w:tc>
          <w:tcPr>
            <w:tcW w:w="1007" w:type="dxa"/>
            <w:tcBorders>
              <w:top w:val="nil"/>
              <w:left w:val="nil"/>
              <w:bottom w:val="single" w:sz="8" w:space="0" w:color="auto"/>
              <w:right w:val="nil"/>
            </w:tcBorders>
            <w:shd w:val="clear" w:color="auto" w:fill="auto"/>
            <w:noWrap/>
            <w:vAlign w:val="center"/>
            <w:hideMark/>
          </w:tcPr>
          <w:p w14:paraId="53B814BB" w14:textId="77777777" w:rsidR="0048246C" w:rsidRPr="00A02298" w:rsidRDefault="0048246C" w:rsidP="009F56EA">
            <w:pPr>
              <w:jc w:val="right"/>
              <w:rPr>
                <w:color w:val="000000"/>
                <w:sz w:val="18"/>
                <w:szCs w:val="18"/>
              </w:rPr>
            </w:pPr>
            <w:r w:rsidRPr="00A02298">
              <w:rPr>
                <w:color w:val="000000"/>
                <w:sz w:val="18"/>
                <w:szCs w:val="18"/>
              </w:rPr>
              <w:t>Minimum</w:t>
            </w:r>
          </w:p>
        </w:tc>
      </w:tr>
      <w:tr w:rsidR="0048246C" w:rsidRPr="00A02298" w14:paraId="5CF7CB7B" w14:textId="77777777" w:rsidTr="009F56EA">
        <w:trPr>
          <w:trHeight w:val="40"/>
        </w:trPr>
        <w:tc>
          <w:tcPr>
            <w:tcW w:w="1737" w:type="dxa"/>
            <w:tcBorders>
              <w:top w:val="single" w:sz="8" w:space="0" w:color="auto"/>
              <w:left w:val="nil"/>
              <w:bottom w:val="double" w:sz="4" w:space="0" w:color="auto"/>
              <w:right w:val="nil"/>
            </w:tcBorders>
            <w:shd w:val="clear" w:color="auto" w:fill="auto"/>
            <w:noWrap/>
            <w:vAlign w:val="center"/>
            <w:hideMark/>
          </w:tcPr>
          <w:p w14:paraId="174CA168" w14:textId="77777777" w:rsidR="0048246C" w:rsidRPr="00A02298" w:rsidRDefault="0048246C" w:rsidP="009F56EA">
            <w:pPr>
              <w:rPr>
                <w:color w:val="000000"/>
                <w:sz w:val="18"/>
                <w:szCs w:val="18"/>
              </w:rPr>
            </w:pPr>
            <w:r w:rsidRPr="00A02298">
              <w:rPr>
                <w:color w:val="000000"/>
                <w:sz w:val="18"/>
                <w:szCs w:val="18"/>
              </w:rPr>
              <w:t>Collection (Annual)</w:t>
            </w:r>
          </w:p>
        </w:tc>
        <w:tc>
          <w:tcPr>
            <w:tcW w:w="1531" w:type="dxa"/>
            <w:tcBorders>
              <w:top w:val="single" w:sz="8" w:space="0" w:color="auto"/>
              <w:left w:val="nil"/>
              <w:bottom w:val="double" w:sz="4" w:space="0" w:color="auto"/>
              <w:right w:val="single" w:sz="8" w:space="0" w:color="auto"/>
            </w:tcBorders>
            <w:shd w:val="clear" w:color="auto" w:fill="auto"/>
            <w:noWrap/>
            <w:vAlign w:val="center"/>
            <w:hideMark/>
          </w:tcPr>
          <w:p w14:paraId="71D8DE28" w14:textId="77777777" w:rsidR="0048246C" w:rsidRPr="00A02298" w:rsidRDefault="0048246C" w:rsidP="009F56EA">
            <w:pPr>
              <w:rPr>
                <w:color w:val="000000"/>
                <w:sz w:val="18"/>
                <w:szCs w:val="18"/>
              </w:rPr>
            </w:pPr>
            <w:r w:rsidRPr="00A02298">
              <w:rPr>
                <w:color w:val="000000"/>
                <w:sz w:val="18"/>
                <w:szCs w:val="18"/>
              </w:rPr>
              <w:t>All agencies</w:t>
            </w:r>
          </w:p>
        </w:tc>
        <w:tc>
          <w:tcPr>
            <w:tcW w:w="1272" w:type="dxa"/>
            <w:tcBorders>
              <w:top w:val="single" w:sz="8" w:space="0" w:color="auto"/>
              <w:left w:val="nil"/>
              <w:bottom w:val="double" w:sz="4" w:space="0" w:color="auto"/>
              <w:right w:val="nil"/>
            </w:tcBorders>
            <w:shd w:val="clear" w:color="auto" w:fill="auto"/>
            <w:noWrap/>
            <w:vAlign w:val="center"/>
            <w:hideMark/>
          </w:tcPr>
          <w:p w14:paraId="27CF9A65" w14:textId="77777777" w:rsidR="0048246C" w:rsidRPr="00A02298" w:rsidRDefault="0048246C" w:rsidP="009F56EA">
            <w:pPr>
              <w:jc w:val="right"/>
              <w:rPr>
                <w:color w:val="000000"/>
                <w:sz w:val="18"/>
                <w:szCs w:val="18"/>
              </w:rPr>
            </w:pPr>
            <w:r w:rsidRPr="00A02298">
              <w:rPr>
                <w:color w:val="000000"/>
                <w:sz w:val="18"/>
                <w:szCs w:val="18"/>
              </w:rPr>
              <w:t>701,486</w:t>
            </w:r>
          </w:p>
        </w:tc>
        <w:tc>
          <w:tcPr>
            <w:tcW w:w="1024" w:type="dxa"/>
            <w:tcBorders>
              <w:top w:val="single" w:sz="8" w:space="0" w:color="auto"/>
              <w:left w:val="nil"/>
              <w:bottom w:val="double" w:sz="4" w:space="0" w:color="auto"/>
              <w:right w:val="nil"/>
            </w:tcBorders>
            <w:shd w:val="clear" w:color="auto" w:fill="auto"/>
            <w:noWrap/>
            <w:vAlign w:val="center"/>
            <w:hideMark/>
          </w:tcPr>
          <w:p w14:paraId="6262E3E4" w14:textId="77777777" w:rsidR="0048246C" w:rsidRPr="00A02298" w:rsidRDefault="0048246C" w:rsidP="009F56EA">
            <w:pPr>
              <w:jc w:val="right"/>
              <w:rPr>
                <w:color w:val="000000"/>
                <w:sz w:val="18"/>
                <w:szCs w:val="18"/>
              </w:rPr>
            </w:pPr>
            <w:r w:rsidRPr="00A02298">
              <w:rPr>
                <w:color w:val="000000"/>
                <w:sz w:val="18"/>
                <w:szCs w:val="18"/>
              </w:rPr>
              <w:t>0.112</w:t>
            </w:r>
          </w:p>
        </w:tc>
        <w:tc>
          <w:tcPr>
            <w:tcW w:w="1007" w:type="dxa"/>
            <w:tcBorders>
              <w:top w:val="single" w:sz="8" w:space="0" w:color="auto"/>
              <w:left w:val="nil"/>
              <w:bottom w:val="double" w:sz="4" w:space="0" w:color="auto"/>
              <w:right w:val="nil"/>
            </w:tcBorders>
            <w:shd w:val="clear" w:color="auto" w:fill="auto"/>
            <w:noWrap/>
            <w:vAlign w:val="center"/>
            <w:hideMark/>
          </w:tcPr>
          <w:p w14:paraId="06CD7B72" w14:textId="77777777" w:rsidR="0048246C" w:rsidRPr="00A02298" w:rsidRDefault="0048246C" w:rsidP="009F56EA">
            <w:pPr>
              <w:jc w:val="right"/>
              <w:rPr>
                <w:color w:val="000000"/>
                <w:sz w:val="18"/>
                <w:szCs w:val="18"/>
              </w:rPr>
            </w:pPr>
            <w:r w:rsidRPr="00A02298">
              <w:rPr>
                <w:color w:val="000000"/>
                <w:sz w:val="18"/>
                <w:szCs w:val="18"/>
              </w:rPr>
              <w:t>0.012</w:t>
            </w:r>
          </w:p>
        </w:tc>
        <w:tc>
          <w:tcPr>
            <w:tcW w:w="1024" w:type="dxa"/>
            <w:tcBorders>
              <w:top w:val="single" w:sz="8" w:space="0" w:color="auto"/>
              <w:left w:val="nil"/>
              <w:bottom w:val="double" w:sz="4" w:space="0" w:color="auto"/>
              <w:right w:val="nil"/>
            </w:tcBorders>
            <w:shd w:val="clear" w:color="auto" w:fill="auto"/>
            <w:noWrap/>
            <w:vAlign w:val="center"/>
            <w:hideMark/>
          </w:tcPr>
          <w:p w14:paraId="1405812F" w14:textId="77777777" w:rsidR="0048246C" w:rsidRPr="00A02298" w:rsidRDefault="0048246C" w:rsidP="009F56EA">
            <w:pPr>
              <w:jc w:val="right"/>
              <w:rPr>
                <w:color w:val="000000"/>
                <w:sz w:val="18"/>
                <w:szCs w:val="18"/>
              </w:rPr>
            </w:pPr>
            <w:r w:rsidRPr="00A02298">
              <w:rPr>
                <w:color w:val="000000"/>
                <w:sz w:val="18"/>
                <w:szCs w:val="18"/>
              </w:rPr>
              <w:t>83,200</w:t>
            </w:r>
          </w:p>
        </w:tc>
        <w:tc>
          <w:tcPr>
            <w:tcW w:w="1007" w:type="dxa"/>
            <w:tcBorders>
              <w:top w:val="single" w:sz="8" w:space="0" w:color="auto"/>
              <w:left w:val="nil"/>
              <w:bottom w:val="double" w:sz="4" w:space="0" w:color="auto"/>
              <w:right w:val="single" w:sz="8" w:space="0" w:color="auto"/>
            </w:tcBorders>
            <w:shd w:val="clear" w:color="auto" w:fill="auto"/>
            <w:noWrap/>
            <w:vAlign w:val="center"/>
            <w:hideMark/>
          </w:tcPr>
          <w:p w14:paraId="3239A777" w14:textId="77777777" w:rsidR="0048246C" w:rsidRPr="00A02298" w:rsidRDefault="0048246C" w:rsidP="009F56EA">
            <w:pPr>
              <w:jc w:val="right"/>
              <w:rPr>
                <w:color w:val="000000"/>
                <w:sz w:val="18"/>
                <w:szCs w:val="18"/>
              </w:rPr>
            </w:pPr>
            <w:r w:rsidRPr="00A02298">
              <w:rPr>
                <w:color w:val="000000"/>
                <w:sz w:val="18"/>
                <w:szCs w:val="18"/>
              </w:rPr>
              <w:t>8,700</w:t>
            </w:r>
          </w:p>
        </w:tc>
        <w:tc>
          <w:tcPr>
            <w:tcW w:w="1007" w:type="dxa"/>
            <w:tcBorders>
              <w:top w:val="single" w:sz="8" w:space="0" w:color="auto"/>
              <w:left w:val="nil"/>
              <w:bottom w:val="double" w:sz="4" w:space="0" w:color="auto"/>
              <w:right w:val="nil"/>
            </w:tcBorders>
            <w:shd w:val="clear" w:color="auto" w:fill="auto"/>
            <w:noWrap/>
            <w:vAlign w:val="center"/>
            <w:hideMark/>
          </w:tcPr>
          <w:p w14:paraId="68DA4D54" w14:textId="77777777" w:rsidR="0048246C" w:rsidRPr="00A02298" w:rsidRDefault="0048246C" w:rsidP="009F56EA">
            <w:pPr>
              <w:jc w:val="right"/>
              <w:rPr>
                <w:color w:val="000000"/>
                <w:sz w:val="18"/>
                <w:szCs w:val="18"/>
              </w:rPr>
            </w:pPr>
            <w:r w:rsidRPr="00A02298">
              <w:rPr>
                <w:color w:val="000000"/>
                <w:sz w:val="18"/>
                <w:szCs w:val="18"/>
              </w:rPr>
              <w:t>0.63</w:t>
            </w:r>
          </w:p>
        </w:tc>
        <w:tc>
          <w:tcPr>
            <w:tcW w:w="1024" w:type="dxa"/>
            <w:tcBorders>
              <w:top w:val="single" w:sz="8" w:space="0" w:color="auto"/>
              <w:left w:val="nil"/>
              <w:bottom w:val="double" w:sz="4" w:space="0" w:color="auto"/>
              <w:right w:val="nil"/>
            </w:tcBorders>
            <w:shd w:val="clear" w:color="auto" w:fill="auto"/>
            <w:noWrap/>
            <w:vAlign w:val="center"/>
            <w:hideMark/>
          </w:tcPr>
          <w:p w14:paraId="19D58C33" w14:textId="77777777" w:rsidR="0048246C" w:rsidRPr="00A02298" w:rsidRDefault="0048246C" w:rsidP="009F56EA">
            <w:pPr>
              <w:jc w:val="right"/>
              <w:rPr>
                <w:color w:val="000000"/>
                <w:sz w:val="18"/>
                <w:szCs w:val="18"/>
              </w:rPr>
            </w:pPr>
            <w:r w:rsidRPr="00A02298">
              <w:rPr>
                <w:color w:val="000000"/>
                <w:sz w:val="18"/>
                <w:szCs w:val="18"/>
              </w:rPr>
              <w:t>52,416</w:t>
            </w:r>
          </w:p>
        </w:tc>
        <w:tc>
          <w:tcPr>
            <w:tcW w:w="1007" w:type="dxa"/>
            <w:tcBorders>
              <w:top w:val="single" w:sz="8" w:space="0" w:color="auto"/>
              <w:left w:val="nil"/>
              <w:bottom w:val="double" w:sz="4" w:space="0" w:color="auto"/>
              <w:right w:val="nil"/>
            </w:tcBorders>
            <w:shd w:val="clear" w:color="auto" w:fill="auto"/>
            <w:noWrap/>
            <w:vAlign w:val="center"/>
            <w:hideMark/>
          </w:tcPr>
          <w:p w14:paraId="30703D98" w14:textId="77777777" w:rsidR="0048246C" w:rsidRPr="00A02298" w:rsidRDefault="0048246C" w:rsidP="009F56EA">
            <w:pPr>
              <w:jc w:val="right"/>
              <w:rPr>
                <w:color w:val="000000"/>
                <w:sz w:val="18"/>
                <w:szCs w:val="18"/>
              </w:rPr>
            </w:pPr>
            <w:r w:rsidRPr="00A02298">
              <w:rPr>
                <w:color w:val="000000"/>
                <w:sz w:val="18"/>
                <w:szCs w:val="18"/>
              </w:rPr>
              <w:t>5,481</w:t>
            </w:r>
          </w:p>
        </w:tc>
      </w:tr>
      <w:tr w:rsidR="0048246C" w:rsidRPr="00A02298" w14:paraId="053981D8" w14:textId="77777777" w:rsidTr="0048246C">
        <w:trPr>
          <w:trHeight w:val="40"/>
        </w:trPr>
        <w:tc>
          <w:tcPr>
            <w:tcW w:w="1737" w:type="dxa"/>
            <w:tcBorders>
              <w:top w:val="double" w:sz="4" w:space="0" w:color="auto"/>
              <w:left w:val="nil"/>
              <w:right w:val="nil"/>
            </w:tcBorders>
            <w:shd w:val="clear" w:color="auto" w:fill="auto"/>
            <w:noWrap/>
            <w:vAlign w:val="center"/>
          </w:tcPr>
          <w:p w14:paraId="294610AA" w14:textId="77777777" w:rsidR="0048246C" w:rsidRPr="00A02298" w:rsidRDefault="0048246C" w:rsidP="009F56EA">
            <w:pPr>
              <w:rPr>
                <w:color w:val="000000"/>
                <w:sz w:val="18"/>
                <w:szCs w:val="18"/>
              </w:rPr>
            </w:pPr>
          </w:p>
        </w:tc>
        <w:tc>
          <w:tcPr>
            <w:tcW w:w="1531" w:type="dxa"/>
            <w:tcBorders>
              <w:top w:val="double" w:sz="4" w:space="0" w:color="auto"/>
              <w:left w:val="nil"/>
              <w:right w:val="single" w:sz="4" w:space="0" w:color="FFFFFF"/>
            </w:tcBorders>
            <w:shd w:val="clear" w:color="auto" w:fill="auto"/>
            <w:noWrap/>
            <w:vAlign w:val="center"/>
          </w:tcPr>
          <w:p w14:paraId="7FFA2192" w14:textId="77777777" w:rsidR="0048246C" w:rsidRPr="00A02298" w:rsidRDefault="0048246C" w:rsidP="009F56EA">
            <w:pPr>
              <w:rPr>
                <w:color w:val="000000"/>
                <w:sz w:val="18"/>
                <w:szCs w:val="18"/>
              </w:rPr>
            </w:pPr>
          </w:p>
        </w:tc>
        <w:tc>
          <w:tcPr>
            <w:tcW w:w="1272" w:type="dxa"/>
            <w:tcBorders>
              <w:top w:val="double" w:sz="4" w:space="0" w:color="auto"/>
              <w:left w:val="single" w:sz="4" w:space="0" w:color="FFFFFF"/>
              <w:right w:val="nil"/>
            </w:tcBorders>
            <w:shd w:val="clear" w:color="auto" w:fill="auto"/>
            <w:noWrap/>
            <w:vAlign w:val="center"/>
          </w:tcPr>
          <w:p w14:paraId="39E6D9BF" w14:textId="77777777" w:rsidR="0048246C" w:rsidRPr="00A02298" w:rsidRDefault="0048246C" w:rsidP="009F56EA">
            <w:pPr>
              <w:jc w:val="right"/>
              <w:rPr>
                <w:color w:val="000000"/>
                <w:sz w:val="18"/>
                <w:szCs w:val="18"/>
              </w:rPr>
            </w:pPr>
          </w:p>
        </w:tc>
        <w:tc>
          <w:tcPr>
            <w:tcW w:w="1024" w:type="dxa"/>
            <w:tcBorders>
              <w:top w:val="double" w:sz="4" w:space="0" w:color="auto"/>
              <w:left w:val="nil"/>
              <w:right w:val="nil"/>
            </w:tcBorders>
            <w:shd w:val="clear" w:color="auto" w:fill="auto"/>
            <w:noWrap/>
            <w:vAlign w:val="center"/>
          </w:tcPr>
          <w:p w14:paraId="683C4A07" w14:textId="77777777" w:rsidR="0048246C" w:rsidRPr="00A02298" w:rsidRDefault="0048246C" w:rsidP="009F56EA">
            <w:pPr>
              <w:jc w:val="right"/>
              <w:rPr>
                <w:color w:val="000000"/>
                <w:sz w:val="18"/>
                <w:szCs w:val="18"/>
              </w:rPr>
            </w:pPr>
          </w:p>
        </w:tc>
        <w:tc>
          <w:tcPr>
            <w:tcW w:w="1007" w:type="dxa"/>
            <w:tcBorders>
              <w:top w:val="double" w:sz="4" w:space="0" w:color="auto"/>
              <w:left w:val="nil"/>
              <w:right w:val="nil"/>
            </w:tcBorders>
            <w:shd w:val="clear" w:color="auto" w:fill="auto"/>
            <w:noWrap/>
            <w:vAlign w:val="center"/>
          </w:tcPr>
          <w:p w14:paraId="6BF0DFFB" w14:textId="77777777" w:rsidR="0048246C" w:rsidRPr="00A02298" w:rsidRDefault="0048246C" w:rsidP="009F56EA">
            <w:pPr>
              <w:jc w:val="right"/>
              <w:rPr>
                <w:color w:val="000000"/>
                <w:sz w:val="18"/>
                <w:szCs w:val="18"/>
              </w:rPr>
            </w:pPr>
          </w:p>
        </w:tc>
        <w:tc>
          <w:tcPr>
            <w:tcW w:w="1024" w:type="dxa"/>
            <w:tcBorders>
              <w:top w:val="double" w:sz="4" w:space="0" w:color="auto"/>
              <w:left w:val="nil"/>
              <w:right w:val="nil"/>
            </w:tcBorders>
            <w:shd w:val="clear" w:color="auto" w:fill="auto"/>
            <w:noWrap/>
            <w:vAlign w:val="center"/>
          </w:tcPr>
          <w:p w14:paraId="12CDA08A" w14:textId="77777777" w:rsidR="0048246C" w:rsidRPr="00A02298" w:rsidRDefault="0048246C" w:rsidP="009F56EA">
            <w:pPr>
              <w:jc w:val="right"/>
              <w:rPr>
                <w:color w:val="000000"/>
                <w:sz w:val="18"/>
                <w:szCs w:val="18"/>
              </w:rPr>
            </w:pPr>
          </w:p>
        </w:tc>
        <w:tc>
          <w:tcPr>
            <w:tcW w:w="1007" w:type="dxa"/>
            <w:tcBorders>
              <w:top w:val="double" w:sz="4" w:space="0" w:color="auto"/>
              <w:left w:val="nil"/>
              <w:right w:val="single" w:sz="4" w:space="0" w:color="FFFFFF"/>
            </w:tcBorders>
            <w:shd w:val="clear" w:color="auto" w:fill="auto"/>
            <w:noWrap/>
            <w:vAlign w:val="center"/>
          </w:tcPr>
          <w:p w14:paraId="75948773" w14:textId="77777777" w:rsidR="0048246C" w:rsidRPr="00A02298" w:rsidRDefault="0048246C" w:rsidP="009F56EA">
            <w:pPr>
              <w:jc w:val="right"/>
              <w:rPr>
                <w:color w:val="000000"/>
                <w:sz w:val="18"/>
                <w:szCs w:val="18"/>
              </w:rPr>
            </w:pPr>
          </w:p>
        </w:tc>
        <w:tc>
          <w:tcPr>
            <w:tcW w:w="1007" w:type="dxa"/>
            <w:tcBorders>
              <w:top w:val="double" w:sz="4" w:space="0" w:color="auto"/>
              <w:left w:val="single" w:sz="4" w:space="0" w:color="FFFFFF"/>
              <w:right w:val="nil"/>
            </w:tcBorders>
            <w:shd w:val="clear" w:color="auto" w:fill="auto"/>
            <w:noWrap/>
            <w:vAlign w:val="center"/>
          </w:tcPr>
          <w:p w14:paraId="5E1D4541" w14:textId="77777777" w:rsidR="0048246C" w:rsidRPr="00A02298" w:rsidRDefault="0048246C" w:rsidP="009F56EA">
            <w:pPr>
              <w:jc w:val="right"/>
              <w:rPr>
                <w:color w:val="000000"/>
                <w:sz w:val="18"/>
                <w:szCs w:val="18"/>
              </w:rPr>
            </w:pPr>
          </w:p>
        </w:tc>
        <w:tc>
          <w:tcPr>
            <w:tcW w:w="1024" w:type="dxa"/>
            <w:tcBorders>
              <w:top w:val="double" w:sz="4" w:space="0" w:color="auto"/>
              <w:left w:val="nil"/>
              <w:right w:val="nil"/>
            </w:tcBorders>
            <w:shd w:val="clear" w:color="auto" w:fill="auto"/>
            <w:noWrap/>
            <w:vAlign w:val="center"/>
          </w:tcPr>
          <w:p w14:paraId="23F6BFD5" w14:textId="77777777" w:rsidR="0048246C" w:rsidRPr="00A02298" w:rsidRDefault="0048246C" w:rsidP="009F56EA">
            <w:pPr>
              <w:jc w:val="right"/>
              <w:rPr>
                <w:color w:val="000000"/>
                <w:sz w:val="18"/>
                <w:szCs w:val="18"/>
              </w:rPr>
            </w:pPr>
          </w:p>
        </w:tc>
        <w:tc>
          <w:tcPr>
            <w:tcW w:w="1007" w:type="dxa"/>
            <w:tcBorders>
              <w:top w:val="double" w:sz="4" w:space="0" w:color="auto"/>
              <w:left w:val="nil"/>
              <w:right w:val="nil"/>
            </w:tcBorders>
            <w:shd w:val="clear" w:color="auto" w:fill="auto"/>
            <w:noWrap/>
            <w:vAlign w:val="center"/>
          </w:tcPr>
          <w:p w14:paraId="4C2A1376" w14:textId="77777777" w:rsidR="0048246C" w:rsidRPr="00A02298" w:rsidRDefault="0048246C" w:rsidP="009F56EA">
            <w:pPr>
              <w:jc w:val="right"/>
              <w:rPr>
                <w:color w:val="000000"/>
                <w:sz w:val="18"/>
                <w:szCs w:val="18"/>
              </w:rPr>
            </w:pPr>
          </w:p>
        </w:tc>
      </w:tr>
      <w:tr w:rsidR="0048246C" w:rsidRPr="00A02298" w14:paraId="1198904B" w14:textId="77777777" w:rsidTr="0048246C">
        <w:trPr>
          <w:trHeight w:val="40"/>
        </w:trPr>
        <w:tc>
          <w:tcPr>
            <w:tcW w:w="1737" w:type="dxa"/>
            <w:tcBorders>
              <w:left w:val="nil"/>
              <w:bottom w:val="nil"/>
            </w:tcBorders>
            <w:shd w:val="clear" w:color="auto" w:fill="auto"/>
            <w:noWrap/>
            <w:vAlign w:val="center"/>
          </w:tcPr>
          <w:p w14:paraId="0A36E522" w14:textId="77777777" w:rsidR="0048246C" w:rsidRPr="00A02298" w:rsidRDefault="0048246C" w:rsidP="009F56EA">
            <w:pPr>
              <w:rPr>
                <w:color w:val="000000"/>
                <w:sz w:val="18"/>
                <w:szCs w:val="18"/>
              </w:rPr>
            </w:pPr>
          </w:p>
        </w:tc>
        <w:tc>
          <w:tcPr>
            <w:tcW w:w="1531" w:type="dxa"/>
            <w:tcBorders>
              <w:bottom w:val="nil"/>
              <w:right w:val="single" w:sz="4" w:space="0" w:color="FFFFFF"/>
            </w:tcBorders>
            <w:shd w:val="clear" w:color="auto" w:fill="auto"/>
            <w:noWrap/>
            <w:vAlign w:val="center"/>
          </w:tcPr>
          <w:p w14:paraId="7700FC86" w14:textId="77777777" w:rsidR="0048246C" w:rsidRPr="00A02298" w:rsidRDefault="0048246C" w:rsidP="009F56EA">
            <w:pPr>
              <w:rPr>
                <w:color w:val="000000"/>
                <w:sz w:val="18"/>
                <w:szCs w:val="18"/>
              </w:rPr>
            </w:pPr>
          </w:p>
        </w:tc>
        <w:tc>
          <w:tcPr>
            <w:tcW w:w="1272" w:type="dxa"/>
            <w:tcBorders>
              <w:left w:val="single" w:sz="4" w:space="0" w:color="FFFFFF"/>
              <w:bottom w:val="nil"/>
            </w:tcBorders>
            <w:shd w:val="clear" w:color="auto" w:fill="auto"/>
            <w:noWrap/>
            <w:vAlign w:val="center"/>
          </w:tcPr>
          <w:p w14:paraId="7BE4A334" w14:textId="77777777" w:rsidR="0048246C" w:rsidRPr="00A02298" w:rsidRDefault="0048246C" w:rsidP="009F56EA">
            <w:pPr>
              <w:jc w:val="right"/>
              <w:rPr>
                <w:color w:val="000000"/>
                <w:sz w:val="18"/>
                <w:szCs w:val="18"/>
              </w:rPr>
            </w:pPr>
          </w:p>
        </w:tc>
        <w:tc>
          <w:tcPr>
            <w:tcW w:w="1024" w:type="dxa"/>
            <w:tcBorders>
              <w:bottom w:val="nil"/>
            </w:tcBorders>
            <w:shd w:val="clear" w:color="auto" w:fill="auto"/>
            <w:noWrap/>
            <w:vAlign w:val="center"/>
          </w:tcPr>
          <w:p w14:paraId="0D55EBEB" w14:textId="77777777" w:rsidR="0048246C" w:rsidRPr="00A02298" w:rsidRDefault="0048246C" w:rsidP="009F56EA">
            <w:pPr>
              <w:jc w:val="right"/>
              <w:rPr>
                <w:color w:val="000000"/>
                <w:sz w:val="18"/>
                <w:szCs w:val="18"/>
              </w:rPr>
            </w:pPr>
          </w:p>
        </w:tc>
        <w:tc>
          <w:tcPr>
            <w:tcW w:w="1007" w:type="dxa"/>
            <w:tcBorders>
              <w:bottom w:val="nil"/>
            </w:tcBorders>
            <w:shd w:val="clear" w:color="auto" w:fill="auto"/>
            <w:noWrap/>
            <w:vAlign w:val="center"/>
          </w:tcPr>
          <w:p w14:paraId="34484ABF" w14:textId="77777777" w:rsidR="0048246C" w:rsidRPr="00A02298" w:rsidRDefault="0048246C" w:rsidP="009F56EA">
            <w:pPr>
              <w:jc w:val="right"/>
              <w:rPr>
                <w:color w:val="000000"/>
                <w:sz w:val="18"/>
                <w:szCs w:val="18"/>
              </w:rPr>
            </w:pPr>
          </w:p>
        </w:tc>
        <w:tc>
          <w:tcPr>
            <w:tcW w:w="1024" w:type="dxa"/>
            <w:tcBorders>
              <w:bottom w:val="nil"/>
            </w:tcBorders>
            <w:shd w:val="clear" w:color="auto" w:fill="auto"/>
            <w:noWrap/>
            <w:vAlign w:val="center"/>
          </w:tcPr>
          <w:p w14:paraId="546859F3" w14:textId="77777777" w:rsidR="0048246C" w:rsidRPr="00A02298" w:rsidRDefault="0048246C" w:rsidP="009F56EA">
            <w:pPr>
              <w:jc w:val="right"/>
              <w:rPr>
                <w:color w:val="000000"/>
                <w:sz w:val="18"/>
                <w:szCs w:val="18"/>
              </w:rPr>
            </w:pPr>
          </w:p>
        </w:tc>
        <w:tc>
          <w:tcPr>
            <w:tcW w:w="1007" w:type="dxa"/>
            <w:tcBorders>
              <w:bottom w:val="nil"/>
            </w:tcBorders>
            <w:shd w:val="clear" w:color="auto" w:fill="auto"/>
            <w:noWrap/>
            <w:vAlign w:val="center"/>
          </w:tcPr>
          <w:p w14:paraId="424FB3F1" w14:textId="77777777" w:rsidR="0048246C" w:rsidRPr="00A02298" w:rsidRDefault="0048246C" w:rsidP="009F56EA">
            <w:pPr>
              <w:jc w:val="right"/>
              <w:rPr>
                <w:color w:val="000000"/>
                <w:sz w:val="18"/>
                <w:szCs w:val="18"/>
              </w:rPr>
            </w:pPr>
          </w:p>
        </w:tc>
        <w:tc>
          <w:tcPr>
            <w:tcW w:w="1007" w:type="dxa"/>
            <w:tcBorders>
              <w:bottom w:val="nil"/>
            </w:tcBorders>
            <w:shd w:val="clear" w:color="auto" w:fill="auto"/>
            <w:noWrap/>
            <w:vAlign w:val="center"/>
          </w:tcPr>
          <w:p w14:paraId="06B6F747" w14:textId="77777777" w:rsidR="0048246C" w:rsidRPr="00A02298" w:rsidRDefault="0048246C" w:rsidP="009F56EA">
            <w:pPr>
              <w:jc w:val="right"/>
              <w:rPr>
                <w:color w:val="000000"/>
                <w:sz w:val="18"/>
                <w:szCs w:val="18"/>
              </w:rPr>
            </w:pPr>
          </w:p>
        </w:tc>
        <w:tc>
          <w:tcPr>
            <w:tcW w:w="1024" w:type="dxa"/>
            <w:tcBorders>
              <w:bottom w:val="nil"/>
            </w:tcBorders>
            <w:shd w:val="clear" w:color="auto" w:fill="auto"/>
            <w:noWrap/>
            <w:vAlign w:val="center"/>
          </w:tcPr>
          <w:p w14:paraId="34390049" w14:textId="77777777" w:rsidR="0048246C" w:rsidRPr="00A02298" w:rsidRDefault="0048246C" w:rsidP="009F56EA">
            <w:pPr>
              <w:jc w:val="right"/>
              <w:rPr>
                <w:color w:val="000000"/>
                <w:sz w:val="18"/>
                <w:szCs w:val="18"/>
              </w:rPr>
            </w:pPr>
          </w:p>
        </w:tc>
        <w:tc>
          <w:tcPr>
            <w:tcW w:w="1007" w:type="dxa"/>
            <w:tcBorders>
              <w:bottom w:val="nil"/>
              <w:right w:val="nil"/>
            </w:tcBorders>
            <w:shd w:val="clear" w:color="auto" w:fill="auto"/>
            <w:noWrap/>
            <w:vAlign w:val="center"/>
          </w:tcPr>
          <w:p w14:paraId="09CCD1C8" w14:textId="77777777" w:rsidR="0048246C" w:rsidRPr="00A02298" w:rsidRDefault="0048246C" w:rsidP="009F56EA">
            <w:pPr>
              <w:jc w:val="right"/>
              <w:rPr>
                <w:color w:val="000000"/>
                <w:sz w:val="18"/>
                <w:szCs w:val="18"/>
              </w:rPr>
            </w:pPr>
          </w:p>
        </w:tc>
      </w:tr>
    </w:tbl>
    <w:p w14:paraId="24E44E49" w14:textId="77777777" w:rsidR="0048246C" w:rsidRPr="00A02298" w:rsidRDefault="0048246C"/>
    <w:p w14:paraId="659C1378" w14:textId="77777777" w:rsidR="0048246C" w:rsidRPr="00A02298" w:rsidRDefault="0048246C"/>
    <w:p w14:paraId="3AA2BBEA" w14:textId="77777777" w:rsidR="0048246C" w:rsidRPr="00A02298" w:rsidRDefault="0048246C">
      <w:pPr>
        <w:sectPr w:rsidR="0048246C" w:rsidRPr="00A02298" w:rsidSect="0048246C">
          <w:pgSz w:w="15840" w:h="12240" w:orient="landscape"/>
          <w:pgMar w:top="1440" w:right="1440" w:bottom="1440" w:left="1170" w:header="1440" w:footer="1170" w:gutter="0"/>
          <w:cols w:space="720"/>
          <w:noEndnote/>
          <w:docGrid w:linePitch="326"/>
        </w:sectPr>
      </w:pPr>
    </w:p>
    <w:p w14:paraId="100FDA86" w14:textId="77777777" w:rsidR="0048246C" w:rsidRPr="00A02298" w:rsidRDefault="0048246C"/>
    <w:p w14:paraId="4B3F0A57" w14:textId="12C44AB5" w:rsidR="00CF534E" w:rsidRPr="00595985" w:rsidRDefault="00CF534E">
      <w:pPr>
        <w:rPr>
          <w:u w:val="single"/>
        </w:rPr>
      </w:pPr>
      <w:r w:rsidRPr="00A02298">
        <w:t xml:space="preserve">13.  </w:t>
      </w:r>
      <w:r w:rsidRPr="00595985">
        <w:rPr>
          <w:u w:val="single"/>
        </w:rPr>
        <w:t>Estimate of Cost Burden</w:t>
      </w:r>
    </w:p>
    <w:p w14:paraId="4C7C8645" w14:textId="77777777" w:rsidR="00CF534E" w:rsidRPr="00A02298" w:rsidRDefault="00CF534E"/>
    <w:p w14:paraId="6037D6A9" w14:textId="0950907A" w:rsidR="0048246C" w:rsidRPr="00A02298" w:rsidRDefault="0048246C" w:rsidP="0048246C">
      <w:pPr>
        <w:pStyle w:val="NormalWeb"/>
        <w:ind w:left="360"/>
        <w:rPr>
          <w:color w:val="000000"/>
        </w:rPr>
      </w:pPr>
      <w:r w:rsidRPr="00A02298">
        <w:rPr>
          <w:color w:val="000000"/>
        </w:rPr>
        <w:t>There are no direct costs to law enforcement to participate in the FBI UCR Program other than their time to respond</w:t>
      </w:r>
      <w:r w:rsidR="00E10E51">
        <w:rPr>
          <w:color w:val="000000"/>
        </w:rPr>
        <w:t xml:space="preserve"> to the data collection and for any additional follow-up between the agency and the FBI UCR Program</w:t>
      </w:r>
      <w:r w:rsidRPr="00A02298">
        <w:rPr>
          <w:color w:val="000000"/>
        </w:rPr>
        <w:t xml:space="preserve">.  Respondents may incur capital or start-up costs associated with this information collection, although it is difficult to obtain the costs to agency Records Management Systems as the vendor costs vary from agency-to-agency.  Many costs are built into the vendors Service Level Agreement contracts.  Depending on the vendor contracts, changes may be included within the original contract with no other additional costs.  </w:t>
      </w:r>
      <w:r w:rsidR="00AA6D58">
        <w:rPr>
          <w:color w:val="000000"/>
        </w:rPr>
        <w:t>However, a</w:t>
      </w:r>
      <w:r w:rsidRPr="00A02298">
        <w:rPr>
          <w:color w:val="000000"/>
        </w:rPr>
        <w:t xml:space="preserve">n estimate </w:t>
      </w:r>
      <w:r w:rsidR="00AA6D58">
        <w:rPr>
          <w:color w:val="000000"/>
        </w:rPr>
        <w:t>was</w:t>
      </w:r>
      <w:r w:rsidRPr="00A02298">
        <w:rPr>
          <w:color w:val="000000"/>
        </w:rPr>
        <w:t xml:space="preserve"> projected that agencies pay a $1</w:t>
      </w:r>
      <w:r w:rsidR="00AA6D58">
        <w:rPr>
          <w:color w:val="000000"/>
        </w:rPr>
        <w:t>07</w:t>
      </w:r>
      <w:r w:rsidRPr="00A02298">
        <w:rPr>
          <w:color w:val="000000"/>
        </w:rPr>
        <w:t>,000 maintenance fee every year for system maintenance costs.  However, these agencies are required to maintain their systems for their own purposes regardless of whether they report crime data to the FBI UCR Program.</w:t>
      </w:r>
    </w:p>
    <w:p w14:paraId="0A0B90B6" w14:textId="72439285" w:rsidR="00AA6D58" w:rsidRPr="00A02298" w:rsidRDefault="00AA6D58"/>
    <w:p w14:paraId="161A590F" w14:textId="72C3438D" w:rsidR="00CF534E" w:rsidRPr="00A02298" w:rsidRDefault="00CF534E">
      <w:r w:rsidRPr="00A02298">
        <w:t xml:space="preserve">14.  </w:t>
      </w:r>
      <w:r w:rsidRPr="00595985">
        <w:rPr>
          <w:u w:val="single"/>
        </w:rPr>
        <w:t>Estimated Annualized Costs to Federal Government</w:t>
      </w:r>
    </w:p>
    <w:p w14:paraId="0BD75FD5" w14:textId="77777777" w:rsidR="00CF534E" w:rsidRPr="00A02298" w:rsidRDefault="00CF534E"/>
    <w:p w14:paraId="60841783" w14:textId="47132C13" w:rsidR="0048246C" w:rsidRPr="00A02298" w:rsidRDefault="0048246C" w:rsidP="0048246C">
      <w:pPr>
        <w:pStyle w:val="ListParagraph"/>
        <w:tabs>
          <w:tab w:val="left" w:pos="5430"/>
        </w:tabs>
        <w:autoSpaceDE w:val="0"/>
        <w:autoSpaceDN w:val="0"/>
        <w:adjustRightInd w:val="0"/>
        <w:spacing w:after="0" w:line="240" w:lineRule="auto"/>
        <w:ind w:left="360"/>
        <w:rPr>
          <w:rFonts w:ascii="Times New Roman" w:hAnsi="Times New Roman"/>
        </w:rPr>
      </w:pPr>
      <w:r w:rsidRPr="00A02298">
        <w:rPr>
          <w:rFonts w:ascii="Times New Roman" w:hAnsi="Times New Roman"/>
          <w:sz w:val="24"/>
          <w:szCs w:val="24"/>
        </w:rPr>
        <w:t xml:space="preserve">The development of the National </w:t>
      </w:r>
      <w:r w:rsidR="00BF1803">
        <w:rPr>
          <w:rFonts w:ascii="Times New Roman" w:hAnsi="Times New Roman"/>
          <w:sz w:val="24"/>
          <w:szCs w:val="24"/>
        </w:rPr>
        <w:t>UoF</w:t>
      </w:r>
      <w:r w:rsidRPr="00A02298">
        <w:rPr>
          <w:rFonts w:ascii="Times New Roman" w:hAnsi="Times New Roman"/>
          <w:sz w:val="24"/>
          <w:szCs w:val="24"/>
        </w:rPr>
        <w:t xml:space="preserve"> Data Collection system is being performed by </w:t>
      </w:r>
      <w:r w:rsidR="00AA6D58">
        <w:rPr>
          <w:rFonts w:ascii="Times New Roman" w:hAnsi="Times New Roman"/>
          <w:sz w:val="24"/>
          <w:szCs w:val="24"/>
        </w:rPr>
        <w:t>c</w:t>
      </w:r>
      <w:r w:rsidRPr="00A02298">
        <w:rPr>
          <w:rFonts w:ascii="Times New Roman" w:hAnsi="Times New Roman"/>
          <w:sz w:val="24"/>
          <w:szCs w:val="24"/>
        </w:rPr>
        <w:t>ontract, as well as government support staff.  Below is an estimated cost for Fiscal Years 2016, 2017, and 2018 for contract support, as well as government support</w:t>
      </w:r>
      <w:r w:rsidRPr="00A02298">
        <w:rPr>
          <w:rFonts w:ascii="Times New Roman" w:hAnsi="Times New Roman"/>
        </w:rPr>
        <w:t>.</w:t>
      </w:r>
    </w:p>
    <w:p w14:paraId="4686F214" w14:textId="77777777" w:rsidR="0048246C" w:rsidRPr="00A02298" w:rsidRDefault="0048246C" w:rsidP="0048246C">
      <w:pPr>
        <w:pStyle w:val="ListParagraph"/>
        <w:tabs>
          <w:tab w:val="left" w:pos="5430"/>
        </w:tabs>
        <w:autoSpaceDE w:val="0"/>
        <w:autoSpaceDN w:val="0"/>
        <w:adjustRightInd w:val="0"/>
        <w:spacing w:after="0" w:line="240" w:lineRule="auto"/>
        <w:ind w:left="360"/>
        <w:rPr>
          <w:rFonts w:ascii="Times New Roman" w:hAnsi="Times New Roman"/>
        </w:rPr>
      </w:pPr>
      <w:r w:rsidRPr="00A02298">
        <w:rPr>
          <w:rFonts w:ascii="Times New Roman" w:hAnsi="Times New Roman"/>
        </w:rPr>
        <w:t xml:space="preserve">  </w:t>
      </w:r>
    </w:p>
    <w:tbl>
      <w:tblPr>
        <w:tblW w:w="8541" w:type="dxa"/>
        <w:tblLook w:val="04A0" w:firstRow="1" w:lastRow="0" w:firstColumn="1" w:lastColumn="0" w:noHBand="0" w:noVBand="1"/>
      </w:tblPr>
      <w:tblGrid>
        <w:gridCol w:w="3024"/>
        <w:gridCol w:w="1839"/>
        <w:gridCol w:w="1708"/>
        <w:gridCol w:w="1970"/>
      </w:tblGrid>
      <w:tr w:rsidR="0048246C" w:rsidRPr="00A02298" w14:paraId="5792C0E5" w14:textId="77777777" w:rsidTr="009F56EA">
        <w:trPr>
          <w:trHeight w:val="300"/>
        </w:trPr>
        <w:tc>
          <w:tcPr>
            <w:tcW w:w="694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201BBE9" w14:textId="77777777" w:rsidR="0048246C" w:rsidRPr="00A02298" w:rsidRDefault="0048246C" w:rsidP="009F56EA">
            <w:pPr>
              <w:jc w:val="center"/>
              <w:rPr>
                <w:b/>
                <w:bCs/>
                <w:color w:val="000000"/>
              </w:rPr>
            </w:pPr>
            <w:r w:rsidRPr="00A02298">
              <w:rPr>
                <w:b/>
                <w:bCs/>
                <w:color w:val="000000"/>
              </w:rPr>
              <w:t xml:space="preserve">Use-of-Force Contract Services </w:t>
            </w:r>
            <w:r w:rsidRPr="00A02298">
              <w:rPr>
                <w:bCs/>
                <w:color w:val="000000"/>
              </w:rPr>
              <w:t>/</w:t>
            </w:r>
            <w:r w:rsidRPr="00A02298">
              <w:rPr>
                <w:b/>
                <w:bCs/>
                <w:color w:val="000000"/>
              </w:rPr>
              <w:t xml:space="preserve"> </w:t>
            </w:r>
            <w:r w:rsidRPr="00A02298">
              <w:rPr>
                <w:b/>
                <w:color w:val="000000"/>
              </w:rPr>
              <w:t>Operations &amp; Maintenance</w:t>
            </w:r>
            <w:r w:rsidRPr="00A02298">
              <w:rPr>
                <w:color w:val="000000"/>
              </w:rPr>
              <w:t xml:space="preserve"> </w:t>
            </w:r>
            <w:r w:rsidRPr="00A02298">
              <w:rPr>
                <w:b/>
                <w:bCs/>
                <w:color w:val="000000"/>
              </w:rPr>
              <w:t xml:space="preserve">Services Costs </w:t>
            </w:r>
          </w:p>
        </w:tc>
      </w:tr>
      <w:tr w:rsidR="0048246C" w:rsidRPr="00A02298" w14:paraId="45C3F70E" w14:textId="77777777" w:rsidTr="009F56EA">
        <w:trPr>
          <w:trHeight w:val="300"/>
        </w:trPr>
        <w:tc>
          <w:tcPr>
            <w:tcW w:w="2457" w:type="dxa"/>
            <w:tcBorders>
              <w:top w:val="nil"/>
              <w:left w:val="single" w:sz="4" w:space="0" w:color="757171"/>
              <w:bottom w:val="single" w:sz="4" w:space="0" w:color="757171"/>
              <w:right w:val="single" w:sz="4" w:space="0" w:color="757171"/>
            </w:tcBorders>
            <w:shd w:val="clear" w:color="auto" w:fill="auto"/>
            <w:noWrap/>
            <w:vAlign w:val="bottom"/>
            <w:hideMark/>
          </w:tcPr>
          <w:p w14:paraId="33FEF692" w14:textId="77777777" w:rsidR="0048246C" w:rsidRPr="00A02298" w:rsidRDefault="0048246C" w:rsidP="009F56EA">
            <w:pPr>
              <w:rPr>
                <w:color w:val="000000"/>
              </w:rPr>
            </w:pPr>
            <w:r w:rsidRPr="00A02298">
              <w:rPr>
                <w:color w:val="000000"/>
              </w:rPr>
              <w:t> </w:t>
            </w:r>
          </w:p>
        </w:tc>
        <w:tc>
          <w:tcPr>
            <w:tcW w:w="1494" w:type="dxa"/>
            <w:tcBorders>
              <w:top w:val="nil"/>
              <w:left w:val="nil"/>
              <w:bottom w:val="single" w:sz="4" w:space="0" w:color="757171"/>
              <w:right w:val="single" w:sz="4" w:space="0" w:color="757171"/>
            </w:tcBorders>
            <w:shd w:val="clear" w:color="auto" w:fill="auto"/>
            <w:noWrap/>
            <w:vAlign w:val="bottom"/>
            <w:hideMark/>
          </w:tcPr>
          <w:p w14:paraId="57460FA9" w14:textId="77777777" w:rsidR="0048246C" w:rsidRPr="00A02298" w:rsidRDefault="0048246C" w:rsidP="009F56EA">
            <w:pPr>
              <w:jc w:val="center"/>
              <w:rPr>
                <w:b/>
                <w:bCs/>
                <w:color w:val="000000"/>
              </w:rPr>
            </w:pPr>
            <w:r w:rsidRPr="00A02298">
              <w:rPr>
                <w:b/>
                <w:bCs/>
                <w:color w:val="000000"/>
              </w:rPr>
              <w:t>FY16</w:t>
            </w:r>
          </w:p>
        </w:tc>
        <w:tc>
          <w:tcPr>
            <w:tcW w:w="1388" w:type="dxa"/>
            <w:tcBorders>
              <w:top w:val="nil"/>
              <w:left w:val="nil"/>
              <w:bottom w:val="single" w:sz="4" w:space="0" w:color="757171"/>
              <w:right w:val="single" w:sz="4" w:space="0" w:color="757171"/>
            </w:tcBorders>
            <w:shd w:val="clear" w:color="auto" w:fill="auto"/>
            <w:noWrap/>
            <w:vAlign w:val="bottom"/>
            <w:hideMark/>
          </w:tcPr>
          <w:p w14:paraId="35D3B151" w14:textId="77777777" w:rsidR="0048246C" w:rsidRPr="00A02298" w:rsidRDefault="0048246C" w:rsidP="009F56EA">
            <w:pPr>
              <w:jc w:val="center"/>
              <w:rPr>
                <w:b/>
                <w:bCs/>
                <w:color w:val="000000"/>
              </w:rPr>
            </w:pPr>
            <w:r w:rsidRPr="00A02298">
              <w:rPr>
                <w:b/>
                <w:bCs/>
                <w:color w:val="000000"/>
              </w:rPr>
              <w:t>FY17</w:t>
            </w:r>
          </w:p>
        </w:tc>
        <w:tc>
          <w:tcPr>
            <w:tcW w:w="1601" w:type="dxa"/>
            <w:tcBorders>
              <w:top w:val="nil"/>
              <w:left w:val="nil"/>
              <w:bottom w:val="single" w:sz="4" w:space="0" w:color="757171"/>
              <w:right w:val="single" w:sz="4" w:space="0" w:color="757171"/>
            </w:tcBorders>
            <w:shd w:val="clear" w:color="auto" w:fill="auto"/>
            <w:noWrap/>
            <w:vAlign w:val="bottom"/>
            <w:hideMark/>
          </w:tcPr>
          <w:p w14:paraId="154651FC" w14:textId="77777777" w:rsidR="0048246C" w:rsidRPr="00A02298" w:rsidRDefault="0048246C" w:rsidP="009F56EA">
            <w:pPr>
              <w:jc w:val="center"/>
              <w:rPr>
                <w:b/>
                <w:bCs/>
                <w:color w:val="000000"/>
              </w:rPr>
            </w:pPr>
            <w:r w:rsidRPr="00A02298">
              <w:rPr>
                <w:b/>
                <w:bCs/>
                <w:color w:val="000000"/>
              </w:rPr>
              <w:t>FY18</w:t>
            </w:r>
          </w:p>
        </w:tc>
      </w:tr>
      <w:tr w:rsidR="0048246C" w:rsidRPr="00A02298" w14:paraId="26B4D8CC" w14:textId="77777777" w:rsidTr="009F56EA">
        <w:trPr>
          <w:trHeight w:val="300"/>
        </w:trPr>
        <w:tc>
          <w:tcPr>
            <w:tcW w:w="2457" w:type="dxa"/>
            <w:tcBorders>
              <w:top w:val="nil"/>
              <w:left w:val="single" w:sz="4" w:space="0" w:color="757171"/>
              <w:bottom w:val="single" w:sz="4" w:space="0" w:color="757171"/>
              <w:right w:val="single" w:sz="4" w:space="0" w:color="757171"/>
            </w:tcBorders>
            <w:shd w:val="clear" w:color="auto" w:fill="auto"/>
            <w:noWrap/>
            <w:vAlign w:val="bottom"/>
            <w:hideMark/>
          </w:tcPr>
          <w:p w14:paraId="09E9AB02" w14:textId="77777777" w:rsidR="0048246C" w:rsidRPr="00A02298" w:rsidRDefault="0048246C" w:rsidP="009F56EA">
            <w:pPr>
              <w:rPr>
                <w:color w:val="000000"/>
              </w:rPr>
            </w:pPr>
            <w:r w:rsidRPr="00A02298">
              <w:rPr>
                <w:color w:val="000000"/>
              </w:rPr>
              <w:t>Project Manager</w:t>
            </w:r>
          </w:p>
        </w:tc>
        <w:tc>
          <w:tcPr>
            <w:tcW w:w="1494" w:type="dxa"/>
            <w:tcBorders>
              <w:top w:val="nil"/>
              <w:left w:val="nil"/>
              <w:bottom w:val="single" w:sz="4" w:space="0" w:color="757171"/>
              <w:right w:val="single" w:sz="4" w:space="0" w:color="757171"/>
            </w:tcBorders>
            <w:shd w:val="clear" w:color="auto" w:fill="auto"/>
            <w:noWrap/>
            <w:vAlign w:val="bottom"/>
            <w:hideMark/>
          </w:tcPr>
          <w:p w14:paraId="645213D0" w14:textId="77777777" w:rsidR="0048246C" w:rsidRPr="00A02298" w:rsidRDefault="0048246C" w:rsidP="009F56EA">
            <w:pPr>
              <w:rPr>
                <w:color w:val="000000"/>
              </w:rPr>
            </w:pPr>
            <w:r w:rsidRPr="00A02298">
              <w:rPr>
                <w:color w:val="000000"/>
              </w:rPr>
              <w:t xml:space="preserve"> $    211,200.00 </w:t>
            </w:r>
          </w:p>
        </w:tc>
        <w:tc>
          <w:tcPr>
            <w:tcW w:w="1388" w:type="dxa"/>
            <w:tcBorders>
              <w:top w:val="nil"/>
              <w:left w:val="nil"/>
              <w:bottom w:val="single" w:sz="4" w:space="0" w:color="757171"/>
              <w:right w:val="single" w:sz="4" w:space="0" w:color="757171"/>
            </w:tcBorders>
            <w:shd w:val="clear" w:color="auto" w:fill="auto"/>
            <w:noWrap/>
            <w:vAlign w:val="bottom"/>
            <w:hideMark/>
          </w:tcPr>
          <w:p w14:paraId="3BCEF338" w14:textId="77777777" w:rsidR="0048246C" w:rsidRPr="00A02298" w:rsidRDefault="0048246C" w:rsidP="009F56EA">
            <w:pPr>
              <w:rPr>
                <w:color w:val="000000"/>
              </w:rPr>
            </w:pPr>
            <w:r w:rsidRPr="00A02298">
              <w:rPr>
                <w:color w:val="000000"/>
              </w:rPr>
              <w:t xml:space="preserve"> $  216,480.00 </w:t>
            </w:r>
          </w:p>
        </w:tc>
        <w:tc>
          <w:tcPr>
            <w:tcW w:w="1601" w:type="dxa"/>
            <w:tcBorders>
              <w:top w:val="nil"/>
              <w:left w:val="nil"/>
              <w:bottom w:val="single" w:sz="4" w:space="0" w:color="757171"/>
              <w:right w:val="single" w:sz="4" w:space="0" w:color="757171"/>
            </w:tcBorders>
            <w:shd w:val="clear" w:color="auto" w:fill="auto"/>
            <w:noWrap/>
            <w:vAlign w:val="bottom"/>
            <w:hideMark/>
          </w:tcPr>
          <w:p w14:paraId="0D559153" w14:textId="77777777" w:rsidR="0048246C" w:rsidRPr="00A02298" w:rsidRDefault="0048246C" w:rsidP="009F56EA">
            <w:pPr>
              <w:rPr>
                <w:color w:val="000000"/>
              </w:rPr>
            </w:pPr>
            <w:r w:rsidRPr="00A02298">
              <w:rPr>
                <w:color w:val="000000"/>
              </w:rPr>
              <w:t xml:space="preserve"> $      221,892.00 </w:t>
            </w:r>
          </w:p>
        </w:tc>
      </w:tr>
      <w:tr w:rsidR="0048246C" w:rsidRPr="00A02298" w14:paraId="01624B29" w14:textId="77777777" w:rsidTr="009F56EA">
        <w:trPr>
          <w:trHeight w:val="300"/>
        </w:trPr>
        <w:tc>
          <w:tcPr>
            <w:tcW w:w="2457" w:type="dxa"/>
            <w:tcBorders>
              <w:top w:val="nil"/>
              <w:left w:val="single" w:sz="4" w:space="0" w:color="757171"/>
              <w:bottom w:val="single" w:sz="4" w:space="0" w:color="757171"/>
              <w:right w:val="single" w:sz="4" w:space="0" w:color="757171"/>
            </w:tcBorders>
            <w:shd w:val="clear" w:color="auto" w:fill="auto"/>
            <w:noWrap/>
            <w:vAlign w:val="bottom"/>
            <w:hideMark/>
          </w:tcPr>
          <w:p w14:paraId="02EDD411" w14:textId="77777777" w:rsidR="0048246C" w:rsidRPr="00A02298" w:rsidRDefault="0048246C" w:rsidP="009F56EA">
            <w:pPr>
              <w:rPr>
                <w:color w:val="000000"/>
              </w:rPr>
            </w:pPr>
            <w:r w:rsidRPr="00A02298">
              <w:rPr>
                <w:color w:val="000000"/>
              </w:rPr>
              <w:t>Senior Application Developer</w:t>
            </w:r>
          </w:p>
        </w:tc>
        <w:tc>
          <w:tcPr>
            <w:tcW w:w="1494" w:type="dxa"/>
            <w:tcBorders>
              <w:top w:val="nil"/>
              <w:left w:val="nil"/>
              <w:bottom w:val="single" w:sz="4" w:space="0" w:color="757171"/>
              <w:right w:val="single" w:sz="4" w:space="0" w:color="757171"/>
            </w:tcBorders>
            <w:shd w:val="clear" w:color="auto" w:fill="auto"/>
            <w:noWrap/>
            <w:vAlign w:val="bottom"/>
            <w:hideMark/>
          </w:tcPr>
          <w:p w14:paraId="78ED4E5D" w14:textId="77777777" w:rsidR="0048246C" w:rsidRPr="00A02298" w:rsidRDefault="0048246C" w:rsidP="009F56EA">
            <w:pPr>
              <w:rPr>
                <w:color w:val="000000"/>
              </w:rPr>
            </w:pPr>
            <w:r w:rsidRPr="00A02298">
              <w:rPr>
                <w:color w:val="000000"/>
              </w:rPr>
              <w:t xml:space="preserve"> $    144,806.00 </w:t>
            </w:r>
          </w:p>
        </w:tc>
        <w:tc>
          <w:tcPr>
            <w:tcW w:w="1388" w:type="dxa"/>
            <w:tcBorders>
              <w:top w:val="nil"/>
              <w:left w:val="nil"/>
              <w:bottom w:val="single" w:sz="4" w:space="0" w:color="757171"/>
              <w:right w:val="single" w:sz="4" w:space="0" w:color="757171"/>
            </w:tcBorders>
            <w:shd w:val="clear" w:color="auto" w:fill="auto"/>
            <w:noWrap/>
            <w:vAlign w:val="bottom"/>
            <w:hideMark/>
          </w:tcPr>
          <w:p w14:paraId="42E43CD9" w14:textId="77777777" w:rsidR="0048246C" w:rsidRPr="00A02298" w:rsidRDefault="0048246C" w:rsidP="009F56EA">
            <w:pPr>
              <w:rPr>
                <w:color w:val="000000"/>
              </w:rPr>
            </w:pPr>
            <w:r w:rsidRPr="00A02298">
              <w:rPr>
                <w:color w:val="000000"/>
              </w:rPr>
              <w:t xml:space="preserve"> $  148,427.00 </w:t>
            </w:r>
          </w:p>
        </w:tc>
        <w:tc>
          <w:tcPr>
            <w:tcW w:w="1601" w:type="dxa"/>
            <w:tcBorders>
              <w:top w:val="nil"/>
              <w:left w:val="nil"/>
              <w:bottom w:val="single" w:sz="4" w:space="0" w:color="757171"/>
              <w:right w:val="single" w:sz="4" w:space="0" w:color="757171"/>
            </w:tcBorders>
            <w:shd w:val="clear" w:color="auto" w:fill="auto"/>
            <w:noWrap/>
            <w:vAlign w:val="bottom"/>
            <w:hideMark/>
          </w:tcPr>
          <w:p w14:paraId="48FF335D" w14:textId="77777777" w:rsidR="0048246C" w:rsidRPr="00A02298" w:rsidRDefault="0048246C" w:rsidP="009F56EA">
            <w:pPr>
              <w:rPr>
                <w:color w:val="000000"/>
              </w:rPr>
            </w:pPr>
            <w:r w:rsidRPr="00A02298">
              <w:rPr>
                <w:color w:val="000000"/>
              </w:rPr>
              <w:t xml:space="preserve"> $      152,137.00 </w:t>
            </w:r>
          </w:p>
        </w:tc>
      </w:tr>
      <w:tr w:rsidR="0048246C" w:rsidRPr="00A02298" w14:paraId="3F66F31D" w14:textId="77777777" w:rsidTr="009F56EA">
        <w:trPr>
          <w:trHeight w:val="300"/>
        </w:trPr>
        <w:tc>
          <w:tcPr>
            <w:tcW w:w="2457" w:type="dxa"/>
            <w:tcBorders>
              <w:top w:val="nil"/>
              <w:left w:val="single" w:sz="4" w:space="0" w:color="757171"/>
              <w:bottom w:val="single" w:sz="4" w:space="0" w:color="757171"/>
              <w:right w:val="single" w:sz="4" w:space="0" w:color="757171"/>
            </w:tcBorders>
            <w:shd w:val="clear" w:color="auto" w:fill="auto"/>
            <w:noWrap/>
            <w:vAlign w:val="bottom"/>
            <w:hideMark/>
          </w:tcPr>
          <w:p w14:paraId="32EA053D" w14:textId="77777777" w:rsidR="0048246C" w:rsidRPr="00A02298" w:rsidRDefault="0048246C" w:rsidP="009F56EA">
            <w:pPr>
              <w:rPr>
                <w:color w:val="000000"/>
              </w:rPr>
            </w:pPr>
            <w:r w:rsidRPr="00A02298">
              <w:rPr>
                <w:color w:val="000000"/>
              </w:rPr>
              <w:t>Senior Application Developer</w:t>
            </w:r>
          </w:p>
        </w:tc>
        <w:tc>
          <w:tcPr>
            <w:tcW w:w="1494" w:type="dxa"/>
            <w:tcBorders>
              <w:top w:val="nil"/>
              <w:left w:val="nil"/>
              <w:bottom w:val="single" w:sz="4" w:space="0" w:color="757171"/>
              <w:right w:val="single" w:sz="4" w:space="0" w:color="757171"/>
            </w:tcBorders>
            <w:shd w:val="clear" w:color="auto" w:fill="auto"/>
            <w:noWrap/>
            <w:vAlign w:val="bottom"/>
            <w:hideMark/>
          </w:tcPr>
          <w:p w14:paraId="56D7C87B" w14:textId="77777777" w:rsidR="0048246C" w:rsidRPr="00A02298" w:rsidRDefault="0048246C" w:rsidP="009F56EA">
            <w:pPr>
              <w:rPr>
                <w:color w:val="000000"/>
              </w:rPr>
            </w:pPr>
            <w:r w:rsidRPr="00A02298">
              <w:rPr>
                <w:color w:val="000000"/>
              </w:rPr>
              <w:t xml:space="preserve"> $    144,806.00 </w:t>
            </w:r>
          </w:p>
        </w:tc>
        <w:tc>
          <w:tcPr>
            <w:tcW w:w="1388" w:type="dxa"/>
            <w:tcBorders>
              <w:top w:val="nil"/>
              <w:left w:val="nil"/>
              <w:bottom w:val="single" w:sz="4" w:space="0" w:color="757171"/>
              <w:right w:val="single" w:sz="4" w:space="0" w:color="757171"/>
            </w:tcBorders>
            <w:shd w:val="clear" w:color="auto" w:fill="auto"/>
            <w:noWrap/>
            <w:vAlign w:val="bottom"/>
            <w:hideMark/>
          </w:tcPr>
          <w:p w14:paraId="2F32FB6D" w14:textId="77777777" w:rsidR="0048246C" w:rsidRPr="00A02298" w:rsidRDefault="0048246C" w:rsidP="009F56EA">
            <w:pPr>
              <w:rPr>
                <w:color w:val="000000"/>
              </w:rPr>
            </w:pPr>
            <w:r w:rsidRPr="00A02298">
              <w:rPr>
                <w:color w:val="000000"/>
              </w:rPr>
              <w:t xml:space="preserve"> $  148,427.00 </w:t>
            </w:r>
          </w:p>
        </w:tc>
        <w:tc>
          <w:tcPr>
            <w:tcW w:w="1601" w:type="dxa"/>
            <w:tcBorders>
              <w:top w:val="nil"/>
              <w:left w:val="nil"/>
              <w:bottom w:val="single" w:sz="4" w:space="0" w:color="757171"/>
              <w:right w:val="single" w:sz="4" w:space="0" w:color="757171"/>
            </w:tcBorders>
            <w:shd w:val="clear" w:color="auto" w:fill="auto"/>
            <w:noWrap/>
            <w:vAlign w:val="bottom"/>
            <w:hideMark/>
          </w:tcPr>
          <w:p w14:paraId="51E45392" w14:textId="77777777" w:rsidR="0048246C" w:rsidRPr="00A02298" w:rsidRDefault="0048246C" w:rsidP="009F56EA">
            <w:pPr>
              <w:rPr>
                <w:color w:val="000000"/>
              </w:rPr>
            </w:pPr>
            <w:r w:rsidRPr="00A02298">
              <w:rPr>
                <w:color w:val="000000"/>
              </w:rPr>
              <w:t xml:space="preserve"> $      152,137.00 </w:t>
            </w:r>
          </w:p>
        </w:tc>
      </w:tr>
      <w:tr w:rsidR="0048246C" w:rsidRPr="00A02298" w14:paraId="3F90D4AE" w14:textId="77777777" w:rsidTr="009F56EA">
        <w:trPr>
          <w:trHeight w:val="300"/>
        </w:trPr>
        <w:tc>
          <w:tcPr>
            <w:tcW w:w="2457" w:type="dxa"/>
            <w:tcBorders>
              <w:top w:val="nil"/>
              <w:left w:val="single" w:sz="4" w:space="0" w:color="757171"/>
              <w:bottom w:val="single" w:sz="4" w:space="0" w:color="757171"/>
              <w:right w:val="single" w:sz="4" w:space="0" w:color="757171"/>
            </w:tcBorders>
            <w:shd w:val="clear" w:color="auto" w:fill="auto"/>
            <w:noWrap/>
            <w:vAlign w:val="bottom"/>
            <w:hideMark/>
          </w:tcPr>
          <w:p w14:paraId="6B8968AA" w14:textId="77777777" w:rsidR="0048246C" w:rsidRPr="00A02298" w:rsidRDefault="0048246C" w:rsidP="009F56EA">
            <w:pPr>
              <w:rPr>
                <w:color w:val="000000"/>
              </w:rPr>
            </w:pPr>
            <w:r w:rsidRPr="00A02298">
              <w:rPr>
                <w:color w:val="000000"/>
              </w:rPr>
              <w:t>System Administrator</w:t>
            </w:r>
          </w:p>
        </w:tc>
        <w:tc>
          <w:tcPr>
            <w:tcW w:w="1494" w:type="dxa"/>
            <w:tcBorders>
              <w:top w:val="nil"/>
              <w:left w:val="nil"/>
              <w:bottom w:val="single" w:sz="4" w:space="0" w:color="757171"/>
              <w:right w:val="single" w:sz="4" w:space="0" w:color="757171"/>
            </w:tcBorders>
            <w:shd w:val="clear" w:color="auto" w:fill="auto"/>
            <w:noWrap/>
            <w:vAlign w:val="bottom"/>
            <w:hideMark/>
          </w:tcPr>
          <w:p w14:paraId="11812664" w14:textId="77777777" w:rsidR="0048246C" w:rsidRPr="00A02298" w:rsidRDefault="0048246C" w:rsidP="009F56EA">
            <w:pPr>
              <w:rPr>
                <w:color w:val="000000"/>
              </w:rPr>
            </w:pPr>
            <w:r w:rsidRPr="00A02298">
              <w:rPr>
                <w:color w:val="000000"/>
              </w:rPr>
              <w:t xml:space="preserve"> $    176,640.00 </w:t>
            </w:r>
          </w:p>
        </w:tc>
        <w:tc>
          <w:tcPr>
            <w:tcW w:w="1388" w:type="dxa"/>
            <w:tcBorders>
              <w:top w:val="nil"/>
              <w:left w:val="nil"/>
              <w:bottom w:val="single" w:sz="4" w:space="0" w:color="757171"/>
              <w:right w:val="single" w:sz="4" w:space="0" w:color="757171"/>
            </w:tcBorders>
            <w:shd w:val="clear" w:color="auto" w:fill="auto"/>
            <w:noWrap/>
            <w:vAlign w:val="bottom"/>
            <w:hideMark/>
          </w:tcPr>
          <w:p w14:paraId="22AA7BB5" w14:textId="77777777" w:rsidR="0048246C" w:rsidRPr="00A02298" w:rsidRDefault="0048246C" w:rsidP="009F56EA">
            <w:pPr>
              <w:rPr>
                <w:color w:val="000000"/>
              </w:rPr>
            </w:pPr>
            <w:r w:rsidRPr="00A02298">
              <w:rPr>
                <w:color w:val="000000"/>
              </w:rPr>
              <w:t xml:space="preserve"> $  181,056.00 </w:t>
            </w:r>
          </w:p>
        </w:tc>
        <w:tc>
          <w:tcPr>
            <w:tcW w:w="1601" w:type="dxa"/>
            <w:tcBorders>
              <w:top w:val="nil"/>
              <w:left w:val="nil"/>
              <w:bottom w:val="single" w:sz="4" w:space="0" w:color="757171"/>
              <w:right w:val="single" w:sz="4" w:space="0" w:color="757171"/>
            </w:tcBorders>
            <w:shd w:val="clear" w:color="auto" w:fill="auto"/>
            <w:noWrap/>
            <w:vAlign w:val="bottom"/>
            <w:hideMark/>
          </w:tcPr>
          <w:p w14:paraId="01589D22" w14:textId="77777777" w:rsidR="0048246C" w:rsidRPr="00A02298" w:rsidRDefault="0048246C" w:rsidP="009F56EA">
            <w:pPr>
              <w:rPr>
                <w:color w:val="000000"/>
              </w:rPr>
            </w:pPr>
            <w:r w:rsidRPr="00A02298">
              <w:rPr>
                <w:color w:val="000000"/>
              </w:rPr>
              <w:t xml:space="preserve"> $      185,582.00 </w:t>
            </w:r>
          </w:p>
        </w:tc>
      </w:tr>
      <w:tr w:rsidR="0048246C" w:rsidRPr="00A02298" w14:paraId="76A4167A" w14:textId="77777777" w:rsidTr="009F56EA">
        <w:trPr>
          <w:trHeight w:val="300"/>
        </w:trPr>
        <w:tc>
          <w:tcPr>
            <w:tcW w:w="2457" w:type="dxa"/>
            <w:tcBorders>
              <w:top w:val="nil"/>
              <w:left w:val="single" w:sz="4" w:space="0" w:color="757171"/>
              <w:bottom w:val="single" w:sz="4" w:space="0" w:color="757171"/>
              <w:right w:val="single" w:sz="4" w:space="0" w:color="757171"/>
            </w:tcBorders>
            <w:shd w:val="clear" w:color="auto" w:fill="auto"/>
            <w:noWrap/>
            <w:vAlign w:val="bottom"/>
            <w:hideMark/>
          </w:tcPr>
          <w:p w14:paraId="323BDAF3" w14:textId="77777777" w:rsidR="0048246C" w:rsidRPr="00A02298" w:rsidRDefault="0048246C" w:rsidP="009F56EA">
            <w:pPr>
              <w:rPr>
                <w:color w:val="000000"/>
              </w:rPr>
            </w:pPr>
            <w:r w:rsidRPr="00A02298">
              <w:rPr>
                <w:color w:val="000000"/>
              </w:rPr>
              <w:t>Database Administrator</w:t>
            </w:r>
          </w:p>
        </w:tc>
        <w:tc>
          <w:tcPr>
            <w:tcW w:w="1494" w:type="dxa"/>
            <w:tcBorders>
              <w:top w:val="nil"/>
              <w:left w:val="nil"/>
              <w:bottom w:val="single" w:sz="4" w:space="0" w:color="757171"/>
              <w:right w:val="single" w:sz="4" w:space="0" w:color="757171"/>
            </w:tcBorders>
            <w:shd w:val="clear" w:color="auto" w:fill="auto"/>
            <w:noWrap/>
            <w:vAlign w:val="bottom"/>
            <w:hideMark/>
          </w:tcPr>
          <w:p w14:paraId="3D4B6303" w14:textId="77777777" w:rsidR="0048246C" w:rsidRPr="00A02298" w:rsidRDefault="0048246C" w:rsidP="009F56EA">
            <w:pPr>
              <w:rPr>
                <w:color w:val="000000"/>
              </w:rPr>
            </w:pPr>
            <w:r w:rsidRPr="00A02298">
              <w:rPr>
                <w:color w:val="000000"/>
              </w:rPr>
              <w:t xml:space="preserve"> $    157,440.00 </w:t>
            </w:r>
          </w:p>
        </w:tc>
        <w:tc>
          <w:tcPr>
            <w:tcW w:w="1388" w:type="dxa"/>
            <w:tcBorders>
              <w:top w:val="nil"/>
              <w:left w:val="nil"/>
              <w:bottom w:val="single" w:sz="4" w:space="0" w:color="757171"/>
              <w:right w:val="single" w:sz="4" w:space="0" w:color="757171"/>
            </w:tcBorders>
            <w:shd w:val="clear" w:color="auto" w:fill="auto"/>
            <w:noWrap/>
            <w:vAlign w:val="bottom"/>
            <w:hideMark/>
          </w:tcPr>
          <w:p w14:paraId="10222F8D" w14:textId="77777777" w:rsidR="0048246C" w:rsidRPr="00A02298" w:rsidRDefault="0048246C" w:rsidP="009F56EA">
            <w:pPr>
              <w:rPr>
                <w:color w:val="000000"/>
              </w:rPr>
            </w:pPr>
            <w:r w:rsidRPr="00A02298">
              <w:rPr>
                <w:color w:val="000000"/>
              </w:rPr>
              <w:t xml:space="preserve"> $  161,376.00 </w:t>
            </w:r>
          </w:p>
        </w:tc>
        <w:tc>
          <w:tcPr>
            <w:tcW w:w="1601" w:type="dxa"/>
            <w:tcBorders>
              <w:top w:val="nil"/>
              <w:left w:val="nil"/>
              <w:bottom w:val="single" w:sz="4" w:space="0" w:color="757171"/>
              <w:right w:val="single" w:sz="4" w:space="0" w:color="757171"/>
            </w:tcBorders>
            <w:shd w:val="clear" w:color="auto" w:fill="auto"/>
            <w:noWrap/>
            <w:vAlign w:val="bottom"/>
            <w:hideMark/>
          </w:tcPr>
          <w:p w14:paraId="0A86F650" w14:textId="77777777" w:rsidR="0048246C" w:rsidRPr="00A02298" w:rsidRDefault="0048246C" w:rsidP="009F56EA">
            <w:pPr>
              <w:rPr>
                <w:color w:val="000000"/>
              </w:rPr>
            </w:pPr>
            <w:r w:rsidRPr="00A02298">
              <w:rPr>
                <w:color w:val="000000"/>
              </w:rPr>
              <w:t xml:space="preserve"> $      165,410.00 </w:t>
            </w:r>
          </w:p>
        </w:tc>
      </w:tr>
      <w:tr w:rsidR="0048246C" w:rsidRPr="00A02298" w14:paraId="140E76D9" w14:textId="77777777" w:rsidTr="009F56EA">
        <w:trPr>
          <w:trHeight w:val="300"/>
        </w:trPr>
        <w:tc>
          <w:tcPr>
            <w:tcW w:w="2457" w:type="dxa"/>
            <w:tcBorders>
              <w:top w:val="nil"/>
              <w:left w:val="single" w:sz="4" w:space="0" w:color="757171"/>
              <w:bottom w:val="single" w:sz="4" w:space="0" w:color="757171"/>
              <w:right w:val="single" w:sz="4" w:space="0" w:color="757171"/>
            </w:tcBorders>
            <w:shd w:val="clear" w:color="auto" w:fill="auto"/>
            <w:noWrap/>
            <w:vAlign w:val="bottom"/>
            <w:hideMark/>
          </w:tcPr>
          <w:p w14:paraId="0FFF4819" w14:textId="77777777" w:rsidR="0048246C" w:rsidRPr="00A02298" w:rsidRDefault="0048246C" w:rsidP="009F56EA">
            <w:pPr>
              <w:rPr>
                <w:color w:val="000000"/>
              </w:rPr>
            </w:pPr>
            <w:r w:rsidRPr="00A02298">
              <w:rPr>
                <w:color w:val="000000"/>
              </w:rPr>
              <w:t>Technical Writer</w:t>
            </w:r>
          </w:p>
        </w:tc>
        <w:tc>
          <w:tcPr>
            <w:tcW w:w="1494" w:type="dxa"/>
            <w:tcBorders>
              <w:top w:val="nil"/>
              <w:left w:val="nil"/>
              <w:bottom w:val="single" w:sz="4" w:space="0" w:color="757171"/>
              <w:right w:val="single" w:sz="4" w:space="0" w:color="757171"/>
            </w:tcBorders>
            <w:shd w:val="clear" w:color="auto" w:fill="auto"/>
            <w:noWrap/>
            <w:vAlign w:val="bottom"/>
            <w:hideMark/>
          </w:tcPr>
          <w:p w14:paraId="4F7DB1A3" w14:textId="77777777" w:rsidR="0048246C" w:rsidRPr="00A02298" w:rsidRDefault="0048246C" w:rsidP="009F56EA">
            <w:pPr>
              <w:rPr>
                <w:color w:val="000000"/>
              </w:rPr>
            </w:pPr>
            <w:r w:rsidRPr="00A02298">
              <w:rPr>
                <w:color w:val="000000"/>
              </w:rPr>
              <w:t xml:space="preserve"> $      82,944.00 </w:t>
            </w:r>
          </w:p>
        </w:tc>
        <w:tc>
          <w:tcPr>
            <w:tcW w:w="1388" w:type="dxa"/>
            <w:tcBorders>
              <w:top w:val="nil"/>
              <w:left w:val="nil"/>
              <w:bottom w:val="single" w:sz="4" w:space="0" w:color="757171"/>
              <w:right w:val="single" w:sz="4" w:space="0" w:color="757171"/>
            </w:tcBorders>
            <w:shd w:val="clear" w:color="auto" w:fill="auto"/>
            <w:noWrap/>
            <w:vAlign w:val="bottom"/>
            <w:hideMark/>
          </w:tcPr>
          <w:p w14:paraId="241489CA" w14:textId="77777777" w:rsidR="0048246C" w:rsidRPr="00A02298" w:rsidRDefault="0048246C" w:rsidP="009F56EA">
            <w:pPr>
              <w:rPr>
                <w:color w:val="000000"/>
              </w:rPr>
            </w:pPr>
            <w:r w:rsidRPr="00A02298">
              <w:rPr>
                <w:color w:val="000000"/>
              </w:rPr>
              <w:t xml:space="preserve"> $    85,018.00 </w:t>
            </w:r>
          </w:p>
        </w:tc>
        <w:tc>
          <w:tcPr>
            <w:tcW w:w="1601" w:type="dxa"/>
            <w:tcBorders>
              <w:top w:val="nil"/>
              <w:left w:val="nil"/>
              <w:bottom w:val="single" w:sz="4" w:space="0" w:color="757171"/>
              <w:right w:val="single" w:sz="4" w:space="0" w:color="757171"/>
            </w:tcBorders>
            <w:shd w:val="clear" w:color="auto" w:fill="auto"/>
            <w:noWrap/>
            <w:vAlign w:val="bottom"/>
            <w:hideMark/>
          </w:tcPr>
          <w:p w14:paraId="42F6E07A" w14:textId="77777777" w:rsidR="0048246C" w:rsidRPr="00A02298" w:rsidRDefault="0048246C" w:rsidP="009F56EA">
            <w:pPr>
              <w:rPr>
                <w:color w:val="000000"/>
              </w:rPr>
            </w:pPr>
            <w:r w:rsidRPr="00A02298">
              <w:rPr>
                <w:color w:val="000000"/>
              </w:rPr>
              <w:t xml:space="preserve"> $        87,143.00 </w:t>
            </w:r>
          </w:p>
        </w:tc>
      </w:tr>
      <w:tr w:rsidR="0048246C" w:rsidRPr="00A02298" w14:paraId="42ED1A17" w14:textId="77777777" w:rsidTr="009F56EA">
        <w:trPr>
          <w:trHeight w:val="300"/>
        </w:trPr>
        <w:tc>
          <w:tcPr>
            <w:tcW w:w="2457" w:type="dxa"/>
            <w:tcBorders>
              <w:top w:val="nil"/>
              <w:left w:val="single" w:sz="4" w:space="0" w:color="757171"/>
              <w:bottom w:val="single" w:sz="4" w:space="0" w:color="757171"/>
              <w:right w:val="single" w:sz="4" w:space="0" w:color="757171"/>
            </w:tcBorders>
            <w:shd w:val="clear" w:color="auto" w:fill="auto"/>
            <w:noWrap/>
            <w:vAlign w:val="bottom"/>
            <w:hideMark/>
          </w:tcPr>
          <w:p w14:paraId="09F22419" w14:textId="77777777" w:rsidR="0048246C" w:rsidRPr="00A02298" w:rsidRDefault="0048246C" w:rsidP="009F56EA">
            <w:pPr>
              <w:rPr>
                <w:b/>
                <w:bCs/>
                <w:color w:val="000000"/>
              </w:rPr>
            </w:pPr>
            <w:r w:rsidRPr="00A02298">
              <w:rPr>
                <w:b/>
                <w:bCs/>
                <w:color w:val="000000"/>
              </w:rPr>
              <w:t>Contract Services Totals</w:t>
            </w:r>
          </w:p>
        </w:tc>
        <w:tc>
          <w:tcPr>
            <w:tcW w:w="1494" w:type="dxa"/>
            <w:tcBorders>
              <w:top w:val="nil"/>
              <w:left w:val="nil"/>
              <w:bottom w:val="single" w:sz="4" w:space="0" w:color="757171"/>
              <w:right w:val="single" w:sz="4" w:space="0" w:color="757171"/>
            </w:tcBorders>
            <w:shd w:val="clear" w:color="auto" w:fill="auto"/>
            <w:noWrap/>
            <w:vAlign w:val="bottom"/>
            <w:hideMark/>
          </w:tcPr>
          <w:p w14:paraId="295F8E94" w14:textId="77777777" w:rsidR="0048246C" w:rsidRPr="00A02298" w:rsidRDefault="0048246C" w:rsidP="009F56EA">
            <w:pPr>
              <w:rPr>
                <w:b/>
                <w:bCs/>
                <w:color w:val="000000"/>
              </w:rPr>
            </w:pPr>
            <w:r w:rsidRPr="00A02298">
              <w:rPr>
                <w:b/>
                <w:bCs/>
                <w:color w:val="000000"/>
              </w:rPr>
              <w:t xml:space="preserve"> $    917,836.00 </w:t>
            </w:r>
          </w:p>
        </w:tc>
        <w:tc>
          <w:tcPr>
            <w:tcW w:w="1388" w:type="dxa"/>
            <w:tcBorders>
              <w:top w:val="nil"/>
              <w:left w:val="nil"/>
              <w:bottom w:val="single" w:sz="4" w:space="0" w:color="757171"/>
              <w:right w:val="single" w:sz="4" w:space="0" w:color="757171"/>
            </w:tcBorders>
            <w:shd w:val="clear" w:color="auto" w:fill="auto"/>
            <w:noWrap/>
            <w:vAlign w:val="bottom"/>
            <w:hideMark/>
          </w:tcPr>
          <w:p w14:paraId="51ED7FC8" w14:textId="77777777" w:rsidR="0048246C" w:rsidRPr="00A02298" w:rsidRDefault="0048246C" w:rsidP="009F56EA">
            <w:pPr>
              <w:rPr>
                <w:b/>
                <w:bCs/>
                <w:color w:val="000000"/>
              </w:rPr>
            </w:pPr>
            <w:r w:rsidRPr="00A02298">
              <w:rPr>
                <w:b/>
                <w:bCs/>
                <w:color w:val="000000"/>
              </w:rPr>
              <w:t xml:space="preserve"> $  940,784.00 </w:t>
            </w:r>
          </w:p>
        </w:tc>
        <w:tc>
          <w:tcPr>
            <w:tcW w:w="1601" w:type="dxa"/>
            <w:tcBorders>
              <w:top w:val="nil"/>
              <w:left w:val="nil"/>
              <w:bottom w:val="single" w:sz="4" w:space="0" w:color="757171"/>
              <w:right w:val="single" w:sz="4" w:space="0" w:color="757171"/>
            </w:tcBorders>
            <w:shd w:val="clear" w:color="auto" w:fill="auto"/>
            <w:noWrap/>
            <w:vAlign w:val="bottom"/>
            <w:hideMark/>
          </w:tcPr>
          <w:p w14:paraId="1F4C0874" w14:textId="77777777" w:rsidR="0048246C" w:rsidRPr="00A02298" w:rsidRDefault="0048246C" w:rsidP="009F56EA">
            <w:pPr>
              <w:rPr>
                <w:b/>
                <w:bCs/>
                <w:color w:val="000000"/>
              </w:rPr>
            </w:pPr>
            <w:r w:rsidRPr="00A02298">
              <w:rPr>
                <w:b/>
                <w:bCs/>
                <w:color w:val="000000"/>
              </w:rPr>
              <w:t xml:space="preserve"> $      964,301.00 </w:t>
            </w:r>
          </w:p>
        </w:tc>
      </w:tr>
      <w:tr w:rsidR="0048246C" w:rsidRPr="00A02298" w14:paraId="543218BA" w14:textId="77777777" w:rsidTr="009F56EA">
        <w:trPr>
          <w:trHeight w:val="300"/>
        </w:trPr>
        <w:tc>
          <w:tcPr>
            <w:tcW w:w="2457" w:type="dxa"/>
            <w:tcBorders>
              <w:top w:val="nil"/>
              <w:left w:val="single" w:sz="4" w:space="0" w:color="757171"/>
              <w:bottom w:val="single" w:sz="4" w:space="0" w:color="757171"/>
              <w:right w:val="single" w:sz="4" w:space="0" w:color="757171"/>
            </w:tcBorders>
            <w:shd w:val="clear" w:color="auto" w:fill="auto"/>
            <w:noWrap/>
            <w:vAlign w:val="bottom"/>
            <w:hideMark/>
          </w:tcPr>
          <w:p w14:paraId="1D0EB6EE" w14:textId="77777777" w:rsidR="0048246C" w:rsidRPr="00A02298" w:rsidRDefault="0048246C" w:rsidP="009F56EA">
            <w:pPr>
              <w:rPr>
                <w:b/>
                <w:bCs/>
                <w:color w:val="000000"/>
              </w:rPr>
            </w:pPr>
            <w:r w:rsidRPr="00A02298">
              <w:rPr>
                <w:b/>
                <w:bCs/>
                <w:color w:val="000000"/>
              </w:rPr>
              <w:t> </w:t>
            </w:r>
          </w:p>
        </w:tc>
        <w:tc>
          <w:tcPr>
            <w:tcW w:w="1494" w:type="dxa"/>
            <w:tcBorders>
              <w:top w:val="nil"/>
              <w:left w:val="nil"/>
              <w:bottom w:val="single" w:sz="4" w:space="0" w:color="757171"/>
              <w:right w:val="single" w:sz="4" w:space="0" w:color="757171"/>
            </w:tcBorders>
            <w:shd w:val="clear" w:color="auto" w:fill="auto"/>
            <w:noWrap/>
            <w:vAlign w:val="bottom"/>
            <w:hideMark/>
          </w:tcPr>
          <w:p w14:paraId="588C8261" w14:textId="77777777" w:rsidR="0048246C" w:rsidRPr="00A02298" w:rsidRDefault="0048246C" w:rsidP="009F56EA">
            <w:pPr>
              <w:rPr>
                <w:b/>
                <w:bCs/>
                <w:color w:val="000000"/>
              </w:rPr>
            </w:pPr>
            <w:r w:rsidRPr="00A02298">
              <w:rPr>
                <w:b/>
                <w:bCs/>
                <w:color w:val="000000"/>
              </w:rPr>
              <w:t> </w:t>
            </w:r>
          </w:p>
        </w:tc>
        <w:tc>
          <w:tcPr>
            <w:tcW w:w="1388" w:type="dxa"/>
            <w:tcBorders>
              <w:top w:val="nil"/>
              <w:left w:val="nil"/>
              <w:bottom w:val="single" w:sz="4" w:space="0" w:color="757171"/>
              <w:right w:val="single" w:sz="4" w:space="0" w:color="757171"/>
            </w:tcBorders>
            <w:shd w:val="clear" w:color="auto" w:fill="auto"/>
            <w:noWrap/>
            <w:vAlign w:val="bottom"/>
            <w:hideMark/>
          </w:tcPr>
          <w:p w14:paraId="2172ACBD" w14:textId="77777777" w:rsidR="0048246C" w:rsidRPr="00A02298" w:rsidRDefault="0048246C" w:rsidP="009F56EA">
            <w:pPr>
              <w:rPr>
                <w:b/>
                <w:bCs/>
                <w:color w:val="000000"/>
              </w:rPr>
            </w:pPr>
            <w:r w:rsidRPr="00A02298">
              <w:rPr>
                <w:b/>
                <w:bCs/>
                <w:color w:val="000000"/>
              </w:rPr>
              <w:t> </w:t>
            </w:r>
          </w:p>
        </w:tc>
        <w:tc>
          <w:tcPr>
            <w:tcW w:w="1601" w:type="dxa"/>
            <w:tcBorders>
              <w:top w:val="nil"/>
              <w:left w:val="nil"/>
              <w:bottom w:val="single" w:sz="4" w:space="0" w:color="757171"/>
              <w:right w:val="single" w:sz="4" w:space="0" w:color="757171"/>
            </w:tcBorders>
            <w:shd w:val="clear" w:color="auto" w:fill="auto"/>
            <w:noWrap/>
            <w:vAlign w:val="bottom"/>
            <w:hideMark/>
          </w:tcPr>
          <w:p w14:paraId="47599EE9" w14:textId="77777777" w:rsidR="0048246C" w:rsidRPr="00A02298" w:rsidRDefault="0048246C" w:rsidP="009F56EA">
            <w:pPr>
              <w:rPr>
                <w:b/>
                <w:bCs/>
                <w:color w:val="000000"/>
              </w:rPr>
            </w:pPr>
            <w:r w:rsidRPr="00A02298">
              <w:rPr>
                <w:b/>
                <w:bCs/>
                <w:color w:val="000000"/>
              </w:rPr>
              <w:t> </w:t>
            </w:r>
          </w:p>
        </w:tc>
      </w:tr>
      <w:tr w:rsidR="0048246C" w:rsidRPr="00A02298" w14:paraId="7C9C800D" w14:textId="77777777" w:rsidTr="009F56EA">
        <w:trPr>
          <w:trHeight w:val="300"/>
        </w:trPr>
        <w:tc>
          <w:tcPr>
            <w:tcW w:w="2457" w:type="dxa"/>
            <w:tcBorders>
              <w:top w:val="nil"/>
              <w:left w:val="single" w:sz="4" w:space="0" w:color="757171"/>
              <w:bottom w:val="single" w:sz="4" w:space="0" w:color="757171"/>
              <w:right w:val="single" w:sz="4" w:space="0" w:color="757171"/>
            </w:tcBorders>
            <w:shd w:val="clear" w:color="auto" w:fill="auto"/>
            <w:noWrap/>
            <w:vAlign w:val="bottom"/>
            <w:hideMark/>
          </w:tcPr>
          <w:p w14:paraId="20EB675F" w14:textId="77777777" w:rsidR="0048246C" w:rsidRPr="00A02298" w:rsidRDefault="0048246C" w:rsidP="009F56EA">
            <w:pPr>
              <w:rPr>
                <w:color w:val="000000"/>
              </w:rPr>
            </w:pPr>
            <w:r w:rsidRPr="00A02298">
              <w:rPr>
                <w:color w:val="000000"/>
              </w:rPr>
              <w:t>Software</w:t>
            </w:r>
          </w:p>
        </w:tc>
        <w:tc>
          <w:tcPr>
            <w:tcW w:w="1494" w:type="dxa"/>
            <w:tcBorders>
              <w:top w:val="nil"/>
              <w:left w:val="nil"/>
              <w:bottom w:val="single" w:sz="4" w:space="0" w:color="757171"/>
              <w:right w:val="single" w:sz="4" w:space="0" w:color="757171"/>
            </w:tcBorders>
            <w:shd w:val="clear" w:color="auto" w:fill="auto"/>
            <w:noWrap/>
            <w:vAlign w:val="bottom"/>
            <w:hideMark/>
          </w:tcPr>
          <w:p w14:paraId="01E96C26" w14:textId="77777777" w:rsidR="0048246C" w:rsidRPr="00A02298" w:rsidRDefault="0048246C" w:rsidP="009F56EA">
            <w:pPr>
              <w:rPr>
                <w:b/>
                <w:bCs/>
                <w:color w:val="000000"/>
              </w:rPr>
            </w:pPr>
            <w:r w:rsidRPr="00A02298">
              <w:rPr>
                <w:b/>
                <w:bCs/>
                <w:color w:val="000000"/>
              </w:rPr>
              <w:t> </w:t>
            </w:r>
          </w:p>
        </w:tc>
        <w:tc>
          <w:tcPr>
            <w:tcW w:w="1388" w:type="dxa"/>
            <w:tcBorders>
              <w:top w:val="nil"/>
              <w:left w:val="nil"/>
              <w:bottom w:val="single" w:sz="4" w:space="0" w:color="757171"/>
              <w:right w:val="single" w:sz="4" w:space="0" w:color="757171"/>
            </w:tcBorders>
            <w:shd w:val="clear" w:color="auto" w:fill="auto"/>
            <w:noWrap/>
            <w:vAlign w:val="bottom"/>
            <w:hideMark/>
          </w:tcPr>
          <w:p w14:paraId="72E6AFF7" w14:textId="77777777" w:rsidR="0048246C" w:rsidRPr="00A02298" w:rsidRDefault="0048246C" w:rsidP="009F56EA">
            <w:pPr>
              <w:rPr>
                <w:b/>
                <w:bCs/>
                <w:color w:val="000000"/>
              </w:rPr>
            </w:pPr>
            <w:r w:rsidRPr="00A02298">
              <w:rPr>
                <w:b/>
                <w:bCs/>
                <w:color w:val="000000"/>
              </w:rPr>
              <w:t> </w:t>
            </w:r>
          </w:p>
        </w:tc>
        <w:tc>
          <w:tcPr>
            <w:tcW w:w="1601" w:type="dxa"/>
            <w:tcBorders>
              <w:top w:val="nil"/>
              <w:left w:val="nil"/>
              <w:bottom w:val="single" w:sz="4" w:space="0" w:color="757171"/>
              <w:right w:val="single" w:sz="4" w:space="0" w:color="757171"/>
            </w:tcBorders>
            <w:shd w:val="clear" w:color="auto" w:fill="auto"/>
            <w:noWrap/>
            <w:vAlign w:val="bottom"/>
            <w:hideMark/>
          </w:tcPr>
          <w:p w14:paraId="16F97F7C" w14:textId="77777777" w:rsidR="0048246C" w:rsidRPr="00A02298" w:rsidRDefault="0048246C" w:rsidP="009F56EA">
            <w:pPr>
              <w:rPr>
                <w:color w:val="000000"/>
              </w:rPr>
            </w:pPr>
            <w:r w:rsidRPr="00A02298">
              <w:rPr>
                <w:color w:val="000000"/>
              </w:rPr>
              <w:t xml:space="preserve"> $        50,000.00 </w:t>
            </w:r>
          </w:p>
        </w:tc>
      </w:tr>
      <w:tr w:rsidR="0048246C" w:rsidRPr="00A02298" w14:paraId="31A9846D" w14:textId="77777777" w:rsidTr="009F56EA">
        <w:trPr>
          <w:trHeight w:val="300"/>
        </w:trPr>
        <w:tc>
          <w:tcPr>
            <w:tcW w:w="2457" w:type="dxa"/>
            <w:tcBorders>
              <w:top w:val="nil"/>
              <w:left w:val="single" w:sz="4" w:space="0" w:color="757171"/>
              <w:bottom w:val="single" w:sz="4" w:space="0" w:color="757171"/>
              <w:right w:val="single" w:sz="4" w:space="0" w:color="757171"/>
            </w:tcBorders>
            <w:shd w:val="clear" w:color="auto" w:fill="auto"/>
            <w:noWrap/>
            <w:vAlign w:val="bottom"/>
            <w:hideMark/>
          </w:tcPr>
          <w:p w14:paraId="1AE961EB" w14:textId="77777777" w:rsidR="0048246C" w:rsidRPr="00A02298" w:rsidRDefault="0048246C" w:rsidP="009F56EA">
            <w:pPr>
              <w:rPr>
                <w:color w:val="000000"/>
              </w:rPr>
            </w:pPr>
            <w:r w:rsidRPr="00A02298">
              <w:rPr>
                <w:color w:val="000000"/>
              </w:rPr>
              <w:t>Software Maintenance</w:t>
            </w:r>
          </w:p>
        </w:tc>
        <w:tc>
          <w:tcPr>
            <w:tcW w:w="1494" w:type="dxa"/>
            <w:tcBorders>
              <w:top w:val="nil"/>
              <w:left w:val="nil"/>
              <w:bottom w:val="single" w:sz="4" w:space="0" w:color="757171"/>
              <w:right w:val="single" w:sz="4" w:space="0" w:color="757171"/>
            </w:tcBorders>
            <w:shd w:val="clear" w:color="auto" w:fill="auto"/>
            <w:noWrap/>
            <w:vAlign w:val="bottom"/>
            <w:hideMark/>
          </w:tcPr>
          <w:p w14:paraId="065E3D21" w14:textId="77777777" w:rsidR="0048246C" w:rsidRPr="00A02298" w:rsidRDefault="0048246C" w:rsidP="009F56EA">
            <w:pPr>
              <w:rPr>
                <w:b/>
                <w:bCs/>
                <w:color w:val="000000"/>
              </w:rPr>
            </w:pPr>
            <w:r w:rsidRPr="00A02298">
              <w:rPr>
                <w:b/>
                <w:bCs/>
                <w:color w:val="000000"/>
              </w:rPr>
              <w:t> </w:t>
            </w:r>
          </w:p>
        </w:tc>
        <w:tc>
          <w:tcPr>
            <w:tcW w:w="1388" w:type="dxa"/>
            <w:tcBorders>
              <w:top w:val="nil"/>
              <w:left w:val="nil"/>
              <w:bottom w:val="single" w:sz="4" w:space="0" w:color="757171"/>
              <w:right w:val="single" w:sz="4" w:space="0" w:color="757171"/>
            </w:tcBorders>
            <w:shd w:val="clear" w:color="auto" w:fill="auto"/>
            <w:noWrap/>
            <w:vAlign w:val="bottom"/>
            <w:hideMark/>
          </w:tcPr>
          <w:p w14:paraId="685BDCC6" w14:textId="77777777" w:rsidR="0048246C" w:rsidRPr="00A02298" w:rsidRDefault="0048246C" w:rsidP="009F56EA">
            <w:pPr>
              <w:rPr>
                <w:b/>
                <w:bCs/>
                <w:color w:val="000000"/>
              </w:rPr>
            </w:pPr>
            <w:r w:rsidRPr="00A02298">
              <w:rPr>
                <w:b/>
                <w:bCs/>
                <w:color w:val="000000"/>
              </w:rPr>
              <w:t> </w:t>
            </w:r>
          </w:p>
        </w:tc>
        <w:tc>
          <w:tcPr>
            <w:tcW w:w="1601" w:type="dxa"/>
            <w:tcBorders>
              <w:top w:val="nil"/>
              <w:left w:val="nil"/>
              <w:bottom w:val="single" w:sz="4" w:space="0" w:color="757171"/>
              <w:right w:val="single" w:sz="4" w:space="0" w:color="757171"/>
            </w:tcBorders>
            <w:shd w:val="clear" w:color="auto" w:fill="auto"/>
            <w:noWrap/>
            <w:vAlign w:val="bottom"/>
            <w:hideMark/>
          </w:tcPr>
          <w:p w14:paraId="27318434" w14:textId="77777777" w:rsidR="0048246C" w:rsidRPr="00A02298" w:rsidRDefault="0048246C" w:rsidP="009F56EA">
            <w:pPr>
              <w:rPr>
                <w:color w:val="000000"/>
              </w:rPr>
            </w:pPr>
            <w:r w:rsidRPr="00A02298">
              <w:rPr>
                <w:color w:val="000000"/>
              </w:rPr>
              <w:t xml:space="preserve"> $        10,000.00 </w:t>
            </w:r>
          </w:p>
        </w:tc>
      </w:tr>
      <w:tr w:rsidR="0048246C" w:rsidRPr="00A02298" w14:paraId="0960DA7C" w14:textId="77777777" w:rsidTr="009F56EA">
        <w:trPr>
          <w:trHeight w:val="300"/>
        </w:trPr>
        <w:tc>
          <w:tcPr>
            <w:tcW w:w="2457" w:type="dxa"/>
            <w:tcBorders>
              <w:top w:val="nil"/>
              <w:left w:val="single" w:sz="4" w:space="0" w:color="757171"/>
              <w:bottom w:val="single" w:sz="4" w:space="0" w:color="757171"/>
              <w:right w:val="single" w:sz="4" w:space="0" w:color="757171"/>
            </w:tcBorders>
            <w:shd w:val="clear" w:color="auto" w:fill="auto"/>
            <w:noWrap/>
            <w:vAlign w:val="bottom"/>
            <w:hideMark/>
          </w:tcPr>
          <w:p w14:paraId="4F4A12A7" w14:textId="77777777" w:rsidR="0048246C" w:rsidRPr="00A02298" w:rsidRDefault="0048246C" w:rsidP="009F56EA">
            <w:pPr>
              <w:rPr>
                <w:color w:val="000000"/>
              </w:rPr>
            </w:pPr>
            <w:r w:rsidRPr="00A02298">
              <w:rPr>
                <w:color w:val="000000"/>
              </w:rPr>
              <w:t>Operations &amp; Maintenance Services</w:t>
            </w:r>
          </w:p>
        </w:tc>
        <w:tc>
          <w:tcPr>
            <w:tcW w:w="1494" w:type="dxa"/>
            <w:tcBorders>
              <w:top w:val="nil"/>
              <w:left w:val="nil"/>
              <w:bottom w:val="single" w:sz="4" w:space="0" w:color="757171"/>
              <w:right w:val="single" w:sz="4" w:space="0" w:color="757171"/>
            </w:tcBorders>
            <w:shd w:val="clear" w:color="auto" w:fill="auto"/>
            <w:noWrap/>
            <w:vAlign w:val="bottom"/>
            <w:hideMark/>
          </w:tcPr>
          <w:p w14:paraId="67BA6E54" w14:textId="77777777" w:rsidR="0048246C" w:rsidRPr="00A02298" w:rsidRDefault="0048246C" w:rsidP="009F56EA">
            <w:pPr>
              <w:rPr>
                <w:color w:val="000000"/>
              </w:rPr>
            </w:pPr>
            <w:r w:rsidRPr="00A02298">
              <w:rPr>
                <w:color w:val="000000"/>
              </w:rPr>
              <w:t> </w:t>
            </w:r>
          </w:p>
        </w:tc>
        <w:tc>
          <w:tcPr>
            <w:tcW w:w="1388" w:type="dxa"/>
            <w:tcBorders>
              <w:top w:val="nil"/>
              <w:left w:val="nil"/>
              <w:bottom w:val="single" w:sz="4" w:space="0" w:color="757171"/>
              <w:right w:val="single" w:sz="4" w:space="0" w:color="757171"/>
            </w:tcBorders>
            <w:shd w:val="clear" w:color="auto" w:fill="auto"/>
            <w:noWrap/>
            <w:vAlign w:val="bottom"/>
            <w:hideMark/>
          </w:tcPr>
          <w:p w14:paraId="7627684D" w14:textId="77777777" w:rsidR="0048246C" w:rsidRPr="00A02298" w:rsidRDefault="0048246C" w:rsidP="009F56EA">
            <w:pPr>
              <w:rPr>
                <w:color w:val="000000"/>
              </w:rPr>
            </w:pPr>
            <w:r w:rsidRPr="00A02298">
              <w:rPr>
                <w:color w:val="000000"/>
              </w:rPr>
              <w:t> </w:t>
            </w:r>
          </w:p>
        </w:tc>
        <w:tc>
          <w:tcPr>
            <w:tcW w:w="1601" w:type="dxa"/>
            <w:tcBorders>
              <w:top w:val="nil"/>
              <w:left w:val="nil"/>
              <w:bottom w:val="single" w:sz="4" w:space="0" w:color="757171"/>
              <w:right w:val="single" w:sz="4" w:space="0" w:color="757171"/>
            </w:tcBorders>
            <w:shd w:val="clear" w:color="auto" w:fill="auto"/>
            <w:noWrap/>
            <w:vAlign w:val="bottom"/>
            <w:hideMark/>
          </w:tcPr>
          <w:p w14:paraId="60D93F5E" w14:textId="77777777" w:rsidR="0048246C" w:rsidRPr="00A02298" w:rsidRDefault="0048246C" w:rsidP="009F56EA">
            <w:pPr>
              <w:rPr>
                <w:color w:val="000000"/>
              </w:rPr>
            </w:pPr>
            <w:r w:rsidRPr="00A02298">
              <w:rPr>
                <w:color w:val="000000"/>
              </w:rPr>
              <w:t xml:space="preserve"> $      561,880.80 </w:t>
            </w:r>
          </w:p>
        </w:tc>
      </w:tr>
      <w:tr w:rsidR="0048246C" w:rsidRPr="00A02298" w14:paraId="13D937E0" w14:textId="77777777" w:rsidTr="009F56EA">
        <w:trPr>
          <w:trHeight w:val="300"/>
        </w:trPr>
        <w:tc>
          <w:tcPr>
            <w:tcW w:w="2457" w:type="dxa"/>
            <w:tcBorders>
              <w:top w:val="nil"/>
              <w:left w:val="single" w:sz="4" w:space="0" w:color="757171"/>
              <w:bottom w:val="single" w:sz="4" w:space="0" w:color="757171"/>
              <w:right w:val="single" w:sz="4" w:space="0" w:color="757171"/>
            </w:tcBorders>
            <w:shd w:val="clear" w:color="auto" w:fill="auto"/>
            <w:noWrap/>
            <w:vAlign w:val="bottom"/>
            <w:hideMark/>
          </w:tcPr>
          <w:p w14:paraId="63AA78A6" w14:textId="77777777" w:rsidR="0048246C" w:rsidRPr="00A02298" w:rsidRDefault="0048246C" w:rsidP="009F56EA">
            <w:pPr>
              <w:rPr>
                <w:color w:val="000000"/>
              </w:rPr>
            </w:pPr>
            <w:r w:rsidRPr="00A02298">
              <w:rPr>
                <w:color w:val="000000"/>
              </w:rPr>
              <w:t> </w:t>
            </w:r>
          </w:p>
        </w:tc>
        <w:tc>
          <w:tcPr>
            <w:tcW w:w="1494" w:type="dxa"/>
            <w:tcBorders>
              <w:top w:val="nil"/>
              <w:left w:val="nil"/>
              <w:bottom w:val="single" w:sz="4" w:space="0" w:color="757171"/>
              <w:right w:val="single" w:sz="4" w:space="0" w:color="757171"/>
            </w:tcBorders>
            <w:shd w:val="clear" w:color="auto" w:fill="auto"/>
            <w:noWrap/>
            <w:vAlign w:val="bottom"/>
            <w:hideMark/>
          </w:tcPr>
          <w:p w14:paraId="1DE35B96" w14:textId="77777777" w:rsidR="0048246C" w:rsidRPr="00A02298" w:rsidRDefault="0048246C" w:rsidP="009F56EA">
            <w:pPr>
              <w:rPr>
                <w:color w:val="000000"/>
              </w:rPr>
            </w:pPr>
            <w:r w:rsidRPr="00A02298">
              <w:rPr>
                <w:color w:val="000000"/>
              </w:rPr>
              <w:t> </w:t>
            </w:r>
          </w:p>
        </w:tc>
        <w:tc>
          <w:tcPr>
            <w:tcW w:w="1388" w:type="dxa"/>
            <w:tcBorders>
              <w:top w:val="nil"/>
              <w:left w:val="nil"/>
              <w:bottom w:val="single" w:sz="4" w:space="0" w:color="757171"/>
              <w:right w:val="single" w:sz="4" w:space="0" w:color="757171"/>
            </w:tcBorders>
            <w:shd w:val="clear" w:color="auto" w:fill="auto"/>
            <w:noWrap/>
            <w:vAlign w:val="bottom"/>
            <w:hideMark/>
          </w:tcPr>
          <w:p w14:paraId="363D56D2" w14:textId="77777777" w:rsidR="0048246C" w:rsidRPr="00A02298" w:rsidRDefault="0048246C" w:rsidP="009F56EA">
            <w:pPr>
              <w:rPr>
                <w:color w:val="000000"/>
              </w:rPr>
            </w:pPr>
            <w:r w:rsidRPr="00A02298">
              <w:rPr>
                <w:color w:val="000000"/>
              </w:rPr>
              <w:t> </w:t>
            </w:r>
          </w:p>
        </w:tc>
        <w:tc>
          <w:tcPr>
            <w:tcW w:w="1601" w:type="dxa"/>
            <w:tcBorders>
              <w:top w:val="nil"/>
              <w:left w:val="nil"/>
              <w:bottom w:val="single" w:sz="4" w:space="0" w:color="757171"/>
              <w:right w:val="single" w:sz="4" w:space="0" w:color="757171"/>
            </w:tcBorders>
            <w:shd w:val="clear" w:color="auto" w:fill="auto"/>
            <w:noWrap/>
            <w:vAlign w:val="bottom"/>
            <w:hideMark/>
          </w:tcPr>
          <w:p w14:paraId="6A387B25" w14:textId="77777777" w:rsidR="0048246C" w:rsidRPr="00A02298" w:rsidRDefault="0048246C" w:rsidP="009F56EA">
            <w:pPr>
              <w:rPr>
                <w:color w:val="000000"/>
              </w:rPr>
            </w:pPr>
            <w:r w:rsidRPr="00A02298">
              <w:rPr>
                <w:color w:val="000000"/>
              </w:rPr>
              <w:t> </w:t>
            </w:r>
          </w:p>
        </w:tc>
      </w:tr>
      <w:tr w:rsidR="0048246C" w:rsidRPr="00A02298" w14:paraId="0EE6C039" w14:textId="77777777" w:rsidTr="009F56EA">
        <w:trPr>
          <w:trHeight w:val="300"/>
        </w:trPr>
        <w:tc>
          <w:tcPr>
            <w:tcW w:w="2457" w:type="dxa"/>
            <w:tcBorders>
              <w:top w:val="nil"/>
              <w:left w:val="single" w:sz="4" w:space="0" w:color="757171"/>
              <w:bottom w:val="single" w:sz="4" w:space="0" w:color="757171"/>
              <w:right w:val="single" w:sz="4" w:space="0" w:color="757171"/>
            </w:tcBorders>
            <w:shd w:val="clear" w:color="auto" w:fill="auto"/>
            <w:noWrap/>
            <w:vAlign w:val="bottom"/>
            <w:hideMark/>
          </w:tcPr>
          <w:p w14:paraId="0F414267" w14:textId="77777777" w:rsidR="0048246C" w:rsidRPr="00A02298" w:rsidRDefault="0048246C" w:rsidP="009F56EA">
            <w:pPr>
              <w:rPr>
                <w:b/>
                <w:bCs/>
                <w:color w:val="000000"/>
              </w:rPr>
            </w:pPr>
            <w:r w:rsidRPr="00A02298">
              <w:rPr>
                <w:b/>
                <w:bCs/>
                <w:color w:val="000000"/>
              </w:rPr>
              <w:t>Total Yearly Costs</w:t>
            </w:r>
          </w:p>
        </w:tc>
        <w:tc>
          <w:tcPr>
            <w:tcW w:w="1494" w:type="dxa"/>
            <w:tcBorders>
              <w:top w:val="nil"/>
              <w:left w:val="nil"/>
              <w:bottom w:val="single" w:sz="4" w:space="0" w:color="757171"/>
              <w:right w:val="single" w:sz="4" w:space="0" w:color="757171"/>
            </w:tcBorders>
            <w:shd w:val="clear" w:color="auto" w:fill="auto"/>
            <w:noWrap/>
            <w:vAlign w:val="bottom"/>
            <w:hideMark/>
          </w:tcPr>
          <w:p w14:paraId="559D1B78" w14:textId="77777777" w:rsidR="0048246C" w:rsidRPr="00A02298" w:rsidRDefault="0048246C" w:rsidP="009F56EA">
            <w:pPr>
              <w:rPr>
                <w:b/>
                <w:bCs/>
                <w:color w:val="000000"/>
              </w:rPr>
            </w:pPr>
            <w:r w:rsidRPr="00A02298">
              <w:rPr>
                <w:b/>
                <w:bCs/>
                <w:color w:val="000000"/>
              </w:rPr>
              <w:t xml:space="preserve"> $    917,836.00 </w:t>
            </w:r>
          </w:p>
        </w:tc>
        <w:tc>
          <w:tcPr>
            <w:tcW w:w="1388" w:type="dxa"/>
            <w:tcBorders>
              <w:top w:val="nil"/>
              <w:left w:val="nil"/>
              <w:bottom w:val="single" w:sz="4" w:space="0" w:color="757171"/>
              <w:right w:val="single" w:sz="4" w:space="0" w:color="757171"/>
            </w:tcBorders>
            <w:shd w:val="clear" w:color="auto" w:fill="auto"/>
            <w:noWrap/>
            <w:vAlign w:val="bottom"/>
            <w:hideMark/>
          </w:tcPr>
          <w:p w14:paraId="0733B153" w14:textId="77777777" w:rsidR="0048246C" w:rsidRPr="00A02298" w:rsidRDefault="0048246C" w:rsidP="009F56EA">
            <w:pPr>
              <w:rPr>
                <w:b/>
                <w:bCs/>
                <w:color w:val="000000"/>
              </w:rPr>
            </w:pPr>
            <w:r w:rsidRPr="00A02298">
              <w:rPr>
                <w:b/>
                <w:bCs/>
                <w:color w:val="000000"/>
              </w:rPr>
              <w:t xml:space="preserve"> $  940,784.00 </w:t>
            </w:r>
          </w:p>
        </w:tc>
        <w:tc>
          <w:tcPr>
            <w:tcW w:w="1601" w:type="dxa"/>
            <w:tcBorders>
              <w:top w:val="nil"/>
              <w:left w:val="nil"/>
              <w:bottom w:val="single" w:sz="4" w:space="0" w:color="757171"/>
              <w:right w:val="single" w:sz="4" w:space="0" w:color="757171"/>
            </w:tcBorders>
            <w:shd w:val="clear" w:color="auto" w:fill="auto"/>
            <w:noWrap/>
            <w:vAlign w:val="bottom"/>
            <w:hideMark/>
          </w:tcPr>
          <w:p w14:paraId="652671C0" w14:textId="77777777" w:rsidR="0048246C" w:rsidRPr="00A02298" w:rsidRDefault="0048246C" w:rsidP="009F56EA">
            <w:pPr>
              <w:rPr>
                <w:b/>
                <w:bCs/>
                <w:color w:val="000000"/>
              </w:rPr>
            </w:pPr>
            <w:r w:rsidRPr="00A02298">
              <w:rPr>
                <w:b/>
                <w:bCs/>
                <w:color w:val="000000"/>
              </w:rPr>
              <w:t xml:space="preserve"> $  1,586,181.80 </w:t>
            </w:r>
          </w:p>
        </w:tc>
      </w:tr>
    </w:tbl>
    <w:p w14:paraId="45690CA5" w14:textId="77777777" w:rsidR="00CF534E" w:rsidRPr="00A02298" w:rsidRDefault="00CF534E"/>
    <w:tbl>
      <w:tblPr>
        <w:tblpPr w:leftFromText="180" w:rightFromText="180" w:vertAnchor="text" w:horzAnchor="margin" w:tblpXSpec="center" w:tblpY="-99"/>
        <w:tblW w:w="8592" w:type="dxa"/>
        <w:tblLook w:val="04A0" w:firstRow="1" w:lastRow="0" w:firstColumn="1" w:lastColumn="0" w:noHBand="0" w:noVBand="1"/>
      </w:tblPr>
      <w:tblGrid>
        <w:gridCol w:w="2085"/>
        <w:gridCol w:w="893"/>
        <w:gridCol w:w="1269"/>
        <w:gridCol w:w="1504"/>
        <w:gridCol w:w="1504"/>
        <w:gridCol w:w="1476"/>
      </w:tblGrid>
      <w:tr w:rsidR="0048246C" w:rsidRPr="00A02298" w14:paraId="0C13A7AD" w14:textId="77777777" w:rsidTr="009F56EA">
        <w:trPr>
          <w:trHeight w:val="300"/>
        </w:trPr>
        <w:tc>
          <w:tcPr>
            <w:tcW w:w="8592"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A16E9C9" w14:textId="77777777" w:rsidR="0048246C" w:rsidRPr="00A02298" w:rsidRDefault="0048246C" w:rsidP="009F56EA">
            <w:pPr>
              <w:jc w:val="center"/>
              <w:rPr>
                <w:b/>
                <w:bCs/>
                <w:color w:val="000000"/>
              </w:rPr>
            </w:pPr>
            <w:r w:rsidRPr="00A02298">
              <w:rPr>
                <w:b/>
              </w:rPr>
              <w:t>Use-of-Force</w:t>
            </w:r>
            <w:r w:rsidRPr="00A02298">
              <w:rPr>
                <w:b/>
                <w:bCs/>
                <w:color w:val="000000"/>
              </w:rPr>
              <w:t xml:space="preserve"> Staff Cost Estimates</w:t>
            </w:r>
          </w:p>
        </w:tc>
      </w:tr>
      <w:tr w:rsidR="0048246C" w:rsidRPr="00A02298" w14:paraId="7BBAF9AC" w14:textId="77777777" w:rsidTr="009F56EA">
        <w:trPr>
          <w:trHeight w:val="600"/>
        </w:trPr>
        <w:tc>
          <w:tcPr>
            <w:tcW w:w="2085" w:type="dxa"/>
            <w:tcBorders>
              <w:top w:val="nil"/>
              <w:left w:val="single" w:sz="4" w:space="0" w:color="auto"/>
              <w:bottom w:val="single" w:sz="4" w:space="0" w:color="auto"/>
              <w:right w:val="single" w:sz="4" w:space="0" w:color="auto"/>
            </w:tcBorders>
            <w:shd w:val="clear" w:color="auto" w:fill="auto"/>
            <w:noWrap/>
            <w:vAlign w:val="bottom"/>
            <w:hideMark/>
          </w:tcPr>
          <w:p w14:paraId="691461A6" w14:textId="77777777" w:rsidR="0048246C" w:rsidRPr="00A02298" w:rsidRDefault="0048246C" w:rsidP="009F56EA">
            <w:pPr>
              <w:rPr>
                <w:color w:val="000000"/>
              </w:rPr>
            </w:pPr>
            <w:r w:rsidRPr="00A02298">
              <w:rPr>
                <w:color w:val="000000"/>
              </w:rPr>
              <w:t> </w:t>
            </w:r>
          </w:p>
        </w:tc>
        <w:tc>
          <w:tcPr>
            <w:tcW w:w="893" w:type="dxa"/>
            <w:tcBorders>
              <w:top w:val="nil"/>
              <w:left w:val="nil"/>
              <w:bottom w:val="single" w:sz="4" w:space="0" w:color="auto"/>
              <w:right w:val="single" w:sz="4" w:space="0" w:color="auto"/>
            </w:tcBorders>
            <w:shd w:val="clear" w:color="auto" w:fill="auto"/>
            <w:noWrap/>
            <w:vAlign w:val="bottom"/>
            <w:hideMark/>
          </w:tcPr>
          <w:p w14:paraId="4DF31A49" w14:textId="77777777" w:rsidR="0048246C" w:rsidRPr="00A02298" w:rsidRDefault="0048246C" w:rsidP="009F56EA">
            <w:pPr>
              <w:rPr>
                <w:color w:val="000000"/>
              </w:rPr>
            </w:pPr>
            <w:r w:rsidRPr="00A02298">
              <w:rPr>
                <w:color w:val="000000"/>
              </w:rPr>
              <w:t>GS-Level</w:t>
            </w:r>
          </w:p>
        </w:tc>
        <w:tc>
          <w:tcPr>
            <w:tcW w:w="1226" w:type="dxa"/>
            <w:tcBorders>
              <w:top w:val="nil"/>
              <w:left w:val="nil"/>
              <w:bottom w:val="single" w:sz="4" w:space="0" w:color="auto"/>
              <w:right w:val="single" w:sz="4" w:space="0" w:color="auto"/>
            </w:tcBorders>
            <w:shd w:val="clear" w:color="auto" w:fill="auto"/>
            <w:vAlign w:val="bottom"/>
            <w:hideMark/>
          </w:tcPr>
          <w:p w14:paraId="02443B77" w14:textId="77777777" w:rsidR="0048246C" w:rsidRPr="00A02298" w:rsidRDefault="0048246C" w:rsidP="009F56EA">
            <w:pPr>
              <w:jc w:val="center"/>
              <w:rPr>
                <w:color w:val="000000"/>
              </w:rPr>
            </w:pPr>
            <w:r w:rsidRPr="00A02298">
              <w:rPr>
                <w:color w:val="000000"/>
              </w:rPr>
              <w:t>Percentage of Time</w:t>
            </w:r>
          </w:p>
        </w:tc>
        <w:tc>
          <w:tcPr>
            <w:tcW w:w="1504" w:type="dxa"/>
            <w:tcBorders>
              <w:top w:val="nil"/>
              <w:left w:val="nil"/>
              <w:bottom w:val="single" w:sz="4" w:space="0" w:color="auto"/>
              <w:right w:val="single" w:sz="4" w:space="0" w:color="auto"/>
            </w:tcBorders>
            <w:shd w:val="clear" w:color="auto" w:fill="auto"/>
            <w:vAlign w:val="bottom"/>
            <w:hideMark/>
          </w:tcPr>
          <w:p w14:paraId="0EA9E8A6" w14:textId="77777777" w:rsidR="0048246C" w:rsidRPr="00A02298" w:rsidRDefault="0048246C" w:rsidP="009F56EA">
            <w:pPr>
              <w:jc w:val="center"/>
              <w:rPr>
                <w:color w:val="000000"/>
              </w:rPr>
            </w:pPr>
            <w:r w:rsidRPr="00A02298">
              <w:rPr>
                <w:color w:val="000000"/>
              </w:rPr>
              <w:t xml:space="preserve"> Fiscal Year 2016 </w:t>
            </w:r>
          </w:p>
        </w:tc>
        <w:tc>
          <w:tcPr>
            <w:tcW w:w="1504" w:type="dxa"/>
            <w:tcBorders>
              <w:top w:val="nil"/>
              <w:left w:val="nil"/>
              <w:bottom w:val="single" w:sz="4" w:space="0" w:color="auto"/>
              <w:right w:val="single" w:sz="4" w:space="0" w:color="auto"/>
            </w:tcBorders>
            <w:shd w:val="clear" w:color="auto" w:fill="auto"/>
            <w:vAlign w:val="bottom"/>
            <w:hideMark/>
          </w:tcPr>
          <w:p w14:paraId="274EE66D" w14:textId="77777777" w:rsidR="0048246C" w:rsidRPr="00A02298" w:rsidRDefault="0048246C" w:rsidP="009F56EA">
            <w:pPr>
              <w:jc w:val="center"/>
              <w:rPr>
                <w:color w:val="000000"/>
              </w:rPr>
            </w:pPr>
            <w:r w:rsidRPr="00A02298">
              <w:rPr>
                <w:color w:val="000000"/>
              </w:rPr>
              <w:t xml:space="preserve"> Fiscal Year 2017 </w:t>
            </w:r>
          </w:p>
        </w:tc>
        <w:tc>
          <w:tcPr>
            <w:tcW w:w="1380" w:type="dxa"/>
            <w:tcBorders>
              <w:top w:val="nil"/>
              <w:left w:val="nil"/>
              <w:bottom w:val="single" w:sz="4" w:space="0" w:color="auto"/>
              <w:right w:val="single" w:sz="4" w:space="0" w:color="auto"/>
            </w:tcBorders>
            <w:shd w:val="clear" w:color="auto" w:fill="auto"/>
            <w:vAlign w:val="bottom"/>
            <w:hideMark/>
          </w:tcPr>
          <w:p w14:paraId="18EA9DF8" w14:textId="77777777" w:rsidR="0048246C" w:rsidRPr="00A02298" w:rsidRDefault="0048246C" w:rsidP="009F56EA">
            <w:pPr>
              <w:jc w:val="center"/>
              <w:rPr>
                <w:color w:val="000000"/>
              </w:rPr>
            </w:pPr>
            <w:r w:rsidRPr="00A02298">
              <w:rPr>
                <w:color w:val="000000"/>
              </w:rPr>
              <w:t xml:space="preserve"> Fiscal Year 2018 </w:t>
            </w:r>
          </w:p>
        </w:tc>
      </w:tr>
      <w:tr w:rsidR="0048246C" w:rsidRPr="00A02298" w14:paraId="53B61192" w14:textId="77777777" w:rsidTr="009F56EA">
        <w:trPr>
          <w:trHeight w:val="300"/>
        </w:trPr>
        <w:tc>
          <w:tcPr>
            <w:tcW w:w="2085" w:type="dxa"/>
            <w:tcBorders>
              <w:top w:val="nil"/>
              <w:left w:val="single" w:sz="4" w:space="0" w:color="auto"/>
              <w:bottom w:val="single" w:sz="4" w:space="0" w:color="auto"/>
              <w:right w:val="single" w:sz="4" w:space="0" w:color="auto"/>
            </w:tcBorders>
            <w:shd w:val="clear" w:color="auto" w:fill="auto"/>
            <w:vAlign w:val="bottom"/>
            <w:hideMark/>
          </w:tcPr>
          <w:p w14:paraId="4F093FBB" w14:textId="77777777" w:rsidR="0048246C" w:rsidRPr="00A02298" w:rsidRDefault="0048246C" w:rsidP="009F56EA">
            <w:pPr>
              <w:rPr>
                <w:color w:val="000000"/>
              </w:rPr>
            </w:pPr>
            <w:r w:rsidRPr="00A02298">
              <w:rPr>
                <w:color w:val="000000"/>
              </w:rPr>
              <w:t xml:space="preserve">Project Manager </w:t>
            </w:r>
          </w:p>
        </w:tc>
        <w:tc>
          <w:tcPr>
            <w:tcW w:w="893" w:type="dxa"/>
            <w:tcBorders>
              <w:top w:val="nil"/>
              <w:left w:val="nil"/>
              <w:bottom w:val="single" w:sz="4" w:space="0" w:color="auto"/>
              <w:right w:val="single" w:sz="4" w:space="0" w:color="auto"/>
            </w:tcBorders>
            <w:shd w:val="clear" w:color="auto" w:fill="auto"/>
            <w:noWrap/>
            <w:vAlign w:val="bottom"/>
            <w:hideMark/>
          </w:tcPr>
          <w:p w14:paraId="30DED9B4" w14:textId="77777777" w:rsidR="0048246C" w:rsidRPr="00A02298" w:rsidRDefault="0048246C" w:rsidP="009F56EA">
            <w:pPr>
              <w:rPr>
                <w:color w:val="000000"/>
              </w:rPr>
            </w:pPr>
            <w:r w:rsidRPr="00A02298">
              <w:rPr>
                <w:color w:val="000000"/>
              </w:rPr>
              <w:t>GS-14</w:t>
            </w:r>
          </w:p>
        </w:tc>
        <w:tc>
          <w:tcPr>
            <w:tcW w:w="1226" w:type="dxa"/>
            <w:tcBorders>
              <w:top w:val="nil"/>
              <w:left w:val="nil"/>
              <w:bottom w:val="single" w:sz="4" w:space="0" w:color="auto"/>
              <w:right w:val="single" w:sz="4" w:space="0" w:color="auto"/>
            </w:tcBorders>
            <w:shd w:val="clear" w:color="auto" w:fill="auto"/>
            <w:vAlign w:val="bottom"/>
            <w:hideMark/>
          </w:tcPr>
          <w:p w14:paraId="70529006" w14:textId="77777777" w:rsidR="0048246C" w:rsidRPr="00A02298" w:rsidRDefault="0048246C" w:rsidP="009F56EA">
            <w:pPr>
              <w:jc w:val="right"/>
              <w:rPr>
                <w:color w:val="000000"/>
              </w:rPr>
            </w:pPr>
            <w:r w:rsidRPr="00A02298">
              <w:rPr>
                <w:color w:val="000000"/>
              </w:rPr>
              <w:t>33%</w:t>
            </w:r>
          </w:p>
        </w:tc>
        <w:tc>
          <w:tcPr>
            <w:tcW w:w="1504" w:type="dxa"/>
            <w:tcBorders>
              <w:top w:val="nil"/>
              <w:left w:val="nil"/>
              <w:bottom w:val="single" w:sz="4" w:space="0" w:color="auto"/>
              <w:right w:val="single" w:sz="4" w:space="0" w:color="auto"/>
            </w:tcBorders>
            <w:shd w:val="clear" w:color="auto" w:fill="auto"/>
            <w:noWrap/>
            <w:vAlign w:val="bottom"/>
            <w:hideMark/>
          </w:tcPr>
          <w:p w14:paraId="2A6C3AE1" w14:textId="77777777" w:rsidR="0048246C" w:rsidRPr="00A02298" w:rsidRDefault="0048246C" w:rsidP="009F56EA">
            <w:pPr>
              <w:rPr>
                <w:color w:val="000000"/>
              </w:rPr>
            </w:pPr>
            <w:r w:rsidRPr="00A02298">
              <w:rPr>
                <w:color w:val="000000"/>
              </w:rPr>
              <w:t xml:space="preserve"> $     38,000.00 </w:t>
            </w:r>
          </w:p>
        </w:tc>
        <w:tc>
          <w:tcPr>
            <w:tcW w:w="1504" w:type="dxa"/>
            <w:tcBorders>
              <w:top w:val="nil"/>
              <w:left w:val="nil"/>
              <w:bottom w:val="single" w:sz="4" w:space="0" w:color="auto"/>
              <w:right w:val="single" w:sz="4" w:space="0" w:color="auto"/>
            </w:tcBorders>
            <w:shd w:val="clear" w:color="auto" w:fill="auto"/>
            <w:noWrap/>
            <w:vAlign w:val="bottom"/>
            <w:hideMark/>
          </w:tcPr>
          <w:p w14:paraId="151B9797" w14:textId="77777777" w:rsidR="0048246C" w:rsidRPr="00A02298" w:rsidRDefault="0048246C" w:rsidP="009F56EA">
            <w:pPr>
              <w:rPr>
                <w:color w:val="000000"/>
              </w:rPr>
            </w:pPr>
            <w:r w:rsidRPr="00A02298">
              <w:rPr>
                <w:color w:val="000000"/>
              </w:rPr>
              <w:t xml:space="preserve"> $     38,000.00 </w:t>
            </w:r>
          </w:p>
        </w:tc>
        <w:tc>
          <w:tcPr>
            <w:tcW w:w="1380" w:type="dxa"/>
            <w:tcBorders>
              <w:top w:val="nil"/>
              <w:left w:val="nil"/>
              <w:bottom w:val="single" w:sz="4" w:space="0" w:color="auto"/>
              <w:right w:val="single" w:sz="4" w:space="0" w:color="auto"/>
            </w:tcBorders>
            <w:shd w:val="clear" w:color="auto" w:fill="auto"/>
            <w:noWrap/>
            <w:vAlign w:val="bottom"/>
            <w:hideMark/>
          </w:tcPr>
          <w:p w14:paraId="5E934B21" w14:textId="77777777" w:rsidR="0048246C" w:rsidRPr="00A02298" w:rsidRDefault="0048246C" w:rsidP="009F56EA">
            <w:pPr>
              <w:rPr>
                <w:color w:val="000000"/>
              </w:rPr>
            </w:pPr>
            <w:r w:rsidRPr="00A02298">
              <w:rPr>
                <w:color w:val="000000"/>
              </w:rPr>
              <w:t xml:space="preserve"> $ 38,000.00 </w:t>
            </w:r>
          </w:p>
        </w:tc>
      </w:tr>
      <w:tr w:rsidR="0048246C" w:rsidRPr="00A02298" w14:paraId="2D51E848" w14:textId="77777777" w:rsidTr="009F56EA">
        <w:trPr>
          <w:trHeight w:val="300"/>
        </w:trPr>
        <w:tc>
          <w:tcPr>
            <w:tcW w:w="2085" w:type="dxa"/>
            <w:tcBorders>
              <w:top w:val="nil"/>
              <w:left w:val="single" w:sz="4" w:space="0" w:color="auto"/>
              <w:bottom w:val="single" w:sz="4" w:space="0" w:color="auto"/>
              <w:right w:val="single" w:sz="4" w:space="0" w:color="auto"/>
            </w:tcBorders>
            <w:shd w:val="clear" w:color="auto" w:fill="auto"/>
            <w:vAlign w:val="bottom"/>
            <w:hideMark/>
          </w:tcPr>
          <w:p w14:paraId="0ACCED0D" w14:textId="77777777" w:rsidR="0048246C" w:rsidRPr="00A02298" w:rsidRDefault="0048246C" w:rsidP="009F56EA">
            <w:pPr>
              <w:rPr>
                <w:color w:val="000000"/>
              </w:rPr>
            </w:pPr>
            <w:r w:rsidRPr="00A02298">
              <w:rPr>
                <w:color w:val="000000"/>
              </w:rPr>
              <w:t>Technical Lead</w:t>
            </w:r>
          </w:p>
        </w:tc>
        <w:tc>
          <w:tcPr>
            <w:tcW w:w="893" w:type="dxa"/>
            <w:tcBorders>
              <w:top w:val="nil"/>
              <w:left w:val="nil"/>
              <w:bottom w:val="single" w:sz="4" w:space="0" w:color="auto"/>
              <w:right w:val="single" w:sz="4" w:space="0" w:color="auto"/>
            </w:tcBorders>
            <w:shd w:val="clear" w:color="auto" w:fill="auto"/>
            <w:noWrap/>
            <w:vAlign w:val="bottom"/>
            <w:hideMark/>
          </w:tcPr>
          <w:p w14:paraId="72AECB7C" w14:textId="77777777" w:rsidR="0048246C" w:rsidRPr="00A02298" w:rsidRDefault="0048246C" w:rsidP="009F56EA">
            <w:pPr>
              <w:rPr>
                <w:color w:val="000000"/>
              </w:rPr>
            </w:pPr>
            <w:r w:rsidRPr="00A02298">
              <w:rPr>
                <w:color w:val="000000"/>
              </w:rPr>
              <w:t>GS-13</w:t>
            </w:r>
          </w:p>
        </w:tc>
        <w:tc>
          <w:tcPr>
            <w:tcW w:w="1226" w:type="dxa"/>
            <w:tcBorders>
              <w:top w:val="nil"/>
              <w:left w:val="nil"/>
              <w:bottom w:val="single" w:sz="4" w:space="0" w:color="auto"/>
              <w:right w:val="single" w:sz="4" w:space="0" w:color="auto"/>
            </w:tcBorders>
            <w:shd w:val="clear" w:color="auto" w:fill="auto"/>
            <w:vAlign w:val="bottom"/>
            <w:hideMark/>
          </w:tcPr>
          <w:p w14:paraId="36C143FE" w14:textId="77777777" w:rsidR="0048246C" w:rsidRPr="00A02298" w:rsidRDefault="0048246C" w:rsidP="009F56EA">
            <w:pPr>
              <w:jc w:val="right"/>
              <w:rPr>
                <w:color w:val="000000"/>
              </w:rPr>
            </w:pPr>
            <w:r w:rsidRPr="00A02298">
              <w:rPr>
                <w:color w:val="000000"/>
              </w:rPr>
              <w:t>25%</w:t>
            </w:r>
          </w:p>
        </w:tc>
        <w:tc>
          <w:tcPr>
            <w:tcW w:w="1504" w:type="dxa"/>
            <w:tcBorders>
              <w:top w:val="nil"/>
              <w:left w:val="nil"/>
              <w:bottom w:val="single" w:sz="4" w:space="0" w:color="auto"/>
              <w:right w:val="single" w:sz="4" w:space="0" w:color="auto"/>
            </w:tcBorders>
            <w:shd w:val="clear" w:color="auto" w:fill="auto"/>
            <w:noWrap/>
            <w:vAlign w:val="bottom"/>
            <w:hideMark/>
          </w:tcPr>
          <w:p w14:paraId="2F5A2923" w14:textId="77777777" w:rsidR="0048246C" w:rsidRPr="00A02298" w:rsidRDefault="0048246C" w:rsidP="009F56EA">
            <w:pPr>
              <w:rPr>
                <w:color w:val="000000"/>
              </w:rPr>
            </w:pPr>
            <w:r w:rsidRPr="00A02298">
              <w:rPr>
                <w:color w:val="000000"/>
              </w:rPr>
              <w:t xml:space="preserve"> $     24,000.00 </w:t>
            </w:r>
          </w:p>
        </w:tc>
        <w:tc>
          <w:tcPr>
            <w:tcW w:w="1504" w:type="dxa"/>
            <w:tcBorders>
              <w:top w:val="nil"/>
              <w:left w:val="nil"/>
              <w:bottom w:val="single" w:sz="4" w:space="0" w:color="auto"/>
              <w:right w:val="single" w:sz="4" w:space="0" w:color="auto"/>
            </w:tcBorders>
            <w:shd w:val="clear" w:color="auto" w:fill="auto"/>
            <w:noWrap/>
            <w:vAlign w:val="bottom"/>
            <w:hideMark/>
          </w:tcPr>
          <w:p w14:paraId="30E8F098" w14:textId="77777777" w:rsidR="0048246C" w:rsidRPr="00A02298" w:rsidRDefault="0048246C" w:rsidP="009F56EA">
            <w:pPr>
              <w:rPr>
                <w:color w:val="000000"/>
              </w:rPr>
            </w:pPr>
            <w:r w:rsidRPr="00A02298">
              <w:rPr>
                <w:color w:val="000000"/>
              </w:rPr>
              <w:t xml:space="preserve"> $     24,000.00 </w:t>
            </w:r>
          </w:p>
        </w:tc>
        <w:tc>
          <w:tcPr>
            <w:tcW w:w="1380" w:type="dxa"/>
            <w:tcBorders>
              <w:top w:val="nil"/>
              <w:left w:val="nil"/>
              <w:bottom w:val="single" w:sz="4" w:space="0" w:color="auto"/>
              <w:right w:val="single" w:sz="4" w:space="0" w:color="auto"/>
            </w:tcBorders>
            <w:shd w:val="clear" w:color="auto" w:fill="auto"/>
            <w:noWrap/>
            <w:vAlign w:val="bottom"/>
            <w:hideMark/>
          </w:tcPr>
          <w:p w14:paraId="7362B8A1" w14:textId="77777777" w:rsidR="0048246C" w:rsidRPr="00A02298" w:rsidRDefault="0048246C" w:rsidP="009F56EA">
            <w:pPr>
              <w:rPr>
                <w:color w:val="000000"/>
              </w:rPr>
            </w:pPr>
            <w:r w:rsidRPr="00A02298">
              <w:rPr>
                <w:color w:val="000000"/>
              </w:rPr>
              <w:t xml:space="preserve"> $ 24,000.00 </w:t>
            </w:r>
          </w:p>
        </w:tc>
      </w:tr>
      <w:tr w:rsidR="0048246C" w:rsidRPr="00A02298" w14:paraId="588224A3" w14:textId="77777777" w:rsidTr="009F56EA">
        <w:trPr>
          <w:trHeight w:val="300"/>
        </w:trPr>
        <w:tc>
          <w:tcPr>
            <w:tcW w:w="2085" w:type="dxa"/>
            <w:tcBorders>
              <w:top w:val="nil"/>
              <w:left w:val="single" w:sz="4" w:space="0" w:color="auto"/>
              <w:bottom w:val="single" w:sz="4" w:space="0" w:color="auto"/>
              <w:right w:val="single" w:sz="4" w:space="0" w:color="auto"/>
            </w:tcBorders>
            <w:shd w:val="clear" w:color="auto" w:fill="auto"/>
            <w:vAlign w:val="bottom"/>
            <w:hideMark/>
          </w:tcPr>
          <w:p w14:paraId="3A48EC4C" w14:textId="77777777" w:rsidR="0048246C" w:rsidRPr="00A02298" w:rsidRDefault="0048246C" w:rsidP="009F56EA">
            <w:pPr>
              <w:rPr>
                <w:color w:val="000000"/>
              </w:rPr>
            </w:pPr>
            <w:r w:rsidRPr="00A02298">
              <w:rPr>
                <w:color w:val="000000"/>
              </w:rPr>
              <w:t>Survey Statistician</w:t>
            </w:r>
          </w:p>
        </w:tc>
        <w:tc>
          <w:tcPr>
            <w:tcW w:w="893" w:type="dxa"/>
            <w:tcBorders>
              <w:top w:val="nil"/>
              <w:left w:val="nil"/>
              <w:bottom w:val="single" w:sz="4" w:space="0" w:color="auto"/>
              <w:right w:val="single" w:sz="4" w:space="0" w:color="auto"/>
            </w:tcBorders>
            <w:shd w:val="clear" w:color="auto" w:fill="auto"/>
            <w:noWrap/>
            <w:vAlign w:val="bottom"/>
            <w:hideMark/>
          </w:tcPr>
          <w:p w14:paraId="1A9DE6CB" w14:textId="77777777" w:rsidR="0048246C" w:rsidRPr="00A02298" w:rsidRDefault="0048246C" w:rsidP="009F56EA">
            <w:pPr>
              <w:rPr>
                <w:color w:val="000000"/>
              </w:rPr>
            </w:pPr>
            <w:r w:rsidRPr="00A02298">
              <w:rPr>
                <w:color w:val="000000"/>
              </w:rPr>
              <w:t>GS-14</w:t>
            </w:r>
          </w:p>
        </w:tc>
        <w:tc>
          <w:tcPr>
            <w:tcW w:w="1226" w:type="dxa"/>
            <w:tcBorders>
              <w:top w:val="nil"/>
              <w:left w:val="nil"/>
              <w:bottom w:val="single" w:sz="4" w:space="0" w:color="auto"/>
              <w:right w:val="single" w:sz="4" w:space="0" w:color="auto"/>
            </w:tcBorders>
            <w:shd w:val="clear" w:color="auto" w:fill="auto"/>
            <w:vAlign w:val="bottom"/>
            <w:hideMark/>
          </w:tcPr>
          <w:p w14:paraId="36ABC2A7" w14:textId="77777777" w:rsidR="0048246C" w:rsidRPr="00A02298" w:rsidRDefault="0048246C" w:rsidP="009F56EA">
            <w:pPr>
              <w:jc w:val="right"/>
              <w:rPr>
                <w:color w:val="000000"/>
              </w:rPr>
            </w:pPr>
            <w:r w:rsidRPr="00A02298">
              <w:rPr>
                <w:color w:val="000000"/>
              </w:rPr>
              <w:t>80%</w:t>
            </w:r>
          </w:p>
        </w:tc>
        <w:tc>
          <w:tcPr>
            <w:tcW w:w="1504" w:type="dxa"/>
            <w:tcBorders>
              <w:top w:val="nil"/>
              <w:left w:val="nil"/>
              <w:bottom w:val="single" w:sz="4" w:space="0" w:color="auto"/>
              <w:right w:val="single" w:sz="4" w:space="0" w:color="auto"/>
            </w:tcBorders>
            <w:shd w:val="clear" w:color="auto" w:fill="auto"/>
            <w:noWrap/>
            <w:vAlign w:val="bottom"/>
            <w:hideMark/>
          </w:tcPr>
          <w:p w14:paraId="76575064" w14:textId="77777777" w:rsidR="0048246C" w:rsidRPr="00A02298" w:rsidRDefault="0048246C" w:rsidP="009F56EA">
            <w:pPr>
              <w:rPr>
                <w:color w:val="000000"/>
              </w:rPr>
            </w:pPr>
            <w:r w:rsidRPr="00A02298">
              <w:rPr>
                <w:color w:val="000000"/>
              </w:rPr>
              <w:t> $90,473.00</w:t>
            </w:r>
          </w:p>
        </w:tc>
        <w:tc>
          <w:tcPr>
            <w:tcW w:w="1504" w:type="dxa"/>
            <w:tcBorders>
              <w:top w:val="nil"/>
              <w:left w:val="nil"/>
              <w:bottom w:val="single" w:sz="4" w:space="0" w:color="auto"/>
              <w:right w:val="single" w:sz="4" w:space="0" w:color="auto"/>
            </w:tcBorders>
            <w:shd w:val="clear" w:color="auto" w:fill="auto"/>
            <w:noWrap/>
            <w:vAlign w:val="bottom"/>
            <w:hideMark/>
          </w:tcPr>
          <w:p w14:paraId="0EB3F05C" w14:textId="77777777" w:rsidR="0048246C" w:rsidRPr="00A02298" w:rsidRDefault="0048246C" w:rsidP="009F56EA">
            <w:pPr>
              <w:rPr>
                <w:color w:val="000000"/>
              </w:rPr>
            </w:pPr>
            <w:r w:rsidRPr="00A02298">
              <w:rPr>
                <w:color w:val="000000"/>
              </w:rPr>
              <w:t> $90,473.00</w:t>
            </w:r>
          </w:p>
        </w:tc>
        <w:tc>
          <w:tcPr>
            <w:tcW w:w="1380" w:type="dxa"/>
            <w:tcBorders>
              <w:top w:val="nil"/>
              <w:left w:val="nil"/>
              <w:bottom w:val="single" w:sz="4" w:space="0" w:color="auto"/>
              <w:right w:val="single" w:sz="4" w:space="0" w:color="auto"/>
            </w:tcBorders>
            <w:shd w:val="clear" w:color="auto" w:fill="auto"/>
            <w:noWrap/>
            <w:vAlign w:val="bottom"/>
            <w:hideMark/>
          </w:tcPr>
          <w:p w14:paraId="2818BFC8" w14:textId="77777777" w:rsidR="0048246C" w:rsidRPr="00A02298" w:rsidRDefault="0048246C" w:rsidP="009F56EA">
            <w:pPr>
              <w:rPr>
                <w:color w:val="000000"/>
              </w:rPr>
            </w:pPr>
            <w:r w:rsidRPr="00A02298">
              <w:rPr>
                <w:color w:val="000000"/>
              </w:rPr>
              <w:t> $90,473.00</w:t>
            </w:r>
          </w:p>
        </w:tc>
      </w:tr>
      <w:tr w:rsidR="0048246C" w:rsidRPr="00A02298" w14:paraId="5A6C8038" w14:textId="77777777" w:rsidTr="009F56EA">
        <w:trPr>
          <w:trHeight w:val="300"/>
        </w:trPr>
        <w:tc>
          <w:tcPr>
            <w:tcW w:w="2085" w:type="dxa"/>
            <w:tcBorders>
              <w:top w:val="nil"/>
              <w:left w:val="single" w:sz="4" w:space="0" w:color="auto"/>
              <w:bottom w:val="single" w:sz="4" w:space="0" w:color="auto"/>
              <w:right w:val="single" w:sz="4" w:space="0" w:color="auto"/>
            </w:tcBorders>
            <w:shd w:val="clear" w:color="auto" w:fill="auto"/>
            <w:vAlign w:val="bottom"/>
            <w:hideMark/>
          </w:tcPr>
          <w:p w14:paraId="13C457E9" w14:textId="77777777" w:rsidR="0048246C" w:rsidRPr="00A02298" w:rsidRDefault="0048246C" w:rsidP="009F56EA">
            <w:pPr>
              <w:rPr>
                <w:color w:val="000000"/>
              </w:rPr>
            </w:pPr>
            <w:r w:rsidRPr="00A02298">
              <w:rPr>
                <w:color w:val="000000"/>
              </w:rPr>
              <w:t>Management and Program Analyst</w:t>
            </w:r>
          </w:p>
        </w:tc>
        <w:tc>
          <w:tcPr>
            <w:tcW w:w="893" w:type="dxa"/>
            <w:tcBorders>
              <w:top w:val="nil"/>
              <w:left w:val="nil"/>
              <w:bottom w:val="single" w:sz="4" w:space="0" w:color="auto"/>
              <w:right w:val="single" w:sz="4" w:space="0" w:color="auto"/>
            </w:tcBorders>
            <w:shd w:val="clear" w:color="auto" w:fill="auto"/>
            <w:noWrap/>
            <w:vAlign w:val="bottom"/>
            <w:hideMark/>
          </w:tcPr>
          <w:p w14:paraId="6E6D3F30" w14:textId="77777777" w:rsidR="0048246C" w:rsidRPr="00A02298" w:rsidRDefault="0048246C" w:rsidP="009F56EA">
            <w:pPr>
              <w:rPr>
                <w:color w:val="000000"/>
              </w:rPr>
            </w:pPr>
            <w:r w:rsidRPr="00A02298">
              <w:rPr>
                <w:color w:val="000000"/>
              </w:rPr>
              <w:t>GS-12</w:t>
            </w:r>
          </w:p>
        </w:tc>
        <w:tc>
          <w:tcPr>
            <w:tcW w:w="1226" w:type="dxa"/>
            <w:tcBorders>
              <w:top w:val="nil"/>
              <w:left w:val="nil"/>
              <w:bottom w:val="single" w:sz="4" w:space="0" w:color="auto"/>
              <w:right w:val="single" w:sz="4" w:space="0" w:color="auto"/>
            </w:tcBorders>
            <w:shd w:val="clear" w:color="auto" w:fill="auto"/>
            <w:vAlign w:val="bottom"/>
            <w:hideMark/>
          </w:tcPr>
          <w:p w14:paraId="701E0175" w14:textId="77777777" w:rsidR="0048246C" w:rsidRPr="00A02298" w:rsidRDefault="0048246C" w:rsidP="009F56EA">
            <w:pPr>
              <w:jc w:val="right"/>
              <w:rPr>
                <w:color w:val="000000"/>
              </w:rPr>
            </w:pPr>
            <w:r w:rsidRPr="00A02298">
              <w:rPr>
                <w:color w:val="000000"/>
              </w:rPr>
              <w:t>60%</w:t>
            </w:r>
          </w:p>
        </w:tc>
        <w:tc>
          <w:tcPr>
            <w:tcW w:w="1504" w:type="dxa"/>
            <w:tcBorders>
              <w:top w:val="nil"/>
              <w:left w:val="nil"/>
              <w:bottom w:val="single" w:sz="4" w:space="0" w:color="auto"/>
              <w:right w:val="single" w:sz="4" w:space="0" w:color="auto"/>
            </w:tcBorders>
            <w:shd w:val="clear" w:color="auto" w:fill="auto"/>
            <w:noWrap/>
            <w:vAlign w:val="bottom"/>
            <w:hideMark/>
          </w:tcPr>
          <w:p w14:paraId="4A2ACA6F" w14:textId="77777777" w:rsidR="0048246C" w:rsidRPr="00A02298" w:rsidRDefault="0048246C" w:rsidP="009F56EA">
            <w:pPr>
              <w:rPr>
                <w:color w:val="000000"/>
              </w:rPr>
            </w:pPr>
            <w:r w:rsidRPr="00A02298">
              <w:rPr>
                <w:color w:val="000000"/>
              </w:rPr>
              <w:t> $48.289.00</w:t>
            </w:r>
          </w:p>
        </w:tc>
        <w:tc>
          <w:tcPr>
            <w:tcW w:w="1504" w:type="dxa"/>
            <w:tcBorders>
              <w:top w:val="nil"/>
              <w:left w:val="nil"/>
              <w:bottom w:val="single" w:sz="4" w:space="0" w:color="auto"/>
              <w:right w:val="single" w:sz="4" w:space="0" w:color="auto"/>
            </w:tcBorders>
            <w:shd w:val="clear" w:color="auto" w:fill="auto"/>
            <w:noWrap/>
            <w:vAlign w:val="bottom"/>
            <w:hideMark/>
          </w:tcPr>
          <w:p w14:paraId="66A4D193" w14:textId="77777777" w:rsidR="0048246C" w:rsidRPr="00A02298" w:rsidRDefault="0048246C" w:rsidP="009F56EA">
            <w:pPr>
              <w:rPr>
                <w:color w:val="000000"/>
              </w:rPr>
            </w:pPr>
            <w:r w:rsidRPr="00A02298">
              <w:rPr>
                <w:color w:val="000000"/>
              </w:rPr>
              <w:t> $48.289.00</w:t>
            </w:r>
          </w:p>
        </w:tc>
        <w:tc>
          <w:tcPr>
            <w:tcW w:w="1380" w:type="dxa"/>
            <w:tcBorders>
              <w:top w:val="nil"/>
              <w:left w:val="nil"/>
              <w:bottom w:val="single" w:sz="4" w:space="0" w:color="auto"/>
              <w:right w:val="single" w:sz="4" w:space="0" w:color="auto"/>
            </w:tcBorders>
            <w:shd w:val="clear" w:color="auto" w:fill="auto"/>
            <w:noWrap/>
            <w:vAlign w:val="bottom"/>
            <w:hideMark/>
          </w:tcPr>
          <w:p w14:paraId="5C08D8A8" w14:textId="77777777" w:rsidR="0048246C" w:rsidRPr="00A02298" w:rsidRDefault="0048246C" w:rsidP="009F56EA">
            <w:pPr>
              <w:rPr>
                <w:color w:val="000000"/>
              </w:rPr>
            </w:pPr>
            <w:r w:rsidRPr="00A02298">
              <w:rPr>
                <w:color w:val="000000"/>
              </w:rPr>
              <w:t> $48.289.00</w:t>
            </w:r>
          </w:p>
        </w:tc>
      </w:tr>
      <w:tr w:rsidR="0048246C" w:rsidRPr="00A02298" w14:paraId="2D978F51" w14:textId="77777777" w:rsidTr="009F56EA">
        <w:trPr>
          <w:trHeight w:val="300"/>
        </w:trPr>
        <w:tc>
          <w:tcPr>
            <w:tcW w:w="2085" w:type="dxa"/>
            <w:tcBorders>
              <w:top w:val="nil"/>
              <w:left w:val="single" w:sz="4" w:space="0" w:color="auto"/>
              <w:bottom w:val="single" w:sz="4" w:space="0" w:color="auto"/>
              <w:right w:val="single" w:sz="4" w:space="0" w:color="auto"/>
            </w:tcBorders>
            <w:shd w:val="clear" w:color="auto" w:fill="auto"/>
            <w:vAlign w:val="bottom"/>
            <w:hideMark/>
          </w:tcPr>
          <w:p w14:paraId="0F7FC05C" w14:textId="77777777" w:rsidR="0048246C" w:rsidRPr="00A02298" w:rsidRDefault="0048246C" w:rsidP="009F56EA">
            <w:pPr>
              <w:rPr>
                <w:color w:val="000000"/>
              </w:rPr>
            </w:pPr>
            <w:r w:rsidRPr="00A02298">
              <w:rPr>
                <w:color w:val="000000"/>
              </w:rPr>
              <w:t>Management and Program Analyst</w:t>
            </w:r>
          </w:p>
        </w:tc>
        <w:tc>
          <w:tcPr>
            <w:tcW w:w="893" w:type="dxa"/>
            <w:tcBorders>
              <w:top w:val="nil"/>
              <w:left w:val="nil"/>
              <w:bottom w:val="single" w:sz="4" w:space="0" w:color="auto"/>
              <w:right w:val="single" w:sz="4" w:space="0" w:color="auto"/>
            </w:tcBorders>
            <w:shd w:val="clear" w:color="auto" w:fill="auto"/>
            <w:noWrap/>
            <w:vAlign w:val="bottom"/>
            <w:hideMark/>
          </w:tcPr>
          <w:p w14:paraId="33033EFF" w14:textId="77777777" w:rsidR="0048246C" w:rsidRPr="00A02298" w:rsidRDefault="0048246C" w:rsidP="009F56EA">
            <w:pPr>
              <w:rPr>
                <w:color w:val="000000"/>
              </w:rPr>
            </w:pPr>
            <w:r w:rsidRPr="00A02298">
              <w:rPr>
                <w:color w:val="000000"/>
              </w:rPr>
              <w:t>GS-14</w:t>
            </w:r>
          </w:p>
        </w:tc>
        <w:tc>
          <w:tcPr>
            <w:tcW w:w="1226" w:type="dxa"/>
            <w:tcBorders>
              <w:top w:val="nil"/>
              <w:left w:val="nil"/>
              <w:bottom w:val="single" w:sz="4" w:space="0" w:color="auto"/>
              <w:right w:val="single" w:sz="4" w:space="0" w:color="auto"/>
            </w:tcBorders>
            <w:shd w:val="clear" w:color="auto" w:fill="auto"/>
            <w:vAlign w:val="bottom"/>
            <w:hideMark/>
          </w:tcPr>
          <w:p w14:paraId="1E94919C" w14:textId="77777777" w:rsidR="0048246C" w:rsidRPr="00A02298" w:rsidRDefault="0048246C" w:rsidP="009F56EA">
            <w:pPr>
              <w:jc w:val="right"/>
              <w:rPr>
                <w:color w:val="000000"/>
              </w:rPr>
            </w:pPr>
            <w:r w:rsidRPr="00A02298">
              <w:rPr>
                <w:color w:val="000000"/>
              </w:rPr>
              <w:t>100%</w:t>
            </w:r>
          </w:p>
        </w:tc>
        <w:tc>
          <w:tcPr>
            <w:tcW w:w="1504" w:type="dxa"/>
            <w:tcBorders>
              <w:top w:val="nil"/>
              <w:left w:val="nil"/>
              <w:bottom w:val="single" w:sz="4" w:space="0" w:color="auto"/>
              <w:right w:val="single" w:sz="4" w:space="0" w:color="auto"/>
            </w:tcBorders>
            <w:shd w:val="clear" w:color="auto" w:fill="auto"/>
            <w:noWrap/>
            <w:vAlign w:val="bottom"/>
            <w:hideMark/>
          </w:tcPr>
          <w:p w14:paraId="44A2C066" w14:textId="77777777" w:rsidR="0048246C" w:rsidRPr="00A02298" w:rsidRDefault="0048246C" w:rsidP="009F56EA">
            <w:pPr>
              <w:rPr>
                <w:color w:val="000000"/>
              </w:rPr>
            </w:pPr>
            <w:r w:rsidRPr="00A02298">
              <w:rPr>
                <w:color w:val="000000"/>
              </w:rPr>
              <w:t> $113,091.00</w:t>
            </w:r>
          </w:p>
        </w:tc>
        <w:tc>
          <w:tcPr>
            <w:tcW w:w="1504" w:type="dxa"/>
            <w:tcBorders>
              <w:top w:val="nil"/>
              <w:left w:val="nil"/>
              <w:bottom w:val="single" w:sz="4" w:space="0" w:color="auto"/>
              <w:right w:val="single" w:sz="4" w:space="0" w:color="auto"/>
            </w:tcBorders>
            <w:shd w:val="clear" w:color="auto" w:fill="auto"/>
            <w:noWrap/>
            <w:vAlign w:val="bottom"/>
            <w:hideMark/>
          </w:tcPr>
          <w:p w14:paraId="32BBE1C5" w14:textId="77777777" w:rsidR="0048246C" w:rsidRPr="00A02298" w:rsidRDefault="0048246C" w:rsidP="009F56EA">
            <w:pPr>
              <w:rPr>
                <w:color w:val="000000"/>
              </w:rPr>
            </w:pPr>
            <w:r w:rsidRPr="00A02298">
              <w:rPr>
                <w:color w:val="000000"/>
              </w:rPr>
              <w:t> $113,091.00</w:t>
            </w:r>
          </w:p>
        </w:tc>
        <w:tc>
          <w:tcPr>
            <w:tcW w:w="1380" w:type="dxa"/>
            <w:tcBorders>
              <w:top w:val="nil"/>
              <w:left w:val="nil"/>
              <w:bottom w:val="single" w:sz="4" w:space="0" w:color="auto"/>
              <w:right w:val="single" w:sz="4" w:space="0" w:color="auto"/>
            </w:tcBorders>
            <w:shd w:val="clear" w:color="auto" w:fill="auto"/>
            <w:noWrap/>
            <w:vAlign w:val="bottom"/>
            <w:hideMark/>
          </w:tcPr>
          <w:p w14:paraId="6CD11ECD" w14:textId="77777777" w:rsidR="0048246C" w:rsidRPr="00A02298" w:rsidRDefault="0048246C" w:rsidP="009F56EA">
            <w:pPr>
              <w:rPr>
                <w:color w:val="000000"/>
              </w:rPr>
            </w:pPr>
            <w:r w:rsidRPr="00A02298">
              <w:rPr>
                <w:color w:val="000000"/>
              </w:rPr>
              <w:t> $113,091.00</w:t>
            </w:r>
          </w:p>
        </w:tc>
      </w:tr>
      <w:tr w:rsidR="0048246C" w:rsidRPr="00A02298" w14:paraId="47767B8A" w14:textId="77777777" w:rsidTr="009F56EA">
        <w:trPr>
          <w:trHeight w:val="600"/>
        </w:trPr>
        <w:tc>
          <w:tcPr>
            <w:tcW w:w="2085" w:type="dxa"/>
            <w:tcBorders>
              <w:top w:val="nil"/>
              <w:left w:val="single" w:sz="4" w:space="0" w:color="auto"/>
              <w:bottom w:val="single" w:sz="4" w:space="0" w:color="auto"/>
              <w:right w:val="single" w:sz="4" w:space="0" w:color="auto"/>
            </w:tcBorders>
            <w:shd w:val="clear" w:color="auto" w:fill="auto"/>
            <w:vAlign w:val="bottom"/>
            <w:hideMark/>
          </w:tcPr>
          <w:p w14:paraId="2A61DF2F" w14:textId="77777777" w:rsidR="0048246C" w:rsidRPr="00A02298" w:rsidRDefault="0048246C" w:rsidP="009F56EA">
            <w:pPr>
              <w:rPr>
                <w:color w:val="000000"/>
              </w:rPr>
            </w:pPr>
            <w:r w:rsidRPr="00A02298">
              <w:rPr>
                <w:color w:val="000000"/>
              </w:rPr>
              <w:t>Supervisory Management and Program Analyst</w:t>
            </w:r>
          </w:p>
        </w:tc>
        <w:tc>
          <w:tcPr>
            <w:tcW w:w="893" w:type="dxa"/>
            <w:tcBorders>
              <w:top w:val="nil"/>
              <w:left w:val="nil"/>
              <w:bottom w:val="single" w:sz="4" w:space="0" w:color="auto"/>
              <w:right w:val="single" w:sz="4" w:space="0" w:color="auto"/>
            </w:tcBorders>
            <w:shd w:val="clear" w:color="auto" w:fill="auto"/>
            <w:noWrap/>
            <w:vAlign w:val="bottom"/>
            <w:hideMark/>
          </w:tcPr>
          <w:p w14:paraId="07BBCFDD" w14:textId="77777777" w:rsidR="0048246C" w:rsidRPr="00A02298" w:rsidRDefault="0048246C" w:rsidP="009F56EA">
            <w:pPr>
              <w:rPr>
                <w:color w:val="000000"/>
              </w:rPr>
            </w:pPr>
            <w:r w:rsidRPr="00A02298">
              <w:rPr>
                <w:color w:val="000000"/>
              </w:rPr>
              <w:t>GS-14</w:t>
            </w:r>
          </w:p>
        </w:tc>
        <w:tc>
          <w:tcPr>
            <w:tcW w:w="1226" w:type="dxa"/>
            <w:tcBorders>
              <w:top w:val="nil"/>
              <w:left w:val="nil"/>
              <w:bottom w:val="single" w:sz="4" w:space="0" w:color="auto"/>
              <w:right w:val="single" w:sz="4" w:space="0" w:color="auto"/>
            </w:tcBorders>
            <w:shd w:val="clear" w:color="auto" w:fill="auto"/>
            <w:vAlign w:val="bottom"/>
            <w:hideMark/>
          </w:tcPr>
          <w:p w14:paraId="4B221731" w14:textId="77777777" w:rsidR="0048246C" w:rsidRPr="00A02298" w:rsidRDefault="0048246C" w:rsidP="009F56EA">
            <w:pPr>
              <w:jc w:val="right"/>
              <w:rPr>
                <w:color w:val="000000"/>
              </w:rPr>
            </w:pPr>
            <w:r w:rsidRPr="00A02298">
              <w:rPr>
                <w:color w:val="000000"/>
              </w:rPr>
              <w:t>20%</w:t>
            </w:r>
          </w:p>
        </w:tc>
        <w:tc>
          <w:tcPr>
            <w:tcW w:w="1504" w:type="dxa"/>
            <w:tcBorders>
              <w:top w:val="nil"/>
              <w:left w:val="nil"/>
              <w:bottom w:val="single" w:sz="4" w:space="0" w:color="auto"/>
              <w:right w:val="single" w:sz="4" w:space="0" w:color="auto"/>
            </w:tcBorders>
            <w:shd w:val="clear" w:color="auto" w:fill="auto"/>
            <w:noWrap/>
            <w:vAlign w:val="bottom"/>
            <w:hideMark/>
          </w:tcPr>
          <w:p w14:paraId="75E09EB2" w14:textId="77777777" w:rsidR="0048246C" w:rsidRPr="00A02298" w:rsidRDefault="0048246C" w:rsidP="009F56EA">
            <w:pPr>
              <w:rPr>
                <w:color w:val="000000"/>
              </w:rPr>
            </w:pPr>
            <w:r w:rsidRPr="00A02298">
              <w:rPr>
                <w:color w:val="000000"/>
              </w:rPr>
              <w:t> $22,618.00</w:t>
            </w:r>
          </w:p>
        </w:tc>
        <w:tc>
          <w:tcPr>
            <w:tcW w:w="1504" w:type="dxa"/>
            <w:tcBorders>
              <w:top w:val="nil"/>
              <w:left w:val="nil"/>
              <w:bottom w:val="single" w:sz="4" w:space="0" w:color="auto"/>
              <w:right w:val="single" w:sz="4" w:space="0" w:color="auto"/>
            </w:tcBorders>
            <w:shd w:val="clear" w:color="auto" w:fill="auto"/>
            <w:noWrap/>
            <w:vAlign w:val="bottom"/>
            <w:hideMark/>
          </w:tcPr>
          <w:p w14:paraId="45350215" w14:textId="77777777" w:rsidR="0048246C" w:rsidRPr="00A02298" w:rsidRDefault="0048246C" w:rsidP="009F56EA">
            <w:pPr>
              <w:rPr>
                <w:color w:val="000000"/>
              </w:rPr>
            </w:pPr>
            <w:r w:rsidRPr="00A02298">
              <w:rPr>
                <w:color w:val="000000"/>
              </w:rPr>
              <w:t> $22,618.00</w:t>
            </w:r>
          </w:p>
        </w:tc>
        <w:tc>
          <w:tcPr>
            <w:tcW w:w="1380" w:type="dxa"/>
            <w:tcBorders>
              <w:top w:val="nil"/>
              <w:left w:val="nil"/>
              <w:bottom w:val="single" w:sz="4" w:space="0" w:color="auto"/>
              <w:right w:val="single" w:sz="4" w:space="0" w:color="auto"/>
            </w:tcBorders>
            <w:shd w:val="clear" w:color="auto" w:fill="auto"/>
            <w:noWrap/>
            <w:vAlign w:val="bottom"/>
            <w:hideMark/>
          </w:tcPr>
          <w:p w14:paraId="1D9DBD5E" w14:textId="77777777" w:rsidR="0048246C" w:rsidRPr="00A02298" w:rsidRDefault="0048246C" w:rsidP="009F56EA">
            <w:pPr>
              <w:rPr>
                <w:color w:val="000000"/>
              </w:rPr>
            </w:pPr>
            <w:r w:rsidRPr="00A02298">
              <w:rPr>
                <w:color w:val="000000"/>
              </w:rPr>
              <w:t> $22,618.00</w:t>
            </w:r>
          </w:p>
        </w:tc>
      </w:tr>
      <w:tr w:rsidR="0048246C" w:rsidRPr="00A02298" w14:paraId="18505662" w14:textId="77777777" w:rsidTr="009F56EA">
        <w:trPr>
          <w:trHeight w:val="300"/>
        </w:trPr>
        <w:tc>
          <w:tcPr>
            <w:tcW w:w="208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76E4669" w14:textId="77777777" w:rsidR="0048246C" w:rsidRPr="00A02298" w:rsidRDefault="0048246C" w:rsidP="009F56EA">
            <w:pPr>
              <w:rPr>
                <w:color w:val="000000"/>
              </w:rPr>
            </w:pPr>
            <w:r w:rsidRPr="00A02298">
              <w:rPr>
                <w:color w:val="000000"/>
              </w:rPr>
              <w:t>Unit Chief</w:t>
            </w:r>
          </w:p>
        </w:tc>
        <w:tc>
          <w:tcPr>
            <w:tcW w:w="893" w:type="dxa"/>
            <w:tcBorders>
              <w:top w:val="single" w:sz="4" w:space="0" w:color="auto"/>
              <w:left w:val="nil"/>
              <w:bottom w:val="single" w:sz="4" w:space="0" w:color="auto"/>
              <w:right w:val="single" w:sz="4" w:space="0" w:color="auto"/>
            </w:tcBorders>
            <w:shd w:val="clear" w:color="auto" w:fill="auto"/>
            <w:noWrap/>
            <w:vAlign w:val="bottom"/>
            <w:hideMark/>
          </w:tcPr>
          <w:p w14:paraId="4C8FE57D" w14:textId="77777777" w:rsidR="0048246C" w:rsidRPr="00A02298" w:rsidRDefault="0048246C" w:rsidP="009F56EA">
            <w:pPr>
              <w:rPr>
                <w:color w:val="000000"/>
              </w:rPr>
            </w:pPr>
            <w:r w:rsidRPr="00A02298">
              <w:rPr>
                <w:color w:val="000000"/>
              </w:rPr>
              <w:t>GS-15</w:t>
            </w:r>
          </w:p>
        </w:tc>
        <w:tc>
          <w:tcPr>
            <w:tcW w:w="1226" w:type="dxa"/>
            <w:tcBorders>
              <w:top w:val="single" w:sz="4" w:space="0" w:color="auto"/>
              <w:left w:val="nil"/>
              <w:bottom w:val="single" w:sz="4" w:space="0" w:color="auto"/>
              <w:right w:val="single" w:sz="4" w:space="0" w:color="auto"/>
            </w:tcBorders>
            <w:shd w:val="clear" w:color="auto" w:fill="auto"/>
            <w:vAlign w:val="bottom"/>
            <w:hideMark/>
          </w:tcPr>
          <w:p w14:paraId="4763C0DB" w14:textId="77777777" w:rsidR="0048246C" w:rsidRPr="00A02298" w:rsidRDefault="0048246C" w:rsidP="009F56EA">
            <w:pPr>
              <w:jc w:val="right"/>
              <w:rPr>
                <w:color w:val="000000"/>
              </w:rPr>
            </w:pPr>
            <w:r w:rsidRPr="00A02298">
              <w:rPr>
                <w:color w:val="000000"/>
              </w:rPr>
              <w:t>20%</w:t>
            </w:r>
          </w:p>
        </w:tc>
        <w:tc>
          <w:tcPr>
            <w:tcW w:w="1504" w:type="dxa"/>
            <w:tcBorders>
              <w:top w:val="single" w:sz="4" w:space="0" w:color="auto"/>
              <w:left w:val="nil"/>
              <w:bottom w:val="single" w:sz="4" w:space="0" w:color="auto"/>
              <w:right w:val="single" w:sz="4" w:space="0" w:color="auto"/>
            </w:tcBorders>
            <w:shd w:val="clear" w:color="auto" w:fill="auto"/>
            <w:noWrap/>
            <w:vAlign w:val="bottom"/>
            <w:hideMark/>
          </w:tcPr>
          <w:p w14:paraId="58EA603B" w14:textId="77777777" w:rsidR="0048246C" w:rsidRPr="00A02298" w:rsidRDefault="0048246C" w:rsidP="009F56EA">
            <w:pPr>
              <w:rPr>
                <w:color w:val="000000"/>
              </w:rPr>
            </w:pPr>
            <w:r w:rsidRPr="00A02298">
              <w:rPr>
                <w:color w:val="000000"/>
              </w:rPr>
              <w:t>$26,606.00</w:t>
            </w:r>
          </w:p>
        </w:tc>
        <w:tc>
          <w:tcPr>
            <w:tcW w:w="1504" w:type="dxa"/>
            <w:tcBorders>
              <w:top w:val="single" w:sz="4" w:space="0" w:color="auto"/>
              <w:left w:val="nil"/>
              <w:bottom w:val="single" w:sz="4" w:space="0" w:color="auto"/>
              <w:right w:val="single" w:sz="4" w:space="0" w:color="auto"/>
            </w:tcBorders>
            <w:shd w:val="clear" w:color="auto" w:fill="auto"/>
            <w:noWrap/>
            <w:vAlign w:val="bottom"/>
            <w:hideMark/>
          </w:tcPr>
          <w:p w14:paraId="327AACFF" w14:textId="77777777" w:rsidR="0048246C" w:rsidRPr="00A02298" w:rsidRDefault="0048246C" w:rsidP="009F56EA">
            <w:pPr>
              <w:rPr>
                <w:color w:val="000000"/>
              </w:rPr>
            </w:pPr>
            <w:r w:rsidRPr="00A02298">
              <w:rPr>
                <w:color w:val="000000"/>
              </w:rPr>
              <w:t>$26,606.00</w:t>
            </w:r>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14:paraId="274B8C41" w14:textId="77777777" w:rsidR="0048246C" w:rsidRPr="00A02298" w:rsidRDefault="0048246C" w:rsidP="009F56EA">
            <w:pPr>
              <w:rPr>
                <w:color w:val="000000"/>
              </w:rPr>
            </w:pPr>
            <w:r w:rsidRPr="00A02298">
              <w:rPr>
                <w:color w:val="000000"/>
              </w:rPr>
              <w:t>$26,606.00</w:t>
            </w:r>
          </w:p>
        </w:tc>
      </w:tr>
      <w:tr w:rsidR="0048246C" w:rsidRPr="00A02298" w14:paraId="36685BC2" w14:textId="77777777" w:rsidTr="009F56EA">
        <w:trPr>
          <w:trHeight w:val="300"/>
        </w:trPr>
        <w:tc>
          <w:tcPr>
            <w:tcW w:w="2085" w:type="dxa"/>
            <w:tcBorders>
              <w:top w:val="single" w:sz="4" w:space="0" w:color="auto"/>
              <w:left w:val="single" w:sz="4" w:space="0" w:color="auto"/>
              <w:bottom w:val="single" w:sz="4" w:space="0" w:color="auto"/>
              <w:right w:val="single" w:sz="4" w:space="0" w:color="auto"/>
            </w:tcBorders>
            <w:shd w:val="clear" w:color="auto" w:fill="auto"/>
            <w:vAlign w:val="bottom"/>
          </w:tcPr>
          <w:p w14:paraId="5D0EACFD" w14:textId="77777777" w:rsidR="0048246C" w:rsidRPr="00A02298" w:rsidRDefault="0048246C" w:rsidP="009F56EA">
            <w:pPr>
              <w:rPr>
                <w:color w:val="000000"/>
              </w:rPr>
            </w:pPr>
            <w:r w:rsidRPr="00A02298">
              <w:rPr>
                <w:color w:val="000000"/>
              </w:rPr>
              <w:t xml:space="preserve">Contracting Officer Representative </w:t>
            </w:r>
          </w:p>
        </w:tc>
        <w:tc>
          <w:tcPr>
            <w:tcW w:w="893" w:type="dxa"/>
            <w:tcBorders>
              <w:top w:val="single" w:sz="4" w:space="0" w:color="auto"/>
              <w:left w:val="nil"/>
              <w:bottom w:val="single" w:sz="4" w:space="0" w:color="auto"/>
              <w:right w:val="single" w:sz="4" w:space="0" w:color="auto"/>
            </w:tcBorders>
            <w:shd w:val="clear" w:color="auto" w:fill="auto"/>
            <w:noWrap/>
            <w:vAlign w:val="bottom"/>
          </w:tcPr>
          <w:p w14:paraId="170F5961" w14:textId="77777777" w:rsidR="0048246C" w:rsidRPr="00A02298" w:rsidRDefault="0048246C" w:rsidP="009F56EA">
            <w:pPr>
              <w:rPr>
                <w:color w:val="000000"/>
              </w:rPr>
            </w:pPr>
            <w:r w:rsidRPr="00A02298">
              <w:rPr>
                <w:color w:val="000000"/>
              </w:rPr>
              <w:t>GS-13</w:t>
            </w:r>
          </w:p>
        </w:tc>
        <w:tc>
          <w:tcPr>
            <w:tcW w:w="1226" w:type="dxa"/>
            <w:tcBorders>
              <w:top w:val="single" w:sz="4" w:space="0" w:color="auto"/>
              <w:left w:val="nil"/>
              <w:bottom w:val="single" w:sz="4" w:space="0" w:color="auto"/>
              <w:right w:val="single" w:sz="4" w:space="0" w:color="auto"/>
            </w:tcBorders>
            <w:shd w:val="clear" w:color="auto" w:fill="auto"/>
            <w:vAlign w:val="bottom"/>
          </w:tcPr>
          <w:p w14:paraId="42E48E31" w14:textId="77777777" w:rsidR="0048246C" w:rsidRPr="00A02298" w:rsidRDefault="0048246C" w:rsidP="009F56EA">
            <w:pPr>
              <w:jc w:val="right"/>
              <w:rPr>
                <w:color w:val="000000"/>
              </w:rPr>
            </w:pPr>
            <w:r w:rsidRPr="00A02298">
              <w:rPr>
                <w:color w:val="000000"/>
              </w:rPr>
              <w:t>20%</w:t>
            </w:r>
          </w:p>
        </w:tc>
        <w:tc>
          <w:tcPr>
            <w:tcW w:w="1504" w:type="dxa"/>
            <w:tcBorders>
              <w:top w:val="single" w:sz="4" w:space="0" w:color="auto"/>
              <w:left w:val="nil"/>
              <w:bottom w:val="single" w:sz="4" w:space="0" w:color="auto"/>
              <w:right w:val="single" w:sz="4" w:space="0" w:color="auto"/>
            </w:tcBorders>
            <w:shd w:val="clear" w:color="auto" w:fill="auto"/>
            <w:noWrap/>
            <w:vAlign w:val="bottom"/>
          </w:tcPr>
          <w:p w14:paraId="552FD13B" w14:textId="77777777" w:rsidR="0048246C" w:rsidRPr="00A02298" w:rsidRDefault="0048246C" w:rsidP="009F56EA">
            <w:pPr>
              <w:rPr>
                <w:color w:val="000000"/>
              </w:rPr>
            </w:pPr>
            <w:r w:rsidRPr="00A02298">
              <w:rPr>
                <w:color w:val="000000"/>
              </w:rPr>
              <w:t>$19,000.00</w:t>
            </w:r>
          </w:p>
        </w:tc>
        <w:tc>
          <w:tcPr>
            <w:tcW w:w="1504" w:type="dxa"/>
            <w:tcBorders>
              <w:top w:val="single" w:sz="4" w:space="0" w:color="auto"/>
              <w:left w:val="nil"/>
              <w:bottom w:val="single" w:sz="4" w:space="0" w:color="auto"/>
              <w:right w:val="single" w:sz="4" w:space="0" w:color="auto"/>
            </w:tcBorders>
            <w:shd w:val="clear" w:color="auto" w:fill="auto"/>
            <w:noWrap/>
            <w:vAlign w:val="bottom"/>
          </w:tcPr>
          <w:p w14:paraId="267A9FB3" w14:textId="77777777" w:rsidR="0048246C" w:rsidRPr="00A02298" w:rsidRDefault="0048246C" w:rsidP="009F56EA">
            <w:pPr>
              <w:rPr>
                <w:color w:val="000000"/>
              </w:rPr>
            </w:pPr>
            <w:r w:rsidRPr="00A02298">
              <w:rPr>
                <w:color w:val="000000"/>
              </w:rPr>
              <w:t>$19,000.00</w:t>
            </w:r>
          </w:p>
        </w:tc>
        <w:tc>
          <w:tcPr>
            <w:tcW w:w="1380" w:type="dxa"/>
            <w:tcBorders>
              <w:top w:val="single" w:sz="4" w:space="0" w:color="auto"/>
              <w:left w:val="nil"/>
              <w:bottom w:val="single" w:sz="4" w:space="0" w:color="auto"/>
              <w:right w:val="single" w:sz="4" w:space="0" w:color="auto"/>
            </w:tcBorders>
            <w:shd w:val="clear" w:color="auto" w:fill="auto"/>
            <w:noWrap/>
            <w:vAlign w:val="bottom"/>
          </w:tcPr>
          <w:p w14:paraId="494D52A5" w14:textId="77777777" w:rsidR="0048246C" w:rsidRPr="00A02298" w:rsidRDefault="0048246C" w:rsidP="009F56EA">
            <w:pPr>
              <w:rPr>
                <w:color w:val="000000"/>
              </w:rPr>
            </w:pPr>
            <w:r w:rsidRPr="00A02298">
              <w:rPr>
                <w:color w:val="000000"/>
              </w:rPr>
              <w:t>$19,000.00</w:t>
            </w:r>
          </w:p>
        </w:tc>
      </w:tr>
      <w:tr w:rsidR="0048246C" w:rsidRPr="00A02298" w14:paraId="06C959E4" w14:textId="77777777" w:rsidTr="009F56EA">
        <w:trPr>
          <w:trHeight w:val="300"/>
        </w:trPr>
        <w:tc>
          <w:tcPr>
            <w:tcW w:w="2085" w:type="dxa"/>
            <w:tcBorders>
              <w:top w:val="single" w:sz="4" w:space="0" w:color="auto"/>
              <w:left w:val="single" w:sz="4" w:space="0" w:color="auto"/>
              <w:bottom w:val="single" w:sz="4" w:space="0" w:color="auto"/>
              <w:right w:val="single" w:sz="4" w:space="0" w:color="auto"/>
            </w:tcBorders>
            <w:shd w:val="clear" w:color="auto" w:fill="auto"/>
            <w:vAlign w:val="bottom"/>
          </w:tcPr>
          <w:p w14:paraId="5C94F6D2" w14:textId="77777777" w:rsidR="0048246C" w:rsidRPr="00A02298" w:rsidRDefault="0048246C" w:rsidP="009F56EA">
            <w:pPr>
              <w:rPr>
                <w:color w:val="000000"/>
              </w:rPr>
            </w:pPr>
            <w:r w:rsidRPr="00A02298">
              <w:rPr>
                <w:color w:val="000000"/>
              </w:rPr>
              <w:t>System Engineer</w:t>
            </w:r>
          </w:p>
        </w:tc>
        <w:tc>
          <w:tcPr>
            <w:tcW w:w="893" w:type="dxa"/>
            <w:tcBorders>
              <w:top w:val="single" w:sz="4" w:space="0" w:color="auto"/>
              <w:left w:val="nil"/>
              <w:bottom w:val="single" w:sz="4" w:space="0" w:color="auto"/>
              <w:right w:val="single" w:sz="4" w:space="0" w:color="auto"/>
            </w:tcBorders>
            <w:shd w:val="clear" w:color="auto" w:fill="auto"/>
            <w:noWrap/>
            <w:vAlign w:val="bottom"/>
          </w:tcPr>
          <w:p w14:paraId="59CDABDB" w14:textId="77777777" w:rsidR="0048246C" w:rsidRPr="00A02298" w:rsidRDefault="0048246C" w:rsidP="009F56EA">
            <w:pPr>
              <w:rPr>
                <w:color w:val="000000"/>
              </w:rPr>
            </w:pPr>
            <w:r w:rsidRPr="00A02298">
              <w:rPr>
                <w:color w:val="000000"/>
              </w:rPr>
              <w:t>NA</w:t>
            </w:r>
          </w:p>
        </w:tc>
        <w:tc>
          <w:tcPr>
            <w:tcW w:w="1226" w:type="dxa"/>
            <w:tcBorders>
              <w:top w:val="single" w:sz="4" w:space="0" w:color="auto"/>
              <w:left w:val="nil"/>
              <w:bottom w:val="single" w:sz="4" w:space="0" w:color="auto"/>
              <w:right w:val="single" w:sz="4" w:space="0" w:color="auto"/>
            </w:tcBorders>
            <w:shd w:val="clear" w:color="auto" w:fill="auto"/>
            <w:vAlign w:val="bottom"/>
          </w:tcPr>
          <w:p w14:paraId="4246DB08" w14:textId="77777777" w:rsidR="0048246C" w:rsidRPr="00A02298" w:rsidRDefault="0048246C" w:rsidP="009F56EA">
            <w:pPr>
              <w:jc w:val="right"/>
              <w:rPr>
                <w:color w:val="000000"/>
              </w:rPr>
            </w:pPr>
            <w:r w:rsidRPr="00A02298">
              <w:rPr>
                <w:color w:val="000000"/>
              </w:rPr>
              <w:t>25%</w:t>
            </w:r>
          </w:p>
        </w:tc>
        <w:tc>
          <w:tcPr>
            <w:tcW w:w="1504" w:type="dxa"/>
            <w:tcBorders>
              <w:top w:val="single" w:sz="4" w:space="0" w:color="auto"/>
              <w:left w:val="nil"/>
              <w:bottom w:val="single" w:sz="4" w:space="0" w:color="auto"/>
              <w:right w:val="single" w:sz="4" w:space="0" w:color="auto"/>
            </w:tcBorders>
            <w:shd w:val="clear" w:color="auto" w:fill="auto"/>
            <w:noWrap/>
            <w:vAlign w:val="bottom"/>
          </w:tcPr>
          <w:p w14:paraId="334DA004" w14:textId="77777777" w:rsidR="0048246C" w:rsidRPr="00A02298" w:rsidRDefault="0048246C" w:rsidP="009F56EA">
            <w:pPr>
              <w:rPr>
                <w:color w:val="000000"/>
              </w:rPr>
            </w:pPr>
            <w:r w:rsidRPr="00A02298">
              <w:rPr>
                <w:color w:val="000000"/>
              </w:rPr>
              <w:t>$59,773.00</w:t>
            </w:r>
          </w:p>
        </w:tc>
        <w:tc>
          <w:tcPr>
            <w:tcW w:w="1504" w:type="dxa"/>
            <w:tcBorders>
              <w:top w:val="single" w:sz="4" w:space="0" w:color="auto"/>
              <w:left w:val="nil"/>
              <w:bottom w:val="single" w:sz="4" w:space="0" w:color="auto"/>
              <w:right w:val="single" w:sz="4" w:space="0" w:color="auto"/>
            </w:tcBorders>
            <w:shd w:val="clear" w:color="auto" w:fill="auto"/>
            <w:noWrap/>
            <w:vAlign w:val="bottom"/>
          </w:tcPr>
          <w:p w14:paraId="440098B0" w14:textId="77777777" w:rsidR="0048246C" w:rsidRPr="00A02298" w:rsidRDefault="0048246C" w:rsidP="009F56EA">
            <w:pPr>
              <w:rPr>
                <w:color w:val="000000"/>
              </w:rPr>
            </w:pPr>
            <w:r w:rsidRPr="00A02298">
              <w:rPr>
                <w:color w:val="000000"/>
              </w:rPr>
              <w:t>$59,773.00</w:t>
            </w:r>
          </w:p>
        </w:tc>
        <w:tc>
          <w:tcPr>
            <w:tcW w:w="1380" w:type="dxa"/>
            <w:tcBorders>
              <w:top w:val="single" w:sz="4" w:space="0" w:color="auto"/>
              <w:left w:val="nil"/>
              <w:bottom w:val="single" w:sz="4" w:space="0" w:color="auto"/>
              <w:right w:val="single" w:sz="4" w:space="0" w:color="auto"/>
            </w:tcBorders>
            <w:shd w:val="clear" w:color="auto" w:fill="auto"/>
            <w:noWrap/>
            <w:vAlign w:val="bottom"/>
          </w:tcPr>
          <w:p w14:paraId="65EE6C9B" w14:textId="77777777" w:rsidR="0048246C" w:rsidRPr="00A02298" w:rsidRDefault="0048246C" w:rsidP="009F56EA">
            <w:pPr>
              <w:rPr>
                <w:color w:val="000000"/>
              </w:rPr>
            </w:pPr>
            <w:r w:rsidRPr="00A02298">
              <w:rPr>
                <w:color w:val="000000"/>
              </w:rPr>
              <w:t>$59,773.00</w:t>
            </w:r>
          </w:p>
        </w:tc>
      </w:tr>
      <w:tr w:rsidR="0048246C" w:rsidRPr="00A02298" w14:paraId="55C621E5" w14:textId="77777777" w:rsidTr="009F56EA">
        <w:trPr>
          <w:trHeight w:val="300"/>
        </w:trPr>
        <w:tc>
          <w:tcPr>
            <w:tcW w:w="2085" w:type="dxa"/>
            <w:tcBorders>
              <w:top w:val="single" w:sz="4" w:space="0" w:color="auto"/>
              <w:left w:val="single" w:sz="4" w:space="0" w:color="auto"/>
              <w:bottom w:val="single" w:sz="4" w:space="0" w:color="auto"/>
              <w:right w:val="single" w:sz="4" w:space="0" w:color="auto"/>
            </w:tcBorders>
            <w:shd w:val="clear" w:color="auto" w:fill="auto"/>
            <w:vAlign w:val="bottom"/>
          </w:tcPr>
          <w:p w14:paraId="758A42A9" w14:textId="77777777" w:rsidR="0048246C" w:rsidRPr="00A02298" w:rsidRDefault="0048246C" w:rsidP="009F56EA">
            <w:pPr>
              <w:rPr>
                <w:color w:val="000000"/>
              </w:rPr>
            </w:pPr>
            <w:r w:rsidRPr="00A02298">
              <w:rPr>
                <w:color w:val="000000"/>
              </w:rPr>
              <w:t>System Engineer</w:t>
            </w:r>
          </w:p>
        </w:tc>
        <w:tc>
          <w:tcPr>
            <w:tcW w:w="893" w:type="dxa"/>
            <w:tcBorders>
              <w:top w:val="single" w:sz="4" w:space="0" w:color="auto"/>
              <w:left w:val="nil"/>
              <w:bottom w:val="single" w:sz="4" w:space="0" w:color="auto"/>
              <w:right w:val="single" w:sz="4" w:space="0" w:color="auto"/>
            </w:tcBorders>
            <w:shd w:val="clear" w:color="auto" w:fill="auto"/>
            <w:noWrap/>
            <w:vAlign w:val="bottom"/>
          </w:tcPr>
          <w:p w14:paraId="542C4E7F" w14:textId="77777777" w:rsidR="0048246C" w:rsidRPr="00A02298" w:rsidRDefault="0048246C" w:rsidP="009F56EA">
            <w:pPr>
              <w:rPr>
                <w:color w:val="000000"/>
              </w:rPr>
            </w:pPr>
            <w:r w:rsidRPr="00A02298">
              <w:rPr>
                <w:color w:val="000000"/>
              </w:rPr>
              <w:t>NA</w:t>
            </w:r>
          </w:p>
        </w:tc>
        <w:tc>
          <w:tcPr>
            <w:tcW w:w="1226" w:type="dxa"/>
            <w:tcBorders>
              <w:top w:val="single" w:sz="4" w:space="0" w:color="auto"/>
              <w:left w:val="nil"/>
              <w:bottom w:val="single" w:sz="4" w:space="0" w:color="auto"/>
              <w:right w:val="single" w:sz="4" w:space="0" w:color="auto"/>
            </w:tcBorders>
            <w:shd w:val="clear" w:color="auto" w:fill="auto"/>
            <w:vAlign w:val="bottom"/>
          </w:tcPr>
          <w:p w14:paraId="42CC36C7" w14:textId="77777777" w:rsidR="0048246C" w:rsidRPr="00A02298" w:rsidRDefault="0048246C" w:rsidP="009F56EA">
            <w:pPr>
              <w:jc w:val="right"/>
              <w:rPr>
                <w:color w:val="000000"/>
              </w:rPr>
            </w:pPr>
            <w:r w:rsidRPr="00A02298">
              <w:rPr>
                <w:color w:val="000000"/>
              </w:rPr>
              <w:t>50%</w:t>
            </w:r>
          </w:p>
        </w:tc>
        <w:tc>
          <w:tcPr>
            <w:tcW w:w="1504" w:type="dxa"/>
            <w:tcBorders>
              <w:top w:val="single" w:sz="4" w:space="0" w:color="auto"/>
              <w:left w:val="nil"/>
              <w:bottom w:val="single" w:sz="4" w:space="0" w:color="auto"/>
              <w:right w:val="single" w:sz="4" w:space="0" w:color="auto"/>
            </w:tcBorders>
            <w:shd w:val="clear" w:color="auto" w:fill="auto"/>
            <w:noWrap/>
            <w:vAlign w:val="bottom"/>
          </w:tcPr>
          <w:p w14:paraId="2F5E4590" w14:textId="77777777" w:rsidR="0048246C" w:rsidRPr="00A02298" w:rsidRDefault="0048246C" w:rsidP="009F56EA">
            <w:pPr>
              <w:rPr>
                <w:color w:val="000000"/>
              </w:rPr>
            </w:pPr>
            <w:r w:rsidRPr="00A02298">
              <w:rPr>
                <w:color w:val="000000"/>
              </w:rPr>
              <w:t>$119,545.00</w:t>
            </w:r>
          </w:p>
        </w:tc>
        <w:tc>
          <w:tcPr>
            <w:tcW w:w="1504" w:type="dxa"/>
            <w:tcBorders>
              <w:top w:val="single" w:sz="4" w:space="0" w:color="auto"/>
              <w:left w:val="nil"/>
              <w:bottom w:val="single" w:sz="4" w:space="0" w:color="auto"/>
              <w:right w:val="single" w:sz="4" w:space="0" w:color="auto"/>
            </w:tcBorders>
            <w:shd w:val="clear" w:color="auto" w:fill="auto"/>
            <w:noWrap/>
            <w:vAlign w:val="bottom"/>
          </w:tcPr>
          <w:p w14:paraId="4E9F73E9" w14:textId="77777777" w:rsidR="0048246C" w:rsidRPr="00A02298" w:rsidRDefault="0048246C" w:rsidP="009F56EA">
            <w:pPr>
              <w:rPr>
                <w:color w:val="000000"/>
              </w:rPr>
            </w:pPr>
            <w:r w:rsidRPr="00A02298">
              <w:rPr>
                <w:color w:val="000000"/>
              </w:rPr>
              <w:t>$119,545.00</w:t>
            </w:r>
          </w:p>
        </w:tc>
        <w:tc>
          <w:tcPr>
            <w:tcW w:w="1380" w:type="dxa"/>
            <w:tcBorders>
              <w:top w:val="single" w:sz="4" w:space="0" w:color="auto"/>
              <w:left w:val="nil"/>
              <w:bottom w:val="single" w:sz="4" w:space="0" w:color="auto"/>
              <w:right w:val="single" w:sz="4" w:space="0" w:color="auto"/>
            </w:tcBorders>
            <w:shd w:val="clear" w:color="auto" w:fill="auto"/>
            <w:noWrap/>
            <w:vAlign w:val="bottom"/>
          </w:tcPr>
          <w:p w14:paraId="562EA03D" w14:textId="77777777" w:rsidR="0048246C" w:rsidRPr="00A02298" w:rsidRDefault="0048246C" w:rsidP="009F56EA">
            <w:pPr>
              <w:rPr>
                <w:color w:val="000000"/>
              </w:rPr>
            </w:pPr>
            <w:r w:rsidRPr="00A02298">
              <w:rPr>
                <w:color w:val="000000"/>
              </w:rPr>
              <w:t>$119,545.00</w:t>
            </w:r>
          </w:p>
        </w:tc>
      </w:tr>
    </w:tbl>
    <w:p w14:paraId="2D0F30F3" w14:textId="77777777" w:rsidR="0048246C" w:rsidRPr="00A02298" w:rsidRDefault="0048246C"/>
    <w:p w14:paraId="3AD59D30" w14:textId="77777777" w:rsidR="0048246C" w:rsidRPr="00A02298" w:rsidRDefault="0048246C"/>
    <w:p w14:paraId="2FFC1C25" w14:textId="458EA048" w:rsidR="00CF534E" w:rsidRPr="00A02298" w:rsidRDefault="00CF534E">
      <w:r w:rsidRPr="00A02298">
        <w:t xml:space="preserve">15.  </w:t>
      </w:r>
      <w:r w:rsidRPr="007C2C22">
        <w:rPr>
          <w:u w:val="single"/>
        </w:rPr>
        <w:t>Reasons for Change in Burden</w:t>
      </w:r>
    </w:p>
    <w:p w14:paraId="75D08BE2" w14:textId="77777777" w:rsidR="00CF534E" w:rsidRPr="00A02298" w:rsidRDefault="00CF534E"/>
    <w:p w14:paraId="5C935223" w14:textId="77777777" w:rsidR="0048246C" w:rsidRPr="00A02298" w:rsidRDefault="0048246C" w:rsidP="0048246C">
      <w:pPr>
        <w:pStyle w:val="ListParagraph"/>
        <w:autoSpaceDE w:val="0"/>
        <w:autoSpaceDN w:val="0"/>
        <w:adjustRightInd w:val="0"/>
        <w:spacing w:after="0" w:line="240" w:lineRule="auto"/>
        <w:ind w:left="360"/>
        <w:rPr>
          <w:rFonts w:ascii="Times New Roman" w:hAnsi="Times New Roman"/>
          <w:sz w:val="24"/>
          <w:szCs w:val="24"/>
        </w:rPr>
      </w:pPr>
      <w:r w:rsidRPr="00A02298">
        <w:rPr>
          <w:rFonts w:ascii="Times New Roman" w:hAnsi="Times New Roman"/>
          <w:sz w:val="24"/>
          <w:szCs w:val="24"/>
        </w:rPr>
        <w:t>Not applicable.</w:t>
      </w:r>
    </w:p>
    <w:p w14:paraId="1AC2FE6E" w14:textId="77777777" w:rsidR="00CF534E" w:rsidRPr="00A02298" w:rsidRDefault="00CF534E"/>
    <w:p w14:paraId="45A78326" w14:textId="0BA7B9A9" w:rsidR="00CF534E" w:rsidRPr="00A02298" w:rsidRDefault="00CF534E">
      <w:r w:rsidRPr="00A02298">
        <w:t xml:space="preserve">16.  </w:t>
      </w:r>
      <w:r w:rsidRPr="007C2C22">
        <w:rPr>
          <w:u w:val="single"/>
        </w:rPr>
        <w:t>Plans for Publication</w:t>
      </w:r>
    </w:p>
    <w:p w14:paraId="465F23B1" w14:textId="77777777" w:rsidR="00CF534E" w:rsidRPr="00A02298" w:rsidRDefault="00CF534E"/>
    <w:p w14:paraId="4AE923CD" w14:textId="599D0B99" w:rsidR="008D0DEA" w:rsidRDefault="00AA6D58" w:rsidP="00697735">
      <w:pPr>
        <w:pStyle w:val="ListParagraph"/>
        <w:autoSpaceDE w:val="0"/>
        <w:autoSpaceDN w:val="0"/>
        <w:adjustRightInd w:val="0"/>
        <w:spacing w:afterLines="160" w:after="384"/>
        <w:ind w:left="360"/>
        <w:contextualSpacing w:val="0"/>
        <w:rPr>
          <w:rFonts w:ascii="Times New Roman" w:hAnsi="Times New Roman"/>
          <w:sz w:val="24"/>
          <w:szCs w:val="24"/>
        </w:rPr>
      </w:pPr>
      <w:r>
        <w:rPr>
          <w:rFonts w:ascii="Times New Roman" w:hAnsi="Times New Roman"/>
          <w:sz w:val="24"/>
          <w:szCs w:val="24"/>
        </w:rPr>
        <w:t>Following OMB approval,</w:t>
      </w:r>
      <w:r w:rsidR="008D0DEA" w:rsidRPr="006C2A36">
        <w:rPr>
          <w:rFonts w:ascii="Times New Roman" w:hAnsi="Times New Roman"/>
          <w:sz w:val="24"/>
          <w:szCs w:val="24"/>
        </w:rPr>
        <w:t xml:space="preserve"> the FBI will release a report  at the request of law enforcement, detailing the results of its pilot study data collection and analysis.  The results from the pilot study will be released to the public and will </w:t>
      </w:r>
      <w:r>
        <w:rPr>
          <w:rFonts w:ascii="Times New Roman" w:hAnsi="Times New Roman"/>
          <w:sz w:val="24"/>
          <w:szCs w:val="24"/>
        </w:rPr>
        <w:t xml:space="preserve">primarily </w:t>
      </w:r>
      <w:r w:rsidR="008D0DEA" w:rsidRPr="006C2A36">
        <w:rPr>
          <w:rFonts w:ascii="Times New Roman" w:hAnsi="Times New Roman"/>
          <w:sz w:val="24"/>
          <w:szCs w:val="24"/>
        </w:rPr>
        <w:t>consist of  three sections.  The first section will provide the results of the on-site assessment regarding underreporting and completeness, as well as an assessment of the reliability of reported data from the Phase I records review.  All results in this section will be pooled, and no individual agency will be identified.  The second section will provide results of the analysis of nonresponse and missing data—to include refusals to participate in the pilot study.  This section will also identify whether a need clearly exists for a nonresponse bias study and a proposed methodology for the study.  Again, all results will be pooled, and no individual agency will be identified in the second section.  As the pilot study only has two phases, the third section of the report will detail the data collection policies and procedures which will assist with maintaining data quality and completeness as a permanent and final data collection.  The third section will also detail any on-going collaboration and partnership between the FBI and the BJS to achieve and maintain a high-level of data quality.  Finally, an optional fourth section will list basic agency-level counts of reported data from all participating agencies as a showcase of item completeness and quality.  In addition to the public report, the FBI will provide opportunities for the participating agencies in the two phases of the pilot study to hear the results directly and ask questions.  This will occur through teleconferences.</w:t>
      </w:r>
    </w:p>
    <w:p w14:paraId="6D0F5BE4" w14:textId="77777777" w:rsidR="008D0DEA" w:rsidRPr="00697735" w:rsidRDefault="008D0DEA" w:rsidP="00697735">
      <w:pPr>
        <w:pStyle w:val="Heading2"/>
        <w:ind w:firstLine="360"/>
        <w:rPr>
          <w:rFonts w:ascii="Times New Roman" w:hAnsi="Times New Roman" w:cs="Times New Roman"/>
          <w:color w:val="auto"/>
          <w:sz w:val="24"/>
          <w:szCs w:val="24"/>
        </w:rPr>
      </w:pPr>
      <w:r w:rsidRPr="00697735">
        <w:rPr>
          <w:rFonts w:ascii="Times New Roman" w:hAnsi="Times New Roman" w:cs="Times New Roman"/>
          <w:color w:val="auto"/>
          <w:sz w:val="24"/>
          <w:szCs w:val="24"/>
        </w:rPr>
        <w:t>Terms of Clearance</w:t>
      </w:r>
    </w:p>
    <w:p w14:paraId="014533AA" w14:textId="77777777" w:rsidR="008D0DEA" w:rsidRPr="008D0DEA" w:rsidRDefault="008D0DEA" w:rsidP="008D0DEA"/>
    <w:p w14:paraId="56DBC1B8" w14:textId="77777777" w:rsidR="008D0DEA" w:rsidRPr="00697735" w:rsidRDefault="008D0DEA" w:rsidP="00697735">
      <w:pPr>
        <w:ind w:left="360"/>
      </w:pPr>
      <w:r w:rsidRPr="00697735">
        <w:t>The FBI recognizes the importance of response rates and population coverage for the ability of the National UoF Data Collection to generate valid national estimates of the UoF by police officers.  After consultation with OMB, FBI agrees to the following terms of clearance describing the quality standards which will apply to the dissemination of the results.  For the purpose of these conditions, “coverage rate” refers to the total law enforcement officer population covered by UoF.  In addition, “coverage rate” will be considered on both a state-by-state basis, as well as a national scale.  “Key variables” include subject injuries received and type of force used.  Item non-response refers to the percent of respondents that either do not answer the question associated with a key variable or answer “unknown and unlikely to ever be known.”</w:t>
      </w:r>
    </w:p>
    <w:p w14:paraId="47A39C31" w14:textId="77777777" w:rsidR="008D0DEA" w:rsidRPr="00697735" w:rsidRDefault="008D0DEA" w:rsidP="008D0DEA">
      <w:pPr>
        <w:rPr>
          <w:rFonts w:eastAsiaTheme="minorHAnsi"/>
        </w:rPr>
      </w:pPr>
    </w:p>
    <w:p w14:paraId="6AABDBC4" w14:textId="77777777" w:rsidR="008D0DEA" w:rsidRPr="00697735" w:rsidRDefault="008D0DEA" w:rsidP="00697735">
      <w:pPr>
        <w:ind w:firstLine="360"/>
      </w:pPr>
      <w:r w:rsidRPr="00697735">
        <w:t>For the first year of collection,</w:t>
      </w:r>
    </w:p>
    <w:p w14:paraId="5E1AD17B" w14:textId="77777777" w:rsidR="008D0DEA" w:rsidRPr="00697735" w:rsidRDefault="008D0DEA" w:rsidP="008D0DEA">
      <w:r w:rsidRPr="00697735">
        <w:t xml:space="preserve"> </w:t>
      </w:r>
    </w:p>
    <w:p w14:paraId="45E34F5F" w14:textId="77777777" w:rsidR="008D0DEA" w:rsidRPr="00697735" w:rsidRDefault="008D0DEA" w:rsidP="008D0DEA">
      <w:pPr>
        <w:pStyle w:val="ListParagraph"/>
        <w:numPr>
          <w:ilvl w:val="0"/>
          <w:numId w:val="49"/>
        </w:numPr>
        <w:spacing w:line="252" w:lineRule="auto"/>
        <w:ind w:left="990"/>
        <w:rPr>
          <w:rFonts w:ascii="Times New Roman" w:hAnsi="Times New Roman"/>
          <w:sz w:val="24"/>
          <w:szCs w:val="24"/>
        </w:rPr>
      </w:pPr>
      <w:r w:rsidRPr="00697735">
        <w:rPr>
          <w:rFonts w:ascii="Times New Roman" w:hAnsi="Times New Roman"/>
          <w:sz w:val="24"/>
          <w:szCs w:val="24"/>
        </w:rPr>
        <w:t>If the coverage rate is 80 percent or greater and the item non-response is 30 percent or less, then no conditions apply to the dissemination of the results.</w:t>
      </w:r>
    </w:p>
    <w:p w14:paraId="3C68DABC" w14:textId="77777777" w:rsidR="008D0DEA" w:rsidRPr="00697735" w:rsidRDefault="008D0DEA" w:rsidP="008D0DEA">
      <w:pPr>
        <w:pStyle w:val="ListParagraph"/>
        <w:numPr>
          <w:ilvl w:val="0"/>
          <w:numId w:val="49"/>
        </w:numPr>
        <w:spacing w:line="252" w:lineRule="auto"/>
        <w:ind w:left="990"/>
        <w:rPr>
          <w:rFonts w:ascii="Times New Roman" w:hAnsi="Times New Roman"/>
          <w:sz w:val="24"/>
          <w:szCs w:val="24"/>
        </w:rPr>
      </w:pPr>
      <w:r w:rsidRPr="00697735">
        <w:rPr>
          <w:rFonts w:ascii="Times New Roman" w:hAnsi="Times New Roman"/>
          <w:sz w:val="24"/>
          <w:szCs w:val="24"/>
        </w:rPr>
        <w:t>If the coverage rate is between 60 percent and 80 percent or the item non-response is greater than 30 percent, then the FBI will not release counts or totals, but may release ratios or percentages.</w:t>
      </w:r>
    </w:p>
    <w:p w14:paraId="1D9C355E" w14:textId="77777777" w:rsidR="008D0DEA" w:rsidRPr="00697735" w:rsidRDefault="008D0DEA" w:rsidP="008D0DEA">
      <w:pPr>
        <w:pStyle w:val="ListParagraph"/>
        <w:numPr>
          <w:ilvl w:val="0"/>
          <w:numId w:val="49"/>
        </w:numPr>
        <w:spacing w:line="252" w:lineRule="auto"/>
        <w:ind w:left="990"/>
        <w:rPr>
          <w:rFonts w:ascii="Times New Roman" w:hAnsi="Times New Roman"/>
          <w:sz w:val="24"/>
          <w:szCs w:val="24"/>
        </w:rPr>
      </w:pPr>
      <w:r w:rsidRPr="00697735">
        <w:rPr>
          <w:rFonts w:ascii="Times New Roman" w:hAnsi="Times New Roman"/>
          <w:sz w:val="24"/>
          <w:szCs w:val="24"/>
        </w:rPr>
        <w:t>If the coverage rate is between 40 percent and 60 percent, then the FBI may release only the response percentages for the key variables across the entire population and for subpopulations which represent 20 percent or more of the total population.</w:t>
      </w:r>
    </w:p>
    <w:p w14:paraId="0CB80D2D" w14:textId="77777777" w:rsidR="008D0DEA" w:rsidRPr="00697735" w:rsidRDefault="008D0DEA" w:rsidP="008D0DEA">
      <w:pPr>
        <w:pStyle w:val="ListParagraph"/>
        <w:numPr>
          <w:ilvl w:val="0"/>
          <w:numId w:val="49"/>
        </w:numPr>
        <w:spacing w:line="252" w:lineRule="auto"/>
        <w:ind w:left="990"/>
        <w:rPr>
          <w:rFonts w:ascii="Times New Roman" w:hAnsi="Times New Roman"/>
          <w:sz w:val="24"/>
          <w:szCs w:val="24"/>
        </w:rPr>
      </w:pPr>
      <w:r w:rsidRPr="00697735">
        <w:rPr>
          <w:rFonts w:ascii="Times New Roman" w:hAnsi="Times New Roman"/>
          <w:sz w:val="24"/>
          <w:szCs w:val="24"/>
        </w:rPr>
        <w:t>If the coverage rate is less than 40 percent, the FBI will not disseminate results.</w:t>
      </w:r>
    </w:p>
    <w:p w14:paraId="0BDE2967" w14:textId="78D2D1F5" w:rsidR="008D0DEA" w:rsidRPr="00697735" w:rsidRDefault="008D0DEA" w:rsidP="00697735">
      <w:pPr>
        <w:ind w:left="360"/>
      </w:pPr>
      <w:r w:rsidRPr="00697735">
        <w:t xml:space="preserve">In subsequent years, if any combination of conditions three and four are met for three consecutive years, or if condition four is met for two consecutive years, then the FBI will discontinue the collection and explore alternate approaches for collecting the information, for example by working cooperatively with the </w:t>
      </w:r>
      <w:r w:rsidR="00934023">
        <w:t xml:space="preserve">BJS </w:t>
      </w:r>
      <w:r w:rsidRPr="00697735">
        <w:t>to expand their current efforts to collect information on deaths in custody, to include law enforcement.</w:t>
      </w:r>
    </w:p>
    <w:p w14:paraId="41E02DF3" w14:textId="77777777" w:rsidR="00F65D05" w:rsidRPr="008D0DEA" w:rsidRDefault="00F65D05"/>
    <w:p w14:paraId="504F971F" w14:textId="23ACE846" w:rsidR="00CF534E" w:rsidRPr="00A02298" w:rsidRDefault="00CF534E">
      <w:r w:rsidRPr="00A02298">
        <w:t xml:space="preserve">17.  </w:t>
      </w:r>
      <w:r w:rsidRPr="007C2C22">
        <w:rPr>
          <w:u w:val="single"/>
        </w:rPr>
        <w:t>Expiration Date Approval</w:t>
      </w:r>
    </w:p>
    <w:p w14:paraId="186563EB" w14:textId="77777777" w:rsidR="00CF534E" w:rsidRPr="00A02298" w:rsidRDefault="00CF534E"/>
    <w:p w14:paraId="04B6F82E" w14:textId="11AC85FF" w:rsidR="00A02298" w:rsidRPr="00A02298" w:rsidRDefault="00A02298" w:rsidP="00A02298">
      <w:pPr>
        <w:ind w:left="360"/>
      </w:pPr>
      <w:r w:rsidRPr="00A02298">
        <w:t xml:space="preserve">The FBI does not want to display the expiration date for OMB approval of the information collection due to </w:t>
      </w:r>
      <w:r w:rsidR="00E10E51">
        <w:t>the mode of data</w:t>
      </w:r>
      <w:r w:rsidRPr="00A02298">
        <w:t xml:space="preserve"> collection</w:t>
      </w:r>
      <w:r w:rsidR="00E10E51">
        <w:t xml:space="preserve">.  The National </w:t>
      </w:r>
      <w:r w:rsidR="00514F4E">
        <w:t xml:space="preserve">UoF Data </w:t>
      </w:r>
      <w:r w:rsidR="00E10E51">
        <w:t xml:space="preserve">Collection </w:t>
      </w:r>
      <w:r w:rsidR="000D37EC">
        <w:t>is</w:t>
      </w:r>
      <w:r w:rsidR="00E10E51">
        <w:t xml:space="preserve"> collected via Web form available on the restricted-access </w:t>
      </w:r>
      <w:r w:rsidR="006F5EBF">
        <w:t>LEEP</w:t>
      </w:r>
      <w:r w:rsidR="00E10E51">
        <w:t>.  To keep an expiration date current would require programming changes on the Web form.</w:t>
      </w:r>
    </w:p>
    <w:p w14:paraId="7A5BACF6" w14:textId="77777777" w:rsidR="00F80808" w:rsidRPr="00A02298" w:rsidRDefault="00F80808"/>
    <w:p w14:paraId="35F83F80" w14:textId="77777777" w:rsidR="0001755F" w:rsidRDefault="0001755F">
      <w:pPr>
        <w:widowControl/>
        <w:autoSpaceDE/>
        <w:autoSpaceDN/>
        <w:adjustRightInd/>
      </w:pPr>
      <w:r>
        <w:br w:type="page"/>
      </w:r>
    </w:p>
    <w:p w14:paraId="2A0758AC" w14:textId="229D3FE9" w:rsidR="00CF534E" w:rsidRPr="00A02298" w:rsidRDefault="00CF534E">
      <w:r w:rsidRPr="00A02298">
        <w:t xml:space="preserve">18.  </w:t>
      </w:r>
      <w:r w:rsidRPr="007C2C22">
        <w:rPr>
          <w:u w:val="single"/>
        </w:rPr>
        <w:t>Exceptions to the Certification Statement</w:t>
      </w:r>
    </w:p>
    <w:p w14:paraId="76E18956" w14:textId="77777777" w:rsidR="00CF534E" w:rsidRPr="00A02298" w:rsidRDefault="00CF534E"/>
    <w:p w14:paraId="455E93B0" w14:textId="77777777" w:rsidR="00A02298" w:rsidRPr="00A02298" w:rsidRDefault="00A02298" w:rsidP="00A02298">
      <w:pPr>
        <w:pStyle w:val="ListParagraph"/>
        <w:autoSpaceDE w:val="0"/>
        <w:autoSpaceDN w:val="0"/>
        <w:adjustRightInd w:val="0"/>
        <w:spacing w:after="0" w:line="240" w:lineRule="auto"/>
        <w:ind w:left="360"/>
        <w:rPr>
          <w:rFonts w:ascii="Times New Roman" w:hAnsi="Times New Roman"/>
          <w:sz w:val="24"/>
          <w:szCs w:val="24"/>
        </w:rPr>
      </w:pPr>
      <w:r w:rsidRPr="00A02298">
        <w:rPr>
          <w:rFonts w:ascii="Times New Roman" w:hAnsi="Times New Roman"/>
          <w:sz w:val="24"/>
          <w:szCs w:val="24"/>
        </w:rPr>
        <w:t>Not applicable.</w:t>
      </w:r>
    </w:p>
    <w:p w14:paraId="5854B30F" w14:textId="77777777" w:rsidR="00F80808" w:rsidRPr="00A02298" w:rsidRDefault="00F80808"/>
    <w:p w14:paraId="44662469" w14:textId="77777777" w:rsidR="00CF534E" w:rsidRPr="00A02298" w:rsidRDefault="00CF534E">
      <w:r w:rsidRPr="00A02298">
        <w:t xml:space="preserve"> </w:t>
      </w:r>
    </w:p>
    <w:sectPr w:rsidR="00CF534E" w:rsidRPr="00A02298" w:rsidSect="0048246C">
      <w:pgSz w:w="12240" w:h="15840"/>
      <w:pgMar w:top="1440" w:right="1440" w:bottom="1170" w:left="1440" w:header="1440" w:footer="117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EDAD5B" w14:textId="77777777" w:rsidR="00514F4E" w:rsidRDefault="00514F4E" w:rsidP="00CF534E">
      <w:r>
        <w:separator/>
      </w:r>
    </w:p>
  </w:endnote>
  <w:endnote w:type="continuationSeparator" w:id="0">
    <w:p w14:paraId="320C009E" w14:textId="77777777" w:rsidR="00514F4E" w:rsidRDefault="00514F4E" w:rsidP="00CF534E">
      <w:r>
        <w:continuationSeparator/>
      </w:r>
    </w:p>
  </w:endnote>
  <w:endnote w:type="continuationNotice" w:id="1">
    <w:p w14:paraId="09611164" w14:textId="77777777" w:rsidR="00514F4E" w:rsidRDefault="00514F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MT">
    <w:altName w:val="Symbol"/>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Joanna MT">
    <w:altName w:val="Century"/>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766DD6" w14:textId="77777777" w:rsidR="00514F4E" w:rsidRDefault="00514F4E">
    <w:pPr>
      <w:spacing w:line="240" w:lineRule="exact"/>
    </w:pPr>
  </w:p>
  <w:p w14:paraId="0E609345" w14:textId="74161458" w:rsidR="00514F4E" w:rsidRDefault="00514F4E">
    <w:pPr>
      <w:framePr w:w="9361" w:wrap="notBeside" w:vAnchor="text" w:hAnchor="text" w:x="1" w:y="1"/>
      <w:jc w:val="center"/>
    </w:pPr>
    <w:r>
      <w:fldChar w:fldCharType="begin"/>
    </w:r>
    <w:r>
      <w:instrText xml:space="preserve">PAGE </w:instrText>
    </w:r>
    <w:r>
      <w:fldChar w:fldCharType="separate"/>
    </w:r>
    <w:r w:rsidR="000C2032">
      <w:rPr>
        <w:noProof/>
      </w:rPr>
      <w:t>1</w:t>
    </w:r>
    <w:r>
      <w:rPr>
        <w:noProof/>
      </w:rPr>
      <w:fldChar w:fldCharType="end"/>
    </w:r>
  </w:p>
  <w:p w14:paraId="29FE8074" w14:textId="77777777" w:rsidR="00514F4E" w:rsidRDefault="00514F4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E0A240" w14:textId="0C9FFE6D" w:rsidR="00514F4E" w:rsidRDefault="00514F4E">
    <w:pPr>
      <w:pStyle w:val="Footer"/>
      <w:jc w:val="right"/>
    </w:pPr>
    <w:r>
      <w:fldChar w:fldCharType="begin"/>
    </w:r>
    <w:r>
      <w:instrText xml:space="preserve"> PAGE   \* MERGEFORMAT </w:instrText>
    </w:r>
    <w:r>
      <w:fldChar w:fldCharType="separate"/>
    </w:r>
    <w:r w:rsidR="009E2ECF">
      <w:rPr>
        <w:noProof/>
      </w:rPr>
      <w:t>6</w:t>
    </w:r>
    <w:r>
      <w:rPr>
        <w:noProof/>
      </w:rPr>
      <w:fldChar w:fldCharType="end"/>
    </w:r>
  </w:p>
  <w:p w14:paraId="1ABD63AB" w14:textId="77777777" w:rsidR="00514F4E" w:rsidRDefault="00514F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85040E" w14:textId="77777777" w:rsidR="00514F4E" w:rsidRDefault="00514F4E" w:rsidP="00CF534E">
      <w:r>
        <w:separator/>
      </w:r>
    </w:p>
  </w:footnote>
  <w:footnote w:type="continuationSeparator" w:id="0">
    <w:p w14:paraId="4AD1A510" w14:textId="77777777" w:rsidR="00514F4E" w:rsidRDefault="00514F4E" w:rsidP="00CF534E">
      <w:r>
        <w:continuationSeparator/>
      </w:r>
    </w:p>
  </w:footnote>
  <w:footnote w:type="continuationNotice" w:id="1">
    <w:p w14:paraId="53D14433" w14:textId="77777777" w:rsidR="00514F4E" w:rsidRDefault="00514F4E"/>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62C26"/>
    <w:multiLevelType w:val="hybridMultilevel"/>
    <w:tmpl w:val="F1363554"/>
    <w:lvl w:ilvl="0" w:tplc="CB8A1EBA">
      <w:start w:val="1"/>
      <w:numFmt w:val="bullet"/>
      <w:lvlText w:val="o"/>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1BD540B"/>
    <w:multiLevelType w:val="hybridMultilevel"/>
    <w:tmpl w:val="FE9AE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6233FE"/>
    <w:multiLevelType w:val="hybridMultilevel"/>
    <w:tmpl w:val="ED4AD8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063F5CDF"/>
    <w:multiLevelType w:val="hybridMultilevel"/>
    <w:tmpl w:val="3CCCC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804ACE"/>
    <w:multiLevelType w:val="hybridMultilevel"/>
    <w:tmpl w:val="264A4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91F1201"/>
    <w:multiLevelType w:val="hybridMultilevel"/>
    <w:tmpl w:val="E1C27BF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DC1546E"/>
    <w:multiLevelType w:val="hybridMultilevel"/>
    <w:tmpl w:val="AC4C6B22"/>
    <w:lvl w:ilvl="0" w:tplc="CB8A1EBA">
      <w:start w:val="1"/>
      <w:numFmt w:val="bullet"/>
      <w:lvlText w:val="o"/>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0EBD2A54"/>
    <w:multiLevelType w:val="hybridMultilevel"/>
    <w:tmpl w:val="08EC7EC0"/>
    <w:lvl w:ilvl="0" w:tplc="CB8A1EBA">
      <w:start w:val="1"/>
      <w:numFmt w:val="bullet"/>
      <w:lvlText w:val="o"/>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3752AAE"/>
    <w:multiLevelType w:val="hybridMultilevel"/>
    <w:tmpl w:val="19D68C8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4EB2F4D"/>
    <w:multiLevelType w:val="hybridMultilevel"/>
    <w:tmpl w:val="8F7ADE18"/>
    <w:lvl w:ilvl="0" w:tplc="C0B0C438">
      <w:start w:val="1"/>
      <w:numFmt w:val="bullet"/>
      <w:lvlText w:val="•"/>
      <w:lvlJc w:val="left"/>
      <w:pPr>
        <w:tabs>
          <w:tab w:val="num" w:pos="1440"/>
        </w:tabs>
        <w:ind w:left="1440" w:hanging="360"/>
      </w:pPr>
      <w:rPr>
        <w:rFonts w:ascii="Arial" w:hAnsi="Arial" w:hint="default"/>
      </w:rPr>
    </w:lvl>
    <w:lvl w:ilvl="1" w:tplc="2DE293DC" w:tentative="1">
      <w:start w:val="1"/>
      <w:numFmt w:val="bullet"/>
      <w:lvlText w:val="•"/>
      <w:lvlJc w:val="left"/>
      <w:pPr>
        <w:tabs>
          <w:tab w:val="num" w:pos="2160"/>
        </w:tabs>
        <w:ind w:left="2160" w:hanging="360"/>
      </w:pPr>
      <w:rPr>
        <w:rFonts w:ascii="Arial" w:hAnsi="Arial" w:hint="default"/>
      </w:rPr>
    </w:lvl>
    <w:lvl w:ilvl="2" w:tplc="FD4E45BE" w:tentative="1">
      <w:start w:val="1"/>
      <w:numFmt w:val="bullet"/>
      <w:lvlText w:val="•"/>
      <w:lvlJc w:val="left"/>
      <w:pPr>
        <w:tabs>
          <w:tab w:val="num" w:pos="2880"/>
        </w:tabs>
        <w:ind w:left="2880" w:hanging="360"/>
      </w:pPr>
      <w:rPr>
        <w:rFonts w:ascii="Arial" w:hAnsi="Arial" w:hint="default"/>
      </w:rPr>
    </w:lvl>
    <w:lvl w:ilvl="3" w:tplc="E5CA0DD2" w:tentative="1">
      <w:start w:val="1"/>
      <w:numFmt w:val="bullet"/>
      <w:lvlText w:val="•"/>
      <w:lvlJc w:val="left"/>
      <w:pPr>
        <w:tabs>
          <w:tab w:val="num" w:pos="3600"/>
        </w:tabs>
        <w:ind w:left="3600" w:hanging="360"/>
      </w:pPr>
      <w:rPr>
        <w:rFonts w:ascii="Arial" w:hAnsi="Arial" w:hint="default"/>
      </w:rPr>
    </w:lvl>
    <w:lvl w:ilvl="4" w:tplc="72E2A8AC" w:tentative="1">
      <w:start w:val="1"/>
      <w:numFmt w:val="bullet"/>
      <w:lvlText w:val="•"/>
      <w:lvlJc w:val="left"/>
      <w:pPr>
        <w:tabs>
          <w:tab w:val="num" w:pos="4320"/>
        </w:tabs>
        <w:ind w:left="4320" w:hanging="360"/>
      </w:pPr>
      <w:rPr>
        <w:rFonts w:ascii="Arial" w:hAnsi="Arial" w:hint="default"/>
      </w:rPr>
    </w:lvl>
    <w:lvl w:ilvl="5" w:tplc="620CF2BE" w:tentative="1">
      <w:start w:val="1"/>
      <w:numFmt w:val="bullet"/>
      <w:lvlText w:val="•"/>
      <w:lvlJc w:val="left"/>
      <w:pPr>
        <w:tabs>
          <w:tab w:val="num" w:pos="5040"/>
        </w:tabs>
        <w:ind w:left="5040" w:hanging="360"/>
      </w:pPr>
      <w:rPr>
        <w:rFonts w:ascii="Arial" w:hAnsi="Arial" w:hint="default"/>
      </w:rPr>
    </w:lvl>
    <w:lvl w:ilvl="6" w:tplc="2646A1C6" w:tentative="1">
      <w:start w:val="1"/>
      <w:numFmt w:val="bullet"/>
      <w:lvlText w:val="•"/>
      <w:lvlJc w:val="left"/>
      <w:pPr>
        <w:tabs>
          <w:tab w:val="num" w:pos="5760"/>
        </w:tabs>
        <w:ind w:left="5760" w:hanging="360"/>
      </w:pPr>
      <w:rPr>
        <w:rFonts w:ascii="Arial" w:hAnsi="Arial" w:hint="default"/>
      </w:rPr>
    </w:lvl>
    <w:lvl w:ilvl="7" w:tplc="C5169078" w:tentative="1">
      <w:start w:val="1"/>
      <w:numFmt w:val="bullet"/>
      <w:lvlText w:val="•"/>
      <w:lvlJc w:val="left"/>
      <w:pPr>
        <w:tabs>
          <w:tab w:val="num" w:pos="6480"/>
        </w:tabs>
        <w:ind w:left="6480" w:hanging="360"/>
      </w:pPr>
      <w:rPr>
        <w:rFonts w:ascii="Arial" w:hAnsi="Arial" w:hint="default"/>
      </w:rPr>
    </w:lvl>
    <w:lvl w:ilvl="8" w:tplc="E0DE238E" w:tentative="1">
      <w:start w:val="1"/>
      <w:numFmt w:val="bullet"/>
      <w:lvlText w:val="•"/>
      <w:lvlJc w:val="left"/>
      <w:pPr>
        <w:tabs>
          <w:tab w:val="num" w:pos="7200"/>
        </w:tabs>
        <w:ind w:left="7200" w:hanging="360"/>
      </w:pPr>
      <w:rPr>
        <w:rFonts w:ascii="Arial" w:hAnsi="Arial" w:hint="default"/>
      </w:rPr>
    </w:lvl>
  </w:abstractNum>
  <w:abstractNum w:abstractNumId="10">
    <w:nsid w:val="162A707B"/>
    <w:multiLevelType w:val="hybridMultilevel"/>
    <w:tmpl w:val="D77C2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757260C"/>
    <w:multiLevelType w:val="multilevel"/>
    <w:tmpl w:val="A6E426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210C090C"/>
    <w:multiLevelType w:val="hybridMultilevel"/>
    <w:tmpl w:val="AA724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28D2A24"/>
    <w:multiLevelType w:val="hybridMultilevel"/>
    <w:tmpl w:val="D1AAF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4952250"/>
    <w:multiLevelType w:val="hybridMultilevel"/>
    <w:tmpl w:val="05F4A4E4"/>
    <w:lvl w:ilvl="0" w:tplc="CB8A1EBA">
      <w:start w:val="1"/>
      <w:numFmt w:val="bullet"/>
      <w:lvlText w:val="o"/>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28045134"/>
    <w:multiLevelType w:val="hybridMultilevel"/>
    <w:tmpl w:val="3BEE8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2FB0814"/>
    <w:multiLevelType w:val="hybridMultilevel"/>
    <w:tmpl w:val="3CA02552"/>
    <w:lvl w:ilvl="0" w:tplc="CB8A1EBA">
      <w:start w:val="1"/>
      <w:numFmt w:val="bullet"/>
      <w:lvlText w:val="o"/>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357A38DC"/>
    <w:multiLevelType w:val="hybridMultilevel"/>
    <w:tmpl w:val="08B69DC8"/>
    <w:lvl w:ilvl="0" w:tplc="CB8A1EBA">
      <w:start w:val="1"/>
      <w:numFmt w:val="bullet"/>
      <w:lvlText w:val="o"/>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35BD4005"/>
    <w:multiLevelType w:val="hybridMultilevel"/>
    <w:tmpl w:val="5D6EB45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C8A4366"/>
    <w:multiLevelType w:val="hybridMultilevel"/>
    <w:tmpl w:val="D7300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F351DC3"/>
    <w:multiLevelType w:val="hybridMultilevel"/>
    <w:tmpl w:val="71DED04A"/>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1">
    <w:nsid w:val="416D36CF"/>
    <w:multiLevelType w:val="hybridMultilevel"/>
    <w:tmpl w:val="D47088BA"/>
    <w:lvl w:ilvl="0" w:tplc="8A9C1CDC">
      <w:numFmt w:val="bullet"/>
      <w:lvlText w:val="•"/>
      <w:lvlJc w:val="left"/>
      <w:pPr>
        <w:ind w:left="1800" w:hanging="720"/>
      </w:pPr>
      <w:rPr>
        <w:rFonts w:ascii="Calibri" w:eastAsia="Calibri" w:hAnsi="Calibri"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41C90800"/>
    <w:multiLevelType w:val="hybridMultilevel"/>
    <w:tmpl w:val="2F868CDC"/>
    <w:lvl w:ilvl="0" w:tplc="3ECA1CB0">
      <w:start w:val="1"/>
      <w:numFmt w:val="bullet"/>
      <w:lvlText w:val=""/>
      <w:lvlJc w:val="left"/>
      <w:pPr>
        <w:ind w:left="1080" w:hanging="360"/>
      </w:pPr>
      <w:rPr>
        <w:rFonts w:ascii="Symbol MT" w:hAnsi="Symbol 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4CAD479D"/>
    <w:multiLevelType w:val="hybridMultilevel"/>
    <w:tmpl w:val="1AC454C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501D26D6"/>
    <w:multiLevelType w:val="hybridMultilevel"/>
    <w:tmpl w:val="17B27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3331FD3"/>
    <w:multiLevelType w:val="hybridMultilevel"/>
    <w:tmpl w:val="27E03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A356BD8"/>
    <w:multiLevelType w:val="hybridMultilevel"/>
    <w:tmpl w:val="2B7A2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19F6562"/>
    <w:multiLevelType w:val="hybridMultilevel"/>
    <w:tmpl w:val="73FA97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655F313E"/>
    <w:multiLevelType w:val="hybridMultilevel"/>
    <w:tmpl w:val="B4A01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6337822"/>
    <w:multiLevelType w:val="hybridMultilevel"/>
    <w:tmpl w:val="FFECC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79A530B"/>
    <w:multiLevelType w:val="hybridMultilevel"/>
    <w:tmpl w:val="B41062C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681E2301"/>
    <w:multiLevelType w:val="hybridMultilevel"/>
    <w:tmpl w:val="3828C8A4"/>
    <w:lvl w:ilvl="0" w:tplc="8A9C1CDC">
      <w:numFmt w:val="bullet"/>
      <w:lvlText w:val="•"/>
      <w:lvlJc w:val="left"/>
      <w:pPr>
        <w:ind w:left="2160" w:hanging="720"/>
      </w:pPr>
      <w:rPr>
        <w:rFonts w:ascii="Calibri" w:eastAsia="Calibri" w:hAnsi="Calibri"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32">
    <w:nsid w:val="68C403F5"/>
    <w:multiLevelType w:val="hybridMultilevel"/>
    <w:tmpl w:val="FAFC61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692278CD"/>
    <w:multiLevelType w:val="hybridMultilevel"/>
    <w:tmpl w:val="4112B1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9651579"/>
    <w:multiLevelType w:val="hybridMultilevel"/>
    <w:tmpl w:val="D1D67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96E75C6"/>
    <w:multiLevelType w:val="hybridMultilevel"/>
    <w:tmpl w:val="08282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9C9116E"/>
    <w:multiLevelType w:val="hybridMultilevel"/>
    <w:tmpl w:val="40F0AD38"/>
    <w:lvl w:ilvl="0" w:tplc="770099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69F640A4"/>
    <w:multiLevelType w:val="hybridMultilevel"/>
    <w:tmpl w:val="2548933A"/>
    <w:lvl w:ilvl="0" w:tplc="AFD05786">
      <w:start w:val="1"/>
      <w:numFmt w:val="bullet"/>
      <w:lvlText w:val="•"/>
      <w:lvlJc w:val="left"/>
      <w:pPr>
        <w:tabs>
          <w:tab w:val="num" w:pos="1440"/>
        </w:tabs>
        <w:ind w:left="1440" w:hanging="360"/>
      </w:pPr>
      <w:rPr>
        <w:rFonts w:ascii="Arial" w:hAnsi="Arial" w:hint="default"/>
      </w:rPr>
    </w:lvl>
    <w:lvl w:ilvl="1" w:tplc="346097D4" w:tentative="1">
      <w:start w:val="1"/>
      <w:numFmt w:val="bullet"/>
      <w:lvlText w:val="•"/>
      <w:lvlJc w:val="left"/>
      <w:pPr>
        <w:tabs>
          <w:tab w:val="num" w:pos="2160"/>
        </w:tabs>
        <w:ind w:left="2160" w:hanging="360"/>
      </w:pPr>
      <w:rPr>
        <w:rFonts w:ascii="Arial" w:hAnsi="Arial" w:hint="default"/>
      </w:rPr>
    </w:lvl>
    <w:lvl w:ilvl="2" w:tplc="3F483010" w:tentative="1">
      <w:start w:val="1"/>
      <w:numFmt w:val="bullet"/>
      <w:lvlText w:val="•"/>
      <w:lvlJc w:val="left"/>
      <w:pPr>
        <w:tabs>
          <w:tab w:val="num" w:pos="2880"/>
        </w:tabs>
        <w:ind w:left="2880" w:hanging="360"/>
      </w:pPr>
      <w:rPr>
        <w:rFonts w:ascii="Arial" w:hAnsi="Arial" w:hint="default"/>
      </w:rPr>
    </w:lvl>
    <w:lvl w:ilvl="3" w:tplc="4FF83F12" w:tentative="1">
      <w:start w:val="1"/>
      <w:numFmt w:val="bullet"/>
      <w:lvlText w:val="•"/>
      <w:lvlJc w:val="left"/>
      <w:pPr>
        <w:tabs>
          <w:tab w:val="num" w:pos="3600"/>
        </w:tabs>
        <w:ind w:left="3600" w:hanging="360"/>
      </w:pPr>
      <w:rPr>
        <w:rFonts w:ascii="Arial" w:hAnsi="Arial" w:hint="default"/>
      </w:rPr>
    </w:lvl>
    <w:lvl w:ilvl="4" w:tplc="0D48DB82" w:tentative="1">
      <w:start w:val="1"/>
      <w:numFmt w:val="bullet"/>
      <w:lvlText w:val="•"/>
      <w:lvlJc w:val="left"/>
      <w:pPr>
        <w:tabs>
          <w:tab w:val="num" w:pos="4320"/>
        </w:tabs>
        <w:ind w:left="4320" w:hanging="360"/>
      </w:pPr>
      <w:rPr>
        <w:rFonts w:ascii="Arial" w:hAnsi="Arial" w:hint="default"/>
      </w:rPr>
    </w:lvl>
    <w:lvl w:ilvl="5" w:tplc="98E88748" w:tentative="1">
      <w:start w:val="1"/>
      <w:numFmt w:val="bullet"/>
      <w:lvlText w:val="•"/>
      <w:lvlJc w:val="left"/>
      <w:pPr>
        <w:tabs>
          <w:tab w:val="num" w:pos="5040"/>
        </w:tabs>
        <w:ind w:left="5040" w:hanging="360"/>
      </w:pPr>
      <w:rPr>
        <w:rFonts w:ascii="Arial" w:hAnsi="Arial" w:hint="default"/>
      </w:rPr>
    </w:lvl>
    <w:lvl w:ilvl="6" w:tplc="6A9EB816" w:tentative="1">
      <w:start w:val="1"/>
      <w:numFmt w:val="bullet"/>
      <w:lvlText w:val="•"/>
      <w:lvlJc w:val="left"/>
      <w:pPr>
        <w:tabs>
          <w:tab w:val="num" w:pos="5760"/>
        </w:tabs>
        <w:ind w:left="5760" w:hanging="360"/>
      </w:pPr>
      <w:rPr>
        <w:rFonts w:ascii="Arial" w:hAnsi="Arial" w:hint="default"/>
      </w:rPr>
    </w:lvl>
    <w:lvl w:ilvl="7" w:tplc="9DB00648" w:tentative="1">
      <w:start w:val="1"/>
      <w:numFmt w:val="bullet"/>
      <w:lvlText w:val="•"/>
      <w:lvlJc w:val="left"/>
      <w:pPr>
        <w:tabs>
          <w:tab w:val="num" w:pos="6480"/>
        </w:tabs>
        <w:ind w:left="6480" w:hanging="360"/>
      </w:pPr>
      <w:rPr>
        <w:rFonts w:ascii="Arial" w:hAnsi="Arial" w:hint="default"/>
      </w:rPr>
    </w:lvl>
    <w:lvl w:ilvl="8" w:tplc="4968753E" w:tentative="1">
      <w:start w:val="1"/>
      <w:numFmt w:val="bullet"/>
      <w:lvlText w:val="•"/>
      <w:lvlJc w:val="left"/>
      <w:pPr>
        <w:tabs>
          <w:tab w:val="num" w:pos="7200"/>
        </w:tabs>
        <w:ind w:left="7200" w:hanging="360"/>
      </w:pPr>
      <w:rPr>
        <w:rFonts w:ascii="Arial" w:hAnsi="Arial" w:hint="default"/>
      </w:rPr>
    </w:lvl>
  </w:abstractNum>
  <w:abstractNum w:abstractNumId="38">
    <w:nsid w:val="71355B3B"/>
    <w:multiLevelType w:val="hybridMultilevel"/>
    <w:tmpl w:val="75D274EE"/>
    <w:lvl w:ilvl="0" w:tplc="3ECA1CB0">
      <w:start w:val="1"/>
      <w:numFmt w:val="bullet"/>
      <w:lvlText w:val=""/>
      <w:lvlJc w:val="left"/>
      <w:pPr>
        <w:ind w:left="1080" w:hanging="360"/>
      </w:pPr>
      <w:rPr>
        <w:rFonts w:ascii="Symbol MT" w:hAnsi="Symbol 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739035A6"/>
    <w:multiLevelType w:val="hybridMultilevel"/>
    <w:tmpl w:val="BE821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45F43BE"/>
    <w:multiLevelType w:val="hybridMultilevel"/>
    <w:tmpl w:val="2070F526"/>
    <w:lvl w:ilvl="0" w:tplc="CB8A1EBA">
      <w:start w:val="1"/>
      <w:numFmt w:val="bullet"/>
      <w:lvlText w:val="o"/>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nsid w:val="755209B7"/>
    <w:multiLevelType w:val="hybridMultilevel"/>
    <w:tmpl w:val="A9EC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58F4522"/>
    <w:multiLevelType w:val="hybridMultilevel"/>
    <w:tmpl w:val="F7A2A1A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76003B13"/>
    <w:multiLevelType w:val="hybridMultilevel"/>
    <w:tmpl w:val="14AC6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73A4587"/>
    <w:multiLevelType w:val="hybridMultilevel"/>
    <w:tmpl w:val="3A0E8B3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nsid w:val="79865072"/>
    <w:multiLevelType w:val="multilevel"/>
    <w:tmpl w:val="BB7E61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6">
    <w:nsid w:val="79BB5A9F"/>
    <w:multiLevelType w:val="hybridMultilevel"/>
    <w:tmpl w:val="A554EFF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7">
    <w:nsid w:val="7DB60094"/>
    <w:multiLevelType w:val="hybridMultilevel"/>
    <w:tmpl w:val="C79EA254"/>
    <w:lvl w:ilvl="0" w:tplc="CB8A1EBA">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FC736E9"/>
    <w:multiLevelType w:val="hybridMultilevel"/>
    <w:tmpl w:val="9C921ED4"/>
    <w:lvl w:ilvl="0" w:tplc="CB8A1EBA">
      <w:start w:val="1"/>
      <w:numFmt w:val="bullet"/>
      <w:lvlText w:val="o"/>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1"/>
  </w:num>
  <w:num w:numId="2">
    <w:abstractNumId w:val="46"/>
  </w:num>
  <w:num w:numId="3">
    <w:abstractNumId w:val="31"/>
  </w:num>
  <w:num w:numId="4">
    <w:abstractNumId w:val="5"/>
  </w:num>
  <w:num w:numId="5">
    <w:abstractNumId w:val="23"/>
  </w:num>
  <w:num w:numId="6">
    <w:abstractNumId w:val="36"/>
  </w:num>
  <w:num w:numId="7">
    <w:abstractNumId w:val="44"/>
  </w:num>
  <w:num w:numId="8">
    <w:abstractNumId w:val="42"/>
  </w:num>
  <w:num w:numId="9">
    <w:abstractNumId w:val="39"/>
  </w:num>
  <w:num w:numId="10">
    <w:abstractNumId w:val="8"/>
  </w:num>
  <w:num w:numId="11">
    <w:abstractNumId w:val="18"/>
  </w:num>
  <w:num w:numId="12">
    <w:abstractNumId w:val="27"/>
  </w:num>
  <w:num w:numId="13">
    <w:abstractNumId w:val="15"/>
  </w:num>
  <w:num w:numId="14">
    <w:abstractNumId w:val="33"/>
  </w:num>
  <w:num w:numId="15">
    <w:abstractNumId w:val="30"/>
  </w:num>
  <w:num w:numId="16">
    <w:abstractNumId w:val="38"/>
  </w:num>
  <w:num w:numId="17">
    <w:abstractNumId w:val="22"/>
  </w:num>
  <w:num w:numId="18">
    <w:abstractNumId w:val="43"/>
  </w:num>
  <w:num w:numId="19">
    <w:abstractNumId w:val="12"/>
  </w:num>
  <w:num w:numId="20">
    <w:abstractNumId w:val="24"/>
  </w:num>
  <w:num w:numId="21">
    <w:abstractNumId w:val="32"/>
  </w:num>
  <w:num w:numId="22">
    <w:abstractNumId w:val="35"/>
  </w:num>
  <w:num w:numId="23">
    <w:abstractNumId w:val="26"/>
  </w:num>
  <w:num w:numId="24">
    <w:abstractNumId w:val="28"/>
  </w:num>
  <w:num w:numId="25">
    <w:abstractNumId w:val="34"/>
  </w:num>
  <w:num w:numId="26">
    <w:abstractNumId w:val="41"/>
  </w:num>
  <w:num w:numId="27">
    <w:abstractNumId w:val="19"/>
  </w:num>
  <w:num w:numId="28">
    <w:abstractNumId w:val="13"/>
  </w:num>
  <w:num w:numId="29">
    <w:abstractNumId w:val="2"/>
    <w:lvlOverride w:ilvl="0"/>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7"/>
  </w:num>
  <w:num w:numId="31">
    <w:abstractNumId w:val="9"/>
  </w:num>
  <w:num w:numId="32">
    <w:abstractNumId w:val="14"/>
  </w:num>
  <w:num w:numId="33">
    <w:abstractNumId w:val="40"/>
  </w:num>
  <w:num w:numId="34">
    <w:abstractNumId w:val="16"/>
  </w:num>
  <w:num w:numId="35">
    <w:abstractNumId w:val="0"/>
  </w:num>
  <w:num w:numId="36">
    <w:abstractNumId w:val="17"/>
  </w:num>
  <w:num w:numId="37">
    <w:abstractNumId w:val="48"/>
  </w:num>
  <w:num w:numId="38">
    <w:abstractNumId w:val="7"/>
  </w:num>
  <w:num w:numId="39">
    <w:abstractNumId w:val="6"/>
  </w:num>
  <w:num w:numId="40">
    <w:abstractNumId w:val="47"/>
  </w:num>
  <w:num w:numId="41">
    <w:abstractNumId w:val="4"/>
  </w:num>
  <w:num w:numId="42">
    <w:abstractNumId w:val="45"/>
  </w:num>
  <w:num w:numId="43">
    <w:abstractNumId w:val="11"/>
  </w:num>
  <w:num w:numId="44">
    <w:abstractNumId w:val="29"/>
  </w:num>
  <w:num w:numId="45">
    <w:abstractNumId w:val="10"/>
  </w:num>
  <w:num w:numId="46">
    <w:abstractNumId w:val="25"/>
  </w:num>
  <w:num w:numId="47">
    <w:abstractNumId w:val="3"/>
  </w:num>
  <w:num w:numId="48">
    <w:abstractNumId w:val="1"/>
  </w:num>
  <w:num w:numId="4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8913"/>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34E"/>
    <w:rsid w:val="00013171"/>
    <w:rsid w:val="000148BE"/>
    <w:rsid w:val="0001755F"/>
    <w:rsid w:val="00046E23"/>
    <w:rsid w:val="0009734F"/>
    <w:rsid w:val="00097654"/>
    <w:rsid w:val="000C1DD0"/>
    <w:rsid w:val="000C2032"/>
    <w:rsid w:val="000C3F48"/>
    <w:rsid w:val="000D37EC"/>
    <w:rsid w:val="000E6C57"/>
    <w:rsid w:val="0014261C"/>
    <w:rsid w:val="0015436E"/>
    <w:rsid w:val="00175521"/>
    <w:rsid w:val="001916C6"/>
    <w:rsid w:val="00192167"/>
    <w:rsid w:val="001C5290"/>
    <w:rsid w:val="001F2915"/>
    <w:rsid w:val="00202BF0"/>
    <w:rsid w:val="00220B17"/>
    <w:rsid w:val="00230CD4"/>
    <w:rsid w:val="00251DD6"/>
    <w:rsid w:val="00256C6B"/>
    <w:rsid w:val="00291934"/>
    <w:rsid w:val="002D1553"/>
    <w:rsid w:val="00315EDB"/>
    <w:rsid w:val="003239D6"/>
    <w:rsid w:val="003315F4"/>
    <w:rsid w:val="00341957"/>
    <w:rsid w:val="00356D00"/>
    <w:rsid w:val="00382B8E"/>
    <w:rsid w:val="003A332D"/>
    <w:rsid w:val="003E24CF"/>
    <w:rsid w:val="003E4C50"/>
    <w:rsid w:val="00422F92"/>
    <w:rsid w:val="00430801"/>
    <w:rsid w:val="00475410"/>
    <w:rsid w:val="0048246C"/>
    <w:rsid w:val="0048764C"/>
    <w:rsid w:val="004969B1"/>
    <w:rsid w:val="004D7117"/>
    <w:rsid w:val="004E37B2"/>
    <w:rsid w:val="004E3882"/>
    <w:rsid w:val="004E786C"/>
    <w:rsid w:val="00514F4E"/>
    <w:rsid w:val="0052048D"/>
    <w:rsid w:val="00534707"/>
    <w:rsid w:val="00594BFE"/>
    <w:rsid w:val="00594CD9"/>
    <w:rsid w:val="00595985"/>
    <w:rsid w:val="00597128"/>
    <w:rsid w:val="005A5274"/>
    <w:rsid w:val="005B0219"/>
    <w:rsid w:val="005D6F50"/>
    <w:rsid w:val="00613783"/>
    <w:rsid w:val="00621FBC"/>
    <w:rsid w:val="00625C5D"/>
    <w:rsid w:val="00631EB1"/>
    <w:rsid w:val="00634B3F"/>
    <w:rsid w:val="006521D4"/>
    <w:rsid w:val="0068433C"/>
    <w:rsid w:val="00697735"/>
    <w:rsid w:val="006A400F"/>
    <w:rsid w:val="006C0A78"/>
    <w:rsid w:val="006F244F"/>
    <w:rsid w:val="006F3497"/>
    <w:rsid w:val="006F47B7"/>
    <w:rsid w:val="006F5EBF"/>
    <w:rsid w:val="00715A71"/>
    <w:rsid w:val="00753A0E"/>
    <w:rsid w:val="00772204"/>
    <w:rsid w:val="00776448"/>
    <w:rsid w:val="007A5F3F"/>
    <w:rsid w:val="007B2624"/>
    <w:rsid w:val="007C2C22"/>
    <w:rsid w:val="007C6C6B"/>
    <w:rsid w:val="00806C54"/>
    <w:rsid w:val="008311AE"/>
    <w:rsid w:val="008317FA"/>
    <w:rsid w:val="008403CE"/>
    <w:rsid w:val="00842671"/>
    <w:rsid w:val="00842DDB"/>
    <w:rsid w:val="008515D6"/>
    <w:rsid w:val="00870699"/>
    <w:rsid w:val="008A707C"/>
    <w:rsid w:val="008C1FAA"/>
    <w:rsid w:val="008D0DEA"/>
    <w:rsid w:val="008F3898"/>
    <w:rsid w:val="009058D1"/>
    <w:rsid w:val="009172E1"/>
    <w:rsid w:val="00917EB1"/>
    <w:rsid w:val="00934023"/>
    <w:rsid w:val="00951E78"/>
    <w:rsid w:val="009549BC"/>
    <w:rsid w:val="009865FA"/>
    <w:rsid w:val="0099603E"/>
    <w:rsid w:val="009C033A"/>
    <w:rsid w:val="009C3920"/>
    <w:rsid w:val="009C5954"/>
    <w:rsid w:val="009C6CCD"/>
    <w:rsid w:val="009E2ECF"/>
    <w:rsid w:val="009F56EA"/>
    <w:rsid w:val="00A02298"/>
    <w:rsid w:val="00A50E5E"/>
    <w:rsid w:val="00A5219E"/>
    <w:rsid w:val="00A53E2F"/>
    <w:rsid w:val="00A64EE5"/>
    <w:rsid w:val="00A74B60"/>
    <w:rsid w:val="00AA29C7"/>
    <w:rsid w:val="00AA2C06"/>
    <w:rsid w:val="00AA4D3B"/>
    <w:rsid w:val="00AA6D58"/>
    <w:rsid w:val="00AD59F8"/>
    <w:rsid w:val="00B37DC7"/>
    <w:rsid w:val="00B50EA9"/>
    <w:rsid w:val="00B56ED2"/>
    <w:rsid w:val="00B65021"/>
    <w:rsid w:val="00B80B80"/>
    <w:rsid w:val="00B86C25"/>
    <w:rsid w:val="00BA0E5F"/>
    <w:rsid w:val="00BC05AB"/>
    <w:rsid w:val="00BC5D5B"/>
    <w:rsid w:val="00BD4D0A"/>
    <w:rsid w:val="00BE2251"/>
    <w:rsid w:val="00BE3B4C"/>
    <w:rsid w:val="00BF1803"/>
    <w:rsid w:val="00BF5653"/>
    <w:rsid w:val="00BF6E1A"/>
    <w:rsid w:val="00C06903"/>
    <w:rsid w:val="00C70F3F"/>
    <w:rsid w:val="00CC7DF4"/>
    <w:rsid w:val="00CD3ADD"/>
    <w:rsid w:val="00CD5A8C"/>
    <w:rsid w:val="00CE17CA"/>
    <w:rsid w:val="00CF534E"/>
    <w:rsid w:val="00CF66E2"/>
    <w:rsid w:val="00CF7D5D"/>
    <w:rsid w:val="00D413AD"/>
    <w:rsid w:val="00D450F7"/>
    <w:rsid w:val="00D700DC"/>
    <w:rsid w:val="00D92AE6"/>
    <w:rsid w:val="00DB4402"/>
    <w:rsid w:val="00DC68E8"/>
    <w:rsid w:val="00DD57CB"/>
    <w:rsid w:val="00DE1A26"/>
    <w:rsid w:val="00DF0C71"/>
    <w:rsid w:val="00E0538D"/>
    <w:rsid w:val="00E06D0A"/>
    <w:rsid w:val="00E10E51"/>
    <w:rsid w:val="00E30C7F"/>
    <w:rsid w:val="00E32230"/>
    <w:rsid w:val="00E352DC"/>
    <w:rsid w:val="00E36CB5"/>
    <w:rsid w:val="00E77D88"/>
    <w:rsid w:val="00EA143D"/>
    <w:rsid w:val="00EB32C7"/>
    <w:rsid w:val="00EB5066"/>
    <w:rsid w:val="00ED364D"/>
    <w:rsid w:val="00F17105"/>
    <w:rsid w:val="00F268ED"/>
    <w:rsid w:val="00F65D05"/>
    <w:rsid w:val="00F80808"/>
    <w:rsid w:val="00F8292B"/>
    <w:rsid w:val="00F944FC"/>
    <w:rsid w:val="00FB4905"/>
    <w:rsid w:val="00FC6005"/>
    <w:rsid w:val="00FF70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o:shapelayout v:ext="edit">
      <o:idmap v:ext="edit" data="1"/>
    </o:shapelayout>
  </w:shapeDefaults>
  <w:decimalSymbol w:val="."/>
  <w:listSeparator w:val=","/>
  <w14:docId w14:val="2CE44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7DF4"/>
    <w:pPr>
      <w:widowControl w:val="0"/>
      <w:autoSpaceDE w:val="0"/>
      <w:autoSpaceDN w:val="0"/>
      <w:adjustRightInd w:val="0"/>
    </w:pPr>
    <w:rPr>
      <w:rFonts w:ascii="Times New Roman" w:hAnsi="Times New Roman"/>
      <w:sz w:val="24"/>
      <w:szCs w:val="24"/>
    </w:rPr>
  </w:style>
  <w:style w:type="paragraph" w:styleId="Heading1">
    <w:name w:val="heading 1"/>
    <w:basedOn w:val="Normal"/>
    <w:next w:val="Normal"/>
    <w:link w:val="Heading1Char"/>
    <w:uiPriority w:val="9"/>
    <w:qFormat/>
    <w:rsid w:val="009C6CC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C6CC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9C6CCD"/>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unhideWhenUsed/>
    <w:qFormat/>
    <w:rsid w:val="009C6CCD"/>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9C6CCD"/>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6CC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9C6CCD"/>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9C6CCD"/>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9C6CCD"/>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uiPriority w:val="9"/>
    <w:rsid w:val="009C6CCD"/>
    <w:rPr>
      <w:rFonts w:asciiTheme="majorHAnsi" w:eastAsiaTheme="majorEastAsia" w:hAnsiTheme="majorHAnsi" w:cstheme="majorBidi"/>
      <w:color w:val="2E74B5" w:themeColor="accent1" w:themeShade="BF"/>
      <w:sz w:val="24"/>
      <w:szCs w:val="24"/>
    </w:rPr>
  </w:style>
  <w:style w:type="character" w:styleId="FootnoteReference">
    <w:name w:val="footnote reference"/>
    <w:uiPriority w:val="99"/>
    <w:rsid w:val="00CC7DF4"/>
  </w:style>
  <w:style w:type="character" w:customStyle="1" w:styleId="Hypertext">
    <w:name w:val="Hypertext"/>
    <w:uiPriority w:val="99"/>
    <w:rsid w:val="00CC7DF4"/>
    <w:rPr>
      <w:color w:val="0000FF"/>
      <w:u w:val="single"/>
    </w:rPr>
  </w:style>
  <w:style w:type="paragraph" w:styleId="ListParagraph">
    <w:name w:val="List Paragraph"/>
    <w:basedOn w:val="Normal"/>
    <w:uiPriority w:val="34"/>
    <w:qFormat/>
    <w:rsid w:val="0048246C"/>
    <w:pPr>
      <w:widowControl/>
      <w:autoSpaceDE/>
      <w:autoSpaceDN/>
      <w:adjustRightInd/>
      <w:spacing w:after="160" w:line="259" w:lineRule="auto"/>
      <w:ind w:left="720"/>
      <w:contextualSpacing/>
    </w:pPr>
    <w:rPr>
      <w:rFonts w:ascii="Calibri" w:eastAsia="Calibri" w:hAnsi="Calibri"/>
      <w:sz w:val="22"/>
      <w:szCs w:val="22"/>
    </w:rPr>
  </w:style>
  <w:style w:type="paragraph" w:styleId="Caption">
    <w:name w:val="caption"/>
    <w:basedOn w:val="Normal"/>
    <w:next w:val="Normal"/>
    <w:uiPriority w:val="35"/>
    <w:unhideWhenUsed/>
    <w:qFormat/>
    <w:rsid w:val="0048246C"/>
    <w:pPr>
      <w:widowControl/>
      <w:autoSpaceDE/>
      <w:autoSpaceDN/>
      <w:adjustRightInd/>
      <w:spacing w:after="200"/>
    </w:pPr>
    <w:rPr>
      <w:rFonts w:ascii="Calibri" w:eastAsia="Calibri" w:hAnsi="Calibri"/>
      <w:i/>
      <w:iCs/>
      <w:color w:val="44546A"/>
      <w:sz w:val="18"/>
      <w:szCs w:val="18"/>
    </w:rPr>
  </w:style>
  <w:style w:type="paragraph" w:customStyle="1" w:styleId="Default">
    <w:name w:val="Default"/>
    <w:rsid w:val="0048246C"/>
    <w:pPr>
      <w:widowControl w:val="0"/>
      <w:autoSpaceDE w:val="0"/>
      <w:autoSpaceDN w:val="0"/>
      <w:adjustRightInd w:val="0"/>
    </w:pPr>
    <w:rPr>
      <w:rFonts w:ascii="Joanna MT" w:hAnsi="Joanna MT" w:cs="Joanna MT"/>
      <w:color w:val="000000"/>
      <w:sz w:val="24"/>
      <w:szCs w:val="24"/>
    </w:rPr>
  </w:style>
  <w:style w:type="paragraph" w:styleId="Footer">
    <w:name w:val="footer"/>
    <w:basedOn w:val="Normal"/>
    <w:link w:val="FooterChar"/>
    <w:uiPriority w:val="99"/>
    <w:unhideWhenUsed/>
    <w:rsid w:val="0048246C"/>
    <w:pPr>
      <w:widowControl/>
      <w:tabs>
        <w:tab w:val="center" w:pos="4680"/>
        <w:tab w:val="right" w:pos="9360"/>
      </w:tabs>
      <w:autoSpaceDE/>
      <w:autoSpaceDN/>
      <w:adjustRightInd/>
    </w:pPr>
    <w:rPr>
      <w:rFonts w:ascii="Calibri" w:eastAsia="Calibri" w:hAnsi="Calibri"/>
      <w:sz w:val="22"/>
      <w:szCs w:val="22"/>
    </w:rPr>
  </w:style>
  <w:style w:type="character" w:customStyle="1" w:styleId="FooterChar">
    <w:name w:val="Footer Char"/>
    <w:link w:val="Footer"/>
    <w:uiPriority w:val="99"/>
    <w:rsid w:val="0048246C"/>
    <w:rPr>
      <w:rFonts w:eastAsia="Calibri"/>
      <w:sz w:val="22"/>
      <w:szCs w:val="22"/>
    </w:rPr>
  </w:style>
  <w:style w:type="paragraph" w:styleId="NormalWeb">
    <w:name w:val="Normal (Web)"/>
    <w:basedOn w:val="Normal"/>
    <w:uiPriority w:val="99"/>
    <w:unhideWhenUsed/>
    <w:rsid w:val="0048246C"/>
    <w:pPr>
      <w:widowControl/>
      <w:autoSpaceDE/>
      <w:autoSpaceDN/>
      <w:adjustRightInd/>
    </w:pPr>
    <w:rPr>
      <w:rFonts w:eastAsia="Calibri"/>
    </w:rPr>
  </w:style>
  <w:style w:type="character" w:styleId="CommentReference">
    <w:name w:val="annotation reference"/>
    <w:uiPriority w:val="99"/>
    <w:semiHidden/>
    <w:unhideWhenUsed/>
    <w:rsid w:val="005D6F50"/>
    <w:rPr>
      <w:sz w:val="16"/>
      <w:szCs w:val="16"/>
    </w:rPr>
  </w:style>
  <w:style w:type="paragraph" w:styleId="CommentText">
    <w:name w:val="annotation text"/>
    <w:basedOn w:val="Normal"/>
    <w:link w:val="CommentTextChar"/>
    <w:uiPriority w:val="99"/>
    <w:semiHidden/>
    <w:unhideWhenUsed/>
    <w:rsid w:val="005D6F50"/>
    <w:rPr>
      <w:sz w:val="20"/>
      <w:szCs w:val="20"/>
    </w:rPr>
  </w:style>
  <w:style w:type="character" w:customStyle="1" w:styleId="CommentTextChar">
    <w:name w:val="Comment Text Char"/>
    <w:link w:val="CommentText"/>
    <w:uiPriority w:val="99"/>
    <w:semiHidden/>
    <w:rsid w:val="005D6F50"/>
    <w:rPr>
      <w:rFonts w:ascii="Times New Roman" w:hAnsi="Times New Roman"/>
    </w:rPr>
  </w:style>
  <w:style w:type="paragraph" w:styleId="CommentSubject">
    <w:name w:val="annotation subject"/>
    <w:basedOn w:val="CommentText"/>
    <w:next w:val="CommentText"/>
    <w:link w:val="CommentSubjectChar"/>
    <w:uiPriority w:val="99"/>
    <w:semiHidden/>
    <w:unhideWhenUsed/>
    <w:rsid w:val="005D6F50"/>
    <w:rPr>
      <w:b/>
      <w:bCs/>
    </w:rPr>
  </w:style>
  <w:style w:type="character" w:customStyle="1" w:styleId="CommentSubjectChar">
    <w:name w:val="Comment Subject Char"/>
    <w:link w:val="CommentSubject"/>
    <w:uiPriority w:val="99"/>
    <w:semiHidden/>
    <w:rsid w:val="005D6F50"/>
    <w:rPr>
      <w:rFonts w:ascii="Times New Roman" w:hAnsi="Times New Roman"/>
      <w:b/>
      <w:bCs/>
    </w:rPr>
  </w:style>
  <w:style w:type="paragraph" w:styleId="BalloonText">
    <w:name w:val="Balloon Text"/>
    <w:basedOn w:val="Normal"/>
    <w:link w:val="BalloonTextChar"/>
    <w:uiPriority w:val="99"/>
    <w:semiHidden/>
    <w:unhideWhenUsed/>
    <w:rsid w:val="005D6F50"/>
    <w:rPr>
      <w:rFonts w:ascii="Segoe UI" w:hAnsi="Segoe UI" w:cs="Segoe UI"/>
      <w:sz w:val="18"/>
      <w:szCs w:val="18"/>
    </w:rPr>
  </w:style>
  <w:style w:type="character" w:customStyle="1" w:styleId="BalloonTextChar">
    <w:name w:val="Balloon Text Char"/>
    <w:link w:val="BalloonText"/>
    <w:uiPriority w:val="99"/>
    <w:semiHidden/>
    <w:rsid w:val="005D6F50"/>
    <w:rPr>
      <w:rFonts w:ascii="Segoe UI" w:hAnsi="Segoe UI" w:cs="Segoe UI"/>
      <w:sz w:val="18"/>
      <w:szCs w:val="18"/>
    </w:rPr>
  </w:style>
  <w:style w:type="paragraph" w:styleId="Header">
    <w:name w:val="header"/>
    <w:basedOn w:val="Normal"/>
    <w:link w:val="HeaderChar"/>
    <w:uiPriority w:val="99"/>
    <w:unhideWhenUsed/>
    <w:rsid w:val="00A50E5E"/>
    <w:pPr>
      <w:tabs>
        <w:tab w:val="center" w:pos="4680"/>
        <w:tab w:val="right" w:pos="9360"/>
      </w:tabs>
    </w:pPr>
  </w:style>
  <w:style w:type="character" w:customStyle="1" w:styleId="HeaderChar">
    <w:name w:val="Header Char"/>
    <w:basedOn w:val="DefaultParagraphFont"/>
    <w:link w:val="Header"/>
    <w:uiPriority w:val="99"/>
    <w:rsid w:val="00A50E5E"/>
    <w:rPr>
      <w:rFonts w:ascii="Times New Roman" w:hAnsi="Times New Roman"/>
      <w:sz w:val="24"/>
      <w:szCs w:val="24"/>
    </w:rPr>
  </w:style>
  <w:style w:type="paragraph" w:styleId="Title">
    <w:name w:val="Title"/>
    <w:basedOn w:val="Normal"/>
    <w:next w:val="Normal"/>
    <w:link w:val="TitleChar"/>
    <w:uiPriority w:val="10"/>
    <w:qFormat/>
    <w:rsid w:val="009C6CC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C6CCD"/>
    <w:rPr>
      <w:rFonts w:asciiTheme="majorHAnsi" w:eastAsiaTheme="majorEastAsia" w:hAnsiTheme="majorHAnsi" w:cstheme="majorBidi"/>
      <w:spacing w:val="-10"/>
      <w:kern w:val="28"/>
      <w:sz w:val="56"/>
      <w:szCs w:val="56"/>
    </w:rPr>
  </w:style>
  <w:style w:type="table" w:customStyle="1" w:styleId="GridTableLight">
    <w:name w:val="Grid Table Light"/>
    <w:basedOn w:val="TableNormal"/>
    <w:uiPriority w:val="40"/>
    <w:rsid w:val="009C6CCD"/>
    <w:rPr>
      <w:rFonts w:asciiTheme="minorHAnsi" w:eastAsiaTheme="minorHAnsi" w:hAnsiTheme="minorHAnsi" w:cstheme="minorBid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Spacing">
    <w:name w:val="No Spacing"/>
    <w:uiPriority w:val="1"/>
    <w:qFormat/>
    <w:rsid w:val="009C6CCD"/>
    <w:pPr>
      <w:widowControl w:val="0"/>
      <w:autoSpaceDE w:val="0"/>
      <w:autoSpaceDN w:val="0"/>
      <w:adjustRightInd w:val="0"/>
    </w:pPr>
    <w:rPr>
      <w:rFonts w:ascii="Times New Roman" w:hAnsi="Times New Roman"/>
      <w:sz w:val="24"/>
      <w:szCs w:val="24"/>
    </w:rPr>
  </w:style>
  <w:style w:type="character" w:customStyle="1" w:styleId="tgc">
    <w:name w:val="_tgc"/>
    <w:basedOn w:val="DefaultParagraphFont"/>
    <w:rsid w:val="009C6CCD"/>
  </w:style>
  <w:style w:type="table" w:styleId="TableGrid">
    <w:name w:val="Table Grid"/>
    <w:basedOn w:val="TableNormal"/>
    <w:uiPriority w:val="39"/>
    <w:rsid w:val="009C6CC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C6CCD"/>
    <w:rPr>
      <w:sz w:val="20"/>
      <w:szCs w:val="20"/>
    </w:rPr>
  </w:style>
  <w:style w:type="character" w:customStyle="1" w:styleId="FootnoteTextChar">
    <w:name w:val="Footnote Text Char"/>
    <w:basedOn w:val="DefaultParagraphFont"/>
    <w:link w:val="FootnoteText"/>
    <w:uiPriority w:val="99"/>
    <w:semiHidden/>
    <w:rsid w:val="009C6CCD"/>
    <w:rPr>
      <w:rFonts w:ascii="Times New Roman" w:hAnsi="Times New Roman"/>
    </w:rPr>
  </w:style>
  <w:style w:type="character" w:styleId="Hyperlink">
    <w:name w:val="Hyperlink"/>
    <w:basedOn w:val="DefaultParagraphFont"/>
    <w:uiPriority w:val="99"/>
    <w:unhideWhenUsed/>
    <w:rsid w:val="009C6CCD"/>
    <w:rPr>
      <w:color w:val="0563C1" w:themeColor="hyperlink"/>
      <w:u w:val="single"/>
    </w:rPr>
  </w:style>
  <w:style w:type="character" w:styleId="Strong">
    <w:name w:val="Strong"/>
    <w:basedOn w:val="DefaultParagraphFont"/>
    <w:uiPriority w:val="22"/>
    <w:qFormat/>
    <w:rsid w:val="009C6CCD"/>
    <w:rPr>
      <w:b/>
      <w:bCs/>
    </w:rPr>
  </w:style>
  <w:style w:type="paragraph" w:styleId="Revision">
    <w:name w:val="Revision"/>
    <w:hidden/>
    <w:uiPriority w:val="99"/>
    <w:semiHidden/>
    <w:rsid w:val="000D37EC"/>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7DF4"/>
    <w:pPr>
      <w:widowControl w:val="0"/>
      <w:autoSpaceDE w:val="0"/>
      <w:autoSpaceDN w:val="0"/>
      <w:adjustRightInd w:val="0"/>
    </w:pPr>
    <w:rPr>
      <w:rFonts w:ascii="Times New Roman" w:hAnsi="Times New Roman"/>
      <w:sz w:val="24"/>
      <w:szCs w:val="24"/>
    </w:rPr>
  </w:style>
  <w:style w:type="paragraph" w:styleId="Heading1">
    <w:name w:val="heading 1"/>
    <w:basedOn w:val="Normal"/>
    <w:next w:val="Normal"/>
    <w:link w:val="Heading1Char"/>
    <w:uiPriority w:val="9"/>
    <w:qFormat/>
    <w:rsid w:val="009C6CC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C6CC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9C6CCD"/>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unhideWhenUsed/>
    <w:qFormat/>
    <w:rsid w:val="009C6CCD"/>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9C6CCD"/>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6CC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9C6CCD"/>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9C6CCD"/>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9C6CCD"/>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uiPriority w:val="9"/>
    <w:rsid w:val="009C6CCD"/>
    <w:rPr>
      <w:rFonts w:asciiTheme="majorHAnsi" w:eastAsiaTheme="majorEastAsia" w:hAnsiTheme="majorHAnsi" w:cstheme="majorBidi"/>
      <w:color w:val="2E74B5" w:themeColor="accent1" w:themeShade="BF"/>
      <w:sz w:val="24"/>
      <w:szCs w:val="24"/>
    </w:rPr>
  </w:style>
  <w:style w:type="character" w:styleId="FootnoteReference">
    <w:name w:val="footnote reference"/>
    <w:uiPriority w:val="99"/>
    <w:rsid w:val="00CC7DF4"/>
  </w:style>
  <w:style w:type="character" w:customStyle="1" w:styleId="Hypertext">
    <w:name w:val="Hypertext"/>
    <w:uiPriority w:val="99"/>
    <w:rsid w:val="00CC7DF4"/>
    <w:rPr>
      <w:color w:val="0000FF"/>
      <w:u w:val="single"/>
    </w:rPr>
  </w:style>
  <w:style w:type="paragraph" w:styleId="ListParagraph">
    <w:name w:val="List Paragraph"/>
    <w:basedOn w:val="Normal"/>
    <w:uiPriority w:val="34"/>
    <w:qFormat/>
    <w:rsid w:val="0048246C"/>
    <w:pPr>
      <w:widowControl/>
      <w:autoSpaceDE/>
      <w:autoSpaceDN/>
      <w:adjustRightInd/>
      <w:spacing w:after="160" w:line="259" w:lineRule="auto"/>
      <w:ind w:left="720"/>
      <w:contextualSpacing/>
    </w:pPr>
    <w:rPr>
      <w:rFonts w:ascii="Calibri" w:eastAsia="Calibri" w:hAnsi="Calibri"/>
      <w:sz w:val="22"/>
      <w:szCs w:val="22"/>
    </w:rPr>
  </w:style>
  <w:style w:type="paragraph" w:styleId="Caption">
    <w:name w:val="caption"/>
    <w:basedOn w:val="Normal"/>
    <w:next w:val="Normal"/>
    <w:uiPriority w:val="35"/>
    <w:unhideWhenUsed/>
    <w:qFormat/>
    <w:rsid w:val="0048246C"/>
    <w:pPr>
      <w:widowControl/>
      <w:autoSpaceDE/>
      <w:autoSpaceDN/>
      <w:adjustRightInd/>
      <w:spacing w:after="200"/>
    </w:pPr>
    <w:rPr>
      <w:rFonts w:ascii="Calibri" w:eastAsia="Calibri" w:hAnsi="Calibri"/>
      <w:i/>
      <w:iCs/>
      <w:color w:val="44546A"/>
      <w:sz w:val="18"/>
      <w:szCs w:val="18"/>
    </w:rPr>
  </w:style>
  <w:style w:type="paragraph" w:customStyle="1" w:styleId="Default">
    <w:name w:val="Default"/>
    <w:rsid w:val="0048246C"/>
    <w:pPr>
      <w:widowControl w:val="0"/>
      <w:autoSpaceDE w:val="0"/>
      <w:autoSpaceDN w:val="0"/>
      <w:adjustRightInd w:val="0"/>
    </w:pPr>
    <w:rPr>
      <w:rFonts w:ascii="Joanna MT" w:hAnsi="Joanna MT" w:cs="Joanna MT"/>
      <w:color w:val="000000"/>
      <w:sz w:val="24"/>
      <w:szCs w:val="24"/>
    </w:rPr>
  </w:style>
  <w:style w:type="paragraph" w:styleId="Footer">
    <w:name w:val="footer"/>
    <w:basedOn w:val="Normal"/>
    <w:link w:val="FooterChar"/>
    <w:uiPriority w:val="99"/>
    <w:unhideWhenUsed/>
    <w:rsid w:val="0048246C"/>
    <w:pPr>
      <w:widowControl/>
      <w:tabs>
        <w:tab w:val="center" w:pos="4680"/>
        <w:tab w:val="right" w:pos="9360"/>
      </w:tabs>
      <w:autoSpaceDE/>
      <w:autoSpaceDN/>
      <w:adjustRightInd/>
    </w:pPr>
    <w:rPr>
      <w:rFonts w:ascii="Calibri" w:eastAsia="Calibri" w:hAnsi="Calibri"/>
      <w:sz w:val="22"/>
      <w:szCs w:val="22"/>
    </w:rPr>
  </w:style>
  <w:style w:type="character" w:customStyle="1" w:styleId="FooterChar">
    <w:name w:val="Footer Char"/>
    <w:link w:val="Footer"/>
    <w:uiPriority w:val="99"/>
    <w:rsid w:val="0048246C"/>
    <w:rPr>
      <w:rFonts w:eastAsia="Calibri"/>
      <w:sz w:val="22"/>
      <w:szCs w:val="22"/>
    </w:rPr>
  </w:style>
  <w:style w:type="paragraph" w:styleId="NormalWeb">
    <w:name w:val="Normal (Web)"/>
    <w:basedOn w:val="Normal"/>
    <w:uiPriority w:val="99"/>
    <w:unhideWhenUsed/>
    <w:rsid w:val="0048246C"/>
    <w:pPr>
      <w:widowControl/>
      <w:autoSpaceDE/>
      <w:autoSpaceDN/>
      <w:adjustRightInd/>
    </w:pPr>
    <w:rPr>
      <w:rFonts w:eastAsia="Calibri"/>
    </w:rPr>
  </w:style>
  <w:style w:type="character" w:styleId="CommentReference">
    <w:name w:val="annotation reference"/>
    <w:uiPriority w:val="99"/>
    <w:semiHidden/>
    <w:unhideWhenUsed/>
    <w:rsid w:val="005D6F50"/>
    <w:rPr>
      <w:sz w:val="16"/>
      <w:szCs w:val="16"/>
    </w:rPr>
  </w:style>
  <w:style w:type="paragraph" w:styleId="CommentText">
    <w:name w:val="annotation text"/>
    <w:basedOn w:val="Normal"/>
    <w:link w:val="CommentTextChar"/>
    <w:uiPriority w:val="99"/>
    <w:semiHidden/>
    <w:unhideWhenUsed/>
    <w:rsid w:val="005D6F50"/>
    <w:rPr>
      <w:sz w:val="20"/>
      <w:szCs w:val="20"/>
    </w:rPr>
  </w:style>
  <w:style w:type="character" w:customStyle="1" w:styleId="CommentTextChar">
    <w:name w:val="Comment Text Char"/>
    <w:link w:val="CommentText"/>
    <w:uiPriority w:val="99"/>
    <w:semiHidden/>
    <w:rsid w:val="005D6F50"/>
    <w:rPr>
      <w:rFonts w:ascii="Times New Roman" w:hAnsi="Times New Roman"/>
    </w:rPr>
  </w:style>
  <w:style w:type="paragraph" w:styleId="CommentSubject">
    <w:name w:val="annotation subject"/>
    <w:basedOn w:val="CommentText"/>
    <w:next w:val="CommentText"/>
    <w:link w:val="CommentSubjectChar"/>
    <w:uiPriority w:val="99"/>
    <w:semiHidden/>
    <w:unhideWhenUsed/>
    <w:rsid w:val="005D6F50"/>
    <w:rPr>
      <w:b/>
      <w:bCs/>
    </w:rPr>
  </w:style>
  <w:style w:type="character" w:customStyle="1" w:styleId="CommentSubjectChar">
    <w:name w:val="Comment Subject Char"/>
    <w:link w:val="CommentSubject"/>
    <w:uiPriority w:val="99"/>
    <w:semiHidden/>
    <w:rsid w:val="005D6F50"/>
    <w:rPr>
      <w:rFonts w:ascii="Times New Roman" w:hAnsi="Times New Roman"/>
      <w:b/>
      <w:bCs/>
    </w:rPr>
  </w:style>
  <w:style w:type="paragraph" w:styleId="BalloonText">
    <w:name w:val="Balloon Text"/>
    <w:basedOn w:val="Normal"/>
    <w:link w:val="BalloonTextChar"/>
    <w:uiPriority w:val="99"/>
    <w:semiHidden/>
    <w:unhideWhenUsed/>
    <w:rsid w:val="005D6F50"/>
    <w:rPr>
      <w:rFonts w:ascii="Segoe UI" w:hAnsi="Segoe UI" w:cs="Segoe UI"/>
      <w:sz w:val="18"/>
      <w:szCs w:val="18"/>
    </w:rPr>
  </w:style>
  <w:style w:type="character" w:customStyle="1" w:styleId="BalloonTextChar">
    <w:name w:val="Balloon Text Char"/>
    <w:link w:val="BalloonText"/>
    <w:uiPriority w:val="99"/>
    <w:semiHidden/>
    <w:rsid w:val="005D6F50"/>
    <w:rPr>
      <w:rFonts w:ascii="Segoe UI" w:hAnsi="Segoe UI" w:cs="Segoe UI"/>
      <w:sz w:val="18"/>
      <w:szCs w:val="18"/>
    </w:rPr>
  </w:style>
  <w:style w:type="paragraph" w:styleId="Header">
    <w:name w:val="header"/>
    <w:basedOn w:val="Normal"/>
    <w:link w:val="HeaderChar"/>
    <w:uiPriority w:val="99"/>
    <w:unhideWhenUsed/>
    <w:rsid w:val="00A50E5E"/>
    <w:pPr>
      <w:tabs>
        <w:tab w:val="center" w:pos="4680"/>
        <w:tab w:val="right" w:pos="9360"/>
      </w:tabs>
    </w:pPr>
  </w:style>
  <w:style w:type="character" w:customStyle="1" w:styleId="HeaderChar">
    <w:name w:val="Header Char"/>
    <w:basedOn w:val="DefaultParagraphFont"/>
    <w:link w:val="Header"/>
    <w:uiPriority w:val="99"/>
    <w:rsid w:val="00A50E5E"/>
    <w:rPr>
      <w:rFonts w:ascii="Times New Roman" w:hAnsi="Times New Roman"/>
      <w:sz w:val="24"/>
      <w:szCs w:val="24"/>
    </w:rPr>
  </w:style>
  <w:style w:type="paragraph" w:styleId="Title">
    <w:name w:val="Title"/>
    <w:basedOn w:val="Normal"/>
    <w:next w:val="Normal"/>
    <w:link w:val="TitleChar"/>
    <w:uiPriority w:val="10"/>
    <w:qFormat/>
    <w:rsid w:val="009C6CC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C6CCD"/>
    <w:rPr>
      <w:rFonts w:asciiTheme="majorHAnsi" w:eastAsiaTheme="majorEastAsia" w:hAnsiTheme="majorHAnsi" w:cstheme="majorBidi"/>
      <w:spacing w:val="-10"/>
      <w:kern w:val="28"/>
      <w:sz w:val="56"/>
      <w:szCs w:val="56"/>
    </w:rPr>
  </w:style>
  <w:style w:type="table" w:customStyle="1" w:styleId="GridTableLight">
    <w:name w:val="Grid Table Light"/>
    <w:basedOn w:val="TableNormal"/>
    <w:uiPriority w:val="40"/>
    <w:rsid w:val="009C6CCD"/>
    <w:rPr>
      <w:rFonts w:asciiTheme="minorHAnsi" w:eastAsiaTheme="minorHAnsi" w:hAnsiTheme="minorHAnsi" w:cstheme="minorBid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Spacing">
    <w:name w:val="No Spacing"/>
    <w:uiPriority w:val="1"/>
    <w:qFormat/>
    <w:rsid w:val="009C6CCD"/>
    <w:pPr>
      <w:widowControl w:val="0"/>
      <w:autoSpaceDE w:val="0"/>
      <w:autoSpaceDN w:val="0"/>
      <w:adjustRightInd w:val="0"/>
    </w:pPr>
    <w:rPr>
      <w:rFonts w:ascii="Times New Roman" w:hAnsi="Times New Roman"/>
      <w:sz w:val="24"/>
      <w:szCs w:val="24"/>
    </w:rPr>
  </w:style>
  <w:style w:type="character" w:customStyle="1" w:styleId="tgc">
    <w:name w:val="_tgc"/>
    <w:basedOn w:val="DefaultParagraphFont"/>
    <w:rsid w:val="009C6CCD"/>
  </w:style>
  <w:style w:type="table" w:styleId="TableGrid">
    <w:name w:val="Table Grid"/>
    <w:basedOn w:val="TableNormal"/>
    <w:uiPriority w:val="39"/>
    <w:rsid w:val="009C6CC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C6CCD"/>
    <w:rPr>
      <w:sz w:val="20"/>
      <w:szCs w:val="20"/>
    </w:rPr>
  </w:style>
  <w:style w:type="character" w:customStyle="1" w:styleId="FootnoteTextChar">
    <w:name w:val="Footnote Text Char"/>
    <w:basedOn w:val="DefaultParagraphFont"/>
    <w:link w:val="FootnoteText"/>
    <w:uiPriority w:val="99"/>
    <w:semiHidden/>
    <w:rsid w:val="009C6CCD"/>
    <w:rPr>
      <w:rFonts w:ascii="Times New Roman" w:hAnsi="Times New Roman"/>
    </w:rPr>
  </w:style>
  <w:style w:type="character" w:styleId="Hyperlink">
    <w:name w:val="Hyperlink"/>
    <w:basedOn w:val="DefaultParagraphFont"/>
    <w:uiPriority w:val="99"/>
    <w:unhideWhenUsed/>
    <w:rsid w:val="009C6CCD"/>
    <w:rPr>
      <w:color w:val="0563C1" w:themeColor="hyperlink"/>
      <w:u w:val="single"/>
    </w:rPr>
  </w:style>
  <w:style w:type="character" w:styleId="Strong">
    <w:name w:val="Strong"/>
    <w:basedOn w:val="DefaultParagraphFont"/>
    <w:uiPriority w:val="22"/>
    <w:qFormat/>
    <w:rsid w:val="009C6CCD"/>
    <w:rPr>
      <w:b/>
      <w:bCs/>
    </w:rPr>
  </w:style>
  <w:style w:type="paragraph" w:styleId="Revision">
    <w:name w:val="Revision"/>
    <w:hidden/>
    <w:uiPriority w:val="99"/>
    <w:semiHidden/>
    <w:rsid w:val="000D37EC"/>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7A377C-AF3B-43D3-8BEE-F5FDA45E0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7425</Words>
  <Characters>42325</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2018-09-04T13:45:00Z</dcterms:created>
  <dcterms:modified xsi:type="dcterms:W3CDTF">2018-09-04T13:45:00Z</dcterms:modified>
</cp:coreProperties>
</file>