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53404" w14:textId="77777777" w:rsidR="00501D88" w:rsidRPr="00501D88" w:rsidRDefault="00501D88" w:rsidP="00501D88">
      <w:pPr>
        <w:widowControl/>
        <w:autoSpaceDE/>
        <w:autoSpaceDN/>
        <w:adjustRightInd/>
        <w:jc w:val="center"/>
        <w:rPr>
          <w:rFonts w:ascii="Times New Roman" w:hAnsi="Times New Roman"/>
          <w:b/>
          <w:sz w:val="24"/>
          <w:szCs w:val="24"/>
        </w:rPr>
      </w:pPr>
      <w:bookmarkStart w:id="0" w:name="_GoBack"/>
      <w:bookmarkEnd w:id="0"/>
      <w:r w:rsidRPr="00501D88">
        <w:rPr>
          <w:rFonts w:ascii="Times New Roman" w:hAnsi="Times New Roman"/>
          <w:b/>
          <w:sz w:val="24"/>
          <w:szCs w:val="24"/>
        </w:rPr>
        <w:t>SUPPORTING STATEMENT</w:t>
      </w:r>
    </w:p>
    <w:p w14:paraId="7BB94A67" w14:textId="30C4CDF1" w:rsidR="00501D88" w:rsidRPr="00501D88" w:rsidRDefault="00501D88" w:rsidP="00501D88">
      <w:pPr>
        <w:widowControl/>
        <w:autoSpaceDE/>
        <w:autoSpaceDN/>
        <w:adjustRightInd/>
        <w:jc w:val="center"/>
        <w:rPr>
          <w:rFonts w:ascii="Times New Roman" w:hAnsi="Times New Roman"/>
          <w:b/>
          <w:sz w:val="24"/>
          <w:szCs w:val="24"/>
        </w:rPr>
      </w:pPr>
      <w:r w:rsidRPr="00501D88">
        <w:rPr>
          <w:rFonts w:ascii="Times New Roman" w:hAnsi="Times New Roman"/>
          <w:b/>
          <w:sz w:val="24"/>
          <w:szCs w:val="24"/>
        </w:rPr>
        <w:t>Reintegration of Ex-Offenders, Adult Reporting System</w:t>
      </w:r>
    </w:p>
    <w:p w14:paraId="0E68402A" w14:textId="117A5E79" w:rsidR="00501D88" w:rsidRPr="00501D88" w:rsidRDefault="00501D88" w:rsidP="00501D88">
      <w:pPr>
        <w:widowControl/>
        <w:autoSpaceDE/>
        <w:autoSpaceDN/>
        <w:adjustRightInd/>
        <w:jc w:val="center"/>
        <w:rPr>
          <w:rFonts w:ascii="Times New Roman" w:hAnsi="Times New Roman"/>
          <w:b/>
          <w:sz w:val="24"/>
          <w:szCs w:val="24"/>
        </w:rPr>
      </w:pPr>
      <w:r>
        <w:rPr>
          <w:rFonts w:ascii="Times New Roman" w:hAnsi="Times New Roman"/>
          <w:b/>
          <w:sz w:val="24"/>
          <w:szCs w:val="24"/>
        </w:rPr>
        <w:t>OMB Control Number 1205-0455</w:t>
      </w:r>
    </w:p>
    <w:p w14:paraId="507250B7" w14:textId="1452C957" w:rsidR="00501D88" w:rsidRPr="00501D88" w:rsidRDefault="00501D88" w:rsidP="00501D88">
      <w:pPr>
        <w:widowControl/>
        <w:autoSpaceDE/>
        <w:autoSpaceDN/>
        <w:adjustRightInd/>
        <w:rPr>
          <w:rFonts w:ascii="Times New Roman" w:hAnsi="Times New Roman"/>
          <w:b/>
          <w:sz w:val="24"/>
          <w:szCs w:val="24"/>
        </w:rPr>
      </w:pPr>
    </w:p>
    <w:p w14:paraId="4C8F64EE" w14:textId="77777777" w:rsidR="00501D88" w:rsidRPr="00501D88" w:rsidRDefault="00501D88" w:rsidP="00501D88">
      <w:pPr>
        <w:widowControl/>
        <w:autoSpaceDE/>
        <w:autoSpaceDN/>
        <w:adjustRightInd/>
        <w:rPr>
          <w:rFonts w:ascii="Times New Roman" w:hAnsi="Times New Roman"/>
          <w:b/>
          <w:sz w:val="24"/>
          <w:szCs w:val="24"/>
        </w:rPr>
      </w:pPr>
      <w:r w:rsidRPr="00501D88">
        <w:rPr>
          <w:rFonts w:ascii="Times New Roman" w:hAnsi="Times New Roman"/>
          <w:b/>
          <w:sz w:val="24"/>
          <w:szCs w:val="24"/>
        </w:rPr>
        <w:t xml:space="preserve">A.  </w:t>
      </w:r>
      <w:r w:rsidRPr="00501D88">
        <w:rPr>
          <w:rFonts w:ascii="Times New Roman" w:hAnsi="Times New Roman"/>
          <w:b/>
          <w:sz w:val="24"/>
          <w:szCs w:val="24"/>
          <w:u w:val="single"/>
        </w:rPr>
        <w:t>Justification.</w:t>
      </w:r>
    </w:p>
    <w:p w14:paraId="4A04F30D" w14:textId="77777777" w:rsidR="00E71A3D" w:rsidRDefault="00E71A3D">
      <w:pPr>
        <w:pStyle w:val="Heading1"/>
        <w:rPr>
          <w:b/>
          <w:i w:val="0"/>
        </w:rPr>
      </w:pPr>
    </w:p>
    <w:p w14:paraId="3AED288B" w14:textId="3919AA68" w:rsidR="0006519F" w:rsidRDefault="0006519F">
      <w:pPr>
        <w:pStyle w:val="Level1"/>
        <w:numPr>
          <w:ilvl w:val="0"/>
          <w:numId w:val="0"/>
        </w:numPr>
        <w:outlineLvl w:val="9"/>
      </w:pPr>
      <w:r>
        <w:t>T</w:t>
      </w:r>
      <w:r w:rsidRPr="004E4ED6">
        <w:t>he Department of Labor</w:t>
      </w:r>
      <w:r w:rsidR="00501D88">
        <w:t xml:space="preserve"> (DOL)</w:t>
      </w:r>
      <w:r w:rsidRPr="004E4ED6">
        <w:t>, Employment and Training Administration (ETA) request</w:t>
      </w:r>
      <w:r>
        <w:t>s</w:t>
      </w:r>
      <w:r w:rsidRPr="004E4ED6">
        <w:t xml:space="preserve"> </w:t>
      </w:r>
      <w:r>
        <w:t xml:space="preserve">the </w:t>
      </w:r>
      <w:r w:rsidRPr="004E4ED6">
        <w:t xml:space="preserve">Office of Management and Budget’s approval </w:t>
      </w:r>
      <w:r w:rsidR="00501D88">
        <w:t>of this information collection request (ICR)</w:t>
      </w:r>
      <w:r>
        <w:t xml:space="preserve"> </w:t>
      </w:r>
      <w:r w:rsidR="00501D88">
        <w:t>revisions to</w:t>
      </w:r>
      <w:r w:rsidRPr="003D644E">
        <w:t xml:space="preserve"> the reporting</w:t>
      </w:r>
      <w:r w:rsidRPr="004E4ED6">
        <w:t xml:space="preserve"> and recordkeeping requirements of the </w:t>
      </w:r>
      <w:r>
        <w:t>Reintegration of Ex-Offender – Adult (RExO-Adult)</w:t>
      </w:r>
      <w:r w:rsidRPr="004E4ED6">
        <w:t xml:space="preserve"> program.</w:t>
      </w:r>
    </w:p>
    <w:p w14:paraId="373928C6" w14:textId="77777777" w:rsidR="0006519F" w:rsidRDefault="0006519F">
      <w:pPr>
        <w:pStyle w:val="Level1"/>
        <w:numPr>
          <w:ilvl w:val="0"/>
          <w:numId w:val="0"/>
        </w:numPr>
        <w:outlineLvl w:val="9"/>
      </w:pPr>
    </w:p>
    <w:p w14:paraId="04C46058" w14:textId="69CBC78C" w:rsidR="00323ED0" w:rsidRDefault="008016A2">
      <w:pPr>
        <w:pStyle w:val="Level1"/>
        <w:numPr>
          <w:ilvl w:val="0"/>
          <w:numId w:val="0"/>
        </w:numPr>
        <w:outlineLvl w:val="9"/>
      </w:pPr>
      <w:r w:rsidRPr="008016A2">
        <w:t xml:space="preserve">This standardized data collection for program participants – quarterly reports and Management Information System (MIS) quarterly reporting – is completed by </w:t>
      </w:r>
      <w:r>
        <w:t>RExO-Adult</w:t>
      </w:r>
      <w:r w:rsidRPr="008016A2">
        <w:t xml:space="preserve"> grantees</w:t>
      </w:r>
      <w:r>
        <w:t xml:space="preserve"> or their sub</w:t>
      </w:r>
      <w:r w:rsidR="00355976">
        <w:t>-</w:t>
      </w:r>
      <w:r>
        <w:t>grantees</w:t>
      </w:r>
      <w:r w:rsidRPr="008016A2">
        <w:t>.</w:t>
      </w:r>
      <w:r>
        <w:t xml:space="preserve">  </w:t>
      </w:r>
      <w:r w:rsidRPr="008016A2">
        <w:t xml:space="preserve">The </w:t>
      </w:r>
      <w:r w:rsidR="00741518">
        <w:t>data collected in this MIS system i</w:t>
      </w:r>
      <w:r w:rsidRPr="008016A2">
        <w:t xml:space="preserve">ncludes aggregate and participant-level information on demographic characteristics, types of services received, placements, outcomes, and follow-up status.  Specifically, this </w:t>
      </w:r>
      <w:r w:rsidR="00741518">
        <w:t xml:space="preserve">system collects </w:t>
      </w:r>
      <w:r w:rsidRPr="008016A2">
        <w:t>data on individuals who receive occupational skills training, employment training and placement services, mentoring, and other services essential to reintegrating ex-offenders through REx</w:t>
      </w:r>
      <w:r w:rsidR="00741518">
        <w:t>O</w:t>
      </w:r>
      <w:r w:rsidRPr="008016A2">
        <w:t xml:space="preserve">-Adult </w:t>
      </w:r>
      <w:r w:rsidRPr="003D644E">
        <w:t>programs.</w:t>
      </w:r>
      <w:r w:rsidR="00795EA3">
        <w:t xml:space="preserve"> </w:t>
      </w:r>
      <w:r w:rsidRPr="003D644E">
        <w:t xml:space="preserve"> </w:t>
      </w:r>
      <w:r w:rsidR="006E4A59" w:rsidRPr="00F44553">
        <w:t xml:space="preserve">The </w:t>
      </w:r>
      <w:r w:rsidR="00741518">
        <w:t xml:space="preserve">requested </w:t>
      </w:r>
      <w:r w:rsidR="006E4A59" w:rsidRPr="00F44553">
        <w:t xml:space="preserve">revision reflects an increase the burden hours because DOL is </w:t>
      </w:r>
      <w:r w:rsidR="002E40A7">
        <w:t xml:space="preserve">currently </w:t>
      </w:r>
      <w:r w:rsidR="006E4A59" w:rsidRPr="00F44553">
        <w:t xml:space="preserve">awarding a larger number of adult versus juvenile offender grants.  </w:t>
      </w:r>
    </w:p>
    <w:p w14:paraId="22457240" w14:textId="77777777" w:rsidR="00323ED0" w:rsidRDefault="00323ED0">
      <w:pPr>
        <w:pStyle w:val="Level1"/>
        <w:numPr>
          <w:ilvl w:val="0"/>
          <w:numId w:val="0"/>
        </w:numPr>
        <w:outlineLvl w:val="9"/>
      </w:pPr>
    </w:p>
    <w:p w14:paraId="7989F0DE" w14:textId="0A59635C" w:rsidR="004F4F3A" w:rsidRDefault="004F4F3A">
      <w:pPr>
        <w:pStyle w:val="Level1"/>
        <w:numPr>
          <w:ilvl w:val="0"/>
          <w:numId w:val="0"/>
        </w:numPr>
        <w:outlineLvl w:val="9"/>
      </w:pPr>
      <w:r>
        <w:t xml:space="preserve">The revision also requests the following </w:t>
      </w:r>
      <w:r w:rsidR="00067E3F">
        <w:t xml:space="preserve">eight </w:t>
      </w:r>
      <w:r>
        <w:t>data items be added to the data collection:</w:t>
      </w:r>
    </w:p>
    <w:p w14:paraId="77AA1E8C" w14:textId="0498FA4F" w:rsidR="004F4F3A" w:rsidRDefault="004F4F3A" w:rsidP="004F4F3A">
      <w:pPr>
        <w:pStyle w:val="Level1"/>
        <w:numPr>
          <w:ilvl w:val="0"/>
          <w:numId w:val="22"/>
        </w:numPr>
        <w:outlineLvl w:val="9"/>
      </w:pPr>
      <w:r>
        <w:t>Whether a participant was directly referred by the justice system;</w:t>
      </w:r>
    </w:p>
    <w:p w14:paraId="4F1747D8" w14:textId="4C3863F5" w:rsidR="004F4F3A" w:rsidRDefault="004F4F3A" w:rsidP="004F4F3A">
      <w:pPr>
        <w:pStyle w:val="Level1"/>
        <w:numPr>
          <w:ilvl w:val="0"/>
          <w:numId w:val="22"/>
        </w:numPr>
        <w:outlineLvl w:val="9"/>
      </w:pPr>
      <w:r>
        <w:t xml:space="preserve">Whether the participant had </w:t>
      </w:r>
      <w:r w:rsidR="00D36C1A">
        <w:t xml:space="preserve">a </w:t>
      </w:r>
      <w:r w:rsidR="006E4A59" w:rsidRPr="00F44553">
        <w:t>violent felony offense</w:t>
      </w:r>
      <w:r>
        <w:t xml:space="preserve"> prior to enrollment;</w:t>
      </w:r>
    </w:p>
    <w:p w14:paraId="6CD92FE3" w14:textId="609227BC" w:rsidR="00D36C1A" w:rsidRDefault="00D36C1A" w:rsidP="004F4F3A">
      <w:pPr>
        <w:pStyle w:val="Level1"/>
        <w:numPr>
          <w:ilvl w:val="0"/>
          <w:numId w:val="22"/>
        </w:numPr>
        <w:outlineLvl w:val="9"/>
      </w:pPr>
      <w:r>
        <w:t xml:space="preserve">Whether the participant is coming from prison, jail, probation, or diversion; </w:t>
      </w:r>
    </w:p>
    <w:p w14:paraId="3AF24942" w14:textId="3368E0E1" w:rsidR="004F4F3A" w:rsidRDefault="004F4F3A" w:rsidP="004F4F3A">
      <w:pPr>
        <w:pStyle w:val="Level1"/>
        <w:numPr>
          <w:ilvl w:val="0"/>
          <w:numId w:val="22"/>
        </w:numPr>
        <w:outlineLvl w:val="9"/>
      </w:pPr>
      <w:r>
        <w:t xml:space="preserve">The </w:t>
      </w:r>
      <w:r w:rsidR="006E4A59" w:rsidRPr="00F44553">
        <w:t>date at which the</w:t>
      </w:r>
      <w:r>
        <w:t xml:space="preserve"> participant was released from prison or placed on probation; </w:t>
      </w:r>
    </w:p>
    <w:p w14:paraId="5987F0AE" w14:textId="6A514E5E" w:rsidR="00D36C1A" w:rsidRDefault="00D36C1A" w:rsidP="004F4F3A">
      <w:pPr>
        <w:pStyle w:val="Level1"/>
        <w:numPr>
          <w:ilvl w:val="0"/>
          <w:numId w:val="22"/>
        </w:numPr>
        <w:outlineLvl w:val="9"/>
      </w:pPr>
      <w:r>
        <w:t>Whether the case was closed after successfully completing diversion;</w:t>
      </w:r>
    </w:p>
    <w:p w14:paraId="67E44A0F" w14:textId="79A4785C" w:rsidR="002D06D8" w:rsidRDefault="002D06D8" w:rsidP="004F4F3A">
      <w:pPr>
        <w:pStyle w:val="Level1"/>
        <w:numPr>
          <w:ilvl w:val="0"/>
          <w:numId w:val="22"/>
        </w:numPr>
        <w:outlineLvl w:val="9"/>
      </w:pPr>
      <w:r>
        <w:t>Whether the person was convicted of a crime committed after enrollment;</w:t>
      </w:r>
    </w:p>
    <w:p w14:paraId="26DE0A53" w14:textId="167EEFE6" w:rsidR="00E71A3D" w:rsidRDefault="004F4F3A" w:rsidP="004F4F3A">
      <w:pPr>
        <w:pStyle w:val="Level1"/>
        <w:numPr>
          <w:ilvl w:val="0"/>
          <w:numId w:val="22"/>
        </w:numPr>
        <w:outlineLvl w:val="9"/>
      </w:pPr>
      <w:r>
        <w:t xml:space="preserve">Whether the participant </w:t>
      </w:r>
      <w:r w:rsidR="002D06D8">
        <w:t xml:space="preserve">was convicted of </w:t>
      </w:r>
      <w:r w:rsidR="006E4A59" w:rsidRPr="00F44553">
        <w:t>a violent felony after they enter</w:t>
      </w:r>
      <w:r>
        <w:t>ed</w:t>
      </w:r>
      <w:r w:rsidR="006E4A59" w:rsidRPr="00F44553">
        <w:t xml:space="preserve"> the program</w:t>
      </w:r>
      <w:r w:rsidR="00067E3F">
        <w:t>;</w:t>
      </w:r>
    </w:p>
    <w:p w14:paraId="1EC5F677" w14:textId="109FB356" w:rsidR="00067E3F" w:rsidRDefault="00067E3F" w:rsidP="004F4F3A">
      <w:pPr>
        <w:pStyle w:val="Level1"/>
        <w:numPr>
          <w:ilvl w:val="0"/>
          <w:numId w:val="22"/>
        </w:numPr>
        <w:outlineLvl w:val="9"/>
      </w:pPr>
      <w:r>
        <w:t>Whether the participant entered a Registered Apprenticeship Program.</w:t>
      </w:r>
    </w:p>
    <w:p w14:paraId="728810F9" w14:textId="77777777" w:rsidR="008B42EE" w:rsidRDefault="008B42EE">
      <w:pPr>
        <w:pStyle w:val="Level1"/>
        <w:numPr>
          <w:ilvl w:val="0"/>
          <w:numId w:val="0"/>
        </w:numPr>
        <w:outlineLvl w:val="9"/>
      </w:pPr>
    </w:p>
    <w:p w14:paraId="023D198E" w14:textId="77777777" w:rsidR="004F4F3A" w:rsidRDefault="008B42EE">
      <w:pPr>
        <w:pStyle w:val="Level1"/>
        <w:numPr>
          <w:ilvl w:val="0"/>
          <w:numId w:val="0"/>
        </w:numPr>
        <w:outlineLvl w:val="9"/>
      </w:pPr>
      <w:r>
        <w:t xml:space="preserve">ETA is currently developing an agency-wide quarterly reporting system for all of its programs, including a case management system to be used by national programs within the agency.  All ETA grants starting after July 1, 2017 </w:t>
      </w:r>
      <w:r w:rsidR="00D160AD">
        <w:t xml:space="preserve">are </w:t>
      </w:r>
      <w:r>
        <w:t>using this new agency-wide reporting system.  This revision specific to the RExO-Adult program is to</w:t>
      </w:r>
      <w:r w:rsidR="004F4F3A">
        <w:t>:</w:t>
      </w:r>
    </w:p>
    <w:p w14:paraId="26E578CB" w14:textId="2916CFF9" w:rsidR="004F4F3A" w:rsidRDefault="008B42EE" w:rsidP="004F4F3A">
      <w:pPr>
        <w:pStyle w:val="Level1"/>
        <w:numPr>
          <w:ilvl w:val="0"/>
          <w:numId w:val="23"/>
        </w:numPr>
        <w:outlineLvl w:val="9"/>
      </w:pPr>
      <w:r>
        <w:t xml:space="preserve">continue the current adult offender MIS for grants that </w:t>
      </w:r>
      <w:r w:rsidR="00D160AD">
        <w:t xml:space="preserve">began </w:t>
      </w:r>
      <w:r>
        <w:t>prior to July 1, 2017</w:t>
      </w:r>
      <w:r w:rsidR="00741518">
        <w:t xml:space="preserve"> until they are completed</w:t>
      </w:r>
      <w:r w:rsidR="00CA17F9">
        <w:t xml:space="preserve">, </w:t>
      </w:r>
      <w:r w:rsidR="000876CF">
        <w:t xml:space="preserve">and </w:t>
      </w:r>
    </w:p>
    <w:p w14:paraId="6900260D" w14:textId="176C30F8" w:rsidR="008B42EE" w:rsidRDefault="000876CF" w:rsidP="004F4F3A">
      <w:pPr>
        <w:pStyle w:val="Level1"/>
        <w:numPr>
          <w:ilvl w:val="0"/>
          <w:numId w:val="23"/>
        </w:numPr>
        <w:outlineLvl w:val="9"/>
      </w:pPr>
      <w:r>
        <w:t xml:space="preserve">use the </w:t>
      </w:r>
      <w:r w:rsidR="002D06D8">
        <w:t xml:space="preserve">old and new </w:t>
      </w:r>
      <w:r>
        <w:t>data items approved under this request for the case management system now being developed for RExO grants started after July 1, 2017.</w:t>
      </w:r>
      <w:r w:rsidR="002D06D8">
        <w:t xml:space="preserve">  </w:t>
      </w:r>
      <w:r>
        <w:t xml:space="preserve">  </w:t>
      </w:r>
      <w:r w:rsidR="008B42EE">
        <w:t xml:space="preserve">  </w:t>
      </w:r>
    </w:p>
    <w:p w14:paraId="2F3ED630" w14:textId="77777777" w:rsidR="00E71A3D" w:rsidRDefault="00E71A3D">
      <w:pPr>
        <w:pStyle w:val="Level1"/>
        <w:numPr>
          <w:ilvl w:val="0"/>
          <w:numId w:val="0"/>
        </w:numPr>
        <w:outlineLvl w:val="9"/>
      </w:pPr>
    </w:p>
    <w:p w14:paraId="0434526E" w14:textId="6B25D1C7" w:rsidR="004F4F3A" w:rsidRDefault="004F4F3A" w:rsidP="0094187C">
      <w:pPr>
        <w:widowControl/>
        <w:rPr>
          <w:rFonts w:ascii="Times New Roman" w:hAnsi="Times New Roman"/>
          <w:i/>
          <w:sz w:val="24"/>
        </w:rPr>
      </w:pPr>
      <w:bookmarkStart w:id="1" w:name="_Toc76458969"/>
    </w:p>
    <w:p w14:paraId="24EDB17C" w14:textId="45339C39" w:rsidR="00501D88" w:rsidRDefault="00501D88" w:rsidP="0094187C">
      <w:pPr>
        <w:widowControl/>
        <w:rPr>
          <w:rFonts w:ascii="Times New Roman" w:hAnsi="Times New Roman"/>
          <w:i/>
          <w:sz w:val="24"/>
        </w:rPr>
      </w:pPr>
    </w:p>
    <w:p w14:paraId="67FD21ED" w14:textId="7BBE8864" w:rsidR="00501D88" w:rsidRDefault="00501D88" w:rsidP="0094187C">
      <w:pPr>
        <w:widowControl/>
        <w:rPr>
          <w:rFonts w:ascii="Times New Roman" w:hAnsi="Times New Roman"/>
          <w:i/>
          <w:sz w:val="24"/>
        </w:rPr>
      </w:pPr>
    </w:p>
    <w:p w14:paraId="57835791" w14:textId="71D67514" w:rsidR="00501D88" w:rsidRDefault="00501D88" w:rsidP="0094187C">
      <w:pPr>
        <w:widowControl/>
        <w:rPr>
          <w:rFonts w:ascii="Times New Roman" w:hAnsi="Times New Roman"/>
          <w:i/>
          <w:sz w:val="24"/>
        </w:rPr>
      </w:pPr>
    </w:p>
    <w:p w14:paraId="4B5686FD" w14:textId="77777777" w:rsidR="00501D88" w:rsidRDefault="00501D88" w:rsidP="0094187C">
      <w:pPr>
        <w:widowControl/>
        <w:rPr>
          <w:rFonts w:ascii="Times New Roman" w:hAnsi="Times New Roman"/>
          <w:i/>
          <w:sz w:val="24"/>
        </w:rPr>
      </w:pPr>
    </w:p>
    <w:p w14:paraId="24BCD87F" w14:textId="77777777" w:rsidR="0094187C" w:rsidRDefault="0094187C" w:rsidP="0094187C">
      <w:pPr>
        <w:widowControl/>
        <w:rPr>
          <w:rFonts w:ascii="Times New Roman" w:hAnsi="Times New Roman"/>
          <w:sz w:val="24"/>
        </w:rPr>
      </w:pPr>
      <w:r w:rsidRPr="00167E8E">
        <w:rPr>
          <w:rFonts w:ascii="Times New Roman" w:hAnsi="Times New Roman"/>
          <w:i/>
          <w:sz w:val="24"/>
        </w:rPr>
        <w:lastRenderedPageBreak/>
        <w:t>1.</w:t>
      </w:r>
      <w:r w:rsidRPr="00167E8E">
        <w:rPr>
          <w:rFonts w:ascii="Times New Roman" w:hAnsi="Times New Roman"/>
          <w:i/>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1"/>
    <w:p w14:paraId="38678D77" w14:textId="77777777" w:rsidR="0094187C" w:rsidRDefault="0094187C" w:rsidP="00AC7FAB">
      <w:pPr>
        <w:pStyle w:val="NormalSS"/>
        <w:tabs>
          <w:tab w:val="left" w:pos="8820"/>
        </w:tabs>
        <w:jc w:val="left"/>
      </w:pPr>
    </w:p>
    <w:p w14:paraId="28B12CD7" w14:textId="3981B504" w:rsidR="000876CF" w:rsidRDefault="00E71A3D" w:rsidP="00451298">
      <w:pPr>
        <w:pStyle w:val="NormalSS"/>
        <w:tabs>
          <w:tab w:val="left" w:pos="8820"/>
        </w:tabs>
        <w:jc w:val="left"/>
      </w:pPr>
      <w:r>
        <w:t xml:space="preserve">The </w:t>
      </w:r>
      <w:r w:rsidR="00942843">
        <w:t>Reintegration of Ex-Offenders-Adult program</w:t>
      </w:r>
      <w:r>
        <w:t xml:space="preserve"> is a Workforce </w:t>
      </w:r>
      <w:r w:rsidR="006E4A59">
        <w:t xml:space="preserve">Innovation and </w:t>
      </w:r>
      <w:r w:rsidR="000876CF">
        <w:t>O</w:t>
      </w:r>
      <w:r w:rsidR="006E4A59">
        <w:t xml:space="preserve">pportunity Act </w:t>
      </w:r>
      <w:r>
        <w:t>(WI</w:t>
      </w:r>
      <w:r w:rsidR="006E4A59">
        <w:t>O</w:t>
      </w:r>
      <w:r w:rsidR="000876CF">
        <w:t xml:space="preserve">A) demonstration </w:t>
      </w:r>
      <w:r w:rsidR="00D160AD">
        <w:t>program</w:t>
      </w:r>
      <w:r w:rsidR="000876CF">
        <w:t xml:space="preserve">. </w:t>
      </w:r>
      <w:r>
        <w:t xml:space="preserve"> </w:t>
      </w:r>
      <w:r w:rsidR="00942843">
        <w:t>RExO-Adult</w:t>
      </w:r>
      <w:r>
        <w:t xml:space="preserve"> programs </w:t>
      </w:r>
      <w:r w:rsidR="00451298">
        <w:t xml:space="preserve">provide work readiness training, case management, mentoring, and job placement services to adult offenders.  </w:t>
      </w:r>
      <w:r w:rsidR="000876CF">
        <w:t>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ETA.</w:t>
      </w:r>
    </w:p>
    <w:p w14:paraId="194C8C5B" w14:textId="77777777" w:rsidR="000876CF" w:rsidRDefault="000876CF" w:rsidP="00AC7FAB">
      <w:pPr>
        <w:pStyle w:val="NormalSS"/>
        <w:tabs>
          <w:tab w:val="left" w:pos="8820"/>
        </w:tabs>
        <w:jc w:val="left"/>
      </w:pPr>
    </w:p>
    <w:p w14:paraId="39B0CEA5" w14:textId="77777777" w:rsidR="00E71A3D" w:rsidRDefault="00E71A3D">
      <w:pPr>
        <w:pStyle w:val="NormalSS"/>
        <w:jc w:val="left"/>
      </w:pPr>
      <w:r>
        <w:t xml:space="preserve">In applying for the </w:t>
      </w:r>
      <w:r w:rsidR="00942843">
        <w:t>RExO-Adult</w:t>
      </w:r>
      <w:r>
        <w:t xml:space="preserve"> grants, </w:t>
      </w:r>
      <w:r w:rsidR="00355976">
        <w:t xml:space="preserve">grantees </w:t>
      </w:r>
      <w:r>
        <w:t xml:space="preserve">and their sub-grantees agree to submit participant data and aggregate reports on enrollee characteristics, services provided, placements, outcomes, and follow-up status.  Grantees collect and report quarterly </w:t>
      </w:r>
      <w:r w:rsidR="00942843">
        <w:t>RExO-Adult</w:t>
      </w:r>
      <w:r>
        <w:t xml:space="preserve"> performance data using an ETA-provided MIS.  The MIS </w:t>
      </w:r>
      <w:r w:rsidR="0028498C">
        <w:t>is</w:t>
      </w:r>
      <w:r>
        <w:t xml:space="preserve"> a web-based case management and reporting application housed on ETA’s servers.</w:t>
      </w:r>
    </w:p>
    <w:p w14:paraId="4EF458B2" w14:textId="77777777" w:rsidR="00E71A3D" w:rsidRDefault="00E71A3D">
      <w:pPr>
        <w:pStyle w:val="NormalSS"/>
        <w:jc w:val="left"/>
      </w:pPr>
    </w:p>
    <w:p w14:paraId="0C60B785" w14:textId="6BFDC78F" w:rsidR="00E71A3D" w:rsidRDefault="00E71A3D">
      <w:pPr>
        <w:rPr>
          <w:rFonts w:ascii="Times New Roman" w:hAnsi="Times New Roman"/>
          <w:sz w:val="24"/>
        </w:rPr>
      </w:pPr>
      <w:r>
        <w:rPr>
          <w:rFonts w:ascii="Times New Roman" w:hAnsi="Times New Roman"/>
          <w:sz w:val="24"/>
          <w:u w:val="single"/>
        </w:rPr>
        <w:t>WI</w:t>
      </w:r>
      <w:r w:rsidR="006E4A59">
        <w:rPr>
          <w:rFonts w:ascii="Times New Roman" w:hAnsi="Times New Roman"/>
          <w:sz w:val="24"/>
          <w:u w:val="single"/>
        </w:rPr>
        <w:t>O</w:t>
      </w:r>
      <w:r>
        <w:rPr>
          <w:rFonts w:ascii="Times New Roman" w:hAnsi="Times New Roman"/>
          <w:sz w:val="24"/>
          <w:u w:val="single"/>
        </w:rPr>
        <w:t>A section 185</w:t>
      </w:r>
      <w:r>
        <w:rPr>
          <w:rFonts w:ascii="Times New Roman" w:hAnsi="Times New Roman"/>
          <w:sz w:val="24"/>
        </w:rPr>
        <w:t xml:space="preserve"> broadly addresses reports, recordkeeping and investigations across programs authorized under Title I of the Act.  The provisions of section 185:</w:t>
      </w:r>
    </w:p>
    <w:p w14:paraId="756D2615" w14:textId="77777777" w:rsidR="00E71A3D" w:rsidRDefault="00E71A3D">
      <w:pPr>
        <w:rPr>
          <w:rFonts w:ascii="Times New Roman" w:hAnsi="Times New Roman"/>
          <w:sz w:val="24"/>
        </w:rPr>
      </w:pPr>
    </w:p>
    <w:p w14:paraId="775AD961" w14:textId="77777777" w:rsidR="00E71A3D" w:rsidRDefault="00E71A3D">
      <w:pPr>
        <w:numPr>
          <w:ilvl w:val="0"/>
          <w:numId w:val="10"/>
        </w:numPr>
        <w:rPr>
          <w:rFonts w:ascii="Times New Roman" w:hAnsi="Times New Roman"/>
          <w:sz w:val="24"/>
        </w:rPr>
      </w:pPr>
      <w:r>
        <w:rPr>
          <w:rFonts w:ascii="Times New Roman" w:hAnsi="Times New Roman"/>
          <w:sz w:val="24"/>
        </w:rPr>
        <w:t>require the Secretary to ensure that all elements of the information required for reports be defined and reported uniformly [section 185(d)(2)]</w:t>
      </w:r>
      <w:r w:rsidR="00074D39">
        <w:rPr>
          <w:rFonts w:ascii="Times New Roman" w:hAnsi="Times New Roman"/>
          <w:sz w:val="24"/>
        </w:rPr>
        <w:t>;</w:t>
      </w:r>
    </w:p>
    <w:p w14:paraId="735251DA" w14:textId="77777777" w:rsidR="00E71A3D" w:rsidRDefault="00E71A3D">
      <w:pPr>
        <w:numPr>
          <w:ilvl w:val="0"/>
          <w:numId w:val="10"/>
        </w:numPr>
        <w:rPr>
          <w:rFonts w:ascii="Times New Roman" w:hAnsi="Times New Roman"/>
          <w:sz w:val="24"/>
        </w:rPr>
      </w:pPr>
      <w:r>
        <w:rPr>
          <w:rFonts w:ascii="Times New Roman" w:hAnsi="Times New Roman"/>
          <w:sz w:val="24"/>
        </w:rPr>
        <w:t>direct each state, local board, and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 and financial data, on statewide, local area, and other appropriate bases, necessary for reporting, monitoring, and evaluating purposes, including data necessary to comply with section 188 [section 185(c)(2)]</w:t>
      </w:r>
      <w:r w:rsidR="00074D39">
        <w:rPr>
          <w:rFonts w:ascii="Times New Roman" w:hAnsi="Times New Roman"/>
          <w:sz w:val="24"/>
        </w:rPr>
        <w:t>;</w:t>
      </w:r>
    </w:p>
    <w:p w14:paraId="381AFC86" w14:textId="77777777" w:rsidR="00E71A3D" w:rsidRDefault="00E71A3D">
      <w:pPr>
        <w:numPr>
          <w:ilvl w:val="0"/>
          <w:numId w:val="10"/>
        </w:numPr>
        <w:rPr>
          <w:rFonts w:ascii="Times New Roman" w:hAnsi="Times New Roman"/>
          <w:sz w:val="24"/>
        </w:rPr>
      </w:pPr>
      <w:r>
        <w:rPr>
          <w:rFonts w:ascii="Times New Roman" w:hAnsi="Times New Roman"/>
          <w:sz w:val="24"/>
        </w:rPr>
        <w:t>require that recipients of funds under Title I shall maintain such records and submit such reports in such form and containing such information as the Secretary may require regarding the performance of programs and activities carried out under Title I [section 185(a)(2)]</w:t>
      </w:r>
      <w:r w:rsidR="00074D39">
        <w:rPr>
          <w:rFonts w:ascii="Times New Roman" w:hAnsi="Times New Roman"/>
          <w:sz w:val="24"/>
        </w:rPr>
        <w:t>;</w:t>
      </w:r>
    </w:p>
    <w:p w14:paraId="7E5682E8" w14:textId="77777777" w:rsidR="00E71A3D" w:rsidRDefault="00E71A3D" w:rsidP="00773B9E">
      <w:pPr>
        <w:pStyle w:val="List-1stLevel"/>
        <w:widowControl w:val="0"/>
        <w:numPr>
          <w:ilvl w:val="0"/>
          <w:numId w:val="11"/>
        </w:numPr>
        <w:autoSpaceDE w:val="0"/>
        <w:autoSpaceDN w:val="0"/>
        <w:adjustRightInd w:val="0"/>
        <w:spacing w:before="0" w:after="0" w:line="240" w:lineRule="auto"/>
        <w:ind w:left="720"/>
        <w:rPr>
          <w:rFonts w:ascii="Times New Roman" w:hAnsi="Times New Roman"/>
        </w:rPr>
      </w:pPr>
      <w:r>
        <w:rPr>
          <w:rFonts w:ascii="Times New Roman" w:hAnsi="Times New Roman"/>
        </w:rPr>
        <w:t>require that recipients of funds under Title I shall maintain standardized records for all individual participants and provide to the Secretary a sufficient number of such records to provide for an adequate analysis of the records [section 185(a)(3)]</w:t>
      </w:r>
      <w:r w:rsidR="00074D39">
        <w:rPr>
          <w:rFonts w:ascii="Times New Roman" w:hAnsi="Times New Roman"/>
        </w:rPr>
        <w:t>;</w:t>
      </w:r>
    </w:p>
    <w:p w14:paraId="57E90381" w14:textId="77777777" w:rsidR="00E71A3D" w:rsidRDefault="00E71A3D">
      <w:pPr>
        <w:pStyle w:val="List-1stLevel"/>
        <w:widowControl w:val="0"/>
        <w:numPr>
          <w:ilvl w:val="0"/>
          <w:numId w:val="10"/>
        </w:numPr>
        <w:autoSpaceDE w:val="0"/>
        <w:autoSpaceDN w:val="0"/>
        <w:adjustRightInd w:val="0"/>
        <w:spacing w:before="0" w:line="240" w:lineRule="auto"/>
        <w:rPr>
          <w:rFonts w:ascii="Times New Roman" w:hAnsi="Times New Roman"/>
        </w:rPr>
      </w:pPr>
      <w:r>
        <w:rPr>
          <w:rFonts w:ascii="Times New Roman" w:hAnsi="Times New Roman"/>
        </w:rPr>
        <w:t>specify that the reports shall include information about programs and activities carried out under Title I pertaining to:</w:t>
      </w:r>
    </w:p>
    <w:p w14:paraId="21384435"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r w:rsidR="00074D39">
        <w:rPr>
          <w:rFonts w:ascii="Times New Roman" w:hAnsi="Times New Roman"/>
          <w:sz w:val="24"/>
        </w:rPr>
        <w:t>;</w:t>
      </w:r>
    </w:p>
    <w:p w14:paraId="069D5EA7"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r w:rsidR="00074D39">
        <w:rPr>
          <w:rFonts w:ascii="Times New Roman" w:hAnsi="Times New Roman"/>
          <w:sz w:val="24"/>
        </w:rPr>
        <w:t>;</w:t>
      </w:r>
    </w:p>
    <w:p w14:paraId="5E44E563"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lastRenderedPageBreak/>
        <w:t>outcomes of the programs and activities for participants, including the occupations of participants and placement for participants in nontraditional employment</w:t>
      </w:r>
      <w:r w:rsidR="00074D39">
        <w:rPr>
          <w:rFonts w:ascii="Times New Roman" w:hAnsi="Times New Roman"/>
          <w:sz w:val="24"/>
        </w:rPr>
        <w:t>;</w:t>
      </w:r>
    </w:p>
    <w:p w14:paraId="1420F410"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specified costs of the programs and activities</w:t>
      </w:r>
      <w:r w:rsidR="00074D39">
        <w:rPr>
          <w:rFonts w:ascii="Times New Roman" w:hAnsi="Times New Roman"/>
          <w:sz w:val="24"/>
        </w:rPr>
        <w:t>; and</w:t>
      </w:r>
    </w:p>
    <w:p w14:paraId="4F3FCF45" w14:textId="77777777" w:rsidR="00E71A3D" w:rsidRDefault="00E71A3D" w:rsidP="00773B9E">
      <w:pPr>
        <w:numPr>
          <w:ilvl w:val="0"/>
          <w:numId w:val="19"/>
        </w:numPr>
        <w:tabs>
          <w:tab w:val="clear" w:pos="1080"/>
          <w:tab w:val="left" w:pos="-1440"/>
          <w:tab w:val="num" w:pos="1440"/>
        </w:tabs>
        <w:spacing w:after="60"/>
        <w:ind w:left="1440"/>
        <w:rPr>
          <w:rFonts w:ascii="Times New Roman" w:hAnsi="Times New Roman"/>
          <w:sz w:val="24"/>
        </w:rPr>
      </w:pPr>
      <w:r>
        <w:rPr>
          <w:rFonts w:ascii="Times New Roman" w:hAnsi="Times New Roman"/>
          <w:sz w:val="24"/>
        </w:rPr>
        <w:t>information necessary to prepare reports to comply with section 188 and 29 CFR Part 37.37 [(a-b),(d-e)]</w:t>
      </w:r>
      <w:r w:rsidR="00074D39">
        <w:rPr>
          <w:rFonts w:ascii="Times New Roman" w:hAnsi="Times New Roman"/>
          <w:sz w:val="24"/>
        </w:rPr>
        <w:t>; and</w:t>
      </w:r>
    </w:p>
    <w:p w14:paraId="5DFF7284" w14:textId="77777777" w:rsidR="00E71A3D" w:rsidRDefault="00E71A3D">
      <w:pPr>
        <w:pStyle w:val="List-1stLevel"/>
        <w:widowControl w:val="0"/>
        <w:numPr>
          <w:ilvl w:val="0"/>
          <w:numId w:val="21"/>
        </w:numPr>
        <w:tabs>
          <w:tab w:val="left" w:pos="-1440"/>
        </w:tabs>
        <w:autoSpaceDE w:val="0"/>
        <w:autoSpaceDN w:val="0"/>
        <w:adjustRightInd w:val="0"/>
        <w:spacing w:before="0" w:after="0" w:line="240" w:lineRule="auto"/>
        <w:rPr>
          <w:rFonts w:ascii="Times New Roman" w:hAnsi="Times New Roman"/>
        </w:rPr>
      </w:pPr>
      <w:r>
        <w:rPr>
          <w:rFonts w:ascii="Times New Roman" w:hAnsi="Times New Roman"/>
        </w:rPr>
        <w:t>require that all elements of the information required for the reports described in section 185(d)(1)(A-E) above are defined and uniformly reported.</w:t>
      </w:r>
    </w:p>
    <w:p w14:paraId="2BD913BC" w14:textId="77777777" w:rsidR="00E71A3D" w:rsidRDefault="00E71A3D">
      <w:pPr>
        <w:rPr>
          <w:rFonts w:ascii="Times New Roman" w:hAnsi="Times New Roman"/>
          <w:sz w:val="24"/>
        </w:rPr>
      </w:pPr>
    </w:p>
    <w:p w14:paraId="41D6EEB6" w14:textId="3C9212E1" w:rsidR="00E71A3D" w:rsidRDefault="00E71A3D">
      <w:pPr>
        <w:rPr>
          <w:rFonts w:ascii="Times New Roman" w:hAnsi="Times New Roman"/>
          <w:sz w:val="24"/>
        </w:rPr>
      </w:pPr>
      <w:r>
        <w:rPr>
          <w:rFonts w:ascii="Times New Roman" w:hAnsi="Times New Roman"/>
          <w:sz w:val="24"/>
          <w:u w:val="single"/>
        </w:rPr>
        <w:t>WI</w:t>
      </w:r>
      <w:r w:rsidR="00BC1000">
        <w:rPr>
          <w:rFonts w:ascii="Times New Roman" w:hAnsi="Times New Roman"/>
          <w:sz w:val="24"/>
          <w:u w:val="single"/>
        </w:rPr>
        <w:t>O</w:t>
      </w:r>
      <w:r>
        <w:rPr>
          <w:rFonts w:ascii="Times New Roman" w:hAnsi="Times New Roman"/>
          <w:sz w:val="24"/>
          <w:u w:val="single"/>
        </w:rPr>
        <w:t>A section 189(d)</w:t>
      </w:r>
      <w:r>
        <w:rPr>
          <w:rFonts w:ascii="Times New Roman" w:hAnsi="Times New Roman"/>
          <w:sz w:val="24"/>
        </w:rPr>
        <w:t xml:space="preserve"> requires the Secretary to prepare and submit to Congress an annual report regarding the programs and activiti</w:t>
      </w:r>
      <w:r w:rsidR="009A2548">
        <w:rPr>
          <w:rFonts w:ascii="Times New Roman" w:hAnsi="Times New Roman"/>
          <w:sz w:val="24"/>
        </w:rPr>
        <w:t xml:space="preserve">es carried out under Title I.  </w:t>
      </w:r>
      <w:r>
        <w:rPr>
          <w:rFonts w:ascii="Times New Roman" w:hAnsi="Times New Roman"/>
          <w:sz w:val="24"/>
        </w:rPr>
        <w:t>The report must include:</w:t>
      </w:r>
    </w:p>
    <w:p w14:paraId="6D9086AB" w14:textId="77777777" w:rsidR="00E71A3D" w:rsidRDefault="00E71A3D">
      <w:pPr>
        <w:rPr>
          <w:rFonts w:ascii="Times New Roman" w:hAnsi="Times New Roman"/>
          <w:sz w:val="24"/>
        </w:rPr>
      </w:pPr>
    </w:p>
    <w:p w14:paraId="5C8B440F" w14:textId="77777777" w:rsidR="00E71A3D" w:rsidRDefault="00E71A3D">
      <w:pPr>
        <w:pStyle w:val="Level1"/>
        <w:numPr>
          <w:ilvl w:val="0"/>
          <w:numId w:val="12"/>
        </w:numPr>
        <w:tabs>
          <w:tab w:val="left" w:pos="-1440"/>
        </w:tabs>
        <w:outlineLvl w:val="9"/>
      </w:pPr>
      <w:bookmarkStart w:id="2" w:name="_Toc76458970"/>
      <w:r>
        <w:t>a summary of the achievements, failures and problems of the programs and activities in meeting the objectives of Title I</w:t>
      </w:r>
      <w:bookmarkEnd w:id="2"/>
      <w:r w:rsidR="00074D39">
        <w:t>;</w:t>
      </w:r>
    </w:p>
    <w:p w14:paraId="65BEC9B1" w14:textId="77777777" w:rsidR="00E71A3D" w:rsidRDefault="00E71A3D">
      <w:pPr>
        <w:pStyle w:val="Level1"/>
        <w:numPr>
          <w:ilvl w:val="0"/>
          <w:numId w:val="12"/>
        </w:numPr>
        <w:tabs>
          <w:tab w:val="left" w:pos="-1440"/>
        </w:tabs>
        <w:outlineLvl w:val="9"/>
      </w:pPr>
      <w:bookmarkStart w:id="3" w:name="_Toc76458971"/>
      <w:r>
        <w:t>a summary of major findings from research, evaluations, pilot projects, and experiments conducted under Title I in the fiscal year prior to the submission of the report</w:t>
      </w:r>
      <w:bookmarkEnd w:id="3"/>
      <w:r w:rsidR="00074D39">
        <w:t>;</w:t>
      </w:r>
    </w:p>
    <w:p w14:paraId="634C67C3" w14:textId="77777777" w:rsidR="00E71A3D" w:rsidRDefault="00E71A3D">
      <w:pPr>
        <w:pStyle w:val="Level1"/>
        <w:numPr>
          <w:ilvl w:val="0"/>
          <w:numId w:val="12"/>
        </w:numPr>
        <w:tabs>
          <w:tab w:val="left" w:pos="-1440"/>
        </w:tabs>
        <w:outlineLvl w:val="9"/>
      </w:pPr>
      <w:bookmarkStart w:id="4" w:name="_Toc76458972"/>
      <w:r>
        <w:t>recommendations for modifications in the programs and activities based on analysis of such findings</w:t>
      </w:r>
      <w:r w:rsidR="00074D39">
        <w:t>; and</w:t>
      </w:r>
      <w:bookmarkEnd w:id="4"/>
    </w:p>
    <w:p w14:paraId="0535833A" w14:textId="77777777" w:rsidR="00E71A3D" w:rsidRDefault="00E71A3D">
      <w:pPr>
        <w:pStyle w:val="Level1"/>
        <w:numPr>
          <w:ilvl w:val="0"/>
          <w:numId w:val="12"/>
        </w:numPr>
        <w:tabs>
          <w:tab w:val="left" w:pos="-1440"/>
        </w:tabs>
        <w:outlineLvl w:val="9"/>
      </w:pPr>
      <w:bookmarkStart w:id="5" w:name="_Toc76458973"/>
      <w:r>
        <w:t>such other recommendations for legislative or administrative action as the Secretary determines to be appropriate</w:t>
      </w:r>
      <w:bookmarkStart w:id="6" w:name="_Toc76458982"/>
      <w:bookmarkEnd w:id="5"/>
      <w:r w:rsidR="00074D39">
        <w:t>.</w:t>
      </w:r>
    </w:p>
    <w:p w14:paraId="75CA4C66" w14:textId="5BF422BB" w:rsidR="00E71A3D" w:rsidRDefault="00E71A3D">
      <w:pPr>
        <w:pStyle w:val="Level1"/>
        <w:numPr>
          <w:ilvl w:val="0"/>
          <w:numId w:val="0"/>
        </w:numPr>
        <w:tabs>
          <w:tab w:val="left" w:pos="-1440"/>
        </w:tabs>
        <w:outlineLvl w:val="9"/>
      </w:pPr>
    </w:p>
    <w:p w14:paraId="6F03B555" w14:textId="77777777" w:rsidR="0094187C" w:rsidRPr="00AA5343" w:rsidRDefault="0094187C" w:rsidP="0094187C">
      <w:pPr>
        <w:widowControl/>
        <w:rPr>
          <w:rFonts w:ascii="Times New Roman" w:hAnsi="Times New Roman"/>
          <w:i/>
          <w:sz w:val="24"/>
          <w:szCs w:val="24"/>
        </w:rPr>
      </w:pPr>
      <w:r w:rsidRPr="000F725E">
        <w:rPr>
          <w:rFonts w:ascii="Times New Roman" w:hAnsi="Times New Roman"/>
          <w:i/>
          <w:sz w:val="24"/>
          <w:szCs w:val="24"/>
        </w:rPr>
        <w:t>2.</w:t>
      </w:r>
      <w:r w:rsidRPr="000F725E">
        <w:rPr>
          <w:rFonts w:ascii="Times New Roman" w:hAnsi="Times New Roman"/>
          <w:i/>
          <w:sz w:val="24"/>
          <w:szCs w:val="24"/>
        </w:rPr>
        <w:tab/>
        <w:t>Indicate how, by whom, and for what purpose the information is to be used.  Except for a new collection, indicate the actual use the agency has made of the information received from the current collection.</w:t>
      </w:r>
    </w:p>
    <w:bookmarkEnd w:id="6"/>
    <w:p w14:paraId="2DD20D01" w14:textId="77777777" w:rsidR="00E71A3D" w:rsidRDefault="00E71A3D">
      <w:pPr>
        <w:pStyle w:val="Level1"/>
        <w:numPr>
          <w:ilvl w:val="0"/>
          <w:numId w:val="0"/>
        </w:numPr>
        <w:tabs>
          <w:tab w:val="left" w:pos="720"/>
          <w:tab w:val="left" w:pos="9360"/>
          <w:tab w:val="left" w:pos="9900"/>
        </w:tabs>
        <w:outlineLvl w:val="9"/>
        <w:rPr>
          <w:bCs/>
          <w:szCs w:val="20"/>
        </w:rPr>
      </w:pPr>
    </w:p>
    <w:p w14:paraId="6E49B800" w14:textId="77777777" w:rsidR="00E71A3D" w:rsidRDefault="00E71A3D">
      <w:pPr>
        <w:rPr>
          <w:rFonts w:ascii="Times New Roman" w:hAnsi="Times New Roman"/>
          <w:sz w:val="24"/>
        </w:rPr>
      </w:pPr>
      <w:r>
        <w:rPr>
          <w:rFonts w:ascii="Times New Roman" w:hAnsi="Times New Roman"/>
          <w:sz w:val="24"/>
        </w:rPr>
        <w:t xml:space="preserve">Grantees </w:t>
      </w:r>
      <w:r w:rsidR="00603278">
        <w:rPr>
          <w:rFonts w:ascii="Times New Roman" w:hAnsi="Times New Roman"/>
          <w:sz w:val="24"/>
        </w:rPr>
        <w:t>carry out</w:t>
      </w:r>
      <w:r>
        <w:rPr>
          <w:rFonts w:ascii="Times New Roman" w:hAnsi="Times New Roman"/>
          <w:sz w:val="24"/>
        </w:rPr>
        <w:t xml:space="preserve"> </w:t>
      </w:r>
      <w:r w:rsidR="00603278">
        <w:rPr>
          <w:rFonts w:ascii="Times New Roman" w:hAnsi="Times New Roman"/>
          <w:sz w:val="24"/>
        </w:rPr>
        <w:t>r</w:t>
      </w:r>
      <w:r>
        <w:rPr>
          <w:rFonts w:ascii="Times New Roman" w:hAnsi="Times New Roman"/>
          <w:sz w:val="24"/>
        </w:rPr>
        <w:t xml:space="preserve">ecordkeeping and reporting requirements with grant funds.  As a government-procured MIS </w:t>
      </w:r>
      <w:r w:rsidR="00603278">
        <w:rPr>
          <w:rFonts w:ascii="Times New Roman" w:hAnsi="Times New Roman"/>
          <w:sz w:val="24"/>
        </w:rPr>
        <w:t>is</w:t>
      </w:r>
      <w:r>
        <w:rPr>
          <w:rFonts w:ascii="Times New Roman" w:hAnsi="Times New Roman"/>
          <w:sz w:val="24"/>
        </w:rPr>
        <w:t xml:space="preserve"> provided to all grantees, their implementation costs </w:t>
      </w:r>
      <w:r w:rsidR="00F37C7A">
        <w:rPr>
          <w:rFonts w:ascii="Times New Roman" w:hAnsi="Times New Roman"/>
          <w:sz w:val="24"/>
        </w:rPr>
        <w:t>are minimal</w:t>
      </w:r>
      <w:r>
        <w:rPr>
          <w:rFonts w:ascii="Times New Roman" w:hAnsi="Times New Roman"/>
          <w:sz w:val="24"/>
        </w:rPr>
        <w:t xml:space="preserve">.  Grant funds may also be used with the prior approval of the grant officer to upgrade computer hardware and </w:t>
      </w:r>
      <w:r w:rsidR="00F37C7A">
        <w:rPr>
          <w:rFonts w:ascii="Times New Roman" w:hAnsi="Times New Roman"/>
          <w:sz w:val="24"/>
        </w:rPr>
        <w:t>I</w:t>
      </w:r>
      <w:r>
        <w:rPr>
          <w:rFonts w:ascii="Times New Roman" w:hAnsi="Times New Roman"/>
          <w:sz w:val="24"/>
        </w:rPr>
        <w:t>nternet access to enable projects to use the MIS.</w:t>
      </w:r>
    </w:p>
    <w:p w14:paraId="1D24D3A2" w14:textId="77777777" w:rsidR="00E71A3D" w:rsidRDefault="00E71A3D">
      <w:pPr>
        <w:rPr>
          <w:rFonts w:ascii="Times New Roman" w:hAnsi="Times New Roman"/>
          <w:sz w:val="24"/>
        </w:rPr>
      </w:pPr>
    </w:p>
    <w:p w14:paraId="6707CC07" w14:textId="1CC5B635" w:rsidR="00E71A3D" w:rsidRDefault="00E71A3D">
      <w:pPr>
        <w:rPr>
          <w:rFonts w:ascii="Times New Roman" w:hAnsi="Times New Roman"/>
          <w:sz w:val="24"/>
          <w:szCs w:val="24"/>
        </w:rPr>
      </w:pPr>
      <w:r>
        <w:rPr>
          <w:rFonts w:ascii="Times New Roman" w:hAnsi="Times New Roman"/>
          <w:sz w:val="24"/>
          <w:szCs w:val="24"/>
        </w:rPr>
        <w:t xml:space="preserve">Grantees enter data into the MIS on individuals who receive </w:t>
      </w:r>
      <w:r>
        <w:rPr>
          <w:rFonts w:ascii="Times New Roman" w:hAnsi="Times New Roman"/>
          <w:sz w:val="24"/>
        </w:rPr>
        <w:t xml:space="preserve">services through </w:t>
      </w:r>
      <w:r w:rsidR="00942843">
        <w:rPr>
          <w:rFonts w:ascii="Times New Roman" w:hAnsi="Times New Roman"/>
          <w:sz w:val="24"/>
        </w:rPr>
        <w:t>RExO-Adult</w:t>
      </w:r>
      <w:r>
        <w:rPr>
          <w:rFonts w:ascii="Times New Roman" w:hAnsi="Times New Roman"/>
          <w:sz w:val="24"/>
        </w:rPr>
        <w:t xml:space="preserve"> programs</w:t>
      </w:r>
      <w:r w:rsidR="00451298">
        <w:rPr>
          <w:rFonts w:ascii="Times New Roman" w:hAnsi="Times New Roman"/>
          <w:sz w:val="24"/>
        </w:rPr>
        <w:t xml:space="preserve"> and the outcomes of these participants.  </w:t>
      </w:r>
      <w:r>
        <w:rPr>
          <w:rFonts w:ascii="Times New Roman" w:hAnsi="Times New Roman"/>
          <w:sz w:val="24"/>
          <w:szCs w:val="24"/>
        </w:rPr>
        <w:t xml:space="preserve">These data </w:t>
      </w:r>
      <w:r w:rsidR="003E5F67">
        <w:rPr>
          <w:rFonts w:ascii="Times New Roman" w:hAnsi="Times New Roman"/>
          <w:sz w:val="24"/>
          <w:szCs w:val="24"/>
        </w:rPr>
        <w:t>are</w:t>
      </w:r>
      <w:r>
        <w:rPr>
          <w:rFonts w:ascii="Times New Roman" w:hAnsi="Times New Roman"/>
          <w:sz w:val="24"/>
          <w:szCs w:val="24"/>
        </w:rPr>
        <w:t xml:space="preserve"> used by the Department and ETA to evaluate performance and delivery of </w:t>
      </w:r>
      <w:r w:rsidR="00942843">
        <w:rPr>
          <w:rFonts w:ascii="Times New Roman" w:hAnsi="Times New Roman"/>
          <w:sz w:val="24"/>
          <w:szCs w:val="24"/>
        </w:rPr>
        <w:t>RExO-Adult</w:t>
      </w:r>
      <w:r>
        <w:rPr>
          <w:rFonts w:ascii="Times New Roman" w:hAnsi="Times New Roman"/>
          <w:sz w:val="24"/>
          <w:szCs w:val="24"/>
        </w:rPr>
        <w:t xml:space="preserve"> program services.  ETA </w:t>
      </w:r>
      <w:r w:rsidR="00723CD8">
        <w:rPr>
          <w:rFonts w:ascii="Times New Roman" w:hAnsi="Times New Roman"/>
          <w:sz w:val="24"/>
          <w:szCs w:val="24"/>
        </w:rPr>
        <w:t>uses</w:t>
      </w:r>
      <w:r>
        <w:rPr>
          <w:rFonts w:ascii="Times New Roman" w:hAnsi="Times New Roman"/>
          <w:sz w:val="24"/>
          <w:szCs w:val="24"/>
        </w:rPr>
        <w:t xml:space="preserve"> the data to track total participants, characteristics, services, and outcomes for </w:t>
      </w:r>
      <w:r w:rsidR="00F37C7A">
        <w:rPr>
          <w:rFonts w:ascii="Times New Roman" w:hAnsi="Times New Roman"/>
          <w:sz w:val="24"/>
          <w:szCs w:val="24"/>
        </w:rPr>
        <w:t>RExO-Adult</w:t>
      </w:r>
      <w:r>
        <w:rPr>
          <w:rFonts w:ascii="Times New Roman" w:hAnsi="Times New Roman"/>
          <w:sz w:val="24"/>
          <w:szCs w:val="24"/>
        </w:rPr>
        <w:t xml:space="preserve"> parti</w:t>
      </w:r>
      <w:r w:rsidR="00723CD8">
        <w:rPr>
          <w:rFonts w:ascii="Times New Roman" w:hAnsi="Times New Roman"/>
          <w:sz w:val="24"/>
          <w:szCs w:val="24"/>
        </w:rPr>
        <w:t>cipants.  Additionally, ETA</w:t>
      </w:r>
      <w:r>
        <w:rPr>
          <w:rFonts w:ascii="Times New Roman" w:hAnsi="Times New Roman"/>
          <w:sz w:val="24"/>
          <w:szCs w:val="24"/>
        </w:rPr>
        <w:t xml:space="preserve"> analyze</w:t>
      </w:r>
      <w:r w:rsidR="00723CD8">
        <w:rPr>
          <w:rFonts w:ascii="Times New Roman" w:hAnsi="Times New Roman"/>
          <w:sz w:val="24"/>
          <w:szCs w:val="24"/>
        </w:rPr>
        <w:t>s</w:t>
      </w:r>
      <w:r>
        <w:rPr>
          <w:rFonts w:ascii="Times New Roman" w:hAnsi="Times New Roman"/>
          <w:sz w:val="24"/>
          <w:szCs w:val="24"/>
        </w:rPr>
        <w:t xml:space="preserve"> the data to (1) determine the delivery of core employment services within the WI</w:t>
      </w:r>
      <w:r w:rsidR="00BC1000">
        <w:rPr>
          <w:rFonts w:ascii="Times New Roman" w:hAnsi="Times New Roman"/>
          <w:sz w:val="24"/>
          <w:szCs w:val="24"/>
        </w:rPr>
        <w:t>O</w:t>
      </w:r>
      <w:r>
        <w:rPr>
          <w:rFonts w:ascii="Times New Roman" w:hAnsi="Times New Roman"/>
          <w:sz w:val="24"/>
          <w:szCs w:val="24"/>
        </w:rPr>
        <w:t xml:space="preserve">A framework; (2) study performance outcomes vis-à-vis performance measures, policies, and procedures; and (3) help drive the workforce investment system toward continuous improvement of outcomes and integrated service delivery for </w:t>
      </w:r>
      <w:r w:rsidR="00F37C7A">
        <w:rPr>
          <w:rFonts w:ascii="Times New Roman" w:hAnsi="Times New Roman"/>
          <w:sz w:val="24"/>
          <w:szCs w:val="24"/>
        </w:rPr>
        <w:t>ex-offenders</w:t>
      </w:r>
      <w:r w:rsidR="0095160D">
        <w:rPr>
          <w:rFonts w:ascii="Times New Roman" w:hAnsi="Times New Roman"/>
          <w:sz w:val="24"/>
          <w:szCs w:val="24"/>
        </w:rPr>
        <w:t xml:space="preserve">.  </w:t>
      </w:r>
    </w:p>
    <w:p w14:paraId="312B0C20" w14:textId="77777777" w:rsidR="00E71A3D" w:rsidRDefault="00E71A3D">
      <w:pPr>
        <w:rPr>
          <w:rFonts w:ascii="Times New Roman" w:hAnsi="Times New Roman"/>
          <w:sz w:val="24"/>
          <w:szCs w:val="24"/>
        </w:rPr>
      </w:pPr>
    </w:p>
    <w:p w14:paraId="5B7CEA76" w14:textId="77777777" w:rsidR="00E71A3D" w:rsidRDefault="00E71A3D">
      <w:pPr>
        <w:rPr>
          <w:rFonts w:ascii="Times New Roman" w:hAnsi="Times New Roman"/>
          <w:sz w:val="24"/>
          <w:szCs w:val="24"/>
        </w:rPr>
      </w:pPr>
      <w:r>
        <w:rPr>
          <w:rFonts w:ascii="Times New Roman" w:hAnsi="Times New Roman"/>
          <w:sz w:val="24"/>
          <w:szCs w:val="24"/>
        </w:rPr>
        <w:t>Within ETA, the data are used by the Offices of Workforce Investment, Financial and Administrative Management, Policy Development and Research, and Field Operations (including the regional offices).  Other DOL users include the Offices of the Assistant Secretary for ETA and Assistant Secretary for Policy.</w:t>
      </w:r>
    </w:p>
    <w:p w14:paraId="623B8B9B" w14:textId="30D5DD61" w:rsidR="00E71A3D" w:rsidRDefault="00E71A3D">
      <w:pPr>
        <w:rPr>
          <w:rFonts w:ascii="Times New Roman" w:hAnsi="Times New Roman"/>
          <w:sz w:val="24"/>
          <w:szCs w:val="24"/>
        </w:rPr>
      </w:pPr>
    </w:p>
    <w:p w14:paraId="179AA7E2" w14:textId="77777777" w:rsidR="00501D88" w:rsidRDefault="00501D88">
      <w:pPr>
        <w:rPr>
          <w:rFonts w:ascii="Times New Roman" w:hAnsi="Times New Roman"/>
          <w:sz w:val="24"/>
          <w:szCs w:val="24"/>
        </w:rPr>
      </w:pPr>
    </w:p>
    <w:p w14:paraId="216791E0" w14:textId="29D0D38F" w:rsidR="00E71A3D" w:rsidRDefault="00E71A3D">
      <w:pPr>
        <w:pStyle w:val="Level1"/>
        <w:numPr>
          <w:ilvl w:val="0"/>
          <w:numId w:val="0"/>
        </w:numPr>
        <w:tabs>
          <w:tab w:val="left" w:pos="-1440"/>
          <w:tab w:val="left" w:pos="990"/>
        </w:tabs>
        <w:outlineLvl w:val="9"/>
      </w:pPr>
      <w:r>
        <w:rPr>
          <w:rFonts w:ascii="Times" w:hAnsi="Times"/>
        </w:rPr>
        <w:t xml:space="preserve">The reports and other analyses of the data </w:t>
      </w:r>
      <w:r w:rsidR="0095160D">
        <w:rPr>
          <w:rFonts w:ascii="Times" w:hAnsi="Times"/>
        </w:rPr>
        <w:t>are</w:t>
      </w:r>
      <w:r>
        <w:rPr>
          <w:rFonts w:ascii="Times" w:hAnsi="Times"/>
        </w:rPr>
        <w:t xml:space="preserve"> made available </w:t>
      </w:r>
      <w:bookmarkStart w:id="7" w:name="_Toc76458979"/>
      <w:r>
        <w:rPr>
          <w:rFonts w:ascii="Times" w:hAnsi="Times"/>
        </w:rPr>
        <w:t xml:space="preserve">to </w:t>
      </w:r>
      <w:r>
        <w:t>the public through publication and other appropriate methods</w:t>
      </w:r>
      <w:bookmarkStart w:id="8" w:name="_Toc76458980"/>
      <w:bookmarkEnd w:id="7"/>
      <w:r>
        <w:t xml:space="preserve"> and</w:t>
      </w:r>
      <w:bookmarkEnd w:id="8"/>
      <w:r>
        <w:t xml:space="preserve"> </w:t>
      </w:r>
      <w:bookmarkStart w:id="9" w:name="_Toc76458981"/>
      <w:r>
        <w:t>to the appropriate congressional committees through copies of such reports</w:t>
      </w:r>
      <w:bookmarkEnd w:id="9"/>
      <w:r>
        <w:t xml:space="preserve">.   In addition, information obtained through the MIS information and reporting system </w:t>
      </w:r>
      <w:r w:rsidR="0095160D">
        <w:t>is</w:t>
      </w:r>
      <w:r>
        <w:t xml:space="preserve"> used at the national level during budget and allocation hearings for DOL compliance with the Government Performance and Results Act (GPRA) and other legislative requirements.</w:t>
      </w:r>
    </w:p>
    <w:p w14:paraId="3C771B92" w14:textId="2AEB295D" w:rsidR="00E71A3D" w:rsidRPr="00A42674" w:rsidRDefault="00E71A3D">
      <w:pPr>
        <w:pStyle w:val="Heading2"/>
        <w:rPr>
          <w:rFonts w:ascii="Times New Roman" w:hAnsi="Times New Roman"/>
          <w:b/>
          <w:i w:val="0"/>
          <w:sz w:val="24"/>
        </w:rPr>
      </w:pPr>
      <w:bookmarkStart w:id="10" w:name="_Toc76458983"/>
    </w:p>
    <w:p w14:paraId="70C5BB37" w14:textId="77777777" w:rsidR="0094187C" w:rsidRDefault="0094187C" w:rsidP="0094187C">
      <w:pPr>
        <w:widowControl/>
        <w:rPr>
          <w:rFonts w:ascii="Times New Roman" w:hAnsi="Times New Roman"/>
          <w:sz w:val="24"/>
          <w:szCs w:val="24"/>
        </w:rPr>
      </w:pPr>
      <w:r w:rsidRPr="000F725E">
        <w:rPr>
          <w:rFonts w:ascii="Times New Roman" w:hAnsi="Times New Roman"/>
          <w:i/>
          <w:sz w:val="24"/>
          <w:szCs w:val="24"/>
        </w:rPr>
        <w:t>3.</w:t>
      </w:r>
      <w:r w:rsidRPr="000F725E">
        <w:rPr>
          <w:rFonts w:ascii="Times New Roman" w:hAnsi="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10"/>
    <w:p w14:paraId="29296D73" w14:textId="77777777" w:rsidR="00E71A3D" w:rsidRDefault="00E71A3D">
      <w:pPr>
        <w:rPr>
          <w:rFonts w:ascii="Times New Roman" w:hAnsi="Times New Roman"/>
          <w:sz w:val="24"/>
        </w:rPr>
      </w:pPr>
    </w:p>
    <w:p w14:paraId="3558A5C7" w14:textId="77777777" w:rsidR="00E71A3D" w:rsidRDefault="00E71A3D">
      <w:pPr>
        <w:pStyle w:val="Level1"/>
        <w:numPr>
          <w:ilvl w:val="0"/>
          <w:numId w:val="0"/>
        </w:numPr>
        <w:tabs>
          <w:tab w:val="left" w:pos="720"/>
          <w:tab w:val="left" w:pos="9360"/>
          <w:tab w:val="left" w:pos="9900"/>
        </w:tabs>
        <w:outlineLvl w:val="9"/>
        <w:rPr>
          <w:szCs w:val="20"/>
        </w:rPr>
      </w:pPr>
      <w:r>
        <w:rPr>
          <w:szCs w:val="20"/>
        </w:rPr>
        <w:t>To comply with the Government Paperwork Elimination Act, a web-based MIS/Case Management System</w:t>
      </w:r>
      <w:r w:rsidR="003A1665">
        <w:rPr>
          <w:szCs w:val="20"/>
        </w:rPr>
        <w:t xml:space="preserve"> is provided to grantees</w:t>
      </w:r>
      <w:r>
        <w:rPr>
          <w:szCs w:val="20"/>
        </w:rPr>
        <w:t xml:space="preserve"> and data elements and data definitions </w:t>
      </w:r>
      <w:r w:rsidR="003A1665">
        <w:rPr>
          <w:szCs w:val="20"/>
        </w:rPr>
        <w:t>are uniform</w:t>
      </w:r>
      <w:r>
        <w:rPr>
          <w:szCs w:val="20"/>
        </w:rPr>
        <w:t xml:space="preserve"> across ETA programs.  All </w:t>
      </w:r>
      <w:r w:rsidR="00942843">
        <w:rPr>
          <w:szCs w:val="20"/>
        </w:rPr>
        <w:t>RExO-Adult</w:t>
      </w:r>
      <w:r>
        <w:rPr>
          <w:szCs w:val="20"/>
        </w:rPr>
        <w:t xml:space="preserve"> data and reports </w:t>
      </w:r>
      <w:r w:rsidR="003A1665">
        <w:rPr>
          <w:szCs w:val="20"/>
        </w:rPr>
        <w:t>are</w:t>
      </w:r>
      <w:r>
        <w:rPr>
          <w:szCs w:val="20"/>
        </w:rPr>
        <w:t xml:space="preserve"> submitted to ETA via the </w:t>
      </w:r>
      <w:r w:rsidR="003A1665">
        <w:rPr>
          <w:szCs w:val="20"/>
        </w:rPr>
        <w:t>I</w:t>
      </w:r>
      <w:r>
        <w:rPr>
          <w:szCs w:val="20"/>
        </w:rPr>
        <w:t>nternet.  Grantees collect, retain, and report all information electronically through the ETA-provided MIS.</w:t>
      </w:r>
    </w:p>
    <w:p w14:paraId="3ACD7DD5" w14:textId="40E6AC55" w:rsidR="00E71A3D" w:rsidRDefault="00E71A3D">
      <w:pPr>
        <w:pStyle w:val="Level1"/>
        <w:numPr>
          <w:ilvl w:val="0"/>
          <w:numId w:val="0"/>
        </w:numPr>
        <w:tabs>
          <w:tab w:val="left" w:pos="720"/>
          <w:tab w:val="left" w:pos="9360"/>
          <w:tab w:val="left" w:pos="9900"/>
        </w:tabs>
        <w:outlineLvl w:val="9"/>
        <w:rPr>
          <w:szCs w:val="20"/>
        </w:rPr>
      </w:pPr>
    </w:p>
    <w:p w14:paraId="1283CCC7" w14:textId="77777777" w:rsidR="0094187C" w:rsidRDefault="0094187C" w:rsidP="0094187C">
      <w:pPr>
        <w:pStyle w:val="Level1"/>
        <w:widowControl/>
        <w:numPr>
          <w:ilvl w:val="0"/>
          <w:numId w:val="0"/>
        </w:numPr>
        <w:tabs>
          <w:tab w:val="left" w:pos="720"/>
          <w:tab w:val="left" w:pos="9360"/>
          <w:tab w:val="left" w:pos="9900"/>
        </w:tabs>
        <w:outlineLvl w:val="9"/>
        <w:rPr>
          <w:szCs w:val="20"/>
        </w:rPr>
      </w:pPr>
      <w:bookmarkStart w:id="11" w:name="_Toc76458984"/>
      <w:r w:rsidRPr="000F725E">
        <w:rPr>
          <w:i/>
          <w:szCs w:val="20"/>
        </w:rPr>
        <w:t>4.</w:t>
      </w:r>
      <w:r w:rsidRPr="000F725E">
        <w:rPr>
          <w:i/>
          <w:szCs w:val="20"/>
        </w:rPr>
        <w:tab/>
        <w:t>Describe efforts to identify duplication.  Show specifically why any similar information already available cannot be used or modified for use for the purposes described in Item 2 above.</w:t>
      </w:r>
    </w:p>
    <w:bookmarkEnd w:id="11"/>
    <w:p w14:paraId="40992A26"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15211317" w14:textId="450E4151" w:rsidR="00AD64D3" w:rsidRDefault="00F90488">
      <w:pPr>
        <w:rPr>
          <w:rFonts w:ascii="Times New Roman" w:hAnsi="Times New Roman"/>
          <w:sz w:val="24"/>
        </w:rPr>
      </w:pPr>
      <w:r>
        <w:rPr>
          <w:rFonts w:ascii="Times New Roman" w:hAnsi="Times New Roman"/>
          <w:sz w:val="24"/>
        </w:rPr>
        <w:t>The</w:t>
      </w:r>
      <w:r w:rsidR="004C4AEB">
        <w:rPr>
          <w:rFonts w:ascii="Times New Roman" w:hAnsi="Times New Roman"/>
          <w:sz w:val="24"/>
        </w:rPr>
        <w:t xml:space="preserve"> only way of obtaining </w:t>
      </w:r>
      <w:r w:rsidR="00D64DC5">
        <w:rPr>
          <w:rFonts w:ascii="Times New Roman" w:hAnsi="Times New Roman"/>
          <w:sz w:val="24"/>
        </w:rPr>
        <w:t>demographic data of participants in our adult offender projects, the services that they receive, and outcomes such as placement in an unsubsidized job or occu</w:t>
      </w:r>
      <w:r w:rsidR="00BA0315">
        <w:rPr>
          <w:rFonts w:ascii="Times New Roman" w:hAnsi="Times New Roman"/>
          <w:sz w:val="24"/>
        </w:rPr>
        <w:t xml:space="preserve">pational training </w:t>
      </w:r>
      <w:r w:rsidR="00D64DC5">
        <w:rPr>
          <w:rFonts w:ascii="Times New Roman" w:hAnsi="Times New Roman"/>
          <w:sz w:val="24"/>
        </w:rPr>
        <w:t xml:space="preserve">is by collecting this information from grantees as requested in the ICR.  Eventually we will be able to track quarterly employment and earnings of participants through state Unemployment Insurance wage data, but that data is not available for our Reentry grants yet.  The FBI </w:t>
      </w:r>
      <w:r w:rsidR="00BA0315">
        <w:rPr>
          <w:rFonts w:ascii="Times New Roman" w:hAnsi="Times New Roman"/>
          <w:sz w:val="24"/>
        </w:rPr>
        <w:t xml:space="preserve">maintains individual criminal history data at the national level, but there are specific purposes for which that </w:t>
      </w:r>
      <w:r w:rsidR="00451298">
        <w:rPr>
          <w:rFonts w:ascii="Times New Roman" w:hAnsi="Times New Roman"/>
          <w:sz w:val="24"/>
        </w:rPr>
        <w:t xml:space="preserve">information </w:t>
      </w:r>
      <w:r w:rsidR="00BA0315">
        <w:rPr>
          <w:rFonts w:ascii="Times New Roman" w:hAnsi="Times New Roman"/>
          <w:sz w:val="24"/>
        </w:rPr>
        <w:t xml:space="preserve">is released—the National Crime Information Center data is for law enforcement agencies; the National Instant Criminal Background Check system is for the purchase of firearms; </w:t>
      </w:r>
      <w:r w:rsidR="00CF17DC">
        <w:rPr>
          <w:rFonts w:ascii="Times New Roman" w:hAnsi="Times New Roman"/>
          <w:sz w:val="24"/>
        </w:rPr>
        <w:t xml:space="preserve">the National Name Check program is </w:t>
      </w:r>
      <w:r w:rsidR="007E520B">
        <w:rPr>
          <w:rFonts w:ascii="Times New Roman" w:hAnsi="Times New Roman"/>
          <w:sz w:val="24"/>
        </w:rPr>
        <w:t xml:space="preserve">used for security clearances for federal employment and appointments, federal and state criminal investigations, counterterrorism, counterespionage, clearances for White House events, and applications for visas, green cards, and naturalization; </w:t>
      </w:r>
      <w:r w:rsidR="00CF17DC">
        <w:rPr>
          <w:rFonts w:ascii="Times New Roman" w:hAnsi="Times New Roman"/>
          <w:sz w:val="24"/>
        </w:rPr>
        <w:t xml:space="preserve">and FBI fingerprint background checks </w:t>
      </w:r>
      <w:r w:rsidR="00AD64D3">
        <w:rPr>
          <w:rFonts w:ascii="Times New Roman" w:hAnsi="Times New Roman"/>
          <w:sz w:val="24"/>
        </w:rPr>
        <w:t xml:space="preserve">are specifically for screening </w:t>
      </w:r>
      <w:r w:rsidR="00CF17DC">
        <w:rPr>
          <w:rFonts w:ascii="Times New Roman" w:hAnsi="Times New Roman"/>
          <w:sz w:val="24"/>
        </w:rPr>
        <w:t xml:space="preserve">for </w:t>
      </w:r>
      <w:r w:rsidR="00AD64D3">
        <w:rPr>
          <w:rFonts w:ascii="Times New Roman" w:hAnsi="Times New Roman"/>
          <w:sz w:val="24"/>
        </w:rPr>
        <w:t xml:space="preserve">employment in schools, hospitals, and social services agencies, and obtaining occupational licenses, and can only be accessed through state agencies or through </w:t>
      </w:r>
      <w:r w:rsidR="00BA0315">
        <w:rPr>
          <w:rFonts w:ascii="Times New Roman" w:hAnsi="Times New Roman"/>
          <w:sz w:val="24"/>
        </w:rPr>
        <w:t xml:space="preserve">fingerprint vendors designated by </w:t>
      </w:r>
      <w:r w:rsidR="00AD64D3">
        <w:rPr>
          <w:rFonts w:ascii="Times New Roman" w:hAnsi="Times New Roman"/>
          <w:sz w:val="24"/>
        </w:rPr>
        <w:t>the state.</w:t>
      </w:r>
      <w:r w:rsidR="00BC210D">
        <w:rPr>
          <w:rFonts w:ascii="Times New Roman" w:hAnsi="Times New Roman"/>
          <w:sz w:val="24"/>
        </w:rPr>
        <w:t xml:space="preserve">  Many, but not all, states have convictions data available based on name and birth date, but to use these state systems to be ethical DOL would need to let participants know that we would be accessing their criminal records</w:t>
      </w:r>
      <w:r w:rsidR="004D41EB">
        <w:rPr>
          <w:rFonts w:ascii="Times New Roman" w:hAnsi="Times New Roman"/>
          <w:sz w:val="24"/>
        </w:rPr>
        <w:t xml:space="preserve"> and it would be unnecessarily intrusive </w:t>
      </w:r>
      <w:r w:rsidR="00BC210D">
        <w:rPr>
          <w:rFonts w:ascii="Times New Roman" w:hAnsi="Times New Roman"/>
          <w:sz w:val="24"/>
        </w:rPr>
        <w:t xml:space="preserve">for </w:t>
      </w:r>
      <w:r w:rsidR="004D41EB">
        <w:rPr>
          <w:rFonts w:ascii="Times New Roman" w:hAnsi="Times New Roman"/>
          <w:sz w:val="24"/>
        </w:rPr>
        <w:t>DOL to access such criminal records.</w:t>
      </w:r>
      <w:r w:rsidR="00BC210D">
        <w:rPr>
          <w:rFonts w:ascii="Times New Roman" w:hAnsi="Times New Roman"/>
          <w:sz w:val="24"/>
        </w:rPr>
        <w:t xml:space="preserve">  </w:t>
      </w:r>
    </w:p>
    <w:p w14:paraId="1AB20D21" w14:textId="6E8B2026" w:rsidR="00AD64D3" w:rsidRDefault="00AD64D3">
      <w:pPr>
        <w:rPr>
          <w:rFonts w:ascii="Times New Roman" w:hAnsi="Times New Roman"/>
          <w:sz w:val="24"/>
        </w:rPr>
      </w:pPr>
    </w:p>
    <w:p w14:paraId="64C6B686" w14:textId="77777777" w:rsidR="0094187C" w:rsidRDefault="0094187C" w:rsidP="0094187C">
      <w:pPr>
        <w:widowControl/>
        <w:rPr>
          <w:rFonts w:ascii="Times New Roman" w:hAnsi="Times New Roman"/>
          <w:i/>
          <w:sz w:val="24"/>
        </w:rPr>
      </w:pPr>
      <w:bookmarkStart w:id="12" w:name="_Toc76458985"/>
      <w:r w:rsidRPr="000F725E">
        <w:rPr>
          <w:rFonts w:ascii="Times New Roman" w:hAnsi="Times New Roman"/>
          <w:i/>
          <w:sz w:val="24"/>
        </w:rPr>
        <w:t>5.</w:t>
      </w:r>
      <w:r w:rsidRPr="000F725E">
        <w:rPr>
          <w:rFonts w:ascii="Times New Roman" w:hAnsi="Times New Roman"/>
          <w:i/>
          <w:sz w:val="24"/>
        </w:rPr>
        <w:tab/>
        <w:t>If the collection of information impacts small businesses or other small entities, describe any methods used to minimize burden.</w:t>
      </w:r>
    </w:p>
    <w:bookmarkEnd w:id="12"/>
    <w:p w14:paraId="4A2A8EC6" w14:textId="77777777" w:rsidR="00E71A3D" w:rsidRDefault="00E71A3D">
      <w:pPr>
        <w:pStyle w:val="BodyText"/>
        <w:jc w:val="left"/>
        <w:rPr>
          <w:sz w:val="24"/>
        </w:rPr>
      </w:pPr>
    </w:p>
    <w:p w14:paraId="20D48A5E" w14:textId="6B1A7818" w:rsidR="00E71A3D" w:rsidRPr="00501D88" w:rsidRDefault="00E71A3D" w:rsidP="00501D88">
      <w:pPr>
        <w:pStyle w:val="BodyText"/>
        <w:jc w:val="left"/>
        <w:rPr>
          <w:sz w:val="24"/>
        </w:rPr>
      </w:pPr>
      <w:r>
        <w:rPr>
          <w:sz w:val="24"/>
        </w:rPr>
        <w:t xml:space="preserve">For reporting purposes, the involvement of small businesses or other small entities </w:t>
      </w:r>
      <w:r w:rsidR="00E43A43">
        <w:rPr>
          <w:sz w:val="24"/>
        </w:rPr>
        <w:t xml:space="preserve">that </w:t>
      </w:r>
      <w:r>
        <w:rPr>
          <w:sz w:val="24"/>
        </w:rPr>
        <w:t xml:space="preserve">are not grantees or sub-grantees is extremely limited.  The only time contacting them may be required is </w:t>
      </w:r>
      <w:r w:rsidR="004C4AEB">
        <w:rPr>
          <w:sz w:val="24"/>
        </w:rPr>
        <w:t>to validate a job placement</w:t>
      </w:r>
      <w:r>
        <w:rPr>
          <w:sz w:val="24"/>
        </w:rPr>
        <w:t>.  Methods to minimize the burden on small entities that are grantees or subgrantees are discussed in other sections of this supporting statement.</w:t>
      </w:r>
      <w:bookmarkStart w:id="13" w:name="_Toc76458986"/>
    </w:p>
    <w:p w14:paraId="4B972C0E" w14:textId="77777777" w:rsidR="0094187C" w:rsidRDefault="0094187C" w:rsidP="0094187C">
      <w:pPr>
        <w:rPr>
          <w:rFonts w:ascii="Times New Roman" w:hAnsi="Times New Roman"/>
          <w:i/>
          <w:sz w:val="24"/>
          <w:szCs w:val="24"/>
        </w:rPr>
      </w:pPr>
      <w:r w:rsidRPr="000F725E">
        <w:rPr>
          <w:rFonts w:ascii="Times New Roman" w:hAnsi="Times New Roman"/>
          <w:i/>
          <w:sz w:val="24"/>
          <w:szCs w:val="24"/>
        </w:rPr>
        <w:t>6.</w:t>
      </w:r>
      <w:r w:rsidRPr="000F725E">
        <w:rPr>
          <w:rFonts w:ascii="Times New Roman" w:hAnsi="Times New Roman"/>
          <w:i/>
          <w:sz w:val="24"/>
          <w:szCs w:val="24"/>
        </w:rPr>
        <w:tab/>
        <w:t>Describe the consequence to Federal program or policy activities if the collection is not conducted or is conducted less frequently, as well as any technical or legal obstacles to reducing burden.</w:t>
      </w:r>
    </w:p>
    <w:bookmarkEnd w:id="13"/>
    <w:p w14:paraId="1771E887" w14:textId="77777777" w:rsidR="00E71A3D" w:rsidRDefault="00E71A3D">
      <w:pPr>
        <w:rPr>
          <w:rFonts w:ascii="Times New Roman" w:hAnsi="Times New Roman"/>
          <w:sz w:val="24"/>
        </w:rPr>
      </w:pPr>
    </w:p>
    <w:p w14:paraId="07F24A87" w14:textId="3FB8273B" w:rsidR="00E71A3D" w:rsidRDefault="00E71A3D">
      <w:pPr>
        <w:pStyle w:val="BodyText2"/>
        <w:jc w:val="left"/>
        <w:rPr>
          <w:rFonts w:ascii="Times New Roman" w:hAnsi="Times New Roman"/>
        </w:rPr>
      </w:pPr>
      <w:r>
        <w:rPr>
          <w:rFonts w:ascii="Times New Roman" w:hAnsi="Times New Roman"/>
        </w:rPr>
        <w:t xml:space="preserve">In applying for </w:t>
      </w:r>
      <w:r w:rsidR="00942843" w:rsidRPr="003D644E">
        <w:rPr>
          <w:rFonts w:ascii="Times New Roman" w:hAnsi="Times New Roman"/>
        </w:rPr>
        <w:t>RExO-Adult</w:t>
      </w:r>
      <w:r w:rsidRPr="003D644E">
        <w:rPr>
          <w:rFonts w:ascii="Times New Roman" w:hAnsi="Times New Roman"/>
        </w:rPr>
        <w:t xml:space="preserve"> grants, grantees agree to meet ETA’s reporting requirements as indicated in the Solicitation for Grant Applications (SGA/DFA PY</w:t>
      </w:r>
      <w:r w:rsidR="00E43A43" w:rsidRPr="0078422E">
        <w:rPr>
          <w:rFonts w:ascii="Times New Roman" w:hAnsi="Times New Roman"/>
        </w:rPr>
        <w:t>-13-03</w:t>
      </w:r>
      <w:r w:rsidRPr="0078422E">
        <w:rPr>
          <w:rFonts w:ascii="Times New Roman" w:hAnsi="Times New Roman"/>
        </w:rPr>
        <w:t xml:space="preserve">), which requires the submission of quarterly reports within </w:t>
      </w:r>
      <w:r w:rsidR="00E43A43" w:rsidRPr="0078422E">
        <w:rPr>
          <w:rFonts w:ascii="Times New Roman" w:hAnsi="Times New Roman"/>
        </w:rPr>
        <w:t xml:space="preserve">45 </w:t>
      </w:r>
      <w:r w:rsidRPr="0078422E">
        <w:rPr>
          <w:rFonts w:ascii="Times New Roman" w:hAnsi="Times New Roman"/>
        </w:rPr>
        <w:t>days after the end of the quarter.</w:t>
      </w:r>
      <w:r w:rsidR="00BC1000">
        <w:rPr>
          <w:rFonts w:ascii="Times New Roman" w:hAnsi="Times New Roman"/>
        </w:rPr>
        <w:t xml:space="preserve">  If ETA did not comply with these requirements, </w:t>
      </w:r>
      <w:r w:rsidR="004F253E">
        <w:rPr>
          <w:rFonts w:ascii="Times New Roman" w:hAnsi="Times New Roman"/>
        </w:rPr>
        <w:t xml:space="preserve">monitoring of </w:t>
      </w:r>
      <w:r w:rsidR="00BC1000">
        <w:rPr>
          <w:rFonts w:ascii="Times New Roman" w:hAnsi="Times New Roman"/>
        </w:rPr>
        <w:t xml:space="preserve">demonstration programs would be compromised.  </w:t>
      </w:r>
    </w:p>
    <w:p w14:paraId="2EECFD1C" w14:textId="0DD67776" w:rsidR="00E71A3D" w:rsidRDefault="00E71A3D">
      <w:pPr>
        <w:pStyle w:val="Level1"/>
        <w:numPr>
          <w:ilvl w:val="0"/>
          <w:numId w:val="0"/>
        </w:numPr>
        <w:tabs>
          <w:tab w:val="left" w:pos="720"/>
          <w:tab w:val="left" w:pos="9360"/>
          <w:tab w:val="left" w:pos="9900"/>
        </w:tabs>
        <w:outlineLvl w:val="9"/>
        <w:rPr>
          <w:iCs/>
          <w:szCs w:val="20"/>
        </w:rPr>
      </w:pPr>
    </w:p>
    <w:p w14:paraId="64CF8079" w14:textId="77BB09F0" w:rsidR="0094187C" w:rsidRDefault="0094187C" w:rsidP="0094187C">
      <w:pPr>
        <w:pStyle w:val="Level1"/>
        <w:widowControl/>
        <w:numPr>
          <w:ilvl w:val="0"/>
          <w:numId w:val="0"/>
        </w:numPr>
        <w:tabs>
          <w:tab w:val="left" w:pos="720"/>
          <w:tab w:val="left" w:pos="9360"/>
          <w:tab w:val="left" w:pos="9900"/>
        </w:tabs>
        <w:outlineLvl w:val="9"/>
        <w:rPr>
          <w:iCs/>
          <w:szCs w:val="20"/>
        </w:rPr>
      </w:pPr>
      <w:bookmarkStart w:id="14" w:name="_Toc76458987"/>
      <w:r w:rsidRPr="000F725E">
        <w:rPr>
          <w:i/>
          <w:iCs/>
          <w:szCs w:val="20"/>
        </w:rPr>
        <w:t>7.</w:t>
      </w:r>
      <w:r w:rsidRPr="000F725E">
        <w:rPr>
          <w:i/>
          <w:iCs/>
          <w:szCs w:val="20"/>
        </w:rPr>
        <w:tab/>
        <w:t>Explain any special circumstances that would cause an information collection to be conducted in a manner</w:t>
      </w:r>
      <w:r w:rsidR="00501D88">
        <w:rPr>
          <w:i/>
          <w:iCs/>
          <w:szCs w:val="20"/>
        </w:rPr>
        <w:t xml:space="preserve"> </w:t>
      </w:r>
      <w:r w:rsidR="00501D88" w:rsidRPr="00501D88">
        <w:rPr>
          <w:i/>
        </w:rPr>
        <w:t>that requires further explanation pursuant to regulations 5 CFR 1320.5.</w:t>
      </w:r>
      <w:r w:rsidR="00501D88">
        <w:rPr>
          <w:i/>
        </w:rPr>
        <w:t xml:space="preserve"> </w:t>
      </w:r>
    </w:p>
    <w:bookmarkEnd w:id="14"/>
    <w:p w14:paraId="05E2F3CE" w14:textId="77777777" w:rsidR="00E71A3D" w:rsidRDefault="00E71A3D">
      <w:pPr>
        <w:pStyle w:val="BodyText"/>
        <w:jc w:val="left"/>
        <w:rPr>
          <w:sz w:val="24"/>
        </w:rPr>
      </w:pPr>
    </w:p>
    <w:p w14:paraId="6EAFE227" w14:textId="77777777" w:rsidR="00E71A3D" w:rsidRDefault="00E71A3D">
      <w:pPr>
        <w:pStyle w:val="BodyText"/>
        <w:jc w:val="left"/>
        <w:rPr>
          <w:sz w:val="24"/>
        </w:rPr>
      </w:pPr>
      <w:r>
        <w:rPr>
          <w:sz w:val="24"/>
        </w:rPr>
        <w:t>These data collection efforts do not involve any special circumstances.</w:t>
      </w:r>
    </w:p>
    <w:p w14:paraId="187B0BCA" w14:textId="073EAE2D" w:rsidR="00E71A3D" w:rsidRDefault="00E71A3D">
      <w:pPr>
        <w:pStyle w:val="BodyText"/>
        <w:jc w:val="left"/>
        <w:rPr>
          <w:sz w:val="24"/>
        </w:rPr>
      </w:pPr>
    </w:p>
    <w:p w14:paraId="637D9820" w14:textId="41524793" w:rsidR="0094187C" w:rsidRDefault="0094187C" w:rsidP="0094187C">
      <w:pPr>
        <w:pStyle w:val="BodyText"/>
        <w:rPr>
          <w:i/>
          <w:sz w:val="24"/>
        </w:rPr>
      </w:pPr>
      <w:bookmarkStart w:id="15" w:name="_Toc76458988"/>
      <w:r w:rsidRPr="000F725E">
        <w:rPr>
          <w:sz w:val="24"/>
        </w:rPr>
        <w:t>8.</w:t>
      </w:r>
      <w:r w:rsidRPr="000F725E">
        <w:rPr>
          <w:sz w:val="24"/>
        </w:rPr>
        <w:tab/>
      </w:r>
      <w:r w:rsidRPr="000F725E">
        <w:rPr>
          <w:i/>
          <w:sz w:val="24"/>
        </w:rPr>
        <w:t>If applicable, provide a copy and identify the dat</w:t>
      </w:r>
      <w:r w:rsidR="004F253E">
        <w:rPr>
          <w:i/>
          <w:sz w:val="24"/>
        </w:rPr>
        <w:t>e</w:t>
      </w:r>
      <w:r w:rsidRPr="000F725E">
        <w:rPr>
          <w:i/>
          <w:sz w:val="24"/>
        </w:rPr>
        <w:t xml:space="preserve"> and page number of publication in the Federal Register of the agency's notice, required by 5 CFR 1320.8(d), soliciting comments on the information collection prior to submission to OMB.</w:t>
      </w:r>
      <w:r w:rsidRPr="000F725E">
        <w:rPr>
          <w:sz w:val="24"/>
        </w:rPr>
        <w:t xml:space="preserve"> </w:t>
      </w:r>
      <w:r w:rsidRPr="000F725E">
        <w:rPr>
          <w:i/>
          <w:sz w:val="24"/>
        </w:rPr>
        <w:t>Summarize public comments received in response to that notice and describe actions taken by the agency in response to these comments.  Specifically address comments received on cost and hour burden.</w:t>
      </w:r>
    </w:p>
    <w:p w14:paraId="18746695" w14:textId="77777777" w:rsidR="0094187C" w:rsidRDefault="0094187C" w:rsidP="0094187C">
      <w:pPr>
        <w:pStyle w:val="BodyText"/>
        <w:rPr>
          <w:i/>
          <w:sz w:val="24"/>
        </w:rPr>
      </w:pPr>
    </w:p>
    <w:p w14:paraId="476C636F" w14:textId="77777777" w:rsidR="0094187C" w:rsidRPr="000F725E" w:rsidRDefault="0094187C" w:rsidP="0094187C">
      <w:pPr>
        <w:pStyle w:val="BodyText"/>
        <w:rPr>
          <w:i/>
          <w:sz w:val="24"/>
        </w:rPr>
      </w:pPr>
      <w:r w:rsidRPr="000F725E">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42F6C7F" w14:textId="77777777" w:rsidR="0094187C" w:rsidRPr="000F725E" w:rsidRDefault="0094187C" w:rsidP="0094187C">
      <w:pPr>
        <w:pStyle w:val="BodyText"/>
        <w:rPr>
          <w:i/>
          <w:sz w:val="24"/>
        </w:rPr>
      </w:pPr>
    </w:p>
    <w:p w14:paraId="4A620F70" w14:textId="77777777" w:rsidR="0094187C" w:rsidRDefault="0094187C" w:rsidP="0094187C">
      <w:pPr>
        <w:pStyle w:val="BodyText"/>
        <w:widowControl/>
        <w:jc w:val="left"/>
        <w:rPr>
          <w:sz w:val="24"/>
        </w:rPr>
      </w:pPr>
      <w:r w:rsidRPr="000F725E">
        <w:rPr>
          <w:i/>
          <w:sz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rPr>
          <w:i/>
          <w:sz w:val="24"/>
        </w:rPr>
        <w:t>.</w:t>
      </w:r>
    </w:p>
    <w:p w14:paraId="6715B923" w14:textId="77777777" w:rsidR="0094187C" w:rsidRPr="000F725E" w:rsidRDefault="0094187C" w:rsidP="0094187C">
      <w:pPr>
        <w:pStyle w:val="BodyText"/>
        <w:rPr>
          <w:i/>
          <w:sz w:val="24"/>
        </w:rPr>
      </w:pPr>
    </w:p>
    <w:bookmarkEnd w:id="15"/>
    <w:p w14:paraId="40FD237D" w14:textId="690920DC" w:rsidR="0093350D" w:rsidRDefault="00501D88" w:rsidP="00501D88">
      <w:pPr>
        <w:rPr>
          <w:rFonts w:ascii="Times New Roman" w:hAnsi="Times New Roman"/>
          <w:sz w:val="24"/>
        </w:rPr>
      </w:pPr>
      <w:r w:rsidRPr="00501D88">
        <w:rPr>
          <w:rFonts w:ascii="Times New Roman" w:hAnsi="Times New Roman"/>
          <w:sz w:val="24"/>
        </w:rPr>
        <w:t xml:space="preserve">In accordance with the Paperwork Reduction Act of 1995, the public was allowed 60 days to comment through the Federal Register Notice posted on </w:t>
      </w:r>
      <w:r>
        <w:rPr>
          <w:rFonts w:ascii="Times New Roman" w:hAnsi="Times New Roman"/>
          <w:sz w:val="24"/>
        </w:rPr>
        <w:t>May</w:t>
      </w:r>
      <w:r w:rsidRPr="00501D88">
        <w:rPr>
          <w:rFonts w:ascii="Times New Roman" w:hAnsi="Times New Roman"/>
          <w:sz w:val="24"/>
        </w:rPr>
        <w:t xml:space="preserve"> </w:t>
      </w:r>
      <w:r>
        <w:rPr>
          <w:rFonts w:ascii="Times New Roman" w:hAnsi="Times New Roman"/>
          <w:sz w:val="24"/>
        </w:rPr>
        <w:t>2</w:t>
      </w:r>
      <w:r w:rsidRPr="00501D88">
        <w:rPr>
          <w:rFonts w:ascii="Times New Roman" w:hAnsi="Times New Roman"/>
          <w:sz w:val="24"/>
        </w:rPr>
        <w:t>5</w:t>
      </w:r>
      <w:r>
        <w:rPr>
          <w:rFonts w:ascii="Times New Roman" w:hAnsi="Times New Roman"/>
          <w:sz w:val="24"/>
        </w:rPr>
        <w:t>, 2018 (83 FR 24358</w:t>
      </w:r>
      <w:r w:rsidRPr="00501D88">
        <w:rPr>
          <w:rFonts w:ascii="Times New Roman" w:hAnsi="Times New Roman"/>
          <w:sz w:val="24"/>
        </w:rPr>
        <w:t>).</w:t>
      </w:r>
      <w:r>
        <w:rPr>
          <w:rFonts w:ascii="Times New Roman" w:hAnsi="Times New Roman"/>
          <w:sz w:val="24"/>
        </w:rPr>
        <w:t xml:space="preserve">  No public comments were received.</w:t>
      </w:r>
    </w:p>
    <w:p w14:paraId="4F7BE0FA" w14:textId="77777777" w:rsidR="00501D88" w:rsidRPr="00501D88" w:rsidRDefault="00501D88" w:rsidP="00501D88">
      <w:pPr>
        <w:rPr>
          <w:rFonts w:ascii="Times New Roman" w:hAnsi="Times New Roman"/>
          <w:sz w:val="24"/>
        </w:rPr>
      </w:pPr>
    </w:p>
    <w:p w14:paraId="5B29695F" w14:textId="77777777" w:rsidR="0094187C" w:rsidRDefault="0094187C" w:rsidP="0094187C">
      <w:pPr>
        <w:widowControl/>
        <w:rPr>
          <w:rFonts w:ascii="Times New Roman" w:hAnsi="Times New Roman"/>
          <w:sz w:val="24"/>
        </w:rPr>
      </w:pPr>
      <w:bookmarkStart w:id="16" w:name="_Toc76458989"/>
      <w:r w:rsidRPr="00433410">
        <w:rPr>
          <w:rFonts w:ascii="Times New Roman" w:hAnsi="Times New Roman"/>
          <w:i/>
          <w:sz w:val="24"/>
        </w:rPr>
        <w:t>9.</w:t>
      </w:r>
      <w:r w:rsidRPr="00433410">
        <w:rPr>
          <w:rFonts w:ascii="Times New Roman" w:hAnsi="Times New Roman"/>
          <w:i/>
          <w:sz w:val="24"/>
        </w:rPr>
        <w:tab/>
        <w:t>Explain any decision to provide any payment or gift to respondents, other than remuneration of contractors or grantees.</w:t>
      </w:r>
    </w:p>
    <w:bookmarkEnd w:id="16"/>
    <w:p w14:paraId="2A061ECA" w14:textId="77777777" w:rsidR="00E71A3D" w:rsidRDefault="00E71A3D">
      <w:pPr>
        <w:rPr>
          <w:rFonts w:ascii="Times New Roman" w:hAnsi="Times New Roman"/>
          <w:sz w:val="24"/>
        </w:rPr>
      </w:pPr>
    </w:p>
    <w:p w14:paraId="47D7F0FE" w14:textId="577D8980"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There are no payments to respondents other than the grant funds described in the Solicitation</w:t>
      </w:r>
      <w:r w:rsidR="00BC1000">
        <w:rPr>
          <w:rFonts w:ascii="Times New Roman" w:hAnsi="Times New Roman"/>
          <w:sz w:val="24"/>
        </w:rPr>
        <w:t>s</w:t>
      </w:r>
      <w:r>
        <w:rPr>
          <w:rFonts w:ascii="Times New Roman" w:hAnsi="Times New Roman"/>
          <w:sz w:val="24"/>
        </w:rPr>
        <w:t xml:space="preserve"> for Grant Applications </w:t>
      </w:r>
      <w:r w:rsidR="00BC1000">
        <w:rPr>
          <w:rFonts w:ascii="Times New Roman" w:hAnsi="Times New Roman"/>
          <w:sz w:val="24"/>
        </w:rPr>
        <w:t>for RExO-Adult programs</w:t>
      </w:r>
      <w:r>
        <w:rPr>
          <w:rFonts w:ascii="Times New Roman" w:hAnsi="Times New Roman"/>
          <w:sz w:val="24"/>
        </w:rPr>
        <w:t>.</w:t>
      </w:r>
    </w:p>
    <w:p w14:paraId="6E8F0D25" w14:textId="538E4C94" w:rsidR="0034671E" w:rsidRDefault="0034671E">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14:paraId="68004800" w14:textId="77777777" w:rsidR="0094187C" w:rsidRDefault="0094187C" w:rsidP="0094187C">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bookmarkStart w:id="17" w:name="_Toc76458990"/>
      <w:r w:rsidRPr="00433410">
        <w:rPr>
          <w:i/>
        </w:rPr>
        <w:t>10.</w:t>
      </w:r>
      <w:r w:rsidRPr="00433410">
        <w:rPr>
          <w:i/>
        </w:rPr>
        <w:tab/>
        <w:t>Describe any assurance of confidentiality provided to respondents and the basis for the assurance in statute, regulation, or agency policy.</w:t>
      </w:r>
    </w:p>
    <w:bookmarkEnd w:id="17"/>
    <w:p w14:paraId="4FC75BC1" w14:textId="77777777" w:rsidR="00E71A3D" w:rsidRDefault="00E71A3D">
      <w:pPr>
        <w:rPr>
          <w:rFonts w:ascii="Times New Roman" w:hAnsi="Times New Roman"/>
        </w:rPr>
      </w:pPr>
    </w:p>
    <w:p w14:paraId="2E17D5C7" w14:textId="77777777" w:rsidR="00254CF3" w:rsidRPr="00437CC7" w:rsidRDefault="00E71A3D" w:rsidP="00E41BB8">
      <w:pPr>
        <w:pStyle w:val="Level1"/>
        <w:numPr>
          <w:ilvl w:val="0"/>
          <w:numId w:val="0"/>
        </w:numPr>
        <w:outlineLvl w:val="9"/>
      </w:pPr>
      <w:r w:rsidRPr="00437CC7">
        <w:t xml:space="preserve">ETA is responsible for protecting the confidentiality of the </w:t>
      </w:r>
      <w:r w:rsidR="00942843">
        <w:t>RExO-Adult</w:t>
      </w:r>
      <w:r w:rsidRPr="00437CC7">
        <w:t xml:space="preserve"> p</w:t>
      </w:r>
      <w:r w:rsidR="00A47E9E" w:rsidRPr="00437CC7">
        <w:t>articipant and performance</w:t>
      </w:r>
      <w:r w:rsidR="00207FB3">
        <w:t xml:space="preserve"> data and maintaining</w:t>
      </w:r>
      <w:r w:rsidRPr="00437CC7">
        <w:t xml:space="preserve"> the data in accordance with all applicable federal laws, with particular emphasis on compliance with the provisions of the Privacy and Freedom of Information Acts.</w:t>
      </w:r>
      <w:r w:rsidR="00E41BB8" w:rsidRPr="00437CC7">
        <w:t xml:space="preserve">  </w:t>
      </w:r>
      <w:r w:rsidR="00976453" w:rsidRPr="00437CC7">
        <w:t>T</w:t>
      </w:r>
      <w:r w:rsidR="00254CF3" w:rsidRPr="00437CC7">
        <w:t>he Department ensure</w:t>
      </w:r>
      <w:r w:rsidR="0034671E">
        <w:t>s</w:t>
      </w:r>
      <w:r w:rsidR="00254CF3" w:rsidRPr="00437CC7">
        <w:t xml:space="preserve"> the highest level of security whenever personally identifiable information is stored or transmitted.  All contractors that have access to individually identifying information are required to provide assurances that they will respect and protect the confidentiality of the data.  ETA’s </w:t>
      </w:r>
      <w:r w:rsidR="00942843">
        <w:t>Office of Information Systems and Technology</w:t>
      </w:r>
      <w:r w:rsidR="00976453" w:rsidRPr="00437CC7">
        <w:t xml:space="preserve"> (</w:t>
      </w:r>
      <w:r w:rsidR="00942843">
        <w:t>OIST</w:t>
      </w:r>
      <w:r w:rsidR="00976453" w:rsidRPr="00437CC7">
        <w:t>)</w:t>
      </w:r>
      <w:r w:rsidR="00254CF3" w:rsidRPr="00437CC7">
        <w:t xml:space="preserve"> has been an active participant in the development and approval of data security measures – </w:t>
      </w:r>
      <w:r w:rsidR="0034671E">
        <w:t>particularly</w:t>
      </w:r>
      <w:r w:rsidR="0034671E" w:rsidRPr="00437CC7">
        <w:t xml:space="preserve"> </w:t>
      </w:r>
      <w:r w:rsidR="00254CF3" w:rsidRPr="00437CC7">
        <w:t>as they apply to the</w:t>
      </w:r>
      <w:r w:rsidR="00D8127B" w:rsidRPr="00437CC7">
        <w:t xml:space="preserve"> web</w:t>
      </w:r>
      <w:r w:rsidR="00254CF3" w:rsidRPr="00437CC7">
        <w:t>-based version of the</w:t>
      </w:r>
      <w:r w:rsidR="00976453" w:rsidRPr="00437CC7">
        <w:t xml:space="preserve"> </w:t>
      </w:r>
      <w:r w:rsidR="00942843">
        <w:t>RExO-Adult</w:t>
      </w:r>
      <w:r w:rsidR="00254CF3" w:rsidRPr="00437CC7">
        <w:t xml:space="preserve"> system.</w:t>
      </w:r>
    </w:p>
    <w:p w14:paraId="6371105A" w14:textId="77777777" w:rsidR="00254CF3" w:rsidRPr="00437CC7" w:rsidRDefault="00254CF3" w:rsidP="00254C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38D3D77" w14:textId="7F67B9E2" w:rsidR="00E71A3D" w:rsidRDefault="00254CF3" w:rsidP="005C6D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37CC7">
        <w:rPr>
          <w:rFonts w:ascii="Times New Roman" w:hAnsi="Times New Roman"/>
          <w:sz w:val="24"/>
          <w:szCs w:val="24"/>
        </w:rPr>
        <w:t>A key concern is for the protection of participant social security numbers</w:t>
      </w:r>
      <w:r w:rsidR="00780301" w:rsidRPr="00437CC7">
        <w:rPr>
          <w:rFonts w:ascii="Times New Roman" w:hAnsi="Times New Roman"/>
          <w:sz w:val="24"/>
          <w:szCs w:val="24"/>
        </w:rPr>
        <w:t xml:space="preserve"> (SSNs)</w:t>
      </w:r>
      <w:r w:rsidR="00E41BB8" w:rsidRPr="00437CC7">
        <w:rPr>
          <w:rFonts w:ascii="Times New Roman" w:hAnsi="Times New Roman"/>
          <w:sz w:val="24"/>
          <w:szCs w:val="24"/>
        </w:rPr>
        <w:t xml:space="preserve">, which </w:t>
      </w:r>
      <w:r w:rsidR="00323ED0">
        <w:rPr>
          <w:rFonts w:ascii="Times New Roman" w:hAnsi="Times New Roman"/>
          <w:sz w:val="24"/>
          <w:szCs w:val="24"/>
        </w:rPr>
        <w:t>are</w:t>
      </w:r>
      <w:r w:rsidR="006934F9" w:rsidRPr="00437CC7">
        <w:rPr>
          <w:rFonts w:ascii="Times New Roman" w:hAnsi="Times New Roman"/>
          <w:sz w:val="24"/>
          <w:szCs w:val="24"/>
        </w:rPr>
        <w:t xml:space="preserve"> voluntarily provided by individual</w:t>
      </w:r>
      <w:r w:rsidR="00323ED0">
        <w:rPr>
          <w:rFonts w:ascii="Times New Roman" w:hAnsi="Times New Roman"/>
          <w:sz w:val="24"/>
          <w:szCs w:val="24"/>
        </w:rPr>
        <w:t>s</w:t>
      </w:r>
      <w:r w:rsidR="006934F9" w:rsidRPr="00437CC7">
        <w:rPr>
          <w:rFonts w:ascii="Times New Roman" w:hAnsi="Times New Roman"/>
          <w:sz w:val="24"/>
          <w:szCs w:val="24"/>
        </w:rPr>
        <w:t xml:space="preserve"> as</w:t>
      </w:r>
      <w:r w:rsidR="00E41BB8" w:rsidRPr="00437CC7">
        <w:rPr>
          <w:rFonts w:ascii="Times New Roman" w:hAnsi="Times New Roman"/>
          <w:sz w:val="24"/>
          <w:szCs w:val="24"/>
        </w:rPr>
        <w:t xml:space="preserve"> part of this information collection request</w:t>
      </w:r>
      <w:r w:rsidRPr="00437CC7">
        <w:rPr>
          <w:rFonts w:ascii="Times New Roman" w:hAnsi="Times New Roman"/>
          <w:sz w:val="24"/>
          <w:szCs w:val="24"/>
        </w:rPr>
        <w:t xml:space="preserve">.  </w:t>
      </w:r>
      <w:r w:rsidR="00780301" w:rsidRPr="00437CC7">
        <w:rPr>
          <w:rFonts w:ascii="Times New Roman" w:hAnsi="Times New Roman"/>
          <w:sz w:val="24"/>
          <w:szCs w:val="24"/>
        </w:rPr>
        <w:t xml:space="preserve">The SSN is being requested in order </w:t>
      </w:r>
      <w:r w:rsidR="00BC1000">
        <w:rPr>
          <w:rFonts w:ascii="Times New Roman" w:hAnsi="Times New Roman"/>
          <w:sz w:val="24"/>
          <w:szCs w:val="24"/>
        </w:rPr>
        <w:t>for ETA</w:t>
      </w:r>
      <w:r w:rsidR="004660B4">
        <w:rPr>
          <w:rFonts w:ascii="Times New Roman" w:hAnsi="Times New Roman"/>
          <w:sz w:val="24"/>
          <w:szCs w:val="24"/>
        </w:rPr>
        <w:t xml:space="preserve"> </w:t>
      </w:r>
      <w:r w:rsidR="00E41BB8" w:rsidRPr="00437CC7">
        <w:rPr>
          <w:rFonts w:ascii="Times New Roman" w:hAnsi="Times New Roman"/>
          <w:sz w:val="24"/>
          <w:szCs w:val="24"/>
        </w:rPr>
        <w:t xml:space="preserve">to </w:t>
      </w:r>
      <w:r w:rsidR="00F337D8">
        <w:rPr>
          <w:rFonts w:ascii="Times New Roman" w:hAnsi="Times New Roman"/>
          <w:sz w:val="24"/>
          <w:szCs w:val="24"/>
        </w:rPr>
        <w:t xml:space="preserve">eventually </w:t>
      </w:r>
      <w:r w:rsidR="004660B4">
        <w:rPr>
          <w:rFonts w:ascii="Times New Roman" w:hAnsi="Times New Roman"/>
          <w:sz w:val="24"/>
          <w:szCs w:val="24"/>
        </w:rPr>
        <w:t>t</w:t>
      </w:r>
      <w:r w:rsidR="00E41BB8" w:rsidRPr="00437CC7">
        <w:rPr>
          <w:rFonts w:ascii="Times New Roman" w:hAnsi="Times New Roman"/>
          <w:sz w:val="24"/>
          <w:szCs w:val="24"/>
        </w:rPr>
        <w:t>rack program participant outcomes through state wage record systems</w:t>
      </w:r>
      <w:r w:rsidRPr="00437CC7">
        <w:rPr>
          <w:rFonts w:ascii="Times New Roman" w:hAnsi="Times New Roman"/>
          <w:sz w:val="24"/>
          <w:szCs w:val="24"/>
        </w:rPr>
        <w:t>.</w:t>
      </w:r>
      <w:r w:rsidR="004577CE" w:rsidRPr="00437CC7">
        <w:rPr>
          <w:rFonts w:ascii="Times New Roman" w:hAnsi="Times New Roman"/>
          <w:sz w:val="24"/>
          <w:szCs w:val="24"/>
        </w:rPr>
        <w:t xml:space="preserve">  The </w:t>
      </w:r>
      <w:r w:rsidR="00071D52">
        <w:rPr>
          <w:rFonts w:ascii="Times New Roman" w:hAnsi="Times New Roman"/>
          <w:sz w:val="24"/>
          <w:szCs w:val="24"/>
        </w:rPr>
        <w:t>RExO-Adult</w:t>
      </w:r>
      <w:r w:rsidR="004577CE" w:rsidRPr="00437CC7">
        <w:rPr>
          <w:rFonts w:ascii="Times New Roman" w:hAnsi="Times New Roman"/>
          <w:sz w:val="24"/>
          <w:szCs w:val="24"/>
        </w:rPr>
        <w:t xml:space="preserve"> system also include</w:t>
      </w:r>
      <w:r w:rsidR="0082626E">
        <w:rPr>
          <w:rFonts w:ascii="Times New Roman" w:hAnsi="Times New Roman"/>
          <w:sz w:val="24"/>
          <w:szCs w:val="24"/>
        </w:rPr>
        <w:t>s</w:t>
      </w:r>
      <w:r w:rsidR="00800ACC" w:rsidRPr="00437CC7">
        <w:rPr>
          <w:rFonts w:ascii="Times New Roman" w:hAnsi="Times New Roman"/>
          <w:sz w:val="24"/>
          <w:szCs w:val="24"/>
        </w:rPr>
        <w:t xml:space="preserve"> a statement that informs the individual where the information he/she has provided is being stored, the name and location of the system, and that the information is protected in accordance with the Privacy Act.  </w:t>
      </w:r>
    </w:p>
    <w:p w14:paraId="127C85FC" w14:textId="27E02523" w:rsidR="0034671E" w:rsidRDefault="0034671E">
      <w:pPr>
        <w:jc w:val="both"/>
        <w:rPr>
          <w:rFonts w:ascii="Times New Roman" w:hAnsi="Times New Roman"/>
          <w:sz w:val="24"/>
        </w:rPr>
      </w:pPr>
    </w:p>
    <w:p w14:paraId="4E0AC042" w14:textId="77777777" w:rsidR="00482627" w:rsidRPr="005A7543" w:rsidRDefault="00482627" w:rsidP="00482627">
      <w:pPr>
        <w:widowControl/>
        <w:jc w:val="both"/>
        <w:rPr>
          <w:rFonts w:ascii="Times New Roman" w:hAnsi="Times New Roman"/>
          <w:color w:val="000000"/>
          <w:sz w:val="24"/>
        </w:rPr>
      </w:pPr>
      <w:bookmarkStart w:id="18" w:name="_Toc76458991"/>
      <w:r w:rsidRPr="00433410">
        <w:rPr>
          <w:rFonts w:ascii="Times New Roman" w:hAnsi="Times New Roman"/>
          <w:i/>
          <w:color w:val="000000"/>
          <w:sz w:val="24"/>
        </w:rPr>
        <w:t>11.</w:t>
      </w:r>
      <w:r w:rsidRPr="00433410">
        <w:rPr>
          <w:rFonts w:ascii="Times New Roman" w:hAnsi="Times New Roman"/>
          <w:i/>
          <w:color w:val="000000"/>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8"/>
    <w:p w14:paraId="4E2CE252" w14:textId="5E26F9CD" w:rsidR="00E71A3D" w:rsidRDefault="00E71A3D">
      <w:pPr>
        <w:pStyle w:val="Heading2"/>
        <w:tabs>
          <w:tab w:val="left" w:pos="8370"/>
        </w:tabs>
        <w:ind w:right="0"/>
        <w:rPr>
          <w:rFonts w:ascii="Times New Roman" w:hAnsi="Times New Roman"/>
          <w:b/>
          <w:i w:val="0"/>
          <w:sz w:val="26"/>
        </w:rPr>
      </w:pPr>
    </w:p>
    <w:p w14:paraId="53AF3735" w14:textId="0D075632" w:rsidR="00E71A3D" w:rsidRDefault="004F2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The only questions relating to matters considered to be private are those regarding the criminal history and recidivism outcomes of individuals.  These questions are necessary given that these grants are specifically targeted on serving offenders.  T</w:t>
      </w:r>
      <w:r w:rsidR="00E71A3D">
        <w:rPr>
          <w:rFonts w:ascii="Times New Roman" w:hAnsi="Times New Roman"/>
          <w:sz w:val="24"/>
        </w:rPr>
        <w:t xml:space="preserve">he confidentiality of participants will be protected as discussed in section A.10.  In addition, security </w:t>
      </w:r>
      <w:r w:rsidR="00B62593">
        <w:rPr>
          <w:rFonts w:ascii="Times New Roman" w:hAnsi="Times New Roman"/>
          <w:sz w:val="24"/>
        </w:rPr>
        <w:t>is</w:t>
      </w:r>
      <w:r w:rsidR="00E71A3D">
        <w:rPr>
          <w:rFonts w:ascii="Times New Roman" w:hAnsi="Times New Roman"/>
          <w:sz w:val="24"/>
        </w:rPr>
        <w:t xml:space="preserve"> built into the data collection system by the MIS contractor.  </w:t>
      </w:r>
    </w:p>
    <w:p w14:paraId="4ECB9F55" w14:textId="4280A53E" w:rsidR="00C112A9" w:rsidRDefault="00C112A9">
      <w:pPr>
        <w:pStyle w:val="Heading2"/>
        <w:tabs>
          <w:tab w:val="left" w:pos="8370"/>
        </w:tabs>
        <w:ind w:right="0"/>
        <w:rPr>
          <w:rFonts w:ascii="Times New Roman" w:hAnsi="Times New Roman"/>
          <w:b/>
          <w:i w:val="0"/>
          <w:sz w:val="26"/>
        </w:rPr>
      </w:pPr>
      <w:bookmarkStart w:id="19" w:name="_Toc76458992"/>
    </w:p>
    <w:p w14:paraId="6FB323EF" w14:textId="77777777" w:rsidR="00482627" w:rsidRPr="00433410" w:rsidRDefault="00482627" w:rsidP="00482627">
      <w:pPr>
        <w:widowControl/>
        <w:rPr>
          <w:rFonts w:ascii="Times New Roman" w:hAnsi="Times New Roman"/>
          <w:sz w:val="24"/>
        </w:rPr>
      </w:pPr>
      <w:r w:rsidRPr="00433410">
        <w:rPr>
          <w:rFonts w:ascii="Times New Roman" w:hAnsi="Times New Roman"/>
          <w:i/>
          <w:sz w:val="24"/>
        </w:rPr>
        <w:t>12.</w:t>
      </w:r>
      <w:r w:rsidRPr="00433410">
        <w:rPr>
          <w:rFonts w:ascii="Times New Roman" w:hAnsi="Times New Roman"/>
          <w:i/>
          <w:sz w:val="24"/>
        </w:rPr>
        <w:tab/>
        <w:t>Provide estimates of the hour burden of the collection of information.</w:t>
      </w:r>
    </w:p>
    <w:bookmarkEnd w:id="19"/>
    <w:p w14:paraId="2548E70C" w14:textId="77777777" w:rsidR="00E71A3D" w:rsidRDefault="00E71A3D">
      <w:pPr>
        <w:rPr>
          <w:rFonts w:ascii="Times New Roman" w:hAnsi="Times New Roman"/>
        </w:rPr>
      </w:pPr>
    </w:p>
    <w:p w14:paraId="78D487E7" w14:textId="3BD655E2" w:rsidR="00E71A3D" w:rsidRDefault="00E71A3D">
      <w:pPr>
        <w:pStyle w:val="BodyText2"/>
        <w:jc w:val="left"/>
        <w:rPr>
          <w:rFonts w:ascii="Times New Roman" w:hAnsi="Times New Roman"/>
        </w:rPr>
      </w:pPr>
      <w:r>
        <w:rPr>
          <w:rFonts w:ascii="Times New Roman" w:hAnsi="Times New Roman"/>
        </w:rPr>
        <w:t xml:space="preserve">The annual national burden for the </w:t>
      </w:r>
      <w:r w:rsidR="00071D52">
        <w:rPr>
          <w:rFonts w:ascii="Times New Roman" w:hAnsi="Times New Roman"/>
        </w:rPr>
        <w:t>RExO-Adult</w:t>
      </w:r>
      <w:r>
        <w:rPr>
          <w:rFonts w:ascii="Times New Roman" w:hAnsi="Times New Roman"/>
        </w:rPr>
        <w:t xml:space="preserve"> reporting system has </w:t>
      </w:r>
      <w:r w:rsidR="00440491">
        <w:rPr>
          <w:rFonts w:ascii="Times New Roman" w:hAnsi="Times New Roman"/>
        </w:rPr>
        <w:t>two</w:t>
      </w:r>
      <w:r>
        <w:rPr>
          <w:rFonts w:ascii="Times New Roman" w:hAnsi="Times New Roman"/>
        </w:rPr>
        <w:t xml:space="preserve"> components: (1) the participant data collection burden</w:t>
      </w:r>
      <w:r w:rsidR="00440491">
        <w:rPr>
          <w:rFonts w:ascii="Times New Roman" w:hAnsi="Times New Roman"/>
        </w:rPr>
        <w:t xml:space="preserve"> and</w:t>
      </w:r>
      <w:r>
        <w:rPr>
          <w:rFonts w:ascii="Times New Roman" w:hAnsi="Times New Roman"/>
        </w:rPr>
        <w:t xml:space="preserve"> (2) the quar</w:t>
      </w:r>
      <w:r w:rsidR="000C2326">
        <w:rPr>
          <w:rFonts w:ascii="Times New Roman" w:hAnsi="Times New Roman"/>
        </w:rPr>
        <w:t>terly performance report burde</w:t>
      </w:r>
      <w:r w:rsidR="009562D2">
        <w:rPr>
          <w:rFonts w:ascii="Times New Roman" w:hAnsi="Times New Roman"/>
        </w:rPr>
        <w:t xml:space="preserve">n.  </w:t>
      </w:r>
      <w:r>
        <w:rPr>
          <w:rFonts w:ascii="Times New Roman" w:hAnsi="Times New Roman"/>
        </w:rPr>
        <w:t xml:space="preserve">This response provides a separate burden for each of the </w:t>
      </w:r>
      <w:r w:rsidR="00440491">
        <w:rPr>
          <w:rFonts w:ascii="Times New Roman" w:hAnsi="Times New Roman"/>
        </w:rPr>
        <w:t xml:space="preserve">two </w:t>
      </w:r>
      <w:r>
        <w:rPr>
          <w:rFonts w:ascii="Times New Roman" w:hAnsi="Times New Roman"/>
        </w:rPr>
        <w:t>components.</w:t>
      </w:r>
    </w:p>
    <w:p w14:paraId="0C6EB33D" w14:textId="77777777" w:rsidR="00E71A3D" w:rsidRDefault="00E71A3D">
      <w:pPr>
        <w:rPr>
          <w:rFonts w:ascii="Times New Roman" w:hAnsi="Times New Roman"/>
          <w:sz w:val="24"/>
        </w:rPr>
      </w:pPr>
    </w:p>
    <w:p w14:paraId="0DDEEAA1" w14:textId="55706DCD" w:rsidR="00E71A3D" w:rsidRDefault="00E71A3D">
      <w:pPr>
        <w:rPr>
          <w:rFonts w:ascii="Times New Roman" w:hAnsi="Times New Roman"/>
          <w:sz w:val="24"/>
        </w:rPr>
      </w:pPr>
      <w:r>
        <w:rPr>
          <w:rFonts w:ascii="Times New Roman" w:hAnsi="Times New Roman"/>
          <w:sz w:val="24"/>
        </w:rPr>
        <w:t>(1). Participant Data Collection Burden</w:t>
      </w:r>
    </w:p>
    <w:p w14:paraId="3BDBD032" w14:textId="77777777" w:rsidR="00E71A3D" w:rsidRDefault="00E71A3D">
      <w:pPr>
        <w:rPr>
          <w:rFonts w:ascii="Times New Roman" w:hAnsi="Times New Roman"/>
          <w:sz w:val="24"/>
        </w:rPr>
      </w:pPr>
    </w:p>
    <w:p w14:paraId="7ACEE05B" w14:textId="77777777" w:rsidR="00E71A3D" w:rsidRDefault="00E71A3D">
      <w:pPr>
        <w:rPr>
          <w:rFonts w:ascii="Times New Roman" w:hAnsi="Times New Roman"/>
          <w:sz w:val="24"/>
        </w:rPr>
      </w:pPr>
      <w:r>
        <w:rPr>
          <w:rFonts w:ascii="Times New Roman" w:hAnsi="Times New Roman"/>
          <w:sz w:val="24"/>
        </w:rPr>
        <w:t xml:space="preserve">The </w:t>
      </w:r>
      <w:r w:rsidR="00071D52">
        <w:rPr>
          <w:rFonts w:ascii="Times New Roman" w:hAnsi="Times New Roman"/>
          <w:sz w:val="24"/>
        </w:rPr>
        <w:t>RExO-Adult</w:t>
      </w:r>
      <w:r>
        <w:rPr>
          <w:rFonts w:ascii="Times New Roman" w:hAnsi="Times New Roman"/>
          <w:b/>
          <w:i/>
          <w:sz w:val="24"/>
        </w:rPr>
        <w:t xml:space="preserve"> participant data collection burden</w:t>
      </w:r>
      <w:r>
        <w:rPr>
          <w:rFonts w:ascii="Times New Roman" w:hAnsi="Times New Roman"/>
          <w:sz w:val="24"/>
        </w:rPr>
        <w:t xml:space="preserve"> considers the amount of participant and performance-related information collected and reported on the participant record that would not have to be collected by the grantees as part of their customary and usual burden to run the program.  Thus the burden reflects the information collected solely to comply with the federal reporting requirements.</w:t>
      </w:r>
    </w:p>
    <w:p w14:paraId="6D820D39" w14:textId="77777777" w:rsidR="00606565" w:rsidRDefault="00606565">
      <w:pPr>
        <w:rPr>
          <w:rFonts w:ascii="Times New Roman" w:hAnsi="Times New Roman"/>
          <w:sz w:val="24"/>
        </w:rPr>
      </w:pPr>
    </w:p>
    <w:p w14:paraId="141540CB" w14:textId="5891CD65" w:rsidR="00E71A3D" w:rsidRDefault="00E8107C" w:rsidP="004660B4">
      <w:pPr>
        <w:pStyle w:val="Level1"/>
        <w:numPr>
          <w:ilvl w:val="0"/>
          <w:numId w:val="0"/>
        </w:numPr>
        <w:outlineLvl w:val="9"/>
      </w:pPr>
      <w:r w:rsidRPr="007F1513">
        <w:t>T</w:t>
      </w:r>
      <w:r w:rsidR="004660B4">
        <w:t xml:space="preserve">his revision request increases the annual </w:t>
      </w:r>
      <w:r w:rsidRPr="007F1513">
        <w:t>figure of hours per participant record</w:t>
      </w:r>
      <w:r w:rsidR="004660B4">
        <w:t xml:space="preserve"> to be spent by grantee staff from 1.3 hours to 2.0 hours because of the additional data items </w:t>
      </w:r>
      <w:r w:rsidR="004660B4" w:rsidRPr="00F44553">
        <w:t xml:space="preserve">to determine if participants are being referred directly by the justice system, </w:t>
      </w:r>
      <w:r w:rsidR="00997A3E">
        <w:t xml:space="preserve">are coming from prison, jail, probation, or diversion, </w:t>
      </w:r>
      <w:r w:rsidR="004660B4" w:rsidRPr="00F44553">
        <w:t>have a previous violent felony offense, the date at which they were placed on probation</w:t>
      </w:r>
      <w:r w:rsidR="00997A3E">
        <w:t xml:space="preserve"> or released from confinement</w:t>
      </w:r>
      <w:r w:rsidR="004660B4" w:rsidRPr="00F44553">
        <w:t xml:space="preserve">, </w:t>
      </w:r>
      <w:r w:rsidR="00997A3E">
        <w:t xml:space="preserve">whether their case was closed after successfully completing diversion, whether they were convicted of a crime committed after enrollment, </w:t>
      </w:r>
      <w:r w:rsidR="004660B4" w:rsidRPr="00F44553">
        <w:t>and whether they commit a violent felony offense after they enter the program.</w:t>
      </w:r>
      <w:r w:rsidR="001C75BB">
        <w:t xml:space="preserve">  The revision also increases the participant burden because of these additional questions from 30 minutes to 36 minutes.  </w:t>
      </w:r>
    </w:p>
    <w:p w14:paraId="0E6375B4" w14:textId="77777777" w:rsidR="007D0B22" w:rsidRDefault="007D0B22">
      <w:pPr>
        <w:rPr>
          <w:rFonts w:ascii="Times New Roman" w:hAnsi="Times New Roman"/>
          <w:sz w:val="24"/>
        </w:rPr>
      </w:pPr>
    </w:p>
    <w:p w14:paraId="45EB9C8B" w14:textId="332F55EA" w:rsidR="00E10C2F" w:rsidRDefault="009E55AB">
      <w:pPr>
        <w:rPr>
          <w:rFonts w:ascii="Times New Roman" w:hAnsi="Times New Roman"/>
          <w:sz w:val="24"/>
        </w:rPr>
      </w:pPr>
      <w:r>
        <w:rPr>
          <w:rFonts w:ascii="Times New Roman" w:hAnsi="Times New Roman"/>
          <w:sz w:val="24"/>
        </w:rPr>
        <w:t xml:space="preserve">This revision increases the annual number of participants served by adult offender grants from </w:t>
      </w:r>
      <w:r w:rsidR="00A96B41">
        <w:rPr>
          <w:rFonts w:ascii="Times New Roman" w:hAnsi="Times New Roman"/>
          <w:sz w:val="24"/>
        </w:rPr>
        <w:t>5,817</w:t>
      </w:r>
      <w:r w:rsidR="007D0B22" w:rsidRPr="007F1513">
        <w:rPr>
          <w:rFonts w:ascii="Times New Roman" w:hAnsi="Times New Roman"/>
          <w:sz w:val="24"/>
        </w:rPr>
        <w:t xml:space="preserve"> </w:t>
      </w:r>
      <w:r>
        <w:rPr>
          <w:rFonts w:ascii="Times New Roman" w:hAnsi="Times New Roman"/>
          <w:sz w:val="24"/>
        </w:rPr>
        <w:t xml:space="preserve">to 10,173 because over the next few years a higher proportion of our grants will be focused on adult offenders rather than juvenile offenders.  </w:t>
      </w:r>
    </w:p>
    <w:p w14:paraId="39FFB778" w14:textId="77777777" w:rsidR="009E55AB" w:rsidRDefault="009E55AB">
      <w:pPr>
        <w:rPr>
          <w:rFonts w:ascii="Times New Roman" w:hAnsi="Times New Roman"/>
          <w:sz w:val="24"/>
        </w:rPr>
      </w:pP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440"/>
        <w:gridCol w:w="1350"/>
        <w:gridCol w:w="1890"/>
        <w:gridCol w:w="1440"/>
        <w:gridCol w:w="1890"/>
      </w:tblGrid>
      <w:tr w:rsidR="00E71A3D" w14:paraId="14A2B311" w14:textId="77777777" w:rsidTr="00403F8F">
        <w:tc>
          <w:tcPr>
            <w:tcW w:w="1553" w:type="dxa"/>
            <w:vAlign w:val="bottom"/>
          </w:tcPr>
          <w:p w14:paraId="32DD60B5" w14:textId="77777777" w:rsidR="00E71A3D" w:rsidRDefault="00E71A3D"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pPr>
            <w:r>
              <w:t>Record Type</w:t>
            </w:r>
          </w:p>
        </w:tc>
        <w:tc>
          <w:tcPr>
            <w:tcW w:w="1440" w:type="dxa"/>
            <w:vAlign w:val="bottom"/>
          </w:tcPr>
          <w:p w14:paraId="71D3D34C" w14:textId="77777777" w:rsidR="00E71A3D" w:rsidRDefault="00AB61E1"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 xml:space="preserve">Av </w:t>
            </w:r>
            <w:r w:rsidR="00E71A3D">
              <w:t>Hrs. Per Record</w:t>
            </w:r>
          </w:p>
        </w:tc>
        <w:tc>
          <w:tcPr>
            <w:tcW w:w="1350" w:type="dxa"/>
            <w:vAlign w:val="bottom"/>
          </w:tcPr>
          <w:p w14:paraId="665DF8C1" w14:textId="66339B2D" w:rsidR="00E71A3D" w:rsidRDefault="00E71A3D"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 xml:space="preserve">Estimated </w:t>
            </w:r>
            <w:r w:rsidR="005B5B8D">
              <w:rPr>
                <w:rFonts w:ascii="Times New Roman" w:hAnsi="Times New Roman"/>
                <w:sz w:val="24"/>
              </w:rPr>
              <w:t>Annual Responses</w:t>
            </w:r>
          </w:p>
        </w:tc>
        <w:tc>
          <w:tcPr>
            <w:tcW w:w="1890" w:type="dxa"/>
            <w:vAlign w:val="bottom"/>
          </w:tcPr>
          <w:p w14:paraId="3E1CDE8D" w14:textId="77777777" w:rsidR="00E71A3D" w:rsidRDefault="00E71A3D"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Annual National Burden Hours</w:t>
            </w:r>
          </w:p>
        </w:tc>
        <w:tc>
          <w:tcPr>
            <w:tcW w:w="1440" w:type="dxa"/>
            <w:vAlign w:val="bottom"/>
          </w:tcPr>
          <w:p w14:paraId="7492AA46" w14:textId="77777777" w:rsidR="00E71A3D" w:rsidRDefault="00E71A3D" w:rsidP="00762931">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pPr>
            <w:r>
              <w:t>Applicable Hourly Rate</w:t>
            </w:r>
          </w:p>
        </w:tc>
        <w:tc>
          <w:tcPr>
            <w:tcW w:w="1890" w:type="dxa"/>
            <w:vAlign w:val="bottom"/>
          </w:tcPr>
          <w:p w14:paraId="399B4494" w14:textId="77777777" w:rsidR="00E71A3D" w:rsidRDefault="00E71A3D"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Annual National Burden Dollars</w:t>
            </w:r>
          </w:p>
        </w:tc>
      </w:tr>
      <w:tr w:rsidR="00E71A3D" w14:paraId="76B364E2" w14:textId="77777777" w:rsidTr="00403F8F">
        <w:tc>
          <w:tcPr>
            <w:tcW w:w="1553" w:type="dxa"/>
          </w:tcPr>
          <w:p w14:paraId="40BC49B9" w14:textId="32ED9065" w:rsidR="00E71A3D" w:rsidRPr="007F1513" w:rsidRDefault="00E71A3D" w:rsidP="005B5B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7F1513">
              <w:rPr>
                <w:rFonts w:ascii="Times New Roman" w:hAnsi="Times New Roman"/>
                <w:sz w:val="24"/>
              </w:rPr>
              <w:t>Participant</w:t>
            </w:r>
            <w:r w:rsidR="00651E30">
              <w:rPr>
                <w:rFonts w:ascii="Times New Roman" w:hAnsi="Times New Roman"/>
                <w:sz w:val="24"/>
              </w:rPr>
              <w:t xml:space="preserve"> data </w:t>
            </w:r>
            <w:r w:rsidR="005B5B8D">
              <w:rPr>
                <w:rFonts w:ascii="Times New Roman" w:hAnsi="Times New Roman"/>
                <w:sz w:val="24"/>
              </w:rPr>
              <w:t>collection burden on Grantee staff</w:t>
            </w:r>
          </w:p>
        </w:tc>
        <w:tc>
          <w:tcPr>
            <w:tcW w:w="1440" w:type="dxa"/>
          </w:tcPr>
          <w:p w14:paraId="1265210A" w14:textId="33F5F22A" w:rsidR="00E71A3D" w:rsidRPr="007F1513" w:rsidRDefault="005B5B8D"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2.0</w:t>
            </w:r>
          </w:p>
        </w:tc>
        <w:tc>
          <w:tcPr>
            <w:tcW w:w="1350" w:type="dxa"/>
          </w:tcPr>
          <w:p w14:paraId="4CB14683" w14:textId="0FC7AD5F" w:rsidR="00E71A3D" w:rsidRPr="007F1513" w:rsidRDefault="005B5B8D"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pPr>
            <w:r>
              <w:t>10,173</w:t>
            </w:r>
          </w:p>
        </w:tc>
        <w:tc>
          <w:tcPr>
            <w:tcW w:w="1890" w:type="dxa"/>
          </w:tcPr>
          <w:p w14:paraId="47EAED2D" w14:textId="2833260C" w:rsidR="00E71A3D" w:rsidRPr="007F1513" w:rsidRDefault="005B5B8D"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20,346</w:t>
            </w:r>
          </w:p>
        </w:tc>
        <w:tc>
          <w:tcPr>
            <w:tcW w:w="1440" w:type="dxa"/>
          </w:tcPr>
          <w:p w14:paraId="1A99AC2B" w14:textId="7F1EC83E" w:rsidR="00E71A3D" w:rsidRPr="007F1513" w:rsidRDefault="00E71A3D"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sidR="00CB6F58" w:rsidRPr="007F1513">
              <w:rPr>
                <w:rFonts w:ascii="Times New Roman" w:hAnsi="Times New Roman"/>
                <w:sz w:val="24"/>
              </w:rPr>
              <w:t>1</w:t>
            </w:r>
            <w:r w:rsidR="00C112A9">
              <w:rPr>
                <w:rFonts w:ascii="Times New Roman" w:hAnsi="Times New Roman"/>
                <w:sz w:val="24"/>
              </w:rPr>
              <w:t>4.71</w:t>
            </w:r>
          </w:p>
        </w:tc>
        <w:tc>
          <w:tcPr>
            <w:tcW w:w="1890" w:type="dxa"/>
          </w:tcPr>
          <w:p w14:paraId="146EB8C7" w14:textId="2F1B8BB6" w:rsidR="00E71A3D" w:rsidRDefault="00E71A3D"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sidR="00C112A9">
              <w:rPr>
                <w:rFonts w:ascii="Times New Roman" w:hAnsi="Times New Roman"/>
                <w:sz w:val="24"/>
              </w:rPr>
              <w:t>299,289.66</w:t>
            </w:r>
          </w:p>
        </w:tc>
      </w:tr>
      <w:tr w:rsidR="00651E30" w14:paraId="50C7274C" w14:textId="77777777" w:rsidTr="00403F8F">
        <w:tc>
          <w:tcPr>
            <w:tcW w:w="1553" w:type="dxa"/>
          </w:tcPr>
          <w:p w14:paraId="2D2A2CBC" w14:textId="149B6978" w:rsidR="00651E30" w:rsidRPr="007F1513" w:rsidRDefault="00651E30" w:rsidP="009E5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7F1513">
              <w:rPr>
                <w:rFonts w:ascii="Times New Roman" w:hAnsi="Times New Roman"/>
                <w:sz w:val="24"/>
              </w:rPr>
              <w:t>Participant</w:t>
            </w:r>
            <w:r>
              <w:rPr>
                <w:rFonts w:ascii="Times New Roman" w:hAnsi="Times New Roman"/>
                <w:sz w:val="24"/>
              </w:rPr>
              <w:t xml:space="preserve"> data </w:t>
            </w:r>
            <w:r w:rsidR="009E55AB">
              <w:rPr>
                <w:rFonts w:ascii="Times New Roman" w:hAnsi="Times New Roman"/>
                <w:sz w:val="24"/>
              </w:rPr>
              <w:t>collection burden on</w:t>
            </w:r>
            <w:r>
              <w:rPr>
                <w:rFonts w:ascii="Times New Roman" w:hAnsi="Times New Roman"/>
                <w:sz w:val="24"/>
              </w:rPr>
              <w:t xml:space="preserve">  program participants</w:t>
            </w:r>
          </w:p>
        </w:tc>
        <w:tc>
          <w:tcPr>
            <w:tcW w:w="1440" w:type="dxa"/>
          </w:tcPr>
          <w:p w14:paraId="460303A2" w14:textId="2F4F6802" w:rsidR="00651E30" w:rsidRPr="007F1513" w:rsidRDefault="00651E30"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w:t>
            </w:r>
            <w:r w:rsidR="009E55AB">
              <w:t>6</w:t>
            </w:r>
          </w:p>
        </w:tc>
        <w:tc>
          <w:tcPr>
            <w:tcW w:w="1350" w:type="dxa"/>
          </w:tcPr>
          <w:p w14:paraId="7CAF47CC" w14:textId="6517EE36" w:rsidR="00651E30" w:rsidRPr="007F1513" w:rsidRDefault="009E55AB"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pPr>
            <w:r>
              <w:t>10,173</w:t>
            </w:r>
          </w:p>
        </w:tc>
        <w:tc>
          <w:tcPr>
            <w:tcW w:w="1890" w:type="dxa"/>
          </w:tcPr>
          <w:p w14:paraId="6B62572A" w14:textId="337E45A2" w:rsidR="00651E30" w:rsidRPr="007F1513" w:rsidRDefault="009E55AB"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6,104</w:t>
            </w:r>
          </w:p>
        </w:tc>
        <w:tc>
          <w:tcPr>
            <w:tcW w:w="1440" w:type="dxa"/>
          </w:tcPr>
          <w:p w14:paraId="36B6E26A" w14:textId="150396BC" w:rsidR="00651E30" w:rsidRPr="007F1513" w:rsidRDefault="00651E30"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sidR="00021F3D">
              <w:rPr>
                <w:rFonts w:ascii="Times New Roman" w:hAnsi="Times New Roman"/>
                <w:sz w:val="24"/>
              </w:rPr>
              <w:t>7.25</w:t>
            </w:r>
          </w:p>
        </w:tc>
        <w:tc>
          <w:tcPr>
            <w:tcW w:w="1890" w:type="dxa"/>
          </w:tcPr>
          <w:p w14:paraId="2118D59A" w14:textId="2F9A2810" w:rsidR="00651E30" w:rsidRDefault="00651E30"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sidR="00021F3D">
              <w:rPr>
                <w:rFonts w:ascii="Times New Roman" w:hAnsi="Times New Roman"/>
                <w:sz w:val="24"/>
              </w:rPr>
              <w:t>44,254</w:t>
            </w:r>
          </w:p>
        </w:tc>
      </w:tr>
    </w:tbl>
    <w:p w14:paraId="2A94757A" w14:textId="087E8A76" w:rsidR="00E71A3D" w:rsidRDefault="0065699B" w:rsidP="0065699B">
      <w:pPr>
        <w:tabs>
          <w:tab w:val="left" w:pos="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08221BF8" w14:textId="38F2CB5C" w:rsidR="00E71A3D" w:rsidRDefault="00021F3D" w:rsidP="0085062C">
      <w:pPr>
        <w:pStyle w:val="Level1"/>
        <w:numPr>
          <w:ilvl w:val="0"/>
          <w:numId w:val="0"/>
        </w:numPr>
        <w:tabs>
          <w:tab w:val="left" w:pos="4370"/>
          <w:tab w:val="left" w:pos="4889"/>
        </w:tabs>
        <w:outlineLvl w:val="9"/>
      </w:pPr>
      <w:r>
        <w:t>(2.)</w:t>
      </w:r>
      <w:r w:rsidR="00E71A3D">
        <w:t xml:space="preserve">  Quarterly Performance Report Burden</w:t>
      </w:r>
      <w:r w:rsidR="0065699B">
        <w:tab/>
      </w:r>
      <w:r w:rsidR="0085062C">
        <w:t>ETA – 9140</w:t>
      </w:r>
    </w:p>
    <w:p w14:paraId="1F97A2FB" w14:textId="77777777" w:rsidR="00E9025D" w:rsidRDefault="00E9025D" w:rsidP="0085062C">
      <w:pPr>
        <w:pStyle w:val="Level1"/>
        <w:numPr>
          <w:ilvl w:val="0"/>
          <w:numId w:val="0"/>
        </w:numPr>
        <w:tabs>
          <w:tab w:val="left" w:pos="4370"/>
          <w:tab w:val="left" w:pos="4889"/>
        </w:tabs>
        <w:outlineLvl w:val="9"/>
      </w:pPr>
    </w:p>
    <w:p w14:paraId="17543F44" w14:textId="2B520B04" w:rsidR="000A1C46" w:rsidRDefault="00E71A3D">
      <w:pPr>
        <w:pStyle w:val="NormalSS"/>
        <w:jc w:val="left"/>
      </w:pPr>
      <w:r>
        <w:t xml:space="preserve">The </w:t>
      </w:r>
      <w:r>
        <w:rPr>
          <w:b/>
          <w:bCs/>
          <w:i/>
          <w:iCs/>
        </w:rPr>
        <w:t>quarterly performance report burden</w:t>
      </w:r>
      <w:r>
        <w:t xml:space="preserve"> assumes that </w:t>
      </w:r>
      <w:r w:rsidR="00064020">
        <w:t>the 25 g</w:t>
      </w:r>
      <w:r w:rsidR="00A51090">
        <w:t xml:space="preserve">rantees started in PY 2015 </w:t>
      </w:r>
      <w:r w:rsidR="00064020">
        <w:t xml:space="preserve">or PY 2016 submit </w:t>
      </w:r>
      <w:r w:rsidR="00120E72">
        <w:t xml:space="preserve">four </w:t>
      </w:r>
      <w:r w:rsidR="00A51090">
        <w:t xml:space="preserve">quarterly reports </w:t>
      </w:r>
      <w:r w:rsidR="00120E72">
        <w:t xml:space="preserve">this </w:t>
      </w:r>
      <w:r w:rsidR="00064020">
        <w:t>coming year</w:t>
      </w:r>
      <w:r w:rsidR="00120E72">
        <w:t>.</w:t>
      </w:r>
      <w:r w:rsidR="00A51090">
        <w:t xml:space="preserve">  Grants started in PY 2017 or after will be submitting quarterly performance reports under the ETA-wide ICR rather than under this ICR.  </w:t>
      </w:r>
      <w:r>
        <w:t xml:space="preserve">The burden </w:t>
      </w:r>
      <w:r w:rsidR="00A51090">
        <w:t xml:space="preserve">for submitting performance quarterly reports </w:t>
      </w:r>
      <w:r>
        <w:t xml:space="preserve">includes reviewing and correcting errors identified by the MIS in the participant-level data and generating, reviewing, and approving the aggregate quarterly reports. </w:t>
      </w:r>
    </w:p>
    <w:p w14:paraId="5599CD82" w14:textId="0316AA47" w:rsidR="00762931" w:rsidRDefault="00762931">
      <w:pPr>
        <w:pStyle w:val="NormalSS"/>
        <w:jc w:val="left"/>
      </w:pPr>
    </w:p>
    <w:tbl>
      <w:tblPr>
        <w:tblW w:w="10143"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3"/>
        <w:gridCol w:w="1229"/>
        <w:gridCol w:w="1250"/>
        <w:gridCol w:w="1136"/>
        <w:gridCol w:w="1015"/>
        <w:gridCol w:w="1292"/>
        <w:gridCol w:w="1333"/>
      </w:tblGrid>
      <w:tr w:rsidR="00CD75FF" w:rsidRPr="00953CDF" w14:paraId="15840B1E" w14:textId="77777777" w:rsidTr="00762931">
        <w:trPr>
          <w:trHeight w:val="1008"/>
        </w:trPr>
        <w:tc>
          <w:tcPr>
            <w:tcW w:w="1445" w:type="dxa"/>
            <w:vAlign w:val="bottom"/>
          </w:tcPr>
          <w:p w14:paraId="6123907F" w14:textId="77777777" w:rsidR="00CD75FF" w:rsidRPr="00953CDF" w:rsidRDefault="00CD75FF" w:rsidP="00762931">
            <w:pPr>
              <w:spacing w:before="120" w:after="120"/>
              <w:jc w:val="center"/>
              <w:rPr>
                <w:rFonts w:ascii="Times New Roman" w:hAnsi="Times New Roman"/>
                <w:sz w:val="24"/>
                <w:szCs w:val="24"/>
              </w:rPr>
            </w:pPr>
            <w:r w:rsidRPr="00953CDF">
              <w:rPr>
                <w:rFonts w:ascii="Times New Roman" w:hAnsi="Times New Roman"/>
                <w:sz w:val="24"/>
                <w:szCs w:val="24"/>
              </w:rPr>
              <w:t>ETA 9140</w:t>
            </w:r>
            <w:r>
              <w:rPr>
                <w:rFonts w:ascii="Times New Roman" w:hAnsi="Times New Roman"/>
                <w:sz w:val="24"/>
                <w:szCs w:val="24"/>
              </w:rPr>
              <w:t xml:space="preserve"> </w:t>
            </w:r>
            <w:r w:rsidRPr="00953CDF">
              <w:rPr>
                <w:rFonts w:ascii="Times New Roman" w:hAnsi="Times New Roman"/>
                <w:sz w:val="24"/>
                <w:szCs w:val="24"/>
              </w:rPr>
              <w:t>Report</w:t>
            </w:r>
          </w:p>
        </w:tc>
        <w:tc>
          <w:tcPr>
            <w:tcW w:w="1443" w:type="dxa"/>
          </w:tcPr>
          <w:p w14:paraId="6E45A768" w14:textId="4826BB29" w:rsidR="00CD75FF" w:rsidRDefault="00CD75FF" w:rsidP="00762931">
            <w:pPr>
              <w:spacing w:before="120" w:after="120"/>
              <w:jc w:val="center"/>
              <w:rPr>
                <w:rFonts w:ascii="Times New Roman" w:hAnsi="Times New Roman"/>
                <w:sz w:val="24"/>
                <w:szCs w:val="24"/>
              </w:rPr>
            </w:pPr>
          </w:p>
          <w:p w14:paraId="10E6EFC3" w14:textId="2F6B35BF" w:rsidR="00CD75FF" w:rsidRDefault="00CD75FF" w:rsidP="00762931">
            <w:pPr>
              <w:jc w:val="center"/>
              <w:rPr>
                <w:rFonts w:ascii="Times New Roman" w:hAnsi="Times New Roman"/>
                <w:sz w:val="24"/>
                <w:szCs w:val="24"/>
              </w:rPr>
            </w:pPr>
            <w:r>
              <w:rPr>
                <w:rFonts w:ascii="Times New Roman" w:hAnsi="Times New Roman"/>
                <w:sz w:val="24"/>
                <w:szCs w:val="24"/>
              </w:rPr>
              <w:t>Number of Respondents</w:t>
            </w:r>
          </w:p>
          <w:p w14:paraId="455A2C88" w14:textId="77777777" w:rsidR="00CD75FF" w:rsidRPr="00CD75FF" w:rsidRDefault="00CD75FF" w:rsidP="00762931">
            <w:pPr>
              <w:jc w:val="center"/>
              <w:rPr>
                <w:rFonts w:ascii="Times New Roman" w:hAnsi="Times New Roman"/>
                <w:sz w:val="24"/>
                <w:szCs w:val="24"/>
              </w:rPr>
            </w:pPr>
          </w:p>
        </w:tc>
        <w:tc>
          <w:tcPr>
            <w:tcW w:w="1229" w:type="dxa"/>
            <w:vAlign w:val="bottom"/>
          </w:tcPr>
          <w:p w14:paraId="2C6B40AA" w14:textId="000576FC" w:rsidR="00CD75FF" w:rsidRPr="00953CDF" w:rsidRDefault="00CD75FF" w:rsidP="00762931">
            <w:pPr>
              <w:spacing w:before="120" w:after="120"/>
              <w:jc w:val="center"/>
              <w:rPr>
                <w:rFonts w:ascii="Times New Roman" w:hAnsi="Times New Roman"/>
                <w:sz w:val="24"/>
                <w:szCs w:val="24"/>
              </w:rPr>
            </w:pPr>
            <w:r>
              <w:rPr>
                <w:rFonts w:ascii="Times New Roman" w:hAnsi="Times New Roman"/>
                <w:sz w:val="24"/>
                <w:szCs w:val="24"/>
              </w:rPr>
              <w:t>Frequency of Response</w:t>
            </w:r>
          </w:p>
        </w:tc>
        <w:tc>
          <w:tcPr>
            <w:tcW w:w="1250" w:type="dxa"/>
          </w:tcPr>
          <w:p w14:paraId="65FDE425" w14:textId="77777777" w:rsidR="00CD75FF" w:rsidRDefault="00CD75FF" w:rsidP="00762931">
            <w:pPr>
              <w:spacing w:before="120" w:after="120"/>
              <w:jc w:val="center"/>
              <w:rPr>
                <w:rFonts w:ascii="Times New Roman" w:hAnsi="Times New Roman"/>
                <w:sz w:val="24"/>
                <w:szCs w:val="24"/>
              </w:rPr>
            </w:pPr>
          </w:p>
          <w:p w14:paraId="0EA97BFF" w14:textId="372776CD" w:rsidR="00CD75FF" w:rsidRDefault="00CD75FF" w:rsidP="00762931">
            <w:pPr>
              <w:spacing w:before="120" w:after="120"/>
              <w:jc w:val="center"/>
              <w:rPr>
                <w:rFonts w:ascii="Times New Roman" w:hAnsi="Times New Roman"/>
                <w:sz w:val="24"/>
                <w:szCs w:val="24"/>
              </w:rPr>
            </w:pPr>
            <w:r>
              <w:rPr>
                <w:rFonts w:ascii="Times New Roman" w:hAnsi="Times New Roman"/>
                <w:sz w:val="24"/>
                <w:szCs w:val="24"/>
              </w:rPr>
              <w:t>Total Annual Responses</w:t>
            </w:r>
          </w:p>
        </w:tc>
        <w:tc>
          <w:tcPr>
            <w:tcW w:w="1136" w:type="dxa"/>
            <w:vAlign w:val="bottom"/>
          </w:tcPr>
          <w:p w14:paraId="299C7C25" w14:textId="757F5A35" w:rsidR="00CD75FF" w:rsidRPr="00953CDF" w:rsidRDefault="00CD75FF" w:rsidP="00762931">
            <w:pPr>
              <w:spacing w:before="120" w:after="120"/>
              <w:jc w:val="center"/>
              <w:rPr>
                <w:rFonts w:ascii="Times New Roman" w:hAnsi="Times New Roman"/>
                <w:sz w:val="24"/>
                <w:szCs w:val="24"/>
              </w:rPr>
            </w:pPr>
            <w:r>
              <w:rPr>
                <w:rFonts w:ascii="Times New Roman" w:hAnsi="Times New Roman"/>
                <w:sz w:val="24"/>
                <w:szCs w:val="24"/>
              </w:rPr>
              <w:t>Time per Response</w:t>
            </w:r>
          </w:p>
        </w:tc>
        <w:tc>
          <w:tcPr>
            <w:tcW w:w="1015" w:type="dxa"/>
            <w:vAlign w:val="bottom"/>
          </w:tcPr>
          <w:p w14:paraId="73536EBB" w14:textId="4505AB1D" w:rsidR="00CD75FF" w:rsidRPr="00953CDF" w:rsidRDefault="00CD75FF" w:rsidP="00762931">
            <w:pPr>
              <w:spacing w:before="120" w:after="120"/>
              <w:jc w:val="center"/>
              <w:rPr>
                <w:rFonts w:ascii="Times New Roman" w:hAnsi="Times New Roman"/>
                <w:sz w:val="24"/>
                <w:szCs w:val="24"/>
              </w:rPr>
            </w:pPr>
            <w:r w:rsidRPr="00953CDF">
              <w:rPr>
                <w:rFonts w:ascii="Times New Roman" w:hAnsi="Times New Roman"/>
                <w:sz w:val="24"/>
                <w:szCs w:val="24"/>
              </w:rPr>
              <w:t xml:space="preserve">Annual </w:t>
            </w:r>
            <w:r>
              <w:rPr>
                <w:rFonts w:ascii="Times New Roman" w:hAnsi="Times New Roman"/>
                <w:sz w:val="24"/>
                <w:szCs w:val="24"/>
              </w:rPr>
              <w:t>Burden Hours</w:t>
            </w:r>
          </w:p>
        </w:tc>
        <w:tc>
          <w:tcPr>
            <w:tcW w:w="1292" w:type="dxa"/>
            <w:vAlign w:val="bottom"/>
          </w:tcPr>
          <w:p w14:paraId="62CBED39" w14:textId="77777777" w:rsidR="00CD75FF" w:rsidRPr="00953CDF" w:rsidRDefault="00CD75FF" w:rsidP="00762931">
            <w:pPr>
              <w:spacing w:before="120" w:after="120"/>
              <w:jc w:val="center"/>
              <w:rPr>
                <w:rFonts w:ascii="Times New Roman" w:hAnsi="Times New Roman"/>
                <w:sz w:val="24"/>
                <w:szCs w:val="24"/>
              </w:rPr>
            </w:pPr>
            <w:r w:rsidRPr="00953CDF">
              <w:rPr>
                <w:rFonts w:ascii="Times New Roman" w:hAnsi="Times New Roman"/>
                <w:sz w:val="24"/>
                <w:szCs w:val="24"/>
              </w:rPr>
              <w:t>Applicable Hourly Rate</w:t>
            </w:r>
          </w:p>
        </w:tc>
        <w:tc>
          <w:tcPr>
            <w:tcW w:w="1333" w:type="dxa"/>
            <w:vAlign w:val="bottom"/>
          </w:tcPr>
          <w:p w14:paraId="4458961F" w14:textId="77777777" w:rsidR="00CD75FF" w:rsidRPr="00953CDF" w:rsidRDefault="00CD75FF" w:rsidP="00762931">
            <w:pPr>
              <w:spacing w:before="120" w:after="120"/>
              <w:jc w:val="center"/>
              <w:rPr>
                <w:rFonts w:ascii="Times New Roman" w:hAnsi="Times New Roman"/>
                <w:sz w:val="24"/>
                <w:szCs w:val="24"/>
              </w:rPr>
            </w:pPr>
            <w:r w:rsidRPr="00953CDF">
              <w:rPr>
                <w:rFonts w:ascii="Times New Roman" w:hAnsi="Times New Roman"/>
                <w:sz w:val="24"/>
                <w:szCs w:val="24"/>
              </w:rPr>
              <w:t xml:space="preserve">Annual National </w:t>
            </w:r>
            <w:r>
              <w:rPr>
                <w:rFonts w:ascii="Times New Roman" w:hAnsi="Times New Roman"/>
                <w:sz w:val="24"/>
                <w:szCs w:val="24"/>
              </w:rPr>
              <w:t xml:space="preserve">Burden </w:t>
            </w:r>
            <w:r w:rsidRPr="00953CDF">
              <w:rPr>
                <w:rFonts w:ascii="Times New Roman" w:hAnsi="Times New Roman"/>
                <w:sz w:val="24"/>
                <w:szCs w:val="24"/>
              </w:rPr>
              <w:t>Dollars</w:t>
            </w:r>
          </w:p>
        </w:tc>
      </w:tr>
      <w:tr w:rsidR="00CD75FF" w:rsidRPr="00953CDF" w14:paraId="64524728" w14:textId="77777777" w:rsidTr="00762931">
        <w:tc>
          <w:tcPr>
            <w:tcW w:w="1445" w:type="dxa"/>
          </w:tcPr>
          <w:p w14:paraId="05AB27F0" w14:textId="0F50EFFA" w:rsidR="00CD75FF" w:rsidRPr="00795EA3" w:rsidRDefault="00CD75FF" w:rsidP="00547DB1">
            <w:pPr>
              <w:spacing w:before="120" w:after="120"/>
              <w:rPr>
                <w:rFonts w:ascii="Times New Roman" w:hAnsi="Times New Roman"/>
                <w:sz w:val="24"/>
                <w:highlight w:val="yellow"/>
              </w:rPr>
            </w:pPr>
            <w:r w:rsidRPr="00064020">
              <w:rPr>
                <w:rFonts w:ascii="Times New Roman" w:hAnsi="Times New Roman"/>
                <w:sz w:val="24"/>
              </w:rPr>
              <w:t>Quarterly Performance Report</w:t>
            </w:r>
          </w:p>
        </w:tc>
        <w:tc>
          <w:tcPr>
            <w:tcW w:w="1443" w:type="dxa"/>
          </w:tcPr>
          <w:p w14:paraId="4A916D9B" w14:textId="56E5CCE1" w:rsidR="00CD75FF" w:rsidRPr="00795EA3" w:rsidRDefault="00CD75FF" w:rsidP="00120E72">
            <w:pPr>
              <w:spacing w:before="120" w:after="120"/>
              <w:jc w:val="center"/>
              <w:rPr>
                <w:rFonts w:ascii="Times New Roman" w:hAnsi="Times New Roman"/>
                <w:sz w:val="24"/>
                <w:highlight w:val="yellow"/>
              </w:rPr>
            </w:pPr>
            <w:r w:rsidRPr="00064020">
              <w:rPr>
                <w:rFonts w:ascii="Times New Roman" w:hAnsi="Times New Roman"/>
                <w:sz w:val="24"/>
              </w:rPr>
              <w:t>2</w:t>
            </w:r>
            <w:r w:rsidR="00120E72" w:rsidRPr="00064020">
              <w:rPr>
                <w:rFonts w:ascii="Times New Roman" w:hAnsi="Times New Roman"/>
                <w:sz w:val="24"/>
              </w:rPr>
              <w:t>5</w:t>
            </w:r>
          </w:p>
        </w:tc>
        <w:tc>
          <w:tcPr>
            <w:tcW w:w="1229" w:type="dxa"/>
          </w:tcPr>
          <w:p w14:paraId="1227D1D8" w14:textId="0D7EDD00" w:rsidR="00CD75FF" w:rsidRPr="00795EA3" w:rsidRDefault="00CD75FF" w:rsidP="00762931">
            <w:pPr>
              <w:spacing w:before="120" w:after="120"/>
              <w:jc w:val="center"/>
              <w:rPr>
                <w:rFonts w:ascii="Times New Roman" w:hAnsi="Times New Roman"/>
                <w:sz w:val="24"/>
                <w:highlight w:val="yellow"/>
              </w:rPr>
            </w:pPr>
            <w:r w:rsidRPr="00064020">
              <w:rPr>
                <w:rFonts w:ascii="Times New Roman" w:hAnsi="Times New Roman"/>
                <w:sz w:val="24"/>
              </w:rPr>
              <w:t>Quarterly</w:t>
            </w:r>
          </w:p>
        </w:tc>
        <w:tc>
          <w:tcPr>
            <w:tcW w:w="1250" w:type="dxa"/>
          </w:tcPr>
          <w:p w14:paraId="759103A8" w14:textId="37919F38" w:rsidR="00CD75FF" w:rsidRPr="00795EA3" w:rsidRDefault="00064020" w:rsidP="00064020">
            <w:pPr>
              <w:spacing w:before="120" w:after="120"/>
              <w:jc w:val="center"/>
              <w:rPr>
                <w:rFonts w:ascii="Times New Roman" w:hAnsi="Times New Roman"/>
                <w:sz w:val="24"/>
                <w:highlight w:val="yellow"/>
              </w:rPr>
            </w:pPr>
            <w:r>
              <w:rPr>
                <w:rFonts w:ascii="Times New Roman" w:hAnsi="Times New Roman"/>
                <w:sz w:val="24"/>
              </w:rPr>
              <w:t>100</w:t>
            </w:r>
          </w:p>
        </w:tc>
        <w:tc>
          <w:tcPr>
            <w:tcW w:w="1136" w:type="dxa"/>
          </w:tcPr>
          <w:p w14:paraId="1CAA1307" w14:textId="507677EE" w:rsidR="00CD75FF" w:rsidRPr="00795EA3" w:rsidRDefault="00CD75FF" w:rsidP="00762931">
            <w:pPr>
              <w:spacing w:before="120" w:after="120"/>
              <w:jc w:val="center"/>
              <w:rPr>
                <w:rFonts w:ascii="Times New Roman" w:hAnsi="Times New Roman"/>
                <w:sz w:val="24"/>
                <w:highlight w:val="yellow"/>
              </w:rPr>
            </w:pPr>
            <w:r w:rsidRPr="00064020">
              <w:rPr>
                <w:rFonts w:ascii="Times New Roman" w:hAnsi="Times New Roman"/>
                <w:sz w:val="24"/>
              </w:rPr>
              <w:t>16</w:t>
            </w:r>
          </w:p>
        </w:tc>
        <w:tc>
          <w:tcPr>
            <w:tcW w:w="1015" w:type="dxa"/>
          </w:tcPr>
          <w:p w14:paraId="43A8B8ED" w14:textId="684FB3ED" w:rsidR="00CD75FF" w:rsidRPr="00795EA3" w:rsidRDefault="00CD75FF" w:rsidP="00064020">
            <w:pPr>
              <w:spacing w:before="120" w:after="120"/>
              <w:jc w:val="center"/>
              <w:rPr>
                <w:rFonts w:ascii="Times New Roman" w:hAnsi="Times New Roman"/>
                <w:sz w:val="24"/>
                <w:highlight w:val="yellow"/>
              </w:rPr>
            </w:pPr>
            <w:r w:rsidRPr="00064020">
              <w:rPr>
                <w:rFonts w:ascii="Times New Roman" w:hAnsi="Times New Roman"/>
                <w:sz w:val="24"/>
              </w:rPr>
              <w:t>1,</w:t>
            </w:r>
            <w:r w:rsidR="00064020">
              <w:rPr>
                <w:rFonts w:ascii="Times New Roman" w:hAnsi="Times New Roman"/>
                <w:sz w:val="24"/>
              </w:rPr>
              <w:t>600</w:t>
            </w:r>
          </w:p>
        </w:tc>
        <w:tc>
          <w:tcPr>
            <w:tcW w:w="1292" w:type="dxa"/>
          </w:tcPr>
          <w:p w14:paraId="3ACB3D94" w14:textId="395D81D9" w:rsidR="00CD75FF" w:rsidRPr="00064020" w:rsidRDefault="00CD75FF" w:rsidP="00762931">
            <w:pPr>
              <w:spacing w:before="120" w:after="120"/>
              <w:jc w:val="center"/>
              <w:rPr>
                <w:rFonts w:ascii="Times New Roman" w:hAnsi="Times New Roman"/>
                <w:sz w:val="24"/>
              </w:rPr>
            </w:pPr>
            <w:r w:rsidRPr="00064020">
              <w:rPr>
                <w:rFonts w:ascii="Times New Roman" w:hAnsi="Times New Roman"/>
                <w:sz w:val="24"/>
              </w:rPr>
              <w:t>$14.71</w:t>
            </w:r>
          </w:p>
        </w:tc>
        <w:tc>
          <w:tcPr>
            <w:tcW w:w="1333" w:type="dxa"/>
          </w:tcPr>
          <w:p w14:paraId="22063CAC" w14:textId="4BAAA646" w:rsidR="00CD75FF" w:rsidRPr="00064020" w:rsidRDefault="00CD75FF" w:rsidP="00064020">
            <w:pPr>
              <w:spacing w:before="120" w:after="120"/>
              <w:jc w:val="center"/>
              <w:rPr>
                <w:rFonts w:ascii="Times New Roman" w:hAnsi="Times New Roman"/>
                <w:sz w:val="24"/>
              </w:rPr>
            </w:pPr>
            <w:r w:rsidRPr="00064020">
              <w:rPr>
                <w:rFonts w:ascii="Times New Roman" w:hAnsi="Times New Roman"/>
                <w:sz w:val="24"/>
              </w:rPr>
              <w:t>$</w:t>
            </w:r>
            <w:r w:rsidR="00064020">
              <w:rPr>
                <w:rFonts w:ascii="Times New Roman" w:hAnsi="Times New Roman"/>
                <w:sz w:val="24"/>
              </w:rPr>
              <w:t>23,536</w:t>
            </w:r>
          </w:p>
        </w:tc>
      </w:tr>
    </w:tbl>
    <w:p w14:paraId="1E03F17C" w14:textId="77777777" w:rsidR="00261828" w:rsidRDefault="00261828">
      <w:pPr>
        <w:pStyle w:val="NormalSS"/>
        <w:jc w:val="left"/>
        <w:rPr>
          <w:i/>
          <w:szCs w:val="24"/>
        </w:rPr>
      </w:pPr>
    </w:p>
    <w:p w14:paraId="6DB8FD09" w14:textId="78E082AD" w:rsidR="00CE42B5" w:rsidRDefault="00762931" w:rsidP="00762931">
      <w:pPr>
        <w:pStyle w:val="NormalSS"/>
        <w:jc w:val="left"/>
      </w:pPr>
      <w:r w:rsidRPr="00762931">
        <w:rPr>
          <w:i/>
          <w:szCs w:val="24"/>
        </w:rPr>
        <w:t>The following table can be used as a guide to calculate the total burden of an information collection.</w:t>
      </w:r>
      <w:r>
        <w:rPr>
          <w:i/>
          <w:szCs w:val="24"/>
        </w:rPr>
        <w:t xml:space="preserve"> </w:t>
      </w:r>
      <w:bookmarkStart w:id="20" w:name="_Toc76458994"/>
    </w:p>
    <w:p w14:paraId="13203A41" w14:textId="6F8B1DAB" w:rsidR="00035B4C" w:rsidRPr="00CE42B5" w:rsidRDefault="00035B4C" w:rsidP="00845E9B">
      <w:pPr>
        <w:jc w:val="center"/>
        <w:rPr>
          <w:rFonts w:ascii="Times New Roman" w:hAnsi="Times New Roman"/>
          <w:sz w:val="24"/>
          <w:u w:val="single"/>
        </w:rPr>
      </w:pPr>
      <w:r w:rsidRPr="00CE42B5">
        <w:rPr>
          <w:rFonts w:ascii="Times New Roman" w:hAnsi="Times New Roman"/>
          <w:sz w:val="24"/>
          <w:u w:val="single"/>
        </w:rPr>
        <w:t>Summary of Annual</w:t>
      </w:r>
      <w:r w:rsidR="00845E9B">
        <w:rPr>
          <w:rFonts w:ascii="Times New Roman" w:hAnsi="Times New Roman"/>
          <w:sz w:val="24"/>
          <w:u w:val="single"/>
        </w:rPr>
        <w:t xml:space="preserve"> National Burden Hours and Cost</w:t>
      </w:r>
    </w:p>
    <w:p w14:paraId="05CF6A5C" w14:textId="77777777" w:rsidR="00651E30" w:rsidRDefault="00651E30" w:rsidP="00CE42B5"/>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30"/>
        <w:gridCol w:w="1350"/>
        <w:gridCol w:w="1350"/>
        <w:gridCol w:w="1260"/>
        <w:gridCol w:w="990"/>
        <w:gridCol w:w="1080"/>
        <w:gridCol w:w="1620"/>
      </w:tblGrid>
      <w:tr w:rsidR="00D27168" w14:paraId="701790E4" w14:textId="56BBAE43" w:rsidTr="003D6B32">
        <w:tc>
          <w:tcPr>
            <w:tcW w:w="1620" w:type="dxa"/>
            <w:shd w:val="clear" w:color="auto" w:fill="8DB3E2" w:themeFill="text2" w:themeFillTint="66"/>
          </w:tcPr>
          <w:p w14:paraId="27C30134" w14:textId="7E07B95F" w:rsidR="00F85178" w:rsidRPr="00762931" w:rsidRDefault="00F85178" w:rsidP="00D2716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rPr>
            </w:pPr>
            <w:r w:rsidRPr="00762931">
              <w:rPr>
                <w:b/>
              </w:rPr>
              <w:t>Activity</w:t>
            </w:r>
          </w:p>
        </w:tc>
        <w:tc>
          <w:tcPr>
            <w:tcW w:w="1530" w:type="dxa"/>
            <w:shd w:val="clear" w:color="auto" w:fill="8DB3E2" w:themeFill="text2" w:themeFillTint="66"/>
          </w:tcPr>
          <w:p w14:paraId="7F11FEA8" w14:textId="6A48E165" w:rsidR="00F85178" w:rsidRPr="00762931" w:rsidRDefault="00D27168" w:rsidP="00D2716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b/>
              </w:rPr>
            </w:pPr>
            <w:r w:rsidRPr="00762931">
              <w:rPr>
                <w:b/>
              </w:rPr>
              <w:t>Number o</w:t>
            </w:r>
            <w:r w:rsidR="00F85178" w:rsidRPr="00762931">
              <w:rPr>
                <w:b/>
              </w:rPr>
              <w:t>f Respondents</w:t>
            </w:r>
          </w:p>
        </w:tc>
        <w:tc>
          <w:tcPr>
            <w:tcW w:w="1350" w:type="dxa"/>
            <w:shd w:val="clear" w:color="auto" w:fill="8DB3E2" w:themeFill="text2" w:themeFillTint="66"/>
          </w:tcPr>
          <w:p w14:paraId="70636568" w14:textId="61A22CAC" w:rsidR="00F85178" w:rsidRPr="00762931" w:rsidRDefault="00F85178" w:rsidP="00D27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sz w:val="24"/>
              </w:rPr>
            </w:pPr>
            <w:r w:rsidRPr="00762931">
              <w:rPr>
                <w:rFonts w:ascii="Times New Roman" w:hAnsi="Times New Roman"/>
                <w:b/>
                <w:sz w:val="24"/>
              </w:rPr>
              <w:t>Frequency</w:t>
            </w:r>
          </w:p>
        </w:tc>
        <w:tc>
          <w:tcPr>
            <w:tcW w:w="1350" w:type="dxa"/>
            <w:shd w:val="clear" w:color="auto" w:fill="8DB3E2" w:themeFill="text2" w:themeFillTint="66"/>
          </w:tcPr>
          <w:p w14:paraId="2C00924C" w14:textId="1C0D0700" w:rsidR="00F85178" w:rsidRPr="00762931" w:rsidRDefault="00F85178" w:rsidP="00D27168">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rPr>
            </w:pPr>
            <w:r w:rsidRPr="00762931">
              <w:rPr>
                <w:b/>
              </w:rPr>
              <w:t>Total Annual Responses</w:t>
            </w:r>
          </w:p>
        </w:tc>
        <w:tc>
          <w:tcPr>
            <w:tcW w:w="1260" w:type="dxa"/>
            <w:shd w:val="clear" w:color="auto" w:fill="8DB3E2" w:themeFill="text2" w:themeFillTint="66"/>
          </w:tcPr>
          <w:p w14:paraId="2CF9394A" w14:textId="5BC4052C" w:rsidR="00F85178" w:rsidRPr="00762931" w:rsidRDefault="00F85178" w:rsidP="00D27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sz w:val="24"/>
              </w:rPr>
            </w:pPr>
            <w:r w:rsidRPr="00762931">
              <w:rPr>
                <w:rFonts w:ascii="Times New Roman" w:hAnsi="Times New Roman"/>
                <w:b/>
                <w:sz w:val="24"/>
              </w:rPr>
              <w:t>Time per Response</w:t>
            </w:r>
          </w:p>
        </w:tc>
        <w:tc>
          <w:tcPr>
            <w:tcW w:w="990" w:type="dxa"/>
            <w:shd w:val="clear" w:color="auto" w:fill="8DB3E2" w:themeFill="text2" w:themeFillTint="66"/>
          </w:tcPr>
          <w:p w14:paraId="05F874CB" w14:textId="6EDEC412" w:rsidR="00F85178" w:rsidRPr="00762931" w:rsidRDefault="00D27168" w:rsidP="00D27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sz w:val="24"/>
              </w:rPr>
            </w:pPr>
            <w:r w:rsidRPr="00762931">
              <w:rPr>
                <w:rFonts w:ascii="Times New Roman" w:hAnsi="Times New Roman"/>
                <w:b/>
                <w:sz w:val="24"/>
              </w:rPr>
              <w:t>Total Annual Burden Hours</w:t>
            </w:r>
          </w:p>
        </w:tc>
        <w:tc>
          <w:tcPr>
            <w:tcW w:w="1080" w:type="dxa"/>
            <w:shd w:val="clear" w:color="auto" w:fill="8DB3E2" w:themeFill="text2" w:themeFillTint="66"/>
          </w:tcPr>
          <w:p w14:paraId="1D7413BB" w14:textId="26D42770" w:rsidR="00F85178" w:rsidRPr="00762931" w:rsidRDefault="00D27168" w:rsidP="00D27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sz w:val="24"/>
              </w:rPr>
            </w:pPr>
            <w:r w:rsidRPr="00762931">
              <w:rPr>
                <w:rFonts w:ascii="Times New Roman" w:hAnsi="Times New Roman"/>
                <w:b/>
                <w:sz w:val="24"/>
              </w:rPr>
              <w:t>Hourly Rate</w:t>
            </w:r>
          </w:p>
        </w:tc>
        <w:tc>
          <w:tcPr>
            <w:tcW w:w="1620" w:type="dxa"/>
            <w:shd w:val="clear" w:color="auto" w:fill="8DB3E2" w:themeFill="text2" w:themeFillTint="66"/>
          </w:tcPr>
          <w:p w14:paraId="7919226B" w14:textId="364C16D5" w:rsidR="00F85178" w:rsidRPr="00762931" w:rsidRDefault="00D27168" w:rsidP="00D27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sz w:val="24"/>
              </w:rPr>
            </w:pPr>
            <w:r w:rsidRPr="00762931">
              <w:rPr>
                <w:rFonts w:ascii="Times New Roman" w:hAnsi="Times New Roman"/>
                <w:b/>
                <w:sz w:val="24"/>
              </w:rPr>
              <w:t>Monetized Value of Respondent’s Time</w:t>
            </w:r>
          </w:p>
        </w:tc>
      </w:tr>
      <w:tr w:rsidR="00D27168" w14:paraId="77B3BE69" w14:textId="544A5A28" w:rsidTr="003D6B32">
        <w:tc>
          <w:tcPr>
            <w:tcW w:w="1620" w:type="dxa"/>
          </w:tcPr>
          <w:p w14:paraId="6F3B4A38" w14:textId="4019F943" w:rsidR="00F85178" w:rsidRPr="007F1513" w:rsidRDefault="00D27168" w:rsidP="00D27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Grantees Data Collection </w:t>
            </w:r>
          </w:p>
        </w:tc>
        <w:tc>
          <w:tcPr>
            <w:tcW w:w="1530" w:type="dxa"/>
          </w:tcPr>
          <w:p w14:paraId="509B2AF9" w14:textId="35E649B8" w:rsidR="00F85178" w:rsidRPr="007F1513" w:rsidRDefault="00D27168"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126</w:t>
            </w:r>
          </w:p>
        </w:tc>
        <w:tc>
          <w:tcPr>
            <w:tcW w:w="1350" w:type="dxa"/>
          </w:tcPr>
          <w:p w14:paraId="6BCC6A32" w14:textId="5EA6F221" w:rsidR="00F85178" w:rsidRPr="007F1513" w:rsidRDefault="00D27168"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pPr>
            <w:r>
              <w:t>Ongoing</w:t>
            </w:r>
          </w:p>
        </w:tc>
        <w:tc>
          <w:tcPr>
            <w:tcW w:w="1350" w:type="dxa"/>
          </w:tcPr>
          <w:p w14:paraId="1E4A1B9C" w14:textId="45A3D778" w:rsidR="00F85178" w:rsidRPr="007F1513"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10,173</w:t>
            </w:r>
          </w:p>
        </w:tc>
        <w:tc>
          <w:tcPr>
            <w:tcW w:w="1260" w:type="dxa"/>
          </w:tcPr>
          <w:p w14:paraId="1C11F369" w14:textId="398DFD9F" w:rsidR="00F85178" w:rsidRPr="007F1513"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2</w:t>
            </w:r>
          </w:p>
        </w:tc>
        <w:tc>
          <w:tcPr>
            <w:tcW w:w="990" w:type="dxa"/>
          </w:tcPr>
          <w:p w14:paraId="0B80A2D4" w14:textId="17478D3D" w:rsidR="00F85178"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20,346</w:t>
            </w:r>
          </w:p>
        </w:tc>
        <w:tc>
          <w:tcPr>
            <w:tcW w:w="1080" w:type="dxa"/>
          </w:tcPr>
          <w:p w14:paraId="07A69E5C" w14:textId="2F0213C9" w:rsidR="00F85178"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$14.71</w:t>
            </w:r>
          </w:p>
        </w:tc>
        <w:tc>
          <w:tcPr>
            <w:tcW w:w="1620" w:type="dxa"/>
          </w:tcPr>
          <w:p w14:paraId="437190F7" w14:textId="19FBAE38" w:rsidR="00F85178"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Pr>
                <w:rFonts w:ascii="Times New Roman" w:hAnsi="Times New Roman"/>
                <w:sz w:val="24"/>
              </w:rPr>
              <w:t>299,289.66</w:t>
            </w:r>
          </w:p>
        </w:tc>
      </w:tr>
      <w:tr w:rsidR="00D27168" w14:paraId="527F1408" w14:textId="76D324CD" w:rsidTr="003D6B32">
        <w:tc>
          <w:tcPr>
            <w:tcW w:w="1620" w:type="dxa"/>
          </w:tcPr>
          <w:p w14:paraId="531E5FD5" w14:textId="07498EAB" w:rsidR="00F85178" w:rsidRPr="007F1513" w:rsidRDefault="00D27168"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Participant Data Disclosure</w:t>
            </w:r>
          </w:p>
        </w:tc>
        <w:tc>
          <w:tcPr>
            <w:tcW w:w="1530" w:type="dxa"/>
          </w:tcPr>
          <w:p w14:paraId="6E934B27" w14:textId="77777777" w:rsidR="003D6B32" w:rsidRDefault="003D6B32"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p>
          <w:p w14:paraId="4F4F4286" w14:textId="57E10540" w:rsidR="00F85178" w:rsidRPr="007F1513" w:rsidRDefault="00D27168"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10,173</w:t>
            </w:r>
          </w:p>
        </w:tc>
        <w:tc>
          <w:tcPr>
            <w:tcW w:w="1350" w:type="dxa"/>
          </w:tcPr>
          <w:p w14:paraId="14319779" w14:textId="77777777" w:rsidR="003D6B32" w:rsidRDefault="003D6B32"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pPr>
          </w:p>
          <w:p w14:paraId="2EB7E7D9" w14:textId="56B90CEC" w:rsidR="00F85178" w:rsidRPr="007F1513" w:rsidRDefault="00D27168"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pPr>
            <w:r>
              <w:t>Ongoing</w:t>
            </w:r>
          </w:p>
        </w:tc>
        <w:tc>
          <w:tcPr>
            <w:tcW w:w="1350" w:type="dxa"/>
          </w:tcPr>
          <w:p w14:paraId="20A2D039"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7EA59548" w14:textId="467F6718" w:rsidR="00F85178" w:rsidRPr="007F1513"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10,173</w:t>
            </w:r>
          </w:p>
        </w:tc>
        <w:tc>
          <w:tcPr>
            <w:tcW w:w="1260" w:type="dxa"/>
          </w:tcPr>
          <w:p w14:paraId="7103775C"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315CDC60" w14:textId="1C9DE914" w:rsidR="00F85178"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.6</w:t>
            </w:r>
          </w:p>
        </w:tc>
        <w:tc>
          <w:tcPr>
            <w:tcW w:w="990" w:type="dxa"/>
          </w:tcPr>
          <w:p w14:paraId="38460191"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730F2DAA" w14:textId="2901772F" w:rsidR="00F85178" w:rsidRPr="007F1513" w:rsidRDefault="00995C33"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6,104</w:t>
            </w:r>
          </w:p>
        </w:tc>
        <w:tc>
          <w:tcPr>
            <w:tcW w:w="1080" w:type="dxa"/>
          </w:tcPr>
          <w:p w14:paraId="74139DD7"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462D6011" w14:textId="1331AF02" w:rsidR="00F85178" w:rsidRPr="007F1513" w:rsidRDefault="00995C33"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$7.25</w:t>
            </w:r>
          </w:p>
        </w:tc>
        <w:tc>
          <w:tcPr>
            <w:tcW w:w="1620" w:type="dxa"/>
          </w:tcPr>
          <w:p w14:paraId="7CA8557F"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1D37BAD8" w14:textId="70E42D3C" w:rsidR="00F85178" w:rsidRPr="007F1513" w:rsidRDefault="00995C33"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Pr>
                <w:rFonts w:ascii="Times New Roman" w:hAnsi="Times New Roman"/>
                <w:sz w:val="24"/>
              </w:rPr>
              <w:t>44,254</w:t>
            </w:r>
          </w:p>
        </w:tc>
      </w:tr>
      <w:tr w:rsidR="00D27168" w14:paraId="54650291" w14:textId="77777777" w:rsidTr="003D6B32">
        <w:tc>
          <w:tcPr>
            <w:tcW w:w="1620" w:type="dxa"/>
          </w:tcPr>
          <w:p w14:paraId="32C1AEEE" w14:textId="42205BB4" w:rsidR="00D27168" w:rsidRDefault="00D27168"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Grantees Quarterly Progress report</w:t>
            </w:r>
          </w:p>
        </w:tc>
        <w:tc>
          <w:tcPr>
            <w:tcW w:w="1530" w:type="dxa"/>
          </w:tcPr>
          <w:p w14:paraId="3F2FCDE3" w14:textId="77777777" w:rsidR="003D6B32" w:rsidRDefault="003D6B32"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p>
          <w:p w14:paraId="4B60B880" w14:textId="7E900958" w:rsidR="00D27168" w:rsidRDefault="003B270D" w:rsidP="004632D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pPr>
            <w:r>
              <w:t>2</w:t>
            </w:r>
            <w:r w:rsidR="004632D6">
              <w:t>5</w:t>
            </w:r>
          </w:p>
        </w:tc>
        <w:tc>
          <w:tcPr>
            <w:tcW w:w="1350" w:type="dxa"/>
          </w:tcPr>
          <w:p w14:paraId="46A82CF1" w14:textId="77777777" w:rsidR="003D6B32" w:rsidRDefault="003D6B32"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pPr>
          </w:p>
          <w:p w14:paraId="5892F0BF" w14:textId="27AA2DB4" w:rsidR="00D27168" w:rsidRPr="007F1513" w:rsidRDefault="00995C33"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pPr>
            <w:r>
              <w:t>Quarterly</w:t>
            </w:r>
          </w:p>
        </w:tc>
        <w:tc>
          <w:tcPr>
            <w:tcW w:w="1350" w:type="dxa"/>
          </w:tcPr>
          <w:p w14:paraId="7C3C8A2D"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182ABEF5" w14:textId="1DB89CE7" w:rsidR="00D27168" w:rsidRPr="007F1513" w:rsidRDefault="00064020" w:rsidP="00064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100</w:t>
            </w:r>
          </w:p>
        </w:tc>
        <w:tc>
          <w:tcPr>
            <w:tcW w:w="1260" w:type="dxa"/>
          </w:tcPr>
          <w:p w14:paraId="7FE770E6"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3AEC823D" w14:textId="2D3907A8" w:rsidR="00D27168" w:rsidRPr="007F1513" w:rsidRDefault="00995C33"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16</w:t>
            </w:r>
          </w:p>
        </w:tc>
        <w:tc>
          <w:tcPr>
            <w:tcW w:w="990" w:type="dxa"/>
          </w:tcPr>
          <w:p w14:paraId="1CBC6B9D"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1E4D31B5" w14:textId="08CEF50C" w:rsidR="00D27168" w:rsidRPr="007F1513" w:rsidRDefault="003B270D" w:rsidP="00064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w:t>
            </w:r>
            <w:r w:rsidR="00064020">
              <w:rPr>
                <w:rFonts w:ascii="Times New Roman" w:hAnsi="Times New Roman"/>
                <w:sz w:val="24"/>
              </w:rPr>
              <w:t>600</w:t>
            </w:r>
          </w:p>
        </w:tc>
        <w:tc>
          <w:tcPr>
            <w:tcW w:w="1080" w:type="dxa"/>
          </w:tcPr>
          <w:p w14:paraId="4A740B1C"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1278B48A" w14:textId="58297B82" w:rsidR="00D27168" w:rsidRPr="007F1513" w:rsidRDefault="00995C33"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$14.71</w:t>
            </w:r>
          </w:p>
        </w:tc>
        <w:tc>
          <w:tcPr>
            <w:tcW w:w="1620" w:type="dxa"/>
          </w:tcPr>
          <w:p w14:paraId="4D66D320" w14:textId="77777777" w:rsidR="003D6B32" w:rsidRDefault="003D6B32"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p>
          <w:p w14:paraId="3BB2C60F" w14:textId="0671557F" w:rsidR="00D27168" w:rsidRPr="007F1513" w:rsidRDefault="00995C33" w:rsidP="00064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sidRPr="007F1513">
              <w:rPr>
                <w:rFonts w:ascii="Times New Roman" w:hAnsi="Times New Roman"/>
                <w:sz w:val="24"/>
              </w:rPr>
              <w:t>$</w:t>
            </w:r>
            <w:r w:rsidR="00064020">
              <w:rPr>
                <w:rFonts w:ascii="Times New Roman" w:hAnsi="Times New Roman"/>
                <w:sz w:val="24"/>
              </w:rPr>
              <w:t>23,536</w:t>
            </w:r>
          </w:p>
        </w:tc>
      </w:tr>
      <w:tr w:rsidR="00D27168" w:rsidRPr="00E02E5A" w14:paraId="4E3B6AFB" w14:textId="77777777" w:rsidTr="003D6B32">
        <w:tc>
          <w:tcPr>
            <w:tcW w:w="1620" w:type="dxa"/>
          </w:tcPr>
          <w:p w14:paraId="10EDD7E4" w14:textId="77777777" w:rsidR="00762931" w:rsidRPr="00E02E5A" w:rsidRDefault="00D27168"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4"/>
              </w:rPr>
            </w:pPr>
            <w:r w:rsidRPr="00E02E5A">
              <w:rPr>
                <w:rFonts w:ascii="Times New Roman" w:hAnsi="Times New Roman"/>
                <w:b/>
                <w:i/>
                <w:sz w:val="24"/>
              </w:rPr>
              <w:t>Unduplicated</w:t>
            </w:r>
          </w:p>
          <w:p w14:paraId="6F633ED3" w14:textId="0C8F8749" w:rsidR="00762931" w:rsidRPr="00E02E5A" w:rsidRDefault="00762931"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4"/>
              </w:rPr>
            </w:pPr>
            <w:r w:rsidRPr="00E02E5A">
              <w:rPr>
                <w:rFonts w:ascii="Times New Roman" w:hAnsi="Times New Roman"/>
                <w:b/>
                <w:i/>
                <w:sz w:val="24"/>
              </w:rPr>
              <w:t>Totals</w:t>
            </w:r>
          </w:p>
        </w:tc>
        <w:tc>
          <w:tcPr>
            <w:tcW w:w="1530" w:type="dxa"/>
          </w:tcPr>
          <w:p w14:paraId="4D6E12DF" w14:textId="39C61631" w:rsidR="00D27168" w:rsidRPr="00E02E5A" w:rsidRDefault="00762931" w:rsidP="0076293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outlineLvl w:val="9"/>
              <w:rPr>
                <w:b/>
                <w:i/>
              </w:rPr>
            </w:pPr>
            <w:r w:rsidRPr="00E02E5A">
              <w:rPr>
                <w:b/>
                <w:i/>
              </w:rPr>
              <w:t>--</w:t>
            </w:r>
          </w:p>
        </w:tc>
        <w:tc>
          <w:tcPr>
            <w:tcW w:w="1350" w:type="dxa"/>
          </w:tcPr>
          <w:p w14:paraId="12D6D659" w14:textId="0D96FB94" w:rsidR="00D27168" w:rsidRPr="00E02E5A" w:rsidRDefault="00995C33" w:rsidP="00762931">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rPr>
                <w:b/>
                <w:i/>
              </w:rPr>
            </w:pPr>
            <w:r w:rsidRPr="00E02E5A">
              <w:rPr>
                <w:b/>
                <w:i/>
              </w:rPr>
              <w:t>Varies</w:t>
            </w:r>
          </w:p>
        </w:tc>
        <w:tc>
          <w:tcPr>
            <w:tcW w:w="1350" w:type="dxa"/>
          </w:tcPr>
          <w:p w14:paraId="56E9C5EF" w14:textId="5D761AF1" w:rsidR="00D27168" w:rsidRPr="00E02E5A" w:rsidRDefault="00995C33" w:rsidP="00E02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i/>
                <w:sz w:val="24"/>
              </w:rPr>
            </w:pPr>
            <w:r w:rsidRPr="00E02E5A">
              <w:rPr>
                <w:rFonts w:ascii="Times New Roman" w:hAnsi="Times New Roman"/>
                <w:b/>
                <w:i/>
                <w:sz w:val="24"/>
              </w:rPr>
              <w:t>20,</w:t>
            </w:r>
            <w:r w:rsidR="00E02E5A" w:rsidRPr="00E02E5A">
              <w:rPr>
                <w:rFonts w:ascii="Times New Roman" w:hAnsi="Times New Roman"/>
                <w:b/>
                <w:i/>
                <w:sz w:val="24"/>
              </w:rPr>
              <w:t>446</w:t>
            </w:r>
          </w:p>
        </w:tc>
        <w:tc>
          <w:tcPr>
            <w:tcW w:w="1260" w:type="dxa"/>
          </w:tcPr>
          <w:p w14:paraId="615B451A" w14:textId="50F218D7" w:rsidR="00D27168" w:rsidRPr="00E02E5A" w:rsidRDefault="00762931"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i/>
                <w:sz w:val="24"/>
              </w:rPr>
            </w:pPr>
            <w:r w:rsidRPr="00E02E5A">
              <w:rPr>
                <w:rFonts w:ascii="Times New Roman" w:hAnsi="Times New Roman"/>
                <w:b/>
                <w:i/>
                <w:sz w:val="24"/>
              </w:rPr>
              <w:t>--</w:t>
            </w:r>
          </w:p>
        </w:tc>
        <w:tc>
          <w:tcPr>
            <w:tcW w:w="990" w:type="dxa"/>
          </w:tcPr>
          <w:p w14:paraId="0576EA23" w14:textId="6D925CD1" w:rsidR="00D27168" w:rsidRPr="00E02E5A" w:rsidRDefault="00860487" w:rsidP="00E02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i/>
                <w:sz w:val="24"/>
              </w:rPr>
            </w:pPr>
            <w:r w:rsidRPr="00E02E5A">
              <w:rPr>
                <w:rFonts w:ascii="Times New Roman" w:hAnsi="Times New Roman"/>
                <w:b/>
                <w:i/>
                <w:sz w:val="24"/>
              </w:rPr>
              <w:t>2</w:t>
            </w:r>
            <w:r w:rsidR="00E02E5A">
              <w:rPr>
                <w:rFonts w:ascii="Times New Roman" w:hAnsi="Times New Roman"/>
                <w:b/>
                <w:i/>
                <w:sz w:val="24"/>
              </w:rPr>
              <w:t>8,050</w:t>
            </w:r>
          </w:p>
        </w:tc>
        <w:tc>
          <w:tcPr>
            <w:tcW w:w="1080" w:type="dxa"/>
          </w:tcPr>
          <w:p w14:paraId="3E010593" w14:textId="61F6D8C3" w:rsidR="00D27168" w:rsidRPr="00E02E5A" w:rsidRDefault="00762931" w:rsidP="00762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i/>
                <w:sz w:val="24"/>
              </w:rPr>
            </w:pPr>
            <w:r w:rsidRPr="00E02E5A">
              <w:rPr>
                <w:rFonts w:ascii="Times New Roman" w:hAnsi="Times New Roman"/>
                <w:b/>
                <w:i/>
                <w:sz w:val="24"/>
              </w:rPr>
              <w:t>--</w:t>
            </w:r>
          </w:p>
        </w:tc>
        <w:tc>
          <w:tcPr>
            <w:tcW w:w="1620" w:type="dxa"/>
          </w:tcPr>
          <w:p w14:paraId="483FAF78" w14:textId="0E9C3AFA" w:rsidR="00D27168" w:rsidRPr="00E02E5A" w:rsidRDefault="00860487" w:rsidP="00A00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b/>
                <w:i/>
                <w:sz w:val="24"/>
              </w:rPr>
            </w:pPr>
            <w:r w:rsidRPr="00E02E5A">
              <w:rPr>
                <w:rFonts w:ascii="Times New Roman" w:hAnsi="Times New Roman"/>
                <w:b/>
                <w:i/>
                <w:sz w:val="24"/>
              </w:rPr>
              <w:t>$</w:t>
            </w:r>
            <w:r w:rsidR="00212222" w:rsidRPr="00E02E5A">
              <w:rPr>
                <w:rFonts w:ascii="Times New Roman" w:hAnsi="Times New Roman"/>
                <w:b/>
                <w:i/>
                <w:sz w:val="24"/>
              </w:rPr>
              <w:t>3</w:t>
            </w:r>
            <w:r w:rsidR="00072F47" w:rsidRPr="00E02E5A">
              <w:rPr>
                <w:rFonts w:ascii="Times New Roman" w:hAnsi="Times New Roman"/>
                <w:b/>
                <w:i/>
                <w:sz w:val="24"/>
              </w:rPr>
              <w:t>6</w:t>
            </w:r>
            <w:r w:rsidR="00A005FC">
              <w:rPr>
                <w:rFonts w:ascii="Times New Roman" w:hAnsi="Times New Roman"/>
                <w:b/>
                <w:i/>
                <w:sz w:val="24"/>
              </w:rPr>
              <w:t>7</w:t>
            </w:r>
            <w:r w:rsidR="00072F47" w:rsidRPr="00E02E5A">
              <w:rPr>
                <w:rFonts w:ascii="Times New Roman" w:hAnsi="Times New Roman"/>
                <w:b/>
                <w:i/>
                <w:sz w:val="24"/>
              </w:rPr>
              <w:t>,</w:t>
            </w:r>
            <w:r w:rsidR="00A005FC">
              <w:rPr>
                <w:rFonts w:ascii="Times New Roman" w:hAnsi="Times New Roman"/>
                <w:b/>
                <w:i/>
                <w:sz w:val="24"/>
              </w:rPr>
              <w:t>079.66</w:t>
            </w:r>
          </w:p>
        </w:tc>
      </w:tr>
    </w:tbl>
    <w:p w14:paraId="2C5991F0" w14:textId="78AD2B95" w:rsidR="00035B4C" w:rsidRDefault="00635C5A" w:rsidP="00635C5A">
      <w:r w:rsidRPr="00E02E5A">
        <w:rPr>
          <w:sz w:val="24"/>
          <w:szCs w:val="24"/>
        </w:rPr>
        <w:t>*</w:t>
      </w:r>
      <w:r w:rsidRPr="00E02E5A">
        <w:rPr>
          <w:rFonts w:ascii="Times New Roman" w:hAnsi="Times New Roman"/>
        </w:rPr>
        <w:t>Hourly rates used to calculate cost depend upon the type of organization administering the program.  For private non-profit grantees, the hourly rate is the average hourly e</w:t>
      </w:r>
      <w:r w:rsidRPr="00635C5A">
        <w:rPr>
          <w:rFonts w:ascii="Times New Roman" w:hAnsi="Times New Roman"/>
        </w:rPr>
        <w:t xml:space="preserve">arnings in the Census Bureau’s social assistance industry category April 2018, Current Employment Statistics Survey, U.S. Census Bureau).  Source: </w:t>
      </w:r>
      <w:hyperlink r:id="rId9" w:history="1">
        <w:r w:rsidRPr="00635C5A">
          <w:rPr>
            <w:rStyle w:val="Hyperlink"/>
            <w:rFonts w:ascii="Times New Roman" w:hAnsi="Times New Roman"/>
          </w:rPr>
          <w:t>http://www.bls.gov/web/empsit/ceseeb8a.htm</w:t>
        </w:r>
      </w:hyperlink>
      <w:r w:rsidRPr="00635C5A">
        <w:rPr>
          <w:rFonts w:ascii="Times New Roman" w:hAnsi="Times New Roman"/>
        </w:rPr>
        <w:t>.  The participant burden is based on the current federal minimum wage.</w:t>
      </w:r>
    </w:p>
    <w:p w14:paraId="4A0A3A0C" w14:textId="77777777" w:rsidR="00635C5A" w:rsidRPr="00635C5A" w:rsidRDefault="00635C5A" w:rsidP="00CE42B5">
      <w:pPr>
        <w:rPr>
          <w:sz w:val="24"/>
          <w:szCs w:val="24"/>
        </w:rPr>
      </w:pPr>
    </w:p>
    <w:p w14:paraId="579536B9" w14:textId="77777777" w:rsidR="00482627" w:rsidRDefault="00482627" w:rsidP="00482627">
      <w:pPr>
        <w:rPr>
          <w:rFonts w:ascii="Times New Roman" w:hAnsi="Times New Roman"/>
          <w:sz w:val="24"/>
          <w:szCs w:val="24"/>
        </w:rPr>
      </w:pPr>
      <w:r w:rsidRPr="00433410">
        <w:rPr>
          <w:rFonts w:ascii="Times New Roman" w:hAnsi="Times New Roman"/>
          <w:i/>
          <w:sz w:val="24"/>
          <w:szCs w:val="24"/>
        </w:rPr>
        <w:t>13.</w:t>
      </w:r>
      <w:r w:rsidRPr="00433410">
        <w:rPr>
          <w:rFonts w:ascii="Times New Roman" w:hAnsi="Times New Roman"/>
          <w:i/>
          <w:sz w:val="24"/>
          <w:szCs w:val="24"/>
        </w:rPr>
        <w:tab/>
        <w:t>Provide an estimate of the total annual cost burden to respondents or record keepers resulting from the collection of information.  (Do not include the cost of any hour burden shown in Items 12 and 14).</w:t>
      </w:r>
    </w:p>
    <w:bookmarkEnd w:id="20"/>
    <w:p w14:paraId="3E19860E" w14:textId="77777777" w:rsidR="00E71A3D" w:rsidRDefault="00E71A3D">
      <w:pPr>
        <w:jc w:val="both"/>
        <w:rPr>
          <w:rFonts w:ascii="Times New Roman" w:hAnsi="Times New Roman"/>
          <w:b/>
        </w:rPr>
      </w:pPr>
    </w:p>
    <w:p w14:paraId="7438A1D2" w14:textId="77777777" w:rsidR="008C407C" w:rsidRDefault="00E71A3D" w:rsidP="008C407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Start-up/capital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start-up cost</w:t>
      </w:r>
      <w:r w:rsidR="008C407C">
        <w:rPr>
          <w:rFonts w:ascii="Times New Roman" w:hAnsi="Times New Roman"/>
          <w:sz w:val="24"/>
        </w:rPr>
        <w:t>s, as</w:t>
      </w:r>
      <w:r>
        <w:rPr>
          <w:rFonts w:ascii="Times New Roman" w:hAnsi="Times New Roman"/>
          <w:sz w:val="24"/>
        </w:rPr>
        <w:t xml:space="preserve"> ETA </w:t>
      </w:r>
      <w:r w:rsidR="007E02BA">
        <w:rPr>
          <w:rFonts w:ascii="Times New Roman" w:hAnsi="Times New Roman"/>
          <w:sz w:val="24"/>
        </w:rPr>
        <w:t>provides</w:t>
      </w:r>
      <w:r>
        <w:rPr>
          <w:rFonts w:ascii="Times New Roman" w:hAnsi="Times New Roman"/>
          <w:sz w:val="24"/>
        </w:rPr>
        <w:t xml:space="preserve"> grantees with a free, web-based, data collection and reporting system that grantees will use to collect and maintain participant data, apply edit checks to the data, and generate the quarterly reports. </w:t>
      </w:r>
    </w:p>
    <w:p w14:paraId="3BA4F438" w14:textId="77777777" w:rsidR="00E71A3D" w:rsidRDefault="00E71A3D" w:rsidP="008C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Pr>
          <w:rFonts w:ascii="Times New Roman" w:hAnsi="Times New Roman"/>
          <w:sz w:val="24"/>
        </w:rPr>
        <w:t xml:space="preserve"> </w:t>
      </w:r>
    </w:p>
    <w:p w14:paraId="4239D6CB" w14:textId="77777777" w:rsidR="00E71A3D" w:rsidRDefault="00E71A3D" w:rsidP="008C407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Annual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annual </w:t>
      </w:r>
      <w:r w:rsidR="008C407C">
        <w:rPr>
          <w:rFonts w:ascii="Times New Roman" w:hAnsi="Times New Roman"/>
          <w:sz w:val="24"/>
        </w:rPr>
        <w:t xml:space="preserve">costs, as ETA </w:t>
      </w:r>
      <w:r w:rsidR="00EB1220">
        <w:rPr>
          <w:rFonts w:ascii="Times New Roman" w:hAnsi="Times New Roman"/>
          <w:sz w:val="24"/>
        </w:rPr>
        <w:t xml:space="preserve">is </w:t>
      </w:r>
      <w:r w:rsidR="008C407C">
        <w:rPr>
          <w:rFonts w:ascii="Times New Roman" w:hAnsi="Times New Roman"/>
          <w:sz w:val="24"/>
        </w:rPr>
        <w:t>responsible for the annual maintenance costs for the free, web-based, data collection and reporting system.</w:t>
      </w:r>
      <w:r>
        <w:rPr>
          <w:rFonts w:ascii="Times New Roman" w:hAnsi="Times New Roman"/>
          <w:sz w:val="24"/>
        </w:rPr>
        <w:t xml:space="preserve">  </w:t>
      </w:r>
    </w:p>
    <w:p w14:paraId="4385F765" w14:textId="26ABF141" w:rsidR="009E568D" w:rsidRPr="00A42674" w:rsidRDefault="009E568D" w:rsidP="00A42674">
      <w:pPr>
        <w:rPr>
          <w:rFonts w:ascii="Times New Roman" w:hAnsi="Times New Roman"/>
          <w:sz w:val="24"/>
          <w:szCs w:val="24"/>
        </w:rPr>
      </w:pPr>
      <w:bookmarkStart w:id="21" w:name="_Toc76458995"/>
    </w:p>
    <w:p w14:paraId="375ECEC6" w14:textId="77777777" w:rsidR="003B2AD9" w:rsidRDefault="003B2AD9" w:rsidP="003B2AD9">
      <w:pPr>
        <w:widowControl/>
        <w:rPr>
          <w:rFonts w:ascii="Times New Roman" w:hAnsi="Times New Roman"/>
          <w:sz w:val="24"/>
          <w:szCs w:val="24"/>
        </w:rPr>
      </w:pPr>
      <w:r w:rsidRPr="00433410">
        <w:rPr>
          <w:rFonts w:ascii="Times New Roman" w:hAnsi="Times New Roman"/>
          <w:i/>
          <w:sz w:val="24"/>
          <w:szCs w:val="24"/>
        </w:rPr>
        <w:t>14.</w:t>
      </w:r>
      <w:r w:rsidRPr="00433410">
        <w:rPr>
          <w:rFonts w:ascii="Times New Roman" w:hAnsi="Times New Roman"/>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B2F57B9" w14:textId="77777777" w:rsidR="003B2AD9" w:rsidRPr="00433410" w:rsidRDefault="003B2AD9" w:rsidP="003B2AD9">
      <w:pPr>
        <w:rPr>
          <w:sz w:val="24"/>
          <w:szCs w:val="24"/>
        </w:rPr>
      </w:pPr>
    </w:p>
    <w:p w14:paraId="72452D38" w14:textId="77777777" w:rsidR="003B2AD9" w:rsidRDefault="003B2AD9" w:rsidP="003B2AD9">
      <w:pPr>
        <w:rPr>
          <w:rFonts w:ascii="Times New Roman" w:hAnsi="Times New Roman"/>
          <w:sz w:val="24"/>
          <w:szCs w:val="24"/>
        </w:rPr>
      </w:pPr>
      <w:r w:rsidRPr="00224228">
        <w:rPr>
          <w:rFonts w:ascii="Times New Roman" w:hAnsi="Times New Roman"/>
          <w:sz w:val="24"/>
          <w:szCs w:val="24"/>
        </w:rPr>
        <w:t>The annual cost of maintaining the system and providing training and technical assistance to grantees for using the system, including contractor and DOL staff time</w:t>
      </w:r>
      <w:r>
        <w:rPr>
          <w:rFonts w:ascii="Times New Roman" w:hAnsi="Times New Roman"/>
          <w:sz w:val="24"/>
          <w:szCs w:val="24"/>
        </w:rPr>
        <w:t>,</w:t>
      </w:r>
      <w:r w:rsidRPr="00224228">
        <w:rPr>
          <w:rFonts w:ascii="Times New Roman" w:hAnsi="Times New Roman"/>
          <w:sz w:val="24"/>
          <w:szCs w:val="24"/>
        </w:rPr>
        <w:t xml:space="preserve"> is estimated to be $3</w:t>
      </w:r>
      <w:r w:rsidRPr="00DE40AA">
        <w:rPr>
          <w:rFonts w:ascii="Times New Roman" w:hAnsi="Times New Roman"/>
          <w:sz w:val="24"/>
          <w:szCs w:val="24"/>
        </w:rPr>
        <w:t>9</w:t>
      </w:r>
      <w:r w:rsidRPr="00224228">
        <w:rPr>
          <w:rFonts w:ascii="Times New Roman" w:hAnsi="Times New Roman"/>
          <w:sz w:val="24"/>
          <w:szCs w:val="24"/>
        </w:rPr>
        <w:t>0,000.  </w:t>
      </w:r>
    </w:p>
    <w:p w14:paraId="420ED07E" w14:textId="184172E8" w:rsidR="00762931" w:rsidRPr="00635C5A" w:rsidRDefault="00762931" w:rsidP="003B2AD9">
      <w:pPr>
        <w:rPr>
          <w:rFonts w:ascii="Times New Roman" w:hAnsi="Times New Roman"/>
          <w:sz w:val="24"/>
          <w:szCs w:val="24"/>
        </w:rPr>
      </w:pPr>
    </w:p>
    <w:p w14:paraId="7B120392" w14:textId="77777777" w:rsidR="003B2AD9" w:rsidRDefault="003B2AD9" w:rsidP="003B2AD9">
      <w:pPr>
        <w:rPr>
          <w:rFonts w:ascii="Times New Roman" w:hAnsi="Times New Roman"/>
          <w:i/>
          <w:sz w:val="24"/>
          <w:szCs w:val="24"/>
        </w:rPr>
      </w:pPr>
      <w:r w:rsidRPr="00433410">
        <w:rPr>
          <w:rFonts w:ascii="Times New Roman" w:hAnsi="Times New Roman"/>
          <w:i/>
          <w:sz w:val="24"/>
          <w:szCs w:val="24"/>
        </w:rPr>
        <w:t>15.</w:t>
      </w:r>
      <w:r w:rsidRPr="00433410">
        <w:rPr>
          <w:rFonts w:ascii="Times New Roman" w:hAnsi="Times New Roman"/>
          <w:i/>
          <w:sz w:val="24"/>
          <w:szCs w:val="24"/>
        </w:rPr>
        <w:tab/>
        <w:t>Explain the reasons for any program changes or adjustments.</w:t>
      </w:r>
    </w:p>
    <w:p w14:paraId="7D1FEF79" w14:textId="77777777" w:rsidR="003B2AD9" w:rsidRDefault="003B2AD9" w:rsidP="003B2AD9">
      <w:pPr>
        <w:rPr>
          <w:rFonts w:ascii="Times New Roman" w:hAnsi="Times New Roman"/>
          <w:sz w:val="24"/>
          <w:szCs w:val="24"/>
        </w:rPr>
      </w:pPr>
    </w:p>
    <w:p w14:paraId="39FEA013" w14:textId="2DB837A1" w:rsidR="003B2AD9" w:rsidRDefault="003B2AD9" w:rsidP="003B2AD9">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7F14F8">
        <w:rPr>
          <w:rFonts w:ascii="Times New Roman" w:hAnsi="Times New Roman"/>
          <w:szCs w:val="24"/>
        </w:rPr>
        <w:t xml:space="preserve">The change in burden is due to an increase in </w:t>
      </w:r>
      <w:r w:rsidR="005618B0">
        <w:rPr>
          <w:rFonts w:ascii="Times New Roman" w:hAnsi="Times New Roman"/>
          <w:szCs w:val="24"/>
        </w:rPr>
        <w:t>the number of adult offenders served b</w:t>
      </w:r>
      <w:r>
        <w:rPr>
          <w:rFonts w:ascii="Times New Roman" w:hAnsi="Times New Roman"/>
          <w:szCs w:val="24"/>
        </w:rPr>
        <w:t xml:space="preserve">ecause </w:t>
      </w:r>
      <w:r w:rsidRPr="00F44553">
        <w:t xml:space="preserve">DOL is </w:t>
      </w:r>
      <w:r>
        <w:t xml:space="preserve">currently </w:t>
      </w:r>
      <w:r w:rsidRPr="00F44553">
        <w:t>awarding a larger number of adult versus juvenile offender grants</w:t>
      </w:r>
      <w:r>
        <w:rPr>
          <w:rFonts w:ascii="Times New Roman" w:hAnsi="Times New Roman"/>
          <w:szCs w:val="24"/>
        </w:rPr>
        <w:t xml:space="preserve"> and to the addition of </w:t>
      </w:r>
      <w:r w:rsidR="00997A3E">
        <w:rPr>
          <w:rFonts w:ascii="Times New Roman" w:hAnsi="Times New Roman"/>
          <w:szCs w:val="24"/>
        </w:rPr>
        <w:t xml:space="preserve">the </w:t>
      </w:r>
      <w:r w:rsidR="00067E3F">
        <w:rPr>
          <w:rFonts w:ascii="Times New Roman" w:hAnsi="Times New Roman"/>
          <w:szCs w:val="24"/>
        </w:rPr>
        <w:t>eight</w:t>
      </w:r>
      <w:r w:rsidR="00997A3E">
        <w:rPr>
          <w:rFonts w:ascii="Times New Roman" w:hAnsi="Times New Roman"/>
          <w:szCs w:val="24"/>
        </w:rPr>
        <w:t xml:space="preserve"> </w:t>
      </w:r>
      <w:r>
        <w:rPr>
          <w:rFonts w:ascii="Times New Roman" w:hAnsi="Times New Roman"/>
          <w:szCs w:val="24"/>
        </w:rPr>
        <w:t xml:space="preserve">data items </w:t>
      </w:r>
      <w:r w:rsidR="00997A3E">
        <w:rPr>
          <w:rFonts w:ascii="Times New Roman" w:hAnsi="Times New Roman"/>
          <w:szCs w:val="24"/>
        </w:rPr>
        <w:t>listed above.</w:t>
      </w:r>
      <w:r>
        <w:rPr>
          <w:rFonts w:ascii="Times New Roman" w:hAnsi="Times New Roman"/>
          <w:szCs w:val="24"/>
        </w:rPr>
        <w:t xml:space="preserve"> </w:t>
      </w:r>
    </w:p>
    <w:p w14:paraId="125AA1D2" w14:textId="77777777" w:rsidR="003B2AD9" w:rsidRPr="00DE40AA" w:rsidRDefault="003B2AD9" w:rsidP="003B2AD9">
      <w:pPr>
        <w:rPr>
          <w:rFonts w:ascii="Times New Roman" w:hAnsi="Times New Roman"/>
          <w:sz w:val="24"/>
          <w:szCs w:val="24"/>
        </w:rPr>
      </w:pPr>
    </w:p>
    <w:p w14:paraId="42F9BCF5" w14:textId="77777777" w:rsidR="003B2AD9" w:rsidRDefault="003B2AD9" w:rsidP="003B2A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433410">
        <w:rPr>
          <w:rFonts w:ascii="Times New Roman" w:hAnsi="Times New Roman"/>
          <w:i/>
          <w:color w:val="000000"/>
          <w:sz w:val="24"/>
        </w:rPr>
        <w:t>16.</w:t>
      </w:r>
      <w:r w:rsidRPr="00433410">
        <w:rPr>
          <w:rFonts w:ascii="Times New Roman" w:hAnsi="Times New Roman"/>
          <w:i/>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1D2E70A" w14:textId="77777777" w:rsidR="003B2AD9" w:rsidRPr="00433410" w:rsidRDefault="003B2AD9" w:rsidP="003B2AD9">
      <w:pPr>
        <w:widowControl/>
        <w:tabs>
          <w:tab w:val="left" w:pos="5130"/>
          <w:tab w:val="left" w:pos="9360"/>
          <w:tab w:val="left" w:pos="9900"/>
        </w:tabs>
        <w:spacing w:line="224" w:lineRule="auto"/>
        <w:ind w:right="2040"/>
        <w:jc w:val="both"/>
        <w:rPr>
          <w:rFonts w:ascii="Times New Roman" w:hAnsi="Times New Roman"/>
          <w:color w:val="000000"/>
          <w:sz w:val="24"/>
          <w:szCs w:val="24"/>
        </w:rPr>
      </w:pPr>
    </w:p>
    <w:p w14:paraId="12F60A8E" w14:textId="0DDB23B0" w:rsidR="003B2AD9" w:rsidRDefault="003B2AD9" w:rsidP="003B2AD9">
      <w:pPr>
        <w:pStyle w:val="Heading6"/>
        <w:tabs>
          <w:tab w:val="clear" w:pos="432"/>
          <w:tab w:val="left" w:pos="5130"/>
          <w:tab w:val="left" w:pos="9360"/>
          <w:tab w:val="left" w:pos="9900"/>
        </w:tabs>
        <w:autoSpaceDE w:val="0"/>
        <w:autoSpaceDN w:val="0"/>
        <w:adjustRightInd w:val="0"/>
        <w:spacing w:line="223" w:lineRule="auto"/>
        <w:jc w:val="left"/>
      </w:pPr>
      <w:r>
        <w:rPr>
          <w:color w:val="000000"/>
        </w:rPr>
        <w:t>As required under WIOA Regulations at 683.300 (e)(2), g</w:t>
      </w:r>
      <w:r w:rsidRPr="005A7543">
        <w:rPr>
          <w:color w:val="000000"/>
        </w:rPr>
        <w:t xml:space="preserve">rantees will </w:t>
      </w:r>
      <w:r>
        <w:rPr>
          <w:color w:val="000000"/>
        </w:rPr>
        <w:t xml:space="preserve">continue to </w:t>
      </w:r>
      <w:r w:rsidRPr="005A7543">
        <w:rPr>
          <w:color w:val="000000"/>
        </w:rPr>
        <w:t xml:space="preserve">submit MIS performance reports on a quarterly basis to ETA within </w:t>
      </w:r>
      <w:r>
        <w:rPr>
          <w:color w:val="000000"/>
        </w:rPr>
        <w:t>45</w:t>
      </w:r>
      <w:r w:rsidRPr="005A7543">
        <w:rPr>
          <w:color w:val="000000"/>
        </w:rPr>
        <w:t xml:space="preserve"> days of</w:t>
      </w:r>
      <w:r>
        <w:t xml:space="preserve"> the end of each quarter.  ETA will aggregate the data provided by grantees in their reports and prepare quarterly reports showing the demographics and key outcomes of participants served by youthful offender grants.  The quarterly reports prepared by ETA are available to the public on ETA’s web site.  ETA will also use the quarterly reports submitted by grantees to provide the number of participants served and key outcomes of youth offender grants in the annual budget request submitted to Congress.  ETA’s portion of the annual budget request is available to the public on ETA’s web site.  No complex analytical techniques are contemplated.</w:t>
      </w:r>
    </w:p>
    <w:p w14:paraId="03FFAB9B" w14:textId="77777777" w:rsidR="003B2AD9" w:rsidRPr="00433410" w:rsidRDefault="003B2AD9" w:rsidP="003B2AD9">
      <w:pPr>
        <w:pStyle w:val="Heading2"/>
        <w:keepNext w:val="0"/>
        <w:widowControl/>
        <w:jc w:val="both"/>
        <w:rPr>
          <w:rFonts w:ascii="Times New Roman" w:hAnsi="Times New Roman" w:cs="Times New Roman"/>
          <w:b/>
          <w:i w:val="0"/>
          <w:sz w:val="24"/>
        </w:rPr>
      </w:pPr>
    </w:p>
    <w:p w14:paraId="0266FE67" w14:textId="77777777" w:rsidR="003B2AD9" w:rsidRPr="00433410" w:rsidRDefault="003B2AD9" w:rsidP="003B2AD9">
      <w:pPr>
        <w:rPr>
          <w:rFonts w:ascii="Times New Roman" w:hAnsi="Times New Roman"/>
          <w:sz w:val="24"/>
          <w:szCs w:val="24"/>
        </w:rPr>
      </w:pPr>
      <w:r w:rsidRPr="00433410">
        <w:rPr>
          <w:rFonts w:ascii="Times New Roman" w:hAnsi="Times New Roman"/>
          <w:i/>
          <w:sz w:val="24"/>
          <w:szCs w:val="24"/>
        </w:rPr>
        <w:t>17.</w:t>
      </w:r>
      <w:r w:rsidRPr="00433410">
        <w:rPr>
          <w:rFonts w:ascii="Times New Roman" w:hAnsi="Times New Roman"/>
          <w:i/>
          <w:sz w:val="24"/>
          <w:szCs w:val="24"/>
        </w:rPr>
        <w:tab/>
        <w:t>If seeking approval to not display the expiration date for OMB approval of the information collection, explain the reasons that display would be inappropriate.</w:t>
      </w:r>
    </w:p>
    <w:p w14:paraId="443A6586" w14:textId="77777777" w:rsidR="003B2AD9" w:rsidRPr="00433410" w:rsidRDefault="003B2AD9" w:rsidP="003B2AD9">
      <w:pPr>
        <w:widowControl/>
        <w:jc w:val="both"/>
        <w:rPr>
          <w:rFonts w:ascii="Times New Roman" w:hAnsi="Times New Roman"/>
          <w:b/>
          <w:sz w:val="24"/>
          <w:szCs w:val="24"/>
        </w:rPr>
      </w:pPr>
    </w:p>
    <w:p w14:paraId="0F5590B0" w14:textId="77777777" w:rsidR="003B2AD9" w:rsidRDefault="003B2AD9" w:rsidP="003B2AD9">
      <w:pPr>
        <w:widowControl/>
        <w:tabs>
          <w:tab w:val="left" w:pos="9360"/>
          <w:tab w:val="left" w:pos="9900"/>
        </w:tabs>
        <w:spacing w:line="224" w:lineRule="auto"/>
        <w:rPr>
          <w:rFonts w:ascii="Times New Roman" w:hAnsi="Times New Roman"/>
          <w:sz w:val="24"/>
        </w:rPr>
      </w:pPr>
      <w:r>
        <w:rPr>
          <w:rFonts w:ascii="Times New Roman" w:hAnsi="Times New Roman"/>
          <w:sz w:val="24"/>
        </w:rPr>
        <w:t xml:space="preserve">The expiration date for OMB approval will be displayed.  We are not seeking approval to have this concealed.  </w:t>
      </w:r>
    </w:p>
    <w:p w14:paraId="609C7399" w14:textId="77777777" w:rsidR="003B2AD9" w:rsidRDefault="003B2AD9" w:rsidP="003B2AD9">
      <w:pPr>
        <w:widowControl/>
        <w:tabs>
          <w:tab w:val="left" w:pos="9360"/>
          <w:tab w:val="left" w:pos="9900"/>
        </w:tabs>
        <w:spacing w:line="224" w:lineRule="auto"/>
        <w:rPr>
          <w:rFonts w:ascii="Times New Roman" w:hAnsi="Times New Roman"/>
          <w:sz w:val="24"/>
        </w:rPr>
      </w:pPr>
    </w:p>
    <w:p w14:paraId="6D0B8F3E" w14:textId="0BB167B6" w:rsidR="003B2AD9" w:rsidRDefault="003B2AD9" w:rsidP="003B2AD9">
      <w:pPr>
        <w:widowControl/>
        <w:tabs>
          <w:tab w:val="left" w:pos="9360"/>
          <w:tab w:val="left" w:pos="9900"/>
        </w:tabs>
        <w:spacing w:line="224" w:lineRule="auto"/>
        <w:rPr>
          <w:rFonts w:ascii="Times New Roman" w:hAnsi="Times New Roman"/>
          <w:sz w:val="24"/>
        </w:rPr>
      </w:pPr>
      <w:r w:rsidRPr="00DE40AA">
        <w:rPr>
          <w:rFonts w:ascii="Times New Roman" w:hAnsi="Times New Roman"/>
          <w:i/>
          <w:sz w:val="24"/>
        </w:rPr>
        <w:t>18.</w:t>
      </w:r>
      <w:r>
        <w:rPr>
          <w:rFonts w:ascii="Times New Roman" w:hAnsi="Times New Roman"/>
          <w:sz w:val="24"/>
        </w:rPr>
        <w:t xml:space="preserve">      </w:t>
      </w:r>
      <w:r w:rsidRPr="00DE40AA">
        <w:rPr>
          <w:rFonts w:ascii="Times New Roman" w:hAnsi="Times New Roman"/>
          <w:i/>
          <w:sz w:val="24"/>
        </w:rPr>
        <w:t>Explain each exception to the topics of the certification statement identified in “Certification for Pape</w:t>
      </w:r>
      <w:r w:rsidR="003D6B32">
        <w:rPr>
          <w:rFonts w:ascii="Times New Roman" w:hAnsi="Times New Roman"/>
          <w:i/>
          <w:sz w:val="24"/>
        </w:rPr>
        <w:t>rwork Reduction Act Submissions.</w:t>
      </w:r>
      <w:r w:rsidRPr="00DE40AA">
        <w:rPr>
          <w:rFonts w:ascii="Times New Roman" w:hAnsi="Times New Roman"/>
          <w:i/>
          <w:sz w:val="24"/>
        </w:rPr>
        <w:t>”</w:t>
      </w:r>
    </w:p>
    <w:p w14:paraId="6F83357B" w14:textId="77777777" w:rsidR="003B2AD9" w:rsidRDefault="003B2AD9" w:rsidP="003B2AD9">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7A7A88C" w14:textId="6223902A" w:rsidR="003B2AD9" w:rsidRDefault="003B2AD9" w:rsidP="003B2AD9">
      <w:pPr>
        <w:widowControl/>
        <w:tabs>
          <w:tab w:val="left" w:pos="9360"/>
          <w:tab w:val="left" w:pos="9900"/>
        </w:tabs>
        <w:jc w:val="both"/>
        <w:rPr>
          <w:rFonts w:ascii="Times New Roman" w:hAnsi="Times New Roman"/>
          <w:sz w:val="24"/>
        </w:rPr>
      </w:pPr>
      <w:r>
        <w:rPr>
          <w:rFonts w:ascii="Times New Roman" w:hAnsi="Times New Roman"/>
          <w:sz w:val="24"/>
        </w:rPr>
        <w:t>No exceptions are requeste</w:t>
      </w:r>
      <w:r w:rsidR="003D6B32">
        <w:rPr>
          <w:rFonts w:ascii="Times New Roman" w:hAnsi="Times New Roman"/>
          <w:sz w:val="24"/>
        </w:rPr>
        <w:t>d.</w:t>
      </w:r>
    </w:p>
    <w:p w14:paraId="15F9B5E3" w14:textId="116F9270" w:rsidR="003B2AD9" w:rsidRDefault="003B2AD9" w:rsidP="003B2AD9">
      <w:pPr>
        <w:widowControl/>
        <w:tabs>
          <w:tab w:val="left" w:pos="9360"/>
          <w:tab w:val="left" w:pos="9900"/>
        </w:tabs>
        <w:jc w:val="both"/>
        <w:rPr>
          <w:rFonts w:ascii="Times New Roman" w:hAnsi="Times New Roman"/>
          <w:sz w:val="24"/>
        </w:rPr>
      </w:pPr>
    </w:p>
    <w:p w14:paraId="00519EBE" w14:textId="4F37400F" w:rsidR="003D6B32" w:rsidRDefault="003D6B32" w:rsidP="003B2AD9">
      <w:pPr>
        <w:widowControl/>
        <w:tabs>
          <w:tab w:val="left" w:pos="9360"/>
          <w:tab w:val="left" w:pos="9900"/>
        </w:tabs>
        <w:jc w:val="both"/>
        <w:rPr>
          <w:rFonts w:ascii="Times New Roman" w:hAnsi="Times New Roman"/>
          <w:sz w:val="24"/>
        </w:rPr>
      </w:pPr>
    </w:p>
    <w:p w14:paraId="6D620ECE" w14:textId="77777777" w:rsidR="003D6B32" w:rsidRPr="003D6B32" w:rsidRDefault="003D6B32" w:rsidP="003D6B32">
      <w:pPr>
        <w:widowControl/>
        <w:tabs>
          <w:tab w:val="right" w:pos="360"/>
        </w:tabs>
        <w:autoSpaceDE/>
        <w:autoSpaceDN/>
        <w:adjustRightInd/>
        <w:ind w:left="540" w:hanging="540"/>
        <w:rPr>
          <w:rFonts w:ascii="Times New Roman" w:hAnsi="Times New Roman"/>
          <w:i/>
          <w:sz w:val="24"/>
          <w:szCs w:val="24"/>
        </w:rPr>
      </w:pPr>
      <w:r w:rsidRPr="003D6B32">
        <w:rPr>
          <w:rFonts w:ascii="Times New Roman" w:hAnsi="Times New Roman"/>
          <w:b/>
          <w:sz w:val="24"/>
          <w:szCs w:val="24"/>
        </w:rPr>
        <w:t xml:space="preserve">B. </w:t>
      </w:r>
      <w:r w:rsidRPr="003D6B32">
        <w:rPr>
          <w:rFonts w:ascii="Times New Roman" w:hAnsi="Times New Roman"/>
          <w:b/>
          <w:sz w:val="24"/>
          <w:szCs w:val="24"/>
        </w:rPr>
        <w:tab/>
        <w:t>Collections of Information Employing Statistical Methods</w:t>
      </w:r>
    </w:p>
    <w:p w14:paraId="65DEDE8F" w14:textId="77777777" w:rsidR="003D6B32" w:rsidRPr="003D6B32" w:rsidRDefault="003D6B32" w:rsidP="003D6B32">
      <w:pPr>
        <w:widowControl/>
        <w:autoSpaceDE/>
        <w:autoSpaceDN/>
        <w:adjustRightInd/>
        <w:rPr>
          <w:rFonts w:ascii="Times New Roman" w:hAnsi="Times New Roman"/>
          <w:sz w:val="24"/>
          <w:szCs w:val="24"/>
        </w:rPr>
      </w:pPr>
    </w:p>
    <w:p w14:paraId="320CF92E" w14:textId="77777777" w:rsidR="003D6B32" w:rsidRPr="003D6B32" w:rsidRDefault="003D6B32" w:rsidP="003D6B32">
      <w:pPr>
        <w:widowControl/>
        <w:autoSpaceDE/>
        <w:autoSpaceDN/>
        <w:adjustRightInd/>
        <w:rPr>
          <w:rFonts w:ascii="Times New Roman" w:hAnsi="Times New Roman"/>
          <w:sz w:val="24"/>
          <w:szCs w:val="24"/>
        </w:rPr>
      </w:pPr>
      <w:r w:rsidRPr="003D6B32">
        <w:rPr>
          <w:rFonts w:ascii="Times New Roman" w:hAnsi="Times New Roman"/>
          <w:sz w:val="24"/>
          <w:szCs w:val="24"/>
        </w:rPr>
        <w:t>This information collection does not employ statistical methods.</w:t>
      </w:r>
    </w:p>
    <w:p w14:paraId="15A167AD" w14:textId="77777777" w:rsidR="003D6B32" w:rsidRDefault="003D6B32" w:rsidP="003B2AD9">
      <w:pPr>
        <w:widowControl/>
        <w:tabs>
          <w:tab w:val="left" w:pos="9360"/>
          <w:tab w:val="left" w:pos="9900"/>
        </w:tabs>
        <w:jc w:val="both"/>
        <w:rPr>
          <w:rFonts w:ascii="Times New Roman" w:hAnsi="Times New Roman"/>
          <w:sz w:val="24"/>
        </w:rPr>
      </w:pPr>
    </w:p>
    <w:bookmarkEnd w:id="21"/>
    <w:p w14:paraId="368F2F84" w14:textId="3FA600AC" w:rsidR="00E71A3D" w:rsidRDefault="00E71A3D" w:rsidP="00A42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E71A3D">
      <w:headerReference w:type="default" r:id="rId10"/>
      <w:footerReference w:type="even" r:id="rId11"/>
      <w:footerReference w:type="default" r:id="rId12"/>
      <w:footnotePr>
        <w:numRestart w:val="eachSect"/>
      </w:footnotePr>
      <w:endnotePr>
        <w:numFmt w:val="decimal"/>
      </w:endnotePr>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ABA03" w14:textId="77777777" w:rsidR="007B02D2" w:rsidRDefault="007B02D2">
      <w:r>
        <w:separator/>
      </w:r>
    </w:p>
  </w:endnote>
  <w:endnote w:type="continuationSeparator" w:id="0">
    <w:p w14:paraId="04BC86B8" w14:textId="77777777" w:rsidR="007B02D2" w:rsidRDefault="007B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FCB22" w14:textId="77777777" w:rsidR="00E1439B" w:rsidRDefault="00E1439B">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820C979" w14:textId="77777777" w:rsidR="00E1439B" w:rsidRDefault="00E14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69E1" w14:textId="06593F22" w:rsidR="00E1439B" w:rsidRDefault="00E1439B">
    <w:pPr>
      <w:pStyle w:val="Footer"/>
      <w:tabs>
        <w:tab w:val="clear" w:pos="4320"/>
        <w:tab w:val="clear" w:pos="8640"/>
        <w:tab w:val="center" w:pos="4770"/>
        <w:tab w:val="right" w:pos="9360"/>
      </w:tabs>
      <w:spacing w:before="360"/>
      <w:rPr>
        <w:rFonts w:ascii="Times New Roman" w:hAnsi="Times New Roman"/>
        <w:sz w:val="24"/>
      </w:rPr>
    </w:pPr>
    <w:r>
      <w:rP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1940C0">
      <w:rPr>
        <w:rStyle w:val="PageNumber"/>
        <w:rFonts w:ascii="Times New Roman" w:hAnsi="Times New Roman"/>
        <w:noProof/>
        <w:sz w:val="24"/>
      </w:rPr>
      <w:t>1</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B7C85" w14:textId="77777777" w:rsidR="007B02D2" w:rsidRDefault="007B02D2">
      <w:r>
        <w:separator/>
      </w:r>
    </w:p>
  </w:footnote>
  <w:footnote w:type="continuationSeparator" w:id="0">
    <w:p w14:paraId="4D69D895" w14:textId="77777777" w:rsidR="007B02D2" w:rsidRDefault="007B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F9B24" w14:textId="36F768F2" w:rsidR="00501D88" w:rsidRPr="00501D88" w:rsidRDefault="00501D88" w:rsidP="00501D88">
    <w:pPr>
      <w:widowControl/>
      <w:tabs>
        <w:tab w:val="center" w:pos="4320"/>
        <w:tab w:val="right" w:pos="8640"/>
      </w:tabs>
      <w:autoSpaceDE/>
      <w:autoSpaceDN/>
      <w:adjustRightInd/>
      <w:rPr>
        <w:rFonts w:ascii="Times New Roman" w:hAnsi="Times New Roman"/>
      </w:rPr>
    </w:pPr>
    <w:r w:rsidRPr="00501D88">
      <w:rPr>
        <w:rFonts w:ascii="Times New Roman" w:hAnsi="Times New Roman"/>
      </w:rPr>
      <w:t>Reintegration of Ex-Offenders, Adult Reporting System</w:t>
    </w:r>
  </w:p>
  <w:p w14:paraId="12DF86A7" w14:textId="66B1A48F" w:rsidR="00501D88" w:rsidRPr="00501D88" w:rsidRDefault="00501D88" w:rsidP="00501D88">
    <w:pPr>
      <w:widowControl/>
      <w:tabs>
        <w:tab w:val="center" w:pos="4320"/>
        <w:tab w:val="right" w:pos="8640"/>
      </w:tabs>
      <w:autoSpaceDE/>
      <w:autoSpaceDN/>
      <w:adjustRightInd/>
      <w:rPr>
        <w:rFonts w:ascii="Times New Roman" w:hAnsi="Times New Roman"/>
      </w:rPr>
    </w:pPr>
    <w:r>
      <w:rPr>
        <w:rFonts w:ascii="Times New Roman" w:hAnsi="Times New Roman"/>
      </w:rPr>
      <w:t>OMB Control No. 1205-0455</w:t>
    </w:r>
  </w:p>
  <w:p w14:paraId="4B6B0749" w14:textId="4D079E9B" w:rsidR="00501D88" w:rsidRDefault="00257320" w:rsidP="00501D88">
    <w:pPr>
      <w:pStyle w:val="Header"/>
      <w:rPr>
        <w:rFonts w:ascii="Times New Roman" w:hAnsi="Times New Roman"/>
      </w:rPr>
    </w:pPr>
    <w:r>
      <w:rPr>
        <w:rFonts w:ascii="Times New Roman" w:hAnsi="Times New Roman"/>
      </w:rPr>
      <w:t>August</w:t>
    </w:r>
    <w:r w:rsidR="00501D88" w:rsidRPr="00501D88">
      <w:rPr>
        <w:rFonts w:ascii="Times New Roman" w:hAnsi="Times New Roman"/>
      </w:rPr>
      <w:t xml:space="preserve"> 2018</w:t>
    </w:r>
  </w:p>
  <w:p w14:paraId="72830C5D" w14:textId="77777777" w:rsidR="00501D88" w:rsidRPr="00501D88" w:rsidRDefault="00501D88" w:rsidP="00501D88">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nsid w:val="10DB5791"/>
    <w:multiLevelType w:val="hybridMultilevel"/>
    <w:tmpl w:val="0D2A4A3A"/>
    <w:lvl w:ilvl="0" w:tplc="FFA630B8">
      <w:start w:val="1"/>
      <w:numFmt w:val="decimal"/>
      <w:pStyle w:val="NumberedBulletLAST"/>
      <w:lvlText w:val="%1."/>
      <w:lvlJc w:val="left"/>
      <w:pPr>
        <w:tabs>
          <w:tab w:val="num" w:pos="792"/>
        </w:tabs>
        <w:ind w:left="792" w:hanging="360"/>
      </w:pPr>
      <w:rPr>
        <w:rFonts w:hint="default"/>
      </w:rPr>
    </w:lvl>
    <w:lvl w:ilvl="1" w:tplc="8A6A94C0" w:tentative="1">
      <w:start w:val="1"/>
      <w:numFmt w:val="lowerLetter"/>
      <w:lvlText w:val="%2."/>
      <w:lvlJc w:val="left"/>
      <w:pPr>
        <w:tabs>
          <w:tab w:val="num" w:pos="1872"/>
        </w:tabs>
        <w:ind w:left="1872" w:hanging="360"/>
      </w:pPr>
    </w:lvl>
    <w:lvl w:ilvl="2" w:tplc="055A8E92" w:tentative="1">
      <w:start w:val="1"/>
      <w:numFmt w:val="lowerRoman"/>
      <w:lvlText w:val="%3."/>
      <w:lvlJc w:val="right"/>
      <w:pPr>
        <w:tabs>
          <w:tab w:val="num" w:pos="2592"/>
        </w:tabs>
        <w:ind w:left="2592" w:hanging="180"/>
      </w:pPr>
    </w:lvl>
    <w:lvl w:ilvl="3" w:tplc="E03C159E" w:tentative="1">
      <w:start w:val="1"/>
      <w:numFmt w:val="decimal"/>
      <w:lvlText w:val="%4."/>
      <w:lvlJc w:val="left"/>
      <w:pPr>
        <w:tabs>
          <w:tab w:val="num" w:pos="3312"/>
        </w:tabs>
        <w:ind w:left="3312" w:hanging="360"/>
      </w:pPr>
    </w:lvl>
    <w:lvl w:ilvl="4" w:tplc="999C9BEE" w:tentative="1">
      <w:start w:val="1"/>
      <w:numFmt w:val="lowerLetter"/>
      <w:lvlText w:val="%5."/>
      <w:lvlJc w:val="left"/>
      <w:pPr>
        <w:tabs>
          <w:tab w:val="num" w:pos="4032"/>
        </w:tabs>
        <w:ind w:left="4032" w:hanging="360"/>
      </w:pPr>
    </w:lvl>
    <w:lvl w:ilvl="5" w:tplc="654C8F02" w:tentative="1">
      <w:start w:val="1"/>
      <w:numFmt w:val="lowerRoman"/>
      <w:lvlText w:val="%6."/>
      <w:lvlJc w:val="right"/>
      <w:pPr>
        <w:tabs>
          <w:tab w:val="num" w:pos="4752"/>
        </w:tabs>
        <w:ind w:left="4752" w:hanging="180"/>
      </w:pPr>
    </w:lvl>
    <w:lvl w:ilvl="6" w:tplc="AA0AE412" w:tentative="1">
      <w:start w:val="1"/>
      <w:numFmt w:val="decimal"/>
      <w:lvlText w:val="%7."/>
      <w:lvlJc w:val="left"/>
      <w:pPr>
        <w:tabs>
          <w:tab w:val="num" w:pos="5472"/>
        </w:tabs>
        <w:ind w:left="5472" w:hanging="360"/>
      </w:pPr>
    </w:lvl>
    <w:lvl w:ilvl="7" w:tplc="10F4CD86" w:tentative="1">
      <w:start w:val="1"/>
      <w:numFmt w:val="lowerLetter"/>
      <w:lvlText w:val="%8."/>
      <w:lvlJc w:val="left"/>
      <w:pPr>
        <w:tabs>
          <w:tab w:val="num" w:pos="6192"/>
        </w:tabs>
        <w:ind w:left="6192" w:hanging="360"/>
      </w:pPr>
    </w:lvl>
    <w:lvl w:ilvl="8" w:tplc="0BD8AB8C" w:tentative="1">
      <w:start w:val="1"/>
      <w:numFmt w:val="lowerRoman"/>
      <w:lvlText w:val="%9."/>
      <w:lvlJc w:val="right"/>
      <w:pPr>
        <w:tabs>
          <w:tab w:val="num" w:pos="6912"/>
        </w:tabs>
        <w:ind w:left="6912" w:hanging="180"/>
      </w:pPr>
    </w:lvl>
  </w:abstractNum>
  <w:abstractNum w:abstractNumId="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106BA6"/>
    <w:multiLevelType w:val="hybridMultilevel"/>
    <w:tmpl w:val="649AC4FC"/>
    <w:lvl w:ilvl="0" w:tplc="3FA03CA6">
      <w:start w:val="1"/>
      <w:numFmt w:val="bullet"/>
      <w:lvlText w:val=""/>
      <w:lvlJc w:val="left"/>
      <w:pPr>
        <w:tabs>
          <w:tab w:val="num" w:pos="360"/>
        </w:tabs>
        <w:ind w:left="360" w:hanging="360"/>
      </w:pPr>
      <w:rPr>
        <w:rFonts w:ascii="Symbol" w:hAnsi="Symbol" w:hint="default"/>
      </w:rPr>
    </w:lvl>
    <w:lvl w:ilvl="1" w:tplc="020A7380">
      <w:start w:val="1"/>
      <w:numFmt w:val="bullet"/>
      <w:lvlText w:val="o"/>
      <w:lvlJc w:val="left"/>
      <w:pPr>
        <w:tabs>
          <w:tab w:val="num" w:pos="1080"/>
        </w:tabs>
        <w:ind w:left="1080" w:hanging="360"/>
      </w:pPr>
      <w:rPr>
        <w:rFonts w:ascii="Courier New" w:hAnsi="Courier New" w:cs="Courier New" w:hint="default"/>
      </w:rPr>
    </w:lvl>
    <w:lvl w:ilvl="2" w:tplc="4FE46002" w:tentative="1">
      <w:start w:val="1"/>
      <w:numFmt w:val="bullet"/>
      <w:lvlText w:val=""/>
      <w:lvlJc w:val="left"/>
      <w:pPr>
        <w:tabs>
          <w:tab w:val="num" w:pos="1800"/>
        </w:tabs>
        <w:ind w:left="1800" w:hanging="360"/>
      </w:pPr>
      <w:rPr>
        <w:rFonts w:ascii="Wingdings" w:hAnsi="Wingdings" w:hint="default"/>
      </w:rPr>
    </w:lvl>
    <w:lvl w:ilvl="3" w:tplc="AB8C9B7E" w:tentative="1">
      <w:start w:val="1"/>
      <w:numFmt w:val="bullet"/>
      <w:lvlText w:val=""/>
      <w:lvlJc w:val="left"/>
      <w:pPr>
        <w:tabs>
          <w:tab w:val="num" w:pos="2520"/>
        </w:tabs>
        <w:ind w:left="2520" w:hanging="360"/>
      </w:pPr>
      <w:rPr>
        <w:rFonts w:ascii="Symbol" w:hAnsi="Symbol" w:hint="default"/>
      </w:rPr>
    </w:lvl>
    <w:lvl w:ilvl="4" w:tplc="9E70ACEA" w:tentative="1">
      <w:start w:val="1"/>
      <w:numFmt w:val="bullet"/>
      <w:lvlText w:val="o"/>
      <w:lvlJc w:val="left"/>
      <w:pPr>
        <w:tabs>
          <w:tab w:val="num" w:pos="3240"/>
        </w:tabs>
        <w:ind w:left="3240" w:hanging="360"/>
      </w:pPr>
      <w:rPr>
        <w:rFonts w:ascii="Courier New" w:hAnsi="Courier New" w:cs="Courier New" w:hint="default"/>
      </w:rPr>
    </w:lvl>
    <w:lvl w:ilvl="5" w:tplc="034CB304" w:tentative="1">
      <w:start w:val="1"/>
      <w:numFmt w:val="bullet"/>
      <w:lvlText w:val=""/>
      <w:lvlJc w:val="left"/>
      <w:pPr>
        <w:tabs>
          <w:tab w:val="num" w:pos="3960"/>
        </w:tabs>
        <w:ind w:left="3960" w:hanging="360"/>
      </w:pPr>
      <w:rPr>
        <w:rFonts w:ascii="Wingdings" w:hAnsi="Wingdings" w:hint="default"/>
      </w:rPr>
    </w:lvl>
    <w:lvl w:ilvl="6" w:tplc="55C83C6C" w:tentative="1">
      <w:start w:val="1"/>
      <w:numFmt w:val="bullet"/>
      <w:lvlText w:val=""/>
      <w:lvlJc w:val="left"/>
      <w:pPr>
        <w:tabs>
          <w:tab w:val="num" w:pos="4680"/>
        </w:tabs>
        <w:ind w:left="4680" w:hanging="360"/>
      </w:pPr>
      <w:rPr>
        <w:rFonts w:ascii="Symbol" w:hAnsi="Symbol" w:hint="default"/>
      </w:rPr>
    </w:lvl>
    <w:lvl w:ilvl="7" w:tplc="53683C3C" w:tentative="1">
      <w:start w:val="1"/>
      <w:numFmt w:val="bullet"/>
      <w:lvlText w:val="o"/>
      <w:lvlJc w:val="left"/>
      <w:pPr>
        <w:tabs>
          <w:tab w:val="num" w:pos="5400"/>
        </w:tabs>
        <w:ind w:left="5400" w:hanging="360"/>
      </w:pPr>
      <w:rPr>
        <w:rFonts w:ascii="Courier New" w:hAnsi="Courier New" w:cs="Courier New" w:hint="default"/>
      </w:rPr>
    </w:lvl>
    <w:lvl w:ilvl="8" w:tplc="318C2464" w:tentative="1">
      <w:start w:val="1"/>
      <w:numFmt w:val="bullet"/>
      <w:lvlText w:val=""/>
      <w:lvlJc w:val="left"/>
      <w:pPr>
        <w:tabs>
          <w:tab w:val="num" w:pos="6120"/>
        </w:tabs>
        <w:ind w:left="6120" w:hanging="360"/>
      </w:pPr>
      <w:rPr>
        <w:rFonts w:ascii="Wingdings" w:hAnsi="Wingdings" w:hint="default"/>
      </w:rPr>
    </w:lvl>
  </w:abstractNum>
  <w:abstractNum w:abstractNumId="8">
    <w:nsid w:val="17356EEC"/>
    <w:multiLevelType w:val="hybridMultilevel"/>
    <w:tmpl w:val="2C6A2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DB6BA8"/>
    <w:multiLevelType w:val="hybridMultilevel"/>
    <w:tmpl w:val="30244EF0"/>
    <w:lvl w:ilvl="0" w:tplc="B89E40BC">
      <w:start w:val="1"/>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1">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3">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4">
    <w:nsid w:val="3D0F37E3"/>
    <w:multiLevelType w:val="hybridMultilevel"/>
    <w:tmpl w:val="26D4188A"/>
    <w:lvl w:ilvl="0" w:tplc="9BD02028">
      <w:start w:val="1"/>
      <w:numFmt w:val="bullet"/>
      <w:lvlText w:val=""/>
      <w:lvlJc w:val="left"/>
      <w:pPr>
        <w:tabs>
          <w:tab w:val="num" w:pos="1800"/>
        </w:tabs>
        <w:ind w:left="1800" w:hanging="360"/>
      </w:pPr>
      <w:rPr>
        <w:rFonts w:ascii="Symbol" w:eastAsia="Times New Roman" w:hAnsi="Symbol" w:cs="Symbol" w:hint="default"/>
      </w:rPr>
    </w:lvl>
    <w:lvl w:ilvl="1" w:tplc="099CEE54">
      <w:start w:val="1"/>
      <w:numFmt w:val="bullet"/>
      <w:lvlText w:val="o"/>
      <w:lvlJc w:val="left"/>
      <w:pPr>
        <w:tabs>
          <w:tab w:val="num" w:pos="2520"/>
        </w:tabs>
        <w:ind w:left="2520" w:hanging="360"/>
      </w:pPr>
      <w:rPr>
        <w:rFonts w:ascii="Courier New" w:hAnsi="Courier New" w:hint="default"/>
      </w:rPr>
    </w:lvl>
    <w:lvl w:ilvl="2" w:tplc="A9E2DD00" w:tentative="1">
      <w:start w:val="1"/>
      <w:numFmt w:val="bullet"/>
      <w:pStyle w:val="AppendixLevel3"/>
      <w:lvlText w:val=""/>
      <w:lvlJc w:val="left"/>
      <w:pPr>
        <w:tabs>
          <w:tab w:val="num" w:pos="3240"/>
        </w:tabs>
        <w:ind w:left="3240" w:hanging="360"/>
      </w:pPr>
      <w:rPr>
        <w:rFonts w:ascii="Wingdings" w:hAnsi="Wingdings" w:hint="default"/>
      </w:rPr>
    </w:lvl>
    <w:lvl w:ilvl="3" w:tplc="CEA29C90" w:tentative="1">
      <w:start w:val="1"/>
      <w:numFmt w:val="bullet"/>
      <w:lvlText w:val=""/>
      <w:lvlJc w:val="left"/>
      <w:pPr>
        <w:tabs>
          <w:tab w:val="num" w:pos="3960"/>
        </w:tabs>
        <w:ind w:left="3960" w:hanging="360"/>
      </w:pPr>
      <w:rPr>
        <w:rFonts w:ascii="Symbol" w:hAnsi="Symbol" w:hint="default"/>
      </w:rPr>
    </w:lvl>
    <w:lvl w:ilvl="4" w:tplc="BF4EA14A" w:tentative="1">
      <w:start w:val="1"/>
      <w:numFmt w:val="bullet"/>
      <w:lvlText w:val="o"/>
      <w:lvlJc w:val="left"/>
      <w:pPr>
        <w:tabs>
          <w:tab w:val="num" w:pos="4680"/>
        </w:tabs>
        <w:ind w:left="4680" w:hanging="360"/>
      </w:pPr>
      <w:rPr>
        <w:rFonts w:ascii="Courier New" w:hAnsi="Courier New" w:hint="default"/>
      </w:rPr>
    </w:lvl>
    <w:lvl w:ilvl="5" w:tplc="27FA1F5A" w:tentative="1">
      <w:start w:val="1"/>
      <w:numFmt w:val="bullet"/>
      <w:lvlText w:val=""/>
      <w:lvlJc w:val="left"/>
      <w:pPr>
        <w:tabs>
          <w:tab w:val="num" w:pos="5400"/>
        </w:tabs>
        <w:ind w:left="5400" w:hanging="360"/>
      </w:pPr>
      <w:rPr>
        <w:rFonts w:ascii="Wingdings" w:hAnsi="Wingdings" w:hint="default"/>
      </w:rPr>
    </w:lvl>
    <w:lvl w:ilvl="6" w:tplc="16E46614" w:tentative="1">
      <w:start w:val="1"/>
      <w:numFmt w:val="bullet"/>
      <w:lvlText w:val=""/>
      <w:lvlJc w:val="left"/>
      <w:pPr>
        <w:tabs>
          <w:tab w:val="num" w:pos="6120"/>
        </w:tabs>
        <w:ind w:left="6120" w:hanging="360"/>
      </w:pPr>
      <w:rPr>
        <w:rFonts w:ascii="Symbol" w:hAnsi="Symbol" w:hint="default"/>
      </w:rPr>
    </w:lvl>
    <w:lvl w:ilvl="7" w:tplc="7DBC0604" w:tentative="1">
      <w:start w:val="1"/>
      <w:numFmt w:val="bullet"/>
      <w:lvlText w:val="o"/>
      <w:lvlJc w:val="left"/>
      <w:pPr>
        <w:tabs>
          <w:tab w:val="num" w:pos="6840"/>
        </w:tabs>
        <w:ind w:left="6840" w:hanging="360"/>
      </w:pPr>
      <w:rPr>
        <w:rFonts w:ascii="Courier New" w:hAnsi="Courier New" w:hint="default"/>
      </w:rPr>
    </w:lvl>
    <w:lvl w:ilvl="8" w:tplc="37B8F6B0" w:tentative="1">
      <w:start w:val="1"/>
      <w:numFmt w:val="bullet"/>
      <w:lvlText w:val=""/>
      <w:lvlJc w:val="left"/>
      <w:pPr>
        <w:tabs>
          <w:tab w:val="num" w:pos="7560"/>
        </w:tabs>
        <w:ind w:left="7560" w:hanging="360"/>
      </w:pPr>
      <w:rPr>
        <w:rFonts w:ascii="Wingdings" w:hAnsi="Wingdings" w:hint="default"/>
      </w:rPr>
    </w:lvl>
  </w:abstractNum>
  <w:abstractNum w:abstractNumId="15">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6">
    <w:nsid w:val="46DF2AFD"/>
    <w:multiLevelType w:val="hybridMultilevel"/>
    <w:tmpl w:val="C8EA2DAE"/>
    <w:lvl w:ilvl="0" w:tplc="E2BAABCA">
      <w:start w:val="1"/>
      <w:numFmt w:val="bullet"/>
      <w:lvlText w:val=""/>
      <w:lvlJc w:val="left"/>
      <w:pPr>
        <w:tabs>
          <w:tab w:val="num" w:pos="720"/>
        </w:tabs>
        <w:ind w:left="720" w:hanging="360"/>
      </w:pPr>
      <w:rPr>
        <w:rFonts w:ascii="Symbol" w:hAnsi="Symbol" w:hint="default"/>
      </w:rPr>
    </w:lvl>
    <w:lvl w:ilvl="1" w:tplc="DE227726" w:tentative="1">
      <w:start w:val="1"/>
      <w:numFmt w:val="bullet"/>
      <w:lvlText w:val="o"/>
      <w:lvlJc w:val="left"/>
      <w:pPr>
        <w:tabs>
          <w:tab w:val="num" w:pos="1440"/>
        </w:tabs>
        <w:ind w:left="1440" w:hanging="360"/>
      </w:pPr>
      <w:rPr>
        <w:rFonts w:ascii="Courier New" w:hAnsi="Courier New" w:cs="Courier New" w:hint="default"/>
      </w:rPr>
    </w:lvl>
    <w:lvl w:ilvl="2" w:tplc="850C950E" w:tentative="1">
      <w:start w:val="1"/>
      <w:numFmt w:val="bullet"/>
      <w:lvlText w:val=""/>
      <w:lvlJc w:val="left"/>
      <w:pPr>
        <w:tabs>
          <w:tab w:val="num" w:pos="2160"/>
        </w:tabs>
        <w:ind w:left="2160" w:hanging="360"/>
      </w:pPr>
      <w:rPr>
        <w:rFonts w:ascii="Wingdings" w:hAnsi="Wingdings" w:hint="default"/>
      </w:rPr>
    </w:lvl>
    <w:lvl w:ilvl="3" w:tplc="A4AA984A" w:tentative="1">
      <w:start w:val="1"/>
      <w:numFmt w:val="bullet"/>
      <w:lvlText w:val=""/>
      <w:lvlJc w:val="left"/>
      <w:pPr>
        <w:tabs>
          <w:tab w:val="num" w:pos="2880"/>
        </w:tabs>
        <w:ind w:left="2880" w:hanging="360"/>
      </w:pPr>
      <w:rPr>
        <w:rFonts w:ascii="Symbol" w:hAnsi="Symbol" w:hint="default"/>
      </w:rPr>
    </w:lvl>
    <w:lvl w:ilvl="4" w:tplc="F47247AA" w:tentative="1">
      <w:start w:val="1"/>
      <w:numFmt w:val="bullet"/>
      <w:lvlText w:val="o"/>
      <w:lvlJc w:val="left"/>
      <w:pPr>
        <w:tabs>
          <w:tab w:val="num" w:pos="3600"/>
        </w:tabs>
        <w:ind w:left="3600" w:hanging="360"/>
      </w:pPr>
      <w:rPr>
        <w:rFonts w:ascii="Courier New" w:hAnsi="Courier New" w:cs="Courier New" w:hint="default"/>
      </w:rPr>
    </w:lvl>
    <w:lvl w:ilvl="5" w:tplc="BC6C198C" w:tentative="1">
      <w:start w:val="1"/>
      <w:numFmt w:val="bullet"/>
      <w:lvlText w:val=""/>
      <w:lvlJc w:val="left"/>
      <w:pPr>
        <w:tabs>
          <w:tab w:val="num" w:pos="4320"/>
        </w:tabs>
        <w:ind w:left="4320" w:hanging="360"/>
      </w:pPr>
      <w:rPr>
        <w:rFonts w:ascii="Wingdings" w:hAnsi="Wingdings" w:hint="default"/>
      </w:rPr>
    </w:lvl>
    <w:lvl w:ilvl="6" w:tplc="5684A0D8" w:tentative="1">
      <w:start w:val="1"/>
      <w:numFmt w:val="bullet"/>
      <w:lvlText w:val=""/>
      <w:lvlJc w:val="left"/>
      <w:pPr>
        <w:tabs>
          <w:tab w:val="num" w:pos="5040"/>
        </w:tabs>
        <w:ind w:left="5040" w:hanging="360"/>
      </w:pPr>
      <w:rPr>
        <w:rFonts w:ascii="Symbol" w:hAnsi="Symbol" w:hint="default"/>
      </w:rPr>
    </w:lvl>
    <w:lvl w:ilvl="7" w:tplc="1182F7C2" w:tentative="1">
      <w:start w:val="1"/>
      <w:numFmt w:val="bullet"/>
      <w:lvlText w:val="o"/>
      <w:lvlJc w:val="left"/>
      <w:pPr>
        <w:tabs>
          <w:tab w:val="num" w:pos="5760"/>
        </w:tabs>
        <w:ind w:left="5760" w:hanging="360"/>
      </w:pPr>
      <w:rPr>
        <w:rFonts w:ascii="Courier New" w:hAnsi="Courier New" w:cs="Courier New" w:hint="default"/>
      </w:rPr>
    </w:lvl>
    <w:lvl w:ilvl="8" w:tplc="7E5AE138" w:tentative="1">
      <w:start w:val="1"/>
      <w:numFmt w:val="bullet"/>
      <w:lvlText w:val=""/>
      <w:lvlJc w:val="left"/>
      <w:pPr>
        <w:tabs>
          <w:tab w:val="num" w:pos="6480"/>
        </w:tabs>
        <w:ind w:left="6480" w:hanging="360"/>
      </w:pPr>
      <w:rPr>
        <w:rFonts w:ascii="Wingdings" w:hAnsi="Wingdings" w:hint="default"/>
      </w:rPr>
    </w:lvl>
  </w:abstractNum>
  <w:abstractNum w:abstractNumId="17">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20">
    <w:nsid w:val="6E297999"/>
    <w:multiLevelType w:val="hybridMultilevel"/>
    <w:tmpl w:val="5D8AD4BA"/>
    <w:lvl w:ilvl="0" w:tplc="755839C4">
      <w:start w:val="1"/>
      <w:numFmt w:val="bullet"/>
      <w:lvlText w:val=""/>
      <w:lvlJc w:val="left"/>
      <w:pPr>
        <w:tabs>
          <w:tab w:val="num" w:pos="720"/>
        </w:tabs>
        <w:ind w:left="720" w:hanging="360"/>
      </w:pPr>
      <w:rPr>
        <w:rFonts w:ascii="Symbol" w:hAnsi="Symbol" w:hint="default"/>
      </w:rPr>
    </w:lvl>
    <w:lvl w:ilvl="1" w:tplc="6AF46CA4" w:tentative="1">
      <w:start w:val="1"/>
      <w:numFmt w:val="bullet"/>
      <w:lvlText w:val="o"/>
      <w:lvlJc w:val="left"/>
      <w:pPr>
        <w:tabs>
          <w:tab w:val="num" w:pos="1440"/>
        </w:tabs>
        <w:ind w:left="1440" w:hanging="360"/>
      </w:pPr>
      <w:rPr>
        <w:rFonts w:ascii="Courier New" w:hAnsi="Courier New" w:cs="Courier New" w:hint="default"/>
      </w:rPr>
    </w:lvl>
    <w:lvl w:ilvl="2" w:tplc="3EE65098" w:tentative="1">
      <w:start w:val="1"/>
      <w:numFmt w:val="bullet"/>
      <w:lvlText w:val=""/>
      <w:lvlJc w:val="left"/>
      <w:pPr>
        <w:tabs>
          <w:tab w:val="num" w:pos="2160"/>
        </w:tabs>
        <w:ind w:left="2160" w:hanging="360"/>
      </w:pPr>
      <w:rPr>
        <w:rFonts w:ascii="Wingdings" w:hAnsi="Wingdings" w:hint="default"/>
      </w:rPr>
    </w:lvl>
    <w:lvl w:ilvl="3" w:tplc="2BCA47CE" w:tentative="1">
      <w:start w:val="1"/>
      <w:numFmt w:val="bullet"/>
      <w:lvlText w:val=""/>
      <w:lvlJc w:val="left"/>
      <w:pPr>
        <w:tabs>
          <w:tab w:val="num" w:pos="2880"/>
        </w:tabs>
        <w:ind w:left="2880" w:hanging="360"/>
      </w:pPr>
      <w:rPr>
        <w:rFonts w:ascii="Symbol" w:hAnsi="Symbol" w:hint="default"/>
      </w:rPr>
    </w:lvl>
    <w:lvl w:ilvl="4" w:tplc="0CF0B772" w:tentative="1">
      <w:start w:val="1"/>
      <w:numFmt w:val="bullet"/>
      <w:lvlText w:val="o"/>
      <w:lvlJc w:val="left"/>
      <w:pPr>
        <w:tabs>
          <w:tab w:val="num" w:pos="3600"/>
        </w:tabs>
        <w:ind w:left="3600" w:hanging="360"/>
      </w:pPr>
      <w:rPr>
        <w:rFonts w:ascii="Courier New" w:hAnsi="Courier New" w:cs="Courier New" w:hint="default"/>
      </w:rPr>
    </w:lvl>
    <w:lvl w:ilvl="5" w:tplc="10A880F8" w:tentative="1">
      <w:start w:val="1"/>
      <w:numFmt w:val="bullet"/>
      <w:lvlText w:val=""/>
      <w:lvlJc w:val="left"/>
      <w:pPr>
        <w:tabs>
          <w:tab w:val="num" w:pos="4320"/>
        </w:tabs>
        <w:ind w:left="4320" w:hanging="360"/>
      </w:pPr>
      <w:rPr>
        <w:rFonts w:ascii="Wingdings" w:hAnsi="Wingdings" w:hint="default"/>
      </w:rPr>
    </w:lvl>
    <w:lvl w:ilvl="6" w:tplc="3014DCF0" w:tentative="1">
      <w:start w:val="1"/>
      <w:numFmt w:val="bullet"/>
      <w:lvlText w:val=""/>
      <w:lvlJc w:val="left"/>
      <w:pPr>
        <w:tabs>
          <w:tab w:val="num" w:pos="5040"/>
        </w:tabs>
        <w:ind w:left="5040" w:hanging="360"/>
      </w:pPr>
      <w:rPr>
        <w:rFonts w:ascii="Symbol" w:hAnsi="Symbol" w:hint="default"/>
      </w:rPr>
    </w:lvl>
    <w:lvl w:ilvl="7" w:tplc="9A985E82" w:tentative="1">
      <w:start w:val="1"/>
      <w:numFmt w:val="bullet"/>
      <w:lvlText w:val="o"/>
      <w:lvlJc w:val="left"/>
      <w:pPr>
        <w:tabs>
          <w:tab w:val="num" w:pos="5760"/>
        </w:tabs>
        <w:ind w:left="5760" w:hanging="360"/>
      </w:pPr>
      <w:rPr>
        <w:rFonts w:ascii="Courier New" w:hAnsi="Courier New" w:cs="Courier New" w:hint="default"/>
      </w:rPr>
    </w:lvl>
    <w:lvl w:ilvl="8" w:tplc="009CD596" w:tentative="1">
      <w:start w:val="1"/>
      <w:numFmt w:val="bullet"/>
      <w:lvlText w:val=""/>
      <w:lvlJc w:val="left"/>
      <w:pPr>
        <w:tabs>
          <w:tab w:val="num" w:pos="6480"/>
        </w:tabs>
        <w:ind w:left="6480" w:hanging="360"/>
      </w:pPr>
      <w:rPr>
        <w:rFonts w:ascii="Wingdings" w:hAnsi="Wingdings" w:hint="default"/>
      </w:rPr>
    </w:lvl>
  </w:abstractNum>
  <w:abstractNum w:abstractNumId="21">
    <w:nsid w:val="7BC87E2F"/>
    <w:multiLevelType w:val="hybridMultilevel"/>
    <w:tmpl w:val="65B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844640"/>
    <w:multiLevelType w:val="hybridMultilevel"/>
    <w:tmpl w:val="A3CE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8"/>
  </w:num>
  <w:num w:numId="4">
    <w:abstractNumId w:val="1"/>
  </w:num>
  <w:num w:numId="5">
    <w:abstractNumId w:val="17"/>
  </w:num>
  <w:num w:numId="6">
    <w:abstractNumId w:val="19"/>
  </w:num>
  <w:num w:numId="7">
    <w:abstractNumId w:val="12"/>
  </w:num>
  <w:num w:numId="8">
    <w:abstractNumId w:val="15"/>
  </w:num>
  <w:num w:numId="9">
    <w:abstractNumId w:val="5"/>
  </w:num>
  <w:num w:numId="10">
    <w:abstractNumId w:val="20"/>
  </w:num>
  <w:num w:numId="11">
    <w:abstractNumId w:val="7"/>
  </w:num>
  <w:num w:numId="12">
    <w:abstractNumId w:val="16"/>
  </w:num>
  <w:num w:numId="13">
    <w:abstractNumId w:val="0"/>
  </w:num>
  <w:num w:numId="14">
    <w:abstractNumId w:val="10"/>
  </w:num>
  <w:num w:numId="15">
    <w:abstractNumId w:val="6"/>
  </w:num>
  <w:num w:numId="16">
    <w:abstractNumId w:val="11"/>
  </w:num>
  <w:num w:numId="1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num>
  <w:num w:numId="19">
    <w:abstractNumId w:val="4"/>
  </w:num>
  <w:num w:numId="20">
    <w:abstractNumId w:val="9"/>
  </w:num>
  <w:num w:numId="21">
    <w:abstractNumId w:val="8"/>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7C"/>
    <w:rsid w:val="0000038F"/>
    <w:rsid w:val="00000468"/>
    <w:rsid w:val="00002A12"/>
    <w:rsid w:val="00007F0B"/>
    <w:rsid w:val="0001520B"/>
    <w:rsid w:val="00021F3D"/>
    <w:rsid w:val="00031957"/>
    <w:rsid w:val="00033CF9"/>
    <w:rsid w:val="00035B4C"/>
    <w:rsid w:val="0003694E"/>
    <w:rsid w:val="00056FE2"/>
    <w:rsid w:val="00064020"/>
    <w:rsid w:val="0006519F"/>
    <w:rsid w:val="00067E3F"/>
    <w:rsid w:val="00071D52"/>
    <w:rsid w:val="00072F47"/>
    <w:rsid w:val="00074D39"/>
    <w:rsid w:val="00075D33"/>
    <w:rsid w:val="00076AF1"/>
    <w:rsid w:val="000828A7"/>
    <w:rsid w:val="000876CF"/>
    <w:rsid w:val="000A1C46"/>
    <w:rsid w:val="000A34F6"/>
    <w:rsid w:val="000B05EE"/>
    <w:rsid w:val="000B32D0"/>
    <w:rsid w:val="000B7325"/>
    <w:rsid w:val="000C2326"/>
    <w:rsid w:val="000D4A88"/>
    <w:rsid w:val="000E0D2E"/>
    <w:rsid w:val="000E4E98"/>
    <w:rsid w:val="000F6AD5"/>
    <w:rsid w:val="00120E72"/>
    <w:rsid w:val="00122126"/>
    <w:rsid w:val="00127335"/>
    <w:rsid w:val="00131D31"/>
    <w:rsid w:val="00136DCD"/>
    <w:rsid w:val="00150F7D"/>
    <w:rsid w:val="00152A3B"/>
    <w:rsid w:val="00163CA1"/>
    <w:rsid w:val="00163DA3"/>
    <w:rsid w:val="0016462F"/>
    <w:rsid w:val="0017466B"/>
    <w:rsid w:val="001940C0"/>
    <w:rsid w:val="00196314"/>
    <w:rsid w:val="001A4474"/>
    <w:rsid w:val="001A4BF6"/>
    <w:rsid w:val="001B77CA"/>
    <w:rsid w:val="001C3C89"/>
    <w:rsid w:val="001C4205"/>
    <w:rsid w:val="001C75BB"/>
    <w:rsid w:val="001D0643"/>
    <w:rsid w:val="001E4BD5"/>
    <w:rsid w:val="001F16E7"/>
    <w:rsid w:val="001F3467"/>
    <w:rsid w:val="00207FB3"/>
    <w:rsid w:val="00212222"/>
    <w:rsid w:val="002156FB"/>
    <w:rsid w:val="00217673"/>
    <w:rsid w:val="00227D0A"/>
    <w:rsid w:val="00254CF3"/>
    <w:rsid w:val="0025528E"/>
    <w:rsid w:val="00257320"/>
    <w:rsid w:val="00261828"/>
    <w:rsid w:val="002627E1"/>
    <w:rsid w:val="00271CE6"/>
    <w:rsid w:val="002777FC"/>
    <w:rsid w:val="002843D6"/>
    <w:rsid w:val="0028498C"/>
    <w:rsid w:val="00292970"/>
    <w:rsid w:val="002A6275"/>
    <w:rsid w:val="002B7F3F"/>
    <w:rsid w:val="002C6D4B"/>
    <w:rsid w:val="002D06D8"/>
    <w:rsid w:val="002E1A22"/>
    <w:rsid w:val="002E3451"/>
    <w:rsid w:val="002E40A7"/>
    <w:rsid w:val="002E69EE"/>
    <w:rsid w:val="00307FBD"/>
    <w:rsid w:val="00316466"/>
    <w:rsid w:val="0032267F"/>
    <w:rsid w:val="00323ED0"/>
    <w:rsid w:val="00332FD6"/>
    <w:rsid w:val="00335CD5"/>
    <w:rsid w:val="003369CC"/>
    <w:rsid w:val="00341FCE"/>
    <w:rsid w:val="0034671E"/>
    <w:rsid w:val="00350514"/>
    <w:rsid w:val="00355976"/>
    <w:rsid w:val="0036435C"/>
    <w:rsid w:val="00371D13"/>
    <w:rsid w:val="003833A9"/>
    <w:rsid w:val="00383624"/>
    <w:rsid w:val="003975F7"/>
    <w:rsid w:val="003A1665"/>
    <w:rsid w:val="003A700E"/>
    <w:rsid w:val="003B270D"/>
    <w:rsid w:val="003B2AD9"/>
    <w:rsid w:val="003B68B1"/>
    <w:rsid w:val="003C1A27"/>
    <w:rsid w:val="003C2808"/>
    <w:rsid w:val="003C3E4C"/>
    <w:rsid w:val="003C3E7B"/>
    <w:rsid w:val="003C6F11"/>
    <w:rsid w:val="003D644E"/>
    <w:rsid w:val="003D6B32"/>
    <w:rsid w:val="003E5F67"/>
    <w:rsid w:val="003F5B28"/>
    <w:rsid w:val="00403F8F"/>
    <w:rsid w:val="00405050"/>
    <w:rsid w:val="00407682"/>
    <w:rsid w:val="00437CC7"/>
    <w:rsid w:val="00440491"/>
    <w:rsid w:val="00447FA9"/>
    <w:rsid w:val="00451298"/>
    <w:rsid w:val="004577CE"/>
    <w:rsid w:val="004632D6"/>
    <w:rsid w:val="004660B4"/>
    <w:rsid w:val="00467896"/>
    <w:rsid w:val="00482627"/>
    <w:rsid w:val="0048491D"/>
    <w:rsid w:val="004A214B"/>
    <w:rsid w:val="004B6674"/>
    <w:rsid w:val="004C1BB4"/>
    <w:rsid w:val="004C4AEB"/>
    <w:rsid w:val="004C6F53"/>
    <w:rsid w:val="004D41EB"/>
    <w:rsid w:val="004F1E40"/>
    <w:rsid w:val="004F253E"/>
    <w:rsid w:val="004F4F3A"/>
    <w:rsid w:val="00501D88"/>
    <w:rsid w:val="00523F61"/>
    <w:rsid w:val="00524678"/>
    <w:rsid w:val="00531721"/>
    <w:rsid w:val="00532CDA"/>
    <w:rsid w:val="005345A5"/>
    <w:rsid w:val="00534979"/>
    <w:rsid w:val="00547DB1"/>
    <w:rsid w:val="00553520"/>
    <w:rsid w:val="00555497"/>
    <w:rsid w:val="005618B0"/>
    <w:rsid w:val="00564925"/>
    <w:rsid w:val="005B1466"/>
    <w:rsid w:val="005B28C1"/>
    <w:rsid w:val="005B5B8D"/>
    <w:rsid w:val="005C6DAC"/>
    <w:rsid w:val="005D592A"/>
    <w:rsid w:val="005D62AE"/>
    <w:rsid w:val="00603278"/>
    <w:rsid w:val="00606565"/>
    <w:rsid w:val="0062278C"/>
    <w:rsid w:val="00624874"/>
    <w:rsid w:val="006269DD"/>
    <w:rsid w:val="00635C5A"/>
    <w:rsid w:val="00651E30"/>
    <w:rsid w:val="00655E93"/>
    <w:rsid w:val="0065699B"/>
    <w:rsid w:val="00660CDF"/>
    <w:rsid w:val="00666483"/>
    <w:rsid w:val="00676C4E"/>
    <w:rsid w:val="006803A6"/>
    <w:rsid w:val="00680596"/>
    <w:rsid w:val="00680BA3"/>
    <w:rsid w:val="006934F9"/>
    <w:rsid w:val="006A09F8"/>
    <w:rsid w:val="006A3386"/>
    <w:rsid w:val="006C4586"/>
    <w:rsid w:val="006D06A2"/>
    <w:rsid w:val="006D10B6"/>
    <w:rsid w:val="006D6697"/>
    <w:rsid w:val="006D71E8"/>
    <w:rsid w:val="006E4A59"/>
    <w:rsid w:val="00703D4F"/>
    <w:rsid w:val="00713A73"/>
    <w:rsid w:val="00713B3A"/>
    <w:rsid w:val="00717E37"/>
    <w:rsid w:val="00723CD8"/>
    <w:rsid w:val="00730DC9"/>
    <w:rsid w:val="00736235"/>
    <w:rsid w:val="00741518"/>
    <w:rsid w:val="0074282D"/>
    <w:rsid w:val="00750CCE"/>
    <w:rsid w:val="007556BC"/>
    <w:rsid w:val="00761595"/>
    <w:rsid w:val="00762931"/>
    <w:rsid w:val="00765D93"/>
    <w:rsid w:val="00773B9E"/>
    <w:rsid w:val="007763EC"/>
    <w:rsid w:val="0077706B"/>
    <w:rsid w:val="00780301"/>
    <w:rsid w:val="00783326"/>
    <w:rsid w:val="0078422E"/>
    <w:rsid w:val="00786DD2"/>
    <w:rsid w:val="00795ACC"/>
    <w:rsid w:val="00795EA3"/>
    <w:rsid w:val="007B02D2"/>
    <w:rsid w:val="007B1837"/>
    <w:rsid w:val="007C534F"/>
    <w:rsid w:val="007C5EBA"/>
    <w:rsid w:val="007D0B22"/>
    <w:rsid w:val="007E02BA"/>
    <w:rsid w:val="007E520B"/>
    <w:rsid w:val="007E7369"/>
    <w:rsid w:val="007F14F8"/>
    <w:rsid w:val="007F1513"/>
    <w:rsid w:val="007F2AD8"/>
    <w:rsid w:val="00800ACC"/>
    <w:rsid w:val="008016A2"/>
    <w:rsid w:val="00816A78"/>
    <w:rsid w:val="0082392B"/>
    <w:rsid w:val="00825AAA"/>
    <w:rsid w:val="0082626E"/>
    <w:rsid w:val="00827D05"/>
    <w:rsid w:val="008344C4"/>
    <w:rsid w:val="00845E9B"/>
    <w:rsid w:val="00846243"/>
    <w:rsid w:val="0085062C"/>
    <w:rsid w:val="00860487"/>
    <w:rsid w:val="00876932"/>
    <w:rsid w:val="00887A9C"/>
    <w:rsid w:val="008B42EE"/>
    <w:rsid w:val="008B51A0"/>
    <w:rsid w:val="008C407C"/>
    <w:rsid w:val="008C5169"/>
    <w:rsid w:val="008D3846"/>
    <w:rsid w:val="008E34F4"/>
    <w:rsid w:val="00901AF3"/>
    <w:rsid w:val="00906B35"/>
    <w:rsid w:val="00910699"/>
    <w:rsid w:val="0092403E"/>
    <w:rsid w:val="00924F14"/>
    <w:rsid w:val="0093350D"/>
    <w:rsid w:val="0094187C"/>
    <w:rsid w:val="00942843"/>
    <w:rsid w:val="0095160D"/>
    <w:rsid w:val="009532D9"/>
    <w:rsid w:val="00953CDF"/>
    <w:rsid w:val="009562D2"/>
    <w:rsid w:val="00976453"/>
    <w:rsid w:val="00983A5D"/>
    <w:rsid w:val="00995629"/>
    <w:rsid w:val="00995C33"/>
    <w:rsid w:val="00997A3E"/>
    <w:rsid w:val="009A2548"/>
    <w:rsid w:val="009A2FA5"/>
    <w:rsid w:val="009A6BFE"/>
    <w:rsid w:val="009B6AF4"/>
    <w:rsid w:val="009C545D"/>
    <w:rsid w:val="009C55A0"/>
    <w:rsid w:val="009C61DB"/>
    <w:rsid w:val="009C74A1"/>
    <w:rsid w:val="009D3384"/>
    <w:rsid w:val="009E55AB"/>
    <w:rsid w:val="009E568D"/>
    <w:rsid w:val="009F516D"/>
    <w:rsid w:val="00A005FC"/>
    <w:rsid w:val="00A01E71"/>
    <w:rsid w:val="00A2402C"/>
    <w:rsid w:val="00A25E08"/>
    <w:rsid w:val="00A262B5"/>
    <w:rsid w:val="00A41CB3"/>
    <w:rsid w:val="00A42674"/>
    <w:rsid w:val="00A47E9E"/>
    <w:rsid w:val="00A51090"/>
    <w:rsid w:val="00A537AC"/>
    <w:rsid w:val="00A54BB7"/>
    <w:rsid w:val="00A54CD4"/>
    <w:rsid w:val="00A70A62"/>
    <w:rsid w:val="00A73CF0"/>
    <w:rsid w:val="00A83E00"/>
    <w:rsid w:val="00A83E30"/>
    <w:rsid w:val="00A96B41"/>
    <w:rsid w:val="00AB61E1"/>
    <w:rsid w:val="00AC7FAB"/>
    <w:rsid w:val="00AD21B6"/>
    <w:rsid w:val="00AD64D3"/>
    <w:rsid w:val="00AF1D17"/>
    <w:rsid w:val="00B1000E"/>
    <w:rsid w:val="00B110BA"/>
    <w:rsid w:val="00B144C4"/>
    <w:rsid w:val="00B33B46"/>
    <w:rsid w:val="00B52E04"/>
    <w:rsid w:val="00B604AB"/>
    <w:rsid w:val="00B6088E"/>
    <w:rsid w:val="00B60A24"/>
    <w:rsid w:val="00B62593"/>
    <w:rsid w:val="00B62F56"/>
    <w:rsid w:val="00B71255"/>
    <w:rsid w:val="00B75D23"/>
    <w:rsid w:val="00B82EFF"/>
    <w:rsid w:val="00BA0315"/>
    <w:rsid w:val="00BB302D"/>
    <w:rsid w:val="00BB543F"/>
    <w:rsid w:val="00BC1000"/>
    <w:rsid w:val="00BC210D"/>
    <w:rsid w:val="00BD0F49"/>
    <w:rsid w:val="00BD4A8B"/>
    <w:rsid w:val="00BE5C86"/>
    <w:rsid w:val="00C07949"/>
    <w:rsid w:val="00C112A9"/>
    <w:rsid w:val="00C1507A"/>
    <w:rsid w:val="00C22DC4"/>
    <w:rsid w:val="00C34454"/>
    <w:rsid w:val="00C351E0"/>
    <w:rsid w:val="00C3763D"/>
    <w:rsid w:val="00C50CD3"/>
    <w:rsid w:val="00C54598"/>
    <w:rsid w:val="00C57755"/>
    <w:rsid w:val="00C57947"/>
    <w:rsid w:val="00C66FC1"/>
    <w:rsid w:val="00C77480"/>
    <w:rsid w:val="00C95FBA"/>
    <w:rsid w:val="00CA16F0"/>
    <w:rsid w:val="00CA17F9"/>
    <w:rsid w:val="00CA2E3C"/>
    <w:rsid w:val="00CA4ED5"/>
    <w:rsid w:val="00CB084D"/>
    <w:rsid w:val="00CB0A3F"/>
    <w:rsid w:val="00CB6F58"/>
    <w:rsid w:val="00CB70FA"/>
    <w:rsid w:val="00CC75C2"/>
    <w:rsid w:val="00CD75FF"/>
    <w:rsid w:val="00CE0730"/>
    <w:rsid w:val="00CE0BB1"/>
    <w:rsid w:val="00CE31FE"/>
    <w:rsid w:val="00CE3BE1"/>
    <w:rsid w:val="00CE42B5"/>
    <w:rsid w:val="00CE4C64"/>
    <w:rsid w:val="00CF17DC"/>
    <w:rsid w:val="00CF528C"/>
    <w:rsid w:val="00D008F0"/>
    <w:rsid w:val="00D14191"/>
    <w:rsid w:val="00D14636"/>
    <w:rsid w:val="00D160AD"/>
    <w:rsid w:val="00D20638"/>
    <w:rsid w:val="00D20F76"/>
    <w:rsid w:val="00D21C52"/>
    <w:rsid w:val="00D27168"/>
    <w:rsid w:val="00D31456"/>
    <w:rsid w:val="00D36C1A"/>
    <w:rsid w:val="00D37E7A"/>
    <w:rsid w:val="00D4176F"/>
    <w:rsid w:val="00D47051"/>
    <w:rsid w:val="00D5109C"/>
    <w:rsid w:val="00D64DC5"/>
    <w:rsid w:val="00D656ED"/>
    <w:rsid w:val="00D6570C"/>
    <w:rsid w:val="00D72B85"/>
    <w:rsid w:val="00D8127B"/>
    <w:rsid w:val="00D85575"/>
    <w:rsid w:val="00D97B9E"/>
    <w:rsid w:val="00DA3B79"/>
    <w:rsid w:val="00DA3E28"/>
    <w:rsid w:val="00DB23C4"/>
    <w:rsid w:val="00DC2039"/>
    <w:rsid w:val="00DC3B73"/>
    <w:rsid w:val="00DD1066"/>
    <w:rsid w:val="00DE0FE0"/>
    <w:rsid w:val="00DE52EA"/>
    <w:rsid w:val="00DF1F2C"/>
    <w:rsid w:val="00DF757E"/>
    <w:rsid w:val="00DF77E4"/>
    <w:rsid w:val="00E02E5A"/>
    <w:rsid w:val="00E02EF4"/>
    <w:rsid w:val="00E07F38"/>
    <w:rsid w:val="00E10C2F"/>
    <w:rsid w:val="00E1439B"/>
    <w:rsid w:val="00E21FA9"/>
    <w:rsid w:val="00E2261D"/>
    <w:rsid w:val="00E2467D"/>
    <w:rsid w:val="00E358CB"/>
    <w:rsid w:val="00E41BB8"/>
    <w:rsid w:val="00E43A43"/>
    <w:rsid w:val="00E447C0"/>
    <w:rsid w:val="00E44BFD"/>
    <w:rsid w:val="00E4515F"/>
    <w:rsid w:val="00E479BD"/>
    <w:rsid w:val="00E51782"/>
    <w:rsid w:val="00E71A3D"/>
    <w:rsid w:val="00E73AEB"/>
    <w:rsid w:val="00E749A4"/>
    <w:rsid w:val="00E8107C"/>
    <w:rsid w:val="00E84349"/>
    <w:rsid w:val="00E84C86"/>
    <w:rsid w:val="00E9025D"/>
    <w:rsid w:val="00E949DE"/>
    <w:rsid w:val="00E95816"/>
    <w:rsid w:val="00E97447"/>
    <w:rsid w:val="00EA7B42"/>
    <w:rsid w:val="00EB1220"/>
    <w:rsid w:val="00EC1F7A"/>
    <w:rsid w:val="00ED771F"/>
    <w:rsid w:val="00EE5D04"/>
    <w:rsid w:val="00EF32C6"/>
    <w:rsid w:val="00EF7CAE"/>
    <w:rsid w:val="00F25DE6"/>
    <w:rsid w:val="00F337D8"/>
    <w:rsid w:val="00F3694D"/>
    <w:rsid w:val="00F36C3F"/>
    <w:rsid w:val="00F37C7A"/>
    <w:rsid w:val="00F40582"/>
    <w:rsid w:val="00F41150"/>
    <w:rsid w:val="00F54719"/>
    <w:rsid w:val="00F81954"/>
    <w:rsid w:val="00F85178"/>
    <w:rsid w:val="00F90488"/>
    <w:rsid w:val="00F95156"/>
    <w:rsid w:val="00FA1037"/>
    <w:rsid w:val="00FB77FA"/>
    <w:rsid w:val="00FC1E28"/>
    <w:rsid w:val="00FF0C4A"/>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9E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02A12"/>
    <w:rPr>
      <w:sz w:val="16"/>
      <w:szCs w:val="16"/>
    </w:rPr>
  </w:style>
  <w:style w:type="paragraph" w:styleId="CommentText">
    <w:name w:val="annotation text"/>
    <w:basedOn w:val="Normal"/>
    <w:link w:val="CommentTextChar"/>
    <w:rsid w:val="00002A12"/>
  </w:style>
  <w:style w:type="paragraph" w:styleId="CommentSubject">
    <w:name w:val="annotation subject"/>
    <w:basedOn w:val="CommentText"/>
    <w:next w:val="CommentText"/>
    <w:semiHidden/>
    <w:rsid w:val="00002A12"/>
    <w:rPr>
      <w:b/>
      <w:bCs/>
    </w:rPr>
  </w:style>
  <w:style w:type="character" w:customStyle="1" w:styleId="CommentTextChar">
    <w:name w:val="Comment Text Char"/>
    <w:link w:val="CommentText"/>
    <w:rsid w:val="003B2AD9"/>
    <w:rPr>
      <w:rFonts w:ascii="Courier" w:hAnsi="Courier"/>
    </w:rPr>
  </w:style>
  <w:style w:type="paragraph" w:styleId="ListParagraph">
    <w:name w:val="List Paragraph"/>
    <w:basedOn w:val="Normal"/>
    <w:uiPriority w:val="34"/>
    <w:qFormat/>
    <w:rsid w:val="002D06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02A12"/>
    <w:rPr>
      <w:sz w:val="16"/>
      <w:szCs w:val="16"/>
    </w:rPr>
  </w:style>
  <w:style w:type="paragraph" w:styleId="CommentText">
    <w:name w:val="annotation text"/>
    <w:basedOn w:val="Normal"/>
    <w:link w:val="CommentTextChar"/>
    <w:rsid w:val="00002A12"/>
  </w:style>
  <w:style w:type="paragraph" w:styleId="CommentSubject">
    <w:name w:val="annotation subject"/>
    <w:basedOn w:val="CommentText"/>
    <w:next w:val="CommentText"/>
    <w:semiHidden/>
    <w:rsid w:val="00002A12"/>
    <w:rPr>
      <w:b/>
      <w:bCs/>
    </w:rPr>
  </w:style>
  <w:style w:type="character" w:customStyle="1" w:styleId="CommentTextChar">
    <w:name w:val="Comment Text Char"/>
    <w:link w:val="CommentText"/>
    <w:rsid w:val="003B2AD9"/>
    <w:rPr>
      <w:rFonts w:ascii="Courier" w:hAnsi="Courier"/>
    </w:rPr>
  </w:style>
  <w:style w:type="paragraph" w:styleId="ListParagraph">
    <w:name w:val="List Paragraph"/>
    <w:basedOn w:val="Normal"/>
    <w:uiPriority w:val="34"/>
    <w:qFormat/>
    <w:rsid w:val="002D0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web/empsit/ceseeb8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AC826-5118-4821-A2CA-DD93CD5F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24200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Tom Armington</dc:creator>
  <cp:lastModifiedBy>SYSTEM</cp:lastModifiedBy>
  <cp:revision>2</cp:revision>
  <cp:lastPrinted>2009-01-29T18:51:00Z</cp:lastPrinted>
  <dcterms:created xsi:type="dcterms:W3CDTF">2018-08-10T11:53:00Z</dcterms:created>
  <dcterms:modified xsi:type="dcterms:W3CDTF">2018-08-10T11:53:00Z</dcterms:modified>
</cp:coreProperties>
</file>