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19C45" w14:textId="77777777" w:rsidR="005A33BA" w:rsidRPr="009E0A49" w:rsidRDefault="005A33BA" w:rsidP="00406BA2">
      <w:pPr>
        <w:pStyle w:val="PlainText"/>
        <w:jc w:val="center"/>
        <w:rPr>
          <w:rFonts w:ascii="Times New Roman" w:eastAsia="MS Mincho" w:hAnsi="Times New Roman" w:cs="Times New Roman"/>
          <w:sz w:val="24"/>
          <w:u w:val="single"/>
        </w:rPr>
      </w:pPr>
      <w:bookmarkStart w:id="0" w:name="_GoBack"/>
      <w:bookmarkEnd w:id="0"/>
      <w:r w:rsidRPr="009E0A49">
        <w:rPr>
          <w:rFonts w:ascii="Times New Roman" w:eastAsia="MS Mincho" w:hAnsi="Times New Roman" w:cs="Times New Roman"/>
          <w:sz w:val="24"/>
          <w:u w:val="single"/>
        </w:rPr>
        <w:t>Supporting Statement</w:t>
      </w:r>
    </w:p>
    <w:p w14:paraId="5054F2DC" w14:textId="77777777" w:rsidR="005A33BA" w:rsidRPr="009E0A49" w:rsidRDefault="009E0A49" w:rsidP="00406BA2">
      <w:pPr>
        <w:pStyle w:val="PlainText"/>
        <w:jc w:val="center"/>
        <w:rPr>
          <w:rFonts w:ascii="Times New Roman" w:eastAsia="MS Mincho" w:hAnsi="Times New Roman" w:cs="Times New Roman"/>
          <w:sz w:val="24"/>
          <w:u w:val="single"/>
        </w:rPr>
      </w:pPr>
      <w:r w:rsidRPr="009E0A49">
        <w:rPr>
          <w:rFonts w:ascii="Times New Roman" w:eastAsia="MS Mincho" w:hAnsi="Times New Roman" w:cs="Times New Roman"/>
          <w:sz w:val="24"/>
          <w:u w:val="single"/>
        </w:rPr>
        <w:t>O</w:t>
      </w:r>
      <w:r w:rsidR="005A33BA" w:rsidRPr="009E0A49">
        <w:rPr>
          <w:rFonts w:ascii="Times New Roman" w:eastAsia="MS Mincho" w:hAnsi="Times New Roman" w:cs="Times New Roman"/>
          <w:sz w:val="24"/>
          <w:u w:val="single"/>
        </w:rPr>
        <w:t>MB Control Number 1506-0035</w:t>
      </w:r>
    </w:p>
    <w:p w14:paraId="65F5BC0F" w14:textId="77777777" w:rsidR="005A33BA" w:rsidRDefault="005A33BA" w:rsidP="00217303">
      <w:pPr>
        <w:pStyle w:val="PlainText"/>
        <w:rPr>
          <w:rFonts w:ascii="Times New Roman" w:eastAsia="MS Mincho" w:hAnsi="Times New Roman" w:cs="Times New Roman"/>
          <w:sz w:val="24"/>
        </w:rPr>
      </w:pPr>
    </w:p>
    <w:p w14:paraId="1F3C78FF" w14:textId="77777777" w:rsidR="007A24B0" w:rsidRPr="009E0A49" w:rsidRDefault="007A24B0" w:rsidP="00F041A6">
      <w:pPr>
        <w:pStyle w:val="PlainText"/>
        <w:ind w:right="270"/>
        <w:rPr>
          <w:rFonts w:ascii="Times New Roman" w:eastAsia="MS Mincho" w:hAnsi="Times New Roman" w:cs="Times New Roman"/>
          <w:bCs/>
          <w:sz w:val="24"/>
          <w:u w:val="single"/>
        </w:rPr>
      </w:pPr>
      <w:r w:rsidRPr="009E0A49">
        <w:rPr>
          <w:rFonts w:ascii="Times New Roman" w:eastAsia="MS Mincho" w:hAnsi="Times New Roman" w:cs="Times New Roman"/>
          <w:bCs/>
          <w:sz w:val="24"/>
          <w:u w:val="single"/>
        </w:rPr>
        <w:t>Anti-Money Laundering Programs for Insurance Companies and Non-Bank Residential Mortgage Lenders and Originators</w:t>
      </w:r>
    </w:p>
    <w:p w14:paraId="6DFA978A" w14:textId="77777777" w:rsidR="005A33BA" w:rsidRPr="007A24B0" w:rsidRDefault="005A33BA" w:rsidP="00217303">
      <w:pPr>
        <w:pStyle w:val="PlainText"/>
        <w:ind w:right="270"/>
        <w:rPr>
          <w:rFonts w:ascii="Times New Roman" w:eastAsia="MS Mincho" w:hAnsi="Times New Roman" w:cs="Times New Roman"/>
          <w:bCs/>
          <w:sz w:val="24"/>
        </w:rPr>
      </w:pPr>
    </w:p>
    <w:p w14:paraId="41947F38" w14:textId="77777777" w:rsidR="00CC2569" w:rsidRDefault="00CC2569" w:rsidP="00217303">
      <w:pPr>
        <w:pStyle w:val="PlainText"/>
        <w:rPr>
          <w:rFonts w:ascii="Times New Roman" w:eastAsia="MS Mincho" w:hAnsi="Times New Roman" w:cs="Times New Roman"/>
          <w:sz w:val="24"/>
        </w:rPr>
      </w:pPr>
      <w:r>
        <w:rPr>
          <w:rFonts w:ascii="Times New Roman" w:eastAsia="MS Mincho" w:hAnsi="Times New Roman" w:cs="Times New Roman"/>
          <w:sz w:val="24"/>
        </w:rPr>
        <w:t xml:space="preserve">1. </w:t>
      </w:r>
      <w:r w:rsidR="009C4404">
        <w:rPr>
          <w:rFonts w:ascii="Times New Roman" w:hAnsi="Times New Roman" w:cs="Times New Roman"/>
          <w:sz w:val="24"/>
          <w:szCs w:val="22"/>
          <w:u w:val="single"/>
        </w:rPr>
        <w:t>Circumstances necessitating collection of information.</w:t>
      </w:r>
      <w:r w:rsidR="009C4404">
        <w:rPr>
          <w:rFonts w:ascii="Times New Roman" w:eastAsia="MS Mincho" w:hAnsi="Times New Roman" w:cs="Times New Roman"/>
          <w:sz w:val="24"/>
        </w:rPr>
        <w:tab/>
      </w:r>
    </w:p>
    <w:p w14:paraId="78E16B5F" w14:textId="77777777" w:rsidR="00CC2569" w:rsidRDefault="00CC2569" w:rsidP="00217303">
      <w:pPr>
        <w:pStyle w:val="PlainText"/>
        <w:rPr>
          <w:rFonts w:ascii="Times New Roman" w:eastAsia="MS Mincho" w:hAnsi="Times New Roman" w:cs="Times New Roman"/>
          <w:sz w:val="24"/>
        </w:rPr>
      </w:pPr>
    </w:p>
    <w:p w14:paraId="7AE10828" w14:textId="60476620" w:rsidR="00CC2569" w:rsidRDefault="00CC2569" w:rsidP="00217303">
      <w:pPr>
        <w:pStyle w:val="PlainText"/>
        <w:ind w:firstLine="720"/>
        <w:rPr>
          <w:rFonts w:ascii="Times New Roman" w:eastAsia="MS Mincho" w:hAnsi="Times New Roman" w:cs="Times New Roman"/>
          <w:sz w:val="24"/>
        </w:rPr>
      </w:pPr>
      <w:r>
        <w:rPr>
          <w:rFonts w:ascii="Times New Roman" w:eastAsia="MS Mincho" w:hAnsi="Times New Roman" w:cs="Times New Roman"/>
          <w:sz w:val="24"/>
        </w:rPr>
        <w:t>The statute generally referred to as the “Bank Secrecy Act,”</w:t>
      </w:r>
      <w:r w:rsidR="00DB2EAD">
        <w:rPr>
          <w:rFonts w:ascii="Times New Roman" w:eastAsia="MS Mincho" w:hAnsi="Times New Roman" w:cs="Times New Roman"/>
          <w:sz w:val="24"/>
        </w:rPr>
        <w:t xml:space="preserve"> (“BSA”)</w:t>
      </w:r>
      <w:r>
        <w:rPr>
          <w:rFonts w:ascii="Times New Roman" w:eastAsia="MS Mincho" w:hAnsi="Times New Roman" w:cs="Times New Roman"/>
          <w:sz w:val="24"/>
        </w:rPr>
        <w:t xml:space="preserve"> Titles I and II of Public Law 91-508, as amended, codified at 12 U.S.C. 1829b, 12 U.S.C. 1951-1959, and 31 U.S.C. 5311-5332, authorizes the Secretary of the Treasury, </w:t>
      </w:r>
      <w:r w:rsidR="00850A6B" w:rsidRPr="00C86E4B">
        <w:rPr>
          <w:rFonts w:ascii="Times New Roman" w:eastAsia="MS Mincho" w:hAnsi="Times New Roman" w:cs="Times New Roman"/>
          <w:sz w:val="24"/>
        </w:rPr>
        <w:t>among other things</w:t>
      </w:r>
      <w:r>
        <w:rPr>
          <w:rFonts w:ascii="Times New Roman" w:eastAsia="MS Mincho" w:hAnsi="Times New Roman" w:cs="Times New Roman"/>
          <w:sz w:val="24"/>
        </w:rPr>
        <w:t>,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counter-money laundering programs and compliance procedures.</w:t>
      </w:r>
      <w:r>
        <w:rPr>
          <w:rStyle w:val="FootnoteReference"/>
          <w:rFonts w:ascii="Times New Roman" w:eastAsia="MS Mincho" w:hAnsi="Times New Roman" w:cs="Times New Roman"/>
          <w:sz w:val="24"/>
        </w:rPr>
        <w:footnoteReference w:id="1"/>
      </w:r>
      <w:r>
        <w:rPr>
          <w:rFonts w:ascii="Times New Roman" w:eastAsia="MS Mincho" w:hAnsi="Times New Roman" w:cs="Times New Roman"/>
          <w:sz w:val="24"/>
        </w:rPr>
        <w:t xml:space="preserve">  Regulations implementing Title II of the BSA</w:t>
      </w:r>
      <w:r w:rsidR="006A05AD">
        <w:rPr>
          <w:rFonts w:ascii="Times New Roman" w:eastAsia="MS Mincho" w:hAnsi="Times New Roman" w:cs="Times New Roman"/>
          <w:sz w:val="24"/>
        </w:rPr>
        <w:t xml:space="preserve"> </w:t>
      </w:r>
      <w:r>
        <w:rPr>
          <w:rFonts w:ascii="Times New Roman" w:eastAsia="MS Mincho" w:hAnsi="Times New Roman" w:cs="Times New Roman"/>
          <w:sz w:val="24"/>
        </w:rPr>
        <w:t xml:space="preserve">appear at 31 CFR </w:t>
      </w:r>
      <w:r w:rsidR="00EE0EDC">
        <w:rPr>
          <w:rFonts w:ascii="Times New Roman" w:eastAsia="MS Mincho" w:hAnsi="Times New Roman" w:cs="Times New Roman"/>
          <w:sz w:val="24"/>
        </w:rPr>
        <w:t>Chapter X</w:t>
      </w:r>
      <w:r>
        <w:rPr>
          <w:rFonts w:ascii="Times New Roman" w:eastAsia="MS Mincho" w:hAnsi="Times New Roman" w:cs="Times New Roman"/>
          <w:sz w:val="24"/>
        </w:rPr>
        <w:t xml:space="preserve">.  The authority of the Secretary to administer the </w:t>
      </w:r>
      <w:r w:rsidR="006A05AD">
        <w:rPr>
          <w:rFonts w:ascii="Times New Roman" w:eastAsia="MS Mincho" w:hAnsi="Times New Roman" w:cs="Times New Roman"/>
          <w:sz w:val="24"/>
        </w:rPr>
        <w:t>BSA</w:t>
      </w:r>
      <w:r>
        <w:rPr>
          <w:rFonts w:ascii="Times New Roman" w:eastAsia="MS Mincho" w:hAnsi="Times New Roman" w:cs="Times New Roman"/>
          <w:sz w:val="24"/>
        </w:rPr>
        <w:t xml:space="preserve"> has been delegated to the Director of the Financial Crimes Enforcement Network</w:t>
      </w:r>
      <w:r w:rsidR="00DB2EAD">
        <w:rPr>
          <w:rFonts w:ascii="Times New Roman" w:eastAsia="MS Mincho" w:hAnsi="Times New Roman" w:cs="Times New Roman"/>
          <w:sz w:val="24"/>
        </w:rPr>
        <w:t xml:space="preserve"> (“FinCEN”)</w:t>
      </w:r>
      <w:r>
        <w:rPr>
          <w:rFonts w:ascii="Times New Roman" w:eastAsia="MS Mincho" w:hAnsi="Times New Roman" w:cs="Times New Roman"/>
          <w:sz w:val="24"/>
        </w:rPr>
        <w:t>.</w:t>
      </w:r>
    </w:p>
    <w:p w14:paraId="2602CF0F" w14:textId="77777777" w:rsidR="00CC2569" w:rsidRDefault="00CC2569" w:rsidP="00217303">
      <w:pPr>
        <w:pStyle w:val="PlainText"/>
        <w:ind w:firstLine="720"/>
        <w:rPr>
          <w:rFonts w:ascii="Times New Roman" w:eastAsia="MS Mincho" w:hAnsi="Times New Roman" w:cs="Times New Roman"/>
          <w:sz w:val="24"/>
        </w:rPr>
      </w:pPr>
    </w:p>
    <w:p w14:paraId="54CE34E9" w14:textId="7B22C2B4" w:rsidR="00CC2569" w:rsidRDefault="00CC2569" w:rsidP="00217303">
      <w:pPr>
        <w:pStyle w:val="PlainText"/>
        <w:rPr>
          <w:rFonts w:ascii="Times New Roman" w:eastAsia="MS Mincho" w:hAnsi="Times New Roman" w:cs="Times New Roman"/>
          <w:sz w:val="24"/>
        </w:rPr>
      </w:pPr>
      <w:r>
        <w:rPr>
          <w:rFonts w:ascii="Times New Roman" w:eastAsia="MS Mincho" w:hAnsi="Times New Roman" w:cs="Times New Roman"/>
          <w:sz w:val="24"/>
        </w:rPr>
        <w:tab/>
        <w:t>Section 3</w:t>
      </w:r>
      <w:r w:rsidR="00CD67EF">
        <w:rPr>
          <w:rFonts w:ascii="Times New Roman" w:eastAsia="MS Mincho" w:hAnsi="Times New Roman" w:cs="Times New Roman"/>
          <w:sz w:val="24"/>
        </w:rPr>
        <w:t>5</w:t>
      </w:r>
      <w:r>
        <w:rPr>
          <w:rFonts w:ascii="Times New Roman" w:eastAsia="MS Mincho" w:hAnsi="Times New Roman" w:cs="Times New Roman"/>
          <w:sz w:val="24"/>
        </w:rPr>
        <w:t xml:space="preserve">2 of the USA PATRIOT Act added a new subsection (h) to 31 U.S.C. 5318 of the </w:t>
      </w:r>
      <w:r w:rsidR="00DB2EAD">
        <w:rPr>
          <w:rFonts w:ascii="Times New Roman" w:eastAsia="MS Mincho" w:hAnsi="Times New Roman" w:cs="Times New Roman"/>
          <w:sz w:val="24"/>
        </w:rPr>
        <w:t>BSA</w:t>
      </w:r>
      <w:r>
        <w:rPr>
          <w:rFonts w:ascii="Times New Roman" w:eastAsia="MS Mincho" w:hAnsi="Times New Roman" w:cs="Times New Roman"/>
          <w:sz w:val="24"/>
        </w:rPr>
        <w:t xml:space="preserve"> that requires the Secretary of the Treasury to require financial institutions to establish and maintain anti-money laundering</w:t>
      </w:r>
      <w:r w:rsidR="006A05AD">
        <w:rPr>
          <w:rFonts w:ascii="Times New Roman" w:eastAsia="MS Mincho" w:hAnsi="Times New Roman" w:cs="Times New Roman"/>
          <w:sz w:val="24"/>
        </w:rPr>
        <w:t xml:space="preserve"> </w:t>
      </w:r>
      <w:r w:rsidR="006A05AD">
        <w:rPr>
          <w:rFonts w:ascii="Times New Roman" w:hAnsi="Times New Roman"/>
          <w:sz w:val="24"/>
        </w:rPr>
        <w:t>(“AML”)</w:t>
      </w:r>
      <w:r>
        <w:rPr>
          <w:rFonts w:ascii="Times New Roman" w:eastAsia="MS Mincho" w:hAnsi="Times New Roman" w:cs="Times New Roman"/>
          <w:sz w:val="24"/>
        </w:rPr>
        <w:t xml:space="preserve"> programs.  </w:t>
      </w:r>
      <w:r>
        <w:rPr>
          <w:rFonts w:ascii="Times New Roman" w:hAnsi="Times New Roman"/>
          <w:sz w:val="24"/>
        </w:rPr>
        <w:t>Pursuant to section 352, FinCEN issued regulations requiring insurance companies</w:t>
      </w:r>
      <w:r w:rsidR="006C52DF">
        <w:rPr>
          <w:rFonts w:ascii="Times New Roman" w:hAnsi="Times New Roman"/>
          <w:sz w:val="24"/>
        </w:rPr>
        <w:t xml:space="preserve"> and non-bank residential mortgage lenders and originators</w:t>
      </w:r>
      <w:r>
        <w:rPr>
          <w:rFonts w:ascii="Times New Roman" w:hAnsi="Times New Roman"/>
          <w:sz w:val="24"/>
        </w:rPr>
        <w:t xml:space="preserve"> to develop and implement a written </w:t>
      </w:r>
      <w:r w:rsidR="006A05AD">
        <w:rPr>
          <w:rFonts w:ascii="Times New Roman" w:hAnsi="Times New Roman"/>
          <w:sz w:val="24"/>
        </w:rPr>
        <w:t>AML</w:t>
      </w:r>
      <w:r>
        <w:rPr>
          <w:rFonts w:ascii="Times New Roman" w:hAnsi="Times New Roman"/>
          <w:sz w:val="24"/>
        </w:rPr>
        <w:t xml:space="preserve"> program</w:t>
      </w:r>
      <w:r w:rsidR="006C52DF">
        <w:rPr>
          <w:rFonts w:ascii="Times New Roman" w:hAnsi="Times New Roman"/>
          <w:sz w:val="24"/>
        </w:rPr>
        <w:t xml:space="preserve">, </w:t>
      </w:r>
      <w:r w:rsidR="00850A6B">
        <w:rPr>
          <w:rFonts w:ascii="Times New Roman" w:hAnsi="Times New Roman"/>
          <w:sz w:val="24"/>
        </w:rPr>
        <w:t xml:space="preserve">respectively </w:t>
      </w:r>
      <w:r>
        <w:rPr>
          <w:rFonts w:ascii="Times New Roman" w:hAnsi="Times New Roman"/>
          <w:sz w:val="24"/>
        </w:rPr>
        <w:t>31 CFR 10</w:t>
      </w:r>
      <w:r w:rsidR="00222B47">
        <w:rPr>
          <w:rFonts w:ascii="Times New Roman" w:hAnsi="Times New Roman"/>
          <w:sz w:val="24"/>
        </w:rPr>
        <w:t>25</w:t>
      </w:r>
      <w:r>
        <w:rPr>
          <w:rFonts w:ascii="Times New Roman" w:hAnsi="Times New Roman"/>
          <w:sz w:val="24"/>
        </w:rPr>
        <w:t>.</w:t>
      </w:r>
      <w:r w:rsidR="00222B47">
        <w:rPr>
          <w:rFonts w:ascii="Times New Roman" w:hAnsi="Times New Roman"/>
          <w:sz w:val="24"/>
        </w:rPr>
        <w:t>210</w:t>
      </w:r>
      <w:r w:rsidR="006C52DF">
        <w:rPr>
          <w:rFonts w:ascii="Times New Roman" w:hAnsi="Times New Roman"/>
          <w:sz w:val="24"/>
        </w:rPr>
        <w:t xml:space="preserve"> and </w:t>
      </w:r>
      <w:r w:rsidR="00222B47">
        <w:rPr>
          <w:rFonts w:ascii="Times New Roman" w:hAnsi="Times New Roman"/>
          <w:sz w:val="24"/>
        </w:rPr>
        <w:t>31 CFR 1029.210</w:t>
      </w:r>
      <w:r w:rsidR="00DC75C5">
        <w:rPr>
          <w:rFonts w:ascii="Times New Roman" w:hAnsi="Times New Roman"/>
          <w:sz w:val="24"/>
        </w:rPr>
        <w:t xml:space="preserve">. </w:t>
      </w:r>
      <w:r>
        <w:rPr>
          <w:rFonts w:ascii="Times New Roman" w:hAnsi="Times New Roman"/>
          <w:sz w:val="24"/>
        </w:rPr>
        <w:t xml:space="preserve">The program must be reasonably designed to prevent these financial institutions from being used for money laundering or the financing of terrorist activities, and to achieve and monitor compliance with applicable </w:t>
      </w:r>
      <w:r w:rsidR="009A2D55">
        <w:rPr>
          <w:rFonts w:ascii="Times New Roman" w:hAnsi="Times New Roman"/>
          <w:sz w:val="24"/>
        </w:rPr>
        <w:t>BSA</w:t>
      </w:r>
      <w:r>
        <w:rPr>
          <w:rFonts w:ascii="Times New Roman" w:hAnsi="Times New Roman"/>
          <w:sz w:val="24"/>
        </w:rPr>
        <w:t xml:space="preserve"> requirements.</w:t>
      </w:r>
    </w:p>
    <w:p w14:paraId="05D0ACE8" w14:textId="77777777" w:rsidR="00CC2569" w:rsidRDefault="00CC2569" w:rsidP="00217303"/>
    <w:p w14:paraId="31860717" w14:textId="77777777" w:rsidR="00CC2569" w:rsidRDefault="00CC2569" w:rsidP="00217303">
      <w:r>
        <w:t xml:space="preserve">2. </w:t>
      </w:r>
      <w:r w:rsidR="009C4404">
        <w:rPr>
          <w:u w:val="single"/>
        </w:rPr>
        <w:t>Method of collection and use of data</w:t>
      </w:r>
      <w:r w:rsidR="009C4404" w:rsidRPr="007A24B0">
        <w:rPr>
          <w:u w:val="single"/>
        </w:rPr>
        <w:t>.</w:t>
      </w:r>
      <w:r w:rsidR="009C4404">
        <w:t xml:space="preserve"> </w:t>
      </w:r>
    </w:p>
    <w:p w14:paraId="7DCAC9C7" w14:textId="77777777" w:rsidR="00CC2569" w:rsidRDefault="00CC2569" w:rsidP="00217303">
      <w:pPr>
        <w:widowControl w:val="0"/>
        <w:autoSpaceDE w:val="0"/>
        <w:autoSpaceDN w:val="0"/>
        <w:adjustRightInd w:val="0"/>
        <w:spacing w:line="244" w:lineRule="exact"/>
        <w:ind w:firstLine="715"/>
      </w:pPr>
    </w:p>
    <w:p w14:paraId="67ABE1FC" w14:textId="77777777" w:rsidR="00CC2569" w:rsidRDefault="00CC2569" w:rsidP="00F041A6">
      <w:pPr>
        <w:pStyle w:val="BodyTextIndent"/>
        <w:ind w:left="0" w:firstLine="720"/>
      </w:pPr>
      <w:r>
        <w:t xml:space="preserve">The </w:t>
      </w:r>
      <w:r w:rsidR="007C61EB">
        <w:t>AML</w:t>
      </w:r>
      <w:r>
        <w:t xml:space="preserve"> program requirements </w:t>
      </w:r>
      <w:r w:rsidR="00A517D5">
        <w:t>are</w:t>
      </w:r>
      <w:r>
        <w:t xml:space="preserve"> used by insurance companies </w:t>
      </w:r>
      <w:r w:rsidR="00DC75C5">
        <w:t xml:space="preserve">and non-bank residential mortgage lenders and originators </w:t>
      </w:r>
      <w:r>
        <w:t xml:space="preserve">to detect the occurrence of transactions required to be recorded or reported under the </w:t>
      </w:r>
      <w:r w:rsidR="006A05AD">
        <w:t>BSA</w:t>
      </w:r>
      <w:r>
        <w:t xml:space="preserve"> and to ensure that such institutions are not used to facilitate money laundering or terrorist financing.  The compliance program will be reviewed by </w:t>
      </w:r>
      <w:r w:rsidR="0019731C">
        <w:t>regulatory</w:t>
      </w:r>
      <w:r>
        <w:t xml:space="preserve"> agencies during the course of BSA compliance examinations.</w:t>
      </w:r>
    </w:p>
    <w:p w14:paraId="480962C7" w14:textId="77777777" w:rsidR="00CC2569" w:rsidRDefault="00CC2569" w:rsidP="00217303">
      <w:pPr>
        <w:spacing w:before="273"/>
        <w:rPr>
          <w:szCs w:val="22"/>
        </w:rPr>
      </w:pPr>
      <w:r>
        <w:rPr>
          <w:szCs w:val="22"/>
        </w:rPr>
        <w:t xml:space="preserve">3. </w:t>
      </w:r>
      <w:r w:rsidR="009E0A49">
        <w:rPr>
          <w:szCs w:val="22"/>
          <w:u w:val="single"/>
        </w:rPr>
        <w:t>Use of improved information technology to reduce burden.</w:t>
      </w:r>
      <w:r w:rsidR="009E0A49">
        <w:rPr>
          <w:szCs w:val="22"/>
        </w:rPr>
        <w:t xml:space="preserve"> </w:t>
      </w:r>
    </w:p>
    <w:p w14:paraId="2B1F4B27" w14:textId="77777777" w:rsidR="00CC2569" w:rsidRDefault="00CC2569" w:rsidP="00217303">
      <w:pPr>
        <w:spacing w:before="273"/>
        <w:ind w:firstLine="720"/>
        <w:rPr>
          <w:szCs w:val="22"/>
        </w:rPr>
      </w:pPr>
      <w:r>
        <w:rPr>
          <w:szCs w:val="22"/>
        </w:rPr>
        <w:t xml:space="preserve">Financial institutions are permitted to automate their </w:t>
      </w:r>
      <w:r w:rsidR="006A05AD">
        <w:rPr>
          <w:szCs w:val="22"/>
        </w:rPr>
        <w:t>AML</w:t>
      </w:r>
      <w:r>
        <w:rPr>
          <w:szCs w:val="22"/>
        </w:rPr>
        <w:t xml:space="preserve"> program to meet their requirements.  There is no specific government mandate to do so.  </w:t>
      </w:r>
    </w:p>
    <w:p w14:paraId="6A92EF5B" w14:textId="77777777" w:rsidR="00CC2569" w:rsidRDefault="00CC2569" w:rsidP="00217303">
      <w:pPr>
        <w:spacing w:before="283"/>
        <w:rPr>
          <w:szCs w:val="22"/>
          <w:u w:val="single"/>
        </w:rPr>
      </w:pPr>
      <w:r>
        <w:rPr>
          <w:szCs w:val="22"/>
        </w:rPr>
        <w:lastRenderedPageBreak/>
        <w:t xml:space="preserve">4. </w:t>
      </w:r>
      <w:r w:rsidR="009E0A49">
        <w:rPr>
          <w:szCs w:val="22"/>
          <w:u w:val="single"/>
        </w:rPr>
        <w:t xml:space="preserve">Efforts to identify duplication. </w:t>
      </w:r>
    </w:p>
    <w:p w14:paraId="21F56E3F" w14:textId="77777777" w:rsidR="00CC2569" w:rsidRDefault="00CC2569" w:rsidP="00217303">
      <w:pPr>
        <w:spacing w:before="283"/>
        <w:ind w:firstLine="720"/>
        <w:rPr>
          <w:szCs w:val="22"/>
        </w:rPr>
      </w:pPr>
      <w:r>
        <w:rPr>
          <w:szCs w:val="22"/>
        </w:rPr>
        <w:t xml:space="preserve">There is no similar information available; thus there is no duplication. </w:t>
      </w:r>
    </w:p>
    <w:p w14:paraId="5F9327D9" w14:textId="77777777" w:rsidR="009E0A49" w:rsidRDefault="009E0A49" w:rsidP="00217303">
      <w:pPr>
        <w:ind w:firstLine="720"/>
        <w:rPr>
          <w:szCs w:val="22"/>
        </w:rPr>
      </w:pPr>
    </w:p>
    <w:p w14:paraId="2B6C9C2E" w14:textId="77777777" w:rsidR="00CC2569" w:rsidRDefault="00CC2569" w:rsidP="00217303">
      <w:pPr>
        <w:rPr>
          <w:szCs w:val="22"/>
          <w:u w:val="single"/>
        </w:rPr>
      </w:pPr>
      <w:r>
        <w:rPr>
          <w:szCs w:val="22"/>
        </w:rPr>
        <w:t xml:space="preserve">5. </w:t>
      </w:r>
      <w:r w:rsidR="009E0A49">
        <w:rPr>
          <w:szCs w:val="22"/>
          <w:u w:val="single"/>
        </w:rPr>
        <w:t>Methods to minimize burden on small businesses or other small entities.</w:t>
      </w:r>
    </w:p>
    <w:p w14:paraId="00B05D38" w14:textId="77777777" w:rsidR="009E0A49" w:rsidRDefault="009E0A49" w:rsidP="00217303">
      <w:pPr>
        <w:rPr>
          <w:szCs w:val="22"/>
          <w:u w:val="single"/>
        </w:rPr>
      </w:pPr>
    </w:p>
    <w:p w14:paraId="08F4CBEB" w14:textId="77777777" w:rsidR="00CC2569" w:rsidRDefault="00CC2569" w:rsidP="00217303">
      <w:pPr>
        <w:ind w:firstLine="720"/>
        <w:rPr>
          <w:szCs w:val="22"/>
        </w:rPr>
      </w:pPr>
      <w:r>
        <w:rPr>
          <w:szCs w:val="22"/>
        </w:rPr>
        <w:t xml:space="preserve">All financial institutions are required to document their </w:t>
      </w:r>
      <w:r w:rsidR="00111E68">
        <w:rPr>
          <w:szCs w:val="22"/>
        </w:rPr>
        <w:t>AML</w:t>
      </w:r>
      <w:r>
        <w:rPr>
          <w:szCs w:val="22"/>
        </w:rPr>
        <w:t xml:space="preserve"> program</w:t>
      </w:r>
      <w:r w:rsidR="009A2D55">
        <w:rPr>
          <w:szCs w:val="22"/>
        </w:rPr>
        <w:t>s</w:t>
      </w:r>
      <w:r>
        <w:rPr>
          <w:szCs w:val="22"/>
        </w:rPr>
        <w:t xml:space="preserve"> and are permitted to use the method most suitable to their requirement</w:t>
      </w:r>
      <w:r w:rsidR="009A2D55">
        <w:rPr>
          <w:szCs w:val="22"/>
        </w:rPr>
        <w:t>s</w:t>
      </w:r>
      <w:r>
        <w:rPr>
          <w:szCs w:val="22"/>
        </w:rPr>
        <w:t>.</w:t>
      </w:r>
    </w:p>
    <w:p w14:paraId="323FAE0C" w14:textId="77777777" w:rsidR="009E0A49" w:rsidRDefault="009E0A49" w:rsidP="00217303">
      <w:pPr>
        <w:ind w:firstLine="720"/>
        <w:rPr>
          <w:szCs w:val="22"/>
        </w:rPr>
      </w:pPr>
    </w:p>
    <w:p w14:paraId="5004BFC3" w14:textId="77777777" w:rsidR="009E0A49" w:rsidRDefault="00CC2569" w:rsidP="00217303">
      <w:pPr>
        <w:rPr>
          <w:szCs w:val="22"/>
        </w:rPr>
      </w:pPr>
      <w:r>
        <w:rPr>
          <w:szCs w:val="22"/>
        </w:rPr>
        <w:t xml:space="preserve">6. </w:t>
      </w:r>
      <w:r w:rsidR="009E0A49">
        <w:rPr>
          <w:szCs w:val="22"/>
          <w:u w:val="single"/>
        </w:rPr>
        <w:t xml:space="preserve">Consequences to the </w:t>
      </w:r>
      <w:r w:rsidR="00F041A6">
        <w:rPr>
          <w:szCs w:val="22"/>
          <w:u w:val="single"/>
        </w:rPr>
        <w:t xml:space="preserve">Federal </w:t>
      </w:r>
      <w:r w:rsidR="009E0A49">
        <w:rPr>
          <w:szCs w:val="22"/>
          <w:u w:val="single"/>
        </w:rPr>
        <w:t>government of not collecting the information.</w:t>
      </w:r>
    </w:p>
    <w:p w14:paraId="613D8347" w14:textId="77777777" w:rsidR="009E0A49" w:rsidRDefault="00CC2569" w:rsidP="00217303">
      <w:pPr>
        <w:widowControl w:val="0"/>
        <w:autoSpaceDE w:val="0"/>
        <w:autoSpaceDN w:val="0"/>
        <w:adjustRightInd w:val="0"/>
        <w:spacing w:before="244" w:line="235" w:lineRule="exact"/>
        <w:ind w:firstLine="720"/>
        <w:rPr>
          <w:szCs w:val="22"/>
        </w:rPr>
      </w:pPr>
      <w:r>
        <w:rPr>
          <w:szCs w:val="22"/>
        </w:rPr>
        <w:t xml:space="preserve">The </w:t>
      </w:r>
      <w:r w:rsidR="00111E68">
        <w:rPr>
          <w:szCs w:val="22"/>
        </w:rPr>
        <w:t>F</w:t>
      </w:r>
      <w:r>
        <w:rPr>
          <w:szCs w:val="22"/>
        </w:rPr>
        <w:t xml:space="preserve">ederal government requires reporting of </w:t>
      </w:r>
      <w:r w:rsidR="007A24B0">
        <w:rPr>
          <w:szCs w:val="22"/>
        </w:rPr>
        <w:t xml:space="preserve">a financial institution’s AML program </w:t>
      </w:r>
      <w:r>
        <w:rPr>
          <w:szCs w:val="22"/>
        </w:rPr>
        <w:t>only upon request</w:t>
      </w:r>
      <w:r w:rsidR="009E0A49">
        <w:rPr>
          <w:szCs w:val="22"/>
        </w:rPr>
        <w:t xml:space="preserve"> of appropriate law enforcement agencies and supervisory agencies.</w:t>
      </w:r>
    </w:p>
    <w:p w14:paraId="0FE21E73" w14:textId="77777777" w:rsidR="009E0A49" w:rsidRDefault="009E0A49" w:rsidP="00217303">
      <w:pPr>
        <w:ind w:firstLine="720"/>
        <w:rPr>
          <w:szCs w:val="22"/>
        </w:rPr>
      </w:pPr>
    </w:p>
    <w:p w14:paraId="70B6EB94" w14:textId="77777777" w:rsidR="009E0A49" w:rsidRDefault="00CC2569" w:rsidP="00F041A6">
      <w:r>
        <w:rPr>
          <w:szCs w:val="22"/>
        </w:rPr>
        <w:t xml:space="preserve">7. </w:t>
      </w:r>
      <w:r w:rsidR="009E0A49">
        <w:rPr>
          <w:u w:val="single"/>
        </w:rPr>
        <w:t>Special circumstances requiring data collection to be inconsistent with guidelines in 5 CFR 1320.5(d)(2)</w:t>
      </w:r>
      <w:r w:rsidR="009E0A49" w:rsidRPr="00EA06CF">
        <w:rPr>
          <w:u w:val="single"/>
        </w:rPr>
        <w:t>.</w:t>
      </w:r>
      <w:r w:rsidR="009E0A49">
        <w:t xml:space="preserve">  </w:t>
      </w:r>
    </w:p>
    <w:p w14:paraId="347889BF" w14:textId="77777777" w:rsidR="009E0A49" w:rsidRDefault="009E0A49">
      <w:pPr>
        <w:ind w:left="450"/>
      </w:pPr>
    </w:p>
    <w:p w14:paraId="0F493D54" w14:textId="77777777" w:rsidR="00CC2569" w:rsidRDefault="00CC2569" w:rsidP="00217303">
      <w:pPr>
        <w:widowControl w:val="0"/>
        <w:autoSpaceDE w:val="0"/>
        <w:autoSpaceDN w:val="0"/>
        <w:adjustRightInd w:val="0"/>
        <w:ind w:firstLine="720"/>
        <w:rPr>
          <w:szCs w:val="4"/>
        </w:rPr>
      </w:pPr>
      <w:r>
        <w:rPr>
          <w:szCs w:val="22"/>
        </w:rPr>
        <w:t>Under 31 CFR 10</w:t>
      </w:r>
      <w:r w:rsidR="00222B47">
        <w:rPr>
          <w:szCs w:val="22"/>
        </w:rPr>
        <w:t>10.430</w:t>
      </w:r>
      <w:r>
        <w:rPr>
          <w:szCs w:val="22"/>
        </w:rPr>
        <w:t>, records must be kept for 5 years.  This retention period is necessary to substantiate violations that have occurred within the statute of limitations (5 years)</w:t>
      </w:r>
      <w:r>
        <w:rPr>
          <w:szCs w:val="4"/>
        </w:rPr>
        <w:t>.</w:t>
      </w:r>
    </w:p>
    <w:p w14:paraId="07C28A4C" w14:textId="77777777" w:rsidR="00CC2569" w:rsidRDefault="00CC2569" w:rsidP="00217303">
      <w:pPr>
        <w:rPr>
          <w:szCs w:val="22"/>
        </w:rPr>
      </w:pPr>
    </w:p>
    <w:p w14:paraId="4D4043B9" w14:textId="77777777" w:rsidR="00CC2569" w:rsidRDefault="00CC2569" w:rsidP="00217303">
      <w:pPr>
        <w:rPr>
          <w:szCs w:val="22"/>
        </w:rPr>
      </w:pPr>
      <w:r>
        <w:rPr>
          <w:szCs w:val="22"/>
        </w:rPr>
        <w:t xml:space="preserve">8. </w:t>
      </w:r>
      <w:r w:rsidR="009E0A49">
        <w:rPr>
          <w:szCs w:val="22"/>
          <w:u w:val="single"/>
        </w:rPr>
        <w:t>Consultation with individuals outside of the agency on availability of data.  Frequency of collection, clarity of instructions and forms, and data elements.</w:t>
      </w:r>
      <w:r w:rsidR="009E0A49">
        <w:rPr>
          <w:szCs w:val="22"/>
        </w:rPr>
        <w:t xml:space="preserve"> </w:t>
      </w:r>
    </w:p>
    <w:p w14:paraId="3573004D" w14:textId="77777777" w:rsidR="00CC2569" w:rsidRDefault="00CC2569" w:rsidP="00217303">
      <w:pPr>
        <w:rPr>
          <w:szCs w:val="22"/>
        </w:rPr>
      </w:pPr>
    </w:p>
    <w:p w14:paraId="17DF59A0" w14:textId="77777777" w:rsidR="0000707E" w:rsidRPr="00C070B1" w:rsidRDefault="00CC2569" w:rsidP="00F041A6">
      <w:pPr>
        <w:autoSpaceDE w:val="0"/>
        <w:autoSpaceDN w:val="0"/>
        <w:adjustRightInd w:val="0"/>
        <w:ind w:firstLine="720"/>
      </w:pPr>
      <w:r w:rsidRPr="00C7547B">
        <w:rPr>
          <w:szCs w:val="20"/>
        </w:rPr>
        <w:t xml:space="preserve">On </w:t>
      </w:r>
      <w:r w:rsidR="007603C8" w:rsidRPr="00C7547B">
        <w:rPr>
          <w:szCs w:val="20"/>
        </w:rPr>
        <w:t xml:space="preserve">July </w:t>
      </w:r>
      <w:r w:rsidR="00A6418A" w:rsidRPr="00C7547B">
        <w:rPr>
          <w:szCs w:val="20"/>
        </w:rPr>
        <w:t>19</w:t>
      </w:r>
      <w:r w:rsidR="0000707E" w:rsidRPr="00C7547B">
        <w:rPr>
          <w:szCs w:val="20"/>
        </w:rPr>
        <w:t>, 201</w:t>
      </w:r>
      <w:r w:rsidR="007603C8" w:rsidRPr="00C7547B">
        <w:rPr>
          <w:szCs w:val="20"/>
        </w:rPr>
        <w:t>8</w:t>
      </w:r>
      <w:r w:rsidR="0000707E" w:rsidRPr="00C7547B">
        <w:rPr>
          <w:szCs w:val="20"/>
        </w:rPr>
        <w:t xml:space="preserve">, </w:t>
      </w:r>
      <w:r w:rsidR="007603C8" w:rsidRPr="00C7547B">
        <w:rPr>
          <w:szCs w:val="20"/>
        </w:rPr>
        <w:t>FinCEN</w:t>
      </w:r>
      <w:r w:rsidR="007603C8" w:rsidRPr="00C7547B">
        <w:t xml:space="preserve"> </w:t>
      </w:r>
      <w:r w:rsidRPr="00C7547B">
        <w:t xml:space="preserve">issued a notice </w:t>
      </w:r>
      <w:r w:rsidR="00EB30F0" w:rsidRPr="00C7547B">
        <w:t xml:space="preserve">and request for comments to renew existing AML programs. </w:t>
      </w:r>
      <w:r w:rsidRPr="00C7547B">
        <w:t xml:space="preserve">(See </w:t>
      </w:r>
      <w:r w:rsidR="0000707E" w:rsidRPr="00C7547B">
        <w:t>8</w:t>
      </w:r>
      <w:r w:rsidR="007603C8" w:rsidRPr="00C7547B">
        <w:t>3</w:t>
      </w:r>
      <w:r w:rsidRPr="00C7547B">
        <w:rPr>
          <w:rFonts w:eastAsia="MS Mincho"/>
        </w:rPr>
        <w:t xml:space="preserve"> FR </w:t>
      </w:r>
      <w:r w:rsidR="00A6418A" w:rsidRPr="00C7547B">
        <w:rPr>
          <w:rFonts w:eastAsia="MS Mincho"/>
        </w:rPr>
        <w:t>34298</w:t>
      </w:r>
      <w:r w:rsidR="00346406" w:rsidRPr="00C7547B">
        <w:rPr>
          <w:rFonts w:eastAsia="MS Mincho"/>
        </w:rPr>
        <w:t>)</w:t>
      </w:r>
      <w:r w:rsidRPr="00C7547B">
        <w:t xml:space="preserve">.  </w:t>
      </w:r>
      <w:r w:rsidR="00EB30F0" w:rsidRPr="00C7547B">
        <w:t xml:space="preserve">FinCEN </w:t>
      </w:r>
      <w:r w:rsidRPr="00C7547B">
        <w:t xml:space="preserve">received </w:t>
      </w:r>
      <w:r w:rsidR="007603C8" w:rsidRPr="00C7547B">
        <w:t>n</w:t>
      </w:r>
      <w:r w:rsidR="00EE364F" w:rsidRPr="00C7547B">
        <w:t>o</w:t>
      </w:r>
      <w:r w:rsidR="00EB30F0" w:rsidRPr="00C7547B">
        <w:t xml:space="preserve"> </w:t>
      </w:r>
      <w:r w:rsidRPr="00C7547B">
        <w:t>comment</w:t>
      </w:r>
      <w:r w:rsidR="007603C8" w:rsidRPr="00C7547B">
        <w:t>s</w:t>
      </w:r>
      <w:r w:rsidRPr="00C7547B">
        <w:t xml:space="preserve"> to </w:t>
      </w:r>
      <w:r w:rsidRPr="00C070B1">
        <w:t xml:space="preserve">the </w:t>
      </w:r>
      <w:r w:rsidR="00111E68" w:rsidRPr="00C070B1">
        <w:t>F</w:t>
      </w:r>
      <w:r w:rsidRPr="00C070B1">
        <w:t>ederal</w:t>
      </w:r>
      <w:r w:rsidR="003E0D88" w:rsidRPr="00C070B1">
        <w:t xml:space="preserve"> R</w:t>
      </w:r>
      <w:r w:rsidRPr="00C070B1">
        <w:t>egister notice.</w:t>
      </w:r>
      <w:r w:rsidR="00EE364F" w:rsidRPr="00C070B1">
        <w:t xml:space="preserve"> </w:t>
      </w:r>
    </w:p>
    <w:p w14:paraId="6E7E05D2" w14:textId="77777777" w:rsidR="0000707E" w:rsidRPr="00C7547B" w:rsidRDefault="0000707E">
      <w:pPr>
        <w:widowControl w:val="0"/>
        <w:autoSpaceDE w:val="0"/>
        <w:autoSpaceDN w:val="0"/>
        <w:adjustRightInd w:val="0"/>
        <w:spacing w:line="240" w:lineRule="exact"/>
        <w:ind w:right="220" w:firstLine="720"/>
      </w:pPr>
    </w:p>
    <w:p w14:paraId="73B23A0E" w14:textId="77777777" w:rsidR="00CC2569" w:rsidRDefault="0000707E">
      <w:pPr>
        <w:widowControl w:val="0"/>
        <w:autoSpaceDE w:val="0"/>
        <w:autoSpaceDN w:val="0"/>
        <w:adjustRightInd w:val="0"/>
        <w:spacing w:line="240" w:lineRule="exact"/>
        <w:ind w:right="220"/>
        <w:rPr>
          <w:szCs w:val="22"/>
        </w:rPr>
      </w:pPr>
      <w:r w:rsidRPr="00C7547B">
        <w:t xml:space="preserve">9.   </w:t>
      </w:r>
      <w:r w:rsidR="009E0A49">
        <w:rPr>
          <w:u w:val="single"/>
        </w:rPr>
        <w:t>Explanation of decision to provide any payment or gift to respondents</w:t>
      </w:r>
      <w:r w:rsidR="009E0A49" w:rsidRPr="00EA06CF">
        <w:rPr>
          <w:u w:val="single"/>
        </w:rPr>
        <w:t>.</w:t>
      </w:r>
      <w:r w:rsidR="009E0A49">
        <w:t xml:space="preserve">  </w:t>
      </w:r>
    </w:p>
    <w:p w14:paraId="176A132A" w14:textId="77777777" w:rsidR="00CC2569" w:rsidRDefault="00CC2569" w:rsidP="00217303">
      <w:pPr>
        <w:spacing w:before="283"/>
        <w:ind w:firstLine="720"/>
        <w:rPr>
          <w:szCs w:val="22"/>
        </w:rPr>
      </w:pPr>
      <w:r>
        <w:rPr>
          <w:szCs w:val="22"/>
        </w:rPr>
        <w:t xml:space="preserve">No payments or gifts were made to respondents. </w:t>
      </w:r>
    </w:p>
    <w:p w14:paraId="5B6DF145" w14:textId="77777777" w:rsidR="00CC2569" w:rsidRDefault="00CC2569" w:rsidP="00217303">
      <w:pPr>
        <w:pStyle w:val="BodyText"/>
        <w:rPr>
          <w:sz w:val="24"/>
        </w:rPr>
      </w:pPr>
      <w:r>
        <w:rPr>
          <w:sz w:val="24"/>
        </w:rPr>
        <w:t xml:space="preserve">10. </w:t>
      </w:r>
      <w:r w:rsidR="009C4404">
        <w:rPr>
          <w:sz w:val="24"/>
          <w:u w:val="single"/>
        </w:rPr>
        <w:t>Assurance of confidentiality of responses.</w:t>
      </w:r>
      <w:r w:rsidR="009C4404">
        <w:rPr>
          <w:sz w:val="24"/>
        </w:rPr>
        <w:t xml:space="preserve"> </w:t>
      </w:r>
    </w:p>
    <w:p w14:paraId="23CDDB0E" w14:textId="77777777" w:rsidR="00CC2569" w:rsidRDefault="00CC2569" w:rsidP="00217303">
      <w:pPr>
        <w:widowControl w:val="0"/>
        <w:autoSpaceDE w:val="0"/>
        <w:autoSpaceDN w:val="0"/>
        <w:adjustRightInd w:val="0"/>
        <w:spacing w:before="244" w:line="235" w:lineRule="exact"/>
        <w:ind w:firstLine="720"/>
        <w:rPr>
          <w:szCs w:val="22"/>
        </w:rPr>
      </w:pPr>
      <w:r>
        <w:rPr>
          <w:szCs w:val="22"/>
        </w:rPr>
        <w:t>Information collected under 31 U.S.C. 5318(h) may be made available to appropriate law enforcement agencies and supervisory agencies.</w:t>
      </w:r>
    </w:p>
    <w:p w14:paraId="2B596CA6" w14:textId="77777777" w:rsidR="00CC2569" w:rsidRDefault="00CC2569" w:rsidP="00217303">
      <w:pPr>
        <w:spacing w:before="264"/>
        <w:rPr>
          <w:szCs w:val="22"/>
        </w:rPr>
      </w:pPr>
      <w:r>
        <w:rPr>
          <w:szCs w:val="22"/>
        </w:rPr>
        <w:t xml:space="preserve">11. </w:t>
      </w:r>
      <w:r w:rsidR="009C4404">
        <w:rPr>
          <w:szCs w:val="22"/>
          <w:u w:val="single"/>
        </w:rPr>
        <w:t>Justification of sensitive questions.</w:t>
      </w:r>
      <w:r w:rsidR="009C4404">
        <w:rPr>
          <w:szCs w:val="22"/>
        </w:rPr>
        <w:t xml:space="preserve"> </w:t>
      </w:r>
    </w:p>
    <w:p w14:paraId="20A9D780" w14:textId="77777777" w:rsidR="00CC2569" w:rsidRDefault="00CC2569" w:rsidP="00217303">
      <w:pPr>
        <w:spacing w:before="264"/>
        <w:ind w:firstLine="720"/>
        <w:rPr>
          <w:szCs w:val="22"/>
        </w:rPr>
      </w:pPr>
      <w:r>
        <w:rPr>
          <w:szCs w:val="22"/>
        </w:rPr>
        <w:t xml:space="preserve">No sensitive questions are asked. </w:t>
      </w:r>
    </w:p>
    <w:p w14:paraId="2EBD1002" w14:textId="77777777" w:rsidR="009E0A49" w:rsidRDefault="009E0A49" w:rsidP="00217303">
      <w:pPr>
        <w:ind w:firstLine="720"/>
        <w:rPr>
          <w:szCs w:val="22"/>
        </w:rPr>
      </w:pPr>
    </w:p>
    <w:p w14:paraId="261BF3A5" w14:textId="77777777" w:rsidR="009E0A49" w:rsidRDefault="009E0A49" w:rsidP="00F041A6">
      <w:r>
        <w:t xml:space="preserve">12 &amp; 13.  </w:t>
      </w:r>
      <w:r>
        <w:rPr>
          <w:u w:val="single"/>
        </w:rPr>
        <w:t>Estimated burden &amp; cost of information collection</w:t>
      </w:r>
      <w:r w:rsidRPr="00EA06CF">
        <w:rPr>
          <w:u w:val="single"/>
        </w:rPr>
        <w:t>.</w:t>
      </w:r>
    </w:p>
    <w:p w14:paraId="195ECF65" w14:textId="77777777" w:rsidR="009E0A49" w:rsidRDefault="009E0A49" w:rsidP="00F041A6"/>
    <w:p w14:paraId="65470FFC" w14:textId="77777777" w:rsidR="009E0A49" w:rsidRDefault="009E0A49" w:rsidP="00217303">
      <w:pPr>
        <w:ind w:left="360" w:firstLine="360"/>
        <w:rPr>
          <w:iCs/>
        </w:rPr>
      </w:pPr>
      <w:r w:rsidRPr="009053B9">
        <w:rPr>
          <w:iCs/>
        </w:rPr>
        <w:t xml:space="preserve">FinCEN estimates that approximately </w:t>
      </w:r>
      <w:r w:rsidRPr="009E0A49">
        <w:rPr>
          <w:iCs/>
        </w:rPr>
        <w:t>1,200 insurance and 31,000 non-bank residential mortgage lenders and originators</w:t>
      </w:r>
      <w:r>
        <w:rPr>
          <w:iCs/>
        </w:rPr>
        <w:t xml:space="preserve"> will respond to this collection, for a total of </w:t>
      </w:r>
      <w:r w:rsidRPr="009E0A49">
        <w:rPr>
          <w:iCs/>
        </w:rPr>
        <w:t>32,200</w:t>
      </w:r>
      <w:r>
        <w:rPr>
          <w:iCs/>
        </w:rPr>
        <w:t xml:space="preserve"> respondents.</w:t>
      </w:r>
      <w:r w:rsidR="00B84F5E">
        <w:rPr>
          <w:iCs/>
        </w:rPr>
        <w:t xml:space="preserve"> FinCEN further estimates that the time burden to each respondent to maintain their AML program will be 1 hour, for a total of 32,200 hours.</w:t>
      </w:r>
    </w:p>
    <w:p w14:paraId="723D1C86" w14:textId="77777777" w:rsidR="00B84F5E" w:rsidRDefault="00B84F5E" w:rsidP="00F041A6">
      <w:pPr>
        <w:ind w:left="360"/>
        <w:rPr>
          <w:iCs/>
        </w:rPr>
      </w:pPr>
    </w:p>
    <w:p w14:paraId="2D7C22B0" w14:textId="77777777" w:rsidR="009E0A49" w:rsidRDefault="009E0A49">
      <w:pPr>
        <w:ind w:left="360"/>
        <w:rPr>
          <w:iCs/>
        </w:rPr>
      </w:pPr>
      <w:r w:rsidRPr="00D61A01">
        <w:t>Estimated burden cost</w:t>
      </w:r>
      <w:r>
        <w:t xml:space="preserve">: </w:t>
      </w:r>
      <w:r w:rsidR="00B84F5E">
        <w:t>32,200</w:t>
      </w:r>
      <w:r>
        <w:t xml:space="preserve"> hours X $63.53 per hour = $</w:t>
      </w:r>
      <w:r w:rsidR="00B84F5E" w:rsidRPr="00B84F5E">
        <w:t>2,045,666</w:t>
      </w:r>
      <w:r>
        <w:t>.</w:t>
      </w:r>
      <w:r w:rsidRPr="003A42E4">
        <w:rPr>
          <w:rStyle w:val="FootnoteReference"/>
          <w:rFonts w:eastAsia="MS Mincho"/>
          <w:szCs w:val="20"/>
        </w:rPr>
        <w:footnoteReference w:id="2"/>
      </w:r>
      <w:r w:rsidRPr="003A42E4">
        <w:rPr>
          <w:rStyle w:val="FootnoteReference"/>
          <w:rFonts w:eastAsia="MS Mincho"/>
          <w:szCs w:val="20"/>
        </w:rPr>
        <w:t xml:space="preserve">  </w:t>
      </w:r>
    </w:p>
    <w:p w14:paraId="0E4B83E5" w14:textId="77777777" w:rsidR="009E0A49" w:rsidRDefault="009E0A49">
      <w:pPr>
        <w:ind w:left="360"/>
        <w:rPr>
          <w:iCs/>
        </w:rPr>
      </w:pPr>
    </w:p>
    <w:p w14:paraId="020FA663" w14:textId="77777777" w:rsidR="009E0A49" w:rsidRDefault="009E0A49">
      <w:pPr>
        <w:ind w:left="360"/>
      </w:pPr>
      <w:r w:rsidRPr="004A06C5">
        <w:t>T</w:t>
      </w:r>
      <w:r>
        <w:t xml:space="preserve">otal burden hours: </w:t>
      </w:r>
      <w:r w:rsidR="00B84F5E">
        <w:t>32,200</w:t>
      </w:r>
      <w:r>
        <w:t>.</w:t>
      </w:r>
    </w:p>
    <w:p w14:paraId="2D6ECE4D" w14:textId="77777777" w:rsidR="009E0A49" w:rsidRDefault="009E0A49">
      <w:pPr>
        <w:ind w:left="360"/>
      </w:pPr>
    </w:p>
    <w:p w14:paraId="0EED2B82" w14:textId="77777777" w:rsidR="009E0A49" w:rsidRPr="009053B9" w:rsidRDefault="009E0A49">
      <w:pPr>
        <w:ind w:left="360"/>
      </w:pPr>
      <w:r>
        <w:t>Total cost: $</w:t>
      </w:r>
      <w:r w:rsidR="00B84F5E" w:rsidRPr="00B84F5E">
        <w:t>2,045,666</w:t>
      </w:r>
      <w:r>
        <w:t>.</w:t>
      </w:r>
    </w:p>
    <w:p w14:paraId="3BAAC1F0" w14:textId="77777777" w:rsidR="009E0A49" w:rsidRDefault="009E0A49"/>
    <w:p w14:paraId="20DEF85E" w14:textId="77777777" w:rsidR="009E0A49" w:rsidRDefault="009E0A49"/>
    <w:tbl>
      <w:tblPr>
        <w:tblStyle w:val="TableGrid"/>
        <w:tblW w:w="9990" w:type="dxa"/>
        <w:tblInd w:w="-545" w:type="dxa"/>
        <w:tblLook w:val="04A0" w:firstRow="1" w:lastRow="0" w:firstColumn="1" w:lastColumn="0" w:noHBand="0" w:noVBand="1"/>
      </w:tblPr>
      <w:tblGrid>
        <w:gridCol w:w="1470"/>
        <w:gridCol w:w="1523"/>
        <w:gridCol w:w="1430"/>
        <w:gridCol w:w="1270"/>
        <w:gridCol w:w="1177"/>
        <w:gridCol w:w="876"/>
        <w:gridCol w:w="876"/>
        <w:gridCol w:w="1368"/>
      </w:tblGrid>
      <w:tr w:rsidR="009E0A49" w14:paraId="41F6C712" w14:textId="77777777" w:rsidTr="00950BCF">
        <w:tc>
          <w:tcPr>
            <w:tcW w:w="1366" w:type="dxa"/>
          </w:tcPr>
          <w:p w14:paraId="24EB025F" w14:textId="77777777" w:rsidR="009E0A49" w:rsidRPr="00FF6060" w:rsidRDefault="009E0A49">
            <w:pPr>
              <w:rPr>
                <w:b/>
              </w:rPr>
            </w:pPr>
            <w:r>
              <w:rPr>
                <w:b/>
              </w:rPr>
              <w:t>Information Collection</w:t>
            </w:r>
          </w:p>
        </w:tc>
        <w:tc>
          <w:tcPr>
            <w:tcW w:w="1414" w:type="dxa"/>
          </w:tcPr>
          <w:p w14:paraId="66C6B048" w14:textId="77777777" w:rsidR="009E0A49" w:rsidRPr="00FF6060" w:rsidRDefault="009E0A49">
            <w:pPr>
              <w:rPr>
                <w:b/>
              </w:rPr>
            </w:pPr>
            <w:r>
              <w:rPr>
                <w:b/>
              </w:rPr>
              <w:t xml:space="preserve"># of </w:t>
            </w:r>
            <w:r w:rsidRPr="00FF6060">
              <w:rPr>
                <w:b/>
              </w:rPr>
              <w:t>Respondents</w:t>
            </w:r>
          </w:p>
        </w:tc>
        <w:tc>
          <w:tcPr>
            <w:tcW w:w="1329" w:type="dxa"/>
          </w:tcPr>
          <w:p w14:paraId="6F6595B7" w14:textId="77777777" w:rsidR="009E0A49" w:rsidRPr="00FF6060" w:rsidRDefault="009E0A49">
            <w:pPr>
              <w:rPr>
                <w:b/>
              </w:rPr>
            </w:pPr>
            <w:r>
              <w:rPr>
                <w:b/>
              </w:rPr>
              <w:t xml:space="preserve">Annual </w:t>
            </w:r>
            <w:r w:rsidRPr="00FF6060">
              <w:rPr>
                <w:b/>
              </w:rPr>
              <w:t xml:space="preserve"># of Responses per </w:t>
            </w:r>
            <w:r>
              <w:rPr>
                <w:b/>
              </w:rPr>
              <w:t>Respondent</w:t>
            </w:r>
          </w:p>
        </w:tc>
        <w:tc>
          <w:tcPr>
            <w:tcW w:w="1182" w:type="dxa"/>
          </w:tcPr>
          <w:p w14:paraId="272D8C56" w14:textId="77777777" w:rsidR="009E0A49" w:rsidRPr="00FF6060" w:rsidRDefault="009E0A49">
            <w:pPr>
              <w:rPr>
                <w:b/>
              </w:rPr>
            </w:pPr>
            <w:r>
              <w:rPr>
                <w:b/>
              </w:rPr>
              <w:t>Total Responses</w:t>
            </w:r>
          </w:p>
        </w:tc>
        <w:tc>
          <w:tcPr>
            <w:tcW w:w="1036" w:type="dxa"/>
          </w:tcPr>
          <w:p w14:paraId="196D86A7" w14:textId="77777777" w:rsidR="009E0A49" w:rsidRPr="00FF6060" w:rsidRDefault="009E0A49">
            <w:pPr>
              <w:rPr>
                <w:b/>
              </w:rPr>
            </w:pPr>
            <w:r w:rsidRPr="00FF6060">
              <w:rPr>
                <w:b/>
              </w:rPr>
              <w:t xml:space="preserve">Hours per </w:t>
            </w:r>
            <w:r w:rsidR="00A776A9">
              <w:rPr>
                <w:b/>
              </w:rPr>
              <w:t>R</w:t>
            </w:r>
            <w:r w:rsidRPr="00FF6060">
              <w:rPr>
                <w:b/>
              </w:rPr>
              <w:t>esponse</w:t>
            </w:r>
          </w:p>
        </w:tc>
        <w:tc>
          <w:tcPr>
            <w:tcW w:w="821" w:type="dxa"/>
          </w:tcPr>
          <w:p w14:paraId="19D36C1E" w14:textId="77777777" w:rsidR="009E0A49" w:rsidRPr="00FF6060" w:rsidRDefault="009E0A49">
            <w:pPr>
              <w:rPr>
                <w:b/>
              </w:rPr>
            </w:pPr>
            <w:r w:rsidRPr="00FF6060">
              <w:rPr>
                <w:b/>
              </w:rPr>
              <w:t>Total Hours</w:t>
            </w:r>
          </w:p>
        </w:tc>
        <w:tc>
          <w:tcPr>
            <w:tcW w:w="821" w:type="dxa"/>
          </w:tcPr>
          <w:p w14:paraId="5EE77E42" w14:textId="77777777" w:rsidR="009E0A49" w:rsidRPr="00FF6060" w:rsidRDefault="009E0A49">
            <w:pPr>
              <w:rPr>
                <w:b/>
              </w:rPr>
            </w:pPr>
            <w:r w:rsidRPr="00FF6060">
              <w:rPr>
                <w:b/>
              </w:rPr>
              <w:t>Labor Cost per Hour</w:t>
            </w:r>
          </w:p>
        </w:tc>
        <w:tc>
          <w:tcPr>
            <w:tcW w:w="2021" w:type="dxa"/>
          </w:tcPr>
          <w:p w14:paraId="71E38F21" w14:textId="77777777" w:rsidR="009E0A49" w:rsidRPr="00FF6060" w:rsidRDefault="009E0A49">
            <w:pPr>
              <w:rPr>
                <w:b/>
              </w:rPr>
            </w:pPr>
            <w:r w:rsidRPr="00FF6060">
              <w:rPr>
                <w:b/>
              </w:rPr>
              <w:t>Total Labor Costs</w:t>
            </w:r>
          </w:p>
        </w:tc>
      </w:tr>
      <w:tr w:rsidR="009E0A49" w14:paraId="7913D305" w14:textId="77777777" w:rsidTr="00950BCF">
        <w:tc>
          <w:tcPr>
            <w:tcW w:w="1366" w:type="dxa"/>
          </w:tcPr>
          <w:p w14:paraId="333FCE8A" w14:textId="77777777" w:rsidR="009E0A49" w:rsidRDefault="00B84F5E" w:rsidP="00F041A6">
            <w:r>
              <w:t>AML program</w:t>
            </w:r>
          </w:p>
        </w:tc>
        <w:tc>
          <w:tcPr>
            <w:tcW w:w="1414" w:type="dxa"/>
          </w:tcPr>
          <w:p w14:paraId="31E3452C" w14:textId="77777777" w:rsidR="009E0A49" w:rsidRDefault="00B84F5E" w:rsidP="00217303">
            <w:r>
              <w:t>32,200</w:t>
            </w:r>
          </w:p>
        </w:tc>
        <w:tc>
          <w:tcPr>
            <w:tcW w:w="1329" w:type="dxa"/>
          </w:tcPr>
          <w:p w14:paraId="76E175EF" w14:textId="77777777" w:rsidR="009E0A49" w:rsidRDefault="00B84F5E" w:rsidP="00217303">
            <w:r>
              <w:t>1</w:t>
            </w:r>
          </w:p>
        </w:tc>
        <w:tc>
          <w:tcPr>
            <w:tcW w:w="1182" w:type="dxa"/>
          </w:tcPr>
          <w:p w14:paraId="42764092" w14:textId="77777777" w:rsidR="009E0A49" w:rsidRDefault="00B84F5E" w:rsidP="00217303">
            <w:r>
              <w:t>32,200</w:t>
            </w:r>
          </w:p>
        </w:tc>
        <w:tc>
          <w:tcPr>
            <w:tcW w:w="1036" w:type="dxa"/>
          </w:tcPr>
          <w:p w14:paraId="4D97E67F" w14:textId="77777777" w:rsidR="009E0A49" w:rsidRDefault="00B84F5E" w:rsidP="00217303">
            <w:r>
              <w:t>1</w:t>
            </w:r>
          </w:p>
        </w:tc>
        <w:tc>
          <w:tcPr>
            <w:tcW w:w="821" w:type="dxa"/>
          </w:tcPr>
          <w:p w14:paraId="57727E96" w14:textId="77777777" w:rsidR="009E0A49" w:rsidRDefault="00B84F5E" w:rsidP="00217303">
            <w:r>
              <w:t>32,200</w:t>
            </w:r>
          </w:p>
        </w:tc>
        <w:tc>
          <w:tcPr>
            <w:tcW w:w="821" w:type="dxa"/>
          </w:tcPr>
          <w:p w14:paraId="5E6F2246" w14:textId="77777777" w:rsidR="009E0A49" w:rsidRDefault="009E0A49" w:rsidP="00217303">
            <w:r>
              <w:t>$63.53</w:t>
            </w:r>
          </w:p>
        </w:tc>
        <w:tc>
          <w:tcPr>
            <w:tcW w:w="2021" w:type="dxa"/>
          </w:tcPr>
          <w:p w14:paraId="6882B2D7" w14:textId="77777777" w:rsidR="009E0A49" w:rsidRDefault="00B84F5E" w:rsidP="00217303">
            <w:r>
              <w:t>$</w:t>
            </w:r>
            <w:r w:rsidRPr="00B84F5E">
              <w:t>2,045,666</w:t>
            </w:r>
          </w:p>
        </w:tc>
      </w:tr>
      <w:tr w:rsidR="009E0A49" w14:paraId="29D02630" w14:textId="77777777" w:rsidTr="00950BCF">
        <w:tc>
          <w:tcPr>
            <w:tcW w:w="1366" w:type="dxa"/>
          </w:tcPr>
          <w:p w14:paraId="08935CC2" w14:textId="77777777" w:rsidR="009E0A49" w:rsidRPr="00D74A6E" w:rsidRDefault="009E0A49" w:rsidP="00F041A6">
            <w:pPr>
              <w:rPr>
                <w:b/>
              </w:rPr>
            </w:pPr>
            <w:r w:rsidRPr="00D74A6E">
              <w:rPr>
                <w:b/>
              </w:rPr>
              <w:t>TOTAL</w:t>
            </w:r>
          </w:p>
        </w:tc>
        <w:tc>
          <w:tcPr>
            <w:tcW w:w="1414" w:type="dxa"/>
          </w:tcPr>
          <w:p w14:paraId="185A2E5C" w14:textId="77777777" w:rsidR="009E0A49" w:rsidRPr="00D74A6E" w:rsidRDefault="009E0A49">
            <w:pPr>
              <w:rPr>
                <w:b/>
              </w:rPr>
            </w:pPr>
          </w:p>
        </w:tc>
        <w:tc>
          <w:tcPr>
            <w:tcW w:w="1329" w:type="dxa"/>
          </w:tcPr>
          <w:p w14:paraId="56B13585" w14:textId="77777777" w:rsidR="009E0A49" w:rsidRPr="00D74A6E" w:rsidRDefault="009E0A49">
            <w:pPr>
              <w:rPr>
                <w:b/>
              </w:rPr>
            </w:pPr>
          </w:p>
        </w:tc>
        <w:tc>
          <w:tcPr>
            <w:tcW w:w="1182" w:type="dxa"/>
          </w:tcPr>
          <w:p w14:paraId="675F0EB3" w14:textId="77777777" w:rsidR="009E0A49" w:rsidRPr="00D74A6E" w:rsidRDefault="00B84F5E">
            <w:pPr>
              <w:rPr>
                <w:b/>
              </w:rPr>
            </w:pPr>
            <w:r>
              <w:rPr>
                <w:b/>
              </w:rPr>
              <w:t>32,200</w:t>
            </w:r>
          </w:p>
        </w:tc>
        <w:tc>
          <w:tcPr>
            <w:tcW w:w="1036" w:type="dxa"/>
          </w:tcPr>
          <w:p w14:paraId="44C3CBA2" w14:textId="77777777" w:rsidR="009E0A49" w:rsidRPr="00D74A6E" w:rsidRDefault="009E0A49">
            <w:pPr>
              <w:rPr>
                <w:b/>
              </w:rPr>
            </w:pPr>
          </w:p>
        </w:tc>
        <w:tc>
          <w:tcPr>
            <w:tcW w:w="821" w:type="dxa"/>
          </w:tcPr>
          <w:p w14:paraId="2667E131" w14:textId="77777777" w:rsidR="009E0A49" w:rsidRPr="00D74A6E" w:rsidRDefault="00B84F5E">
            <w:pPr>
              <w:rPr>
                <w:b/>
              </w:rPr>
            </w:pPr>
            <w:r>
              <w:rPr>
                <w:b/>
              </w:rPr>
              <w:t>32,200</w:t>
            </w:r>
          </w:p>
        </w:tc>
        <w:tc>
          <w:tcPr>
            <w:tcW w:w="821" w:type="dxa"/>
          </w:tcPr>
          <w:p w14:paraId="7A36D862" w14:textId="77777777" w:rsidR="009E0A49" w:rsidRPr="00D74A6E" w:rsidRDefault="009E0A49">
            <w:pPr>
              <w:rPr>
                <w:b/>
              </w:rPr>
            </w:pPr>
          </w:p>
        </w:tc>
        <w:tc>
          <w:tcPr>
            <w:tcW w:w="2021" w:type="dxa"/>
          </w:tcPr>
          <w:p w14:paraId="251821A9" w14:textId="77777777" w:rsidR="009E0A49" w:rsidRPr="00B84F5E" w:rsidRDefault="00B84F5E">
            <w:pPr>
              <w:rPr>
                <w:b/>
              </w:rPr>
            </w:pPr>
            <w:r w:rsidRPr="00B84F5E">
              <w:rPr>
                <w:b/>
              </w:rPr>
              <w:t>$2,045,666</w:t>
            </w:r>
          </w:p>
        </w:tc>
      </w:tr>
    </w:tbl>
    <w:p w14:paraId="3155D874" w14:textId="77777777" w:rsidR="009E0A49" w:rsidRDefault="009E0A49" w:rsidP="00F041A6"/>
    <w:p w14:paraId="455DABE3" w14:textId="77777777" w:rsidR="009E0A49" w:rsidRDefault="009E0A49">
      <w:r>
        <w:t>There are no non-labor costs associated with this collection of information.</w:t>
      </w:r>
    </w:p>
    <w:p w14:paraId="359803D3" w14:textId="77777777" w:rsidR="006619D4" w:rsidRDefault="006619D4"/>
    <w:p w14:paraId="7F23EFDC" w14:textId="77777777" w:rsidR="002D3319" w:rsidRDefault="00CC2569" w:rsidP="002D3319">
      <w:pPr>
        <w:pStyle w:val="PlainText"/>
        <w:spacing w:line="480" w:lineRule="auto"/>
        <w:rPr>
          <w:rFonts w:ascii="Times New Roman" w:hAnsi="Times New Roman" w:cs="Times New Roman"/>
          <w:sz w:val="24"/>
          <w:szCs w:val="22"/>
        </w:rPr>
      </w:pPr>
      <w:r>
        <w:rPr>
          <w:rFonts w:ascii="Times New Roman" w:hAnsi="Times New Roman" w:cs="Times New Roman"/>
          <w:sz w:val="24"/>
          <w:szCs w:val="22"/>
        </w:rPr>
        <w:t xml:space="preserve">14. </w:t>
      </w:r>
      <w:r w:rsidR="009C4404">
        <w:rPr>
          <w:rFonts w:ascii="Times New Roman" w:hAnsi="Times New Roman" w:cs="Times New Roman"/>
          <w:sz w:val="24"/>
          <w:szCs w:val="22"/>
          <w:u w:val="single"/>
        </w:rPr>
        <w:t xml:space="preserve">Estimated annual cost to the </w:t>
      </w:r>
      <w:r w:rsidR="00C04081">
        <w:rPr>
          <w:rFonts w:ascii="Times New Roman" w:hAnsi="Times New Roman" w:cs="Times New Roman"/>
          <w:sz w:val="24"/>
          <w:szCs w:val="22"/>
          <w:u w:val="single"/>
        </w:rPr>
        <w:t xml:space="preserve">Federal </w:t>
      </w:r>
      <w:r w:rsidR="009C4404">
        <w:rPr>
          <w:rFonts w:ascii="Times New Roman" w:hAnsi="Times New Roman" w:cs="Times New Roman"/>
          <w:sz w:val="24"/>
          <w:szCs w:val="22"/>
          <w:u w:val="single"/>
        </w:rPr>
        <w:t>government.</w:t>
      </w:r>
      <w:r w:rsidR="009C4404">
        <w:rPr>
          <w:rFonts w:ascii="Times New Roman" w:hAnsi="Times New Roman" w:cs="Times New Roman"/>
          <w:sz w:val="24"/>
          <w:szCs w:val="22"/>
        </w:rPr>
        <w:t xml:space="preserve"> </w:t>
      </w:r>
    </w:p>
    <w:p w14:paraId="6F99099B" w14:textId="59CF4200" w:rsidR="00754DAE" w:rsidRPr="002D3319" w:rsidRDefault="00754DAE" w:rsidP="002D3319">
      <w:pPr>
        <w:pStyle w:val="PlainText"/>
        <w:ind w:firstLine="720"/>
        <w:rPr>
          <w:rFonts w:ascii="Times New Roman" w:hAnsi="Times New Roman" w:cs="Times New Roman"/>
          <w:sz w:val="24"/>
          <w:szCs w:val="24"/>
        </w:rPr>
      </w:pPr>
      <w:r w:rsidRPr="002D3319">
        <w:rPr>
          <w:rFonts w:ascii="Times New Roman" w:hAnsi="Times New Roman" w:cs="Times New Roman"/>
          <w:sz w:val="24"/>
          <w:szCs w:val="24"/>
        </w:rPr>
        <w:t>The Federal government requires reporting of a financial institution’s AML program only upon request of appropriate law enforcement agencies and supervisory agencies; therefore, the estimated annual cost to the Federal government is $0.</w:t>
      </w:r>
    </w:p>
    <w:p w14:paraId="2E435FC4" w14:textId="77777777" w:rsidR="00CC2569" w:rsidRDefault="00CC2569"/>
    <w:p w14:paraId="69BDAE7A" w14:textId="77777777" w:rsidR="00CC2569" w:rsidRDefault="00CC2569">
      <w:r>
        <w:t xml:space="preserve">15. </w:t>
      </w:r>
      <w:r w:rsidR="009C4404" w:rsidRPr="003E0D88">
        <w:rPr>
          <w:u w:val="single"/>
        </w:rPr>
        <w:t>Reason for change in burden.</w:t>
      </w:r>
      <w:r w:rsidR="009C4404">
        <w:t xml:space="preserve"> </w:t>
      </w:r>
    </w:p>
    <w:p w14:paraId="2CDB7B14" w14:textId="77777777" w:rsidR="00CC2569" w:rsidRDefault="001427CB" w:rsidP="00217303">
      <w:pPr>
        <w:spacing w:before="312"/>
        <w:ind w:firstLine="720"/>
        <w:rPr>
          <w:szCs w:val="22"/>
        </w:rPr>
      </w:pPr>
      <w:r>
        <w:rPr>
          <w:szCs w:val="22"/>
        </w:rPr>
        <w:t>There is no change in burden.</w:t>
      </w:r>
    </w:p>
    <w:p w14:paraId="7B0D724C" w14:textId="77777777" w:rsidR="00CC2569" w:rsidRDefault="00CC2569" w:rsidP="00217303">
      <w:pPr>
        <w:spacing w:before="283"/>
        <w:rPr>
          <w:szCs w:val="22"/>
        </w:rPr>
      </w:pPr>
      <w:r>
        <w:rPr>
          <w:szCs w:val="22"/>
        </w:rPr>
        <w:t xml:space="preserve">16. </w:t>
      </w:r>
      <w:r w:rsidR="009C4404">
        <w:rPr>
          <w:szCs w:val="22"/>
          <w:u w:val="single"/>
        </w:rPr>
        <w:t>Plans for tabulation, statistical analysis, and publication.</w:t>
      </w:r>
      <w:r w:rsidR="009C4404">
        <w:rPr>
          <w:szCs w:val="22"/>
        </w:rPr>
        <w:t xml:space="preserve"> </w:t>
      </w:r>
    </w:p>
    <w:p w14:paraId="4DE6CB1D" w14:textId="77777777" w:rsidR="00CC2569" w:rsidRDefault="00CC2569" w:rsidP="00217303">
      <w:pPr>
        <w:spacing w:before="283"/>
        <w:ind w:firstLine="720"/>
        <w:rPr>
          <w:szCs w:val="22"/>
        </w:rPr>
      </w:pPr>
      <w:r>
        <w:rPr>
          <w:szCs w:val="22"/>
        </w:rPr>
        <w:t xml:space="preserve">This collection of information will not be published. </w:t>
      </w:r>
    </w:p>
    <w:p w14:paraId="2A0AFAF7" w14:textId="77777777" w:rsidR="0019731C" w:rsidRPr="0077578E" w:rsidRDefault="0019731C" w:rsidP="00F041A6">
      <w:pPr>
        <w:spacing w:before="244" w:line="292" w:lineRule="exact"/>
        <w:rPr>
          <w:szCs w:val="22"/>
          <w:u w:val="single"/>
        </w:rPr>
      </w:pPr>
      <w:r w:rsidRPr="00217303">
        <w:rPr>
          <w:szCs w:val="22"/>
        </w:rPr>
        <w:t>17.</w:t>
      </w:r>
      <w:r w:rsidRPr="0077578E">
        <w:rPr>
          <w:szCs w:val="22"/>
          <w:u w:val="single"/>
        </w:rPr>
        <w:t xml:space="preserve"> Request not to display the OMB expiration date. </w:t>
      </w:r>
    </w:p>
    <w:p w14:paraId="024AB0FF" w14:textId="77777777" w:rsidR="0019731C" w:rsidRDefault="0019731C" w:rsidP="00F041A6">
      <w:pPr>
        <w:spacing w:before="244" w:line="292" w:lineRule="exact"/>
        <w:rPr>
          <w:szCs w:val="22"/>
        </w:rPr>
      </w:pPr>
      <w:r w:rsidRPr="0077578E">
        <w:rPr>
          <w:szCs w:val="22"/>
        </w:rPr>
        <w:tab/>
        <w:t>FinCEN requests that the expiration date of the control number of the regulation not be displayed so that there is no confusion as to whether the certification form is still valid. This request will not affect the normal 3-year P</w:t>
      </w:r>
      <w:r w:rsidR="00933A54">
        <w:rPr>
          <w:szCs w:val="22"/>
        </w:rPr>
        <w:t>aperwork Reduction Act</w:t>
      </w:r>
      <w:r w:rsidRPr="0077578E">
        <w:rPr>
          <w:szCs w:val="22"/>
        </w:rPr>
        <w:t xml:space="preserve"> renewal process.</w:t>
      </w:r>
    </w:p>
    <w:p w14:paraId="0674E342" w14:textId="77777777" w:rsidR="0019731C" w:rsidRDefault="0019731C">
      <w:pPr>
        <w:spacing w:before="244" w:line="292" w:lineRule="exact"/>
        <w:rPr>
          <w:u w:val="single"/>
        </w:rPr>
      </w:pPr>
      <w:r>
        <w:t xml:space="preserve">18. </w:t>
      </w:r>
      <w:r>
        <w:rPr>
          <w:u w:val="single"/>
        </w:rPr>
        <w:t>Exceptions to the certification statement.</w:t>
      </w:r>
      <w:r>
        <w:t xml:space="preserve"> </w:t>
      </w:r>
    </w:p>
    <w:p w14:paraId="06CCC44D" w14:textId="56CAAC46" w:rsidR="00CC2569" w:rsidRPr="00105737" w:rsidRDefault="0019731C" w:rsidP="002D3319">
      <w:pPr>
        <w:spacing w:before="182" w:line="292" w:lineRule="exact"/>
        <w:rPr>
          <w:rFonts w:eastAsia="MS Mincho"/>
        </w:rPr>
      </w:pPr>
      <w:r>
        <w:tab/>
        <w:t xml:space="preserve">There are no exceptions. </w:t>
      </w:r>
      <w:r>
        <w:rPr>
          <w:szCs w:val="50"/>
        </w:rPr>
        <w:t xml:space="preserve"> </w:t>
      </w:r>
      <w:r w:rsidR="00CC2569">
        <w:rPr>
          <w:rFonts w:eastAsia="MS Mincho"/>
        </w:rPr>
        <w:t xml:space="preserve">    </w:t>
      </w:r>
    </w:p>
    <w:sectPr w:rsidR="00CC2569" w:rsidRPr="0010573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A129A" w14:textId="77777777" w:rsidR="00BA3AE9" w:rsidRDefault="00BA3AE9">
      <w:r>
        <w:separator/>
      </w:r>
    </w:p>
  </w:endnote>
  <w:endnote w:type="continuationSeparator" w:id="0">
    <w:p w14:paraId="6A34FF47" w14:textId="77777777" w:rsidR="00BA3AE9" w:rsidRDefault="00BA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A0534" w14:textId="77777777" w:rsidR="00BA3AE9" w:rsidRDefault="00BA3AE9">
      <w:r>
        <w:separator/>
      </w:r>
    </w:p>
  </w:footnote>
  <w:footnote w:type="continuationSeparator" w:id="0">
    <w:p w14:paraId="58446A61" w14:textId="77777777" w:rsidR="00BA3AE9" w:rsidRDefault="00BA3AE9">
      <w:r>
        <w:continuationSeparator/>
      </w:r>
    </w:p>
  </w:footnote>
  <w:footnote w:id="1">
    <w:p w14:paraId="50ADAFEF" w14:textId="77777777" w:rsidR="00EB30F0" w:rsidRDefault="00EB30F0" w:rsidP="003E0D88">
      <w:pPr>
        <w:pStyle w:val="PlainText"/>
        <w:rPr>
          <w:rFonts w:ascii="Times New Roman" w:hAnsi="Times New Roman" w:cs="Times New Roman"/>
          <w:sz w:val="24"/>
        </w:rPr>
      </w:pPr>
      <w:r>
        <w:rPr>
          <w:rStyle w:val="FootnoteReference"/>
          <w:rFonts w:ascii="Times New Roman" w:hAnsi="Times New Roman" w:cs="Times New Roman"/>
          <w:sz w:val="24"/>
        </w:rPr>
        <w:footnoteRef/>
      </w:r>
      <w:r>
        <w:rPr>
          <w:rFonts w:ascii="Times New Roman" w:hAnsi="Times New Roman" w:cs="Times New Roman"/>
          <w:sz w:val="24"/>
        </w:rPr>
        <w:t xml:space="preserve"> </w:t>
      </w:r>
      <w:r w:rsidRPr="003E0D88">
        <w:rPr>
          <w:rFonts w:ascii="Times New Roman" w:eastAsia="MS Mincho" w:hAnsi="Times New Roman" w:cs="Times New Roman"/>
        </w:rPr>
        <w:t xml:space="preserve">Language expanding the scope of the </w:t>
      </w:r>
      <w:r w:rsidR="006A05AD">
        <w:rPr>
          <w:rFonts w:ascii="Times New Roman" w:eastAsia="MS Mincho" w:hAnsi="Times New Roman" w:cs="Times New Roman"/>
        </w:rPr>
        <w:t>BSA</w:t>
      </w:r>
      <w:r w:rsidRPr="003E0D88">
        <w:rPr>
          <w:rFonts w:ascii="Times New Roman" w:eastAsia="MS Mincho" w:hAnsi="Times New Roman" w:cs="Times New Roman"/>
        </w:rPr>
        <w:t xml:space="preserve"> to intelligence or counter-intelligence activities to protect against international terrorism was added by Section 358 of the Uniting and Strengthening America by Providing Appropriate Tools Required to Intercept and Obstruct Terrorism  Act of 2001, P.L. 107-56</w:t>
      </w:r>
      <w:r w:rsidR="006A05AD" w:rsidRPr="003E0D88">
        <w:rPr>
          <w:rFonts w:ascii="Times New Roman" w:eastAsia="MS Mincho" w:hAnsi="Times New Roman" w:cs="Times New Roman"/>
        </w:rPr>
        <w:t xml:space="preserve"> (“</w:t>
      </w:r>
      <w:r w:rsidR="006A05AD" w:rsidRPr="003E0D88">
        <w:rPr>
          <w:rFonts w:ascii="Times New Roman" w:eastAsia="MS Mincho" w:hAnsi="Times New Roman" w:cs="Times New Roman"/>
          <w:u w:val="single"/>
        </w:rPr>
        <w:t>USA PATRIOT Act”</w:t>
      </w:r>
      <w:r w:rsidR="006A05AD" w:rsidRPr="003E0D88">
        <w:rPr>
          <w:rFonts w:ascii="Times New Roman" w:eastAsia="MS Mincho" w:hAnsi="Times New Roman" w:cs="Times New Roman"/>
        </w:rPr>
        <w:t>)</w:t>
      </w:r>
      <w:r w:rsidRPr="003E0D88">
        <w:rPr>
          <w:rFonts w:ascii="Times New Roman" w:eastAsia="MS Mincho" w:hAnsi="Times New Roman" w:cs="Times New Roman"/>
        </w:rPr>
        <w:t>.</w:t>
      </w:r>
    </w:p>
  </w:footnote>
  <w:footnote w:id="2">
    <w:p w14:paraId="32433546" w14:textId="77777777" w:rsidR="009E0A49" w:rsidRPr="00A63FF8" w:rsidRDefault="009E0A49" w:rsidP="009E0A49">
      <w:pPr>
        <w:pStyle w:val="FootnoteText"/>
      </w:pPr>
      <w:r w:rsidRPr="007B6D91">
        <w:rPr>
          <w:rStyle w:val="FootnoteReference"/>
        </w:rPr>
        <w:footnoteRef/>
      </w:r>
      <w:r w:rsidRPr="00A63FF8">
        <w:t xml:space="preserve"> </w:t>
      </w:r>
      <w:r w:rsidRPr="00A63FF8">
        <w:rPr>
          <w:iCs/>
        </w:rPr>
        <w:t>The above Average Hourly Wage Rate</w:t>
      </w:r>
      <w:r>
        <w:rPr>
          <w:iCs/>
        </w:rPr>
        <w:t xml:space="preserve"> is calculated from the May 2017</w:t>
      </w:r>
      <w:r w:rsidRPr="00A63FF8">
        <w:rPr>
          <w:iCs/>
        </w:rPr>
        <w:t xml:space="preserve"> Bureau of Labor Statistics average </w:t>
      </w:r>
      <w:r>
        <w:rPr>
          <w:iCs/>
        </w:rPr>
        <w:t xml:space="preserve">hourly </w:t>
      </w:r>
      <w:r w:rsidRPr="00A63FF8">
        <w:rPr>
          <w:iCs/>
        </w:rPr>
        <w:t>wage for</w:t>
      </w:r>
      <w:r w:rsidRPr="00A63FF8">
        <w:rPr>
          <w:i/>
          <w:iCs/>
        </w:rPr>
        <w:t xml:space="preserve"> “</w:t>
      </w:r>
      <w:r w:rsidRPr="00A63FF8">
        <w:t>13-</w:t>
      </w:r>
      <w:r>
        <w:t>2061</w:t>
      </w:r>
      <w:r w:rsidRPr="00A63FF8">
        <w:t xml:space="preserve"> </w:t>
      </w:r>
      <w:r>
        <w:t>Financial Examiners</w:t>
      </w:r>
      <w:r w:rsidRPr="00A63FF8">
        <w:rPr>
          <w:i/>
          <w:iCs/>
        </w:rPr>
        <w:t xml:space="preserve">” </w:t>
      </w:r>
      <w:r w:rsidRPr="00A63FF8">
        <w:rPr>
          <w:iCs/>
        </w:rPr>
        <w:t>of $</w:t>
      </w:r>
      <w:r>
        <w:rPr>
          <w:iCs/>
        </w:rPr>
        <w:t>44.12, plus an additional 44% for benefits to produce a fully-loaded rate of $63.53</w:t>
      </w:r>
      <w:r w:rsidRPr="00A63FF8">
        <w:rPr>
          <w:iCs/>
        </w:rPr>
        <w:t>.</w:t>
      </w:r>
      <w:r w:rsidRPr="00A63FF8">
        <w:rPr>
          <w:i/>
          <w:iC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406"/>
    <w:rsid w:val="0000707E"/>
    <w:rsid w:val="0003793B"/>
    <w:rsid w:val="00060FB1"/>
    <w:rsid w:val="0007329B"/>
    <w:rsid w:val="000D2425"/>
    <w:rsid w:val="00105737"/>
    <w:rsid w:val="00111E68"/>
    <w:rsid w:val="001427CB"/>
    <w:rsid w:val="0019731C"/>
    <w:rsid w:val="001A2C9D"/>
    <w:rsid w:val="001E2F53"/>
    <w:rsid w:val="00217303"/>
    <w:rsid w:val="00222B47"/>
    <w:rsid w:val="002369B8"/>
    <w:rsid w:val="00247127"/>
    <w:rsid w:val="002C7884"/>
    <w:rsid w:val="002D3319"/>
    <w:rsid w:val="002F0B1E"/>
    <w:rsid w:val="003422B5"/>
    <w:rsid w:val="00346406"/>
    <w:rsid w:val="00366123"/>
    <w:rsid w:val="0037144A"/>
    <w:rsid w:val="003E0D88"/>
    <w:rsid w:val="00406BA2"/>
    <w:rsid w:val="00472448"/>
    <w:rsid w:val="004E2F50"/>
    <w:rsid w:val="005557B0"/>
    <w:rsid w:val="005A33BA"/>
    <w:rsid w:val="00601BEF"/>
    <w:rsid w:val="006619D4"/>
    <w:rsid w:val="00683103"/>
    <w:rsid w:val="006A05AD"/>
    <w:rsid w:val="006C52DF"/>
    <w:rsid w:val="007246A9"/>
    <w:rsid w:val="00735C52"/>
    <w:rsid w:val="00754DAE"/>
    <w:rsid w:val="007603C8"/>
    <w:rsid w:val="007A24B0"/>
    <w:rsid w:val="007C61EB"/>
    <w:rsid w:val="007D64C8"/>
    <w:rsid w:val="007D7EE6"/>
    <w:rsid w:val="00850A6B"/>
    <w:rsid w:val="008870DD"/>
    <w:rsid w:val="008F4373"/>
    <w:rsid w:val="00933A54"/>
    <w:rsid w:val="00950BCF"/>
    <w:rsid w:val="00953533"/>
    <w:rsid w:val="009A2D55"/>
    <w:rsid w:val="009C4404"/>
    <w:rsid w:val="009E0A49"/>
    <w:rsid w:val="00A27F78"/>
    <w:rsid w:val="00A44B35"/>
    <w:rsid w:val="00A517D5"/>
    <w:rsid w:val="00A6418A"/>
    <w:rsid w:val="00A75B82"/>
    <w:rsid w:val="00A776A9"/>
    <w:rsid w:val="00A96DD5"/>
    <w:rsid w:val="00AD2122"/>
    <w:rsid w:val="00AE7210"/>
    <w:rsid w:val="00B84F5E"/>
    <w:rsid w:val="00BA3AE9"/>
    <w:rsid w:val="00C00C77"/>
    <w:rsid w:val="00C04081"/>
    <w:rsid w:val="00C070B1"/>
    <w:rsid w:val="00C43BE5"/>
    <w:rsid w:val="00C7547B"/>
    <w:rsid w:val="00C86E4B"/>
    <w:rsid w:val="00CC2569"/>
    <w:rsid w:val="00CD67EF"/>
    <w:rsid w:val="00CE07E5"/>
    <w:rsid w:val="00CE7D2E"/>
    <w:rsid w:val="00D37575"/>
    <w:rsid w:val="00D752AF"/>
    <w:rsid w:val="00D93A4A"/>
    <w:rsid w:val="00DB2EAD"/>
    <w:rsid w:val="00DC75C5"/>
    <w:rsid w:val="00EB30F0"/>
    <w:rsid w:val="00EE0EDC"/>
    <w:rsid w:val="00EE364F"/>
    <w:rsid w:val="00EF2E0B"/>
    <w:rsid w:val="00F041A6"/>
    <w:rsid w:val="00F3639A"/>
    <w:rsid w:val="00FA10EF"/>
    <w:rsid w:val="00FD2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8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semiHidden/>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FootnoteText">
    <w:name w:val="footnote text"/>
    <w:basedOn w:val="Normal"/>
    <w:link w:val="FootnoteTextChar"/>
    <w:rsid w:val="00EE0EDC"/>
    <w:rPr>
      <w:sz w:val="20"/>
      <w:szCs w:val="20"/>
    </w:rPr>
  </w:style>
  <w:style w:type="character" w:customStyle="1" w:styleId="FootnoteTextChar">
    <w:name w:val="Footnote Text Char"/>
    <w:basedOn w:val="DefaultParagraphFont"/>
    <w:link w:val="FootnoteText"/>
    <w:rsid w:val="00EE0EDC"/>
  </w:style>
  <w:style w:type="character" w:styleId="Hyperlink">
    <w:name w:val="Hyperlink"/>
    <w:rsid w:val="00953533"/>
    <w:rPr>
      <w:color w:val="0000FF"/>
      <w:u w:val="single"/>
    </w:rPr>
  </w:style>
  <w:style w:type="character" w:styleId="CommentReference">
    <w:name w:val="annotation reference"/>
    <w:rsid w:val="00111E68"/>
    <w:rPr>
      <w:sz w:val="16"/>
      <w:szCs w:val="16"/>
    </w:rPr>
  </w:style>
  <w:style w:type="paragraph" w:styleId="CommentText">
    <w:name w:val="annotation text"/>
    <w:basedOn w:val="Normal"/>
    <w:link w:val="CommentTextChar"/>
    <w:rsid w:val="00111E68"/>
    <w:rPr>
      <w:sz w:val="20"/>
      <w:szCs w:val="20"/>
    </w:rPr>
  </w:style>
  <w:style w:type="character" w:customStyle="1" w:styleId="CommentTextChar">
    <w:name w:val="Comment Text Char"/>
    <w:basedOn w:val="DefaultParagraphFont"/>
    <w:link w:val="CommentText"/>
    <w:rsid w:val="00111E68"/>
  </w:style>
  <w:style w:type="paragraph" w:styleId="CommentSubject">
    <w:name w:val="annotation subject"/>
    <w:basedOn w:val="CommentText"/>
    <w:next w:val="CommentText"/>
    <w:link w:val="CommentSubjectChar"/>
    <w:rsid w:val="00111E68"/>
    <w:rPr>
      <w:b/>
      <w:bCs/>
    </w:rPr>
  </w:style>
  <w:style w:type="character" w:customStyle="1" w:styleId="CommentSubjectChar">
    <w:name w:val="Comment Subject Char"/>
    <w:link w:val="CommentSubject"/>
    <w:rsid w:val="00111E68"/>
    <w:rPr>
      <w:b/>
      <w:bCs/>
    </w:rPr>
  </w:style>
  <w:style w:type="character" w:customStyle="1" w:styleId="PlainTextChar">
    <w:name w:val="Plain Text Char"/>
    <w:link w:val="PlainText"/>
    <w:rsid w:val="007A24B0"/>
    <w:rPr>
      <w:rFonts w:ascii="Courier New" w:hAnsi="Courier New" w:cs="Courier New"/>
    </w:rPr>
  </w:style>
  <w:style w:type="table" w:styleId="TableGrid">
    <w:name w:val="Table Grid"/>
    <w:basedOn w:val="TableNormal"/>
    <w:rsid w:val="009E0A4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semiHidden/>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FootnoteText">
    <w:name w:val="footnote text"/>
    <w:basedOn w:val="Normal"/>
    <w:link w:val="FootnoteTextChar"/>
    <w:rsid w:val="00EE0EDC"/>
    <w:rPr>
      <w:sz w:val="20"/>
      <w:szCs w:val="20"/>
    </w:rPr>
  </w:style>
  <w:style w:type="character" w:customStyle="1" w:styleId="FootnoteTextChar">
    <w:name w:val="Footnote Text Char"/>
    <w:basedOn w:val="DefaultParagraphFont"/>
    <w:link w:val="FootnoteText"/>
    <w:rsid w:val="00EE0EDC"/>
  </w:style>
  <w:style w:type="character" w:styleId="Hyperlink">
    <w:name w:val="Hyperlink"/>
    <w:rsid w:val="00953533"/>
    <w:rPr>
      <w:color w:val="0000FF"/>
      <w:u w:val="single"/>
    </w:rPr>
  </w:style>
  <w:style w:type="character" w:styleId="CommentReference">
    <w:name w:val="annotation reference"/>
    <w:rsid w:val="00111E68"/>
    <w:rPr>
      <w:sz w:val="16"/>
      <w:szCs w:val="16"/>
    </w:rPr>
  </w:style>
  <w:style w:type="paragraph" w:styleId="CommentText">
    <w:name w:val="annotation text"/>
    <w:basedOn w:val="Normal"/>
    <w:link w:val="CommentTextChar"/>
    <w:rsid w:val="00111E68"/>
    <w:rPr>
      <w:sz w:val="20"/>
      <w:szCs w:val="20"/>
    </w:rPr>
  </w:style>
  <w:style w:type="character" w:customStyle="1" w:styleId="CommentTextChar">
    <w:name w:val="Comment Text Char"/>
    <w:basedOn w:val="DefaultParagraphFont"/>
    <w:link w:val="CommentText"/>
    <w:rsid w:val="00111E68"/>
  </w:style>
  <w:style w:type="paragraph" w:styleId="CommentSubject">
    <w:name w:val="annotation subject"/>
    <w:basedOn w:val="CommentText"/>
    <w:next w:val="CommentText"/>
    <w:link w:val="CommentSubjectChar"/>
    <w:rsid w:val="00111E68"/>
    <w:rPr>
      <w:b/>
      <w:bCs/>
    </w:rPr>
  </w:style>
  <w:style w:type="character" w:customStyle="1" w:styleId="CommentSubjectChar">
    <w:name w:val="Comment Subject Char"/>
    <w:link w:val="CommentSubject"/>
    <w:rsid w:val="00111E68"/>
    <w:rPr>
      <w:b/>
      <w:bCs/>
    </w:rPr>
  </w:style>
  <w:style w:type="character" w:customStyle="1" w:styleId="PlainTextChar">
    <w:name w:val="Plain Text Char"/>
    <w:link w:val="PlainText"/>
    <w:rsid w:val="007A24B0"/>
    <w:rPr>
      <w:rFonts w:ascii="Courier New" w:hAnsi="Courier New" w:cs="Courier New"/>
    </w:rPr>
  </w:style>
  <w:style w:type="table" w:styleId="TableGrid">
    <w:name w:val="Table Grid"/>
    <w:basedOn w:val="TableNormal"/>
    <w:rsid w:val="009E0A4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EA757-EE4A-4E07-867C-3D12EB5A7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subject/>
  <dc:creator>StephR</dc:creator>
  <cp:keywords/>
  <cp:lastModifiedBy>SYSTEM</cp:lastModifiedBy>
  <cp:revision>2</cp:revision>
  <cp:lastPrinted>2005-08-23T17:23:00Z</cp:lastPrinted>
  <dcterms:created xsi:type="dcterms:W3CDTF">2018-09-24T16:55:00Z</dcterms:created>
  <dcterms:modified xsi:type="dcterms:W3CDTF">2018-09-24T16:55:00Z</dcterms:modified>
</cp:coreProperties>
</file>