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6E7D9" w14:textId="77777777" w:rsidR="008F225F" w:rsidRPr="003B150B" w:rsidRDefault="00F92207" w:rsidP="00FD797C">
      <w:pPr>
        <w:pStyle w:val="Heading1"/>
        <w:jc w:val="center"/>
        <w:rPr>
          <w:u w:val="single"/>
        </w:rPr>
      </w:pPr>
      <w:bookmarkStart w:id="0" w:name="_GoBack"/>
      <w:bookmarkEnd w:id="0"/>
      <w:r w:rsidRPr="003B150B">
        <w:rPr>
          <w:b w:val="0"/>
          <w:bCs w:val="0"/>
          <w:u w:val="single"/>
        </w:rPr>
        <w:t>Supporting Statement</w:t>
      </w:r>
    </w:p>
    <w:p w14:paraId="4DC9288D" w14:textId="77777777" w:rsidR="008F225F" w:rsidRPr="003B150B" w:rsidRDefault="008F225F" w:rsidP="008F225F">
      <w:pPr>
        <w:jc w:val="center"/>
        <w:rPr>
          <w:u w:val="single"/>
        </w:rPr>
      </w:pPr>
      <w:r w:rsidRPr="003B150B">
        <w:rPr>
          <w:u w:val="single"/>
        </w:rPr>
        <w:t>O</w:t>
      </w:r>
      <w:r w:rsidR="00CD6350" w:rsidRPr="003B150B">
        <w:rPr>
          <w:u w:val="single"/>
        </w:rPr>
        <w:t>MB</w:t>
      </w:r>
      <w:r w:rsidRPr="003B150B">
        <w:rPr>
          <w:u w:val="single"/>
        </w:rPr>
        <w:t xml:space="preserve"> Control Number 1506-0013</w:t>
      </w:r>
    </w:p>
    <w:p w14:paraId="39259652" w14:textId="77777777" w:rsidR="008F225F" w:rsidRPr="003B150B" w:rsidRDefault="008F225F" w:rsidP="00710247">
      <w:pPr>
        <w:rPr>
          <w:u w:val="single"/>
        </w:rPr>
      </w:pPr>
    </w:p>
    <w:p w14:paraId="72048D3F" w14:textId="77777777" w:rsidR="00924F6D" w:rsidRPr="003B150B" w:rsidRDefault="00924F6D" w:rsidP="0074787B">
      <w:pPr>
        <w:rPr>
          <w:u w:val="single"/>
        </w:rPr>
      </w:pPr>
      <w:r w:rsidRPr="003B150B">
        <w:rPr>
          <w:u w:val="single"/>
        </w:rPr>
        <w:t>Registration of Money Services Business</w:t>
      </w:r>
    </w:p>
    <w:p w14:paraId="33AB9256" w14:textId="77777777" w:rsidR="00F92207" w:rsidRDefault="00F92207" w:rsidP="0074787B">
      <w:pPr>
        <w:spacing w:before="225"/>
        <w:rPr>
          <w:szCs w:val="22"/>
        </w:rPr>
      </w:pPr>
      <w:r>
        <w:rPr>
          <w:szCs w:val="22"/>
        </w:rPr>
        <w:t xml:space="preserve">1. </w:t>
      </w:r>
      <w:r w:rsidR="007F4D64">
        <w:rPr>
          <w:szCs w:val="22"/>
          <w:u w:val="single"/>
        </w:rPr>
        <w:t>Circumstances necessitating collection of information.</w:t>
      </w:r>
      <w:r w:rsidR="007F4D64">
        <w:rPr>
          <w:szCs w:val="22"/>
        </w:rPr>
        <w:t xml:space="preserve"> </w:t>
      </w:r>
    </w:p>
    <w:p w14:paraId="5819CF2C" w14:textId="77777777" w:rsidR="009D056A" w:rsidRDefault="009D056A" w:rsidP="0074787B">
      <w:pPr>
        <w:spacing w:before="225"/>
        <w:rPr>
          <w:szCs w:val="22"/>
        </w:rPr>
      </w:pPr>
    </w:p>
    <w:p w14:paraId="712DB455" w14:textId="436F4FA8" w:rsidR="00845CBA" w:rsidRDefault="00845CBA" w:rsidP="00A342BD">
      <w:pPr>
        <w:pStyle w:val="PlainText"/>
        <w:ind w:firstLine="720"/>
        <w:rPr>
          <w:rFonts w:ascii="Times New Roman" w:eastAsia="MS Mincho" w:hAnsi="Times New Roman" w:cs="Times New Roman"/>
          <w:sz w:val="24"/>
        </w:rPr>
      </w:pPr>
      <w:r>
        <w:rPr>
          <w:rFonts w:ascii="Times New Roman" w:eastAsia="MS Mincho" w:hAnsi="Times New Roman" w:cs="Times New Roman"/>
          <w:sz w:val="24"/>
        </w:rPr>
        <w:t xml:space="preserve">The statute generally referred to as the “Bank Secrecy Act,” (“BSA”) Titles I and II of Public Law 91-508, as amended, codified at 12 U.S.C. 1829b, 12 U.S.C. 1951-1959, and 31 U.S.C. 5311-5332, authorizes the Secretary of the Treasury, </w:t>
      </w:r>
      <w:r w:rsidR="00BE04D6" w:rsidRPr="00807934">
        <w:rPr>
          <w:rFonts w:ascii="Times New Roman" w:eastAsia="MS Mincho" w:hAnsi="Times New Roman" w:cs="Times New Roman"/>
          <w:sz w:val="24"/>
        </w:rPr>
        <w:t>among other things</w:t>
      </w:r>
      <w:r>
        <w:rPr>
          <w:rFonts w:ascii="Times New Roman" w:eastAsia="MS Mincho" w:hAnsi="Times New Roman" w:cs="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B</w:t>
      </w:r>
      <w:r w:rsidR="00422808">
        <w:rPr>
          <w:rFonts w:ascii="Times New Roman" w:eastAsia="MS Mincho" w:hAnsi="Times New Roman" w:cs="Times New Roman"/>
          <w:sz w:val="24"/>
        </w:rPr>
        <w:t>SA</w:t>
      </w:r>
      <w:r>
        <w:rPr>
          <w:rFonts w:ascii="Times New Roman" w:eastAsia="MS Mincho" w:hAnsi="Times New Roman" w:cs="Times New Roman"/>
          <w:sz w:val="24"/>
        </w:rPr>
        <w:t xml:space="preserve"> appear at 31 CFR Chapter X.  The authority of the Secretary to administer the BSA has been delegated to the Director of the Financial Crimes Enforcement Network (“FinCEN”).</w:t>
      </w:r>
    </w:p>
    <w:p w14:paraId="016C098F" w14:textId="42528FCB" w:rsidR="00F92207" w:rsidRDefault="00924F6D" w:rsidP="0074787B">
      <w:pPr>
        <w:spacing w:before="225"/>
        <w:rPr>
          <w:szCs w:val="22"/>
        </w:rPr>
      </w:pPr>
      <w:r>
        <w:rPr>
          <w:szCs w:val="22"/>
        </w:rPr>
        <w:tab/>
      </w:r>
      <w:r w:rsidR="00F92207">
        <w:rPr>
          <w:szCs w:val="22"/>
        </w:rPr>
        <w:t>The collection of the information contained on</w:t>
      </w:r>
      <w:r w:rsidR="0047460C">
        <w:rPr>
          <w:szCs w:val="22"/>
        </w:rPr>
        <w:t xml:space="preserve"> FinCEN’s </w:t>
      </w:r>
      <w:r w:rsidR="00F92207">
        <w:rPr>
          <w:szCs w:val="22"/>
        </w:rPr>
        <w:t>Registration of Money Services Business</w:t>
      </w:r>
      <w:r w:rsidR="009D056A">
        <w:rPr>
          <w:szCs w:val="22"/>
        </w:rPr>
        <w:t xml:space="preserve"> ("MSB")</w:t>
      </w:r>
      <w:r w:rsidR="00F92207">
        <w:rPr>
          <w:szCs w:val="22"/>
        </w:rPr>
        <w:t xml:space="preserve"> </w:t>
      </w:r>
      <w:r w:rsidR="00422808">
        <w:rPr>
          <w:szCs w:val="22"/>
        </w:rPr>
        <w:t xml:space="preserve">form </w:t>
      </w:r>
      <w:r w:rsidR="00F92207">
        <w:rPr>
          <w:szCs w:val="22"/>
        </w:rPr>
        <w:t>(FinCEN Form 107</w:t>
      </w:r>
      <w:r w:rsidR="002A392C">
        <w:rPr>
          <w:szCs w:val="22"/>
        </w:rPr>
        <w:t>)</w:t>
      </w:r>
      <w:r w:rsidR="004D0D50">
        <w:rPr>
          <w:szCs w:val="22"/>
        </w:rPr>
        <w:t xml:space="preserve"> </w:t>
      </w:r>
      <w:r w:rsidR="00F92207">
        <w:rPr>
          <w:szCs w:val="22"/>
        </w:rPr>
        <w:t>is authorized by statute (see 31 U.S.C. 5330</w:t>
      </w:r>
      <w:r w:rsidR="002A392C">
        <w:rPr>
          <w:szCs w:val="22"/>
        </w:rPr>
        <w:t>)</w:t>
      </w:r>
      <w:r w:rsidR="00F92207">
        <w:rPr>
          <w:szCs w:val="22"/>
        </w:rPr>
        <w:t xml:space="preserve"> and required by regulation (see 31 CFR 10</w:t>
      </w:r>
      <w:r w:rsidR="00DD669C">
        <w:rPr>
          <w:szCs w:val="22"/>
        </w:rPr>
        <w:t>22</w:t>
      </w:r>
      <w:r w:rsidR="00F92207">
        <w:rPr>
          <w:szCs w:val="22"/>
        </w:rPr>
        <w:t>.</w:t>
      </w:r>
      <w:r w:rsidR="00DD669C">
        <w:rPr>
          <w:szCs w:val="22"/>
        </w:rPr>
        <w:t>380</w:t>
      </w:r>
      <w:r w:rsidR="00F92207">
        <w:rPr>
          <w:szCs w:val="22"/>
        </w:rPr>
        <w:t xml:space="preserve">). </w:t>
      </w:r>
      <w:r w:rsidR="004D0D50">
        <w:rPr>
          <w:szCs w:val="22"/>
        </w:rPr>
        <w:t xml:space="preserve"> </w:t>
      </w:r>
      <w:r w:rsidR="00F92207">
        <w:rPr>
          <w:szCs w:val="22"/>
        </w:rPr>
        <w:t xml:space="preserve">The regulation requires </w:t>
      </w:r>
      <w:r w:rsidR="00422808">
        <w:rPr>
          <w:szCs w:val="22"/>
        </w:rPr>
        <w:t>MSBs</w:t>
      </w:r>
      <w:r w:rsidR="006305D9">
        <w:rPr>
          <w:szCs w:val="22"/>
        </w:rPr>
        <w:t>,</w:t>
      </w:r>
      <w:r w:rsidR="00F92207">
        <w:rPr>
          <w:szCs w:val="22"/>
        </w:rPr>
        <w:t xml:space="preserve"> </w:t>
      </w:r>
      <w:r w:rsidR="006305D9">
        <w:rPr>
          <w:szCs w:val="22"/>
        </w:rPr>
        <w:t xml:space="preserve">as defined in 31 CFR 1010.100(ff), </w:t>
      </w:r>
      <w:r w:rsidR="00F92207">
        <w:rPr>
          <w:szCs w:val="22"/>
        </w:rPr>
        <w:t>to register with the Department of the Treasury.</w:t>
      </w:r>
    </w:p>
    <w:p w14:paraId="28B75CFC" w14:textId="77777777" w:rsidR="00F92207" w:rsidRDefault="00F92207">
      <w:pPr>
        <w:spacing w:before="297"/>
        <w:rPr>
          <w:szCs w:val="22"/>
          <w:u w:val="single"/>
        </w:rPr>
      </w:pPr>
      <w:r>
        <w:rPr>
          <w:szCs w:val="22"/>
        </w:rPr>
        <w:t xml:space="preserve">2. </w:t>
      </w:r>
      <w:r w:rsidR="007F4D64">
        <w:rPr>
          <w:szCs w:val="22"/>
          <w:u w:val="single"/>
        </w:rPr>
        <w:t>Method of collection and use of data.</w:t>
      </w:r>
    </w:p>
    <w:p w14:paraId="1D770591" w14:textId="77777777" w:rsidR="00845CBA" w:rsidRDefault="00845CBA">
      <w:pPr>
        <w:spacing w:before="297"/>
        <w:rPr>
          <w:szCs w:val="22"/>
        </w:rPr>
      </w:pPr>
      <w:r>
        <w:rPr>
          <w:szCs w:val="22"/>
        </w:rPr>
        <w:tab/>
        <w:t xml:space="preserve">MSBs must complete their registration on FinCEN's </w:t>
      </w:r>
      <w:r w:rsidRPr="00845CBA">
        <w:rPr>
          <w:szCs w:val="22"/>
        </w:rPr>
        <w:t>BSA E-Filing System</w:t>
      </w:r>
      <w:r>
        <w:rPr>
          <w:szCs w:val="22"/>
        </w:rPr>
        <w:t xml:space="preserve"> web page, located at </w:t>
      </w:r>
      <w:r w:rsidRPr="00845CBA">
        <w:rPr>
          <w:szCs w:val="22"/>
        </w:rPr>
        <w:t>https://bsaefiling.fincen.treas.gov/main.html</w:t>
      </w:r>
      <w:r>
        <w:rPr>
          <w:szCs w:val="22"/>
        </w:rPr>
        <w:t>.</w:t>
      </w:r>
    </w:p>
    <w:p w14:paraId="7A1D5EBB" w14:textId="77777777" w:rsidR="00F92207" w:rsidRDefault="006672E8">
      <w:pPr>
        <w:spacing w:before="297"/>
        <w:rPr>
          <w:szCs w:val="22"/>
        </w:rPr>
      </w:pPr>
      <w:r>
        <w:rPr>
          <w:szCs w:val="22"/>
        </w:rPr>
        <w:tab/>
      </w:r>
      <w:r w:rsidR="00F92207">
        <w:rPr>
          <w:szCs w:val="22"/>
        </w:rPr>
        <w:t xml:space="preserve">The information contained on </w:t>
      </w:r>
      <w:r w:rsidR="0047460C">
        <w:rPr>
          <w:szCs w:val="22"/>
        </w:rPr>
        <w:t xml:space="preserve">FinCEN </w:t>
      </w:r>
      <w:r w:rsidR="00F92207">
        <w:rPr>
          <w:szCs w:val="22"/>
        </w:rPr>
        <w:t>Form 107 is used by criminal investigators, as well as taxation and regulatory enforcement authorities, during the course of investigations that involve</w:t>
      </w:r>
      <w:r w:rsidR="0099381E">
        <w:rPr>
          <w:szCs w:val="22"/>
        </w:rPr>
        <w:t xml:space="preserve"> poten</w:t>
      </w:r>
      <w:r w:rsidR="00CA7BD8">
        <w:rPr>
          <w:szCs w:val="22"/>
        </w:rPr>
        <w:t>t</w:t>
      </w:r>
      <w:r w:rsidR="0099381E">
        <w:rPr>
          <w:szCs w:val="22"/>
        </w:rPr>
        <w:t>ial</w:t>
      </w:r>
      <w:r w:rsidR="00F92207">
        <w:rPr>
          <w:szCs w:val="22"/>
        </w:rPr>
        <w:t xml:space="preserve"> money laundering, tax violations, fraud</w:t>
      </w:r>
      <w:r w:rsidR="004D0D50">
        <w:rPr>
          <w:szCs w:val="22"/>
        </w:rPr>
        <w:t>,</w:t>
      </w:r>
      <w:r w:rsidR="00F92207">
        <w:rPr>
          <w:szCs w:val="22"/>
        </w:rPr>
        <w:t xml:space="preserve"> and other financial crimes. </w:t>
      </w:r>
    </w:p>
    <w:p w14:paraId="53C82654" w14:textId="77777777" w:rsidR="006672E8" w:rsidRDefault="00F92207">
      <w:pPr>
        <w:spacing w:before="273"/>
        <w:rPr>
          <w:szCs w:val="22"/>
        </w:rPr>
      </w:pPr>
      <w:r>
        <w:rPr>
          <w:szCs w:val="22"/>
        </w:rPr>
        <w:t xml:space="preserve">3. </w:t>
      </w:r>
      <w:r w:rsidR="007F4D64">
        <w:rPr>
          <w:szCs w:val="22"/>
          <w:u w:val="single"/>
        </w:rPr>
        <w:t>Use of improved information technology to reduce burden.</w:t>
      </w:r>
      <w:r w:rsidR="007F4D64">
        <w:rPr>
          <w:szCs w:val="22"/>
        </w:rPr>
        <w:t xml:space="preserve"> </w:t>
      </w:r>
    </w:p>
    <w:p w14:paraId="40734672" w14:textId="5F4AF34A" w:rsidR="006672E8" w:rsidRPr="006672E8" w:rsidRDefault="006672E8">
      <w:pPr>
        <w:spacing w:before="273"/>
        <w:rPr>
          <w:szCs w:val="22"/>
        </w:rPr>
      </w:pPr>
      <w:r>
        <w:rPr>
          <w:szCs w:val="22"/>
        </w:rPr>
        <w:tab/>
      </w:r>
      <w:r>
        <w:t xml:space="preserve">By using FinCEN’s computerized filing system (BSA E-filing), </w:t>
      </w:r>
      <w:r w:rsidR="0074787B">
        <w:t>an MSB</w:t>
      </w:r>
      <w:r>
        <w:t xml:space="preserve"> can reduce the time required for its compliance staff to complete the report.  Discrete and batch versions are available on the FinCEN BSA E-File web site at </w:t>
      </w:r>
      <w:hyperlink r:id="rId8" w:history="1">
        <w:r w:rsidRPr="00A61B2B">
          <w:rPr>
            <w:rStyle w:val="Hyperlink"/>
          </w:rPr>
          <w:t>http://bsaefiling.fincen.treas.gov/main.html</w:t>
        </w:r>
      </w:hyperlink>
      <w:r>
        <w:t xml:space="preserve">. </w:t>
      </w:r>
    </w:p>
    <w:p w14:paraId="21626CC4" w14:textId="77777777" w:rsidR="00F92207" w:rsidRDefault="00F92207">
      <w:pPr>
        <w:spacing w:before="273"/>
        <w:rPr>
          <w:szCs w:val="22"/>
          <w:u w:val="single"/>
        </w:rPr>
      </w:pPr>
      <w:r>
        <w:rPr>
          <w:szCs w:val="22"/>
        </w:rPr>
        <w:t xml:space="preserve">4. </w:t>
      </w:r>
      <w:r w:rsidR="007F4D64">
        <w:rPr>
          <w:szCs w:val="22"/>
          <w:u w:val="single"/>
        </w:rPr>
        <w:t xml:space="preserve">Efforts to identify duplication. </w:t>
      </w:r>
    </w:p>
    <w:p w14:paraId="57F35D83" w14:textId="77777777" w:rsidR="00F92207" w:rsidRDefault="006672E8">
      <w:pPr>
        <w:spacing w:before="283"/>
        <w:rPr>
          <w:szCs w:val="22"/>
        </w:rPr>
      </w:pPr>
      <w:r>
        <w:rPr>
          <w:szCs w:val="22"/>
        </w:rPr>
        <w:tab/>
      </w:r>
      <w:r w:rsidR="00F92207">
        <w:rPr>
          <w:szCs w:val="22"/>
        </w:rPr>
        <w:t>There is no similar information available; thus</w:t>
      </w:r>
      <w:r w:rsidR="00C440DE">
        <w:rPr>
          <w:szCs w:val="22"/>
        </w:rPr>
        <w:t>,</w:t>
      </w:r>
      <w:r w:rsidR="00F92207">
        <w:rPr>
          <w:szCs w:val="22"/>
        </w:rPr>
        <w:t xml:space="preserve"> there is no duplication. </w:t>
      </w:r>
    </w:p>
    <w:p w14:paraId="2E576147" w14:textId="77777777" w:rsidR="00F92207" w:rsidRDefault="00F92207">
      <w:pPr>
        <w:spacing w:before="283"/>
        <w:rPr>
          <w:szCs w:val="22"/>
        </w:rPr>
      </w:pPr>
      <w:r>
        <w:rPr>
          <w:szCs w:val="22"/>
        </w:rPr>
        <w:t xml:space="preserve">5. </w:t>
      </w:r>
      <w:r w:rsidR="007F4D64">
        <w:rPr>
          <w:szCs w:val="22"/>
          <w:u w:val="single"/>
        </w:rPr>
        <w:t>Methods to minimize burden on small businesses or other small entities.</w:t>
      </w:r>
      <w:r w:rsidR="007F4D64">
        <w:rPr>
          <w:szCs w:val="22"/>
        </w:rPr>
        <w:t xml:space="preserve"> </w:t>
      </w:r>
    </w:p>
    <w:p w14:paraId="693BAFD7" w14:textId="77777777" w:rsidR="00F92207" w:rsidRDefault="006672E8">
      <w:pPr>
        <w:spacing w:before="283"/>
        <w:rPr>
          <w:szCs w:val="22"/>
        </w:rPr>
      </w:pPr>
      <w:r>
        <w:rPr>
          <w:szCs w:val="22"/>
        </w:rPr>
        <w:lastRenderedPageBreak/>
        <w:tab/>
      </w:r>
      <w:r w:rsidR="00F92207">
        <w:rPr>
          <w:szCs w:val="22"/>
        </w:rPr>
        <w:t xml:space="preserve">This collection of information does not </w:t>
      </w:r>
      <w:r w:rsidR="006E5963">
        <w:rPr>
          <w:szCs w:val="22"/>
        </w:rPr>
        <w:t xml:space="preserve">unduly </w:t>
      </w:r>
      <w:r w:rsidR="00F92207">
        <w:rPr>
          <w:szCs w:val="22"/>
        </w:rPr>
        <w:t xml:space="preserve">impact small entities. </w:t>
      </w:r>
    </w:p>
    <w:p w14:paraId="31D5BD26" w14:textId="77777777" w:rsidR="00F92207" w:rsidRDefault="00F92207">
      <w:pPr>
        <w:spacing w:before="288"/>
        <w:rPr>
          <w:szCs w:val="22"/>
        </w:rPr>
      </w:pPr>
      <w:r>
        <w:rPr>
          <w:szCs w:val="22"/>
        </w:rPr>
        <w:t xml:space="preserve">6. </w:t>
      </w:r>
      <w:r>
        <w:rPr>
          <w:szCs w:val="22"/>
          <w:u w:val="single"/>
        </w:rPr>
        <w:t xml:space="preserve">Consequences to </w:t>
      </w:r>
      <w:r w:rsidR="00410A42">
        <w:rPr>
          <w:szCs w:val="22"/>
          <w:u w:val="single"/>
        </w:rPr>
        <w:t>less frequent collections or policy activities</w:t>
      </w:r>
      <w:r w:rsidR="006305D9">
        <w:rPr>
          <w:szCs w:val="22"/>
          <w:u w:val="single"/>
        </w:rPr>
        <w:t>.</w:t>
      </w:r>
      <w:r>
        <w:rPr>
          <w:szCs w:val="22"/>
        </w:rPr>
        <w:t xml:space="preserve"> </w:t>
      </w:r>
    </w:p>
    <w:p w14:paraId="6FC61FD0" w14:textId="12F247D0" w:rsidR="00F92207" w:rsidRDefault="006672E8">
      <w:pPr>
        <w:spacing w:before="288"/>
        <w:rPr>
          <w:szCs w:val="22"/>
        </w:rPr>
      </w:pPr>
      <w:r>
        <w:rPr>
          <w:szCs w:val="22"/>
        </w:rPr>
        <w:tab/>
      </w:r>
      <w:r w:rsidR="00F92207">
        <w:rPr>
          <w:szCs w:val="22"/>
        </w:rPr>
        <w:t xml:space="preserve">A </w:t>
      </w:r>
      <w:r w:rsidR="00422808">
        <w:rPr>
          <w:szCs w:val="22"/>
        </w:rPr>
        <w:t>MSB</w:t>
      </w:r>
      <w:r w:rsidR="00F92207">
        <w:rPr>
          <w:szCs w:val="22"/>
        </w:rPr>
        <w:t xml:space="preserve"> must file Form 107 </w:t>
      </w:r>
      <w:r w:rsidR="006305D9">
        <w:rPr>
          <w:szCs w:val="22"/>
        </w:rPr>
        <w:t xml:space="preserve">within 180 days of when </w:t>
      </w:r>
      <w:r w:rsidR="00F92207">
        <w:rPr>
          <w:szCs w:val="22"/>
        </w:rPr>
        <w:t>the business is established</w:t>
      </w:r>
      <w:r w:rsidR="006B34BF">
        <w:rPr>
          <w:szCs w:val="22"/>
        </w:rPr>
        <w:t xml:space="preserve"> and renew it every two years</w:t>
      </w:r>
      <w:r w:rsidR="00F92207">
        <w:rPr>
          <w:szCs w:val="22"/>
        </w:rPr>
        <w:t>.</w:t>
      </w:r>
      <w:r w:rsidR="006305D9">
        <w:rPr>
          <w:szCs w:val="22"/>
        </w:rPr>
        <w:t xml:space="preserve"> </w:t>
      </w:r>
      <w:r w:rsidR="00F92207">
        <w:rPr>
          <w:szCs w:val="22"/>
        </w:rPr>
        <w:t xml:space="preserve"> Were this collection to be reduced in frequency, the information collected would not be of use to law enforcement personnel. </w:t>
      </w:r>
    </w:p>
    <w:p w14:paraId="1EBF5391" w14:textId="59643E2A" w:rsidR="00F92207" w:rsidRDefault="00F92207">
      <w:pPr>
        <w:spacing w:before="288"/>
        <w:rPr>
          <w:szCs w:val="22"/>
          <w:u w:val="single"/>
        </w:rPr>
      </w:pPr>
      <w:r>
        <w:rPr>
          <w:szCs w:val="22"/>
        </w:rPr>
        <w:t xml:space="preserve">7. </w:t>
      </w:r>
      <w:r w:rsidR="0074787B">
        <w:rPr>
          <w:szCs w:val="22"/>
          <w:u w:val="single"/>
        </w:rPr>
        <w:t>S</w:t>
      </w:r>
      <w:r w:rsidR="007F4D64">
        <w:rPr>
          <w:szCs w:val="22"/>
          <w:u w:val="single"/>
        </w:rPr>
        <w:t xml:space="preserve">pecial circumstances requiring data collection inconsistent with guidelines in </w:t>
      </w:r>
      <w:r w:rsidR="00410A42">
        <w:rPr>
          <w:szCs w:val="22"/>
          <w:u w:val="single"/>
        </w:rPr>
        <w:t>5 CFR 1320.5(d)(2)</w:t>
      </w:r>
      <w:r w:rsidR="006305D9">
        <w:rPr>
          <w:szCs w:val="22"/>
          <w:u w:val="single"/>
        </w:rPr>
        <w:t>.</w:t>
      </w:r>
    </w:p>
    <w:p w14:paraId="2CF5B5D2" w14:textId="77777777" w:rsidR="00F92207" w:rsidRDefault="006672E8">
      <w:pPr>
        <w:pStyle w:val="BodyText"/>
        <w:spacing w:before="288"/>
        <w:rPr>
          <w:sz w:val="24"/>
        </w:rPr>
      </w:pPr>
      <w:r>
        <w:rPr>
          <w:sz w:val="24"/>
        </w:rPr>
        <w:tab/>
      </w:r>
      <w:r w:rsidR="00F92207">
        <w:rPr>
          <w:sz w:val="24"/>
        </w:rPr>
        <w:t>There are no special circumstances.</w:t>
      </w:r>
    </w:p>
    <w:p w14:paraId="694D1274" w14:textId="77777777" w:rsidR="00F92207" w:rsidRDefault="00F92207">
      <w:pPr>
        <w:rPr>
          <w:szCs w:val="22"/>
        </w:rPr>
      </w:pPr>
    </w:p>
    <w:p w14:paraId="4CC9CBD3" w14:textId="77777777" w:rsidR="00F92207" w:rsidRDefault="00F92207">
      <w:pPr>
        <w:rPr>
          <w:szCs w:val="22"/>
        </w:rPr>
      </w:pPr>
      <w:r>
        <w:rPr>
          <w:szCs w:val="22"/>
        </w:rPr>
        <w:t xml:space="preserve">8. </w:t>
      </w:r>
      <w:r w:rsidR="00410A42">
        <w:rPr>
          <w:szCs w:val="22"/>
          <w:u w:val="single"/>
        </w:rPr>
        <w:t>Consultation with individuals outside of the agency on availability of data, frequency of collection, clarity of instructions and forms, and data elements.</w:t>
      </w:r>
      <w:r w:rsidR="00410A42">
        <w:rPr>
          <w:szCs w:val="22"/>
        </w:rPr>
        <w:t xml:space="preserve"> </w:t>
      </w:r>
    </w:p>
    <w:p w14:paraId="56D586A4" w14:textId="77777777" w:rsidR="001401F1" w:rsidRDefault="001401F1" w:rsidP="001401F1"/>
    <w:p w14:paraId="28DDA121" w14:textId="7DE0EFDD" w:rsidR="0053159B" w:rsidRDefault="001401F1" w:rsidP="008F7343">
      <w:pPr>
        <w:ind w:firstLine="720"/>
      </w:pPr>
      <w:r>
        <w:t>O</w:t>
      </w:r>
      <w:r w:rsidR="00F92207" w:rsidRPr="0029495D">
        <w:t xml:space="preserve">n </w:t>
      </w:r>
      <w:r w:rsidR="00E94EA2" w:rsidRPr="0029495D">
        <w:t xml:space="preserve">July </w:t>
      </w:r>
      <w:r w:rsidR="00494893" w:rsidRPr="0029495D">
        <w:t>19</w:t>
      </w:r>
      <w:r w:rsidR="006672E8" w:rsidRPr="0029495D">
        <w:t>, 201</w:t>
      </w:r>
      <w:r w:rsidR="00E94EA2" w:rsidRPr="0029495D">
        <w:t>8</w:t>
      </w:r>
      <w:r w:rsidR="006672E8" w:rsidRPr="0029495D">
        <w:t xml:space="preserve">, </w:t>
      </w:r>
      <w:r>
        <w:t>FinCEN issued a</w:t>
      </w:r>
      <w:r w:rsidR="00963337">
        <w:t xml:space="preserve"> notice and request for comment</w:t>
      </w:r>
      <w:r>
        <w:t xml:space="preserve"> to renew existing MSB registration requirements.  </w:t>
      </w:r>
      <w:r w:rsidR="00F92207" w:rsidRPr="0029495D">
        <w:t>(</w:t>
      </w:r>
      <w:r>
        <w:t>S</w:t>
      </w:r>
      <w:r w:rsidR="00F92207" w:rsidRPr="0029495D">
        <w:t xml:space="preserve">ee </w:t>
      </w:r>
      <w:r w:rsidR="006672E8" w:rsidRPr="0029495D">
        <w:t>8</w:t>
      </w:r>
      <w:r w:rsidR="00E94EA2" w:rsidRPr="0029495D">
        <w:t>3</w:t>
      </w:r>
      <w:r w:rsidR="00F92207" w:rsidRPr="0029495D">
        <w:t xml:space="preserve"> FR</w:t>
      </w:r>
      <w:r w:rsidR="007D4D8D" w:rsidRPr="0029495D">
        <w:t xml:space="preserve"> </w:t>
      </w:r>
      <w:r w:rsidR="00494893" w:rsidRPr="0029495D">
        <w:t>34299</w:t>
      </w:r>
      <w:r w:rsidR="002A392C" w:rsidRPr="0029495D">
        <w:t xml:space="preserve">). </w:t>
      </w:r>
      <w:r w:rsidR="00D64AD5" w:rsidRPr="0029495D">
        <w:t xml:space="preserve"> FinCEN received </w:t>
      </w:r>
      <w:r w:rsidR="0053159B">
        <w:t>two</w:t>
      </w:r>
      <w:r w:rsidR="004B1C7D" w:rsidRPr="0029495D">
        <w:t xml:space="preserve"> comments in response to this notice. </w:t>
      </w:r>
      <w:r w:rsidR="0053159B">
        <w:t xml:space="preserve">One did not address the subject of the information collection, and is omitted here. </w:t>
      </w:r>
      <w:r w:rsidR="00CE744B">
        <w:t xml:space="preserve">The other comment received was from the </w:t>
      </w:r>
      <w:r w:rsidR="0053159B">
        <w:t xml:space="preserve">Money Services Business Association (“MSBA”). </w:t>
      </w:r>
    </w:p>
    <w:p w14:paraId="597B345F" w14:textId="77777777" w:rsidR="0053159B" w:rsidRDefault="0053159B" w:rsidP="0053159B">
      <w:pPr>
        <w:ind w:firstLine="720"/>
      </w:pPr>
    </w:p>
    <w:p w14:paraId="669501FE" w14:textId="0E030B08" w:rsidR="0053159B" w:rsidRDefault="0053159B" w:rsidP="0053159B">
      <w:pPr>
        <w:ind w:firstLine="720"/>
      </w:pPr>
      <w:r>
        <w:t xml:space="preserve">The MSBA did not address the time burden of the information collection instruments. However, the MSBA </w:t>
      </w:r>
      <w:r w:rsidR="008F7343">
        <w:t>made</w:t>
      </w:r>
      <w:r>
        <w:t xml:space="preserve"> several suggestions for changes to the regulations governing the registration of MSBs. </w:t>
      </w:r>
    </w:p>
    <w:p w14:paraId="7D7A532C" w14:textId="77777777" w:rsidR="0053159B" w:rsidRDefault="0053159B" w:rsidP="0053159B">
      <w:pPr>
        <w:ind w:firstLine="720"/>
      </w:pPr>
    </w:p>
    <w:p w14:paraId="58D5C062" w14:textId="0AC6EB20" w:rsidR="0053159B" w:rsidRDefault="0053159B" w:rsidP="0053159B">
      <w:pPr>
        <w:ind w:firstLine="720"/>
      </w:pPr>
      <w:r>
        <w:t>The MSBA suggested clarifications to the regulations in order to more clearly define the registration requirements of agents (31 CFR 1022.380(a)(3))</w:t>
      </w:r>
      <w:r w:rsidR="00CE744B">
        <w:t>;</w:t>
      </w:r>
      <w:r>
        <w:t xml:space="preserve"> </w:t>
      </w:r>
      <w:r w:rsidR="00CE744B">
        <w:t xml:space="preserve">a </w:t>
      </w:r>
      <w:r>
        <w:t xml:space="preserve">change </w:t>
      </w:r>
      <w:r w:rsidR="00CE744B">
        <w:t xml:space="preserve">to </w:t>
      </w:r>
      <w:r>
        <w:t xml:space="preserve">the length of </w:t>
      </w:r>
      <w:r w:rsidR="00CE744B">
        <w:t xml:space="preserve">the </w:t>
      </w:r>
      <w:r>
        <w:t>renewal period and publi</w:t>
      </w:r>
      <w:r w:rsidR="00CE744B">
        <w:t>cation of</w:t>
      </w:r>
      <w:r>
        <w:t xml:space="preserve"> re-registration due dates for greater clarity (31 CFR 1022.380(b)(4))</w:t>
      </w:r>
      <w:r w:rsidR="00CE744B">
        <w:t xml:space="preserve">; </w:t>
      </w:r>
      <w:r>
        <w:t>redefin</w:t>
      </w:r>
      <w:r w:rsidR="008F7343">
        <w:t>ing</w:t>
      </w:r>
      <w:r>
        <w:t xml:space="preserve"> the definition of “check casher” by raising the registration threshold for check cashers from $1,000 to $3,000 (31 CFR 1010.100(ff)(2)</w:t>
      </w:r>
      <w:r w:rsidR="00CE744B">
        <w:t>;</w:t>
      </w:r>
      <w:r w:rsidR="005B4BC5">
        <w:rPr>
          <w:color w:val="1F497D"/>
        </w:rPr>
        <w:t xml:space="preserve"> </w:t>
      </w:r>
      <w:r>
        <w:t>and provid</w:t>
      </w:r>
      <w:r w:rsidR="008F7343">
        <w:t>ing</w:t>
      </w:r>
      <w:r>
        <w:t xml:space="preserve"> guidance on the registration requirements </w:t>
      </w:r>
      <w:r w:rsidR="0087080D">
        <w:t xml:space="preserve">for </w:t>
      </w:r>
      <w:r>
        <w:t>foreign-located MSBs and correspondents (31 CFR 1022.380(a)(2)).</w:t>
      </w:r>
    </w:p>
    <w:p w14:paraId="1B42641E" w14:textId="77777777" w:rsidR="0053159B" w:rsidRDefault="0053159B" w:rsidP="0053159B">
      <w:pPr>
        <w:ind w:firstLine="720"/>
      </w:pPr>
    </w:p>
    <w:p w14:paraId="5D0797AE" w14:textId="63D7ABBE" w:rsidR="0053159B" w:rsidRDefault="0053159B" w:rsidP="0053159B">
      <w:pPr>
        <w:ind w:firstLine="720"/>
      </w:pPr>
      <w:r>
        <w:t>The MSBA a</w:t>
      </w:r>
      <w:r w:rsidR="0087080D">
        <w:t>lso</w:t>
      </w:r>
      <w:r>
        <w:t xml:space="preserve"> suggested amendments to the FinCEN Form 107</w:t>
      </w:r>
      <w:r w:rsidR="007C0C2F">
        <w:t xml:space="preserve">, including </w:t>
      </w:r>
      <w:r>
        <w:t>add</w:t>
      </w:r>
      <w:r w:rsidR="007C0C2F">
        <w:t>ing</w:t>
      </w:r>
      <w:r>
        <w:t xml:space="preserve"> additional fields to the form in order to provide more information on beneficial ownership</w:t>
      </w:r>
      <w:r w:rsidR="008F7343">
        <w:t xml:space="preserve">. </w:t>
      </w:r>
      <w:r w:rsidR="0087080D">
        <w:t xml:space="preserve"> </w:t>
      </w:r>
      <w:r w:rsidR="008F7343">
        <w:t>The MSBA also believes additional fields would</w:t>
      </w:r>
      <w:r>
        <w:t xml:space="preserve"> provid</w:t>
      </w:r>
      <w:r w:rsidR="008F7343">
        <w:t>e</w:t>
      </w:r>
      <w:r>
        <w:t xml:space="preserve"> more clarity on MSB activities, and the registration requirements</w:t>
      </w:r>
      <w:r w:rsidR="008F7343">
        <w:t xml:space="preserve"> for those activities</w:t>
      </w:r>
      <w:r>
        <w:t xml:space="preserve">, </w:t>
      </w:r>
      <w:r w:rsidR="008F7343">
        <w:t xml:space="preserve">in </w:t>
      </w:r>
      <w:r>
        <w:t xml:space="preserve">a given state. </w:t>
      </w:r>
      <w:r w:rsidR="007C0C2F">
        <w:t xml:space="preserve"> </w:t>
      </w:r>
      <w:r>
        <w:t xml:space="preserve">In addition, the MSBA requests that FinCEN ensure </w:t>
      </w:r>
      <w:r w:rsidR="007C0C2F">
        <w:t>the form</w:t>
      </w:r>
      <w:r>
        <w:t xml:space="preserve"> is accessible and usable with a wide variety of computer</w:t>
      </w:r>
      <w:r w:rsidR="007C0C2F">
        <w:t xml:space="preserve"> software</w:t>
      </w:r>
      <w:r>
        <w:t xml:space="preserve">. </w:t>
      </w:r>
    </w:p>
    <w:p w14:paraId="0752E4AD" w14:textId="77777777" w:rsidR="0053159B" w:rsidRDefault="0053159B" w:rsidP="0053159B">
      <w:pPr>
        <w:ind w:firstLine="720"/>
      </w:pPr>
    </w:p>
    <w:p w14:paraId="121B7AFF" w14:textId="061ED23B" w:rsidR="0053159B" w:rsidRDefault="0053159B" w:rsidP="0053159B">
      <w:pPr>
        <w:ind w:firstLine="720"/>
      </w:pPr>
      <w:r>
        <w:t xml:space="preserve">Lastly, the MSBA commented on the FinCEN Suspicious Activity Reports (“SAR”) requirements. </w:t>
      </w:r>
      <w:r w:rsidR="0087080D">
        <w:t xml:space="preserve"> </w:t>
      </w:r>
      <w:r>
        <w:t xml:space="preserve">The OMB control numbers for MSB SAR requirements are 1506-0015 and 1506-0065. </w:t>
      </w:r>
      <w:r w:rsidR="0087080D">
        <w:t xml:space="preserve"> </w:t>
      </w:r>
      <w:r>
        <w:t xml:space="preserve">FinCEN will note the MSBA’s requests for further clarification when working with these OMB control numbers. </w:t>
      </w:r>
      <w:r w:rsidR="0087080D">
        <w:t xml:space="preserve"> </w:t>
      </w:r>
      <w:r>
        <w:t>In addition, the MSBA’s comments will also be incorporated into FinCEN’s retrospective regulatory review process, as mandated by E.O. 12866 and 13563.</w:t>
      </w:r>
    </w:p>
    <w:p w14:paraId="434A3A50" w14:textId="77777777" w:rsidR="0053159B" w:rsidRDefault="0053159B" w:rsidP="0053159B">
      <w:pPr>
        <w:ind w:firstLine="720"/>
      </w:pPr>
    </w:p>
    <w:p w14:paraId="1AE32281" w14:textId="2B049E44" w:rsidR="0053159B" w:rsidRDefault="0053159B" w:rsidP="00D777E1">
      <w:pPr>
        <w:ind w:firstLine="720"/>
      </w:pPr>
      <w:r>
        <w:lastRenderedPageBreak/>
        <w:t>FinCEN would like to thank the MSBA for their comments concerning the registration process of MSBs.</w:t>
      </w:r>
    </w:p>
    <w:p w14:paraId="4E24916B" w14:textId="77777777" w:rsidR="00F92207" w:rsidRDefault="00F92207" w:rsidP="0074787B">
      <w:pPr>
        <w:spacing w:before="283"/>
        <w:rPr>
          <w:szCs w:val="22"/>
        </w:rPr>
      </w:pPr>
      <w:r w:rsidRPr="0029495D">
        <w:rPr>
          <w:szCs w:val="22"/>
        </w:rPr>
        <w:t xml:space="preserve">9. </w:t>
      </w:r>
      <w:r w:rsidR="00410A42" w:rsidRPr="00A342BD">
        <w:rPr>
          <w:szCs w:val="22"/>
          <w:u w:val="single"/>
        </w:rPr>
        <w:t xml:space="preserve">Explanation of decision to provide any </w:t>
      </w:r>
      <w:r w:rsidR="00410A42" w:rsidRPr="0029495D">
        <w:rPr>
          <w:szCs w:val="22"/>
          <w:u w:val="single"/>
        </w:rPr>
        <w:t xml:space="preserve">payment </w:t>
      </w:r>
      <w:r w:rsidR="00410A42">
        <w:rPr>
          <w:szCs w:val="22"/>
          <w:u w:val="single"/>
        </w:rPr>
        <w:t>or</w:t>
      </w:r>
      <w:r w:rsidR="00410A42" w:rsidRPr="0029495D">
        <w:rPr>
          <w:szCs w:val="22"/>
          <w:u w:val="single"/>
        </w:rPr>
        <w:t xml:space="preserve"> gift</w:t>
      </w:r>
      <w:r w:rsidR="00410A42">
        <w:rPr>
          <w:szCs w:val="22"/>
          <w:u w:val="single"/>
        </w:rPr>
        <w:t xml:space="preserve"> to respondents</w:t>
      </w:r>
      <w:r w:rsidR="0099381E" w:rsidRPr="0029495D">
        <w:rPr>
          <w:szCs w:val="22"/>
          <w:u w:val="single"/>
        </w:rPr>
        <w:t>.</w:t>
      </w:r>
      <w:r>
        <w:rPr>
          <w:szCs w:val="22"/>
        </w:rPr>
        <w:t xml:space="preserve"> </w:t>
      </w:r>
    </w:p>
    <w:p w14:paraId="6BEBA164" w14:textId="77777777" w:rsidR="00F92207" w:rsidRDefault="006672E8">
      <w:pPr>
        <w:spacing w:before="283"/>
        <w:rPr>
          <w:szCs w:val="22"/>
        </w:rPr>
      </w:pPr>
      <w:r>
        <w:rPr>
          <w:szCs w:val="22"/>
        </w:rPr>
        <w:tab/>
      </w:r>
      <w:r w:rsidR="00F92207">
        <w:rPr>
          <w:szCs w:val="22"/>
        </w:rPr>
        <w:t xml:space="preserve">No payments or gifts were made to respondents. </w:t>
      </w:r>
    </w:p>
    <w:p w14:paraId="499B6C45" w14:textId="77777777" w:rsidR="00F92207" w:rsidRDefault="00F92207">
      <w:pPr>
        <w:pStyle w:val="BodyText"/>
        <w:rPr>
          <w:sz w:val="24"/>
        </w:rPr>
      </w:pPr>
      <w:r>
        <w:rPr>
          <w:sz w:val="24"/>
        </w:rPr>
        <w:t xml:space="preserve">10. </w:t>
      </w:r>
      <w:r w:rsidR="00410A42">
        <w:rPr>
          <w:sz w:val="24"/>
          <w:u w:val="single"/>
        </w:rPr>
        <w:t>Assurance of confidentiality of responses.</w:t>
      </w:r>
      <w:r w:rsidR="00410A42">
        <w:rPr>
          <w:sz w:val="24"/>
        </w:rPr>
        <w:t xml:space="preserve"> </w:t>
      </w:r>
    </w:p>
    <w:p w14:paraId="6A955F1E" w14:textId="77777777" w:rsidR="00F92207" w:rsidRDefault="006672E8">
      <w:pPr>
        <w:pStyle w:val="BodyText"/>
        <w:rPr>
          <w:sz w:val="24"/>
        </w:rPr>
      </w:pPr>
      <w:r>
        <w:rPr>
          <w:sz w:val="24"/>
        </w:rPr>
        <w:tab/>
      </w:r>
      <w:r w:rsidR="00F92207">
        <w:rPr>
          <w:sz w:val="24"/>
        </w:rPr>
        <w:t xml:space="preserve">Information collected on </w:t>
      </w:r>
      <w:r w:rsidR="005F4F45">
        <w:rPr>
          <w:sz w:val="24"/>
        </w:rPr>
        <w:t xml:space="preserve">FinCEN </w:t>
      </w:r>
      <w:r w:rsidR="00F92207">
        <w:rPr>
          <w:sz w:val="24"/>
        </w:rPr>
        <w:t>Form 107 is made available, in accordance with strict safeguards, to appropriate criminal law enforcement, regulatory, and taxation personnel solely in the official performance of their duties.</w:t>
      </w:r>
    </w:p>
    <w:p w14:paraId="7F6EE9BF" w14:textId="77777777" w:rsidR="00F92207" w:rsidRDefault="00F92207">
      <w:pPr>
        <w:spacing w:before="264"/>
        <w:rPr>
          <w:szCs w:val="22"/>
        </w:rPr>
      </w:pPr>
      <w:r>
        <w:rPr>
          <w:szCs w:val="22"/>
        </w:rPr>
        <w:t xml:space="preserve">11. </w:t>
      </w:r>
      <w:r w:rsidR="00410A42">
        <w:rPr>
          <w:szCs w:val="22"/>
          <w:u w:val="single"/>
        </w:rPr>
        <w:t>Justification of sensitive questions.</w:t>
      </w:r>
      <w:r w:rsidR="00410A42">
        <w:rPr>
          <w:szCs w:val="22"/>
        </w:rPr>
        <w:t xml:space="preserve"> </w:t>
      </w:r>
    </w:p>
    <w:p w14:paraId="5D0A3B26" w14:textId="4AE63634" w:rsidR="006672E8" w:rsidRDefault="006672E8">
      <w:pPr>
        <w:spacing w:before="240" w:line="240" w:lineRule="exact"/>
      </w:pPr>
      <w:r>
        <w:tab/>
      </w:r>
      <w:r w:rsidRPr="00537765">
        <w:t xml:space="preserve">There are no questions of a sensitive nature in the collection of information.  Any </w:t>
      </w:r>
      <w:r>
        <w:t>personally identifiable</w:t>
      </w:r>
      <w:r w:rsidRPr="00537765">
        <w:t xml:space="preserve"> information collected under the B</w:t>
      </w:r>
      <w:r w:rsidR="00422808">
        <w:t>SA</w:t>
      </w:r>
      <w:r w:rsidRPr="00537765">
        <w:t xml:space="preserve"> is strictly controlled as outlined in FinCEN’s Systems of Records Notice</w:t>
      </w:r>
      <w:r w:rsidRPr="00537765">
        <w:rPr>
          <w:color w:val="1F497D"/>
        </w:rPr>
        <w:t xml:space="preserve"> </w:t>
      </w:r>
      <w:hyperlink r:id="rId9" w:history="1">
        <w:r w:rsidRPr="00537765">
          <w:rPr>
            <w:rStyle w:val="Hyperlink"/>
          </w:rPr>
          <w:t>http://www.fincen.gov/foia/files/FinCEN_79_FR_20969.pdf</w:t>
        </w:r>
      </w:hyperlink>
      <w:r w:rsidRPr="00537765">
        <w:t>.</w:t>
      </w:r>
    </w:p>
    <w:p w14:paraId="6C8BF6E5" w14:textId="77777777" w:rsidR="00410A42" w:rsidRDefault="00410A42">
      <w:pPr>
        <w:spacing w:before="240" w:line="240" w:lineRule="exact"/>
      </w:pPr>
    </w:p>
    <w:p w14:paraId="508BA414" w14:textId="77777777" w:rsidR="00410A42" w:rsidRDefault="00410A42">
      <w:r>
        <w:t xml:space="preserve">12 &amp; 13.  </w:t>
      </w:r>
      <w:r>
        <w:rPr>
          <w:u w:val="single"/>
        </w:rPr>
        <w:t>Estimated burden &amp; cost of information collection</w:t>
      </w:r>
      <w:r w:rsidRPr="00EA06CF">
        <w:rPr>
          <w:u w:val="single"/>
        </w:rPr>
        <w:t>.</w:t>
      </w:r>
    </w:p>
    <w:p w14:paraId="18227AE5" w14:textId="260657CD" w:rsidR="009D056A" w:rsidRDefault="00410A42" w:rsidP="00A342BD">
      <w:pPr>
        <w:spacing w:before="307"/>
        <w:ind w:firstLine="360"/>
        <w:rPr>
          <w:szCs w:val="22"/>
        </w:rPr>
      </w:pPr>
      <w:r w:rsidRPr="009053B9">
        <w:rPr>
          <w:iCs/>
        </w:rPr>
        <w:t xml:space="preserve">FinCEN estimates that approximately </w:t>
      </w:r>
      <w:r>
        <w:rPr>
          <w:iCs/>
        </w:rPr>
        <w:t xml:space="preserve">42,000 </w:t>
      </w:r>
      <w:r w:rsidR="009D056A">
        <w:rPr>
          <w:iCs/>
        </w:rPr>
        <w:t xml:space="preserve">MSBs each year will meet the criteria requiring them to register with FinCEN. </w:t>
      </w:r>
      <w:r w:rsidR="00C046A4">
        <w:rPr>
          <w:iCs/>
        </w:rPr>
        <w:t xml:space="preserve"> </w:t>
      </w:r>
      <w:r w:rsidR="009D056A">
        <w:rPr>
          <w:iCs/>
        </w:rPr>
        <w:t>FinCEN estimates that this information collection will require an</w:t>
      </w:r>
      <w:r w:rsidR="009D056A">
        <w:rPr>
          <w:szCs w:val="22"/>
        </w:rPr>
        <w:t xml:space="preserve"> average of 30 minutes per response and an additional recordkeeping average of 30 minutes per response for a total of 60 minutes per response.</w:t>
      </w:r>
    </w:p>
    <w:p w14:paraId="7DD15EAE" w14:textId="77777777" w:rsidR="00410A42" w:rsidRDefault="00410A42" w:rsidP="0074787B">
      <w:pPr>
        <w:ind w:left="360"/>
        <w:rPr>
          <w:iCs/>
        </w:rPr>
      </w:pPr>
    </w:p>
    <w:p w14:paraId="642A41F4" w14:textId="462822BA" w:rsidR="00410A42" w:rsidRDefault="00410A42">
      <w:pPr>
        <w:ind w:left="360"/>
        <w:rPr>
          <w:iCs/>
        </w:rPr>
      </w:pPr>
      <w:r w:rsidRPr="00D61A01">
        <w:t>Estimated burden cost</w:t>
      </w:r>
      <w:r>
        <w:t>: 42,000 hours X $63.53 per hour = $</w:t>
      </w:r>
      <w:r w:rsidRPr="00410A42">
        <w:t>2,</w:t>
      </w:r>
      <w:r w:rsidR="00017E6C">
        <w:t>668,260</w:t>
      </w:r>
      <w:r>
        <w:t>.</w:t>
      </w:r>
      <w:r w:rsidRPr="003A42E4">
        <w:rPr>
          <w:rStyle w:val="FootnoteReference"/>
          <w:rFonts w:eastAsia="MS Mincho"/>
          <w:szCs w:val="20"/>
        </w:rPr>
        <w:footnoteReference w:id="2"/>
      </w:r>
      <w:r w:rsidRPr="003A42E4">
        <w:rPr>
          <w:rStyle w:val="FootnoteReference"/>
          <w:rFonts w:eastAsia="MS Mincho"/>
          <w:szCs w:val="20"/>
        </w:rPr>
        <w:t xml:space="preserve">  </w:t>
      </w:r>
    </w:p>
    <w:p w14:paraId="44311A83" w14:textId="77777777" w:rsidR="00410A42" w:rsidRDefault="00410A42">
      <w:pPr>
        <w:ind w:left="360"/>
        <w:rPr>
          <w:iCs/>
        </w:rPr>
      </w:pPr>
    </w:p>
    <w:p w14:paraId="2AD2EA82" w14:textId="77777777" w:rsidR="00410A42" w:rsidRDefault="00410A42">
      <w:pPr>
        <w:ind w:left="360"/>
      </w:pPr>
      <w:r w:rsidRPr="004A06C5">
        <w:t>T</w:t>
      </w:r>
      <w:r>
        <w:t>otal burden hours: 42,000.</w:t>
      </w:r>
    </w:p>
    <w:p w14:paraId="787B4BAC" w14:textId="77777777" w:rsidR="00410A42" w:rsidRDefault="00410A42">
      <w:pPr>
        <w:ind w:left="360"/>
      </w:pPr>
    </w:p>
    <w:p w14:paraId="2D130C82" w14:textId="297F7EC1" w:rsidR="00410A42" w:rsidRPr="009053B9" w:rsidRDefault="00410A42">
      <w:pPr>
        <w:ind w:left="360"/>
      </w:pPr>
      <w:r>
        <w:t>Total cost: $</w:t>
      </w:r>
      <w:r w:rsidR="00017E6C">
        <w:t>2,668,260</w:t>
      </w:r>
      <w:r>
        <w:t>.</w:t>
      </w:r>
    </w:p>
    <w:p w14:paraId="4ED396FD" w14:textId="77777777" w:rsidR="00410A42" w:rsidRDefault="00410A42"/>
    <w:p w14:paraId="265457DB" w14:textId="77777777" w:rsidR="00410A42" w:rsidRDefault="00410A42"/>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23"/>
        <w:gridCol w:w="1430"/>
        <w:gridCol w:w="1270"/>
        <w:gridCol w:w="1177"/>
        <w:gridCol w:w="876"/>
        <w:gridCol w:w="876"/>
        <w:gridCol w:w="1296"/>
      </w:tblGrid>
      <w:tr w:rsidR="00410A42" w14:paraId="21D50FAD" w14:textId="77777777" w:rsidTr="00D777E1">
        <w:tc>
          <w:tcPr>
            <w:tcW w:w="1394" w:type="dxa"/>
            <w:shd w:val="clear" w:color="auto" w:fill="auto"/>
          </w:tcPr>
          <w:p w14:paraId="0CBB2E46" w14:textId="77777777" w:rsidR="00410A42" w:rsidRPr="00B726A3" w:rsidRDefault="00410A42">
            <w:pPr>
              <w:rPr>
                <w:b/>
              </w:rPr>
            </w:pPr>
            <w:r w:rsidRPr="00B726A3">
              <w:rPr>
                <w:b/>
              </w:rPr>
              <w:t>Information Collection</w:t>
            </w:r>
          </w:p>
        </w:tc>
        <w:tc>
          <w:tcPr>
            <w:tcW w:w="1442" w:type="dxa"/>
            <w:shd w:val="clear" w:color="auto" w:fill="auto"/>
          </w:tcPr>
          <w:p w14:paraId="03EAF260" w14:textId="77777777" w:rsidR="00410A42" w:rsidRPr="00B726A3" w:rsidRDefault="00410A42">
            <w:pPr>
              <w:rPr>
                <w:b/>
              </w:rPr>
            </w:pPr>
            <w:r w:rsidRPr="00B726A3">
              <w:rPr>
                <w:b/>
              </w:rPr>
              <w:t># of Respondents</w:t>
            </w:r>
          </w:p>
        </w:tc>
        <w:tc>
          <w:tcPr>
            <w:tcW w:w="1355" w:type="dxa"/>
            <w:shd w:val="clear" w:color="auto" w:fill="auto"/>
          </w:tcPr>
          <w:p w14:paraId="6760F02A" w14:textId="77777777" w:rsidR="00410A42" w:rsidRPr="00B726A3" w:rsidRDefault="00410A42">
            <w:pPr>
              <w:rPr>
                <w:b/>
              </w:rPr>
            </w:pPr>
            <w:r w:rsidRPr="00B726A3">
              <w:rPr>
                <w:b/>
              </w:rPr>
              <w:t>Annual # of Responses per Respondent</w:t>
            </w:r>
          </w:p>
        </w:tc>
        <w:tc>
          <w:tcPr>
            <w:tcW w:w="1205" w:type="dxa"/>
            <w:shd w:val="clear" w:color="auto" w:fill="auto"/>
          </w:tcPr>
          <w:p w14:paraId="0CEA6A4E" w14:textId="77777777" w:rsidR="00410A42" w:rsidRPr="00B726A3" w:rsidRDefault="00410A42">
            <w:pPr>
              <w:rPr>
                <w:b/>
              </w:rPr>
            </w:pPr>
            <w:r w:rsidRPr="00B726A3">
              <w:rPr>
                <w:b/>
              </w:rPr>
              <w:t>Total Responses</w:t>
            </w:r>
          </w:p>
        </w:tc>
        <w:tc>
          <w:tcPr>
            <w:tcW w:w="1055" w:type="dxa"/>
            <w:shd w:val="clear" w:color="auto" w:fill="auto"/>
          </w:tcPr>
          <w:p w14:paraId="17FCED28" w14:textId="4F6E098C" w:rsidR="00410A42" w:rsidRPr="00B726A3" w:rsidRDefault="00410A42">
            <w:pPr>
              <w:rPr>
                <w:b/>
              </w:rPr>
            </w:pPr>
            <w:r w:rsidRPr="00B726A3">
              <w:rPr>
                <w:b/>
              </w:rPr>
              <w:t xml:space="preserve">Hours per </w:t>
            </w:r>
            <w:r w:rsidR="00422808">
              <w:rPr>
                <w:b/>
              </w:rPr>
              <w:t>R</w:t>
            </w:r>
            <w:r w:rsidRPr="00B726A3">
              <w:rPr>
                <w:b/>
              </w:rPr>
              <w:t>esponse</w:t>
            </w:r>
          </w:p>
        </w:tc>
        <w:tc>
          <w:tcPr>
            <w:tcW w:w="835" w:type="dxa"/>
            <w:shd w:val="clear" w:color="auto" w:fill="auto"/>
          </w:tcPr>
          <w:p w14:paraId="5D22E18F" w14:textId="77777777" w:rsidR="00410A42" w:rsidRPr="00B726A3" w:rsidRDefault="00410A42">
            <w:pPr>
              <w:rPr>
                <w:b/>
              </w:rPr>
            </w:pPr>
            <w:r w:rsidRPr="00B726A3">
              <w:rPr>
                <w:b/>
              </w:rPr>
              <w:t>Total Hours</w:t>
            </w:r>
          </w:p>
        </w:tc>
        <w:tc>
          <w:tcPr>
            <w:tcW w:w="835" w:type="dxa"/>
            <w:shd w:val="clear" w:color="auto" w:fill="auto"/>
          </w:tcPr>
          <w:p w14:paraId="1E341679" w14:textId="77777777" w:rsidR="00410A42" w:rsidRPr="00B726A3" w:rsidRDefault="00410A42">
            <w:pPr>
              <w:rPr>
                <w:b/>
              </w:rPr>
            </w:pPr>
            <w:r w:rsidRPr="00B726A3">
              <w:rPr>
                <w:b/>
              </w:rPr>
              <w:t>Labor Cost per Hour</w:t>
            </w:r>
          </w:p>
        </w:tc>
        <w:tc>
          <w:tcPr>
            <w:tcW w:w="1684" w:type="dxa"/>
            <w:shd w:val="clear" w:color="auto" w:fill="auto"/>
          </w:tcPr>
          <w:p w14:paraId="4F4EEC88" w14:textId="77777777" w:rsidR="00410A42" w:rsidRPr="00B726A3" w:rsidRDefault="00410A42">
            <w:pPr>
              <w:rPr>
                <w:b/>
              </w:rPr>
            </w:pPr>
            <w:r w:rsidRPr="00B726A3">
              <w:rPr>
                <w:b/>
              </w:rPr>
              <w:t>Total Labor Costs</w:t>
            </w:r>
          </w:p>
        </w:tc>
      </w:tr>
      <w:tr w:rsidR="00410A42" w14:paraId="65C3D96B" w14:textId="77777777" w:rsidTr="00D777E1">
        <w:tc>
          <w:tcPr>
            <w:tcW w:w="1394" w:type="dxa"/>
            <w:shd w:val="clear" w:color="auto" w:fill="auto"/>
          </w:tcPr>
          <w:p w14:paraId="05C71367" w14:textId="75B1BAC1" w:rsidR="00410A42" w:rsidRDefault="00A342BD" w:rsidP="00A342BD">
            <w:r>
              <w:t>MSB Registration</w:t>
            </w:r>
          </w:p>
        </w:tc>
        <w:tc>
          <w:tcPr>
            <w:tcW w:w="1442" w:type="dxa"/>
            <w:shd w:val="clear" w:color="auto" w:fill="auto"/>
          </w:tcPr>
          <w:p w14:paraId="414008B2" w14:textId="77777777" w:rsidR="00410A42" w:rsidRDefault="00410A42" w:rsidP="00A342BD">
            <w:r>
              <w:t>42,000</w:t>
            </w:r>
          </w:p>
        </w:tc>
        <w:tc>
          <w:tcPr>
            <w:tcW w:w="1355" w:type="dxa"/>
            <w:shd w:val="clear" w:color="auto" w:fill="auto"/>
          </w:tcPr>
          <w:p w14:paraId="509A69EF" w14:textId="77777777" w:rsidR="00410A42" w:rsidRDefault="00410A42" w:rsidP="00A342BD">
            <w:r>
              <w:t>42,000</w:t>
            </w:r>
          </w:p>
        </w:tc>
        <w:tc>
          <w:tcPr>
            <w:tcW w:w="1205" w:type="dxa"/>
            <w:shd w:val="clear" w:color="auto" w:fill="auto"/>
          </w:tcPr>
          <w:p w14:paraId="4EDEC46C" w14:textId="77777777" w:rsidR="00410A42" w:rsidRDefault="00410A42" w:rsidP="00A342BD">
            <w:r>
              <w:t>42,000</w:t>
            </w:r>
          </w:p>
        </w:tc>
        <w:tc>
          <w:tcPr>
            <w:tcW w:w="1055" w:type="dxa"/>
            <w:shd w:val="clear" w:color="auto" w:fill="auto"/>
          </w:tcPr>
          <w:p w14:paraId="532251D4" w14:textId="77777777" w:rsidR="00410A42" w:rsidRDefault="00410A42" w:rsidP="00A342BD">
            <w:r>
              <w:t>1</w:t>
            </w:r>
          </w:p>
        </w:tc>
        <w:tc>
          <w:tcPr>
            <w:tcW w:w="835" w:type="dxa"/>
            <w:shd w:val="clear" w:color="auto" w:fill="auto"/>
          </w:tcPr>
          <w:p w14:paraId="66AA0FC0" w14:textId="77777777" w:rsidR="00410A42" w:rsidRDefault="00410A42" w:rsidP="00A342BD">
            <w:r>
              <w:t>42,000</w:t>
            </w:r>
          </w:p>
        </w:tc>
        <w:tc>
          <w:tcPr>
            <w:tcW w:w="835" w:type="dxa"/>
            <w:shd w:val="clear" w:color="auto" w:fill="auto"/>
          </w:tcPr>
          <w:p w14:paraId="252B1B82" w14:textId="77777777" w:rsidR="00410A42" w:rsidRDefault="00410A42" w:rsidP="00A342BD">
            <w:r>
              <w:t>$63.53</w:t>
            </w:r>
          </w:p>
        </w:tc>
        <w:tc>
          <w:tcPr>
            <w:tcW w:w="1684" w:type="dxa"/>
            <w:shd w:val="clear" w:color="auto" w:fill="auto"/>
          </w:tcPr>
          <w:p w14:paraId="01CB0D24" w14:textId="1B2E8B81" w:rsidR="00410A42" w:rsidRDefault="00410A42" w:rsidP="00BE04D6">
            <w:r>
              <w:t>$</w:t>
            </w:r>
            <w:r w:rsidR="00BE04D6">
              <w:t>2,668,260</w:t>
            </w:r>
          </w:p>
        </w:tc>
      </w:tr>
      <w:tr w:rsidR="00410A42" w14:paraId="25B53453" w14:textId="77777777" w:rsidTr="00D777E1">
        <w:tc>
          <w:tcPr>
            <w:tcW w:w="1394" w:type="dxa"/>
            <w:shd w:val="clear" w:color="auto" w:fill="auto"/>
          </w:tcPr>
          <w:p w14:paraId="2578D8AF" w14:textId="77777777" w:rsidR="00410A42" w:rsidRPr="00B726A3" w:rsidRDefault="00410A42" w:rsidP="0074787B">
            <w:pPr>
              <w:rPr>
                <w:b/>
              </w:rPr>
            </w:pPr>
            <w:r w:rsidRPr="00B726A3">
              <w:rPr>
                <w:b/>
              </w:rPr>
              <w:t>TOTAL</w:t>
            </w:r>
          </w:p>
        </w:tc>
        <w:tc>
          <w:tcPr>
            <w:tcW w:w="1442" w:type="dxa"/>
            <w:shd w:val="clear" w:color="auto" w:fill="auto"/>
          </w:tcPr>
          <w:p w14:paraId="281D70E4" w14:textId="77777777" w:rsidR="00410A42" w:rsidRPr="00B726A3" w:rsidRDefault="00410A42">
            <w:pPr>
              <w:rPr>
                <w:b/>
              </w:rPr>
            </w:pPr>
          </w:p>
        </w:tc>
        <w:tc>
          <w:tcPr>
            <w:tcW w:w="1355" w:type="dxa"/>
            <w:shd w:val="clear" w:color="auto" w:fill="auto"/>
          </w:tcPr>
          <w:p w14:paraId="0C80A0F7" w14:textId="77777777" w:rsidR="00410A42" w:rsidRPr="00B726A3" w:rsidRDefault="00410A42">
            <w:pPr>
              <w:rPr>
                <w:b/>
              </w:rPr>
            </w:pPr>
          </w:p>
        </w:tc>
        <w:tc>
          <w:tcPr>
            <w:tcW w:w="1205" w:type="dxa"/>
            <w:shd w:val="clear" w:color="auto" w:fill="auto"/>
          </w:tcPr>
          <w:p w14:paraId="3DABD7CE" w14:textId="77777777" w:rsidR="00410A42" w:rsidRPr="00B726A3" w:rsidRDefault="00410A42">
            <w:pPr>
              <w:rPr>
                <w:b/>
              </w:rPr>
            </w:pPr>
            <w:r w:rsidRPr="00B726A3">
              <w:rPr>
                <w:b/>
              </w:rPr>
              <w:t>42,000</w:t>
            </w:r>
          </w:p>
        </w:tc>
        <w:tc>
          <w:tcPr>
            <w:tcW w:w="1055" w:type="dxa"/>
            <w:shd w:val="clear" w:color="auto" w:fill="auto"/>
          </w:tcPr>
          <w:p w14:paraId="0482DCE5" w14:textId="77777777" w:rsidR="00410A42" w:rsidRPr="00B726A3" w:rsidRDefault="00410A42">
            <w:pPr>
              <w:rPr>
                <w:b/>
              </w:rPr>
            </w:pPr>
          </w:p>
        </w:tc>
        <w:tc>
          <w:tcPr>
            <w:tcW w:w="835" w:type="dxa"/>
            <w:shd w:val="clear" w:color="auto" w:fill="auto"/>
          </w:tcPr>
          <w:p w14:paraId="2B60F59D" w14:textId="77777777" w:rsidR="00410A42" w:rsidRPr="00B726A3" w:rsidRDefault="00410A42">
            <w:pPr>
              <w:rPr>
                <w:b/>
              </w:rPr>
            </w:pPr>
            <w:r w:rsidRPr="00B726A3">
              <w:rPr>
                <w:b/>
              </w:rPr>
              <w:t>42,000</w:t>
            </w:r>
          </w:p>
        </w:tc>
        <w:tc>
          <w:tcPr>
            <w:tcW w:w="835" w:type="dxa"/>
            <w:shd w:val="clear" w:color="auto" w:fill="auto"/>
          </w:tcPr>
          <w:p w14:paraId="41BB5942" w14:textId="77777777" w:rsidR="00410A42" w:rsidRPr="00B726A3" w:rsidRDefault="00410A42">
            <w:pPr>
              <w:rPr>
                <w:b/>
              </w:rPr>
            </w:pPr>
          </w:p>
        </w:tc>
        <w:tc>
          <w:tcPr>
            <w:tcW w:w="1684" w:type="dxa"/>
            <w:shd w:val="clear" w:color="auto" w:fill="auto"/>
          </w:tcPr>
          <w:p w14:paraId="4B5C0EEB" w14:textId="63AAA216" w:rsidR="00410A42" w:rsidRPr="007F4D64" w:rsidRDefault="00410A42" w:rsidP="00BE04D6">
            <w:pPr>
              <w:rPr>
                <w:b/>
              </w:rPr>
            </w:pPr>
            <w:r w:rsidRPr="007F4D64">
              <w:rPr>
                <w:b/>
              </w:rPr>
              <w:t>$</w:t>
            </w:r>
            <w:r w:rsidR="00BE04D6">
              <w:rPr>
                <w:b/>
              </w:rPr>
              <w:t>2,668,260</w:t>
            </w:r>
          </w:p>
        </w:tc>
      </w:tr>
    </w:tbl>
    <w:p w14:paraId="33A51DA8" w14:textId="77777777" w:rsidR="00410A42" w:rsidRDefault="00410A42" w:rsidP="0074787B"/>
    <w:p w14:paraId="606F9723" w14:textId="77777777" w:rsidR="00410A42" w:rsidRDefault="00410A42">
      <w:r>
        <w:t>There are no non-labor costs associated with this collection of information.</w:t>
      </w:r>
    </w:p>
    <w:p w14:paraId="34060324" w14:textId="17ECEE3E" w:rsidR="00F92207" w:rsidRDefault="00F92207">
      <w:pPr>
        <w:spacing w:before="278"/>
        <w:rPr>
          <w:szCs w:val="22"/>
        </w:rPr>
      </w:pPr>
      <w:r>
        <w:rPr>
          <w:szCs w:val="22"/>
        </w:rPr>
        <w:t xml:space="preserve">14. </w:t>
      </w:r>
      <w:r>
        <w:rPr>
          <w:szCs w:val="22"/>
          <w:u w:val="single"/>
        </w:rPr>
        <w:t xml:space="preserve">Estimated </w:t>
      </w:r>
      <w:r w:rsidR="00CC1EDD">
        <w:rPr>
          <w:szCs w:val="22"/>
          <w:u w:val="single"/>
        </w:rPr>
        <w:t>a</w:t>
      </w:r>
      <w:r>
        <w:rPr>
          <w:szCs w:val="22"/>
          <w:u w:val="single"/>
        </w:rPr>
        <w:t xml:space="preserve">nnual </w:t>
      </w:r>
      <w:r w:rsidR="00CC1EDD">
        <w:rPr>
          <w:szCs w:val="22"/>
          <w:u w:val="single"/>
        </w:rPr>
        <w:t>c</w:t>
      </w:r>
      <w:r>
        <w:rPr>
          <w:szCs w:val="22"/>
          <w:u w:val="single"/>
        </w:rPr>
        <w:t xml:space="preserve">ost to the Federal </w:t>
      </w:r>
      <w:r w:rsidR="00CC1EDD">
        <w:rPr>
          <w:szCs w:val="22"/>
          <w:u w:val="single"/>
        </w:rPr>
        <w:t>g</w:t>
      </w:r>
      <w:r>
        <w:rPr>
          <w:szCs w:val="22"/>
          <w:u w:val="single"/>
        </w:rPr>
        <w:t>overnment</w:t>
      </w:r>
      <w:r w:rsidR="0099381E">
        <w:rPr>
          <w:szCs w:val="22"/>
          <w:u w:val="single"/>
        </w:rPr>
        <w:t>.</w:t>
      </w:r>
    </w:p>
    <w:p w14:paraId="65B3455B" w14:textId="77777777" w:rsidR="00E94EA2" w:rsidRPr="00B96D75" w:rsidRDefault="006672E8">
      <w:pPr>
        <w:ind w:firstLine="720"/>
      </w:pPr>
      <w:r>
        <w:rPr>
          <w:szCs w:val="22"/>
        </w:rPr>
        <w:tab/>
      </w:r>
    </w:p>
    <w:p w14:paraId="2978A6A0" w14:textId="777C9005" w:rsidR="00E94EA2" w:rsidRPr="00B96D75" w:rsidRDefault="00E94EA2">
      <w:pPr>
        <w:ind w:firstLine="720"/>
      </w:pPr>
      <w:r w:rsidRPr="00B96D75">
        <w:t xml:space="preserve">Electronic processing cost to the Federal </w:t>
      </w:r>
      <w:r w:rsidR="00CC1EDD">
        <w:t>g</w:t>
      </w:r>
      <w:r w:rsidRPr="00B96D75">
        <w:t xml:space="preserve">overnment for </w:t>
      </w:r>
      <w:r w:rsidR="00A47D85">
        <w:t>4</w:t>
      </w:r>
      <w:r w:rsidR="00402A54">
        <w:t>2,0</w:t>
      </w:r>
      <w:r w:rsidR="00A47D85">
        <w:t>00</w:t>
      </w:r>
      <w:r w:rsidRPr="00B96D75">
        <w:t xml:space="preserve"> responses X $0.10 per response = $</w:t>
      </w:r>
      <w:r w:rsidR="00A47D85">
        <w:t>4,</w:t>
      </w:r>
      <w:r w:rsidR="00402A54">
        <w:t>20</w:t>
      </w:r>
      <w:r w:rsidR="00A47D85">
        <w:t>0</w:t>
      </w:r>
      <w:r w:rsidRPr="00B96D75">
        <w:t>.</w:t>
      </w:r>
      <w:r w:rsidRPr="00B96D75">
        <w:rPr>
          <w:rStyle w:val="FootnoteReference"/>
        </w:rPr>
        <w:footnoteReference w:id="3"/>
      </w:r>
    </w:p>
    <w:p w14:paraId="149D178D" w14:textId="2F0E53FC" w:rsidR="00F92207" w:rsidRDefault="00F92207">
      <w:pPr>
        <w:spacing w:before="312"/>
        <w:rPr>
          <w:szCs w:val="22"/>
        </w:rPr>
      </w:pPr>
      <w:r>
        <w:rPr>
          <w:szCs w:val="22"/>
        </w:rPr>
        <w:t xml:space="preserve">15. </w:t>
      </w:r>
      <w:r>
        <w:rPr>
          <w:szCs w:val="22"/>
          <w:u w:val="single"/>
        </w:rPr>
        <w:t xml:space="preserve">Reason for </w:t>
      </w:r>
      <w:r w:rsidR="00CC1EDD">
        <w:rPr>
          <w:szCs w:val="22"/>
          <w:u w:val="single"/>
        </w:rPr>
        <w:t>c</w:t>
      </w:r>
      <w:r>
        <w:rPr>
          <w:szCs w:val="22"/>
          <w:u w:val="single"/>
        </w:rPr>
        <w:t xml:space="preserve">hange in </w:t>
      </w:r>
      <w:r w:rsidR="00CC1EDD">
        <w:rPr>
          <w:szCs w:val="22"/>
          <w:u w:val="single"/>
        </w:rPr>
        <w:t>b</w:t>
      </w:r>
      <w:r>
        <w:rPr>
          <w:szCs w:val="22"/>
          <w:u w:val="single"/>
        </w:rPr>
        <w:t>urden</w:t>
      </w:r>
      <w:r w:rsidR="0099381E">
        <w:rPr>
          <w:szCs w:val="22"/>
          <w:u w:val="single"/>
        </w:rPr>
        <w:t>.</w:t>
      </w:r>
      <w:r>
        <w:rPr>
          <w:szCs w:val="22"/>
        </w:rPr>
        <w:t xml:space="preserve"> </w:t>
      </w:r>
    </w:p>
    <w:p w14:paraId="699D4460" w14:textId="3E5674BA" w:rsidR="00F92207" w:rsidRDefault="006672E8">
      <w:pPr>
        <w:spacing w:before="312"/>
        <w:rPr>
          <w:szCs w:val="22"/>
        </w:rPr>
      </w:pPr>
      <w:r>
        <w:rPr>
          <w:szCs w:val="22"/>
        </w:rPr>
        <w:tab/>
      </w:r>
      <w:r w:rsidR="001C4568">
        <w:rPr>
          <w:szCs w:val="22"/>
        </w:rPr>
        <w:t xml:space="preserve">The number of registered MSBs dropped since the last estimate; FinCEN estimates that the number will approach 42,000 again, but remain beneath the 43,400 estimate from the last renewal. </w:t>
      </w:r>
      <w:r w:rsidR="00DF6936">
        <w:rPr>
          <w:szCs w:val="22"/>
        </w:rPr>
        <w:t xml:space="preserve">The number of MSBs needing to register can vary, based on a given MSB's size of transaction and lines of business. </w:t>
      </w:r>
    </w:p>
    <w:p w14:paraId="51551401" w14:textId="28C5042B" w:rsidR="00F92207" w:rsidRDefault="00F92207">
      <w:pPr>
        <w:spacing w:before="283"/>
        <w:rPr>
          <w:szCs w:val="22"/>
        </w:rPr>
      </w:pPr>
      <w:r>
        <w:rPr>
          <w:szCs w:val="22"/>
        </w:rPr>
        <w:t xml:space="preserve">16. </w:t>
      </w:r>
      <w:r>
        <w:rPr>
          <w:szCs w:val="22"/>
          <w:u w:val="single"/>
        </w:rPr>
        <w:t xml:space="preserve">Plans for </w:t>
      </w:r>
      <w:r w:rsidR="00CC1EDD">
        <w:rPr>
          <w:szCs w:val="22"/>
          <w:u w:val="single"/>
        </w:rPr>
        <w:t>t</w:t>
      </w:r>
      <w:r>
        <w:rPr>
          <w:szCs w:val="22"/>
          <w:u w:val="single"/>
        </w:rPr>
        <w:t xml:space="preserve">abulation, </w:t>
      </w:r>
      <w:r w:rsidR="00CC1EDD">
        <w:rPr>
          <w:szCs w:val="22"/>
          <w:u w:val="single"/>
        </w:rPr>
        <w:t>s</w:t>
      </w:r>
      <w:r>
        <w:rPr>
          <w:szCs w:val="22"/>
          <w:u w:val="single"/>
        </w:rPr>
        <w:t xml:space="preserve">tatistical </w:t>
      </w:r>
      <w:r w:rsidR="00CC1EDD">
        <w:rPr>
          <w:szCs w:val="22"/>
          <w:u w:val="single"/>
        </w:rPr>
        <w:t>a</w:t>
      </w:r>
      <w:r>
        <w:rPr>
          <w:szCs w:val="22"/>
          <w:u w:val="single"/>
        </w:rPr>
        <w:t xml:space="preserve">nalysis, and </w:t>
      </w:r>
      <w:r w:rsidR="00CC1EDD">
        <w:rPr>
          <w:szCs w:val="22"/>
          <w:u w:val="single"/>
        </w:rPr>
        <w:t>p</w:t>
      </w:r>
      <w:r>
        <w:rPr>
          <w:szCs w:val="22"/>
          <w:u w:val="single"/>
        </w:rPr>
        <w:t>ublication</w:t>
      </w:r>
      <w:r w:rsidR="0099381E">
        <w:rPr>
          <w:szCs w:val="22"/>
          <w:u w:val="single"/>
        </w:rPr>
        <w:t>.</w:t>
      </w:r>
      <w:r>
        <w:rPr>
          <w:szCs w:val="22"/>
        </w:rPr>
        <w:t xml:space="preserve"> </w:t>
      </w:r>
    </w:p>
    <w:p w14:paraId="47ED513D" w14:textId="15C8CBBB" w:rsidR="00F92207" w:rsidRDefault="006672E8">
      <w:pPr>
        <w:spacing w:before="283"/>
        <w:rPr>
          <w:szCs w:val="22"/>
        </w:rPr>
      </w:pPr>
      <w:r>
        <w:rPr>
          <w:szCs w:val="22"/>
        </w:rPr>
        <w:tab/>
      </w:r>
      <w:r w:rsidR="00FD797C">
        <w:rPr>
          <w:szCs w:val="22"/>
        </w:rPr>
        <w:t xml:space="preserve">FinCEN publishes some of the collected information to the public at </w:t>
      </w:r>
      <w:r w:rsidR="00FD797C" w:rsidRPr="00FD797C">
        <w:rPr>
          <w:szCs w:val="22"/>
        </w:rPr>
        <w:t>https://www.fincen.gov/msb-registrant-search</w:t>
      </w:r>
      <w:r w:rsidR="00FD797C">
        <w:rPr>
          <w:szCs w:val="22"/>
        </w:rPr>
        <w:t>; this permits members of the public to ensure a given MSB is registered.</w:t>
      </w:r>
    </w:p>
    <w:p w14:paraId="76527A0F" w14:textId="77777777" w:rsidR="00F92207" w:rsidRDefault="00F92207">
      <w:pPr>
        <w:spacing w:before="283"/>
        <w:rPr>
          <w:szCs w:val="22"/>
        </w:rPr>
      </w:pPr>
      <w:r>
        <w:rPr>
          <w:szCs w:val="22"/>
        </w:rPr>
        <w:t xml:space="preserve">17. </w:t>
      </w:r>
      <w:r>
        <w:rPr>
          <w:szCs w:val="22"/>
          <w:u w:val="single"/>
        </w:rPr>
        <w:t xml:space="preserve">Request not to </w:t>
      </w:r>
      <w:r w:rsidR="008037D0">
        <w:rPr>
          <w:szCs w:val="22"/>
          <w:u w:val="single"/>
        </w:rPr>
        <w:t>display the OMB expiration date</w:t>
      </w:r>
      <w:r w:rsidR="0099381E">
        <w:rPr>
          <w:szCs w:val="22"/>
          <w:u w:val="single"/>
        </w:rPr>
        <w:t>.</w:t>
      </w:r>
      <w:r>
        <w:rPr>
          <w:szCs w:val="22"/>
        </w:rPr>
        <w:t xml:space="preserve"> </w:t>
      </w:r>
    </w:p>
    <w:p w14:paraId="552176AD" w14:textId="293D9ECB" w:rsidR="00F92207" w:rsidRDefault="006672E8">
      <w:pPr>
        <w:spacing w:before="283"/>
        <w:rPr>
          <w:szCs w:val="22"/>
        </w:rPr>
      </w:pPr>
      <w:r>
        <w:rPr>
          <w:szCs w:val="22"/>
        </w:rPr>
        <w:tab/>
      </w:r>
      <w:r w:rsidR="001C4568">
        <w:rPr>
          <w:szCs w:val="22"/>
        </w:rPr>
        <w:t>FinCEN requests that the expiration date of the control number of the regulation not be displayed so that there is no confusion as to whether the certification form is still valid. This request will not affect the normal 3-year P</w:t>
      </w:r>
      <w:r w:rsidR="001401F1">
        <w:rPr>
          <w:szCs w:val="22"/>
        </w:rPr>
        <w:t>aperwork Reduction Act</w:t>
      </w:r>
      <w:r w:rsidR="001C4568">
        <w:rPr>
          <w:szCs w:val="22"/>
        </w:rPr>
        <w:t xml:space="preserve"> renewal process.</w:t>
      </w:r>
    </w:p>
    <w:p w14:paraId="7FD2B3F8" w14:textId="77777777" w:rsidR="00F92207" w:rsidRDefault="00F92207">
      <w:pPr>
        <w:spacing w:before="283"/>
        <w:rPr>
          <w:szCs w:val="22"/>
        </w:rPr>
      </w:pPr>
      <w:r>
        <w:rPr>
          <w:szCs w:val="22"/>
        </w:rPr>
        <w:t xml:space="preserve">18. </w:t>
      </w:r>
      <w:r>
        <w:rPr>
          <w:szCs w:val="22"/>
          <w:u w:val="single"/>
        </w:rPr>
        <w:t>Exceptions</w:t>
      </w:r>
      <w:r w:rsidR="00D25C20">
        <w:rPr>
          <w:szCs w:val="22"/>
          <w:u w:val="single"/>
        </w:rPr>
        <w:t xml:space="preserve"> to the certification statement.</w:t>
      </w:r>
      <w:r>
        <w:rPr>
          <w:szCs w:val="22"/>
        </w:rPr>
        <w:t xml:space="preserve"> </w:t>
      </w:r>
    </w:p>
    <w:p w14:paraId="514F2B3A" w14:textId="77777777" w:rsidR="00C440DE" w:rsidRDefault="00C440DE">
      <w:pPr>
        <w:rPr>
          <w:szCs w:val="22"/>
        </w:rPr>
      </w:pPr>
    </w:p>
    <w:p w14:paraId="653A2CE8" w14:textId="77777777" w:rsidR="00F92207" w:rsidRDefault="006672E8">
      <w:r>
        <w:rPr>
          <w:szCs w:val="22"/>
        </w:rPr>
        <w:tab/>
      </w:r>
      <w:r w:rsidR="00F92207">
        <w:rPr>
          <w:szCs w:val="22"/>
        </w:rPr>
        <w:t>There are no exceptions to the certification statement</w:t>
      </w:r>
      <w:r w:rsidR="001C4568">
        <w:rPr>
          <w:szCs w:val="22"/>
        </w:rPr>
        <w:t>.</w:t>
      </w:r>
    </w:p>
    <w:sectPr w:rsidR="00F92207" w:rsidSect="00C8499A">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21F9A" w14:textId="77777777" w:rsidR="005853E7" w:rsidRDefault="005853E7">
      <w:r>
        <w:separator/>
      </w:r>
    </w:p>
  </w:endnote>
  <w:endnote w:type="continuationSeparator" w:id="0">
    <w:p w14:paraId="2F85B3A1" w14:textId="77777777" w:rsidR="005853E7" w:rsidRDefault="0058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24894" w14:textId="77777777" w:rsidR="00DD669C" w:rsidRDefault="00DD669C" w:rsidP="007D4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F74AA7" w14:textId="77777777" w:rsidR="00DD669C" w:rsidRDefault="00DD6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EAF1A" w14:textId="0271BB7C" w:rsidR="00DD669C" w:rsidRDefault="00DD669C" w:rsidP="007D4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316A">
      <w:rPr>
        <w:rStyle w:val="PageNumber"/>
        <w:noProof/>
      </w:rPr>
      <w:t>2</w:t>
    </w:r>
    <w:r>
      <w:rPr>
        <w:rStyle w:val="PageNumber"/>
      </w:rPr>
      <w:fldChar w:fldCharType="end"/>
    </w:r>
  </w:p>
  <w:p w14:paraId="25905AFA" w14:textId="77777777" w:rsidR="00DD669C" w:rsidRDefault="00DD6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3ED92" w14:textId="77777777" w:rsidR="005853E7" w:rsidRDefault="005853E7">
      <w:r>
        <w:separator/>
      </w:r>
    </w:p>
  </w:footnote>
  <w:footnote w:type="continuationSeparator" w:id="0">
    <w:p w14:paraId="26AF4827" w14:textId="77777777" w:rsidR="005853E7" w:rsidRDefault="005853E7">
      <w:r>
        <w:continuationSeparator/>
      </w:r>
    </w:p>
  </w:footnote>
  <w:footnote w:id="1">
    <w:p w14:paraId="0F07368D" w14:textId="77777777" w:rsidR="00845CBA" w:rsidRDefault="00845CBA" w:rsidP="00845CBA">
      <w:pPr>
        <w:pStyle w:val="PlainText"/>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xml:space="preserve"> </w:t>
      </w:r>
      <w:r w:rsidRPr="003E0D88">
        <w:rPr>
          <w:rFonts w:ascii="Times New Roman" w:eastAsia="MS Mincho" w:hAnsi="Times New Roman" w:cs="Times New Roman"/>
        </w:rPr>
        <w:t xml:space="preserve">Language expanding the scope of the </w:t>
      </w:r>
      <w:r>
        <w:rPr>
          <w:rFonts w:ascii="Times New Roman" w:eastAsia="MS Mincho" w:hAnsi="Times New Roman" w:cs="Times New Roman"/>
        </w:rPr>
        <w:t>BSA</w:t>
      </w:r>
      <w:r w:rsidRPr="003E0D88">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 P.L. 107-56 (“</w:t>
      </w:r>
      <w:r w:rsidRPr="003E0D88">
        <w:rPr>
          <w:rFonts w:ascii="Times New Roman" w:eastAsia="MS Mincho" w:hAnsi="Times New Roman" w:cs="Times New Roman"/>
          <w:u w:val="single"/>
        </w:rPr>
        <w:t>USA PATRIOT Act”</w:t>
      </w:r>
      <w:r w:rsidRPr="003E0D88">
        <w:rPr>
          <w:rFonts w:ascii="Times New Roman" w:eastAsia="MS Mincho" w:hAnsi="Times New Roman" w:cs="Times New Roman"/>
        </w:rPr>
        <w:t>).</w:t>
      </w:r>
    </w:p>
  </w:footnote>
  <w:footnote w:id="2">
    <w:p w14:paraId="22C4721A" w14:textId="77777777" w:rsidR="00410A42" w:rsidRPr="00A63FF8" w:rsidRDefault="00410A42" w:rsidP="00410A42">
      <w:pPr>
        <w:pStyle w:val="FootnoteText"/>
        <w:rPr>
          <w:rFonts w:ascii="Times New Roman" w:hAnsi="Times New Roman"/>
        </w:rPr>
      </w:pPr>
      <w:r w:rsidRPr="007B6D91">
        <w:rPr>
          <w:rStyle w:val="FootnoteReference"/>
          <w:rFonts w:ascii="Times New Roman" w:hAnsi="Times New Roman"/>
        </w:rPr>
        <w:footnoteRef/>
      </w:r>
      <w:r w:rsidRPr="00A63FF8">
        <w:rPr>
          <w:rFonts w:ascii="Times New Roman" w:hAnsi="Times New Roman"/>
        </w:rPr>
        <w:t xml:space="preserve"> </w:t>
      </w:r>
      <w:r w:rsidRPr="00A63FF8">
        <w:rPr>
          <w:rFonts w:ascii="Times New Roman" w:hAnsi="Times New Roman"/>
          <w:iCs/>
        </w:rPr>
        <w:t>The above Average Hourly Wage Rate</w:t>
      </w:r>
      <w:r>
        <w:rPr>
          <w:rFonts w:ascii="Times New Roman" w:hAnsi="Times New Roman"/>
          <w:iCs/>
        </w:rPr>
        <w:t xml:space="preserve"> is calculated from the May 2017</w:t>
      </w:r>
      <w:r w:rsidRPr="00A63FF8">
        <w:rPr>
          <w:rFonts w:ascii="Times New Roman" w:hAnsi="Times New Roman"/>
          <w:iCs/>
        </w:rPr>
        <w:t xml:space="preserve"> Bureau of Labor Statistics average </w:t>
      </w:r>
      <w:r>
        <w:rPr>
          <w:rFonts w:ascii="Times New Roman" w:hAnsi="Times New Roman"/>
          <w:iCs/>
        </w:rPr>
        <w:t xml:space="preserve">hourly </w:t>
      </w:r>
      <w:r w:rsidRPr="00A63FF8">
        <w:rPr>
          <w:rFonts w:ascii="Times New Roman" w:hAnsi="Times New Roman"/>
          <w:iCs/>
        </w:rPr>
        <w:t>wage for</w:t>
      </w:r>
      <w:r w:rsidRPr="00A63FF8">
        <w:rPr>
          <w:rFonts w:ascii="Times New Roman" w:hAnsi="Times New Roman"/>
          <w:i/>
          <w:iCs/>
        </w:rPr>
        <w:t xml:space="preserve"> “</w:t>
      </w:r>
      <w:r w:rsidRPr="00A63FF8">
        <w:rPr>
          <w:rFonts w:ascii="Times New Roman" w:hAnsi="Times New Roman"/>
        </w:rPr>
        <w:t>13-</w:t>
      </w:r>
      <w:r>
        <w:rPr>
          <w:rFonts w:ascii="Times New Roman" w:hAnsi="Times New Roman"/>
        </w:rPr>
        <w:t>2061</w:t>
      </w:r>
      <w:r w:rsidRPr="00A63FF8">
        <w:rPr>
          <w:rFonts w:ascii="Times New Roman" w:hAnsi="Times New Roman"/>
        </w:rPr>
        <w:t xml:space="preserve"> </w:t>
      </w:r>
      <w:r>
        <w:rPr>
          <w:rFonts w:ascii="Times New Roman" w:hAnsi="Times New Roman"/>
        </w:rPr>
        <w:t>Financial Examiners</w:t>
      </w:r>
      <w:r w:rsidRPr="00A63FF8">
        <w:rPr>
          <w:rFonts w:ascii="Times New Roman" w:hAnsi="Times New Roman"/>
          <w:i/>
          <w:iCs/>
        </w:rPr>
        <w:t xml:space="preserve">” </w:t>
      </w:r>
      <w:r w:rsidRPr="00A63FF8">
        <w:rPr>
          <w:rFonts w:ascii="Times New Roman" w:hAnsi="Times New Roman"/>
          <w:iCs/>
        </w:rPr>
        <w:t>of $</w:t>
      </w:r>
      <w:r>
        <w:rPr>
          <w:rFonts w:ascii="Times New Roman" w:hAnsi="Times New Roman"/>
          <w:iCs/>
        </w:rPr>
        <w:t>44.12, plus an additional 44% for benefits to produce a fully-loaded rate of $63.53</w:t>
      </w:r>
      <w:r w:rsidRPr="00A63FF8">
        <w:rPr>
          <w:rFonts w:ascii="Times New Roman" w:hAnsi="Times New Roman"/>
          <w:iCs/>
        </w:rPr>
        <w:t>.</w:t>
      </w:r>
      <w:r w:rsidRPr="00A63FF8">
        <w:rPr>
          <w:rFonts w:ascii="Times New Roman" w:hAnsi="Times New Roman"/>
          <w:i/>
          <w:iCs/>
        </w:rPr>
        <w:t xml:space="preserve">  </w:t>
      </w:r>
    </w:p>
  </w:footnote>
  <w:footnote w:id="3">
    <w:p w14:paraId="655A0FBB" w14:textId="77777777" w:rsidR="00E94EA2" w:rsidRPr="00B96D75" w:rsidRDefault="00E94EA2" w:rsidP="00E94EA2">
      <w:pPr>
        <w:pStyle w:val="FootnoteText"/>
        <w:rPr>
          <w:rFonts w:ascii="Times New Roman" w:hAnsi="Times New Roman"/>
        </w:rPr>
      </w:pPr>
      <w:r w:rsidRPr="00190EF3">
        <w:rPr>
          <w:rStyle w:val="FootnoteReference"/>
          <w:rFonts w:ascii="Times New Roman" w:hAnsi="Times New Roman"/>
        </w:rPr>
        <w:footnoteRef/>
      </w:r>
      <w:r w:rsidRPr="00190EF3">
        <w:rPr>
          <w:rFonts w:ascii="Times New Roman" w:hAnsi="Times New Roman"/>
        </w:rPr>
        <w:t xml:space="preserve"> </w:t>
      </w:r>
      <w:r w:rsidRPr="00B96D75">
        <w:rPr>
          <w:rFonts w:ascii="Times New Roman" w:hAnsi="Times New Roman"/>
        </w:rPr>
        <w:t>Cost per response received as listed in the BSA E-Filing Federal contract for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31"/>
    <w:rsid w:val="00017E6C"/>
    <w:rsid w:val="00052754"/>
    <w:rsid w:val="00074BAB"/>
    <w:rsid w:val="00124483"/>
    <w:rsid w:val="001401F1"/>
    <w:rsid w:val="001506CB"/>
    <w:rsid w:val="00161584"/>
    <w:rsid w:val="00194BE9"/>
    <w:rsid w:val="001C4568"/>
    <w:rsid w:val="00203605"/>
    <w:rsid w:val="00232354"/>
    <w:rsid w:val="0029495D"/>
    <w:rsid w:val="002A392C"/>
    <w:rsid w:val="00304E1D"/>
    <w:rsid w:val="00386F85"/>
    <w:rsid w:val="003B150B"/>
    <w:rsid w:val="003B316A"/>
    <w:rsid w:val="003D321B"/>
    <w:rsid w:val="003E1AAB"/>
    <w:rsid w:val="00402A54"/>
    <w:rsid w:val="00410A42"/>
    <w:rsid w:val="00422808"/>
    <w:rsid w:val="004539BF"/>
    <w:rsid w:val="004568F3"/>
    <w:rsid w:val="0047460C"/>
    <w:rsid w:val="00492E56"/>
    <w:rsid w:val="00494893"/>
    <w:rsid w:val="004B1C7D"/>
    <w:rsid w:val="004D0D50"/>
    <w:rsid w:val="004E7226"/>
    <w:rsid w:val="004F02F8"/>
    <w:rsid w:val="004F6422"/>
    <w:rsid w:val="00525A97"/>
    <w:rsid w:val="0053159B"/>
    <w:rsid w:val="00547B3C"/>
    <w:rsid w:val="00562970"/>
    <w:rsid w:val="0057154E"/>
    <w:rsid w:val="00585388"/>
    <w:rsid w:val="005853E7"/>
    <w:rsid w:val="00595131"/>
    <w:rsid w:val="005B4BC5"/>
    <w:rsid w:val="005D7062"/>
    <w:rsid w:val="005F350C"/>
    <w:rsid w:val="005F4F45"/>
    <w:rsid w:val="006305D9"/>
    <w:rsid w:val="0064633B"/>
    <w:rsid w:val="006672E8"/>
    <w:rsid w:val="006677E3"/>
    <w:rsid w:val="006B34BF"/>
    <w:rsid w:val="006E32F4"/>
    <w:rsid w:val="006E407D"/>
    <w:rsid w:val="006E5963"/>
    <w:rsid w:val="006F4BC1"/>
    <w:rsid w:val="00710247"/>
    <w:rsid w:val="0071393C"/>
    <w:rsid w:val="00733714"/>
    <w:rsid w:val="00744DBC"/>
    <w:rsid w:val="0074787B"/>
    <w:rsid w:val="007C0C2F"/>
    <w:rsid w:val="007D4D8D"/>
    <w:rsid w:val="007E3971"/>
    <w:rsid w:val="007F4D64"/>
    <w:rsid w:val="008037D0"/>
    <w:rsid w:val="0080693C"/>
    <w:rsid w:val="00807934"/>
    <w:rsid w:val="00845CBA"/>
    <w:rsid w:val="0087080D"/>
    <w:rsid w:val="008731B4"/>
    <w:rsid w:val="00881DC9"/>
    <w:rsid w:val="00893462"/>
    <w:rsid w:val="008A7E75"/>
    <w:rsid w:val="008F225F"/>
    <w:rsid w:val="008F7343"/>
    <w:rsid w:val="00924F6D"/>
    <w:rsid w:val="00925973"/>
    <w:rsid w:val="0096157B"/>
    <w:rsid w:val="00963337"/>
    <w:rsid w:val="0099381E"/>
    <w:rsid w:val="009D056A"/>
    <w:rsid w:val="00A26CA5"/>
    <w:rsid w:val="00A27C54"/>
    <w:rsid w:val="00A342BD"/>
    <w:rsid w:val="00A4475C"/>
    <w:rsid w:val="00A47D85"/>
    <w:rsid w:val="00AC4A87"/>
    <w:rsid w:val="00B01FC8"/>
    <w:rsid w:val="00B25A66"/>
    <w:rsid w:val="00B4686B"/>
    <w:rsid w:val="00B601C8"/>
    <w:rsid w:val="00B726A3"/>
    <w:rsid w:val="00BD3655"/>
    <w:rsid w:val="00BE04D6"/>
    <w:rsid w:val="00C046A4"/>
    <w:rsid w:val="00C07515"/>
    <w:rsid w:val="00C11211"/>
    <w:rsid w:val="00C20472"/>
    <w:rsid w:val="00C440DE"/>
    <w:rsid w:val="00C8499A"/>
    <w:rsid w:val="00CA7BD8"/>
    <w:rsid w:val="00CC1EDD"/>
    <w:rsid w:val="00CD6350"/>
    <w:rsid w:val="00CE744B"/>
    <w:rsid w:val="00D22ECB"/>
    <w:rsid w:val="00D25C20"/>
    <w:rsid w:val="00D3660F"/>
    <w:rsid w:val="00D440D7"/>
    <w:rsid w:val="00D64AD5"/>
    <w:rsid w:val="00D777E1"/>
    <w:rsid w:val="00DD669C"/>
    <w:rsid w:val="00DF2392"/>
    <w:rsid w:val="00DF6936"/>
    <w:rsid w:val="00E61203"/>
    <w:rsid w:val="00E869AB"/>
    <w:rsid w:val="00E87125"/>
    <w:rsid w:val="00E94EA2"/>
    <w:rsid w:val="00ED3567"/>
    <w:rsid w:val="00F412C3"/>
    <w:rsid w:val="00F71812"/>
    <w:rsid w:val="00F92207"/>
    <w:rsid w:val="00FC010D"/>
    <w:rsid w:val="00FD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5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before="283"/>
    </w:pPr>
    <w:rPr>
      <w:sz w:val="22"/>
      <w:szCs w:val="22"/>
    </w:rPr>
  </w:style>
  <w:style w:type="paragraph" w:styleId="HTMLPreformatted">
    <w:name w:val="HTML Preformatted"/>
    <w:basedOn w:val="Normal"/>
    <w:rsid w:val="002A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7D4D8D"/>
    <w:pPr>
      <w:tabs>
        <w:tab w:val="center" w:pos="4320"/>
        <w:tab w:val="right" w:pos="8640"/>
      </w:tabs>
    </w:pPr>
  </w:style>
  <w:style w:type="character" w:styleId="PageNumber">
    <w:name w:val="page number"/>
    <w:basedOn w:val="DefaultParagraphFont"/>
    <w:rsid w:val="007D4D8D"/>
  </w:style>
  <w:style w:type="character" w:styleId="Hyperlink">
    <w:name w:val="Hyperlink"/>
    <w:rsid w:val="006672E8"/>
    <w:rPr>
      <w:color w:val="0000FF"/>
      <w:u w:val="single"/>
    </w:rPr>
  </w:style>
  <w:style w:type="paragraph" w:styleId="BalloonText">
    <w:name w:val="Balloon Text"/>
    <w:basedOn w:val="Normal"/>
    <w:link w:val="BalloonTextChar"/>
    <w:rsid w:val="006305D9"/>
    <w:rPr>
      <w:rFonts w:ascii="Tahoma" w:hAnsi="Tahoma" w:cs="Tahoma"/>
      <w:sz w:val="16"/>
      <w:szCs w:val="16"/>
    </w:rPr>
  </w:style>
  <w:style w:type="character" w:customStyle="1" w:styleId="BalloonTextChar">
    <w:name w:val="Balloon Text Char"/>
    <w:link w:val="BalloonText"/>
    <w:rsid w:val="006305D9"/>
    <w:rPr>
      <w:rFonts w:ascii="Tahoma" w:hAnsi="Tahoma" w:cs="Tahoma"/>
      <w:sz w:val="16"/>
      <w:szCs w:val="16"/>
    </w:rPr>
  </w:style>
  <w:style w:type="character" w:styleId="FootnoteReference">
    <w:name w:val="footnote reference"/>
    <w:rsid w:val="00E94EA2"/>
    <w:rPr>
      <w:vertAlign w:val="superscript"/>
    </w:rPr>
  </w:style>
  <w:style w:type="paragraph" w:styleId="FootnoteText">
    <w:name w:val="footnote text"/>
    <w:basedOn w:val="Normal"/>
    <w:link w:val="FootnoteTextChar"/>
    <w:rsid w:val="00E94EA2"/>
    <w:pPr>
      <w:widowControl w:val="0"/>
      <w:autoSpaceDE w:val="0"/>
      <w:autoSpaceDN w:val="0"/>
      <w:adjustRightInd w:val="0"/>
    </w:pPr>
    <w:rPr>
      <w:rFonts w:ascii="Courier 10cpi" w:hAnsi="Courier 10cpi"/>
      <w:sz w:val="20"/>
      <w:szCs w:val="20"/>
    </w:rPr>
  </w:style>
  <w:style w:type="character" w:customStyle="1" w:styleId="FootnoteTextChar">
    <w:name w:val="Footnote Text Char"/>
    <w:link w:val="FootnoteText"/>
    <w:rsid w:val="00E94EA2"/>
    <w:rPr>
      <w:rFonts w:ascii="Courier 10cpi" w:hAnsi="Courier 10cpi"/>
    </w:rPr>
  </w:style>
  <w:style w:type="character" w:styleId="CommentReference">
    <w:name w:val="annotation reference"/>
    <w:rsid w:val="005F4F45"/>
    <w:rPr>
      <w:sz w:val="16"/>
      <w:szCs w:val="16"/>
    </w:rPr>
  </w:style>
  <w:style w:type="paragraph" w:styleId="CommentText">
    <w:name w:val="annotation text"/>
    <w:basedOn w:val="Normal"/>
    <w:link w:val="CommentTextChar"/>
    <w:rsid w:val="005F4F45"/>
    <w:rPr>
      <w:sz w:val="20"/>
      <w:szCs w:val="20"/>
    </w:rPr>
  </w:style>
  <w:style w:type="character" w:customStyle="1" w:styleId="CommentTextChar">
    <w:name w:val="Comment Text Char"/>
    <w:link w:val="CommentText"/>
    <w:rsid w:val="005F4F45"/>
    <w:rPr>
      <w:lang w:eastAsia="en-US"/>
    </w:rPr>
  </w:style>
  <w:style w:type="paragraph" w:styleId="CommentSubject">
    <w:name w:val="annotation subject"/>
    <w:basedOn w:val="CommentText"/>
    <w:next w:val="CommentText"/>
    <w:link w:val="CommentSubjectChar"/>
    <w:rsid w:val="005F4F45"/>
    <w:rPr>
      <w:b/>
      <w:bCs/>
    </w:rPr>
  </w:style>
  <w:style w:type="character" w:customStyle="1" w:styleId="CommentSubjectChar">
    <w:name w:val="Comment Subject Char"/>
    <w:link w:val="CommentSubject"/>
    <w:rsid w:val="005F4F45"/>
    <w:rPr>
      <w:b/>
      <w:bCs/>
      <w:lang w:eastAsia="en-US"/>
    </w:rPr>
  </w:style>
  <w:style w:type="paragraph" w:styleId="PlainText">
    <w:name w:val="Plain Text"/>
    <w:basedOn w:val="Normal"/>
    <w:link w:val="PlainTextChar"/>
    <w:rsid w:val="00845CBA"/>
    <w:rPr>
      <w:rFonts w:ascii="Courier New" w:hAnsi="Courier New" w:cs="Courier New"/>
      <w:sz w:val="20"/>
      <w:szCs w:val="20"/>
    </w:rPr>
  </w:style>
  <w:style w:type="character" w:customStyle="1" w:styleId="PlainTextChar">
    <w:name w:val="Plain Text Char"/>
    <w:link w:val="PlainText"/>
    <w:rsid w:val="00845CBA"/>
    <w:rPr>
      <w:rFonts w:ascii="Courier New" w:hAnsi="Courier New" w:cs="Courier New"/>
      <w:lang w:eastAsia="en-US"/>
    </w:rPr>
  </w:style>
  <w:style w:type="table" w:styleId="TableGrid">
    <w:name w:val="Table Grid"/>
    <w:basedOn w:val="TableNormal"/>
    <w:rsid w:val="00410A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before="283"/>
    </w:pPr>
    <w:rPr>
      <w:sz w:val="22"/>
      <w:szCs w:val="22"/>
    </w:rPr>
  </w:style>
  <w:style w:type="paragraph" w:styleId="HTMLPreformatted">
    <w:name w:val="HTML Preformatted"/>
    <w:basedOn w:val="Normal"/>
    <w:rsid w:val="002A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7D4D8D"/>
    <w:pPr>
      <w:tabs>
        <w:tab w:val="center" w:pos="4320"/>
        <w:tab w:val="right" w:pos="8640"/>
      </w:tabs>
    </w:pPr>
  </w:style>
  <w:style w:type="character" w:styleId="PageNumber">
    <w:name w:val="page number"/>
    <w:basedOn w:val="DefaultParagraphFont"/>
    <w:rsid w:val="007D4D8D"/>
  </w:style>
  <w:style w:type="character" w:styleId="Hyperlink">
    <w:name w:val="Hyperlink"/>
    <w:rsid w:val="006672E8"/>
    <w:rPr>
      <w:color w:val="0000FF"/>
      <w:u w:val="single"/>
    </w:rPr>
  </w:style>
  <w:style w:type="paragraph" w:styleId="BalloonText">
    <w:name w:val="Balloon Text"/>
    <w:basedOn w:val="Normal"/>
    <w:link w:val="BalloonTextChar"/>
    <w:rsid w:val="006305D9"/>
    <w:rPr>
      <w:rFonts w:ascii="Tahoma" w:hAnsi="Tahoma" w:cs="Tahoma"/>
      <w:sz w:val="16"/>
      <w:szCs w:val="16"/>
    </w:rPr>
  </w:style>
  <w:style w:type="character" w:customStyle="1" w:styleId="BalloonTextChar">
    <w:name w:val="Balloon Text Char"/>
    <w:link w:val="BalloonText"/>
    <w:rsid w:val="006305D9"/>
    <w:rPr>
      <w:rFonts w:ascii="Tahoma" w:hAnsi="Tahoma" w:cs="Tahoma"/>
      <w:sz w:val="16"/>
      <w:szCs w:val="16"/>
    </w:rPr>
  </w:style>
  <w:style w:type="character" w:styleId="FootnoteReference">
    <w:name w:val="footnote reference"/>
    <w:rsid w:val="00E94EA2"/>
    <w:rPr>
      <w:vertAlign w:val="superscript"/>
    </w:rPr>
  </w:style>
  <w:style w:type="paragraph" w:styleId="FootnoteText">
    <w:name w:val="footnote text"/>
    <w:basedOn w:val="Normal"/>
    <w:link w:val="FootnoteTextChar"/>
    <w:rsid w:val="00E94EA2"/>
    <w:pPr>
      <w:widowControl w:val="0"/>
      <w:autoSpaceDE w:val="0"/>
      <w:autoSpaceDN w:val="0"/>
      <w:adjustRightInd w:val="0"/>
    </w:pPr>
    <w:rPr>
      <w:rFonts w:ascii="Courier 10cpi" w:hAnsi="Courier 10cpi"/>
      <w:sz w:val="20"/>
      <w:szCs w:val="20"/>
    </w:rPr>
  </w:style>
  <w:style w:type="character" w:customStyle="1" w:styleId="FootnoteTextChar">
    <w:name w:val="Footnote Text Char"/>
    <w:link w:val="FootnoteText"/>
    <w:rsid w:val="00E94EA2"/>
    <w:rPr>
      <w:rFonts w:ascii="Courier 10cpi" w:hAnsi="Courier 10cpi"/>
    </w:rPr>
  </w:style>
  <w:style w:type="character" w:styleId="CommentReference">
    <w:name w:val="annotation reference"/>
    <w:rsid w:val="005F4F45"/>
    <w:rPr>
      <w:sz w:val="16"/>
      <w:szCs w:val="16"/>
    </w:rPr>
  </w:style>
  <w:style w:type="paragraph" w:styleId="CommentText">
    <w:name w:val="annotation text"/>
    <w:basedOn w:val="Normal"/>
    <w:link w:val="CommentTextChar"/>
    <w:rsid w:val="005F4F45"/>
    <w:rPr>
      <w:sz w:val="20"/>
      <w:szCs w:val="20"/>
    </w:rPr>
  </w:style>
  <w:style w:type="character" w:customStyle="1" w:styleId="CommentTextChar">
    <w:name w:val="Comment Text Char"/>
    <w:link w:val="CommentText"/>
    <w:rsid w:val="005F4F45"/>
    <w:rPr>
      <w:lang w:eastAsia="en-US"/>
    </w:rPr>
  </w:style>
  <w:style w:type="paragraph" w:styleId="CommentSubject">
    <w:name w:val="annotation subject"/>
    <w:basedOn w:val="CommentText"/>
    <w:next w:val="CommentText"/>
    <w:link w:val="CommentSubjectChar"/>
    <w:rsid w:val="005F4F45"/>
    <w:rPr>
      <w:b/>
      <w:bCs/>
    </w:rPr>
  </w:style>
  <w:style w:type="character" w:customStyle="1" w:styleId="CommentSubjectChar">
    <w:name w:val="Comment Subject Char"/>
    <w:link w:val="CommentSubject"/>
    <w:rsid w:val="005F4F45"/>
    <w:rPr>
      <w:b/>
      <w:bCs/>
      <w:lang w:eastAsia="en-US"/>
    </w:rPr>
  </w:style>
  <w:style w:type="paragraph" w:styleId="PlainText">
    <w:name w:val="Plain Text"/>
    <w:basedOn w:val="Normal"/>
    <w:link w:val="PlainTextChar"/>
    <w:rsid w:val="00845CBA"/>
    <w:rPr>
      <w:rFonts w:ascii="Courier New" w:hAnsi="Courier New" w:cs="Courier New"/>
      <w:sz w:val="20"/>
      <w:szCs w:val="20"/>
    </w:rPr>
  </w:style>
  <w:style w:type="character" w:customStyle="1" w:styleId="PlainTextChar">
    <w:name w:val="Plain Text Char"/>
    <w:link w:val="PlainText"/>
    <w:rsid w:val="00845CBA"/>
    <w:rPr>
      <w:rFonts w:ascii="Courier New" w:hAnsi="Courier New" w:cs="Courier New"/>
      <w:lang w:eastAsia="en-US"/>
    </w:rPr>
  </w:style>
  <w:style w:type="table" w:styleId="TableGrid">
    <w:name w:val="Table Grid"/>
    <w:basedOn w:val="TableNormal"/>
    <w:rsid w:val="00410A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40661">
      <w:bodyDiv w:val="1"/>
      <w:marLeft w:val="0"/>
      <w:marRight w:val="0"/>
      <w:marTop w:val="0"/>
      <w:marBottom w:val="0"/>
      <w:divBdr>
        <w:top w:val="none" w:sz="0" w:space="0" w:color="auto"/>
        <w:left w:val="none" w:sz="0" w:space="0" w:color="auto"/>
        <w:bottom w:val="none" w:sz="0" w:space="0" w:color="auto"/>
        <w:right w:val="none" w:sz="0" w:space="0" w:color="auto"/>
      </w:divBdr>
    </w:div>
    <w:div w:id="81862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ncen.gov/foia/files/FinCEN_79_FR_209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C66A8-1857-43A3-BF0C-6A5683FB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7961</CharactersWithSpaces>
  <SharedDoc>false</SharedDoc>
  <HLinks>
    <vt:vector size="12" baseType="variant">
      <vt:variant>
        <vt:i4>2162714</vt:i4>
      </vt:variant>
      <vt:variant>
        <vt:i4>3</vt:i4>
      </vt:variant>
      <vt:variant>
        <vt:i4>0</vt:i4>
      </vt:variant>
      <vt:variant>
        <vt:i4>5</vt:i4>
      </vt:variant>
      <vt:variant>
        <vt:lpwstr>http://www.fincen.gov/foia/files/FinCEN_79_FR_20969.pdf</vt:lpwstr>
      </vt:variant>
      <vt:variant>
        <vt:lpwstr/>
      </vt:variant>
      <vt:variant>
        <vt:i4>4653132</vt:i4>
      </vt:variant>
      <vt:variant>
        <vt:i4>0</vt:i4>
      </vt:variant>
      <vt:variant>
        <vt:i4>0</vt:i4>
      </vt:variant>
      <vt:variant>
        <vt:i4>5</vt:i4>
      </vt:variant>
      <vt:variant>
        <vt:lpwstr>http://bsaefiling.fincen.treas.gov/main.html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StephR</dc:creator>
  <cp:keywords/>
  <cp:lastModifiedBy>SYSTEM</cp:lastModifiedBy>
  <cp:revision>2</cp:revision>
  <cp:lastPrinted>2003-01-24T15:32:00Z</cp:lastPrinted>
  <dcterms:created xsi:type="dcterms:W3CDTF">2018-09-27T21:36:00Z</dcterms:created>
  <dcterms:modified xsi:type="dcterms:W3CDTF">2018-09-27T21:36:00Z</dcterms:modified>
</cp:coreProperties>
</file>