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AA" w:rsidRPr="00656BE6" w:rsidRDefault="007410CF">
      <w:pPr>
        <w:pStyle w:val="PlainText"/>
        <w:jc w:val="center"/>
        <w:rPr>
          <w:rFonts w:ascii="Times New Roman" w:eastAsia="MS Mincho" w:hAnsi="Times New Roman" w:cs="Times New Roman"/>
          <w:sz w:val="24"/>
          <w:u w:val="single"/>
        </w:rPr>
      </w:pPr>
      <w:bookmarkStart w:id="0" w:name="_GoBack"/>
      <w:bookmarkEnd w:id="0"/>
      <w:r w:rsidRPr="00656BE6">
        <w:rPr>
          <w:rFonts w:ascii="Times New Roman" w:eastAsia="MS Mincho" w:hAnsi="Times New Roman" w:cs="Times New Roman"/>
          <w:sz w:val="24"/>
          <w:u w:val="single"/>
        </w:rPr>
        <w:t>Supporting Statement</w:t>
      </w:r>
    </w:p>
    <w:p w:rsidR="00716A64" w:rsidRPr="00656BE6" w:rsidRDefault="007410CF">
      <w:pPr>
        <w:pStyle w:val="PlainText"/>
        <w:jc w:val="center"/>
        <w:rPr>
          <w:rFonts w:ascii="Times New Roman" w:eastAsia="MS Mincho" w:hAnsi="Times New Roman" w:cs="Times New Roman"/>
          <w:sz w:val="24"/>
          <w:u w:val="single"/>
        </w:rPr>
      </w:pPr>
      <w:r w:rsidRPr="00656BE6">
        <w:rPr>
          <w:rFonts w:ascii="Times New Roman" w:eastAsia="MS Mincho" w:hAnsi="Times New Roman" w:cs="Times New Roman"/>
          <w:sz w:val="24"/>
          <w:u w:val="single"/>
        </w:rPr>
        <w:t xml:space="preserve">OMB Control Number </w:t>
      </w:r>
      <w:r w:rsidR="00716A64" w:rsidRPr="00656BE6">
        <w:rPr>
          <w:rFonts w:ascii="Times New Roman" w:eastAsia="MS Mincho" w:hAnsi="Times New Roman" w:cs="Times New Roman"/>
          <w:sz w:val="24"/>
          <w:u w:val="single"/>
        </w:rPr>
        <w:t>1506-0030</w:t>
      </w:r>
    </w:p>
    <w:p w:rsidR="00BA4CE9" w:rsidRPr="00656BE6" w:rsidRDefault="00BA4CE9">
      <w:pPr>
        <w:pStyle w:val="PlainText"/>
        <w:jc w:val="center"/>
        <w:rPr>
          <w:rFonts w:ascii="Times New Roman" w:eastAsia="MS Mincho" w:hAnsi="Times New Roman" w:cs="Times New Roman"/>
          <w:sz w:val="24"/>
          <w:u w:val="single"/>
        </w:rPr>
      </w:pPr>
    </w:p>
    <w:p w:rsidR="00BA4CE9" w:rsidRPr="00656BE6" w:rsidRDefault="00BA4CE9" w:rsidP="00CB72E3">
      <w:pPr>
        <w:pStyle w:val="PlainText"/>
        <w:rPr>
          <w:rFonts w:ascii="Times New Roman" w:eastAsia="MS Mincho" w:hAnsi="Times New Roman" w:cs="Times New Roman"/>
          <w:sz w:val="24"/>
          <w:u w:val="single"/>
        </w:rPr>
      </w:pPr>
      <w:r w:rsidRPr="00656BE6">
        <w:rPr>
          <w:rFonts w:ascii="Times New Roman" w:eastAsia="MS Mincho" w:hAnsi="Times New Roman" w:cs="Times New Roman"/>
          <w:sz w:val="24"/>
          <w:u w:val="single"/>
        </w:rPr>
        <w:t>A</w:t>
      </w:r>
      <w:r w:rsidR="00AD0EF0">
        <w:rPr>
          <w:rFonts w:ascii="Times New Roman" w:eastAsia="MS Mincho" w:hAnsi="Times New Roman" w:cs="Times New Roman"/>
          <w:sz w:val="24"/>
          <w:u w:val="single"/>
        </w:rPr>
        <w:t>nti-Money Laundering</w:t>
      </w:r>
      <w:r w:rsidRPr="00656BE6">
        <w:rPr>
          <w:rFonts w:ascii="Times New Roman" w:eastAsia="MS Mincho" w:hAnsi="Times New Roman" w:cs="Times New Roman"/>
          <w:sz w:val="24"/>
          <w:u w:val="single"/>
        </w:rPr>
        <w:t xml:space="preserve"> Program</w:t>
      </w:r>
      <w:r w:rsidR="005F5531">
        <w:rPr>
          <w:rFonts w:ascii="Times New Roman" w:eastAsia="MS Mincho" w:hAnsi="Times New Roman" w:cs="Times New Roman"/>
          <w:sz w:val="24"/>
          <w:u w:val="single"/>
        </w:rPr>
        <w:t>s</w:t>
      </w:r>
      <w:r w:rsidRPr="00656BE6">
        <w:rPr>
          <w:rFonts w:ascii="Times New Roman" w:eastAsia="MS Mincho" w:hAnsi="Times New Roman" w:cs="Times New Roman"/>
          <w:sz w:val="24"/>
          <w:u w:val="single"/>
        </w:rPr>
        <w:t xml:space="preserve"> for Dealers in Precious Metals, Precious Stones</w:t>
      </w:r>
      <w:r w:rsidR="00AD0EF0">
        <w:rPr>
          <w:rFonts w:ascii="Times New Roman" w:eastAsia="MS Mincho" w:hAnsi="Times New Roman" w:cs="Times New Roman"/>
          <w:sz w:val="24"/>
          <w:u w:val="single"/>
        </w:rPr>
        <w:t>,</w:t>
      </w:r>
      <w:r w:rsidRPr="00656BE6">
        <w:rPr>
          <w:rFonts w:ascii="Times New Roman" w:eastAsia="MS Mincho" w:hAnsi="Times New Roman" w:cs="Times New Roman"/>
          <w:sz w:val="24"/>
          <w:u w:val="single"/>
        </w:rPr>
        <w:t xml:space="preserve"> or Jewels</w:t>
      </w:r>
    </w:p>
    <w:p w:rsidR="00BA4CE9" w:rsidRDefault="00BA4CE9">
      <w:pPr>
        <w:pStyle w:val="PlainText"/>
        <w:jc w:val="center"/>
        <w:rPr>
          <w:rFonts w:ascii="Times New Roman" w:eastAsia="MS Mincho" w:hAnsi="Times New Roman" w:cs="Times New Roman"/>
          <w:sz w:val="24"/>
        </w:rPr>
      </w:pPr>
    </w:p>
    <w:p w:rsidR="003761AA" w:rsidRDefault="003761AA">
      <w:pPr>
        <w:pStyle w:val="PlainText"/>
        <w:rPr>
          <w:rFonts w:ascii="Times New Roman" w:eastAsia="MS Mincho" w:hAnsi="Times New Roman" w:cs="Times New Roman"/>
          <w:sz w:val="24"/>
        </w:rPr>
      </w:pPr>
    </w:p>
    <w:p w:rsidR="003761AA" w:rsidRDefault="003761AA">
      <w:pPr>
        <w:pStyle w:val="PlainText"/>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hAnsi="Times New Roman" w:cs="Times New Roman"/>
          <w:sz w:val="24"/>
          <w:szCs w:val="22"/>
          <w:u w:val="single"/>
        </w:rPr>
        <w:t xml:space="preserve">Circumstances </w:t>
      </w:r>
      <w:r w:rsidR="00395C67">
        <w:rPr>
          <w:rFonts w:ascii="Times New Roman" w:hAnsi="Times New Roman" w:cs="Times New Roman"/>
          <w:sz w:val="24"/>
          <w:szCs w:val="22"/>
          <w:u w:val="single"/>
        </w:rPr>
        <w:t>necessitating collection of information</w:t>
      </w:r>
      <w:r w:rsidR="001C1EDD">
        <w:rPr>
          <w:rFonts w:ascii="Times New Roman" w:hAnsi="Times New Roman" w:cs="Times New Roman"/>
          <w:sz w:val="24"/>
          <w:szCs w:val="22"/>
          <w:u w:val="single"/>
        </w:rPr>
        <w:t>.</w:t>
      </w:r>
    </w:p>
    <w:p w:rsidR="003761AA" w:rsidRDefault="003761AA">
      <w:pPr>
        <w:pStyle w:val="PlainText"/>
        <w:rPr>
          <w:rFonts w:ascii="Times New Roman" w:eastAsia="MS Mincho" w:hAnsi="Times New Roman" w:cs="Times New Roman"/>
          <w:sz w:val="24"/>
        </w:rPr>
      </w:pPr>
    </w:p>
    <w:p w:rsidR="003761AA" w:rsidRDefault="003761AA" w:rsidP="00381B02">
      <w:pPr>
        <w:pStyle w:val="PlainText"/>
        <w:rPr>
          <w:rFonts w:ascii="Times New Roman" w:eastAsia="MS Mincho" w:hAnsi="Times New Roman" w:cs="Times New Roman"/>
          <w:sz w:val="24"/>
        </w:rPr>
      </w:pPr>
      <w:r>
        <w:rPr>
          <w:rFonts w:ascii="Times New Roman" w:eastAsia="MS Mincho" w:hAnsi="Times New Roman" w:cs="Times New Roman"/>
          <w:sz w:val="24"/>
        </w:rPr>
        <w:t>The statute generally referred to as the “Bank Secrecy Act”</w:t>
      </w:r>
      <w:r w:rsidR="00AD0EF0">
        <w:rPr>
          <w:rFonts w:ascii="Times New Roman" w:eastAsia="MS Mincho" w:hAnsi="Times New Roman" w:cs="Times New Roman"/>
          <w:sz w:val="24"/>
        </w:rPr>
        <w:t xml:space="preserve"> (“BSA”),</w:t>
      </w:r>
      <w:r>
        <w:rPr>
          <w:rFonts w:ascii="Times New Roman" w:eastAsia="MS Mincho" w:hAnsi="Times New Roman" w:cs="Times New Roman"/>
          <w:sz w:val="24"/>
        </w:rPr>
        <w:t xml:space="preserve"> Titles I and II of Public Law 91-508, as amended, codified at 12 U.S.C. 1829b, 12 U.S.C. 1951-1959, and 31 U.S.C. 5311-5332, authorizes the Secretary of the Treasury, </w:t>
      </w:r>
      <w:r w:rsidR="00AD0EF0" w:rsidRPr="003150ED">
        <w:rPr>
          <w:rFonts w:ascii="Times New Roman" w:eastAsia="MS Mincho" w:hAnsi="Times New Roman" w:cs="Times New Roman"/>
          <w:sz w:val="24"/>
        </w:rPr>
        <w:t>among other things</w:t>
      </w:r>
      <w:r>
        <w:rPr>
          <w:rFonts w:ascii="Times New Roman" w:eastAsia="MS Mincho" w:hAnsi="Times New Roman" w:cs="Times New Roman"/>
          <w:sz w:val="24"/>
        </w:rPr>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counter-money laundering programs and compliance procedures.</w:t>
      </w:r>
      <w:r>
        <w:rPr>
          <w:rStyle w:val="FootnoteReference"/>
          <w:rFonts w:ascii="Times New Roman" w:eastAsia="MS Mincho" w:hAnsi="Times New Roman" w:cs="Times New Roman"/>
          <w:sz w:val="24"/>
        </w:rPr>
        <w:footnoteReference w:id="1"/>
      </w:r>
      <w:r>
        <w:rPr>
          <w:rFonts w:ascii="Times New Roman" w:eastAsia="MS Mincho" w:hAnsi="Times New Roman" w:cs="Times New Roman"/>
          <w:sz w:val="24"/>
        </w:rPr>
        <w:t xml:space="preserve">  Regulations implementing Title II of the B</w:t>
      </w:r>
      <w:r w:rsidR="00AD0EF0">
        <w:rPr>
          <w:rFonts w:ascii="Times New Roman" w:eastAsia="MS Mincho" w:hAnsi="Times New Roman" w:cs="Times New Roman"/>
          <w:sz w:val="24"/>
        </w:rPr>
        <w:t>SA</w:t>
      </w:r>
      <w:r>
        <w:rPr>
          <w:rFonts w:ascii="Times New Roman" w:eastAsia="MS Mincho" w:hAnsi="Times New Roman" w:cs="Times New Roman"/>
          <w:sz w:val="24"/>
        </w:rPr>
        <w:t xml:space="preserve"> appear at 31 CFR </w:t>
      </w:r>
      <w:r w:rsidR="00716A64">
        <w:rPr>
          <w:rFonts w:ascii="Times New Roman" w:eastAsia="MS Mincho" w:hAnsi="Times New Roman" w:cs="Times New Roman"/>
          <w:sz w:val="24"/>
        </w:rPr>
        <w:t>Chapter X</w:t>
      </w:r>
      <w:r>
        <w:rPr>
          <w:rFonts w:ascii="Times New Roman" w:eastAsia="MS Mincho" w:hAnsi="Times New Roman" w:cs="Times New Roman"/>
          <w:sz w:val="24"/>
        </w:rPr>
        <w:t xml:space="preserve">.  The authority of the Secretary to administer the </w:t>
      </w:r>
      <w:r w:rsidR="00AD0EF0">
        <w:rPr>
          <w:rFonts w:ascii="Times New Roman" w:eastAsia="MS Mincho" w:hAnsi="Times New Roman" w:cs="Times New Roman"/>
          <w:sz w:val="24"/>
        </w:rPr>
        <w:t>BSA</w:t>
      </w:r>
      <w:r>
        <w:rPr>
          <w:rFonts w:ascii="Times New Roman" w:eastAsia="MS Mincho" w:hAnsi="Times New Roman" w:cs="Times New Roman"/>
          <w:sz w:val="24"/>
        </w:rPr>
        <w:t xml:space="preserve"> has been delegated to the Director of the Financial Crimes Enforcement Network</w:t>
      </w:r>
      <w:r w:rsidR="00AD0EF0">
        <w:rPr>
          <w:rFonts w:ascii="Times New Roman" w:eastAsia="MS Mincho" w:hAnsi="Times New Roman" w:cs="Times New Roman"/>
          <w:sz w:val="24"/>
        </w:rPr>
        <w:t xml:space="preserve"> (“FinCEN”)</w:t>
      </w:r>
      <w:r>
        <w:rPr>
          <w:rFonts w:ascii="Times New Roman" w:eastAsia="MS Mincho" w:hAnsi="Times New Roman" w:cs="Times New Roman"/>
          <w:sz w:val="24"/>
        </w:rPr>
        <w:t>.</w:t>
      </w:r>
    </w:p>
    <w:p w:rsidR="003761AA" w:rsidRDefault="003761AA">
      <w:pPr>
        <w:pStyle w:val="PlainText"/>
        <w:ind w:firstLine="720"/>
        <w:rPr>
          <w:rFonts w:ascii="Times New Roman" w:eastAsia="MS Mincho" w:hAnsi="Times New Roman" w:cs="Times New Roman"/>
          <w:sz w:val="24"/>
        </w:rPr>
      </w:pPr>
    </w:p>
    <w:p w:rsidR="003761AA" w:rsidRDefault="003761AA">
      <w:pPr>
        <w:pStyle w:val="PlainText"/>
        <w:rPr>
          <w:rFonts w:ascii="Times New Roman" w:eastAsia="MS Mincho" w:hAnsi="Times New Roman" w:cs="Times New Roman"/>
          <w:sz w:val="24"/>
        </w:rPr>
      </w:pPr>
      <w:r>
        <w:rPr>
          <w:rFonts w:ascii="Times New Roman" w:eastAsia="MS Mincho" w:hAnsi="Times New Roman" w:cs="Times New Roman"/>
          <w:sz w:val="24"/>
        </w:rPr>
        <w:t>Section 3</w:t>
      </w:r>
      <w:r w:rsidR="00A849C0">
        <w:rPr>
          <w:rFonts w:ascii="Times New Roman" w:eastAsia="MS Mincho" w:hAnsi="Times New Roman" w:cs="Times New Roman"/>
          <w:sz w:val="24"/>
        </w:rPr>
        <w:t>52</w:t>
      </w:r>
      <w:r>
        <w:rPr>
          <w:rFonts w:ascii="Times New Roman" w:eastAsia="MS Mincho" w:hAnsi="Times New Roman" w:cs="Times New Roman"/>
          <w:sz w:val="24"/>
        </w:rPr>
        <w:t xml:space="preserve"> of the USA PATRIOT Act added a new subsection (h) to 31 U.S.C. 5318 of the B</w:t>
      </w:r>
      <w:r w:rsidR="00AD0EF0">
        <w:rPr>
          <w:rFonts w:ascii="Times New Roman" w:eastAsia="MS Mincho" w:hAnsi="Times New Roman" w:cs="Times New Roman"/>
          <w:sz w:val="24"/>
        </w:rPr>
        <w:t>SA</w:t>
      </w:r>
      <w:r>
        <w:rPr>
          <w:rFonts w:ascii="Times New Roman" w:eastAsia="MS Mincho" w:hAnsi="Times New Roman" w:cs="Times New Roman"/>
          <w:sz w:val="24"/>
        </w:rPr>
        <w:t xml:space="preserve"> that requires the Secretary of the Treasury to require financial institutions to establish and maintain anti-money laundering</w:t>
      </w:r>
      <w:r w:rsidR="00D41021">
        <w:rPr>
          <w:rFonts w:ascii="Times New Roman" w:eastAsia="MS Mincho" w:hAnsi="Times New Roman" w:cs="Times New Roman"/>
          <w:sz w:val="24"/>
        </w:rPr>
        <w:t xml:space="preserve"> (“AML”)</w:t>
      </w:r>
      <w:r>
        <w:rPr>
          <w:rFonts w:ascii="Times New Roman" w:eastAsia="MS Mincho" w:hAnsi="Times New Roman" w:cs="Times New Roman"/>
          <w:sz w:val="24"/>
        </w:rPr>
        <w:t xml:space="preserve"> programs.  </w:t>
      </w:r>
      <w:r>
        <w:rPr>
          <w:rFonts w:ascii="Times New Roman" w:hAnsi="Times New Roman"/>
          <w:sz w:val="24"/>
        </w:rPr>
        <w:t xml:space="preserve">Pursuant to section 352, FinCEN issued regulations requiring </w:t>
      </w:r>
      <w:r>
        <w:rPr>
          <w:rFonts w:ascii="Times New Roman" w:eastAsia="MS Mincho" w:hAnsi="Times New Roman" w:cs="Times New Roman"/>
          <w:sz w:val="24"/>
        </w:rPr>
        <w:t>dealers in precious metals, precious stones, or jewels (</w:t>
      </w:r>
      <w:r w:rsidR="00942836">
        <w:rPr>
          <w:rFonts w:ascii="Times New Roman" w:eastAsia="MS Mincho" w:hAnsi="Times New Roman" w:cs="Times New Roman"/>
          <w:sz w:val="24"/>
        </w:rPr>
        <w:t xml:space="preserve">31 CFR </w:t>
      </w:r>
      <w:r w:rsidR="004F2DCD">
        <w:rPr>
          <w:rFonts w:ascii="Times New Roman" w:eastAsia="MS Mincho" w:hAnsi="Times New Roman" w:cs="Times New Roman"/>
          <w:sz w:val="24"/>
        </w:rPr>
        <w:t>1027.210</w:t>
      </w:r>
      <w:r>
        <w:rPr>
          <w:rFonts w:ascii="Times New Roman" w:eastAsia="MS Mincho" w:hAnsi="Times New Roman" w:cs="Times New Roman"/>
          <w:sz w:val="24"/>
        </w:rPr>
        <w:t xml:space="preserve">) </w:t>
      </w:r>
      <w:r>
        <w:rPr>
          <w:rFonts w:ascii="Times New Roman" w:hAnsi="Times New Roman"/>
          <w:sz w:val="24"/>
        </w:rPr>
        <w:t>to develop and implement a written anti-money laundering program.  The program must be reasonably designed to prevent these financial institutions from being used for money laundering or the financing of terrorist activities, and to achieve and monitor compliance with applicable B</w:t>
      </w:r>
      <w:r w:rsidR="00D41021">
        <w:rPr>
          <w:rFonts w:ascii="Times New Roman" w:hAnsi="Times New Roman"/>
          <w:sz w:val="24"/>
        </w:rPr>
        <w:t>SA</w:t>
      </w:r>
      <w:r>
        <w:rPr>
          <w:rFonts w:ascii="Times New Roman" w:hAnsi="Times New Roman"/>
          <w:sz w:val="24"/>
        </w:rPr>
        <w:t xml:space="preserve"> requirements.</w:t>
      </w:r>
    </w:p>
    <w:p w:rsidR="003761AA" w:rsidRDefault="003761AA"/>
    <w:p w:rsidR="003761AA" w:rsidRDefault="003761AA">
      <w:r>
        <w:t xml:space="preserve">2. </w:t>
      </w:r>
      <w:r>
        <w:rPr>
          <w:u w:val="single"/>
        </w:rPr>
        <w:t xml:space="preserve">Method of </w:t>
      </w:r>
      <w:r w:rsidR="00395C67">
        <w:rPr>
          <w:u w:val="single"/>
        </w:rPr>
        <w:t>collection and use of data</w:t>
      </w:r>
      <w:r w:rsidR="007E55CF">
        <w:rPr>
          <w:u w:val="single"/>
        </w:rPr>
        <w:t>.</w:t>
      </w:r>
    </w:p>
    <w:p w:rsidR="003761AA" w:rsidRDefault="003761AA">
      <w:pPr>
        <w:widowControl w:val="0"/>
        <w:autoSpaceDE w:val="0"/>
        <w:autoSpaceDN w:val="0"/>
        <w:adjustRightInd w:val="0"/>
        <w:spacing w:line="244" w:lineRule="exact"/>
        <w:ind w:firstLine="715"/>
      </w:pPr>
    </w:p>
    <w:p w:rsidR="003761AA" w:rsidRDefault="003761AA" w:rsidP="00381B02">
      <w:pPr>
        <w:pStyle w:val="BodyTextIndent"/>
        <w:ind w:left="0"/>
      </w:pPr>
      <w:r>
        <w:t xml:space="preserve">The </w:t>
      </w:r>
      <w:r w:rsidR="007E55CF">
        <w:t>AML</w:t>
      </w:r>
      <w:r>
        <w:t xml:space="preserve"> program requirements will be used by dealers in precious metals, precious stones, or jewels to detect the occurrence of transactions required to be recorded or reported under the B</w:t>
      </w:r>
      <w:r w:rsidR="007E55CF">
        <w:t>SA</w:t>
      </w:r>
      <w:r>
        <w:t xml:space="preserve"> and to ensure that such institutions are not used to facilitate money laundering or terrorist financing.  The compliance program will be reviewed by </w:t>
      </w:r>
      <w:r w:rsidR="003B46C3">
        <w:t>F</w:t>
      </w:r>
      <w:r>
        <w:t>ederal agencies during the course of BSA compliance examinations.</w:t>
      </w:r>
    </w:p>
    <w:p w:rsidR="003761AA" w:rsidRDefault="003761AA">
      <w:pPr>
        <w:spacing w:before="273"/>
        <w:rPr>
          <w:szCs w:val="22"/>
        </w:rPr>
      </w:pPr>
      <w:r>
        <w:rPr>
          <w:szCs w:val="22"/>
        </w:rPr>
        <w:t xml:space="preserve">3. </w:t>
      </w:r>
      <w:r>
        <w:rPr>
          <w:szCs w:val="22"/>
          <w:u w:val="single"/>
        </w:rPr>
        <w:t xml:space="preserve">Use </w:t>
      </w:r>
      <w:r w:rsidR="00395C67">
        <w:rPr>
          <w:szCs w:val="22"/>
          <w:u w:val="single"/>
        </w:rPr>
        <w:t>of improved information technology to reduce burden</w:t>
      </w:r>
      <w:r w:rsidR="007E55CF">
        <w:rPr>
          <w:szCs w:val="22"/>
          <w:u w:val="single"/>
        </w:rPr>
        <w:t>.</w:t>
      </w:r>
    </w:p>
    <w:p w:rsidR="003B46C3" w:rsidRDefault="00B57DB8" w:rsidP="00381B02">
      <w:pPr>
        <w:pStyle w:val="BodyTextIndent2"/>
        <w:ind w:firstLine="0"/>
      </w:pPr>
      <w:r>
        <w:rPr>
          <w:rFonts w:eastAsia="MS Mincho"/>
        </w:rPr>
        <w:t>Dealers in precious metals, precious stones, or jewels</w:t>
      </w:r>
      <w:r w:rsidR="003761AA">
        <w:t xml:space="preserve"> are permitted to automate their </w:t>
      </w:r>
      <w:r w:rsidR="007E55CF">
        <w:t>AML</w:t>
      </w:r>
      <w:r w:rsidR="003761AA">
        <w:t xml:space="preserve"> program to meet their requirements.  There is no specific government mandate to do so.  </w:t>
      </w:r>
    </w:p>
    <w:p w:rsidR="003761AA" w:rsidRDefault="003761AA">
      <w:pPr>
        <w:spacing w:before="283"/>
        <w:rPr>
          <w:szCs w:val="22"/>
          <w:u w:val="single"/>
        </w:rPr>
      </w:pPr>
      <w:r>
        <w:rPr>
          <w:szCs w:val="22"/>
        </w:rPr>
        <w:t xml:space="preserve">4. </w:t>
      </w:r>
      <w:r>
        <w:rPr>
          <w:szCs w:val="22"/>
          <w:u w:val="single"/>
        </w:rPr>
        <w:t xml:space="preserve">Efforts </w:t>
      </w:r>
      <w:r w:rsidR="00395C67">
        <w:rPr>
          <w:szCs w:val="22"/>
          <w:u w:val="single"/>
        </w:rPr>
        <w:t>to identify duplication</w:t>
      </w:r>
      <w:r w:rsidR="005F5531">
        <w:rPr>
          <w:szCs w:val="22"/>
          <w:u w:val="single"/>
        </w:rPr>
        <w:t>.</w:t>
      </w:r>
    </w:p>
    <w:p w:rsidR="003761AA" w:rsidRDefault="003761AA" w:rsidP="00381B02">
      <w:pPr>
        <w:spacing w:before="283"/>
        <w:rPr>
          <w:szCs w:val="22"/>
        </w:rPr>
      </w:pPr>
      <w:r>
        <w:rPr>
          <w:szCs w:val="22"/>
        </w:rPr>
        <w:t xml:space="preserve">There is no similar information available; </w:t>
      </w:r>
      <w:r w:rsidR="00F759F2">
        <w:rPr>
          <w:szCs w:val="22"/>
        </w:rPr>
        <w:t>thus,</w:t>
      </w:r>
      <w:r>
        <w:rPr>
          <w:szCs w:val="22"/>
        </w:rPr>
        <w:t xml:space="preserve"> there is no duplication. </w:t>
      </w:r>
    </w:p>
    <w:p w:rsidR="003761AA" w:rsidRDefault="003761AA">
      <w:pPr>
        <w:spacing w:before="283"/>
        <w:rPr>
          <w:szCs w:val="22"/>
          <w:u w:val="single"/>
        </w:rPr>
      </w:pPr>
      <w:r>
        <w:rPr>
          <w:szCs w:val="22"/>
        </w:rPr>
        <w:lastRenderedPageBreak/>
        <w:t xml:space="preserve">5. </w:t>
      </w:r>
      <w:r>
        <w:rPr>
          <w:szCs w:val="22"/>
          <w:u w:val="single"/>
        </w:rPr>
        <w:t xml:space="preserve">Methods </w:t>
      </w:r>
      <w:r w:rsidR="00395C67">
        <w:rPr>
          <w:szCs w:val="22"/>
          <w:u w:val="single"/>
        </w:rPr>
        <w:t>to minimize burden on small businesses or other small entities</w:t>
      </w:r>
      <w:r w:rsidR="007E55CF">
        <w:rPr>
          <w:szCs w:val="22"/>
          <w:u w:val="single"/>
        </w:rPr>
        <w:t>.</w:t>
      </w:r>
    </w:p>
    <w:p w:rsidR="003761AA" w:rsidRDefault="003761AA" w:rsidP="00381B02">
      <w:pPr>
        <w:spacing w:before="283"/>
        <w:rPr>
          <w:szCs w:val="22"/>
        </w:rPr>
      </w:pPr>
      <w:r>
        <w:rPr>
          <w:szCs w:val="22"/>
        </w:rPr>
        <w:t xml:space="preserve">All </w:t>
      </w:r>
      <w:r w:rsidR="0082784A">
        <w:rPr>
          <w:szCs w:val="22"/>
        </w:rPr>
        <w:t>dealers in precious metals, precious stones, or jewels</w:t>
      </w:r>
      <w:r>
        <w:rPr>
          <w:szCs w:val="22"/>
        </w:rPr>
        <w:t xml:space="preserve"> are required to document their </w:t>
      </w:r>
      <w:r w:rsidR="007E55CF">
        <w:rPr>
          <w:szCs w:val="22"/>
        </w:rPr>
        <w:t>AML</w:t>
      </w:r>
      <w:r>
        <w:rPr>
          <w:szCs w:val="22"/>
        </w:rPr>
        <w:t xml:space="preserve"> program and are permitted to use the method most suitable to their requirement.</w:t>
      </w:r>
    </w:p>
    <w:p w:rsidR="003761AA" w:rsidRDefault="003761AA">
      <w:pPr>
        <w:spacing w:before="283"/>
        <w:rPr>
          <w:szCs w:val="22"/>
        </w:rPr>
      </w:pPr>
      <w:r>
        <w:rPr>
          <w:szCs w:val="22"/>
        </w:rPr>
        <w:t xml:space="preserve">6. </w:t>
      </w:r>
      <w:r>
        <w:rPr>
          <w:szCs w:val="22"/>
          <w:u w:val="single"/>
        </w:rPr>
        <w:t xml:space="preserve">Consequences to the </w:t>
      </w:r>
      <w:r w:rsidR="003B46C3">
        <w:rPr>
          <w:szCs w:val="22"/>
          <w:u w:val="single"/>
        </w:rPr>
        <w:t>F</w:t>
      </w:r>
      <w:r w:rsidR="00395C67">
        <w:rPr>
          <w:szCs w:val="22"/>
          <w:u w:val="single"/>
        </w:rPr>
        <w:t>ederal government of not collecting the information</w:t>
      </w:r>
      <w:r w:rsidR="007E55CF">
        <w:rPr>
          <w:szCs w:val="22"/>
          <w:u w:val="single"/>
        </w:rPr>
        <w:t>.</w:t>
      </w:r>
    </w:p>
    <w:p w:rsidR="003761AA" w:rsidRDefault="003761AA" w:rsidP="00381B02">
      <w:pPr>
        <w:spacing w:before="283"/>
        <w:rPr>
          <w:szCs w:val="22"/>
        </w:rPr>
      </w:pPr>
      <w:r>
        <w:rPr>
          <w:szCs w:val="22"/>
        </w:rPr>
        <w:t xml:space="preserve">The </w:t>
      </w:r>
      <w:r w:rsidR="0082784A">
        <w:rPr>
          <w:szCs w:val="22"/>
        </w:rPr>
        <w:t>F</w:t>
      </w:r>
      <w:r>
        <w:rPr>
          <w:szCs w:val="22"/>
        </w:rPr>
        <w:t xml:space="preserve">ederal government requires reporting of </w:t>
      </w:r>
      <w:r w:rsidR="007E55CF">
        <w:rPr>
          <w:szCs w:val="22"/>
        </w:rPr>
        <w:t>a financial institution’s AML program</w:t>
      </w:r>
      <w:r>
        <w:rPr>
          <w:szCs w:val="22"/>
        </w:rPr>
        <w:t xml:space="preserve"> only upon request</w:t>
      </w:r>
      <w:r w:rsidR="007E55CF">
        <w:rPr>
          <w:szCs w:val="22"/>
        </w:rPr>
        <w:t xml:space="preserve"> of appropriate law enforcement agencies and supervisory agencies</w:t>
      </w:r>
      <w:r>
        <w:rPr>
          <w:szCs w:val="22"/>
        </w:rPr>
        <w:t xml:space="preserve">.  </w:t>
      </w:r>
    </w:p>
    <w:p w:rsidR="003761AA" w:rsidRDefault="003761AA">
      <w:pPr>
        <w:spacing w:before="288"/>
        <w:rPr>
          <w:szCs w:val="22"/>
          <w:u w:val="single"/>
        </w:rPr>
      </w:pPr>
      <w:r>
        <w:rPr>
          <w:szCs w:val="22"/>
        </w:rPr>
        <w:t xml:space="preserve">7. </w:t>
      </w:r>
      <w:r w:rsidR="00395C67">
        <w:rPr>
          <w:u w:val="single"/>
        </w:rPr>
        <w:t>Special circumstances requiring data collection to be in</w:t>
      </w:r>
      <w:r w:rsidR="007E55CF">
        <w:rPr>
          <w:u w:val="single"/>
        </w:rPr>
        <w:t>con</w:t>
      </w:r>
      <w:r w:rsidR="00395C67">
        <w:rPr>
          <w:u w:val="single"/>
        </w:rPr>
        <w:t>sistent with guidelines in 5 CFR 1320.5(d)(2)</w:t>
      </w:r>
      <w:r w:rsidR="007E55CF">
        <w:rPr>
          <w:u w:val="single"/>
        </w:rPr>
        <w:t>.</w:t>
      </w:r>
    </w:p>
    <w:p w:rsidR="003761AA" w:rsidRDefault="003761AA">
      <w:pPr>
        <w:widowControl w:val="0"/>
        <w:autoSpaceDE w:val="0"/>
        <w:autoSpaceDN w:val="0"/>
        <w:adjustRightInd w:val="0"/>
        <w:spacing w:line="240" w:lineRule="exact"/>
        <w:ind w:firstLine="710"/>
        <w:rPr>
          <w:szCs w:val="22"/>
        </w:rPr>
      </w:pPr>
    </w:p>
    <w:p w:rsidR="003761AA" w:rsidRDefault="003761AA" w:rsidP="00381B02">
      <w:pPr>
        <w:widowControl w:val="0"/>
        <w:autoSpaceDE w:val="0"/>
        <w:autoSpaceDN w:val="0"/>
        <w:adjustRightInd w:val="0"/>
        <w:spacing w:line="240" w:lineRule="exact"/>
        <w:rPr>
          <w:szCs w:val="4"/>
        </w:rPr>
      </w:pPr>
      <w:r>
        <w:rPr>
          <w:szCs w:val="22"/>
        </w:rPr>
        <w:t>Under 31 CFR 10</w:t>
      </w:r>
      <w:r w:rsidR="00716A64">
        <w:rPr>
          <w:szCs w:val="22"/>
        </w:rPr>
        <w:t>10</w:t>
      </w:r>
      <w:r>
        <w:rPr>
          <w:szCs w:val="22"/>
        </w:rPr>
        <w:t>.</w:t>
      </w:r>
      <w:r w:rsidR="00716A64">
        <w:rPr>
          <w:szCs w:val="22"/>
        </w:rPr>
        <w:t>430</w:t>
      </w:r>
      <w:r>
        <w:rPr>
          <w:szCs w:val="22"/>
        </w:rPr>
        <w:t>, records must be kept for 5 years.  This retention period is necessary to substantiate violations that have occurred within the statute of limitations</w:t>
      </w:r>
      <w:r w:rsidR="001B7431">
        <w:rPr>
          <w:szCs w:val="22"/>
        </w:rPr>
        <w:t xml:space="preserve"> (5 years)</w:t>
      </w:r>
      <w:r>
        <w:rPr>
          <w:szCs w:val="4"/>
        </w:rPr>
        <w:t>.</w:t>
      </w:r>
    </w:p>
    <w:p w:rsidR="003761AA" w:rsidRDefault="003761AA">
      <w:pPr>
        <w:rPr>
          <w:szCs w:val="22"/>
        </w:rPr>
      </w:pPr>
    </w:p>
    <w:p w:rsidR="003761AA" w:rsidRDefault="003761AA">
      <w:pPr>
        <w:rPr>
          <w:szCs w:val="22"/>
        </w:rPr>
      </w:pPr>
      <w:r>
        <w:rPr>
          <w:szCs w:val="22"/>
        </w:rPr>
        <w:t xml:space="preserve">8. </w:t>
      </w:r>
      <w:r>
        <w:rPr>
          <w:szCs w:val="22"/>
          <w:u w:val="single"/>
        </w:rPr>
        <w:t xml:space="preserve">Consultation </w:t>
      </w:r>
      <w:r w:rsidR="00395C67">
        <w:rPr>
          <w:szCs w:val="22"/>
          <w:u w:val="single"/>
        </w:rPr>
        <w:t>with individuals outside of the agency on availability of data, frequency of collection, clarity of instructions and forms, and data elements</w:t>
      </w:r>
      <w:r w:rsidR="001B7431">
        <w:rPr>
          <w:szCs w:val="22"/>
          <w:u w:val="single"/>
        </w:rPr>
        <w:t>.</w:t>
      </w:r>
    </w:p>
    <w:p w:rsidR="003761AA" w:rsidRDefault="003761AA">
      <w:pPr>
        <w:rPr>
          <w:szCs w:val="22"/>
        </w:rPr>
      </w:pPr>
    </w:p>
    <w:p w:rsidR="003761AA" w:rsidRDefault="003761AA" w:rsidP="00381B02">
      <w:pPr>
        <w:pStyle w:val="PlainText"/>
        <w:rPr>
          <w:rFonts w:ascii="Times New Roman" w:hAnsi="Times New Roman" w:cs="Times New Roman"/>
          <w:sz w:val="24"/>
        </w:rPr>
      </w:pPr>
      <w:r>
        <w:rPr>
          <w:rFonts w:ascii="Times New Roman" w:hAnsi="Times New Roman" w:cs="Times New Roman"/>
          <w:sz w:val="24"/>
        </w:rPr>
        <w:t xml:space="preserve">On </w:t>
      </w:r>
      <w:r w:rsidR="00814735">
        <w:rPr>
          <w:rFonts w:ascii="Times New Roman" w:hAnsi="Times New Roman" w:cs="Times New Roman"/>
          <w:sz w:val="24"/>
        </w:rPr>
        <w:t>September 11,</w:t>
      </w:r>
      <w:r>
        <w:rPr>
          <w:rFonts w:ascii="Times New Roman" w:hAnsi="Times New Roman" w:cs="Times New Roman"/>
          <w:sz w:val="24"/>
        </w:rPr>
        <w:t xml:space="preserve"> 20</w:t>
      </w:r>
      <w:r w:rsidR="00716A64">
        <w:rPr>
          <w:rFonts w:ascii="Times New Roman" w:hAnsi="Times New Roman" w:cs="Times New Roman"/>
          <w:sz w:val="24"/>
        </w:rPr>
        <w:t>1</w:t>
      </w:r>
      <w:r w:rsidR="00332399">
        <w:rPr>
          <w:rFonts w:ascii="Times New Roman" w:hAnsi="Times New Roman" w:cs="Times New Roman"/>
          <w:sz w:val="24"/>
        </w:rPr>
        <w:t>8</w:t>
      </w:r>
      <w:r>
        <w:rPr>
          <w:rFonts w:ascii="Times New Roman" w:hAnsi="Times New Roman" w:cs="Times New Roman"/>
          <w:sz w:val="24"/>
        </w:rPr>
        <w:t xml:space="preserve">, </w:t>
      </w:r>
      <w:r w:rsidR="007410CF">
        <w:rPr>
          <w:rFonts w:ascii="Times New Roman" w:hAnsi="Times New Roman" w:cs="Times New Roman"/>
          <w:sz w:val="24"/>
        </w:rPr>
        <w:t xml:space="preserve">FinCEN </w:t>
      </w:r>
      <w:r>
        <w:rPr>
          <w:rFonts w:ascii="Times New Roman" w:hAnsi="Times New Roman" w:cs="Times New Roman"/>
          <w:sz w:val="24"/>
        </w:rPr>
        <w:t xml:space="preserve">issued a notice and request for comment concerning the </w:t>
      </w:r>
      <w:r w:rsidR="001B7431">
        <w:rPr>
          <w:rFonts w:ascii="Times New Roman" w:hAnsi="Times New Roman" w:cs="Times New Roman"/>
          <w:sz w:val="24"/>
        </w:rPr>
        <w:t>AML</w:t>
      </w:r>
      <w:r>
        <w:rPr>
          <w:rFonts w:ascii="Times New Roman" w:hAnsi="Times New Roman" w:cs="Times New Roman"/>
          <w:sz w:val="24"/>
        </w:rPr>
        <w:t xml:space="preserve"> program requirement for </w:t>
      </w:r>
      <w:r>
        <w:rPr>
          <w:rFonts w:ascii="Times New Roman" w:eastAsia="MS Mincho" w:hAnsi="Times New Roman" w:cs="Times New Roman"/>
          <w:sz w:val="24"/>
        </w:rPr>
        <w:t xml:space="preserve">dealers in precious metals, precious stones, or jewels </w:t>
      </w:r>
      <w:r>
        <w:rPr>
          <w:rFonts w:ascii="Times New Roman" w:hAnsi="Times New Roman" w:cs="Times New Roman"/>
          <w:sz w:val="24"/>
        </w:rPr>
        <w:t>(</w:t>
      </w:r>
      <w:r w:rsidRPr="003150ED">
        <w:rPr>
          <w:rFonts w:ascii="Times New Roman" w:hAnsi="Times New Roman" w:cs="Times New Roman"/>
          <w:i/>
          <w:sz w:val="24"/>
        </w:rPr>
        <w:t>See</w:t>
      </w:r>
      <w:r>
        <w:rPr>
          <w:rFonts w:ascii="Times New Roman" w:hAnsi="Times New Roman" w:cs="Times New Roman"/>
          <w:sz w:val="24"/>
        </w:rPr>
        <w:t xml:space="preserve"> </w:t>
      </w:r>
      <w:r w:rsidR="007410CF">
        <w:rPr>
          <w:rFonts w:ascii="Times New Roman" w:hAnsi="Times New Roman" w:cs="Times New Roman"/>
          <w:sz w:val="24"/>
        </w:rPr>
        <w:t>8</w:t>
      </w:r>
      <w:r w:rsidR="00814735">
        <w:rPr>
          <w:rFonts w:ascii="Times New Roman" w:hAnsi="Times New Roman" w:cs="Times New Roman"/>
          <w:sz w:val="24"/>
        </w:rPr>
        <w:t>3</w:t>
      </w:r>
      <w:r>
        <w:rPr>
          <w:rFonts w:ascii="Times New Roman" w:eastAsia="MS Mincho" w:hAnsi="Times New Roman" w:cs="Times New Roman"/>
          <w:sz w:val="24"/>
        </w:rPr>
        <w:t xml:space="preserve"> FR </w:t>
      </w:r>
      <w:r w:rsidR="00814735">
        <w:rPr>
          <w:rFonts w:ascii="Times New Roman" w:eastAsia="MS Mincho" w:hAnsi="Times New Roman" w:cs="Times New Roman"/>
          <w:sz w:val="24"/>
        </w:rPr>
        <w:t>46014</w:t>
      </w:r>
      <w:r w:rsidR="007410CF">
        <w:rPr>
          <w:rFonts w:ascii="Times New Roman" w:hAnsi="Times New Roman" w:cs="Times New Roman"/>
          <w:sz w:val="24"/>
        </w:rPr>
        <w:t>).</w:t>
      </w:r>
      <w:r w:rsidR="003B46C3">
        <w:rPr>
          <w:rFonts w:ascii="Times New Roman" w:hAnsi="Times New Roman" w:cs="Times New Roman"/>
          <w:sz w:val="24"/>
        </w:rPr>
        <w:t xml:space="preserve"> </w:t>
      </w:r>
      <w:r w:rsidR="007410CF">
        <w:rPr>
          <w:rFonts w:ascii="Times New Roman" w:hAnsi="Times New Roman" w:cs="Times New Roman"/>
          <w:sz w:val="24"/>
        </w:rPr>
        <w:t xml:space="preserve"> </w:t>
      </w:r>
      <w:r w:rsidR="003150ED">
        <w:rPr>
          <w:rFonts w:ascii="Times New Roman" w:hAnsi="Times New Roman" w:cs="Times New Roman"/>
          <w:sz w:val="24"/>
        </w:rPr>
        <w:t>FinCEN</w:t>
      </w:r>
      <w:r>
        <w:rPr>
          <w:rFonts w:ascii="Times New Roman" w:hAnsi="Times New Roman" w:cs="Times New Roman"/>
          <w:sz w:val="24"/>
        </w:rPr>
        <w:t xml:space="preserve"> received no comments in response to the </w:t>
      </w:r>
      <w:r w:rsidRPr="00381B02">
        <w:rPr>
          <w:rFonts w:ascii="Times New Roman" w:hAnsi="Times New Roman" w:cs="Times New Roman"/>
          <w:i/>
          <w:sz w:val="24"/>
        </w:rPr>
        <w:t>Federal Register</w:t>
      </w:r>
      <w:r>
        <w:rPr>
          <w:rFonts w:ascii="Times New Roman" w:hAnsi="Times New Roman" w:cs="Times New Roman"/>
          <w:sz w:val="24"/>
        </w:rPr>
        <w:t xml:space="preserve"> notice.</w:t>
      </w:r>
    </w:p>
    <w:p w:rsidR="00395C67" w:rsidRPr="00395C67" w:rsidRDefault="003761AA" w:rsidP="00395C67">
      <w:pPr>
        <w:spacing w:before="283"/>
        <w:rPr>
          <w:szCs w:val="22"/>
          <w:u w:val="single"/>
        </w:rPr>
      </w:pPr>
      <w:r>
        <w:rPr>
          <w:szCs w:val="22"/>
        </w:rPr>
        <w:t xml:space="preserve">9. </w:t>
      </w:r>
      <w:r w:rsidR="00395C67" w:rsidRPr="00395C67">
        <w:rPr>
          <w:szCs w:val="22"/>
          <w:u w:val="single"/>
        </w:rPr>
        <w:t>Explanation of decision to provide any p</w:t>
      </w:r>
      <w:r w:rsidR="00395C67">
        <w:rPr>
          <w:szCs w:val="22"/>
          <w:u w:val="single"/>
        </w:rPr>
        <w:t>ayment or gift to respondents</w:t>
      </w:r>
      <w:r w:rsidR="001B7431">
        <w:rPr>
          <w:szCs w:val="22"/>
          <w:u w:val="single"/>
        </w:rPr>
        <w:t>.</w:t>
      </w:r>
    </w:p>
    <w:p w:rsidR="003761AA" w:rsidRPr="00395C67" w:rsidRDefault="00395C67" w:rsidP="00395C67">
      <w:pPr>
        <w:spacing w:before="283"/>
        <w:rPr>
          <w:szCs w:val="22"/>
        </w:rPr>
      </w:pPr>
      <w:r w:rsidRPr="00395C67">
        <w:rPr>
          <w:szCs w:val="22"/>
        </w:rPr>
        <w:t>No payments or gifts were made to respondents.</w:t>
      </w:r>
      <w:r w:rsidR="003761AA" w:rsidRPr="00395C67">
        <w:rPr>
          <w:szCs w:val="22"/>
        </w:rPr>
        <w:t xml:space="preserve"> </w:t>
      </w:r>
    </w:p>
    <w:p w:rsidR="003761AA" w:rsidRDefault="003761AA">
      <w:pPr>
        <w:pStyle w:val="BodyText"/>
        <w:rPr>
          <w:sz w:val="24"/>
        </w:rPr>
      </w:pPr>
      <w:r>
        <w:rPr>
          <w:sz w:val="24"/>
        </w:rPr>
        <w:t xml:space="preserve">10. </w:t>
      </w:r>
      <w:r>
        <w:rPr>
          <w:sz w:val="24"/>
          <w:u w:val="single"/>
        </w:rPr>
        <w:t xml:space="preserve">Assurance </w:t>
      </w:r>
      <w:r w:rsidR="00395C67">
        <w:rPr>
          <w:sz w:val="24"/>
          <w:u w:val="single"/>
        </w:rPr>
        <w:t>of confidentiality of responses</w:t>
      </w:r>
      <w:r w:rsidR="001B7431">
        <w:rPr>
          <w:sz w:val="24"/>
          <w:u w:val="single"/>
        </w:rPr>
        <w:t>.</w:t>
      </w:r>
    </w:p>
    <w:p w:rsidR="003761AA" w:rsidRDefault="003761AA" w:rsidP="00381B02">
      <w:pPr>
        <w:widowControl w:val="0"/>
        <w:autoSpaceDE w:val="0"/>
        <w:autoSpaceDN w:val="0"/>
        <w:adjustRightInd w:val="0"/>
        <w:spacing w:before="244" w:line="235" w:lineRule="exact"/>
        <w:rPr>
          <w:szCs w:val="22"/>
        </w:rPr>
      </w:pPr>
      <w:r>
        <w:rPr>
          <w:szCs w:val="22"/>
        </w:rPr>
        <w:t>Information collected under 31 U.S.C. 5318(h) may be made available to appropriate law enforcement agencies and supervisory agencies.</w:t>
      </w:r>
    </w:p>
    <w:p w:rsidR="003761AA" w:rsidRDefault="003761AA">
      <w:pPr>
        <w:spacing w:before="264"/>
        <w:rPr>
          <w:szCs w:val="22"/>
        </w:rPr>
      </w:pPr>
      <w:r>
        <w:rPr>
          <w:szCs w:val="22"/>
        </w:rPr>
        <w:t xml:space="preserve">11. </w:t>
      </w:r>
      <w:r>
        <w:rPr>
          <w:szCs w:val="22"/>
          <w:u w:val="single"/>
        </w:rPr>
        <w:t xml:space="preserve">Justification </w:t>
      </w:r>
      <w:r w:rsidR="00395C67">
        <w:rPr>
          <w:szCs w:val="22"/>
          <w:u w:val="single"/>
        </w:rPr>
        <w:t>of sensitive questions</w:t>
      </w:r>
      <w:r w:rsidR="001B7431">
        <w:rPr>
          <w:szCs w:val="22"/>
          <w:u w:val="single"/>
        </w:rPr>
        <w:t>.</w:t>
      </w:r>
    </w:p>
    <w:p w:rsidR="001C1EDD" w:rsidRDefault="00CB72E3" w:rsidP="00381B02">
      <w:pPr>
        <w:spacing w:before="254"/>
        <w:rPr>
          <w:color w:val="1F497D"/>
        </w:rPr>
      </w:pPr>
      <w:r w:rsidRPr="00E2224C">
        <w:t xml:space="preserve">There are no questions of a sensitive nature in the collection of information.  Any </w:t>
      </w:r>
      <w:r w:rsidRPr="005F573B">
        <w:t>personally identifiable information collected under the B</w:t>
      </w:r>
      <w:r w:rsidR="001B7431">
        <w:t>SA</w:t>
      </w:r>
      <w:r w:rsidRPr="005F573B">
        <w:t xml:space="preserve"> is strictly controlled as outlined in FinCEN’s Systems of Records Notice</w:t>
      </w:r>
      <w:r w:rsidR="001C1EDD">
        <w:t xml:space="preserve">.  </w:t>
      </w:r>
      <w:r w:rsidR="001C1EDD" w:rsidRPr="001502F8">
        <w:rPr>
          <w:i/>
        </w:rPr>
        <w:t>See</w:t>
      </w:r>
      <w:r w:rsidR="001C1EDD">
        <w:rPr>
          <w:color w:val="1F497D"/>
        </w:rPr>
        <w:t xml:space="preserve"> </w:t>
      </w:r>
      <w:hyperlink r:id="rId9" w:history="1">
        <w:r w:rsidR="001C1EDD" w:rsidRPr="008134C8">
          <w:rPr>
            <w:rStyle w:val="Hyperlink"/>
          </w:rPr>
          <w:t>https://www.gpo.gov/fdsys/pkg/FR-2014-04-14/pdf/2014-08254.pdf</w:t>
        </w:r>
      </w:hyperlink>
      <w:r w:rsidR="001C1EDD">
        <w:t>.</w:t>
      </w:r>
    </w:p>
    <w:p w:rsidR="00856198" w:rsidRDefault="00856198" w:rsidP="00381B02">
      <w:pPr>
        <w:spacing w:before="254"/>
        <w:rPr>
          <w:szCs w:val="22"/>
        </w:rPr>
      </w:pPr>
    </w:p>
    <w:p w:rsidR="00856198" w:rsidRDefault="00856198" w:rsidP="00856198">
      <w:pPr>
        <w:rPr>
          <w:u w:val="single"/>
        </w:rPr>
      </w:pPr>
      <w:r>
        <w:t xml:space="preserve">12 &amp; 13.  </w:t>
      </w:r>
      <w:r>
        <w:rPr>
          <w:u w:val="single"/>
        </w:rPr>
        <w:t>Estimated burden &amp; cost of information collection</w:t>
      </w:r>
      <w:r w:rsidR="00F166BF">
        <w:rPr>
          <w:u w:val="single"/>
        </w:rPr>
        <w:t>.</w:t>
      </w:r>
    </w:p>
    <w:p w:rsidR="003150ED" w:rsidRDefault="003150ED" w:rsidP="00856198"/>
    <w:p w:rsidR="005F5531" w:rsidRDefault="005F5531" w:rsidP="005F5531">
      <w:pPr>
        <w:numPr>
          <w:ilvl w:val="0"/>
          <w:numId w:val="1"/>
        </w:numPr>
        <w:rPr>
          <w:szCs w:val="22"/>
        </w:rPr>
      </w:pPr>
      <w:r w:rsidRPr="0002120C">
        <w:rPr>
          <w:szCs w:val="22"/>
        </w:rPr>
        <w:t>Estimate</w:t>
      </w:r>
      <w:r>
        <w:rPr>
          <w:szCs w:val="22"/>
        </w:rPr>
        <w:t>d Number of Respondents:  20,000.</w:t>
      </w:r>
      <w:r>
        <w:rPr>
          <w:rStyle w:val="FootnoteReference"/>
          <w:szCs w:val="22"/>
        </w:rPr>
        <w:footnoteReference w:id="2"/>
      </w:r>
    </w:p>
    <w:p w:rsidR="005F5531" w:rsidRPr="0002120C" w:rsidRDefault="005F5531" w:rsidP="005F5531">
      <w:pPr>
        <w:ind w:left="720"/>
        <w:rPr>
          <w:szCs w:val="22"/>
        </w:rPr>
      </w:pPr>
    </w:p>
    <w:p w:rsidR="005F5531" w:rsidRDefault="005F5531" w:rsidP="005F5531">
      <w:pPr>
        <w:numPr>
          <w:ilvl w:val="0"/>
          <w:numId w:val="1"/>
        </w:numPr>
        <w:rPr>
          <w:szCs w:val="22"/>
        </w:rPr>
      </w:pPr>
      <w:r w:rsidRPr="0002120C">
        <w:rPr>
          <w:szCs w:val="22"/>
        </w:rPr>
        <w:t>Estimated Number of</w:t>
      </w:r>
      <w:r>
        <w:rPr>
          <w:szCs w:val="22"/>
        </w:rPr>
        <w:t xml:space="preserve"> Responses:  20,000.</w:t>
      </w:r>
    </w:p>
    <w:p w:rsidR="005F5531" w:rsidRPr="00D33BF9" w:rsidRDefault="005F5531" w:rsidP="005F5531">
      <w:pPr>
        <w:rPr>
          <w:szCs w:val="22"/>
        </w:rPr>
      </w:pPr>
    </w:p>
    <w:p w:rsidR="005F5531" w:rsidRDefault="005F5531" w:rsidP="005F5531">
      <w:pPr>
        <w:numPr>
          <w:ilvl w:val="0"/>
          <w:numId w:val="1"/>
        </w:numPr>
        <w:rPr>
          <w:szCs w:val="22"/>
        </w:rPr>
      </w:pPr>
      <w:r w:rsidRPr="0002120C">
        <w:rPr>
          <w:szCs w:val="22"/>
        </w:rPr>
        <w:t>Estimated Average Annual Burden</w:t>
      </w:r>
      <w:r>
        <w:rPr>
          <w:szCs w:val="22"/>
        </w:rPr>
        <w:t xml:space="preserve"> Per Response:  1 hour.</w:t>
      </w:r>
    </w:p>
    <w:p w:rsidR="005F5531" w:rsidRPr="00930EDE" w:rsidRDefault="005F5531" w:rsidP="005F5531">
      <w:pPr>
        <w:rPr>
          <w:szCs w:val="22"/>
        </w:rPr>
      </w:pPr>
    </w:p>
    <w:p w:rsidR="005F5531" w:rsidRDefault="005F5531" w:rsidP="005F5531">
      <w:pPr>
        <w:numPr>
          <w:ilvl w:val="0"/>
          <w:numId w:val="1"/>
        </w:numPr>
        <w:rPr>
          <w:szCs w:val="22"/>
        </w:rPr>
      </w:pPr>
      <w:r w:rsidRPr="0002120C">
        <w:rPr>
          <w:szCs w:val="22"/>
        </w:rPr>
        <w:t>Estimated Total Annual R</w:t>
      </w:r>
      <w:r>
        <w:rPr>
          <w:szCs w:val="22"/>
        </w:rPr>
        <w:t>espondent Burden:  20,000 hours.</w:t>
      </w:r>
    </w:p>
    <w:p w:rsidR="005F5531" w:rsidRPr="00930EDE" w:rsidRDefault="005F5531" w:rsidP="005F5531">
      <w:pPr>
        <w:rPr>
          <w:szCs w:val="22"/>
        </w:rPr>
      </w:pPr>
    </w:p>
    <w:p w:rsidR="00856198" w:rsidRDefault="005F5531" w:rsidP="003150ED">
      <w:pPr>
        <w:numPr>
          <w:ilvl w:val="0"/>
          <w:numId w:val="1"/>
        </w:numPr>
        <w:autoSpaceDE w:val="0"/>
        <w:autoSpaceDN w:val="0"/>
        <w:adjustRightInd w:val="0"/>
      </w:pPr>
      <w:r>
        <w:rPr>
          <w:szCs w:val="18"/>
        </w:rPr>
        <w:t>Estimated Burden C</w:t>
      </w:r>
      <w:r w:rsidRPr="00EE7F65">
        <w:rPr>
          <w:szCs w:val="18"/>
        </w:rPr>
        <w:t xml:space="preserve">ost: </w:t>
      </w:r>
      <w:r>
        <w:rPr>
          <w:szCs w:val="18"/>
        </w:rPr>
        <w:t xml:space="preserve"> 20,000</w:t>
      </w:r>
      <w:r w:rsidRPr="00EE7F65">
        <w:rPr>
          <w:szCs w:val="18"/>
        </w:rPr>
        <w:t xml:space="preserve"> hours</w:t>
      </w:r>
      <w:r>
        <w:rPr>
          <w:szCs w:val="18"/>
        </w:rPr>
        <w:t xml:space="preserve"> X $63.53 per hour = $1,270,600</w:t>
      </w:r>
      <w:r w:rsidRPr="00EE7F65">
        <w:rPr>
          <w:szCs w:val="18"/>
        </w:rPr>
        <w:t>.</w:t>
      </w:r>
      <w:r w:rsidRPr="00EE7F65">
        <w:rPr>
          <w:vertAlign w:val="superscript"/>
        </w:rPr>
        <w:footnoteReference w:id="3"/>
      </w:r>
      <w:r w:rsidRPr="00EE7F65">
        <w:rPr>
          <w:szCs w:val="22"/>
          <w:vertAlign w:val="superscript"/>
        </w:rPr>
        <w:t xml:space="preserve">  </w:t>
      </w:r>
    </w:p>
    <w:p w:rsidR="00856198" w:rsidRDefault="00856198" w:rsidP="00856198"/>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523"/>
        <w:gridCol w:w="1430"/>
        <w:gridCol w:w="1270"/>
        <w:gridCol w:w="1177"/>
        <w:gridCol w:w="876"/>
        <w:gridCol w:w="876"/>
        <w:gridCol w:w="1296"/>
      </w:tblGrid>
      <w:tr w:rsidR="00856198" w:rsidTr="00856198">
        <w:tc>
          <w:tcPr>
            <w:tcW w:w="1394"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Information Collection</w:t>
            </w:r>
          </w:p>
        </w:tc>
        <w:tc>
          <w:tcPr>
            <w:tcW w:w="1442"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 of Respondents</w:t>
            </w:r>
          </w:p>
        </w:tc>
        <w:tc>
          <w:tcPr>
            <w:tcW w:w="1355"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Annual # of Responses per Respondent</w:t>
            </w:r>
          </w:p>
        </w:tc>
        <w:tc>
          <w:tcPr>
            <w:tcW w:w="1205"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Total Responses</w:t>
            </w:r>
          </w:p>
        </w:tc>
        <w:tc>
          <w:tcPr>
            <w:tcW w:w="1055"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Hours per Response</w:t>
            </w:r>
          </w:p>
        </w:tc>
        <w:tc>
          <w:tcPr>
            <w:tcW w:w="835"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Total Hours</w:t>
            </w:r>
          </w:p>
        </w:tc>
        <w:tc>
          <w:tcPr>
            <w:tcW w:w="835"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Labor Cost per Hour</w:t>
            </w:r>
          </w:p>
        </w:tc>
        <w:tc>
          <w:tcPr>
            <w:tcW w:w="1684"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Total Labor Costs</w:t>
            </w:r>
          </w:p>
        </w:tc>
      </w:tr>
      <w:tr w:rsidR="00856198" w:rsidTr="00856198">
        <w:tc>
          <w:tcPr>
            <w:tcW w:w="1394" w:type="dxa"/>
            <w:tcBorders>
              <w:top w:val="single" w:sz="4" w:space="0" w:color="auto"/>
              <w:left w:val="single" w:sz="4" w:space="0" w:color="auto"/>
              <w:bottom w:val="single" w:sz="4" w:space="0" w:color="auto"/>
              <w:right w:val="single" w:sz="4" w:space="0" w:color="auto"/>
            </w:tcBorders>
            <w:hideMark/>
          </w:tcPr>
          <w:p w:rsidR="00856198" w:rsidRDefault="00F166BF">
            <w:r>
              <w:t>AML</w:t>
            </w:r>
            <w:r w:rsidR="00972F39">
              <w:t xml:space="preserve"> Program</w:t>
            </w:r>
          </w:p>
        </w:tc>
        <w:tc>
          <w:tcPr>
            <w:tcW w:w="1442" w:type="dxa"/>
            <w:tcBorders>
              <w:top w:val="single" w:sz="4" w:space="0" w:color="auto"/>
              <w:left w:val="single" w:sz="4" w:space="0" w:color="auto"/>
              <w:bottom w:val="single" w:sz="4" w:space="0" w:color="auto"/>
              <w:right w:val="single" w:sz="4" w:space="0" w:color="auto"/>
            </w:tcBorders>
            <w:hideMark/>
          </w:tcPr>
          <w:p w:rsidR="00856198" w:rsidRDefault="00CB72E3">
            <w:r>
              <w:t>20</w:t>
            </w:r>
            <w:r w:rsidR="00856198">
              <w:t>,000</w:t>
            </w:r>
          </w:p>
        </w:tc>
        <w:tc>
          <w:tcPr>
            <w:tcW w:w="1355" w:type="dxa"/>
            <w:tcBorders>
              <w:top w:val="single" w:sz="4" w:space="0" w:color="auto"/>
              <w:left w:val="single" w:sz="4" w:space="0" w:color="auto"/>
              <w:bottom w:val="single" w:sz="4" w:space="0" w:color="auto"/>
              <w:right w:val="single" w:sz="4" w:space="0" w:color="auto"/>
            </w:tcBorders>
            <w:hideMark/>
          </w:tcPr>
          <w:p w:rsidR="00856198" w:rsidRDefault="00CB72E3">
            <w:r>
              <w:t>1</w:t>
            </w:r>
          </w:p>
        </w:tc>
        <w:tc>
          <w:tcPr>
            <w:tcW w:w="1205" w:type="dxa"/>
            <w:tcBorders>
              <w:top w:val="single" w:sz="4" w:space="0" w:color="auto"/>
              <w:left w:val="single" w:sz="4" w:space="0" w:color="auto"/>
              <w:bottom w:val="single" w:sz="4" w:space="0" w:color="auto"/>
              <w:right w:val="single" w:sz="4" w:space="0" w:color="auto"/>
            </w:tcBorders>
            <w:hideMark/>
          </w:tcPr>
          <w:p w:rsidR="00856198" w:rsidRDefault="00CB72E3">
            <w:r>
              <w:t>20</w:t>
            </w:r>
            <w:r w:rsidR="00856198">
              <w:t>,000</w:t>
            </w:r>
          </w:p>
        </w:tc>
        <w:tc>
          <w:tcPr>
            <w:tcW w:w="1055" w:type="dxa"/>
            <w:tcBorders>
              <w:top w:val="single" w:sz="4" w:space="0" w:color="auto"/>
              <w:left w:val="single" w:sz="4" w:space="0" w:color="auto"/>
              <w:bottom w:val="single" w:sz="4" w:space="0" w:color="auto"/>
              <w:right w:val="single" w:sz="4" w:space="0" w:color="auto"/>
            </w:tcBorders>
            <w:hideMark/>
          </w:tcPr>
          <w:p w:rsidR="00856198" w:rsidRDefault="00856198">
            <w:r>
              <w:t>1</w:t>
            </w:r>
          </w:p>
        </w:tc>
        <w:tc>
          <w:tcPr>
            <w:tcW w:w="835" w:type="dxa"/>
            <w:tcBorders>
              <w:top w:val="single" w:sz="4" w:space="0" w:color="auto"/>
              <w:left w:val="single" w:sz="4" w:space="0" w:color="auto"/>
              <w:bottom w:val="single" w:sz="4" w:space="0" w:color="auto"/>
              <w:right w:val="single" w:sz="4" w:space="0" w:color="auto"/>
            </w:tcBorders>
            <w:hideMark/>
          </w:tcPr>
          <w:p w:rsidR="00856198" w:rsidRDefault="00CB72E3">
            <w:r>
              <w:t>20</w:t>
            </w:r>
            <w:r w:rsidR="00856198">
              <w:t>,000</w:t>
            </w:r>
          </w:p>
        </w:tc>
        <w:tc>
          <w:tcPr>
            <w:tcW w:w="835" w:type="dxa"/>
            <w:tcBorders>
              <w:top w:val="single" w:sz="4" w:space="0" w:color="auto"/>
              <w:left w:val="single" w:sz="4" w:space="0" w:color="auto"/>
              <w:bottom w:val="single" w:sz="4" w:space="0" w:color="auto"/>
              <w:right w:val="single" w:sz="4" w:space="0" w:color="auto"/>
            </w:tcBorders>
            <w:hideMark/>
          </w:tcPr>
          <w:p w:rsidR="00856198" w:rsidRDefault="00856198">
            <w:r>
              <w:t>$63.53</w:t>
            </w:r>
          </w:p>
        </w:tc>
        <w:tc>
          <w:tcPr>
            <w:tcW w:w="1684" w:type="dxa"/>
            <w:tcBorders>
              <w:top w:val="single" w:sz="4" w:space="0" w:color="auto"/>
              <w:left w:val="single" w:sz="4" w:space="0" w:color="auto"/>
              <w:bottom w:val="single" w:sz="4" w:space="0" w:color="auto"/>
              <w:right w:val="single" w:sz="4" w:space="0" w:color="auto"/>
            </w:tcBorders>
            <w:hideMark/>
          </w:tcPr>
          <w:p w:rsidR="00856198" w:rsidRDefault="00856198">
            <w:r>
              <w:t>$</w:t>
            </w:r>
            <w:r w:rsidR="0089105E" w:rsidRPr="0089105E">
              <w:t>1,270,600</w:t>
            </w:r>
          </w:p>
        </w:tc>
      </w:tr>
      <w:tr w:rsidR="00856198" w:rsidTr="00856198">
        <w:tc>
          <w:tcPr>
            <w:tcW w:w="1394"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TOTAL</w:t>
            </w:r>
          </w:p>
        </w:tc>
        <w:tc>
          <w:tcPr>
            <w:tcW w:w="1442" w:type="dxa"/>
            <w:tcBorders>
              <w:top w:val="single" w:sz="4" w:space="0" w:color="auto"/>
              <w:left w:val="single" w:sz="4" w:space="0" w:color="auto"/>
              <w:bottom w:val="single" w:sz="4" w:space="0" w:color="auto"/>
              <w:right w:val="single" w:sz="4" w:space="0" w:color="auto"/>
            </w:tcBorders>
          </w:tcPr>
          <w:p w:rsidR="00856198" w:rsidRDefault="00856198">
            <w:pPr>
              <w:rPr>
                <w:b/>
              </w:rPr>
            </w:pPr>
          </w:p>
        </w:tc>
        <w:tc>
          <w:tcPr>
            <w:tcW w:w="1355" w:type="dxa"/>
            <w:tcBorders>
              <w:top w:val="single" w:sz="4" w:space="0" w:color="auto"/>
              <w:left w:val="single" w:sz="4" w:space="0" w:color="auto"/>
              <w:bottom w:val="single" w:sz="4" w:space="0" w:color="auto"/>
              <w:right w:val="single" w:sz="4" w:space="0" w:color="auto"/>
            </w:tcBorders>
          </w:tcPr>
          <w:p w:rsidR="00856198" w:rsidRDefault="00856198">
            <w:pPr>
              <w:rPr>
                <w:b/>
              </w:rPr>
            </w:pPr>
          </w:p>
        </w:tc>
        <w:tc>
          <w:tcPr>
            <w:tcW w:w="1205" w:type="dxa"/>
            <w:tcBorders>
              <w:top w:val="single" w:sz="4" w:space="0" w:color="auto"/>
              <w:left w:val="single" w:sz="4" w:space="0" w:color="auto"/>
              <w:bottom w:val="single" w:sz="4" w:space="0" w:color="auto"/>
              <w:right w:val="single" w:sz="4" w:space="0" w:color="auto"/>
            </w:tcBorders>
            <w:hideMark/>
          </w:tcPr>
          <w:p w:rsidR="00856198" w:rsidRDefault="00CB72E3" w:rsidP="00CB72E3">
            <w:pPr>
              <w:rPr>
                <w:b/>
              </w:rPr>
            </w:pPr>
            <w:r>
              <w:rPr>
                <w:b/>
              </w:rPr>
              <w:t>20</w:t>
            </w:r>
            <w:r w:rsidR="00856198">
              <w:rPr>
                <w:b/>
              </w:rPr>
              <w:t>,000</w:t>
            </w:r>
          </w:p>
        </w:tc>
        <w:tc>
          <w:tcPr>
            <w:tcW w:w="1055" w:type="dxa"/>
            <w:tcBorders>
              <w:top w:val="single" w:sz="4" w:space="0" w:color="auto"/>
              <w:left w:val="single" w:sz="4" w:space="0" w:color="auto"/>
              <w:bottom w:val="single" w:sz="4" w:space="0" w:color="auto"/>
              <w:right w:val="single" w:sz="4" w:space="0" w:color="auto"/>
            </w:tcBorders>
          </w:tcPr>
          <w:p w:rsidR="00856198" w:rsidRDefault="00856198">
            <w:pPr>
              <w:rPr>
                <w:b/>
              </w:rPr>
            </w:pPr>
          </w:p>
        </w:tc>
        <w:tc>
          <w:tcPr>
            <w:tcW w:w="835" w:type="dxa"/>
            <w:tcBorders>
              <w:top w:val="single" w:sz="4" w:space="0" w:color="auto"/>
              <w:left w:val="single" w:sz="4" w:space="0" w:color="auto"/>
              <w:bottom w:val="single" w:sz="4" w:space="0" w:color="auto"/>
              <w:right w:val="single" w:sz="4" w:space="0" w:color="auto"/>
            </w:tcBorders>
            <w:hideMark/>
          </w:tcPr>
          <w:p w:rsidR="00856198" w:rsidRDefault="00CB72E3">
            <w:pPr>
              <w:rPr>
                <w:b/>
              </w:rPr>
            </w:pPr>
            <w:r>
              <w:rPr>
                <w:b/>
              </w:rPr>
              <w:t>20</w:t>
            </w:r>
            <w:r w:rsidR="00856198">
              <w:rPr>
                <w:b/>
              </w:rPr>
              <w:t>,000</w:t>
            </w:r>
          </w:p>
        </w:tc>
        <w:tc>
          <w:tcPr>
            <w:tcW w:w="835" w:type="dxa"/>
            <w:tcBorders>
              <w:top w:val="single" w:sz="4" w:space="0" w:color="auto"/>
              <w:left w:val="single" w:sz="4" w:space="0" w:color="auto"/>
              <w:bottom w:val="single" w:sz="4" w:space="0" w:color="auto"/>
              <w:right w:val="single" w:sz="4" w:space="0" w:color="auto"/>
            </w:tcBorders>
          </w:tcPr>
          <w:p w:rsidR="00856198" w:rsidRDefault="00856198">
            <w:pPr>
              <w:rPr>
                <w:b/>
              </w:rPr>
            </w:pPr>
          </w:p>
        </w:tc>
        <w:tc>
          <w:tcPr>
            <w:tcW w:w="1684" w:type="dxa"/>
            <w:tcBorders>
              <w:top w:val="single" w:sz="4" w:space="0" w:color="auto"/>
              <w:left w:val="single" w:sz="4" w:space="0" w:color="auto"/>
              <w:bottom w:val="single" w:sz="4" w:space="0" w:color="auto"/>
              <w:right w:val="single" w:sz="4" w:space="0" w:color="auto"/>
            </w:tcBorders>
            <w:hideMark/>
          </w:tcPr>
          <w:p w:rsidR="00856198" w:rsidRDefault="00856198">
            <w:pPr>
              <w:rPr>
                <w:b/>
              </w:rPr>
            </w:pPr>
            <w:r>
              <w:rPr>
                <w:b/>
              </w:rPr>
              <w:t>$</w:t>
            </w:r>
            <w:r w:rsidR="0089105E" w:rsidRPr="0089105E">
              <w:rPr>
                <w:b/>
              </w:rPr>
              <w:t>1,270,600</w:t>
            </w:r>
          </w:p>
        </w:tc>
      </w:tr>
    </w:tbl>
    <w:p w:rsidR="00856198" w:rsidRDefault="00856198" w:rsidP="00856198"/>
    <w:p w:rsidR="00856198" w:rsidRDefault="00856198" w:rsidP="00856198">
      <w:r>
        <w:t>There are no non-labor costs associated with this collection of information.</w:t>
      </w:r>
    </w:p>
    <w:p w:rsidR="00067967" w:rsidRDefault="00067967" w:rsidP="00856198"/>
    <w:p w:rsidR="003761AA" w:rsidRDefault="003761AA">
      <w:pPr>
        <w:pStyle w:val="PlainText"/>
        <w:spacing w:line="480" w:lineRule="auto"/>
        <w:rPr>
          <w:rFonts w:ascii="Times New Roman" w:hAnsi="Times New Roman" w:cs="Times New Roman"/>
          <w:sz w:val="24"/>
        </w:rPr>
      </w:pPr>
      <w:r>
        <w:rPr>
          <w:rFonts w:ascii="Times New Roman" w:hAnsi="Times New Roman" w:cs="Times New Roman"/>
          <w:sz w:val="24"/>
        </w:rPr>
        <w:t xml:space="preserve">14. </w:t>
      </w:r>
      <w:r w:rsidRPr="00002C87">
        <w:rPr>
          <w:rFonts w:ascii="Times New Roman" w:hAnsi="Times New Roman" w:cs="Times New Roman"/>
          <w:sz w:val="24"/>
          <w:u w:val="single"/>
        </w:rPr>
        <w:t xml:space="preserve">Estimated </w:t>
      </w:r>
      <w:r w:rsidR="00395C67" w:rsidRPr="00002C87">
        <w:rPr>
          <w:rFonts w:ascii="Times New Roman" w:hAnsi="Times New Roman" w:cs="Times New Roman"/>
          <w:sz w:val="24"/>
          <w:u w:val="single"/>
        </w:rPr>
        <w:t>annual</w:t>
      </w:r>
      <w:r w:rsidR="00395C67">
        <w:rPr>
          <w:rFonts w:ascii="Times New Roman" w:hAnsi="Times New Roman" w:cs="Times New Roman"/>
          <w:sz w:val="24"/>
          <w:u w:val="single"/>
        </w:rPr>
        <w:t>ized</w:t>
      </w:r>
      <w:r w:rsidR="00395C67" w:rsidRPr="00002C87">
        <w:rPr>
          <w:rFonts w:ascii="Times New Roman" w:hAnsi="Times New Roman" w:cs="Times New Roman"/>
          <w:sz w:val="24"/>
          <w:u w:val="single"/>
        </w:rPr>
        <w:t xml:space="preserve"> cost to the </w:t>
      </w:r>
      <w:r w:rsidR="003B46C3">
        <w:rPr>
          <w:rFonts w:ascii="Times New Roman" w:hAnsi="Times New Roman" w:cs="Times New Roman"/>
          <w:sz w:val="24"/>
          <w:u w:val="single"/>
        </w:rPr>
        <w:t>F</w:t>
      </w:r>
      <w:r w:rsidR="00395C67" w:rsidRPr="00002C87">
        <w:rPr>
          <w:rFonts w:ascii="Times New Roman" w:hAnsi="Times New Roman" w:cs="Times New Roman"/>
          <w:sz w:val="24"/>
          <w:u w:val="single"/>
        </w:rPr>
        <w:t>ederal government</w:t>
      </w:r>
      <w:r w:rsidR="00F166BF">
        <w:rPr>
          <w:rFonts w:ascii="Times New Roman" w:hAnsi="Times New Roman" w:cs="Times New Roman"/>
          <w:sz w:val="24"/>
          <w:u w:val="single"/>
        </w:rPr>
        <w:t>.</w:t>
      </w:r>
    </w:p>
    <w:p w:rsidR="003761AA" w:rsidRDefault="005C285C" w:rsidP="00381B02">
      <w:pPr>
        <w:pStyle w:val="PlainText"/>
        <w:rPr>
          <w:rFonts w:ascii="Times New Roman" w:hAnsi="Times New Roman" w:cs="Times New Roman"/>
          <w:sz w:val="24"/>
        </w:rPr>
      </w:pPr>
      <w:r>
        <w:rPr>
          <w:rFonts w:ascii="Times New Roman" w:hAnsi="Times New Roman" w:cs="Times New Roman"/>
          <w:sz w:val="24"/>
        </w:rPr>
        <w:t>This information is not required to be submitted to the Federal government unless requested by FinCEN, or an appropriate law enforcement agency or Federal regulatory agency.</w:t>
      </w:r>
    </w:p>
    <w:p w:rsidR="00314223" w:rsidRDefault="00314223" w:rsidP="00381B02">
      <w:pPr>
        <w:pStyle w:val="PlainText"/>
        <w:ind w:firstLine="720"/>
        <w:rPr>
          <w:rFonts w:ascii="Times New Roman" w:hAnsi="Times New Roman" w:cs="Times New Roman"/>
          <w:sz w:val="24"/>
        </w:rPr>
      </w:pPr>
    </w:p>
    <w:p w:rsidR="003761AA" w:rsidRDefault="003761AA">
      <w:pPr>
        <w:pStyle w:val="PlainText"/>
        <w:spacing w:line="480" w:lineRule="auto"/>
        <w:rPr>
          <w:rFonts w:ascii="Times New Roman" w:hAnsi="Times New Roman" w:cs="Times New Roman"/>
          <w:sz w:val="24"/>
        </w:rPr>
      </w:pPr>
      <w:r>
        <w:rPr>
          <w:rFonts w:ascii="Times New Roman" w:hAnsi="Times New Roman" w:cs="Times New Roman"/>
          <w:sz w:val="24"/>
        </w:rPr>
        <w:t xml:space="preserve">15. </w:t>
      </w:r>
      <w:r w:rsidRPr="00002C87">
        <w:rPr>
          <w:rFonts w:ascii="Times New Roman" w:hAnsi="Times New Roman" w:cs="Times New Roman"/>
          <w:sz w:val="24"/>
          <w:u w:val="single"/>
        </w:rPr>
        <w:t>Reason</w:t>
      </w:r>
      <w:r w:rsidR="00395C67">
        <w:rPr>
          <w:rFonts w:ascii="Times New Roman" w:hAnsi="Times New Roman" w:cs="Times New Roman"/>
          <w:sz w:val="24"/>
          <w:u w:val="single"/>
        </w:rPr>
        <w:t>s</w:t>
      </w:r>
      <w:r w:rsidRPr="00002C87">
        <w:rPr>
          <w:rFonts w:ascii="Times New Roman" w:hAnsi="Times New Roman" w:cs="Times New Roman"/>
          <w:sz w:val="24"/>
          <w:u w:val="single"/>
        </w:rPr>
        <w:t xml:space="preserve"> </w:t>
      </w:r>
      <w:r w:rsidR="00395C67" w:rsidRPr="00002C87">
        <w:rPr>
          <w:rFonts w:ascii="Times New Roman" w:hAnsi="Times New Roman" w:cs="Times New Roman"/>
          <w:sz w:val="24"/>
          <w:u w:val="single"/>
        </w:rPr>
        <w:t>for change in burden</w:t>
      </w:r>
      <w:r w:rsidR="00EA7709">
        <w:rPr>
          <w:rFonts w:ascii="Times New Roman" w:hAnsi="Times New Roman" w:cs="Times New Roman"/>
          <w:sz w:val="24"/>
          <w:u w:val="single"/>
        </w:rPr>
        <w:t>.</w:t>
      </w:r>
    </w:p>
    <w:p w:rsidR="003761AA" w:rsidRDefault="005F5531" w:rsidP="00381B02">
      <w:pPr>
        <w:pStyle w:val="PlainText"/>
        <w:spacing w:line="480" w:lineRule="auto"/>
        <w:rPr>
          <w:rFonts w:ascii="Times New Roman" w:hAnsi="Times New Roman" w:cs="Times New Roman"/>
          <w:sz w:val="24"/>
        </w:rPr>
      </w:pPr>
      <w:r>
        <w:rPr>
          <w:rFonts w:ascii="Times New Roman" w:hAnsi="Times New Roman" w:cs="Times New Roman"/>
          <w:sz w:val="24"/>
        </w:rPr>
        <w:t>There is no change in burden.</w:t>
      </w:r>
    </w:p>
    <w:p w:rsidR="003761AA" w:rsidRPr="00002C87" w:rsidRDefault="003761AA">
      <w:pPr>
        <w:rPr>
          <w:u w:val="single"/>
        </w:rPr>
      </w:pPr>
      <w:r>
        <w:t xml:space="preserve">16. </w:t>
      </w:r>
      <w:r w:rsidRPr="00002C87">
        <w:rPr>
          <w:u w:val="single"/>
        </w:rPr>
        <w:t xml:space="preserve">Plans for </w:t>
      </w:r>
      <w:r w:rsidR="00395C67" w:rsidRPr="00002C87">
        <w:rPr>
          <w:u w:val="single"/>
        </w:rPr>
        <w:t>tabulation, statist</w:t>
      </w:r>
      <w:r w:rsidR="00395C67">
        <w:rPr>
          <w:u w:val="single"/>
        </w:rPr>
        <w:t>ical analysis, and publication</w:t>
      </w:r>
    </w:p>
    <w:p w:rsidR="003761AA" w:rsidRDefault="003761AA"/>
    <w:p w:rsidR="00EA7709" w:rsidRDefault="00EA7709" w:rsidP="000120FF">
      <w:r>
        <w:t>The information will not be tabulated or compiled for publication.</w:t>
      </w:r>
    </w:p>
    <w:p w:rsidR="003761AA" w:rsidRDefault="003761AA" w:rsidP="00381B02">
      <w:pPr>
        <w:ind w:firstLine="720"/>
      </w:pPr>
      <w:r>
        <w:t xml:space="preserve"> </w:t>
      </w:r>
    </w:p>
    <w:p w:rsidR="005562DF" w:rsidRDefault="005562DF" w:rsidP="005562DF">
      <w:r>
        <w:t xml:space="preserve">17.  </w:t>
      </w:r>
      <w:r>
        <w:rPr>
          <w:u w:val="single"/>
        </w:rPr>
        <w:t>Request not to display the OMB expiration date</w:t>
      </w:r>
      <w:r w:rsidR="005F5531">
        <w:rPr>
          <w:u w:val="single"/>
        </w:rPr>
        <w:t>.</w:t>
      </w:r>
    </w:p>
    <w:p w:rsidR="005562DF" w:rsidRDefault="005562DF" w:rsidP="005562DF">
      <w:pPr>
        <w:ind w:left="450"/>
      </w:pPr>
      <w:r>
        <w:tab/>
      </w:r>
    </w:p>
    <w:p w:rsidR="005562DF" w:rsidRDefault="00EA7709" w:rsidP="003150ED">
      <w:r>
        <w:t>Not applicable.</w:t>
      </w:r>
    </w:p>
    <w:p w:rsidR="005562DF" w:rsidRDefault="005562DF" w:rsidP="005562DF">
      <w:pPr>
        <w:ind w:left="450" w:firstLine="270"/>
      </w:pPr>
    </w:p>
    <w:p w:rsidR="005562DF" w:rsidRDefault="005562DF" w:rsidP="005562DF">
      <w:r>
        <w:t xml:space="preserve">18.  </w:t>
      </w:r>
      <w:r>
        <w:rPr>
          <w:u w:val="single"/>
        </w:rPr>
        <w:t>Exceptions to the certification statement</w:t>
      </w:r>
      <w:r w:rsidR="00EA7709">
        <w:rPr>
          <w:u w:val="single"/>
        </w:rPr>
        <w:t>.</w:t>
      </w:r>
    </w:p>
    <w:p w:rsidR="005562DF" w:rsidRDefault="005562DF" w:rsidP="005562DF">
      <w:pPr>
        <w:ind w:firstLine="360"/>
      </w:pPr>
    </w:p>
    <w:p w:rsidR="005562DF" w:rsidRDefault="005562DF" w:rsidP="00381B02">
      <w:r w:rsidRPr="00B96D75">
        <w:t>There are no exceptions to the certification statement.</w:t>
      </w:r>
    </w:p>
    <w:p w:rsidR="003761AA" w:rsidRDefault="003761AA" w:rsidP="005562DF">
      <w:pPr>
        <w:pStyle w:val="PlainText"/>
        <w:rPr>
          <w:rFonts w:ascii="Times New Roman" w:eastAsia="MS Mincho" w:hAnsi="Times New Roman" w:cs="Times New Roman"/>
          <w:sz w:val="24"/>
        </w:rPr>
      </w:pPr>
      <w:r>
        <w:rPr>
          <w:rFonts w:ascii="Times New Roman" w:eastAsia="MS Mincho" w:hAnsi="Times New Roman" w:cs="Times New Roman"/>
          <w:sz w:val="24"/>
        </w:rPr>
        <w:tab/>
        <w:t xml:space="preserve">    </w:t>
      </w:r>
    </w:p>
    <w:p w:rsidR="003761AA" w:rsidRDefault="003761AA"/>
    <w:sectPr w:rsidR="003761AA" w:rsidSect="00CB72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D6" w:rsidRDefault="00B64AD6">
      <w:r>
        <w:separator/>
      </w:r>
    </w:p>
  </w:endnote>
  <w:endnote w:type="continuationSeparator" w:id="0">
    <w:p w:rsidR="00B64AD6" w:rsidRDefault="00B6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D6" w:rsidRDefault="00B64AD6">
      <w:r>
        <w:separator/>
      </w:r>
    </w:p>
  </w:footnote>
  <w:footnote w:type="continuationSeparator" w:id="0">
    <w:p w:rsidR="00B64AD6" w:rsidRDefault="00B64AD6">
      <w:r>
        <w:continuationSeparator/>
      </w:r>
    </w:p>
  </w:footnote>
  <w:footnote w:id="1">
    <w:p w:rsidR="003761AA" w:rsidRPr="007C67C5" w:rsidRDefault="003761AA" w:rsidP="007C67C5">
      <w:pPr>
        <w:pStyle w:val="PlainText"/>
        <w:rPr>
          <w:rFonts w:ascii="Times New Roman" w:hAnsi="Times New Roman" w:cs="Times New Roman"/>
        </w:rPr>
      </w:pPr>
      <w:r>
        <w:rPr>
          <w:rStyle w:val="FootnoteReference"/>
          <w:rFonts w:ascii="Times New Roman" w:hAnsi="Times New Roman" w:cs="Times New Roman"/>
          <w:sz w:val="24"/>
        </w:rPr>
        <w:footnoteRef/>
      </w:r>
      <w:r>
        <w:rPr>
          <w:rFonts w:ascii="Times New Roman" w:hAnsi="Times New Roman" w:cs="Times New Roman"/>
          <w:sz w:val="24"/>
        </w:rPr>
        <w:t xml:space="preserve"> </w:t>
      </w:r>
      <w:r w:rsidRPr="007C67C5">
        <w:rPr>
          <w:rFonts w:ascii="Times New Roman" w:eastAsia="MS Mincho" w:hAnsi="Times New Roman" w:cs="Times New Roman"/>
        </w:rPr>
        <w:t>Language expanding the scope of the B</w:t>
      </w:r>
      <w:r w:rsidR="00170847">
        <w:rPr>
          <w:rFonts w:ascii="Times New Roman" w:eastAsia="MS Mincho" w:hAnsi="Times New Roman" w:cs="Times New Roman"/>
        </w:rPr>
        <w:t>SA</w:t>
      </w:r>
      <w:r w:rsidRPr="007C67C5">
        <w:rPr>
          <w:rFonts w:ascii="Times New Roman" w:eastAsia="MS Mincho" w:hAnsi="Times New Roman" w:cs="Times New Roman"/>
        </w:rPr>
        <w:t xml:space="preserve"> to intelligence or counter-intelligence activities to protect against international terrorism was added by Section 358 of the Uniting and Strengthening America by Providing Appropriate Tools Required to Intercept and Obstruct Terrorism Act of 2001, P.L. 107-56</w:t>
      </w:r>
      <w:r w:rsidR="007E55CF">
        <w:rPr>
          <w:rFonts w:ascii="Times New Roman" w:eastAsia="MS Mincho" w:hAnsi="Times New Roman" w:cs="Times New Roman"/>
        </w:rPr>
        <w:t xml:space="preserve"> </w:t>
      </w:r>
      <w:r w:rsidR="007E55CF" w:rsidRPr="007C67C5">
        <w:rPr>
          <w:rFonts w:ascii="Times New Roman" w:eastAsia="MS Mincho" w:hAnsi="Times New Roman" w:cs="Times New Roman"/>
        </w:rPr>
        <w:t>(</w:t>
      </w:r>
      <w:r w:rsidR="007E55CF">
        <w:rPr>
          <w:rFonts w:ascii="Times New Roman" w:eastAsia="MS Mincho" w:hAnsi="Times New Roman" w:cs="Times New Roman"/>
        </w:rPr>
        <w:t>“</w:t>
      </w:r>
      <w:r w:rsidR="007E55CF" w:rsidRPr="007C67C5">
        <w:rPr>
          <w:rFonts w:ascii="Times New Roman" w:eastAsia="MS Mincho" w:hAnsi="Times New Roman" w:cs="Times New Roman"/>
        </w:rPr>
        <w:t>USA PATRIOT</w:t>
      </w:r>
      <w:r w:rsidR="007E55CF">
        <w:rPr>
          <w:rFonts w:ascii="Times New Roman" w:eastAsia="MS Mincho" w:hAnsi="Times New Roman" w:cs="Times New Roman"/>
        </w:rPr>
        <w:t>”</w:t>
      </w:r>
      <w:r w:rsidR="007E55CF" w:rsidRPr="007C67C5">
        <w:rPr>
          <w:rFonts w:ascii="Times New Roman" w:eastAsia="MS Mincho" w:hAnsi="Times New Roman" w:cs="Times New Roman"/>
        </w:rPr>
        <w:t>)</w:t>
      </w:r>
      <w:r w:rsidRPr="007C67C5">
        <w:rPr>
          <w:rFonts w:ascii="Times New Roman" w:eastAsia="MS Mincho" w:hAnsi="Times New Roman" w:cs="Times New Roman"/>
        </w:rPr>
        <w:t>.</w:t>
      </w:r>
    </w:p>
  </w:footnote>
  <w:footnote w:id="2">
    <w:p w:rsidR="005F5531" w:rsidRPr="003150ED" w:rsidRDefault="005F5531">
      <w:pPr>
        <w:pStyle w:val="FootnoteText"/>
        <w:rPr>
          <w:rFonts w:ascii="Times New Roman" w:hAnsi="Times New Roman"/>
        </w:rPr>
      </w:pPr>
      <w:r>
        <w:rPr>
          <w:rStyle w:val="FootnoteReference"/>
        </w:rPr>
        <w:footnoteRef/>
      </w:r>
      <w:r>
        <w:t xml:space="preserve"> </w:t>
      </w:r>
      <w:r w:rsidRPr="00863AE9">
        <w:rPr>
          <w:rFonts w:ascii="Times New Roman" w:hAnsi="Times New Roman"/>
        </w:rPr>
        <w:t xml:space="preserve">During the last information collection renewal, FinCEN did not receive any comments suggesting or requesting a different estimated number of respondents. The respondents are required to develop, implement, and maintain a copy of their program, but there is no requirement to report it to FinCEN. </w:t>
      </w:r>
      <w:r>
        <w:rPr>
          <w:rFonts w:ascii="Times New Roman" w:hAnsi="Times New Roman"/>
        </w:rPr>
        <w:t xml:space="preserve"> </w:t>
      </w:r>
      <w:r w:rsidRPr="00863AE9">
        <w:rPr>
          <w:rFonts w:ascii="Times New Roman" w:hAnsi="Times New Roman"/>
        </w:rPr>
        <w:t xml:space="preserve">Therefore, FinCEN does not have an independent means of verifying this number.  </w:t>
      </w:r>
    </w:p>
  </w:footnote>
  <w:footnote w:id="3">
    <w:p w:rsidR="005F5531" w:rsidRPr="00B72286" w:rsidRDefault="005F5531" w:rsidP="005F5531">
      <w:pPr>
        <w:pStyle w:val="FootnoteText"/>
        <w:rPr>
          <w:rFonts w:ascii="Times New Roman" w:hAnsi="Times New Roman"/>
        </w:rPr>
      </w:pPr>
      <w:r w:rsidRPr="007B6D91">
        <w:rPr>
          <w:rStyle w:val="FootnoteReference"/>
        </w:rPr>
        <w:footnoteRef/>
      </w:r>
      <w:r w:rsidRPr="00A63FF8">
        <w:t xml:space="preserve"> </w:t>
      </w:r>
      <w:r w:rsidRPr="00B72286">
        <w:rPr>
          <w:rFonts w:ascii="Times New Roman" w:hAnsi="Times New Roman"/>
          <w:iCs/>
        </w:rPr>
        <w:t>The above Average Hourly Wage Rate is calculated from the May 2017 Bureau of Labor Statistics average hourly wage for</w:t>
      </w:r>
      <w:r w:rsidRPr="00B72286">
        <w:rPr>
          <w:rFonts w:ascii="Times New Roman" w:hAnsi="Times New Roman"/>
          <w:i/>
          <w:iCs/>
        </w:rPr>
        <w:t xml:space="preserve"> “</w:t>
      </w:r>
      <w:r w:rsidRPr="00B72286">
        <w:rPr>
          <w:rFonts w:ascii="Times New Roman" w:hAnsi="Times New Roman"/>
        </w:rPr>
        <w:t>13-2061 Financial Examiners</w:t>
      </w:r>
      <w:r w:rsidRPr="00B72286">
        <w:rPr>
          <w:rFonts w:ascii="Times New Roman" w:hAnsi="Times New Roman"/>
          <w:i/>
          <w:iCs/>
        </w:rPr>
        <w:t xml:space="preserve">” </w:t>
      </w:r>
      <w:r w:rsidRPr="00B72286">
        <w:rPr>
          <w:rFonts w:ascii="Times New Roman" w:hAnsi="Times New Roman"/>
          <w:iCs/>
        </w:rPr>
        <w:t>of $44.12, plus an additional 44% for benefits to produce a fully-loaded rate of $63.53.</w:t>
      </w:r>
      <w:r w:rsidRPr="00B72286">
        <w:rPr>
          <w:rFonts w:ascii="Times New Roman" w:hAnsi="Times New Roman"/>
          <w:i/>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A414F"/>
    <w:multiLevelType w:val="hybridMultilevel"/>
    <w:tmpl w:val="DBC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E35D64"/>
    <w:rsid w:val="00002C87"/>
    <w:rsid w:val="000120FF"/>
    <w:rsid w:val="00045F05"/>
    <w:rsid w:val="00067967"/>
    <w:rsid w:val="00156CB1"/>
    <w:rsid w:val="00170847"/>
    <w:rsid w:val="00184A7A"/>
    <w:rsid w:val="001B1924"/>
    <w:rsid w:val="001B7431"/>
    <w:rsid w:val="001C1EDD"/>
    <w:rsid w:val="00236667"/>
    <w:rsid w:val="003116CF"/>
    <w:rsid w:val="00314223"/>
    <w:rsid w:val="003150ED"/>
    <w:rsid w:val="00332399"/>
    <w:rsid w:val="00335D60"/>
    <w:rsid w:val="00361D05"/>
    <w:rsid w:val="003761AA"/>
    <w:rsid w:val="00381B02"/>
    <w:rsid w:val="00395C67"/>
    <w:rsid w:val="003B46C3"/>
    <w:rsid w:val="00417831"/>
    <w:rsid w:val="004720EA"/>
    <w:rsid w:val="004C22FE"/>
    <w:rsid w:val="004F2DCD"/>
    <w:rsid w:val="005113F7"/>
    <w:rsid w:val="00511601"/>
    <w:rsid w:val="005562DF"/>
    <w:rsid w:val="0058013E"/>
    <w:rsid w:val="005C285C"/>
    <w:rsid w:val="005F5531"/>
    <w:rsid w:val="0063457F"/>
    <w:rsid w:val="00656BE6"/>
    <w:rsid w:val="006D11DF"/>
    <w:rsid w:val="00716A64"/>
    <w:rsid w:val="007410CF"/>
    <w:rsid w:val="00744EC8"/>
    <w:rsid w:val="00771E88"/>
    <w:rsid w:val="007C67C5"/>
    <w:rsid w:val="007E55CF"/>
    <w:rsid w:val="00807AB2"/>
    <w:rsid w:val="00814735"/>
    <w:rsid w:val="0082784A"/>
    <w:rsid w:val="00856198"/>
    <w:rsid w:val="00863AE9"/>
    <w:rsid w:val="0089105E"/>
    <w:rsid w:val="008F5BFB"/>
    <w:rsid w:val="00903662"/>
    <w:rsid w:val="00942836"/>
    <w:rsid w:val="00970D7C"/>
    <w:rsid w:val="00972F39"/>
    <w:rsid w:val="00A849C0"/>
    <w:rsid w:val="00AA6FFE"/>
    <w:rsid w:val="00AD0EF0"/>
    <w:rsid w:val="00B57DB8"/>
    <w:rsid w:val="00B64AD6"/>
    <w:rsid w:val="00BA4CE9"/>
    <w:rsid w:val="00BD766D"/>
    <w:rsid w:val="00C00743"/>
    <w:rsid w:val="00CB55E1"/>
    <w:rsid w:val="00CB72E3"/>
    <w:rsid w:val="00D13199"/>
    <w:rsid w:val="00D20B27"/>
    <w:rsid w:val="00D41021"/>
    <w:rsid w:val="00D63E08"/>
    <w:rsid w:val="00D76AA4"/>
    <w:rsid w:val="00D83033"/>
    <w:rsid w:val="00DE4E22"/>
    <w:rsid w:val="00E20E8D"/>
    <w:rsid w:val="00E35D64"/>
    <w:rsid w:val="00E754A8"/>
    <w:rsid w:val="00EA7709"/>
    <w:rsid w:val="00EB7AA5"/>
    <w:rsid w:val="00EF51FD"/>
    <w:rsid w:val="00F166BF"/>
    <w:rsid w:val="00F759F2"/>
    <w:rsid w:val="00FB09E5"/>
    <w:rsid w:val="00FC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FootnoteReference">
    <w:name w:val="footnote reference"/>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spacing w:before="273"/>
      <w:ind w:firstLine="720"/>
    </w:pPr>
    <w:rPr>
      <w:szCs w:val="22"/>
    </w:rPr>
  </w:style>
  <w:style w:type="character" w:styleId="Hyperlink">
    <w:name w:val="Hyperlink"/>
    <w:rsid w:val="00184A7A"/>
    <w:rPr>
      <w:color w:val="0000FF"/>
      <w:u w:val="single"/>
    </w:rPr>
  </w:style>
  <w:style w:type="character" w:styleId="CommentReference">
    <w:name w:val="annotation reference"/>
    <w:rsid w:val="0082784A"/>
    <w:rPr>
      <w:sz w:val="16"/>
      <w:szCs w:val="16"/>
    </w:rPr>
  </w:style>
  <w:style w:type="paragraph" w:styleId="CommentText">
    <w:name w:val="annotation text"/>
    <w:basedOn w:val="Normal"/>
    <w:link w:val="CommentTextChar"/>
    <w:rsid w:val="0082784A"/>
    <w:rPr>
      <w:sz w:val="20"/>
      <w:szCs w:val="20"/>
    </w:rPr>
  </w:style>
  <w:style w:type="character" w:customStyle="1" w:styleId="CommentTextChar">
    <w:name w:val="Comment Text Char"/>
    <w:basedOn w:val="DefaultParagraphFont"/>
    <w:link w:val="CommentText"/>
    <w:rsid w:val="0082784A"/>
  </w:style>
  <w:style w:type="paragraph" w:styleId="CommentSubject">
    <w:name w:val="annotation subject"/>
    <w:basedOn w:val="CommentText"/>
    <w:next w:val="CommentText"/>
    <w:link w:val="CommentSubjectChar"/>
    <w:rsid w:val="0082784A"/>
    <w:rPr>
      <w:b/>
      <w:bCs/>
    </w:rPr>
  </w:style>
  <w:style w:type="character" w:customStyle="1" w:styleId="CommentSubjectChar">
    <w:name w:val="Comment Subject Char"/>
    <w:link w:val="CommentSubject"/>
    <w:rsid w:val="0082784A"/>
    <w:rPr>
      <w:b/>
      <w:bCs/>
    </w:rPr>
  </w:style>
  <w:style w:type="paragraph" w:styleId="FootnoteText">
    <w:name w:val="footnote text"/>
    <w:basedOn w:val="Normal"/>
    <w:link w:val="FootnoteTextChar"/>
    <w:uiPriority w:val="99"/>
    <w:unhideWhenUsed/>
    <w:rsid w:val="00856198"/>
    <w:pPr>
      <w:widowControl w:val="0"/>
      <w:autoSpaceDE w:val="0"/>
      <w:autoSpaceDN w:val="0"/>
      <w:adjustRightInd w:val="0"/>
    </w:pPr>
    <w:rPr>
      <w:rFonts w:ascii="Courier 10cpi" w:hAnsi="Courier 10cpi"/>
      <w:sz w:val="20"/>
      <w:szCs w:val="20"/>
    </w:rPr>
  </w:style>
  <w:style w:type="character" w:customStyle="1" w:styleId="FootnoteTextChar">
    <w:name w:val="Footnote Text Char"/>
    <w:basedOn w:val="DefaultParagraphFont"/>
    <w:link w:val="FootnoteText"/>
    <w:uiPriority w:val="99"/>
    <w:rsid w:val="00856198"/>
    <w:rPr>
      <w:rFonts w:ascii="Courier 10cpi" w:hAnsi="Courier 10cp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FootnoteReference">
    <w:name w:val="footnote reference"/>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spacing w:before="273"/>
      <w:ind w:firstLine="720"/>
    </w:pPr>
    <w:rPr>
      <w:szCs w:val="22"/>
    </w:rPr>
  </w:style>
  <w:style w:type="character" w:styleId="Hyperlink">
    <w:name w:val="Hyperlink"/>
    <w:rsid w:val="00184A7A"/>
    <w:rPr>
      <w:color w:val="0000FF"/>
      <w:u w:val="single"/>
    </w:rPr>
  </w:style>
  <w:style w:type="character" w:styleId="CommentReference">
    <w:name w:val="annotation reference"/>
    <w:rsid w:val="0082784A"/>
    <w:rPr>
      <w:sz w:val="16"/>
      <w:szCs w:val="16"/>
    </w:rPr>
  </w:style>
  <w:style w:type="paragraph" w:styleId="CommentText">
    <w:name w:val="annotation text"/>
    <w:basedOn w:val="Normal"/>
    <w:link w:val="CommentTextChar"/>
    <w:rsid w:val="0082784A"/>
    <w:rPr>
      <w:sz w:val="20"/>
      <w:szCs w:val="20"/>
    </w:rPr>
  </w:style>
  <w:style w:type="character" w:customStyle="1" w:styleId="CommentTextChar">
    <w:name w:val="Comment Text Char"/>
    <w:basedOn w:val="DefaultParagraphFont"/>
    <w:link w:val="CommentText"/>
    <w:rsid w:val="0082784A"/>
  </w:style>
  <w:style w:type="paragraph" w:styleId="CommentSubject">
    <w:name w:val="annotation subject"/>
    <w:basedOn w:val="CommentText"/>
    <w:next w:val="CommentText"/>
    <w:link w:val="CommentSubjectChar"/>
    <w:rsid w:val="0082784A"/>
    <w:rPr>
      <w:b/>
      <w:bCs/>
    </w:rPr>
  </w:style>
  <w:style w:type="character" w:customStyle="1" w:styleId="CommentSubjectChar">
    <w:name w:val="Comment Subject Char"/>
    <w:link w:val="CommentSubject"/>
    <w:rsid w:val="0082784A"/>
    <w:rPr>
      <w:b/>
      <w:bCs/>
    </w:rPr>
  </w:style>
  <w:style w:type="paragraph" w:styleId="FootnoteText">
    <w:name w:val="footnote text"/>
    <w:basedOn w:val="Normal"/>
    <w:link w:val="FootnoteTextChar"/>
    <w:uiPriority w:val="99"/>
    <w:unhideWhenUsed/>
    <w:rsid w:val="00856198"/>
    <w:pPr>
      <w:widowControl w:val="0"/>
      <w:autoSpaceDE w:val="0"/>
      <w:autoSpaceDN w:val="0"/>
      <w:adjustRightInd w:val="0"/>
    </w:pPr>
    <w:rPr>
      <w:rFonts w:ascii="Courier 10cpi" w:hAnsi="Courier 10cpi"/>
      <w:sz w:val="20"/>
      <w:szCs w:val="20"/>
    </w:rPr>
  </w:style>
  <w:style w:type="character" w:customStyle="1" w:styleId="FootnoteTextChar">
    <w:name w:val="Footnote Text Char"/>
    <w:basedOn w:val="DefaultParagraphFont"/>
    <w:link w:val="FootnoteText"/>
    <w:uiPriority w:val="99"/>
    <w:rsid w:val="00856198"/>
    <w:rPr>
      <w:rFonts w:ascii="Courier 10cpi" w:hAnsi="Courier 10cp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po.gov/fdsys/pkg/FR-2014-04-14/pdf/2014-082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2557-D262-4466-862D-E0C417CD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5698</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dc:description/>
  <cp:lastModifiedBy>SYSTEM</cp:lastModifiedBy>
  <cp:revision>2</cp:revision>
  <cp:lastPrinted>2015-08-21T15:18:00Z</cp:lastPrinted>
  <dcterms:created xsi:type="dcterms:W3CDTF">2018-11-15T15:27:00Z</dcterms:created>
  <dcterms:modified xsi:type="dcterms:W3CDTF">2018-11-15T15:27:00Z</dcterms:modified>
</cp:coreProperties>
</file>