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43A4" w14:textId="10332B1B" w:rsidR="00F309F5" w:rsidRDefault="00354BFE" w:rsidP="009467D9">
      <w:pPr>
        <w:pStyle w:val="BodyText"/>
      </w:pPr>
      <w:bookmarkStart w:id="0" w:name="_GoBack"/>
      <w:bookmarkEnd w:id="0"/>
      <w:r w:rsidRPr="00AD033B">
        <w:t>Supp</w:t>
      </w:r>
      <w:r w:rsidR="00DE1FEE" w:rsidRPr="00AD033B">
        <w:t>orting</w:t>
      </w:r>
      <w:r w:rsidRPr="00AD033B">
        <w:t xml:space="preserve"> Statement</w:t>
      </w:r>
    </w:p>
    <w:p w14:paraId="7BF6C2D7" w14:textId="77777777" w:rsidR="00F309F5" w:rsidRPr="00AD033B" w:rsidRDefault="00F309F5" w:rsidP="009467D9">
      <w:pPr>
        <w:jc w:val="center"/>
        <w:rPr>
          <w:rFonts w:ascii="Times New Roman" w:hAnsi="Times New Roman"/>
          <w:sz w:val="24"/>
          <w:u w:val="single"/>
        </w:rPr>
      </w:pPr>
      <w:r w:rsidRPr="00AD033B">
        <w:rPr>
          <w:rFonts w:ascii="Times New Roman" w:hAnsi="Times New Roman"/>
          <w:sz w:val="24"/>
          <w:u w:val="single"/>
        </w:rPr>
        <w:t>OMB Control Number 1506-0043</w:t>
      </w:r>
    </w:p>
    <w:p w14:paraId="449DB142" w14:textId="77777777" w:rsidR="00AD033B" w:rsidRPr="00AD033B" w:rsidRDefault="00AD033B" w:rsidP="009467D9">
      <w:pPr>
        <w:pStyle w:val="BodyText"/>
      </w:pPr>
    </w:p>
    <w:p w14:paraId="70A61441" w14:textId="4366FA4A" w:rsidR="00374CD1" w:rsidRPr="00AD033B" w:rsidRDefault="00374CD1" w:rsidP="009467D9">
      <w:pPr>
        <w:pStyle w:val="BodyText"/>
        <w:jc w:val="left"/>
      </w:pPr>
      <w:r w:rsidRPr="00AD033B">
        <w:t>Correspondent Accounts for Foreign Shell Banks; Recordkeeping and Termination of Correspondent Accounts for Foreign Bank</w:t>
      </w:r>
      <w:r w:rsidR="00FA4469" w:rsidRPr="00AD033B">
        <w:t>s (31 CFR 1010.630</w:t>
      </w:r>
      <w:r w:rsidR="00CC11CC">
        <w:t>)</w:t>
      </w:r>
    </w:p>
    <w:p w14:paraId="2E63F54E" w14:textId="77777777" w:rsidR="00374CD1" w:rsidRDefault="00374CD1" w:rsidP="009467D9">
      <w:pPr>
        <w:rPr>
          <w:rFonts w:ascii="Times New Roman" w:hAnsi="Times New Roman"/>
          <w:sz w:val="24"/>
        </w:rPr>
      </w:pPr>
    </w:p>
    <w:p w14:paraId="4BC67632" w14:textId="77777777" w:rsidR="00374CD1" w:rsidRDefault="00374CD1" w:rsidP="009467D9">
      <w:pPr>
        <w:tabs>
          <w:tab w:val="center" w:pos="4680"/>
        </w:tabs>
        <w:rPr>
          <w:rFonts w:ascii="Times New Roman" w:hAnsi="Times New Roman"/>
          <w:sz w:val="24"/>
        </w:rPr>
      </w:pPr>
      <w:r>
        <w:rPr>
          <w:rFonts w:ascii="Times New Roman" w:hAnsi="Times New Roman"/>
          <w:sz w:val="24"/>
        </w:rPr>
        <w:tab/>
      </w:r>
    </w:p>
    <w:p w14:paraId="17B1333C" w14:textId="2A1D6C85" w:rsidR="00565F27" w:rsidRDefault="00374CD1" w:rsidP="009467D9">
      <w:pPr>
        <w:rPr>
          <w:rFonts w:ascii="Times New Roman" w:hAnsi="Times New Roman"/>
          <w:sz w:val="24"/>
        </w:rPr>
      </w:pPr>
      <w:r>
        <w:rPr>
          <w:rFonts w:ascii="Times New Roman" w:hAnsi="Times New Roman"/>
          <w:sz w:val="24"/>
        </w:rPr>
        <w:t xml:space="preserve">1.  </w:t>
      </w:r>
      <w:r w:rsidR="00E368FA">
        <w:rPr>
          <w:rFonts w:ascii="Times New Roman" w:hAnsi="Times New Roman"/>
          <w:sz w:val="24"/>
          <w:u w:val="single"/>
        </w:rPr>
        <w:t>Circumstances necessitating collection of information</w:t>
      </w:r>
      <w:r w:rsidR="008C19A7">
        <w:rPr>
          <w:rFonts w:ascii="Times New Roman" w:hAnsi="Times New Roman"/>
          <w:sz w:val="24"/>
          <w:u w:val="single"/>
        </w:rPr>
        <w:t>.</w:t>
      </w:r>
      <w:r w:rsidR="00E368FA">
        <w:rPr>
          <w:rFonts w:ascii="Times New Roman" w:hAnsi="Times New Roman"/>
          <w:sz w:val="24"/>
        </w:rPr>
        <w:t xml:space="preserve">  </w:t>
      </w:r>
    </w:p>
    <w:p w14:paraId="04073AD3" w14:textId="77777777" w:rsidR="002E0399" w:rsidRDefault="002E0399" w:rsidP="009467D9">
      <w:pPr>
        <w:ind w:left="360"/>
        <w:rPr>
          <w:rFonts w:ascii="Times New Roman" w:hAnsi="Times New Roman"/>
          <w:sz w:val="24"/>
        </w:rPr>
      </w:pPr>
    </w:p>
    <w:p w14:paraId="246862B5" w14:textId="04DEA164" w:rsidR="002E0399" w:rsidRPr="002E0399" w:rsidRDefault="004F1E9C" w:rsidP="009467D9">
      <w:pPr>
        <w:ind w:firstLine="720"/>
        <w:rPr>
          <w:rFonts w:ascii="Times New Roman" w:hAnsi="Times New Roman"/>
          <w:sz w:val="24"/>
        </w:rPr>
      </w:pPr>
      <w:r>
        <w:rPr>
          <w:rFonts w:ascii="Times New Roman" w:eastAsia="MS Mincho" w:hAnsi="Times New Roman"/>
          <w:sz w:val="24"/>
        </w:rPr>
        <w:t>The statute generally referred to as t</w:t>
      </w:r>
      <w:r w:rsidR="002E0399" w:rsidRPr="002E0399">
        <w:rPr>
          <w:rFonts w:ascii="Times New Roman" w:hAnsi="Times New Roman"/>
          <w:sz w:val="24"/>
        </w:rPr>
        <w:t xml:space="preserve">he </w:t>
      </w:r>
      <w:r>
        <w:rPr>
          <w:rFonts w:ascii="Times New Roman" w:hAnsi="Times New Roman"/>
          <w:sz w:val="24"/>
        </w:rPr>
        <w:t>“</w:t>
      </w:r>
      <w:r w:rsidR="002E0399" w:rsidRPr="002E0399">
        <w:rPr>
          <w:rFonts w:ascii="Times New Roman" w:hAnsi="Times New Roman"/>
          <w:sz w:val="24"/>
        </w:rPr>
        <w:t>Bank Secrecy Act</w:t>
      </w:r>
      <w:r>
        <w:rPr>
          <w:rFonts w:ascii="Times New Roman" w:hAnsi="Times New Roman"/>
          <w:sz w:val="24"/>
        </w:rPr>
        <w:t>”</w:t>
      </w:r>
      <w:r w:rsidR="002E0399" w:rsidRPr="002E0399">
        <w:rPr>
          <w:rFonts w:ascii="Times New Roman" w:hAnsi="Times New Roman"/>
          <w:sz w:val="24"/>
        </w:rPr>
        <w:t xml:space="preserve"> (“BSA”), Titles I and II of Pub. L. 91-508, as amended, codified at 12 U.S.C. 1829, 12 U.S.C. 1951-1959, and 31 U.S.C. 5311-5330, authorizes the Secretary of the Treasury, </w:t>
      </w:r>
      <w:r>
        <w:rPr>
          <w:rFonts w:ascii="Times New Roman" w:hAnsi="Times New Roman"/>
          <w:sz w:val="24"/>
        </w:rPr>
        <w:t>among other things</w:t>
      </w:r>
      <w:r w:rsidR="002E0399" w:rsidRPr="002E0399">
        <w:rPr>
          <w:rFonts w:ascii="Times New Roman" w:hAnsi="Times New Roman"/>
          <w:sz w:val="24"/>
        </w:rPr>
        <w:t xml:space="preserve">, to </w:t>
      </w:r>
      <w:r>
        <w:rPr>
          <w:rFonts w:ascii="Times New Roman" w:hAnsi="Times New Roman"/>
          <w:sz w:val="24"/>
        </w:rPr>
        <w:t>require financial institutions to keep</w:t>
      </w:r>
      <w:r w:rsidR="002E0399" w:rsidRPr="002E0399">
        <w:rPr>
          <w:rFonts w:ascii="Times New Roman" w:hAnsi="Times New Roman"/>
          <w:sz w:val="24"/>
        </w:rPr>
        <w:t xml:space="preserve"> records and reports that are determined to have a high degree of usefulness in criminal, tax, and regulatory matters</w:t>
      </w:r>
      <w:r>
        <w:rPr>
          <w:rFonts w:ascii="Times New Roman" w:hAnsi="Times New Roman"/>
          <w:sz w:val="24"/>
        </w:rPr>
        <w:t xml:space="preserve">, </w:t>
      </w:r>
      <w:r>
        <w:rPr>
          <w:rFonts w:ascii="Times New Roman" w:eastAsia="MS Mincho" w:hAnsi="Times New Roman"/>
          <w:sz w:val="24"/>
        </w:rPr>
        <w:t>or in the conduct of intelligence or counter-intelligence activities, to protect against international terrorism, and to implement counter-money laundering programs and compliance procedures.</w:t>
      </w:r>
      <w:r w:rsidRPr="00B70E81">
        <w:rPr>
          <w:rStyle w:val="FootnoteReference"/>
          <w:rFonts w:ascii="Times New Roman" w:eastAsia="MS Mincho" w:hAnsi="Times New Roman"/>
          <w:sz w:val="24"/>
          <w:vertAlign w:val="superscript"/>
        </w:rPr>
        <w:footnoteReference w:id="2"/>
      </w:r>
      <w:r w:rsidR="002E0399" w:rsidRPr="002E0399">
        <w:rPr>
          <w:rFonts w:ascii="Times New Roman" w:hAnsi="Times New Roman"/>
          <w:sz w:val="24"/>
        </w:rPr>
        <w:t xml:space="preserve">  Regulations implementing Title II of the </w:t>
      </w:r>
      <w:r w:rsidR="009000B1">
        <w:rPr>
          <w:rFonts w:ascii="Times New Roman" w:hAnsi="Times New Roman"/>
          <w:sz w:val="24"/>
        </w:rPr>
        <w:t>BSA</w:t>
      </w:r>
      <w:r w:rsidR="002E0399" w:rsidRPr="002E0399">
        <w:rPr>
          <w:rFonts w:ascii="Times New Roman" w:hAnsi="Times New Roman"/>
          <w:sz w:val="24"/>
        </w:rPr>
        <w:t xml:space="preserve"> appear at 31 CFR Chapter X. </w:t>
      </w:r>
      <w:r>
        <w:rPr>
          <w:rFonts w:ascii="Times New Roman" w:hAnsi="Times New Roman"/>
          <w:sz w:val="24"/>
        </w:rPr>
        <w:t xml:space="preserve"> </w:t>
      </w:r>
      <w:r w:rsidR="002E0399" w:rsidRPr="002E0399">
        <w:rPr>
          <w:rFonts w:ascii="Times New Roman" w:hAnsi="Times New Roman"/>
          <w:sz w:val="24"/>
        </w:rPr>
        <w:t>The authority of the Secretary to administer the BSA regulations has been delegated to the Director of the Financial Crimes Enforcement Network (“FinCEN”).</w:t>
      </w:r>
    </w:p>
    <w:p w14:paraId="539F7A1E" w14:textId="77777777" w:rsidR="00565F27" w:rsidRDefault="00565F27" w:rsidP="009467D9">
      <w:pPr>
        <w:ind w:left="360"/>
        <w:rPr>
          <w:rFonts w:ascii="Times New Roman" w:hAnsi="Times New Roman"/>
          <w:sz w:val="24"/>
        </w:rPr>
      </w:pPr>
    </w:p>
    <w:p w14:paraId="281CABDD" w14:textId="6D35B9D1" w:rsidR="00B679AA" w:rsidRDefault="00374CD1" w:rsidP="009467D9">
      <w:pPr>
        <w:ind w:firstLine="720"/>
        <w:rPr>
          <w:rFonts w:ascii="Times New Roman" w:hAnsi="Times New Roman"/>
          <w:sz w:val="24"/>
        </w:rPr>
      </w:pPr>
      <w:r>
        <w:rPr>
          <w:rFonts w:ascii="Times New Roman" w:hAnsi="Times New Roman"/>
          <w:sz w:val="24"/>
        </w:rPr>
        <w:t xml:space="preserve">Section 5318(j) of the </w:t>
      </w:r>
      <w:r w:rsidR="009000B1">
        <w:rPr>
          <w:rFonts w:ascii="Times New Roman" w:hAnsi="Times New Roman"/>
          <w:sz w:val="24"/>
        </w:rPr>
        <w:t>BSA</w:t>
      </w:r>
      <w:r>
        <w:rPr>
          <w:rFonts w:ascii="Times New Roman" w:hAnsi="Times New Roman"/>
          <w:sz w:val="24"/>
        </w:rPr>
        <w:t xml:space="preserve"> prohibits </w:t>
      </w:r>
      <w:r w:rsidR="009467D9">
        <w:rPr>
          <w:rFonts w:ascii="Times New Roman" w:hAnsi="Times New Roman"/>
          <w:sz w:val="24"/>
        </w:rPr>
        <w:t xml:space="preserve">covered </w:t>
      </w:r>
      <w:r>
        <w:rPr>
          <w:rFonts w:ascii="Times New Roman" w:hAnsi="Times New Roman"/>
          <w:sz w:val="24"/>
        </w:rPr>
        <w:t>financial institutions</w:t>
      </w:r>
      <w:r w:rsidR="00CD6604" w:rsidRPr="00F77EBB">
        <w:rPr>
          <w:rStyle w:val="FootnoteReference"/>
          <w:rFonts w:ascii="Times New Roman" w:hAnsi="Times New Roman"/>
          <w:sz w:val="24"/>
          <w:vertAlign w:val="superscript"/>
        </w:rPr>
        <w:footnoteReference w:id="3"/>
      </w:r>
      <w:r>
        <w:rPr>
          <w:rFonts w:ascii="Times New Roman" w:hAnsi="Times New Roman"/>
          <w:sz w:val="24"/>
        </w:rPr>
        <w:t xml:space="preserve"> from maintaining correspondent accounts for foreign shell banks.  In addition, under section 5318(k), covered financial institutions that maintain correspondent accounts for foreign banks must maintain records of owners of the foreign bank and the names and address of a person residing in the </w:t>
      </w:r>
      <w:smartTag w:uri="urn:schemas-microsoft-com:office:smarttags" w:element="country-region">
        <w:smartTag w:uri="urn:schemas-microsoft-com:office:smarttags" w:element="place">
          <w:r>
            <w:rPr>
              <w:rFonts w:ascii="Times New Roman" w:hAnsi="Times New Roman"/>
              <w:sz w:val="24"/>
            </w:rPr>
            <w:t>United States</w:t>
          </w:r>
        </w:smartTag>
      </w:smartTag>
      <w:r>
        <w:rPr>
          <w:rFonts w:ascii="Times New Roman" w:hAnsi="Times New Roman"/>
          <w:sz w:val="24"/>
        </w:rPr>
        <w:t xml:space="preserve"> who is authorized to accept service of legal process for the foreign banks.  The regulations implementing sections 5318(j) and 5318(k) appear at 31 CFR 10</w:t>
      </w:r>
      <w:r w:rsidR="00FA4469">
        <w:rPr>
          <w:rFonts w:ascii="Times New Roman" w:hAnsi="Times New Roman"/>
          <w:sz w:val="24"/>
        </w:rPr>
        <w:t>10.6</w:t>
      </w:r>
      <w:r>
        <w:rPr>
          <w:rFonts w:ascii="Times New Roman" w:hAnsi="Times New Roman"/>
          <w:sz w:val="24"/>
        </w:rPr>
        <w:t>3</w:t>
      </w:r>
      <w:r w:rsidR="00FA4469">
        <w:rPr>
          <w:rFonts w:ascii="Times New Roman" w:hAnsi="Times New Roman"/>
          <w:sz w:val="24"/>
        </w:rPr>
        <w:t>0</w:t>
      </w:r>
      <w:r>
        <w:rPr>
          <w:rFonts w:ascii="Times New Roman" w:hAnsi="Times New Roman"/>
          <w:sz w:val="24"/>
        </w:rPr>
        <w:t xml:space="preserve">.  </w:t>
      </w:r>
    </w:p>
    <w:p w14:paraId="6EFA0464" w14:textId="77777777" w:rsidR="00B679AA" w:rsidRDefault="00B679AA" w:rsidP="009467D9">
      <w:pPr>
        <w:ind w:firstLine="360"/>
        <w:rPr>
          <w:rFonts w:ascii="Times New Roman" w:hAnsi="Times New Roman"/>
          <w:sz w:val="24"/>
        </w:rPr>
      </w:pPr>
    </w:p>
    <w:p w14:paraId="088758A2" w14:textId="77777777" w:rsidR="00B679AA" w:rsidRPr="00B679AA" w:rsidRDefault="00374CD1" w:rsidP="009467D9">
      <w:pPr>
        <w:ind w:firstLine="720"/>
        <w:rPr>
          <w:rFonts w:ascii="Times New Roman" w:hAnsi="Times New Roman"/>
          <w:sz w:val="24"/>
        </w:rPr>
      </w:pPr>
      <w:r>
        <w:rPr>
          <w:rFonts w:ascii="Times New Roman" w:hAnsi="Times New Roman"/>
          <w:sz w:val="24"/>
        </w:rPr>
        <w:t xml:space="preserve">Covered financial institutions may satisfy these requirements by using the sample certification and re-certification forms </w:t>
      </w:r>
      <w:r w:rsidR="00CC635C">
        <w:rPr>
          <w:rFonts w:ascii="Times New Roman" w:hAnsi="Times New Roman"/>
          <w:sz w:val="24"/>
        </w:rPr>
        <w:t xml:space="preserve">found on the FinCEN website at </w:t>
      </w:r>
    </w:p>
    <w:p w14:paraId="4B5FEC55" w14:textId="77777777" w:rsidR="00B679AA" w:rsidRDefault="00B679AA" w:rsidP="009467D9">
      <w:pPr>
        <w:rPr>
          <w:rFonts w:ascii="Times New Roman" w:hAnsi="Times New Roman"/>
          <w:sz w:val="24"/>
        </w:rPr>
      </w:pPr>
      <w:r w:rsidRPr="00B679AA">
        <w:rPr>
          <w:rFonts w:ascii="Times New Roman" w:hAnsi="Times New Roman"/>
          <w:sz w:val="24"/>
        </w:rPr>
        <w:t xml:space="preserve">https://www.fincen.gov/sites/default/files/shared/Certification%20Regarding%20Correspondent%20Accounts%20for%20Foreign%20Banks.pdf </w:t>
      </w:r>
      <w:r>
        <w:rPr>
          <w:rFonts w:ascii="Times New Roman" w:hAnsi="Times New Roman"/>
          <w:sz w:val="24"/>
        </w:rPr>
        <w:t xml:space="preserve">and </w:t>
      </w:r>
      <w:r w:rsidRPr="00B679AA">
        <w:rPr>
          <w:rFonts w:ascii="Times New Roman" w:hAnsi="Times New Roman"/>
          <w:sz w:val="24"/>
        </w:rPr>
        <w:t>https://www.fincen.gov/sites/default/files/shared/Recertification%20Regarding%20Correspondent%20Accounts%20for%20Foreign%20Banks.pdf</w:t>
      </w:r>
      <w:r>
        <w:rPr>
          <w:rFonts w:ascii="Times New Roman" w:hAnsi="Times New Roman"/>
          <w:sz w:val="24"/>
        </w:rPr>
        <w:t>.</w:t>
      </w:r>
    </w:p>
    <w:p w14:paraId="39FA5C89" w14:textId="77777777" w:rsidR="00B679AA" w:rsidRDefault="00B679AA" w:rsidP="009467D9">
      <w:pPr>
        <w:rPr>
          <w:rFonts w:ascii="Times New Roman" w:hAnsi="Times New Roman"/>
          <w:sz w:val="24"/>
        </w:rPr>
      </w:pPr>
    </w:p>
    <w:p w14:paraId="54BCBD93" w14:textId="77777777" w:rsidR="00374CD1" w:rsidRDefault="00374CD1" w:rsidP="009467D9">
      <w:pPr>
        <w:ind w:firstLine="720"/>
        <w:rPr>
          <w:rFonts w:ascii="Times New Roman" w:hAnsi="Times New Roman"/>
          <w:sz w:val="24"/>
        </w:rPr>
      </w:pPr>
      <w:r>
        <w:rPr>
          <w:rFonts w:ascii="Times New Roman" w:hAnsi="Times New Roman"/>
          <w:sz w:val="24"/>
        </w:rPr>
        <w:t>Records of documents relied upon by a financial institution for purposes of 10</w:t>
      </w:r>
      <w:r w:rsidR="00FA4469">
        <w:rPr>
          <w:rFonts w:ascii="Times New Roman" w:hAnsi="Times New Roman"/>
          <w:sz w:val="24"/>
        </w:rPr>
        <w:t>10.6</w:t>
      </w:r>
      <w:r>
        <w:rPr>
          <w:rFonts w:ascii="Times New Roman" w:hAnsi="Times New Roman"/>
          <w:sz w:val="24"/>
        </w:rPr>
        <w:t>3</w:t>
      </w:r>
      <w:r w:rsidR="00FA4469">
        <w:rPr>
          <w:rFonts w:ascii="Times New Roman" w:hAnsi="Times New Roman"/>
          <w:sz w:val="24"/>
        </w:rPr>
        <w:t>0</w:t>
      </w:r>
      <w:r>
        <w:rPr>
          <w:rFonts w:ascii="Times New Roman" w:hAnsi="Times New Roman"/>
          <w:sz w:val="24"/>
        </w:rPr>
        <w:t xml:space="preserve"> must be maintained for at least five years after the date that the financial institution no longer maintains a correspondent account for such foreign bank.</w:t>
      </w:r>
    </w:p>
    <w:p w14:paraId="67C18704" w14:textId="77777777" w:rsidR="00374CD1" w:rsidRDefault="00374CD1" w:rsidP="009467D9">
      <w:pPr>
        <w:rPr>
          <w:rFonts w:ascii="Times New Roman" w:hAnsi="Times New Roman"/>
          <w:sz w:val="24"/>
        </w:rPr>
      </w:pPr>
    </w:p>
    <w:p w14:paraId="0665A3C3" w14:textId="49D9BCC9" w:rsidR="00565F27" w:rsidRDefault="00374CD1" w:rsidP="009467D9">
      <w:pPr>
        <w:rPr>
          <w:rFonts w:ascii="Times New Roman" w:hAnsi="Times New Roman"/>
          <w:sz w:val="24"/>
        </w:rPr>
      </w:pPr>
      <w:r>
        <w:rPr>
          <w:rFonts w:ascii="Times New Roman" w:hAnsi="Times New Roman"/>
          <w:sz w:val="24"/>
        </w:rPr>
        <w:t xml:space="preserve">2.  </w:t>
      </w:r>
      <w:r w:rsidR="006B2873" w:rsidRPr="00747B41">
        <w:rPr>
          <w:rFonts w:ascii="Times New Roman" w:hAnsi="Times New Roman"/>
          <w:sz w:val="24"/>
          <w:u w:val="single"/>
        </w:rPr>
        <w:t xml:space="preserve">Method </w:t>
      </w:r>
      <w:r w:rsidR="000134E6" w:rsidRPr="00747B41">
        <w:rPr>
          <w:rFonts w:ascii="Times New Roman" w:hAnsi="Times New Roman"/>
          <w:sz w:val="24"/>
          <w:u w:val="single"/>
        </w:rPr>
        <w:t xml:space="preserve">of collection and </w:t>
      </w:r>
      <w:r w:rsidR="000134E6">
        <w:rPr>
          <w:rFonts w:ascii="Times New Roman" w:hAnsi="Times New Roman"/>
          <w:sz w:val="24"/>
          <w:u w:val="single"/>
        </w:rPr>
        <w:t>u</w:t>
      </w:r>
      <w:r w:rsidR="000134E6" w:rsidRPr="00747B41">
        <w:rPr>
          <w:rFonts w:ascii="Times New Roman" w:hAnsi="Times New Roman"/>
          <w:sz w:val="24"/>
          <w:u w:val="single"/>
        </w:rPr>
        <w:t xml:space="preserve">se of </w:t>
      </w:r>
      <w:r w:rsidR="000134E6">
        <w:rPr>
          <w:rFonts w:ascii="Times New Roman" w:hAnsi="Times New Roman"/>
          <w:sz w:val="24"/>
          <w:u w:val="single"/>
        </w:rPr>
        <w:t>d</w:t>
      </w:r>
      <w:r w:rsidR="000134E6" w:rsidRPr="00747B41">
        <w:rPr>
          <w:rFonts w:ascii="Times New Roman" w:hAnsi="Times New Roman"/>
          <w:sz w:val="24"/>
          <w:u w:val="single"/>
        </w:rPr>
        <w:t>ata</w:t>
      </w:r>
      <w:r w:rsidR="008C19A7">
        <w:rPr>
          <w:rFonts w:ascii="Times New Roman" w:hAnsi="Times New Roman"/>
          <w:sz w:val="24"/>
          <w:u w:val="single"/>
        </w:rPr>
        <w:t>.</w:t>
      </w:r>
      <w:r w:rsidR="000134E6">
        <w:rPr>
          <w:rFonts w:ascii="Times New Roman" w:hAnsi="Times New Roman"/>
          <w:sz w:val="24"/>
        </w:rPr>
        <w:t xml:space="preserve">  </w:t>
      </w:r>
    </w:p>
    <w:p w14:paraId="04481442" w14:textId="77777777" w:rsidR="00565F27" w:rsidRDefault="00565F27" w:rsidP="009467D9">
      <w:pPr>
        <w:ind w:left="360"/>
        <w:rPr>
          <w:rFonts w:ascii="Times New Roman" w:hAnsi="Times New Roman"/>
          <w:sz w:val="24"/>
        </w:rPr>
      </w:pPr>
      <w:r>
        <w:rPr>
          <w:rFonts w:ascii="Times New Roman" w:hAnsi="Times New Roman"/>
          <w:sz w:val="24"/>
        </w:rPr>
        <w:lastRenderedPageBreak/>
        <w:tab/>
      </w:r>
    </w:p>
    <w:p w14:paraId="5C3DE617" w14:textId="174B8D14" w:rsidR="009568C8" w:rsidRDefault="009568C8" w:rsidP="009467D9">
      <w:pPr>
        <w:ind w:firstLine="720"/>
        <w:rPr>
          <w:rFonts w:ascii="Times New Roman" w:hAnsi="Times New Roman"/>
          <w:sz w:val="24"/>
        </w:rPr>
      </w:pPr>
      <w:r>
        <w:rPr>
          <w:rFonts w:ascii="Times New Roman" w:hAnsi="Times New Roman"/>
          <w:sz w:val="24"/>
        </w:rPr>
        <w:t>The information will be requested by FinCEN from a financial institution and emailed to the requestor(s) at FinCEN.</w:t>
      </w:r>
    </w:p>
    <w:p w14:paraId="486FE453" w14:textId="77777777" w:rsidR="009000B1" w:rsidRDefault="009000B1" w:rsidP="009467D9">
      <w:pPr>
        <w:ind w:firstLine="720"/>
        <w:rPr>
          <w:rFonts w:ascii="Times New Roman" w:hAnsi="Times New Roman"/>
          <w:sz w:val="24"/>
        </w:rPr>
      </w:pPr>
    </w:p>
    <w:p w14:paraId="4DB0F073" w14:textId="5CF2229F" w:rsidR="00374CD1" w:rsidRDefault="00374CD1" w:rsidP="009467D9">
      <w:pPr>
        <w:ind w:firstLine="720"/>
        <w:rPr>
          <w:rFonts w:ascii="Times New Roman" w:hAnsi="Times New Roman"/>
          <w:sz w:val="24"/>
        </w:rPr>
      </w:pPr>
      <w:r>
        <w:rPr>
          <w:rFonts w:ascii="Times New Roman" w:hAnsi="Times New Roman"/>
          <w:sz w:val="24"/>
        </w:rPr>
        <w:t>The information will be used (1) by law enforcement agencies to help prevent, detect, and prosecute international money launder</w:t>
      </w:r>
      <w:r w:rsidR="00CC635C">
        <w:rPr>
          <w:rFonts w:ascii="Times New Roman" w:hAnsi="Times New Roman"/>
          <w:sz w:val="24"/>
        </w:rPr>
        <w:t>ing</w:t>
      </w:r>
      <w:r>
        <w:rPr>
          <w:rFonts w:ascii="Times New Roman" w:hAnsi="Times New Roman"/>
          <w:sz w:val="24"/>
        </w:rPr>
        <w:t xml:space="preserve"> and </w:t>
      </w:r>
      <w:r w:rsidR="00A8050F">
        <w:rPr>
          <w:rFonts w:ascii="Times New Roman" w:hAnsi="Times New Roman"/>
          <w:sz w:val="24"/>
        </w:rPr>
        <w:t xml:space="preserve">the financing of terrorism and </w:t>
      </w:r>
      <w:r>
        <w:rPr>
          <w:rFonts w:ascii="Times New Roman" w:hAnsi="Times New Roman"/>
          <w:sz w:val="24"/>
        </w:rPr>
        <w:t>(2) by regulators of financial institutions to assess their compliance with the law.</w:t>
      </w:r>
      <w:r w:rsidR="009000B1">
        <w:rPr>
          <w:rFonts w:ascii="Times New Roman" w:hAnsi="Times New Roman"/>
          <w:sz w:val="24"/>
        </w:rPr>
        <w:t xml:space="preserve"> </w:t>
      </w:r>
      <w:r>
        <w:rPr>
          <w:rFonts w:ascii="Times New Roman" w:hAnsi="Times New Roman"/>
          <w:sz w:val="24"/>
        </w:rPr>
        <w:t xml:space="preserve"> Without this information, it would be difficult to prevent foreign shell banks from accessing the </w:t>
      </w:r>
      <w:r w:rsidR="009000B1">
        <w:rPr>
          <w:rFonts w:ascii="Times New Roman" w:hAnsi="Times New Roman"/>
          <w:sz w:val="24"/>
        </w:rPr>
        <w:t>U.S.</w:t>
      </w:r>
      <w:r>
        <w:rPr>
          <w:rFonts w:ascii="Times New Roman" w:hAnsi="Times New Roman"/>
          <w:sz w:val="24"/>
        </w:rPr>
        <w:t xml:space="preserve"> financial system for the purpose of laundering money and facilitating other crimes.</w:t>
      </w:r>
    </w:p>
    <w:p w14:paraId="18053B6E" w14:textId="77777777" w:rsidR="00374CD1" w:rsidRDefault="00374CD1" w:rsidP="009467D9">
      <w:pPr>
        <w:ind w:left="360"/>
        <w:rPr>
          <w:rFonts w:ascii="Times New Roman" w:hAnsi="Times New Roman"/>
          <w:sz w:val="24"/>
        </w:rPr>
      </w:pPr>
    </w:p>
    <w:p w14:paraId="1BC5A1A9" w14:textId="29506CD8" w:rsidR="00565F27" w:rsidRDefault="00374CD1" w:rsidP="009467D9">
      <w:pPr>
        <w:rPr>
          <w:rFonts w:ascii="Times New Roman" w:hAnsi="Times New Roman"/>
          <w:sz w:val="24"/>
        </w:rPr>
      </w:pPr>
      <w:r>
        <w:rPr>
          <w:rFonts w:ascii="Times New Roman" w:hAnsi="Times New Roman"/>
          <w:sz w:val="24"/>
        </w:rPr>
        <w:t>3.</w:t>
      </w:r>
      <w:r w:rsidR="009568C8">
        <w:rPr>
          <w:rFonts w:ascii="Times New Roman" w:hAnsi="Times New Roman"/>
          <w:sz w:val="24"/>
        </w:rPr>
        <w:t xml:space="preserve"> </w:t>
      </w:r>
      <w:r w:rsidR="006B2873" w:rsidRPr="006B2873">
        <w:rPr>
          <w:rFonts w:ascii="Times New Roman" w:hAnsi="Times New Roman"/>
          <w:sz w:val="24"/>
          <w:u w:val="single"/>
        </w:rPr>
        <w:t>Use of improved information technology</w:t>
      </w:r>
      <w:r w:rsidR="006B2873">
        <w:rPr>
          <w:rFonts w:ascii="Times New Roman" w:hAnsi="Times New Roman"/>
          <w:sz w:val="24"/>
          <w:u w:val="single"/>
        </w:rPr>
        <w:t xml:space="preserve"> to reduce burden</w:t>
      </w:r>
      <w:r w:rsidR="008C19A7">
        <w:rPr>
          <w:rFonts w:ascii="Times New Roman" w:hAnsi="Times New Roman"/>
          <w:sz w:val="24"/>
          <w:u w:val="single"/>
        </w:rPr>
        <w:t>.</w:t>
      </w:r>
      <w:r w:rsidR="006B2873">
        <w:rPr>
          <w:rFonts w:ascii="Times New Roman" w:hAnsi="Times New Roman"/>
          <w:sz w:val="24"/>
        </w:rPr>
        <w:t xml:space="preserve">  </w:t>
      </w:r>
    </w:p>
    <w:p w14:paraId="07D79ACD" w14:textId="77777777" w:rsidR="00565F27" w:rsidRDefault="00565F27" w:rsidP="009467D9">
      <w:pPr>
        <w:ind w:left="360"/>
        <w:rPr>
          <w:rFonts w:ascii="Times New Roman" w:hAnsi="Times New Roman"/>
          <w:sz w:val="24"/>
        </w:rPr>
      </w:pPr>
    </w:p>
    <w:p w14:paraId="755A6C1B" w14:textId="77777777" w:rsidR="00374CD1" w:rsidRDefault="00565F27" w:rsidP="009467D9">
      <w:pPr>
        <w:ind w:left="360"/>
        <w:rPr>
          <w:rFonts w:ascii="Times New Roman" w:hAnsi="Times New Roman"/>
          <w:sz w:val="24"/>
        </w:rPr>
      </w:pPr>
      <w:r>
        <w:rPr>
          <w:rFonts w:ascii="Times New Roman" w:hAnsi="Times New Roman"/>
          <w:sz w:val="24"/>
        </w:rPr>
        <w:tab/>
      </w:r>
      <w:r w:rsidR="00374CD1">
        <w:rPr>
          <w:rFonts w:ascii="Times New Roman" w:hAnsi="Times New Roman"/>
          <w:sz w:val="24"/>
        </w:rPr>
        <w:t xml:space="preserve">Use of improved information technology would not significantly reduce burden.  </w:t>
      </w:r>
    </w:p>
    <w:p w14:paraId="28F24C82" w14:textId="50271563" w:rsidR="00374CD1" w:rsidRDefault="00374CD1" w:rsidP="009467D9">
      <w:pPr>
        <w:rPr>
          <w:rFonts w:ascii="Times New Roman" w:hAnsi="Times New Roman"/>
          <w:sz w:val="24"/>
        </w:rPr>
      </w:pPr>
    </w:p>
    <w:p w14:paraId="726DE513" w14:textId="7CC96184" w:rsidR="00565F27" w:rsidRDefault="00374CD1" w:rsidP="009467D9">
      <w:pPr>
        <w:rPr>
          <w:rFonts w:ascii="Times New Roman" w:hAnsi="Times New Roman"/>
          <w:sz w:val="24"/>
        </w:rPr>
      </w:pPr>
      <w:r>
        <w:rPr>
          <w:rFonts w:ascii="Times New Roman" w:hAnsi="Times New Roman"/>
          <w:sz w:val="24"/>
        </w:rPr>
        <w:t xml:space="preserve">4. </w:t>
      </w:r>
      <w:r>
        <w:rPr>
          <w:rFonts w:ascii="Times New Roman" w:hAnsi="Times New Roman"/>
          <w:sz w:val="24"/>
          <w:u w:val="single"/>
        </w:rPr>
        <w:t xml:space="preserve">Efforts </w:t>
      </w:r>
      <w:r w:rsidR="006B2873" w:rsidRPr="006B2873">
        <w:rPr>
          <w:rFonts w:ascii="Times New Roman" w:hAnsi="Times New Roman"/>
          <w:sz w:val="24"/>
          <w:u w:val="single"/>
        </w:rPr>
        <w:t>to identify duplication</w:t>
      </w:r>
      <w:r w:rsidR="008C19A7">
        <w:rPr>
          <w:rFonts w:ascii="Times New Roman" w:hAnsi="Times New Roman"/>
          <w:sz w:val="24"/>
          <w:u w:val="single"/>
        </w:rPr>
        <w:t>.</w:t>
      </w:r>
      <w:r w:rsidR="006B2873">
        <w:rPr>
          <w:rFonts w:ascii="Times New Roman" w:hAnsi="Times New Roman"/>
          <w:sz w:val="24"/>
        </w:rPr>
        <w:t xml:space="preserve">  </w:t>
      </w:r>
    </w:p>
    <w:p w14:paraId="7CF9FF89" w14:textId="77777777" w:rsidR="00565F27" w:rsidRDefault="00565F27" w:rsidP="009467D9">
      <w:pPr>
        <w:ind w:left="360"/>
        <w:rPr>
          <w:rFonts w:ascii="Times New Roman" w:hAnsi="Times New Roman"/>
          <w:sz w:val="24"/>
        </w:rPr>
      </w:pPr>
    </w:p>
    <w:p w14:paraId="1DCD31DE" w14:textId="77777777" w:rsidR="00374CD1" w:rsidRDefault="00374CD1" w:rsidP="009467D9">
      <w:pPr>
        <w:ind w:firstLine="720"/>
        <w:rPr>
          <w:rFonts w:ascii="Times New Roman" w:hAnsi="Times New Roman"/>
          <w:sz w:val="24"/>
        </w:rPr>
      </w:pPr>
      <w:r>
        <w:rPr>
          <w:rFonts w:ascii="Times New Roman" w:hAnsi="Times New Roman"/>
          <w:sz w:val="24"/>
        </w:rPr>
        <w:t>We are not aware that any Federal agency currently collects this information.</w:t>
      </w:r>
    </w:p>
    <w:p w14:paraId="63FED84E" w14:textId="77777777" w:rsidR="00374CD1" w:rsidRDefault="00374CD1" w:rsidP="009467D9">
      <w:pPr>
        <w:rPr>
          <w:rFonts w:ascii="Times New Roman" w:hAnsi="Times New Roman"/>
          <w:sz w:val="24"/>
        </w:rPr>
      </w:pPr>
    </w:p>
    <w:p w14:paraId="42BD0D31" w14:textId="77E9B1CE" w:rsidR="00565F27" w:rsidRDefault="00374CD1" w:rsidP="009467D9">
      <w:pPr>
        <w:rPr>
          <w:rFonts w:ascii="Times New Roman" w:hAnsi="Times New Roman"/>
          <w:sz w:val="24"/>
        </w:rPr>
      </w:pPr>
      <w:r>
        <w:rPr>
          <w:rFonts w:ascii="Times New Roman" w:hAnsi="Times New Roman"/>
          <w:sz w:val="24"/>
        </w:rPr>
        <w:t xml:space="preserve">5. </w:t>
      </w:r>
      <w:r>
        <w:rPr>
          <w:rFonts w:ascii="Times New Roman" w:hAnsi="Times New Roman"/>
          <w:sz w:val="24"/>
          <w:u w:val="single"/>
        </w:rPr>
        <w:t xml:space="preserve">Methods </w:t>
      </w:r>
      <w:r w:rsidR="006B2873">
        <w:rPr>
          <w:rFonts w:ascii="Times New Roman" w:hAnsi="Times New Roman"/>
          <w:sz w:val="24"/>
          <w:u w:val="single"/>
        </w:rPr>
        <w:t>to minimize burden on small businesses or other small entities</w:t>
      </w:r>
      <w:r w:rsidR="008C19A7">
        <w:rPr>
          <w:rFonts w:ascii="Times New Roman" w:hAnsi="Times New Roman"/>
          <w:sz w:val="24"/>
          <w:u w:val="single"/>
        </w:rPr>
        <w:t>.</w:t>
      </w:r>
      <w:r w:rsidR="006B2873">
        <w:rPr>
          <w:rFonts w:ascii="Times New Roman" w:hAnsi="Times New Roman"/>
          <w:sz w:val="24"/>
        </w:rPr>
        <w:t xml:space="preserve">  </w:t>
      </w:r>
    </w:p>
    <w:p w14:paraId="69AFD702" w14:textId="77777777" w:rsidR="00565F27" w:rsidRDefault="00565F27" w:rsidP="009467D9">
      <w:pPr>
        <w:ind w:left="360"/>
        <w:rPr>
          <w:rFonts w:ascii="Times New Roman" w:hAnsi="Times New Roman"/>
          <w:sz w:val="24"/>
        </w:rPr>
      </w:pPr>
    </w:p>
    <w:p w14:paraId="19D84923" w14:textId="77777777" w:rsidR="00374CD1" w:rsidRDefault="00374CD1" w:rsidP="009467D9">
      <w:pPr>
        <w:ind w:firstLine="720"/>
        <w:rPr>
          <w:rFonts w:ascii="Times New Roman" w:hAnsi="Times New Roman"/>
          <w:sz w:val="24"/>
        </w:rPr>
      </w:pPr>
      <w:r>
        <w:rPr>
          <w:rFonts w:ascii="Times New Roman" w:hAnsi="Times New Roman"/>
          <w:sz w:val="24"/>
        </w:rPr>
        <w:t>The information requirements of these regulations should not pose any adverse impact on small businesses.  Covered financial inst</w:t>
      </w:r>
      <w:r w:rsidR="00C060BA">
        <w:rPr>
          <w:rFonts w:ascii="Times New Roman" w:hAnsi="Times New Roman"/>
          <w:sz w:val="24"/>
        </w:rPr>
        <w:t>itutions that are subject to this rule</w:t>
      </w:r>
      <w:r>
        <w:rPr>
          <w:rFonts w:ascii="Times New Roman" w:hAnsi="Times New Roman"/>
          <w:sz w:val="24"/>
        </w:rPr>
        <w:t xml:space="preserve"> tend to be large institutions.  </w:t>
      </w:r>
    </w:p>
    <w:p w14:paraId="197A7C4A" w14:textId="77777777" w:rsidR="00374CD1" w:rsidRDefault="00374CD1" w:rsidP="009467D9">
      <w:pPr>
        <w:rPr>
          <w:rFonts w:ascii="Times New Roman" w:hAnsi="Times New Roman"/>
          <w:sz w:val="24"/>
        </w:rPr>
      </w:pPr>
    </w:p>
    <w:p w14:paraId="0AFEDBAF" w14:textId="77777777" w:rsidR="00374CD1" w:rsidRDefault="00374CD1" w:rsidP="009467D9">
      <w:pPr>
        <w:rPr>
          <w:rFonts w:ascii="Times New Roman" w:hAnsi="Times New Roman"/>
          <w:sz w:val="24"/>
        </w:rPr>
        <w:sectPr w:rsidR="00374CD1" w:rsidSect="002B27FA">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14:paraId="6E3E6FE9" w14:textId="066C58D3" w:rsidR="00565F27" w:rsidRDefault="00374CD1" w:rsidP="009467D9">
      <w:pPr>
        <w:rPr>
          <w:rFonts w:ascii="Times New Roman" w:hAnsi="Times New Roman"/>
          <w:sz w:val="24"/>
        </w:rPr>
      </w:pPr>
      <w:r>
        <w:rPr>
          <w:rFonts w:ascii="Times New Roman" w:hAnsi="Times New Roman"/>
          <w:sz w:val="24"/>
        </w:rPr>
        <w:lastRenderedPageBreak/>
        <w:t xml:space="preserve">6.  </w:t>
      </w:r>
      <w:r>
        <w:rPr>
          <w:rFonts w:ascii="Times New Roman" w:hAnsi="Times New Roman"/>
          <w:sz w:val="24"/>
          <w:u w:val="single"/>
        </w:rPr>
        <w:t xml:space="preserve">Consequences </w:t>
      </w:r>
      <w:r w:rsidR="006B2873">
        <w:rPr>
          <w:rFonts w:ascii="Times New Roman" w:hAnsi="Times New Roman"/>
          <w:sz w:val="24"/>
          <w:u w:val="single"/>
        </w:rPr>
        <w:t xml:space="preserve">of less frequent collection on </w:t>
      </w:r>
      <w:r w:rsidR="005C698B">
        <w:rPr>
          <w:rFonts w:ascii="Times New Roman" w:hAnsi="Times New Roman"/>
          <w:sz w:val="24"/>
          <w:u w:val="single"/>
        </w:rPr>
        <w:t>F</w:t>
      </w:r>
      <w:r w:rsidR="006B2873">
        <w:rPr>
          <w:rFonts w:ascii="Times New Roman" w:hAnsi="Times New Roman"/>
          <w:sz w:val="24"/>
          <w:u w:val="single"/>
        </w:rPr>
        <w:t>ederal programs or policy activities</w:t>
      </w:r>
      <w:r w:rsidR="00C26A03">
        <w:rPr>
          <w:rFonts w:ascii="Times New Roman" w:hAnsi="Times New Roman"/>
          <w:sz w:val="24"/>
          <w:u w:val="single"/>
        </w:rPr>
        <w:t>.</w:t>
      </w:r>
      <w:r w:rsidR="006B2873">
        <w:rPr>
          <w:rFonts w:ascii="Times New Roman" w:hAnsi="Times New Roman"/>
          <w:sz w:val="24"/>
        </w:rPr>
        <w:t xml:space="preserve"> </w:t>
      </w:r>
    </w:p>
    <w:p w14:paraId="6C582558" w14:textId="77777777" w:rsidR="00565F27" w:rsidRDefault="00565F27" w:rsidP="009467D9">
      <w:pPr>
        <w:ind w:left="360"/>
        <w:rPr>
          <w:rFonts w:ascii="Times New Roman" w:hAnsi="Times New Roman"/>
          <w:sz w:val="24"/>
        </w:rPr>
      </w:pPr>
      <w:r>
        <w:rPr>
          <w:rFonts w:ascii="Times New Roman" w:hAnsi="Times New Roman"/>
          <w:sz w:val="24"/>
        </w:rPr>
        <w:tab/>
      </w:r>
    </w:p>
    <w:p w14:paraId="0C9D89CC" w14:textId="77777777" w:rsidR="00374CD1" w:rsidRDefault="00374CD1" w:rsidP="009467D9">
      <w:pPr>
        <w:ind w:firstLine="720"/>
        <w:rPr>
          <w:rFonts w:ascii="Times New Roman" w:hAnsi="Times New Roman"/>
          <w:sz w:val="24"/>
        </w:rPr>
      </w:pPr>
      <w:r>
        <w:rPr>
          <w:rFonts w:ascii="Times New Roman" w:hAnsi="Times New Roman"/>
          <w:sz w:val="24"/>
        </w:rPr>
        <w:t xml:space="preserve">The information is collected annually with respect to a foreign bank that currently has a correspondent account with a domestic financial institution </w:t>
      </w:r>
      <w:r w:rsidR="00A8050F">
        <w:rPr>
          <w:rFonts w:ascii="Times New Roman" w:hAnsi="Times New Roman"/>
          <w:sz w:val="24"/>
        </w:rPr>
        <w:t>and upon the establishment of a</w:t>
      </w:r>
      <w:r w:rsidR="009568C8">
        <w:rPr>
          <w:rFonts w:ascii="Times New Roman" w:hAnsi="Times New Roman"/>
          <w:sz w:val="24"/>
        </w:rPr>
        <w:t xml:space="preserve"> </w:t>
      </w:r>
      <w:r>
        <w:rPr>
          <w:rFonts w:ascii="Times New Roman" w:hAnsi="Times New Roman"/>
          <w:sz w:val="24"/>
        </w:rPr>
        <w:t>correspondent account by a foreign bank that does not currently maintain an account with the domestic financial institution.  Less frequent collection of this information would frustrate Federal anti-money laundering efforts.</w:t>
      </w:r>
    </w:p>
    <w:p w14:paraId="12BC0F15" w14:textId="77777777" w:rsidR="00374CD1" w:rsidRDefault="00374CD1" w:rsidP="009467D9">
      <w:pPr>
        <w:rPr>
          <w:rFonts w:ascii="Times New Roman" w:hAnsi="Times New Roman"/>
          <w:sz w:val="24"/>
        </w:rPr>
      </w:pPr>
    </w:p>
    <w:p w14:paraId="539B6667" w14:textId="63513D28" w:rsidR="00565F27" w:rsidRDefault="00374CD1" w:rsidP="009467D9">
      <w:pPr>
        <w:rPr>
          <w:rFonts w:ascii="Times New Roman" w:hAnsi="Times New Roman"/>
          <w:sz w:val="24"/>
        </w:rPr>
      </w:pPr>
      <w:r>
        <w:rPr>
          <w:rFonts w:ascii="Times New Roman" w:hAnsi="Times New Roman"/>
          <w:sz w:val="24"/>
        </w:rPr>
        <w:t xml:space="preserve">7.  </w:t>
      </w:r>
      <w:r>
        <w:rPr>
          <w:rFonts w:ascii="Times New Roman" w:hAnsi="Times New Roman"/>
          <w:sz w:val="24"/>
          <w:u w:val="single"/>
        </w:rPr>
        <w:t xml:space="preserve">Special </w:t>
      </w:r>
      <w:r w:rsidR="006B2873">
        <w:rPr>
          <w:rFonts w:ascii="Times New Roman" w:hAnsi="Times New Roman"/>
          <w:sz w:val="24"/>
          <w:u w:val="single"/>
        </w:rPr>
        <w:t xml:space="preserve">circumstances requiring data collection to be inconsistent with guidelines </w:t>
      </w:r>
      <w:r>
        <w:rPr>
          <w:rFonts w:ascii="Times New Roman" w:hAnsi="Times New Roman"/>
          <w:sz w:val="24"/>
          <w:u w:val="single"/>
        </w:rPr>
        <w:t>in 5 CFR 1320.5(d)(2)</w:t>
      </w:r>
      <w:r w:rsidR="00C26A03">
        <w:rPr>
          <w:rFonts w:ascii="Times New Roman" w:hAnsi="Times New Roman"/>
          <w:sz w:val="24"/>
          <w:u w:val="single"/>
        </w:rPr>
        <w:t>.</w:t>
      </w:r>
      <w:r>
        <w:rPr>
          <w:rFonts w:ascii="Times New Roman" w:hAnsi="Times New Roman"/>
          <w:sz w:val="24"/>
        </w:rPr>
        <w:t xml:space="preserve">  </w:t>
      </w:r>
    </w:p>
    <w:p w14:paraId="0BB46C17" w14:textId="77777777" w:rsidR="00565F27" w:rsidRDefault="00565F27" w:rsidP="009467D9">
      <w:pPr>
        <w:ind w:left="360"/>
        <w:rPr>
          <w:rFonts w:ascii="Times New Roman" w:hAnsi="Times New Roman"/>
          <w:sz w:val="24"/>
        </w:rPr>
      </w:pPr>
    </w:p>
    <w:p w14:paraId="23A36CB3" w14:textId="77777777" w:rsidR="00374CD1" w:rsidRDefault="00374CD1" w:rsidP="009467D9">
      <w:pPr>
        <w:ind w:firstLine="720"/>
        <w:rPr>
          <w:rFonts w:ascii="Times New Roman" w:hAnsi="Times New Roman"/>
          <w:sz w:val="24"/>
        </w:rPr>
      </w:pPr>
      <w:r>
        <w:rPr>
          <w:rFonts w:ascii="Times New Roman" w:hAnsi="Times New Roman"/>
          <w:sz w:val="24"/>
        </w:rPr>
        <w:t>The recordkeeping requirement specifies that covered financial institutions retain records for five years.  This retention period is necessary to substantiate violations that have occurred within the Statute of Limitations (5 or 6 years).</w:t>
      </w:r>
    </w:p>
    <w:p w14:paraId="4F8DC74C" w14:textId="77777777" w:rsidR="00374CD1" w:rsidRDefault="00374CD1" w:rsidP="009467D9">
      <w:pPr>
        <w:rPr>
          <w:rFonts w:ascii="Times New Roman" w:hAnsi="Times New Roman"/>
          <w:sz w:val="24"/>
        </w:rPr>
      </w:pPr>
    </w:p>
    <w:p w14:paraId="0D239843" w14:textId="0284159D" w:rsidR="00565F27" w:rsidRDefault="00374CD1" w:rsidP="009467D9">
      <w:pPr>
        <w:pStyle w:val="BodyText2"/>
      </w:pPr>
      <w:r>
        <w:t xml:space="preserve">8.  </w:t>
      </w:r>
      <w:r w:rsidR="00155EB1">
        <w:rPr>
          <w:szCs w:val="22"/>
          <w:u w:val="single"/>
        </w:rPr>
        <w:t xml:space="preserve">Consultation </w:t>
      </w:r>
      <w:r w:rsidR="000134E6">
        <w:rPr>
          <w:szCs w:val="22"/>
          <w:u w:val="single"/>
        </w:rPr>
        <w:t>with individuals outside of the agency on availability of data</w:t>
      </w:r>
      <w:r w:rsidR="00367D22">
        <w:rPr>
          <w:szCs w:val="22"/>
          <w:u w:val="single"/>
        </w:rPr>
        <w:t>,</w:t>
      </w:r>
      <w:r w:rsidR="000134E6">
        <w:rPr>
          <w:szCs w:val="22"/>
          <w:u w:val="single"/>
        </w:rPr>
        <w:t xml:space="preserve"> frequency of collection, clarity of instructions and forms, and data elements</w:t>
      </w:r>
      <w:r w:rsidR="00C26A03">
        <w:rPr>
          <w:szCs w:val="22"/>
          <w:u w:val="single"/>
        </w:rPr>
        <w:t>.</w:t>
      </w:r>
    </w:p>
    <w:p w14:paraId="2994FA2A" w14:textId="77777777" w:rsidR="00565F27" w:rsidRDefault="00565F27" w:rsidP="009467D9">
      <w:pPr>
        <w:pStyle w:val="BodyText2"/>
        <w:ind w:left="360"/>
      </w:pPr>
    </w:p>
    <w:p w14:paraId="534DDD19" w14:textId="059852AC" w:rsidR="00374CD1" w:rsidRDefault="00A8050F" w:rsidP="009467D9">
      <w:pPr>
        <w:pStyle w:val="BodyText2"/>
        <w:ind w:firstLine="720"/>
      </w:pPr>
      <w:r w:rsidRPr="003234C0">
        <w:t xml:space="preserve">On </w:t>
      </w:r>
      <w:r w:rsidR="000722AF">
        <w:t>August 22</w:t>
      </w:r>
      <w:r w:rsidR="00C060BA" w:rsidRPr="003234C0">
        <w:t xml:space="preserve">, </w:t>
      </w:r>
      <w:r w:rsidR="00374CD1" w:rsidRPr="003234C0">
        <w:t>20</w:t>
      </w:r>
      <w:r w:rsidR="001C6F21" w:rsidRPr="003234C0">
        <w:t>1</w:t>
      </w:r>
      <w:r w:rsidRPr="003234C0">
        <w:t>8</w:t>
      </w:r>
      <w:r w:rsidR="00374CD1" w:rsidRPr="003234C0">
        <w:t>, FinCEN published a 60-day no</w:t>
      </w:r>
      <w:r w:rsidR="00C060BA" w:rsidRPr="003234C0">
        <w:t>tice in the Federal Register (</w:t>
      </w:r>
      <w:r w:rsidR="003234C0" w:rsidRPr="003234C0">
        <w:t>83</w:t>
      </w:r>
      <w:r w:rsidR="00374CD1" w:rsidRPr="003234C0">
        <w:t xml:space="preserve"> FR </w:t>
      </w:r>
      <w:r w:rsidR="003234C0" w:rsidRPr="003234C0">
        <w:lastRenderedPageBreak/>
        <w:t>4255</w:t>
      </w:r>
      <w:r w:rsidR="00AF5C3B">
        <w:t>5</w:t>
      </w:r>
      <w:r w:rsidR="00374CD1" w:rsidRPr="003234C0">
        <w:t>) inviting public comment on</w:t>
      </w:r>
      <w:r w:rsidR="00352DFC" w:rsidRPr="003234C0">
        <w:t xml:space="preserve"> this information collection.</w:t>
      </w:r>
      <w:r w:rsidR="00374CD1" w:rsidRPr="003234C0">
        <w:t xml:space="preserve"> FinCEN received no comments.</w:t>
      </w:r>
    </w:p>
    <w:p w14:paraId="6D27D8A1" w14:textId="77777777" w:rsidR="009568C8" w:rsidRDefault="009568C8" w:rsidP="009467D9">
      <w:pPr>
        <w:pStyle w:val="BodyText2"/>
        <w:ind w:firstLine="720"/>
      </w:pPr>
    </w:p>
    <w:p w14:paraId="2CAE7C72" w14:textId="02DF9C87" w:rsidR="009568C8" w:rsidRPr="009568C8" w:rsidRDefault="009568C8" w:rsidP="009467D9">
      <w:pPr>
        <w:rPr>
          <w:rFonts w:ascii="Times New Roman" w:hAnsi="Times New Roman"/>
          <w:sz w:val="24"/>
          <w:u w:val="single"/>
        </w:rPr>
      </w:pPr>
      <w:r w:rsidRPr="009568C8">
        <w:rPr>
          <w:rFonts w:ascii="Times New Roman" w:hAnsi="Times New Roman"/>
          <w:sz w:val="24"/>
        </w:rPr>
        <w:t xml:space="preserve">9. </w:t>
      </w:r>
      <w:r w:rsidRPr="009568C8">
        <w:rPr>
          <w:rFonts w:ascii="Times New Roman" w:hAnsi="Times New Roman"/>
          <w:sz w:val="24"/>
          <w:u w:val="single"/>
        </w:rPr>
        <w:t>Explanation of decision to provide any pa</w:t>
      </w:r>
      <w:r w:rsidR="00916F04">
        <w:rPr>
          <w:rFonts w:ascii="Times New Roman" w:hAnsi="Times New Roman"/>
          <w:sz w:val="24"/>
          <w:u w:val="single"/>
        </w:rPr>
        <w:t>yment or gift to respondents</w:t>
      </w:r>
      <w:r w:rsidR="00C26A03">
        <w:rPr>
          <w:rFonts w:ascii="Times New Roman" w:hAnsi="Times New Roman"/>
          <w:sz w:val="24"/>
          <w:u w:val="single"/>
        </w:rPr>
        <w:t>.</w:t>
      </w:r>
    </w:p>
    <w:p w14:paraId="3CE8E0E1" w14:textId="77777777" w:rsidR="009568C8" w:rsidRPr="009568C8" w:rsidRDefault="009568C8" w:rsidP="009467D9">
      <w:pPr>
        <w:rPr>
          <w:rFonts w:ascii="Times New Roman" w:hAnsi="Times New Roman"/>
          <w:sz w:val="24"/>
          <w:u w:val="single"/>
        </w:rPr>
      </w:pPr>
    </w:p>
    <w:p w14:paraId="4D07EBCF" w14:textId="77777777" w:rsidR="009568C8" w:rsidRPr="009568C8" w:rsidRDefault="009568C8" w:rsidP="009467D9">
      <w:pPr>
        <w:ind w:firstLine="720"/>
        <w:rPr>
          <w:rFonts w:ascii="Times New Roman" w:hAnsi="Times New Roman"/>
          <w:sz w:val="24"/>
        </w:rPr>
      </w:pPr>
      <w:r w:rsidRPr="009568C8">
        <w:rPr>
          <w:rFonts w:ascii="Times New Roman" w:hAnsi="Times New Roman"/>
          <w:sz w:val="24"/>
        </w:rPr>
        <w:t>No payments or gifts were made to respondents.</w:t>
      </w:r>
    </w:p>
    <w:p w14:paraId="43EE3665" w14:textId="77777777" w:rsidR="00374CD1" w:rsidRDefault="00374CD1" w:rsidP="009467D9">
      <w:pPr>
        <w:rPr>
          <w:rFonts w:ascii="Times New Roman" w:hAnsi="Times New Roman"/>
          <w:sz w:val="24"/>
        </w:rPr>
      </w:pPr>
    </w:p>
    <w:p w14:paraId="24A9A47F" w14:textId="57EF10C2" w:rsidR="00565F27" w:rsidRDefault="00374CD1" w:rsidP="009467D9">
      <w:pPr>
        <w:pStyle w:val="BodyText2"/>
      </w:pPr>
      <w:r>
        <w:t xml:space="preserve">10. </w:t>
      </w:r>
      <w:r w:rsidR="00155EB1">
        <w:rPr>
          <w:u w:val="single"/>
        </w:rPr>
        <w:t xml:space="preserve">Assurance </w:t>
      </w:r>
      <w:r w:rsidR="006B2873">
        <w:rPr>
          <w:u w:val="single"/>
        </w:rPr>
        <w:t>of confidentiality of responses</w:t>
      </w:r>
      <w:r w:rsidR="00C26A03">
        <w:rPr>
          <w:u w:val="single"/>
        </w:rPr>
        <w:t>.</w:t>
      </w:r>
      <w:r w:rsidR="006B2873">
        <w:t xml:space="preserve">  </w:t>
      </w:r>
    </w:p>
    <w:p w14:paraId="1B1873E1" w14:textId="77777777" w:rsidR="00565F27" w:rsidRDefault="00565F27" w:rsidP="009467D9">
      <w:pPr>
        <w:pStyle w:val="BodyText2"/>
        <w:ind w:left="360"/>
      </w:pPr>
    </w:p>
    <w:p w14:paraId="14224D1E" w14:textId="3FA856EB" w:rsidR="00374CD1" w:rsidRDefault="00374CD1" w:rsidP="009467D9">
      <w:pPr>
        <w:pStyle w:val="BodyText2"/>
        <w:ind w:firstLine="720"/>
      </w:pPr>
      <w:r>
        <w:t xml:space="preserve">Disclosure of information provided by foreign banks to U.S. banking institutions is governed by the policies of the U.S. banking institutions and their regulators.  The disclosure of information provided by U.S. banking institutions to </w:t>
      </w:r>
      <w:r w:rsidR="009000B1">
        <w:t>F</w:t>
      </w:r>
      <w:r>
        <w:t>ederal law enforcement agencies is governed by applicable law.</w:t>
      </w:r>
    </w:p>
    <w:p w14:paraId="02F52B3A" w14:textId="77777777" w:rsidR="009568C8" w:rsidRDefault="009568C8" w:rsidP="009467D9">
      <w:pPr>
        <w:pStyle w:val="BodyText2"/>
        <w:ind w:left="360"/>
      </w:pPr>
    </w:p>
    <w:p w14:paraId="128813CF" w14:textId="0E1BFD01" w:rsidR="00565F27" w:rsidRDefault="00374CD1" w:rsidP="009467D9">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 xml:space="preserve">Justification </w:t>
      </w:r>
      <w:r w:rsidR="006B2873">
        <w:rPr>
          <w:rFonts w:ascii="Times New Roman" w:hAnsi="Times New Roman"/>
          <w:sz w:val="24"/>
          <w:u w:val="single"/>
        </w:rPr>
        <w:t>of sensitive questions</w:t>
      </w:r>
      <w:r w:rsidR="00C26A03">
        <w:rPr>
          <w:rFonts w:ascii="Times New Roman" w:hAnsi="Times New Roman"/>
          <w:sz w:val="24"/>
          <w:u w:val="single"/>
        </w:rPr>
        <w:t>.</w:t>
      </w:r>
      <w:r w:rsidR="006B2873">
        <w:rPr>
          <w:rFonts w:ascii="Times New Roman" w:hAnsi="Times New Roman"/>
          <w:sz w:val="24"/>
        </w:rPr>
        <w:t xml:space="preserve">  </w:t>
      </w:r>
    </w:p>
    <w:p w14:paraId="096CA779" w14:textId="77777777" w:rsidR="00565F27" w:rsidRDefault="00565F27" w:rsidP="009467D9">
      <w:pPr>
        <w:ind w:left="360"/>
        <w:rPr>
          <w:rFonts w:ascii="Times New Roman" w:hAnsi="Times New Roman"/>
          <w:sz w:val="24"/>
        </w:rPr>
      </w:pPr>
    </w:p>
    <w:p w14:paraId="28618B13" w14:textId="77777777" w:rsidR="00374CD1" w:rsidRDefault="00374CD1" w:rsidP="009467D9">
      <w:pPr>
        <w:ind w:firstLine="720"/>
        <w:rPr>
          <w:rFonts w:ascii="Times New Roman" w:hAnsi="Times New Roman"/>
          <w:sz w:val="24"/>
        </w:rPr>
      </w:pPr>
      <w:r>
        <w:rPr>
          <w:rFonts w:ascii="Times New Roman" w:hAnsi="Times New Roman"/>
          <w:sz w:val="24"/>
        </w:rPr>
        <w:t xml:space="preserve">There are no questions of a sensitive nature in the collection of information.  </w:t>
      </w:r>
    </w:p>
    <w:p w14:paraId="412121A2" w14:textId="77777777" w:rsidR="00174A54" w:rsidRDefault="00174A54" w:rsidP="009467D9">
      <w:pPr>
        <w:rPr>
          <w:rFonts w:ascii="Times New Roman" w:hAnsi="Times New Roman"/>
          <w:sz w:val="24"/>
        </w:rPr>
      </w:pPr>
    </w:p>
    <w:p w14:paraId="2F141380" w14:textId="1A0926DD" w:rsidR="00174A54" w:rsidRDefault="00174A54" w:rsidP="009467D9">
      <w:pPr>
        <w:rPr>
          <w:rFonts w:ascii="Times New Roman" w:hAnsi="Times New Roman"/>
          <w:sz w:val="24"/>
          <w:u w:val="single"/>
        </w:rPr>
      </w:pPr>
      <w:r>
        <w:rPr>
          <w:rFonts w:ascii="Times New Roman" w:hAnsi="Times New Roman"/>
          <w:sz w:val="24"/>
        </w:rPr>
        <w:t xml:space="preserve">12 &amp; 13.  </w:t>
      </w:r>
      <w:r>
        <w:rPr>
          <w:rFonts w:ascii="Times New Roman" w:hAnsi="Times New Roman"/>
          <w:sz w:val="24"/>
          <w:u w:val="single"/>
        </w:rPr>
        <w:t>Estimated burden &amp; cost of information collection</w:t>
      </w:r>
      <w:r w:rsidR="00C26A03">
        <w:rPr>
          <w:rFonts w:ascii="Times New Roman" w:hAnsi="Times New Roman"/>
          <w:sz w:val="24"/>
          <w:u w:val="single"/>
        </w:rPr>
        <w:t>.</w:t>
      </w:r>
    </w:p>
    <w:p w14:paraId="2CC42CB5" w14:textId="7B1681FF" w:rsidR="007B71B9" w:rsidRDefault="007B71B9" w:rsidP="009467D9">
      <w:pPr>
        <w:rPr>
          <w:rFonts w:ascii="Times New Roman" w:hAnsi="Times New Roman"/>
          <w:sz w:val="24"/>
          <w:u w:val="single"/>
        </w:rPr>
      </w:pPr>
    </w:p>
    <w:p w14:paraId="2D3248B8" w14:textId="77777777" w:rsidR="00174A54" w:rsidRDefault="00174A54" w:rsidP="009467D9">
      <w:pPr>
        <w:rPr>
          <w:rFonts w:ascii="Times New Roman" w:hAnsi="Times New Roman"/>
          <w:sz w:val="24"/>
        </w:rPr>
      </w:pPr>
    </w:p>
    <w:tbl>
      <w:tblPr>
        <w:tblW w:w="11190"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523"/>
        <w:gridCol w:w="1430"/>
        <w:gridCol w:w="1270"/>
        <w:gridCol w:w="1110"/>
        <w:gridCol w:w="996"/>
        <w:gridCol w:w="996"/>
        <w:gridCol w:w="2196"/>
      </w:tblGrid>
      <w:tr w:rsidR="00174A54" w14:paraId="5A2DBDF0" w14:textId="77777777" w:rsidTr="008C19A7">
        <w:tc>
          <w:tcPr>
            <w:tcW w:w="1669" w:type="dxa"/>
            <w:shd w:val="clear" w:color="auto" w:fill="auto"/>
          </w:tcPr>
          <w:p w14:paraId="7D1C7C7A" w14:textId="77777777" w:rsidR="00174A54" w:rsidRPr="00A43D50" w:rsidRDefault="00174A54" w:rsidP="009467D9">
            <w:pPr>
              <w:rPr>
                <w:rFonts w:ascii="Times New Roman" w:hAnsi="Times New Roman"/>
                <w:b/>
                <w:sz w:val="24"/>
              </w:rPr>
            </w:pPr>
            <w:r w:rsidRPr="00A43D50">
              <w:rPr>
                <w:rFonts w:ascii="Times New Roman" w:hAnsi="Times New Roman"/>
                <w:b/>
                <w:sz w:val="24"/>
              </w:rPr>
              <w:t>Information Collection</w:t>
            </w:r>
          </w:p>
        </w:tc>
        <w:tc>
          <w:tcPr>
            <w:tcW w:w="1523" w:type="dxa"/>
            <w:shd w:val="clear" w:color="auto" w:fill="auto"/>
          </w:tcPr>
          <w:p w14:paraId="48E05905" w14:textId="77777777" w:rsidR="00174A54" w:rsidRPr="00A43D50" w:rsidRDefault="00174A54" w:rsidP="009467D9">
            <w:pPr>
              <w:rPr>
                <w:rFonts w:ascii="Times New Roman" w:hAnsi="Times New Roman"/>
                <w:b/>
                <w:sz w:val="24"/>
              </w:rPr>
            </w:pPr>
            <w:r w:rsidRPr="00A43D50">
              <w:rPr>
                <w:rFonts w:ascii="Times New Roman" w:hAnsi="Times New Roman"/>
                <w:b/>
                <w:sz w:val="24"/>
              </w:rPr>
              <w:t># of Respondents</w:t>
            </w:r>
          </w:p>
        </w:tc>
        <w:tc>
          <w:tcPr>
            <w:tcW w:w="1430" w:type="dxa"/>
            <w:shd w:val="clear" w:color="auto" w:fill="auto"/>
          </w:tcPr>
          <w:p w14:paraId="61C3E2AA" w14:textId="77777777" w:rsidR="00174A54" w:rsidRPr="00A43D50" w:rsidRDefault="00174A54" w:rsidP="009467D9">
            <w:pPr>
              <w:rPr>
                <w:rFonts w:ascii="Times New Roman" w:hAnsi="Times New Roman"/>
                <w:b/>
                <w:sz w:val="24"/>
              </w:rPr>
            </w:pPr>
            <w:r w:rsidRPr="00A43D50">
              <w:rPr>
                <w:rFonts w:ascii="Times New Roman" w:hAnsi="Times New Roman"/>
                <w:b/>
                <w:sz w:val="24"/>
              </w:rPr>
              <w:t>Annual # of Responses per Respondent</w:t>
            </w:r>
          </w:p>
        </w:tc>
        <w:tc>
          <w:tcPr>
            <w:tcW w:w="1270" w:type="dxa"/>
            <w:shd w:val="clear" w:color="auto" w:fill="auto"/>
          </w:tcPr>
          <w:p w14:paraId="32DB8965" w14:textId="77777777" w:rsidR="00174A54" w:rsidRPr="00A43D50" w:rsidRDefault="00174A54" w:rsidP="009467D9">
            <w:pPr>
              <w:rPr>
                <w:rFonts w:ascii="Times New Roman" w:hAnsi="Times New Roman"/>
                <w:b/>
                <w:sz w:val="24"/>
              </w:rPr>
            </w:pPr>
            <w:r w:rsidRPr="00A43D50">
              <w:rPr>
                <w:rFonts w:ascii="Times New Roman" w:hAnsi="Times New Roman"/>
                <w:b/>
                <w:sz w:val="24"/>
              </w:rPr>
              <w:t>Total Responses</w:t>
            </w:r>
          </w:p>
        </w:tc>
        <w:tc>
          <w:tcPr>
            <w:tcW w:w="1110" w:type="dxa"/>
            <w:shd w:val="clear" w:color="auto" w:fill="auto"/>
          </w:tcPr>
          <w:p w14:paraId="2B32C847" w14:textId="77777777" w:rsidR="00174A54" w:rsidRPr="00A43D50" w:rsidRDefault="00174A54" w:rsidP="009467D9">
            <w:pPr>
              <w:rPr>
                <w:rFonts w:ascii="Times New Roman" w:hAnsi="Times New Roman"/>
                <w:b/>
                <w:sz w:val="24"/>
              </w:rPr>
            </w:pPr>
            <w:r w:rsidRPr="00A43D50">
              <w:rPr>
                <w:rFonts w:ascii="Times New Roman" w:hAnsi="Times New Roman"/>
                <w:b/>
                <w:sz w:val="24"/>
              </w:rPr>
              <w:t>Hours per response</w:t>
            </w:r>
          </w:p>
        </w:tc>
        <w:tc>
          <w:tcPr>
            <w:tcW w:w="996" w:type="dxa"/>
            <w:shd w:val="clear" w:color="auto" w:fill="auto"/>
          </w:tcPr>
          <w:p w14:paraId="563A0470" w14:textId="77777777" w:rsidR="00174A54" w:rsidRPr="00A43D50" w:rsidRDefault="00174A54" w:rsidP="009467D9">
            <w:pPr>
              <w:rPr>
                <w:rFonts w:ascii="Times New Roman" w:hAnsi="Times New Roman"/>
                <w:b/>
                <w:sz w:val="24"/>
              </w:rPr>
            </w:pPr>
            <w:r w:rsidRPr="00A43D50">
              <w:rPr>
                <w:rFonts w:ascii="Times New Roman" w:hAnsi="Times New Roman"/>
                <w:b/>
                <w:sz w:val="24"/>
              </w:rPr>
              <w:t>Total Hours</w:t>
            </w:r>
          </w:p>
        </w:tc>
        <w:tc>
          <w:tcPr>
            <w:tcW w:w="996" w:type="dxa"/>
            <w:shd w:val="clear" w:color="auto" w:fill="auto"/>
          </w:tcPr>
          <w:p w14:paraId="0AC922D1" w14:textId="77777777" w:rsidR="00174A54" w:rsidRPr="00A43D50" w:rsidRDefault="00174A54" w:rsidP="009467D9">
            <w:pPr>
              <w:rPr>
                <w:rFonts w:ascii="Times New Roman" w:hAnsi="Times New Roman"/>
                <w:b/>
                <w:sz w:val="24"/>
              </w:rPr>
            </w:pPr>
            <w:r w:rsidRPr="00A43D50">
              <w:rPr>
                <w:rFonts w:ascii="Times New Roman" w:hAnsi="Times New Roman"/>
                <w:b/>
                <w:sz w:val="24"/>
              </w:rPr>
              <w:t>Labor Cost per Hour</w:t>
            </w:r>
          </w:p>
        </w:tc>
        <w:tc>
          <w:tcPr>
            <w:tcW w:w="2196" w:type="dxa"/>
            <w:shd w:val="clear" w:color="auto" w:fill="auto"/>
          </w:tcPr>
          <w:p w14:paraId="61497581" w14:textId="77777777" w:rsidR="00174A54" w:rsidRPr="00A43D50" w:rsidRDefault="00174A54" w:rsidP="009467D9">
            <w:pPr>
              <w:rPr>
                <w:rFonts w:ascii="Times New Roman" w:hAnsi="Times New Roman"/>
                <w:b/>
                <w:sz w:val="24"/>
              </w:rPr>
            </w:pPr>
            <w:r w:rsidRPr="00A43D50">
              <w:rPr>
                <w:rFonts w:ascii="Times New Roman" w:hAnsi="Times New Roman"/>
                <w:b/>
                <w:sz w:val="24"/>
              </w:rPr>
              <w:t>Total Labor Costs</w:t>
            </w:r>
          </w:p>
        </w:tc>
      </w:tr>
      <w:tr w:rsidR="008E253C" w14:paraId="623E9943" w14:textId="77777777" w:rsidTr="008C19A7">
        <w:tc>
          <w:tcPr>
            <w:tcW w:w="1669" w:type="dxa"/>
            <w:shd w:val="clear" w:color="auto" w:fill="auto"/>
          </w:tcPr>
          <w:p w14:paraId="27DC857E" w14:textId="77777777" w:rsidR="008E253C" w:rsidRDefault="008E253C" w:rsidP="009467D9">
            <w:pPr>
              <w:rPr>
                <w:rFonts w:ascii="Times New Roman" w:hAnsi="Times New Roman"/>
                <w:sz w:val="24"/>
              </w:rPr>
            </w:pPr>
            <w:r>
              <w:rPr>
                <w:rFonts w:ascii="Times New Roman" w:hAnsi="Times New Roman"/>
                <w:sz w:val="24"/>
              </w:rPr>
              <w:t>Certification</w:t>
            </w:r>
          </w:p>
        </w:tc>
        <w:tc>
          <w:tcPr>
            <w:tcW w:w="1523" w:type="dxa"/>
            <w:shd w:val="clear" w:color="auto" w:fill="auto"/>
          </w:tcPr>
          <w:p w14:paraId="51F9FC6D" w14:textId="77777777" w:rsidR="008E253C" w:rsidRPr="00232E21" w:rsidRDefault="008E253C" w:rsidP="009467D9">
            <w:pPr>
              <w:jc w:val="center"/>
              <w:rPr>
                <w:rFonts w:ascii="Times New Roman" w:eastAsia="MS Mincho" w:hAnsi="Times New Roman"/>
                <w:sz w:val="24"/>
              </w:rPr>
            </w:pPr>
            <w:r>
              <w:rPr>
                <w:rFonts w:ascii="Times New Roman" w:eastAsia="MS Mincho" w:hAnsi="Times New Roman"/>
                <w:sz w:val="24"/>
              </w:rPr>
              <w:t>2000</w:t>
            </w:r>
          </w:p>
        </w:tc>
        <w:tc>
          <w:tcPr>
            <w:tcW w:w="1430" w:type="dxa"/>
            <w:shd w:val="clear" w:color="auto" w:fill="auto"/>
          </w:tcPr>
          <w:p w14:paraId="7E55D0A3" w14:textId="77777777" w:rsidR="008E253C" w:rsidRDefault="008E253C" w:rsidP="009467D9">
            <w:pPr>
              <w:ind w:right="120"/>
              <w:jc w:val="center"/>
              <w:rPr>
                <w:rFonts w:ascii="Times New Roman" w:hAnsi="Times New Roman"/>
                <w:sz w:val="24"/>
              </w:rPr>
            </w:pPr>
            <w:r>
              <w:rPr>
                <w:rFonts w:ascii="Times New Roman" w:hAnsi="Times New Roman"/>
                <w:sz w:val="24"/>
              </w:rPr>
              <w:t xml:space="preserve">  4.5</w:t>
            </w:r>
          </w:p>
        </w:tc>
        <w:tc>
          <w:tcPr>
            <w:tcW w:w="1270" w:type="dxa"/>
            <w:shd w:val="clear" w:color="auto" w:fill="auto"/>
          </w:tcPr>
          <w:p w14:paraId="3D3204C3" w14:textId="77777777" w:rsidR="008E253C" w:rsidRDefault="008E253C" w:rsidP="009467D9">
            <w:pPr>
              <w:jc w:val="center"/>
              <w:rPr>
                <w:rFonts w:ascii="Times New Roman" w:hAnsi="Times New Roman"/>
                <w:sz w:val="24"/>
              </w:rPr>
            </w:pPr>
            <w:r>
              <w:rPr>
                <w:rFonts w:ascii="Times New Roman" w:hAnsi="Times New Roman"/>
                <w:sz w:val="24"/>
              </w:rPr>
              <w:t>9000</w:t>
            </w:r>
          </w:p>
        </w:tc>
        <w:tc>
          <w:tcPr>
            <w:tcW w:w="1110" w:type="dxa"/>
            <w:shd w:val="clear" w:color="auto" w:fill="auto"/>
          </w:tcPr>
          <w:p w14:paraId="42ED76F2" w14:textId="77777777" w:rsidR="008E253C" w:rsidRDefault="008E253C" w:rsidP="009467D9">
            <w:pPr>
              <w:jc w:val="center"/>
              <w:rPr>
                <w:rFonts w:ascii="Times New Roman" w:hAnsi="Times New Roman"/>
                <w:sz w:val="24"/>
              </w:rPr>
            </w:pPr>
            <w:r>
              <w:rPr>
                <w:rFonts w:ascii="Times New Roman" w:hAnsi="Times New Roman"/>
                <w:sz w:val="24"/>
              </w:rPr>
              <w:t>20</w:t>
            </w:r>
          </w:p>
        </w:tc>
        <w:tc>
          <w:tcPr>
            <w:tcW w:w="996" w:type="dxa"/>
            <w:shd w:val="clear" w:color="auto" w:fill="auto"/>
          </w:tcPr>
          <w:p w14:paraId="2AF8EE0B" w14:textId="77777777" w:rsidR="008E253C" w:rsidRDefault="008E253C" w:rsidP="009467D9">
            <w:pPr>
              <w:jc w:val="center"/>
              <w:rPr>
                <w:rFonts w:ascii="Times New Roman" w:hAnsi="Times New Roman"/>
                <w:sz w:val="24"/>
              </w:rPr>
            </w:pPr>
            <w:r>
              <w:rPr>
                <w:rFonts w:ascii="Times New Roman" w:hAnsi="Times New Roman"/>
                <w:sz w:val="24"/>
              </w:rPr>
              <w:t>180,000</w:t>
            </w:r>
          </w:p>
        </w:tc>
        <w:tc>
          <w:tcPr>
            <w:tcW w:w="996" w:type="dxa"/>
            <w:shd w:val="clear" w:color="auto" w:fill="auto"/>
          </w:tcPr>
          <w:p w14:paraId="2AD0E474" w14:textId="07BADBE1" w:rsidR="008E253C" w:rsidRPr="008E253C" w:rsidRDefault="008E253C" w:rsidP="009467D9">
            <w:pPr>
              <w:jc w:val="center"/>
              <w:rPr>
                <w:rFonts w:ascii="Times New Roman" w:hAnsi="Times New Roman"/>
                <w:sz w:val="24"/>
              </w:rPr>
            </w:pPr>
            <w:r w:rsidRPr="008E253C">
              <w:rPr>
                <w:rFonts w:ascii="Times New Roman" w:hAnsi="Times New Roman"/>
                <w:iCs/>
                <w:sz w:val="24"/>
              </w:rPr>
              <w:t>$63.53</w:t>
            </w:r>
            <w:r w:rsidR="008C19A7" w:rsidRPr="008C19A7">
              <w:rPr>
                <w:rStyle w:val="FootnoteReference"/>
                <w:rFonts w:ascii="Times New Roman" w:hAnsi="Times New Roman"/>
                <w:iCs/>
                <w:sz w:val="24"/>
                <w:vertAlign w:val="superscript"/>
              </w:rPr>
              <w:footnoteReference w:id="4"/>
            </w:r>
          </w:p>
        </w:tc>
        <w:tc>
          <w:tcPr>
            <w:tcW w:w="2196" w:type="dxa"/>
            <w:shd w:val="clear" w:color="auto" w:fill="auto"/>
          </w:tcPr>
          <w:p w14:paraId="2AD9026B" w14:textId="77777777" w:rsidR="008E253C" w:rsidRDefault="008E253C" w:rsidP="009467D9">
            <w:pPr>
              <w:jc w:val="center"/>
              <w:rPr>
                <w:rFonts w:ascii="Times New Roman" w:hAnsi="Times New Roman"/>
                <w:sz w:val="24"/>
              </w:rPr>
            </w:pPr>
            <w:r>
              <w:rPr>
                <w:rFonts w:ascii="Times New Roman" w:hAnsi="Times New Roman"/>
                <w:sz w:val="24"/>
              </w:rPr>
              <w:t>$</w:t>
            </w:r>
            <w:r w:rsidRPr="008E253C">
              <w:rPr>
                <w:rFonts w:ascii="Times New Roman" w:hAnsi="Times New Roman"/>
                <w:sz w:val="24"/>
              </w:rPr>
              <w:t>11,435,400</w:t>
            </w:r>
          </w:p>
        </w:tc>
      </w:tr>
      <w:tr w:rsidR="00174A54" w14:paraId="2C95EB6B" w14:textId="77777777" w:rsidTr="008C19A7">
        <w:tc>
          <w:tcPr>
            <w:tcW w:w="1669" w:type="dxa"/>
            <w:shd w:val="clear" w:color="auto" w:fill="auto"/>
          </w:tcPr>
          <w:p w14:paraId="168A89BE" w14:textId="77777777" w:rsidR="00174A54" w:rsidRPr="00A43D50" w:rsidRDefault="008E253C" w:rsidP="009467D9">
            <w:pPr>
              <w:rPr>
                <w:rFonts w:ascii="Times New Roman" w:hAnsi="Times New Roman"/>
                <w:sz w:val="24"/>
              </w:rPr>
            </w:pPr>
            <w:r>
              <w:rPr>
                <w:rFonts w:ascii="Times New Roman" w:hAnsi="Times New Roman"/>
                <w:sz w:val="24"/>
              </w:rPr>
              <w:t>Re-certification</w:t>
            </w:r>
          </w:p>
        </w:tc>
        <w:tc>
          <w:tcPr>
            <w:tcW w:w="1523" w:type="dxa"/>
            <w:shd w:val="clear" w:color="auto" w:fill="auto"/>
          </w:tcPr>
          <w:p w14:paraId="5BD2EECD" w14:textId="77777777" w:rsidR="00174A54" w:rsidRPr="00A43D50" w:rsidRDefault="008E253C" w:rsidP="009467D9">
            <w:pPr>
              <w:jc w:val="center"/>
              <w:rPr>
                <w:rFonts w:ascii="Times New Roman" w:hAnsi="Times New Roman"/>
                <w:sz w:val="24"/>
              </w:rPr>
            </w:pPr>
            <w:r>
              <w:rPr>
                <w:rFonts w:ascii="Times New Roman" w:hAnsi="Times New Roman"/>
                <w:sz w:val="24"/>
              </w:rPr>
              <w:t>2000</w:t>
            </w:r>
          </w:p>
        </w:tc>
        <w:tc>
          <w:tcPr>
            <w:tcW w:w="1430" w:type="dxa"/>
            <w:shd w:val="clear" w:color="auto" w:fill="auto"/>
          </w:tcPr>
          <w:p w14:paraId="462011D4" w14:textId="77777777" w:rsidR="00174A54" w:rsidRPr="00A43D50" w:rsidRDefault="008E253C" w:rsidP="009467D9">
            <w:pPr>
              <w:jc w:val="center"/>
              <w:rPr>
                <w:rFonts w:ascii="Times New Roman" w:hAnsi="Times New Roman"/>
                <w:sz w:val="24"/>
              </w:rPr>
            </w:pPr>
            <w:r>
              <w:rPr>
                <w:rFonts w:ascii="Times New Roman" w:hAnsi="Times New Roman"/>
                <w:sz w:val="24"/>
              </w:rPr>
              <w:t>4.5</w:t>
            </w:r>
          </w:p>
        </w:tc>
        <w:tc>
          <w:tcPr>
            <w:tcW w:w="1270" w:type="dxa"/>
            <w:shd w:val="clear" w:color="auto" w:fill="auto"/>
          </w:tcPr>
          <w:p w14:paraId="5758C64F" w14:textId="77777777" w:rsidR="00174A54" w:rsidRPr="00A43D50" w:rsidRDefault="008E253C" w:rsidP="009467D9">
            <w:pPr>
              <w:jc w:val="center"/>
              <w:rPr>
                <w:rFonts w:ascii="Times New Roman" w:hAnsi="Times New Roman"/>
                <w:sz w:val="24"/>
              </w:rPr>
            </w:pPr>
            <w:r>
              <w:rPr>
                <w:rFonts w:ascii="Times New Roman" w:hAnsi="Times New Roman"/>
                <w:sz w:val="24"/>
              </w:rPr>
              <w:t>9000</w:t>
            </w:r>
          </w:p>
        </w:tc>
        <w:tc>
          <w:tcPr>
            <w:tcW w:w="1110" w:type="dxa"/>
            <w:shd w:val="clear" w:color="auto" w:fill="auto"/>
          </w:tcPr>
          <w:p w14:paraId="03BCABCE" w14:textId="77777777" w:rsidR="00174A54" w:rsidRPr="00A43D50" w:rsidRDefault="008E253C" w:rsidP="009467D9">
            <w:pPr>
              <w:jc w:val="center"/>
              <w:rPr>
                <w:rFonts w:ascii="Times New Roman" w:hAnsi="Times New Roman"/>
                <w:sz w:val="24"/>
              </w:rPr>
            </w:pPr>
            <w:r>
              <w:rPr>
                <w:rFonts w:ascii="Times New Roman" w:hAnsi="Times New Roman"/>
                <w:sz w:val="24"/>
              </w:rPr>
              <w:t>5</w:t>
            </w:r>
          </w:p>
        </w:tc>
        <w:tc>
          <w:tcPr>
            <w:tcW w:w="996" w:type="dxa"/>
            <w:shd w:val="clear" w:color="auto" w:fill="auto"/>
          </w:tcPr>
          <w:p w14:paraId="7817AEE9" w14:textId="77777777" w:rsidR="00174A54" w:rsidRPr="00A43D50" w:rsidRDefault="008E253C" w:rsidP="009467D9">
            <w:pPr>
              <w:jc w:val="center"/>
              <w:rPr>
                <w:rFonts w:ascii="Times New Roman" w:hAnsi="Times New Roman"/>
                <w:sz w:val="24"/>
              </w:rPr>
            </w:pPr>
            <w:r>
              <w:rPr>
                <w:rFonts w:ascii="Times New Roman" w:hAnsi="Times New Roman"/>
                <w:sz w:val="24"/>
              </w:rPr>
              <w:t>45,000</w:t>
            </w:r>
          </w:p>
        </w:tc>
        <w:tc>
          <w:tcPr>
            <w:tcW w:w="996" w:type="dxa"/>
            <w:shd w:val="clear" w:color="auto" w:fill="auto"/>
          </w:tcPr>
          <w:p w14:paraId="3F9E1FE0" w14:textId="77777777" w:rsidR="00174A54" w:rsidRPr="00A43D50" w:rsidRDefault="008E253C" w:rsidP="009467D9">
            <w:pPr>
              <w:jc w:val="center"/>
              <w:rPr>
                <w:rFonts w:ascii="Times New Roman" w:hAnsi="Times New Roman"/>
                <w:sz w:val="24"/>
              </w:rPr>
            </w:pPr>
            <w:r w:rsidRPr="008E253C">
              <w:rPr>
                <w:rFonts w:ascii="Times New Roman" w:hAnsi="Times New Roman"/>
                <w:sz w:val="24"/>
              </w:rPr>
              <w:t>$63.53</w:t>
            </w:r>
          </w:p>
        </w:tc>
        <w:tc>
          <w:tcPr>
            <w:tcW w:w="2196" w:type="dxa"/>
            <w:shd w:val="clear" w:color="auto" w:fill="auto"/>
          </w:tcPr>
          <w:p w14:paraId="30399856" w14:textId="77777777" w:rsidR="00174A54" w:rsidRPr="00A43D50" w:rsidRDefault="008E253C" w:rsidP="009467D9">
            <w:pPr>
              <w:ind w:right="120"/>
              <w:jc w:val="center"/>
              <w:rPr>
                <w:rFonts w:ascii="Times New Roman" w:hAnsi="Times New Roman"/>
                <w:sz w:val="24"/>
              </w:rPr>
            </w:pPr>
            <w:r>
              <w:rPr>
                <w:rFonts w:ascii="Times New Roman" w:hAnsi="Times New Roman"/>
                <w:sz w:val="24"/>
              </w:rPr>
              <w:t>$</w:t>
            </w:r>
            <w:r w:rsidRPr="008E253C">
              <w:rPr>
                <w:rFonts w:ascii="Times New Roman" w:hAnsi="Times New Roman"/>
                <w:sz w:val="24"/>
              </w:rPr>
              <w:t>2,858,850</w:t>
            </w:r>
          </w:p>
        </w:tc>
      </w:tr>
      <w:tr w:rsidR="008E253C" w14:paraId="6FC06E99" w14:textId="77777777" w:rsidTr="008C19A7">
        <w:tc>
          <w:tcPr>
            <w:tcW w:w="1669" w:type="dxa"/>
            <w:shd w:val="clear" w:color="auto" w:fill="auto"/>
          </w:tcPr>
          <w:p w14:paraId="0E7528FD" w14:textId="77777777" w:rsidR="008E253C" w:rsidRDefault="008E253C" w:rsidP="009467D9">
            <w:pPr>
              <w:rPr>
                <w:rFonts w:ascii="Times New Roman" w:hAnsi="Times New Roman"/>
                <w:sz w:val="24"/>
              </w:rPr>
            </w:pPr>
            <w:r>
              <w:rPr>
                <w:rFonts w:ascii="Times New Roman" w:hAnsi="Times New Roman"/>
                <w:sz w:val="24"/>
              </w:rPr>
              <w:t>Recordkeeping</w:t>
            </w:r>
          </w:p>
        </w:tc>
        <w:tc>
          <w:tcPr>
            <w:tcW w:w="1523" w:type="dxa"/>
            <w:shd w:val="clear" w:color="auto" w:fill="auto"/>
          </w:tcPr>
          <w:p w14:paraId="3FB21F78" w14:textId="77777777" w:rsidR="008E253C" w:rsidRDefault="008E253C" w:rsidP="009467D9">
            <w:pPr>
              <w:jc w:val="center"/>
              <w:rPr>
                <w:rFonts w:ascii="Times New Roman" w:hAnsi="Times New Roman"/>
                <w:sz w:val="24"/>
              </w:rPr>
            </w:pPr>
            <w:r>
              <w:rPr>
                <w:rFonts w:ascii="Times New Roman" w:hAnsi="Times New Roman"/>
                <w:sz w:val="24"/>
              </w:rPr>
              <w:t>2000</w:t>
            </w:r>
          </w:p>
        </w:tc>
        <w:tc>
          <w:tcPr>
            <w:tcW w:w="1430" w:type="dxa"/>
            <w:shd w:val="clear" w:color="auto" w:fill="auto"/>
          </w:tcPr>
          <w:p w14:paraId="2F6E02DB" w14:textId="77777777" w:rsidR="008E253C" w:rsidRDefault="008E253C" w:rsidP="009467D9">
            <w:pPr>
              <w:jc w:val="center"/>
              <w:rPr>
                <w:rFonts w:ascii="Times New Roman" w:hAnsi="Times New Roman"/>
                <w:sz w:val="24"/>
              </w:rPr>
            </w:pPr>
            <w:r>
              <w:rPr>
                <w:rFonts w:ascii="Times New Roman" w:hAnsi="Times New Roman"/>
                <w:sz w:val="24"/>
              </w:rPr>
              <w:t>4.5</w:t>
            </w:r>
          </w:p>
        </w:tc>
        <w:tc>
          <w:tcPr>
            <w:tcW w:w="1270" w:type="dxa"/>
            <w:shd w:val="clear" w:color="auto" w:fill="auto"/>
          </w:tcPr>
          <w:p w14:paraId="2A70513E" w14:textId="77777777" w:rsidR="008E253C" w:rsidRDefault="008E253C" w:rsidP="009467D9">
            <w:pPr>
              <w:jc w:val="center"/>
              <w:rPr>
                <w:rFonts w:ascii="Times New Roman" w:hAnsi="Times New Roman"/>
                <w:sz w:val="24"/>
              </w:rPr>
            </w:pPr>
            <w:r>
              <w:rPr>
                <w:rFonts w:ascii="Times New Roman" w:hAnsi="Times New Roman"/>
                <w:sz w:val="24"/>
              </w:rPr>
              <w:t>9000</w:t>
            </w:r>
          </w:p>
        </w:tc>
        <w:tc>
          <w:tcPr>
            <w:tcW w:w="1110" w:type="dxa"/>
            <w:shd w:val="clear" w:color="auto" w:fill="auto"/>
          </w:tcPr>
          <w:p w14:paraId="31E98E84" w14:textId="77777777" w:rsidR="008E253C" w:rsidRDefault="008E253C" w:rsidP="009467D9">
            <w:pPr>
              <w:jc w:val="center"/>
              <w:rPr>
                <w:rFonts w:ascii="Times New Roman" w:hAnsi="Times New Roman"/>
                <w:sz w:val="24"/>
              </w:rPr>
            </w:pPr>
            <w:r>
              <w:rPr>
                <w:rFonts w:ascii="Times New Roman" w:hAnsi="Times New Roman"/>
                <w:sz w:val="24"/>
              </w:rPr>
              <w:t>9</w:t>
            </w:r>
          </w:p>
        </w:tc>
        <w:tc>
          <w:tcPr>
            <w:tcW w:w="996" w:type="dxa"/>
            <w:shd w:val="clear" w:color="auto" w:fill="auto"/>
          </w:tcPr>
          <w:p w14:paraId="680D335F" w14:textId="77777777" w:rsidR="008E253C" w:rsidRDefault="008E253C" w:rsidP="009467D9">
            <w:pPr>
              <w:jc w:val="center"/>
              <w:rPr>
                <w:rFonts w:ascii="Times New Roman" w:hAnsi="Times New Roman"/>
                <w:sz w:val="24"/>
              </w:rPr>
            </w:pPr>
            <w:r>
              <w:rPr>
                <w:rFonts w:ascii="Times New Roman" w:hAnsi="Times New Roman"/>
                <w:sz w:val="24"/>
              </w:rPr>
              <w:t>81,000</w:t>
            </w:r>
          </w:p>
        </w:tc>
        <w:tc>
          <w:tcPr>
            <w:tcW w:w="996" w:type="dxa"/>
            <w:shd w:val="clear" w:color="auto" w:fill="auto"/>
          </w:tcPr>
          <w:p w14:paraId="5D78A00C" w14:textId="381B4552" w:rsidR="008E253C" w:rsidRPr="008E253C" w:rsidRDefault="008E253C" w:rsidP="009467D9">
            <w:pPr>
              <w:jc w:val="center"/>
              <w:rPr>
                <w:rFonts w:ascii="Times New Roman" w:hAnsi="Times New Roman"/>
                <w:sz w:val="24"/>
              </w:rPr>
            </w:pPr>
            <w:r>
              <w:rPr>
                <w:rFonts w:ascii="Times New Roman" w:hAnsi="Times New Roman"/>
                <w:sz w:val="24"/>
              </w:rPr>
              <w:t>$6</w:t>
            </w:r>
            <w:r w:rsidR="008C19A7">
              <w:rPr>
                <w:rFonts w:ascii="Times New Roman" w:hAnsi="Times New Roman"/>
                <w:sz w:val="24"/>
              </w:rPr>
              <w:t>3</w:t>
            </w:r>
            <w:r>
              <w:rPr>
                <w:rFonts w:ascii="Times New Roman" w:hAnsi="Times New Roman"/>
                <w:sz w:val="24"/>
              </w:rPr>
              <w:t>.53</w:t>
            </w:r>
          </w:p>
        </w:tc>
        <w:tc>
          <w:tcPr>
            <w:tcW w:w="2196" w:type="dxa"/>
            <w:shd w:val="clear" w:color="auto" w:fill="auto"/>
          </w:tcPr>
          <w:p w14:paraId="77A0D2B5" w14:textId="093F2D5D" w:rsidR="008E253C" w:rsidRPr="00A43D50" w:rsidRDefault="008E253C" w:rsidP="009467D9">
            <w:pPr>
              <w:ind w:right="120"/>
              <w:jc w:val="center"/>
              <w:rPr>
                <w:rFonts w:ascii="Times New Roman" w:hAnsi="Times New Roman"/>
                <w:sz w:val="24"/>
              </w:rPr>
            </w:pPr>
            <w:r>
              <w:rPr>
                <w:rFonts w:ascii="Times New Roman" w:hAnsi="Times New Roman"/>
                <w:sz w:val="24"/>
              </w:rPr>
              <w:t>$</w:t>
            </w:r>
            <w:r w:rsidRPr="008E253C">
              <w:rPr>
                <w:rFonts w:ascii="Times New Roman" w:hAnsi="Times New Roman"/>
                <w:sz w:val="24"/>
              </w:rPr>
              <w:t>5,</w:t>
            </w:r>
            <w:r w:rsidR="008C19A7">
              <w:rPr>
                <w:rFonts w:ascii="Times New Roman" w:hAnsi="Times New Roman"/>
                <w:sz w:val="24"/>
              </w:rPr>
              <w:t>145,930</w:t>
            </w:r>
          </w:p>
        </w:tc>
      </w:tr>
      <w:tr w:rsidR="00174A54" w14:paraId="11310B65" w14:textId="77777777" w:rsidTr="008C19A7">
        <w:tc>
          <w:tcPr>
            <w:tcW w:w="1669" w:type="dxa"/>
            <w:shd w:val="clear" w:color="auto" w:fill="auto"/>
          </w:tcPr>
          <w:p w14:paraId="445FE5BC" w14:textId="77777777" w:rsidR="00174A54" w:rsidRPr="00A43D50" w:rsidRDefault="00174A54" w:rsidP="009467D9">
            <w:pPr>
              <w:rPr>
                <w:rFonts w:ascii="Times New Roman" w:hAnsi="Times New Roman"/>
                <w:b/>
                <w:sz w:val="24"/>
              </w:rPr>
            </w:pPr>
            <w:r w:rsidRPr="00A43D50">
              <w:rPr>
                <w:rFonts w:ascii="Times New Roman" w:hAnsi="Times New Roman"/>
                <w:b/>
                <w:sz w:val="24"/>
              </w:rPr>
              <w:t>TOTAL</w:t>
            </w:r>
          </w:p>
        </w:tc>
        <w:tc>
          <w:tcPr>
            <w:tcW w:w="1523" w:type="dxa"/>
            <w:shd w:val="clear" w:color="auto" w:fill="auto"/>
          </w:tcPr>
          <w:p w14:paraId="2DFD2468" w14:textId="77777777" w:rsidR="00174A54" w:rsidRPr="00A43D50" w:rsidRDefault="00174A54" w:rsidP="009467D9">
            <w:pPr>
              <w:jc w:val="center"/>
              <w:rPr>
                <w:rFonts w:ascii="Times New Roman" w:hAnsi="Times New Roman"/>
                <w:b/>
                <w:sz w:val="24"/>
              </w:rPr>
            </w:pPr>
          </w:p>
        </w:tc>
        <w:tc>
          <w:tcPr>
            <w:tcW w:w="1430" w:type="dxa"/>
            <w:shd w:val="clear" w:color="auto" w:fill="auto"/>
          </w:tcPr>
          <w:p w14:paraId="636A6BB7" w14:textId="77777777" w:rsidR="00174A54" w:rsidRPr="00A43D50" w:rsidRDefault="00174A54" w:rsidP="009467D9">
            <w:pPr>
              <w:jc w:val="center"/>
              <w:rPr>
                <w:rFonts w:ascii="Times New Roman" w:hAnsi="Times New Roman"/>
                <w:b/>
                <w:sz w:val="24"/>
              </w:rPr>
            </w:pPr>
          </w:p>
        </w:tc>
        <w:tc>
          <w:tcPr>
            <w:tcW w:w="1270" w:type="dxa"/>
            <w:shd w:val="clear" w:color="auto" w:fill="auto"/>
          </w:tcPr>
          <w:p w14:paraId="04B345B1" w14:textId="77777777" w:rsidR="00174A54" w:rsidRPr="00A43D50" w:rsidRDefault="00E84EA4" w:rsidP="009467D9">
            <w:pPr>
              <w:jc w:val="center"/>
              <w:rPr>
                <w:rFonts w:ascii="Times New Roman" w:hAnsi="Times New Roman"/>
                <w:b/>
                <w:sz w:val="24"/>
              </w:rPr>
            </w:pPr>
            <w:r>
              <w:rPr>
                <w:rFonts w:ascii="Times New Roman" w:hAnsi="Times New Roman"/>
                <w:b/>
                <w:sz w:val="24"/>
              </w:rPr>
              <w:t>27,000</w:t>
            </w:r>
          </w:p>
        </w:tc>
        <w:tc>
          <w:tcPr>
            <w:tcW w:w="1110" w:type="dxa"/>
            <w:shd w:val="clear" w:color="auto" w:fill="auto"/>
          </w:tcPr>
          <w:p w14:paraId="6C855497" w14:textId="77777777" w:rsidR="00174A54" w:rsidRPr="00A43D50" w:rsidRDefault="00174A54" w:rsidP="009467D9">
            <w:pPr>
              <w:jc w:val="center"/>
              <w:rPr>
                <w:rFonts w:ascii="Times New Roman" w:hAnsi="Times New Roman"/>
                <w:b/>
                <w:sz w:val="24"/>
              </w:rPr>
            </w:pPr>
          </w:p>
        </w:tc>
        <w:tc>
          <w:tcPr>
            <w:tcW w:w="996" w:type="dxa"/>
            <w:shd w:val="clear" w:color="auto" w:fill="auto"/>
          </w:tcPr>
          <w:p w14:paraId="520B1506" w14:textId="77777777" w:rsidR="00174A54" w:rsidRPr="00A43D50" w:rsidRDefault="00E84EA4" w:rsidP="009467D9">
            <w:pPr>
              <w:jc w:val="center"/>
              <w:rPr>
                <w:rFonts w:ascii="Times New Roman" w:hAnsi="Times New Roman"/>
                <w:b/>
                <w:sz w:val="24"/>
              </w:rPr>
            </w:pPr>
            <w:r>
              <w:rPr>
                <w:rFonts w:ascii="Times New Roman" w:hAnsi="Times New Roman"/>
                <w:b/>
                <w:sz w:val="24"/>
              </w:rPr>
              <w:t>306,000</w:t>
            </w:r>
          </w:p>
        </w:tc>
        <w:tc>
          <w:tcPr>
            <w:tcW w:w="996" w:type="dxa"/>
            <w:shd w:val="clear" w:color="auto" w:fill="auto"/>
          </w:tcPr>
          <w:p w14:paraId="0E325DE0" w14:textId="77777777" w:rsidR="00174A54" w:rsidRPr="00A43D50" w:rsidRDefault="00174A54" w:rsidP="009467D9">
            <w:pPr>
              <w:jc w:val="center"/>
              <w:rPr>
                <w:rFonts w:ascii="Times New Roman" w:hAnsi="Times New Roman"/>
                <w:b/>
                <w:sz w:val="24"/>
              </w:rPr>
            </w:pPr>
          </w:p>
        </w:tc>
        <w:tc>
          <w:tcPr>
            <w:tcW w:w="2196" w:type="dxa"/>
            <w:shd w:val="clear" w:color="auto" w:fill="auto"/>
          </w:tcPr>
          <w:p w14:paraId="3D4813EC" w14:textId="57BC02B4" w:rsidR="00174A54" w:rsidRPr="00A43D50" w:rsidRDefault="008E253C" w:rsidP="009467D9">
            <w:pPr>
              <w:jc w:val="center"/>
              <w:rPr>
                <w:rFonts w:ascii="Times New Roman" w:hAnsi="Times New Roman"/>
                <w:b/>
                <w:sz w:val="24"/>
              </w:rPr>
            </w:pPr>
            <w:r>
              <w:rPr>
                <w:rFonts w:ascii="Times New Roman" w:hAnsi="Times New Roman"/>
                <w:b/>
                <w:sz w:val="24"/>
              </w:rPr>
              <w:t>$</w:t>
            </w:r>
            <w:r w:rsidRPr="008E253C">
              <w:rPr>
                <w:rFonts w:ascii="Times New Roman" w:hAnsi="Times New Roman"/>
                <w:b/>
                <w:sz w:val="24"/>
              </w:rPr>
              <w:t>19,</w:t>
            </w:r>
            <w:r w:rsidR="008C19A7">
              <w:rPr>
                <w:rFonts w:ascii="Times New Roman" w:hAnsi="Times New Roman"/>
                <w:b/>
                <w:sz w:val="24"/>
              </w:rPr>
              <w:t>440,180</w:t>
            </w:r>
          </w:p>
        </w:tc>
      </w:tr>
    </w:tbl>
    <w:p w14:paraId="218EE02F" w14:textId="77777777" w:rsidR="00174A54" w:rsidRDefault="00174A54" w:rsidP="009467D9">
      <w:pPr>
        <w:rPr>
          <w:rFonts w:ascii="Times New Roman" w:hAnsi="Times New Roman"/>
          <w:sz w:val="24"/>
        </w:rPr>
      </w:pPr>
    </w:p>
    <w:p w14:paraId="45356880" w14:textId="77777777" w:rsidR="00C926CE" w:rsidRDefault="00C926CE" w:rsidP="00C926CE">
      <w:pPr>
        <w:ind w:firstLine="720"/>
        <w:rPr>
          <w:rFonts w:ascii="Times New Roman" w:hAnsi="Times New Roman"/>
          <w:sz w:val="24"/>
        </w:rPr>
      </w:pPr>
      <w:r w:rsidRPr="007B71B9">
        <w:rPr>
          <w:rFonts w:ascii="Times New Roman" w:hAnsi="Times New Roman"/>
          <w:sz w:val="24"/>
        </w:rPr>
        <w:t>It is estimated that 2,000 covered financial institutions maintain correspondent accounts with 9,000 foreign banks.  The estimated average annual reporting burden associated with certification is 180,000 hours (9,000 responses at 20 hours per response); the estimated average annual reporting burden associated with recertification is 45,000 hours (9,000 responses at 5 hours per response); and the estimated average recordkeeping burden associated with section 1010.630(e) is 81,000 hours (9,000 responses at 9 hours per response).</w:t>
      </w:r>
      <w:r w:rsidRPr="007B71B9">
        <w:rPr>
          <w:rFonts w:ascii="Times New Roman" w:hAnsi="Times New Roman"/>
          <w:sz w:val="24"/>
          <w:vertAlign w:val="superscript"/>
        </w:rPr>
        <w:footnoteReference w:id="5"/>
      </w:r>
      <w:r w:rsidRPr="007B71B9">
        <w:rPr>
          <w:rFonts w:ascii="Times New Roman" w:hAnsi="Times New Roman"/>
          <w:sz w:val="24"/>
        </w:rPr>
        <w:t xml:space="preserve">  </w:t>
      </w:r>
    </w:p>
    <w:p w14:paraId="25B3007D" w14:textId="77777777" w:rsidR="00C926CE" w:rsidRDefault="00C926CE" w:rsidP="009467D9">
      <w:pPr>
        <w:rPr>
          <w:rFonts w:ascii="Times New Roman" w:hAnsi="Times New Roman"/>
          <w:sz w:val="24"/>
        </w:rPr>
      </w:pPr>
    </w:p>
    <w:p w14:paraId="013B3149" w14:textId="4B1566E8" w:rsidR="00174A54" w:rsidRDefault="00174A54" w:rsidP="00C926CE">
      <w:pPr>
        <w:ind w:firstLine="720"/>
        <w:rPr>
          <w:rFonts w:ascii="Times New Roman" w:hAnsi="Times New Roman"/>
          <w:sz w:val="24"/>
        </w:rPr>
      </w:pPr>
      <w:r>
        <w:rPr>
          <w:rFonts w:ascii="Times New Roman" w:hAnsi="Times New Roman"/>
          <w:sz w:val="24"/>
        </w:rPr>
        <w:t>There are no non-labor costs associated with this collection of information.</w:t>
      </w:r>
    </w:p>
    <w:p w14:paraId="2FC40B40" w14:textId="77777777" w:rsidR="009568C8" w:rsidRDefault="009568C8" w:rsidP="009467D9">
      <w:pPr>
        <w:ind w:left="360"/>
        <w:rPr>
          <w:rFonts w:ascii="Times New Roman" w:hAnsi="Times New Roman"/>
          <w:sz w:val="24"/>
        </w:rPr>
      </w:pPr>
    </w:p>
    <w:p w14:paraId="0EF05A83" w14:textId="1556BF38" w:rsidR="00C060BA" w:rsidRDefault="00374CD1" w:rsidP="009467D9">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 xml:space="preserve">Estimated </w:t>
      </w:r>
      <w:r w:rsidR="00F20509">
        <w:rPr>
          <w:rFonts w:ascii="Times New Roman" w:hAnsi="Times New Roman"/>
          <w:sz w:val="24"/>
          <w:u w:val="single"/>
        </w:rPr>
        <w:t xml:space="preserve">annualized cost to the </w:t>
      </w:r>
      <w:r w:rsidR="00F41812">
        <w:rPr>
          <w:rFonts w:ascii="Times New Roman" w:hAnsi="Times New Roman"/>
          <w:sz w:val="24"/>
          <w:u w:val="single"/>
        </w:rPr>
        <w:t xml:space="preserve">Federal </w:t>
      </w:r>
      <w:r w:rsidR="00F20509">
        <w:rPr>
          <w:rFonts w:ascii="Times New Roman" w:hAnsi="Times New Roman"/>
          <w:sz w:val="24"/>
          <w:u w:val="single"/>
        </w:rPr>
        <w:t>government</w:t>
      </w:r>
      <w:r w:rsidR="00C26A03">
        <w:rPr>
          <w:rFonts w:ascii="Times New Roman" w:hAnsi="Times New Roman"/>
          <w:sz w:val="24"/>
          <w:u w:val="single"/>
        </w:rPr>
        <w:t>.</w:t>
      </w:r>
      <w:r w:rsidR="00F20509">
        <w:rPr>
          <w:rFonts w:ascii="Times New Roman" w:hAnsi="Times New Roman"/>
          <w:sz w:val="24"/>
        </w:rPr>
        <w:t xml:space="preserve">  </w:t>
      </w:r>
    </w:p>
    <w:p w14:paraId="35CD1946" w14:textId="77777777" w:rsidR="00C060BA" w:rsidRDefault="00C060BA" w:rsidP="009467D9">
      <w:pPr>
        <w:ind w:firstLine="360"/>
        <w:rPr>
          <w:rFonts w:ascii="Times New Roman" w:hAnsi="Times New Roman"/>
          <w:sz w:val="24"/>
        </w:rPr>
      </w:pPr>
    </w:p>
    <w:p w14:paraId="184F696D" w14:textId="3D634D19" w:rsidR="001B275B" w:rsidRDefault="00227C2C" w:rsidP="009467D9">
      <w:pPr>
        <w:ind w:firstLine="720"/>
        <w:rPr>
          <w:rFonts w:ascii="Times New Roman" w:hAnsi="Times New Roman"/>
          <w:sz w:val="24"/>
        </w:rPr>
      </w:pPr>
      <w:r>
        <w:rPr>
          <w:rFonts w:ascii="Times New Roman" w:hAnsi="Times New Roman"/>
          <w:sz w:val="24"/>
        </w:rPr>
        <w:t>Ther</w:t>
      </w:r>
      <w:r w:rsidR="00916F04">
        <w:rPr>
          <w:rFonts w:ascii="Times New Roman" w:hAnsi="Times New Roman"/>
          <w:sz w:val="24"/>
        </w:rPr>
        <w:t>e is no cost to the government</w:t>
      </w:r>
      <w:r w:rsidR="009000B1">
        <w:rPr>
          <w:rFonts w:ascii="Times New Roman" w:hAnsi="Times New Roman"/>
          <w:sz w:val="24"/>
        </w:rPr>
        <w:t>.</w:t>
      </w:r>
    </w:p>
    <w:p w14:paraId="398C29A7" w14:textId="77777777" w:rsidR="009568C8" w:rsidRDefault="009568C8" w:rsidP="009467D9">
      <w:pPr>
        <w:ind w:firstLine="720"/>
        <w:rPr>
          <w:rFonts w:ascii="Times New Roman" w:hAnsi="Times New Roman"/>
          <w:sz w:val="24"/>
        </w:rPr>
      </w:pPr>
    </w:p>
    <w:p w14:paraId="5126C834" w14:textId="1C036919" w:rsidR="00C060BA" w:rsidRDefault="00374CD1" w:rsidP="009467D9">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 xml:space="preserve">Reasons </w:t>
      </w:r>
      <w:r w:rsidR="00F20509">
        <w:rPr>
          <w:rFonts w:ascii="Times New Roman" w:hAnsi="Times New Roman"/>
          <w:sz w:val="24"/>
          <w:u w:val="single"/>
        </w:rPr>
        <w:t>for change in burden</w:t>
      </w:r>
      <w:r w:rsidR="00C26A03">
        <w:rPr>
          <w:rFonts w:ascii="Times New Roman" w:hAnsi="Times New Roman"/>
          <w:sz w:val="24"/>
          <w:u w:val="single"/>
        </w:rPr>
        <w:t>.</w:t>
      </w:r>
      <w:r w:rsidR="00F20509">
        <w:rPr>
          <w:rFonts w:ascii="Times New Roman" w:hAnsi="Times New Roman"/>
          <w:sz w:val="24"/>
        </w:rPr>
        <w:t xml:space="preserve">  </w:t>
      </w:r>
    </w:p>
    <w:p w14:paraId="57DB593E" w14:textId="77777777" w:rsidR="00C060BA" w:rsidRDefault="00C060BA" w:rsidP="009467D9">
      <w:pPr>
        <w:ind w:firstLine="360"/>
        <w:rPr>
          <w:rFonts w:ascii="Times New Roman" w:hAnsi="Times New Roman"/>
          <w:sz w:val="24"/>
        </w:rPr>
      </w:pPr>
    </w:p>
    <w:p w14:paraId="14FB7E03" w14:textId="187974F9" w:rsidR="001B275B" w:rsidRDefault="00916F04" w:rsidP="009467D9">
      <w:pPr>
        <w:ind w:firstLine="720"/>
        <w:rPr>
          <w:rFonts w:ascii="Times New Roman" w:hAnsi="Times New Roman"/>
          <w:sz w:val="24"/>
        </w:rPr>
      </w:pPr>
      <w:r>
        <w:rPr>
          <w:rFonts w:ascii="Times New Roman" w:hAnsi="Times New Roman"/>
          <w:sz w:val="24"/>
        </w:rPr>
        <w:t>There is no change in burden</w:t>
      </w:r>
      <w:r w:rsidR="009000B1">
        <w:rPr>
          <w:rFonts w:ascii="Times New Roman" w:hAnsi="Times New Roman"/>
          <w:sz w:val="24"/>
        </w:rPr>
        <w:t>.</w:t>
      </w:r>
    </w:p>
    <w:p w14:paraId="0F1DEE71" w14:textId="77777777" w:rsidR="00374CD1" w:rsidRDefault="00374CD1" w:rsidP="009467D9">
      <w:pPr>
        <w:rPr>
          <w:rFonts w:ascii="Times New Roman" w:hAnsi="Times New Roman"/>
          <w:sz w:val="24"/>
        </w:rPr>
      </w:pPr>
    </w:p>
    <w:p w14:paraId="0A51251E" w14:textId="1E9149E3" w:rsidR="00C060BA" w:rsidRDefault="00374CD1" w:rsidP="009467D9">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 xml:space="preserve">Plans for </w:t>
      </w:r>
      <w:r w:rsidR="00F20509">
        <w:rPr>
          <w:rFonts w:ascii="Times New Roman" w:hAnsi="Times New Roman"/>
          <w:sz w:val="24"/>
          <w:u w:val="single"/>
        </w:rPr>
        <w:t>tabulation, statistical analysis and publication</w:t>
      </w:r>
      <w:r w:rsidR="00C26A03">
        <w:rPr>
          <w:rFonts w:ascii="Times New Roman" w:hAnsi="Times New Roman"/>
          <w:sz w:val="24"/>
          <w:u w:val="single"/>
        </w:rPr>
        <w:t>.</w:t>
      </w:r>
    </w:p>
    <w:p w14:paraId="6609AEFC" w14:textId="77777777" w:rsidR="00C060BA" w:rsidRDefault="00C060BA" w:rsidP="009467D9">
      <w:pPr>
        <w:ind w:firstLine="360"/>
        <w:rPr>
          <w:rFonts w:ascii="Times New Roman" w:hAnsi="Times New Roman"/>
          <w:sz w:val="24"/>
        </w:rPr>
      </w:pPr>
    </w:p>
    <w:p w14:paraId="1C8AF781" w14:textId="77777777" w:rsidR="001B275B" w:rsidRDefault="00227C2C" w:rsidP="009467D9">
      <w:pPr>
        <w:ind w:firstLine="720"/>
        <w:rPr>
          <w:rFonts w:ascii="Times New Roman" w:hAnsi="Times New Roman"/>
          <w:sz w:val="24"/>
        </w:rPr>
      </w:pPr>
      <w:r>
        <w:rPr>
          <w:rFonts w:ascii="Times New Roman" w:hAnsi="Times New Roman"/>
          <w:sz w:val="24"/>
        </w:rPr>
        <w:t xml:space="preserve">This information will not be tabulated, </w:t>
      </w:r>
      <w:r w:rsidRPr="00227C2C">
        <w:rPr>
          <w:rFonts w:ascii="Times New Roman" w:hAnsi="Times New Roman"/>
          <w:sz w:val="24"/>
        </w:rPr>
        <w:t>statistical</w:t>
      </w:r>
      <w:r>
        <w:rPr>
          <w:rFonts w:ascii="Times New Roman" w:hAnsi="Times New Roman"/>
          <w:sz w:val="24"/>
        </w:rPr>
        <w:t>ly</w:t>
      </w:r>
      <w:r w:rsidRPr="00227C2C">
        <w:rPr>
          <w:rFonts w:ascii="Times New Roman" w:hAnsi="Times New Roman"/>
          <w:sz w:val="24"/>
        </w:rPr>
        <w:t xml:space="preserve"> analy</w:t>
      </w:r>
      <w:r>
        <w:rPr>
          <w:rFonts w:ascii="Times New Roman" w:hAnsi="Times New Roman"/>
          <w:sz w:val="24"/>
        </w:rPr>
        <w:t xml:space="preserve">zed, or </w:t>
      </w:r>
      <w:r w:rsidRPr="00227C2C">
        <w:rPr>
          <w:rFonts w:ascii="Times New Roman" w:hAnsi="Times New Roman"/>
          <w:sz w:val="24"/>
        </w:rPr>
        <w:t>publi</w:t>
      </w:r>
      <w:r>
        <w:rPr>
          <w:rFonts w:ascii="Times New Roman" w:hAnsi="Times New Roman"/>
          <w:sz w:val="24"/>
        </w:rPr>
        <w:t>shed.</w:t>
      </w:r>
    </w:p>
    <w:p w14:paraId="1A45D04E" w14:textId="6AD36069" w:rsidR="00522794" w:rsidRPr="00522794" w:rsidRDefault="00522794" w:rsidP="00C926CE">
      <w:pPr>
        <w:widowControl/>
        <w:spacing w:before="187"/>
        <w:rPr>
          <w:rFonts w:ascii="Times New Roman" w:hAnsi="Times New Roman"/>
          <w:sz w:val="24"/>
          <w:szCs w:val="22"/>
          <w:u w:val="single"/>
        </w:rPr>
      </w:pPr>
      <w:r w:rsidRPr="00611C78">
        <w:rPr>
          <w:rFonts w:ascii="Times New Roman" w:hAnsi="Times New Roman"/>
          <w:sz w:val="24"/>
          <w:szCs w:val="22"/>
        </w:rPr>
        <w:t xml:space="preserve">17.  </w:t>
      </w:r>
      <w:r w:rsidRPr="00522794">
        <w:rPr>
          <w:rFonts w:ascii="Times New Roman" w:hAnsi="Times New Roman"/>
          <w:sz w:val="24"/>
          <w:szCs w:val="22"/>
          <w:u w:val="single"/>
        </w:rPr>
        <w:t>Request not to di</w:t>
      </w:r>
      <w:r w:rsidR="00916F04">
        <w:rPr>
          <w:rFonts w:ascii="Times New Roman" w:hAnsi="Times New Roman"/>
          <w:sz w:val="24"/>
          <w:szCs w:val="22"/>
          <w:u w:val="single"/>
        </w:rPr>
        <w:t>splay the OMB expiration date</w:t>
      </w:r>
      <w:r w:rsidR="00C26A03">
        <w:rPr>
          <w:rFonts w:ascii="Times New Roman" w:hAnsi="Times New Roman"/>
          <w:sz w:val="24"/>
          <w:szCs w:val="22"/>
          <w:u w:val="single"/>
        </w:rPr>
        <w:t>.</w:t>
      </w:r>
    </w:p>
    <w:p w14:paraId="0354FBE8" w14:textId="62C09CE3" w:rsidR="00522794" w:rsidRPr="00611C78" w:rsidRDefault="00522794" w:rsidP="00C926CE">
      <w:pPr>
        <w:widowControl/>
        <w:spacing w:before="187"/>
        <w:ind w:firstLine="720"/>
        <w:rPr>
          <w:rFonts w:ascii="Times New Roman" w:hAnsi="Times New Roman"/>
          <w:sz w:val="24"/>
          <w:szCs w:val="22"/>
        </w:rPr>
      </w:pPr>
      <w:r w:rsidRPr="00611C78">
        <w:rPr>
          <w:rFonts w:ascii="Times New Roman" w:hAnsi="Times New Roman"/>
          <w:sz w:val="24"/>
          <w:szCs w:val="22"/>
        </w:rPr>
        <w:t xml:space="preserve">FinCEN requests that the expiration date of the control number of the regulation not be displayed so that there is no confusion as to whether the certification form is still valid. This request will not affect the normal 3-year </w:t>
      </w:r>
      <w:r w:rsidR="008C19A7">
        <w:rPr>
          <w:rFonts w:ascii="Times New Roman" w:hAnsi="Times New Roman"/>
          <w:sz w:val="24"/>
          <w:szCs w:val="22"/>
        </w:rPr>
        <w:t>Paperwork Reduction Act</w:t>
      </w:r>
      <w:r w:rsidRPr="00611C78">
        <w:rPr>
          <w:rFonts w:ascii="Times New Roman" w:hAnsi="Times New Roman"/>
          <w:sz w:val="24"/>
          <w:szCs w:val="22"/>
        </w:rPr>
        <w:t xml:space="preserve"> renewal process.</w:t>
      </w:r>
    </w:p>
    <w:p w14:paraId="6E50B644" w14:textId="4FE1F45C" w:rsidR="00522794" w:rsidRPr="00611C78" w:rsidRDefault="00522794" w:rsidP="00C926CE">
      <w:pPr>
        <w:widowControl/>
        <w:spacing w:before="187"/>
        <w:rPr>
          <w:rFonts w:ascii="Times New Roman" w:hAnsi="Times New Roman"/>
          <w:sz w:val="24"/>
          <w:szCs w:val="22"/>
        </w:rPr>
      </w:pPr>
      <w:r w:rsidRPr="00611C78">
        <w:rPr>
          <w:rFonts w:ascii="Times New Roman" w:hAnsi="Times New Roman"/>
          <w:sz w:val="24"/>
          <w:szCs w:val="22"/>
        </w:rPr>
        <w:t xml:space="preserve">18.  </w:t>
      </w:r>
      <w:r w:rsidRPr="00522794">
        <w:rPr>
          <w:rFonts w:ascii="Times New Roman" w:hAnsi="Times New Roman"/>
          <w:sz w:val="24"/>
          <w:szCs w:val="22"/>
          <w:u w:val="single"/>
        </w:rPr>
        <w:t>Exceptions to the certification statement</w:t>
      </w:r>
      <w:r w:rsidR="00C26A03">
        <w:rPr>
          <w:rFonts w:ascii="Times New Roman" w:hAnsi="Times New Roman"/>
          <w:sz w:val="24"/>
          <w:szCs w:val="22"/>
          <w:u w:val="single"/>
        </w:rPr>
        <w:t>.</w:t>
      </w:r>
    </w:p>
    <w:p w14:paraId="296D3762" w14:textId="77777777" w:rsidR="00522794" w:rsidRPr="00611C78" w:rsidRDefault="00522794" w:rsidP="00C926CE">
      <w:pPr>
        <w:widowControl/>
        <w:spacing w:before="187"/>
        <w:ind w:firstLine="720"/>
        <w:rPr>
          <w:rFonts w:ascii="Times New Roman" w:hAnsi="Times New Roman"/>
          <w:sz w:val="24"/>
          <w:szCs w:val="22"/>
        </w:rPr>
      </w:pPr>
      <w:r w:rsidRPr="00611C78">
        <w:rPr>
          <w:rFonts w:ascii="Times New Roman" w:hAnsi="Times New Roman"/>
          <w:sz w:val="24"/>
          <w:szCs w:val="22"/>
        </w:rPr>
        <w:t>There are no exceptions to the certification statement.</w:t>
      </w:r>
    </w:p>
    <w:sectPr w:rsidR="00522794" w:rsidRPr="00611C7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169A4" w14:textId="77777777" w:rsidR="00904F61" w:rsidRDefault="00904F61">
      <w:r>
        <w:separator/>
      </w:r>
    </w:p>
  </w:endnote>
  <w:endnote w:type="continuationSeparator" w:id="0">
    <w:p w14:paraId="5139AA6F" w14:textId="77777777" w:rsidR="00904F61" w:rsidRDefault="00904F61">
      <w:r>
        <w:continuationSeparator/>
      </w:r>
    </w:p>
  </w:endnote>
  <w:endnote w:type="continuationNotice" w:id="1">
    <w:p w14:paraId="06A2E449" w14:textId="77777777" w:rsidR="00904F61" w:rsidRDefault="00904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E86F" w14:textId="490B8BB4" w:rsidR="00CC635C" w:rsidRPr="00F74CE8" w:rsidRDefault="00CC635C">
    <w:pPr>
      <w:pStyle w:val="Footer"/>
      <w:jc w:val="center"/>
    </w:pPr>
    <w:r w:rsidRPr="00F74CE8">
      <w:fldChar w:fldCharType="begin"/>
    </w:r>
    <w:r w:rsidRPr="00F74CE8">
      <w:instrText xml:space="preserve"> PAGE   \* MERGEFORMAT </w:instrText>
    </w:r>
    <w:r w:rsidRPr="00F74CE8">
      <w:fldChar w:fldCharType="separate"/>
    </w:r>
    <w:r w:rsidR="00877B78">
      <w:rPr>
        <w:noProof/>
      </w:rPr>
      <w:t>1</w:t>
    </w:r>
    <w:r w:rsidRPr="00F74CE8">
      <w:fldChar w:fldCharType="end"/>
    </w:r>
  </w:p>
  <w:p w14:paraId="13F5A55F" w14:textId="77777777" w:rsidR="00CC635C" w:rsidRPr="00F74CE8" w:rsidRDefault="00CC6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5A88" w14:textId="77777777" w:rsidR="00904F61" w:rsidRDefault="00904F61">
      <w:r>
        <w:separator/>
      </w:r>
    </w:p>
  </w:footnote>
  <w:footnote w:type="continuationSeparator" w:id="0">
    <w:p w14:paraId="5D44B600" w14:textId="77777777" w:rsidR="00904F61" w:rsidRDefault="00904F61">
      <w:r>
        <w:continuationSeparator/>
      </w:r>
    </w:p>
  </w:footnote>
  <w:footnote w:type="continuationNotice" w:id="1">
    <w:p w14:paraId="18F6C6E8" w14:textId="77777777" w:rsidR="00904F61" w:rsidRDefault="00904F61"/>
  </w:footnote>
  <w:footnote w:id="2">
    <w:p w14:paraId="01C43BBC" w14:textId="36487E4F" w:rsidR="004F1E9C" w:rsidRPr="004F1E9C" w:rsidRDefault="004F1E9C" w:rsidP="00C926CE">
      <w:pPr>
        <w:pStyle w:val="PlainText"/>
      </w:pPr>
      <w:r w:rsidRPr="00B70E81">
        <w:rPr>
          <w:rStyle w:val="FootnoteReference"/>
          <w:rFonts w:ascii="Times New Roman" w:hAnsi="Times New Roman" w:cs="Times New Roman"/>
          <w:vertAlign w:val="superscript"/>
        </w:rPr>
        <w:footnoteRef/>
      </w:r>
      <w:r w:rsidRPr="004F1E9C">
        <w:rPr>
          <w:rFonts w:ascii="Times New Roman" w:hAnsi="Times New Roman" w:cs="Times New Roman"/>
        </w:rPr>
        <w:t xml:space="preserve"> </w:t>
      </w:r>
      <w:r w:rsidRPr="003E0D88">
        <w:rPr>
          <w:rFonts w:ascii="Times New Roman" w:eastAsia="MS Mincho" w:hAnsi="Times New Roman" w:cs="Times New Roman"/>
        </w:rPr>
        <w:t xml:space="preserve">Language expanding the scope of the </w:t>
      </w:r>
      <w:r>
        <w:rPr>
          <w:rFonts w:ascii="Times New Roman" w:eastAsia="MS Mincho" w:hAnsi="Times New Roman" w:cs="Times New Roman"/>
        </w:rPr>
        <w:t>BSA</w:t>
      </w:r>
      <w:r w:rsidRPr="003E0D88">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 (“</w:t>
      </w:r>
      <w:r w:rsidRPr="004F1E9C">
        <w:rPr>
          <w:rFonts w:ascii="Times New Roman" w:eastAsia="MS Mincho" w:hAnsi="Times New Roman" w:cs="Times New Roman"/>
        </w:rPr>
        <w:t>USA PATRIOT Act</w:t>
      </w:r>
      <w:r w:rsidRPr="0030376F">
        <w:rPr>
          <w:rFonts w:ascii="Times New Roman" w:eastAsia="MS Mincho" w:hAnsi="Times New Roman" w:cs="Times New Roman"/>
        </w:rPr>
        <w:t>”</w:t>
      </w:r>
      <w:r w:rsidRPr="003E0D88">
        <w:rPr>
          <w:rFonts w:ascii="Times New Roman" w:eastAsia="MS Mincho" w:hAnsi="Times New Roman" w:cs="Times New Roman"/>
        </w:rPr>
        <w:t>).</w:t>
      </w:r>
    </w:p>
  </w:footnote>
  <w:footnote w:id="3">
    <w:p w14:paraId="312FCC06" w14:textId="376FA26A" w:rsidR="00CD6604" w:rsidRPr="00CD6604" w:rsidRDefault="00CD6604">
      <w:pPr>
        <w:pStyle w:val="FootnoteText"/>
        <w:rPr>
          <w:rFonts w:ascii="Times New Roman" w:hAnsi="Times New Roman" w:cs="Times New Roman"/>
        </w:rPr>
      </w:pPr>
      <w:r w:rsidRPr="00CD6604">
        <w:rPr>
          <w:rStyle w:val="FootnoteReference"/>
          <w:rFonts w:ascii="Times New Roman" w:hAnsi="Times New Roman" w:cs="Times New Roman"/>
          <w:vertAlign w:val="superscript"/>
        </w:rPr>
        <w:footnoteRef/>
      </w:r>
      <w:r w:rsidRPr="00CD6604">
        <w:rPr>
          <w:rFonts w:ascii="Times New Roman" w:hAnsi="Times New Roman" w:cs="Times New Roman"/>
          <w:vertAlign w:val="superscript"/>
        </w:rPr>
        <w:t xml:space="preserve"> </w:t>
      </w:r>
      <w:r w:rsidRPr="00CD6604">
        <w:rPr>
          <w:rFonts w:ascii="Times New Roman" w:hAnsi="Times New Roman" w:cs="Times New Roman"/>
          <w:i/>
        </w:rPr>
        <w:t>See</w:t>
      </w:r>
      <w:r w:rsidRPr="00CD6604">
        <w:rPr>
          <w:rFonts w:ascii="Times New Roman" w:hAnsi="Times New Roman" w:cs="Times New Roman"/>
        </w:rPr>
        <w:t xml:space="preserve"> 31 CFR 1010.605(e) for a list of covered financial institutions.  </w:t>
      </w:r>
    </w:p>
  </w:footnote>
  <w:footnote w:id="4">
    <w:p w14:paraId="269201B5" w14:textId="30955B30" w:rsidR="008C19A7" w:rsidRPr="008C19A7" w:rsidRDefault="008C19A7" w:rsidP="008C19A7">
      <w:pPr>
        <w:pStyle w:val="Header"/>
        <w:rPr>
          <w:rFonts w:ascii="Times New Roman" w:hAnsi="Times New Roman"/>
        </w:rPr>
      </w:pPr>
      <w:r w:rsidRPr="008C19A7">
        <w:rPr>
          <w:rStyle w:val="FootnoteReference"/>
          <w:rFonts w:ascii="Times New Roman" w:hAnsi="Times New Roman"/>
          <w:vertAlign w:val="superscript"/>
        </w:rPr>
        <w:footnoteRef/>
      </w:r>
      <w:r w:rsidRPr="008C19A7">
        <w:rPr>
          <w:rFonts w:ascii="Times New Roman" w:hAnsi="Times New Roman"/>
        </w:rPr>
        <w:t xml:space="preserve"> </w:t>
      </w:r>
      <w:r w:rsidRPr="008C19A7">
        <w:rPr>
          <w:rFonts w:ascii="Times New Roman" w:hAnsi="Times New Roman"/>
          <w:iCs/>
        </w:rPr>
        <w:t>The above Average Hourly Wage Rate is calculated from the May 2017 Bureau of Labor Statistics average hourly wage for</w:t>
      </w:r>
      <w:r w:rsidRPr="008C19A7">
        <w:rPr>
          <w:rFonts w:ascii="Times New Roman" w:hAnsi="Times New Roman"/>
          <w:i/>
          <w:iCs/>
        </w:rPr>
        <w:t xml:space="preserve"> “</w:t>
      </w:r>
      <w:r w:rsidRPr="008C19A7">
        <w:rPr>
          <w:rFonts w:ascii="Times New Roman" w:hAnsi="Times New Roman"/>
        </w:rPr>
        <w:t>13-2061 Financial Examiners</w:t>
      </w:r>
      <w:r w:rsidRPr="008C19A7">
        <w:rPr>
          <w:rFonts w:ascii="Times New Roman" w:hAnsi="Times New Roman"/>
          <w:i/>
          <w:iCs/>
        </w:rPr>
        <w:t xml:space="preserve">” </w:t>
      </w:r>
      <w:r w:rsidRPr="008C19A7">
        <w:rPr>
          <w:rFonts w:ascii="Times New Roman" w:hAnsi="Times New Roman"/>
          <w:iCs/>
        </w:rPr>
        <w:t>of $44.12, plus an additional 44% for benefits to produce a fully-loaded rate of $63.53.</w:t>
      </w:r>
    </w:p>
  </w:footnote>
  <w:footnote w:id="5">
    <w:p w14:paraId="2CF6D62F" w14:textId="77777777" w:rsidR="00C926CE" w:rsidRPr="007B71B9" w:rsidRDefault="00C926CE" w:rsidP="00C926CE">
      <w:pPr>
        <w:pStyle w:val="FootnoteText"/>
        <w:rPr>
          <w:rFonts w:ascii="Times New Roman" w:hAnsi="Times New Roman" w:cs="Times New Roman"/>
        </w:rPr>
      </w:pPr>
      <w:r w:rsidRPr="0030376F">
        <w:rPr>
          <w:rStyle w:val="FootnoteReference"/>
          <w:rFonts w:ascii="Times New Roman" w:hAnsi="Times New Roman" w:cs="Times New Roman"/>
          <w:vertAlign w:val="superscript"/>
        </w:rPr>
        <w:footnoteRef/>
      </w:r>
      <w:r w:rsidRPr="0030376F">
        <w:rPr>
          <w:rFonts w:ascii="Times New Roman" w:hAnsi="Times New Roman" w:cs="Times New Roman"/>
          <w:vertAlign w:val="superscript"/>
        </w:rPr>
        <w:t xml:space="preserve"> </w:t>
      </w:r>
      <w:r w:rsidRPr="007B71B9">
        <w:rPr>
          <w:rFonts w:ascii="Times New Roman" w:hAnsi="Times New Roman" w:cs="Times New Roman"/>
        </w:rPr>
        <w:t xml:space="preserve">FinCEN does not have an independent method to </w:t>
      </w:r>
      <w:r>
        <w:rPr>
          <w:rFonts w:ascii="Times New Roman" w:hAnsi="Times New Roman" w:cs="Times New Roman"/>
        </w:rPr>
        <w:t>determine</w:t>
      </w:r>
      <w:r w:rsidRPr="007B71B9">
        <w:rPr>
          <w:rFonts w:ascii="Times New Roman" w:hAnsi="Times New Roman" w:cs="Times New Roman"/>
        </w:rPr>
        <w:t xml:space="preserve"> the exact number of foreign bank certifications and recertfications in any given year because depository institutions do not file the model form with FinCEN and only provide the data upon FinCEN’s request.  Accordingly, FinCEN has chosen to take an expansive approach in its estimates of yearly certifications and recertifications.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D55A" w14:textId="77777777" w:rsidR="00CC635C" w:rsidRDefault="00CC635C">
    <w:pPr>
      <w:tabs>
        <w:tab w:val="center" w:pos="4680"/>
      </w:tabs>
      <w:rPr>
        <w:sz w:val="24"/>
      </w:rPr>
    </w:pPr>
    <w:r>
      <w:rPr>
        <w:sz w:val="24"/>
      </w:rPr>
      <w:tab/>
    </w:r>
  </w:p>
  <w:p w14:paraId="235BA45B" w14:textId="77777777" w:rsidR="00CC635C" w:rsidRDefault="00CC635C">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46479"/>
    <w:multiLevelType w:val="hybridMultilevel"/>
    <w:tmpl w:val="A00C96CE"/>
    <w:lvl w:ilvl="0" w:tplc="7CB8231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744825"/>
    <w:multiLevelType w:val="hybridMultilevel"/>
    <w:tmpl w:val="3DF8AD4A"/>
    <w:lvl w:ilvl="0" w:tplc="41A24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B134C"/>
    <w:multiLevelType w:val="hybridMultilevel"/>
    <w:tmpl w:val="CAB056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7D7132"/>
    <w:multiLevelType w:val="hybridMultilevel"/>
    <w:tmpl w:val="EE8609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29052A"/>
    <w:multiLevelType w:val="hybridMultilevel"/>
    <w:tmpl w:val="B4AA61E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560390"/>
    <w:multiLevelType w:val="hybridMultilevel"/>
    <w:tmpl w:val="26A2739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BA"/>
    <w:rsid w:val="00004044"/>
    <w:rsid w:val="000134E6"/>
    <w:rsid w:val="000722AF"/>
    <w:rsid w:val="00091C22"/>
    <w:rsid w:val="0013605A"/>
    <w:rsid w:val="00155EB1"/>
    <w:rsid w:val="00174A54"/>
    <w:rsid w:val="0018710C"/>
    <w:rsid w:val="001B275B"/>
    <w:rsid w:val="001B2E92"/>
    <w:rsid w:val="001C6F21"/>
    <w:rsid w:val="002217E7"/>
    <w:rsid w:val="00227C2C"/>
    <w:rsid w:val="002A16F7"/>
    <w:rsid w:val="002B27FA"/>
    <w:rsid w:val="002B6EE1"/>
    <w:rsid w:val="002C1953"/>
    <w:rsid w:val="002E0399"/>
    <w:rsid w:val="002E4ECD"/>
    <w:rsid w:val="0030376F"/>
    <w:rsid w:val="003234C0"/>
    <w:rsid w:val="00352DFC"/>
    <w:rsid w:val="00354BFE"/>
    <w:rsid w:val="00355F6A"/>
    <w:rsid w:val="00367D22"/>
    <w:rsid w:val="003718C9"/>
    <w:rsid w:val="00374CD1"/>
    <w:rsid w:val="00474EC5"/>
    <w:rsid w:val="004F1E9C"/>
    <w:rsid w:val="00505D59"/>
    <w:rsid w:val="00522794"/>
    <w:rsid w:val="00551C90"/>
    <w:rsid w:val="0056392F"/>
    <w:rsid w:val="00565F27"/>
    <w:rsid w:val="005C698B"/>
    <w:rsid w:val="006356FD"/>
    <w:rsid w:val="00645829"/>
    <w:rsid w:val="006B2873"/>
    <w:rsid w:val="006D7777"/>
    <w:rsid w:val="00711A2C"/>
    <w:rsid w:val="007B71B9"/>
    <w:rsid w:val="007D0281"/>
    <w:rsid w:val="007E6D88"/>
    <w:rsid w:val="007F2C65"/>
    <w:rsid w:val="008425B9"/>
    <w:rsid w:val="00877B78"/>
    <w:rsid w:val="00890821"/>
    <w:rsid w:val="008C19A7"/>
    <w:rsid w:val="008E253C"/>
    <w:rsid w:val="009000B1"/>
    <w:rsid w:val="00904F61"/>
    <w:rsid w:val="00906899"/>
    <w:rsid w:val="00916F04"/>
    <w:rsid w:val="009176D0"/>
    <w:rsid w:val="009424C0"/>
    <w:rsid w:val="009467D9"/>
    <w:rsid w:val="00954A5C"/>
    <w:rsid w:val="009568C8"/>
    <w:rsid w:val="009838FE"/>
    <w:rsid w:val="009A5716"/>
    <w:rsid w:val="009B6D7A"/>
    <w:rsid w:val="009C29CA"/>
    <w:rsid w:val="00A50743"/>
    <w:rsid w:val="00A8050F"/>
    <w:rsid w:val="00A83682"/>
    <w:rsid w:val="00A86A18"/>
    <w:rsid w:val="00A87755"/>
    <w:rsid w:val="00A9369A"/>
    <w:rsid w:val="00AD033B"/>
    <w:rsid w:val="00AF5C3B"/>
    <w:rsid w:val="00B5746E"/>
    <w:rsid w:val="00B679AA"/>
    <w:rsid w:val="00B70E81"/>
    <w:rsid w:val="00B72D81"/>
    <w:rsid w:val="00BB5087"/>
    <w:rsid w:val="00C060BA"/>
    <w:rsid w:val="00C2390D"/>
    <w:rsid w:val="00C26A03"/>
    <w:rsid w:val="00C43584"/>
    <w:rsid w:val="00C926CE"/>
    <w:rsid w:val="00CC11CC"/>
    <w:rsid w:val="00CC635C"/>
    <w:rsid w:val="00CD6604"/>
    <w:rsid w:val="00D14084"/>
    <w:rsid w:val="00D66E5E"/>
    <w:rsid w:val="00D84A3E"/>
    <w:rsid w:val="00DB0AA1"/>
    <w:rsid w:val="00DE1FEE"/>
    <w:rsid w:val="00E368FA"/>
    <w:rsid w:val="00E84EA4"/>
    <w:rsid w:val="00EC47B4"/>
    <w:rsid w:val="00ED111F"/>
    <w:rsid w:val="00EF63A4"/>
    <w:rsid w:val="00F063C9"/>
    <w:rsid w:val="00F20509"/>
    <w:rsid w:val="00F309F5"/>
    <w:rsid w:val="00F33D7D"/>
    <w:rsid w:val="00F36948"/>
    <w:rsid w:val="00F41812"/>
    <w:rsid w:val="00F74CE8"/>
    <w:rsid w:val="00F77EBB"/>
    <w:rsid w:val="00FA3795"/>
    <w:rsid w:val="00FA4469"/>
    <w:rsid w:val="00FC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5B6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
    <w:name w:val="Body Text"/>
    <w:basedOn w:val="Normal"/>
    <w:pPr>
      <w:jc w:val="center"/>
    </w:pPr>
    <w:rPr>
      <w:rFonts w:ascii="Times New Roman" w:hAnsi="Times New Roman"/>
      <w:sz w:val="24"/>
      <w:u w:val="single"/>
    </w:rPr>
  </w:style>
  <w:style w:type="paragraph" w:styleId="BodyText2">
    <w:name w:val="Body Text 2"/>
    <w:basedOn w:val="Normal"/>
    <w:rPr>
      <w:rFonts w:ascii="Times New Roman" w:hAnsi="Times New Roman"/>
      <w:sz w:val="24"/>
    </w:rPr>
  </w:style>
  <w:style w:type="paragraph" w:styleId="BodyText3">
    <w:name w:val="Body Text 3"/>
    <w:basedOn w:val="Normal"/>
    <w:pPr>
      <w:jc w:val="center"/>
    </w:pPr>
    <w:rPr>
      <w:rFonts w:ascii="Times New Roman" w:hAnsi="Times New Roman"/>
      <w:b/>
      <w:i/>
      <w:sz w:val="24"/>
      <w:u w:val="single"/>
    </w:rPr>
  </w:style>
  <w:style w:type="paragraph" w:styleId="Header">
    <w:name w:val="header"/>
    <w:basedOn w:val="Normal"/>
    <w:link w:val="HeaderChar"/>
    <w:rsid w:val="002B27FA"/>
    <w:pPr>
      <w:tabs>
        <w:tab w:val="center" w:pos="4680"/>
        <w:tab w:val="right" w:pos="9360"/>
      </w:tabs>
    </w:pPr>
  </w:style>
  <w:style w:type="character" w:customStyle="1" w:styleId="HeaderChar">
    <w:name w:val="Header Char"/>
    <w:link w:val="Header"/>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rsid w:val="00CC635C"/>
    <w:rPr>
      <w:color w:val="0000FF"/>
      <w:u w:val="single"/>
    </w:rPr>
  </w:style>
  <w:style w:type="paragraph" w:customStyle="1" w:styleId="Default">
    <w:name w:val="Default"/>
    <w:rsid w:val="00CC635C"/>
    <w:pPr>
      <w:autoSpaceDE w:val="0"/>
      <w:autoSpaceDN w:val="0"/>
      <w:adjustRightInd w:val="0"/>
    </w:pPr>
    <w:rPr>
      <w:color w:val="000000"/>
      <w:sz w:val="24"/>
      <w:szCs w:val="24"/>
      <w:lang w:eastAsia="en-US"/>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FollowedHyperlink">
    <w:name w:val="FollowedHyperlink"/>
    <w:rsid w:val="009568C8"/>
    <w:rPr>
      <w:color w:val="954F72"/>
      <w:u w:val="single"/>
    </w:rPr>
  </w:style>
  <w:style w:type="paragraph" w:styleId="FootnoteText">
    <w:name w:val="footnote text"/>
    <w:basedOn w:val="Normal"/>
    <w:link w:val="FootnoteTextChar"/>
    <w:rsid w:val="00174A54"/>
    <w:rPr>
      <w:rFonts w:ascii="Arial" w:hAnsi="Arial" w:cs="Arial"/>
      <w:szCs w:val="20"/>
    </w:rPr>
  </w:style>
  <w:style w:type="character" w:customStyle="1" w:styleId="FootnoteTextChar">
    <w:name w:val="Footnote Text Char"/>
    <w:link w:val="FootnoteText"/>
    <w:rsid w:val="00174A54"/>
    <w:rPr>
      <w:rFonts w:ascii="Arial" w:hAnsi="Arial" w:cs="Arial"/>
      <w:lang w:eastAsia="en-US"/>
    </w:rPr>
  </w:style>
  <w:style w:type="character" w:styleId="CommentReference">
    <w:name w:val="annotation reference"/>
    <w:basedOn w:val="DefaultParagraphFont"/>
    <w:rsid w:val="00CC11CC"/>
    <w:rPr>
      <w:sz w:val="16"/>
      <w:szCs w:val="16"/>
    </w:rPr>
  </w:style>
  <w:style w:type="paragraph" w:styleId="CommentText">
    <w:name w:val="annotation text"/>
    <w:basedOn w:val="Normal"/>
    <w:link w:val="CommentTextChar"/>
    <w:rsid w:val="00CC11CC"/>
    <w:rPr>
      <w:szCs w:val="20"/>
    </w:rPr>
  </w:style>
  <w:style w:type="character" w:customStyle="1" w:styleId="CommentTextChar">
    <w:name w:val="Comment Text Char"/>
    <w:basedOn w:val="DefaultParagraphFont"/>
    <w:link w:val="CommentText"/>
    <w:rsid w:val="00CC11CC"/>
    <w:rPr>
      <w:rFonts w:ascii="Courier" w:hAnsi="Courier"/>
      <w:lang w:eastAsia="en-US"/>
    </w:rPr>
  </w:style>
  <w:style w:type="paragraph" w:styleId="CommentSubject">
    <w:name w:val="annotation subject"/>
    <w:basedOn w:val="CommentText"/>
    <w:next w:val="CommentText"/>
    <w:link w:val="CommentSubjectChar"/>
    <w:rsid w:val="00CC11CC"/>
    <w:rPr>
      <w:b/>
      <w:bCs/>
    </w:rPr>
  </w:style>
  <w:style w:type="character" w:customStyle="1" w:styleId="CommentSubjectChar">
    <w:name w:val="Comment Subject Char"/>
    <w:basedOn w:val="CommentTextChar"/>
    <w:link w:val="CommentSubject"/>
    <w:rsid w:val="00CC11CC"/>
    <w:rPr>
      <w:rFonts w:ascii="Courier" w:hAnsi="Courier"/>
      <w:b/>
      <w:bCs/>
      <w:lang w:eastAsia="en-US"/>
    </w:rPr>
  </w:style>
  <w:style w:type="paragraph" w:styleId="PlainText">
    <w:name w:val="Plain Text"/>
    <w:basedOn w:val="Normal"/>
    <w:link w:val="PlainTextChar"/>
    <w:uiPriority w:val="99"/>
    <w:rsid w:val="004F1E9C"/>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uiPriority w:val="99"/>
    <w:rsid w:val="004F1E9C"/>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
    <w:name w:val="Body Text"/>
    <w:basedOn w:val="Normal"/>
    <w:pPr>
      <w:jc w:val="center"/>
    </w:pPr>
    <w:rPr>
      <w:rFonts w:ascii="Times New Roman" w:hAnsi="Times New Roman"/>
      <w:sz w:val="24"/>
      <w:u w:val="single"/>
    </w:rPr>
  </w:style>
  <w:style w:type="paragraph" w:styleId="BodyText2">
    <w:name w:val="Body Text 2"/>
    <w:basedOn w:val="Normal"/>
    <w:rPr>
      <w:rFonts w:ascii="Times New Roman" w:hAnsi="Times New Roman"/>
      <w:sz w:val="24"/>
    </w:rPr>
  </w:style>
  <w:style w:type="paragraph" w:styleId="BodyText3">
    <w:name w:val="Body Text 3"/>
    <w:basedOn w:val="Normal"/>
    <w:pPr>
      <w:jc w:val="center"/>
    </w:pPr>
    <w:rPr>
      <w:rFonts w:ascii="Times New Roman" w:hAnsi="Times New Roman"/>
      <w:b/>
      <w:i/>
      <w:sz w:val="24"/>
      <w:u w:val="single"/>
    </w:rPr>
  </w:style>
  <w:style w:type="paragraph" w:styleId="Header">
    <w:name w:val="header"/>
    <w:basedOn w:val="Normal"/>
    <w:link w:val="HeaderChar"/>
    <w:rsid w:val="002B27FA"/>
    <w:pPr>
      <w:tabs>
        <w:tab w:val="center" w:pos="4680"/>
        <w:tab w:val="right" w:pos="9360"/>
      </w:tabs>
    </w:pPr>
  </w:style>
  <w:style w:type="character" w:customStyle="1" w:styleId="HeaderChar">
    <w:name w:val="Header Char"/>
    <w:link w:val="Header"/>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rsid w:val="00CC635C"/>
    <w:rPr>
      <w:color w:val="0000FF"/>
      <w:u w:val="single"/>
    </w:rPr>
  </w:style>
  <w:style w:type="paragraph" w:customStyle="1" w:styleId="Default">
    <w:name w:val="Default"/>
    <w:rsid w:val="00CC635C"/>
    <w:pPr>
      <w:autoSpaceDE w:val="0"/>
      <w:autoSpaceDN w:val="0"/>
      <w:adjustRightInd w:val="0"/>
    </w:pPr>
    <w:rPr>
      <w:color w:val="000000"/>
      <w:sz w:val="24"/>
      <w:szCs w:val="24"/>
      <w:lang w:eastAsia="en-US"/>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FollowedHyperlink">
    <w:name w:val="FollowedHyperlink"/>
    <w:rsid w:val="009568C8"/>
    <w:rPr>
      <w:color w:val="954F72"/>
      <w:u w:val="single"/>
    </w:rPr>
  </w:style>
  <w:style w:type="paragraph" w:styleId="FootnoteText">
    <w:name w:val="footnote text"/>
    <w:basedOn w:val="Normal"/>
    <w:link w:val="FootnoteTextChar"/>
    <w:rsid w:val="00174A54"/>
    <w:rPr>
      <w:rFonts w:ascii="Arial" w:hAnsi="Arial" w:cs="Arial"/>
      <w:szCs w:val="20"/>
    </w:rPr>
  </w:style>
  <w:style w:type="character" w:customStyle="1" w:styleId="FootnoteTextChar">
    <w:name w:val="Footnote Text Char"/>
    <w:link w:val="FootnoteText"/>
    <w:rsid w:val="00174A54"/>
    <w:rPr>
      <w:rFonts w:ascii="Arial" w:hAnsi="Arial" w:cs="Arial"/>
      <w:lang w:eastAsia="en-US"/>
    </w:rPr>
  </w:style>
  <w:style w:type="character" w:styleId="CommentReference">
    <w:name w:val="annotation reference"/>
    <w:basedOn w:val="DefaultParagraphFont"/>
    <w:rsid w:val="00CC11CC"/>
    <w:rPr>
      <w:sz w:val="16"/>
      <w:szCs w:val="16"/>
    </w:rPr>
  </w:style>
  <w:style w:type="paragraph" w:styleId="CommentText">
    <w:name w:val="annotation text"/>
    <w:basedOn w:val="Normal"/>
    <w:link w:val="CommentTextChar"/>
    <w:rsid w:val="00CC11CC"/>
    <w:rPr>
      <w:szCs w:val="20"/>
    </w:rPr>
  </w:style>
  <w:style w:type="character" w:customStyle="1" w:styleId="CommentTextChar">
    <w:name w:val="Comment Text Char"/>
    <w:basedOn w:val="DefaultParagraphFont"/>
    <w:link w:val="CommentText"/>
    <w:rsid w:val="00CC11CC"/>
    <w:rPr>
      <w:rFonts w:ascii="Courier" w:hAnsi="Courier"/>
      <w:lang w:eastAsia="en-US"/>
    </w:rPr>
  </w:style>
  <w:style w:type="paragraph" w:styleId="CommentSubject">
    <w:name w:val="annotation subject"/>
    <w:basedOn w:val="CommentText"/>
    <w:next w:val="CommentText"/>
    <w:link w:val="CommentSubjectChar"/>
    <w:rsid w:val="00CC11CC"/>
    <w:rPr>
      <w:b/>
      <w:bCs/>
    </w:rPr>
  </w:style>
  <w:style w:type="character" w:customStyle="1" w:styleId="CommentSubjectChar">
    <w:name w:val="Comment Subject Char"/>
    <w:basedOn w:val="CommentTextChar"/>
    <w:link w:val="CommentSubject"/>
    <w:rsid w:val="00CC11CC"/>
    <w:rPr>
      <w:rFonts w:ascii="Courier" w:hAnsi="Courier"/>
      <w:b/>
      <w:bCs/>
      <w:lang w:eastAsia="en-US"/>
    </w:rPr>
  </w:style>
  <w:style w:type="paragraph" w:styleId="PlainText">
    <w:name w:val="Plain Text"/>
    <w:basedOn w:val="Normal"/>
    <w:link w:val="PlainTextChar"/>
    <w:uiPriority w:val="99"/>
    <w:rsid w:val="004F1E9C"/>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uiPriority w:val="99"/>
    <w:rsid w:val="004F1E9C"/>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51348-DD3C-48ED-8AE3-7BF4939A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7021</CharactersWithSpaces>
  <SharedDoc>false</SharedDoc>
  <HLinks>
    <vt:vector size="6" baseType="variant">
      <vt:variant>
        <vt:i4>1048682</vt:i4>
      </vt:variant>
      <vt:variant>
        <vt:i4>0</vt:i4>
      </vt:variant>
      <vt:variant>
        <vt:i4>0</vt:i4>
      </vt:variant>
      <vt:variant>
        <vt:i4>5</vt:i4>
      </vt:variant>
      <vt:variant>
        <vt:lpwstr>http://www.fincen.gov/statutes_regs/ChapterX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SYSTEM</cp:lastModifiedBy>
  <cp:revision>2</cp:revision>
  <cp:lastPrinted>2018-10-01T11:23:00Z</cp:lastPrinted>
  <dcterms:created xsi:type="dcterms:W3CDTF">2018-10-25T13:38:00Z</dcterms:created>
  <dcterms:modified xsi:type="dcterms:W3CDTF">2018-10-25T13:38:00Z</dcterms:modified>
</cp:coreProperties>
</file>