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F6" w:rsidRDefault="00582B3A" w:rsidP="00582B3A">
      <w:pPr>
        <w:pStyle w:val="Heading1"/>
        <w:spacing w:before="0" w:after="240"/>
      </w:pPr>
      <w:bookmarkStart w:id="0" w:name="_GoBack"/>
      <w:bookmarkEnd w:id="0"/>
      <w:r>
        <w:t xml:space="preserve">PONL </w:t>
      </w:r>
      <w:r w:rsidR="00C32ED1">
        <w:t>Application</w:t>
      </w:r>
      <w:r>
        <w:t xml:space="preserve"> </w:t>
      </w:r>
      <w:r w:rsidR="00D07168">
        <w:t xml:space="preserve">Data Fields for OMB Control No. 1513–0023, Environmental Information and Supplemental Information on Water Quality Consideration under 31 U.S.C. 1341(a). </w:t>
      </w:r>
    </w:p>
    <w:p w:rsidR="00D07168" w:rsidRDefault="00D07168" w:rsidP="00D07168">
      <w:pPr>
        <w:spacing w:after="0"/>
      </w:pPr>
      <w:r>
        <w:t>The Alcohol and Tobacco Tax and Trade Bureau (TTB) has established the “</w:t>
      </w:r>
      <w:r w:rsidR="00582B3A">
        <w:t>Permits Online</w:t>
      </w:r>
      <w:r>
        <w:t>”</w:t>
      </w:r>
      <w:r w:rsidR="00582B3A">
        <w:t xml:space="preserve"> (PONL) </w:t>
      </w:r>
      <w:r>
        <w:t xml:space="preserve">system to allow </w:t>
      </w:r>
      <w:r w:rsidR="00582B3A">
        <w:t xml:space="preserve">alcohol and tobacco-related TTB permit applicants to complete, sign, and submit such applications to TTB electronically via the TTB website.  </w:t>
      </w:r>
      <w:r>
        <w:t xml:space="preserve">Information, registration for, and user access to PONL may be found on the TTB website at </w:t>
      </w:r>
      <w:hyperlink r:id="rId8" w:history="1">
        <w:r w:rsidRPr="00311B81">
          <w:rPr>
            <w:rStyle w:val="Hyperlink"/>
          </w:rPr>
          <w:t>https://www.ttb.gov/ponl/permits-online.shtml</w:t>
        </w:r>
      </w:hyperlink>
      <w:r>
        <w:t xml:space="preserve">. </w:t>
      </w:r>
    </w:p>
    <w:p w:rsidR="00D07168" w:rsidRDefault="00D07168" w:rsidP="00582B3A">
      <w:pPr>
        <w:spacing w:after="0"/>
      </w:pPr>
    </w:p>
    <w:p w:rsidR="008602A7" w:rsidRDefault="00582B3A" w:rsidP="00582B3A">
      <w:pPr>
        <w:spacing w:after="0"/>
      </w:pPr>
      <w:r>
        <w:t>The PONL system consists of various</w:t>
      </w:r>
      <w:r w:rsidR="00D07168">
        <w:t xml:space="preserve"> OMB-approved</w:t>
      </w:r>
      <w:r>
        <w:t xml:space="preserve"> information collections</w:t>
      </w:r>
      <w:r w:rsidR="00D07168">
        <w:t>,</w:t>
      </w:r>
      <w:r>
        <w:t xml:space="preserve"> and </w:t>
      </w:r>
      <w:r w:rsidR="00D07168">
        <w:t xml:space="preserve">PONL </w:t>
      </w:r>
      <w:r>
        <w:t xml:space="preserve">replaces the paper forms associated with those collections. </w:t>
      </w:r>
      <w:r w:rsidR="00D07168">
        <w:t xml:space="preserve"> </w:t>
      </w:r>
      <w:r>
        <w:t xml:space="preserve">Included among the information collections </w:t>
      </w:r>
      <w:r w:rsidR="00D07168">
        <w:t xml:space="preserve">contained </w:t>
      </w:r>
      <w:r>
        <w:t xml:space="preserve">in PONL is </w:t>
      </w:r>
      <w:r w:rsidRPr="00D07168">
        <w:rPr>
          <w:u w:val="single"/>
        </w:rPr>
        <w:t>OMB Control No. 1513–0023, Environmental Information and Supplemental Information on Water Quality Consideration under 31 U.S.C. 1341(a).</w:t>
      </w:r>
      <w:r>
        <w:t xml:space="preserve">  The PONL data fields related to </w:t>
      </w:r>
      <w:r w:rsidR="00D07168">
        <w:t xml:space="preserve">OMB Control No. </w:t>
      </w:r>
      <w:r>
        <w:t xml:space="preserve">1513–0023 replace forms TTB </w:t>
      </w:r>
      <w:r w:rsidR="00D07168">
        <w:t>F </w:t>
      </w:r>
      <w:r>
        <w:t>5000.29, Environ</w:t>
      </w:r>
      <w:r w:rsidR="00D07168">
        <w:t>mental Information, and TTB F </w:t>
      </w:r>
      <w:r>
        <w:t>5000.30,</w:t>
      </w:r>
      <w:r w:rsidRPr="00582B3A">
        <w:t xml:space="preserve"> </w:t>
      </w:r>
      <w:r>
        <w:t xml:space="preserve">Supplemental Information on Water Quality Consideration under 31 U.S.C. 1341(a).   </w:t>
      </w:r>
      <w:r w:rsidR="008602A7">
        <w:t xml:space="preserve">The </w:t>
      </w:r>
      <w:r>
        <w:t xml:space="preserve">data fields </w:t>
      </w:r>
      <w:r w:rsidR="008602A7">
        <w:t xml:space="preserve">for OMB Control No. 1513–0023 </w:t>
      </w:r>
      <w:r>
        <w:t xml:space="preserve">are the same </w:t>
      </w:r>
      <w:r w:rsidR="00D07168">
        <w:t xml:space="preserve">for </w:t>
      </w:r>
      <w:r w:rsidR="008602A7">
        <w:t xml:space="preserve">each type of alcohol and tobacco permit application available in PONL. </w:t>
      </w:r>
    </w:p>
    <w:p w:rsidR="008602A7" w:rsidRDefault="008602A7" w:rsidP="00582B3A">
      <w:pPr>
        <w:spacing w:after="0"/>
      </w:pPr>
    </w:p>
    <w:p w:rsidR="008602A7" w:rsidRDefault="008602A7" w:rsidP="00582B3A">
      <w:pPr>
        <w:spacing w:after="0"/>
      </w:pPr>
      <w:r>
        <w:t xml:space="preserve">PONL data fields related to the applicant’s name, contact, and other identifying information, and the applicant’s business name and location, </w:t>
      </w:r>
      <w:r w:rsidR="00D07168">
        <w:t>are</w:t>
      </w:r>
      <w:r>
        <w:t xml:space="preserve"> approved under the OMB control numbers for the specific type of alcohol </w:t>
      </w:r>
      <w:r w:rsidR="00D07168">
        <w:t xml:space="preserve">or tobacco permit applied for. </w:t>
      </w:r>
    </w:p>
    <w:p w:rsidR="008602A7" w:rsidRDefault="008602A7" w:rsidP="00582B3A">
      <w:pPr>
        <w:spacing w:after="0"/>
      </w:pPr>
    </w:p>
    <w:p w:rsidR="008602A7" w:rsidRDefault="00D07168" w:rsidP="008602A7">
      <w:pPr>
        <w:spacing w:after="0"/>
      </w:pPr>
      <w:r>
        <w:t>Specific to this information collection request,</w:t>
      </w:r>
      <w:r w:rsidR="008602A7">
        <w:t xml:space="preserve"> OMB Control No. 1513–0023, are the PONL data fields</w:t>
      </w:r>
      <w:r w:rsidR="001C658F">
        <w:t xml:space="preserve"> shown below</w:t>
      </w:r>
      <w:r>
        <w:t>, unless otherwise noted</w:t>
      </w:r>
      <w:r w:rsidR="001C658F">
        <w:t>.</w:t>
      </w:r>
      <w:r w:rsidR="008602A7">
        <w:t xml:space="preserve"> </w:t>
      </w:r>
    </w:p>
    <w:p w:rsidR="008602A7" w:rsidRDefault="008602A7" w:rsidP="00582B3A">
      <w:pPr>
        <w:spacing w:after="0"/>
      </w:pPr>
    </w:p>
    <w:p w:rsidR="008602A7" w:rsidRDefault="008602A7" w:rsidP="00582B3A">
      <w:pPr>
        <w:spacing w:after="0"/>
      </w:pPr>
    </w:p>
    <w:p w:rsidR="00193F87" w:rsidRDefault="00193F8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193F87" w:rsidRDefault="00193F87" w:rsidP="00193F87">
      <w:pPr>
        <w:pStyle w:val="Heading3"/>
      </w:pPr>
      <w:r>
        <w:lastRenderedPageBreak/>
        <w:t>Welcome Page</w:t>
      </w:r>
    </w:p>
    <w:p w:rsidR="00193F87" w:rsidRPr="00C34A08" w:rsidRDefault="00193F87" w:rsidP="00193F87">
      <w:r>
        <w:t>This page is displayed when the user goes to the Permits Online website</w:t>
      </w:r>
      <w:r w:rsidR="003E11C2">
        <w:t xml:space="preserve">. </w:t>
      </w:r>
      <w:r w:rsidR="00D07168">
        <w:t xml:space="preserve"> </w:t>
      </w:r>
      <w:r w:rsidR="003E11C2">
        <w:t>This page includes the links to the Privacy Act Statem</w:t>
      </w:r>
      <w:r w:rsidR="008C0116">
        <w:t>e</w:t>
      </w:r>
      <w:r w:rsidR="003E11C2">
        <w:t>nt, Privacy Impact Assessment and Paperwork Reduction Act Notice.</w:t>
      </w:r>
      <w:r w:rsidR="00D07168">
        <w:t xml:space="preserve">  OMB Control No. 1513–0023 is not subject to the Privacy Act</w:t>
      </w:r>
      <w:r w:rsidR="00354C71">
        <w:t>, and the Privacy Act Statement and Privacy Impact Assessment for PONL is therefore not shown here.  T</w:t>
      </w:r>
      <w:r w:rsidR="00D07168">
        <w:t xml:space="preserve">he Paperwork Reduction Act notice shown below covers all the information collections contained in PONL. </w:t>
      </w:r>
    </w:p>
    <w:p w:rsidR="00193F87" w:rsidRDefault="00193F87" w:rsidP="00193F87">
      <w:r>
        <w:rPr>
          <w:noProof/>
        </w:rPr>
        <w:drawing>
          <wp:inline distT="0" distB="0" distL="0" distR="0" wp14:anchorId="3232C96E" wp14:editId="61663C14">
            <wp:extent cx="6858000" cy="6353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58F" w:rsidRPr="001C658F" w:rsidRDefault="001C658F" w:rsidP="001C658F"/>
    <w:p w:rsidR="00193F87" w:rsidRDefault="00193F8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13094C" w:rsidRDefault="0013094C" w:rsidP="00B267D0">
      <w:pPr>
        <w:pStyle w:val="Heading3"/>
      </w:pPr>
      <w:r>
        <w:lastRenderedPageBreak/>
        <w:t>Paperwork Reduction Act Notice Page</w:t>
      </w:r>
    </w:p>
    <w:p w:rsidR="00354C71" w:rsidRDefault="0013094C" w:rsidP="0013094C">
      <w:r>
        <w:t>This page displays the Paperwork Reduction Act Notice for the Permits Online application</w:t>
      </w:r>
      <w:r w:rsidR="00354C71">
        <w:t xml:space="preserve">, including those for the two forms contained in OMB Control No. 1513–0023: </w:t>
      </w:r>
    </w:p>
    <w:p w:rsidR="0013094C" w:rsidRPr="0013094C" w:rsidRDefault="0013094C" w:rsidP="0013094C">
      <w:r>
        <w:rPr>
          <w:noProof/>
        </w:rPr>
        <w:drawing>
          <wp:inline distT="0" distB="0" distL="0" distR="0" wp14:anchorId="2A1BB12B" wp14:editId="036899AA">
            <wp:extent cx="6858000" cy="413194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3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71" w:rsidRDefault="00354C71"/>
    <w:p w:rsidR="00354C71" w:rsidRPr="00354C71" w:rsidRDefault="00354C71" w:rsidP="005B511D">
      <w:pPr>
        <w:rPr>
          <w:sz w:val="28"/>
          <w:szCs w:val="28"/>
        </w:rPr>
      </w:pPr>
      <w:r w:rsidRPr="00354C71">
        <w:rPr>
          <w:sz w:val="28"/>
          <w:szCs w:val="28"/>
        </w:rPr>
        <w:t xml:space="preserve">Information collection data fields specific to OMB Control No. 1513–0023, and equivalent </w:t>
      </w:r>
      <w:r>
        <w:rPr>
          <w:sz w:val="28"/>
          <w:szCs w:val="28"/>
        </w:rPr>
        <w:t xml:space="preserve">to </w:t>
      </w:r>
      <w:r w:rsidRPr="00354C71">
        <w:rPr>
          <w:sz w:val="28"/>
          <w:szCs w:val="28"/>
        </w:rPr>
        <w:t>those on form TTB F 5000.29, Environmental Information, and TTB F 5000.30, Supplemental Information on Water Quality Consideration under 31 U.S.C. 1341(a)</w:t>
      </w:r>
      <w:r>
        <w:rPr>
          <w:sz w:val="28"/>
          <w:szCs w:val="28"/>
        </w:rPr>
        <w:t>, are shown below</w:t>
      </w:r>
      <w:r w:rsidRPr="00354C71">
        <w:rPr>
          <w:sz w:val="28"/>
          <w:szCs w:val="28"/>
        </w:rPr>
        <w:t xml:space="preserve">:  </w:t>
      </w:r>
    </w:p>
    <w:p w:rsidR="00963883" w:rsidRDefault="008669BB" w:rsidP="005B511D">
      <w:r>
        <w:rPr>
          <w:noProof/>
        </w:rPr>
        <w:drawing>
          <wp:inline distT="0" distB="0" distL="0" distR="0" wp14:anchorId="5EDBB678" wp14:editId="2DF3FDC6">
            <wp:extent cx="6858000" cy="8169275"/>
            <wp:effectExtent l="19050" t="0" r="0" b="0"/>
            <wp:docPr id="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77" w:rsidRDefault="00577D77" w:rsidP="005B511D"/>
    <w:p w:rsidR="00577D77" w:rsidRDefault="001C658F" w:rsidP="005B51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B6927" wp14:editId="41DDB6F0">
                <wp:simplePos x="0" y="0"/>
                <wp:positionH relativeFrom="column">
                  <wp:posOffset>209550</wp:posOffset>
                </wp:positionH>
                <wp:positionV relativeFrom="paragraph">
                  <wp:posOffset>4914900</wp:posOffset>
                </wp:positionV>
                <wp:extent cx="6543675" cy="28670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86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BFDF5B" id="Rectangle 3" o:spid="_x0000_s1026" style="position:absolute;margin-left:16.5pt;margin-top:387pt;width:515.25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" fillcolor="white [3212]" stroked="f" strokeweight="2pt"/>
            </w:pict>
          </mc:Fallback>
        </mc:AlternateContent>
      </w:r>
      <w:r w:rsidR="008669BB">
        <w:rPr>
          <w:noProof/>
        </w:rPr>
        <w:drawing>
          <wp:inline distT="0" distB="0" distL="0" distR="0" wp14:anchorId="71BFF0BF" wp14:editId="6B83CE3D">
            <wp:extent cx="6849110" cy="7849870"/>
            <wp:effectExtent l="0" t="0" r="8890" b="0"/>
            <wp:docPr id="4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7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77" w:rsidRPr="001C658F" w:rsidRDefault="001C658F" w:rsidP="001C658F">
      <w:pPr>
        <w:rPr>
          <w:sz w:val="28"/>
          <w:szCs w:val="28"/>
        </w:rPr>
      </w:pPr>
      <w:r w:rsidRPr="001C658F">
        <w:rPr>
          <w:sz w:val="28"/>
          <w:szCs w:val="28"/>
        </w:rPr>
        <w:t>End of data fields related to OMB Control No. 1513–0023, and equivalent to those on form TTB F 5000.29, Environmental Information, and TTB F 5000.30, Supplemental Information on Water Quality Consideration under 31 U.S.C. 1341(a)</w:t>
      </w:r>
      <w:r>
        <w:rPr>
          <w:sz w:val="28"/>
          <w:szCs w:val="28"/>
        </w:rPr>
        <w:t xml:space="preserve">. </w:t>
      </w:r>
    </w:p>
    <w:p w:rsidR="00963883" w:rsidRDefault="00963883" w:rsidP="005B511D"/>
    <w:p w:rsidR="00D41622" w:rsidRDefault="00D41622" w:rsidP="005B511D">
      <w:r>
        <w:t xml:space="preserve">Once the application is submitted, the Record Submittal page appears indicating the Application Tracking Number and Penalty of Perjury statement. </w:t>
      </w:r>
    </w:p>
    <w:p w:rsidR="00963883" w:rsidRDefault="009A6A73" w:rsidP="005B511D">
      <w:r>
        <w:rPr>
          <w:noProof/>
        </w:rPr>
        <w:drawing>
          <wp:inline distT="0" distB="0" distL="0" distR="0" wp14:anchorId="3A8BE7EE" wp14:editId="244D7359">
            <wp:extent cx="5630655" cy="6467475"/>
            <wp:effectExtent l="0" t="0" r="8255" b="0"/>
            <wp:docPr id="4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26" cy="64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19" w:rsidRDefault="00CF6119" w:rsidP="005B511D">
      <w:r>
        <w:rPr>
          <w:noProof/>
        </w:rPr>
        <w:drawing>
          <wp:inline distT="0" distB="0" distL="0" distR="0" wp14:anchorId="4A4EE7A9" wp14:editId="501A1F6D">
            <wp:extent cx="4914900" cy="3257240"/>
            <wp:effectExtent l="0" t="0" r="0" b="635"/>
            <wp:docPr id="4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541" cy="326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34F" w:rsidRDefault="001C658F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END OF PONL.</w:t>
      </w:r>
    </w:p>
    <w:sectPr w:rsidR="0034334F" w:rsidSect="00B267D0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EC" w:rsidRDefault="00BC30EC" w:rsidP="00D41622">
      <w:pPr>
        <w:spacing w:after="0" w:line="240" w:lineRule="auto"/>
      </w:pPr>
      <w:r>
        <w:separator/>
      </w:r>
    </w:p>
  </w:endnote>
  <w:endnote w:type="continuationSeparator" w:id="0">
    <w:p w:rsidR="00BC30EC" w:rsidRDefault="00BC30EC" w:rsidP="00D4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22" w:rsidRDefault="00D41622" w:rsidP="00D41622">
    <w:pPr>
      <w:pStyle w:val="Footer"/>
      <w:jc w:val="right"/>
    </w:pPr>
    <w:r>
      <w:t xml:space="preserve">Page </w:t>
    </w:r>
    <w:sdt>
      <w:sdtPr>
        <w:id w:val="1232424"/>
        <w:docPartObj>
          <w:docPartGallery w:val="Page Numbers (Bottom of Page)"/>
          <w:docPartUnique/>
        </w:docPartObj>
      </w:sdtPr>
      <w:sdtEndPr/>
      <w:sdtContent>
        <w:r w:rsidR="007127E7">
          <w:rPr>
            <w:noProof/>
          </w:rPr>
          <w:fldChar w:fldCharType="begin"/>
        </w:r>
        <w:r w:rsidR="007127E7">
          <w:rPr>
            <w:noProof/>
          </w:rPr>
          <w:instrText xml:space="preserve"> PAGE   \* MERGEFORMAT </w:instrText>
        </w:r>
        <w:r w:rsidR="007127E7">
          <w:rPr>
            <w:noProof/>
          </w:rPr>
          <w:fldChar w:fldCharType="separate"/>
        </w:r>
        <w:r w:rsidR="003B2611">
          <w:rPr>
            <w:noProof/>
          </w:rPr>
          <w:t>1</w:t>
        </w:r>
        <w:r w:rsidR="007127E7">
          <w:rPr>
            <w:noProof/>
          </w:rPr>
          <w:fldChar w:fldCharType="end"/>
        </w:r>
      </w:sdtContent>
    </w:sdt>
  </w:p>
  <w:p w:rsidR="00D41622" w:rsidRDefault="00D41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EC" w:rsidRDefault="00BC30EC" w:rsidP="00D41622">
      <w:pPr>
        <w:spacing w:after="0" w:line="240" w:lineRule="auto"/>
      </w:pPr>
      <w:r>
        <w:separator/>
      </w:r>
    </w:p>
  </w:footnote>
  <w:footnote w:type="continuationSeparator" w:id="0">
    <w:p w:rsidR="00BC30EC" w:rsidRDefault="00BC30EC" w:rsidP="00D41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9580A"/>
    <w:multiLevelType w:val="hybridMultilevel"/>
    <w:tmpl w:val="80F0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17"/>
    <w:rsid w:val="00017FE1"/>
    <w:rsid w:val="00023853"/>
    <w:rsid w:val="0003665E"/>
    <w:rsid w:val="0003744F"/>
    <w:rsid w:val="00042A2C"/>
    <w:rsid w:val="0005501A"/>
    <w:rsid w:val="00075899"/>
    <w:rsid w:val="00075F18"/>
    <w:rsid w:val="0008232A"/>
    <w:rsid w:val="00085D33"/>
    <w:rsid w:val="000C74CC"/>
    <w:rsid w:val="000D226E"/>
    <w:rsid w:val="000D7D93"/>
    <w:rsid w:val="000F7F4A"/>
    <w:rsid w:val="00102602"/>
    <w:rsid w:val="001067E6"/>
    <w:rsid w:val="00107E96"/>
    <w:rsid w:val="00110D7F"/>
    <w:rsid w:val="001133D9"/>
    <w:rsid w:val="00124C64"/>
    <w:rsid w:val="00127FE8"/>
    <w:rsid w:val="0013094C"/>
    <w:rsid w:val="00144EE9"/>
    <w:rsid w:val="001506E2"/>
    <w:rsid w:val="00151A8D"/>
    <w:rsid w:val="00153F66"/>
    <w:rsid w:val="0015572C"/>
    <w:rsid w:val="00161113"/>
    <w:rsid w:val="0017604C"/>
    <w:rsid w:val="00180533"/>
    <w:rsid w:val="00180D90"/>
    <w:rsid w:val="0018190E"/>
    <w:rsid w:val="00185D46"/>
    <w:rsid w:val="001871B9"/>
    <w:rsid w:val="00193F87"/>
    <w:rsid w:val="001950AC"/>
    <w:rsid w:val="00197851"/>
    <w:rsid w:val="00197E8C"/>
    <w:rsid w:val="001A358D"/>
    <w:rsid w:val="001A584D"/>
    <w:rsid w:val="001C0DBC"/>
    <w:rsid w:val="001C658F"/>
    <w:rsid w:val="001D51C8"/>
    <w:rsid w:val="001D546A"/>
    <w:rsid w:val="001D5A7E"/>
    <w:rsid w:val="001E4AA3"/>
    <w:rsid w:val="001E7185"/>
    <w:rsid w:val="001F0BDC"/>
    <w:rsid w:val="001F4F70"/>
    <w:rsid w:val="001F737C"/>
    <w:rsid w:val="00212BE5"/>
    <w:rsid w:val="0022794F"/>
    <w:rsid w:val="00235DBA"/>
    <w:rsid w:val="0024703F"/>
    <w:rsid w:val="00257507"/>
    <w:rsid w:val="00260953"/>
    <w:rsid w:val="00265662"/>
    <w:rsid w:val="00266A4D"/>
    <w:rsid w:val="00280BAB"/>
    <w:rsid w:val="002814F6"/>
    <w:rsid w:val="002840B6"/>
    <w:rsid w:val="002853A8"/>
    <w:rsid w:val="002869C9"/>
    <w:rsid w:val="002931FD"/>
    <w:rsid w:val="002963DE"/>
    <w:rsid w:val="002A67F8"/>
    <w:rsid w:val="002A7981"/>
    <w:rsid w:val="002F3B69"/>
    <w:rsid w:val="00303458"/>
    <w:rsid w:val="003074AC"/>
    <w:rsid w:val="00307BF6"/>
    <w:rsid w:val="00313422"/>
    <w:rsid w:val="003163AB"/>
    <w:rsid w:val="00317893"/>
    <w:rsid w:val="00322A69"/>
    <w:rsid w:val="003235A7"/>
    <w:rsid w:val="0032495B"/>
    <w:rsid w:val="00331CE7"/>
    <w:rsid w:val="0034334F"/>
    <w:rsid w:val="00354C71"/>
    <w:rsid w:val="00366059"/>
    <w:rsid w:val="00366F3E"/>
    <w:rsid w:val="00370AAC"/>
    <w:rsid w:val="00381650"/>
    <w:rsid w:val="003953FC"/>
    <w:rsid w:val="003955FB"/>
    <w:rsid w:val="003A6C94"/>
    <w:rsid w:val="003A7D6C"/>
    <w:rsid w:val="003B2611"/>
    <w:rsid w:val="003B6602"/>
    <w:rsid w:val="003E11C2"/>
    <w:rsid w:val="003E719B"/>
    <w:rsid w:val="00405224"/>
    <w:rsid w:val="00405FE6"/>
    <w:rsid w:val="004107BD"/>
    <w:rsid w:val="004115CB"/>
    <w:rsid w:val="00413EB9"/>
    <w:rsid w:val="00417C92"/>
    <w:rsid w:val="00421354"/>
    <w:rsid w:val="00437E08"/>
    <w:rsid w:val="00460BD7"/>
    <w:rsid w:val="004625C4"/>
    <w:rsid w:val="0047197A"/>
    <w:rsid w:val="00485F01"/>
    <w:rsid w:val="00496191"/>
    <w:rsid w:val="004961AF"/>
    <w:rsid w:val="004A0701"/>
    <w:rsid w:val="004A2371"/>
    <w:rsid w:val="004A3F23"/>
    <w:rsid w:val="004B3758"/>
    <w:rsid w:val="004B6D35"/>
    <w:rsid w:val="004B6ED5"/>
    <w:rsid w:val="004C0C40"/>
    <w:rsid w:val="004C448A"/>
    <w:rsid w:val="004D16FA"/>
    <w:rsid w:val="004F0BC3"/>
    <w:rsid w:val="004F701B"/>
    <w:rsid w:val="00501E99"/>
    <w:rsid w:val="00504D8C"/>
    <w:rsid w:val="00507D17"/>
    <w:rsid w:val="00534C81"/>
    <w:rsid w:val="00545866"/>
    <w:rsid w:val="005518CB"/>
    <w:rsid w:val="00554B55"/>
    <w:rsid w:val="00560969"/>
    <w:rsid w:val="00560F29"/>
    <w:rsid w:val="0056566B"/>
    <w:rsid w:val="005759C9"/>
    <w:rsid w:val="00577D77"/>
    <w:rsid w:val="00580288"/>
    <w:rsid w:val="00582B3A"/>
    <w:rsid w:val="005A4D7B"/>
    <w:rsid w:val="005A66F8"/>
    <w:rsid w:val="005B511D"/>
    <w:rsid w:val="005B5262"/>
    <w:rsid w:val="005C6D03"/>
    <w:rsid w:val="005D3C18"/>
    <w:rsid w:val="005E366A"/>
    <w:rsid w:val="005F27AC"/>
    <w:rsid w:val="005F7B5D"/>
    <w:rsid w:val="00600260"/>
    <w:rsid w:val="006019A4"/>
    <w:rsid w:val="0060258E"/>
    <w:rsid w:val="0060380F"/>
    <w:rsid w:val="00636416"/>
    <w:rsid w:val="00641CE5"/>
    <w:rsid w:val="0064552C"/>
    <w:rsid w:val="00656603"/>
    <w:rsid w:val="006619F2"/>
    <w:rsid w:val="00673774"/>
    <w:rsid w:val="00675A1E"/>
    <w:rsid w:val="006816BB"/>
    <w:rsid w:val="006833D3"/>
    <w:rsid w:val="006833D8"/>
    <w:rsid w:val="00685427"/>
    <w:rsid w:val="006908BA"/>
    <w:rsid w:val="00690DD0"/>
    <w:rsid w:val="006A4409"/>
    <w:rsid w:val="006A5883"/>
    <w:rsid w:val="006C523F"/>
    <w:rsid w:val="006E2160"/>
    <w:rsid w:val="006F00A1"/>
    <w:rsid w:val="006F1624"/>
    <w:rsid w:val="00701293"/>
    <w:rsid w:val="00707E31"/>
    <w:rsid w:val="007127E7"/>
    <w:rsid w:val="00715139"/>
    <w:rsid w:val="00716D16"/>
    <w:rsid w:val="0072200A"/>
    <w:rsid w:val="007222E7"/>
    <w:rsid w:val="00723E9D"/>
    <w:rsid w:val="007274C5"/>
    <w:rsid w:val="007449EA"/>
    <w:rsid w:val="00750C43"/>
    <w:rsid w:val="007773BA"/>
    <w:rsid w:val="007904D8"/>
    <w:rsid w:val="007B6E16"/>
    <w:rsid w:val="007C65D9"/>
    <w:rsid w:val="007D1B0B"/>
    <w:rsid w:val="007D39B0"/>
    <w:rsid w:val="007F0FC8"/>
    <w:rsid w:val="00807CFC"/>
    <w:rsid w:val="008239FB"/>
    <w:rsid w:val="00830724"/>
    <w:rsid w:val="00832006"/>
    <w:rsid w:val="00837BFB"/>
    <w:rsid w:val="008473EC"/>
    <w:rsid w:val="008602A7"/>
    <w:rsid w:val="00863248"/>
    <w:rsid w:val="008648FC"/>
    <w:rsid w:val="008669BB"/>
    <w:rsid w:val="008A442F"/>
    <w:rsid w:val="008A5F8F"/>
    <w:rsid w:val="008C0116"/>
    <w:rsid w:val="008C02D6"/>
    <w:rsid w:val="008C2210"/>
    <w:rsid w:val="008C24D2"/>
    <w:rsid w:val="008C2BAB"/>
    <w:rsid w:val="008C6A12"/>
    <w:rsid w:val="008D790B"/>
    <w:rsid w:val="00900470"/>
    <w:rsid w:val="00910804"/>
    <w:rsid w:val="00946E41"/>
    <w:rsid w:val="00947996"/>
    <w:rsid w:val="00954EF4"/>
    <w:rsid w:val="0095669F"/>
    <w:rsid w:val="00963883"/>
    <w:rsid w:val="00966566"/>
    <w:rsid w:val="0096701E"/>
    <w:rsid w:val="009779BC"/>
    <w:rsid w:val="00981AEE"/>
    <w:rsid w:val="00992AC6"/>
    <w:rsid w:val="00996C12"/>
    <w:rsid w:val="009A1C62"/>
    <w:rsid w:val="009A350A"/>
    <w:rsid w:val="009A6A73"/>
    <w:rsid w:val="009B2F00"/>
    <w:rsid w:val="009D3DCC"/>
    <w:rsid w:val="009D78CE"/>
    <w:rsid w:val="009D7ADC"/>
    <w:rsid w:val="009F19DA"/>
    <w:rsid w:val="009F4CF3"/>
    <w:rsid w:val="009F715B"/>
    <w:rsid w:val="00A145F9"/>
    <w:rsid w:val="00A23ED2"/>
    <w:rsid w:val="00A24089"/>
    <w:rsid w:val="00A30DAA"/>
    <w:rsid w:val="00A31E4D"/>
    <w:rsid w:val="00A601C0"/>
    <w:rsid w:val="00A641EF"/>
    <w:rsid w:val="00A65D3A"/>
    <w:rsid w:val="00A75BB1"/>
    <w:rsid w:val="00A80151"/>
    <w:rsid w:val="00A87E7A"/>
    <w:rsid w:val="00A9647D"/>
    <w:rsid w:val="00AA58C7"/>
    <w:rsid w:val="00AA6D8E"/>
    <w:rsid w:val="00AB6B96"/>
    <w:rsid w:val="00AC2CE8"/>
    <w:rsid w:val="00AD154F"/>
    <w:rsid w:val="00AD326E"/>
    <w:rsid w:val="00AE3AB8"/>
    <w:rsid w:val="00B13098"/>
    <w:rsid w:val="00B230D8"/>
    <w:rsid w:val="00B267D0"/>
    <w:rsid w:val="00B34DAE"/>
    <w:rsid w:val="00B35E90"/>
    <w:rsid w:val="00B45C80"/>
    <w:rsid w:val="00B47ED3"/>
    <w:rsid w:val="00B52A99"/>
    <w:rsid w:val="00B61749"/>
    <w:rsid w:val="00B62DE7"/>
    <w:rsid w:val="00B81AA3"/>
    <w:rsid w:val="00B84CF2"/>
    <w:rsid w:val="00B94521"/>
    <w:rsid w:val="00B94DBF"/>
    <w:rsid w:val="00BA19AA"/>
    <w:rsid w:val="00BC30EC"/>
    <w:rsid w:val="00BD0DCD"/>
    <w:rsid w:val="00BD4026"/>
    <w:rsid w:val="00BD5520"/>
    <w:rsid w:val="00BE0FA6"/>
    <w:rsid w:val="00BE100D"/>
    <w:rsid w:val="00BE6871"/>
    <w:rsid w:val="00BE74C2"/>
    <w:rsid w:val="00BF035A"/>
    <w:rsid w:val="00BF3389"/>
    <w:rsid w:val="00BF6C23"/>
    <w:rsid w:val="00C02B34"/>
    <w:rsid w:val="00C152BC"/>
    <w:rsid w:val="00C16113"/>
    <w:rsid w:val="00C16AEE"/>
    <w:rsid w:val="00C32ED1"/>
    <w:rsid w:val="00C37E00"/>
    <w:rsid w:val="00C40896"/>
    <w:rsid w:val="00C46788"/>
    <w:rsid w:val="00C51FAD"/>
    <w:rsid w:val="00C63A97"/>
    <w:rsid w:val="00C72860"/>
    <w:rsid w:val="00C734AF"/>
    <w:rsid w:val="00C77F24"/>
    <w:rsid w:val="00C80BAA"/>
    <w:rsid w:val="00C84114"/>
    <w:rsid w:val="00C93608"/>
    <w:rsid w:val="00CA5C28"/>
    <w:rsid w:val="00CB2317"/>
    <w:rsid w:val="00CE0A55"/>
    <w:rsid w:val="00CE27F6"/>
    <w:rsid w:val="00CE6914"/>
    <w:rsid w:val="00CF6119"/>
    <w:rsid w:val="00D029A1"/>
    <w:rsid w:val="00D03F8E"/>
    <w:rsid w:val="00D04F22"/>
    <w:rsid w:val="00D06A3B"/>
    <w:rsid w:val="00D07168"/>
    <w:rsid w:val="00D10825"/>
    <w:rsid w:val="00D14AB1"/>
    <w:rsid w:val="00D2009A"/>
    <w:rsid w:val="00D20E2A"/>
    <w:rsid w:val="00D257D3"/>
    <w:rsid w:val="00D26F35"/>
    <w:rsid w:val="00D41622"/>
    <w:rsid w:val="00D425A5"/>
    <w:rsid w:val="00D42E8F"/>
    <w:rsid w:val="00D53C1C"/>
    <w:rsid w:val="00D61E8D"/>
    <w:rsid w:val="00D64D2B"/>
    <w:rsid w:val="00D773C7"/>
    <w:rsid w:val="00D87A3A"/>
    <w:rsid w:val="00D902D0"/>
    <w:rsid w:val="00DA373A"/>
    <w:rsid w:val="00DA3C22"/>
    <w:rsid w:val="00DA535E"/>
    <w:rsid w:val="00DA64E1"/>
    <w:rsid w:val="00DA7425"/>
    <w:rsid w:val="00DB56F7"/>
    <w:rsid w:val="00DC7E78"/>
    <w:rsid w:val="00DD2E4C"/>
    <w:rsid w:val="00DE322B"/>
    <w:rsid w:val="00DE67F2"/>
    <w:rsid w:val="00DE68CA"/>
    <w:rsid w:val="00DF0070"/>
    <w:rsid w:val="00DF239F"/>
    <w:rsid w:val="00E013BB"/>
    <w:rsid w:val="00E13831"/>
    <w:rsid w:val="00E200ED"/>
    <w:rsid w:val="00E328F5"/>
    <w:rsid w:val="00E35A3C"/>
    <w:rsid w:val="00E46B65"/>
    <w:rsid w:val="00E95489"/>
    <w:rsid w:val="00EB0D53"/>
    <w:rsid w:val="00EB1239"/>
    <w:rsid w:val="00EB33D2"/>
    <w:rsid w:val="00ED1500"/>
    <w:rsid w:val="00ED3DE4"/>
    <w:rsid w:val="00ED4804"/>
    <w:rsid w:val="00ED6F3C"/>
    <w:rsid w:val="00F04873"/>
    <w:rsid w:val="00F06551"/>
    <w:rsid w:val="00F06C01"/>
    <w:rsid w:val="00F11059"/>
    <w:rsid w:val="00F13A73"/>
    <w:rsid w:val="00F1710D"/>
    <w:rsid w:val="00F212F3"/>
    <w:rsid w:val="00F24995"/>
    <w:rsid w:val="00F26F17"/>
    <w:rsid w:val="00F303F7"/>
    <w:rsid w:val="00F332EB"/>
    <w:rsid w:val="00F42969"/>
    <w:rsid w:val="00F46538"/>
    <w:rsid w:val="00F62313"/>
    <w:rsid w:val="00F726AB"/>
    <w:rsid w:val="00F7591D"/>
    <w:rsid w:val="00F80BD1"/>
    <w:rsid w:val="00F829AD"/>
    <w:rsid w:val="00F866F7"/>
    <w:rsid w:val="00F91D32"/>
    <w:rsid w:val="00F973D8"/>
    <w:rsid w:val="00FA2C81"/>
    <w:rsid w:val="00FB4C9D"/>
    <w:rsid w:val="00FC3235"/>
    <w:rsid w:val="00FC72A0"/>
    <w:rsid w:val="00FD080E"/>
    <w:rsid w:val="00FD6C89"/>
    <w:rsid w:val="00FE2F06"/>
    <w:rsid w:val="00FE6100"/>
    <w:rsid w:val="00FE6C62"/>
    <w:rsid w:val="00FF702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F6"/>
  </w:style>
  <w:style w:type="paragraph" w:styleId="Heading1">
    <w:name w:val="heading 1"/>
    <w:basedOn w:val="Normal"/>
    <w:next w:val="Normal"/>
    <w:link w:val="Heading1Char"/>
    <w:uiPriority w:val="9"/>
    <w:qFormat/>
    <w:rsid w:val="00B26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6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6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26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622"/>
  </w:style>
  <w:style w:type="paragraph" w:styleId="Footer">
    <w:name w:val="footer"/>
    <w:basedOn w:val="Normal"/>
    <w:link w:val="FooterChar"/>
    <w:uiPriority w:val="99"/>
    <w:unhideWhenUsed/>
    <w:rsid w:val="00D4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22"/>
  </w:style>
  <w:style w:type="character" w:styleId="Hyperlink">
    <w:name w:val="Hyperlink"/>
    <w:basedOn w:val="DefaultParagraphFont"/>
    <w:uiPriority w:val="99"/>
    <w:unhideWhenUsed/>
    <w:rsid w:val="00D07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F6"/>
  </w:style>
  <w:style w:type="paragraph" w:styleId="Heading1">
    <w:name w:val="heading 1"/>
    <w:basedOn w:val="Normal"/>
    <w:next w:val="Normal"/>
    <w:link w:val="Heading1Char"/>
    <w:uiPriority w:val="9"/>
    <w:qFormat/>
    <w:rsid w:val="00B26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6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6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26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622"/>
  </w:style>
  <w:style w:type="paragraph" w:styleId="Footer">
    <w:name w:val="footer"/>
    <w:basedOn w:val="Normal"/>
    <w:link w:val="FooterChar"/>
    <w:uiPriority w:val="99"/>
    <w:unhideWhenUsed/>
    <w:rsid w:val="00D4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22"/>
  </w:style>
  <w:style w:type="character" w:styleId="Hyperlink">
    <w:name w:val="Hyperlink"/>
    <w:basedOn w:val="DefaultParagraphFont"/>
    <w:uiPriority w:val="99"/>
    <w:unhideWhenUsed/>
    <w:rsid w:val="00D07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b.gov/ponl/permits-online.shtml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SYSTEM</cp:lastModifiedBy>
  <cp:revision>2</cp:revision>
  <dcterms:created xsi:type="dcterms:W3CDTF">2018-10-04T00:17:00Z</dcterms:created>
  <dcterms:modified xsi:type="dcterms:W3CDTF">2018-10-04T00:17:00Z</dcterms:modified>
</cp:coreProperties>
</file>