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AC1BE" w14:textId="2E95DF93" w:rsidR="00EF68CA" w:rsidRPr="00B11E2C" w:rsidRDefault="00EF68CA" w:rsidP="00EF68CA">
      <w:pPr>
        <w:suppressAutoHyphens/>
        <w:spacing w:after="120"/>
        <w:jc w:val="center"/>
        <w:rPr>
          <w:rFonts w:ascii="Arial" w:hAnsi="Arial" w:cs="Arial"/>
          <w:b/>
          <w:sz w:val="22"/>
          <w:szCs w:val="22"/>
        </w:rPr>
      </w:pPr>
      <w:bookmarkStart w:id="0" w:name="_GoBack"/>
      <w:bookmarkEnd w:id="0"/>
      <w:r w:rsidRPr="00B11E2C">
        <w:rPr>
          <w:rFonts w:ascii="Arial" w:hAnsi="Arial" w:cs="Arial"/>
          <w:b/>
          <w:sz w:val="22"/>
          <w:szCs w:val="22"/>
        </w:rPr>
        <w:t>DEPARTMENT OF THE TREASURY</w:t>
      </w:r>
      <w:r>
        <w:rPr>
          <w:rFonts w:ascii="Arial" w:hAnsi="Arial" w:cs="Arial"/>
          <w:b/>
          <w:sz w:val="22"/>
          <w:szCs w:val="22"/>
        </w:rPr>
        <w:t xml:space="preserve"> </w:t>
      </w:r>
    </w:p>
    <w:p w14:paraId="7D0777E0" w14:textId="77777777" w:rsidR="00EF68CA" w:rsidRPr="00B11E2C" w:rsidRDefault="00EF68CA" w:rsidP="00EF68CA">
      <w:pPr>
        <w:suppressAutoHyphens/>
        <w:contextualSpacing/>
        <w:jc w:val="center"/>
        <w:rPr>
          <w:rFonts w:ascii="Arial" w:hAnsi="Arial" w:cs="Arial"/>
          <w:b/>
          <w:sz w:val="22"/>
          <w:szCs w:val="22"/>
        </w:rPr>
      </w:pPr>
      <w:r w:rsidRPr="00B11E2C">
        <w:rPr>
          <w:rFonts w:ascii="Arial" w:hAnsi="Arial" w:cs="Arial"/>
          <w:b/>
          <w:sz w:val="22"/>
          <w:szCs w:val="22"/>
        </w:rPr>
        <w:t>ALCOHOL AND TOBACCO TAX AND TRADE BUREAU</w:t>
      </w:r>
      <w:r>
        <w:rPr>
          <w:rFonts w:ascii="Arial" w:hAnsi="Arial" w:cs="Arial"/>
          <w:b/>
          <w:sz w:val="22"/>
          <w:szCs w:val="22"/>
        </w:rPr>
        <w:t xml:space="preserve"> </w:t>
      </w:r>
    </w:p>
    <w:p w14:paraId="228ED51F" w14:textId="77777777" w:rsidR="00EF68CA" w:rsidRPr="006E7D9A" w:rsidRDefault="00EF68CA" w:rsidP="00EF68CA">
      <w:pPr>
        <w:suppressAutoHyphens/>
        <w:contextualSpacing/>
        <w:jc w:val="center"/>
        <w:rPr>
          <w:rFonts w:ascii="Arial" w:hAnsi="Arial" w:cs="Arial"/>
          <w:sz w:val="28"/>
          <w:szCs w:val="28"/>
        </w:rPr>
      </w:pPr>
    </w:p>
    <w:p w14:paraId="5C92CCC5" w14:textId="77777777" w:rsidR="00EF68CA" w:rsidRPr="00B11E2C" w:rsidRDefault="00EF68CA" w:rsidP="00EF68CA">
      <w:pPr>
        <w:suppressAutoHyphens/>
        <w:contextualSpacing/>
        <w:jc w:val="center"/>
        <w:rPr>
          <w:rFonts w:ascii="Arial" w:hAnsi="Arial" w:cs="Arial"/>
          <w:b/>
          <w:sz w:val="22"/>
          <w:szCs w:val="22"/>
        </w:rPr>
      </w:pPr>
      <w:r w:rsidRPr="00B11E2C">
        <w:rPr>
          <w:rFonts w:ascii="Arial" w:hAnsi="Arial" w:cs="Arial"/>
          <w:b/>
          <w:sz w:val="22"/>
          <w:szCs w:val="22"/>
        </w:rPr>
        <w:t>Supporting Statement — Information Collection Request</w:t>
      </w:r>
      <w:r>
        <w:rPr>
          <w:rFonts w:ascii="Arial" w:hAnsi="Arial" w:cs="Arial"/>
          <w:b/>
          <w:sz w:val="22"/>
          <w:szCs w:val="22"/>
        </w:rPr>
        <w:t xml:space="preserve"> </w:t>
      </w:r>
    </w:p>
    <w:p w14:paraId="06C6787D" w14:textId="77777777" w:rsidR="00EF68CA" w:rsidRPr="006107AC" w:rsidRDefault="00EF68CA" w:rsidP="00EF68CA">
      <w:pPr>
        <w:suppressAutoHyphens/>
        <w:contextualSpacing/>
        <w:jc w:val="center"/>
        <w:rPr>
          <w:rFonts w:ascii="Arial" w:hAnsi="Arial" w:cs="Arial"/>
          <w:sz w:val="28"/>
          <w:szCs w:val="28"/>
        </w:rPr>
      </w:pPr>
    </w:p>
    <w:p w14:paraId="0708FB80" w14:textId="0FF3B225" w:rsidR="00EF68CA" w:rsidRPr="00CA373C" w:rsidRDefault="00EF68CA" w:rsidP="00EF68CA">
      <w:pPr>
        <w:suppressAutoHyphens/>
        <w:contextualSpacing/>
        <w:jc w:val="center"/>
        <w:rPr>
          <w:rFonts w:ascii="Arial" w:hAnsi="Arial" w:cs="Arial"/>
          <w:b/>
          <w:sz w:val="22"/>
          <w:szCs w:val="22"/>
        </w:rPr>
      </w:pPr>
      <w:r w:rsidRPr="00CA373C">
        <w:rPr>
          <w:rFonts w:ascii="Arial" w:hAnsi="Arial" w:cs="Arial"/>
          <w:b/>
          <w:sz w:val="22"/>
          <w:szCs w:val="22"/>
        </w:rPr>
        <w:t xml:space="preserve">Application for Basic Permit under the Federal Alcohol Administration Act </w:t>
      </w:r>
    </w:p>
    <w:p w14:paraId="7EA517CA" w14:textId="77777777" w:rsidR="00EF68CA" w:rsidRPr="006E7D9A" w:rsidRDefault="00EF68CA" w:rsidP="00EF68CA">
      <w:pPr>
        <w:suppressAutoHyphens/>
        <w:contextualSpacing/>
        <w:jc w:val="center"/>
        <w:rPr>
          <w:rFonts w:ascii="Arial" w:hAnsi="Arial" w:cs="Arial"/>
          <w:sz w:val="28"/>
          <w:szCs w:val="28"/>
        </w:rPr>
      </w:pPr>
    </w:p>
    <w:p w14:paraId="1E8EACBA" w14:textId="72F3ACC8" w:rsidR="00EF68CA" w:rsidRPr="00CA373C" w:rsidRDefault="00EF68CA" w:rsidP="00EF68CA">
      <w:pPr>
        <w:suppressAutoHyphens/>
        <w:contextualSpacing/>
        <w:jc w:val="center"/>
        <w:rPr>
          <w:rFonts w:ascii="Arial" w:hAnsi="Arial" w:cs="Arial"/>
          <w:b/>
          <w:sz w:val="22"/>
          <w:szCs w:val="22"/>
          <w:u w:val="single"/>
        </w:rPr>
      </w:pPr>
      <w:r w:rsidRPr="00CA373C">
        <w:rPr>
          <w:rFonts w:ascii="Arial" w:hAnsi="Arial" w:cs="Arial"/>
          <w:b/>
          <w:sz w:val="22"/>
          <w:szCs w:val="22"/>
          <w:u w:val="single"/>
        </w:rPr>
        <w:t xml:space="preserve">OMB Control Number 1513–0018 </w:t>
      </w:r>
    </w:p>
    <w:p w14:paraId="62851749" w14:textId="77777777" w:rsidR="00EF68CA" w:rsidRPr="00CA373C" w:rsidRDefault="00EF68CA" w:rsidP="00EF68CA">
      <w:pPr>
        <w:suppressAutoHyphens/>
        <w:contextualSpacing/>
        <w:rPr>
          <w:rFonts w:ascii="Arial" w:hAnsi="Arial" w:cs="Arial"/>
          <w:sz w:val="36"/>
          <w:szCs w:val="36"/>
        </w:rPr>
      </w:pPr>
    </w:p>
    <w:p w14:paraId="26DB42CF" w14:textId="3443BF89" w:rsidR="00EF68CA" w:rsidRPr="00B11E2C" w:rsidRDefault="00EF68CA" w:rsidP="00EF68CA">
      <w:pPr>
        <w:contextualSpacing/>
        <w:rPr>
          <w:rFonts w:ascii="Arial" w:hAnsi="Arial" w:cs="Arial"/>
          <w:sz w:val="22"/>
          <w:szCs w:val="22"/>
          <w:u w:val="single"/>
        </w:rPr>
      </w:pPr>
      <w:r w:rsidRPr="00B11E2C">
        <w:rPr>
          <w:rFonts w:ascii="Arial" w:hAnsi="Arial" w:cs="Arial"/>
          <w:sz w:val="22"/>
          <w:szCs w:val="22"/>
          <w:u w:val="single"/>
        </w:rPr>
        <w:t>Information Collection</w:t>
      </w:r>
      <w:r w:rsidR="00CA373C">
        <w:rPr>
          <w:rFonts w:ascii="Arial" w:hAnsi="Arial" w:cs="Arial"/>
          <w:sz w:val="22"/>
          <w:szCs w:val="22"/>
          <w:u w:val="single"/>
        </w:rPr>
        <w:t xml:space="preserve"> Instrument</w:t>
      </w:r>
      <w:r w:rsidRPr="00B11E2C">
        <w:rPr>
          <w:rFonts w:ascii="Arial" w:hAnsi="Arial" w:cs="Arial"/>
          <w:sz w:val="22"/>
          <w:szCs w:val="22"/>
          <w:u w:val="single"/>
        </w:rPr>
        <w:t xml:space="preserve">s Issued under this Title: </w:t>
      </w:r>
    </w:p>
    <w:p w14:paraId="449EB945" w14:textId="77777777" w:rsidR="00EF68CA" w:rsidRPr="00B11E2C" w:rsidRDefault="00EF68CA" w:rsidP="00EF68CA">
      <w:pPr>
        <w:suppressAutoHyphens/>
        <w:contextualSpacing/>
        <w:rPr>
          <w:rFonts w:ascii="Arial" w:hAnsi="Arial" w:cs="Arial"/>
          <w:sz w:val="22"/>
          <w:szCs w:val="22"/>
        </w:rPr>
      </w:pPr>
    </w:p>
    <w:p w14:paraId="18365D24" w14:textId="2877239A" w:rsidR="00EF68CA" w:rsidRDefault="00EF68CA" w:rsidP="00CA373C">
      <w:pPr>
        <w:pStyle w:val="ListParagraph"/>
        <w:numPr>
          <w:ilvl w:val="0"/>
          <w:numId w:val="6"/>
        </w:numPr>
        <w:suppressAutoHyphens/>
        <w:spacing w:after="120" w:line="0" w:lineRule="atLeast"/>
        <w:ind w:left="547"/>
        <w:contextualSpacing w:val="0"/>
        <w:rPr>
          <w:rFonts w:ascii="Arial" w:hAnsi="Arial" w:cs="Arial"/>
          <w:sz w:val="22"/>
          <w:szCs w:val="22"/>
        </w:rPr>
      </w:pPr>
      <w:r w:rsidRPr="006107AC">
        <w:rPr>
          <w:rFonts w:ascii="Arial" w:hAnsi="Arial" w:cs="Arial"/>
          <w:sz w:val="22"/>
          <w:szCs w:val="22"/>
        </w:rPr>
        <w:t xml:space="preserve">TTB F </w:t>
      </w:r>
      <w:r>
        <w:rPr>
          <w:rFonts w:ascii="Arial" w:hAnsi="Arial" w:cs="Arial"/>
          <w:sz w:val="22"/>
          <w:szCs w:val="22"/>
        </w:rPr>
        <w:t xml:space="preserve">5100.24, Application for Basic Permit under the Federal Alcohol Administration Act. </w:t>
      </w:r>
    </w:p>
    <w:p w14:paraId="7D9D94AC" w14:textId="246C4199" w:rsidR="00CA373C" w:rsidRDefault="00CA373C" w:rsidP="00C172B8">
      <w:pPr>
        <w:pStyle w:val="ListParagraph"/>
        <w:numPr>
          <w:ilvl w:val="0"/>
          <w:numId w:val="6"/>
        </w:numPr>
        <w:suppressAutoHyphens/>
        <w:spacing w:after="120"/>
        <w:ind w:left="547"/>
        <w:contextualSpacing w:val="0"/>
        <w:rPr>
          <w:rFonts w:ascii="Arial" w:hAnsi="Arial" w:cs="Arial"/>
          <w:sz w:val="22"/>
          <w:szCs w:val="22"/>
        </w:rPr>
      </w:pPr>
      <w:r>
        <w:rPr>
          <w:rFonts w:ascii="Arial" w:hAnsi="Arial" w:cs="Arial"/>
          <w:sz w:val="22"/>
          <w:szCs w:val="22"/>
        </w:rPr>
        <w:t xml:space="preserve">Permits Online (PONL), </w:t>
      </w:r>
      <w:r w:rsidR="00C172B8">
        <w:rPr>
          <w:rFonts w:ascii="Arial" w:hAnsi="Arial" w:cs="Arial"/>
          <w:sz w:val="22"/>
          <w:szCs w:val="22"/>
        </w:rPr>
        <w:t xml:space="preserve">New Alcohol Beverage </w:t>
      </w:r>
      <w:r>
        <w:rPr>
          <w:rFonts w:ascii="Arial" w:hAnsi="Arial" w:cs="Arial"/>
          <w:sz w:val="22"/>
          <w:szCs w:val="22"/>
        </w:rPr>
        <w:t>Application</w:t>
      </w:r>
      <w:r w:rsidR="005C0AED">
        <w:rPr>
          <w:rFonts w:ascii="Arial" w:hAnsi="Arial" w:cs="Arial"/>
          <w:sz w:val="22"/>
          <w:szCs w:val="22"/>
        </w:rPr>
        <w:t>s</w:t>
      </w:r>
      <w:r>
        <w:rPr>
          <w:rFonts w:ascii="Arial" w:hAnsi="Arial" w:cs="Arial"/>
          <w:sz w:val="22"/>
          <w:szCs w:val="22"/>
        </w:rPr>
        <w:t xml:space="preserve"> </w:t>
      </w:r>
      <w:r w:rsidR="005C0AED">
        <w:rPr>
          <w:rFonts w:ascii="Arial" w:hAnsi="Arial" w:cs="Arial"/>
          <w:sz w:val="22"/>
          <w:szCs w:val="22"/>
        </w:rPr>
        <w:t>(</w:t>
      </w:r>
      <w:r w:rsidR="00C172B8">
        <w:rPr>
          <w:rFonts w:ascii="Arial" w:hAnsi="Arial" w:cs="Arial"/>
          <w:sz w:val="22"/>
          <w:szCs w:val="22"/>
        </w:rPr>
        <w:t xml:space="preserve">equivalent to TTB F 5100.18 for new beverage Distilled Spirits Plants and Bonded Wine Premises </w:t>
      </w:r>
      <w:r w:rsidR="005C58DC">
        <w:rPr>
          <w:rFonts w:ascii="Arial" w:hAnsi="Arial" w:cs="Arial"/>
          <w:sz w:val="22"/>
          <w:szCs w:val="22"/>
        </w:rPr>
        <w:t xml:space="preserve">FAA Act </w:t>
      </w:r>
      <w:r w:rsidR="00C172B8">
        <w:rPr>
          <w:rFonts w:ascii="Arial" w:hAnsi="Arial" w:cs="Arial"/>
          <w:sz w:val="22"/>
          <w:szCs w:val="22"/>
        </w:rPr>
        <w:t xml:space="preserve">applications). </w:t>
      </w:r>
    </w:p>
    <w:p w14:paraId="52F8B82A" w14:textId="22D31CD1" w:rsidR="00C172B8" w:rsidRDefault="00C172B8" w:rsidP="00C172B8">
      <w:pPr>
        <w:pStyle w:val="ListParagraph"/>
        <w:numPr>
          <w:ilvl w:val="0"/>
          <w:numId w:val="6"/>
        </w:numPr>
        <w:suppressAutoHyphens/>
        <w:ind w:left="547"/>
        <w:contextualSpacing w:val="0"/>
        <w:rPr>
          <w:rFonts w:ascii="Arial" w:hAnsi="Arial" w:cs="Arial"/>
          <w:sz w:val="22"/>
          <w:szCs w:val="22"/>
        </w:rPr>
      </w:pPr>
      <w:r>
        <w:rPr>
          <w:rFonts w:ascii="Arial" w:hAnsi="Arial" w:cs="Arial"/>
          <w:sz w:val="22"/>
          <w:szCs w:val="22"/>
        </w:rPr>
        <w:t xml:space="preserve">Permits Online (PONL), New Alcohol Wholesaler / Importer Application (equivalent to TTB F 5100.18 for alcohol beverage Wholesaler and Importer </w:t>
      </w:r>
      <w:r w:rsidR="005C58DC">
        <w:rPr>
          <w:rFonts w:ascii="Arial" w:hAnsi="Arial" w:cs="Arial"/>
          <w:sz w:val="22"/>
          <w:szCs w:val="22"/>
        </w:rPr>
        <w:t xml:space="preserve">FAA Act basic permit </w:t>
      </w:r>
      <w:r>
        <w:rPr>
          <w:rFonts w:ascii="Arial" w:hAnsi="Arial" w:cs="Arial"/>
          <w:sz w:val="22"/>
          <w:szCs w:val="22"/>
        </w:rPr>
        <w:t xml:space="preserve">applications). </w:t>
      </w:r>
    </w:p>
    <w:p w14:paraId="789FF615" w14:textId="77777777" w:rsidR="00EF68CA" w:rsidRPr="006107AC" w:rsidRDefault="00EF68CA" w:rsidP="00EF68CA">
      <w:pPr>
        <w:suppressAutoHyphens/>
        <w:rPr>
          <w:rFonts w:ascii="Arial" w:hAnsi="Arial" w:cs="Arial"/>
          <w:sz w:val="36"/>
          <w:szCs w:val="36"/>
        </w:rPr>
      </w:pPr>
    </w:p>
    <w:p w14:paraId="2BB072D3" w14:textId="77777777" w:rsidR="00EF68CA" w:rsidRPr="007A5D4B" w:rsidRDefault="00EF68CA" w:rsidP="00EF68CA">
      <w:pPr>
        <w:suppressAutoHyphens/>
        <w:rPr>
          <w:rFonts w:ascii="Arial" w:hAnsi="Arial" w:cs="Arial"/>
          <w:b/>
          <w:sz w:val="22"/>
          <w:szCs w:val="22"/>
          <w:u w:val="single"/>
        </w:rPr>
      </w:pPr>
      <w:r w:rsidRPr="007A5D4B">
        <w:rPr>
          <w:rFonts w:ascii="Arial" w:hAnsi="Arial" w:cs="Arial"/>
          <w:b/>
          <w:sz w:val="22"/>
          <w:szCs w:val="22"/>
          <w:u w:val="single"/>
        </w:rPr>
        <w:t xml:space="preserve">A.  Justification </w:t>
      </w:r>
    </w:p>
    <w:p w14:paraId="42C88654" w14:textId="588CFC62" w:rsidR="00EF68CA" w:rsidRPr="00EF68CA" w:rsidRDefault="00EF68CA" w:rsidP="00D73D2D">
      <w:pPr>
        <w:suppressAutoHyphens/>
        <w:rPr>
          <w:rFonts w:ascii="Arial" w:hAnsi="Arial" w:cs="Arial"/>
          <w:sz w:val="28"/>
          <w:szCs w:val="28"/>
        </w:rPr>
      </w:pPr>
    </w:p>
    <w:p w14:paraId="2FB27B17"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6D28EC6E" w14:textId="77777777" w:rsidR="00AF1157" w:rsidRDefault="00AF1157" w:rsidP="008B146B">
      <w:pPr>
        <w:ind w:left="360"/>
        <w:rPr>
          <w:rFonts w:ascii="Arial" w:hAnsi="Arial" w:cs="Arial"/>
          <w:sz w:val="22"/>
          <w:szCs w:val="22"/>
        </w:rPr>
      </w:pPr>
    </w:p>
    <w:p w14:paraId="14276791" w14:textId="7E942716" w:rsidR="00987432" w:rsidRDefault="00CF1C87" w:rsidP="00987432">
      <w:pPr>
        <w:ind w:left="360"/>
        <w:rPr>
          <w:rFonts w:ascii="Arial" w:hAnsi="Arial" w:cs="Arial"/>
          <w:sz w:val="22"/>
          <w:szCs w:val="22"/>
        </w:rPr>
      </w:pPr>
      <w:r w:rsidRPr="00987432">
        <w:rPr>
          <w:rFonts w:ascii="Arial" w:hAnsi="Arial" w:cs="Arial"/>
          <w:sz w:val="22"/>
          <w:szCs w:val="22"/>
        </w:rPr>
        <w:t>The Alcohol and Tobacco Tax and Trade Bureau (TTB) administers the F</w:t>
      </w:r>
      <w:r w:rsidR="00030CEB" w:rsidRPr="00987432">
        <w:rPr>
          <w:rFonts w:ascii="Arial" w:hAnsi="Arial" w:cs="Arial"/>
          <w:sz w:val="22"/>
          <w:szCs w:val="22"/>
        </w:rPr>
        <w:t>ederal Alcohol Administration Act (F</w:t>
      </w:r>
      <w:r w:rsidRPr="00987432">
        <w:rPr>
          <w:rFonts w:ascii="Arial" w:hAnsi="Arial" w:cs="Arial"/>
          <w:sz w:val="22"/>
          <w:szCs w:val="22"/>
        </w:rPr>
        <w:t>AA Act</w:t>
      </w:r>
      <w:r w:rsidR="003A4DFA" w:rsidRPr="00987432">
        <w:rPr>
          <w:rFonts w:ascii="Arial" w:hAnsi="Arial" w:cs="Arial"/>
          <w:sz w:val="22"/>
          <w:szCs w:val="22"/>
        </w:rPr>
        <w:t xml:space="preserve">, 27 U.S.C. </w:t>
      </w:r>
      <w:r w:rsidR="00987432">
        <w:rPr>
          <w:rFonts w:ascii="Arial" w:hAnsi="Arial" w:cs="Arial"/>
          <w:sz w:val="22"/>
          <w:szCs w:val="22"/>
        </w:rPr>
        <w:t>chapter 8</w:t>
      </w:r>
      <w:r w:rsidR="00030CEB" w:rsidRPr="00987432">
        <w:rPr>
          <w:rFonts w:ascii="Arial" w:hAnsi="Arial" w:cs="Arial"/>
          <w:sz w:val="22"/>
          <w:szCs w:val="22"/>
        </w:rPr>
        <w:t>)</w:t>
      </w:r>
      <w:r w:rsidR="00B508E9" w:rsidRPr="00987432">
        <w:rPr>
          <w:rFonts w:ascii="Arial" w:hAnsi="Arial" w:cs="Arial"/>
          <w:sz w:val="22"/>
          <w:szCs w:val="22"/>
        </w:rPr>
        <w:t xml:space="preserve">, </w:t>
      </w:r>
      <w:r w:rsidR="00987432" w:rsidRPr="00AE3BCD">
        <w:rPr>
          <w:rFonts w:ascii="Arial" w:hAnsi="Arial" w:cs="Arial"/>
          <w:sz w:val="22"/>
          <w:szCs w:val="22"/>
        </w:rPr>
        <w:t>pursuant to section 1111(d) of the Homeland Securit</w:t>
      </w:r>
      <w:r w:rsidR="00987432">
        <w:rPr>
          <w:rFonts w:ascii="Arial" w:hAnsi="Arial" w:cs="Arial"/>
          <w:sz w:val="22"/>
          <w:szCs w:val="22"/>
        </w:rPr>
        <w:t>y Act of 2002, as codified at 6 </w:t>
      </w:r>
      <w:r w:rsidR="00987432" w:rsidRPr="00AE3BCD">
        <w:rPr>
          <w:rFonts w:ascii="Arial" w:hAnsi="Arial" w:cs="Arial"/>
          <w:sz w:val="22"/>
          <w:szCs w:val="22"/>
        </w:rPr>
        <w:t xml:space="preserve">U.S.C. 531(d).  In addition, the Secretary of the Treasury has delegated certain </w:t>
      </w:r>
      <w:r w:rsidR="00EF68CA">
        <w:rPr>
          <w:rFonts w:ascii="Arial" w:hAnsi="Arial" w:cs="Arial"/>
          <w:sz w:val="22"/>
          <w:szCs w:val="22"/>
        </w:rPr>
        <w:t xml:space="preserve">FAA Act </w:t>
      </w:r>
      <w:r w:rsidR="00987432" w:rsidRPr="00AE3BCD">
        <w:rPr>
          <w:rFonts w:ascii="Arial" w:hAnsi="Arial" w:cs="Arial"/>
          <w:sz w:val="22"/>
          <w:szCs w:val="22"/>
        </w:rPr>
        <w:t xml:space="preserve">administrative and enforcement authorities to TTB through Treasury Department Order 120–01. </w:t>
      </w:r>
    </w:p>
    <w:p w14:paraId="21BCEB10" w14:textId="3B8F743A" w:rsidR="000B6799" w:rsidRDefault="000B6799" w:rsidP="00987432">
      <w:pPr>
        <w:ind w:left="360"/>
        <w:rPr>
          <w:rFonts w:ascii="Arial" w:hAnsi="Arial" w:cs="Arial"/>
          <w:sz w:val="22"/>
          <w:szCs w:val="22"/>
        </w:rPr>
      </w:pPr>
    </w:p>
    <w:p w14:paraId="6EF0A71E" w14:textId="5431045F" w:rsidR="004B61AE" w:rsidRDefault="00EF68CA" w:rsidP="004B61AE">
      <w:pPr>
        <w:ind w:left="360"/>
        <w:rPr>
          <w:rFonts w:ascii="Arial" w:hAnsi="Arial" w:cs="Arial"/>
          <w:sz w:val="22"/>
          <w:szCs w:val="22"/>
        </w:rPr>
      </w:pPr>
      <w:r>
        <w:rPr>
          <w:rFonts w:ascii="Arial" w:hAnsi="Arial" w:cs="Arial"/>
          <w:sz w:val="22"/>
          <w:szCs w:val="22"/>
        </w:rPr>
        <w:t>In order to effectively regulate interstate and foreign commerce in alcohol beverages, enforce the 21</w:t>
      </w:r>
      <w:r w:rsidRPr="00EF68CA">
        <w:rPr>
          <w:rFonts w:ascii="Arial" w:hAnsi="Arial" w:cs="Arial"/>
          <w:sz w:val="22"/>
          <w:szCs w:val="22"/>
          <w:vertAlign w:val="superscript"/>
        </w:rPr>
        <w:t>st</w:t>
      </w:r>
      <w:r>
        <w:rPr>
          <w:rFonts w:ascii="Arial" w:hAnsi="Arial" w:cs="Arial"/>
          <w:sz w:val="22"/>
          <w:szCs w:val="22"/>
        </w:rPr>
        <w:t xml:space="preserve"> </w:t>
      </w:r>
      <w:r w:rsidR="006F177E">
        <w:rPr>
          <w:rFonts w:ascii="Arial" w:hAnsi="Arial" w:cs="Arial"/>
          <w:sz w:val="22"/>
          <w:szCs w:val="22"/>
        </w:rPr>
        <w:t>a</w:t>
      </w:r>
      <w:r>
        <w:rPr>
          <w:rFonts w:ascii="Arial" w:hAnsi="Arial" w:cs="Arial"/>
          <w:sz w:val="22"/>
          <w:szCs w:val="22"/>
        </w:rPr>
        <w:t>mendment to the Constitution</w:t>
      </w:r>
      <w:r w:rsidR="004B61AE">
        <w:rPr>
          <w:rFonts w:ascii="Arial" w:hAnsi="Arial" w:cs="Arial"/>
          <w:sz w:val="22"/>
          <w:szCs w:val="22"/>
        </w:rPr>
        <w:t xml:space="preserve"> of the United States</w:t>
      </w:r>
      <w:r>
        <w:rPr>
          <w:rFonts w:ascii="Arial" w:hAnsi="Arial" w:cs="Arial"/>
          <w:sz w:val="22"/>
          <w:szCs w:val="22"/>
        </w:rPr>
        <w:t xml:space="preserve">, protect the revenue, </w:t>
      </w:r>
      <w:r w:rsidR="00BF11CE">
        <w:rPr>
          <w:rFonts w:ascii="Arial" w:hAnsi="Arial" w:cs="Arial"/>
          <w:sz w:val="22"/>
          <w:szCs w:val="22"/>
        </w:rPr>
        <w:t>and e</w:t>
      </w:r>
      <w:r w:rsidR="00BF11CE" w:rsidRPr="00BF11CE">
        <w:rPr>
          <w:rFonts w:ascii="Arial" w:hAnsi="Arial" w:cs="Arial"/>
          <w:sz w:val="22"/>
          <w:szCs w:val="22"/>
        </w:rPr>
        <w:t xml:space="preserve">nforce </w:t>
      </w:r>
      <w:r w:rsidR="00CF799C">
        <w:rPr>
          <w:rFonts w:ascii="Arial" w:hAnsi="Arial" w:cs="Arial"/>
          <w:sz w:val="22"/>
          <w:szCs w:val="22"/>
        </w:rPr>
        <w:t xml:space="preserve">the </w:t>
      </w:r>
      <w:r w:rsidR="00BF11CE" w:rsidRPr="00BF11CE">
        <w:rPr>
          <w:rFonts w:ascii="Arial" w:hAnsi="Arial" w:cs="Arial"/>
          <w:sz w:val="22"/>
          <w:szCs w:val="22"/>
        </w:rPr>
        <w:t xml:space="preserve">postal laws with respect to </w:t>
      </w:r>
      <w:r w:rsidR="00BF11CE">
        <w:rPr>
          <w:rFonts w:ascii="Arial" w:hAnsi="Arial" w:cs="Arial"/>
          <w:sz w:val="22"/>
          <w:szCs w:val="22"/>
        </w:rPr>
        <w:t xml:space="preserve">alcohol beverages, </w:t>
      </w:r>
      <w:r w:rsidR="004B61AE">
        <w:rPr>
          <w:rFonts w:ascii="Arial" w:hAnsi="Arial" w:cs="Arial"/>
          <w:sz w:val="22"/>
          <w:szCs w:val="22"/>
        </w:rPr>
        <w:t>s</w:t>
      </w:r>
      <w:r w:rsidR="004B61AE" w:rsidRPr="004B61AE">
        <w:rPr>
          <w:rFonts w:ascii="Arial" w:hAnsi="Arial" w:cs="Arial"/>
          <w:sz w:val="22"/>
          <w:szCs w:val="22"/>
        </w:rPr>
        <w:t>ection 103 of the F</w:t>
      </w:r>
      <w:r w:rsidR="004B61AE">
        <w:rPr>
          <w:rFonts w:ascii="Arial" w:hAnsi="Arial" w:cs="Arial"/>
          <w:sz w:val="22"/>
          <w:szCs w:val="22"/>
        </w:rPr>
        <w:t>AA Act (27</w:t>
      </w:r>
      <w:r w:rsidR="004B61AE" w:rsidRPr="004B61AE">
        <w:rPr>
          <w:rFonts w:ascii="Arial" w:hAnsi="Arial" w:cs="Arial"/>
          <w:sz w:val="22"/>
          <w:szCs w:val="22"/>
        </w:rPr>
        <w:t xml:space="preserve"> U.S.C. 203) requires that </w:t>
      </w:r>
      <w:r w:rsidR="004B61AE">
        <w:rPr>
          <w:rFonts w:ascii="Arial" w:hAnsi="Arial" w:cs="Arial"/>
          <w:sz w:val="22"/>
          <w:szCs w:val="22"/>
        </w:rPr>
        <w:t xml:space="preserve">a </w:t>
      </w:r>
      <w:r w:rsidR="004B61AE" w:rsidRPr="004B61AE">
        <w:rPr>
          <w:rFonts w:ascii="Arial" w:hAnsi="Arial" w:cs="Arial"/>
          <w:sz w:val="22"/>
          <w:szCs w:val="22"/>
        </w:rPr>
        <w:t xml:space="preserve">person must apply to the Secretary for a "basic permit" before beginning business as (1) an importer into the United States of distilled spirits, wine, or malt beverages, (2) a producer of distilled spirits or wine, or (3) a wholesaler of distilled spirits, wine, or malt beverages.  In addition, section 104 of the FAA Act (27 U.S.C. 204(c)) </w:t>
      </w:r>
      <w:r w:rsidR="00932151">
        <w:rPr>
          <w:rFonts w:ascii="Arial" w:hAnsi="Arial" w:cs="Arial"/>
          <w:sz w:val="22"/>
          <w:szCs w:val="22"/>
        </w:rPr>
        <w:t xml:space="preserve">describes who is and who is not </w:t>
      </w:r>
      <w:r w:rsidR="004B61AE" w:rsidRPr="004B61AE">
        <w:rPr>
          <w:rFonts w:ascii="Arial" w:hAnsi="Arial" w:cs="Arial"/>
          <w:sz w:val="22"/>
          <w:szCs w:val="22"/>
        </w:rPr>
        <w:t xml:space="preserve">entitled to a basic permit, and it authorizes the Secretary to prescribe the manner and form of, and the information required in, basic permit applications.  </w:t>
      </w:r>
    </w:p>
    <w:p w14:paraId="0F969AD9" w14:textId="77777777" w:rsidR="004B61AE" w:rsidRDefault="004B61AE" w:rsidP="004B61AE">
      <w:pPr>
        <w:ind w:left="360"/>
        <w:rPr>
          <w:rFonts w:ascii="Arial" w:hAnsi="Arial" w:cs="Arial"/>
          <w:sz w:val="22"/>
          <w:szCs w:val="22"/>
        </w:rPr>
      </w:pPr>
    </w:p>
    <w:p w14:paraId="5AB046DE" w14:textId="71906438" w:rsidR="00932151" w:rsidRDefault="004B61AE" w:rsidP="004B61AE">
      <w:pPr>
        <w:ind w:left="360"/>
        <w:rPr>
          <w:rFonts w:ascii="Arial" w:hAnsi="Arial" w:cs="Arial"/>
          <w:sz w:val="22"/>
          <w:szCs w:val="22"/>
        </w:rPr>
      </w:pPr>
      <w:r w:rsidRPr="004B61AE">
        <w:rPr>
          <w:rFonts w:ascii="Arial" w:hAnsi="Arial" w:cs="Arial"/>
          <w:sz w:val="22"/>
          <w:szCs w:val="22"/>
        </w:rPr>
        <w:t>Under these authorities, the</w:t>
      </w:r>
      <w:r>
        <w:rPr>
          <w:rFonts w:ascii="Arial" w:hAnsi="Arial" w:cs="Arial"/>
          <w:sz w:val="22"/>
          <w:szCs w:val="22"/>
        </w:rPr>
        <w:t xml:space="preserve"> TTB regulations in 27 CFR part </w:t>
      </w:r>
      <w:r w:rsidRPr="004B61AE">
        <w:rPr>
          <w:rFonts w:ascii="Arial" w:hAnsi="Arial" w:cs="Arial"/>
          <w:sz w:val="22"/>
          <w:szCs w:val="22"/>
        </w:rPr>
        <w:t>1</w:t>
      </w:r>
      <w:r>
        <w:rPr>
          <w:rFonts w:ascii="Arial" w:hAnsi="Arial" w:cs="Arial"/>
          <w:sz w:val="22"/>
          <w:szCs w:val="22"/>
        </w:rPr>
        <w:t xml:space="preserve">, subpart C (§§ 1.20 through 1.59), </w:t>
      </w:r>
      <w:r w:rsidR="00932151">
        <w:rPr>
          <w:rFonts w:ascii="Arial" w:hAnsi="Arial" w:cs="Arial"/>
          <w:sz w:val="22"/>
          <w:szCs w:val="22"/>
        </w:rPr>
        <w:t xml:space="preserve">prescribe from who and </w:t>
      </w:r>
      <w:r>
        <w:rPr>
          <w:rFonts w:ascii="Arial" w:hAnsi="Arial" w:cs="Arial"/>
          <w:sz w:val="22"/>
          <w:szCs w:val="22"/>
        </w:rPr>
        <w:t xml:space="preserve">when FAA Act basic permits </w:t>
      </w:r>
      <w:r w:rsidR="00932151">
        <w:rPr>
          <w:rFonts w:ascii="Arial" w:hAnsi="Arial" w:cs="Arial"/>
          <w:sz w:val="22"/>
          <w:szCs w:val="22"/>
        </w:rPr>
        <w:t xml:space="preserve">are required, prescribe the TTB forms to be used for new and amended basis permits, and govern </w:t>
      </w:r>
      <w:r>
        <w:rPr>
          <w:rFonts w:ascii="Arial" w:hAnsi="Arial" w:cs="Arial"/>
          <w:sz w:val="22"/>
          <w:szCs w:val="22"/>
        </w:rPr>
        <w:t xml:space="preserve">the amendment, </w:t>
      </w:r>
      <w:r w:rsidR="00932151">
        <w:rPr>
          <w:rFonts w:ascii="Arial" w:hAnsi="Arial" w:cs="Arial"/>
          <w:sz w:val="22"/>
          <w:szCs w:val="22"/>
        </w:rPr>
        <w:t xml:space="preserve">duration, termination, </w:t>
      </w:r>
      <w:r>
        <w:rPr>
          <w:rFonts w:ascii="Arial" w:hAnsi="Arial" w:cs="Arial"/>
          <w:sz w:val="22"/>
          <w:szCs w:val="22"/>
        </w:rPr>
        <w:t xml:space="preserve">revocation, suspension, annulment, and other aspects of such </w:t>
      </w:r>
      <w:r w:rsidR="00932151">
        <w:rPr>
          <w:rFonts w:ascii="Arial" w:hAnsi="Arial" w:cs="Arial"/>
          <w:sz w:val="22"/>
          <w:szCs w:val="22"/>
        </w:rPr>
        <w:t xml:space="preserve">permits. </w:t>
      </w:r>
    </w:p>
    <w:p w14:paraId="04DF4F81" w14:textId="77777777" w:rsidR="00932151" w:rsidRDefault="00932151" w:rsidP="004B61AE">
      <w:pPr>
        <w:ind w:left="360"/>
        <w:rPr>
          <w:rFonts w:ascii="Arial" w:hAnsi="Arial" w:cs="Arial"/>
          <w:sz w:val="22"/>
          <w:szCs w:val="22"/>
        </w:rPr>
      </w:pPr>
    </w:p>
    <w:p w14:paraId="3DF85C70" w14:textId="57134F18" w:rsidR="002D2AA4" w:rsidRDefault="004B61AE" w:rsidP="002D2AA4">
      <w:pPr>
        <w:ind w:left="360"/>
        <w:rPr>
          <w:rFonts w:ascii="Arial" w:hAnsi="Arial" w:cs="Arial"/>
          <w:sz w:val="22"/>
          <w:szCs w:val="22"/>
        </w:rPr>
      </w:pPr>
      <w:r>
        <w:rPr>
          <w:rFonts w:ascii="Arial" w:hAnsi="Arial" w:cs="Arial"/>
          <w:sz w:val="22"/>
          <w:szCs w:val="22"/>
        </w:rPr>
        <w:lastRenderedPageBreak/>
        <w:t>Specific to this information collection requ</w:t>
      </w:r>
      <w:r w:rsidR="002D2AA4">
        <w:rPr>
          <w:rFonts w:ascii="Arial" w:hAnsi="Arial" w:cs="Arial"/>
          <w:sz w:val="22"/>
          <w:szCs w:val="22"/>
        </w:rPr>
        <w:t xml:space="preserve">est, 1513–0018, 27 CFR </w:t>
      </w:r>
      <w:r>
        <w:rPr>
          <w:rFonts w:ascii="Arial" w:hAnsi="Arial" w:cs="Arial"/>
          <w:sz w:val="22"/>
          <w:szCs w:val="22"/>
        </w:rPr>
        <w:t xml:space="preserve">1.25 requires that new </w:t>
      </w:r>
      <w:r w:rsidR="00932151">
        <w:rPr>
          <w:rFonts w:ascii="Arial" w:hAnsi="Arial" w:cs="Arial"/>
          <w:sz w:val="22"/>
          <w:szCs w:val="22"/>
        </w:rPr>
        <w:t xml:space="preserve">basic permit </w:t>
      </w:r>
      <w:r w:rsidRPr="004B61AE">
        <w:rPr>
          <w:rFonts w:ascii="Arial" w:hAnsi="Arial" w:cs="Arial"/>
          <w:sz w:val="22"/>
          <w:szCs w:val="22"/>
        </w:rPr>
        <w:t>applications must be made on form TTB F 5100.24.</w:t>
      </w:r>
      <w:r w:rsidR="006628AD">
        <w:rPr>
          <w:rStyle w:val="FootnoteReference"/>
          <w:rFonts w:ascii="Arial" w:hAnsi="Arial" w:cs="Arial"/>
          <w:sz w:val="22"/>
          <w:szCs w:val="22"/>
        </w:rPr>
        <w:footnoteReference w:id="1"/>
      </w:r>
      <w:r w:rsidRPr="004B61AE">
        <w:rPr>
          <w:rFonts w:ascii="Arial" w:hAnsi="Arial" w:cs="Arial"/>
          <w:sz w:val="22"/>
          <w:szCs w:val="22"/>
        </w:rPr>
        <w:t xml:space="preserve">  </w:t>
      </w:r>
      <w:r w:rsidR="002D2AA4">
        <w:rPr>
          <w:rFonts w:ascii="Arial" w:hAnsi="Arial" w:cs="Arial"/>
          <w:sz w:val="22"/>
          <w:szCs w:val="22"/>
        </w:rPr>
        <w:t xml:space="preserve">Section </w:t>
      </w:r>
      <w:r w:rsidR="00D94077">
        <w:rPr>
          <w:rFonts w:ascii="Arial" w:hAnsi="Arial" w:cs="Arial"/>
          <w:sz w:val="22"/>
          <w:szCs w:val="22"/>
        </w:rPr>
        <w:t xml:space="preserve">1.27 requires </w:t>
      </w:r>
      <w:r w:rsidR="002D2AA4">
        <w:rPr>
          <w:rFonts w:ascii="Arial" w:hAnsi="Arial" w:cs="Arial"/>
          <w:sz w:val="22"/>
          <w:szCs w:val="22"/>
        </w:rPr>
        <w:t xml:space="preserve">respondents </w:t>
      </w:r>
      <w:r w:rsidR="00D94077">
        <w:rPr>
          <w:rFonts w:ascii="Arial" w:hAnsi="Arial" w:cs="Arial"/>
          <w:sz w:val="22"/>
          <w:szCs w:val="22"/>
        </w:rPr>
        <w:t xml:space="preserve">to notify TTB of any changes in ownership, management, or control </w:t>
      </w:r>
      <w:r w:rsidR="00CF799C">
        <w:rPr>
          <w:rFonts w:ascii="Arial" w:hAnsi="Arial" w:cs="Arial"/>
          <w:sz w:val="22"/>
          <w:szCs w:val="22"/>
        </w:rPr>
        <w:t xml:space="preserve">of their business </w:t>
      </w:r>
      <w:r w:rsidR="00D94077">
        <w:rPr>
          <w:rFonts w:ascii="Arial" w:hAnsi="Arial" w:cs="Arial"/>
          <w:sz w:val="22"/>
          <w:szCs w:val="22"/>
        </w:rPr>
        <w:t xml:space="preserve">after submission of their </w:t>
      </w:r>
      <w:r w:rsidR="002D2AA4">
        <w:rPr>
          <w:rFonts w:ascii="Arial" w:hAnsi="Arial" w:cs="Arial"/>
          <w:sz w:val="22"/>
          <w:szCs w:val="22"/>
        </w:rPr>
        <w:t xml:space="preserve">basic permit </w:t>
      </w:r>
      <w:r w:rsidR="00D94077">
        <w:rPr>
          <w:rFonts w:ascii="Arial" w:hAnsi="Arial" w:cs="Arial"/>
          <w:sz w:val="22"/>
          <w:szCs w:val="22"/>
        </w:rPr>
        <w:t xml:space="preserve">application but prior to </w:t>
      </w:r>
      <w:r w:rsidR="003F7925">
        <w:rPr>
          <w:rFonts w:ascii="Arial" w:hAnsi="Arial" w:cs="Arial"/>
          <w:sz w:val="22"/>
          <w:szCs w:val="22"/>
        </w:rPr>
        <w:t xml:space="preserve">TTB’s </w:t>
      </w:r>
      <w:r w:rsidR="00D94077">
        <w:rPr>
          <w:rFonts w:ascii="Arial" w:hAnsi="Arial" w:cs="Arial"/>
          <w:sz w:val="22"/>
          <w:szCs w:val="22"/>
        </w:rPr>
        <w:t xml:space="preserve">final action on the application.  </w:t>
      </w:r>
      <w:r w:rsidR="002D2AA4">
        <w:rPr>
          <w:rFonts w:ascii="Arial" w:hAnsi="Arial" w:cs="Arial"/>
          <w:sz w:val="22"/>
          <w:szCs w:val="22"/>
        </w:rPr>
        <w:t>In addition, § </w:t>
      </w:r>
      <w:r w:rsidR="00D94077">
        <w:rPr>
          <w:rFonts w:ascii="Arial" w:hAnsi="Arial" w:cs="Arial"/>
          <w:sz w:val="22"/>
          <w:szCs w:val="22"/>
        </w:rPr>
        <w:t xml:space="preserve">1.29 requires a basic permit application for each individual plant or premises where any of the </w:t>
      </w:r>
      <w:r w:rsidR="00CF799C">
        <w:rPr>
          <w:rFonts w:ascii="Arial" w:hAnsi="Arial" w:cs="Arial"/>
          <w:sz w:val="22"/>
          <w:szCs w:val="22"/>
        </w:rPr>
        <w:t xml:space="preserve">activities </w:t>
      </w:r>
      <w:r w:rsidR="00D94077">
        <w:rPr>
          <w:rFonts w:ascii="Arial" w:hAnsi="Arial" w:cs="Arial"/>
          <w:sz w:val="22"/>
          <w:szCs w:val="22"/>
        </w:rPr>
        <w:t xml:space="preserve">specified in section 103 of the FAA Act </w:t>
      </w:r>
      <w:r w:rsidR="003F7925">
        <w:rPr>
          <w:rFonts w:ascii="Arial" w:hAnsi="Arial" w:cs="Arial"/>
          <w:sz w:val="22"/>
          <w:szCs w:val="22"/>
        </w:rPr>
        <w:t>take</w:t>
      </w:r>
      <w:r w:rsidR="00E950FF">
        <w:rPr>
          <w:rFonts w:ascii="Arial" w:hAnsi="Arial" w:cs="Arial"/>
          <w:sz w:val="22"/>
          <w:szCs w:val="22"/>
        </w:rPr>
        <w:t>s</w:t>
      </w:r>
      <w:r w:rsidR="003F7925">
        <w:rPr>
          <w:rFonts w:ascii="Arial" w:hAnsi="Arial" w:cs="Arial"/>
          <w:sz w:val="22"/>
          <w:szCs w:val="22"/>
        </w:rPr>
        <w:t xml:space="preserve"> place. </w:t>
      </w:r>
      <w:r w:rsidR="00CF799C">
        <w:rPr>
          <w:rFonts w:ascii="Arial" w:hAnsi="Arial" w:cs="Arial"/>
          <w:sz w:val="22"/>
          <w:szCs w:val="22"/>
        </w:rPr>
        <w:t xml:space="preserve"> </w:t>
      </w:r>
      <w:r w:rsidR="002D2AA4">
        <w:rPr>
          <w:rFonts w:ascii="Arial" w:hAnsi="Arial" w:cs="Arial"/>
          <w:sz w:val="22"/>
          <w:szCs w:val="22"/>
        </w:rPr>
        <w:t xml:space="preserve">Further, </w:t>
      </w:r>
      <w:r w:rsidR="006628AD">
        <w:rPr>
          <w:rFonts w:ascii="Arial" w:hAnsi="Arial" w:cs="Arial"/>
          <w:sz w:val="22"/>
          <w:szCs w:val="22"/>
        </w:rPr>
        <w:t xml:space="preserve">under the requirements of </w:t>
      </w:r>
      <w:r w:rsidR="002D2AA4">
        <w:rPr>
          <w:rFonts w:ascii="Arial" w:hAnsi="Arial" w:cs="Arial"/>
          <w:sz w:val="22"/>
          <w:szCs w:val="22"/>
        </w:rPr>
        <w:t>§</w:t>
      </w:r>
      <w:r w:rsidR="006628AD">
        <w:rPr>
          <w:rFonts w:ascii="Arial" w:hAnsi="Arial" w:cs="Arial"/>
          <w:sz w:val="22"/>
          <w:szCs w:val="22"/>
        </w:rPr>
        <w:t xml:space="preserve"> 1.58, </w:t>
      </w:r>
      <w:r w:rsidR="002D2AA4">
        <w:rPr>
          <w:rFonts w:ascii="Arial" w:hAnsi="Arial" w:cs="Arial"/>
          <w:sz w:val="22"/>
          <w:szCs w:val="22"/>
        </w:rPr>
        <w:t xml:space="preserve">basic permit holders </w:t>
      </w:r>
      <w:r w:rsidR="006628AD">
        <w:rPr>
          <w:rFonts w:ascii="Arial" w:hAnsi="Arial" w:cs="Arial"/>
          <w:sz w:val="22"/>
          <w:szCs w:val="22"/>
        </w:rPr>
        <w:t xml:space="preserve">must </w:t>
      </w:r>
      <w:r w:rsidR="002D2AA4">
        <w:rPr>
          <w:rFonts w:ascii="Arial" w:hAnsi="Arial" w:cs="Arial"/>
          <w:sz w:val="22"/>
          <w:szCs w:val="22"/>
        </w:rPr>
        <w:t>maintain the permit at the place of business covered by the permit</w:t>
      </w:r>
      <w:r w:rsidR="006628AD">
        <w:rPr>
          <w:rFonts w:ascii="Arial" w:hAnsi="Arial" w:cs="Arial"/>
          <w:sz w:val="22"/>
          <w:szCs w:val="22"/>
        </w:rPr>
        <w:t xml:space="preserve"> and make that permit available upon request by an appropriate TTB officer, and alcohol beverage importers must supply their permit number to </w:t>
      </w:r>
      <w:r w:rsidR="002D2AA4">
        <w:rPr>
          <w:rFonts w:ascii="Arial" w:hAnsi="Arial" w:cs="Arial"/>
          <w:sz w:val="22"/>
          <w:szCs w:val="22"/>
        </w:rPr>
        <w:t>U.S. Customs and Border Protection when electronically filing import data</w:t>
      </w:r>
      <w:r w:rsidR="006628AD">
        <w:rPr>
          <w:rFonts w:ascii="Arial" w:hAnsi="Arial" w:cs="Arial"/>
          <w:sz w:val="22"/>
          <w:szCs w:val="22"/>
        </w:rPr>
        <w:t xml:space="preserve"> with that agency. </w:t>
      </w:r>
    </w:p>
    <w:p w14:paraId="7F5E8B53" w14:textId="77777777" w:rsidR="002D2AA4" w:rsidRDefault="002D2AA4" w:rsidP="002D2AA4">
      <w:pPr>
        <w:ind w:left="360"/>
        <w:rPr>
          <w:rFonts w:ascii="Arial" w:hAnsi="Arial" w:cs="Arial"/>
          <w:sz w:val="22"/>
          <w:szCs w:val="22"/>
        </w:rPr>
      </w:pPr>
    </w:p>
    <w:p w14:paraId="3323730C" w14:textId="1F473BA6" w:rsidR="00244D91" w:rsidRDefault="002D2AA4" w:rsidP="00244D91">
      <w:pPr>
        <w:ind w:left="360"/>
        <w:rPr>
          <w:rFonts w:ascii="Arial" w:hAnsi="Arial" w:cs="Arial"/>
          <w:sz w:val="22"/>
          <w:szCs w:val="22"/>
        </w:rPr>
      </w:pPr>
      <w:r w:rsidRPr="00EF68CA">
        <w:rPr>
          <w:rFonts w:ascii="Arial" w:hAnsi="Arial" w:cs="Arial"/>
          <w:sz w:val="22"/>
          <w:szCs w:val="22"/>
        </w:rPr>
        <w:t>Th</w:t>
      </w:r>
      <w:r w:rsidR="006628AD">
        <w:rPr>
          <w:rFonts w:ascii="Arial" w:hAnsi="Arial" w:cs="Arial"/>
          <w:sz w:val="22"/>
          <w:szCs w:val="22"/>
        </w:rPr>
        <w:t xml:space="preserve">e information collected under this request </w:t>
      </w:r>
      <w:r w:rsidRPr="00EF68CA">
        <w:rPr>
          <w:rFonts w:ascii="Arial" w:hAnsi="Arial" w:cs="Arial"/>
          <w:sz w:val="22"/>
          <w:szCs w:val="22"/>
        </w:rPr>
        <w:t xml:space="preserve">enables TTB to determine the location of the business, </w:t>
      </w:r>
      <w:r>
        <w:rPr>
          <w:rFonts w:ascii="Arial" w:hAnsi="Arial" w:cs="Arial"/>
          <w:sz w:val="22"/>
          <w:szCs w:val="22"/>
        </w:rPr>
        <w:t xml:space="preserve">its ownership or control, </w:t>
      </w:r>
      <w:r w:rsidRPr="00EF68CA">
        <w:rPr>
          <w:rFonts w:ascii="Arial" w:hAnsi="Arial" w:cs="Arial"/>
          <w:sz w:val="22"/>
          <w:szCs w:val="22"/>
        </w:rPr>
        <w:t>the extent of its operations, and if the applicant</w:t>
      </w:r>
      <w:r>
        <w:rPr>
          <w:rFonts w:ascii="Arial" w:hAnsi="Arial" w:cs="Arial"/>
          <w:sz w:val="22"/>
          <w:szCs w:val="22"/>
        </w:rPr>
        <w:t>(s)</w:t>
      </w:r>
      <w:r w:rsidRPr="00EF68CA">
        <w:rPr>
          <w:rFonts w:ascii="Arial" w:hAnsi="Arial" w:cs="Arial"/>
          <w:sz w:val="22"/>
          <w:szCs w:val="22"/>
        </w:rPr>
        <w:t xml:space="preserve"> is </w:t>
      </w:r>
      <w:r>
        <w:rPr>
          <w:rFonts w:ascii="Arial" w:hAnsi="Arial" w:cs="Arial"/>
          <w:sz w:val="22"/>
          <w:szCs w:val="22"/>
        </w:rPr>
        <w:t xml:space="preserve">(are) </w:t>
      </w:r>
      <w:r w:rsidRPr="00EF68CA">
        <w:rPr>
          <w:rFonts w:ascii="Arial" w:hAnsi="Arial" w:cs="Arial"/>
          <w:sz w:val="22"/>
          <w:szCs w:val="22"/>
        </w:rPr>
        <w:t xml:space="preserve">qualified under the </w:t>
      </w:r>
      <w:r>
        <w:rPr>
          <w:rFonts w:ascii="Arial" w:hAnsi="Arial" w:cs="Arial"/>
          <w:sz w:val="22"/>
          <w:szCs w:val="22"/>
        </w:rPr>
        <w:t xml:space="preserve">FAA Act </w:t>
      </w:r>
      <w:r w:rsidRPr="00EF68CA">
        <w:rPr>
          <w:rFonts w:ascii="Arial" w:hAnsi="Arial" w:cs="Arial"/>
          <w:sz w:val="22"/>
          <w:szCs w:val="22"/>
        </w:rPr>
        <w:t>to receive a basic permit.</w:t>
      </w:r>
      <w:r>
        <w:rPr>
          <w:rFonts w:ascii="Arial" w:hAnsi="Arial" w:cs="Arial"/>
          <w:sz w:val="22"/>
          <w:szCs w:val="22"/>
        </w:rPr>
        <w:t xml:space="preserve"> </w:t>
      </w:r>
      <w:r w:rsidR="006628AD">
        <w:rPr>
          <w:rFonts w:ascii="Arial" w:hAnsi="Arial" w:cs="Arial"/>
          <w:sz w:val="22"/>
          <w:szCs w:val="22"/>
        </w:rPr>
        <w:t xml:space="preserve"> Basic permit qualifications help ensure that alcohol beverage industry </w:t>
      </w:r>
      <w:r w:rsidR="00244D91">
        <w:rPr>
          <w:rFonts w:ascii="Arial" w:hAnsi="Arial" w:cs="Arial"/>
          <w:sz w:val="22"/>
          <w:szCs w:val="22"/>
        </w:rPr>
        <w:t xml:space="preserve">members </w:t>
      </w:r>
      <w:r w:rsidR="006628AD">
        <w:rPr>
          <w:rFonts w:ascii="Arial" w:hAnsi="Arial" w:cs="Arial"/>
          <w:sz w:val="22"/>
          <w:szCs w:val="22"/>
        </w:rPr>
        <w:t>are likely to operate their businesses in conformity with Federal laws and regulations</w:t>
      </w:r>
      <w:r w:rsidR="00244D91">
        <w:rPr>
          <w:rFonts w:ascii="Arial" w:hAnsi="Arial" w:cs="Arial"/>
          <w:sz w:val="22"/>
          <w:szCs w:val="22"/>
        </w:rPr>
        <w:t xml:space="preserve"> </w:t>
      </w:r>
      <w:r w:rsidR="006628AD">
        <w:rPr>
          <w:rFonts w:ascii="Arial" w:hAnsi="Arial" w:cs="Arial"/>
          <w:sz w:val="22"/>
          <w:szCs w:val="22"/>
        </w:rPr>
        <w:t xml:space="preserve">related </w:t>
      </w:r>
      <w:r w:rsidR="00244D91">
        <w:rPr>
          <w:rFonts w:ascii="Arial" w:hAnsi="Arial" w:cs="Arial"/>
          <w:sz w:val="22"/>
          <w:szCs w:val="22"/>
        </w:rPr>
        <w:t xml:space="preserve">to the labeling, advertising and marketing of alcohol beverage products, as well as those related to alcohol excise tax liability and payment. </w:t>
      </w:r>
    </w:p>
    <w:p w14:paraId="02128475" w14:textId="77777777" w:rsidR="00244D91" w:rsidRDefault="00244D91" w:rsidP="00244D91">
      <w:pPr>
        <w:ind w:left="360"/>
        <w:rPr>
          <w:rFonts w:ascii="Arial" w:hAnsi="Arial" w:cs="Arial"/>
          <w:sz w:val="22"/>
          <w:szCs w:val="22"/>
        </w:rPr>
      </w:pPr>
    </w:p>
    <w:p w14:paraId="14B252EA" w14:textId="02A9FC02" w:rsidR="005E4F99" w:rsidRDefault="005E4F99" w:rsidP="00CF799C">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4E357772" w14:textId="77777777" w:rsidR="00CF799C" w:rsidRPr="00ED4A03" w:rsidRDefault="00CF799C" w:rsidP="00CF799C">
      <w:pPr>
        <w:suppressAutoHyphens/>
        <w:ind w:left="360"/>
        <w:rPr>
          <w:rFonts w:ascii="Arial" w:hAnsi="Arial" w:cs="Arial"/>
          <w:sz w:val="22"/>
          <w:szCs w:val="22"/>
        </w:rPr>
      </w:pPr>
    </w:p>
    <w:p w14:paraId="1823A6C3" w14:textId="5CD3670F" w:rsidR="00ED4A03" w:rsidRPr="00824FED" w:rsidRDefault="00ED4A03" w:rsidP="00CF799C">
      <w:pPr>
        <w:numPr>
          <w:ilvl w:val="0"/>
          <w:numId w:val="1"/>
        </w:numPr>
        <w:suppressAutoHyphens/>
        <w:spacing w:after="120"/>
        <w:ind w:left="1080"/>
        <w:rPr>
          <w:rFonts w:ascii="Arial" w:hAnsi="Arial" w:cs="Arial"/>
          <w:sz w:val="22"/>
          <w:szCs w:val="22"/>
        </w:rPr>
      </w:pPr>
      <w:r w:rsidRPr="00CF799C">
        <w:rPr>
          <w:rFonts w:ascii="Arial" w:hAnsi="Arial" w:cs="Arial"/>
          <w:sz w:val="22"/>
          <w:szCs w:val="22"/>
          <w:u w:val="single"/>
        </w:rPr>
        <w:t>Line of Business/Sub-function:</w:t>
      </w:r>
      <w:r w:rsidRPr="00824FED">
        <w:rPr>
          <w:rFonts w:ascii="Arial" w:hAnsi="Arial" w:cs="Arial"/>
          <w:sz w:val="22"/>
          <w:szCs w:val="22"/>
        </w:rPr>
        <w:t xml:space="preserve">  </w:t>
      </w:r>
      <w:r w:rsidR="00824FED" w:rsidRPr="00824FED">
        <w:rPr>
          <w:rFonts w:ascii="Arial" w:hAnsi="Arial" w:cs="Arial"/>
          <w:sz w:val="22"/>
          <w:szCs w:val="22"/>
        </w:rPr>
        <w:t>Law Enforcement/Substance Control.</w:t>
      </w:r>
      <w:r w:rsidRPr="00824FED">
        <w:rPr>
          <w:rFonts w:ascii="Arial" w:hAnsi="Arial" w:cs="Arial"/>
          <w:sz w:val="22"/>
          <w:szCs w:val="22"/>
        </w:rPr>
        <w:t xml:space="preserve"> </w:t>
      </w:r>
    </w:p>
    <w:p w14:paraId="2AC152D2" w14:textId="11A6441D" w:rsidR="005E4F99" w:rsidRPr="00ED4A03" w:rsidRDefault="00ED4A03" w:rsidP="00CF799C">
      <w:pPr>
        <w:numPr>
          <w:ilvl w:val="0"/>
          <w:numId w:val="1"/>
        </w:numPr>
        <w:suppressAutoHyphens/>
        <w:ind w:left="1080"/>
        <w:rPr>
          <w:rFonts w:ascii="Arial" w:hAnsi="Arial" w:cs="Arial"/>
          <w:sz w:val="22"/>
          <w:szCs w:val="22"/>
        </w:rPr>
      </w:pPr>
      <w:r w:rsidRPr="00CF799C">
        <w:rPr>
          <w:rFonts w:ascii="Arial" w:hAnsi="Arial" w:cs="Arial"/>
          <w:sz w:val="22"/>
          <w:szCs w:val="22"/>
          <w:u w:val="single"/>
        </w:rPr>
        <w:t>IT Investment:</w:t>
      </w:r>
      <w:r w:rsidRPr="00ED4A03">
        <w:rPr>
          <w:rFonts w:ascii="Arial" w:hAnsi="Arial" w:cs="Arial"/>
          <w:sz w:val="22"/>
          <w:szCs w:val="22"/>
        </w:rPr>
        <w:t xml:space="preserve">  </w:t>
      </w:r>
      <w:r w:rsidR="00A438D8">
        <w:rPr>
          <w:rFonts w:ascii="Arial" w:hAnsi="Arial" w:cs="Arial"/>
          <w:sz w:val="22"/>
          <w:szCs w:val="22"/>
        </w:rPr>
        <w:t xml:space="preserve">Tax Major Applications System and </w:t>
      </w:r>
      <w:r w:rsidR="00824FED">
        <w:rPr>
          <w:rFonts w:ascii="Arial" w:hAnsi="Arial" w:cs="Arial"/>
          <w:sz w:val="22"/>
          <w:szCs w:val="22"/>
        </w:rPr>
        <w:t xml:space="preserve">Permits Online (PONL). </w:t>
      </w:r>
    </w:p>
    <w:p w14:paraId="5592FCCF" w14:textId="77777777" w:rsidR="005E4F99" w:rsidRPr="00090251" w:rsidRDefault="005E4F99" w:rsidP="00D73D2D">
      <w:pPr>
        <w:suppressAutoHyphens/>
        <w:rPr>
          <w:rFonts w:ascii="Arial" w:hAnsi="Arial" w:cs="Arial"/>
          <w:sz w:val="36"/>
          <w:szCs w:val="36"/>
        </w:rPr>
      </w:pPr>
    </w:p>
    <w:p w14:paraId="02F965B9"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4EDE8FBB" w14:textId="5BB02CA0" w:rsidR="00BF11CE" w:rsidRDefault="00BF11CE" w:rsidP="000329F4">
      <w:pPr>
        <w:suppressAutoHyphens/>
        <w:ind w:left="360"/>
        <w:rPr>
          <w:rFonts w:ascii="Arial" w:hAnsi="Arial" w:cs="Arial"/>
          <w:sz w:val="22"/>
          <w:szCs w:val="22"/>
        </w:rPr>
      </w:pPr>
    </w:p>
    <w:p w14:paraId="6F0ECAB2" w14:textId="6FC53F2F" w:rsidR="00BF11CE" w:rsidRDefault="00CF799C" w:rsidP="00244D91">
      <w:pPr>
        <w:suppressAutoHyphens/>
        <w:ind w:left="360"/>
        <w:rPr>
          <w:rFonts w:ascii="Arial" w:hAnsi="Arial" w:cs="Arial"/>
          <w:sz w:val="22"/>
          <w:szCs w:val="22"/>
        </w:rPr>
      </w:pPr>
      <w:r w:rsidRPr="00CF799C">
        <w:rPr>
          <w:rFonts w:ascii="Arial" w:hAnsi="Arial" w:cs="Arial"/>
          <w:sz w:val="22"/>
          <w:szCs w:val="22"/>
        </w:rPr>
        <w:t>Th</w:t>
      </w:r>
      <w:r>
        <w:rPr>
          <w:rFonts w:ascii="Arial" w:hAnsi="Arial" w:cs="Arial"/>
          <w:sz w:val="22"/>
          <w:szCs w:val="22"/>
        </w:rPr>
        <w:t>e</w:t>
      </w:r>
      <w:r w:rsidRPr="00CF799C">
        <w:rPr>
          <w:rFonts w:ascii="Arial" w:hAnsi="Arial" w:cs="Arial"/>
          <w:sz w:val="22"/>
          <w:szCs w:val="22"/>
        </w:rPr>
        <w:t xml:space="preserve"> </w:t>
      </w:r>
      <w:r>
        <w:rPr>
          <w:rFonts w:ascii="Arial" w:hAnsi="Arial" w:cs="Arial"/>
          <w:sz w:val="22"/>
          <w:szCs w:val="22"/>
        </w:rPr>
        <w:t xml:space="preserve">information provided by </w:t>
      </w:r>
      <w:r w:rsidR="00244D91">
        <w:rPr>
          <w:rFonts w:ascii="Arial" w:hAnsi="Arial" w:cs="Arial"/>
          <w:sz w:val="22"/>
          <w:szCs w:val="22"/>
        </w:rPr>
        <w:t xml:space="preserve">a </w:t>
      </w:r>
      <w:r>
        <w:rPr>
          <w:rFonts w:ascii="Arial" w:hAnsi="Arial" w:cs="Arial"/>
          <w:sz w:val="22"/>
          <w:szCs w:val="22"/>
        </w:rPr>
        <w:t xml:space="preserve">respondent on </w:t>
      </w:r>
      <w:r w:rsidR="00244D91">
        <w:rPr>
          <w:rFonts w:ascii="Arial" w:hAnsi="Arial" w:cs="Arial"/>
          <w:sz w:val="22"/>
          <w:szCs w:val="22"/>
        </w:rPr>
        <w:t xml:space="preserve">a </w:t>
      </w:r>
      <w:r w:rsidR="00E950FF">
        <w:rPr>
          <w:rFonts w:ascii="Arial" w:hAnsi="Arial" w:cs="Arial"/>
          <w:sz w:val="22"/>
          <w:szCs w:val="22"/>
        </w:rPr>
        <w:t>basic permit</w:t>
      </w:r>
      <w:r>
        <w:rPr>
          <w:rFonts w:ascii="Arial" w:hAnsi="Arial" w:cs="Arial"/>
          <w:sz w:val="22"/>
          <w:szCs w:val="22"/>
        </w:rPr>
        <w:t xml:space="preserve"> </w:t>
      </w:r>
      <w:r w:rsidRPr="00CF799C">
        <w:rPr>
          <w:rFonts w:ascii="Arial" w:hAnsi="Arial" w:cs="Arial"/>
          <w:sz w:val="22"/>
          <w:szCs w:val="22"/>
        </w:rPr>
        <w:t xml:space="preserve">application enables TTB to determine the location of the </w:t>
      </w:r>
      <w:r w:rsidR="00B13BA3">
        <w:rPr>
          <w:rFonts w:ascii="Arial" w:hAnsi="Arial" w:cs="Arial"/>
          <w:sz w:val="22"/>
          <w:szCs w:val="22"/>
        </w:rPr>
        <w:t xml:space="preserve">applicant’s </w:t>
      </w:r>
      <w:r w:rsidRPr="00CF799C">
        <w:rPr>
          <w:rFonts w:ascii="Arial" w:hAnsi="Arial" w:cs="Arial"/>
          <w:sz w:val="22"/>
          <w:szCs w:val="22"/>
        </w:rPr>
        <w:t>business, its ownership or control, the extent of its operations, and if the applicant</w:t>
      </w:r>
      <w:r w:rsidR="003A09DC">
        <w:rPr>
          <w:rFonts w:ascii="Arial" w:hAnsi="Arial" w:cs="Arial"/>
          <w:sz w:val="22"/>
          <w:szCs w:val="22"/>
        </w:rPr>
        <w:t>(s)</w:t>
      </w:r>
      <w:r w:rsidRPr="00CF799C">
        <w:rPr>
          <w:rFonts w:ascii="Arial" w:hAnsi="Arial" w:cs="Arial"/>
          <w:sz w:val="22"/>
          <w:szCs w:val="22"/>
        </w:rPr>
        <w:t xml:space="preserve"> is </w:t>
      </w:r>
      <w:r w:rsidR="003A09DC">
        <w:rPr>
          <w:rFonts w:ascii="Arial" w:hAnsi="Arial" w:cs="Arial"/>
          <w:sz w:val="22"/>
          <w:szCs w:val="22"/>
        </w:rPr>
        <w:t xml:space="preserve">(are) </w:t>
      </w:r>
      <w:r w:rsidRPr="00CF799C">
        <w:rPr>
          <w:rFonts w:ascii="Arial" w:hAnsi="Arial" w:cs="Arial"/>
          <w:sz w:val="22"/>
          <w:szCs w:val="22"/>
        </w:rPr>
        <w:t xml:space="preserve">qualified under </w:t>
      </w:r>
      <w:r w:rsidR="00B13BA3">
        <w:rPr>
          <w:rFonts w:ascii="Arial" w:hAnsi="Arial" w:cs="Arial"/>
          <w:sz w:val="22"/>
          <w:szCs w:val="22"/>
        </w:rPr>
        <w:t xml:space="preserve">the </w:t>
      </w:r>
      <w:r w:rsidR="003A09DC">
        <w:rPr>
          <w:rFonts w:ascii="Arial" w:hAnsi="Arial" w:cs="Arial"/>
          <w:sz w:val="22"/>
          <w:szCs w:val="22"/>
        </w:rPr>
        <w:t xml:space="preserve">section 104 of the </w:t>
      </w:r>
      <w:r w:rsidR="00B13BA3">
        <w:rPr>
          <w:rFonts w:ascii="Arial" w:hAnsi="Arial" w:cs="Arial"/>
          <w:sz w:val="22"/>
          <w:szCs w:val="22"/>
        </w:rPr>
        <w:t xml:space="preserve">FAA Act </w:t>
      </w:r>
      <w:r w:rsidR="003A09DC">
        <w:rPr>
          <w:rFonts w:ascii="Arial" w:hAnsi="Arial" w:cs="Arial"/>
          <w:sz w:val="22"/>
          <w:szCs w:val="22"/>
        </w:rPr>
        <w:t xml:space="preserve">(27 U.S.C. 204) </w:t>
      </w:r>
      <w:r>
        <w:rPr>
          <w:rFonts w:ascii="Arial" w:hAnsi="Arial" w:cs="Arial"/>
          <w:sz w:val="22"/>
          <w:szCs w:val="22"/>
        </w:rPr>
        <w:t>t</w:t>
      </w:r>
      <w:r w:rsidRPr="00CF799C">
        <w:rPr>
          <w:rFonts w:ascii="Arial" w:hAnsi="Arial" w:cs="Arial"/>
          <w:sz w:val="22"/>
          <w:szCs w:val="22"/>
        </w:rPr>
        <w:t xml:space="preserve">o receive a basic permit.  </w:t>
      </w:r>
      <w:r w:rsidR="00244D91" w:rsidRPr="00244D91">
        <w:rPr>
          <w:rFonts w:ascii="Arial" w:hAnsi="Arial" w:cs="Arial"/>
          <w:sz w:val="22"/>
          <w:szCs w:val="22"/>
        </w:rPr>
        <w:t xml:space="preserve">If TTB approves the application, the issued basic permit identifies the person(s) entitled to engage in the specified alcohol beverage activities, the location of the permitted establishment, and the extent of its authorized operations.  </w:t>
      </w:r>
      <w:r w:rsidR="00244D91">
        <w:rPr>
          <w:rFonts w:ascii="Arial" w:hAnsi="Arial" w:cs="Arial"/>
          <w:sz w:val="22"/>
          <w:szCs w:val="22"/>
        </w:rPr>
        <w:t xml:space="preserve">Basic permit qualifications help ensure that alcohol beverage industry members are likely to operate their businesses in conformity with Federal laws and regulations related to the labeling, advertising and marketing of alcohol beverage products, and those related to alcohol excise tax liability and payment. </w:t>
      </w:r>
    </w:p>
    <w:p w14:paraId="07BFFB68" w14:textId="77777777" w:rsidR="00AF1157" w:rsidRPr="00090251" w:rsidRDefault="00AF1157" w:rsidP="00D73D2D">
      <w:pPr>
        <w:ind w:left="576" w:hanging="576"/>
        <w:rPr>
          <w:rFonts w:ascii="Arial" w:hAnsi="Arial" w:cs="Arial"/>
          <w:sz w:val="36"/>
          <w:szCs w:val="36"/>
        </w:rPr>
      </w:pPr>
    </w:p>
    <w:p w14:paraId="6B1C74F5"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3DBFD357" w14:textId="77777777" w:rsidR="00AF1157" w:rsidRPr="007A5D4B" w:rsidRDefault="00AF1157" w:rsidP="00D73D2D">
      <w:pPr>
        <w:suppressAutoHyphens/>
        <w:rPr>
          <w:rFonts w:ascii="Arial" w:hAnsi="Arial" w:cs="Arial"/>
          <w:sz w:val="22"/>
          <w:szCs w:val="22"/>
        </w:rPr>
      </w:pPr>
    </w:p>
    <w:p w14:paraId="031B7FA9" w14:textId="77777777" w:rsidR="00F10C50" w:rsidRDefault="00F10C50" w:rsidP="00AA3F8F">
      <w:pPr>
        <w:tabs>
          <w:tab w:val="left" w:pos="8496"/>
        </w:tabs>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p>
    <w:p w14:paraId="50FD1BB5" w14:textId="775F281D" w:rsidR="00F10C50" w:rsidRDefault="00F10C50" w:rsidP="00AA3F8F">
      <w:pPr>
        <w:tabs>
          <w:tab w:val="left" w:pos="8496"/>
        </w:tabs>
        <w:suppressAutoHyphens/>
        <w:spacing w:line="240" w:lineRule="atLeast"/>
        <w:ind w:left="360"/>
        <w:rPr>
          <w:rFonts w:ascii="Arial" w:hAnsi="Arial" w:cs="Arial"/>
          <w:sz w:val="22"/>
          <w:szCs w:val="22"/>
          <w:highlight w:val="yellow"/>
        </w:rPr>
      </w:pPr>
    </w:p>
    <w:p w14:paraId="64BF09FB" w14:textId="21CD6593" w:rsidR="00846070" w:rsidRDefault="00846070" w:rsidP="00824FED">
      <w:pPr>
        <w:tabs>
          <w:tab w:val="left" w:pos="8496"/>
        </w:tabs>
        <w:suppressAutoHyphens/>
        <w:spacing w:line="240" w:lineRule="atLeast"/>
        <w:ind w:left="360"/>
        <w:rPr>
          <w:rFonts w:ascii="Arial" w:hAnsi="Arial" w:cs="Arial"/>
          <w:sz w:val="22"/>
          <w:szCs w:val="22"/>
        </w:rPr>
      </w:pPr>
      <w:r>
        <w:rPr>
          <w:rFonts w:ascii="Arial" w:hAnsi="Arial" w:cs="Arial"/>
          <w:sz w:val="22"/>
          <w:szCs w:val="22"/>
        </w:rPr>
        <w:lastRenderedPageBreak/>
        <w:t>R</w:t>
      </w:r>
      <w:r w:rsidR="00824FED">
        <w:rPr>
          <w:rFonts w:ascii="Arial" w:hAnsi="Arial" w:cs="Arial"/>
          <w:sz w:val="22"/>
          <w:szCs w:val="22"/>
        </w:rPr>
        <w:t>espondents may complete</w:t>
      </w:r>
      <w:r>
        <w:rPr>
          <w:rFonts w:ascii="Arial" w:hAnsi="Arial" w:cs="Arial"/>
          <w:sz w:val="22"/>
          <w:szCs w:val="22"/>
        </w:rPr>
        <w:t>, sign,</w:t>
      </w:r>
      <w:r w:rsidR="00824FED">
        <w:rPr>
          <w:rFonts w:ascii="Arial" w:hAnsi="Arial" w:cs="Arial"/>
          <w:sz w:val="22"/>
          <w:szCs w:val="22"/>
        </w:rPr>
        <w:t xml:space="preserve"> and submit applications </w:t>
      </w:r>
      <w:r w:rsidR="00B13BA3">
        <w:rPr>
          <w:rFonts w:ascii="Arial" w:hAnsi="Arial" w:cs="Arial"/>
          <w:sz w:val="22"/>
          <w:szCs w:val="22"/>
        </w:rPr>
        <w:t xml:space="preserve">for </w:t>
      </w:r>
      <w:r w:rsidR="00244D91">
        <w:rPr>
          <w:rFonts w:ascii="Arial" w:hAnsi="Arial" w:cs="Arial"/>
          <w:sz w:val="22"/>
          <w:szCs w:val="22"/>
        </w:rPr>
        <w:t xml:space="preserve">new </w:t>
      </w:r>
      <w:r w:rsidR="00A438D8">
        <w:rPr>
          <w:rFonts w:ascii="Arial" w:hAnsi="Arial" w:cs="Arial"/>
          <w:sz w:val="22"/>
          <w:szCs w:val="22"/>
        </w:rPr>
        <w:t xml:space="preserve">FAA </w:t>
      </w:r>
      <w:r>
        <w:rPr>
          <w:rFonts w:ascii="Arial" w:hAnsi="Arial" w:cs="Arial"/>
          <w:sz w:val="22"/>
          <w:szCs w:val="22"/>
        </w:rPr>
        <w:t xml:space="preserve">Act </w:t>
      </w:r>
      <w:r w:rsidR="00824FED">
        <w:rPr>
          <w:rFonts w:ascii="Arial" w:hAnsi="Arial" w:cs="Arial"/>
          <w:sz w:val="22"/>
          <w:szCs w:val="22"/>
        </w:rPr>
        <w:t>basic permit</w:t>
      </w:r>
      <w:r w:rsidR="00244D91">
        <w:rPr>
          <w:rFonts w:ascii="Arial" w:hAnsi="Arial" w:cs="Arial"/>
          <w:sz w:val="22"/>
          <w:szCs w:val="22"/>
        </w:rPr>
        <w:t>s</w:t>
      </w:r>
      <w:r w:rsidR="00824FED">
        <w:rPr>
          <w:rFonts w:ascii="Arial" w:hAnsi="Arial" w:cs="Arial"/>
          <w:sz w:val="22"/>
          <w:szCs w:val="22"/>
        </w:rPr>
        <w:t xml:space="preserve"> </w:t>
      </w:r>
      <w:r w:rsidR="00824FED" w:rsidRPr="00E312AC">
        <w:rPr>
          <w:rFonts w:ascii="Arial" w:hAnsi="Arial" w:cs="Arial"/>
          <w:sz w:val="22"/>
          <w:szCs w:val="22"/>
        </w:rPr>
        <w:t xml:space="preserve">using TTB’s electronic, web-based </w:t>
      </w:r>
      <w:r w:rsidR="00824FED">
        <w:rPr>
          <w:rFonts w:ascii="Arial" w:hAnsi="Arial" w:cs="Arial"/>
          <w:sz w:val="22"/>
          <w:szCs w:val="22"/>
        </w:rPr>
        <w:t>“</w:t>
      </w:r>
      <w:r w:rsidR="00824FED" w:rsidRPr="00E312AC">
        <w:rPr>
          <w:rFonts w:ascii="Arial" w:hAnsi="Arial" w:cs="Arial"/>
          <w:sz w:val="22"/>
          <w:szCs w:val="22"/>
        </w:rPr>
        <w:t>Permits Online</w:t>
      </w:r>
      <w:r w:rsidR="00824FED">
        <w:rPr>
          <w:rFonts w:ascii="Arial" w:hAnsi="Arial" w:cs="Arial"/>
          <w:sz w:val="22"/>
          <w:szCs w:val="22"/>
        </w:rPr>
        <w:t>” (PONL)</w:t>
      </w:r>
      <w:r w:rsidR="00824FED" w:rsidRPr="00E312AC">
        <w:rPr>
          <w:rFonts w:ascii="Arial" w:hAnsi="Arial" w:cs="Arial"/>
          <w:sz w:val="22"/>
          <w:szCs w:val="22"/>
        </w:rPr>
        <w:t xml:space="preserve"> system</w:t>
      </w:r>
      <w:r w:rsidR="00824FED">
        <w:rPr>
          <w:rFonts w:ascii="Arial" w:hAnsi="Arial" w:cs="Arial"/>
          <w:sz w:val="22"/>
          <w:szCs w:val="22"/>
        </w:rPr>
        <w:t xml:space="preserve"> </w:t>
      </w:r>
      <w:r>
        <w:rPr>
          <w:rFonts w:ascii="Arial" w:hAnsi="Arial" w:cs="Arial"/>
          <w:sz w:val="22"/>
          <w:szCs w:val="22"/>
        </w:rPr>
        <w:t xml:space="preserve">(see </w:t>
      </w:r>
      <w:hyperlink r:id="rId8" w:history="1">
        <w:r w:rsidR="00824FED" w:rsidRPr="00E312AC">
          <w:rPr>
            <w:rStyle w:val="Hyperlink"/>
            <w:rFonts w:ascii="Arial" w:hAnsi="Arial" w:cs="Arial"/>
            <w:sz w:val="22"/>
            <w:szCs w:val="22"/>
          </w:rPr>
          <w:t>https://www.ttb.gov/ponl/permits-online.shtml</w:t>
        </w:r>
      </w:hyperlink>
      <w:r w:rsidR="00824FED">
        <w:rPr>
          <w:rFonts w:ascii="Arial" w:hAnsi="Arial" w:cs="Arial"/>
          <w:sz w:val="22"/>
          <w:szCs w:val="22"/>
        </w:rPr>
        <w:t>)</w:t>
      </w:r>
      <w:r w:rsidR="00824FED" w:rsidRPr="00E312AC">
        <w:rPr>
          <w:rFonts w:ascii="Arial" w:hAnsi="Arial" w:cs="Arial"/>
          <w:sz w:val="22"/>
          <w:szCs w:val="22"/>
        </w:rPr>
        <w:t xml:space="preserve">. </w:t>
      </w:r>
      <w:r>
        <w:rPr>
          <w:rFonts w:ascii="Arial" w:hAnsi="Arial" w:cs="Arial"/>
          <w:sz w:val="22"/>
          <w:szCs w:val="22"/>
        </w:rPr>
        <w:t xml:space="preserve"> The PONL system also allows respondents to edit and track the approval of basic permit applications. </w:t>
      </w:r>
    </w:p>
    <w:p w14:paraId="0C15CA4B" w14:textId="77777777" w:rsidR="00846070" w:rsidRDefault="00846070" w:rsidP="00824FED">
      <w:pPr>
        <w:tabs>
          <w:tab w:val="left" w:pos="8496"/>
        </w:tabs>
        <w:suppressAutoHyphens/>
        <w:spacing w:line="240" w:lineRule="atLeast"/>
        <w:ind w:left="360"/>
        <w:rPr>
          <w:rFonts w:ascii="Arial" w:hAnsi="Arial" w:cs="Arial"/>
          <w:sz w:val="22"/>
          <w:szCs w:val="22"/>
        </w:rPr>
      </w:pPr>
    </w:p>
    <w:p w14:paraId="5A3EA037" w14:textId="2455B975" w:rsidR="00824FED" w:rsidRDefault="00846070" w:rsidP="00824FED">
      <w:pPr>
        <w:tabs>
          <w:tab w:val="left" w:pos="8496"/>
        </w:tabs>
        <w:suppressAutoHyphens/>
        <w:spacing w:line="240" w:lineRule="atLeast"/>
        <w:ind w:left="360"/>
        <w:rPr>
          <w:rFonts w:ascii="Arial" w:hAnsi="Arial" w:cs="Arial"/>
          <w:sz w:val="22"/>
          <w:szCs w:val="22"/>
        </w:rPr>
      </w:pPr>
      <w:r>
        <w:rPr>
          <w:rFonts w:ascii="Arial" w:hAnsi="Arial" w:cs="Arial"/>
          <w:sz w:val="22"/>
          <w:szCs w:val="22"/>
        </w:rPr>
        <w:t>In addition, TTB F </w:t>
      </w:r>
      <w:r w:rsidRPr="00EC5B65">
        <w:rPr>
          <w:rFonts w:ascii="Arial" w:hAnsi="Arial" w:cs="Arial"/>
          <w:sz w:val="22"/>
          <w:szCs w:val="22"/>
        </w:rPr>
        <w:t>5100.</w:t>
      </w:r>
      <w:r>
        <w:rPr>
          <w:rFonts w:ascii="Arial" w:hAnsi="Arial" w:cs="Arial"/>
          <w:sz w:val="22"/>
          <w:szCs w:val="22"/>
        </w:rPr>
        <w:t>24, Application for Basic Permit under the Federal Alcohol Administration Act,</w:t>
      </w:r>
      <w:r w:rsidRPr="00EC5B65">
        <w:rPr>
          <w:rFonts w:ascii="Arial" w:hAnsi="Arial" w:cs="Arial"/>
          <w:sz w:val="22"/>
          <w:szCs w:val="22"/>
        </w:rPr>
        <w:t xml:space="preserve"> is available as a fillable-printable form on the TTB website</w:t>
      </w:r>
      <w:r>
        <w:rPr>
          <w:rFonts w:ascii="Arial" w:hAnsi="Arial" w:cs="Arial"/>
          <w:sz w:val="22"/>
          <w:szCs w:val="22"/>
        </w:rPr>
        <w:t xml:space="preserve"> </w:t>
      </w:r>
      <w:r w:rsidRPr="00EC5B65">
        <w:rPr>
          <w:rFonts w:ascii="Arial" w:hAnsi="Arial" w:cs="Arial"/>
          <w:sz w:val="22"/>
          <w:szCs w:val="22"/>
        </w:rPr>
        <w:t xml:space="preserve">at </w:t>
      </w:r>
      <w:hyperlink r:id="rId9" w:history="1">
        <w:r w:rsidRPr="00B12253">
          <w:rPr>
            <w:rStyle w:val="Hyperlink"/>
            <w:rFonts w:ascii="Arial" w:hAnsi="Arial" w:cs="Arial"/>
            <w:sz w:val="22"/>
            <w:szCs w:val="22"/>
          </w:rPr>
          <w:t>https://www.ttb.gov/forms/5000.shtml</w:t>
        </w:r>
      </w:hyperlink>
      <w:r>
        <w:rPr>
          <w:rFonts w:ascii="Arial" w:hAnsi="Arial" w:cs="Arial"/>
          <w:sz w:val="22"/>
          <w:szCs w:val="22"/>
        </w:rPr>
        <w:t xml:space="preserve">. </w:t>
      </w:r>
    </w:p>
    <w:p w14:paraId="02E8F9A3" w14:textId="77777777" w:rsidR="00AF1157" w:rsidRPr="00090251" w:rsidRDefault="00AF1157" w:rsidP="00D73D2D">
      <w:pPr>
        <w:suppressAutoHyphens/>
        <w:rPr>
          <w:rFonts w:ascii="Arial" w:hAnsi="Arial" w:cs="Arial"/>
          <w:sz w:val="36"/>
          <w:szCs w:val="36"/>
        </w:rPr>
      </w:pPr>
    </w:p>
    <w:p w14:paraId="3EBD86EE"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07EE3275" w14:textId="77777777" w:rsidR="00AF1157" w:rsidRPr="007A5D4B" w:rsidRDefault="00AF1157" w:rsidP="00D73D2D">
      <w:pPr>
        <w:suppressAutoHyphens/>
        <w:ind w:left="480" w:hanging="480"/>
        <w:rPr>
          <w:rFonts w:ascii="Arial" w:hAnsi="Arial" w:cs="Arial"/>
          <w:sz w:val="22"/>
          <w:szCs w:val="22"/>
        </w:rPr>
      </w:pPr>
    </w:p>
    <w:p w14:paraId="6BA0FBF1" w14:textId="3B889E9B" w:rsidR="00D50640" w:rsidRDefault="00B13BA3" w:rsidP="00D50640">
      <w:pPr>
        <w:ind w:left="360"/>
        <w:rPr>
          <w:rFonts w:ascii="Arial" w:hAnsi="Arial" w:cs="Arial"/>
          <w:sz w:val="22"/>
          <w:szCs w:val="22"/>
        </w:rPr>
      </w:pPr>
      <w:r w:rsidRPr="0009064A">
        <w:rPr>
          <w:rFonts w:ascii="Arial" w:hAnsi="Arial" w:cs="Arial"/>
          <w:sz w:val="22"/>
          <w:szCs w:val="22"/>
        </w:rPr>
        <w:t>TTB F 5100.24</w:t>
      </w:r>
      <w:r w:rsidR="00840FC6">
        <w:rPr>
          <w:rFonts w:ascii="Arial" w:hAnsi="Arial" w:cs="Arial"/>
          <w:sz w:val="22"/>
          <w:szCs w:val="22"/>
        </w:rPr>
        <w:t xml:space="preserve"> (and </w:t>
      </w:r>
      <w:r w:rsidRPr="0009064A">
        <w:rPr>
          <w:rFonts w:ascii="Arial" w:hAnsi="Arial" w:cs="Arial"/>
          <w:sz w:val="22"/>
          <w:szCs w:val="22"/>
        </w:rPr>
        <w:t>its PONL equivalent</w:t>
      </w:r>
      <w:r w:rsidR="00840FC6">
        <w:rPr>
          <w:rFonts w:ascii="Arial" w:hAnsi="Arial" w:cs="Arial"/>
          <w:sz w:val="22"/>
          <w:szCs w:val="22"/>
        </w:rPr>
        <w:t>)</w:t>
      </w:r>
      <w:r w:rsidRPr="0009064A">
        <w:rPr>
          <w:rFonts w:ascii="Arial" w:hAnsi="Arial" w:cs="Arial"/>
          <w:sz w:val="22"/>
          <w:szCs w:val="22"/>
        </w:rPr>
        <w:t xml:space="preserve"> provides TTB with information pertinent to each respondent and applicable to the specific issue of </w:t>
      </w:r>
      <w:r w:rsidR="0009064A" w:rsidRPr="0009064A">
        <w:rPr>
          <w:rFonts w:ascii="Arial" w:hAnsi="Arial" w:cs="Arial"/>
          <w:sz w:val="22"/>
          <w:szCs w:val="22"/>
        </w:rPr>
        <w:t>application and qualification for a</w:t>
      </w:r>
      <w:r w:rsidR="00244D91">
        <w:rPr>
          <w:rFonts w:ascii="Arial" w:hAnsi="Arial" w:cs="Arial"/>
          <w:sz w:val="22"/>
          <w:szCs w:val="22"/>
        </w:rPr>
        <w:t>n FAA Act</w:t>
      </w:r>
      <w:r w:rsidR="003A09DC">
        <w:rPr>
          <w:rFonts w:ascii="Arial" w:hAnsi="Arial" w:cs="Arial"/>
          <w:sz w:val="22"/>
          <w:szCs w:val="22"/>
        </w:rPr>
        <w:t xml:space="preserve"> </w:t>
      </w:r>
      <w:r w:rsidR="0009064A" w:rsidRPr="0009064A">
        <w:rPr>
          <w:rFonts w:ascii="Arial" w:hAnsi="Arial" w:cs="Arial"/>
          <w:sz w:val="22"/>
          <w:szCs w:val="22"/>
        </w:rPr>
        <w:t xml:space="preserve">basic permit.  </w:t>
      </w:r>
      <w:r w:rsidR="00D50640" w:rsidRPr="0009064A">
        <w:rPr>
          <w:rFonts w:ascii="Arial" w:hAnsi="Arial" w:cs="Arial"/>
          <w:sz w:val="22"/>
          <w:szCs w:val="22"/>
        </w:rPr>
        <w:t>As far as TTB is able</w:t>
      </w:r>
      <w:r w:rsidR="00D50640" w:rsidRPr="00F10C50">
        <w:rPr>
          <w:rFonts w:ascii="Arial" w:hAnsi="Arial" w:cs="Arial"/>
          <w:sz w:val="22"/>
          <w:szCs w:val="22"/>
        </w:rPr>
        <w:t xml:space="preserve"> to determine, similar information is not available </w:t>
      </w:r>
      <w:r w:rsidR="0009064A">
        <w:rPr>
          <w:rFonts w:ascii="Arial" w:hAnsi="Arial" w:cs="Arial"/>
          <w:sz w:val="22"/>
          <w:szCs w:val="22"/>
        </w:rPr>
        <w:t xml:space="preserve">to the Bureau </w:t>
      </w:r>
      <w:r w:rsidR="00D50640" w:rsidRPr="00F10C50">
        <w:rPr>
          <w:rFonts w:ascii="Arial" w:hAnsi="Arial" w:cs="Arial"/>
          <w:sz w:val="22"/>
          <w:szCs w:val="22"/>
        </w:rPr>
        <w:t>elsewhere.</w:t>
      </w:r>
      <w:r w:rsidR="00D50640">
        <w:rPr>
          <w:rFonts w:ascii="Arial" w:hAnsi="Arial" w:cs="Arial"/>
          <w:sz w:val="22"/>
          <w:szCs w:val="22"/>
        </w:rPr>
        <w:t xml:space="preserve"> </w:t>
      </w:r>
    </w:p>
    <w:p w14:paraId="19EE378D" w14:textId="77777777" w:rsidR="007A5D4B" w:rsidRPr="00090251" w:rsidRDefault="007A5D4B" w:rsidP="007A5D4B">
      <w:pPr>
        <w:suppressAutoHyphens/>
        <w:rPr>
          <w:rFonts w:ascii="Arial" w:hAnsi="Arial" w:cs="Arial"/>
          <w:sz w:val="36"/>
          <w:szCs w:val="36"/>
        </w:rPr>
      </w:pPr>
    </w:p>
    <w:p w14:paraId="62D5DE62"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41C13E5A" w14:textId="77777777" w:rsidR="007A5D4B" w:rsidRPr="007A5D4B" w:rsidRDefault="007A5D4B" w:rsidP="007A5D4B">
      <w:pPr>
        <w:suppressAutoHyphens/>
        <w:ind w:left="480" w:hanging="480"/>
        <w:rPr>
          <w:rFonts w:ascii="Arial" w:hAnsi="Arial" w:cs="Arial"/>
          <w:sz w:val="22"/>
          <w:szCs w:val="22"/>
        </w:rPr>
      </w:pPr>
    </w:p>
    <w:p w14:paraId="217EE498" w14:textId="05484D6B" w:rsidR="00840FC6" w:rsidRDefault="00840FC6" w:rsidP="004D086A">
      <w:pPr>
        <w:ind w:left="360"/>
        <w:rPr>
          <w:rFonts w:ascii="Arial" w:hAnsi="Arial" w:cs="Arial"/>
          <w:sz w:val="22"/>
          <w:szCs w:val="22"/>
        </w:rPr>
      </w:pPr>
      <w:r w:rsidRPr="00840FC6">
        <w:rPr>
          <w:rFonts w:ascii="Arial" w:hAnsi="Arial" w:cs="Arial"/>
          <w:sz w:val="22"/>
          <w:szCs w:val="22"/>
        </w:rPr>
        <w:t xml:space="preserve">All entities, regardless of size, are required by </w:t>
      </w:r>
      <w:r>
        <w:rPr>
          <w:rFonts w:ascii="Arial" w:hAnsi="Arial" w:cs="Arial"/>
          <w:sz w:val="22"/>
          <w:szCs w:val="22"/>
        </w:rPr>
        <w:t xml:space="preserve">statute </w:t>
      </w:r>
      <w:r w:rsidRPr="00840FC6">
        <w:rPr>
          <w:rFonts w:ascii="Arial" w:hAnsi="Arial" w:cs="Arial"/>
          <w:sz w:val="22"/>
          <w:szCs w:val="22"/>
        </w:rPr>
        <w:t>to obtain a</w:t>
      </w:r>
      <w:r w:rsidR="00244D91">
        <w:rPr>
          <w:rFonts w:ascii="Arial" w:hAnsi="Arial" w:cs="Arial"/>
          <w:sz w:val="22"/>
          <w:szCs w:val="22"/>
        </w:rPr>
        <w:t xml:space="preserve"> </w:t>
      </w:r>
      <w:r w:rsidRPr="00840FC6">
        <w:rPr>
          <w:rFonts w:ascii="Arial" w:hAnsi="Arial" w:cs="Arial"/>
          <w:sz w:val="22"/>
          <w:szCs w:val="22"/>
        </w:rPr>
        <w:t xml:space="preserve">basic permit to engage in </w:t>
      </w:r>
      <w:r>
        <w:rPr>
          <w:rFonts w:ascii="Arial" w:hAnsi="Arial" w:cs="Arial"/>
          <w:sz w:val="22"/>
          <w:szCs w:val="22"/>
        </w:rPr>
        <w:t xml:space="preserve">certain specified alcohol beverage-related </w:t>
      </w:r>
      <w:r w:rsidRPr="00840FC6">
        <w:rPr>
          <w:rFonts w:ascii="Arial" w:hAnsi="Arial" w:cs="Arial"/>
          <w:sz w:val="22"/>
          <w:szCs w:val="22"/>
        </w:rPr>
        <w:t>businesses</w:t>
      </w:r>
      <w:r>
        <w:rPr>
          <w:rFonts w:ascii="Arial" w:hAnsi="Arial" w:cs="Arial"/>
          <w:sz w:val="22"/>
          <w:szCs w:val="22"/>
        </w:rPr>
        <w:t xml:space="preserve">.  </w:t>
      </w:r>
      <w:r w:rsidRPr="00840FC6">
        <w:rPr>
          <w:rFonts w:ascii="Arial" w:hAnsi="Arial" w:cs="Arial"/>
          <w:sz w:val="22"/>
          <w:szCs w:val="22"/>
        </w:rPr>
        <w:t xml:space="preserve">This information collection is required in order to determine if a person </w:t>
      </w:r>
      <w:r w:rsidR="003A09DC">
        <w:rPr>
          <w:rFonts w:ascii="Arial" w:hAnsi="Arial" w:cs="Arial"/>
          <w:sz w:val="22"/>
          <w:szCs w:val="22"/>
        </w:rPr>
        <w:t xml:space="preserve">is </w:t>
      </w:r>
      <w:r w:rsidRPr="00840FC6">
        <w:rPr>
          <w:rFonts w:ascii="Arial" w:hAnsi="Arial" w:cs="Arial"/>
          <w:sz w:val="22"/>
          <w:szCs w:val="22"/>
        </w:rPr>
        <w:t>qualifie</w:t>
      </w:r>
      <w:r w:rsidR="003A09DC">
        <w:rPr>
          <w:rFonts w:ascii="Arial" w:hAnsi="Arial" w:cs="Arial"/>
          <w:sz w:val="22"/>
          <w:szCs w:val="22"/>
        </w:rPr>
        <w:t>d to receive</w:t>
      </w:r>
      <w:r w:rsidRPr="00840FC6">
        <w:rPr>
          <w:rFonts w:ascii="Arial" w:hAnsi="Arial" w:cs="Arial"/>
          <w:sz w:val="22"/>
          <w:szCs w:val="22"/>
        </w:rPr>
        <w:t xml:space="preserve"> a </w:t>
      </w:r>
      <w:r>
        <w:rPr>
          <w:rFonts w:ascii="Arial" w:hAnsi="Arial" w:cs="Arial"/>
          <w:sz w:val="22"/>
          <w:szCs w:val="22"/>
        </w:rPr>
        <w:t xml:space="preserve">basic </w:t>
      </w:r>
      <w:r w:rsidRPr="00840FC6">
        <w:rPr>
          <w:rFonts w:ascii="Arial" w:hAnsi="Arial" w:cs="Arial"/>
          <w:sz w:val="22"/>
          <w:szCs w:val="22"/>
        </w:rPr>
        <w:t>permit</w:t>
      </w:r>
      <w:r w:rsidR="003A09DC">
        <w:rPr>
          <w:rFonts w:ascii="Arial" w:hAnsi="Arial" w:cs="Arial"/>
          <w:sz w:val="22"/>
          <w:szCs w:val="22"/>
        </w:rPr>
        <w:t xml:space="preserve"> under the FAA Act</w:t>
      </w:r>
      <w:r>
        <w:rPr>
          <w:rFonts w:ascii="Arial" w:hAnsi="Arial" w:cs="Arial"/>
          <w:sz w:val="22"/>
          <w:szCs w:val="22"/>
        </w:rPr>
        <w:t>,</w:t>
      </w:r>
      <w:r w:rsidRPr="00840FC6">
        <w:rPr>
          <w:rFonts w:ascii="Arial" w:hAnsi="Arial" w:cs="Arial"/>
          <w:sz w:val="22"/>
          <w:szCs w:val="22"/>
        </w:rPr>
        <w:t xml:space="preserve"> and it cannot be waived because the respondent's business is small.</w:t>
      </w:r>
      <w:r>
        <w:rPr>
          <w:rFonts w:ascii="Arial" w:hAnsi="Arial" w:cs="Arial"/>
          <w:sz w:val="22"/>
          <w:szCs w:val="22"/>
        </w:rPr>
        <w:t xml:space="preserve"> </w:t>
      </w:r>
    </w:p>
    <w:p w14:paraId="6EC9EB61" w14:textId="77777777" w:rsidR="007A5D4B" w:rsidRPr="00090251" w:rsidRDefault="007A5D4B" w:rsidP="007A5D4B">
      <w:pPr>
        <w:suppressAutoHyphens/>
        <w:rPr>
          <w:rFonts w:ascii="Arial" w:hAnsi="Arial" w:cs="Arial"/>
          <w:sz w:val="36"/>
          <w:szCs w:val="36"/>
        </w:rPr>
      </w:pPr>
    </w:p>
    <w:p w14:paraId="5357DF00"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6D12F005" w14:textId="77777777" w:rsidR="00AF1157" w:rsidRPr="007A5D4B" w:rsidRDefault="00AF1157" w:rsidP="00D73D2D">
      <w:pPr>
        <w:suppressAutoHyphens/>
        <w:ind w:left="480" w:hanging="480"/>
        <w:rPr>
          <w:rFonts w:ascii="Arial" w:hAnsi="Arial" w:cs="Arial"/>
          <w:sz w:val="22"/>
          <w:szCs w:val="22"/>
        </w:rPr>
      </w:pPr>
    </w:p>
    <w:p w14:paraId="46141F91" w14:textId="1E3D2390" w:rsidR="00840FC6" w:rsidRPr="00840FC6" w:rsidRDefault="00840FC6" w:rsidP="00840FC6">
      <w:pPr>
        <w:ind w:left="360"/>
        <w:rPr>
          <w:rFonts w:ascii="Arial" w:hAnsi="Arial" w:cs="Arial"/>
          <w:sz w:val="22"/>
          <w:szCs w:val="22"/>
        </w:rPr>
      </w:pPr>
      <w:r w:rsidRPr="00840FC6">
        <w:rPr>
          <w:rFonts w:ascii="Arial" w:hAnsi="Arial" w:cs="Arial"/>
          <w:sz w:val="22"/>
          <w:szCs w:val="22"/>
        </w:rPr>
        <w:t xml:space="preserve">If </w:t>
      </w:r>
      <w:r>
        <w:rPr>
          <w:rFonts w:ascii="Arial" w:hAnsi="Arial" w:cs="Arial"/>
          <w:sz w:val="22"/>
          <w:szCs w:val="22"/>
        </w:rPr>
        <w:t xml:space="preserve">TTB did not collect </w:t>
      </w:r>
      <w:r w:rsidRPr="00840FC6">
        <w:rPr>
          <w:rFonts w:ascii="Arial" w:hAnsi="Arial" w:cs="Arial"/>
          <w:sz w:val="22"/>
          <w:szCs w:val="22"/>
        </w:rPr>
        <w:t>this information</w:t>
      </w:r>
      <w:r>
        <w:rPr>
          <w:rFonts w:ascii="Arial" w:hAnsi="Arial" w:cs="Arial"/>
          <w:sz w:val="22"/>
          <w:szCs w:val="22"/>
        </w:rPr>
        <w:t xml:space="preserve">, it </w:t>
      </w:r>
      <w:r w:rsidRPr="00840FC6">
        <w:rPr>
          <w:rFonts w:ascii="Arial" w:hAnsi="Arial" w:cs="Arial"/>
          <w:sz w:val="22"/>
          <w:szCs w:val="22"/>
        </w:rPr>
        <w:t xml:space="preserve">would </w:t>
      </w:r>
      <w:r>
        <w:rPr>
          <w:rFonts w:ascii="Arial" w:hAnsi="Arial" w:cs="Arial"/>
          <w:sz w:val="22"/>
          <w:szCs w:val="22"/>
        </w:rPr>
        <w:t xml:space="preserve">be unable to </w:t>
      </w:r>
      <w:r w:rsidRPr="00840FC6">
        <w:rPr>
          <w:rFonts w:ascii="Arial" w:hAnsi="Arial" w:cs="Arial"/>
          <w:sz w:val="22"/>
          <w:szCs w:val="22"/>
        </w:rPr>
        <w:t>determin</w:t>
      </w:r>
      <w:r>
        <w:rPr>
          <w:rFonts w:ascii="Arial" w:hAnsi="Arial" w:cs="Arial"/>
          <w:sz w:val="22"/>
          <w:szCs w:val="22"/>
        </w:rPr>
        <w:t>e</w:t>
      </w:r>
      <w:r w:rsidRPr="00840FC6">
        <w:rPr>
          <w:rFonts w:ascii="Arial" w:hAnsi="Arial" w:cs="Arial"/>
          <w:sz w:val="22"/>
          <w:szCs w:val="22"/>
        </w:rPr>
        <w:t xml:space="preserve"> if an applicant is</w:t>
      </w:r>
      <w:r>
        <w:rPr>
          <w:rFonts w:ascii="Arial" w:hAnsi="Arial" w:cs="Arial"/>
          <w:sz w:val="22"/>
          <w:szCs w:val="22"/>
        </w:rPr>
        <w:t xml:space="preserve"> </w:t>
      </w:r>
      <w:r w:rsidRPr="00840FC6">
        <w:rPr>
          <w:rFonts w:ascii="Arial" w:hAnsi="Arial" w:cs="Arial"/>
          <w:sz w:val="22"/>
          <w:szCs w:val="22"/>
        </w:rPr>
        <w:t xml:space="preserve">eligible </w:t>
      </w:r>
      <w:r w:rsidR="003A09DC">
        <w:rPr>
          <w:rFonts w:ascii="Arial" w:hAnsi="Arial" w:cs="Arial"/>
          <w:sz w:val="22"/>
          <w:szCs w:val="22"/>
        </w:rPr>
        <w:t xml:space="preserve">to receive </w:t>
      </w:r>
      <w:r w:rsidRPr="00840FC6">
        <w:rPr>
          <w:rFonts w:ascii="Arial" w:hAnsi="Arial" w:cs="Arial"/>
          <w:sz w:val="22"/>
          <w:szCs w:val="22"/>
        </w:rPr>
        <w:t xml:space="preserve">a basic permit </w:t>
      </w:r>
      <w:r w:rsidR="00D846B9">
        <w:rPr>
          <w:rFonts w:ascii="Arial" w:hAnsi="Arial" w:cs="Arial"/>
          <w:sz w:val="22"/>
          <w:szCs w:val="22"/>
        </w:rPr>
        <w:t xml:space="preserve">under </w:t>
      </w:r>
      <w:r>
        <w:rPr>
          <w:rFonts w:ascii="Arial" w:hAnsi="Arial" w:cs="Arial"/>
          <w:sz w:val="22"/>
          <w:szCs w:val="22"/>
        </w:rPr>
        <w:t>the FAA Act.</w:t>
      </w:r>
      <w:r w:rsidRPr="00840FC6">
        <w:rPr>
          <w:rFonts w:ascii="Arial" w:hAnsi="Arial" w:cs="Arial"/>
          <w:sz w:val="22"/>
          <w:szCs w:val="22"/>
        </w:rPr>
        <w:t xml:space="preserve">  </w:t>
      </w:r>
      <w:r w:rsidR="00D846B9">
        <w:rPr>
          <w:rFonts w:ascii="Arial" w:hAnsi="Arial" w:cs="Arial"/>
          <w:sz w:val="22"/>
          <w:szCs w:val="22"/>
        </w:rPr>
        <w:t>In addition, under section 104(g) of the FAA Act (</w:t>
      </w:r>
      <w:r w:rsidRPr="00840FC6">
        <w:rPr>
          <w:rFonts w:ascii="Arial" w:hAnsi="Arial" w:cs="Arial"/>
          <w:sz w:val="22"/>
          <w:szCs w:val="22"/>
        </w:rPr>
        <w:t>27 U.S.C. 204(g)</w:t>
      </w:r>
      <w:r w:rsidR="00D846B9">
        <w:rPr>
          <w:rFonts w:ascii="Arial" w:hAnsi="Arial" w:cs="Arial"/>
          <w:sz w:val="22"/>
          <w:szCs w:val="22"/>
        </w:rPr>
        <w:t>)</w:t>
      </w:r>
      <w:r w:rsidRPr="00840FC6">
        <w:rPr>
          <w:rFonts w:ascii="Arial" w:hAnsi="Arial" w:cs="Arial"/>
          <w:sz w:val="22"/>
          <w:szCs w:val="22"/>
        </w:rPr>
        <w:t xml:space="preserve">, </w:t>
      </w:r>
      <w:r w:rsidR="00D846B9">
        <w:rPr>
          <w:rFonts w:ascii="Arial" w:hAnsi="Arial" w:cs="Arial"/>
          <w:sz w:val="22"/>
          <w:szCs w:val="22"/>
        </w:rPr>
        <w:t>a basic permit continues in effect until it is suspended, revoked, or voluntarily surrendered, or if legal control of the permitted business changes.  As such, res</w:t>
      </w:r>
      <w:r w:rsidRPr="00840FC6">
        <w:rPr>
          <w:rFonts w:ascii="Arial" w:hAnsi="Arial" w:cs="Arial"/>
          <w:sz w:val="22"/>
          <w:szCs w:val="22"/>
        </w:rPr>
        <w:t xml:space="preserve">pondents complete this information </w:t>
      </w:r>
      <w:r>
        <w:rPr>
          <w:rFonts w:ascii="Arial" w:hAnsi="Arial" w:cs="Arial"/>
          <w:sz w:val="22"/>
          <w:szCs w:val="22"/>
        </w:rPr>
        <w:t xml:space="preserve">collection </w:t>
      </w:r>
      <w:r w:rsidRPr="00840FC6">
        <w:rPr>
          <w:rFonts w:ascii="Arial" w:hAnsi="Arial" w:cs="Arial"/>
          <w:sz w:val="22"/>
          <w:szCs w:val="22"/>
        </w:rPr>
        <w:t>only as necessary to comply with the statute</w:t>
      </w:r>
      <w:r w:rsidR="00D846B9">
        <w:rPr>
          <w:rFonts w:ascii="Arial" w:hAnsi="Arial" w:cs="Arial"/>
          <w:sz w:val="22"/>
          <w:szCs w:val="22"/>
        </w:rPr>
        <w:t>, and, as</w:t>
      </w:r>
      <w:r>
        <w:rPr>
          <w:rFonts w:ascii="Arial" w:hAnsi="Arial" w:cs="Arial"/>
          <w:sz w:val="22"/>
          <w:szCs w:val="22"/>
        </w:rPr>
        <w:t xml:space="preserve"> such, TTB cannot conduct this collection less frequently</w:t>
      </w:r>
      <w:r w:rsidRPr="00840FC6">
        <w:rPr>
          <w:rFonts w:ascii="Arial" w:hAnsi="Arial" w:cs="Arial"/>
          <w:sz w:val="22"/>
          <w:szCs w:val="22"/>
        </w:rPr>
        <w:t>.</w:t>
      </w:r>
      <w:r>
        <w:rPr>
          <w:rFonts w:ascii="Arial" w:hAnsi="Arial" w:cs="Arial"/>
          <w:sz w:val="22"/>
          <w:szCs w:val="22"/>
        </w:rPr>
        <w:t xml:space="preserve"> </w:t>
      </w:r>
    </w:p>
    <w:p w14:paraId="248190D8" w14:textId="77777777" w:rsidR="007A5D4B" w:rsidRPr="00090251" w:rsidRDefault="007A5D4B" w:rsidP="007A5D4B">
      <w:pPr>
        <w:suppressAutoHyphens/>
        <w:rPr>
          <w:rFonts w:ascii="Arial" w:hAnsi="Arial" w:cs="Arial"/>
          <w:sz w:val="36"/>
          <w:szCs w:val="36"/>
        </w:rPr>
      </w:pPr>
    </w:p>
    <w:p w14:paraId="199E7774"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6F594D78" w14:textId="77777777" w:rsidR="00101DE7" w:rsidRPr="007A5D4B" w:rsidRDefault="00101DE7" w:rsidP="00D73D2D">
      <w:pPr>
        <w:rPr>
          <w:rFonts w:ascii="Arial" w:hAnsi="Arial" w:cs="Arial"/>
          <w:sz w:val="22"/>
          <w:szCs w:val="22"/>
        </w:rPr>
      </w:pPr>
    </w:p>
    <w:p w14:paraId="199C162C" w14:textId="77777777" w:rsidR="00EC4FC3" w:rsidRPr="007A5D4B" w:rsidRDefault="00EC4FC3" w:rsidP="004D086A">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140B5C32" w14:textId="77777777" w:rsidR="00EC4FC3" w:rsidRPr="000B6799" w:rsidRDefault="00EC4FC3" w:rsidP="00D73D2D">
      <w:pPr>
        <w:rPr>
          <w:rFonts w:ascii="Arial" w:hAnsi="Arial" w:cs="Arial"/>
          <w:sz w:val="36"/>
          <w:szCs w:val="36"/>
        </w:rPr>
      </w:pPr>
    </w:p>
    <w:p w14:paraId="12DCA536"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5BAC130" w14:textId="77777777" w:rsidR="005C282B" w:rsidRPr="007A5D4B" w:rsidRDefault="005C282B" w:rsidP="00D73D2D">
      <w:pPr>
        <w:suppressAutoHyphens/>
        <w:ind w:left="480" w:hanging="480"/>
        <w:rPr>
          <w:rFonts w:ascii="Arial" w:hAnsi="Arial" w:cs="Arial"/>
          <w:sz w:val="22"/>
          <w:szCs w:val="22"/>
        </w:rPr>
      </w:pPr>
    </w:p>
    <w:p w14:paraId="17B33831" w14:textId="071CF7BB" w:rsidR="00F25305" w:rsidRPr="00F25305" w:rsidRDefault="00F25305" w:rsidP="00F25305">
      <w:pPr>
        <w:ind w:left="360"/>
        <w:rPr>
          <w:rFonts w:ascii="Arial" w:hAnsi="Arial" w:cs="Arial"/>
          <w:sz w:val="22"/>
          <w:szCs w:val="22"/>
        </w:rPr>
      </w:pPr>
      <w:r w:rsidRPr="00F25305">
        <w:rPr>
          <w:rFonts w:ascii="Arial" w:hAnsi="Arial" w:cs="Arial"/>
          <w:sz w:val="22"/>
          <w:szCs w:val="22"/>
        </w:rPr>
        <w:t>To solicit comments from the general public, TTB published a “60-day” comment request notice for this information collection in the Federal Register on May 30, 2018, at 83 FR 24842.  TTB received no comments on this information collection in response.</w:t>
      </w:r>
      <w:r>
        <w:rPr>
          <w:rFonts w:ascii="Arial" w:hAnsi="Arial" w:cs="Arial"/>
          <w:sz w:val="22"/>
          <w:szCs w:val="22"/>
        </w:rPr>
        <w:t xml:space="preserve"> </w:t>
      </w:r>
    </w:p>
    <w:p w14:paraId="7AEC1448" w14:textId="77777777" w:rsidR="00734B25" w:rsidRPr="00090251" w:rsidRDefault="00734B25" w:rsidP="00D73D2D">
      <w:pPr>
        <w:suppressAutoHyphens/>
        <w:rPr>
          <w:rFonts w:ascii="Arial" w:hAnsi="Arial" w:cs="Arial"/>
          <w:sz w:val="36"/>
          <w:szCs w:val="36"/>
        </w:rPr>
      </w:pPr>
    </w:p>
    <w:p w14:paraId="4DD2F5DB"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312EBB62" w14:textId="77777777" w:rsidR="00EC4FC3" w:rsidRPr="007A5D4B" w:rsidRDefault="00EC4FC3" w:rsidP="00D73D2D">
      <w:pPr>
        <w:suppressAutoHyphens/>
        <w:rPr>
          <w:rFonts w:ascii="Arial" w:hAnsi="Arial" w:cs="Arial"/>
          <w:sz w:val="22"/>
          <w:szCs w:val="22"/>
        </w:rPr>
      </w:pPr>
    </w:p>
    <w:p w14:paraId="68D77CDC" w14:textId="2243C996"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F25305">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14:paraId="2DDDF118" w14:textId="77777777" w:rsidR="00EC4FC3" w:rsidRPr="00090251" w:rsidRDefault="00EC4FC3" w:rsidP="00D73D2D">
      <w:pPr>
        <w:suppressAutoHyphens/>
        <w:rPr>
          <w:rFonts w:ascii="Arial" w:hAnsi="Arial" w:cs="Arial"/>
          <w:sz w:val="36"/>
          <w:szCs w:val="36"/>
        </w:rPr>
      </w:pPr>
    </w:p>
    <w:p w14:paraId="3676F226"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0C3459C6" w14:textId="77777777" w:rsidR="00EC4FC3" w:rsidRPr="007A5D4B" w:rsidRDefault="00EC4FC3" w:rsidP="00D73D2D">
      <w:pPr>
        <w:rPr>
          <w:rFonts w:ascii="Arial" w:hAnsi="Arial" w:cs="Arial"/>
          <w:sz w:val="22"/>
          <w:szCs w:val="22"/>
        </w:rPr>
      </w:pPr>
    </w:p>
    <w:p w14:paraId="7736E464" w14:textId="7CF5E1AE" w:rsidR="00E51AD7" w:rsidRDefault="00E51AD7" w:rsidP="004D086A">
      <w:pPr>
        <w:ind w:left="360"/>
        <w:rPr>
          <w:rFonts w:ascii="Arial" w:hAnsi="Arial" w:cs="Arial"/>
          <w:sz w:val="22"/>
          <w:szCs w:val="22"/>
        </w:rPr>
      </w:pPr>
      <w:r w:rsidRPr="00853E85">
        <w:rPr>
          <w:rFonts w:ascii="Arial" w:hAnsi="Arial" w:cs="Arial"/>
          <w:sz w:val="22"/>
          <w:szCs w:val="22"/>
        </w:rPr>
        <w:t xml:space="preserve">No specific assurance of confidentiality is provided </w:t>
      </w:r>
      <w:r w:rsidR="00F25305">
        <w:rPr>
          <w:rFonts w:ascii="Arial" w:hAnsi="Arial" w:cs="Arial"/>
          <w:sz w:val="22"/>
          <w:szCs w:val="22"/>
        </w:rPr>
        <w:t>for this information collection on TTB F 5100.24.</w:t>
      </w:r>
      <w:r w:rsidRPr="00853E85">
        <w:rPr>
          <w:rFonts w:ascii="Arial" w:hAnsi="Arial" w:cs="Arial"/>
          <w:sz w:val="22"/>
          <w:szCs w:val="22"/>
        </w:rPr>
        <w:t xml:space="preserve">  However, Federal law at 5</w:t>
      </w:r>
      <w:r w:rsidR="00853E85" w:rsidRPr="00853E85">
        <w:rPr>
          <w:rFonts w:ascii="Arial" w:hAnsi="Arial" w:cs="Arial"/>
          <w:sz w:val="22"/>
          <w:szCs w:val="22"/>
        </w:rPr>
        <w:t> </w:t>
      </w:r>
      <w:r w:rsidRPr="00853E85">
        <w:rPr>
          <w:rFonts w:ascii="Arial" w:hAnsi="Arial" w:cs="Arial"/>
          <w:sz w:val="22"/>
          <w:szCs w:val="22"/>
        </w:rPr>
        <w:t xml:space="preserve">U.S.C. 552 protects the confidentiality of proprietary information obtained by the Government from regulated businesses and individuals unless disclosure is specifically authorized by </w:t>
      </w:r>
      <w:r w:rsidR="00F25305">
        <w:rPr>
          <w:rFonts w:ascii="Arial" w:hAnsi="Arial" w:cs="Arial"/>
          <w:sz w:val="22"/>
          <w:szCs w:val="22"/>
        </w:rPr>
        <w:t>law</w:t>
      </w:r>
      <w:r w:rsidRPr="00853E85">
        <w:rPr>
          <w:rFonts w:ascii="Arial" w:hAnsi="Arial" w:cs="Arial"/>
          <w:sz w:val="22"/>
          <w:szCs w:val="22"/>
        </w:rPr>
        <w:t xml:space="preserve">. </w:t>
      </w:r>
      <w:r w:rsidR="00853E85" w:rsidRPr="00853E85">
        <w:rPr>
          <w:rFonts w:ascii="Arial" w:hAnsi="Arial" w:cs="Arial"/>
          <w:sz w:val="22"/>
          <w:szCs w:val="22"/>
        </w:rPr>
        <w:t xml:space="preserve"> TTB maintains </w:t>
      </w:r>
      <w:r w:rsidR="00F25305">
        <w:rPr>
          <w:rFonts w:ascii="Arial" w:hAnsi="Arial" w:cs="Arial"/>
          <w:sz w:val="22"/>
          <w:szCs w:val="22"/>
        </w:rPr>
        <w:t xml:space="preserve">basic permit applications </w:t>
      </w:r>
      <w:r w:rsidR="00853E85" w:rsidRPr="00853E85">
        <w:rPr>
          <w:rFonts w:ascii="Arial" w:hAnsi="Arial" w:cs="Arial"/>
          <w:sz w:val="22"/>
          <w:szCs w:val="22"/>
        </w:rPr>
        <w:t xml:space="preserve">in secure file </w:t>
      </w:r>
      <w:r w:rsidR="00853E85" w:rsidRPr="00F25305">
        <w:rPr>
          <w:rFonts w:ascii="Arial" w:hAnsi="Arial" w:cs="Arial"/>
          <w:sz w:val="22"/>
          <w:szCs w:val="22"/>
        </w:rPr>
        <w:t>rooms and computer systems with controlled access</w:t>
      </w:r>
      <w:r w:rsidR="00853E85" w:rsidRPr="00853E85">
        <w:rPr>
          <w:rFonts w:ascii="Arial" w:hAnsi="Arial" w:cs="Arial"/>
          <w:sz w:val="22"/>
          <w:szCs w:val="22"/>
        </w:rPr>
        <w:t>.</w:t>
      </w:r>
      <w:r w:rsidR="00853E85">
        <w:rPr>
          <w:rFonts w:ascii="Arial" w:hAnsi="Arial" w:cs="Arial"/>
          <w:sz w:val="22"/>
          <w:szCs w:val="22"/>
        </w:rPr>
        <w:t xml:space="preserve"> </w:t>
      </w:r>
    </w:p>
    <w:p w14:paraId="56DED1A3" w14:textId="77777777" w:rsidR="00AF1157" w:rsidRPr="00A5320B" w:rsidRDefault="00AF1157" w:rsidP="00D73D2D">
      <w:pPr>
        <w:suppressAutoHyphens/>
        <w:rPr>
          <w:rFonts w:ascii="Arial" w:hAnsi="Arial" w:cs="Arial"/>
          <w:sz w:val="36"/>
          <w:szCs w:val="36"/>
        </w:rPr>
      </w:pPr>
    </w:p>
    <w:p w14:paraId="3D1D3BC6"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58AE170" w14:textId="77777777" w:rsidR="00A201BF" w:rsidRPr="00965E7F" w:rsidRDefault="00A201BF" w:rsidP="00A201BF">
      <w:pPr>
        <w:rPr>
          <w:rFonts w:ascii="Arial" w:hAnsi="Arial" w:cs="Arial"/>
          <w:i/>
          <w:sz w:val="22"/>
          <w:szCs w:val="22"/>
        </w:rPr>
      </w:pPr>
    </w:p>
    <w:p w14:paraId="539BB8E9" w14:textId="14CEEFDF" w:rsidR="00C0666E" w:rsidRDefault="00C0666E" w:rsidP="00C0666E">
      <w:pPr>
        <w:widowControl w:val="0"/>
        <w:suppressAutoHyphens/>
        <w:autoSpaceDE w:val="0"/>
        <w:autoSpaceDN w:val="0"/>
        <w:adjustRightInd w:val="0"/>
        <w:ind w:left="360"/>
        <w:contextualSpacing/>
        <w:rPr>
          <w:rFonts w:ascii="Arial" w:hAnsi="Arial" w:cs="Arial"/>
          <w:sz w:val="22"/>
          <w:szCs w:val="22"/>
        </w:rPr>
      </w:pPr>
      <w:r w:rsidRPr="00B11E2C">
        <w:rPr>
          <w:rFonts w:ascii="Arial" w:hAnsi="Arial" w:cs="Arial"/>
          <w:sz w:val="22"/>
          <w:szCs w:val="22"/>
        </w:rPr>
        <w:t xml:space="preserve">This information collection contains no questions of a sensitive nature. </w:t>
      </w:r>
    </w:p>
    <w:p w14:paraId="63B78CAE" w14:textId="77777777" w:rsidR="00C0666E" w:rsidRDefault="00C0666E" w:rsidP="00C0666E">
      <w:pPr>
        <w:widowControl w:val="0"/>
        <w:suppressAutoHyphens/>
        <w:autoSpaceDE w:val="0"/>
        <w:autoSpaceDN w:val="0"/>
        <w:adjustRightInd w:val="0"/>
        <w:ind w:left="360"/>
        <w:contextualSpacing/>
        <w:rPr>
          <w:rFonts w:ascii="Arial" w:hAnsi="Arial" w:cs="Arial"/>
          <w:sz w:val="22"/>
          <w:szCs w:val="22"/>
        </w:rPr>
      </w:pPr>
    </w:p>
    <w:p w14:paraId="3E1C1C8C" w14:textId="2BB67729" w:rsidR="00C0666E" w:rsidRDefault="00115422" w:rsidP="00C0666E">
      <w:pPr>
        <w:widowControl w:val="0"/>
        <w:suppressAutoHyphens/>
        <w:autoSpaceDE w:val="0"/>
        <w:autoSpaceDN w:val="0"/>
        <w:adjustRightInd w:val="0"/>
        <w:ind w:left="360"/>
        <w:contextualSpacing/>
        <w:rPr>
          <w:rFonts w:ascii="Arial" w:hAnsi="Arial" w:cs="Arial"/>
          <w:sz w:val="22"/>
          <w:szCs w:val="22"/>
        </w:rPr>
      </w:pPr>
      <w:r>
        <w:rPr>
          <w:rFonts w:ascii="Arial" w:hAnsi="Arial" w:cs="Arial"/>
          <w:sz w:val="22"/>
          <w:szCs w:val="22"/>
        </w:rPr>
        <w:t>P</w:t>
      </w:r>
      <w:r w:rsidR="00C0666E" w:rsidRPr="00B11E2C">
        <w:rPr>
          <w:rFonts w:ascii="Arial" w:hAnsi="Arial" w:cs="Arial"/>
          <w:sz w:val="22"/>
          <w:szCs w:val="22"/>
        </w:rPr>
        <w:t>rivacy Impact Assessment</w:t>
      </w:r>
      <w:r>
        <w:rPr>
          <w:rFonts w:ascii="Arial" w:hAnsi="Arial" w:cs="Arial"/>
          <w:sz w:val="22"/>
          <w:szCs w:val="22"/>
        </w:rPr>
        <w:t>s</w:t>
      </w:r>
      <w:r w:rsidR="00C0666E" w:rsidRPr="00B11E2C">
        <w:rPr>
          <w:rFonts w:ascii="Arial" w:hAnsi="Arial" w:cs="Arial"/>
          <w:sz w:val="22"/>
          <w:szCs w:val="22"/>
        </w:rPr>
        <w:t xml:space="preserve"> (PIA</w:t>
      </w:r>
      <w:r>
        <w:rPr>
          <w:rFonts w:ascii="Arial" w:hAnsi="Arial" w:cs="Arial"/>
          <w:sz w:val="22"/>
          <w:szCs w:val="22"/>
        </w:rPr>
        <w:t>s</w:t>
      </w:r>
      <w:r w:rsidR="00C0666E" w:rsidRPr="00B11E2C">
        <w:rPr>
          <w:rFonts w:ascii="Arial" w:hAnsi="Arial" w:cs="Arial"/>
          <w:sz w:val="22"/>
          <w:szCs w:val="22"/>
        </w:rPr>
        <w:t>) ha</w:t>
      </w:r>
      <w:r>
        <w:rPr>
          <w:rFonts w:ascii="Arial" w:hAnsi="Arial" w:cs="Arial"/>
          <w:sz w:val="22"/>
          <w:szCs w:val="22"/>
        </w:rPr>
        <w:t>ve</w:t>
      </w:r>
      <w:r w:rsidR="00C0666E" w:rsidRPr="00B11E2C">
        <w:rPr>
          <w:rFonts w:ascii="Arial" w:hAnsi="Arial" w:cs="Arial"/>
          <w:sz w:val="22"/>
          <w:szCs w:val="22"/>
        </w:rPr>
        <w:t xml:space="preserve"> been conducted for </w:t>
      </w:r>
      <w:r w:rsidR="00C0666E">
        <w:rPr>
          <w:rFonts w:ascii="Arial" w:hAnsi="Arial" w:cs="Arial"/>
          <w:sz w:val="22"/>
          <w:szCs w:val="22"/>
        </w:rPr>
        <w:t xml:space="preserve">TTB’s </w:t>
      </w:r>
      <w:r w:rsidR="00A438D8">
        <w:rPr>
          <w:rFonts w:ascii="Arial" w:hAnsi="Arial" w:cs="Arial"/>
          <w:sz w:val="22"/>
          <w:szCs w:val="22"/>
        </w:rPr>
        <w:t xml:space="preserve">Tax Major Applications System and </w:t>
      </w:r>
      <w:r w:rsidR="00C0666E">
        <w:rPr>
          <w:rFonts w:ascii="Arial" w:hAnsi="Arial" w:cs="Arial"/>
          <w:sz w:val="22"/>
          <w:szCs w:val="22"/>
        </w:rPr>
        <w:t xml:space="preserve">Permits Online (PONL) system, which contain </w:t>
      </w:r>
      <w:r>
        <w:rPr>
          <w:rFonts w:ascii="Arial" w:hAnsi="Arial" w:cs="Arial"/>
          <w:sz w:val="22"/>
          <w:szCs w:val="22"/>
        </w:rPr>
        <w:t xml:space="preserve">the </w:t>
      </w:r>
      <w:r w:rsidR="00C0666E">
        <w:rPr>
          <w:rFonts w:ascii="Arial" w:hAnsi="Arial" w:cs="Arial"/>
          <w:sz w:val="22"/>
          <w:szCs w:val="22"/>
        </w:rPr>
        <w:t>personally identifiable information (PII) collected un</w:t>
      </w:r>
      <w:r w:rsidR="00C0666E" w:rsidRPr="00B11E2C">
        <w:rPr>
          <w:rFonts w:ascii="Arial" w:hAnsi="Arial" w:cs="Arial"/>
          <w:sz w:val="22"/>
          <w:szCs w:val="22"/>
        </w:rPr>
        <w:t>der this request</w:t>
      </w:r>
      <w:r w:rsidR="00C0666E">
        <w:rPr>
          <w:rFonts w:ascii="Arial" w:hAnsi="Arial" w:cs="Arial"/>
          <w:sz w:val="22"/>
          <w:szCs w:val="22"/>
        </w:rPr>
        <w:t xml:space="preserve">.  A </w:t>
      </w:r>
      <w:r w:rsidR="00C0666E" w:rsidRPr="00B11E2C">
        <w:rPr>
          <w:rFonts w:ascii="Arial" w:hAnsi="Arial" w:cs="Arial"/>
          <w:sz w:val="22"/>
          <w:szCs w:val="22"/>
        </w:rPr>
        <w:t>Privacy Act System of Records notice (SORN) has been issued for th</w:t>
      </w:r>
      <w:r>
        <w:rPr>
          <w:rFonts w:ascii="Arial" w:hAnsi="Arial" w:cs="Arial"/>
          <w:sz w:val="22"/>
          <w:szCs w:val="22"/>
        </w:rPr>
        <w:t xml:space="preserve">ose systems </w:t>
      </w:r>
      <w:r w:rsidR="00C0666E" w:rsidRPr="00B11E2C">
        <w:rPr>
          <w:rFonts w:ascii="Arial" w:hAnsi="Arial" w:cs="Arial"/>
          <w:sz w:val="22"/>
          <w:szCs w:val="22"/>
        </w:rPr>
        <w:t>under TTB .001–Regulatory Enforcement Record System</w:t>
      </w:r>
      <w:r w:rsidR="00C0666E">
        <w:rPr>
          <w:rFonts w:ascii="Arial" w:hAnsi="Arial" w:cs="Arial"/>
          <w:sz w:val="22"/>
          <w:szCs w:val="22"/>
        </w:rPr>
        <w:t xml:space="preserve">, which was </w:t>
      </w:r>
      <w:r w:rsidR="00C0666E" w:rsidRPr="00B11E2C">
        <w:rPr>
          <w:rFonts w:ascii="Arial" w:hAnsi="Arial" w:cs="Arial"/>
          <w:sz w:val="22"/>
          <w:szCs w:val="22"/>
        </w:rPr>
        <w:t xml:space="preserve">published in the Federal Register on January 28, 2015, at 80 FR 4637.  TTB’s PIAs are available on the TTB website at </w:t>
      </w:r>
      <w:hyperlink r:id="rId10" w:history="1">
        <w:r w:rsidR="00C0666E" w:rsidRPr="00DA4A84">
          <w:rPr>
            <w:rStyle w:val="Hyperlink"/>
            <w:rFonts w:ascii="Arial" w:hAnsi="Arial" w:cs="Arial"/>
            <w:sz w:val="22"/>
            <w:szCs w:val="22"/>
          </w:rPr>
          <w:t>https://www.ttb.gov/foia/pia.shtml</w:t>
        </w:r>
      </w:hyperlink>
      <w:r w:rsidR="00C0666E">
        <w:rPr>
          <w:rFonts w:ascii="Arial" w:hAnsi="Arial" w:cs="Arial"/>
          <w:sz w:val="22"/>
          <w:szCs w:val="22"/>
        </w:rPr>
        <w:t xml:space="preserve">. </w:t>
      </w:r>
    </w:p>
    <w:p w14:paraId="4F30FB0D" w14:textId="77777777" w:rsidR="00A201BF" w:rsidRPr="00A5320B" w:rsidRDefault="00A201BF" w:rsidP="00D73D2D">
      <w:pPr>
        <w:suppressAutoHyphens/>
        <w:rPr>
          <w:rFonts w:ascii="Arial" w:hAnsi="Arial" w:cs="Arial"/>
          <w:sz w:val="36"/>
          <w:szCs w:val="36"/>
        </w:rPr>
      </w:pPr>
    </w:p>
    <w:p w14:paraId="251C0EF8"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4077137D" w14:textId="77777777" w:rsidR="00AF1157" w:rsidRPr="007A5D4B" w:rsidRDefault="00AF1157" w:rsidP="00D73D2D">
      <w:pPr>
        <w:suppressAutoHyphens/>
        <w:rPr>
          <w:rFonts w:ascii="Arial" w:hAnsi="Arial" w:cs="Arial"/>
          <w:sz w:val="22"/>
          <w:szCs w:val="22"/>
        </w:rPr>
      </w:pPr>
    </w:p>
    <w:p w14:paraId="7F8349FE" w14:textId="0D825EC9" w:rsidR="00A85118" w:rsidRDefault="00A85118" w:rsidP="00A85118">
      <w:pPr>
        <w:ind w:left="360"/>
        <w:rPr>
          <w:rFonts w:ascii="Arial" w:hAnsi="Arial" w:cs="Arial"/>
          <w:sz w:val="22"/>
          <w:szCs w:val="22"/>
        </w:rPr>
      </w:pPr>
      <w:r>
        <w:rPr>
          <w:rFonts w:ascii="Arial" w:hAnsi="Arial" w:cs="Arial"/>
          <w:sz w:val="22"/>
          <w:szCs w:val="22"/>
        </w:rPr>
        <w:t>TTB estimates that 6,000 respondents will respon</w:t>
      </w:r>
      <w:r w:rsidR="00A12CE5">
        <w:rPr>
          <w:rFonts w:ascii="Arial" w:hAnsi="Arial" w:cs="Arial"/>
          <w:sz w:val="22"/>
          <w:szCs w:val="22"/>
        </w:rPr>
        <w:t>d</w:t>
      </w:r>
      <w:r>
        <w:rPr>
          <w:rFonts w:ascii="Arial" w:hAnsi="Arial" w:cs="Arial"/>
          <w:sz w:val="22"/>
          <w:szCs w:val="22"/>
        </w:rPr>
        <w:t xml:space="preserve"> once per year to this information collection, for a total of 6,000 </w:t>
      </w:r>
      <w:r w:rsidR="00A12CE5">
        <w:rPr>
          <w:rFonts w:ascii="Arial" w:hAnsi="Arial" w:cs="Arial"/>
          <w:sz w:val="22"/>
          <w:szCs w:val="22"/>
        </w:rPr>
        <w:t xml:space="preserve">annual </w:t>
      </w:r>
      <w:r>
        <w:rPr>
          <w:rFonts w:ascii="Arial" w:hAnsi="Arial" w:cs="Arial"/>
          <w:sz w:val="22"/>
          <w:szCs w:val="22"/>
        </w:rPr>
        <w:t xml:space="preserve">responses.  </w:t>
      </w:r>
      <w:r w:rsidR="000D4E6C">
        <w:rPr>
          <w:rFonts w:ascii="Arial" w:hAnsi="Arial" w:cs="Arial"/>
          <w:sz w:val="22"/>
          <w:szCs w:val="22"/>
        </w:rPr>
        <w:t xml:space="preserve">TTB further estimates that 4,500 of those respondents </w:t>
      </w:r>
      <w:r w:rsidR="00D53E7A">
        <w:rPr>
          <w:rFonts w:ascii="Arial" w:hAnsi="Arial" w:cs="Arial"/>
          <w:sz w:val="22"/>
          <w:szCs w:val="22"/>
        </w:rPr>
        <w:t xml:space="preserve">(75%) </w:t>
      </w:r>
      <w:r w:rsidR="000D4E6C">
        <w:rPr>
          <w:rFonts w:ascii="Arial" w:hAnsi="Arial" w:cs="Arial"/>
          <w:sz w:val="22"/>
          <w:szCs w:val="22"/>
        </w:rPr>
        <w:t xml:space="preserve">will submit </w:t>
      </w:r>
      <w:r w:rsidR="00A12CE5">
        <w:rPr>
          <w:rFonts w:ascii="Arial" w:hAnsi="Arial" w:cs="Arial"/>
          <w:sz w:val="22"/>
          <w:szCs w:val="22"/>
        </w:rPr>
        <w:t xml:space="preserve">their </w:t>
      </w:r>
      <w:r w:rsidR="009542D6">
        <w:rPr>
          <w:rFonts w:ascii="Arial" w:hAnsi="Arial" w:cs="Arial"/>
          <w:sz w:val="22"/>
          <w:szCs w:val="22"/>
        </w:rPr>
        <w:t xml:space="preserve">FAA Act </w:t>
      </w:r>
      <w:r w:rsidR="000D4E6C">
        <w:rPr>
          <w:rFonts w:ascii="Arial" w:hAnsi="Arial" w:cs="Arial"/>
          <w:sz w:val="22"/>
          <w:szCs w:val="22"/>
        </w:rPr>
        <w:t>basic permit application</w:t>
      </w:r>
      <w:r w:rsidR="004B7958">
        <w:rPr>
          <w:rFonts w:ascii="Arial" w:hAnsi="Arial" w:cs="Arial"/>
          <w:sz w:val="22"/>
          <w:szCs w:val="22"/>
        </w:rPr>
        <w:t>s</w:t>
      </w:r>
      <w:r w:rsidR="000D4E6C">
        <w:rPr>
          <w:rFonts w:ascii="Arial" w:hAnsi="Arial" w:cs="Arial"/>
          <w:sz w:val="22"/>
          <w:szCs w:val="22"/>
        </w:rPr>
        <w:t xml:space="preserve"> electronically via </w:t>
      </w:r>
      <w:r w:rsidR="0082385C">
        <w:rPr>
          <w:rFonts w:ascii="Arial" w:hAnsi="Arial" w:cs="Arial"/>
          <w:sz w:val="22"/>
          <w:szCs w:val="22"/>
        </w:rPr>
        <w:t>the PONL system</w:t>
      </w:r>
      <w:r w:rsidR="000D4E6C">
        <w:rPr>
          <w:rFonts w:ascii="Arial" w:hAnsi="Arial" w:cs="Arial"/>
          <w:sz w:val="22"/>
          <w:szCs w:val="22"/>
        </w:rPr>
        <w:t xml:space="preserve">, and that 1,500 respondents </w:t>
      </w:r>
      <w:r w:rsidR="00D53E7A">
        <w:rPr>
          <w:rFonts w:ascii="Arial" w:hAnsi="Arial" w:cs="Arial"/>
          <w:sz w:val="22"/>
          <w:szCs w:val="22"/>
        </w:rPr>
        <w:t xml:space="preserve">(25%) </w:t>
      </w:r>
      <w:r w:rsidR="000D4E6C">
        <w:rPr>
          <w:rFonts w:ascii="Arial" w:hAnsi="Arial" w:cs="Arial"/>
          <w:sz w:val="22"/>
          <w:szCs w:val="22"/>
        </w:rPr>
        <w:t>will submit their application</w:t>
      </w:r>
      <w:r w:rsidR="004B7958">
        <w:rPr>
          <w:rFonts w:ascii="Arial" w:hAnsi="Arial" w:cs="Arial"/>
          <w:sz w:val="22"/>
          <w:szCs w:val="22"/>
        </w:rPr>
        <w:t>s</w:t>
      </w:r>
      <w:r w:rsidR="000D4E6C">
        <w:rPr>
          <w:rFonts w:ascii="Arial" w:hAnsi="Arial" w:cs="Arial"/>
          <w:sz w:val="22"/>
          <w:szCs w:val="22"/>
        </w:rPr>
        <w:t xml:space="preserve"> on the paper form, TTB F 5100.24.  TTB also estimates that each PONL </w:t>
      </w:r>
      <w:r w:rsidR="004B7958">
        <w:rPr>
          <w:rFonts w:ascii="Arial" w:hAnsi="Arial" w:cs="Arial"/>
          <w:sz w:val="22"/>
          <w:szCs w:val="22"/>
        </w:rPr>
        <w:t xml:space="preserve">basic permit </w:t>
      </w:r>
      <w:r w:rsidR="000D4E6C">
        <w:rPr>
          <w:rFonts w:ascii="Arial" w:hAnsi="Arial" w:cs="Arial"/>
          <w:sz w:val="22"/>
          <w:szCs w:val="22"/>
        </w:rPr>
        <w:t xml:space="preserve">application will take </w:t>
      </w:r>
      <w:r w:rsidR="00A12CE5">
        <w:rPr>
          <w:rFonts w:ascii="Arial" w:hAnsi="Arial" w:cs="Arial"/>
          <w:sz w:val="22"/>
          <w:szCs w:val="22"/>
        </w:rPr>
        <w:t xml:space="preserve">respondents an average of </w:t>
      </w:r>
      <w:r w:rsidR="000D4E6C">
        <w:rPr>
          <w:rFonts w:ascii="Arial" w:hAnsi="Arial" w:cs="Arial"/>
          <w:sz w:val="22"/>
          <w:szCs w:val="22"/>
        </w:rPr>
        <w:t xml:space="preserve">1 hour to complete, while a paper application </w:t>
      </w:r>
      <w:r w:rsidR="00A12CE5">
        <w:rPr>
          <w:rFonts w:ascii="Arial" w:hAnsi="Arial" w:cs="Arial"/>
          <w:sz w:val="22"/>
          <w:szCs w:val="22"/>
        </w:rPr>
        <w:t xml:space="preserve">on TTB F 5100.24 </w:t>
      </w:r>
      <w:r w:rsidR="000D4E6C">
        <w:rPr>
          <w:rFonts w:ascii="Arial" w:hAnsi="Arial" w:cs="Arial"/>
          <w:sz w:val="22"/>
          <w:szCs w:val="22"/>
        </w:rPr>
        <w:t xml:space="preserve">will take </w:t>
      </w:r>
      <w:r w:rsidR="00A12CE5">
        <w:rPr>
          <w:rFonts w:ascii="Arial" w:hAnsi="Arial" w:cs="Arial"/>
          <w:sz w:val="22"/>
          <w:szCs w:val="22"/>
        </w:rPr>
        <w:t xml:space="preserve">respondents an average of 1.5 hours (90 minutes) to complete. </w:t>
      </w:r>
      <w:r w:rsidR="0014071B">
        <w:rPr>
          <w:rFonts w:ascii="Arial" w:hAnsi="Arial" w:cs="Arial"/>
          <w:sz w:val="22"/>
          <w:szCs w:val="22"/>
        </w:rPr>
        <w:t xml:space="preserve"> </w:t>
      </w:r>
      <w:r w:rsidR="00D53E7A">
        <w:rPr>
          <w:rFonts w:ascii="Arial" w:hAnsi="Arial" w:cs="Arial"/>
          <w:sz w:val="22"/>
          <w:szCs w:val="22"/>
        </w:rPr>
        <w:t xml:space="preserve">Therefore, </w:t>
      </w:r>
      <w:r>
        <w:rPr>
          <w:rFonts w:ascii="Arial" w:hAnsi="Arial" w:cs="Arial"/>
          <w:sz w:val="22"/>
          <w:szCs w:val="22"/>
        </w:rPr>
        <w:t xml:space="preserve">TTB estimates the </w:t>
      </w:r>
      <w:r w:rsidR="00A12CE5">
        <w:rPr>
          <w:rFonts w:ascii="Arial" w:hAnsi="Arial" w:cs="Arial"/>
          <w:sz w:val="22"/>
          <w:szCs w:val="22"/>
        </w:rPr>
        <w:t xml:space="preserve">total number of </w:t>
      </w:r>
      <w:r>
        <w:rPr>
          <w:rFonts w:ascii="Arial" w:hAnsi="Arial" w:cs="Arial"/>
          <w:sz w:val="22"/>
          <w:szCs w:val="22"/>
        </w:rPr>
        <w:t>burden hours associated with this info</w:t>
      </w:r>
      <w:r w:rsidR="00A12CE5">
        <w:rPr>
          <w:rFonts w:ascii="Arial" w:hAnsi="Arial" w:cs="Arial"/>
          <w:sz w:val="22"/>
          <w:szCs w:val="22"/>
        </w:rPr>
        <w:t xml:space="preserve">rmation collection as follows: </w:t>
      </w:r>
    </w:p>
    <w:p w14:paraId="26EB9CD0" w14:textId="7F3030CF" w:rsidR="00095E9F" w:rsidRDefault="00095E9F">
      <w:pPr>
        <w:rPr>
          <w:rFonts w:ascii="Arial" w:hAnsi="Arial" w:cs="Arial"/>
          <w:sz w:val="22"/>
          <w:szCs w:val="22"/>
        </w:rPr>
      </w:pPr>
      <w:r>
        <w:rPr>
          <w:rFonts w:ascii="Arial" w:hAnsi="Arial" w:cs="Arial"/>
          <w:sz w:val="22"/>
          <w:szCs w:val="22"/>
        </w:rPr>
        <w:br w:type="page"/>
      </w:r>
    </w:p>
    <w:p w14:paraId="76CD81D6" w14:textId="77777777" w:rsidR="0014071B" w:rsidRDefault="0014071B" w:rsidP="00A85118">
      <w:pPr>
        <w:ind w:left="360"/>
        <w:rPr>
          <w:rFonts w:ascii="Arial" w:hAnsi="Arial" w:cs="Arial"/>
          <w:sz w:val="22"/>
          <w:szCs w:val="22"/>
        </w:rPr>
      </w:pPr>
    </w:p>
    <w:tbl>
      <w:tblPr>
        <w:tblW w:w="40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5E0" w:firstRow="1" w:lastRow="1" w:firstColumn="1" w:lastColumn="1" w:noHBand="0" w:noVBand="1"/>
      </w:tblPr>
      <w:tblGrid>
        <w:gridCol w:w="1371"/>
        <w:gridCol w:w="1552"/>
        <w:gridCol w:w="1921"/>
        <w:gridCol w:w="1279"/>
        <w:gridCol w:w="1647"/>
      </w:tblGrid>
      <w:tr w:rsidR="0014071B" w:rsidRPr="0014071B" w14:paraId="52C8DE4B" w14:textId="77777777" w:rsidTr="0014071B">
        <w:trPr>
          <w:trHeight w:val="432"/>
          <w:jc w:val="center"/>
        </w:trPr>
        <w:tc>
          <w:tcPr>
            <w:tcW w:w="882" w:type="pct"/>
            <w:tcBorders>
              <w:top w:val="single" w:sz="4" w:space="0" w:color="auto"/>
              <w:left w:val="single" w:sz="4" w:space="0" w:color="auto"/>
              <w:bottom w:val="single" w:sz="12" w:space="0" w:color="auto"/>
              <w:right w:val="single" w:sz="4" w:space="0" w:color="auto"/>
            </w:tcBorders>
            <w:tcMar>
              <w:left w:w="72" w:type="dxa"/>
              <w:right w:w="72" w:type="dxa"/>
            </w:tcMar>
            <w:vAlign w:val="center"/>
          </w:tcPr>
          <w:p w14:paraId="39C2CE5A" w14:textId="04275820" w:rsidR="00A85118" w:rsidRPr="0014071B" w:rsidRDefault="00A85118" w:rsidP="000D4E6C">
            <w:pPr>
              <w:jc w:val="center"/>
              <w:rPr>
                <w:rFonts w:ascii="Arial" w:hAnsi="Arial" w:cs="Arial"/>
                <w:sz w:val="20"/>
                <w:szCs w:val="20"/>
              </w:rPr>
            </w:pPr>
          </w:p>
        </w:tc>
        <w:tc>
          <w:tcPr>
            <w:tcW w:w="999" w:type="pct"/>
            <w:tcBorders>
              <w:top w:val="single" w:sz="4" w:space="0" w:color="auto"/>
              <w:left w:val="single" w:sz="4" w:space="0" w:color="auto"/>
              <w:bottom w:val="single" w:sz="12" w:space="0" w:color="auto"/>
              <w:right w:val="single" w:sz="4" w:space="0" w:color="auto"/>
            </w:tcBorders>
            <w:tcMar>
              <w:left w:w="72" w:type="dxa"/>
              <w:right w:w="72" w:type="dxa"/>
            </w:tcMar>
            <w:vAlign w:val="center"/>
            <w:hideMark/>
          </w:tcPr>
          <w:p w14:paraId="01731F93" w14:textId="69FDD283" w:rsidR="00A85118" w:rsidRPr="0014071B" w:rsidRDefault="00A85118" w:rsidP="000D4E6C">
            <w:pPr>
              <w:jc w:val="center"/>
              <w:rPr>
                <w:rFonts w:ascii="Arial" w:hAnsi="Arial" w:cs="Arial"/>
                <w:i/>
                <w:sz w:val="20"/>
                <w:szCs w:val="20"/>
              </w:rPr>
            </w:pPr>
            <w:r w:rsidRPr="0014071B">
              <w:rPr>
                <w:rFonts w:ascii="Arial" w:hAnsi="Arial" w:cs="Arial"/>
                <w:i/>
                <w:sz w:val="20"/>
                <w:szCs w:val="20"/>
              </w:rPr>
              <w:t>No. of Annual Respondents</w:t>
            </w:r>
          </w:p>
        </w:tc>
        <w:tc>
          <w:tcPr>
            <w:tcW w:w="1236" w:type="pct"/>
            <w:tcBorders>
              <w:top w:val="single" w:sz="4" w:space="0" w:color="auto"/>
              <w:left w:val="single" w:sz="4" w:space="0" w:color="auto"/>
              <w:bottom w:val="single" w:sz="12" w:space="0" w:color="auto"/>
              <w:right w:val="single" w:sz="4" w:space="0" w:color="auto"/>
            </w:tcBorders>
            <w:tcMar>
              <w:left w:w="72" w:type="dxa"/>
              <w:right w:w="72" w:type="dxa"/>
            </w:tcMar>
            <w:vAlign w:val="center"/>
            <w:hideMark/>
          </w:tcPr>
          <w:p w14:paraId="39519B89" w14:textId="77777777" w:rsidR="0014071B" w:rsidRDefault="00A85118" w:rsidP="000D4E6C">
            <w:pPr>
              <w:jc w:val="center"/>
              <w:rPr>
                <w:rFonts w:ascii="Arial" w:hAnsi="Arial" w:cs="Arial"/>
                <w:i/>
                <w:sz w:val="20"/>
                <w:szCs w:val="20"/>
              </w:rPr>
            </w:pPr>
            <w:r w:rsidRPr="0014071B">
              <w:rPr>
                <w:rFonts w:ascii="Arial" w:hAnsi="Arial" w:cs="Arial"/>
                <w:i/>
                <w:sz w:val="20"/>
                <w:szCs w:val="20"/>
              </w:rPr>
              <w:t>N</w:t>
            </w:r>
            <w:r w:rsidR="000D4E6C" w:rsidRPr="0014071B">
              <w:rPr>
                <w:rFonts w:ascii="Arial" w:hAnsi="Arial" w:cs="Arial"/>
                <w:i/>
                <w:sz w:val="20"/>
                <w:szCs w:val="20"/>
              </w:rPr>
              <w:t xml:space="preserve">o. of Annual Responses </w:t>
            </w:r>
          </w:p>
          <w:p w14:paraId="62C51A5B" w14:textId="77BA18AD" w:rsidR="00A85118" w:rsidRPr="0014071B" w:rsidRDefault="000D4E6C" w:rsidP="000D4E6C">
            <w:pPr>
              <w:jc w:val="center"/>
              <w:rPr>
                <w:rFonts w:ascii="Arial" w:hAnsi="Arial" w:cs="Arial"/>
                <w:i/>
                <w:sz w:val="20"/>
                <w:szCs w:val="20"/>
              </w:rPr>
            </w:pPr>
            <w:r w:rsidRPr="0014071B">
              <w:rPr>
                <w:rFonts w:ascii="Arial" w:hAnsi="Arial" w:cs="Arial"/>
                <w:i/>
                <w:sz w:val="20"/>
                <w:szCs w:val="20"/>
              </w:rPr>
              <w:t>(1 per respondent)</w:t>
            </w:r>
          </w:p>
        </w:tc>
        <w:tc>
          <w:tcPr>
            <w:tcW w:w="823" w:type="pct"/>
            <w:tcBorders>
              <w:top w:val="single" w:sz="4" w:space="0" w:color="auto"/>
              <w:left w:val="single" w:sz="4" w:space="0" w:color="auto"/>
              <w:bottom w:val="single" w:sz="12" w:space="0" w:color="auto"/>
              <w:right w:val="single" w:sz="4" w:space="0" w:color="auto"/>
            </w:tcBorders>
            <w:tcMar>
              <w:left w:w="72" w:type="dxa"/>
              <w:right w:w="72" w:type="dxa"/>
            </w:tcMar>
            <w:vAlign w:val="center"/>
            <w:hideMark/>
          </w:tcPr>
          <w:p w14:paraId="3E90FAA9" w14:textId="0780BF69" w:rsidR="00A85118" w:rsidRPr="0014071B" w:rsidRDefault="000D4E6C" w:rsidP="000D4E6C">
            <w:pPr>
              <w:jc w:val="center"/>
              <w:rPr>
                <w:rFonts w:ascii="Arial" w:hAnsi="Arial" w:cs="Arial"/>
                <w:i/>
                <w:sz w:val="20"/>
                <w:szCs w:val="20"/>
              </w:rPr>
            </w:pPr>
            <w:r w:rsidRPr="0014071B">
              <w:rPr>
                <w:rFonts w:ascii="Arial" w:hAnsi="Arial" w:cs="Arial"/>
                <w:i/>
                <w:sz w:val="20"/>
                <w:szCs w:val="20"/>
              </w:rPr>
              <w:t>Hours per Response</w:t>
            </w:r>
          </w:p>
        </w:tc>
        <w:tc>
          <w:tcPr>
            <w:tcW w:w="1060" w:type="pct"/>
            <w:tcBorders>
              <w:top w:val="single" w:sz="4" w:space="0" w:color="auto"/>
              <w:left w:val="single" w:sz="4" w:space="0" w:color="auto"/>
              <w:bottom w:val="single" w:sz="12" w:space="0" w:color="auto"/>
              <w:right w:val="single" w:sz="4" w:space="0" w:color="auto"/>
            </w:tcBorders>
            <w:tcMar>
              <w:left w:w="72" w:type="dxa"/>
              <w:right w:w="72" w:type="dxa"/>
            </w:tcMar>
            <w:vAlign w:val="center"/>
          </w:tcPr>
          <w:p w14:paraId="5AED0AEC" w14:textId="514FD84A" w:rsidR="00A85118" w:rsidRPr="0014071B" w:rsidRDefault="000D4E6C" w:rsidP="000D4E6C">
            <w:pPr>
              <w:jc w:val="center"/>
              <w:rPr>
                <w:rFonts w:ascii="Arial" w:hAnsi="Arial" w:cs="Arial"/>
                <w:i/>
                <w:sz w:val="20"/>
                <w:szCs w:val="20"/>
              </w:rPr>
            </w:pPr>
            <w:r w:rsidRPr="0014071B">
              <w:rPr>
                <w:rFonts w:ascii="Arial" w:hAnsi="Arial" w:cs="Arial"/>
                <w:i/>
                <w:sz w:val="20"/>
                <w:szCs w:val="20"/>
              </w:rPr>
              <w:t>Total Annual Burden Hours</w:t>
            </w:r>
          </w:p>
        </w:tc>
      </w:tr>
      <w:tr w:rsidR="0014071B" w:rsidRPr="0014071B" w14:paraId="703C0190" w14:textId="77777777" w:rsidTr="0014071B">
        <w:trPr>
          <w:trHeight w:val="618"/>
          <w:jc w:val="center"/>
        </w:trPr>
        <w:tc>
          <w:tcPr>
            <w:tcW w:w="882" w:type="pct"/>
            <w:tcBorders>
              <w:top w:val="single" w:sz="12" w:space="0" w:color="auto"/>
              <w:left w:val="single" w:sz="4" w:space="0" w:color="auto"/>
              <w:bottom w:val="single" w:sz="4" w:space="0" w:color="auto"/>
              <w:right w:val="single" w:sz="4" w:space="0" w:color="auto"/>
            </w:tcBorders>
            <w:tcMar>
              <w:left w:w="72" w:type="dxa"/>
              <w:right w:w="72" w:type="dxa"/>
            </w:tcMar>
            <w:vAlign w:val="center"/>
            <w:hideMark/>
          </w:tcPr>
          <w:p w14:paraId="7F04C5EC" w14:textId="77777777" w:rsidR="00A85118" w:rsidRPr="0014071B" w:rsidRDefault="00A85118" w:rsidP="000D4E6C">
            <w:pPr>
              <w:jc w:val="center"/>
              <w:rPr>
                <w:rFonts w:ascii="Arial" w:hAnsi="Arial" w:cs="Arial"/>
                <w:sz w:val="20"/>
                <w:szCs w:val="20"/>
              </w:rPr>
            </w:pPr>
            <w:r w:rsidRPr="0014071B">
              <w:rPr>
                <w:rFonts w:ascii="Arial" w:hAnsi="Arial" w:cs="Arial"/>
                <w:sz w:val="20"/>
                <w:szCs w:val="20"/>
              </w:rPr>
              <w:t>PONL</w:t>
            </w:r>
          </w:p>
        </w:tc>
        <w:tc>
          <w:tcPr>
            <w:tcW w:w="999" w:type="pct"/>
            <w:tcBorders>
              <w:top w:val="single" w:sz="12" w:space="0" w:color="auto"/>
              <w:left w:val="single" w:sz="4" w:space="0" w:color="auto"/>
              <w:bottom w:val="single" w:sz="4" w:space="0" w:color="auto"/>
              <w:right w:val="single" w:sz="4" w:space="0" w:color="auto"/>
            </w:tcBorders>
            <w:tcMar>
              <w:left w:w="72" w:type="dxa"/>
              <w:right w:w="72" w:type="dxa"/>
            </w:tcMar>
            <w:vAlign w:val="center"/>
            <w:hideMark/>
          </w:tcPr>
          <w:p w14:paraId="7529F767" w14:textId="137331D4" w:rsidR="00A85118" w:rsidRPr="0014071B" w:rsidRDefault="000D4E6C" w:rsidP="000D4E6C">
            <w:pPr>
              <w:jc w:val="center"/>
              <w:rPr>
                <w:rFonts w:ascii="Arial" w:hAnsi="Arial" w:cs="Arial"/>
                <w:sz w:val="20"/>
                <w:szCs w:val="20"/>
              </w:rPr>
            </w:pPr>
            <w:r w:rsidRPr="0014071B">
              <w:rPr>
                <w:rFonts w:ascii="Arial" w:hAnsi="Arial" w:cs="Arial"/>
                <w:sz w:val="20"/>
                <w:szCs w:val="20"/>
              </w:rPr>
              <w:t>4,500</w:t>
            </w:r>
          </w:p>
        </w:tc>
        <w:tc>
          <w:tcPr>
            <w:tcW w:w="1236" w:type="pct"/>
            <w:tcBorders>
              <w:top w:val="single" w:sz="12" w:space="0" w:color="auto"/>
              <w:left w:val="single" w:sz="4" w:space="0" w:color="auto"/>
              <w:bottom w:val="single" w:sz="4" w:space="0" w:color="auto"/>
              <w:right w:val="single" w:sz="4" w:space="0" w:color="auto"/>
            </w:tcBorders>
            <w:tcMar>
              <w:left w:w="72" w:type="dxa"/>
              <w:right w:w="72" w:type="dxa"/>
            </w:tcMar>
            <w:vAlign w:val="center"/>
            <w:hideMark/>
          </w:tcPr>
          <w:p w14:paraId="6B4D1507" w14:textId="3C1DDB87" w:rsidR="00A85118" w:rsidRPr="0014071B" w:rsidRDefault="000D4E6C" w:rsidP="000D4E6C">
            <w:pPr>
              <w:jc w:val="center"/>
              <w:rPr>
                <w:rFonts w:ascii="Arial" w:hAnsi="Arial" w:cs="Arial"/>
                <w:sz w:val="20"/>
                <w:szCs w:val="20"/>
              </w:rPr>
            </w:pPr>
            <w:r w:rsidRPr="0014071B">
              <w:rPr>
                <w:rFonts w:ascii="Arial" w:hAnsi="Arial" w:cs="Arial"/>
                <w:sz w:val="20"/>
                <w:szCs w:val="20"/>
              </w:rPr>
              <w:t>4,500</w:t>
            </w:r>
          </w:p>
        </w:tc>
        <w:tc>
          <w:tcPr>
            <w:tcW w:w="823" w:type="pct"/>
            <w:tcBorders>
              <w:top w:val="single" w:sz="12" w:space="0" w:color="auto"/>
              <w:left w:val="single" w:sz="4" w:space="0" w:color="auto"/>
              <w:bottom w:val="single" w:sz="4" w:space="0" w:color="auto"/>
              <w:right w:val="single" w:sz="4" w:space="0" w:color="auto"/>
            </w:tcBorders>
            <w:tcMar>
              <w:left w:w="72" w:type="dxa"/>
              <w:right w:w="72" w:type="dxa"/>
            </w:tcMar>
            <w:vAlign w:val="center"/>
            <w:hideMark/>
          </w:tcPr>
          <w:p w14:paraId="072CAD13" w14:textId="24594619" w:rsidR="00A85118" w:rsidRPr="0014071B" w:rsidRDefault="00A85118" w:rsidP="000D4E6C">
            <w:pPr>
              <w:jc w:val="center"/>
              <w:rPr>
                <w:rFonts w:ascii="Arial" w:hAnsi="Arial" w:cs="Arial"/>
                <w:sz w:val="20"/>
                <w:szCs w:val="20"/>
              </w:rPr>
            </w:pPr>
            <w:r w:rsidRPr="0014071B">
              <w:rPr>
                <w:rFonts w:ascii="Arial" w:hAnsi="Arial" w:cs="Arial"/>
                <w:sz w:val="20"/>
                <w:szCs w:val="20"/>
              </w:rPr>
              <w:t>1</w:t>
            </w:r>
            <w:r w:rsidR="00555B29" w:rsidRPr="0014071B">
              <w:rPr>
                <w:rFonts w:ascii="Arial" w:hAnsi="Arial" w:cs="Arial"/>
                <w:sz w:val="20"/>
                <w:szCs w:val="20"/>
              </w:rPr>
              <w:t>.0</w:t>
            </w:r>
          </w:p>
        </w:tc>
        <w:tc>
          <w:tcPr>
            <w:tcW w:w="1060" w:type="pct"/>
            <w:tcBorders>
              <w:top w:val="single" w:sz="12" w:space="0" w:color="auto"/>
              <w:left w:val="single" w:sz="4" w:space="0" w:color="auto"/>
              <w:bottom w:val="single" w:sz="4" w:space="0" w:color="auto"/>
              <w:right w:val="single" w:sz="4" w:space="0" w:color="auto"/>
            </w:tcBorders>
            <w:tcMar>
              <w:left w:w="72" w:type="dxa"/>
              <w:right w:w="72" w:type="dxa"/>
            </w:tcMar>
            <w:vAlign w:val="center"/>
            <w:hideMark/>
          </w:tcPr>
          <w:p w14:paraId="57F86B5F" w14:textId="48DD6FAF" w:rsidR="00A85118" w:rsidRPr="0014071B" w:rsidRDefault="000D4E6C" w:rsidP="000D4E6C">
            <w:pPr>
              <w:jc w:val="center"/>
              <w:rPr>
                <w:rFonts w:ascii="Arial" w:hAnsi="Arial" w:cs="Arial"/>
                <w:sz w:val="20"/>
                <w:szCs w:val="20"/>
              </w:rPr>
            </w:pPr>
            <w:r w:rsidRPr="0014071B">
              <w:rPr>
                <w:rFonts w:ascii="Arial" w:hAnsi="Arial" w:cs="Arial"/>
                <w:sz w:val="20"/>
                <w:szCs w:val="20"/>
              </w:rPr>
              <w:t>4,500</w:t>
            </w:r>
          </w:p>
        </w:tc>
      </w:tr>
      <w:tr w:rsidR="0014071B" w:rsidRPr="0014071B" w14:paraId="39F37129" w14:textId="77777777" w:rsidTr="0014071B">
        <w:trPr>
          <w:trHeight w:val="620"/>
          <w:jc w:val="center"/>
        </w:trPr>
        <w:tc>
          <w:tcPr>
            <w:tcW w:w="882" w:type="pct"/>
            <w:tcBorders>
              <w:top w:val="single" w:sz="4" w:space="0" w:color="auto"/>
              <w:left w:val="single" w:sz="4" w:space="0" w:color="auto"/>
              <w:bottom w:val="single" w:sz="12" w:space="0" w:color="auto"/>
              <w:right w:val="single" w:sz="4" w:space="0" w:color="auto"/>
            </w:tcBorders>
            <w:tcMar>
              <w:left w:w="72" w:type="dxa"/>
              <w:right w:w="72" w:type="dxa"/>
            </w:tcMar>
            <w:vAlign w:val="center"/>
            <w:hideMark/>
          </w:tcPr>
          <w:p w14:paraId="4914DA49" w14:textId="2C120C20" w:rsidR="00A85118" w:rsidRPr="0014071B" w:rsidRDefault="00A85118" w:rsidP="000D4E6C">
            <w:pPr>
              <w:jc w:val="center"/>
              <w:rPr>
                <w:rFonts w:ascii="Arial" w:hAnsi="Arial" w:cs="Arial"/>
                <w:sz w:val="20"/>
                <w:szCs w:val="20"/>
              </w:rPr>
            </w:pPr>
            <w:r w:rsidRPr="0014071B">
              <w:rPr>
                <w:rFonts w:ascii="Arial" w:hAnsi="Arial" w:cs="Arial"/>
                <w:bCs/>
                <w:sz w:val="20"/>
                <w:szCs w:val="20"/>
              </w:rPr>
              <w:t>P</w:t>
            </w:r>
            <w:r w:rsidR="000D4E6C" w:rsidRPr="0014071B">
              <w:rPr>
                <w:rFonts w:ascii="Arial" w:hAnsi="Arial" w:cs="Arial"/>
                <w:bCs/>
                <w:sz w:val="20"/>
                <w:szCs w:val="20"/>
              </w:rPr>
              <w:t>aper</w:t>
            </w:r>
            <w:r w:rsidRPr="0014071B">
              <w:rPr>
                <w:rFonts w:ascii="Arial" w:hAnsi="Arial" w:cs="Arial"/>
                <w:bCs/>
                <w:sz w:val="20"/>
                <w:szCs w:val="20"/>
              </w:rPr>
              <w:t xml:space="preserve"> (F 5100.24)</w:t>
            </w:r>
          </w:p>
        </w:tc>
        <w:tc>
          <w:tcPr>
            <w:tcW w:w="999" w:type="pct"/>
            <w:tcBorders>
              <w:top w:val="single" w:sz="4" w:space="0" w:color="auto"/>
              <w:left w:val="single" w:sz="4" w:space="0" w:color="auto"/>
              <w:bottom w:val="single" w:sz="12" w:space="0" w:color="auto"/>
              <w:right w:val="single" w:sz="4" w:space="0" w:color="auto"/>
            </w:tcBorders>
            <w:tcMar>
              <w:left w:w="72" w:type="dxa"/>
              <w:right w:w="72" w:type="dxa"/>
            </w:tcMar>
            <w:vAlign w:val="center"/>
            <w:hideMark/>
          </w:tcPr>
          <w:p w14:paraId="40070ECB" w14:textId="77777777" w:rsidR="00A85118" w:rsidRPr="0014071B" w:rsidRDefault="00A85118" w:rsidP="000D4E6C">
            <w:pPr>
              <w:jc w:val="center"/>
              <w:rPr>
                <w:rFonts w:ascii="Arial" w:hAnsi="Arial" w:cs="Arial"/>
                <w:sz w:val="20"/>
                <w:szCs w:val="20"/>
              </w:rPr>
            </w:pPr>
            <w:r w:rsidRPr="0014071B">
              <w:rPr>
                <w:rFonts w:ascii="Arial" w:hAnsi="Arial" w:cs="Arial"/>
                <w:sz w:val="20"/>
                <w:szCs w:val="20"/>
              </w:rPr>
              <w:t>1,500</w:t>
            </w:r>
          </w:p>
        </w:tc>
        <w:tc>
          <w:tcPr>
            <w:tcW w:w="1236" w:type="pct"/>
            <w:tcBorders>
              <w:top w:val="single" w:sz="4" w:space="0" w:color="auto"/>
              <w:left w:val="single" w:sz="4" w:space="0" w:color="auto"/>
              <w:bottom w:val="single" w:sz="12" w:space="0" w:color="auto"/>
              <w:right w:val="single" w:sz="4" w:space="0" w:color="auto"/>
            </w:tcBorders>
            <w:tcMar>
              <w:left w:w="72" w:type="dxa"/>
              <w:right w:w="72" w:type="dxa"/>
            </w:tcMar>
            <w:vAlign w:val="center"/>
            <w:hideMark/>
          </w:tcPr>
          <w:p w14:paraId="4FEE5E36" w14:textId="77777777" w:rsidR="00A85118" w:rsidRPr="0014071B" w:rsidRDefault="00A85118" w:rsidP="000D4E6C">
            <w:pPr>
              <w:jc w:val="center"/>
              <w:rPr>
                <w:rFonts w:ascii="Arial" w:hAnsi="Arial" w:cs="Arial"/>
                <w:sz w:val="20"/>
                <w:szCs w:val="20"/>
              </w:rPr>
            </w:pPr>
            <w:r w:rsidRPr="0014071B">
              <w:rPr>
                <w:rFonts w:ascii="Arial" w:hAnsi="Arial" w:cs="Arial"/>
                <w:sz w:val="20"/>
                <w:szCs w:val="20"/>
              </w:rPr>
              <w:t>1,500</w:t>
            </w:r>
          </w:p>
        </w:tc>
        <w:tc>
          <w:tcPr>
            <w:tcW w:w="823" w:type="pct"/>
            <w:tcBorders>
              <w:top w:val="single" w:sz="4" w:space="0" w:color="auto"/>
              <w:left w:val="single" w:sz="4" w:space="0" w:color="auto"/>
              <w:bottom w:val="single" w:sz="12" w:space="0" w:color="auto"/>
              <w:right w:val="single" w:sz="4" w:space="0" w:color="auto"/>
            </w:tcBorders>
            <w:tcMar>
              <w:left w:w="72" w:type="dxa"/>
              <w:right w:w="72" w:type="dxa"/>
            </w:tcMar>
            <w:vAlign w:val="center"/>
            <w:hideMark/>
          </w:tcPr>
          <w:p w14:paraId="06A11B48" w14:textId="1364F5A5" w:rsidR="00A85118" w:rsidRPr="0014071B" w:rsidRDefault="00A85118" w:rsidP="00A12CE5">
            <w:pPr>
              <w:jc w:val="center"/>
              <w:rPr>
                <w:rFonts w:ascii="Arial" w:hAnsi="Arial" w:cs="Arial"/>
                <w:sz w:val="20"/>
                <w:szCs w:val="20"/>
              </w:rPr>
            </w:pPr>
            <w:r w:rsidRPr="0014071B">
              <w:rPr>
                <w:rFonts w:ascii="Arial" w:hAnsi="Arial" w:cs="Arial"/>
                <w:sz w:val="20"/>
                <w:szCs w:val="20"/>
              </w:rPr>
              <w:t>1.5</w:t>
            </w:r>
          </w:p>
        </w:tc>
        <w:tc>
          <w:tcPr>
            <w:tcW w:w="1060" w:type="pct"/>
            <w:tcBorders>
              <w:top w:val="single" w:sz="4" w:space="0" w:color="auto"/>
              <w:left w:val="single" w:sz="4" w:space="0" w:color="auto"/>
              <w:bottom w:val="single" w:sz="12" w:space="0" w:color="auto"/>
              <w:right w:val="single" w:sz="4" w:space="0" w:color="auto"/>
            </w:tcBorders>
            <w:tcMar>
              <w:left w:w="72" w:type="dxa"/>
              <w:right w:w="72" w:type="dxa"/>
            </w:tcMar>
            <w:vAlign w:val="center"/>
            <w:hideMark/>
          </w:tcPr>
          <w:p w14:paraId="6DA04E94" w14:textId="2D4C9DBD" w:rsidR="00A85118" w:rsidRPr="0014071B" w:rsidRDefault="003A4A20" w:rsidP="000D4E6C">
            <w:pPr>
              <w:jc w:val="center"/>
              <w:rPr>
                <w:rFonts w:ascii="Arial" w:hAnsi="Arial" w:cs="Arial"/>
                <w:sz w:val="20"/>
                <w:szCs w:val="20"/>
              </w:rPr>
            </w:pPr>
            <w:r w:rsidRPr="0014071B">
              <w:rPr>
                <w:rFonts w:ascii="Arial" w:hAnsi="Arial" w:cs="Arial"/>
                <w:sz w:val="20"/>
                <w:szCs w:val="20"/>
              </w:rPr>
              <w:t>2,250</w:t>
            </w:r>
          </w:p>
        </w:tc>
      </w:tr>
      <w:tr w:rsidR="0014071B" w:rsidRPr="0014071B" w14:paraId="5C44FD0D" w14:textId="77777777" w:rsidTr="0014071B">
        <w:trPr>
          <w:trHeight w:val="600"/>
          <w:jc w:val="center"/>
        </w:trPr>
        <w:tc>
          <w:tcPr>
            <w:tcW w:w="882" w:type="pct"/>
            <w:tcBorders>
              <w:top w:val="single" w:sz="12" w:space="0" w:color="auto"/>
              <w:left w:val="single" w:sz="4" w:space="0" w:color="auto"/>
              <w:bottom w:val="single" w:sz="4" w:space="0" w:color="auto"/>
              <w:right w:val="single" w:sz="4" w:space="0" w:color="auto"/>
            </w:tcBorders>
            <w:tcMar>
              <w:left w:w="72" w:type="dxa"/>
              <w:right w:w="72" w:type="dxa"/>
            </w:tcMar>
            <w:vAlign w:val="center"/>
            <w:hideMark/>
          </w:tcPr>
          <w:p w14:paraId="4B49133A" w14:textId="75FD025F" w:rsidR="00A85118" w:rsidRPr="0014071B" w:rsidRDefault="00A85118" w:rsidP="000D4E6C">
            <w:pPr>
              <w:jc w:val="center"/>
              <w:rPr>
                <w:rFonts w:ascii="Arial" w:hAnsi="Arial" w:cs="Arial"/>
                <w:b/>
                <w:bCs/>
                <w:sz w:val="20"/>
                <w:szCs w:val="20"/>
              </w:rPr>
            </w:pPr>
            <w:r w:rsidRPr="0014071B">
              <w:rPr>
                <w:rFonts w:ascii="Arial" w:hAnsi="Arial" w:cs="Arial"/>
                <w:b/>
                <w:bCs/>
                <w:sz w:val="20"/>
                <w:szCs w:val="20"/>
              </w:rPr>
              <w:t>T</w:t>
            </w:r>
            <w:r w:rsidR="000D4E6C" w:rsidRPr="0014071B">
              <w:rPr>
                <w:rFonts w:ascii="Arial" w:hAnsi="Arial" w:cs="Arial"/>
                <w:b/>
                <w:bCs/>
                <w:sz w:val="20"/>
                <w:szCs w:val="20"/>
              </w:rPr>
              <w:t>otals</w:t>
            </w:r>
          </w:p>
        </w:tc>
        <w:tc>
          <w:tcPr>
            <w:tcW w:w="999" w:type="pct"/>
            <w:tcBorders>
              <w:top w:val="single" w:sz="12" w:space="0" w:color="auto"/>
              <w:left w:val="single" w:sz="4" w:space="0" w:color="auto"/>
              <w:bottom w:val="single" w:sz="4" w:space="0" w:color="auto"/>
              <w:right w:val="single" w:sz="4" w:space="0" w:color="auto"/>
            </w:tcBorders>
            <w:tcMar>
              <w:left w:w="72" w:type="dxa"/>
              <w:right w:w="72" w:type="dxa"/>
            </w:tcMar>
            <w:vAlign w:val="center"/>
            <w:hideMark/>
          </w:tcPr>
          <w:p w14:paraId="4D737009" w14:textId="261F3679" w:rsidR="00A85118" w:rsidRPr="0014071B" w:rsidRDefault="000D4E6C" w:rsidP="000D4E6C">
            <w:pPr>
              <w:jc w:val="center"/>
              <w:rPr>
                <w:rFonts w:ascii="Arial" w:hAnsi="Arial" w:cs="Arial"/>
                <w:b/>
                <w:sz w:val="20"/>
                <w:szCs w:val="20"/>
              </w:rPr>
            </w:pPr>
            <w:r w:rsidRPr="0014071B">
              <w:rPr>
                <w:rFonts w:ascii="Arial" w:hAnsi="Arial" w:cs="Arial"/>
                <w:b/>
                <w:sz w:val="20"/>
                <w:szCs w:val="20"/>
              </w:rPr>
              <w:t>6,000</w:t>
            </w:r>
          </w:p>
        </w:tc>
        <w:tc>
          <w:tcPr>
            <w:tcW w:w="1236" w:type="pct"/>
            <w:tcBorders>
              <w:top w:val="single" w:sz="12" w:space="0" w:color="auto"/>
              <w:left w:val="single" w:sz="4" w:space="0" w:color="auto"/>
              <w:bottom w:val="single" w:sz="4" w:space="0" w:color="auto"/>
              <w:right w:val="single" w:sz="4" w:space="0" w:color="auto"/>
            </w:tcBorders>
            <w:tcMar>
              <w:left w:w="72" w:type="dxa"/>
              <w:right w:w="72" w:type="dxa"/>
            </w:tcMar>
            <w:vAlign w:val="center"/>
            <w:hideMark/>
          </w:tcPr>
          <w:p w14:paraId="2588AA8D" w14:textId="6438980B" w:rsidR="00A85118" w:rsidRPr="0014071B" w:rsidRDefault="000D4E6C" w:rsidP="000D4E6C">
            <w:pPr>
              <w:jc w:val="center"/>
              <w:rPr>
                <w:rFonts w:ascii="Arial" w:hAnsi="Arial" w:cs="Arial"/>
                <w:b/>
                <w:sz w:val="20"/>
                <w:szCs w:val="20"/>
              </w:rPr>
            </w:pPr>
            <w:r w:rsidRPr="0014071B">
              <w:rPr>
                <w:rFonts w:ascii="Arial" w:hAnsi="Arial" w:cs="Arial"/>
                <w:b/>
                <w:sz w:val="20"/>
                <w:szCs w:val="20"/>
              </w:rPr>
              <w:t>6,000</w:t>
            </w:r>
          </w:p>
        </w:tc>
        <w:tc>
          <w:tcPr>
            <w:tcW w:w="823" w:type="pct"/>
            <w:tcBorders>
              <w:top w:val="single" w:sz="12" w:space="0" w:color="auto"/>
              <w:left w:val="single" w:sz="4" w:space="0" w:color="auto"/>
              <w:bottom w:val="single" w:sz="4" w:space="0" w:color="auto"/>
              <w:right w:val="single" w:sz="4" w:space="0" w:color="auto"/>
            </w:tcBorders>
            <w:tcMar>
              <w:left w:w="72" w:type="dxa"/>
              <w:right w:w="72" w:type="dxa"/>
            </w:tcMar>
            <w:vAlign w:val="center"/>
            <w:hideMark/>
          </w:tcPr>
          <w:p w14:paraId="0703A816" w14:textId="5B36ACAA" w:rsidR="00A85118" w:rsidRPr="0014071B" w:rsidRDefault="003A4A20" w:rsidP="000D4E6C">
            <w:pPr>
              <w:jc w:val="center"/>
              <w:rPr>
                <w:rFonts w:ascii="Arial" w:hAnsi="Arial" w:cs="Arial"/>
                <w:b/>
                <w:sz w:val="20"/>
                <w:szCs w:val="20"/>
              </w:rPr>
            </w:pPr>
            <w:r w:rsidRPr="0014071B">
              <w:rPr>
                <w:rFonts w:ascii="Arial" w:hAnsi="Arial" w:cs="Arial"/>
                <w:b/>
                <w:sz w:val="20"/>
                <w:szCs w:val="20"/>
              </w:rPr>
              <w:t>(ave. 1.125)</w:t>
            </w:r>
          </w:p>
        </w:tc>
        <w:tc>
          <w:tcPr>
            <w:tcW w:w="1060" w:type="pct"/>
            <w:tcBorders>
              <w:top w:val="single" w:sz="12" w:space="0" w:color="auto"/>
              <w:left w:val="single" w:sz="4" w:space="0" w:color="auto"/>
              <w:bottom w:val="single" w:sz="4" w:space="0" w:color="auto"/>
              <w:right w:val="single" w:sz="4" w:space="0" w:color="auto"/>
            </w:tcBorders>
            <w:tcMar>
              <w:left w:w="72" w:type="dxa"/>
              <w:right w:w="72" w:type="dxa"/>
            </w:tcMar>
            <w:vAlign w:val="center"/>
            <w:hideMark/>
          </w:tcPr>
          <w:p w14:paraId="325404B2" w14:textId="6EE7A724" w:rsidR="00A85118" w:rsidRPr="0014071B" w:rsidRDefault="003A4A20" w:rsidP="000D4E6C">
            <w:pPr>
              <w:jc w:val="center"/>
              <w:rPr>
                <w:rFonts w:ascii="Arial" w:hAnsi="Arial" w:cs="Arial"/>
                <w:b/>
                <w:sz w:val="20"/>
                <w:szCs w:val="20"/>
              </w:rPr>
            </w:pPr>
            <w:r w:rsidRPr="0014071B">
              <w:rPr>
                <w:rFonts w:ascii="Arial" w:hAnsi="Arial" w:cs="Arial"/>
                <w:b/>
                <w:sz w:val="20"/>
                <w:szCs w:val="20"/>
              </w:rPr>
              <w:t>6,750</w:t>
            </w:r>
          </w:p>
        </w:tc>
      </w:tr>
    </w:tbl>
    <w:p w14:paraId="5DACB423" w14:textId="77777777" w:rsidR="00A85118" w:rsidRPr="00A85118" w:rsidRDefault="00A85118" w:rsidP="00A85118">
      <w:pPr>
        <w:ind w:left="360"/>
        <w:rPr>
          <w:rFonts w:ascii="Arial" w:hAnsi="Arial" w:cs="Arial"/>
          <w:sz w:val="22"/>
          <w:szCs w:val="22"/>
        </w:rPr>
      </w:pPr>
    </w:p>
    <w:p w14:paraId="51B19CAC" w14:textId="121D6407" w:rsidR="00C0666E" w:rsidRDefault="00555B29" w:rsidP="00E56E11">
      <w:pPr>
        <w:ind w:left="360"/>
        <w:rPr>
          <w:rFonts w:ascii="Arial" w:hAnsi="Arial" w:cs="Arial"/>
          <w:sz w:val="22"/>
          <w:szCs w:val="22"/>
        </w:rPr>
      </w:pPr>
      <w:r w:rsidRPr="00555B29">
        <w:rPr>
          <w:rFonts w:ascii="Arial" w:hAnsi="Arial" w:cs="Arial"/>
          <w:sz w:val="22"/>
          <w:szCs w:val="22"/>
          <w:u w:val="single"/>
        </w:rPr>
        <w:t>Retention requirement:</w:t>
      </w:r>
      <w:r>
        <w:rPr>
          <w:rFonts w:ascii="Arial" w:hAnsi="Arial" w:cs="Arial"/>
          <w:sz w:val="22"/>
          <w:szCs w:val="22"/>
        </w:rPr>
        <w:t xml:space="preserve">  Under 27 CFR 1.58, each person receiving an FAA Act basic permit must maintain the permit at the place of business covered by the permit and must make it available upon request by </w:t>
      </w:r>
      <w:r w:rsidR="0014071B">
        <w:rPr>
          <w:rFonts w:ascii="Arial" w:hAnsi="Arial" w:cs="Arial"/>
          <w:sz w:val="22"/>
          <w:szCs w:val="22"/>
        </w:rPr>
        <w:t xml:space="preserve">an </w:t>
      </w:r>
      <w:r>
        <w:rPr>
          <w:rFonts w:ascii="Arial" w:hAnsi="Arial" w:cs="Arial"/>
          <w:sz w:val="22"/>
          <w:szCs w:val="22"/>
        </w:rPr>
        <w:t xml:space="preserve">appropriate TTB officer. </w:t>
      </w:r>
    </w:p>
    <w:p w14:paraId="5A26C9EE" w14:textId="77777777" w:rsidR="00AF060A" w:rsidRPr="00A5320B" w:rsidRDefault="00AF060A" w:rsidP="00D73D2D">
      <w:pPr>
        <w:rPr>
          <w:rFonts w:ascii="Arial" w:hAnsi="Arial" w:cs="Arial"/>
          <w:sz w:val="36"/>
          <w:szCs w:val="36"/>
        </w:rPr>
      </w:pPr>
    </w:p>
    <w:p w14:paraId="1D1D83D5"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10574A17" w14:textId="77777777" w:rsidR="00101DE7" w:rsidRPr="007A5D4B" w:rsidRDefault="00101DE7" w:rsidP="00D73D2D">
      <w:pPr>
        <w:suppressAutoHyphens/>
        <w:ind w:left="480" w:hanging="480"/>
        <w:rPr>
          <w:rFonts w:ascii="Arial" w:hAnsi="Arial" w:cs="Arial"/>
          <w:sz w:val="22"/>
          <w:szCs w:val="22"/>
        </w:rPr>
      </w:pPr>
    </w:p>
    <w:p w14:paraId="5E317979" w14:textId="41DD95B0" w:rsidR="000115CB" w:rsidRDefault="00555B29" w:rsidP="00555B29">
      <w:pPr>
        <w:suppressAutoHyphens/>
        <w:ind w:left="360"/>
        <w:rPr>
          <w:rFonts w:ascii="Arial" w:hAnsi="Arial" w:cs="Arial"/>
          <w:sz w:val="22"/>
          <w:szCs w:val="22"/>
        </w:rPr>
      </w:pPr>
      <w:r w:rsidRPr="00555B29">
        <w:rPr>
          <w:rFonts w:ascii="Arial" w:hAnsi="Arial" w:cs="Arial"/>
          <w:sz w:val="22"/>
          <w:szCs w:val="22"/>
        </w:rPr>
        <w:t xml:space="preserve">TTB estimates the </w:t>
      </w:r>
      <w:r>
        <w:rPr>
          <w:rFonts w:ascii="Arial" w:hAnsi="Arial" w:cs="Arial"/>
          <w:sz w:val="22"/>
          <w:szCs w:val="22"/>
        </w:rPr>
        <w:t>average c</w:t>
      </w:r>
      <w:r w:rsidRPr="00555B29">
        <w:rPr>
          <w:rFonts w:ascii="Arial" w:hAnsi="Arial" w:cs="Arial"/>
          <w:sz w:val="22"/>
          <w:szCs w:val="22"/>
        </w:rPr>
        <w:t>ost</w:t>
      </w:r>
      <w:r>
        <w:rPr>
          <w:rFonts w:ascii="Arial" w:hAnsi="Arial" w:cs="Arial"/>
          <w:sz w:val="22"/>
          <w:szCs w:val="22"/>
        </w:rPr>
        <w:t>s</w:t>
      </w:r>
      <w:r w:rsidRPr="00555B29">
        <w:rPr>
          <w:rFonts w:ascii="Arial" w:hAnsi="Arial" w:cs="Arial"/>
          <w:sz w:val="22"/>
          <w:szCs w:val="22"/>
        </w:rPr>
        <w:t xml:space="preserve"> to respondents resulting from this information collection </w:t>
      </w:r>
      <w:r>
        <w:rPr>
          <w:rFonts w:ascii="Arial" w:hAnsi="Arial" w:cs="Arial"/>
          <w:sz w:val="22"/>
          <w:szCs w:val="22"/>
        </w:rPr>
        <w:t xml:space="preserve">at </w:t>
      </w:r>
      <w:r w:rsidRPr="00555B29">
        <w:rPr>
          <w:rFonts w:ascii="Arial" w:hAnsi="Arial" w:cs="Arial"/>
          <w:sz w:val="22"/>
          <w:szCs w:val="22"/>
        </w:rPr>
        <w:t>$</w:t>
      </w:r>
      <w:r>
        <w:rPr>
          <w:rFonts w:ascii="Arial" w:hAnsi="Arial" w:cs="Arial"/>
          <w:sz w:val="22"/>
          <w:szCs w:val="22"/>
        </w:rPr>
        <w:t>4</w:t>
      </w:r>
      <w:r w:rsidRPr="00555B29">
        <w:rPr>
          <w:rFonts w:ascii="Arial" w:hAnsi="Arial" w:cs="Arial"/>
          <w:sz w:val="22"/>
          <w:szCs w:val="22"/>
        </w:rPr>
        <w:t>.</w:t>
      </w:r>
      <w:r>
        <w:rPr>
          <w:rFonts w:ascii="Arial" w:hAnsi="Arial" w:cs="Arial"/>
          <w:sz w:val="22"/>
          <w:szCs w:val="22"/>
        </w:rPr>
        <w:t>00</w:t>
      </w:r>
      <w:r w:rsidRPr="00555B29">
        <w:rPr>
          <w:rFonts w:ascii="Arial" w:hAnsi="Arial" w:cs="Arial"/>
          <w:sz w:val="22"/>
          <w:szCs w:val="22"/>
        </w:rPr>
        <w:t xml:space="preserve"> per response in overhead and material costs, for a total of $</w:t>
      </w:r>
      <w:r>
        <w:rPr>
          <w:rFonts w:ascii="Arial" w:hAnsi="Arial" w:cs="Arial"/>
          <w:sz w:val="22"/>
          <w:szCs w:val="22"/>
        </w:rPr>
        <w:t>2</w:t>
      </w:r>
      <w:r w:rsidR="000115CB">
        <w:rPr>
          <w:rFonts w:ascii="Arial" w:hAnsi="Arial" w:cs="Arial"/>
          <w:sz w:val="22"/>
          <w:szCs w:val="22"/>
        </w:rPr>
        <w:t>4</w:t>
      </w:r>
      <w:r>
        <w:rPr>
          <w:rFonts w:ascii="Arial" w:hAnsi="Arial" w:cs="Arial"/>
          <w:sz w:val="22"/>
          <w:szCs w:val="22"/>
        </w:rPr>
        <w:t>,000.00</w:t>
      </w:r>
      <w:r w:rsidRPr="00555B29">
        <w:rPr>
          <w:rFonts w:ascii="Arial" w:hAnsi="Arial" w:cs="Arial"/>
          <w:sz w:val="22"/>
          <w:szCs w:val="22"/>
        </w:rPr>
        <w:t xml:space="preserve"> in such costs.  In addition, TTB estimates </w:t>
      </w:r>
      <w:r>
        <w:rPr>
          <w:rFonts w:ascii="Arial" w:hAnsi="Arial" w:cs="Arial"/>
          <w:sz w:val="22"/>
          <w:szCs w:val="22"/>
        </w:rPr>
        <w:t>the</w:t>
      </w:r>
      <w:r w:rsidR="000115CB">
        <w:rPr>
          <w:rFonts w:ascii="Arial" w:hAnsi="Arial" w:cs="Arial"/>
          <w:sz w:val="22"/>
          <w:szCs w:val="22"/>
        </w:rPr>
        <w:t xml:space="preserve"> average salary costs to re</w:t>
      </w:r>
      <w:r w:rsidRPr="00555B29">
        <w:rPr>
          <w:rFonts w:ascii="Arial" w:hAnsi="Arial" w:cs="Arial"/>
          <w:sz w:val="22"/>
          <w:szCs w:val="22"/>
        </w:rPr>
        <w:t xml:space="preserve">spondents </w:t>
      </w:r>
      <w:r w:rsidR="000115CB">
        <w:rPr>
          <w:rFonts w:ascii="Arial" w:hAnsi="Arial" w:cs="Arial"/>
          <w:sz w:val="22"/>
          <w:szCs w:val="22"/>
        </w:rPr>
        <w:t xml:space="preserve">resulting from this information collection as $38.69 </w:t>
      </w:r>
      <w:r w:rsidRPr="00555B29">
        <w:rPr>
          <w:rFonts w:ascii="Arial" w:hAnsi="Arial" w:cs="Arial"/>
          <w:sz w:val="22"/>
          <w:szCs w:val="22"/>
        </w:rPr>
        <w:t>per response, for a total of $</w:t>
      </w:r>
      <w:r w:rsidR="000115CB">
        <w:rPr>
          <w:rFonts w:ascii="Arial" w:hAnsi="Arial" w:cs="Arial"/>
          <w:sz w:val="22"/>
          <w:szCs w:val="22"/>
        </w:rPr>
        <w:t xml:space="preserve">232,140 in such costs.  </w:t>
      </w:r>
      <w:r w:rsidRPr="00555B29">
        <w:rPr>
          <w:rFonts w:ascii="Arial" w:hAnsi="Arial" w:cs="Arial"/>
          <w:sz w:val="22"/>
          <w:szCs w:val="22"/>
        </w:rPr>
        <w:t xml:space="preserve">Therefore, </w:t>
      </w:r>
      <w:r w:rsidR="000115CB">
        <w:rPr>
          <w:rFonts w:ascii="Arial" w:hAnsi="Arial" w:cs="Arial"/>
          <w:sz w:val="22"/>
          <w:szCs w:val="22"/>
        </w:rPr>
        <w:t xml:space="preserve">based on an average cost per response of $42.69, the </w:t>
      </w:r>
      <w:r w:rsidRPr="00555B29">
        <w:rPr>
          <w:rFonts w:ascii="Arial" w:hAnsi="Arial" w:cs="Arial"/>
          <w:sz w:val="22"/>
          <w:szCs w:val="22"/>
        </w:rPr>
        <w:t>total estimated cost to respondents resulting from this information collection is $</w:t>
      </w:r>
      <w:r w:rsidR="000115CB">
        <w:rPr>
          <w:rFonts w:ascii="Arial" w:hAnsi="Arial" w:cs="Arial"/>
          <w:sz w:val="22"/>
          <w:szCs w:val="22"/>
        </w:rPr>
        <w:t xml:space="preserve">256,140.00. </w:t>
      </w:r>
    </w:p>
    <w:p w14:paraId="0970ABF6" w14:textId="77777777" w:rsidR="00AF1157" w:rsidRPr="00A5320B" w:rsidRDefault="00AF1157" w:rsidP="00D73D2D">
      <w:pPr>
        <w:suppressAutoHyphens/>
        <w:rPr>
          <w:rFonts w:ascii="Arial" w:hAnsi="Arial" w:cs="Arial"/>
          <w:sz w:val="36"/>
          <w:szCs w:val="36"/>
        </w:rPr>
      </w:pPr>
    </w:p>
    <w:p w14:paraId="42819FBC"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01D9BEF3" w14:textId="77777777" w:rsidR="00AF1157" w:rsidRPr="007A5D4B" w:rsidRDefault="00AF1157" w:rsidP="00D73D2D">
      <w:pPr>
        <w:suppressAutoHyphens/>
        <w:ind w:left="480" w:hanging="480"/>
        <w:rPr>
          <w:rFonts w:ascii="Arial" w:hAnsi="Arial" w:cs="Arial"/>
          <w:sz w:val="22"/>
          <w:szCs w:val="22"/>
        </w:rPr>
      </w:pPr>
    </w:p>
    <w:p w14:paraId="197F26FA" w14:textId="04E4773B" w:rsidR="00AF1157" w:rsidRPr="0069718A" w:rsidRDefault="00AD3881" w:rsidP="004D086A">
      <w:pPr>
        <w:ind w:left="360"/>
        <w:rPr>
          <w:rFonts w:ascii="Arial" w:hAnsi="Arial" w:cs="Arial"/>
          <w:sz w:val="22"/>
          <w:szCs w:val="22"/>
        </w:rPr>
      </w:pPr>
      <w:r>
        <w:rPr>
          <w:rFonts w:ascii="Arial" w:hAnsi="Arial" w:cs="Arial"/>
          <w:sz w:val="22"/>
          <w:szCs w:val="22"/>
        </w:rPr>
        <w:t xml:space="preserve">TTB estimates the annual cost to the </w:t>
      </w:r>
      <w:r w:rsidR="00AF1157" w:rsidRPr="0069718A">
        <w:rPr>
          <w:rFonts w:ascii="Arial" w:hAnsi="Arial" w:cs="Arial"/>
          <w:sz w:val="22"/>
          <w:szCs w:val="22"/>
        </w:rPr>
        <w:t xml:space="preserve">Federal Government </w:t>
      </w:r>
      <w:r>
        <w:rPr>
          <w:rFonts w:ascii="Arial" w:hAnsi="Arial" w:cs="Arial"/>
          <w:sz w:val="22"/>
          <w:szCs w:val="22"/>
        </w:rPr>
        <w:t xml:space="preserve">for this collection as follows:  </w:t>
      </w:r>
    </w:p>
    <w:p w14:paraId="3E070F3A" w14:textId="77777777" w:rsidR="00AF1157" w:rsidRPr="0069718A" w:rsidRDefault="00AF1157" w:rsidP="004D086A">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2999"/>
        <w:gridCol w:w="1681"/>
      </w:tblGrid>
      <w:tr w:rsidR="00AF060A" w:rsidRPr="0069718A" w14:paraId="5BE582F9" w14:textId="77777777" w:rsidTr="000115CB">
        <w:trPr>
          <w:trHeight w:val="576"/>
          <w:jc w:val="center"/>
        </w:trPr>
        <w:tc>
          <w:tcPr>
            <w:tcW w:w="3183" w:type="dxa"/>
            <w:shd w:val="clear" w:color="auto" w:fill="auto"/>
            <w:vAlign w:val="center"/>
          </w:tcPr>
          <w:p w14:paraId="3BC121AE"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p>
        </w:tc>
        <w:tc>
          <w:tcPr>
            <w:tcW w:w="1497" w:type="dxa"/>
            <w:shd w:val="clear" w:color="auto" w:fill="auto"/>
            <w:vAlign w:val="center"/>
          </w:tcPr>
          <w:p w14:paraId="7B35D97D" w14:textId="7F5A0AC7" w:rsidR="00AF060A" w:rsidRPr="00AD3881" w:rsidRDefault="000115CB" w:rsidP="000115CB">
            <w:pPr>
              <w:ind w:left="360"/>
              <w:jc w:val="right"/>
              <w:rPr>
                <w:rFonts w:ascii="Arial" w:hAnsi="Arial" w:cs="Arial"/>
                <w:sz w:val="22"/>
                <w:szCs w:val="22"/>
              </w:rPr>
            </w:pPr>
            <w:r w:rsidRPr="00AD3881">
              <w:rPr>
                <w:rFonts w:ascii="Arial" w:hAnsi="Arial" w:cs="Arial"/>
                <w:sz w:val="22"/>
                <w:szCs w:val="22"/>
              </w:rPr>
              <w:t>3,840</w:t>
            </w:r>
          </w:p>
        </w:tc>
      </w:tr>
      <w:tr w:rsidR="00AF060A" w:rsidRPr="0069718A" w14:paraId="1E101BA8" w14:textId="77777777" w:rsidTr="000115CB">
        <w:trPr>
          <w:trHeight w:val="576"/>
          <w:jc w:val="center"/>
        </w:trPr>
        <w:tc>
          <w:tcPr>
            <w:tcW w:w="3183" w:type="dxa"/>
            <w:tcBorders>
              <w:bottom w:val="single" w:sz="12" w:space="0" w:color="auto"/>
            </w:tcBorders>
            <w:shd w:val="clear" w:color="auto" w:fill="auto"/>
            <w:vAlign w:val="center"/>
          </w:tcPr>
          <w:p w14:paraId="0EDE8053"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r w:rsidRPr="0069718A">
              <w:rPr>
                <w:rFonts w:ascii="Arial" w:hAnsi="Arial" w:cs="Arial"/>
                <w:sz w:val="22"/>
                <w:szCs w:val="22"/>
              </w:rPr>
              <w:t>(review, supervisory, etc.)</w:t>
            </w:r>
          </w:p>
        </w:tc>
        <w:tc>
          <w:tcPr>
            <w:tcW w:w="1497" w:type="dxa"/>
            <w:tcBorders>
              <w:bottom w:val="single" w:sz="12" w:space="0" w:color="auto"/>
            </w:tcBorders>
            <w:shd w:val="clear" w:color="auto" w:fill="auto"/>
            <w:vAlign w:val="center"/>
          </w:tcPr>
          <w:p w14:paraId="08ED98EB" w14:textId="54128D32" w:rsidR="00AF060A" w:rsidRPr="00AD3881" w:rsidRDefault="000115CB" w:rsidP="000115CB">
            <w:pPr>
              <w:ind w:left="360"/>
              <w:jc w:val="right"/>
              <w:rPr>
                <w:rFonts w:ascii="Arial" w:hAnsi="Arial" w:cs="Arial"/>
                <w:sz w:val="22"/>
                <w:szCs w:val="22"/>
              </w:rPr>
            </w:pPr>
            <w:r w:rsidRPr="00AD3881">
              <w:rPr>
                <w:rFonts w:ascii="Arial" w:hAnsi="Arial" w:cs="Arial"/>
                <w:sz w:val="22"/>
                <w:szCs w:val="22"/>
              </w:rPr>
              <w:t>150,000</w:t>
            </w:r>
          </w:p>
        </w:tc>
      </w:tr>
      <w:tr w:rsidR="00AF060A" w:rsidRPr="0069718A" w14:paraId="2FF45E73" w14:textId="77777777" w:rsidTr="000115CB">
        <w:trPr>
          <w:trHeight w:val="576"/>
          <w:jc w:val="center"/>
        </w:trPr>
        <w:tc>
          <w:tcPr>
            <w:tcW w:w="3183" w:type="dxa"/>
            <w:tcBorders>
              <w:top w:val="single" w:sz="12" w:space="0" w:color="auto"/>
            </w:tcBorders>
            <w:shd w:val="clear" w:color="auto" w:fill="auto"/>
            <w:vAlign w:val="center"/>
          </w:tcPr>
          <w:p w14:paraId="6B01BCEB"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TOTAL</w:t>
            </w:r>
            <w:r w:rsidR="00DA29D8" w:rsidRPr="0069718A">
              <w:rPr>
                <w:rFonts w:ascii="Arial" w:hAnsi="Arial" w:cs="Arial"/>
                <w:sz w:val="22"/>
                <w:szCs w:val="22"/>
              </w:rPr>
              <w:t xml:space="preserve"> COSTS </w:t>
            </w:r>
          </w:p>
        </w:tc>
        <w:tc>
          <w:tcPr>
            <w:tcW w:w="1497" w:type="dxa"/>
            <w:tcBorders>
              <w:top w:val="single" w:sz="12" w:space="0" w:color="auto"/>
            </w:tcBorders>
            <w:shd w:val="clear" w:color="auto" w:fill="auto"/>
            <w:vAlign w:val="center"/>
          </w:tcPr>
          <w:p w14:paraId="3CB968C0" w14:textId="2B41DB68" w:rsidR="00AF060A" w:rsidRPr="00AD3881" w:rsidRDefault="00AD3881" w:rsidP="00AD3881">
            <w:pPr>
              <w:ind w:left="360"/>
              <w:jc w:val="right"/>
              <w:rPr>
                <w:rFonts w:ascii="Arial" w:hAnsi="Arial" w:cs="Arial"/>
                <w:sz w:val="22"/>
                <w:szCs w:val="22"/>
              </w:rPr>
            </w:pPr>
            <w:r w:rsidRPr="00AD3881">
              <w:rPr>
                <w:rFonts w:ascii="Arial" w:hAnsi="Arial" w:cs="Arial"/>
                <w:sz w:val="22"/>
                <w:szCs w:val="22"/>
              </w:rPr>
              <w:t>$153,840</w:t>
            </w:r>
          </w:p>
        </w:tc>
      </w:tr>
    </w:tbl>
    <w:p w14:paraId="4CD82D4E" w14:textId="77777777" w:rsidR="00AF1157" w:rsidRPr="0069718A" w:rsidRDefault="00AF1157" w:rsidP="004D086A">
      <w:pPr>
        <w:ind w:left="360"/>
        <w:rPr>
          <w:rFonts w:ascii="Arial" w:hAnsi="Arial" w:cs="Arial"/>
          <w:sz w:val="22"/>
          <w:szCs w:val="22"/>
        </w:rPr>
      </w:pPr>
    </w:p>
    <w:p w14:paraId="1C4EE6C6" w14:textId="00192CE8" w:rsidR="00D6325C" w:rsidRDefault="00D6325C" w:rsidP="004D086A">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website </w:t>
      </w:r>
      <w:r w:rsidR="00B97C2D">
        <w:rPr>
          <w:rFonts w:ascii="Arial" w:hAnsi="Arial" w:cs="Arial"/>
          <w:sz w:val="22"/>
          <w:szCs w:val="22"/>
        </w:rPr>
        <w:t xml:space="preserve">forms page </w:t>
      </w:r>
      <w:r w:rsidR="00AD3881">
        <w:rPr>
          <w:rFonts w:ascii="Arial" w:hAnsi="Arial" w:cs="Arial"/>
          <w:sz w:val="22"/>
          <w:szCs w:val="22"/>
        </w:rPr>
        <w:t xml:space="preserve">at </w:t>
      </w:r>
      <w:hyperlink r:id="rId11" w:history="1">
        <w:r w:rsidR="00B97C2D" w:rsidRPr="00B12253">
          <w:rPr>
            <w:rStyle w:val="Hyperlink"/>
            <w:rFonts w:ascii="Arial" w:hAnsi="Arial" w:cs="Arial"/>
            <w:sz w:val="22"/>
            <w:szCs w:val="22"/>
          </w:rPr>
          <w:t>https://www.ttb.gov/forms/5000.shtml</w:t>
        </w:r>
      </w:hyperlink>
      <w:r w:rsidR="00AD3881">
        <w:rPr>
          <w:rFonts w:ascii="Arial" w:hAnsi="Arial" w:cs="Arial"/>
          <w:sz w:val="22"/>
          <w:szCs w:val="22"/>
        </w:rPr>
        <w:t>.</w:t>
      </w:r>
      <w:r w:rsidRPr="007A5D4B">
        <w:rPr>
          <w:rFonts w:ascii="Arial" w:hAnsi="Arial" w:cs="Arial"/>
          <w:sz w:val="22"/>
          <w:szCs w:val="22"/>
        </w:rPr>
        <w:t xml:space="preserve"> </w:t>
      </w:r>
    </w:p>
    <w:p w14:paraId="19F800D1" w14:textId="77777777" w:rsidR="00D6325C" w:rsidRPr="00A5320B" w:rsidRDefault="00D6325C" w:rsidP="00D73D2D">
      <w:pPr>
        <w:rPr>
          <w:rFonts w:ascii="Arial" w:hAnsi="Arial" w:cs="Arial"/>
          <w:sz w:val="36"/>
          <w:szCs w:val="36"/>
        </w:rPr>
      </w:pPr>
    </w:p>
    <w:p w14:paraId="5A43FEF5"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7D98DD35" w14:textId="77777777" w:rsidR="00AF1157" w:rsidRDefault="00AF1157" w:rsidP="00D73D2D">
      <w:pPr>
        <w:suppressAutoHyphens/>
        <w:rPr>
          <w:rFonts w:ascii="Arial" w:hAnsi="Arial" w:cs="Arial"/>
          <w:sz w:val="22"/>
          <w:szCs w:val="22"/>
        </w:rPr>
      </w:pPr>
    </w:p>
    <w:p w14:paraId="27A65A0C" w14:textId="235BEFCC" w:rsidR="00CB3301" w:rsidRPr="00CB3301" w:rsidRDefault="00B97C2D" w:rsidP="00CB3301">
      <w:pPr>
        <w:ind w:left="360"/>
        <w:rPr>
          <w:rFonts w:ascii="Arial" w:hAnsi="Arial" w:cs="Arial"/>
          <w:sz w:val="22"/>
          <w:szCs w:val="22"/>
        </w:rPr>
      </w:pPr>
      <w:r w:rsidRPr="00CB3301">
        <w:rPr>
          <w:rFonts w:ascii="Arial" w:hAnsi="Arial" w:cs="Arial"/>
          <w:sz w:val="22"/>
          <w:szCs w:val="22"/>
          <w:u w:val="single"/>
        </w:rPr>
        <w:t>Program changes:</w:t>
      </w:r>
      <w:r>
        <w:rPr>
          <w:rFonts w:ascii="Arial" w:hAnsi="Arial" w:cs="Arial"/>
          <w:sz w:val="22"/>
          <w:szCs w:val="22"/>
        </w:rPr>
        <w:t xml:space="preserve">  </w:t>
      </w:r>
      <w:r w:rsidR="00CB3301" w:rsidRPr="00CB3301">
        <w:rPr>
          <w:rFonts w:ascii="Arial" w:hAnsi="Arial" w:cs="Arial"/>
          <w:sz w:val="22"/>
          <w:szCs w:val="22"/>
        </w:rPr>
        <w:t xml:space="preserve">TTB notes that </w:t>
      </w:r>
      <w:r w:rsidR="00901A4B">
        <w:rPr>
          <w:rFonts w:ascii="Arial" w:hAnsi="Arial" w:cs="Arial"/>
          <w:sz w:val="22"/>
          <w:szCs w:val="22"/>
        </w:rPr>
        <w:t xml:space="preserve">on previous editions of TTB F 5100.25, </w:t>
      </w:r>
      <w:r w:rsidR="00CB3301">
        <w:rPr>
          <w:rFonts w:ascii="Arial" w:hAnsi="Arial" w:cs="Arial"/>
          <w:sz w:val="22"/>
          <w:szCs w:val="22"/>
        </w:rPr>
        <w:t>Item 8 r</w:t>
      </w:r>
      <w:r w:rsidR="00CB3301" w:rsidRPr="00CB3301">
        <w:rPr>
          <w:rFonts w:ascii="Arial" w:hAnsi="Arial" w:cs="Arial"/>
          <w:sz w:val="22"/>
          <w:szCs w:val="22"/>
        </w:rPr>
        <w:t xml:space="preserve">equired </w:t>
      </w:r>
      <w:r w:rsidR="00901A4B">
        <w:rPr>
          <w:rFonts w:ascii="Arial" w:hAnsi="Arial" w:cs="Arial"/>
          <w:sz w:val="22"/>
          <w:szCs w:val="22"/>
        </w:rPr>
        <w:t xml:space="preserve">applicants </w:t>
      </w:r>
      <w:r w:rsidR="00CB3301" w:rsidRPr="00CB3301">
        <w:rPr>
          <w:rFonts w:ascii="Arial" w:hAnsi="Arial" w:cs="Arial"/>
          <w:sz w:val="22"/>
          <w:szCs w:val="22"/>
        </w:rPr>
        <w:t>to list the sole owner or, as appropriate, the partners, LLC members/managers, or corporate officers</w:t>
      </w:r>
      <w:r w:rsidR="00CB3301">
        <w:rPr>
          <w:rFonts w:ascii="Arial" w:hAnsi="Arial" w:cs="Arial"/>
          <w:sz w:val="22"/>
          <w:szCs w:val="22"/>
        </w:rPr>
        <w:t xml:space="preserve">, </w:t>
      </w:r>
      <w:r w:rsidR="00CB3301" w:rsidRPr="00CB3301">
        <w:rPr>
          <w:rFonts w:ascii="Arial" w:hAnsi="Arial" w:cs="Arial"/>
          <w:sz w:val="22"/>
          <w:szCs w:val="22"/>
        </w:rPr>
        <w:t>directors, and shareholders with more than 10 percent voting stock invol</w:t>
      </w:r>
      <w:r w:rsidR="00901A4B">
        <w:rPr>
          <w:rFonts w:ascii="Arial" w:hAnsi="Arial" w:cs="Arial"/>
          <w:sz w:val="22"/>
          <w:szCs w:val="22"/>
        </w:rPr>
        <w:t xml:space="preserve">ved in the applicant business.  And, </w:t>
      </w:r>
      <w:r w:rsidR="00CB3301">
        <w:rPr>
          <w:rFonts w:ascii="Arial" w:hAnsi="Arial" w:cs="Arial"/>
          <w:sz w:val="22"/>
          <w:szCs w:val="22"/>
        </w:rPr>
        <w:t>I</w:t>
      </w:r>
      <w:r w:rsidR="00CB3301" w:rsidRPr="00CB3301">
        <w:rPr>
          <w:rFonts w:ascii="Arial" w:hAnsi="Arial" w:cs="Arial"/>
          <w:sz w:val="22"/>
          <w:szCs w:val="22"/>
        </w:rPr>
        <w:t xml:space="preserve">tem 9 </w:t>
      </w:r>
      <w:r w:rsidR="00CB3301">
        <w:rPr>
          <w:rFonts w:ascii="Arial" w:hAnsi="Arial" w:cs="Arial"/>
          <w:sz w:val="22"/>
          <w:szCs w:val="22"/>
        </w:rPr>
        <w:t xml:space="preserve">then </w:t>
      </w:r>
      <w:r w:rsidR="00CB3301" w:rsidRPr="00CB3301">
        <w:rPr>
          <w:rFonts w:ascii="Arial" w:hAnsi="Arial" w:cs="Arial"/>
          <w:sz w:val="22"/>
          <w:szCs w:val="22"/>
        </w:rPr>
        <w:t xml:space="preserve">required applicants to provide </w:t>
      </w:r>
      <w:r w:rsidR="00CB3301">
        <w:rPr>
          <w:rFonts w:ascii="Arial" w:hAnsi="Arial" w:cs="Arial"/>
          <w:sz w:val="22"/>
          <w:szCs w:val="22"/>
        </w:rPr>
        <w:t xml:space="preserve">for </w:t>
      </w:r>
      <w:r w:rsidR="00CB3301" w:rsidRPr="00CB3301">
        <w:rPr>
          <w:rFonts w:ascii="Arial" w:hAnsi="Arial" w:cs="Arial"/>
          <w:sz w:val="22"/>
          <w:szCs w:val="22"/>
        </w:rPr>
        <w:t xml:space="preserve">each </w:t>
      </w:r>
      <w:r w:rsidR="00CB3301">
        <w:rPr>
          <w:rFonts w:ascii="Arial" w:hAnsi="Arial" w:cs="Arial"/>
          <w:sz w:val="22"/>
          <w:szCs w:val="22"/>
        </w:rPr>
        <w:t xml:space="preserve">person listed in Item 8, their </w:t>
      </w:r>
      <w:r w:rsidR="00CB3301" w:rsidRPr="00CB3301">
        <w:rPr>
          <w:rFonts w:ascii="Arial" w:hAnsi="Arial" w:cs="Arial"/>
          <w:sz w:val="22"/>
          <w:szCs w:val="22"/>
        </w:rPr>
        <w:t>full name, date and place of birth, social security or employer identification number, U.S. citizenship (yes or no), gender, other names used (maiden name, nick names, etc.), and residences during the past five years.</w:t>
      </w:r>
      <w:r w:rsidR="00CB3301">
        <w:rPr>
          <w:rFonts w:ascii="Arial" w:hAnsi="Arial" w:cs="Arial"/>
          <w:sz w:val="22"/>
          <w:szCs w:val="22"/>
        </w:rPr>
        <w:t xml:space="preserve"> </w:t>
      </w:r>
    </w:p>
    <w:p w14:paraId="251E7B76" w14:textId="77777777" w:rsidR="00CB3301" w:rsidRDefault="00CB3301" w:rsidP="009B1AF3">
      <w:pPr>
        <w:ind w:left="360"/>
        <w:rPr>
          <w:rFonts w:ascii="Arial" w:hAnsi="Arial" w:cs="Arial"/>
          <w:sz w:val="22"/>
          <w:szCs w:val="22"/>
        </w:rPr>
      </w:pPr>
    </w:p>
    <w:p w14:paraId="04911B3F" w14:textId="03DB58F4" w:rsidR="00964E77" w:rsidRDefault="00B97C2D" w:rsidP="00901A4B">
      <w:pPr>
        <w:ind w:left="360"/>
        <w:rPr>
          <w:rFonts w:ascii="Arial" w:hAnsi="Arial" w:cs="Arial"/>
          <w:sz w:val="22"/>
          <w:szCs w:val="22"/>
        </w:rPr>
      </w:pPr>
      <w:r>
        <w:rPr>
          <w:rFonts w:ascii="Arial" w:hAnsi="Arial" w:cs="Arial"/>
          <w:sz w:val="22"/>
          <w:szCs w:val="22"/>
        </w:rPr>
        <w:t xml:space="preserve">As a matter of agency discretion, </w:t>
      </w:r>
      <w:r w:rsidR="009B1AF3" w:rsidRPr="009B1AF3">
        <w:rPr>
          <w:rFonts w:ascii="Arial" w:hAnsi="Arial" w:cs="Arial"/>
          <w:sz w:val="22"/>
          <w:szCs w:val="22"/>
        </w:rPr>
        <w:t xml:space="preserve">TTB is </w:t>
      </w:r>
      <w:r w:rsidR="00901A4B">
        <w:rPr>
          <w:rFonts w:ascii="Arial" w:hAnsi="Arial" w:cs="Arial"/>
          <w:sz w:val="22"/>
          <w:szCs w:val="22"/>
        </w:rPr>
        <w:t xml:space="preserve">now </w:t>
      </w:r>
      <w:r w:rsidR="009B1AF3" w:rsidRPr="009B1AF3">
        <w:rPr>
          <w:rFonts w:ascii="Arial" w:hAnsi="Arial" w:cs="Arial"/>
          <w:sz w:val="22"/>
          <w:szCs w:val="22"/>
        </w:rPr>
        <w:t xml:space="preserve">eliminating </w:t>
      </w:r>
      <w:r w:rsidR="006A796D">
        <w:rPr>
          <w:rFonts w:ascii="Arial" w:hAnsi="Arial" w:cs="Arial"/>
          <w:sz w:val="22"/>
          <w:szCs w:val="22"/>
        </w:rPr>
        <w:t>the</w:t>
      </w:r>
      <w:r w:rsidR="00CB3301">
        <w:rPr>
          <w:rFonts w:ascii="Arial" w:hAnsi="Arial" w:cs="Arial"/>
          <w:sz w:val="22"/>
          <w:szCs w:val="22"/>
        </w:rPr>
        <w:t xml:space="preserve"> Item 9</w:t>
      </w:r>
      <w:r w:rsidR="006A796D">
        <w:rPr>
          <w:rFonts w:ascii="Arial" w:hAnsi="Arial" w:cs="Arial"/>
          <w:sz w:val="22"/>
          <w:szCs w:val="22"/>
        </w:rPr>
        <w:t xml:space="preserve"> data fields </w:t>
      </w:r>
      <w:r w:rsidR="00901A4B">
        <w:rPr>
          <w:rFonts w:ascii="Arial" w:hAnsi="Arial" w:cs="Arial"/>
          <w:sz w:val="22"/>
          <w:szCs w:val="22"/>
        </w:rPr>
        <w:t xml:space="preserve">on TTB F 5100.24 </w:t>
      </w:r>
      <w:r w:rsidR="006A796D">
        <w:rPr>
          <w:rFonts w:ascii="Arial" w:hAnsi="Arial" w:cs="Arial"/>
          <w:sz w:val="22"/>
          <w:szCs w:val="22"/>
        </w:rPr>
        <w:t>regarding U.S. citizenship and residences during the past five years</w:t>
      </w:r>
      <w:r w:rsidR="00CB3301">
        <w:rPr>
          <w:rFonts w:ascii="Arial" w:hAnsi="Arial" w:cs="Arial"/>
          <w:sz w:val="22"/>
          <w:szCs w:val="22"/>
        </w:rPr>
        <w:t xml:space="preserve">. </w:t>
      </w:r>
      <w:r w:rsidR="006A796D">
        <w:rPr>
          <w:rFonts w:ascii="Arial" w:hAnsi="Arial" w:cs="Arial"/>
          <w:sz w:val="22"/>
          <w:szCs w:val="22"/>
        </w:rPr>
        <w:t xml:space="preserve"> TTB </w:t>
      </w:r>
      <w:r w:rsidR="009542D6">
        <w:rPr>
          <w:rFonts w:ascii="Arial" w:hAnsi="Arial" w:cs="Arial"/>
          <w:sz w:val="22"/>
          <w:szCs w:val="22"/>
        </w:rPr>
        <w:t xml:space="preserve">has concluded that it </w:t>
      </w:r>
      <w:r w:rsidR="006A796D">
        <w:rPr>
          <w:rFonts w:ascii="Arial" w:hAnsi="Arial" w:cs="Arial"/>
          <w:sz w:val="22"/>
          <w:szCs w:val="22"/>
        </w:rPr>
        <w:t xml:space="preserve">no longer needs </w:t>
      </w:r>
      <w:r w:rsidR="00CB3301">
        <w:rPr>
          <w:rFonts w:ascii="Arial" w:hAnsi="Arial" w:cs="Arial"/>
          <w:sz w:val="22"/>
          <w:szCs w:val="22"/>
        </w:rPr>
        <w:t xml:space="preserve">such </w:t>
      </w:r>
      <w:r w:rsidR="006A796D">
        <w:rPr>
          <w:rFonts w:ascii="Arial" w:hAnsi="Arial" w:cs="Arial"/>
          <w:sz w:val="22"/>
          <w:szCs w:val="22"/>
        </w:rPr>
        <w:t xml:space="preserve">information to </w:t>
      </w:r>
      <w:r w:rsidR="00C34C32">
        <w:rPr>
          <w:rFonts w:ascii="Arial" w:hAnsi="Arial" w:cs="Arial"/>
          <w:sz w:val="22"/>
          <w:szCs w:val="22"/>
        </w:rPr>
        <w:t xml:space="preserve">identify persons involved in the applicant business </w:t>
      </w:r>
      <w:r w:rsidR="004029EA">
        <w:rPr>
          <w:rFonts w:ascii="Arial" w:hAnsi="Arial" w:cs="Arial"/>
          <w:sz w:val="22"/>
          <w:szCs w:val="22"/>
        </w:rPr>
        <w:t xml:space="preserve">or </w:t>
      </w:r>
      <w:r w:rsidR="006C7654">
        <w:rPr>
          <w:rFonts w:ascii="Arial" w:hAnsi="Arial" w:cs="Arial"/>
          <w:sz w:val="22"/>
          <w:szCs w:val="22"/>
        </w:rPr>
        <w:t xml:space="preserve">to </w:t>
      </w:r>
      <w:r w:rsidR="006A796D">
        <w:rPr>
          <w:rFonts w:ascii="Arial" w:hAnsi="Arial" w:cs="Arial"/>
          <w:sz w:val="22"/>
          <w:szCs w:val="22"/>
        </w:rPr>
        <w:t>make determinations regarding the</w:t>
      </w:r>
      <w:r w:rsidR="006C7654">
        <w:rPr>
          <w:rFonts w:ascii="Arial" w:hAnsi="Arial" w:cs="Arial"/>
          <w:sz w:val="22"/>
          <w:szCs w:val="22"/>
        </w:rPr>
        <w:t>ir</w:t>
      </w:r>
      <w:r w:rsidR="006A796D">
        <w:rPr>
          <w:rFonts w:ascii="Arial" w:hAnsi="Arial" w:cs="Arial"/>
          <w:sz w:val="22"/>
          <w:szCs w:val="22"/>
        </w:rPr>
        <w:t xml:space="preserve"> eligibility to receive a basic permit.  </w:t>
      </w:r>
      <w:r w:rsidR="00901A4B">
        <w:rPr>
          <w:rFonts w:ascii="Arial" w:hAnsi="Arial" w:cs="Arial"/>
          <w:sz w:val="22"/>
          <w:szCs w:val="22"/>
        </w:rPr>
        <w:t>As a result of eliminating those two Item 9 data fields, TTB is decreasing the estimated time to complete TTB F 5100.24 by 15 minutes, from 1.75 hours to 1.5 hours</w:t>
      </w:r>
      <w:r w:rsidR="00623785">
        <w:rPr>
          <w:rFonts w:ascii="Arial" w:hAnsi="Arial" w:cs="Arial"/>
          <w:sz w:val="22"/>
          <w:szCs w:val="22"/>
        </w:rPr>
        <w:t>, resulting in an estimated burden decrease of 375 hours for this information collection</w:t>
      </w:r>
      <w:r w:rsidR="00901A4B">
        <w:rPr>
          <w:rFonts w:ascii="Arial" w:hAnsi="Arial" w:cs="Arial"/>
          <w:sz w:val="22"/>
          <w:szCs w:val="22"/>
        </w:rPr>
        <w:t>.  (TTB is not adjusting the estimated time to complete an electronic FAA Act basic permit application in PONL since such the ownership information section in PONL is accounted for under the clearance for 1513–0002, Personnel Questionnaire.  TTB will adjust the burden estimate for 1513–0002 in the near future.)</w:t>
      </w:r>
    </w:p>
    <w:p w14:paraId="1DEB2A53" w14:textId="77777777" w:rsidR="00964E77" w:rsidRDefault="00964E77" w:rsidP="009B1AF3">
      <w:pPr>
        <w:ind w:left="360"/>
        <w:rPr>
          <w:rFonts w:ascii="Arial" w:hAnsi="Arial" w:cs="Arial"/>
          <w:sz w:val="22"/>
          <w:szCs w:val="22"/>
        </w:rPr>
      </w:pPr>
    </w:p>
    <w:p w14:paraId="27B200F5" w14:textId="4F820B0B" w:rsidR="007F4AB7" w:rsidRPr="0069718A" w:rsidRDefault="00964E77" w:rsidP="0069718A">
      <w:pPr>
        <w:ind w:left="360"/>
        <w:rPr>
          <w:rFonts w:ascii="Arial" w:hAnsi="Arial" w:cs="Arial"/>
          <w:sz w:val="22"/>
          <w:szCs w:val="22"/>
        </w:rPr>
      </w:pPr>
      <w:r w:rsidRPr="00964E77">
        <w:rPr>
          <w:rFonts w:ascii="Arial" w:hAnsi="Arial" w:cs="Arial"/>
          <w:sz w:val="22"/>
          <w:szCs w:val="22"/>
          <w:u w:val="single"/>
        </w:rPr>
        <w:t>Adjustments:</w:t>
      </w:r>
      <w:r w:rsidR="00B0783C">
        <w:rPr>
          <w:rFonts w:ascii="Arial" w:hAnsi="Arial" w:cs="Arial"/>
          <w:sz w:val="22"/>
          <w:szCs w:val="22"/>
        </w:rPr>
        <w:t xml:space="preserve">  </w:t>
      </w:r>
      <w:r w:rsidR="00623785">
        <w:rPr>
          <w:rFonts w:ascii="Arial" w:hAnsi="Arial" w:cs="Arial"/>
          <w:sz w:val="22"/>
          <w:szCs w:val="22"/>
        </w:rPr>
        <w:t xml:space="preserve">While the program change noted above results in an estimated burden decrease of 375 hours for this information collection, </w:t>
      </w:r>
      <w:r w:rsidR="003A7DD1">
        <w:rPr>
          <w:rFonts w:ascii="Arial" w:hAnsi="Arial" w:cs="Arial"/>
          <w:sz w:val="22"/>
          <w:szCs w:val="22"/>
        </w:rPr>
        <w:t xml:space="preserve">TTB is increasing the </w:t>
      </w:r>
      <w:r w:rsidR="00623785">
        <w:rPr>
          <w:rFonts w:ascii="Arial" w:hAnsi="Arial" w:cs="Arial"/>
          <w:sz w:val="22"/>
          <w:szCs w:val="22"/>
        </w:rPr>
        <w:t xml:space="preserve">overall </w:t>
      </w:r>
      <w:r w:rsidR="003A7DD1">
        <w:rPr>
          <w:rFonts w:ascii="Arial" w:hAnsi="Arial" w:cs="Arial"/>
          <w:sz w:val="22"/>
          <w:szCs w:val="22"/>
        </w:rPr>
        <w:t xml:space="preserve">total number of annual respondents, responses, and burden hours associated with </w:t>
      </w:r>
      <w:r w:rsidR="00623785">
        <w:rPr>
          <w:rFonts w:ascii="Arial" w:hAnsi="Arial" w:cs="Arial"/>
          <w:sz w:val="22"/>
          <w:szCs w:val="22"/>
        </w:rPr>
        <w:t xml:space="preserve">it due to changes in agency estimates. </w:t>
      </w:r>
      <w:r w:rsidR="00B0783C">
        <w:rPr>
          <w:rFonts w:ascii="Arial" w:hAnsi="Arial" w:cs="Arial"/>
          <w:sz w:val="22"/>
          <w:szCs w:val="22"/>
        </w:rPr>
        <w:t xml:space="preserve"> </w:t>
      </w:r>
      <w:r w:rsidR="003A7DD1">
        <w:rPr>
          <w:rFonts w:ascii="Arial" w:hAnsi="Arial" w:cs="Arial"/>
          <w:sz w:val="22"/>
          <w:szCs w:val="22"/>
        </w:rPr>
        <w:t>These increases are the result of co</w:t>
      </w:r>
      <w:r w:rsidR="00D65FAA">
        <w:rPr>
          <w:rFonts w:ascii="Arial" w:hAnsi="Arial" w:cs="Arial"/>
          <w:sz w:val="22"/>
          <w:szCs w:val="22"/>
        </w:rPr>
        <w:t xml:space="preserve">ntinued growth in the number of </w:t>
      </w:r>
      <w:r w:rsidR="003A7DD1">
        <w:rPr>
          <w:rFonts w:ascii="Arial" w:hAnsi="Arial" w:cs="Arial"/>
          <w:sz w:val="22"/>
          <w:szCs w:val="22"/>
        </w:rPr>
        <w:t>alcohol beverage industry members</w:t>
      </w:r>
      <w:r w:rsidR="004B7958">
        <w:rPr>
          <w:rFonts w:ascii="Arial" w:hAnsi="Arial" w:cs="Arial"/>
          <w:sz w:val="22"/>
          <w:szCs w:val="22"/>
        </w:rPr>
        <w:t xml:space="preserve"> who require FAA Act basic permits to legally operate</w:t>
      </w:r>
      <w:r w:rsidR="003A7DD1">
        <w:rPr>
          <w:rFonts w:ascii="Arial" w:hAnsi="Arial" w:cs="Arial"/>
          <w:sz w:val="22"/>
          <w:szCs w:val="22"/>
        </w:rPr>
        <w:t xml:space="preserve">, which has increased the number of </w:t>
      </w:r>
      <w:r w:rsidR="004B7958">
        <w:rPr>
          <w:rFonts w:ascii="Arial" w:hAnsi="Arial" w:cs="Arial"/>
          <w:sz w:val="22"/>
          <w:szCs w:val="22"/>
        </w:rPr>
        <w:t xml:space="preserve">such </w:t>
      </w:r>
      <w:r w:rsidR="003A7DD1">
        <w:rPr>
          <w:rFonts w:ascii="Arial" w:hAnsi="Arial" w:cs="Arial"/>
          <w:sz w:val="22"/>
          <w:szCs w:val="22"/>
        </w:rPr>
        <w:t xml:space="preserve">applications submitted </w:t>
      </w:r>
      <w:r w:rsidR="00D65FAA">
        <w:rPr>
          <w:rFonts w:ascii="Arial" w:hAnsi="Arial" w:cs="Arial"/>
          <w:sz w:val="22"/>
          <w:szCs w:val="22"/>
        </w:rPr>
        <w:t xml:space="preserve">annually </w:t>
      </w:r>
      <w:r w:rsidR="003A7DD1">
        <w:rPr>
          <w:rFonts w:ascii="Arial" w:hAnsi="Arial" w:cs="Arial"/>
          <w:sz w:val="22"/>
          <w:szCs w:val="22"/>
        </w:rPr>
        <w:t xml:space="preserve">to TTB. </w:t>
      </w:r>
      <w:r w:rsidR="00AC1D7C">
        <w:rPr>
          <w:rFonts w:ascii="Arial" w:hAnsi="Arial" w:cs="Arial"/>
          <w:sz w:val="22"/>
          <w:szCs w:val="22"/>
        </w:rPr>
        <w:t xml:space="preserve"> TTB also is providing a respondent cost burden estimate for this information collection. </w:t>
      </w:r>
    </w:p>
    <w:p w14:paraId="513D692B" w14:textId="77777777" w:rsidR="00AF060A" w:rsidRPr="000B6799" w:rsidRDefault="00AF060A" w:rsidP="00AF060A">
      <w:pPr>
        <w:suppressAutoHyphens/>
        <w:rPr>
          <w:rFonts w:ascii="Arial" w:hAnsi="Arial" w:cs="Arial"/>
          <w:sz w:val="36"/>
          <w:szCs w:val="36"/>
        </w:rPr>
      </w:pPr>
    </w:p>
    <w:p w14:paraId="3BF86C44"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445E37C8" w14:textId="77777777" w:rsidR="00AF1157" w:rsidRPr="007A5D4B" w:rsidRDefault="00AF1157" w:rsidP="00D73D2D">
      <w:pPr>
        <w:suppressAutoHyphens/>
        <w:ind w:left="480" w:hanging="480"/>
        <w:rPr>
          <w:rFonts w:ascii="Arial" w:hAnsi="Arial" w:cs="Arial"/>
          <w:sz w:val="22"/>
          <w:szCs w:val="22"/>
        </w:rPr>
      </w:pPr>
    </w:p>
    <w:p w14:paraId="408DB480" w14:textId="2AD666FC" w:rsidR="00AD3881" w:rsidRDefault="00EA147A" w:rsidP="004D086A">
      <w:pPr>
        <w:suppressAutoHyphens/>
        <w:ind w:left="360"/>
        <w:rPr>
          <w:rFonts w:ascii="Arial" w:hAnsi="Arial" w:cs="Arial"/>
          <w:sz w:val="22"/>
          <w:szCs w:val="22"/>
        </w:rPr>
      </w:pPr>
      <w:r>
        <w:rPr>
          <w:rFonts w:ascii="Arial" w:hAnsi="Arial" w:cs="Arial"/>
          <w:sz w:val="22"/>
          <w:szCs w:val="22"/>
        </w:rPr>
        <w:t xml:space="preserve">To comply with the </w:t>
      </w:r>
      <w:r w:rsidRPr="00EA147A">
        <w:rPr>
          <w:rFonts w:ascii="Arial" w:hAnsi="Arial" w:cs="Arial"/>
          <w:sz w:val="22"/>
          <w:szCs w:val="22"/>
        </w:rPr>
        <w:t>Freedom of Information Act</w:t>
      </w:r>
      <w:r>
        <w:rPr>
          <w:rFonts w:ascii="Arial" w:hAnsi="Arial" w:cs="Arial"/>
          <w:sz w:val="22"/>
          <w:szCs w:val="22"/>
        </w:rPr>
        <w:t xml:space="preserve">’s requirement to make frequently requested and released records publically </w:t>
      </w:r>
      <w:r w:rsidRPr="00EA147A">
        <w:rPr>
          <w:rFonts w:ascii="Arial" w:hAnsi="Arial" w:cs="Arial"/>
          <w:sz w:val="22"/>
          <w:szCs w:val="22"/>
        </w:rPr>
        <w:t>available</w:t>
      </w:r>
      <w:r>
        <w:rPr>
          <w:rFonts w:ascii="Arial" w:hAnsi="Arial" w:cs="Arial"/>
          <w:sz w:val="22"/>
          <w:szCs w:val="22"/>
        </w:rPr>
        <w:t>,</w:t>
      </w:r>
      <w:r w:rsidRPr="00EA147A">
        <w:rPr>
          <w:rFonts w:ascii="Arial" w:hAnsi="Arial" w:cs="Arial"/>
          <w:sz w:val="22"/>
          <w:szCs w:val="22"/>
        </w:rPr>
        <w:t xml:space="preserve"> </w:t>
      </w:r>
      <w:r>
        <w:rPr>
          <w:rFonts w:ascii="Arial" w:hAnsi="Arial" w:cs="Arial"/>
          <w:sz w:val="22"/>
          <w:szCs w:val="22"/>
        </w:rPr>
        <w:t xml:space="preserve">TTB publishes lists of </w:t>
      </w:r>
      <w:r w:rsidRPr="00EA147A">
        <w:rPr>
          <w:rFonts w:ascii="Arial" w:hAnsi="Arial" w:cs="Arial"/>
          <w:sz w:val="22"/>
          <w:szCs w:val="22"/>
        </w:rPr>
        <w:t xml:space="preserve">alcohol </w:t>
      </w:r>
      <w:r>
        <w:rPr>
          <w:rFonts w:ascii="Arial" w:hAnsi="Arial" w:cs="Arial"/>
          <w:sz w:val="22"/>
          <w:szCs w:val="22"/>
        </w:rPr>
        <w:t xml:space="preserve">beverage </w:t>
      </w:r>
      <w:r w:rsidRPr="00EA147A">
        <w:rPr>
          <w:rFonts w:ascii="Arial" w:hAnsi="Arial" w:cs="Arial"/>
          <w:sz w:val="22"/>
          <w:szCs w:val="22"/>
        </w:rPr>
        <w:t xml:space="preserve">industry members who hold </w:t>
      </w:r>
      <w:r>
        <w:rPr>
          <w:rFonts w:ascii="Arial" w:hAnsi="Arial" w:cs="Arial"/>
          <w:sz w:val="22"/>
          <w:szCs w:val="22"/>
        </w:rPr>
        <w:t xml:space="preserve">FAA Act basic </w:t>
      </w:r>
      <w:r w:rsidRPr="00EA147A">
        <w:rPr>
          <w:rFonts w:ascii="Arial" w:hAnsi="Arial" w:cs="Arial"/>
          <w:sz w:val="22"/>
          <w:szCs w:val="22"/>
        </w:rPr>
        <w:t>permits</w:t>
      </w:r>
      <w:r>
        <w:rPr>
          <w:rFonts w:ascii="Arial" w:hAnsi="Arial" w:cs="Arial"/>
          <w:sz w:val="22"/>
          <w:szCs w:val="22"/>
        </w:rPr>
        <w:t xml:space="preserve"> on its website at </w:t>
      </w:r>
      <w:hyperlink r:id="rId12" w:history="1">
        <w:r w:rsidR="00AD3881" w:rsidRPr="00DA4A84">
          <w:rPr>
            <w:rStyle w:val="Hyperlink"/>
            <w:rFonts w:ascii="Arial" w:hAnsi="Arial" w:cs="Arial"/>
            <w:sz w:val="22"/>
            <w:szCs w:val="22"/>
          </w:rPr>
          <w:t>https://www.ttb.gov/foia/frl.shtml</w:t>
        </w:r>
      </w:hyperlink>
      <w:r>
        <w:rPr>
          <w:rFonts w:ascii="Arial" w:hAnsi="Arial" w:cs="Arial"/>
          <w:sz w:val="22"/>
          <w:szCs w:val="22"/>
        </w:rPr>
        <w:t>.</w:t>
      </w:r>
      <w:r w:rsidR="00AD3881">
        <w:rPr>
          <w:rFonts w:ascii="Arial" w:hAnsi="Arial" w:cs="Arial"/>
          <w:sz w:val="22"/>
          <w:szCs w:val="22"/>
        </w:rPr>
        <w:t xml:space="preserve"> </w:t>
      </w:r>
      <w:r>
        <w:rPr>
          <w:rFonts w:ascii="Arial" w:hAnsi="Arial" w:cs="Arial"/>
          <w:sz w:val="22"/>
          <w:szCs w:val="22"/>
        </w:rPr>
        <w:t xml:space="preserve"> </w:t>
      </w:r>
      <w:r w:rsidR="00494316">
        <w:rPr>
          <w:rFonts w:ascii="Arial" w:hAnsi="Arial" w:cs="Arial"/>
          <w:sz w:val="22"/>
          <w:szCs w:val="22"/>
        </w:rPr>
        <w:t>These lists include distilled spirits producers and bottlers, permit holders in Puerto Rico, and, wine producers, alcohol importers, and alcohol wholesalers</w:t>
      </w:r>
      <w:r w:rsidR="009542D6">
        <w:rPr>
          <w:rFonts w:ascii="Arial" w:hAnsi="Arial" w:cs="Arial"/>
          <w:sz w:val="22"/>
          <w:szCs w:val="22"/>
        </w:rPr>
        <w:t xml:space="preserve"> listed by State</w:t>
      </w:r>
      <w:r w:rsidR="00494316">
        <w:rPr>
          <w:rFonts w:ascii="Arial" w:hAnsi="Arial" w:cs="Arial"/>
          <w:sz w:val="22"/>
          <w:szCs w:val="22"/>
        </w:rPr>
        <w:t xml:space="preserve">.  </w:t>
      </w:r>
      <w:r>
        <w:rPr>
          <w:rFonts w:ascii="Arial" w:hAnsi="Arial" w:cs="Arial"/>
          <w:sz w:val="22"/>
          <w:szCs w:val="22"/>
        </w:rPr>
        <w:t xml:space="preserve">These lists </w:t>
      </w:r>
      <w:r w:rsidR="00494316">
        <w:rPr>
          <w:rFonts w:ascii="Arial" w:hAnsi="Arial" w:cs="Arial"/>
          <w:sz w:val="22"/>
          <w:szCs w:val="22"/>
        </w:rPr>
        <w:t xml:space="preserve">contain </w:t>
      </w:r>
      <w:r w:rsidR="00D65FAA">
        <w:rPr>
          <w:rFonts w:ascii="Arial" w:hAnsi="Arial" w:cs="Arial"/>
          <w:sz w:val="22"/>
          <w:szCs w:val="22"/>
        </w:rPr>
        <w:t xml:space="preserve">each business’s basic </w:t>
      </w:r>
      <w:r>
        <w:rPr>
          <w:rFonts w:ascii="Arial" w:hAnsi="Arial" w:cs="Arial"/>
          <w:sz w:val="22"/>
          <w:szCs w:val="22"/>
        </w:rPr>
        <w:t>permit number</w:t>
      </w:r>
      <w:r w:rsidR="00D65FAA">
        <w:rPr>
          <w:rFonts w:ascii="Arial" w:hAnsi="Arial" w:cs="Arial"/>
          <w:sz w:val="22"/>
          <w:szCs w:val="22"/>
        </w:rPr>
        <w:t>, its bu</w:t>
      </w:r>
      <w:r>
        <w:rPr>
          <w:rFonts w:ascii="Arial" w:hAnsi="Arial" w:cs="Arial"/>
          <w:sz w:val="22"/>
          <w:szCs w:val="22"/>
        </w:rPr>
        <w:t>siness name</w:t>
      </w:r>
      <w:r w:rsidR="006C7654">
        <w:rPr>
          <w:rFonts w:ascii="Arial" w:hAnsi="Arial" w:cs="Arial"/>
          <w:sz w:val="22"/>
          <w:szCs w:val="22"/>
        </w:rPr>
        <w:t>(s)</w:t>
      </w:r>
      <w:r w:rsidR="00D65FAA">
        <w:rPr>
          <w:rFonts w:ascii="Arial" w:hAnsi="Arial" w:cs="Arial"/>
          <w:sz w:val="22"/>
          <w:szCs w:val="22"/>
        </w:rPr>
        <w:t xml:space="preserve">, </w:t>
      </w:r>
      <w:r>
        <w:rPr>
          <w:rFonts w:ascii="Arial" w:hAnsi="Arial" w:cs="Arial"/>
          <w:sz w:val="22"/>
          <w:szCs w:val="22"/>
        </w:rPr>
        <w:t xml:space="preserve">and </w:t>
      </w:r>
      <w:r w:rsidR="00D65FAA">
        <w:rPr>
          <w:rFonts w:ascii="Arial" w:hAnsi="Arial" w:cs="Arial"/>
          <w:sz w:val="22"/>
          <w:szCs w:val="22"/>
        </w:rPr>
        <w:t xml:space="preserve">the </w:t>
      </w:r>
      <w:r>
        <w:rPr>
          <w:rFonts w:ascii="Arial" w:hAnsi="Arial" w:cs="Arial"/>
          <w:sz w:val="22"/>
          <w:szCs w:val="22"/>
        </w:rPr>
        <w:t xml:space="preserve">address of the permitted premises. </w:t>
      </w:r>
    </w:p>
    <w:p w14:paraId="64C8177C" w14:textId="77777777" w:rsidR="00AF1157" w:rsidRPr="00A5320B" w:rsidRDefault="00AF1157" w:rsidP="00D73D2D">
      <w:pPr>
        <w:suppressAutoHyphens/>
        <w:rPr>
          <w:rFonts w:ascii="Arial" w:hAnsi="Arial" w:cs="Arial"/>
          <w:sz w:val="36"/>
          <w:szCs w:val="36"/>
        </w:rPr>
      </w:pPr>
    </w:p>
    <w:p w14:paraId="6B39DB44" w14:textId="77777777"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259DBD23" w14:textId="77777777" w:rsidR="00AF1157" w:rsidRPr="007A5D4B" w:rsidRDefault="00AF1157" w:rsidP="00D73D2D">
      <w:pPr>
        <w:suppressAutoHyphens/>
        <w:rPr>
          <w:rFonts w:ascii="Arial" w:hAnsi="Arial" w:cs="Arial"/>
          <w:sz w:val="22"/>
          <w:szCs w:val="22"/>
        </w:rPr>
      </w:pPr>
    </w:p>
    <w:p w14:paraId="5CF95B4F" w14:textId="25D20B65" w:rsidR="004B7958" w:rsidRDefault="004B7958" w:rsidP="00494316">
      <w:pPr>
        <w:autoSpaceDE w:val="0"/>
        <w:autoSpaceDN w:val="0"/>
        <w:ind w:left="360"/>
        <w:rPr>
          <w:rFonts w:ascii="Arial" w:hAnsi="Arial" w:cs="Arial"/>
          <w:sz w:val="22"/>
          <w:szCs w:val="22"/>
        </w:rPr>
      </w:pPr>
      <w:r w:rsidRPr="004B7958">
        <w:rPr>
          <w:rFonts w:ascii="Arial" w:hAnsi="Arial" w:cs="Arial"/>
          <w:sz w:val="22"/>
          <w:szCs w:val="22"/>
        </w:rPr>
        <w:t>As a cost-saving measure for both TTB and the general public, TTB requests approval to not display the expiration date for OMB approval of this information collection on TTB F</w:t>
      </w:r>
      <w:r>
        <w:rPr>
          <w:rFonts w:ascii="Arial" w:hAnsi="Arial" w:cs="Arial"/>
          <w:sz w:val="22"/>
          <w:szCs w:val="22"/>
        </w:rPr>
        <w:t> 5100.24 o</w:t>
      </w:r>
      <w:r w:rsidRPr="004B7958">
        <w:rPr>
          <w:rFonts w:ascii="Arial" w:hAnsi="Arial" w:cs="Arial"/>
          <w:sz w:val="22"/>
          <w:szCs w:val="22"/>
        </w:rPr>
        <w:t xml:space="preserve">r in </w:t>
      </w:r>
      <w:r>
        <w:rPr>
          <w:rFonts w:ascii="Arial" w:hAnsi="Arial" w:cs="Arial"/>
          <w:sz w:val="22"/>
          <w:szCs w:val="22"/>
        </w:rPr>
        <w:t xml:space="preserve">the </w:t>
      </w:r>
      <w:r w:rsidRPr="004B7958">
        <w:rPr>
          <w:rFonts w:ascii="Arial" w:hAnsi="Arial" w:cs="Arial"/>
          <w:sz w:val="22"/>
          <w:szCs w:val="22"/>
        </w:rPr>
        <w:t>PONL</w:t>
      </w:r>
      <w:r>
        <w:rPr>
          <w:rFonts w:ascii="Arial" w:hAnsi="Arial" w:cs="Arial"/>
          <w:sz w:val="22"/>
          <w:szCs w:val="22"/>
        </w:rPr>
        <w:t xml:space="preserve"> basic permit application</w:t>
      </w:r>
      <w:r w:rsidRPr="004B7958">
        <w:rPr>
          <w:rFonts w:ascii="Arial" w:hAnsi="Arial" w:cs="Arial"/>
          <w:sz w:val="22"/>
          <w:szCs w:val="22"/>
        </w:rPr>
        <w:t xml:space="preserve">.  By not displaying the expiration date of this collection on the </w:t>
      </w:r>
      <w:r>
        <w:rPr>
          <w:rFonts w:ascii="Arial" w:hAnsi="Arial" w:cs="Arial"/>
          <w:sz w:val="22"/>
          <w:szCs w:val="22"/>
        </w:rPr>
        <w:t xml:space="preserve">paper </w:t>
      </w:r>
      <w:r w:rsidRPr="004B7958">
        <w:rPr>
          <w:rFonts w:ascii="Arial" w:hAnsi="Arial" w:cs="Arial"/>
          <w:sz w:val="22"/>
          <w:szCs w:val="22"/>
        </w:rPr>
        <w:t>form or in PONL, TTB will not have to update the expiration date on the PONL website pages or on the paper form each time the information collection is approved.  More importantly, this avoids confusion among respondents to this information collection when the OMB approval date may have passed but the approval for this collection continues on a month-to-month basis while the collection is under OMB review.  In addition, TTB-regulated businesses will not have to update their stocks of paper forms or alter electronic copies of the forms, including any versions of the forms produced by some businesses, at their own expense, for use with their electronic systems or for sale.</w:t>
      </w:r>
      <w:r w:rsidR="0050735B">
        <w:rPr>
          <w:rFonts w:ascii="Arial" w:hAnsi="Arial" w:cs="Arial"/>
          <w:sz w:val="22"/>
          <w:szCs w:val="22"/>
        </w:rPr>
        <w:t xml:space="preserve"> </w:t>
      </w:r>
    </w:p>
    <w:p w14:paraId="108C1867" w14:textId="77777777" w:rsidR="00014CEB" w:rsidRPr="000B6799" w:rsidRDefault="00014CEB" w:rsidP="00494316">
      <w:pPr>
        <w:autoSpaceDE w:val="0"/>
        <w:autoSpaceDN w:val="0"/>
        <w:rPr>
          <w:rFonts w:ascii="Arial" w:hAnsi="Arial" w:cs="Arial"/>
          <w:sz w:val="36"/>
          <w:szCs w:val="36"/>
        </w:rPr>
      </w:pPr>
    </w:p>
    <w:p w14:paraId="6990DABE"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312AC9BE" w14:textId="77777777" w:rsidR="00D414AB" w:rsidRPr="00A5320B" w:rsidRDefault="00D414AB" w:rsidP="00BA1A21">
      <w:pPr>
        <w:ind w:left="360"/>
        <w:rPr>
          <w:rFonts w:ascii="Arial" w:hAnsi="Arial" w:cs="Arial"/>
          <w:sz w:val="22"/>
          <w:szCs w:val="22"/>
        </w:rPr>
      </w:pPr>
    </w:p>
    <w:p w14:paraId="518A57C9" w14:textId="17A05893" w:rsidR="00851169" w:rsidRPr="00A5320B" w:rsidRDefault="00494316" w:rsidP="00494316">
      <w:pPr>
        <w:tabs>
          <w:tab w:val="left" w:pos="720"/>
        </w:tabs>
        <w:spacing w:after="80"/>
        <w:ind w:left="360"/>
        <w:rPr>
          <w:rFonts w:ascii="Arial" w:hAnsi="Arial" w:cs="Arial"/>
          <w:sz w:val="22"/>
          <w:szCs w:val="22"/>
        </w:rPr>
      </w:pPr>
      <w:r>
        <w:rPr>
          <w:rFonts w:ascii="Arial" w:hAnsi="Arial" w:cs="Arial"/>
          <w:sz w:val="22"/>
          <w:szCs w:val="22"/>
        </w:rPr>
        <w:t>(c)</w:t>
      </w:r>
      <w:r>
        <w:rPr>
          <w:rFonts w:ascii="Arial" w:hAnsi="Arial" w:cs="Arial"/>
          <w:sz w:val="22"/>
          <w:szCs w:val="22"/>
        </w:rPr>
        <w:tab/>
      </w:r>
      <w:r w:rsidR="00851169" w:rsidRPr="00A5320B">
        <w:rPr>
          <w:rFonts w:ascii="Arial" w:hAnsi="Arial" w:cs="Arial"/>
          <w:sz w:val="22"/>
          <w:szCs w:val="22"/>
        </w:rPr>
        <w:t xml:space="preserve">See item 5 above. </w:t>
      </w:r>
    </w:p>
    <w:p w14:paraId="4356AB16" w14:textId="6FDF41F2" w:rsidR="00851169" w:rsidRPr="00A5320B" w:rsidRDefault="00494316" w:rsidP="00494316">
      <w:pPr>
        <w:tabs>
          <w:tab w:val="left" w:pos="720"/>
        </w:tabs>
        <w:spacing w:after="80"/>
        <w:ind w:left="360"/>
        <w:rPr>
          <w:rFonts w:ascii="Arial" w:hAnsi="Arial" w:cs="Arial"/>
          <w:sz w:val="22"/>
          <w:szCs w:val="22"/>
        </w:rPr>
      </w:pPr>
      <w:r>
        <w:rPr>
          <w:rFonts w:ascii="Arial" w:hAnsi="Arial" w:cs="Arial"/>
          <w:sz w:val="22"/>
          <w:szCs w:val="22"/>
        </w:rPr>
        <w:t>(f)</w:t>
      </w:r>
      <w:r>
        <w:rPr>
          <w:rFonts w:ascii="Arial" w:hAnsi="Arial" w:cs="Arial"/>
          <w:sz w:val="22"/>
          <w:szCs w:val="22"/>
        </w:rPr>
        <w:tab/>
      </w:r>
      <w:r w:rsidR="00851169" w:rsidRPr="00A5320B">
        <w:rPr>
          <w:rFonts w:ascii="Arial" w:hAnsi="Arial" w:cs="Arial"/>
          <w:sz w:val="22"/>
          <w:szCs w:val="22"/>
        </w:rPr>
        <w:t xml:space="preserve">This is not a recordkeeping requirement. </w:t>
      </w:r>
    </w:p>
    <w:p w14:paraId="6EEE4880" w14:textId="52278AEC" w:rsidR="00851169" w:rsidRPr="00A5320B" w:rsidRDefault="00494316" w:rsidP="00494316">
      <w:pPr>
        <w:tabs>
          <w:tab w:val="left" w:pos="720"/>
        </w:tabs>
        <w:spacing w:after="80"/>
        <w:ind w:left="360"/>
        <w:rPr>
          <w:rFonts w:ascii="Arial" w:hAnsi="Arial" w:cs="Arial"/>
          <w:sz w:val="22"/>
          <w:szCs w:val="22"/>
        </w:rPr>
      </w:pPr>
      <w:r>
        <w:rPr>
          <w:rFonts w:ascii="Arial" w:hAnsi="Arial" w:cs="Arial"/>
          <w:sz w:val="22"/>
          <w:szCs w:val="22"/>
        </w:rPr>
        <w:t>(i)</w:t>
      </w:r>
      <w:r>
        <w:rPr>
          <w:rFonts w:ascii="Arial" w:hAnsi="Arial" w:cs="Arial"/>
          <w:sz w:val="22"/>
          <w:szCs w:val="22"/>
        </w:rPr>
        <w:tab/>
      </w:r>
      <w:r w:rsidR="00851169" w:rsidRPr="00A5320B">
        <w:rPr>
          <w:rFonts w:ascii="Arial" w:hAnsi="Arial" w:cs="Arial"/>
          <w:sz w:val="22"/>
          <w:szCs w:val="22"/>
        </w:rPr>
        <w:t xml:space="preserve">No statistics are involved. </w:t>
      </w:r>
    </w:p>
    <w:p w14:paraId="05075585" w14:textId="7A74897F" w:rsidR="00851169" w:rsidRDefault="00851169" w:rsidP="00D73D2D">
      <w:pPr>
        <w:rPr>
          <w:rFonts w:ascii="Arial" w:hAnsi="Arial" w:cs="Arial"/>
          <w:sz w:val="36"/>
          <w:szCs w:val="36"/>
        </w:rPr>
      </w:pPr>
    </w:p>
    <w:p w14:paraId="63CBB61C" w14:textId="77777777" w:rsidR="00095E9F" w:rsidRPr="00623785" w:rsidRDefault="00095E9F" w:rsidP="00D73D2D">
      <w:pPr>
        <w:rPr>
          <w:rFonts w:ascii="Arial" w:hAnsi="Arial" w:cs="Arial"/>
          <w:sz w:val="36"/>
          <w:szCs w:val="36"/>
        </w:rPr>
      </w:pPr>
    </w:p>
    <w:p w14:paraId="4728F8A1"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9D723A4" w14:textId="77777777" w:rsidR="00BD3333" w:rsidRPr="007A5D4B" w:rsidRDefault="00BD3333" w:rsidP="00D73D2D">
      <w:pPr>
        <w:pStyle w:val="Header"/>
        <w:tabs>
          <w:tab w:val="clear" w:pos="4320"/>
          <w:tab w:val="clear" w:pos="8640"/>
        </w:tabs>
        <w:rPr>
          <w:rFonts w:ascii="Arial" w:hAnsi="Arial" w:cs="Arial"/>
          <w:sz w:val="22"/>
          <w:szCs w:val="22"/>
        </w:rPr>
      </w:pPr>
    </w:p>
    <w:p w14:paraId="2A6F8192" w14:textId="68634D67" w:rsidR="00BA1A21" w:rsidRPr="007A5D4B" w:rsidRDefault="00BD3333" w:rsidP="008A465E">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sectPr w:rsidR="00BA1A21" w:rsidRPr="007A5D4B" w:rsidSect="007A5D4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A9722" w14:textId="77777777" w:rsidR="00207E00" w:rsidRDefault="00207E00">
      <w:r>
        <w:separator/>
      </w:r>
    </w:p>
  </w:endnote>
  <w:endnote w:type="continuationSeparator" w:id="0">
    <w:p w14:paraId="29BE7B0C" w14:textId="77777777" w:rsidR="00207E00" w:rsidRDefault="0020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2DE79" w14:textId="77777777" w:rsidR="00256208" w:rsidRDefault="002562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63F25" w14:textId="5852B295" w:rsidR="000B6799" w:rsidRPr="007A5D4B" w:rsidRDefault="003F7925" w:rsidP="003F7925">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1513–0018 Supporting Statement (10-2018)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A9B04" w14:textId="3963C9C7" w:rsidR="000B6799" w:rsidRPr="007A5D4B" w:rsidRDefault="003F7925" w:rsidP="003F7925">
    <w:pPr>
      <w:pStyle w:val="Footer"/>
      <w:tabs>
        <w:tab w:val="clear" w:pos="4320"/>
        <w:tab w:val="clear" w:pos="8640"/>
        <w:tab w:val="right" w:pos="9360"/>
      </w:tabs>
      <w:rPr>
        <w:rFonts w:ascii="Arial" w:hAnsi="Arial" w:cs="Arial"/>
        <w:sz w:val="20"/>
        <w:szCs w:val="20"/>
      </w:rPr>
    </w:pPr>
    <w:r w:rsidRPr="003F7925">
      <w:rPr>
        <w:rFonts w:ascii="Arial" w:hAnsi="Arial" w:cs="Arial"/>
        <w:vanish/>
        <w:sz w:val="20"/>
        <w:szCs w:val="20"/>
      </w:rPr>
      <w:t>OPI:  National Revenue Center.</w:t>
    </w:r>
    <w:r>
      <w:rPr>
        <w:rFonts w:ascii="Arial" w:hAnsi="Arial" w:cs="Arial"/>
        <w:sz w:val="20"/>
        <w:szCs w:val="20"/>
      </w:rPr>
      <w:t xml:space="preserve"> </w:t>
    </w:r>
    <w:r>
      <w:rPr>
        <w:rFonts w:ascii="Arial" w:hAnsi="Arial" w:cs="Arial"/>
        <w:sz w:val="20"/>
        <w:szCs w:val="20"/>
      </w:rPr>
      <w:tab/>
      <w:t xml:space="preserve">1513–0018 Supporting Statement (10-2018)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973F4" w14:textId="77777777" w:rsidR="00207E00" w:rsidRDefault="00207E00">
      <w:r>
        <w:separator/>
      </w:r>
    </w:p>
  </w:footnote>
  <w:footnote w:type="continuationSeparator" w:id="0">
    <w:p w14:paraId="21A75A08" w14:textId="77777777" w:rsidR="00207E00" w:rsidRDefault="00207E00">
      <w:r>
        <w:continuationSeparator/>
      </w:r>
    </w:p>
  </w:footnote>
  <w:footnote w:id="1">
    <w:p w14:paraId="1ACE3C90" w14:textId="2516BC36" w:rsidR="006628AD" w:rsidRPr="006628AD" w:rsidRDefault="006628AD" w:rsidP="006628AD">
      <w:pPr>
        <w:pStyle w:val="FootnoteText"/>
        <w:rPr>
          <w:rFonts w:ascii="Arial" w:hAnsi="Arial" w:cs="Arial"/>
        </w:rPr>
      </w:pPr>
      <w:r w:rsidRPr="006628AD">
        <w:rPr>
          <w:rStyle w:val="FootnoteReference"/>
          <w:rFonts w:ascii="Arial" w:hAnsi="Arial" w:cs="Arial"/>
        </w:rPr>
        <w:footnoteRef/>
      </w:r>
      <w:r w:rsidRPr="006628AD">
        <w:rPr>
          <w:rFonts w:ascii="Arial" w:hAnsi="Arial" w:cs="Arial"/>
        </w:rPr>
        <w:t xml:space="preserve"> Respondents file applications for amended FAA Act basic permits on form TTB F 5100.18</w:t>
      </w:r>
      <w:r w:rsidR="0014071B">
        <w:rPr>
          <w:rFonts w:ascii="Arial" w:hAnsi="Arial" w:cs="Arial"/>
        </w:rPr>
        <w:t xml:space="preserve"> (or its electronic equivalent)</w:t>
      </w:r>
      <w:r w:rsidRPr="006628AD">
        <w:rPr>
          <w:rFonts w:ascii="Arial" w:hAnsi="Arial" w:cs="Arial"/>
        </w:rPr>
        <w:t>, which is approved under OMB Control No. 1513–0019.</w:t>
      </w:r>
      <w:r>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97580" w14:textId="77777777" w:rsidR="00256208" w:rsidRDefault="002562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2FF08" w14:textId="6A2F5376" w:rsidR="000B6799" w:rsidRPr="007A5D4B" w:rsidRDefault="000B679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BB5A59">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4CA09" w14:textId="77777777" w:rsidR="000B6799" w:rsidRPr="007A5D4B" w:rsidRDefault="000B679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B704F9"/>
    <w:multiLevelType w:val="hybridMultilevel"/>
    <w:tmpl w:val="F41A264A"/>
    <w:lvl w:ilvl="0" w:tplc="04090001">
      <w:start w:val="1"/>
      <w:numFmt w:val="bullet"/>
      <w:lvlText w:val=""/>
      <w:lvlJc w:val="left"/>
      <w:pPr>
        <w:ind w:left="5580" w:hanging="360"/>
      </w:pPr>
      <w:rPr>
        <w:rFonts w:ascii="Symbol" w:hAnsi="Symbol" w:hint="default"/>
      </w:rPr>
    </w:lvl>
    <w:lvl w:ilvl="1" w:tplc="04090003" w:tentative="1">
      <w:start w:val="1"/>
      <w:numFmt w:val="bullet"/>
      <w:lvlText w:val="o"/>
      <w:lvlJc w:val="left"/>
      <w:pPr>
        <w:ind w:left="6300" w:hanging="360"/>
      </w:pPr>
      <w:rPr>
        <w:rFonts w:ascii="Courier New" w:hAnsi="Courier New" w:cs="Courier New" w:hint="default"/>
      </w:rPr>
    </w:lvl>
    <w:lvl w:ilvl="2" w:tplc="04090005" w:tentative="1">
      <w:start w:val="1"/>
      <w:numFmt w:val="bullet"/>
      <w:lvlText w:val=""/>
      <w:lvlJc w:val="left"/>
      <w:pPr>
        <w:ind w:left="7020" w:hanging="360"/>
      </w:pPr>
      <w:rPr>
        <w:rFonts w:ascii="Wingdings" w:hAnsi="Wingdings" w:hint="default"/>
      </w:rPr>
    </w:lvl>
    <w:lvl w:ilvl="3" w:tplc="04090001" w:tentative="1">
      <w:start w:val="1"/>
      <w:numFmt w:val="bullet"/>
      <w:lvlText w:val=""/>
      <w:lvlJc w:val="left"/>
      <w:pPr>
        <w:ind w:left="7740" w:hanging="360"/>
      </w:pPr>
      <w:rPr>
        <w:rFonts w:ascii="Symbol" w:hAnsi="Symbol" w:hint="default"/>
      </w:rPr>
    </w:lvl>
    <w:lvl w:ilvl="4" w:tplc="04090003" w:tentative="1">
      <w:start w:val="1"/>
      <w:numFmt w:val="bullet"/>
      <w:lvlText w:val="o"/>
      <w:lvlJc w:val="left"/>
      <w:pPr>
        <w:ind w:left="8460" w:hanging="360"/>
      </w:pPr>
      <w:rPr>
        <w:rFonts w:ascii="Courier New" w:hAnsi="Courier New" w:cs="Courier New" w:hint="default"/>
      </w:rPr>
    </w:lvl>
    <w:lvl w:ilvl="5" w:tplc="04090005" w:tentative="1">
      <w:start w:val="1"/>
      <w:numFmt w:val="bullet"/>
      <w:lvlText w:val=""/>
      <w:lvlJc w:val="left"/>
      <w:pPr>
        <w:ind w:left="9180" w:hanging="360"/>
      </w:pPr>
      <w:rPr>
        <w:rFonts w:ascii="Wingdings" w:hAnsi="Wingdings" w:hint="default"/>
      </w:rPr>
    </w:lvl>
    <w:lvl w:ilvl="6" w:tplc="04090001" w:tentative="1">
      <w:start w:val="1"/>
      <w:numFmt w:val="bullet"/>
      <w:lvlText w:val=""/>
      <w:lvlJc w:val="left"/>
      <w:pPr>
        <w:ind w:left="9900" w:hanging="360"/>
      </w:pPr>
      <w:rPr>
        <w:rFonts w:ascii="Symbol" w:hAnsi="Symbol" w:hint="default"/>
      </w:rPr>
    </w:lvl>
    <w:lvl w:ilvl="7" w:tplc="04090003" w:tentative="1">
      <w:start w:val="1"/>
      <w:numFmt w:val="bullet"/>
      <w:lvlText w:val="o"/>
      <w:lvlJc w:val="left"/>
      <w:pPr>
        <w:ind w:left="10620" w:hanging="360"/>
      </w:pPr>
      <w:rPr>
        <w:rFonts w:ascii="Courier New" w:hAnsi="Courier New" w:cs="Courier New" w:hint="default"/>
      </w:rPr>
    </w:lvl>
    <w:lvl w:ilvl="8" w:tplc="04090005" w:tentative="1">
      <w:start w:val="1"/>
      <w:numFmt w:val="bullet"/>
      <w:lvlText w:val=""/>
      <w:lvlJc w:val="left"/>
      <w:pPr>
        <w:ind w:left="1134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15CB"/>
    <w:rsid w:val="00012E43"/>
    <w:rsid w:val="00014CEB"/>
    <w:rsid w:val="0003032C"/>
    <w:rsid w:val="00030CEB"/>
    <w:rsid w:val="000329F4"/>
    <w:rsid w:val="0004708F"/>
    <w:rsid w:val="000473AC"/>
    <w:rsid w:val="0004764C"/>
    <w:rsid w:val="00074898"/>
    <w:rsid w:val="00090251"/>
    <w:rsid w:val="0009064A"/>
    <w:rsid w:val="00094E95"/>
    <w:rsid w:val="00095E9F"/>
    <w:rsid w:val="00095F53"/>
    <w:rsid w:val="000A2E33"/>
    <w:rsid w:val="000A4E1A"/>
    <w:rsid w:val="000B3E08"/>
    <w:rsid w:val="000B6799"/>
    <w:rsid w:val="000D4E6C"/>
    <w:rsid w:val="000D6313"/>
    <w:rsid w:val="00101DE7"/>
    <w:rsid w:val="00115422"/>
    <w:rsid w:val="0014071B"/>
    <w:rsid w:val="001608E4"/>
    <w:rsid w:val="001768DC"/>
    <w:rsid w:val="001E7BDE"/>
    <w:rsid w:val="001F2913"/>
    <w:rsid w:val="00207E00"/>
    <w:rsid w:val="00220222"/>
    <w:rsid w:val="0022156B"/>
    <w:rsid w:val="00244D91"/>
    <w:rsid w:val="00250066"/>
    <w:rsid w:val="00256208"/>
    <w:rsid w:val="00273CEE"/>
    <w:rsid w:val="00276081"/>
    <w:rsid w:val="00277C09"/>
    <w:rsid w:val="00297995"/>
    <w:rsid w:val="002A40CE"/>
    <w:rsid w:val="002B47FB"/>
    <w:rsid w:val="002D1324"/>
    <w:rsid w:val="002D2AA4"/>
    <w:rsid w:val="002E6145"/>
    <w:rsid w:val="003301DA"/>
    <w:rsid w:val="0033260C"/>
    <w:rsid w:val="00381FFC"/>
    <w:rsid w:val="0038747C"/>
    <w:rsid w:val="003A09DC"/>
    <w:rsid w:val="003A4A20"/>
    <w:rsid w:val="003A4DFA"/>
    <w:rsid w:val="003A7DD1"/>
    <w:rsid w:val="003C1FD2"/>
    <w:rsid w:val="003F7925"/>
    <w:rsid w:val="004029EA"/>
    <w:rsid w:val="004348F5"/>
    <w:rsid w:val="0044522E"/>
    <w:rsid w:val="00447B6B"/>
    <w:rsid w:val="00494316"/>
    <w:rsid w:val="004A3DE5"/>
    <w:rsid w:val="004B61AE"/>
    <w:rsid w:val="004B7958"/>
    <w:rsid w:val="004C3724"/>
    <w:rsid w:val="004D086A"/>
    <w:rsid w:val="004D1808"/>
    <w:rsid w:val="004D3468"/>
    <w:rsid w:val="004D4299"/>
    <w:rsid w:val="004E2C89"/>
    <w:rsid w:val="004F62C7"/>
    <w:rsid w:val="0050368E"/>
    <w:rsid w:val="0050735B"/>
    <w:rsid w:val="00514E62"/>
    <w:rsid w:val="005278E4"/>
    <w:rsid w:val="00536D29"/>
    <w:rsid w:val="00555B29"/>
    <w:rsid w:val="005A6AF2"/>
    <w:rsid w:val="005C0AED"/>
    <w:rsid w:val="005C282B"/>
    <w:rsid w:val="005C58DC"/>
    <w:rsid w:val="005E4F99"/>
    <w:rsid w:val="005E4F9B"/>
    <w:rsid w:val="00623785"/>
    <w:rsid w:val="006244FF"/>
    <w:rsid w:val="00631780"/>
    <w:rsid w:val="00631967"/>
    <w:rsid w:val="006628AD"/>
    <w:rsid w:val="00663972"/>
    <w:rsid w:val="0069718A"/>
    <w:rsid w:val="006A35C6"/>
    <w:rsid w:val="006A796D"/>
    <w:rsid w:val="006C7654"/>
    <w:rsid w:val="006F177E"/>
    <w:rsid w:val="006F2142"/>
    <w:rsid w:val="00721C76"/>
    <w:rsid w:val="00732895"/>
    <w:rsid w:val="00734B25"/>
    <w:rsid w:val="00735474"/>
    <w:rsid w:val="00736DD6"/>
    <w:rsid w:val="00756D72"/>
    <w:rsid w:val="007A5D4B"/>
    <w:rsid w:val="007B4E08"/>
    <w:rsid w:val="007D5727"/>
    <w:rsid w:val="007E319C"/>
    <w:rsid w:val="007E57D5"/>
    <w:rsid w:val="007F40E3"/>
    <w:rsid w:val="007F4AB7"/>
    <w:rsid w:val="00804B0C"/>
    <w:rsid w:val="00811A04"/>
    <w:rsid w:val="0082385C"/>
    <w:rsid w:val="00824FED"/>
    <w:rsid w:val="00827956"/>
    <w:rsid w:val="00840FC6"/>
    <w:rsid w:val="00846070"/>
    <w:rsid w:val="0084640C"/>
    <w:rsid w:val="00851169"/>
    <w:rsid w:val="00853E85"/>
    <w:rsid w:val="008603B9"/>
    <w:rsid w:val="00874C51"/>
    <w:rsid w:val="008A465E"/>
    <w:rsid w:val="008B146B"/>
    <w:rsid w:val="008C399F"/>
    <w:rsid w:val="00901A4B"/>
    <w:rsid w:val="00932151"/>
    <w:rsid w:val="009542D6"/>
    <w:rsid w:val="0096457D"/>
    <w:rsid w:val="00964E77"/>
    <w:rsid w:val="00965E7F"/>
    <w:rsid w:val="00987432"/>
    <w:rsid w:val="00990656"/>
    <w:rsid w:val="009A1CD5"/>
    <w:rsid w:val="009A6532"/>
    <w:rsid w:val="009B1AF3"/>
    <w:rsid w:val="009E4E4C"/>
    <w:rsid w:val="00A12CE5"/>
    <w:rsid w:val="00A17E04"/>
    <w:rsid w:val="00A201BF"/>
    <w:rsid w:val="00A438D8"/>
    <w:rsid w:val="00A5167D"/>
    <w:rsid w:val="00A5320B"/>
    <w:rsid w:val="00A70A07"/>
    <w:rsid w:val="00A85118"/>
    <w:rsid w:val="00AA3F8F"/>
    <w:rsid w:val="00AA6881"/>
    <w:rsid w:val="00AA74AA"/>
    <w:rsid w:val="00AC1D7C"/>
    <w:rsid w:val="00AC686F"/>
    <w:rsid w:val="00AD3881"/>
    <w:rsid w:val="00AF060A"/>
    <w:rsid w:val="00AF1157"/>
    <w:rsid w:val="00B06EE5"/>
    <w:rsid w:val="00B0783C"/>
    <w:rsid w:val="00B1047F"/>
    <w:rsid w:val="00B13BA3"/>
    <w:rsid w:val="00B23FF6"/>
    <w:rsid w:val="00B31E02"/>
    <w:rsid w:val="00B508E9"/>
    <w:rsid w:val="00B72AC4"/>
    <w:rsid w:val="00B95061"/>
    <w:rsid w:val="00B97C2D"/>
    <w:rsid w:val="00BA1A21"/>
    <w:rsid w:val="00BB5A59"/>
    <w:rsid w:val="00BB67E5"/>
    <w:rsid w:val="00BC1D1F"/>
    <w:rsid w:val="00BD3333"/>
    <w:rsid w:val="00BE3C19"/>
    <w:rsid w:val="00BF11CE"/>
    <w:rsid w:val="00C0666E"/>
    <w:rsid w:val="00C1362D"/>
    <w:rsid w:val="00C172B8"/>
    <w:rsid w:val="00C271EA"/>
    <w:rsid w:val="00C34C32"/>
    <w:rsid w:val="00C71838"/>
    <w:rsid w:val="00CA07BF"/>
    <w:rsid w:val="00CA373C"/>
    <w:rsid w:val="00CA7E3C"/>
    <w:rsid w:val="00CB3301"/>
    <w:rsid w:val="00CC2DE7"/>
    <w:rsid w:val="00CD21EC"/>
    <w:rsid w:val="00CD3E34"/>
    <w:rsid w:val="00CF1C87"/>
    <w:rsid w:val="00CF799C"/>
    <w:rsid w:val="00D004D6"/>
    <w:rsid w:val="00D01AA2"/>
    <w:rsid w:val="00D03A61"/>
    <w:rsid w:val="00D059BB"/>
    <w:rsid w:val="00D414AB"/>
    <w:rsid w:val="00D50640"/>
    <w:rsid w:val="00D53E7A"/>
    <w:rsid w:val="00D56B01"/>
    <w:rsid w:val="00D6325C"/>
    <w:rsid w:val="00D656EA"/>
    <w:rsid w:val="00D65FAA"/>
    <w:rsid w:val="00D73D2D"/>
    <w:rsid w:val="00D742EE"/>
    <w:rsid w:val="00D76DF0"/>
    <w:rsid w:val="00D846B9"/>
    <w:rsid w:val="00D85E10"/>
    <w:rsid w:val="00D94077"/>
    <w:rsid w:val="00DA29D8"/>
    <w:rsid w:val="00DF5F98"/>
    <w:rsid w:val="00DF6D82"/>
    <w:rsid w:val="00E115FD"/>
    <w:rsid w:val="00E323CD"/>
    <w:rsid w:val="00E414F9"/>
    <w:rsid w:val="00E41ED9"/>
    <w:rsid w:val="00E45CBA"/>
    <w:rsid w:val="00E51AD7"/>
    <w:rsid w:val="00E56E11"/>
    <w:rsid w:val="00E86B1B"/>
    <w:rsid w:val="00E950FF"/>
    <w:rsid w:val="00EA147A"/>
    <w:rsid w:val="00EC4FC3"/>
    <w:rsid w:val="00ED4A03"/>
    <w:rsid w:val="00ED7233"/>
    <w:rsid w:val="00EE4237"/>
    <w:rsid w:val="00EF68CA"/>
    <w:rsid w:val="00F03208"/>
    <w:rsid w:val="00F058FA"/>
    <w:rsid w:val="00F10C50"/>
    <w:rsid w:val="00F25305"/>
    <w:rsid w:val="00F31E0C"/>
    <w:rsid w:val="00F4398A"/>
    <w:rsid w:val="00F618E0"/>
    <w:rsid w:val="00F742DF"/>
    <w:rsid w:val="00F95A6D"/>
    <w:rsid w:val="00FA228E"/>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925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EF68CA"/>
    <w:pPr>
      <w:ind w:left="720"/>
      <w:contextualSpacing/>
    </w:pPr>
  </w:style>
  <w:style w:type="paragraph" w:styleId="FootnoteText">
    <w:name w:val="footnote text"/>
    <w:basedOn w:val="Normal"/>
    <w:link w:val="FootnoteTextChar"/>
    <w:rsid w:val="00CF799C"/>
    <w:rPr>
      <w:sz w:val="20"/>
      <w:szCs w:val="20"/>
    </w:rPr>
  </w:style>
  <w:style w:type="character" w:customStyle="1" w:styleId="FootnoteTextChar">
    <w:name w:val="Footnote Text Char"/>
    <w:basedOn w:val="DefaultParagraphFont"/>
    <w:link w:val="FootnoteText"/>
    <w:rsid w:val="00CF799C"/>
  </w:style>
  <w:style w:type="character" w:styleId="FootnoteReference">
    <w:name w:val="footnote reference"/>
    <w:basedOn w:val="DefaultParagraphFont"/>
    <w:rsid w:val="00CF799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EF68CA"/>
    <w:pPr>
      <w:ind w:left="720"/>
      <w:contextualSpacing/>
    </w:pPr>
  </w:style>
  <w:style w:type="paragraph" w:styleId="FootnoteText">
    <w:name w:val="footnote text"/>
    <w:basedOn w:val="Normal"/>
    <w:link w:val="FootnoteTextChar"/>
    <w:rsid w:val="00CF799C"/>
    <w:rPr>
      <w:sz w:val="20"/>
      <w:szCs w:val="20"/>
    </w:rPr>
  </w:style>
  <w:style w:type="character" w:customStyle="1" w:styleId="FootnoteTextChar">
    <w:name w:val="Footnote Text Char"/>
    <w:basedOn w:val="DefaultParagraphFont"/>
    <w:link w:val="FootnoteText"/>
    <w:rsid w:val="00CF799C"/>
  </w:style>
  <w:style w:type="character" w:styleId="FootnoteReference">
    <w:name w:val="footnote reference"/>
    <w:basedOn w:val="DefaultParagraphFont"/>
    <w:rsid w:val="00CF79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tb.gov/ponl/permits-online.shtml"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ttb.gov/foia/frl.s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tb.gov/forms/5000.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tb.gov/foia/pia.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tb.gov/forms/5000.s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2609</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17452</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2018-10-05T19:40:00Z</dcterms:created>
  <dcterms:modified xsi:type="dcterms:W3CDTF">2018-10-05T19:40:00Z</dcterms:modified>
</cp:coreProperties>
</file>