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92D47" w14:textId="77777777" w:rsidR="00E97314" w:rsidRDefault="00E97314" w:rsidP="00E97314">
      <w:pPr>
        <w:pStyle w:val="Default"/>
        <w:jc w:val="center"/>
        <w:rPr>
          <w:b/>
          <w:bCs/>
        </w:rPr>
      </w:pPr>
      <w:bookmarkStart w:id="0" w:name="_GoBack"/>
      <w:bookmarkEnd w:id="0"/>
      <w:r w:rsidRPr="00A94975">
        <w:rPr>
          <w:b/>
          <w:bCs/>
        </w:rPr>
        <w:t xml:space="preserve">Supporting Statement </w:t>
      </w:r>
      <w:r w:rsidR="008D334E">
        <w:rPr>
          <w:b/>
          <w:bCs/>
        </w:rPr>
        <w:t>A</w:t>
      </w:r>
    </w:p>
    <w:p w14:paraId="090AA27C" w14:textId="77777777" w:rsidR="00AF2F8B" w:rsidRPr="00A94975" w:rsidRDefault="00AF2F8B" w:rsidP="00E97314">
      <w:pPr>
        <w:pStyle w:val="Default"/>
        <w:jc w:val="center"/>
      </w:pPr>
    </w:p>
    <w:p w14:paraId="78083088" w14:textId="77777777" w:rsidR="009A4371" w:rsidRDefault="00AF2F8B" w:rsidP="00E97314">
      <w:pPr>
        <w:pStyle w:val="Default"/>
        <w:jc w:val="center"/>
      </w:pPr>
      <w:r>
        <w:rPr>
          <w:bCs/>
        </w:rPr>
        <w:t xml:space="preserve">I-312 </w:t>
      </w:r>
      <w:r w:rsidR="00A3015F" w:rsidRPr="00AF2F8B">
        <w:rPr>
          <w:bCs/>
        </w:rPr>
        <w:t xml:space="preserve">Designation of </w:t>
      </w:r>
      <w:r w:rsidR="007F631F" w:rsidRPr="00AF2F8B">
        <w:rPr>
          <w:bCs/>
        </w:rPr>
        <w:t>A</w:t>
      </w:r>
      <w:r w:rsidR="00A3015F" w:rsidRPr="00AF2F8B">
        <w:rPr>
          <w:bCs/>
        </w:rPr>
        <w:t>ttorney In Fact</w:t>
      </w:r>
      <w:r>
        <w:rPr>
          <w:bCs/>
        </w:rPr>
        <w:t xml:space="preserve"> / </w:t>
      </w:r>
      <w:r>
        <w:t xml:space="preserve">I-312A </w:t>
      </w:r>
      <w:r w:rsidR="009A4371">
        <w:t>Revocation of Attorney In Fact</w:t>
      </w:r>
    </w:p>
    <w:p w14:paraId="6D3AC82A" w14:textId="77777777" w:rsidR="00E97314" w:rsidRPr="00A94975" w:rsidRDefault="00E97314" w:rsidP="00E97314">
      <w:pPr>
        <w:pStyle w:val="Default"/>
        <w:jc w:val="center"/>
      </w:pPr>
      <w:r w:rsidRPr="00A94975">
        <w:rPr>
          <w:b/>
          <w:bCs/>
        </w:rPr>
        <w:t xml:space="preserve">OMB No. </w:t>
      </w:r>
      <w:r>
        <w:rPr>
          <w:b/>
          <w:bCs/>
          <w:u w:val="single"/>
        </w:rPr>
        <w:t>_</w:t>
      </w:r>
      <w:r w:rsidRPr="005C68B0">
        <w:rPr>
          <w:b/>
          <w:bCs/>
          <w:u w:val="single"/>
        </w:rPr>
        <w:t>1653</w:t>
      </w:r>
      <w:r w:rsidRPr="00A94975">
        <w:rPr>
          <w:b/>
          <w:bCs/>
        </w:rPr>
        <w:t xml:space="preserve"> - </w:t>
      </w:r>
      <w:r w:rsidR="00CD1188">
        <w:rPr>
          <w:b/>
          <w:bCs/>
          <w:u w:val="single"/>
        </w:rPr>
        <w:t>0041</w:t>
      </w:r>
    </w:p>
    <w:p w14:paraId="031DEFB8" w14:textId="77777777" w:rsidR="00E97314" w:rsidRPr="00A94975" w:rsidRDefault="00E97314" w:rsidP="00E97314">
      <w:pPr>
        <w:pStyle w:val="Default"/>
      </w:pPr>
    </w:p>
    <w:p w14:paraId="2E820E15" w14:textId="77777777" w:rsidR="00E97314" w:rsidRPr="00A94975" w:rsidRDefault="00E97314" w:rsidP="00E97314">
      <w:pPr>
        <w:pStyle w:val="Default"/>
      </w:pPr>
      <w:r w:rsidRPr="00A94975">
        <w:rPr>
          <w:b/>
          <w:bCs/>
        </w:rPr>
        <w:t xml:space="preserve">A. Justification: </w:t>
      </w:r>
    </w:p>
    <w:p w14:paraId="4E6303DD" w14:textId="77777777" w:rsidR="00E97314" w:rsidRPr="00A94975" w:rsidRDefault="00E97314" w:rsidP="00E97314">
      <w:pPr>
        <w:pStyle w:val="Default"/>
      </w:pPr>
    </w:p>
    <w:p w14:paraId="479803A9" w14:textId="77777777" w:rsidR="00E97314" w:rsidRPr="00BD3EB1" w:rsidRDefault="00E97314" w:rsidP="00E97314">
      <w:pPr>
        <w:tabs>
          <w:tab w:val="left" w:pos="-1440"/>
        </w:tabs>
        <w:ind w:left="720" w:hanging="720"/>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DD14416" w14:textId="77777777" w:rsidR="00E97314" w:rsidRDefault="00E97314" w:rsidP="00E97314">
      <w:pPr>
        <w:pStyle w:val="Default"/>
        <w:jc w:val="both"/>
      </w:pPr>
      <w:r w:rsidRPr="00A94975">
        <w:t xml:space="preserve"> </w:t>
      </w:r>
    </w:p>
    <w:p w14:paraId="502DC3BA" w14:textId="209E5253" w:rsidR="00042262" w:rsidRDefault="00A3015F" w:rsidP="00A3015F">
      <w:pPr>
        <w:pStyle w:val="Default"/>
        <w:ind w:left="720"/>
        <w:rPr>
          <w:sz w:val="22"/>
        </w:rPr>
      </w:pPr>
      <w:r w:rsidRPr="00B53C5A">
        <w:rPr>
          <w:sz w:val="22"/>
        </w:rPr>
        <w:t>Section § 103.6</w:t>
      </w:r>
      <w:r w:rsidR="009A4371" w:rsidRPr="00B53C5A">
        <w:rPr>
          <w:sz w:val="22"/>
        </w:rPr>
        <w:t>,</w:t>
      </w:r>
      <w:r w:rsidRPr="00B53C5A">
        <w:rPr>
          <w:sz w:val="22"/>
        </w:rPr>
        <w:t xml:space="preserve"> the Immigration and Nationality Act</w:t>
      </w:r>
      <w:r w:rsidR="00446BC3" w:rsidRPr="00B53C5A">
        <w:rPr>
          <w:sz w:val="22"/>
        </w:rPr>
        <w:t xml:space="preserve"> (INA)</w:t>
      </w:r>
      <w:r w:rsidRPr="00B53C5A">
        <w:rPr>
          <w:sz w:val="22"/>
        </w:rPr>
        <w:t>, pr</w:t>
      </w:r>
      <w:r w:rsidR="00ED4BED" w:rsidRPr="00B53C5A">
        <w:rPr>
          <w:sz w:val="22"/>
        </w:rPr>
        <w:t>ovide</w:t>
      </w:r>
      <w:r w:rsidR="009A4371" w:rsidRPr="00B53C5A">
        <w:rPr>
          <w:sz w:val="22"/>
        </w:rPr>
        <w:t>s</w:t>
      </w:r>
      <w:r w:rsidR="00ED4BED" w:rsidRPr="00B53C5A">
        <w:rPr>
          <w:sz w:val="22"/>
        </w:rPr>
        <w:t xml:space="preserve"> for</w:t>
      </w:r>
      <w:r w:rsidR="00ED4BED">
        <w:rPr>
          <w:sz w:val="22"/>
        </w:rPr>
        <w:t xml:space="preserve"> the posting of surety </w:t>
      </w:r>
      <w:r w:rsidR="00446BC3">
        <w:rPr>
          <w:sz w:val="22"/>
        </w:rPr>
        <w:t xml:space="preserve">or cash </w:t>
      </w:r>
      <w:r w:rsidR="00ED4BED">
        <w:rPr>
          <w:sz w:val="22"/>
        </w:rPr>
        <w:t xml:space="preserve">bonds.  </w:t>
      </w:r>
      <w:r>
        <w:rPr>
          <w:sz w:val="22"/>
        </w:rPr>
        <w:t xml:space="preserve">All bonds posted in immigration cases shall be executed on Form I-352, Immigration Bond, </w:t>
      </w:r>
      <w:r w:rsidR="00042262">
        <w:rPr>
          <w:sz w:val="22"/>
        </w:rPr>
        <w:t xml:space="preserve">and secured with </w:t>
      </w:r>
      <w:r w:rsidR="009A4371">
        <w:rPr>
          <w:sz w:val="22"/>
        </w:rPr>
        <w:t xml:space="preserve">some </w:t>
      </w:r>
      <w:r w:rsidR="00042262">
        <w:rPr>
          <w:sz w:val="22"/>
        </w:rPr>
        <w:t xml:space="preserve">form of collateral by an Obligor.  </w:t>
      </w:r>
      <w:r w:rsidR="009A4371">
        <w:rPr>
          <w:sz w:val="22"/>
        </w:rPr>
        <w:t xml:space="preserve">In the case of a cash bond, the Obligor will deposit with U.S. Immigration and Customs Enforcement (ICE) the face value of the bond.  </w:t>
      </w:r>
      <w:r w:rsidR="00E27717">
        <w:rPr>
          <w:sz w:val="22"/>
        </w:rPr>
        <w:t xml:space="preserve">The Obligor can designate a third party as an Attorney in Fact to accept on their behalf the return of the collateral security deposited to secure the surety bond upon cancellation of the bond or performance of the Obligor.  The </w:t>
      </w:r>
      <w:r w:rsidR="009A4371">
        <w:rPr>
          <w:sz w:val="22"/>
        </w:rPr>
        <w:t>F</w:t>
      </w:r>
      <w:r w:rsidR="00042262">
        <w:rPr>
          <w:sz w:val="22"/>
        </w:rPr>
        <w:t xml:space="preserve">orm </w:t>
      </w:r>
      <w:r w:rsidR="00E27717">
        <w:rPr>
          <w:sz w:val="22"/>
        </w:rPr>
        <w:t>I-312</w:t>
      </w:r>
      <w:r w:rsidR="00042262">
        <w:rPr>
          <w:sz w:val="22"/>
        </w:rPr>
        <w:t xml:space="preserve">, Designation of Attorney in Fact, </w:t>
      </w:r>
      <w:r w:rsidR="00E27717">
        <w:rPr>
          <w:sz w:val="22"/>
        </w:rPr>
        <w:t xml:space="preserve">is the instrument used by the Obligor to officially designate </w:t>
      </w:r>
      <w:r w:rsidR="00042262">
        <w:rPr>
          <w:sz w:val="22"/>
        </w:rPr>
        <w:t>their Attorney In Fact</w:t>
      </w:r>
      <w:r w:rsidR="009A4371">
        <w:rPr>
          <w:sz w:val="22"/>
        </w:rPr>
        <w:t>.  Upon receipt of a properly executed Form I-312, ICE Financial Operations will remit to the Attorney in Fact either the principal and interest on the security deposit in the event of a bond cancellation, or the interest on the security deposit in the event of a bond breach</w:t>
      </w:r>
      <w:r w:rsidR="00042262">
        <w:rPr>
          <w:sz w:val="22"/>
        </w:rPr>
        <w:t>.</w:t>
      </w:r>
      <w:r w:rsidR="009A4371">
        <w:rPr>
          <w:sz w:val="22"/>
        </w:rPr>
        <w:t xml:space="preserve">  Immigration bonds might remain in place for years, and Obligors might choose to appoint a new Attorney In Fact as circumstances change.  To ensure that ICE Financial Operations properly executes its fiduciary duties to the Obligor under the Form I-352 bond contract, ICE use</w:t>
      </w:r>
      <w:r w:rsidR="00AF493B">
        <w:rPr>
          <w:sz w:val="22"/>
        </w:rPr>
        <w:t>s</w:t>
      </w:r>
      <w:r w:rsidR="009A4371">
        <w:rPr>
          <w:sz w:val="22"/>
        </w:rPr>
        <w:t xml:space="preserve"> Form I-312A as the document by which the Obligor expressly indicate</w:t>
      </w:r>
      <w:r w:rsidR="00AF493B">
        <w:rPr>
          <w:sz w:val="22"/>
        </w:rPr>
        <w:t>s</w:t>
      </w:r>
      <w:r w:rsidR="009A4371">
        <w:rPr>
          <w:sz w:val="22"/>
        </w:rPr>
        <w:t xml:space="preserve"> that a previously valid Form I-312 Attorney In Fact designation ha</w:t>
      </w:r>
      <w:r w:rsidR="00AF493B">
        <w:rPr>
          <w:sz w:val="22"/>
        </w:rPr>
        <w:t>s</w:t>
      </w:r>
      <w:r w:rsidR="009A4371">
        <w:rPr>
          <w:sz w:val="22"/>
        </w:rPr>
        <w:t xml:space="preserve"> been revoked. </w:t>
      </w:r>
    </w:p>
    <w:p w14:paraId="06BA9835" w14:textId="77777777" w:rsidR="00EF5B27" w:rsidRPr="00A94975" w:rsidRDefault="00A3015F" w:rsidP="00A3015F">
      <w:pPr>
        <w:pStyle w:val="Default"/>
        <w:ind w:left="720"/>
      </w:pPr>
      <w:r>
        <w:rPr>
          <w:sz w:val="22"/>
        </w:rPr>
        <w:t xml:space="preserve"> </w:t>
      </w:r>
    </w:p>
    <w:p w14:paraId="3F6DD05E" w14:textId="77777777" w:rsidR="00E97314" w:rsidRDefault="00E97314" w:rsidP="00ED4BED">
      <w:pPr>
        <w:pStyle w:val="Default"/>
        <w:tabs>
          <w:tab w:val="left" w:pos="360"/>
        </w:tabs>
        <w:ind w:left="720" w:hanging="720"/>
        <w:jc w:val="both"/>
        <w:rPr>
          <w:b/>
        </w:rPr>
      </w:pPr>
      <w:r w:rsidRPr="00BD3EB1">
        <w:rPr>
          <w:b/>
        </w:rPr>
        <w:t>2.</w:t>
      </w:r>
      <w:r w:rsidRPr="00BD3EB1">
        <w:rPr>
          <w:b/>
        </w:rPr>
        <w:tab/>
      </w:r>
      <w:r w:rsidRPr="00BD3EB1">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14:paraId="72DF78F1" w14:textId="77777777" w:rsidR="00E97314" w:rsidRDefault="00E97314" w:rsidP="00E97314">
      <w:pPr>
        <w:pStyle w:val="Default"/>
        <w:tabs>
          <w:tab w:val="left" w:pos="360"/>
        </w:tabs>
        <w:ind w:left="440" w:hanging="440"/>
        <w:jc w:val="both"/>
      </w:pPr>
    </w:p>
    <w:p w14:paraId="022FAABE" w14:textId="49B1B2FF" w:rsidR="00EF5B27" w:rsidRDefault="00EF5B27" w:rsidP="00EF5B27">
      <w:pPr>
        <w:widowControl/>
        <w:tabs>
          <w:tab w:val="left" w:pos="-1440"/>
        </w:tabs>
        <w:ind w:left="720"/>
        <w:jc w:val="both"/>
        <w:rPr>
          <w:sz w:val="22"/>
        </w:rPr>
      </w:pPr>
      <w:r>
        <w:rPr>
          <w:sz w:val="22"/>
        </w:rPr>
        <w:t xml:space="preserve">The data collected on </w:t>
      </w:r>
      <w:r w:rsidR="00446BC3">
        <w:rPr>
          <w:sz w:val="22"/>
        </w:rPr>
        <w:t>F</w:t>
      </w:r>
      <w:r>
        <w:rPr>
          <w:sz w:val="22"/>
        </w:rPr>
        <w:t xml:space="preserve">orm </w:t>
      </w:r>
      <w:r w:rsidR="00446BC3">
        <w:rPr>
          <w:sz w:val="22"/>
        </w:rPr>
        <w:t xml:space="preserve">I-312 </w:t>
      </w:r>
      <w:r>
        <w:rPr>
          <w:sz w:val="22"/>
        </w:rPr>
        <w:t xml:space="preserve">is used by ICE to ensure that </w:t>
      </w:r>
      <w:r w:rsidR="00446BC3">
        <w:rPr>
          <w:sz w:val="22"/>
        </w:rPr>
        <w:t>an</w:t>
      </w:r>
      <w:r w:rsidR="009A4371">
        <w:rPr>
          <w:sz w:val="22"/>
        </w:rPr>
        <w:t xml:space="preserve"> Obligor presents ICE Financial </w:t>
      </w:r>
      <w:r w:rsidR="00AF493B">
        <w:rPr>
          <w:sz w:val="22"/>
        </w:rPr>
        <w:t>Service Center - Burlington</w:t>
      </w:r>
      <w:r w:rsidR="009A4371">
        <w:rPr>
          <w:sz w:val="22"/>
        </w:rPr>
        <w:t xml:space="preserve"> </w:t>
      </w:r>
      <w:r w:rsidR="00692686">
        <w:rPr>
          <w:sz w:val="22"/>
        </w:rPr>
        <w:t xml:space="preserve">an official request </w:t>
      </w:r>
      <w:r>
        <w:rPr>
          <w:sz w:val="22"/>
        </w:rPr>
        <w:t xml:space="preserve">for </w:t>
      </w:r>
      <w:r w:rsidR="00446BC3">
        <w:rPr>
          <w:sz w:val="22"/>
        </w:rPr>
        <w:t xml:space="preserve">remittance </w:t>
      </w:r>
      <w:r>
        <w:rPr>
          <w:sz w:val="22"/>
        </w:rPr>
        <w:t xml:space="preserve">of collateral security </w:t>
      </w:r>
      <w:r w:rsidR="00446BC3">
        <w:rPr>
          <w:sz w:val="22"/>
        </w:rPr>
        <w:t xml:space="preserve">and/or accrued interest </w:t>
      </w:r>
      <w:r>
        <w:rPr>
          <w:sz w:val="22"/>
        </w:rPr>
        <w:t xml:space="preserve">to a duly appointed </w:t>
      </w:r>
      <w:r w:rsidR="00692686">
        <w:rPr>
          <w:sz w:val="22"/>
        </w:rPr>
        <w:t>Attorney In Fact for an Obligor when the Obligor chooses to invoke this option</w:t>
      </w:r>
      <w:r>
        <w:rPr>
          <w:sz w:val="22"/>
        </w:rPr>
        <w:t xml:space="preserve">. </w:t>
      </w:r>
      <w:r w:rsidR="00446BC3">
        <w:rPr>
          <w:sz w:val="22"/>
        </w:rPr>
        <w:t xml:space="preserve"> Similarly, the data collected on Form I-312A </w:t>
      </w:r>
      <w:r w:rsidR="00AF493B">
        <w:rPr>
          <w:sz w:val="22"/>
        </w:rPr>
        <w:t>is</w:t>
      </w:r>
      <w:r w:rsidR="00446BC3">
        <w:rPr>
          <w:sz w:val="22"/>
        </w:rPr>
        <w:t xml:space="preserve"> used by ICE to ensure that an Obligor’s intent to expressly revoke a previously valid Attorney In Fact designation</w:t>
      </w:r>
      <w:r w:rsidR="00541234">
        <w:rPr>
          <w:sz w:val="22"/>
        </w:rPr>
        <w:t xml:space="preserve"> is properly documented</w:t>
      </w:r>
      <w:r w:rsidR="00446BC3">
        <w:rPr>
          <w:sz w:val="22"/>
        </w:rPr>
        <w:t xml:space="preserve">.   </w:t>
      </w:r>
    </w:p>
    <w:p w14:paraId="79B5F1CB" w14:textId="77777777" w:rsidR="00E97314" w:rsidRPr="00A94975" w:rsidRDefault="00E97314" w:rsidP="00E97314">
      <w:pPr>
        <w:pStyle w:val="Default"/>
        <w:jc w:val="both"/>
      </w:pPr>
    </w:p>
    <w:p w14:paraId="5409F07C" w14:textId="77777777" w:rsidR="00E97314" w:rsidRDefault="00E97314" w:rsidP="00E97314">
      <w:pPr>
        <w:pStyle w:val="Default"/>
        <w:ind w:left="720" w:hanging="720"/>
        <w:jc w:val="both"/>
        <w:rPr>
          <w:b/>
          <w:sz w:val="19"/>
          <w:szCs w:val="19"/>
        </w:rPr>
      </w:pPr>
      <w:r w:rsidRPr="00BD3EB1">
        <w:rPr>
          <w:b/>
        </w:rPr>
        <w:t>3.</w:t>
      </w:r>
      <w:r>
        <w:tab/>
      </w:r>
      <w:r w:rsidRPr="00BD3EB1">
        <w:rPr>
          <w:b/>
          <w:sz w:val="19"/>
          <w:szCs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C5B99A5" w14:textId="77777777" w:rsidR="00E97314" w:rsidRDefault="00E97314" w:rsidP="00EF5B27">
      <w:pPr>
        <w:pStyle w:val="Default"/>
        <w:ind w:left="720"/>
        <w:jc w:val="both"/>
      </w:pPr>
      <w:r w:rsidRPr="00BD3EB1">
        <w:rPr>
          <w:b/>
        </w:rPr>
        <w:t xml:space="preserve"> </w:t>
      </w:r>
    </w:p>
    <w:p w14:paraId="01220532" w14:textId="77777777" w:rsidR="00EF5B27" w:rsidRDefault="00EF5B27" w:rsidP="00EF5B27">
      <w:pPr>
        <w:widowControl/>
        <w:tabs>
          <w:tab w:val="left" w:pos="-1440"/>
        </w:tabs>
        <w:ind w:left="720"/>
        <w:jc w:val="both"/>
        <w:rPr>
          <w:sz w:val="22"/>
        </w:rPr>
      </w:pPr>
      <w:r>
        <w:rPr>
          <w:sz w:val="22"/>
        </w:rPr>
        <w:t>The use of th</w:t>
      </w:r>
      <w:r w:rsidR="00446BC3">
        <w:rPr>
          <w:sz w:val="22"/>
        </w:rPr>
        <w:t>ese</w:t>
      </w:r>
      <w:r>
        <w:rPr>
          <w:sz w:val="22"/>
        </w:rPr>
        <w:t xml:space="preserve"> form</w:t>
      </w:r>
      <w:r w:rsidR="00446BC3">
        <w:rPr>
          <w:sz w:val="22"/>
        </w:rPr>
        <w:t>s</w:t>
      </w:r>
      <w:r>
        <w:rPr>
          <w:sz w:val="22"/>
        </w:rPr>
        <w:t xml:space="preserve"> provides the most efficient means for collecting and processing the required data.  In this case, ICE does not employ the use of information technology in collecting and processing </w:t>
      </w:r>
      <w:r w:rsidR="0050362D">
        <w:rPr>
          <w:sz w:val="22"/>
        </w:rPr>
        <w:t xml:space="preserve">this </w:t>
      </w:r>
      <w:r>
        <w:rPr>
          <w:sz w:val="22"/>
        </w:rPr>
        <w:t xml:space="preserve">information.  </w:t>
      </w:r>
    </w:p>
    <w:p w14:paraId="112DEFC3" w14:textId="77777777" w:rsidR="00E97314" w:rsidRPr="00A94975" w:rsidRDefault="00E97314" w:rsidP="00E97314">
      <w:pPr>
        <w:pStyle w:val="Default"/>
        <w:jc w:val="both"/>
      </w:pPr>
    </w:p>
    <w:p w14:paraId="2A53BFD8" w14:textId="77777777" w:rsidR="00E97314" w:rsidRDefault="00E97314" w:rsidP="00E97314">
      <w:pPr>
        <w:pStyle w:val="Default"/>
        <w:ind w:left="720" w:hanging="720"/>
        <w:jc w:val="both"/>
        <w:rPr>
          <w:color w:val="auto"/>
        </w:rPr>
      </w:pPr>
      <w:r w:rsidRPr="00A94975">
        <w:rPr>
          <w:color w:val="auto"/>
        </w:rPr>
        <w:lastRenderedPageBreak/>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14:paraId="69F382B1" w14:textId="77777777" w:rsidR="00E97314" w:rsidRDefault="00E97314" w:rsidP="00E97314">
      <w:pPr>
        <w:pStyle w:val="Default"/>
        <w:ind w:left="720" w:hanging="720"/>
        <w:jc w:val="both"/>
        <w:rPr>
          <w:color w:val="auto"/>
        </w:rPr>
      </w:pPr>
    </w:p>
    <w:p w14:paraId="3DE9B1DB" w14:textId="77777777" w:rsidR="00E97314" w:rsidRPr="007D1903" w:rsidRDefault="00E97314" w:rsidP="00EF5B27">
      <w:pPr>
        <w:pStyle w:val="Default"/>
        <w:ind w:left="720"/>
        <w:jc w:val="both"/>
        <w:rPr>
          <w:color w:val="auto"/>
          <w:sz w:val="22"/>
          <w:szCs w:val="22"/>
        </w:rPr>
      </w:pPr>
      <w:r w:rsidRPr="007D1903">
        <w:rPr>
          <w:color w:val="auto"/>
          <w:sz w:val="22"/>
          <w:szCs w:val="22"/>
        </w:rPr>
        <w:t xml:space="preserve">A review of the Forms Inventory Report revealed no duplication of effort, and there is no other similar information currently available which can be used for this purpose. </w:t>
      </w:r>
    </w:p>
    <w:p w14:paraId="4958EFC8" w14:textId="77777777" w:rsidR="00E97314" w:rsidRPr="00A94975" w:rsidRDefault="00E97314" w:rsidP="00E97314">
      <w:pPr>
        <w:pStyle w:val="Default"/>
        <w:ind w:left="720" w:hanging="720"/>
        <w:jc w:val="both"/>
        <w:rPr>
          <w:color w:val="auto"/>
        </w:rPr>
      </w:pPr>
    </w:p>
    <w:p w14:paraId="73F3A199" w14:textId="77777777" w:rsidR="00E97314" w:rsidRDefault="00E97314" w:rsidP="00E97314">
      <w:pPr>
        <w:pStyle w:val="Default"/>
        <w:ind w:left="360" w:hanging="360"/>
        <w:jc w:val="both"/>
        <w:rPr>
          <w:b/>
          <w:color w:val="auto"/>
        </w:rPr>
      </w:pPr>
      <w:r w:rsidRPr="00A94975">
        <w:rPr>
          <w:color w:val="auto"/>
        </w:rPr>
        <w:t>5.</w:t>
      </w:r>
      <w:r>
        <w:rPr>
          <w:color w:val="auto"/>
        </w:rPr>
        <w:tab/>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14:paraId="648B5188" w14:textId="77777777" w:rsidR="00E97314" w:rsidRDefault="00E97314" w:rsidP="00E97314">
      <w:pPr>
        <w:pStyle w:val="Default"/>
        <w:ind w:left="360" w:hanging="360"/>
        <w:jc w:val="both"/>
        <w:rPr>
          <w:color w:val="auto"/>
        </w:rPr>
      </w:pPr>
    </w:p>
    <w:p w14:paraId="4FC3BE6C" w14:textId="77777777" w:rsidR="00E97314" w:rsidRPr="007D1903" w:rsidRDefault="00E97314" w:rsidP="00EF5B27">
      <w:pPr>
        <w:pStyle w:val="Default"/>
        <w:ind w:left="720"/>
        <w:jc w:val="both"/>
        <w:rPr>
          <w:color w:val="auto"/>
          <w:sz w:val="22"/>
          <w:szCs w:val="22"/>
        </w:rPr>
      </w:pPr>
      <w:r w:rsidRPr="007D1903">
        <w:rPr>
          <w:color w:val="auto"/>
          <w:sz w:val="22"/>
          <w:szCs w:val="22"/>
        </w:rPr>
        <w:t xml:space="preserve">This collection of information does not have an impact on small businesses or other small entities. </w:t>
      </w:r>
    </w:p>
    <w:p w14:paraId="236D2448" w14:textId="77777777" w:rsidR="00E97314" w:rsidRPr="00A94975" w:rsidRDefault="00E97314" w:rsidP="00E97314">
      <w:pPr>
        <w:pStyle w:val="Default"/>
        <w:ind w:left="720" w:hanging="720"/>
        <w:jc w:val="both"/>
        <w:rPr>
          <w:color w:val="auto"/>
        </w:rPr>
      </w:pPr>
    </w:p>
    <w:p w14:paraId="2D1598FA" w14:textId="77777777" w:rsidR="00E97314" w:rsidRDefault="00E97314" w:rsidP="00E97314">
      <w:pPr>
        <w:pStyle w:val="Default"/>
        <w:ind w:left="360" w:hanging="360"/>
        <w:jc w:val="both"/>
        <w:rPr>
          <w:color w:val="auto"/>
        </w:rPr>
      </w:pPr>
      <w:r w:rsidRPr="00817103">
        <w:rPr>
          <w:b/>
          <w:color w:val="auto"/>
        </w:rPr>
        <w:t>6.</w:t>
      </w:r>
      <w:r>
        <w:rPr>
          <w:color w:val="auto"/>
        </w:rPr>
        <w:tab/>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14:paraId="309A78DA" w14:textId="77777777" w:rsidR="00E97314" w:rsidRDefault="00E97314" w:rsidP="00E97314">
      <w:pPr>
        <w:pStyle w:val="Default"/>
        <w:ind w:left="360" w:hanging="360"/>
        <w:jc w:val="both"/>
        <w:rPr>
          <w:color w:val="auto"/>
        </w:rPr>
      </w:pPr>
    </w:p>
    <w:p w14:paraId="311B085B" w14:textId="3869AC83" w:rsidR="00EF5B27" w:rsidRDefault="00EF5B27" w:rsidP="00EF5B27">
      <w:pPr>
        <w:widowControl/>
        <w:tabs>
          <w:tab w:val="left" w:pos="-1440"/>
        </w:tabs>
        <w:ind w:left="720"/>
        <w:jc w:val="both"/>
        <w:rPr>
          <w:sz w:val="22"/>
        </w:rPr>
      </w:pPr>
      <w:r>
        <w:rPr>
          <w:sz w:val="22"/>
        </w:rPr>
        <w:t>Sections 236 and 240B of the INA provide for the acceptance of bonds in certain cases</w:t>
      </w:r>
      <w:r w:rsidR="00446BC3">
        <w:rPr>
          <w:sz w:val="22"/>
        </w:rPr>
        <w:t xml:space="preserve"> to effect the release of aliens from ICE custody</w:t>
      </w:r>
      <w:r>
        <w:rPr>
          <w:sz w:val="22"/>
        </w:rPr>
        <w:t xml:space="preserve">.  </w:t>
      </w:r>
      <w:r w:rsidR="00AF493B">
        <w:rPr>
          <w:sz w:val="22"/>
        </w:rPr>
        <w:t xml:space="preserve">These statutory provisions are implemented by 8 C.F.R. § 103.6.  </w:t>
      </w:r>
      <w:r w:rsidR="00446BC3">
        <w:rPr>
          <w:sz w:val="22"/>
        </w:rPr>
        <w:t xml:space="preserve">In the case of a cash bond, </w:t>
      </w:r>
      <w:r w:rsidR="00AF493B">
        <w:rPr>
          <w:sz w:val="22"/>
        </w:rPr>
        <w:t xml:space="preserve">in which </w:t>
      </w:r>
      <w:r w:rsidR="00446BC3">
        <w:rPr>
          <w:sz w:val="22"/>
        </w:rPr>
        <w:t>the Obligor deposits the face value of the bond with ICE, a cash bond might be in place for many years until final action is taken in an alien’s immigration proceedings, and circumstances could change during these proceedings</w:t>
      </w:r>
      <w:r w:rsidR="00AF493B">
        <w:rPr>
          <w:sz w:val="22"/>
        </w:rPr>
        <w:t xml:space="preserve">.  </w:t>
      </w:r>
      <w:r w:rsidR="00446BC3">
        <w:rPr>
          <w:sz w:val="22"/>
        </w:rPr>
        <w:t xml:space="preserve">ICE Financial </w:t>
      </w:r>
      <w:r w:rsidR="00AF493B">
        <w:rPr>
          <w:sz w:val="22"/>
        </w:rPr>
        <w:t>Service Center -Burlington</w:t>
      </w:r>
      <w:r w:rsidR="00446BC3">
        <w:rPr>
          <w:sz w:val="22"/>
        </w:rPr>
        <w:t xml:space="preserve"> most effectively complies with its fiduciary duties to the Obligor by providing a mechanism for Obligors to efficiently and expressly indicate any appointment of an Attorney In Fact to receive any bond remittances, and to efficiently and effectively indicate any revocation of a previously valid Attorney In Fact appointment. Cash bonds are executed in approximately 90</w:t>
      </w:r>
      <w:r w:rsidR="0043364B">
        <w:rPr>
          <w:sz w:val="22"/>
        </w:rPr>
        <w:t xml:space="preserve"> percent</w:t>
      </w:r>
      <w:r w:rsidR="00446BC3">
        <w:rPr>
          <w:sz w:val="22"/>
        </w:rPr>
        <w:t xml:space="preserve"> of the cases in which aliens are released from ICE custody, and therefore the proper management of cash bond security deposits </w:t>
      </w:r>
      <w:r>
        <w:rPr>
          <w:sz w:val="22"/>
        </w:rPr>
        <w:t>is an integral part of the detention strategy.</w:t>
      </w:r>
    </w:p>
    <w:p w14:paraId="751C57A2" w14:textId="77777777" w:rsidR="00E97314" w:rsidRPr="00A94975" w:rsidRDefault="00E97314" w:rsidP="00E97314">
      <w:pPr>
        <w:pStyle w:val="Default"/>
        <w:ind w:left="360" w:hanging="360"/>
        <w:jc w:val="both"/>
        <w:rPr>
          <w:color w:val="auto"/>
        </w:rPr>
      </w:pPr>
    </w:p>
    <w:p w14:paraId="5B5AD41E" w14:textId="77777777" w:rsidR="00E97314" w:rsidRPr="00817103" w:rsidRDefault="00E97314" w:rsidP="00E97314">
      <w:pPr>
        <w:tabs>
          <w:tab w:val="left" w:pos="-1440"/>
        </w:tabs>
        <w:ind w:left="720" w:hanging="72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14:paraId="46885CE3" w14:textId="77777777" w:rsidR="00E97314" w:rsidRPr="00817103" w:rsidRDefault="00E97314" w:rsidP="00E97314">
      <w:pPr>
        <w:jc w:val="both"/>
        <w:rPr>
          <w:b/>
          <w:sz w:val="19"/>
          <w:szCs w:val="19"/>
        </w:rPr>
      </w:pPr>
    </w:p>
    <w:p w14:paraId="78605012"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14:paraId="21ECBA0D" w14:textId="77777777" w:rsidR="00E97314" w:rsidRPr="00817103" w:rsidRDefault="00E97314" w:rsidP="00E97314">
      <w:pPr>
        <w:jc w:val="both"/>
        <w:rPr>
          <w:b/>
          <w:sz w:val="19"/>
          <w:szCs w:val="19"/>
        </w:rPr>
      </w:pPr>
    </w:p>
    <w:p w14:paraId="11AA53C6"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14:paraId="4E5C9E9B"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14:paraId="523D8BAE" w14:textId="77777777" w:rsidR="00E97314" w:rsidRPr="00817103" w:rsidRDefault="00E97314" w:rsidP="00E97314">
      <w:pPr>
        <w:jc w:val="both"/>
        <w:rPr>
          <w:b/>
          <w:sz w:val="19"/>
          <w:szCs w:val="19"/>
        </w:rPr>
      </w:pPr>
    </w:p>
    <w:p w14:paraId="1E247737"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retain records, other than health, medical, government contract, grant-in-aid, or tax records for more than three years;</w:t>
      </w:r>
    </w:p>
    <w:p w14:paraId="77FE4D1F" w14:textId="77777777" w:rsidR="00E97314" w:rsidRPr="00817103" w:rsidRDefault="00E97314" w:rsidP="00E97314">
      <w:pPr>
        <w:jc w:val="both"/>
        <w:rPr>
          <w:b/>
          <w:sz w:val="19"/>
          <w:szCs w:val="19"/>
        </w:rPr>
      </w:pPr>
    </w:p>
    <w:p w14:paraId="71E19DC9"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14:paraId="776F2E37" w14:textId="77777777" w:rsidR="00E97314" w:rsidRPr="00817103" w:rsidRDefault="00E97314" w:rsidP="00E97314">
      <w:pPr>
        <w:jc w:val="both"/>
        <w:rPr>
          <w:b/>
          <w:sz w:val="19"/>
          <w:szCs w:val="19"/>
        </w:rPr>
      </w:pPr>
    </w:p>
    <w:p w14:paraId="7F4CDA1B"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14:paraId="42582DD4" w14:textId="77777777" w:rsidR="00E97314" w:rsidRPr="00817103" w:rsidRDefault="00E97314" w:rsidP="00E97314">
      <w:pPr>
        <w:jc w:val="both"/>
        <w:rPr>
          <w:b/>
          <w:sz w:val="19"/>
          <w:szCs w:val="19"/>
        </w:rPr>
      </w:pPr>
    </w:p>
    <w:p w14:paraId="4BE2E6C5" w14:textId="77777777"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ABBFBB7" w14:textId="77777777" w:rsidR="00E97314" w:rsidRPr="00817103" w:rsidRDefault="00E97314" w:rsidP="00E97314">
      <w:pPr>
        <w:jc w:val="both"/>
        <w:rPr>
          <w:b/>
          <w:sz w:val="19"/>
          <w:szCs w:val="19"/>
        </w:rPr>
      </w:pPr>
    </w:p>
    <w:p w14:paraId="78B487C0" w14:textId="77777777" w:rsidR="00E97314" w:rsidRPr="00817103" w:rsidRDefault="00E97314" w:rsidP="00E97314">
      <w:pPr>
        <w:tabs>
          <w:tab w:val="left" w:pos="-1440"/>
        </w:tabs>
        <w:ind w:left="1440" w:hanging="720"/>
        <w:jc w:val="both"/>
        <w:rPr>
          <w:b/>
        </w:rPr>
      </w:pPr>
      <w:r w:rsidRPr="00817103">
        <w:rPr>
          <w:b/>
          <w:sz w:val="19"/>
          <w:szCs w:val="19"/>
        </w:rPr>
        <w:t>•</w:t>
      </w:r>
      <w:r w:rsidRPr="00817103">
        <w:rPr>
          <w:b/>
          <w:sz w:val="19"/>
          <w:szCs w:val="19"/>
        </w:rPr>
        <w:tab/>
        <w:t xml:space="preserve">requiring respondents to submit proprietary trade secret, or other confidential information unless the agency can demonstrate that it has instituted procedures to </w:t>
      </w:r>
      <w:r w:rsidRPr="00817103">
        <w:rPr>
          <w:b/>
          <w:sz w:val="19"/>
          <w:szCs w:val="19"/>
        </w:rPr>
        <w:lastRenderedPageBreak/>
        <w:t>protect the information's confidentiality to the extent permitted by law.</w:t>
      </w:r>
    </w:p>
    <w:p w14:paraId="40C8BCA6" w14:textId="77777777" w:rsidR="00E97314" w:rsidRDefault="00E97314" w:rsidP="00E97314">
      <w:pPr>
        <w:pStyle w:val="Default"/>
        <w:ind w:left="360" w:hanging="360"/>
        <w:jc w:val="both"/>
        <w:rPr>
          <w:color w:val="auto"/>
        </w:rPr>
      </w:pPr>
      <w:r w:rsidRPr="00A94975">
        <w:rPr>
          <w:color w:val="auto"/>
        </w:rPr>
        <w:t xml:space="preserve"> </w:t>
      </w:r>
    </w:p>
    <w:p w14:paraId="6FF9F55B" w14:textId="77777777" w:rsidR="00E97314" w:rsidRPr="007D1903" w:rsidRDefault="00E97314" w:rsidP="006D716A">
      <w:pPr>
        <w:pStyle w:val="Default"/>
        <w:ind w:left="720"/>
        <w:jc w:val="both"/>
        <w:rPr>
          <w:color w:val="auto"/>
          <w:sz w:val="22"/>
          <w:szCs w:val="22"/>
        </w:rPr>
      </w:pPr>
      <w:r w:rsidRPr="007D1903">
        <w:rPr>
          <w:color w:val="auto"/>
          <w:sz w:val="22"/>
          <w:szCs w:val="22"/>
        </w:rPr>
        <w:t xml:space="preserve">The special circumstances </w:t>
      </w:r>
      <w:r w:rsidR="00DE4623" w:rsidRPr="007D1903">
        <w:rPr>
          <w:color w:val="auto"/>
          <w:sz w:val="22"/>
          <w:szCs w:val="22"/>
        </w:rPr>
        <w:t xml:space="preserve">contained in item 7 are not </w:t>
      </w:r>
      <w:r w:rsidRPr="007D1903">
        <w:rPr>
          <w:color w:val="auto"/>
          <w:sz w:val="22"/>
          <w:szCs w:val="22"/>
        </w:rPr>
        <w:t xml:space="preserve">applicable to this information collection. </w:t>
      </w:r>
    </w:p>
    <w:p w14:paraId="6346A815" w14:textId="77777777" w:rsidR="00E97314" w:rsidRPr="00A94975" w:rsidRDefault="00E97314" w:rsidP="00E97314">
      <w:pPr>
        <w:pStyle w:val="Default"/>
        <w:rPr>
          <w:color w:val="auto"/>
        </w:rPr>
      </w:pPr>
    </w:p>
    <w:p w14:paraId="28AB0991" w14:textId="77777777" w:rsidR="00E97314" w:rsidRPr="00817103" w:rsidRDefault="00E97314" w:rsidP="00E97314">
      <w:pPr>
        <w:tabs>
          <w:tab w:val="left" w:pos="-1440"/>
        </w:tabs>
        <w:ind w:left="720" w:hanging="72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49AD4A5" w14:textId="77777777" w:rsidR="00E97314" w:rsidRPr="00817103" w:rsidRDefault="00E97314" w:rsidP="00E97314">
      <w:pPr>
        <w:jc w:val="both"/>
        <w:rPr>
          <w:b/>
        </w:rPr>
      </w:pPr>
    </w:p>
    <w:p w14:paraId="02DC9709" w14:textId="77777777" w:rsidR="00E97314" w:rsidRPr="00817103" w:rsidRDefault="00E97314" w:rsidP="00E97314">
      <w:pPr>
        <w:ind w:left="72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39AE69F" w14:textId="77777777" w:rsidR="00E97314" w:rsidRPr="00817103" w:rsidRDefault="00E97314" w:rsidP="00E97314">
      <w:pPr>
        <w:jc w:val="both"/>
        <w:rPr>
          <w:b/>
        </w:rPr>
      </w:pPr>
    </w:p>
    <w:p w14:paraId="488E3E00" w14:textId="77777777" w:rsidR="00E97314" w:rsidRPr="00817103" w:rsidRDefault="00E97314" w:rsidP="00E97314">
      <w:pPr>
        <w:ind w:left="72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3ED677C" w14:textId="77777777" w:rsidR="00E97314" w:rsidRDefault="00E97314" w:rsidP="00E97314">
      <w:pPr>
        <w:pStyle w:val="Default"/>
        <w:ind w:left="720" w:hanging="720"/>
        <w:jc w:val="both"/>
        <w:rPr>
          <w:color w:val="auto"/>
        </w:rPr>
      </w:pPr>
      <w:r w:rsidRPr="00A94975">
        <w:rPr>
          <w:color w:val="auto"/>
        </w:rPr>
        <w:t xml:space="preserve"> </w:t>
      </w:r>
    </w:p>
    <w:p w14:paraId="5F6DB887" w14:textId="77777777" w:rsidR="00E97314" w:rsidRPr="00A94975" w:rsidRDefault="00E97314" w:rsidP="00E97314">
      <w:pPr>
        <w:pStyle w:val="Default"/>
        <w:ind w:left="720" w:hanging="720"/>
        <w:jc w:val="both"/>
        <w:rPr>
          <w:color w:val="auto"/>
        </w:rPr>
      </w:pPr>
    </w:p>
    <w:p w14:paraId="0F4D077C" w14:textId="77777777" w:rsidR="00E97314" w:rsidRPr="00817103" w:rsidRDefault="00E97314" w:rsidP="00E97314">
      <w:pPr>
        <w:tabs>
          <w:tab w:val="left" w:pos="-1440"/>
        </w:tabs>
        <w:ind w:left="720" w:hanging="72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14:paraId="1924DDDE" w14:textId="77777777" w:rsidR="00E97314" w:rsidRDefault="00E97314" w:rsidP="00E97314">
      <w:pPr>
        <w:pStyle w:val="Default"/>
        <w:ind w:left="720" w:hanging="720"/>
        <w:jc w:val="both"/>
        <w:rPr>
          <w:color w:val="auto"/>
        </w:rPr>
      </w:pPr>
      <w:r w:rsidRPr="00A94975">
        <w:rPr>
          <w:color w:val="auto"/>
        </w:rPr>
        <w:t xml:space="preserve"> </w:t>
      </w:r>
    </w:p>
    <w:p w14:paraId="36603B81" w14:textId="77777777" w:rsidR="00E97314" w:rsidRPr="007D1903" w:rsidRDefault="00E97314" w:rsidP="006D716A">
      <w:pPr>
        <w:pStyle w:val="Default"/>
        <w:ind w:left="720"/>
        <w:jc w:val="both"/>
        <w:rPr>
          <w:color w:val="auto"/>
          <w:sz w:val="22"/>
          <w:szCs w:val="22"/>
        </w:rPr>
      </w:pPr>
      <w:r w:rsidRPr="007D1903">
        <w:rPr>
          <w:color w:val="auto"/>
          <w:sz w:val="22"/>
          <w:szCs w:val="22"/>
        </w:rPr>
        <w:t xml:space="preserve">ICE does not provide payments or gifts to respondents in exchange for a benefit sought. </w:t>
      </w:r>
    </w:p>
    <w:p w14:paraId="24D7A400" w14:textId="77777777" w:rsidR="00E97314" w:rsidRPr="00A94975" w:rsidRDefault="00E97314" w:rsidP="00E97314">
      <w:pPr>
        <w:pStyle w:val="Default"/>
        <w:rPr>
          <w:color w:val="auto"/>
        </w:rPr>
      </w:pPr>
    </w:p>
    <w:p w14:paraId="7FBB4932" w14:textId="77777777" w:rsidR="00E97314" w:rsidRDefault="00E97314" w:rsidP="00E97314">
      <w:pPr>
        <w:pStyle w:val="Default"/>
        <w:ind w:left="720" w:hanging="72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14:paraId="4EF40204" w14:textId="77777777" w:rsidR="00E97314" w:rsidRPr="00817103" w:rsidRDefault="00E97314" w:rsidP="00E97314">
      <w:pPr>
        <w:pStyle w:val="Default"/>
        <w:rPr>
          <w:b/>
          <w:color w:val="auto"/>
        </w:rPr>
      </w:pPr>
    </w:p>
    <w:p w14:paraId="01FE413A" w14:textId="77777777" w:rsidR="00E97314" w:rsidRPr="007D1903" w:rsidRDefault="00AF2F8B" w:rsidP="006D716A">
      <w:pPr>
        <w:pStyle w:val="Default"/>
        <w:ind w:firstLine="720"/>
        <w:rPr>
          <w:color w:val="auto"/>
          <w:sz w:val="22"/>
          <w:szCs w:val="22"/>
        </w:rPr>
      </w:pPr>
      <w:r>
        <w:rPr>
          <w:color w:val="auto"/>
          <w:sz w:val="22"/>
          <w:szCs w:val="22"/>
        </w:rPr>
        <w:t>There are no assurances of confidentiality provided to the respondents of the information.</w:t>
      </w:r>
    </w:p>
    <w:p w14:paraId="12190585" w14:textId="77777777" w:rsidR="00E97314" w:rsidRDefault="00E97314" w:rsidP="00E97314">
      <w:pPr>
        <w:pStyle w:val="Default"/>
        <w:rPr>
          <w:color w:val="auto"/>
        </w:rPr>
      </w:pPr>
    </w:p>
    <w:p w14:paraId="64F582AD" w14:textId="77777777" w:rsidR="00E97314" w:rsidRPr="00817103" w:rsidRDefault="00E97314" w:rsidP="00E97314">
      <w:pPr>
        <w:pStyle w:val="Default"/>
        <w:ind w:left="360" w:hanging="360"/>
        <w:rPr>
          <w:b/>
          <w:color w:val="auto"/>
        </w:rPr>
      </w:pPr>
      <w:r w:rsidRPr="00817103">
        <w:rPr>
          <w:b/>
          <w:color w:val="auto"/>
        </w:rPr>
        <w:t>11.</w:t>
      </w:r>
      <w:r w:rsidRPr="00817103">
        <w:rPr>
          <w:b/>
          <w:color w:val="auto"/>
        </w:rPr>
        <w:tab/>
      </w:r>
      <w:r w:rsidRPr="00817103">
        <w:rPr>
          <w:b/>
          <w:color w:val="auto"/>
        </w:rPr>
        <w:tab/>
      </w:r>
      <w:r w:rsidRPr="00817103">
        <w:rPr>
          <w:b/>
          <w:sz w:val="19"/>
          <w:szCs w:val="19"/>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r w:rsidRPr="00817103">
        <w:rPr>
          <w:b/>
          <w:color w:val="auto"/>
        </w:rPr>
        <w:t xml:space="preserve"> </w:t>
      </w:r>
    </w:p>
    <w:p w14:paraId="39A32301" w14:textId="77777777" w:rsidR="00E97314" w:rsidRDefault="00E97314" w:rsidP="00E97314">
      <w:pPr>
        <w:pStyle w:val="Default"/>
        <w:ind w:left="360" w:hanging="360"/>
        <w:rPr>
          <w:color w:val="auto"/>
        </w:rPr>
      </w:pPr>
    </w:p>
    <w:p w14:paraId="4282B661" w14:textId="68B104BF" w:rsidR="00E97314" w:rsidRPr="007D1903" w:rsidRDefault="00E97314" w:rsidP="006D716A">
      <w:pPr>
        <w:pStyle w:val="Default"/>
        <w:ind w:left="720"/>
        <w:rPr>
          <w:color w:val="auto"/>
          <w:sz w:val="22"/>
          <w:szCs w:val="22"/>
        </w:rPr>
      </w:pPr>
      <w:r w:rsidRPr="007D1903">
        <w:rPr>
          <w:color w:val="auto"/>
          <w:sz w:val="22"/>
          <w:szCs w:val="22"/>
        </w:rPr>
        <w:t xml:space="preserve">There are no </w:t>
      </w:r>
      <w:r w:rsidRPr="007D1903">
        <w:rPr>
          <w:sz w:val="22"/>
          <w:szCs w:val="22"/>
        </w:rPr>
        <w:t xml:space="preserve">questions of a sensitive nature, such as sexual behavior and attitudes, religious beliefs, </w:t>
      </w:r>
      <w:r w:rsidR="0087177C">
        <w:rPr>
          <w:sz w:val="22"/>
          <w:szCs w:val="22"/>
        </w:rPr>
        <w:t>or</w:t>
      </w:r>
      <w:r w:rsidRPr="007D1903">
        <w:rPr>
          <w:sz w:val="22"/>
          <w:szCs w:val="22"/>
        </w:rPr>
        <w:t xml:space="preserve"> other matters that are commonly considered private included in this collection. </w:t>
      </w:r>
      <w:r w:rsidRPr="007D1903">
        <w:rPr>
          <w:color w:val="auto"/>
          <w:sz w:val="22"/>
          <w:szCs w:val="22"/>
        </w:rPr>
        <w:t xml:space="preserve"> </w:t>
      </w:r>
    </w:p>
    <w:p w14:paraId="2B9B78FD" w14:textId="77777777" w:rsidR="00E97314" w:rsidRPr="00A94975" w:rsidRDefault="00E97314" w:rsidP="00E97314">
      <w:pPr>
        <w:pStyle w:val="Default"/>
        <w:rPr>
          <w:color w:val="auto"/>
        </w:rPr>
      </w:pPr>
    </w:p>
    <w:p w14:paraId="067D3BE9" w14:textId="77777777" w:rsidR="00E97314" w:rsidRPr="00817103" w:rsidRDefault="00E97314" w:rsidP="00E97314">
      <w:pPr>
        <w:tabs>
          <w:tab w:val="left" w:pos="-1440"/>
        </w:tabs>
        <w:ind w:left="720" w:hanging="720"/>
        <w:jc w:val="both"/>
        <w:rPr>
          <w:b/>
        </w:rPr>
      </w:pPr>
      <w:r w:rsidRPr="00817103">
        <w:rPr>
          <w:b/>
        </w:rPr>
        <w:t>12.</w:t>
      </w:r>
      <w:r w:rsidRPr="00817103">
        <w:rPr>
          <w:b/>
        </w:rPr>
        <w:tab/>
      </w:r>
      <w:r w:rsidRPr="00817103">
        <w:rPr>
          <w:b/>
          <w:sz w:val="19"/>
          <w:szCs w:val="19"/>
        </w:rPr>
        <w:t>Provide estimates of the hour burden of the collection of information.  The statement should:</w:t>
      </w:r>
    </w:p>
    <w:p w14:paraId="0D6FFD64" w14:textId="77777777" w:rsidR="00E97314" w:rsidRPr="00817103" w:rsidRDefault="00E97314" w:rsidP="00E97314">
      <w:pPr>
        <w:tabs>
          <w:tab w:val="left" w:pos="-1440"/>
        </w:tabs>
        <w:ind w:left="1440" w:hanging="72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C588B18" w14:textId="77777777" w:rsidR="00E97314" w:rsidRPr="00817103" w:rsidRDefault="00E97314" w:rsidP="00E97314">
      <w:pPr>
        <w:jc w:val="both"/>
        <w:rPr>
          <w:b/>
        </w:rPr>
      </w:pPr>
    </w:p>
    <w:p w14:paraId="0BDCE02E" w14:textId="77777777" w:rsidR="00E97314" w:rsidRPr="00817103" w:rsidRDefault="00E97314" w:rsidP="00E97314">
      <w:pPr>
        <w:tabs>
          <w:tab w:val="left" w:pos="-1440"/>
        </w:tabs>
        <w:ind w:left="1440" w:hanging="72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14:paraId="3390EAA0" w14:textId="77777777" w:rsidR="00E97314" w:rsidRPr="00817103" w:rsidRDefault="00E97314" w:rsidP="00E97314">
      <w:pPr>
        <w:jc w:val="both"/>
        <w:rPr>
          <w:b/>
        </w:rPr>
      </w:pPr>
    </w:p>
    <w:p w14:paraId="5985D284" w14:textId="77777777" w:rsidR="00E97314" w:rsidRDefault="00E97314" w:rsidP="00E97314">
      <w:pPr>
        <w:tabs>
          <w:tab w:val="left" w:pos="-1440"/>
        </w:tabs>
        <w:ind w:left="1440" w:hanging="720"/>
        <w:jc w:val="both"/>
      </w:pPr>
      <w:r w:rsidRPr="00817103">
        <w:rPr>
          <w:b/>
        </w:rPr>
        <w:t>•</w:t>
      </w:r>
      <w:r w:rsidRPr="00817103">
        <w:rPr>
          <w:b/>
        </w:rPr>
        <w:tab/>
      </w:r>
      <w:bookmarkStart w:id="1" w:name="_Hlk524367608"/>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DE9FC59" w14:textId="77777777" w:rsidR="00E97314" w:rsidRDefault="00E97314" w:rsidP="00E97314">
      <w:pPr>
        <w:pStyle w:val="Default"/>
        <w:rPr>
          <w:color w:val="auto"/>
        </w:rPr>
      </w:pPr>
      <w:r w:rsidRPr="00A94975">
        <w:rPr>
          <w:color w:val="auto"/>
        </w:rPr>
        <w:t xml:space="preserve"> </w:t>
      </w:r>
    </w:p>
    <w:p w14:paraId="1482DFD7" w14:textId="77777777" w:rsidR="00E97314" w:rsidRPr="007D1903" w:rsidRDefault="00E97314" w:rsidP="00E97314">
      <w:pPr>
        <w:pStyle w:val="Default"/>
        <w:rPr>
          <w:color w:val="auto"/>
          <w:sz w:val="22"/>
          <w:szCs w:val="22"/>
        </w:rPr>
      </w:pPr>
      <w:r w:rsidRPr="007D1903">
        <w:rPr>
          <w:color w:val="auto"/>
          <w:sz w:val="22"/>
          <w:szCs w:val="22"/>
        </w:rPr>
        <w:t>Annual Reporting Burden</w:t>
      </w:r>
      <w:r w:rsidR="00541234">
        <w:rPr>
          <w:color w:val="auto"/>
          <w:sz w:val="22"/>
          <w:szCs w:val="22"/>
        </w:rPr>
        <w:t>, Form I-312</w:t>
      </w:r>
      <w:r w:rsidRPr="007D1903">
        <w:rPr>
          <w:color w:val="auto"/>
          <w:sz w:val="22"/>
          <w:szCs w:val="22"/>
        </w:rPr>
        <w:t xml:space="preserve">: </w:t>
      </w:r>
    </w:p>
    <w:p w14:paraId="7BD1F82B" w14:textId="27D57D7B" w:rsidR="00E97314" w:rsidRPr="007D1903" w:rsidRDefault="00E97314" w:rsidP="00E97314">
      <w:pPr>
        <w:pStyle w:val="Default"/>
        <w:ind w:firstLine="720"/>
        <w:rPr>
          <w:color w:val="auto"/>
          <w:sz w:val="22"/>
          <w:szCs w:val="22"/>
        </w:rPr>
      </w:pPr>
      <w:r w:rsidRPr="007D1903">
        <w:rPr>
          <w:color w:val="auto"/>
          <w:sz w:val="22"/>
          <w:szCs w:val="22"/>
        </w:rPr>
        <w:t>a. Number of Respondents:</w:t>
      </w:r>
      <w:r w:rsidR="00263833" w:rsidRPr="007D1903">
        <w:rPr>
          <w:color w:val="auto"/>
          <w:sz w:val="22"/>
          <w:szCs w:val="22"/>
        </w:rPr>
        <w:tab/>
      </w:r>
      <w:r w:rsidR="00263833" w:rsidRPr="007D1903">
        <w:rPr>
          <w:color w:val="auto"/>
          <w:sz w:val="22"/>
          <w:szCs w:val="22"/>
        </w:rPr>
        <w:tab/>
      </w:r>
      <w:r w:rsidR="00DE4623" w:rsidRPr="007D1903">
        <w:rPr>
          <w:color w:val="auto"/>
          <w:sz w:val="22"/>
          <w:szCs w:val="22"/>
        </w:rPr>
        <w:tab/>
      </w:r>
      <w:r w:rsidR="00DE4623" w:rsidRPr="007D1903">
        <w:rPr>
          <w:color w:val="auto"/>
          <w:sz w:val="22"/>
          <w:szCs w:val="22"/>
        </w:rPr>
        <w:tab/>
      </w:r>
      <w:r w:rsidR="00F25821">
        <w:rPr>
          <w:color w:val="auto"/>
          <w:sz w:val="22"/>
          <w:szCs w:val="22"/>
        </w:rPr>
        <w:t>650</w:t>
      </w:r>
      <w:r w:rsidRPr="007D1903">
        <w:rPr>
          <w:color w:val="auto"/>
          <w:sz w:val="22"/>
          <w:szCs w:val="22"/>
        </w:rPr>
        <w:t xml:space="preserve"> </w:t>
      </w:r>
    </w:p>
    <w:p w14:paraId="412A8B3F" w14:textId="77777777" w:rsidR="00E97314" w:rsidRPr="007D1903" w:rsidRDefault="00DE4623" w:rsidP="00E97314">
      <w:pPr>
        <w:pStyle w:val="Default"/>
        <w:ind w:firstLine="720"/>
        <w:rPr>
          <w:color w:val="auto"/>
          <w:sz w:val="22"/>
          <w:szCs w:val="22"/>
        </w:rPr>
      </w:pPr>
      <w:r w:rsidRPr="007D1903">
        <w:rPr>
          <w:color w:val="auto"/>
          <w:sz w:val="22"/>
          <w:szCs w:val="22"/>
        </w:rPr>
        <w:t>b</w:t>
      </w:r>
      <w:r w:rsidR="00E97314" w:rsidRPr="007D1903">
        <w:rPr>
          <w:color w:val="auto"/>
          <w:sz w:val="22"/>
          <w:szCs w:val="22"/>
        </w:rPr>
        <w:t>. Number of Responses per each Respondent:</w:t>
      </w:r>
      <w:r w:rsidR="00E97314" w:rsidRPr="007D1903">
        <w:rPr>
          <w:color w:val="auto"/>
          <w:sz w:val="22"/>
          <w:szCs w:val="22"/>
        </w:rPr>
        <w:tab/>
      </w:r>
      <w:r w:rsidR="007D1903">
        <w:rPr>
          <w:color w:val="auto"/>
          <w:sz w:val="22"/>
          <w:szCs w:val="22"/>
        </w:rPr>
        <w:tab/>
      </w:r>
      <w:r w:rsidR="00E97314" w:rsidRPr="007D1903">
        <w:rPr>
          <w:color w:val="auto"/>
          <w:sz w:val="22"/>
          <w:szCs w:val="22"/>
        </w:rPr>
        <w:t xml:space="preserve">1 </w:t>
      </w:r>
    </w:p>
    <w:p w14:paraId="182CD305" w14:textId="72F634F7" w:rsidR="00E97314" w:rsidRPr="00A94975" w:rsidRDefault="00DE4623" w:rsidP="00E97314">
      <w:pPr>
        <w:pStyle w:val="Default"/>
        <w:ind w:firstLine="720"/>
        <w:rPr>
          <w:color w:val="auto"/>
        </w:rPr>
      </w:pPr>
      <w:r w:rsidRPr="007D1903">
        <w:rPr>
          <w:color w:val="auto"/>
          <w:sz w:val="22"/>
          <w:szCs w:val="22"/>
        </w:rPr>
        <w:t>c</w:t>
      </w:r>
      <w:r w:rsidR="00E97314" w:rsidRPr="007D1903">
        <w:rPr>
          <w:color w:val="auto"/>
          <w:sz w:val="22"/>
          <w:szCs w:val="22"/>
        </w:rPr>
        <w:t>. Total Annual Responses:</w:t>
      </w:r>
      <w:r w:rsidR="00E97314" w:rsidRPr="007D1903">
        <w:rPr>
          <w:color w:val="auto"/>
          <w:sz w:val="22"/>
          <w:szCs w:val="22"/>
        </w:rPr>
        <w:tab/>
      </w:r>
      <w:r w:rsidR="00E97314" w:rsidRPr="007D1903">
        <w:rPr>
          <w:color w:val="auto"/>
          <w:sz w:val="22"/>
          <w:szCs w:val="22"/>
        </w:rPr>
        <w:tab/>
      </w:r>
      <w:r w:rsidR="00E97314" w:rsidRPr="007D1903">
        <w:rPr>
          <w:color w:val="auto"/>
          <w:sz w:val="22"/>
          <w:szCs w:val="22"/>
        </w:rPr>
        <w:tab/>
      </w:r>
      <w:r w:rsidR="00E97314" w:rsidRPr="007D1903">
        <w:rPr>
          <w:color w:val="auto"/>
          <w:sz w:val="22"/>
          <w:szCs w:val="22"/>
        </w:rPr>
        <w:tab/>
      </w:r>
      <w:r w:rsidR="00F25821">
        <w:rPr>
          <w:color w:val="auto"/>
          <w:sz w:val="22"/>
          <w:szCs w:val="22"/>
        </w:rPr>
        <w:t>650</w:t>
      </w:r>
    </w:p>
    <w:p w14:paraId="0AA82636" w14:textId="77777777" w:rsidR="00E97314" w:rsidRPr="007D1903" w:rsidRDefault="00DE4623" w:rsidP="00E97314">
      <w:pPr>
        <w:pStyle w:val="Default"/>
        <w:ind w:firstLine="720"/>
        <w:rPr>
          <w:color w:val="auto"/>
          <w:sz w:val="22"/>
          <w:szCs w:val="22"/>
        </w:rPr>
      </w:pPr>
      <w:r w:rsidRPr="007D1903">
        <w:rPr>
          <w:color w:val="auto"/>
          <w:sz w:val="22"/>
          <w:szCs w:val="22"/>
        </w:rPr>
        <w:t>d</w:t>
      </w:r>
      <w:r w:rsidR="00E97314" w:rsidRPr="007D1903">
        <w:rPr>
          <w:color w:val="auto"/>
          <w:sz w:val="22"/>
          <w:szCs w:val="22"/>
        </w:rPr>
        <w:t>. Hours per Response:</w:t>
      </w:r>
      <w:r w:rsidR="00E97314" w:rsidRPr="007D1903">
        <w:rPr>
          <w:color w:val="auto"/>
          <w:sz w:val="22"/>
          <w:szCs w:val="22"/>
        </w:rPr>
        <w:tab/>
      </w:r>
      <w:r w:rsidR="00E97314" w:rsidRPr="007D1903">
        <w:rPr>
          <w:color w:val="auto"/>
          <w:sz w:val="22"/>
          <w:szCs w:val="22"/>
        </w:rPr>
        <w:tab/>
      </w:r>
      <w:r w:rsidR="00E97314" w:rsidRPr="007D1903">
        <w:rPr>
          <w:color w:val="auto"/>
          <w:sz w:val="22"/>
          <w:szCs w:val="22"/>
        </w:rPr>
        <w:tab/>
      </w:r>
      <w:r w:rsidR="00E97314" w:rsidRPr="007D1903">
        <w:rPr>
          <w:color w:val="auto"/>
          <w:sz w:val="22"/>
          <w:szCs w:val="22"/>
        </w:rPr>
        <w:tab/>
      </w:r>
      <w:r w:rsidR="007D1903">
        <w:rPr>
          <w:color w:val="auto"/>
          <w:sz w:val="22"/>
          <w:szCs w:val="22"/>
        </w:rPr>
        <w:tab/>
      </w:r>
      <w:r w:rsidR="00541234">
        <w:rPr>
          <w:color w:val="auto"/>
          <w:sz w:val="22"/>
          <w:szCs w:val="22"/>
        </w:rPr>
        <w:t>1</w:t>
      </w:r>
    </w:p>
    <w:p w14:paraId="6FCE8C5A" w14:textId="0B575D28" w:rsidR="00541234" w:rsidRDefault="00DE4623" w:rsidP="00E97314">
      <w:pPr>
        <w:pStyle w:val="Default"/>
        <w:ind w:firstLine="720"/>
        <w:rPr>
          <w:color w:val="auto"/>
          <w:sz w:val="22"/>
          <w:szCs w:val="22"/>
        </w:rPr>
      </w:pPr>
      <w:r w:rsidRPr="007D1903">
        <w:rPr>
          <w:color w:val="auto"/>
          <w:sz w:val="22"/>
          <w:szCs w:val="22"/>
        </w:rPr>
        <w:t>e</w:t>
      </w:r>
      <w:r w:rsidR="00E97314" w:rsidRPr="007D1903">
        <w:rPr>
          <w:color w:val="auto"/>
          <w:sz w:val="22"/>
          <w:szCs w:val="22"/>
        </w:rPr>
        <w:t>. Total</w:t>
      </w:r>
      <w:r w:rsidR="007B18C1" w:rsidRPr="007D1903">
        <w:rPr>
          <w:color w:val="auto"/>
          <w:sz w:val="22"/>
          <w:szCs w:val="22"/>
        </w:rPr>
        <w:t xml:space="preserve"> Annual Reporting Burden</w:t>
      </w:r>
      <w:r w:rsidR="00510B01">
        <w:rPr>
          <w:color w:val="auto"/>
          <w:sz w:val="22"/>
          <w:szCs w:val="22"/>
        </w:rPr>
        <w:t xml:space="preserve"> Hours</w:t>
      </w:r>
      <w:r w:rsidR="007B18C1" w:rsidRPr="007D1903">
        <w:rPr>
          <w:color w:val="auto"/>
          <w:sz w:val="22"/>
          <w:szCs w:val="22"/>
        </w:rPr>
        <w:t>:</w:t>
      </w:r>
      <w:r w:rsidR="007B18C1" w:rsidRPr="007D1903">
        <w:rPr>
          <w:color w:val="auto"/>
          <w:sz w:val="22"/>
          <w:szCs w:val="22"/>
        </w:rPr>
        <w:tab/>
      </w:r>
      <w:r w:rsidR="007B18C1" w:rsidRPr="007D1903">
        <w:rPr>
          <w:color w:val="auto"/>
          <w:sz w:val="22"/>
          <w:szCs w:val="22"/>
        </w:rPr>
        <w:tab/>
      </w:r>
      <w:r w:rsidR="00F25821">
        <w:rPr>
          <w:color w:val="auto"/>
          <w:sz w:val="22"/>
          <w:szCs w:val="22"/>
        </w:rPr>
        <w:t>650</w:t>
      </w:r>
    </w:p>
    <w:p w14:paraId="61EB5560" w14:textId="77777777" w:rsidR="00541234" w:rsidRDefault="00541234" w:rsidP="009F33E4">
      <w:pPr>
        <w:pStyle w:val="Default"/>
        <w:rPr>
          <w:color w:val="auto"/>
          <w:sz w:val="22"/>
          <w:szCs w:val="22"/>
        </w:rPr>
      </w:pPr>
    </w:p>
    <w:p w14:paraId="1C37274F" w14:textId="77777777" w:rsidR="00541234" w:rsidRPr="007D1903" w:rsidRDefault="00541234" w:rsidP="00541234">
      <w:pPr>
        <w:pStyle w:val="Default"/>
        <w:rPr>
          <w:color w:val="auto"/>
          <w:sz w:val="22"/>
          <w:szCs w:val="22"/>
        </w:rPr>
      </w:pPr>
      <w:r w:rsidRPr="00541234">
        <w:rPr>
          <w:color w:val="auto"/>
          <w:sz w:val="22"/>
          <w:szCs w:val="22"/>
        </w:rPr>
        <w:t xml:space="preserve"> </w:t>
      </w:r>
      <w:r w:rsidRPr="007D1903">
        <w:rPr>
          <w:color w:val="auto"/>
          <w:sz w:val="22"/>
          <w:szCs w:val="22"/>
        </w:rPr>
        <w:t>Annual Reporting Burden</w:t>
      </w:r>
      <w:r>
        <w:rPr>
          <w:color w:val="auto"/>
          <w:sz w:val="22"/>
          <w:szCs w:val="22"/>
        </w:rPr>
        <w:t>, Form I-312A</w:t>
      </w:r>
      <w:r w:rsidRPr="007D1903">
        <w:rPr>
          <w:color w:val="auto"/>
          <w:sz w:val="22"/>
          <w:szCs w:val="22"/>
        </w:rPr>
        <w:t xml:space="preserve">: </w:t>
      </w:r>
    </w:p>
    <w:p w14:paraId="0AEBB69A" w14:textId="77777777" w:rsidR="00541234" w:rsidRPr="007D1903" w:rsidRDefault="00541234" w:rsidP="00541234">
      <w:pPr>
        <w:pStyle w:val="Default"/>
        <w:ind w:firstLine="720"/>
        <w:rPr>
          <w:color w:val="auto"/>
          <w:sz w:val="22"/>
          <w:szCs w:val="22"/>
        </w:rPr>
      </w:pPr>
      <w:r w:rsidRPr="007D1903">
        <w:rPr>
          <w:color w:val="auto"/>
          <w:sz w:val="22"/>
          <w:szCs w:val="22"/>
        </w:rPr>
        <w:t>a. Number of Respondents:</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t xml:space="preserve">50 </w:t>
      </w:r>
    </w:p>
    <w:p w14:paraId="0FC8EE91" w14:textId="77777777" w:rsidR="00541234" w:rsidRPr="007D1903" w:rsidRDefault="00541234" w:rsidP="00541234">
      <w:pPr>
        <w:pStyle w:val="Default"/>
        <w:ind w:firstLine="720"/>
        <w:rPr>
          <w:color w:val="auto"/>
          <w:sz w:val="22"/>
          <w:szCs w:val="22"/>
        </w:rPr>
      </w:pPr>
      <w:r w:rsidRPr="007D1903">
        <w:rPr>
          <w:color w:val="auto"/>
          <w:sz w:val="22"/>
          <w:szCs w:val="22"/>
        </w:rPr>
        <w:t>b. Number of Responses per each Respondent:</w:t>
      </w:r>
      <w:r w:rsidRPr="007D1903">
        <w:rPr>
          <w:color w:val="auto"/>
          <w:sz w:val="22"/>
          <w:szCs w:val="22"/>
        </w:rPr>
        <w:tab/>
      </w:r>
      <w:r>
        <w:rPr>
          <w:color w:val="auto"/>
          <w:sz w:val="22"/>
          <w:szCs w:val="22"/>
        </w:rPr>
        <w:tab/>
      </w:r>
      <w:r w:rsidRPr="007D1903">
        <w:rPr>
          <w:color w:val="auto"/>
          <w:sz w:val="22"/>
          <w:szCs w:val="22"/>
        </w:rPr>
        <w:t xml:space="preserve">1 </w:t>
      </w:r>
    </w:p>
    <w:p w14:paraId="2A74E221" w14:textId="77777777" w:rsidR="00541234" w:rsidRPr="00A94975" w:rsidRDefault="00541234" w:rsidP="00541234">
      <w:pPr>
        <w:pStyle w:val="Default"/>
        <w:ind w:firstLine="720"/>
        <w:rPr>
          <w:color w:val="auto"/>
        </w:rPr>
      </w:pPr>
      <w:r w:rsidRPr="007D1903">
        <w:rPr>
          <w:color w:val="auto"/>
          <w:sz w:val="22"/>
          <w:szCs w:val="22"/>
        </w:rPr>
        <w:t>c. Total Annual Responses:</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t>50</w:t>
      </w:r>
    </w:p>
    <w:p w14:paraId="6113E154" w14:textId="77777777" w:rsidR="00541234" w:rsidRPr="007D1903" w:rsidRDefault="00541234" w:rsidP="00541234">
      <w:pPr>
        <w:pStyle w:val="Default"/>
        <w:ind w:firstLine="720"/>
        <w:rPr>
          <w:color w:val="auto"/>
          <w:sz w:val="22"/>
          <w:szCs w:val="22"/>
        </w:rPr>
      </w:pPr>
      <w:r w:rsidRPr="007D1903">
        <w:rPr>
          <w:color w:val="auto"/>
          <w:sz w:val="22"/>
          <w:szCs w:val="22"/>
        </w:rPr>
        <w:t>d. Hours per Response:</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r>
      <w:r>
        <w:rPr>
          <w:color w:val="auto"/>
          <w:sz w:val="22"/>
          <w:szCs w:val="22"/>
        </w:rPr>
        <w:tab/>
        <w:t>1</w:t>
      </w:r>
    </w:p>
    <w:p w14:paraId="52B84F72" w14:textId="319D8FFD" w:rsidR="00541234" w:rsidRDefault="00541234" w:rsidP="00541234">
      <w:pPr>
        <w:pStyle w:val="Default"/>
        <w:ind w:firstLine="720"/>
        <w:rPr>
          <w:color w:val="auto"/>
          <w:sz w:val="22"/>
          <w:szCs w:val="22"/>
        </w:rPr>
      </w:pPr>
      <w:r w:rsidRPr="007D1903">
        <w:rPr>
          <w:color w:val="auto"/>
          <w:sz w:val="22"/>
          <w:szCs w:val="22"/>
        </w:rPr>
        <w:t>e. Total Annual Reporting Burden</w:t>
      </w:r>
      <w:r w:rsidR="00510B01">
        <w:rPr>
          <w:color w:val="auto"/>
          <w:sz w:val="22"/>
          <w:szCs w:val="22"/>
        </w:rPr>
        <w:t xml:space="preserve"> Hours</w:t>
      </w:r>
      <w:r w:rsidRPr="007D1903">
        <w:rPr>
          <w:color w:val="auto"/>
          <w:sz w:val="22"/>
          <w:szCs w:val="22"/>
        </w:rPr>
        <w:t>:</w:t>
      </w:r>
      <w:r w:rsidRPr="007D1903">
        <w:rPr>
          <w:color w:val="auto"/>
          <w:sz w:val="22"/>
          <w:szCs w:val="22"/>
        </w:rPr>
        <w:tab/>
      </w:r>
      <w:r w:rsidRPr="007D1903">
        <w:rPr>
          <w:color w:val="auto"/>
          <w:sz w:val="22"/>
          <w:szCs w:val="22"/>
        </w:rPr>
        <w:tab/>
        <w:t>5</w:t>
      </w:r>
      <w:r>
        <w:rPr>
          <w:color w:val="auto"/>
          <w:sz w:val="22"/>
          <w:szCs w:val="22"/>
        </w:rPr>
        <w:t>0</w:t>
      </w:r>
    </w:p>
    <w:bookmarkEnd w:id="1"/>
    <w:p w14:paraId="03CCB2E4" w14:textId="77777777" w:rsidR="00E97314" w:rsidRPr="007D1903" w:rsidRDefault="00E97314" w:rsidP="004D28F2">
      <w:pPr>
        <w:pStyle w:val="Default"/>
        <w:rPr>
          <w:color w:val="auto"/>
          <w:sz w:val="22"/>
          <w:szCs w:val="22"/>
        </w:rPr>
      </w:pPr>
    </w:p>
    <w:p w14:paraId="5EF78C93" w14:textId="77777777" w:rsidR="00484EB3" w:rsidRPr="00A94975" w:rsidRDefault="00484EB3" w:rsidP="00E97314">
      <w:pPr>
        <w:pStyle w:val="Default"/>
        <w:ind w:firstLine="720"/>
        <w:rPr>
          <w:color w:val="auto"/>
        </w:rPr>
      </w:pPr>
    </w:p>
    <w:p w14:paraId="59D8C2A3" w14:textId="77777777" w:rsidR="00E97314" w:rsidRPr="007D1903" w:rsidRDefault="00E97314" w:rsidP="00E97314">
      <w:pPr>
        <w:pStyle w:val="Default"/>
        <w:jc w:val="both"/>
        <w:rPr>
          <w:color w:val="auto"/>
          <w:sz w:val="22"/>
          <w:szCs w:val="22"/>
        </w:rPr>
      </w:pPr>
      <w:r w:rsidRPr="007D1903">
        <w:rPr>
          <w:color w:val="auto"/>
          <w:sz w:val="22"/>
          <w:szCs w:val="22"/>
        </w:rPr>
        <w:t xml:space="preserve">The projected hours per response for this collection of information were derived by first breaking the process into </w:t>
      </w:r>
      <w:r w:rsidR="00764948">
        <w:rPr>
          <w:color w:val="auto"/>
          <w:sz w:val="22"/>
          <w:szCs w:val="22"/>
        </w:rPr>
        <w:t>four</w:t>
      </w:r>
      <w:r w:rsidR="00764948" w:rsidRPr="007D1903">
        <w:rPr>
          <w:color w:val="auto"/>
          <w:sz w:val="22"/>
          <w:szCs w:val="22"/>
        </w:rPr>
        <w:t xml:space="preserve"> </w:t>
      </w:r>
      <w:r w:rsidRPr="007D1903">
        <w:rPr>
          <w:color w:val="auto"/>
          <w:sz w:val="22"/>
          <w:szCs w:val="22"/>
        </w:rPr>
        <w:t xml:space="preserve">basic components: </w:t>
      </w:r>
    </w:p>
    <w:p w14:paraId="6BAFBBE2" w14:textId="77777777" w:rsidR="007B18C1" w:rsidRPr="00A94975" w:rsidRDefault="007B18C1" w:rsidP="00E97314">
      <w:pPr>
        <w:pStyle w:val="Default"/>
        <w:jc w:val="both"/>
        <w:rPr>
          <w:color w:val="auto"/>
        </w:rPr>
      </w:pPr>
    </w:p>
    <w:p w14:paraId="4FC7B0AE" w14:textId="77777777" w:rsidR="00E97314" w:rsidRPr="007D1903" w:rsidRDefault="00E97314" w:rsidP="007D1903">
      <w:pPr>
        <w:pStyle w:val="Default"/>
        <w:tabs>
          <w:tab w:val="left" w:pos="3420"/>
          <w:tab w:val="left" w:pos="3780"/>
        </w:tabs>
        <w:rPr>
          <w:color w:val="auto"/>
          <w:sz w:val="22"/>
          <w:szCs w:val="22"/>
        </w:rPr>
      </w:pPr>
      <w:r w:rsidRPr="007D1903">
        <w:rPr>
          <w:color w:val="auto"/>
          <w:sz w:val="22"/>
          <w:szCs w:val="22"/>
        </w:rPr>
        <w:t xml:space="preserve">Learning about the Law and the Form: </w:t>
      </w:r>
      <w:r w:rsidR="007D1903">
        <w:rPr>
          <w:color w:val="auto"/>
          <w:sz w:val="22"/>
          <w:szCs w:val="22"/>
        </w:rPr>
        <w:tab/>
      </w:r>
      <w:r w:rsidR="006D716A" w:rsidRPr="007D1903">
        <w:rPr>
          <w:color w:val="auto"/>
          <w:sz w:val="22"/>
          <w:szCs w:val="22"/>
        </w:rPr>
        <w:t>10</w:t>
      </w:r>
      <w:r w:rsidRPr="007D1903">
        <w:rPr>
          <w:color w:val="auto"/>
          <w:sz w:val="22"/>
          <w:szCs w:val="22"/>
        </w:rPr>
        <w:t xml:space="preserve"> Minutes </w:t>
      </w:r>
    </w:p>
    <w:p w14:paraId="3AD1EC7C" w14:textId="77777777" w:rsidR="00E97314" w:rsidRPr="007D1903" w:rsidRDefault="00E97314" w:rsidP="00E97314">
      <w:pPr>
        <w:pStyle w:val="Default"/>
        <w:rPr>
          <w:color w:val="auto"/>
          <w:sz w:val="22"/>
          <w:szCs w:val="22"/>
        </w:rPr>
      </w:pPr>
      <w:r w:rsidRPr="007D1903">
        <w:rPr>
          <w:color w:val="auto"/>
          <w:sz w:val="22"/>
          <w:szCs w:val="22"/>
        </w:rPr>
        <w:t xml:space="preserve">Completion of the Form: </w:t>
      </w:r>
      <w:r w:rsidRPr="007D1903">
        <w:rPr>
          <w:color w:val="auto"/>
          <w:sz w:val="22"/>
          <w:szCs w:val="22"/>
        </w:rPr>
        <w:tab/>
      </w:r>
      <w:r w:rsidRPr="007D1903">
        <w:rPr>
          <w:color w:val="auto"/>
          <w:sz w:val="22"/>
          <w:szCs w:val="22"/>
        </w:rPr>
        <w:tab/>
        <w:t xml:space="preserve">   </w:t>
      </w:r>
      <w:r w:rsidR="006D716A" w:rsidRPr="007D1903">
        <w:rPr>
          <w:color w:val="auto"/>
          <w:sz w:val="22"/>
          <w:szCs w:val="22"/>
        </w:rPr>
        <w:t>10</w:t>
      </w:r>
      <w:r w:rsidRPr="007D1903">
        <w:rPr>
          <w:color w:val="auto"/>
          <w:sz w:val="22"/>
          <w:szCs w:val="22"/>
        </w:rPr>
        <w:t xml:space="preserve"> Minutes </w:t>
      </w:r>
    </w:p>
    <w:p w14:paraId="226A32C1" w14:textId="77777777" w:rsidR="00541234" w:rsidRDefault="00E97314" w:rsidP="00E97314">
      <w:pPr>
        <w:pStyle w:val="Default"/>
        <w:rPr>
          <w:color w:val="auto"/>
          <w:sz w:val="22"/>
          <w:szCs w:val="22"/>
        </w:rPr>
      </w:pPr>
      <w:r w:rsidRPr="007D1903">
        <w:rPr>
          <w:color w:val="auto"/>
          <w:sz w:val="22"/>
          <w:szCs w:val="22"/>
        </w:rPr>
        <w:t xml:space="preserve">Assembling and Filing the Form: </w:t>
      </w:r>
      <w:r w:rsidR="006D716A" w:rsidRPr="007D1903">
        <w:rPr>
          <w:color w:val="auto"/>
          <w:sz w:val="22"/>
          <w:szCs w:val="22"/>
        </w:rPr>
        <w:tab/>
        <w:t xml:space="preserve">   10 </w:t>
      </w:r>
      <w:r w:rsidRPr="007D1903">
        <w:rPr>
          <w:color w:val="auto"/>
          <w:sz w:val="22"/>
          <w:szCs w:val="22"/>
        </w:rPr>
        <w:t>Minutes</w:t>
      </w:r>
    </w:p>
    <w:p w14:paraId="5F29EA8E" w14:textId="77777777" w:rsidR="00E97314" w:rsidRPr="007D1903" w:rsidRDefault="00541234" w:rsidP="00E97314">
      <w:pPr>
        <w:pStyle w:val="Default"/>
        <w:rPr>
          <w:color w:val="auto"/>
          <w:sz w:val="22"/>
          <w:szCs w:val="22"/>
        </w:rPr>
      </w:pPr>
      <w:r>
        <w:rPr>
          <w:color w:val="auto"/>
          <w:sz w:val="22"/>
          <w:szCs w:val="22"/>
        </w:rPr>
        <w:t>Obtaining Notary Seal</w:t>
      </w:r>
      <w:r>
        <w:rPr>
          <w:color w:val="auto"/>
          <w:sz w:val="22"/>
          <w:szCs w:val="22"/>
        </w:rPr>
        <w:tab/>
      </w:r>
      <w:r>
        <w:rPr>
          <w:color w:val="auto"/>
          <w:sz w:val="22"/>
          <w:szCs w:val="22"/>
        </w:rPr>
        <w:tab/>
      </w:r>
      <w:r>
        <w:rPr>
          <w:color w:val="auto"/>
          <w:sz w:val="22"/>
          <w:szCs w:val="22"/>
        </w:rPr>
        <w:tab/>
        <w:t xml:space="preserve">   30 Minutes</w:t>
      </w:r>
    </w:p>
    <w:p w14:paraId="66183E9F" w14:textId="77777777" w:rsidR="00E97314" w:rsidRPr="007D1903" w:rsidRDefault="00E97314" w:rsidP="00E97314">
      <w:pPr>
        <w:pStyle w:val="Default"/>
        <w:rPr>
          <w:color w:val="auto"/>
          <w:sz w:val="22"/>
          <w:szCs w:val="22"/>
        </w:rPr>
      </w:pPr>
      <w:r w:rsidRPr="007D1903">
        <w:rPr>
          <w:color w:val="auto"/>
          <w:sz w:val="22"/>
          <w:szCs w:val="22"/>
        </w:rPr>
        <w:t>Total Hours per Response</w:t>
      </w:r>
      <w:r w:rsidR="007B18C1" w:rsidRPr="007D1903">
        <w:rPr>
          <w:color w:val="auto"/>
          <w:sz w:val="22"/>
          <w:szCs w:val="22"/>
        </w:rPr>
        <w:t>:</w:t>
      </w:r>
      <w:r w:rsidRPr="007D1903">
        <w:rPr>
          <w:color w:val="auto"/>
          <w:sz w:val="22"/>
          <w:szCs w:val="22"/>
        </w:rPr>
        <w:t xml:space="preserve"> </w:t>
      </w:r>
      <w:r w:rsidRPr="007D1903">
        <w:rPr>
          <w:color w:val="auto"/>
          <w:sz w:val="22"/>
          <w:szCs w:val="22"/>
        </w:rPr>
        <w:tab/>
      </w:r>
      <w:r w:rsidRPr="007D1903">
        <w:rPr>
          <w:color w:val="auto"/>
          <w:sz w:val="22"/>
          <w:szCs w:val="22"/>
        </w:rPr>
        <w:tab/>
        <w:t xml:space="preserve">   </w:t>
      </w:r>
      <w:r w:rsidR="00541234">
        <w:rPr>
          <w:color w:val="auto"/>
          <w:sz w:val="22"/>
          <w:szCs w:val="22"/>
        </w:rPr>
        <w:t>6</w:t>
      </w:r>
      <w:r w:rsidR="006D716A" w:rsidRPr="007D1903">
        <w:rPr>
          <w:color w:val="auto"/>
          <w:sz w:val="22"/>
          <w:szCs w:val="22"/>
        </w:rPr>
        <w:t>0</w:t>
      </w:r>
      <w:r w:rsidRPr="007D1903">
        <w:rPr>
          <w:color w:val="auto"/>
          <w:sz w:val="22"/>
          <w:szCs w:val="22"/>
        </w:rPr>
        <w:t xml:space="preserve"> Minutes </w:t>
      </w:r>
    </w:p>
    <w:p w14:paraId="4B274F53" w14:textId="77777777" w:rsidR="00E97314" w:rsidRDefault="00E97314" w:rsidP="00E97314">
      <w:pPr>
        <w:pStyle w:val="Default"/>
        <w:rPr>
          <w:b/>
          <w:bCs/>
          <w:color w:val="auto"/>
        </w:rPr>
      </w:pPr>
    </w:p>
    <w:p w14:paraId="3E1AFCC4" w14:textId="77777777" w:rsidR="00E97314" w:rsidRPr="00A94975" w:rsidRDefault="00E97314" w:rsidP="00E97314">
      <w:pPr>
        <w:pStyle w:val="Default"/>
        <w:rPr>
          <w:color w:val="auto"/>
        </w:rPr>
      </w:pPr>
      <w:r w:rsidRPr="00A94975">
        <w:rPr>
          <w:b/>
          <w:bCs/>
          <w:color w:val="auto"/>
        </w:rPr>
        <w:t>Annual Reporting Burden</w:t>
      </w:r>
      <w:r w:rsidR="00541234">
        <w:rPr>
          <w:b/>
          <w:bCs/>
          <w:color w:val="auto"/>
        </w:rPr>
        <w:t>, Form I-312</w:t>
      </w:r>
      <w:r w:rsidRPr="00A94975">
        <w:rPr>
          <w:b/>
          <w:bCs/>
          <w:color w:val="auto"/>
        </w:rPr>
        <w:t xml:space="preserve"> </w:t>
      </w:r>
    </w:p>
    <w:p w14:paraId="2C5FCE56" w14:textId="51BD4148" w:rsidR="00E97314" w:rsidRDefault="00411ED5" w:rsidP="00E97314">
      <w:pPr>
        <w:pStyle w:val="Default"/>
        <w:jc w:val="both"/>
        <w:rPr>
          <w:color w:val="auto"/>
        </w:rPr>
      </w:pPr>
      <w:r>
        <w:rPr>
          <w:b/>
          <w:bCs/>
          <w:color w:val="auto"/>
        </w:rPr>
        <w:t>T</w:t>
      </w:r>
      <w:r w:rsidR="00D31660" w:rsidRPr="00A94975">
        <w:rPr>
          <w:b/>
          <w:bCs/>
          <w:color w:val="auto"/>
        </w:rPr>
        <w:t>otal annual reporting burden hour is</w:t>
      </w:r>
      <w:r w:rsidR="00E97314">
        <w:rPr>
          <w:b/>
          <w:bCs/>
          <w:color w:val="auto"/>
        </w:rPr>
        <w:t xml:space="preserve"> </w:t>
      </w:r>
      <w:r w:rsidR="00F25821">
        <w:rPr>
          <w:b/>
          <w:bCs/>
          <w:color w:val="auto"/>
        </w:rPr>
        <w:t>650</w:t>
      </w:r>
      <w:r w:rsidR="00E97314" w:rsidRPr="00A94975">
        <w:rPr>
          <w:b/>
          <w:bCs/>
          <w:color w:val="auto"/>
        </w:rPr>
        <w:t xml:space="preserve">. </w:t>
      </w:r>
      <w:r w:rsidR="00E97314" w:rsidRPr="00A94975">
        <w:rPr>
          <w:color w:val="auto"/>
        </w:rPr>
        <w:t>This figure was derived by multiplying t</w:t>
      </w:r>
      <w:r w:rsidR="00E97314">
        <w:rPr>
          <w:color w:val="auto"/>
        </w:rPr>
        <w:t>he number of respondents (</w:t>
      </w:r>
      <w:r w:rsidR="00F25821">
        <w:rPr>
          <w:color w:val="auto"/>
        </w:rPr>
        <w:t>650</w:t>
      </w:r>
      <w:r w:rsidR="00E97314" w:rsidRPr="00A94975">
        <w:rPr>
          <w:color w:val="auto"/>
        </w:rPr>
        <w:t>) x frequency of response (1) x (</w:t>
      </w:r>
      <w:r w:rsidR="00541234">
        <w:rPr>
          <w:color w:val="auto"/>
        </w:rPr>
        <w:t>1</w:t>
      </w:r>
      <w:r w:rsidR="00E97314" w:rsidRPr="00A94975">
        <w:rPr>
          <w:color w:val="auto"/>
        </w:rPr>
        <w:t xml:space="preserve">) hours per response. </w:t>
      </w:r>
    </w:p>
    <w:p w14:paraId="727B78A1" w14:textId="77777777" w:rsidR="00E97314" w:rsidRDefault="00E97314" w:rsidP="00E97314">
      <w:pPr>
        <w:pStyle w:val="Default"/>
        <w:jc w:val="both"/>
        <w:rPr>
          <w:color w:val="auto"/>
        </w:rPr>
      </w:pPr>
    </w:p>
    <w:p w14:paraId="05CFABF5" w14:textId="77777777" w:rsidR="00E97314" w:rsidRPr="00A94975" w:rsidRDefault="00E97314" w:rsidP="00E97314">
      <w:pPr>
        <w:pStyle w:val="Default"/>
        <w:jc w:val="both"/>
        <w:rPr>
          <w:color w:val="auto"/>
        </w:rPr>
      </w:pPr>
      <w:r>
        <w:rPr>
          <w:b/>
          <w:bCs/>
          <w:color w:val="auto"/>
        </w:rPr>
        <w:t xml:space="preserve">Annual </w:t>
      </w:r>
      <w:r w:rsidRPr="00A94975">
        <w:rPr>
          <w:b/>
          <w:bCs/>
          <w:color w:val="auto"/>
        </w:rPr>
        <w:t>Cost</w:t>
      </w:r>
      <w:r>
        <w:rPr>
          <w:b/>
          <w:bCs/>
          <w:color w:val="auto"/>
        </w:rPr>
        <w:t xml:space="preserve"> Burden</w:t>
      </w:r>
      <w:r w:rsidR="00541234">
        <w:rPr>
          <w:b/>
          <w:bCs/>
          <w:color w:val="auto"/>
        </w:rPr>
        <w:t>, Form I-312</w:t>
      </w:r>
      <w:r w:rsidRPr="00A94975">
        <w:rPr>
          <w:b/>
          <w:bCs/>
          <w:color w:val="auto"/>
        </w:rPr>
        <w:t xml:space="preserve"> </w:t>
      </w:r>
    </w:p>
    <w:p w14:paraId="0B048609" w14:textId="08B66E8C" w:rsidR="00D31660" w:rsidRPr="00A94975" w:rsidRDefault="00E97314" w:rsidP="00E97314">
      <w:pPr>
        <w:pStyle w:val="Default"/>
        <w:jc w:val="both"/>
        <w:rPr>
          <w:color w:val="auto"/>
        </w:rPr>
      </w:pPr>
      <w:r w:rsidRPr="00A94975">
        <w:rPr>
          <w:b/>
          <w:bCs/>
          <w:color w:val="auto"/>
        </w:rPr>
        <w:t>The estimated annual cost</w:t>
      </w:r>
      <w:r>
        <w:rPr>
          <w:b/>
          <w:bCs/>
          <w:color w:val="auto"/>
        </w:rPr>
        <w:t xml:space="preserve"> burden</w:t>
      </w:r>
      <w:r w:rsidRPr="00A94975">
        <w:rPr>
          <w:b/>
          <w:bCs/>
          <w:color w:val="auto"/>
        </w:rPr>
        <w:t xml:space="preserve"> is $</w:t>
      </w:r>
      <w:r w:rsidR="00F25821">
        <w:rPr>
          <w:b/>
          <w:bCs/>
          <w:color w:val="auto"/>
        </w:rPr>
        <w:t>18,850</w:t>
      </w:r>
      <w:r w:rsidRPr="00A94975">
        <w:rPr>
          <w:b/>
          <w:bCs/>
          <w:color w:val="auto"/>
        </w:rPr>
        <w:t xml:space="preserve">. </w:t>
      </w:r>
      <w:r w:rsidRPr="00A94975">
        <w:rPr>
          <w:color w:val="auto"/>
        </w:rPr>
        <w:t xml:space="preserve">This estimate is based on </w:t>
      </w:r>
      <w:r w:rsidR="00541234">
        <w:rPr>
          <w:color w:val="auto"/>
        </w:rPr>
        <w:t>[</w:t>
      </w:r>
      <w:r w:rsidRPr="00A94975">
        <w:rPr>
          <w:color w:val="auto"/>
        </w:rPr>
        <w:t>the number of respondents (</w:t>
      </w:r>
      <w:r w:rsidR="00F25821">
        <w:rPr>
          <w:color w:val="auto"/>
        </w:rPr>
        <w:t>650</w:t>
      </w:r>
      <w:r w:rsidRPr="00A94975">
        <w:rPr>
          <w:color w:val="auto"/>
        </w:rPr>
        <w:t>) x number of responses (1) x hours per response (</w:t>
      </w:r>
      <w:r w:rsidR="00541234">
        <w:rPr>
          <w:color w:val="auto"/>
        </w:rPr>
        <w:t>1</w:t>
      </w:r>
      <w:r w:rsidRPr="00A94975">
        <w:rPr>
          <w:color w:val="auto"/>
        </w:rPr>
        <w:t>) x ($</w:t>
      </w:r>
      <w:r w:rsidR="00F25821">
        <w:rPr>
          <w:color w:val="auto"/>
        </w:rPr>
        <w:t>29</w:t>
      </w:r>
      <w:r w:rsidRPr="00A94975">
        <w:rPr>
          <w:color w:val="auto"/>
        </w:rPr>
        <w:t xml:space="preserve">) average </w:t>
      </w:r>
      <w:r w:rsidR="00ED599F">
        <w:rPr>
          <w:color w:val="auto"/>
        </w:rPr>
        <w:t xml:space="preserve">loaded </w:t>
      </w:r>
      <w:r w:rsidRPr="00A94975">
        <w:rPr>
          <w:color w:val="auto"/>
        </w:rPr>
        <w:t>hourly rate</w:t>
      </w:r>
      <w:r w:rsidR="00655505">
        <w:rPr>
          <w:color w:val="auto"/>
        </w:rPr>
        <w:t xml:space="preserve"> of all occupations for foreign born workers</w:t>
      </w:r>
      <w:r w:rsidR="00411ED5">
        <w:rPr>
          <w:color w:val="auto"/>
        </w:rPr>
        <w:t>.</w:t>
      </w:r>
      <w:r w:rsidR="00F1735C">
        <w:rPr>
          <w:rStyle w:val="FootnoteReference"/>
          <w:color w:val="auto"/>
        </w:rPr>
        <w:footnoteReference w:id="1"/>
      </w:r>
    </w:p>
    <w:p w14:paraId="4796CB4E" w14:textId="77777777" w:rsidR="00E97314" w:rsidRDefault="00E97314" w:rsidP="00E97314">
      <w:pPr>
        <w:pStyle w:val="Default"/>
        <w:jc w:val="both"/>
        <w:rPr>
          <w:color w:val="auto"/>
        </w:rPr>
      </w:pPr>
    </w:p>
    <w:p w14:paraId="7F024679" w14:textId="77777777" w:rsidR="00541234" w:rsidRDefault="00541234" w:rsidP="00541234">
      <w:pPr>
        <w:pStyle w:val="Default"/>
        <w:rPr>
          <w:b/>
          <w:bCs/>
          <w:color w:val="auto"/>
        </w:rPr>
      </w:pPr>
    </w:p>
    <w:p w14:paraId="155699AE" w14:textId="77777777" w:rsidR="00411ED5" w:rsidRDefault="00411ED5" w:rsidP="00541234">
      <w:pPr>
        <w:pStyle w:val="Default"/>
        <w:rPr>
          <w:b/>
          <w:bCs/>
          <w:color w:val="auto"/>
        </w:rPr>
      </w:pPr>
    </w:p>
    <w:p w14:paraId="3652564B" w14:textId="77777777" w:rsidR="00541234" w:rsidRDefault="00541234" w:rsidP="00541234">
      <w:pPr>
        <w:pStyle w:val="Default"/>
        <w:rPr>
          <w:b/>
          <w:bCs/>
          <w:color w:val="auto"/>
        </w:rPr>
      </w:pPr>
    </w:p>
    <w:p w14:paraId="0FC549ED" w14:textId="77777777" w:rsidR="00541234" w:rsidRPr="00A94975" w:rsidRDefault="00541234" w:rsidP="00541234">
      <w:pPr>
        <w:pStyle w:val="Default"/>
        <w:rPr>
          <w:color w:val="auto"/>
        </w:rPr>
      </w:pPr>
      <w:r w:rsidRPr="00A94975">
        <w:rPr>
          <w:b/>
          <w:bCs/>
          <w:color w:val="auto"/>
        </w:rPr>
        <w:t>Annual Reporting Burden</w:t>
      </w:r>
      <w:r>
        <w:rPr>
          <w:b/>
          <w:bCs/>
          <w:color w:val="auto"/>
        </w:rPr>
        <w:t>, Form I-312A</w:t>
      </w:r>
      <w:r w:rsidRPr="00A94975">
        <w:rPr>
          <w:b/>
          <w:bCs/>
          <w:color w:val="auto"/>
        </w:rPr>
        <w:t xml:space="preserve"> </w:t>
      </w:r>
    </w:p>
    <w:p w14:paraId="1EB1B1F0" w14:textId="77777777" w:rsidR="00541234" w:rsidRDefault="00411ED5" w:rsidP="00541234">
      <w:pPr>
        <w:pStyle w:val="Default"/>
        <w:jc w:val="both"/>
        <w:rPr>
          <w:color w:val="auto"/>
        </w:rPr>
      </w:pPr>
      <w:r>
        <w:rPr>
          <w:b/>
          <w:bCs/>
          <w:color w:val="auto"/>
        </w:rPr>
        <w:t>T</w:t>
      </w:r>
      <w:r w:rsidR="00D31660" w:rsidRPr="00A94975">
        <w:rPr>
          <w:b/>
          <w:bCs/>
          <w:color w:val="auto"/>
        </w:rPr>
        <w:t>otal annual reporting burden hour is</w:t>
      </w:r>
      <w:r w:rsidR="00541234">
        <w:rPr>
          <w:b/>
          <w:bCs/>
          <w:color w:val="auto"/>
        </w:rPr>
        <w:t xml:space="preserve"> 50</w:t>
      </w:r>
      <w:r w:rsidR="00541234" w:rsidRPr="00A94975">
        <w:rPr>
          <w:b/>
          <w:bCs/>
          <w:color w:val="auto"/>
        </w:rPr>
        <w:t xml:space="preserve">. </w:t>
      </w:r>
      <w:r w:rsidR="00541234" w:rsidRPr="00A94975">
        <w:rPr>
          <w:color w:val="auto"/>
        </w:rPr>
        <w:t>This figure was derived by multiplying t</w:t>
      </w:r>
      <w:r w:rsidR="00541234">
        <w:rPr>
          <w:color w:val="auto"/>
        </w:rPr>
        <w:t>he number of respondents (50</w:t>
      </w:r>
      <w:r w:rsidR="00541234" w:rsidRPr="00A94975">
        <w:rPr>
          <w:color w:val="auto"/>
        </w:rPr>
        <w:t>) x frequency of response (1) x (</w:t>
      </w:r>
      <w:r w:rsidR="00541234">
        <w:rPr>
          <w:color w:val="auto"/>
        </w:rPr>
        <w:t>1</w:t>
      </w:r>
      <w:r w:rsidR="00541234" w:rsidRPr="00A94975">
        <w:rPr>
          <w:color w:val="auto"/>
        </w:rPr>
        <w:t xml:space="preserve">) hours per response. </w:t>
      </w:r>
    </w:p>
    <w:p w14:paraId="2203F771" w14:textId="77777777" w:rsidR="00541234" w:rsidRDefault="00541234" w:rsidP="00541234">
      <w:pPr>
        <w:pStyle w:val="Default"/>
        <w:jc w:val="both"/>
        <w:rPr>
          <w:color w:val="auto"/>
        </w:rPr>
      </w:pPr>
    </w:p>
    <w:p w14:paraId="0D3866D2" w14:textId="77777777" w:rsidR="00541234" w:rsidRPr="00A94975" w:rsidRDefault="00541234" w:rsidP="00541234">
      <w:pPr>
        <w:pStyle w:val="Default"/>
        <w:jc w:val="both"/>
        <w:rPr>
          <w:color w:val="auto"/>
        </w:rPr>
      </w:pPr>
      <w:r>
        <w:rPr>
          <w:b/>
          <w:bCs/>
          <w:color w:val="auto"/>
        </w:rPr>
        <w:t xml:space="preserve">Annual </w:t>
      </w:r>
      <w:r w:rsidRPr="00A94975">
        <w:rPr>
          <w:b/>
          <w:bCs/>
          <w:color w:val="auto"/>
        </w:rPr>
        <w:t>Cost</w:t>
      </w:r>
      <w:r>
        <w:rPr>
          <w:b/>
          <w:bCs/>
          <w:color w:val="auto"/>
        </w:rPr>
        <w:t xml:space="preserve"> Burden, Form I-312A</w:t>
      </w:r>
      <w:r w:rsidRPr="00A94975">
        <w:rPr>
          <w:b/>
          <w:bCs/>
          <w:color w:val="auto"/>
        </w:rPr>
        <w:t xml:space="preserve"> </w:t>
      </w:r>
    </w:p>
    <w:p w14:paraId="47CD45AE" w14:textId="5E1633F4" w:rsidR="00541234" w:rsidRPr="00A94975" w:rsidRDefault="00541234" w:rsidP="00541234">
      <w:pPr>
        <w:pStyle w:val="Default"/>
        <w:jc w:val="both"/>
        <w:rPr>
          <w:color w:val="auto"/>
        </w:rPr>
      </w:pPr>
      <w:r w:rsidRPr="00A94975">
        <w:rPr>
          <w:b/>
          <w:bCs/>
          <w:color w:val="auto"/>
        </w:rPr>
        <w:t>The estimated annual cost</w:t>
      </w:r>
      <w:r>
        <w:rPr>
          <w:b/>
          <w:bCs/>
          <w:color w:val="auto"/>
        </w:rPr>
        <w:t xml:space="preserve"> burden</w:t>
      </w:r>
      <w:r w:rsidRPr="00A94975">
        <w:rPr>
          <w:b/>
          <w:bCs/>
          <w:color w:val="auto"/>
        </w:rPr>
        <w:t xml:space="preserve"> is $</w:t>
      </w:r>
      <w:r w:rsidR="00365AAC">
        <w:rPr>
          <w:b/>
          <w:bCs/>
          <w:color w:val="auto"/>
        </w:rPr>
        <w:t>1,4</w:t>
      </w:r>
      <w:r w:rsidR="00F25821">
        <w:rPr>
          <w:b/>
          <w:bCs/>
          <w:color w:val="auto"/>
        </w:rPr>
        <w:t>50</w:t>
      </w:r>
      <w:r w:rsidRPr="00A94975">
        <w:rPr>
          <w:b/>
          <w:bCs/>
          <w:color w:val="auto"/>
        </w:rPr>
        <w:t xml:space="preserve">. </w:t>
      </w:r>
      <w:r w:rsidRPr="00A94975">
        <w:rPr>
          <w:color w:val="auto"/>
        </w:rPr>
        <w:t xml:space="preserve">This estimate is based on </w:t>
      </w:r>
      <w:r>
        <w:rPr>
          <w:color w:val="auto"/>
        </w:rPr>
        <w:t>[</w:t>
      </w:r>
      <w:r w:rsidRPr="00A94975">
        <w:rPr>
          <w:color w:val="auto"/>
        </w:rPr>
        <w:t>the number of respondents (</w:t>
      </w:r>
      <w:r>
        <w:rPr>
          <w:color w:val="auto"/>
        </w:rPr>
        <w:t>5</w:t>
      </w:r>
      <w:r w:rsidRPr="00A94975">
        <w:rPr>
          <w:color w:val="auto"/>
        </w:rPr>
        <w:t>0) x number of responses (1) x hours per response (</w:t>
      </w:r>
      <w:r>
        <w:rPr>
          <w:color w:val="auto"/>
        </w:rPr>
        <w:t>1</w:t>
      </w:r>
      <w:r w:rsidRPr="00A94975">
        <w:rPr>
          <w:color w:val="auto"/>
        </w:rPr>
        <w:t>) x ($</w:t>
      </w:r>
      <w:r w:rsidR="00F25821">
        <w:rPr>
          <w:color w:val="auto"/>
        </w:rPr>
        <w:t>29</w:t>
      </w:r>
      <w:r w:rsidRPr="00A94975">
        <w:rPr>
          <w:color w:val="auto"/>
        </w:rPr>
        <w:t xml:space="preserve">) average </w:t>
      </w:r>
      <w:r w:rsidR="00365AAC">
        <w:rPr>
          <w:color w:val="auto"/>
        </w:rPr>
        <w:t xml:space="preserve">loaded </w:t>
      </w:r>
      <w:r w:rsidRPr="00A94975">
        <w:rPr>
          <w:color w:val="auto"/>
        </w:rPr>
        <w:t>hourly</w:t>
      </w:r>
      <w:r w:rsidR="00411ED5">
        <w:rPr>
          <w:color w:val="auto"/>
        </w:rPr>
        <w:t xml:space="preserve"> </w:t>
      </w:r>
      <w:r w:rsidRPr="00A94975">
        <w:rPr>
          <w:color w:val="auto"/>
        </w:rPr>
        <w:t>rate</w:t>
      </w:r>
      <w:r w:rsidR="00365AAC">
        <w:rPr>
          <w:color w:val="auto"/>
        </w:rPr>
        <w:t xml:space="preserve"> of all occupations for foreign born workers</w:t>
      </w:r>
      <w:r w:rsidR="00411ED5">
        <w:rPr>
          <w:color w:val="auto"/>
        </w:rPr>
        <w:t>.</w:t>
      </w:r>
    </w:p>
    <w:p w14:paraId="28F6F150" w14:textId="77777777" w:rsidR="00541234" w:rsidRDefault="00541234" w:rsidP="00E97314">
      <w:pPr>
        <w:pStyle w:val="Default"/>
        <w:jc w:val="both"/>
        <w:rPr>
          <w:color w:val="auto"/>
        </w:rPr>
      </w:pPr>
    </w:p>
    <w:p w14:paraId="24946062" w14:textId="77777777" w:rsidR="00541234" w:rsidRPr="00A94975" w:rsidRDefault="00541234" w:rsidP="00E97314">
      <w:pPr>
        <w:pStyle w:val="Default"/>
        <w:jc w:val="both"/>
        <w:rPr>
          <w:color w:val="auto"/>
        </w:rPr>
      </w:pPr>
    </w:p>
    <w:p w14:paraId="6B424CAA" w14:textId="77777777" w:rsidR="00E97314" w:rsidRPr="00C267FC" w:rsidRDefault="00E97314" w:rsidP="00E97314">
      <w:pPr>
        <w:tabs>
          <w:tab w:val="left" w:pos="-1440"/>
        </w:tabs>
        <w:ind w:left="720" w:hanging="720"/>
        <w:jc w:val="both"/>
        <w:rPr>
          <w:b/>
        </w:rPr>
      </w:pPr>
      <w:r w:rsidRPr="00C267FC">
        <w:rPr>
          <w:b/>
        </w:rPr>
        <w:t>13.</w:t>
      </w:r>
      <w:r w:rsidRPr="00C267FC">
        <w:rPr>
          <w:b/>
        </w:rPr>
        <w:tab/>
      </w:r>
      <w:r w:rsidRPr="00C267FC">
        <w:rPr>
          <w:b/>
          <w:sz w:val="19"/>
          <w:szCs w:val="19"/>
        </w:rPr>
        <w:t>Provide an estimate of the total annual cost burden to respondents or record keepers resulting from the collection of information.  (Do not include the cost of any hour burden shown in Items 12 and 14).</w:t>
      </w:r>
    </w:p>
    <w:p w14:paraId="69841762" w14:textId="77777777" w:rsidR="00E97314" w:rsidRPr="00C267FC" w:rsidRDefault="00E97314" w:rsidP="00E97314">
      <w:pPr>
        <w:jc w:val="both"/>
        <w:rPr>
          <w:b/>
        </w:rPr>
      </w:pPr>
    </w:p>
    <w:p w14:paraId="0B81EDBC" w14:textId="77777777"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28A04B0" w14:textId="77777777" w:rsidR="00E97314" w:rsidRPr="00C267FC" w:rsidRDefault="00E97314" w:rsidP="00E97314">
      <w:pPr>
        <w:jc w:val="both"/>
        <w:rPr>
          <w:b/>
        </w:rPr>
      </w:pPr>
    </w:p>
    <w:p w14:paraId="53E2A10A" w14:textId="77777777"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848D2F3" w14:textId="77777777" w:rsidR="00E97314" w:rsidRPr="00C267FC" w:rsidRDefault="00E97314" w:rsidP="00E97314">
      <w:pPr>
        <w:jc w:val="both"/>
        <w:rPr>
          <w:b/>
        </w:rPr>
      </w:pPr>
    </w:p>
    <w:p w14:paraId="5CD197B5" w14:textId="77777777"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FB5D604" w14:textId="77777777" w:rsidR="00E97314" w:rsidRDefault="00E97314" w:rsidP="00E97314">
      <w:pPr>
        <w:pStyle w:val="Default"/>
        <w:ind w:left="540" w:hanging="540"/>
        <w:jc w:val="both"/>
        <w:rPr>
          <w:color w:val="auto"/>
        </w:rPr>
      </w:pPr>
      <w:r w:rsidRPr="00A94975">
        <w:rPr>
          <w:color w:val="auto"/>
        </w:rPr>
        <w:t xml:space="preserve"> </w:t>
      </w:r>
    </w:p>
    <w:p w14:paraId="2DE03A6F" w14:textId="77777777" w:rsidR="00E97314" w:rsidRDefault="00E97314" w:rsidP="00E97314">
      <w:pPr>
        <w:pStyle w:val="Default"/>
        <w:ind w:left="540" w:hanging="540"/>
        <w:jc w:val="both"/>
        <w:rPr>
          <w:color w:val="auto"/>
        </w:rPr>
      </w:pPr>
    </w:p>
    <w:p w14:paraId="0E2E8C38" w14:textId="03F3C82A" w:rsidR="00A97606" w:rsidRDefault="00E97314" w:rsidP="00A97606">
      <w:pPr>
        <w:pStyle w:val="Default"/>
        <w:jc w:val="both"/>
        <w:rPr>
          <w:color w:val="auto"/>
        </w:rPr>
      </w:pPr>
      <w:r w:rsidRPr="00A94975">
        <w:rPr>
          <w:color w:val="auto"/>
        </w:rPr>
        <w:t xml:space="preserve">There are no capital or start-up costs associated with this information collection.  </w:t>
      </w:r>
      <w:r w:rsidR="00A97606">
        <w:rPr>
          <w:color w:val="auto"/>
        </w:rPr>
        <w:t>The figure of $</w:t>
      </w:r>
      <w:r w:rsidR="00365AAC">
        <w:rPr>
          <w:color w:val="auto"/>
        </w:rPr>
        <w:t xml:space="preserve">8.25 </w:t>
      </w:r>
      <w:r w:rsidR="00A97606">
        <w:rPr>
          <w:color w:val="auto"/>
        </w:rPr>
        <w:t>as the maximum national average cost of obtaining a notary seal was derived in this fashion.  First, the four states in which the largest number of illegal aliens have cash immigration bonds executed on their behalf are California, Texas, New York and Florida.  For each of these states, the maximum fee allowed by statute for a notary seal was identified.  California allow</w:t>
      </w:r>
      <w:r w:rsidR="001D1604">
        <w:rPr>
          <w:color w:val="auto"/>
        </w:rPr>
        <w:t>s</w:t>
      </w:r>
      <w:r w:rsidR="00A97606">
        <w:rPr>
          <w:color w:val="auto"/>
        </w:rPr>
        <w:t xml:space="preserve"> a fee of up to $1</w:t>
      </w:r>
      <w:r w:rsidR="001D1604">
        <w:rPr>
          <w:color w:val="auto"/>
        </w:rPr>
        <w:t>5, Florida allows a fee of up to $10</w:t>
      </w:r>
      <w:r w:rsidR="00C214B9">
        <w:rPr>
          <w:color w:val="auto"/>
        </w:rPr>
        <w:t>,</w:t>
      </w:r>
      <w:r w:rsidR="00A97606">
        <w:rPr>
          <w:color w:val="auto"/>
        </w:rPr>
        <w:t xml:space="preserve"> Texas allows a fee of up to $6, and New York, $2.</w:t>
      </w:r>
      <w:r w:rsidR="00C214B9">
        <w:rPr>
          <w:rStyle w:val="FootnoteReference"/>
          <w:color w:val="auto"/>
        </w:rPr>
        <w:footnoteReference w:id="2"/>
      </w:r>
      <w:r w:rsidR="00A97606">
        <w:rPr>
          <w:color w:val="auto"/>
        </w:rPr>
        <w:t xml:space="preserve"> The maximum average cost across these four states was $</w:t>
      </w:r>
      <w:r w:rsidR="001D1604">
        <w:rPr>
          <w:color w:val="auto"/>
        </w:rPr>
        <w:t>8</w:t>
      </w:r>
      <w:r w:rsidR="00510B01">
        <w:rPr>
          <w:color w:val="auto"/>
        </w:rPr>
        <w:t>.25</w:t>
      </w:r>
      <w:r w:rsidR="00A97606">
        <w:rPr>
          <w:color w:val="auto"/>
        </w:rPr>
        <w:t xml:space="preserve">.  Importantly, these are maximum costs.  Many financial institutions perform these services for their customers for free, and many notaries set their fees below the allowed maximums.  </w:t>
      </w:r>
    </w:p>
    <w:p w14:paraId="2AC5F64B" w14:textId="77777777" w:rsidR="00E97314" w:rsidRPr="00A94975" w:rsidRDefault="00E97314" w:rsidP="004C35D3">
      <w:pPr>
        <w:pStyle w:val="Default"/>
        <w:ind w:left="540"/>
        <w:jc w:val="both"/>
        <w:rPr>
          <w:color w:val="auto"/>
        </w:rPr>
      </w:pPr>
    </w:p>
    <w:p w14:paraId="07866CB2" w14:textId="04D1695E" w:rsidR="00D31660" w:rsidRPr="00A94975" w:rsidRDefault="00D31660" w:rsidP="00D31660">
      <w:pPr>
        <w:pStyle w:val="Default"/>
        <w:jc w:val="both"/>
        <w:rPr>
          <w:color w:val="auto"/>
        </w:rPr>
      </w:pPr>
      <w:r>
        <w:rPr>
          <w:color w:val="auto"/>
        </w:rPr>
        <w:t>The maximum national average cost of obtaining a notary seal ($</w:t>
      </w:r>
      <w:r w:rsidR="00510B01">
        <w:rPr>
          <w:color w:val="auto"/>
        </w:rPr>
        <w:t>8.25</w:t>
      </w:r>
      <w:r>
        <w:rPr>
          <w:color w:val="auto"/>
        </w:rPr>
        <w:t>) x number of responses (</w:t>
      </w:r>
      <w:r w:rsidR="00F25821">
        <w:rPr>
          <w:color w:val="auto"/>
        </w:rPr>
        <w:t>650</w:t>
      </w:r>
      <w:r>
        <w:rPr>
          <w:color w:val="auto"/>
        </w:rPr>
        <w:t xml:space="preserve">) = </w:t>
      </w:r>
      <w:r w:rsidR="00510B01">
        <w:rPr>
          <w:color w:val="auto"/>
        </w:rPr>
        <w:t>$</w:t>
      </w:r>
      <w:r w:rsidR="00F25821">
        <w:rPr>
          <w:color w:val="auto"/>
        </w:rPr>
        <w:t>5,363</w:t>
      </w:r>
    </w:p>
    <w:p w14:paraId="4B04AD26" w14:textId="77777777" w:rsidR="00E97314" w:rsidRDefault="00E97314" w:rsidP="00E97314">
      <w:pPr>
        <w:pStyle w:val="Default"/>
        <w:rPr>
          <w:color w:val="auto"/>
        </w:rPr>
      </w:pPr>
    </w:p>
    <w:p w14:paraId="0D736565" w14:textId="77777777" w:rsidR="00E97314" w:rsidRPr="00C267FC" w:rsidRDefault="00E97314" w:rsidP="00E97314">
      <w:pPr>
        <w:pStyle w:val="Default"/>
        <w:ind w:left="540" w:hanging="540"/>
        <w:rPr>
          <w:b/>
          <w:color w:val="auto"/>
        </w:rPr>
      </w:pPr>
      <w:bookmarkStart w:id="2" w:name="_Hlk524367803"/>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14:paraId="1F059E53" w14:textId="77777777" w:rsidR="00E97314" w:rsidRDefault="00E97314" w:rsidP="00E97314">
      <w:pPr>
        <w:pStyle w:val="Default"/>
        <w:rPr>
          <w:color w:val="auto"/>
        </w:rPr>
      </w:pPr>
    </w:p>
    <w:p w14:paraId="35978655" w14:textId="77777777" w:rsidR="00E97314" w:rsidRPr="007D1903" w:rsidRDefault="00E97314" w:rsidP="00E97314">
      <w:pPr>
        <w:pStyle w:val="Default"/>
        <w:rPr>
          <w:color w:val="auto"/>
          <w:sz w:val="22"/>
          <w:szCs w:val="22"/>
        </w:rPr>
      </w:pPr>
      <w:r w:rsidRPr="007D1903">
        <w:rPr>
          <w:color w:val="auto"/>
          <w:sz w:val="22"/>
          <w:szCs w:val="22"/>
        </w:rPr>
        <w:t xml:space="preserve">Annualized Cost Analysis: </w:t>
      </w:r>
    </w:p>
    <w:p w14:paraId="11093CDB" w14:textId="77777777" w:rsidR="00E97314" w:rsidRPr="007D1903" w:rsidRDefault="00E97314" w:rsidP="00E97314">
      <w:pPr>
        <w:pStyle w:val="Default"/>
        <w:ind w:firstLine="720"/>
        <w:rPr>
          <w:color w:val="auto"/>
          <w:sz w:val="22"/>
          <w:szCs w:val="22"/>
        </w:rPr>
      </w:pPr>
      <w:r w:rsidRPr="007D1903">
        <w:rPr>
          <w:color w:val="auto"/>
          <w:sz w:val="22"/>
          <w:szCs w:val="22"/>
        </w:rPr>
        <w:t>a. Printing Cost:</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r>
      <w:r w:rsidR="007D1903">
        <w:rPr>
          <w:color w:val="auto"/>
          <w:sz w:val="22"/>
          <w:szCs w:val="22"/>
        </w:rPr>
        <w:tab/>
      </w:r>
      <w:r w:rsidRPr="007D1903">
        <w:rPr>
          <w:color w:val="auto"/>
          <w:sz w:val="22"/>
          <w:szCs w:val="22"/>
        </w:rPr>
        <w:t>$</w:t>
      </w:r>
      <w:r w:rsidR="004C35D3" w:rsidRPr="007D1903">
        <w:rPr>
          <w:color w:val="auto"/>
          <w:sz w:val="22"/>
          <w:szCs w:val="22"/>
        </w:rPr>
        <w:t>6</w:t>
      </w:r>
      <w:r w:rsidR="00484EB3" w:rsidRPr="007D1903">
        <w:rPr>
          <w:color w:val="auto"/>
          <w:sz w:val="22"/>
          <w:szCs w:val="22"/>
        </w:rPr>
        <w:t>,000</w:t>
      </w:r>
    </w:p>
    <w:p w14:paraId="2A704619" w14:textId="33478F8A" w:rsidR="00E97314" w:rsidRPr="007D1903" w:rsidRDefault="00E97314" w:rsidP="00E97314">
      <w:pPr>
        <w:pStyle w:val="Default"/>
        <w:ind w:firstLine="720"/>
        <w:rPr>
          <w:color w:val="auto"/>
          <w:sz w:val="22"/>
          <w:szCs w:val="22"/>
        </w:rPr>
      </w:pPr>
      <w:r w:rsidRPr="007D1903">
        <w:rPr>
          <w:color w:val="auto"/>
          <w:sz w:val="22"/>
          <w:szCs w:val="22"/>
        </w:rPr>
        <w:t>b. Collecting and Processing:</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t>$</w:t>
      </w:r>
      <w:r w:rsidR="00F25821">
        <w:rPr>
          <w:color w:val="auto"/>
          <w:sz w:val="22"/>
          <w:szCs w:val="22"/>
        </w:rPr>
        <w:t>88</w:t>
      </w:r>
      <w:r w:rsidR="00484EB3" w:rsidRPr="007D1903">
        <w:rPr>
          <w:color w:val="auto"/>
          <w:sz w:val="22"/>
          <w:szCs w:val="22"/>
        </w:rPr>
        <w:t>,</w:t>
      </w:r>
      <w:r w:rsidR="00F25821">
        <w:rPr>
          <w:color w:val="auto"/>
          <w:sz w:val="22"/>
          <w:szCs w:val="22"/>
        </w:rPr>
        <w:t>4</w:t>
      </w:r>
      <w:r w:rsidR="00484EB3" w:rsidRPr="007D1903">
        <w:rPr>
          <w:color w:val="auto"/>
          <w:sz w:val="22"/>
          <w:szCs w:val="22"/>
        </w:rPr>
        <w:t>0</w:t>
      </w:r>
      <w:r w:rsidRPr="007D1903">
        <w:rPr>
          <w:color w:val="auto"/>
          <w:sz w:val="22"/>
          <w:szCs w:val="22"/>
        </w:rPr>
        <w:t>0</w:t>
      </w:r>
    </w:p>
    <w:p w14:paraId="303DEAD3" w14:textId="7D3A85AE" w:rsidR="00E97314" w:rsidRPr="007D1903" w:rsidRDefault="00E97314" w:rsidP="00E97314">
      <w:pPr>
        <w:pStyle w:val="Default"/>
        <w:ind w:firstLine="720"/>
        <w:rPr>
          <w:color w:val="auto"/>
          <w:sz w:val="22"/>
          <w:szCs w:val="22"/>
        </w:rPr>
      </w:pPr>
      <w:r w:rsidRPr="007D1903">
        <w:rPr>
          <w:color w:val="auto"/>
          <w:sz w:val="22"/>
          <w:szCs w:val="22"/>
        </w:rPr>
        <w:t xml:space="preserve">c. Total Cost to Program: </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t>$</w:t>
      </w:r>
      <w:r w:rsidR="00F25821">
        <w:rPr>
          <w:color w:val="auto"/>
          <w:sz w:val="22"/>
          <w:szCs w:val="22"/>
        </w:rPr>
        <w:t>94,4</w:t>
      </w:r>
      <w:r w:rsidRPr="007D1903">
        <w:rPr>
          <w:color w:val="auto"/>
          <w:sz w:val="22"/>
          <w:szCs w:val="22"/>
        </w:rPr>
        <w:t>00</w:t>
      </w:r>
    </w:p>
    <w:p w14:paraId="52666DE7" w14:textId="77777777" w:rsidR="00E97314" w:rsidRPr="007D1903" w:rsidRDefault="00E97314" w:rsidP="00E97314">
      <w:pPr>
        <w:pStyle w:val="Default"/>
        <w:ind w:firstLine="720"/>
        <w:rPr>
          <w:color w:val="auto"/>
          <w:sz w:val="22"/>
          <w:szCs w:val="22"/>
        </w:rPr>
      </w:pPr>
      <w:r w:rsidRPr="007D1903">
        <w:rPr>
          <w:color w:val="auto"/>
          <w:sz w:val="22"/>
          <w:szCs w:val="22"/>
        </w:rPr>
        <w:t>d. Fee Charge:</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t>$0</w:t>
      </w:r>
    </w:p>
    <w:p w14:paraId="3E931B2C" w14:textId="32DE94D0" w:rsidR="00E97314" w:rsidRPr="00A94975" w:rsidRDefault="00E97314" w:rsidP="00E97314">
      <w:pPr>
        <w:pStyle w:val="Default"/>
        <w:ind w:firstLine="720"/>
        <w:rPr>
          <w:color w:val="auto"/>
        </w:rPr>
      </w:pPr>
      <w:r w:rsidRPr="007D1903">
        <w:rPr>
          <w:color w:val="auto"/>
          <w:sz w:val="22"/>
          <w:szCs w:val="22"/>
        </w:rPr>
        <w:t xml:space="preserve">e. Total Annual Cost to Government </w:t>
      </w:r>
      <w:r w:rsidRPr="007D1903">
        <w:rPr>
          <w:color w:val="auto"/>
          <w:sz w:val="22"/>
          <w:szCs w:val="22"/>
        </w:rPr>
        <w:tab/>
      </w:r>
      <w:r w:rsidRPr="007D1903">
        <w:rPr>
          <w:color w:val="auto"/>
          <w:sz w:val="22"/>
          <w:szCs w:val="22"/>
        </w:rPr>
        <w:tab/>
      </w:r>
      <w:r w:rsidRPr="007D1903">
        <w:rPr>
          <w:color w:val="auto"/>
          <w:sz w:val="22"/>
          <w:szCs w:val="22"/>
        </w:rPr>
        <w:tab/>
        <w:t>$</w:t>
      </w:r>
      <w:r w:rsidR="00F25821">
        <w:rPr>
          <w:color w:val="auto"/>
          <w:sz w:val="22"/>
          <w:szCs w:val="22"/>
        </w:rPr>
        <w:t>94,4</w:t>
      </w:r>
      <w:r w:rsidRPr="007D1903">
        <w:rPr>
          <w:color w:val="auto"/>
          <w:sz w:val="22"/>
          <w:szCs w:val="22"/>
        </w:rPr>
        <w:t>00</w:t>
      </w:r>
    </w:p>
    <w:p w14:paraId="2C86422C" w14:textId="77777777" w:rsidR="00E97314" w:rsidRPr="00A94975" w:rsidRDefault="00E97314" w:rsidP="00E97314">
      <w:pPr>
        <w:pStyle w:val="Default"/>
        <w:rPr>
          <w:color w:val="auto"/>
        </w:rPr>
      </w:pPr>
    </w:p>
    <w:p w14:paraId="35A56DFF" w14:textId="77777777" w:rsidR="00E97314" w:rsidRPr="00A94975" w:rsidRDefault="00E97314" w:rsidP="00E97314">
      <w:pPr>
        <w:pStyle w:val="Default"/>
        <w:rPr>
          <w:color w:val="auto"/>
        </w:rPr>
      </w:pPr>
      <w:r w:rsidRPr="00A94975">
        <w:rPr>
          <w:b/>
          <w:bCs/>
          <w:color w:val="auto"/>
        </w:rPr>
        <w:t xml:space="preserve">Government Cost </w:t>
      </w:r>
    </w:p>
    <w:p w14:paraId="2679AB93" w14:textId="0D70D116" w:rsidR="00E97314" w:rsidRDefault="00E97314" w:rsidP="00E97314">
      <w:pPr>
        <w:pStyle w:val="Default"/>
        <w:rPr>
          <w:color w:val="auto"/>
        </w:rPr>
      </w:pPr>
      <w:r w:rsidRPr="00A94975">
        <w:rPr>
          <w:color w:val="auto"/>
        </w:rPr>
        <w:t>The estimated cost of the program to the Government is calculated by subtracting the Total Cost of Program from the Fee Charge.  Total Cost of Program is calculated by the estimated number of respondents (</w:t>
      </w:r>
      <w:r w:rsidR="00F25821">
        <w:rPr>
          <w:color w:val="auto"/>
        </w:rPr>
        <w:t>650</w:t>
      </w:r>
      <w:r w:rsidRPr="00A94975">
        <w:rPr>
          <w:color w:val="auto"/>
        </w:rPr>
        <w:t xml:space="preserve">) </w:t>
      </w:r>
      <w:r w:rsidR="00484EB3">
        <w:rPr>
          <w:color w:val="auto"/>
        </w:rPr>
        <w:t>fili</w:t>
      </w:r>
      <w:r w:rsidRPr="00A94975">
        <w:rPr>
          <w:color w:val="auto"/>
        </w:rPr>
        <w:t xml:space="preserve">ng </w:t>
      </w:r>
      <w:r>
        <w:rPr>
          <w:color w:val="auto"/>
        </w:rPr>
        <w:t xml:space="preserve">the </w:t>
      </w:r>
      <w:r w:rsidR="004C35D3">
        <w:rPr>
          <w:color w:val="auto"/>
        </w:rPr>
        <w:t>Designation of Attorney in Fact</w:t>
      </w:r>
      <w:r w:rsidRPr="00A94975">
        <w:rPr>
          <w:color w:val="auto"/>
        </w:rPr>
        <w:t xml:space="preserve">, multiplied by </w:t>
      </w:r>
      <w:r w:rsidR="006D1164">
        <w:rPr>
          <w:color w:val="auto"/>
        </w:rPr>
        <w:t>four</w:t>
      </w:r>
      <w:r w:rsidR="00484EB3">
        <w:rPr>
          <w:color w:val="auto"/>
        </w:rPr>
        <w:t xml:space="preserve"> (</w:t>
      </w:r>
      <w:r w:rsidR="004C35D3">
        <w:rPr>
          <w:color w:val="auto"/>
        </w:rPr>
        <w:t>4</w:t>
      </w:r>
      <w:r w:rsidR="006D1164">
        <w:rPr>
          <w:color w:val="auto"/>
        </w:rPr>
        <w:t>.0</w:t>
      </w:r>
      <w:r w:rsidRPr="00A94975">
        <w:rPr>
          <w:color w:val="auto"/>
        </w:rPr>
        <w:t>) hours (Time required to collect</w:t>
      </w:r>
      <w:r>
        <w:rPr>
          <w:color w:val="auto"/>
        </w:rPr>
        <w:t xml:space="preserve"> and </w:t>
      </w:r>
      <w:r w:rsidRPr="00A94975">
        <w:rPr>
          <w:color w:val="auto"/>
        </w:rPr>
        <w:t>process) x $</w:t>
      </w:r>
      <w:r w:rsidR="00027E75">
        <w:rPr>
          <w:color w:val="auto"/>
        </w:rPr>
        <w:t>3</w:t>
      </w:r>
      <w:r w:rsidR="00F25821">
        <w:rPr>
          <w:color w:val="auto"/>
        </w:rPr>
        <w:t>4</w:t>
      </w:r>
      <w:r w:rsidR="00027E75" w:rsidRPr="00A94975">
        <w:rPr>
          <w:color w:val="auto"/>
        </w:rPr>
        <w:t xml:space="preserve"> </w:t>
      </w:r>
      <w:r w:rsidRPr="00A94975">
        <w:rPr>
          <w:color w:val="auto"/>
        </w:rPr>
        <w:t>(Suggested average hourly rate for clerical, officer, and managerial time with benefits, plus a percent for the estimated overhead cost for printing, stocking, distributing and processing of this form).</w:t>
      </w:r>
      <w:r w:rsidR="00ED599F">
        <w:rPr>
          <w:rStyle w:val="FootnoteReference"/>
          <w:color w:val="auto"/>
        </w:rPr>
        <w:footnoteReference w:id="3"/>
      </w:r>
      <w:r w:rsidRPr="00A94975">
        <w:rPr>
          <w:color w:val="auto"/>
        </w:rPr>
        <w:t xml:space="preserve">  </w:t>
      </w:r>
    </w:p>
    <w:bookmarkEnd w:id="2"/>
    <w:p w14:paraId="24B7FB5F" w14:textId="77777777" w:rsidR="00E97314" w:rsidRDefault="00E97314" w:rsidP="00E97314">
      <w:pPr>
        <w:pStyle w:val="Default"/>
        <w:jc w:val="both"/>
        <w:rPr>
          <w:color w:val="auto"/>
        </w:rPr>
      </w:pPr>
    </w:p>
    <w:p w14:paraId="4133449A" w14:textId="77777777" w:rsidR="00E97314" w:rsidRPr="00A94975" w:rsidRDefault="00E97314" w:rsidP="00E97314">
      <w:pPr>
        <w:pStyle w:val="Default"/>
        <w:rPr>
          <w:color w:val="auto"/>
        </w:rPr>
      </w:pPr>
    </w:p>
    <w:p w14:paraId="66DBA0A9" w14:textId="77777777" w:rsidR="00E97314" w:rsidRPr="00C267FC" w:rsidRDefault="00E97314" w:rsidP="00E97314">
      <w:pPr>
        <w:tabs>
          <w:tab w:val="left" w:pos="-1440"/>
        </w:tabs>
        <w:ind w:left="720" w:hanging="720"/>
        <w:jc w:val="both"/>
        <w:rPr>
          <w:b/>
        </w:rPr>
      </w:pPr>
      <w:r w:rsidRPr="00C267FC">
        <w:rPr>
          <w:b/>
        </w:rPr>
        <w:t>15.</w:t>
      </w:r>
      <w:r w:rsidRPr="00C267FC">
        <w:rPr>
          <w:b/>
        </w:rPr>
        <w:tab/>
      </w:r>
      <w:r w:rsidRPr="00C267FC">
        <w:rPr>
          <w:b/>
          <w:sz w:val="19"/>
          <w:szCs w:val="19"/>
        </w:rPr>
        <w:t>Explain the reasons for any program changes or adjustments reporting in Items 13 or 14 of the OMB Form 83-I.</w:t>
      </w:r>
    </w:p>
    <w:p w14:paraId="12AF4FA2" w14:textId="77777777" w:rsidR="00E97314" w:rsidRDefault="00E97314" w:rsidP="00E97314">
      <w:pPr>
        <w:pStyle w:val="Default"/>
        <w:ind w:left="720" w:hanging="720"/>
        <w:jc w:val="both"/>
        <w:rPr>
          <w:color w:val="auto"/>
        </w:rPr>
      </w:pPr>
      <w:r w:rsidRPr="00A94975">
        <w:rPr>
          <w:color w:val="auto"/>
        </w:rPr>
        <w:t xml:space="preserve"> </w:t>
      </w:r>
    </w:p>
    <w:p w14:paraId="6A8EC454" w14:textId="2DCED073" w:rsidR="00E97314" w:rsidRPr="00A94975" w:rsidRDefault="00E97314" w:rsidP="004C35D3">
      <w:pPr>
        <w:pStyle w:val="Default"/>
        <w:ind w:left="720"/>
        <w:jc w:val="both"/>
        <w:rPr>
          <w:color w:val="auto"/>
        </w:rPr>
      </w:pPr>
      <w:r>
        <w:rPr>
          <w:color w:val="auto"/>
        </w:rPr>
        <w:t xml:space="preserve">This is a </w:t>
      </w:r>
      <w:r w:rsidR="00E62F74">
        <w:rPr>
          <w:color w:val="auto"/>
        </w:rPr>
        <w:t xml:space="preserve">not a </w:t>
      </w:r>
      <w:r>
        <w:rPr>
          <w:color w:val="auto"/>
        </w:rPr>
        <w:t>new collection;</w:t>
      </w:r>
      <w:r w:rsidRPr="00A94975">
        <w:rPr>
          <w:color w:val="auto"/>
        </w:rPr>
        <w:t xml:space="preserve"> </w:t>
      </w:r>
      <w:r w:rsidR="00E62F74">
        <w:rPr>
          <w:color w:val="auto"/>
        </w:rPr>
        <w:t>ICE Financial Operations had been relying on specific written requests from Obligors to revoke Attorney In Fact desig</w:t>
      </w:r>
      <w:r w:rsidR="00D31660">
        <w:rPr>
          <w:color w:val="auto"/>
        </w:rPr>
        <w:t>n</w:t>
      </w:r>
      <w:r w:rsidR="00E62F74">
        <w:rPr>
          <w:color w:val="auto"/>
        </w:rPr>
        <w:t xml:space="preserve">ations – </w:t>
      </w:r>
      <w:r w:rsidR="00D31660">
        <w:rPr>
          <w:color w:val="auto"/>
        </w:rPr>
        <w:t>the</w:t>
      </w:r>
      <w:r w:rsidR="00E62F74">
        <w:rPr>
          <w:color w:val="auto"/>
        </w:rPr>
        <w:t xml:space="preserve"> I-312</w:t>
      </w:r>
      <w:r w:rsidR="00D31660">
        <w:rPr>
          <w:color w:val="auto"/>
        </w:rPr>
        <w:t>A</w:t>
      </w:r>
      <w:r w:rsidR="00E62F74">
        <w:rPr>
          <w:color w:val="auto"/>
        </w:rPr>
        <w:t xml:space="preserve"> would standardize the collection of this information.</w:t>
      </w:r>
      <w:r w:rsidR="00D31660" w:rsidRPr="00D31660">
        <w:rPr>
          <w:color w:val="auto"/>
        </w:rPr>
        <w:t xml:space="preserve"> There is an increase in burden hours per response from .5 hour to 1 hour to account for time to obtain notary seal which was not captured in the previous OMB submission.  </w:t>
      </w:r>
      <w:r w:rsidR="0015155E">
        <w:rPr>
          <w:color w:val="auto"/>
        </w:rPr>
        <w:t xml:space="preserve">The average fee for a notary increased from $7 to $8.25 </w:t>
      </w:r>
      <w:r w:rsidR="00FF7553">
        <w:rPr>
          <w:color w:val="auto"/>
        </w:rPr>
        <w:t>due to an increase in California from $10 to $15.</w:t>
      </w:r>
    </w:p>
    <w:p w14:paraId="020EB97D" w14:textId="77777777" w:rsidR="00E97314" w:rsidRPr="00A94975" w:rsidRDefault="00E97314" w:rsidP="00E97314">
      <w:pPr>
        <w:pStyle w:val="Default"/>
        <w:ind w:left="720" w:hanging="720"/>
        <w:jc w:val="both"/>
        <w:rPr>
          <w:color w:val="auto"/>
        </w:rPr>
      </w:pPr>
    </w:p>
    <w:p w14:paraId="09EEA444" w14:textId="77777777" w:rsidR="00E97314" w:rsidRPr="00C267FC" w:rsidRDefault="00E97314" w:rsidP="00E97314">
      <w:pPr>
        <w:tabs>
          <w:tab w:val="left" w:pos="-1440"/>
        </w:tabs>
        <w:ind w:left="720" w:hanging="720"/>
        <w:jc w:val="both"/>
        <w:rPr>
          <w:b/>
        </w:rPr>
      </w:pPr>
      <w:r w:rsidRPr="00C267FC">
        <w:rPr>
          <w:b/>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206C7F" w14:textId="77777777" w:rsidR="00E97314" w:rsidRDefault="00E97314" w:rsidP="00E97314">
      <w:pPr>
        <w:pStyle w:val="Default"/>
        <w:ind w:left="720" w:hanging="720"/>
        <w:jc w:val="both"/>
        <w:rPr>
          <w:color w:val="auto"/>
        </w:rPr>
      </w:pPr>
      <w:r w:rsidRPr="00A94975">
        <w:rPr>
          <w:color w:val="auto"/>
        </w:rPr>
        <w:t xml:space="preserve"> </w:t>
      </w:r>
    </w:p>
    <w:p w14:paraId="2DEEF98D" w14:textId="77777777" w:rsidR="00E97314" w:rsidRPr="00A94975" w:rsidRDefault="00E97314" w:rsidP="004C35D3">
      <w:pPr>
        <w:pStyle w:val="Default"/>
        <w:ind w:left="720"/>
        <w:jc w:val="both"/>
        <w:rPr>
          <w:color w:val="auto"/>
        </w:rPr>
      </w:pPr>
      <w:r w:rsidRPr="00A94975">
        <w:rPr>
          <w:color w:val="auto"/>
        </w:rPr>
        <w:t xml:space="preserve">ICE does not intend to employ the use of statistics or the publication thereof for this collection of information. </w:t>
      </w:r>
    </w:p>
    <w:p w14:paraId="43E8745F" w14:textId="77777777" w:rsidR="00E97314" w:rsidRPr="00A94975" w:rsidRDefault="00E97314" w:rsidP="00E97314">
      <w:pPr>
        <w:pStyle w:val="Default"/>
        <w:ind w:left="720" w:hanging="720"/>
        <w:jc w:val="both"/>
        <w:rPr>
          <w:color w:val="auto"/>
        </w:rPr>
      </w:pPr>
    </w:p>
    <w:p w14:paraId="47C5300C" w14:textId="77777777" w:rsidR="00E97314" w:rsidRPr="00C267FC" w:rsidRDefault="00E97314" w:rsidP="00E97314">
      <w:pPr>
        <w:tabs>
          <w:tab w:val="left" w:pos="-1440"/>
        </w:tabs>
        <w:ind w:left="720" w:hanging="720"/>
        <w:jc w:val="both"/>
        <w:rPr>
          <w:b/>
        </w:rPr>
      </w:pPr>
      <w:r w:rsidRPr="00C267FC">
        <w:rPr>
          <w:b/>
        </w:rPr>
        <w:t xml:space="preserve">17. </w:t>
      </w:r>
      <w:r w:rsidRPr="00C267FC">
        <w:rPr>
          <w:b/>
        </w:rPr>
        <w:tab/>
      </w:r>
      <w:r w:rsidRPr="00C267FC">
        <w:rPr>
          <w:b/>
          <w:sz w:val="19"/>
          <w:szCs w:val="19"/>
        </w:rPr>
        <w:t>If seeking approval to not display the expiration date for OMB approval of the information collection, explain the reasons that display would be inappropriate.</w:t>
      </w:r>
    </w:p>
    <w:p w14:paraId="72D1221C" w14:textId="77777777" w:rsidR="00E97314" w:rsidRDefault="00E97314" w:rsidP="00E97314">
      <w:pPr>
        <w:pStyle w:val="Default"/>
        <w:ind w:left="720" w:hanging="720"/>
        <w:jc w:val="both"/>
        <w:rPr>
          <w:color w:val="auto"/>
        </w:rPr>
      </w:pPr>
    </w:p>
    <w:p w14:paraId="5C167FA3" w14:textId="77777777" w:rsidR="00E97314" w:rsidRPr="00A94975" w:rsidRDefault="00E97314" w:rsidP="00304560">
      <w:pPr>
        <w:pStyle w:val="Default"/>
        <w:ind w:left="720"/>
        <w:jc w:val="both"/>
        <w:rPr>
          <w:color w:val="auto"/>
        </w:rPr>
      </w:pPr>
      <w:r w:rsidRPr="00A94975">
        <w:rPr>
          <w:color w:val="auto"/>
        </w:rPr>
        <w:t xml:space="preserve">ICE will display the expiration date for OMB approval of this information collection. </w:t>
      </w:r>
    </w:p>
    <w:p w14:paraId="662B669B" w14:textId="77777777" w:rsidR="00E97314" w:rsidRPr="00A94975" w:rsidRDefault="00E97314" w:rsidP="00E97314">
      <w:pPr>
        <w:pStyle w:val="Default"/>
        <w:rPr>
          <w:color w:val="auto"/>
        </w:rPr>
      </w:pPr>
    </w:p>
    <w:p w14:paraId="2A0C32B5" w14:textId="77777777" w:rsidR="00E97314" w:rsidRPr="00C267FC" w:rsidRDefault="00E97314" w:rsidP="00E97314">
      <w:pPr>
        <w:tabs>
          <w:tab w:val="left" w:pos="-1440"/>
        </w:tabs>
        <w:ind w:left="720" w:hanging="72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14:paraId="310220E6" w14:textId="77777777" w:rsidR="00E97314" w:rsidRDefault="00E97314" w:rsidP="00E97314">
      <w:pPr>
        <w:pStyle w:val="Default"/>
        <w:rPr>
          <w:color w:val="auto"/>
        </w:rPr>
      </w:pPr>
      <w:r w:rsidRPr="00A94975">
        <w:rPr>
          <w:color w:val="auto"/>
        </w:rPr>
        <w:t xml:space="preserve"> </w:t>
      </w:r>
    </w:p>
    <w:p w14:paraId="39B4D48C" w14:textId="77777777" w:rsidR="00E97314" w:rsidRDefault="00E97314" w:rsidP="00304560">
      <w:pPr>
        <w:pStyle w:val="Default"/>
        <w:ind w:left="720"/>
      </w:pPr>
      <w:r w:rsidRPr="00A94975">
        <w:t xml:space="preserve">ICE does not request an exception to the certification of this information collection. </w:t>
      </w:r>
    </w:p>
    <w:sectPr w:rsidR="00E973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5B131" w14:textId="77777777" w:rsidR="00F850C3" w:rsidRDefault="00F850C3">
      <w:r>
        <w:separator/>
      </w:r>
    </w:p>
  </w:endnote>
  <w:endnote w:type="continuationSeparator" w:id="0">
    <w:p w14:paraId="46131137" w14:textId="77777777" w:rsidR="00F850C3" w:rsidRDefault="00F8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727E4" w14:textId="77777777" w:rsidR="00F850C3" w:rsidRDefault="00F850C3">
      <w:r>
        <w:separator/>
      </w:r>
    </w:p>
  </w:footnote>
  <w:footnote w:type="continuationSeparator" w:id="0">
    <w:p w14:paraId="79BFA823" w14:textId="77777777" w:rsidR="00F850C3" w:rsidRDefault="00F850C3">
      <w:r>
        <w:continuationSeparator/>
      </w:r>
    </w:p>
  </w:footnote>
  <w:footnote w:id="1">
    <w:p w14:paraId="26E38BF7" w14:textId="40C2EB5C" w:rsidR="00F1735C" w:rsidRDefault="00F1735C" w:rsidP="00F1735C">
      <w:pPr>
        <w:pStyle w:val="FootnoteText"/>
      </w:pPr>
      <w:r>
        <w:rPr>
          <w:rStyle w:val="FootnoteReference"/>
        </w:rPr>
        <w:footnoteRef/>
      </w:r>
      <w:r>
        <w:t xml:space="preserve"> All occupation </w:t>
      </w:r>
      <w:r w:rsidR="00365AAC">
        <w:t>mean</w:t>
      </w:r>
      <w:r>
        <w:t xml:space="preserve"> wage from Bureau of Labor Statistics (BLS) Occupational Employment Statistics May 2017 release, </w:t>
      </w:r>
      <w:hyperlink r:id="rId1" w:history="1">
        <w:r w:rsidRPr="000C5BEE">
          <w:rPr>
            <w:rStyle w:val="Hyperlink"/>
          </w:rPr>
          <w:t>https://www.bls.gov/oes/2017/may/oes_nat.htm</w:t>
        </w:r>
      </w:hyperlink>
      <w:r>
        <w:t xml:space="preserve">. The </w:t>
      </w:r>
      <w:r w:rsidRPr="00655505">
        <w:t>average hourly loaded wage rate is calculated</w:t>
      </w:r>
      <w:r w:rsidR="00C214B9">
        <w:t xml:space="preserve"> as $34.97,</w:t>
      </w:r>
      <w:r w:rsidRPr="00655505">
        <w:t xml:space="preserve"> using the percentage of wages and </w:t>
      </w:r>
      <w:r w:rsidR="00C214B9">
        <w:t>salaries to total compensation</w:t>
      </w:r>
      <w:r w:rsidR="00F25821">
        <w:t xml:space="preserve"> for private industry</w:t>
      </w:r>
      <w:r w:rsidR="00C214B9">
        <w:t xml:space="preserve">, </w:t>
      </w:r>
      <w:r w:rsidR="00CC5F88">
        <w:t xml:space="preserve">as reported </w:t>
      </w:r>
      <w:r w:rsidR="00C214B9">
        <w:t xml:space="preserve">by </w:t>
      </w:r>
      <w:r>
        <w:t>BLS</w:t>
      </w:r>
      <w:r w:rsidRPr="00655505">
        <w:t xml:space="preserve">, Employer Costs for Employee Compensation, </w:t>
      </w:r>
      <w:r w:rsidR="00C214B9">
        <w:t xml:space="preserve">released </w:t>
      </w:r>
      <w:r>
        <w:t>September</w:t>
      </w:r>
      <w:r w:rsidRPr="00655505">
        <w:t xml:space="preserve"> </w:t>
      </w:r>
      <w:r>
        <w:t>1</w:t>
      </w:r>
      <w:r w:rsidR="00C214B9">
        <w:t>8, 2018 for</w:t>
      </w:r>
      <w:r w:rsidRPr="00655505">
        <w:t xml:space="preserve"> </w:t>
      </w:r>
      <w:r>
        <w:t>June</w:t>
      </w:r>
      <w:r w:rsidRPr="00655505">
        <w:t xml:space="preserve"> 2018, </w:t>
      </w:r>
      <w:hyperlink r:id="rId2" w:history="1">
        <w:r w:rsidR="00C214B9" w:rsidRPr="000C5BEE">
          <w:rPr>
            <w:rStyle w:val="Hyperlink"/>
          </w:rPr>
          <w:t>https://www.bls.gov/news.release/ecec.t05.htm</w:t>
        </w:r>
      </w:hyperlink>
      <w:r w:rsidR="00C214B9">
        <w:t xml:space="preserve"> </w:t>
      </w:r>
      <w:r w:rsidRPr="00655505">
        <w:t xml:space="preserve">. </w:t>
      </w:r>
      <w:r>
        <w:t>Foreign workers earn 82.5</w:t>
      </w:r>
      <w:r w:rsidR="0043364B">
        <w:t xml:space="preserve"> percent</w:t>
      </w:r>
      <w:r>
        <w:t xml:space="preserve"> of native born workers as reported by BLS</w:t>
      </w:r>
      <w:r w:rsidR="00CC5F88">
        <w:t xml:space="preserve"> from</w:t>
      </w:r>
      <w:r>
        <w:t xml:space="preserve"> the Current Population Survey for 2017, in table 5 of the news release, </w:t>
      </w:r>
      <w:hyperlink r:id="rId3" w:history="1">
        <w:r w:rsidR="00C214B9" w:rsidRPr="000C5BEE">
          <w:rPr>
            <w:rStyle w:val="Hyperlink"/>
          </w:rPr>
          <w:t>https://www.bls.gov/news.release/pdf/forbrn.pdf</w:t>
        </w:r>
      </w:hyperlink>
      <w:r w:rsidR="00C214B9">
        <w:t>, and was applied to the loaded wage estimated for all occupations</w:t>
      </w:r>
      <w:r w:rsidR="00F25821">
        <w:t>, resulting in an hourly wage of $29,85 rounded up to $29 per hour.</w:t>
      </w:r>
      <w:r w:rsidRPr="00655505">
        <w:t xml:space="preserve">    </w:t>
      </w:r>
    </w:p>
  </w:footnote>
  <w:footnote w:id="2">
    <w:p w14:paraId="027D3E74" w14:textId="77777777" w:rsidR="00C214B9" w:rsidRDefault="00C214B9" w:rsidP="00C214B9">
      <w:pPr>
        <w:pStyle w:val="FootnoteText"/>
      </w:pPr>
      <w:r>
        <w:rPr>
          <w:rStyle w:val="FootnoteReference"/>
        </w:rPr>
        <w:footnoteRef/>
      </w:r>
      <w:r>
        <w:t xml:space="preserve"> California increased the maximum fee from $10 to $15 in January 2017, as reported by the California Secretary of State in the January 2017 Newsletter, </w:t>
      </w:r>
      <w:r w:rsidRPr="00ED599F">
        <w:t>https://notary.cdn.sos.ca.gov/forms/notary-newsletter-2017.pdf</w:t>
      </w:r>
    </w:p>
  </w:footnote>
  <w:footnote w:id="3">
    <w:p w14:paraId="19D192B4" w14:textId="77777777" w:rsidR="00ED599F" w:rsidRDefault="00ED599F">
      <w:pPr>
        <w:pStyle w:val="FootnoteText"/>
      </w:pPr>
      <w:r>
        <w:rPr>
          <w:rStyle w:val="FootnoteReference"/>
        </w:rPr>
        <w:footnoteRef/>
      </w:r>
      <w:r>
        <w:t xml:space="preserve"> Hourly wage rate for a federal employee GS-07 step 07, $20.62, </w:t>
      </w:r>
      <w:hyperlink r:id="rId4" w:history="1">
        <w:r w:rsidRPr="003C43D7">
          <w:rPr>
            <w:rStyle w:val="Hyperlink"/>
          </w:rPr>
          <w:t>https://www.opm.gov/policy-data-oversight/pay-leave/salaries-wages/salary-tables/pdf/2018/GS_h.pdf</w:t>
        </w:r>
      </w:hyperlink>
    </w:p>
    <w:p w14:paraId="55F59AFA" w14:textId="019EAD4F" w:rsidR="00F25821" w:rsidRDefault="00F25821" w:rsidP="00F25821">
      <w:pPr>
        <w:pStyle w:val="FootnoteText"/>
      </w:pPr>
      <w:r w:rsidRPr="00F25821">
        <w:t xml:space="preserve"> </w:t>
      </w:r>
      <w:r>
        <w:t xml:space="preserve">The </w:t>
      </w:r>
      <w:r w:rsidRPr="00655505">
        <w:t>average hourly loaded wage rate is calculated</w:t>
      </w:r>
      <w:r>
        <w:t xml:space="preserve"> as $30.19,</w:t>
      </w:r>
      <w:r w:rsidRPr="00655505">
        <w:t xml:space="preserve"> using the percentage of wages and </w:t>
      </w:r>
      <w:r>
        <w:t>salaries to total compensation for civilian workers, as reported by BLS</w:t>
      </w:r>
      <w:r w:rsidRPr="00655505">
        <w:t xml:space="preserve">, Employer Costs for Employee Compensation, </w:t>
      </w:r>
      <w:r>
        <w:t>released September</w:t>
      </w:r>
      <w:r w:rsidRPr="00655505">
        <w:t xml:space="preserve"> </w:t>
      </w:r>
      <w:r>
        <w:t>18, 2018 for</w:t>
      </w:r>
      <w:r w:rsidRPr="00655505">
        <w:t xml:space="preserve"> </w:t>
      </w:r>
      <w:r>
        <w:t>June</w:t>
      </w:r>
      <w:r w:rsidRPr="00655505">
        <w:t xml:space="preserve"> 2018, </w:t>
      </w:r>
      <w:hyperlink r:id="rId5" w:history="1">
        <w:r w:rsidRPr="006D2E4A">
          <w:rPr>
            <w:rStyle w:val="Hyperlink"/>
          </w:rPr>
          <w:t>https://www.bls.gov/news.release/ecec.t01.htm</w:t>
        </w:r>
      </w:hyperlink>
      <w:r>
        <w:t xml:space="preserve"> ,</w:t>
      </w:r>
    </w:p>
    <w:p w14:paraId="17F5BD77" w14:textId="061199A4" w:rsidR="00027E75" w:rsidRDefault="00F25821" w:rsidP="00F25821">
      <w:pPr>
        <w:pStyle w:val="FootnoteText"/>
      </w:pPr>
      <w:r>
        <w:t>Overhead rate of 12</w:t>
      </w:r>
      <w:r w:rsidR="0043364B">
        <w:t xml:space="preserve"> percent</w:t>
      </w:r>
      <w:r>
        <w:t xml:space="preserve"> was added to the loaded wage to arrive at an hourly rate of $34; the 12</w:t>
      </w:r>
      <w:r w:rsidR="0043364B">
        <w:t xml:space="preserve"> percent</w:t>
      </w:r>
      <w:r>
        <w:t xml:space="preserve"> overhead reflects indirect expenses as reported in OMB Circular A76, </w:t>
      </w:r>
      <w:hyperlink r:id="rId6" w:history="1">
        <w:r w:rsidRPr="006D2E4A">
          <w:rPr>
            <w:rStyle w:val="Hyperlink"/>
          </w:rPr>
          <w:t>https://www.whitehouse.gov/sites/whitehouse.gov/files/omb/circulars/A76/a76_incl_tech_correction.pdf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F51"/>
    <w:multiLevelType w:val="hybridMultilevel"/>
    <w:tmpl w:val="1AA206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3E23F8"/>
    <w:multiLevelType w:val="hybridMultilevel"/>
    <w:tmpl w:val="4A9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A448E"/>
    <w:multiLevelType w:val="hybridMultilevel"/>
    <w:tmpl w:val="5E60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D50622"/>
    <w:multiLevelType w:val="hybridMultilevel"/>
    <w:tmpl w:val="F094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5">
    <w:nsid w:val="65D268EB"/>
    <w:multiLevelType w:val="hybridMultilevel"/>
    <w:tmpl w:val="9CB206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894741"/>
    <w:multiLevelType w:val="hybridMultilevel"/>
    <w:tmpl w:val="A3EC35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14"/>
    <w:rsid w:val="000225A9"/>
    <w:rsid w:val="00025437"/>
    <w:rsid w:val="00027B4C"/>
    <w:rsid w:val="00027E75"/>
    <w:rsid w:val="00030126"/>
    <w:rsid w:val="00031F89"/>
    <w:rsid w:val="00042262"/>
    <w:rsid w:val="000537A6"/>
    <w:rsid w:val="0006611D"/>
    <w:rsid w:val="00075C16"/>
    <w:rsid w:val="000F3D5B"/>
    <w:rsid w:val="00126C6D"/>
    <w:rsid w:val="001410B3"/>
    <w:rsid w:val="0015155E"/>
    <w:rsid w:val="001B492D"/>
    <w:rsid w:val="001C0896"/>
    <w:rsid w:val="001D1604"/>
    <w:rsid w:val="001E04B7"/>
    <w:rsid w:val="0023591E"/>
    <w:rsid w:val="002545D2"/>
    <w:rsid w:val="002569AA"/>
    <w:rsid w:val="00261F01"/>
    <w:rsid w:val="00263833"/>
    <w:rsid w:val="00266B36"/>
    <w:rsid w:val="002D0926"/>
    <w:rsid w:val="002E7B4F"/>
    <w:rsid w:val="00304560"/>
    <w:rsid w:val="00343FE1"/>
    <w:rsid w:val="00357FF6"/>
    <w:rsid w:val="00365AAC"/>
    <w:rsid w:val="003C0883"/>
    <w:rsid w:val="003C5A83"/>
    <w:rsid w:val="003F0E54"/>
    <w:rsid w:val="00411ED5"/>
    <w:rsid w:val="004234BF"/>
    <w:rsid w:val="004335DD"/>
    <w:rsid w:val="0043364B"/>
    <w:rsid w:val="00446BC3"/>
    <w:rsid w:val="00475F25"/>
    <w:rsid w:val="00484EB3"/>
    <w:rsid w:val="00495132"/>
    <w:rsid w:val="004C35D3"/>
    <w:rsid w:val="004D28F2"/>
    <w:rsid w:val="004E2C1F"/>
    <w:rsid w:val="004F12A3"/>
    <w:rsid w:val="005006C3"/>
    <w:rsid w:val="0050362D"/>
    <w:rsid w:val="00510B01"/>
    <w:rsid w:val="00531F1A"/>
    <w:rsid w:val="00541234"/>
    <w:rsid w:val="005705AF"/>
    <w:rsid w:val="00591069"/>
    <w:rsid w:val="0062487C"/>
    <w:rsid w:val="00647F29"/>
    <w:rsid w:val="00655505"/>
    <w:rsid w:val="00657C70"/>
    <w:rsid w:val="00676872"/>
    <w:rsid w:val="00692686"/>
    <w:rsid w:val="006A6BDF"/>
    <w:rsid w:val="006D1164"/>
    <w:rsid w:val="006D716A"/>
    <w:rsid w:val="006E63A3"/>
    <w:rsid w:val="006F7638"/>
    <w:rsid w:val="007008E8"/>
    <w:rsid w:val="00724F92"/>
    <w:rsid w:val="00764948"/>
    <w:rsid w:val="00781582"/>
    <w:rsid w:val="00783B49"/>
    <w:rsid w:val="007925AC"/>
    <w:rsid w:val="007B18C1"/>
    <w:rsid w:val="007B3A99"/>
    <w:rsid w:val="007D1903"/>
    <w:rsid w:val="007D75C8"/>
    <w:rsid w:val="007E2EC1"/>
    <w:rsid w:val="007F227F"/>
    <w:rsid w:val="007F631F"/>
    <w:rsid w:val="00824722"/>
    <w:rsid w:val="00846F2E"/>
    <w:rsid w:val="008637D4"/>
    <w:rsid w:val="0087177C"/>
    <w:rsid w:val="00886DD2"/>
    <w:rsid w:val="008A03ED"/>
    <w:rsid w:val="008B3B34"/>
    <w:rsid w:val="008D334E"/>
    <w:rsid w:val="008F4912"/>
    <w:rsid w:val="0096140E"/>
    <w:rsid w:val="00987BD8"/>
    <w:rsid w:val="009A3DD6"/>
    <w:rsid w:val="009A4371"/>
    <w:rsid w:val="009F08F8"/>
    <w:rsid w:val="009F33E4"/>
    <w:rsid w:val="00A3015F"/>
    <w:rsid w:val="00A60A70"/>
    <w:rsid w:val="00A727B1"/>
    <w:rsid w:val="00A97606"/>
    <w:rsid w:val="00AA05DF"/>
    <w:rsid w:val="00AB512A"/>
    <w:rsid w:val="00AD320A"/>
    <w:rsid w:val="00AF2F8B"/>
    <w:rsid w:val="00AF493B"/>
    <w:rsid w:val="00B108D1"/>
    <w:rsid w:val="00B47FB2"/>
    <w:rsid w:val="00B53C5A"/>
    <w:rsid w:val="00B64AFB"/>
    <w:rsid w:val="00BB34AF"/>
    <w:rsid w:val="00C214B9"/>
    <w:rsid w:val="00C22895"/>
    <w:rsid w:val="00C27BA5"/>
    <w:rsid w:val="00C3788F"/>
    <w:rsid w:val="00C74037"/>
    <w:rsid w:val="00CB0B88"/>
    <w:rsid w:val="00CC5F88"/>
    <w:rsid w:val="00CD1188"/>
    <w:rsid w:val="00CE794E"/>
    <w:rsid w:val="00CF2C96"/>
    <w:rsid w:val="00CF49A1"/>
    <w:rsid w:val="00CF7241"/>
    <w:rsid w:val="00D13A60"/>
    <w:rsid w:val="00D3059D"/>
    <w:rsid w:val="00D31660"/>
    <w:rsid w:val="00D31AE4"/>
    <w:rsid w:val="00D55327"/>
    <w:rsid w:val="00D553CC"/>
    <w:rsid w:val="00D55CC3"/>
    <w:rsid w:val="00D674D4"/>
    <w:rsid w:val="00D8205F"/>
    <w:rsid w:val="00DB1011"/>
    <w:rsid w:val="00DB1309"/>
    <w:rsid w:val="00DC2CDF"/>
    <w:rsid w:val="00DD06A5"/>
    <w:rsid w:val="00DE4623"/>
    <w:rsid w:val="00DE697C"/>
    <w:rsid w:val="00DF096F"/>
    <w:rsid w:val="00E07236"/>
    <w:rsid w:val="00E219B1"/>
    <w:rsid w:val="00E27717"/>
    <w:rsid w:val="00E46A6A"/>
    <w:rsid w:val="00E62F74"/>
    <w:rsid w:val="00E97314"/>
    <w:rsid w:val="00EA2709"/>
    <w:rsid w:val="00EB3DED"/>
    <w:rsid w:val="00EC5288"/>
    <w:rsid w:val="00ED4BED"/>
    <w:rsid w:val="00ED599F"/>
    <w:rsid w:val="00EF5B27"/>
    <w:rsid w:val="00F1735C"/>
    <w:rsid w:val="00F25821"/>
    <w:rsid w:val="00F53960"/>
    <w:rsid w:val="00F564DC"/>
    <w:rsid w:val="00F57CA8"/>
    <w:rsid w:val="00F82069"/>
    <w:rsid w:val="00F850C3"/>
    <w:rsid w:val="00F934CE"/>
    <w:rsid w:val="00FC3FA4"/>
    <w:rsid w:val="00FC4A9F"/>
    <w:rsid w:val="00FE3BE2"/>
    <w:rsid w:val="00FF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D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paragraph" w:styleId="BalloonText">
    <w:name w:val="Balloon Text"/>
    <w:basedOn w:val="Normal"/>
    <w:link w:val="BalloonTextChar"/>
    <w:rsid w:val="00AF2F8B"/>
    <w:rPr>
      <w:rFonts w:ascii="Tahoma" w:hAnsi="Tahoma" w:cs="Tahoma"/>
      <w:sz w:val="16"/>
      <w:szCs w:val="16"/>
    </w:rPr>
  </w:style>
  <w:style w:type="character" w:customStyle="1" w:styleId="BalloonTextChar">
    <w:name w:val="Balloon Text Char"/>
    <w:link w:val="BalloonText"/>
    <w:rsid w:val="00AF2F8B"/>
    <w:rPr>
      <w:rFonts w:ascii="Tahoma" w:hAnsi="Tahoma" w:cs="Tahoma"/>
      <w:snapToGrid w:val="0"/>
      <w:sz w:val="16"/>
      <w:szCs w:val="16"/>
    </w:rPr>
  </w:style>
  <w:style w:type="character" w:styleId="CommentReference">
    <w:name w:val="annotation reference"/>
    <w:rsid w:val="00075C16"/>
    <w:rPr>
      <w:sz w:val="16"/>
      <w:szCs w:val="16"/>
    </w:rPr>
  </w:style>
  <w:style w:type="paragraph" w:styleId="CommentText">
    <w:name w:val="annotation text"/>
    <w:basedOn w:val="Normal"/>
    <w:link w:val="CommentTextChar"/>
    <w:rsid w:val="00075C16"/>
    <w:rPr>
      <w:sz w:val="20"/>
    </w:rPr>
  </w:style>
  <w:style w:type="character" w:customStyle="1" w:styleId="CommentTextChar">
    <w:name w:val="Comment Text Char"/>
    <w:link w:val="CommentText"/>
    <w:rsid w:val="00075C16"/>
    <w:rPr>
      <w:snapToGrid w:val="0"/>
    </w:rPr>
  </w:style>
  <w:style w:type="paragraph" w:styleId="CommentSubject">
    <w:name w:val="annotation subject"/>
    <w:basedOn w:val="CommentText"/>
    <w:next w:val="CommentText"/>
    <w:link w:val="CommentSubjectChar"/>
    <w:rsid w:val="00075C16"/>
    <w:rPr>
      <w:b/>
      <w:bCs/>
    </w:rPr>
  </w:style>
  <w:style w:type="character" w:customStyle="1" w:styleId="CommentSubjectChar">
    <w:name w:val="Comment Subject Char"/>
    <w:link w:val="CommentSubject"/>
    <w:rsid w:val="00075C16"/>
    <w:rPr>
      <w:b/>
      <w:bCs/>
      <w:snapToGrid w:val="0"/>
    </w:rPr>
  </w:style>
  <w:style w:type="character" w:styleId="Hyperlink">
    <w:name w:val="Hyperlink"/>
    <w:rsid w:val="000225A9"/>
    <w:rPr>
      <w:color w:val="0563C1"/>
      <w:u w:val="single"/>
    </w:rPr>
  </w:style>
  <w:style w:type="character" w:customStyle="1" w:styleId="UnresolvedMention">
    <w:name w:val="Unresolved Mention"/>
    <w:uiPriority w:val="99"/>
    <w:semiHidden/>
    <w:unhideWhenUsed/>
    <w:rsid w:val="000225A9"/>
    <w:rPr>
      <w:color w:val="808080"/>
      <w:shd w:val="clear" w:color="auto" w:fill="E6E6E6"/>
    </w:rPr>
  </w:style>
  <w:style w:type="character" w:styleId="FollowedHyperlink">
    <w:name w:val="FollowedHyperlink"/>
    <w:rsid w:val="0015155E"/>
    <w:rPr>
      <w:color w:val="954F72"/>
      <w:u w:val="single"/>
    </w:rPr>
  </w:style>
  <w:style w:type="paragraph" w:styleId="FootnoteText">
    <w:name w:val="footnote text"/>
    <w:basedOn w:val="Normal"/>
    <w:link w:val="FootnoteTextChar"/>
    <w:rsid w:val="00655505"/>
    <w:rPr>
      <w:sz w:val="20"/>
    </w:rPr>
  </w:style>
  <w:style w:type="character" w:customStyle="1" w:styleId="FootnoteTextChar">
    <w:name w:val="Footnote Text Char"/>
    <w:link w:val="FootnoteText"/>
    <w:rsid w:val="00655505"/>
    <w:rPr>
      <w:snapToGrid w:val="0"/>
    </w:rPr>
  </w:style>
  <w:style w:type="character" w:styleId="FootnoteReference">
    <w:name w:val="footnote reference"/>
    <w:rsid w:val="00655505"/>
    <w:rPr>
      <w:vertAlign w:val="superscript"/>
    </w:rPr>
  </w:style>
  <w:style w:type="paragraph" w:styleId="Revision">
    <w:name w:val="Revision"/>
    <w:hidden/>
    <w:uiPriority w:val="99"/>
    <w:semiHidden/>
    <w:rsid w:val="00365AAC"/>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paragraph" w:styleId="BalloonText">
    <w:name w:val="Balloon Text"/>
    <w:basedOn w:val="Normal"/>
    <w:link w:val="BalloonTextChar"/>
    <w:rsid w:val="00AF2F8B"/>
    <w:rPr>
      <w:rFonts w:ascii="Tahoma" w:hAnsi="Tahoma" w:cs="Tahoma"/>
      <w:sz w:val="16"/>
      <w:szCs w:val="16"/>
    </w:rPr>
  </w:style>
  <w:style w:type="character" w:customStyle="1" w:styleId="BalloonTextChar">
    <w:name w:val="Balloon Text Char"/>
    <w:link w:val="BalloonText"/>
    <w:rsid w:val="00AF2F8B"/>
    <w:rPr>
      <w:rFonts w:ascii="Tahoma" w:hAnsi="Tahoma" w:cs="Tahoma"/>
      <w:snapToGrid w:val="0"/>
      <w:sz w:val="16"/>
      <w:szCs w:val="16"/>
    </w:rPr>
  </w:style>
  <w:style w:type="character" w:styleId="CommentReference">
    <w:name w:val="annotation reference"/>
    <w:rsid w:val="00075C16"/>
    <w:rPr>
      <w:sz w:val="16"/>
      <w:szCs w:val="16"/>
    </w:rPr>
  </w:style>
  <w:style w:type="paragraph" w:styleId="CommentText">
    <w:name w:val="annotation text"/>
    <w:basedOn w:val="Normal"/>
    <w:link w:val="CommentTextChar"/>
    <w:rsid w:val="00075C16"/>
    <w:rPr>
      <w:sz w:val="20"/>
    </w:rPr>
  </w:style>
  <w:style w:type="character" w:customStyle="1" w:styleId="CommentTextChar">
    <w:name w:val="Comment Text Char"/>
    <w:link w:val="CommentText"/>
    <w:rsid w:val="00075C16"/>
    <w:rPr>
      <w:snapToGrid w:val="0"/>
    </w:rPr>
  </w:style>
  <w:style w:type="paragraph" w:styleId="CommentSubject">
    <w:name w:val="annotation subject"/>
    <w:basedOn w:val="CommentText"/>
    <w:next w:val="CommentText"/>
    <w:link w:val="CommentSubjectChar"/>
    <w:rsid w:val="00075C16"/>
    <w:rPr>
      <w:b/>
      <w:bCs/>
    </w:rPr>
  </w:style>
  <w:style w:type="character" w:customStyle="1" w:styleId="CommentSubjectChar">
    <w:name w:val="Comment Subject Char"/>
    <w:link w:val="CommentSubject"/>
    <w:rsid w:val="00075C16"/>
    <w:rPr>
      <w:b/>
      <w:bCs/>
      <w:snapToGrid w:val="0"/>
    </w:rPr>
  </w:style>
  <w:style w:type="character" w:styleId="Hyperlink">
    <w:name w:val="Hyperlink"/>
    <w:rsid w:val="000225A9"/>
    <w:rPr>
      <w:color w:val="0563C1"/>
      <w:u w:val="single"/>
    </w:rPr>
  </w:style>
  <w:style w:type="character" w:customStyle="1" w:styleId="UnresolvedMention">
    <w:name w:val="Unresolved Mention"/>
    <w:uiPriority w:val="99"/>
    <w:semiHidden/>
    <w:unhideWhenUsed/>
    <w:rsid w:val="000225A9"/>
    <w:rPr>
      <w:color w:val="808080"/>
      <w:shd w:val="clear" w:color="auto" w:fill="E6E6E6"/>
    </w:rPr>
  </w:style>
  <w:style w:type="character" w:styleId="FollowedHyperlink">
    <w:name w:val="FollowedHyperlink"/>
    <w:rsid w:val="0015155E"/>
    <w:rPr>
      <w:color w:val="954F72"/>
      <w:u w:val="single"/>
    </w:rPr>
  </w:style>
  <w:style w:type="paragraph" w:styleId="FootnoteText">
    <w:name w:val="footnote text"/>
    <w:basedOn w:val="Normal"/>
    <w:link w:val="FootnoteTextChar"/>
    <w:rsid w:val="00655505"/>
    <w:rPr>
      <w:sz w:val="20"/>
    </w:rPr>
  </w:style>
  <w:style w:type="character" w:customStyle="1" w:styleId="FootnoteTextChar">
    <w:name w:val="Footnote Text Char"/>
    <w:link w:val="FootnoteText"/>
    <w:rsid w:val="00655505"/>
    <w:rPr>
      <w:snapToGrid w:val="0"/>
    </w:rPr>
  </w:style>
  <w:style w:type="character" w:styleId="FootnoteReference">
    <w:name w:val="footnote reference"/>
    <w:rsid w:val="00655505"/>
    <w:rPr>
      <w:vertAlign w:val="superscript"/>
    </w:rPr>
  </w:style>
  <w:style w:type="paragraph" w:styleId="Revision">
    <w:name w:val="Revision"/>
    <w:hidden/>
    <w:uiPriority w:val="99"/>
    <w:semiHidden/>
    <w:rsid w:val="00365AA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forbrn.pdf" TargetMode="External"/><Relationship Id="rId2" Type="http://schemas.openxmlformats.org/officeDocument/2006/relationships/hyperlink" Target="https://www.bls.gov/news.release/ecec.t05.htm" TargetMode="External"/><Relationship Id="rId1" Type="http://schemas.openxmlformats.org/officeDocument/2006/relationships/hyperlink" Target="https://www.bls.gov/oes/2017/may/oes_nat.htm" TargetMode="External"/><Relationship Id="rId6" Type="http://schemas.openxmlformats.org/officeDocument/2006/relationships/hyperlink" Target="https://www.whitehouse.gov/sites/whitehouse.gov/files/omb/circulars/A76/a76_incl_tech_correction.pdf" TargetMode="External"/><Relationship Id="rId5" Type="http://schemas.openxmlformats.org/officeDocument/2006/relationships/hyperlink" Target="https://www.bls.gov/news.release/ecec.t01.htm" TargetMode="External"/><Relationship Id="rId4"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9CF2-0308-4DB2-85AF-6F159D49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DHS</Company>
  <LinksUpToDate>false</LinksUpToDate>
  <CharactersWithSpaces>17570</CharactersWithSpaces>
  <SharedDoc>false</SharedDoc>
  <HLinks>
    <vt:vector size="48" baseType="variant">
      <vt:variant>
        <vt:i4>4063248</vt:i4>
      </vt:variant>
      <vt:variant>
        <vt:i4>9</vt:i4>
      </vt:variant>
      <vt:variant>
        <vt:i4>0</vt:i4>
      </vt:variant>
      <vt:variant>
        <vt:i4>5</vt:i4>
      </vt:variant>
      <vt:variant>
        <vt:lpwstr>https://www.opm.gov/policy-data-oversight/pay-leave/salaries-wages/salary-tables/pdf/2018/GS_h.pdf</vt:lpwstr>
      </vt:variant>
      <vt:variant>
        <vt:lpwstr/>
      </vt:variant>
      <vt:variant>
        <vt:i4>8126579</vt:i4>
      </vt:variant>
      <vt:variant>
        <vt:i4>6</vt:i4>
      </vt:variant>
      <vt:variant>
        <vt:i4>0</vt:i4>
      </vt:variant>
      <vt:variant>
        <vt:i4>5</vt:i4>
      </vt:variant>
      <vt:variant>
        <vt:lpwstr>https://www.bls.gov/news.release/pdf/forbrn.pdf</vt:lpwstr>
      </vt:variant>
      <vt:variant>
        <vt:lpwstr/>
      </vt:variant>
      <vt:variant>
        <vt:i4>131074</vt:i4>
      </vt:variant>
      <vt:variant>
        <vt:i4>3</vt:i4>
      </vt:variant>
      <vt:variant>
        <vt:i4>0</vt:i4>
      </vt:variant>
      <vt:variant>
        <vt:i4>5</vt:i4>
      </vt:variant>
      <vt:variant>
        <vt:lpwstr>https://www.bls.gov/news.release/ecec.t05.htm</vt:lpwstr>
      </vt:variant>
      <vt:variant>
        <vt:lpwstr/>
      </vt:variant>
      <vt:variant>
        <vt:i4>1048639</vt:i4>
      </vt:variant>
      <vt:variant>
        <vt:i4>0</vt:i4>
      </vt:variant>
      <vt:variant>
        <vt:i4>0</vt:i4>
      </vt:variant>
      <vt:variant>
        <vt:i4>5</vt:i4>
      </vt:variant>
      <vt:variant>
        <vt:lpwstr>https://www.bls.gov/oes/2017/may/oes_nat.htm</vt:lpwstr>
      </vt:variant>
      <vt:variant>
        <vt:lpwstr/>
      </vt:variant>
      <vt:variant>
        <vt:i4>4063248</vt:i4>
      </vt:variant>
      <vt:variant>
        <vt:i4>9</vt:i4>
      </vt:variant>
      <vt:variant>
        <vt:i4>0</vt:i4>
      </vt:variant>
      <vt:variant>
        <vt:i4>5</vt:i4>
      </vt:variant>
      <vt:variant>
        <vt:lpwstr>https://www.opm.gov/policy-data-oversight/pay-leave/salaries-wages/salary-tables/pdf/2018/GS_h.pdf</vt:lpwstr>
      </vt:variant>
      <vt:variant>
        <vt:lpwstr/>
      </vt:variant>
      <vt:variant>
        <vt:i4>2424929</vt:i4>
      </vt:variant>
      <vt:variant>
        <vt:i4>6</vt:i4>
      </vt:variant>
      <vt:variant>
        <vt:i4>0</vt:i4>
      </vt:variant>
      <vt:variant>
        <vt:i4>5</vt:i4>
      </vt:variant>
      <vt:variant>
        <vt:lpwstr>https://notary.net/2017-new-california-notary-laws/</vt:lpwstr>
      </vt:variant>
      <vt:variant>
        <vt:lpwstr/>
      </vt:variant>
      <vt:variant>
        <vt:i4>8126579</vt:i4>
      </vt:variant>
      <vt:variant>
        <vt:i4>3</vt:i4>
      </vt:variant>
      <vt:variant>
        <vt:i4>0</vt:i4>
      </vt:variant>
      <vt:variant>
        <vt:i4>5</vt:i4>
      </vt:variant>
      <vt:variant>
        <vt:lpwstr>https://www.bls.gov/news.release/pdf/forbrn.pdf</vt:lpwstr>
      </vt:variant>
      <vt:variant>
        <vt:lpwstr/>
      </vt:variant>
      <vt:variant>
        <vt:i4>1048639</vt:i4>
      </vt:variant>
      <vt:variant>
        <vt:i4>0</vt:i4>
      </vt:variant>
      <vt:variant>
        <vt:i4>0</vt:i4>
      </vt:variant>
      <vt:variant>
        <vt:i4>5</vt:i4>
      </vt:variant>
      <vt:variant>
        <vt:lpwstr>https://www.bls.gov/oes/2017/may/oes_nat.htm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mvrobins</dc:creator>
  <cp:keywords/>
  <cp:lastModifiedBy>SYSTEM</cp:lastModifiedBy>
  <cp:revision>2</cp:revision>
  <cp:lastPrinted>2015-10-14T13:34:00Z</cp:lastPrinted>
  <dcterms:created xsi:type="dcterms:W3CDTF">2018-10-24T16:52:00Z</dcterms:created>
  <dcterms:modified xsi:type="dcterms:W3CDTF">2018-10-24T16:52:00Z</dcterms:modified>
</cp:coreProperties>
</file>