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832A8" w14:textId="7B4191AE" w:rsidR="00E97314" w:rsidRPr="00A94975" w:rsidRDefault="00E97314" w:rsidP="00E97314">
      <w:pPr>
        <w:pStyle w:val="Default"/>
        <w:jc w:val="center"/>
      </w:pPr>
      <w:bookmarkStart w:id="0" w:name="_GoBack"/>
      <w:bookmarkEnd w:id="0"/>
      <w:r w:rsidRPr="00A94975">
        <w:rPr>
          <w:b/>
          <w:bCs/>
        </w:rPr>
        <w:t xml:space="preserve">Supporting </w:t>
      </w:r>
      <w:r w:rsidR="005F67A1" w:rsidRPr="00A94975">
        <w:rPr>
          <w:b/>
          <w:bCs/>
        </w:rPr>
        <w:t>Statement,</w:t>
      </w:r>
      <w:r w:rsidRPr="00A94975">
        <w:rPr>
          <w:b/>
          <w:bCs/>
        </w:rPr>
        <w:t xml:space="preserve"> </w:t>
      </w:r>
      <w:r w:rsidR="008D334E">
        <w:rPr>
          <w:b/>
          <w:bCs/>
        </w:rPr>
        <w:t>A</w:t>
      </w:r>
    </w:p>
    <w:p w14:paraId="4E3C3DFB" w14:textId="77777777" w:rsidR="00A3015F" w:rsidRDefault="00913E69" w:rsidP="00E97314">
      <w:pPr>
        <w:pStyle w:val="Default"/>
        <w:jc w:val="center"/>
        <w:rPr>
          <w:b/>
          <w:bCs/>
        </w:rPr>
      </w:pPr>
      <w:r>
        <w:rPr>
          <w:b/>
          <w:bCs/>
        </w:rPr>
        <w:t xml:space="preserve">Affidavit In Lieu of Lost Receipt of </w:t>
      </w:r>
      <w:smartTag w:uri="urn:schemas-microsoft-com:office:smarttags" w:element="country-region">
        <w:smartTag w:uri="urn:schemas-microsoft-com:office:smarttags" w:element="place">
          <w:r>
            <w:rPr>
              <w:b/>
              <w:bCs/>
            </w:rPr>
            <w:t>United States</w:t>
          </w:r>
        </w:smartTag>
      </w:smartTag>
      <w:r>
        <w:rPr>
          <w:b/>
          <w:bCs/>
        </w:rPr>
        <w:t xml:space="preserve"> Immigration and Customs Enforcement for Collateral Accepted as Security</w:t>
      </w:r>
    </w:p>
    <w:p w14:paraId="7822B633" w14:textId="77777777" w:rsidR="00E97314" w:rsidRPr="00A94975" w:rsidRDefault="00E97314" w:rsidP="00E97314">
      <w:pPr>
        <w:pStyle w:val="Default"/>
        <w:jc w:val="center"/>
      </w:pPr>
      <w:r w:rsidRPr="00A94975">
        <w:rPr>
          <w:b/>
          <w:bCs/>
        </w:rPr>
        <w:t xml:space="preserve">(Form </w:t>
      </w:r>
      <w:r w:rsidR="007F631F">
        <w:rPr>
          <w:b/>
          <w:bCs/>
        </w:rPr>
        <w:t>I-3</w:t>
      </w:r>
      <w:r w:rsidR="00913E69">
        <w:rPr>
          <w:b/>
          <w:bCs/>
        </w:rPr>
        <w:t>95)</w:t>
      </w:r>
    </w:p>
    <w:p w14:paraId="66B4B192" w14:textId="77777777" w:rsidR="00E97314" w:rsidRPr="00A94975" w:rsidRDefault="00E97314" w:rsidP="00E97314">
      <w:pPr>
        <w:pStyle w:val="Default"/>
        <w:jc w:val="center"/>
      </w:pPr>
      <w:r w:rsidRPr="00A94975">
        <w:rPr>
          <w:b/>
          <w:bCs/>
        </w:rPr>
        <w:t xml:space="preserve">OMB No. </w:t>
      </w:r>
      <w:r w:rsidRPr="00194FF3">
        <w:rPr>
          <w:b/>
          <w:bCs/>
        </w:rPr>
        <w:t>1653-</w:t>
      </w:r>
      <w:r w:rsidR="00194FF3" w:rsidRPr="00194FF3">
        <w:rPr>
          <w:b/>
          <w:bCs/>
        </w:rPr>
        <w:t>0045</w:t>
      </w:r>
    </w:p>
    <w:p w14:paraId="3D0D0F5F" w14:textId="77777777" w:rsidR="00E97314" w:rsidRPr="00A94975" w:rsidRDefault="00E97314" w:rsidP="00E97314">
      <w:pPr>
        <w:pStyle w:val="Default"/>
      </w:pPr>
    </w:p>
    <w:p w14:paraId="3913877A" w14:textId="77777777" w:rsidR="00E97314" w:rsidRPr="00A94975" w:rsidRDefault="00E97314" w:rsidP="00E97314">
      <w:pPr>
        <w:pStyle w:val="Default"/>
      </w:pPr>
      <w:r w:rsidRPr="00A94975">
        <w:rPr>
          <w:b/>
          <w:bCs/>
        </w:rPr>
        <w:t xml:space="preserve">A. Justification: </w:t>
      </w:r>
    </w:p>
    <w:p w14:paraId="3D41369A" w14:textId="77777777" w:rsidR="00E97314" w:rsidRPr="00A94975" w:rsidRDefault="00E97314" w:rsidP="00E97314">
      <w:pPr>
        <w:pStyle w:val="Default"/>
      </w:pPr>
    </w:p>
    <w:p w14:paraId="09D87F46" w14:textId="77777777" w:rsidR="00E97314" w:rsidRPr="00BD3EB1" w:rsidRDefault="00E97314" w:rsidP="00E97314">
      <w:pPr>
        <w:tabs>
          <w:tab w:val="left" w:pos="-1440"/>
        </w:tabs>
        <w:ind w:left="720" w:hanging="720"/>
        <w:jc w:val="both"/>
        <w:rPr>
          <w:b/>
        </w:rPr>
      </w:pPr>
      <w:r w:rsidRPr="00BD3EB1">
        <w:rPr>
          <w:b/>
        </w:rPr>
        <w:t>1.</w:t>
      </w:r>
      <w:r>
        <w:rPr>
          <w:b/>
        </w:rPr>
        <w:tab/>
      </w:r>
      <w:r w:rsidRPr="00BD3EB1">
        <w:rPr>
          <w:b/>
          <w:sz w:val="19"/>
          <w:szCs w:val="19"/>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5197654A" w14:textId="77777777" w:rsidR="00E97314" w:rsidRDefault="00E97314" w:rsidP="00E97314">
      <w:pPr>
        <w:pStyle w:val="Default"/>
        <w:jc w:val="both"/>
      </w:pPr>
      <w:r w:rsidRPr="00A94975">
        <w:t xml:space="preserve"> </w:t>
      </w:r>
    </w:p>
    <w:p w14:paraId="38159EF3" w14:textId="77777777" w:rsidR="00913E69" w:rsidRPr="005670F4" w:rsidRDefault="00913E69" w:rsidP="00913E69">
      <w:pPr>
        <w:widowControl/>
        <w:tabs>
          <w:tab w:val="left" w:pos="-1440"/>
        </w:tabs>
        <w:ind w:left="720"/>
        <w:jc w:val="both"/>
      </w:pPr>
      <w:r w:rsidRPr="005670F4">
        <w:t>Sections 236 and 240B of the Immigration and Nationality Act, provide for the posting of bonds in order to assure either timely voluntary departure from the United States or to secure assurances that the individual, for whom the bond was posted, appears at all court appearances and when required by the Department of Homeland Security (DHS), Immigration and Customs Enforcement (ICE).  The individual post the Immigration bond in the form of cash (U.S. dollars only); cashier check, certified check, or money order.  When the Government receives these funds, the Government issues the public a Receipt of Immigration Officer-U.S. Bonds or Cash, Accepted as Security on Immigration Bond (Form I-305).  When all of the bond conditions have been met, the immigration bond will be cancelled.  The individual is required to surrender the original receipt before the security is returned. When the I-305 that was issued by ICE has been lost, the individual is permitted to complete the I-395 by stating the reason for the loss of original I-305. The individual shall have the affidavit notarized by a notary public or authorized DHS official. The required information collected on the Form I-395 is necessary for the public to complete an Affidavit in lieu of Lost Receipt of United States ICE for Collateral Accepted as Security.</w:t>
      </w:r>
    </w:p>
    <w:p w14:paraId="307FACAA" w14:textId="77777777" w:rsidR="00EF5B27" w:rsidRPr="00A94975" w:rsidRDefault="00EF5B27" w:rsidP="00A3015F">
      <w:pPr>
        <w:pStyle w:val="Default"/>
        <w:ind w:left="720"/>
      </w:pPr>
    </w:p>
    <w:p w14:paraId="2D0FCE2D" w14:textId="77777777" w:rsidR="00E97314" w:rsidRDefault="00E97314" w:rsidP="00CA5B8D">
      <w:pPr>
        <w:pStyle w:val="Default"/>
        <w:ind w:left="720" w:hanging="720"/>
        <w:jc w:val="both"/>
        <w:rPr>
          <w:b/>
        </w:rPr>
      </w:pPr>
      <w:r w:rsidRPr="00BD3EB1">
        <w:rPr>
          <w:b/>
        </w:rPr>
        <w:t>2.</w:t>
      </w:r>
      <w:r w:rsidR="005265C8">
        <w:rPr>
          <w:b/>
        </w:rPr>
        <w:tab/>
      </w:r>
      <w:r w:rsidRPr="00BD3EB1">
        <w:rPr>
          <w:b/>
          <w:sz w:val="19"/>
          <w:szCs w:val="19"/>
        </w:rPr>
        <w:t>Indicate how, by whom, and for what purpose the information is to be used.  Except for a new collection, indicate the actual use the agency has made of the information received from the current collection.</w:t>
      </w:r>
      <w:r w:rsidRPr="00BD3EB1">
        <w:rPr>
          <w:b/>
        </w:rPr>
        <w:tab/>
      </w:r>
    </w:p>
    <w:p w14:paraId="526554B6" w14:textId="77777777" w:rsidR="00E97314" w:rsidRPr="005670F4" w:rsidRDefault="00E97314" w:rsidP="00E97314">
      <w:pPr>
        <w:pStyle w:val="Default"/>
        <w:tabs>
          <w:tab w:val="left" w:pos="360"/>
        </w:tabs>
        <w:ind w:left="440" w:hanging="440"/>
        <w:jc w:val="both"/>
        <w:rPr>
          <w:sz w:val="28"/>
        </w:rPr>
      </w:pPr>
    </w:p>
    <w:p w14:paraId="146FA515" w14:textId="77777777" w:rsidR="009141CC" w:rsidRPr="005670F4" w:rsidRDefault="004424A7" w:rsidP="00913E69">
      <w:pPr>
        <w:widowControl/>
        <w:tabs>
          <w:tab w:val="left" w:pos="-1440"/>
        </w:tabs>
        <w:ind w:left="720"/>
        <w:jc w:val="both"/>
      </w:pPr>
      <w:r w:rsidRPr="005670F4">
        <w:t xml:space="preserve">When an obligor loses the original Receipt of Immigration Officer-United States Bonds, Notes, or Cash, Accepted as Security on an Immigration Bond, or I-305, the obligor must submit form I-395 to claim the principal and earned interest due for cancelled or mitigated bonds.  </w:t>
      </w:r>
      <w:r w:rsidR="000D6F06" w:rsidRPr="005670F4">
        <w:t>Financial Operations – Burlington</w:t>
      </w:r>
      <w:r w:rsidRPr="005670F4">
        <w:t xml:space="preserve"> (FinOps)</w:t>
      </w:r>
      <w:r w:rsidR="000D6F06" w:rsidRPr="005670F4">
        <w:t xml:space="preserve"> uses the information provided by the Obligor on the I-395</w:t>
      </w:r>
      <w:r w:rsidR="009141CC" w:rsidRPr="005670F4">
        <w:t xml:space="preserve"> </w:t>
      </w:r>
      <w:r w:rsidR="000D6F06" w:rsidRPr="005670F4">
        <w:t xml:space="preserve">to verify </w:t>
      </w:r>
      <w:r w:rsidR="009141CC" w:rsidRPr="005670F4">
        <w:t xml:space="preserve">this is the same person who posted the bond and signed the I-305 and bond contract (I-352).  </w:t>
      </w:r>
      <w:r w:rsidRPr="005670F4">
        <w:t xml:space="preserve">The FinOps </w:t>
      </w:r>
      <w:r w:rsidR="009141CC" w:rsidRPr="005670F4">
        <w:t>B</w:t>
      </w:r>
      <w:r w:rsidRPr="005670F4">
        <w:t xml:space="preserve">ond </w:t>
      </w:r>
      <w:r w:rsidR="009141CC" w:rsidRPr="005670F4">
        <w:t>A</w:t>
      </w:r>
      <w:r w:rsidRPr="005670F4">
        <w:t xml:space="preserve">ccounting </w:t>
      </w:r>
      <w:r w:rsidR="009141CC" w:rsidRPr="005670F4">
        <w:t>T</w:t>
      </w:r>
      <w:r w:rsidRPr="005670F4">
        <w:t xml:space="preserve">echnician compares the signature of the newly submitted I-395 document, to </w:t>
      </w:r>
      <w:r w:rsidR="009141CC" w:rsidRPr="005670F4">
        <w:t>the</w:t>
      </w:r>
      <w:r w:rsidRPr="005670F4">
        <w:t xml:space="preserve"> scanned cop</w:t>
      </w:r>
      <w:r w:rsidR="009141CC" w:rsidRPr="005670F4">
        <w:t xml:space="preserve">ies of the I-305 and I-352 documents.  The submitted I-395 form is also used to confirm the current address of the obligor to ensure timely delivery of payment. </w:t>
      </w:r>
    </w:p>
    <w:p w14:paraId="1A1CDDBD" w14:textId="77777777" w:rsidR="0078146D" w:rsidRPr="005670F4" w:rsidRDefault="0078146D" w:rsidP="00913E69">
      <w:pPr>
        <w:widowControl/>
        <w:tabs>
          <w:tab w:val="left" w:pos="-1440"/>
        </w:tabs>
        <w:ind w:left="720"/>
        <w:jc w:val="both"/>
      </w:pPr>
    </w:p>
    <w:p w14:paraId="60735D98" w14:textId="77777777" w:rsidR="0078146D" w:rsidRPr="005670F4" w:rsidRDefault="0078146D" w:rsidP="00913E69">
      <w:pPr>
        <w:widowControl/>
        <w:tabs>
          <w:tab w:val="left" w:pos="-1440"/>
        </w:tabs>
        <w:ind w:left="720"/>
        <w:jc w:val="both"/>
      </w:pPr>
      <w:r w:rsidRPr="005670F4">
        <w:t xml:space="preserve">Once accepted, the date the I-395 was received at FinOps Burlington is entered into the Bonds Management Information System (BMIS).  By entering the date, </w:t>
      </w:r>
      <w:r w:rsidR="002E0F7C" w:rsidRPr="005670F4">
        <w:t xml:space="preserve">a </w:t>
      </w:r>
      <w:r w:rsidRPr="005670F4">
        <w:lastRenderedPageBreak/>
        <w:t xml:space="preserve">notation of the documents receipt is made to the </w:t>
      </w:r>
      <w:r w:rsidR="002E0F7C" w:rsidRPr="005670F4">
        <w:t xml:space="preserve">BMIS </w:t>
      </w:r>
      <w:r w:rsidRPr="005670F4">
        <w:t>Bonds History Screen</w:t>
      </w:r>
      <w:r w:rsidR="002E0F7C" w:rsidRPr="005670F4">
        <w:t xml:space="preserve"> </w:t>
      </w:r>
      <w:r w:rsidRPr="005670F4">
        <w:t xml:space="preserve">and the bond is now eligible to have the principal and earned interest amounts released to the obligor. </w:t>
      </w:r>
    </w:p>
    <w:p w14:paraId="44DA8A6D" w14:textId="77777777" w:rsidR="0078146D" w:rsidRDefault="0078146D" w:rsidP="00913E69">
      <w:pPr>
        <w:widowControl/>
        <w:tabs>
          <w:tab w:val="left" w:pos="-1440"/>
        </w:tabs>
        <w:ind w:left="720"/>
        <w:jc w:val="both"/>
        <w:rPr>
          <w:sz w:val="22"/>
        </w:rPr>
      </w:pPr>
    </w:p>
    <w:p w14:paraId="0EFD5B41" w14:textId="77777777" w:rsidR="00913E69" w:rsidRPr="009141CC" w:rsidRDefault="00913E69" w:rsidP="00913E69">
      <w:pPr>
        <w:widowControl/>
        <w:tabs>
          <w:tab w:val="left" w:pos="-1440"/>
        </w:tabs>
        <w:ind w:left="720"/>
        <w:jc w:val="both"/>
        <w:rPr>
          <w:strike/>
          <w:sz w:val="22"/>
        </w:rPr>
      </w:pPr>
    </w:p>
    <w:p w14:paraId="28A2966B" w14:textId="77777777" w:rsidR="00E97314" w:rsidRPr="00A94975" w:rsidRDefault="00E97314" w:rsidP="00E97314">
      <w:pPr>
        <w:pStyle w:val="Default"/>
        <w:jc w:val="both"/>
      </w:pPr>
    </w:p>
    <w:p w14:paraId="00715D7E" w14:textId="77777777" w:rsidR="00E97314" w:rsidRDefault="00E97314" w:rsidP="00E97314">
      <w:pPr>
        <w:pStyle w:val="Default"/>
        <w:ind w:left="720" w:hanging="720"/>
        <w:jc w:val="both"/>
        <w:rPr>
          <w:b/>
          <w:sz w:val="19"/>
          <w:szCs w:val="19"/>
        </w:rPr>
      </w:pPr>
      <w:r w:rsidRPr="00BD3EB1">
        <w:rPr>
          <w:b/>
        </w:rPr>
        <w:t>3.</w:t>
      </w:r>
      <w:r>
        <w:tab/>
      </w:r>
      <w:r w:rsidRPr="00BD3EB1">
        <w:rPr>
          <w:b/>
          <w:sz w:val="19"/>
          <w:szCs w:val="19"/>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181C5D5A" w14:textId="77777777" w:rsidR="00E97314" w:rsidRDefault="00E97314" w:rsidP="00EF5B27">
      <w:pPr>
        <w:pStyle w:val="Default"/>
        <w:ind w:left="720"/>
        <w:jc w:val="both"/>
      </w:pPr>
      <w:r w:rsidRPr="00BD3EB1">
        <w:rPr>
          <w:b/>
        </w:rPr>
        <w:t xml:space="preserve"> </w:t>
      </w:r>
    </w:p>
    <w:p w14:paraId="1336107A" w14:textId="77777777" w:rsidR="00A956AB" w:rsidRPr="005670F4" w:rsidRDefault="007D6C34" w:rsidP="00A956AB">
      <w:pPr>
        <w:widowControl/>
        <w:tabs>
          <w:tab w:val="left" w:pos="-1440"/>
        </w:tabs>
        <w:ind w:left="720"/>
        <w:jc w:val="both"/>
      </w:pPr>
      <w:r w:rsidRPr="005670F4">
        <w:t xml:space="preserve">The use of this form provides the most efficient means for collecting and processing the required data.  Furthermore, it is an </w:t>
      </w:r>
      <w:r w:rsidR="0078146D" w:rsidRPr="005670F4">
        <w:t xml:space="preserve">ICE requirement for the return of </w:t>
      </w:r>
      <w:r w:rsidRPr="005670F4">
        <w:t>bond</w:t>
      </w:r>
      <w:r w:rsidR="0078146D" w:rsidRPr="005670F4">
        <w:t xml:space="preserve"> funds </w:t>
      </w:r>
      <w:r w:rsidRPr="005670F4">
        <w:t>that the</w:t>
      </w:r>
      <w:r w:rsidR="0078146D" w:rsidRPr="005670F4">
        <w:t xml:space="preserve"> obligor submit </w:t>
      </w:r>
      <w:r w:rsidRPr="005670F4">
        <w:t xml:space="preserve">either </w:t>
      </w:r>
      <w:r w:rsidR="0078146D" w:rsidRPr="005670F4">
        <w:t xml:space="preserve">the </w:t>
      </w:r>
      <w:r w:rsidR="00A956AB" w:rsidRPr="005670F4">
        <w:t>original I-305 or a notarized, original I-395 to FinOps Burlington</w:t>
      </w:r>
      <w:r w:rsidR="004376A4" w:rsidRPr="005670F4">
        <w:t>,</w:t>
      </w:r>
      <w:r w:rsidR="00C25CA4" w:rsidRPr="005670F4">
        <w:t xml:space="preserve"> </w:t>
      </w:r>
      <w:r w:rsidR="004376A4" w:rsidRPr="005670F4">
        <w:t>Bonds Section</w:t>
      </w:r>
      <w:r w:rsidR="00A956AB" w:rsidRPr="005670F4">
        <w:t xml:space="preserve"> </w:t>
      </w:r>
      <w:r w:rsidRPr="005670F4">
        <w:t xml:space="preserve">This is </w:t>
      </w:r>
      <w:r w:rsidR="00A956AB" w:rsidRPr="005670F4">
        <w:t xml:space="preserve">best method to determine the authenticity of an individual’s claim to the funds. </w:t>
      </w:r>
    </w:p>
    <w:p w14:paraId="1C22E1F1" w14:textId="77777777" w:rsidR="00A956AB" w:rsidRPr="005670F4" w:rsidRDefault="00A956AB" w:rsidP="00EF5B27">
      <w:pPr>
        <w:widowControl/>
        <w:tabs>
          <w:tab w:val="left" w:pos="-1440"/>
        </w:tabs>
        <w:ind w:left="720"/>
        <w:jc w:val="both"/>
      </w:pPr>
    </w:p>
    <w:p w14:paraId="01428C92" w14:textId="77777777" w:rsidR="00C25CA4" w:rsidRPr="005670F4" w:rsidRDefault="007B4E31" w:rsidP="00C25CA4">
      <w:pPr>
        <w:widowControl/>
        <w:tabs>
          <w:tab w:val="left" w:pos="-1440"/>
        </w:tabs>
        <w:ind w:left="720"/>
        <w:jc w:val="both"/>
      </w:pPr>
      <w:r w:rsidRPr="005670F4">
        <w:t xml:space="preserve">When mail is delivered to Financial Operations - Burlington, two employees are present to open and sort the mail. </w:t>
      </w:r>
      <w:r w:rsidR="00C25CA4" w:rsidRPr="005670F4">
        <w:t xml:space="preserve">The items pertaining to immigration bonds are then delivered to </w:t>
      </w:r>
      <w:r w:rsidR="00436CD3" w:rsidRPr="005670F4">
        <w:t xml:space="preserve">the </w:t>
      </w:r>
      <w:r w:rsidR="00C25CA4" w:rsidRPr="005670F4">
        <w:t xml:space="preserve">Bonds </w:t>
      </w:r>
      <w:r w:rsidR="00436CD3" w:rsidRPr="005670F4">
        <w:t xml:space="preserve">Section </w:t>
      </w:r>
      <w:r w:rsidR="00C25CA4" w:rsidRPr="005670F4">
        <w:t xml:space="preserve">the same day they were received. </w:t>
      </w:r>
      <w:r w:rsidRPr="005670F4">
        <w:t xml:space="preserve"> Since all </w:t>
      </w:r>
      <w:r w:rsidR="00C25CA4" w:rsidRPr="005670F4">
        <w:t>b</w:t>
      </w:r>
      <w:r w:rsidRPr="005670F4">
        <w:t xml:space="preserve">ond transactions contain PII, the </w:t>
      </w:r>
      <w:r w:rsidR="00C25CA4" w:rsidRPr="005670F4">
        <w:t>Bonds section</w:t>
      </w:r>
      <w:r w:rsidRPr="005670F4">
        <w:t xml:space="preserve"> is </w:t>
      </w:r>
      <w:r w:rsidR="00C25CA4" w:rsidRPr="005670F4">
        <w:t>partitioned</w:t>
      </w:r>
      <w:r w:rsidRPr="005670F4">
        <w:t xml:space="preserve"> off from the </w:t>
      </w:r>
      <w:r w:rsidR="00C25CA4" w:rsidRPr="005670F4">
        <w:t>other sections by two locked doors.  Access to the Bonds Section at Financial Operations – Burlington is limited to bonds section employees, FinOps supervisors, and the Supply/Mailroom Technician.</w:t>
      </w:r>
    </w:p>
    <w:p w14:paraId="711766BC" w14:textId="77777777" w:rsidR="00C25CA4" w:rsidRPr="005670F4" w:rsidRDefault="00C25CA4" w:rsidP="00EF5B27">
      <w:pPr>
        <w:widowControl/>
        <w:tabs>
          <w:tab w:val="left" w:pos="-1440"/>
        </w:tabs>
        <w:ind w:left="720"/>
        <w:jc w:val="both"/>
      </w:pPr>
    </w:p>
    <w:p w14:paraId="29CD2A81" w14:textId="77777777" w:rsidR="006E0DC1" w:rsidRPr="005670F4" w:rsidRDefault="0078146D" w:rsidP="00EF5B27">
      <w:pPr>
        <w:widowControl/>
        <w:tabs>
          <w:tab w:val="left" w:pos="-1440"/>
        </w:tabs>
        <w:ind w:left="720"/>
        <w:jc w:val="both"/>
      </w:pPr>
      <w:r w:rsidRPr="005670F4">
        <w:t xml:space="preserve">While the initial collection of this document is not performed electronically, a scanned copy of the submitted I-395 is retained within the Bonds Management and Information System (BMIS).  This scanned document is attached to the electronic bond record within BMIS.  To retrieve this document, authorized personnel may query within BMIS using either the bond number, alien identification number </w:t>
      </w:r>
      <w:r w:rsidR="007D6C34" w:rsidRPr="005670F4">
        <w:t>of the alien for</w:t>
      </w:r>
      <w:r w:rsidRPr="005670F4">
        <w:t xml:space="preserve"> whom the bond was posted, or the obligor</w:t>
      </w:r>
      <w:r w:rsidR="007D6C34" w:rsidRPr="005670F4">
        <w:t>’</w:t>
      </w:r>
      <w:r w:rsidRPr="005670F4">
        <w:t xml:space="preserve">s social security number.  </w:t>
      </w:r>
    </w:p>
    <w:p w14:paraId="3EE4695C" w14:textId="77777777" w:rsidR="006E0DC1" w:rsidRPr="005670F4" w:rsidRDefault="006E0DC1" w:rsidP="00EF5B27">
      <w:pPr>
        <w:widowControl/>
        <w:tabs>
          <w:tab w:val="left" w:pos="-1440"/>
        </w:tabs>
        <w:ind w:left="720"/>
        <w:jc w:val="both"/>
      </w:pPr>
    </w:p>
    <w:p w14:paraId="5BAAC7BC" w14:textId="77777777" w:rsidR="00A956AB" w:rsidRPr="005670F4" w:rsidRDefault="00926BB0" w:rsidP="00EF5B27">
      <w:pPr>
        <w:widowControl/>
        <w:tabs>
          <w:tab w:val="left" w:pos="-1440"/>
        </w:tabs>
        <w:ind w:left="720"/>
        <w:jc w:val="both"/>
      </w:pPr>
      <w:r w:rsidRPr="005670F4">
        <w:t xml:space="preserve">The </w:t>
      </w:r>
      <w:r w:rsidR="005D757A" w:rsidRPr="005670F4">
        <w:t xml:space="preserve">original </w:t>
      </w:r>
      <w:r w:rsidRPr="005670F4">
        <w:t xml:space="preserve">hard copy of the </w:t>
      </w:r>
      <w:r w:rsidR="005D757A" w:rsidRPr="005670F4">
        <w:t>I-395</w:t>
      </w:r>
      <w:r w:rsidRPr="005670F4">
        <w:t xml:space="preserve"> is retained </w:t>
      </w:r>
      <w:r w:rsidR="0021128C" w:rsidRPr="005670F4">
        <w:t xml:space="preserve">with the payment support </w:t>
      </w:r>
      <w:r w:rsidR="00C66EDC" w:rsidRPr="005670F4">
        <w:t xml:space="preserve">documentation </w:t>
      </w:r>
      <w:r w:rsidRPr="005670F4">
        <w:t xml:space="preserve">within </w:t>
      </w:r>
      <w:r w:rsidR="006E0DC1" w:rsidRPr="005670F4">
        <w:t>the</w:t>
      </w:r>
      <w:r w:rsidRPr="005670F4">
        <w:t xml:space="preserve"> secure, limited access</w:t>
      </w:r>
      <w:r w:rsidR="006E0DC1" w:rsidRPr="005670F4">
        <w:t xml:space="preserve"> Bonds Section at</w:t>
      </w:r>
      <w:r w:rsidR="00A44BCC" w:rsidRPr="005670F4">
        <w:t xml:space="preserve"> Financial Operation</w:t>
      </w:r>
      <w:r w:rsidR="00C66EDC" w:rsidRPr="005670F4">
        <w:t>s</w:t>
      </w:r>
      <w:r w:rsidR="00A44BCC" w:rsidRPr="005670F4">
        <w:t xml:space="preserve"> - Burlington</w:t>
      </w:r>
      <w:r w:rsidR="0021128C" w:rsidRPr="005670F4">
        <w:t>.</w:t>
      </w:r>
      <w:r w:rsidR="00C66EDC" w:rsidRPr="005670F4">
        <w:t xml:space="preserve"> </w:t>
      </w:r>
      <w:r w:rsidR="0021128C" w:rsidRPr="005670F4">
        <w:t xml:space="preserve"> Af</w:t>
      </w:r>
      <w:r w:rsidRPr="005670F4">
        <w:t>ter six-months, the document is shredded since a scanned copy of the submitted I-395 is available</w:t>
      </w:r>
      <w:r w:rsidR="00AF1634" w:rsidRPr="005670F4">
        <w:t xml:space="preserve"> for reference</w:t>
      </w:r>
      <w:r w:rsidR="006F5346" w:rsidRPr="005670F4">
        <w:t xml:space="preserve"> </w:t>
      </w:r>
      <w:r w:rsidRPr="005670F4">
        <w:t xml:space="preserve">within the BMIS Document Library. </w:t>
      </w:r>
      <w:r w:rsidR="006E0DC1" w:rsidRPr="005670F4">
        <w:t xml:space="preserve"> </w:t>
      </w:r>
      <w:r w:rsidR="007D6C34" w:rsidRPr="005670F4">
        <w:t>Once</w:t>
      </w:r>
      <w:r w:rsidR="0078146D" w:rsidRPr="005670F4">
        <w:t xml:space="preserve"> the appropriate bond record is located, </w:t>
      </w:r>
      <w:r w:rsidR="007D6C34" w:rsidRPr="005670F4">
        <w:t>a</w:t>
      </w:r>
      <w:r w:rsidR="0078146D" w:rsidRPr="005670F4">
        <w:t xml:space="preserve"> pdf </w:t>
      </w:r>
      <w:r w:rsidR="007D6C34" w:rsidRPr="005670F4">
        <w:t xml:space="preserve">copy of the I-395 </w:t>
      </w:r>
      <w:r w:rsidR="0078146D" w:rsidRPr="005670F4">
        <w:t xml:space="preserve">document may be selected for review from </w:t>
      </w:r>
      <w:r w:rsidR="00BA5934" w:rsidRPr="005670F4">
        <w:t xml:space="preserve">within the </w:t>
      </w:r>
      <w:r w:rsidR="0078146D" w:rsidRPr="005670F4">
        <w:t xml:space="preserve">BMIS Document Library. </w:t>
      </w:r>
    </w:p>
    <w:p w14:paraId="41BD64EB" w14:textId="77777777" w:rsidR="0078146D" w:rsidRDefault="0078146D" w:rsidP="00EF5B27">
      <w:pPr>
        <w:widowControl/>
        <w:tabs>
          <w:tab w:val="left" w:pos="-1440"/>
        </w:tabs>
        <w:ind w:left="720"/>
        <w:jc w:val="both"/>
        <w:rPr>
          <w:sz w:val="22"/>
        </w:rPr>
      </w:pPr>
    </w:p>
    <w:p w14:paraId="19D55B3F" w14:textId="77777777" w:rsidR="00E97314" w:rsidRPr="00A94975" w:rsidRDefault="00E97314" w:rsidP="00E97314">
      <w:pPr>
        <w:pStyle w:val="Default"/>
        <w:jc w:val="both"/>
      </w:pPr>
    </w:p>
    <w:p w14:paraId="291A4B7E" w14:textId="77777777" w:rsidR="00E97314" w:rsidRDefault="00E97314" w:rsidP="00E97314">
      <w:pPr>
        <w:pStyle w:val="Default"/>
        <w:ind w:left="720" w:hanging="720"/>
        <w:jc w:val="both"/>
        <w:rPr>
          <w:color w:val="auto"/>
        </w:rPr>
      </w:pPr>
      <w:r w:rsidRPr="00913E69">
        <w:rPr>
          <w:b/>
          <w:color w:val="auto"/>
        </w:rPr>
        <w:t>4.</w:t>
      </w:r>
      <w:r>
        <w:rPr>
          <w:color w:val="auto"/>
        </w:rPr>
        <w:tab/>
      </w:r>
      <w:r w:rsidRPr="00BD3EB1">
        <w:rPr>
          <w:b/>
          <w:sz w:val="19"/>
          <w:szCs w:val="19"/>
        </w:rPr>
        <w:t>Describe efforts to identify duplication.  Show specifically why any similar information already available cannot be used or modified for use for the purposes described in Item 2 above.</w:t>
      </w:r>
      <w:r w:rsidRPr="00A94975">
        <w:rPr>
          <w:color w:val="auto"/>
        </w:rPr>
        <w:t xml:space="preserve"> </w:t>
      </w:r>
    </w:p>
    <w:p w14:paraId="70CEDED0" w14:textId="77777777" w:rsidR="00E97314" w:rsidRDefault="00E97314" w:rsidP="00E97314">
      <w:pPr>
        <w:pStyle w:val="Default"/>
        <w:ind w:left="720" w:hanging="720"/>
        <w:jc w:val="both"/>
        <w:rPr>
          <w:color w:val="auto"/>
        </w:rPr>
      </w:pPr>
    </w:p>
    <w:p w14:paraId="4B46BAB0" w14:textId="77777777" w:rsidR="00E97314" w:rsidRPr="00A94975" w:rsidRDefault="00E97314" w:rsidP="00EF5B27">
      <w:pPr>
        <w:pStyle w:val="Default"/>
        <w:ind w:left="720"/>
        <w:jc w:val="both"/>
        <w:rPr>
          <w:color w:val="auto"/>
        </w:rPr>
      </w:pPr>
      <w:r w:rsidRPr="00A94975">
        <w:rPr>
          <w:color w:val="auto"/>
        </w:rPr>
        <w:lastRenderedPageBreak/>
        <w:t>A review of the Forms Inventory Report revealed no duplication of effort, and there is</w:t>
      </w:r>
      <w:r>
        <w:rPr>
          <w:color w:val="auto"/>
        </w:rPr>
        <w:t xml:space="preserve"> </w:t>
      </w:r>
      <w:r w:rsidRPr="00A94975">
        <w:rPr>
          <w:color w:val="auto"/>
        </w:rPr>
        <w:t>no</w:t>
      </w:r>
      <w:r>
        <w:rPr>
          <w:color w:val="auto"/>
        </w:rPr>
        <w:t xml:space="preserve"> </w:t>
      </w:r>
      <w:r w:rsidRPr="00A94975">
        <w:rPr>
          <w:color w:val="auto"/>
        </w:rPr>
        <w:t xml:space="preserve">other similar information currently available which can be used for this purpose. </w:t>
      </w:r>
    </w:p>
    <w:p w14:paraId="7374C5C8" w14:textId="77777777" w:rsidR="00E97314" w:rsidRPr="00A94975" w:rsidRDefault="00E97314" w:rsidP="00E97314">
      <w:pPr>
        <w:pStyle w:val="Default"/>
        <w:ind w:left="720" w:hanging="720"/>
        <w:jc w:val="both"/>
        <w:rPr>
          <w:color w:val="auto"/>
        </w:rPr>
      </w:pPr>
    </w:p>
    <w:p w14:paraId="61D46D4F" w14:textId="77777777" w:rsidR="00E97314" w:rsidRDefault="00E97314" w:rsidP="00CA5B8D">
      <w:pPr>
        <w:pStyle w:val="Default"/>
        <w:ind w:left="720" w:hanging="720"/>
        <w:jc w:val="both"/>
        <w:rPr>
          <w:b/>
          <w:color w:val="auto"/>
        </w:rPr>
      </w:pPr>
      <w:r w:rsidRPr="00913E69">
        <w:rPr>
          <w:b/>
          <w:color w:val="auto"/>
        </w:rPr>
        <w:t>5.</w:t>
      </w:r>
      <w:r>
        <w:rPr>
          <w:color w:val="auto"/>
        </w:rPr>
        <w:tab/>
      </w:r>
      <w:r w:rsidRPr="00BD3EB1">
        <w:rPr>
          <w:b/>
          <w:sz w:val="19"/>
          <w:szCs w:val="19"/>
        </w:rPr>
        <w:t>If the collection of information impacts small businesses or other small entities (Item 5 of OMB Form 83-I), describe any methods used to minimize burden.</w:t>
      </w:r>
      <w:r w:rsidRPr="00BD3EB1">
        <w:rPr>
          <w:b/>
          <w:color w:val="auto"/>
        </w:rPr>
        <w:t xml:space="preserve"> </w:t>
      </w:r>
    </w:p>
    <w:p w14:paraId="2D726005" w14:textId="77777777" w:rsidR="00E97314" w:rsidRDefault="00E97314" w:rsidP="00E97314">
      <w:pPr>
        <w:pStyle w:val="Default"/>
        <w:ind w:left="360" w:hanging="360"/>
        <w:jc w:val="both"/>
        <w:rPr>
          <w:color w:val="auto"/>
        </w:rPr>
      </w:pPr>
    </w:p>
    <w:p w14:paraId="17DA5E02" w14:textId="77777777" w:rsidR="00E97314" w:rsidRPr="00A94975" w:rsidRDefault="00E97314" w:rsidP="00EF5B27">
      <w:pPr>
        <w:pStyle w:val="Default"/>
        <w:ind w:left="720"/>
        <w:jc w:val="both"/>
        <w:rPr>
          <w:color w:val="auto"/>
        </w:rPr>
      </w:pPr>
      <w:r w:rsidRPr="00A94975">
        <w:rPr>
          <w:color w:val="auto"/>
        </w:rPr>
        <w:t xml:space="preserve">This collection of information does not have an impact on </w:t>
      </w:r>
      <w:r>
        <w:rPr>
          <w:color w:val="auto"/>
        </w:rPr>
        <w:t xml:space="preserve">small businesses or other small </w:t>
      </w:r>
      <w:r w:rsidRPr="00A94975">
        <w:rPr>
          <w:color w:val="auto"/>
        </w:rPr>
        <w:t xml:space="preserve">entities. </w:t>
      </w:r>
    </w:p>
    <w:p w14:paraId="2F55436D" w14:textId="77777777" w:rsidR="00E97314" w:rsidRPr="00A94975" w:rsidRDefault="00E97314" w:rsidP="00E97314">
      <w:pPr>
        <w:pStyle w:val="Default"/>
        <w:ind w:left="720" w:hanging="720"/>
        <w:jc w:val="both"/>
        <w:rPr>
          <w:color w:val="auto"/>
        </w:rPr>
      </w:pPr>
    </w:p>
    <w:p w14:paraId="7508781F" w14:textId="77777777" w:rsidR="00E97314" w:rsidRDefault="00E97314" w:rsidP="00CA5B8D">
      <w:pPr>
        <w:pStyle w:val="Default"/>
        <w:tabs>
          <w:tab w:val="left" w:pos="630"/>
        </w:tabs>
        <w:ind w:left="720" w:hanging="720"/>
        <w:jc w:val="both"/>
        <w:rPr>
          <w:color w:val="auto"/>
        </w:rPr>
      </w:pPr>
      <w:r w:rsidRPr="00817103">
        <w:rPr>
          <w:b/>
          <w:color w:val="auto"/>
        </w:rPr>
        <w:t>6.</w:t>
      </w:r>
      <w:r>
        <w:rPr>
          <w:color w:val="auto"/>
        </w:rPr>
        <w:tab/>
      </w:r>
      <w:r>
        <w:rPr>
          <w:color w:val="auto"/>
        </w:rPr>
        <w:tab/>
      </w:r>
      <w:r w:rsidRPr="00BD3EB1">
        <w:rPr>
          <w:b/>
          <w:sz w:val="19"/>
          <w:szCs w:val="19"/>
        </w:rPr>
        <w:t>Describe the consequence to Federal program or policy activities if the collection is not conducted or is conducted less frequently, as well as any technical or legal obstacles to reducing burden.</w:t>
      </w:r>
      <w:r w:rsidRPr="001D1E10">
        <w:rPr>
          <w:color w:val="auto"/>
        </w:rPr>
        <w:t xml:space="preserve"> </w:t>
      </w:r>
    </w:p>
    <w:p w14:paraId="60F5410F" w14:textId="77777777" w:rsidR="00E97314" w:rsidRDefault="00E97314" w:rsidP="00E97314">
      <w:pPr>
        <w:pStyle w:val="Default"/>
        <w:ind w:left="360" w:hanging="360"/>
        <w:jc w:val="both"/>
        <w:rPr>
          <w:color w:val="auto"/>
        </w:rPr>
      </w:pPr>
    </w:p>
    <w:p w14:paraId="3BCDC9C5" w14:textId="77777777" w:rsidR="00913E69" w:rsidRPr="005670F4" w:rsidRDefault="00913E69" w:rsidP="00913E69">
      <w:pPr>
        <w:widowControl/>
        <w:tabs>
          <w:tab w:val="left" w:pos="-1440"/>
        </w:tabs>
        <w:ind w:left="720"/>
        <w:jc w:val="both"/>
      </w:pPr>
      <w:r w:rsidRPr="005670F4">
        <w:t>Sections 236 and 240B of the Immigration and Nationality Act (INA) provides for the acceptance of bonds in certain cases.  The failure to provide the mechanism for the cancellation of bonds would be a violation of that section of law.   The DHS has always taken the position that the use of bonds is an integral part of the detention strategy.</w:t>
      </w:r>
    </w:p>
    <w:p w14:paraId="60C264EE" w14:textId="77777777" w:rsidR="00E97314" w:rsidRPr="00A94975" w:rsidRDefault="00E97314" w:rsidP="00E97314">
      <w:pPr>
        <w:pStyle w:val="Default"/>
        <w:ind w:left="360" w:hanging="360"/>
        <w:jc w:val="both"/>
        <w:rPr>
          <w:color w:val="auto"/>
        </w:rPr>
      </w:pPr>
    </w:p>
    <w:p w14:paraId="1CA6DA8D" w14:textId="77777777" w:rsidR="00E97314" w:rsidRPr="00817103" w:rsidRDefault="00E97314" w:rsidP="00E97314">
      <w:pPr>
        <w:tabs>
          <w:tab w:val="left" w:pos="-1440"/>
        </w:tabs>
        <w:ind w:left="720" w:hanging="720"/>
        <w:jc w:val="both"/>
        <w:rPr>
          <w:b/>
          <w:sz w:val="19"/>
          <w:szCs w:val="19"/>
        </w:rPr>
      </w:pPr>
      <w:r w:rsidRPr="00817103">
        <w:rPr>
          <w:b/>
        </w:rPr>
        <w:t>7.</w:t>
      </w:r>
      <w:r w:rsidRPr="00817103">
        <w:rPr>
          <w:b/>
        </w:rPr>
        <w:tab/>
      </w:r>
      <w:r w:rsidRPr="00817103">
        <w:rPr>
          <w:b/>
          <w:sz w:val="19"/>
          <w:szCs w:val="19"/>
        </w:rPr>
        <w:t>Explain any special circumstances that would cause an information collection to be conducted in a manner:</w:t>
      </w:r>
    </w:p>
    <w:p w14:paraId="481B0FC4" w14:textId="77777777" w:rsidR="00E97314" w:rsidRPr="00817103" w:rsidRDefault="00E97314" w:rsidP="00E97314">
      <w:pPr>
        <w:jc w:val="both"/>
        <w:rPr>
          <w:b/>
          <w:sz w:val="19"/>
          <w:szCs w:val="19"/>
        </w:rPr>
      </w:pPr>
    </w:p>
    <w:p w14:paraId="5138A30D" w14:textId="77777777" w:rsidR="00E97314" w:rsidRPr="00817103" w:rsidRDefault="00E97314" w:rsidP="00E97314">
      <w:pPr>
        <w:tabs>
          <w:tab w:val="left" w:pos="-1440"/>
        </w:tabs>
        <w:ind w:left="1440" w:hanging="720"/>
        <w:jc w:val="both"/>
        <w:rPr>
          <w:b/>
          <w:sz w:val="19"/>
          <w:szCs w:val="19"/>
        </w:rPr>
      </w:pPr>
      <w:r w:rsidRPr="00817103">
        <w:rPr>
          <w:b/>
          <w:sz w:val="19"/>
          <w:szCs w:val="19"/>
        </w:rPr>
        <w:t>•</w:t>
      </w:r>
      <w:r w:rsidRPr="00817103">
        <w:rPr>
          <w:b/>
          <w:sz w:val="19"/>
          <w:szCs w:val="19"/>
        </w:rPr>
        <w:tab/>
        <w:t>Requiring respondents to report information to the agency more often than quarterly;</w:t>
      </w:r>
    </w:p>
    <w:p w14:paraId="04D40331" w14:textId="77777777" w:rsidR="00E97314" w:rsidRPr="00817103" w:rsidRDefault="00E97314" w:rsidP="00E97314">
      <w:pPr>
        <w:jc w:val="both"/>
        <w:rPr>
          <w:b/>
          <w:sz w:val="19"/>
          <w:szCs w:val="19"/>
        </w:rPr>
      </w:pPr>
    </w:p>
    <w:p w14:paraId="548B1DA1" w14:textId="77777777" w:rsidR="00E97314" w:rsidRPr="00817103" w:rsidRDefault="00E97314" w:rsidP="00E97314">
      <w:pPr>
        <w:tabs>
          <w:tab w:val="left" w:pos="-1440"/>
        </w:tabs>
        <w:ind w:left="1440" w:hanging="720"/>
        <w:jc w:val="both"/>
        <w:rPr>
          <w:b/>
          <w:sz w:val="19"/>
          <w:szCs w:val="19"/>
        </w:rPr>
      </w:pPr>
      <w:r w:rsidRPr="00817103">
        <w:rPr>
          <w:b/>
          <w:sz w:val="19"/>
          <w:szCs w:val="19"/>
        </w:rPr>
        <w:t>•</w:t>
      </w:r>
      <w:r w:rsidRPr="00817103">
        <w:rPr>
          <w:b/>
          <w:sz w:val="19"/>
          <w:szCs w:val="19"/>
        </w:rPr>
        <w:tab/>
        <w:t>requiring respondents to prepare a written response to a collection of information in fewer than 30 days after receipt of it;</w:t>
      </w:r>
    </w:p>
    <w:p w14:paraId="77FC977B" w14:textId="77777777" w:rsidR="00E97314" w:rsidRPr="00817103" w:rsidRDefault="00E97314" w:rsidP="00E97314">
      <w:pPr>
        <w:tabs>
          <w:tab w:val="left" w:pos="-1440"/>
        </w:tabs>
        <w:ind w:left="1440" w:hanging="720"/>
        <w:jc w:val="both"/>
        <w:rPr>
          <w:b/>
          <w:sz w:val="19"/>
          <w:szCs w:val="19"/>
        </w:rPr>
      </w:pPr>
      <w:r w:rsidRPr="00817103">
        <w:rPr>
          <w:b/>
          <w:sz w:val="19"/>
          <w:szCs w:val="19"/>
        </w:rPr>
        <w:t>•</w:t>
      </w:r>
      <w:r w:rsidRPr="00817103">
        <w:rPr>
          <w:b/>
          <w:sz w:val="19"/>
          <w:szCs w:val="19"/>
        </w:rPr>
        <w:tab/>
        <w:t>requiring respondents to submit more than an original and two copies of any document;</w:t>
      </w:r>
    </w:p>
    <w:p w14:paraId="304C3C66" w14:textId="77777777" w:rsidR="00E97314" w:rsidRPr="00817103" w:rsidRDefault="00E97314" w:rsidP="00E97314">
      <w:pPr>
        <w:jc w:val="both"/>
        <w:rPr>
          <w:b/>
          <w:sz w:val="19"/>
          <w:szCs w:val="19"/>
        </w:rPr>
      </w:pPr>
    </w:p>
    <w:p w14:paraId="77B5F27D" w14:textId="77777777" w:rsidR="00E97314" w:rsidRPr="00817103" w:rsidRDefault="00E97314" w:rsidP="00E97314">
      <w:pPr>
        <w:tabs>
          <w:tab w:val="left" w:pos="-1440"/>
        </w:tabs>
        <w:ind w:left="1440" w:hanging="720"/>
        <w:jc w:val="both"/>
        <w:rPr>
          <w:b/>
          <w:sz w:val="19"/>
          <w:szCs w:val="19"/>
        </w:rPr>
      </w:pPr>
      <w:r w:rsidRPr="00817103">
        <w:rPr>
          <w:b/>
          <w:sz w:val="19"/>
          <w:szCs w:val="19"/>
        </w:rPr>
        <w:t>•</w:t>
      </w:r>
      <w:r w:rsidRPr="00817103">
        <w:rPr>
          <w:b/>
          <w:sz w:val="19"/>
          <w:szCs w:val="19"/>
        </w:rPr>
        <w:tab/>
        <w:t>requiring respondents to retain records, other than health, medical, government contract, grant-in-aid, or tax records for more than three years;</w:t>
      </w:r>
    </w:p>
    <w:p w14:paraId="1A2492A9" w14:textId="77777777" w:rsidR="00E97314" w:rsidRPr="00817103" w:rsidRDefault="00E97314" w:rsidP="00E97314">
      <w:pPr>
        <w:jc w:val="both"/>
        <w:rPr>
          <w:b/>
          <w:sz w:val="19"/>
          <w:szCs w:val="19"/>
        </w:rPr>
      </w:pPr>
    </w:p>
    <w:p w14:paraId="081B0A94" w14:textId="77777777" w:rsidR="00E97314" w:rsidRPr="00817103" w:rsidRDefault="00E97314" w:rsidP="00E97314">
      <w:pPr>
        <w:tabs>
          <w:tab w:val="left" w:pos="-1440"/>
        </w:tabs>
        <w:ind w:left="1440" w:hanging="720"/>
        <w:jc w:val="both"/>
        <w:rPr>
          <w:b/>
          <w:sz w:val="19"/>
          <w:szCs w:val="19"/>
        </w:rPr>
      </w:pPr>
      <w:r w:rsidRPr="00817103">
        <w:rPr>
          <w:b/>
          <w:sz w:val="19"/>
          <w:szCs w:val="19"/>
        </w:rPr>
        <w:t>•</w:t>
      </w:r>
      <w:r w:rsidRPr="00817103">
        <w:rPr>
          <w:b/>
          <w:sz w:val="19"/>
          <w:szCs w:val="19"/>
        </w:rPr>
        <w:tab/>
        <w:t>In connection with a statistical survey, that is not designed to produce valid and reliable results that can be generalized to the universe of study;</w:t>
      </w:r>
    </w:p>
    <w:p w14:paraId="1071978D" w14:textId="77777777" w:rsidR="00E97314" w:rsidRPr="00817103" w:rsidRDefault="00E97314" w:rsidP="00E97314">
      <w:pPr>
        <w:jc w:val="both"/>
        <w:rPr>
          <w:b/>
          <w:sz w:val="19"/>
          <w:szCs w:val="19"/>
        </w:rPr>
      </w:pPr>
    </w:p>
    <w:p w14:paraId="70CFB025" w14:textId="77777777" w:rsidR="00E97314" w:rsidRPr="00817103" w:rsidRDefault="00E97314" w:rsidP="00E97314">
      <w:pPr>
        <w:tabs>
          <w:tab w:val="left" w:pos="-1440"/>
        </w:tabs>
        <w:ind w:left="1440" w:hanging="720"/>
        <w:jc w:val="both"/>
        <w:rPr>
          <w:b/>
          <w:sz w:val="19"/>
          <w:szCs w:val="19"/>
        </w:rPr>
      </w:pPr>
      <w:r w:rsidRPr="00817103">
        <w:rPr>
          <w:b/>
          <w:sz w:val="19"/>
          <w:szCs w:val="19"/>
        </w:rPr>
        <w:t>•</w:t>
      </w:r>
      <w:r w:rsidRPr="00817103">
        <w:rPr>
          <w:b/>
          <w:sz w:val="19"/>
          <w:szCs w:val="19"/>
        </w:rPr>
        <w:tab/>
        <w:t>requiring the use of a statistical data classification that has not been reviewed and approved by OMB;</w:t>
      </w:r>
    </w:p>
    <w:p w14:paraId="6AA576EC" w14:textId="77777777" w:rsidR="00E97314" w:rsidRPr="00817103" w:rsidRDefault="00E97314" w:rsidP="00E97314">
      <w:pPr>
        <w:jc w:val="both"/>
        <w:rPr>
          <w:b/>
          <w:sz w:val="19"/>
          <w:szCs w:val="19"/>
        </w:rPr>
      </w:pPr>
    </w:p>
    <w:p w14:paraId="68D022C2" w14:textId="77777777" w:rsidR="00E97314" w:rsidRPr="00817103" w:rsidRDefault="00E97314" w:rsidP="00E97314">
      <w:pPr>
        <w:tabs>
          <w:tab w:val="left" w:pos="-1440"/>
        </w:tabs>
        <w:ind w:left="1440" w:hanging="720"/>
        <w:jc w:val="both"/>
        <w:rPr>
          <w:b/>
          <w:sz w:val="19"/>
          <w:szCs w:val="19"/>
        </w:rPr>
      </w:pPr>
      <w:r w:rsidRPr="00817103">
        <w:rPr>
          <w:b/>
          <w:sz w:val="19"/>
          <w:szCs w:val="19"/>
        </w:rPr>
        <w:t>•</w:t>
      </w:r>
      <w:r w:rsidRPr="00817103">
        <w:rPr>
          <w:b/>
          <w:sz w:val="19"/>
          <w:szCs w:val="19"/>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3D26351" w14:textId="77777777" w:rsidR="00E97314" w:rsidRPr="00817103" w:rsidRDefault="00E97314" w:rsidP="00E97314">
      <w:pPr>
        <w:jc w:val="both"/>
        <w:rPr>
          <w:b/>
          <w:sz w:val="19"/>
          <w:szCs w:val="19"/>
        </w:rPr>
      </w:pPr>
    </w:p>
    <w:p w14:paraId="0938D10D" w14:textId="77777777" w:rsidR="00E97314" w:rsidRPr="00817103" w:rsidRDefault="00E97314" w:rsidP="00E97314">
      <w:pPr>
        <w:tabs>
          <w:tab w:val="left" w:pos="-1440"/>
        </w:tabs>
        <w:ind w:left="1440" w:hanging="720"/>
        <w:jc w:val="both"/>
        <w:rPr>
          <w:b/>
        </w:rPr>
      </w:pPr>
      <w:r w:rsidRPr="00817103">
        <w:rPr>
          <w:b/>
          <w:sz w:val="19"/>
          <w:szCs w:val="19"/>
        </w:rPr>
        <w:t>•</w:t>
      </w:r>
      <w:r w:rsidRPr="00817103">
        <w:rPr>
          <w:b/>
          <w:sz w:val="19"/>
          <w:szCs w:val="19"/>
        </w:rPr>
        <w:tab/>
        <w:t>requiring respondents to submit proprietary trade secret, or other confidential information unless the agency can demonstrate that it has instituted procedures to protect the information's confidentiality to the extent permitted by law.</w:t>
      </w:r>
    </w:p>
    <w:p w14:paraId="63B8A328" w14:textId="77777777" w:rsidR="00E97314" w:rsidRDefault="00E97314" w:rsidP="00E97314">
      <w:pPr>
        <w:pStyle w:val="Default"/>
        <w:ind w:left="360" w:hanging="360"/>
        <w:jc w:val="both"/>
        <w:rPr>
          <w:color w:val="auto"/>
        </w:rPr>
      </w:pPr>
      <w:r w:rsidRPr="00A94975">
        <w:rPr>
          <w:color w:val="auto"/>
        </w:rPr>
        <w:t xml:space="preserve"> </w:t>
      </w:r>
    </w:p>
    <w:p w14:paraId="3D5821A7" w14:textId="77777777" w:rsidR="00E97314" w:rsidRPr="00A94975" w:rsidRDefault="00E97314" w:rsidP="006D716A">
      <w:pPr>
        <w:pStyle w:val="Default"/>
        <w:ind w:left="720"/>
        <w:jc w:val="both"/>
        <w:rPr>
          <w:color w:val="auto"/>
        </w:rPr>
      </w:pPr>
      <w:r w:rsidRPr="00A94975">
        <w:rPr>
          <w:color w:val="auto"/>
        </w:rPr>
        <w:t xml:space="preserve">The special circumstances </w:t>
      </w:r>
      <w:r w:rsidR="00DE4623">
        <w:rPr>
          <w:color w:val="auto"/>
        </w:rPr>
        <w:t xml:space="preserve">contained in item 7 are not </w:t>
      </w:r>
      <w:r w:rsidRPr="00A94975">
        <w:rPr>
          <w:color w:val="auto"/>
        </w:rPr>
        <w:t xml:space="preserve">applicable to this information collection. </w:t>
      </w:r>
    </w:p>
    <w:p w14:paraId="790FE1A0" w14:textId="77777777" w:rsidR="00E97314" w:rsidRPr="00A94975" w:rsidRDefault="00E97314" w:rsidP="00E97314">
      <w:pPr>
        <w:pStyle w:val="Default"/>
        <w:rPr>
          <w:color w:val="auto"/>
        </w:rPr>
      </w:pPr>
    </w:p>
    <w:p w14:paraId="714FAEC8" w14:textId="77777777" w:rsidR="00E97314" w:rsidRPr="00817103" w:rsidRDefault="00E97314" w:rsidP="00E97314">
      <w:pPr>
        <w:tabs>
          <w:tab w:val="left" w:pos="-1440"/>
        </w:tabs>
        <w:ind w:left="720" w:hanging="720"/>
        <w:jc w:val="both"/>
        <w:rPr>
          <w:b/>
        </w:rPr>
      </w:pPr>
      <w:r w:rsidRPr="00817103">
        <w:rPr>
          <w:b/>
        </w:rPr>
        <w:t>8.</w:t>
      </w:r>
      <w:r w:rsidRPr="00817103">
        <w:rPr>
          <w:b/>
        </w:rPr>
        <w:tab/>
      </w:r>
      <w:r w:rsidRPr="00817103">
        <w:rPr>
          <w:b/>
          <w:sz w:val="19"/>
          <w:szCs w:val="19"/>
        </w:rPr>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18F13202" w14:textId="77777777" w:rsidR="00E97314" w:rsidRPr="00817103" w:rsidRDefault="00E97314" w:rsidP="00E97314">
      <w:pPr>
        <w:jc w:val="both"/>
        <w:rPr>
          <w:b/>
        </w:rPr>
      </w:pPr>
    </w:p>
    <w:p w14:paraId="78183A3C" w14:textId="77777777" w:rsidR="00E97314" w:rsidRPr="00817103" w:rsidRDefault="00E97314" w:rsidP="00E97314">
      <w:pPr>
        <w:ind w:left="720"/>
        <w:jc w:val="both"/>
        <w:rPr>
          <w:b/>
        </w:rPr>
      </w:pPr>
      <w:r w:rsidRPr="00817103">
        <w:rPr>
          <w:b/>
          <w:sz w:val="19"/>
          <w:szCs w:val="19"/>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547F02E3" w14:textId="77777777" w:rsidR="00E97314" w:rsidRPr="00817103" w:rsidRDefault="00E97314" w:rsidP="00E97314">
      <w:pPr>
        <w:jc w:val="both"/>
        <w:rPr>
          <w:b/>
        </w:rPr>
      </w:pPr>
    </w:p>
    <w:p w14:paraId="279E984E" w14:textId="77777777" w:rsidR="00E97314" w:rsidRPr="00817103" w:rsidRDefault="00E97314" w:rsidP="00E97314">
      <w:pPr>
        <w:ind w:left="720"/>
        <w:jc w:val="both"/>
        <w:rPr>
          <w:b/>
        </w:rPr>
      </w:pPr>
      <w:r w:rsidRPr="00817103">
        <w:rPr>
          <w:b/>
          <w:sz w:val="19"/>
          <w:szCs w:val="19"/>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0A45BA03" w14:textId="77777777" w:rsidR="00E97314" w:rsidRDefault="00E97314" w:rsidP="00E97314">
      <w:pPr>
        <w:pStyle w:val="Default"/>
        <w:ind w:left="720" w:hanging="720"/>
        <w:jc w:val="both"/>
        <w:rPr>
          <w:color w:val="auto"/>
        </w:rPr>
      </w:pPr>
      <w:r w:rsidRPr="00A94975">
        <w:rPr>
          <w:color w:val="auto"/>
        </w:rPr>
        <w:t xml:space="preserve"> </w:t>
      </w:r>
    </w:p>
    <w:p w14:paraId="2FFDB81E" w14:textId="69175F68" w:rsidR="0088668E" w:rsidRPr="005670F4" w:rsidRDefault="0088668E" w:rsidP="0088668E">
      <w:pPr>
        <w:pStyle w:val="Default"/>
        <w:ind w:left="720"/>
        <w:jc w:val="both"/>
        <w:rPr>
          <w:color w:val="auto"/>
          <w:szCs w:val="22"/>
        </w:rPr>
      </w:pPr>
      <w:r w:rsidRPr="005670F4">
        <w:rPr>
          <w:color w:val="auto"/>
          <w:szCs w:val="22"/>
        </w:rPr>
        <w:t xml:space="preserve">On </w:t>
      </w:r>
      <w:r w:rsidR="003226EB">
        <w:rPr>
          <w:color w:val="auto"/>
          <w:szCs w:val="22"/>
        </w:rPr>
        <w:t xml:space="preserve">February </w:t>
      </w:r>
      <w:r w:rsidR="00D94E9D">
        <w:rPr>
          <w:color w:val="auto"/>
          <w:szCs w:val="22"/>
        </w:rPr>
        <w:t>28, 2019</w:t>
      </w:r>
      <w:r w:rsidRPr="005670F4">
        <w:rPr>
          <w:color w:val="auto"/>
          <w:szCs w:val="22"/>
        </w:rPr>
        <w:t xml:space="preserve">, USICE published a notice in the Federal Register at </w:t>
      </w:r>
      <w:r w:rsidR="00D94E9D">
        <w:rPr>
          <w:color w:val="auto"/>
          <w:szCs w:val="22"/>
        </w:rPr>
        <w:t>84 FR 6811</w:t>
      </w:r>
      <w:r w:rsidRPr="005670F4">
        <w:rPr>
          <w:color w:val="auto"/>
          <w:szCs w:val="22"/>
        </w:rPr>
        <w:t xml:space="preserve">, soliciting public review and comment for a 60-day period on the proposed extension of this information collection.  USICE received no comments during this period.  On </w:t>
      </w:r>
      <w:r w:rsidR="00D94E9D">
        <w:rPr>
          <w:color w:val="auto"/>
          <w:szCs w:val="22"/>
        </w:rPr>
        <w:t>April 29, 2019</w:t>
      </w:r>
      <w:r w:rsidR="0037329B" w:rsidRPr="005670F4">
        <w:rPr>
          <w:color w:val="auto"/>
          <w:szCs w:val="22"/>
        </w:rPr>
        <w:t xml:space="preserve">, </w:t>
      </w:r>
      <w:r w:rsidRPr="005670F4">
        <w:rPr>
          <w:color w:val="auto"/>
          <w:szCs w:val="22"/>
        </w:rPr>
        <w:t xml:space="preserve">ICE published a follow up notice in the Federal Register at </w:t>
      </w:r>
      <w:r w:rsidR="00D94E9D">
        <w:rPr>
          <w:color w:val="auto"/>
          <w:szCs w:val="22"/>
        </w:rPr>
        <w:t>84 FR 18073</w:t>
      </w:r>
      <w:r w:rsidRPr="005670F4">
        <w:rPr>
          <w:color w:val="auto"/>
          <w:szCs w:val="22"/>
        </w:rPr>
        <w:t xml:space="preserve">, soliciting public review and comment for an additional 30-day period.  </w:t>
      </w:r>
    </w:p>
    <w:p w14:paraId="338D2520" w14:textId="77777777" w:rsidR="00E97314" w:rsidRPr="00A94975" w:rsidRDefault="00E97314" w:rsidP="00E97314">
      <w:pPr>
        <w:pStyle w:val="Default"/>
        <w:ind w:left="720" w:hanging="720"/>
        <w:jc w:val="both"/>
        <w:rPr>
          <w:color w:val="auto"/>
        </w:rPr>
      </w:pPr>
    </w:p>
    <w:p w14:paraId="48D60861" w14:textId="77777777" w:rsidR="00E97314" w:rsidRPr="00817103" w:rsidRDefault="00E97314" w:rsidP="00E97314">
      <w:pPr>
        <w:tabs>
          <w:tab w:val="left" w:pos="-1440"/>
        </w:tabs>
        <w:ind w:left="720" w:hanging="720"/>
        <w:jc w:val="both"/>
        <w:rPr>
          <w:b/>
        </w:rPr>
      </w:pPr>
      <w:r w:rsidRPr="00817103">
        <w:rPr>
          <w:b/>
        </w:rPr>
        <w:t>9.</w:t>
      </w:r>
      <w:r w:rsidRPr="00817103">
        <w:rPr>
          <w:b/>
        </w:rPr>
        <w:tab/>
      </w:r>
      <w:r w:rsidRPr="00817103">
        <w:rPr>
          <w:b/>
          <w:sz w:val="19"/>
          <w:szCs w:val="19"/>
        </w:rPr>
        <w:t>Explain any decision to provide any payment or gift to respondents, other than remuneration of contractors or grantees.</w:t>
      </w:r>
    </w:p>
    <w:p w14:paraId="560C3D37" w14:textId="77777777" w:rsidR="00E97314" w:rsidRDefault="00E97314" w:rsidP="00E97314">
      <w:pPr>
        <w:pStyle w:val="Default"/>
        <w:ind w:left="720" w:hanging="720"/>
        <w:jc w:val="both"/>
        <w:rPr>
          <w:color w:val="auto"/>
        </w:rPr>
      </w:pPr>
      <w:r w:rsidRPr="00A94975">
        <w:rPr>
          <w:color w:val="auto"/>
        </w:rPr>
        <w:t xml:space="preserve"> </w:t>
      </w:r>
    </w:p>
    <w:p w14:paraId="2E9547DD" w14:textId="77777777" w:rsidR="00E97314" w:rsidRPr="00A94975" w:rsidRDefault="00E97314" w:rsidP="006D716A">
      <w:pPr>
        <w:pStyle w:val="Default"/>
        <w:ind w:left="720"/>
        <w:jc w:val="both"/>
        <w:rPr>
          <w:color w:val="auto"/>
        </w:rPr>
      </w:pPr>
      <w:r w:rsidRPr="00A94975">
        <w:rPr>
          <w:color w:val="auto"/>
        </w:rPr>
        <w:t xml:space="preserve">ICE does not provide payments or gifts to respondents in exchange for a benefit sought. </w:t>
      </w:r>
    </w:p>
    <w:p w14:paraId="2FF2BDCE" w14:textId="77777777" w:rsidR="00E97314" w:rsidRPr="00A94975" w:rsidRDefault="00E97314" w:rsidP="00E97314">
      <w:pPr>
        <w:pStyle w:val="Default"/>
        <w:rPr>
          <w:color w:val="auto"/>
        </w:rPr>
      </w:pPr>
    </w:p>
    <w:p w14:paraId="0E685D7B" w14:textId="77777777" w:rsidR="00E97314" w:rsidRDefault="00E97314" w:rsidP="00E97314">
      <w:pPr>
        <w:pStyle w:val="Default"/>
        <w:ind w:left="720" w:hanging="720"/>
        <w:rPr>
          <w:b/>
          <w:color w:val="auto"/>
        </w:rPr>
      </w:pPr>
      <w:r w:rsidRPr="00817103">
        <w:rPr>
          <w:b/>
          <w:color w:val="auto"/>
        </w:rPr>
        <w:t>10.</w:t>
      </w:r>
      <w:r w:rsidRPr="00817103">
        <w:rPr>
          <w:b/>
          <w:color w:val="auto"/>
        </w:rPr>
        <w:tab/>
      </w:r>
      <w:r w:rsidRPr="00817103">
        <w:rPr>
          <w:b/>
          <w:sz w:val="19"/>
          <w:szCs w:val="19"/>
        </w:rPr>
        <w:t>Describe any assurance of confidentiality provided to respondents and the basis for the assurance in statute, regulation, or agency policy.</w:t>
      </w:r>
      <w:r w:rsidRPr="00817103">
        <w:rPr>
          <w:b/>
          <w:color w:val="auto"/>
        </w:rPr>
        <w:t xml:space="preserve"> </w:t>
      </w:r>
    </w:p>
    <w:p w14:paraId="54D702C3" w14:textId="77777777" w:rsidR="00E97314" w:rsidRPr="00817103" w:rsidRDefault="00E97314" w:rsidP="00E97314">
      <w:pPr>
        <w:pStyle w:val="Default"/>
        <w:rPr>
          <w:b/>
          <w:color w:val="auto"/>
        </w:rPr>
      </w:pPr>
    </w:p>
    <w:p w14:paraId="5791CCD4" w14:textId="77777777" w:rsidR="00FE0402" w:rsidRDefault="00FE0402" w:rsidP="00D6058F">
      <w:pPr>
        <w:pStyle w:val="Default"/>
        <w:ind w:left="720"/>
        <w:rPr>
          <w:color w:val="auto"/>
        </w:rPr>
      </w:pPr>
      <w:r>
        <w:t xml:space="preserve">This form is used to support the Immigration Bond process at ICE.  The SORN that covers this and related records is the DHS/ICE-004 Bond Management Information System (BMIS) SORN.  That SORN can be found here:  </w:t>
      </w:r>
      <w:hyperlink r:id="rId9" w:history="1">
        <w:r>
          <w:rPr>
            <w:rStyle w:val="Hyperlink"/>
          </w:rPr>
          <w:t>https://www.gpo.gov/fdsys/pkg/FR-2011-02-15/html/2011-3448.htm</w:t>
        </w:r>
      </w:hyperlink>
      <w:r>
        <w:t xml:space="preserve">.  There is also a PIA for the IT system that ICE operates to support the immigration bond issuance process.  That PIA is DHS/ICE/PIA-005(b) Bond Management Information System-Web (BMIS-Web) PIA.  The PIA can be found at this location:  </w:t>
      </w:r>
      <w:hyperlink r:id="rId10" w:history="1">
        <w:r>
          <w:rPr>
            <w:rStyle w:val="Hyperlink"/>
          </w:rPr>
          <w:t>https://www.dhs.gov/privacy-documents-ice</w:t>
        </w:r>
      </w:hyperlink>
      <w:r>
        <w:t xml:space="preserve"> .</w:t>
      </w:r>
    </w:p>
    <w:p w14:paraId="0F6BC0A1" w14:textId="77777777" w:rsidR="00FE0402" w:rsidRDefault="00FE0402" w:rsidP="006D716A">
      <w:pPr>
        <w:pStyle w:val="Default"/>
        <w:ind w:firstLine="720"/>
        <w:rPr>
          <w:color w:val="auto"/>
        </w:rPr>
      </w:pPr>
    </w:p>
    <w:p w14:paraId="33C98B46" w14:textId="77777777" w:rsidR="00E97314" w:rsidRPr="00817103" w:rsidRDefault="00E97314" w:rsidP="00CA5B8D">
      <w:pPr>
        <w:pStyle w:val="Default"/>
        <w:ind w:left="720" w:hanging="720"/>
        <w:rPr>
          <w:b/>
          <w:color w:val="auto"/>
        </w:rPr>
      </w:pPr>
      <w:r w:rsidRPr="00817103">
        <w:rPr>
          <w:b/>
          <w:color w:val="auto"/>
        </w:rPr>
        <w:t>11.</w:t>
      </w:r>
      <w:r w:rsidRPr="00817103">
        <w:rPr>
          <w:b/>
          <w:color w:val="auto"/>
        </w:rPr>
        <w:tab/>
      </w:r>
      <w:r w:rsidRPr="00817103">
        <w:rPr>
          <w:b/>
          <w:sz w:val="19"/>
          <w:szCs w:val="19"/>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form whom the information is requested, and any steps to be taken to obtain their consent.</w:t>
      </w:r>
      <w:r w:rsidRPr="00817103">
        <w:rPr>
          <w:b/>
          <w:color w:val="auto"/>
        </w:rPr>
        <w:t xml:space="preserve"> </w:t>
      </w:r>
    </w:p>
    <w:p w14:paraId="55F0CB67" w14:textId="77777777" w:rsidR="00E97314" w:rsidRDefault="00E97314" w:rsidP="00E97314">
      <w:pPr>
        <w:pStyle w:val="Default"/>
        <w:ind w:left="360" w:hanging="360"/>
        <w:rPr>
          <w:color w:val="auto"/>
        </w:rPr>
      </w:pPr>
    </w:p>
    <w:p w14:paraId="11B8197E" w14:textId="77777777" w:rsidR="00E97314" w:rsidRDefault="00E97314" w:rsidP="006D716A">
      <w:pPr>
        <w:pStyle w:val="Default"/>
        <w:ind w:left="720"/>
        <w:rPr>
          <w:color w:val="auto"/>
        </w:rPr>
      </w:pPr>
      <w:r w:rsidRPr="00A94975">
        <w:rPr>
          <w:color w:val="auto"/>
        </w:rPr>
        <w:t>The</w:t>
      </w:r>
      <w:r>
        <w:rPr>
          <w:color w:val="auto"/>
        </w:rPr>
        <w:t xml:space="preserve">re are no </w:t>
      </w:r>
      <w:r w:rsidRPr="00F17C70">
        <w:t>questions of a sensitive nature, such as sexual behavior and attitudes, religious beliefs, and other matters that are commonly considered private</w:t>
      </w:r>
      <w:r>
        <w:t xml:space="preserve"> included in this collection</w:t>
      </w:r>
      <w:r w:rsidRPr="00F17C70">
        <w:t>.</w:t>
      </w:r>
      <w:r>
        <w:rPr>
          <w:sz w:val="19"/>
          <w:szCs w:val="19"/>
        </w:rPr>
        <w:t xml:space="preserve"> </w:t>
      </w:r>
      <w:r w:rsidRPr="00A94975">
        <w:rPr>
          <w:color w:val="auto"/>
        </w:rPr>
        <w:t xml:space="preserve"> </w:t>
      </w:r>
    </w:p>
    <w:p w14:paraId="5EB6BFE7" w14:textId="77777777" w:rsidR="00E97314" w:rsidRPr="00A94975" w:rsidRDefault="00E97314" w:rsidP="00E97314">
      <w:pPr>
        <w:pStyle w:val="Default"/>
        <w:rPr>
          <w:color w:val="auto"/>
        </w:rPr>
      </w:pPr>
    </w:p>
    <w:p w14:paraId="23ECE58C" w14:textId="77777777" w:rsidR="00E97314" w:rsidRPr="00817103" w:rsidRDefault="00E97314" w:rsidP="00E97314">
      <w:pPr>
        <w:tabs>
          <w:tab w:val="left" w:pos="-1440"/>
        </w:tabs>
        <w:ind w:left="720" w:hanging="720"/>
        <w:jc w:val="both"/>
        <w:rPr>
          <w:b/>
        </w:rPr>
      </w:pPr>
      <w:r w:rsidRPr="00817103">
        <w:rPr>
          <w:b/>
        </w:rPr>
        <w:t>12.</w:t>
      </w:r>
      <w:r w:rsidRPr="00817103">
        <w:rPr>
          <w:b/>
        </w:rPr>
        <w:tab/>
      </w:r>
      <w:r w:rsidRPr="00817103">
        <w:rPr>
          <w:b/>
          <w:sz w:val="19"/>
          <w:szCs w:val="19"/>
        </w:rPr>
        <w:t>Provide estimates of the hour burden of the collection of information.  The statement should:</w:t>
      </w:r>
    </w:p>
    <w:p w14:paraId="522F0386" w14:textId="77777777" w:rsidR="00E97314" w:rsidRPr="00817103" w:rsidRDefault="00E97314" w:rsidP="00E97314">
      <w:pPr>
        <w:tabs>
          <w:tab w:val="left" w:pos="-1440"/>
        </w:tabs>
        <w:ind w:left="1440" w:hanging="720"/>
        <w:jc w:val="both"/>
        <w:rPr>
          <w:b/>
        </w:rPr>
      </w:pPr>
      <w:r w:rsidRPr="00817103">
        <w:rPr>
          <w:b/>
        </w:rPr>
        <w:t>•</w:t>
      </w:r>
      <w:r w:rsidRPr="00817103">
        <w:rPr>
          <w:b/>
        </w:rPr>
        <w:tab/>
      </w:r>
      <w:r w:rsidRPr="00817103">
        <w:rPr>
          <w:b/>
          <w:sz w:val="19"/>
          <w:szCs w:val="19"/>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70A71972" w14:textId="77777777" w:rsidR="00E97314" w:rsidRPr="00817103" w:rsidRDefault="00E97314" w:rsidP="00E97314">
      <w:pPr>
        <w:jc w:val="both"/>
        <w:rPr>
          <w:b/>
        </w:rPr>
      </w:pPr>
    </w:p>
    <w:p w14:paraId="55882E96" w14:textId="77777777" w:rsidR="00E97314" w:rsidRPr="00817103" w:rsidRDefault="00E97314" w:rsidP="00E97314">
      <w:pPr>
        <w:tabs>
          <w:tab w:val="left" w:pos="-1440"/>
        </w:tabs>
        <w:ind w:left="1440" w:hanging="720"/>
        <w:jc w:val="both"/>
        <w:rPr>
          <w:b/>
        </w:rPr>
      </w:pPr>
      <w:r w:rsidRPr="00817103">
        <w:rPr>
          <w:b/>
        </w:rPr>
        <w:t>•</w:t>
      </w:r>
      <w:r w:rsidRPr="00817103">
        <w:rPr>
          <w:b/>
        </w:rPr>
        <w:tab/>
      </w:r>
      <w:r w:rsidRPr="00817103">
        <w:rPr>
          <w:b/>
          <w:sz w:val="19"/>
          <w:szCs w:val="19"/>
        </w:rPr>
        <w:t>If this request for approval covers more than one form, provide separate hour burden estimates for each form and aggregate the hour burdens in Item 13 of OMB Form 83-I.</w:t>
      </w:r>
    </w:p>
    <w:p w14:paraId="64701A37" w14:textId="77777777" w:rsidR="00E97314" w:rsidRPr="00817103" w:rsidRDefault="00E97314" w:rsidP="00E97314">
      <w:pPr>
        <w:jc w:val="both"/>
        <w:rPr>
          <w:b/>
        </w:rPr>
      </w:pPr>
    </w:p>
    <w:p w14:paraId="3BAA9522" w14:textId="77777777" w:rsidR="00E97314" w:rsidRDefault="00E97314" w:rsidP="00E97314">
      <w:pPr>
        <w:tabs>
          <w:tab w:val="left" w:pos="-1440"/>
        </w:tabs>
        <w:ind w:left="1440" w:hanging="720"/>
        <w:jc w:val="both"/>
        <w:rPr>
          <w:b/>
          <w:sz w:val="19"/>
          <w:szCs w:val="19"/>
        </w:rPr>
      </w:pPr>
      <w:r w:rsidRPr="00817103">
        <w:rPr>
          <w:b/>
        </w:rPr>
        <w:t>•</w:t>
      </w:r>
      <w:r w:rsidRPr="00817103">
        <w:rPr>
          <w:b/>
        </w:rPr>
        <w:tab/>
      </w:r>
      <w:r w:rsidRPr="00817103">
        <w:rPr>
          <w:b/>
          <w:sz w:val="19"/>
          <w:szCs w:val="19"/>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1A281B6F" w14:textId="77777777" w:rsidR="00CA5B8D" w:rsidRDefault="00CA5B8D" w:rsidP="00E97314">
      <w:pPr>
        <w:tabs>
          <w:tab w:val="left" w:pos="-1440"/>
        </w:tabs>
        <w:ind w:left="1440" w:hanging="720"/>
        <w:jc w:val="both"/>
      </w:pPr>
    </w:p>
    <w:p w14:paraId="0FB14240" w14:textId="77777777" w:rsidR="00E97314" w:rsidRDefault="00E97314" w:rsidP="00E97314">
      <w:pPr>
        <w:pStyle w:val="Default"/>
        <w:rPr>
          <w:color w:val="auto"/>
        </w:rPr>
      </w:pPr>
      <w:r w:rsidRPr="00A94975">
        <w:rPr>
          <w:color w:val="auto"/>
        </w:rPr>
        <w:t xml:space="preserve"> </w:t>
      </w:r>
    </w:p>
    <w:p w14:paraId="1E474B52" w14:textId="77777777" w:rsidR="00E97314" w:rsidRPr="0037329B" w:rsidRDefault="00E97314" w:rsidP="00CA5B8D">
      <w:pPr>
        <w:pStyle w:val="Default"/>
        <w:ind w:left="720"/>
        <w:rPr>
          <w:color w:val="auto"/>
        </w:rPr>
      </w:pPr>
      <w:r w:rsidRPr="0037329B">
        <w:rPr>
          <w:color w:val="auto"/>
        </w:rPr>
        <w:t xml:space="preserve">Annual Reporting Burden: </w:t>
      </w:r>
    </w:p>
    <w:p w14:paraId="302159DD" w14:textId="618C1EEE" w:rsidR="00E97314" w:rsidRPr="0037329B" w:rsidRDefault="00E97314" w:rsidP="00CA5B8D">
      <w:pPr>
        <w:pStyle w:val="Default"/>
        <w:ind w:left="720" w:firstLine="720"/>
        <w:rPr>
          <w:color w:val="auto"/>
        </w:rPr>
      </w:pPr>
      <w:r w:rsidRPr="0037329B">
        <w:rPr>
          <w:color w:val="auto"/>
        </w:rPr>
        <w:t>a. Number of Respondents:</w:t>
      </w:r>
      <w:r w:rsidR="00263833" w:rsidRPr="0037329B">
        <w:rPr>
          <w:color w:val="auto"/>
        </w:rPr>
        <w:tab/>
      </w:r>
      <w:r w:rsidR="00263833" w:rsidRPr="0037329B">
        <w:rPr>
          <w:color w:val="auto"/>
        </w:rPr>
        <w:tab/>
      </w:r>
      <w:r w:rsidR="00DE4623" w:rsidRPr="0037329B">
        <w:rPr>
          <w:color w:val="auto"/>
        </w:rPr>
        <w:tab/>
      </w:r>
      <w:r w:rsidR="00DE4623" w:rsidRPr="0037329B">
        <w:rPr>
          <w:color w:val="auto"/>
        </w:rPr>
        <w:tab/>
      </w:r>
      <w:r w:rsidR="00BB50A3">
        <w:rPr>
          <w:color w:val="auto"/>
        </w:rPr>
        <w:t>3,500</w:t>
      </w:r>
      <w:r w:rsidRPr="0037329B">
        <w:rPr>
          <w:color w:val="auto"/>
        </w:rPr>
        <w:t xml:space="preserve"> </w:t>
      </w:r>
    </w:p>
    <w:p w14:paraId="0A813B4B" w14:textId="77777777" w:rsidR="00E97314" w:rsidRPr="0037329B" w:rsidRDefault="00DE4623" w:rsidP="00CA5B8D">
      <w:pPr>
        <w:pStyle w:val="Default"/>
        <w:ind w:left="720" w:firstLine="720"/>
        <w:rPr>
          <w:color w:val="auto"/>
        </w:rPr>
      </w:pPr>
      <w:r w:rsidRPr="0037329B">
        <w:rPr>
          <w:color w:val="auto"/>
        </w:rPr>
        <w:t>b</w:t>
      </w:r>
      <w:r w:rsidR="00E97314" w:rsidRPr="0037329B">
        <w:rPr>
          <w:color w:val="auto"/>
        </w:rPr>
        <w:t>. Number of Responses per each Respondent:</w:t>
      </w:r>
      <w:r w:rsidR="00E97314" w:rsidRPr="0037329B">
        <w:rPr>
          <w:color w:val="auto"/>
        </w:rPr>
        <w:tab/>
        <w:t xml:space="preserve">1 </w:t>
      </w:r>
    </w:p>
    <w:p w14:paraId="1ACC7514" w14:textId="3109AF03" w:rsidR="00E97314" w:rsidRPr="0037329B" w:rsidRDefault="00DE4623" w:rsidP="00CA5B8D">
      <w:pPr>
        <w:pStyle w:val="Default"/>
        <w:ind w:left="720" w:firstLine="720"/>
        <w:rPr>
          <w:color w:val="auto"/>
        </w:rPr>
      </w:pPr>
      <w:r w:rsidRPr="0037329B">
        <w:rPr>
          <w:color w:val="auto"/>
        </w:rPr>
        <w:t>c</w:t>
      </w:r>
      <w:r w:rsidR="00E97314" w:rsidRPr="0037329B">
        <w:rPr>
          <w:color w:val="auto"/>
        </w:rPr>
        <w:t>. Total Annual Responses:</w:t>
      </w:r>
      <w:r w:rsidR="00E97314" w:rsidRPr="0037329B">
        <w:rPr>
          <w:color w:val="auto"/>
        </w:rPr>
        <w:tab/>
      </w:r>
      <w:r w:rsidR="00E97314" w:rsidRPr="0037329B">
        <w:rPr>
          <w:color w:val="auto"/>
        </w:rPr>
        <w:tab/>
      </w:r>
      <w:r w:rsidR="00E97314" w:rsidRPr="0037329B">
        <w:rPr>
          <w:color w:val="auto"/>
        </w:rPr>
        <w:tab/>
      </w:r>
      <w:r w:rsidR="00E97314" w:rsidRPr="0037329B">
        <w:rPr>
          <w:color w:val="auto"/>
        </w:rPr>
        <w:tab/>
      </w:r>
      <w:r w:rsidR="00BB50A3">
        <w:rPr>
          <w:color w:val="auto"/>
        </w:rPr>
        <w:t>3,500</w:t>
      </w:r>
    </w:p>
    <w:p w14:paraId="30B44906" w14:textId="77777777" w:rsidR="00E97314" w:rsidRPr="0037329B" w:rsidRDefault="00DE4623" w:rsidP="00CA5B8D">
      <w:pPr>
        <w:pStyle w:val="Default"/>
        <w:ind w:left="720" w:firstLine="720"/>
        <w:rPr>
          <w:color w:val="auto"/>
        </w:rPr>
      </w:pPr>
      <w:r w:rsidRPr="0037329B">
        <w:rPr>
          <w:color w:val="auto"/>
        </w:rPr>
        <w:t>d</w:t>
      </w:r>
      <w:r w:rsidR="00E97314" w:rsidRPr="0037329B">
        <w:rPr>
          <w:color w:val="auto"/>
        </w:rPr>
        <w:t>. Hours per Response:</w:t>
      </w:r>
      <w:r w:rsidR="00E97314" w:rsidRPr="0037329B">
        <w:rPr>
          <w:color w:val="auto"/>
        </w:rPr>
        <w:tab/>
      </w:r>
      <w:r w:rsidR="00E97314" w:rsidRPr="0037329B">
        <w:rPr>
          <w:color w:val="auto"/>
        </w:rPr>
        <w:tab/>
      </w:r>
      <w:r w:rsidR="00E97314" w:rsidRPr="0037329B">
        <w:rPr>
          <w:color w:val="auto"/>
        </w:rPr>
        <w:tab/>
      </w:r>
      <w:r w:rsidR="00E97314" w:rsidRPr="0037329B">
        <w:rPr>
          <w:color w:val="auto"/>
        </w:rPr>
        <w:tab/>
        <w:t>.</w:t>
      </w:r>
      <w:r w:rsidRPr="0037329B">
        <w:rPr>
          <w:color w:val="auto"/>
        </w:rPr>
        <w:t>5</w:t>
      </w:r>
    </w:p>
    <w:p w14:paraId="0F622CF8" w14:textId="791100B8" w:rsidR="00E97314" w:rsidRPr="0037329B" w:rsidRDefault="00DE4623" w:rsidP="00CA5B8D">
      <w:pPr>
        <w:pStyle w:val="Default"/>
        <w:ind w:left="720" w:firstLine="720"/>
        <w:rPr>
          <w:color w:val="auto"/>
        </w:rPr>
      </w:pPr>
      <w:r w:rsidRPr="0037329B">
        <w:rPr>
          <w:color w:val="auto"/>
        </w:rPr>
        <w:t>e</w:t>
      </w:r>
      <w:r w:rsidR="00E97314" w:rsidRPr="0037329B">
        <w:rPr>
          <w:color w:val="auto"/>
        </w:rPr>
        <w:t>. Total</w:t>
      </w:r>
      <w:r w:rsidR="007B18C1" w:rsidRPr="0037329B">
        <w:rPr>
          <w:color w:val="auto"/>
        </w:rPr>
        <w:t xml:space="preserve"> Annual Reporting Burden:</w:t>
      </w:r>
      <w:r w:rsidR="007B18C1" w:rsidRPr="0037329B">
        <w:rPr>
          <w:color w:val="auto"/>
        </w:rPr>
        <w:tab/>
      </w:r>
      <w:r w:rsidR="007B18C1" w:rsidRPr="0037329B">
        <w:rPr>
          <w:color w:val="auto"/>
        </w:rPr>
        <w:tab/>
      </w:r>
      <w:r w:rsidR="007B18C1" w:rsidRPr="0037329B">
        <w:rPr>
          <w:color w:val="auto"/>
        </w:rPr>
        <w:tab/>
      </w:r>
      <w:r w:rsidR="00BB50A3">
        <w:rPr>
          <w:color w:val="auto"/>
        </w:rPr>
        <w:t>1,750</w:t>
      </w:r>
    </w:p>
    <w:p w14:paraId="4463EC00" w14:textId="77777777" w:rsidR="00484EB3" w:rsidRPr="0037329B" w:rsidRDefault="00484EB3" w:rsidP="00E97314">
      <w:pPr>
        <w:pStyle w:val="Default"/>
        <w:ind w:firstLine="720"/>
        <w:rPr>
          <w:color w:val="auto"/>
        </w:rPr>
      </w:pPr>
    </w:p>
    <w:p w14:paraId="4861A7E6" w14:textId="77777777" w:rsidR="00E97314" w:rsidRPr="0037329B" w:rsidRDefault="00E97314" w:rsidP="00CA5B8D">
      <w:pPr>
        <w:pStyle w:val="Default"/>
        <w:ind w:left="720"/>
        <w:jc w:val="both"/>
        <w:rPr>
          <w:color w:val="auto"/>
        </w:rPr>
      </w:pPr>
      <w:r w:rsidRPr="0037329B">
        <w:rPr>
          <w:color w:val="auto"/>
        </w:rPr>
        <w:t xml:space="preserve">The projected hours per response for this collection of information were derived by first breaking the process into three basic components: </w:t>
      </w:r>
    </w:p>
    <w:p w14:paraId="6572EB9C" w14:textId="77777777" w:rsidR="007B18C1" w:rsidRPr="0037329B" w:rsidRDefault="007B18C1" w:rsidP="00CA5B8D">
      <w:pPr>
        <w:pStyle w:val="Default"/>
        <w:ind w:left="720"/>
        <w:jc w:val="both"/>
        <w:rPr>
          <w:color w:val="auto"/>
        </w:rPr>
      </w:pPr>
    </w:p>
    <w:p w14:paraId="04C59D56" w14:textId="77777777" w:rsidR="00E97314" w:rsidRPr="0037329B" w:rsidRDefault="00E97314" w:rsidP="00CA5B8D">
      <w:pPr>
        <w:pStyle w:val="Default"/>
        <w:ind w:left="720" w:firstLine="720"/>
        <w:rPr>
          <w:color w:val="auto"/>
        </w:rPr>
      </w:pPr>
      <w:r w:rsidRPr="0037329B">
        <w:rPr>
          <w:color w:val="auto"/>
        </w:rPr>
        <w:t xml:space="preserve">Learning about the Law and the Form: </w:t>
      </w:r>
      <w:r w:rsidR="00A81F98">
        <w:rPr>
          <w:color w:val="auto"/>
        </w:rPr>
        <w:t xml:space="preserve">  </w:t>
      </w:r>
      <w:r w:rsidR="00954871">
        <w:rPr>
          <w:color w:val="auto"/>
        </w:rPr>
        <w:t>3</w:t>
      </w:r>
      <w:r w:rsidRPr="0037329B">
        <w:rPr>
          <w:color w:val="auto"/>
        </w:rPr>
        <w:t xml:space="preserve"> Minutes </w:t>
      </w:r>
    </w:p>
    <w:p w14:paraId="2C31A1AB" w14:textId="77777777" w:rsidR="00E97314" w:rsidRPr="0037329B" w:rsidRDefault="00E97314" w:rsidP="00CA5B8D">
      <w:pPr>
        <w:pStyle w:val="Default"/>
        <w:ind w:left="720" w:firstLine="720"/>
        <w:rPr>
          <w:color w:val="auto"/>
        </w:rPr>
      </w:pPr>
      <w:r w:rsidRPr="0037329B">
        <w:rPr>
          <w:color w:val="auto"/>
        </w:rPr>
        <w:t xml:space="preserve">Completion of the Form: </w:t>
      </w:r>
      <w:r w:rsidRPr="0037329B">
        <w:rPr>
          <w:color w:val="auto"/>
        </w:rPr>
        <w:tab/>
      </w:r>
      <w:r w:rsidRPr="0037329B">
        <w:rPr>
          <w:color w:val="auto"/>
        </w:rPr>
        <w:tab/>
        <w:t xml:space="preserve">   </w:t>
      </w:r>
      <w:r w:rsidR="00A81F98">
        <w:rPr>
          <w:color w:val="auto"/>
        </w:rPr>
        <w:t xml:space="preserve">  5</w:t>
      </w:r>
      <w:r w:rsidRPr="0037329B">
        <w:rPr>
          <w:color w:val="auto"/>
        </w:rPr>
        <w:t xml:space="preserve"> Minutes </w:t>
      </w:r>
    </w:p>
    <w:p w14:paraId="0713E428" w14:textId="77777777" w:rsidR="00E97314" w:rsidRPr="0037329B" w:rsidRDefault="00B701EF" w:rsidP="00CA5B8D">
      <w:pPr>
        <w:pStyle w:val="Default"/>
        <w:ind w:left="720" w:firstLine="720"/>
        <w:rPr>
          <w:color w:val="auto"/>
        </w:rPr>
      </w:pPr>
      <w:r>
        <w:rPr>
          <w:color w:val="auto"/>
        </w:rPr>
        <w:t>Obtaining Notary Seal</w:t>
      </w:r>
      <w:r>
        <w:rPr>
          <w:color w:val="auto"/>
        </w:rPr>
        <w:tab/>
      </w:r>
      <w:r w:rsidR="00954871">
        <w:rPr>
          <w:color w:val="auto"/>
        </w:rPr>
        <w:t>:</w:t>
      </w:r>
      <w:r>
        <w:rPr>
          <w:color w:val="auto"/>
        </w:rPr>
        <w:tab/>
      </w:r>
      <w:r>
        <w:rPr>
          <w:color w:val="auto"/>
        </w:rPr>
        <w:tab/>
        <w:t xml:space="preserve">   </w:t>
      </w:r>
      <w:r w:rsidR="00A81F98">
        <w:rPr>
          <w:color w:val="auto"/>
        </w:rPr>
        <w:t>2</w:t>
      </w:r>
      <w:r>
        <w:rPr>
          <w:color w:val="auto"/>
        </w:rPr>
        <w:t>0 Minutes</w:t>
      </w:r>
      <w:r w:rsidR="00E97314" w:rsidRPr="0037329B">
        <w:rPr>
          <w:color w:val="auto"/>
        </w:rPr>
        <w:t xml:space="preserve"> </w:t>
      </w:r>
    </w:p>
    <w:p w14:paraId="21248D81" w14:textId="77777777" w:rsidR="00954871" w:rsidRDefault="00954871" w:rsidP="00CA5B8D">
      <w:pPr>
        <w:pStyle w:val="Default"/>
        <w:ind w:left="720" w:firstLine="720"/>
        <w:rPr>
          <w:color w:val="auto"/>
        </w:rPr>
      </w:pPr>
      <w:r w:rsidRPr="00A94975">
        <w:rPr>
          <w:color w:val="auto"/>
        </w:rPr>
        <w:t xml:space="preserve">Assembling and </w:t>
      </w:r>
      <w:r>
        <w:rPr>
          <w:color w:val="auto"/>
        </w:rPr>
        <w:t>f</w:t>
      </w:r>
      <w:r w:rsidRPr="00A94975">
        <w:rPr>
          <w:color w:val="auto"/>
        </w:rPr>
        <w:t xml:space="preserve">iling the </w:t>
      </w:r>
      <w:r>
        <w:rPr>
          <w:color w:val="auto"/>
        </w:rPr>
        <w:t>f</w:t>
      </w:r>
      <w:r w:rsidRPr="00A94975">
        <w:rPr>
          <w:color w:val="auto"/>
        </w:rPr>
        <w:t xml:space="preserve">orm: </w:t>
      </w:r>
      <w:r>
        <w:rPr>
          <w:color w:val="auto"/>
        </w:rPr>
        <w:tab/>
        <w:t xml:space="preserve">     2 Minutes</w:t>
      </w:r>
    </w:p>
    <w:p w14:paraId="12553F78" w14:textId="77777777" w:rsidR="00E97314" w:rsidRPr="0037329B" w:rsidRDefault="00E97314" w:rsidP="00CA5B8D">
      <w:pPr>
        <w:pStyle w:val="Default"/>
        <w:ind w:left="720" w:firstLine="720"/>
        <w:rPr>
          <w:color w:val="auto"/>
        </w:rPr>
      </w:pPr>
      <w:r w:rsidRPr="0037329B">
        <w:rPr>
          <w:color w:val="auto"/>
        </w:rPr>
        <w:t>Total Hours per Response</w:t>
      </w:r>
      <w:r w:rsidR="007B18C1" w:rsidRPr="0037329B">
        <w:rPr>
          <w:color w:val="auto"/>
        </w:rPr>
        <w:t>:</w:t>
      </w:r>
      <w:r w:rsidRPr="0037329B">
        <w:rPr>
          <w:color w:val="auto"/>
        </w:rPr>
        <w:t xml:space="preserve"> </w:t>
      </w:r>
      <w:r w:rsidRPr="0037329B">
        <w:rPr>
          <w:color w:val="auto"/>
        </w:rPr>
        <w:tab/>
      </w:r>
      <w:r w:rsidRPr="0037329B">
        <w:rPr>
          <w:color w:val="auto"/>
        </w:rPr>
        <w:tab/>
        <w:t xml:space="preserve">   </w:t>
      </w:r>
      <w:r w:rsidR="00A81F98">
        <w:rPr>
          <w:color w:val="auto"/>
        </w:rPr>
        <w:t>3</w:t>
      </w:r>
      <w:r w:rsidR="006D716A" w:rsidRPr="0037329B">
        <w:rPr>
          <w:color w:val="auto"/>
        </w:rPr>
        <w:t>0</w:t>
      </w:r>
      <w:r w:rsidRPr="0037329B">
        <w:rPr>
          <w:color w:val="auto"/>
        </w:rPr>
        <w:t xml:space="preserve"> Minutes </w:t>
      </w:r>
    </w:p>
    <w:p w14:paraId="6B709B82" w14:textId="77777777" w:rsidR="00E97314" w:rsidRDefault="00E97314" w:rsidP="00E97314">
      <w:pPr>
        <w:pStyle w:val="Default"/>
        <w:rPr>
          <w:b/>
          <w:bCs/>
          <w:color w:val="auto"/>
        </w:rPr>
      </w:pPr>
    </w:p>
    <w:p w14:paraId="5A0ABDEA" w14:textId="77777777" w:rsidR="00954871" w:rsidRDefault="00954871" w:rsidP="00E97314">
      <w:pPr>
        <w:pStyle w:val="Default"/>
        <w:rPr>
          <w:b/>
          <w:bCs/>
          <w:color w:val="auto"/>
        </w:rPr>
      </w:pPr>
    </w:p>
    <w:p w14:paraId="6924A53A" w14:textId="77777777" w:rsidR="00E97314" w:rsidRPr="00A94975" w:rsidRDefault="00E97314" w:rsidP="00CA5B8D">
      <w:pPr>
        <w:pStyle w:val="Default"/>
        <w:ind w:left="720"/>
        <w:rPr>
          <w:color w:val="auto"/>
        </w:rPr>
      </w:pPr>
      <w:r w:rsidRPr="00A94975">
        <w:rPr>
          <w:b/>
          <w:bCs/>
          <w:color w:val="auto"/>
        </w:rPr>
        <w:t xml:space="preserve">Annual Reporting Burden </w:t>
      </w:r>
    </w:p>
    <w:p w14:paraId="3DE39F80" w14:textId="2755CEA0" w:rsidR="00E97314" w:rsidRDefault="00E97314" w:rsidP="00CA5B8D">
      <w:pPr>
        <w:pStyle w:val="Default"/>
        <w:ind w:left="720"/>
        <w:jc w:val="both"/>
        <w:rPr>
          <w:color w:val="auto"/>
        </w:rPr>
      </w:pPr>
      <w:r w:rsidRPr="00A94975">
        <w:rPr>
          <w:b/>
          <w:bCs/>
          <w:color w:val="auto"/>
        </w:rPr>
        <w:t xml:space="preserve">Total annual </w:t>
      </w:r>
      <w:r>
        <w:rPr>
          <w:b/>
          <w:bCs/>
          <w:color w:val="auto"/>
        </w:rPr>
        <w:t xml:space="preserve">reporting burden hours is </w:t>
      </w:r>
      <w:r w:rsidR="00BB50A3">
        <w:rPr>
          <w:b/>
          <w:bCs/>
          <w:color w:val="auto"/>
        </w:rPr>
        <w:t>1,750</w:t>
      </w:r>
      <w:r w:rsidRPr="00A94975">
        <w:rPr>
          <w:b/>
          <w:bCs/>
          <w:color w:val="auto"/>
        </w:rPr>
        <w:t xml:space="preserve">. </w:t>
      </w:r>
      <w:r w:rsidRPr="00A94975">
        <w:rPr>
          <w:color w:val="auto"/>
        </w:rPr>
        <w:t>This figure was derived by multiplying t</w:t>
      </w:r>
      <w:r>
        <w:rPr>
          <w:color w:val="auto"/>
        </w:rPr>
        <w:t>he number of respondents (</w:t>
      </w:r>
      <w:r w:rsidR="00BB50A3">
        <w:rPr>
          <w:color w:val="auto"/>
        </w:rPr>
        <w:t>3,500</w:t>
      </w:r>
      <w:r w:rsidRPr="00A94975">
        <w:rPr>
          <w:color w:val="auto"/>
        </w:rPr>
        <w:t>) x frequency of response (1) x (</w:t>
      </w:r>
      <w:r>
        <w:rPr>
          <w:color w:val="auto"/>
        </w:rPr>
        <w:t>0.</w:t>
      </w:r>
      <w:r w:rsidR="00484EB3">
        <w:rPr>
          <w:color w:val="auto"/>
        </w:rPr>
        <w:t>5</w:t>
      </w:r>
      <w:r w:rsidR="00823738">
        <w:rPr>
          <w:color w:val="auto"/>
        </w:rPr>
        <w:t>0</w:t>
      </w:r>
      <w:r w:rsidRPr="00A94975">
        <w:rPr>
          <w:color w:val="auto"/>
        </w:rPr>
        <w:t xml:space="preserve">) hours per response. </w:t>
      </w:r>
    </w:p>
    <w:p w14:paraId="606ACDE3" w14:textId="77777777" w:rsidR="00E97314" w:rsidRDefault="00E97314" w:rsidP="00CA5B8D">
      <w:pPr>
        <w:pStyle w:val="Default"/>
        <w:ind w:left="720"/>
        <w:jc w:val="both"/>
        <w:rPr>
          <w:color w:val="auto"/>
        </w:rPr>
      </w:pPr>
    </w:p>
    <w:p w14:paraId="7C6955E0" w14:textId="77777777" w:rsidR="00E97314" w:rsidRPr="00A94975" w:rsidRDefault="00E97314" w:rsidP="00CA5B8D">
      <w:pPr>
        <w:pStyle w:val="Default"/>
        <w:ind w:left="720"/>
        <w:jc w:val="both"/>
        <w:rPr>
          <w:color w:val="auto"/>
        </w:rPr>
      </w:pPr>
      <w:r>
        <w:rPr>
          <w:b/>
          <w:bCs/>
          <w:color w:val="auto"/>
        </w:rPr>
        <w:t xml:space="preserve">Annual </w:t>
      </w:r>
      <w:r w:rsidRPr="00A94975">
        <w:rPr>
          <w:b/>
          <w:bCs/>
          <w:color w:val="auto"/>
        </w:rPr>
        <w:t>Cost</w:t>
      </w:r>
      <w:r>
        <w:rPr>
          <w:b/>
          <w:bCs/>
          <w:color w:val="auto"/>
        </w:rPr>
        <w:t xml:space="preserve"> Burden</w:t>
      </w:r>
      <w:r w:rsidRPr="00A94975">
        <w:rPr>
          <w:b/>
          <w:bCs/>
          <w:color w:val="auto"/>
        </w:rPr>
        <w:t xml:space="preserve"> </w:t>
      </w:r>
    </w:p>
    <w:p w14:paraId="70107F76" w14:textId="1AD7E598" w:rsidR="00E97314" w:rsidRDefault="00E97314" w:rsidP="00CA5B8D">
      <w:pPr>
        <w:pStyle w:val="Default"/>
        <w:ind w:left="720"/>
        <w:jc w:val="both"/>
        <w:rPr>
          <w:color w:val="auto"/>
        </w:rPr>
      </w:pPr>
      <w:r w:rsidRPr="0037329B">
        <w:rPr>
          <w:b/>
          <w:bCs/>
          <w:color w:val="auto"/>
        </w:rPr>
        <w:t>The estimated annual cost burden is $</w:t>
      </w:r>
      <w:r w:rsidR="00FA7AD5">
        <w:rPr>
          <w:b/>
          <w:bCs/>
          <w:color w:val="auto"/>
        </w:rPr>
        <w:t>27,930</w:t>
      </w:r>
      <w:r w:rsidRPr="0037329B">
        <w:rPr>
          <w:b/>
          <w:bCs/>
          <w:color w:val="auto"/>
        </w:rPr>
        <w:t xml:space="preserve">. </w:t>
      </w:r>
      <w:r w:rsidRPr="0037329B">
        <w:rPr>
          <w:color w:val="auto"/>
        </w:rPr>
        <w:t>This estimate is based on the number of respondents (</w:t>
      </w:r>
      <w:r w:rsidR="0076302F">
        <w:rPr>
          <w:color w:val="auto"/>
        </w:rPr>
        <w:t>3,500</w:t>
      </w:r>
      <w:r w:rsidRPr="0037329B">
        <w:rPr>
          <w:color w:val="auto"/>
        </w:rPr>
        <w:t>) x number of responses (1) x hours per response (0.</w:t>
      </w:r>
      <w:r w:rsidR="00484EB3" w:rsidRPr="0037329B">
        <w:rPr>
          <w:color w:val="auto"/>
        </w:rPr>
        <w:t>5</w:t>
      </w:r>
      <w:r w:rsidR="00823738" w:rsidRPr="0037329B">
        <w:rPr>
          <w:color w:val="auto"/>
        </w:rPr>
        <w:t>0</w:t>
      </w:r>
      <w:r w:rsidRPr="0037329B">
        <w:rPr>
          <w:color w:val="auto"/>
        </w:rPr>
        <w:t>) x ($</w:t>
      </w:r>
      <w:r w:rsidR="00635405">
        <w:rPr>
          <w:color w:val="auto"/>
        </w:rPr>
        <w:t>15.9</w:t>
      </w:r>
      <w:r w:rsidR="00FA7AD5">
        <w:rPr>
          <w:color w:val="auto"/>
        </w:rPr>
        <w:t>6</w:t>
      </w:r>
      <w:r w:rsidRPr="00DC3B42">
        <w:rPr>
          <w:color w:val="auto"/>
        </w:rPr>
        <w:t>)</w:t>
      </w:r>
      <w:r w:rsidRPr="0037329B">
        <w:rPr>
          <w:color w:val="auto"/>
        </w:rPr>
        <w:t xml:space="preserve"> average hourly rate; </w:t>
      </w:r>
    </w:p>
    <w:p w14:paraId="43F6D345" w14:textId="77777777" w:rsidR="00C33960" w:rsidRDefault="00C33960" w:rsidP="00CA5B8D">
      <w:pPr>
        <w:pStyle w:val="Default"/>
        <w:ind w:left="720"/>
        <w:jc w:val="both"/>
        <w:rPr>
          <w:color w:val="auto"/>
        </w:rPr>
      </w:pPr>
    </w:p>
    <w:p w14:paraId="6F13CC37" w14:textId="7A24A044" w:rsidR="00C33960" w:rsidRPr="002F446C" w:rsidRDefault="00C33960" w:rsidP="00C33960">
      <w:pPr>
        <w:pStyle w:val="BodyTextIndent2"/>
        <w:spacing w:line="276" w:lineRule="auto"/>
      </w:pPr>
      <w:r w:rsidRPr="002F446C">
        <w:t xml:space="preserve">The wage rate, which includes a benefit multiplier, was based on job categories a typical </w:t>
      </w:r>
      <w:r>
        <w:t>worker</w:t>
      </w:r>
      <w:r w:rsidRPr="002F446C">
        <w:t xml:space="preserve"> might pick (cashier, food preparation workers, and waitress/waiter) and was based on information found on the Bureau of Labor Statistics website</w:t>
      </w:r>
      <w:r w:rsidR="00FA7AD5">
        <w:t xml:space="preserve"> as shown below</w:t>
      </w:r>
      <w:r w:rsidRPr="002F446C">
        <w:t xml:space="preserve">. </w:t>
      </w:r>
    </w:p>
    <w:p w14:paraId="658E4520" w14:textId="5F1964B8" w:rsidR="00C33960" w:rsidRDefault="00C33960" w:rsidP="00CA5B8D">
      <w:pPr>
        <w:pStyle w:val="Default"/>
        <w:ind w:left="720"/>
        <w:jc w:val="both"/>
        <w:rPr>
          <w:color w:val="auto"/>
        </w:rPr>
      </w:pPr>
    </w:p>
    <w:tbl>
      <w:tblPr>
        <w:tblW w:w="8460" w:type="dxa"/>
        <w:tblInd w:w="355" w:type="dxa"/>
        <w:tblLook w:val="04A0" w:firstRow="1" w:lastRow="0" w:firstColumn="1" w:lastColumn="0" w:noHBand="0" w:noVBand="1"/>
      </w:tblPr>
      <w:tblGrid>
        <w:gridCol w:w="971"/>
        <w:gridCol w:w="1761"/>
        <w:gridCol w:w="962"/>
        <w:gridCol w:w="4784"/>
      </w:tblGrid>
      <w:tr w:rsidR="00635405" w:rsidRPr="00635405" w14:paraId="03A6F292" w14:textId="77777777" w:rsidTr="00635405">
        <w:trPr>
          <w:cantSplit/>
          <w:trHeight w:val="900"/>
          <w:tblHeader/>
        </w:trPr>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0B7E6" w14:textId="77777777" w:rsidR="00635405" w:rsidRPr="00635405" w:rsidRDefault="00635405" w:rsidP="00635405">
            <w:pPr>
              <w:widowControl/>
              <w:jc w:val="center"/>
              <w:rPr>
                <w:snapToGrid/>
                <w:color w:val="000000"/>
                <w:sz w:val="22"/>
                <w:szCs w:val="22"/>
              </w:rPr>
            </w:pPr>
            <w:r w:rsidRPr="00635405">
              <w:rPr>
                <w:snapToGrid/>
                <w:color w:val="000000"/>
                <w:sz w:val="22"/>
                <w:szCs w:val="22"/>
              </w:rPr>
              <w:t>Job Code</w:t>
            </w:r>
          </w:p>
        </w:tc>
        <w:tc>
          <w:tcPr>
            <w:tcW w:w="1761" w:type="dxa"/>
            <w:tcBorders>
              <w:top w:val="single" w:sz="4" w:space="0" w:color="auto"/>
              <w:left w:val="nil"/>
              <w:bottom w:val="single" w:sz="4" w:space="0" w:color="auto"/>
              <w:right w:val="single" w:sz="4" w:space="0" w:color="auto"/>
            </w:tcBorders>
            <w:shd w:val="clear" w:color="auto" w:fill="auto"/>
            <w:vAlign w:val="center"/>
            <w:hideMark/>
          </w:tcPr>
          <w:p w14:paraId="0AEBC6DA" w14:textId="77777777" w:rsidR="00635405" w:rsidRPr="00635405" w:rsidRDefault="00635405" w:rsidP="00635405">
            <w:pPr>
              <w:widowControl/>
              <w:jc w:val="center"/>
              <w:rPr>
                <w:snapToGrid/>
                <w:color w:val="000000"/>
                <w:sz w:val="22"/>
                <w:szCs w:val="22"/>
              </w:rPr>
            </w:pPr>
            <w:r w:rsidRPr="00635405">
              <w:rPr>
                <w:snapToGrid/>
                <w:color w:val="000000"/>
                <w:sz w:val="22"/>
                <w:szCs w:val="22"/>
              </w:rPr>
              <w:t>Job Name</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123859F0" w14:textId="77777777" w:rsidR="00635405" w:rsidRPr="00635405" w:rsidRDefault="00635405" w:rsidP="00635405">
            <w:pPr>
              <w:widowControl/>
              <w:jc w:val="center"/>
              <w:rPr>
                <w:snapToGrid/>
                <w:color w:val="000000"/>
                <w:sz w:val="22"/>
                <w:szCs w:val="22"/>
              </w:rPr>
            </w:pPr>
            <w:r w:rsidRPr="00635405">
              <w:rPr>
                <w:snapToGrid/>
                <w:color w:val="000000"/>
                <w:sz w:val="22"/>
                <w:szCs w:val="22"/>
              </w:rPr>
              <w:t>Average Hourly Rate</w:t>
            </w:r>
          </w:p>
        </w:tc>
        <w:tc>
          <w:tcPr>
            <w:tcW w:w="4784" w:type="dxa"/>
            <w:tcBorders>
              <w:top w:val="single" w:sz="4" w:space="0" w:color="auto"/>
              <w:left w:val="nil"/>
              <w:bottom w:val="single" w:sz="4" w:space="0" w:color="auto"/>
              <w:right w:val="single" w:sz="4" w:space="0" w:color="auto"/>
            </w:tcBorders>
            <w:shd w:val="clear" w:color="auto" w:fill="auto"/>
            <w:vAlign w:val="center"/>
            <w:hideMark/>
          </w:tcPr>
          <w:p w14:paraId="16DEFD45" w14:textId="77777777" w:rsidR="00635405" w:rsidRPr="00635405" w:rsidRDefault="00635405" w:rsidP="00635405">
            <w:pPr>
              <w:widowControl/>
              <w:jc w:val="center"/>
              <w:rPr>
                <w:snapToGrid/>
                <w:color w:val="000000"/>
                <w:sz w:val="22"/>
                <w:szCs w:val="22"/>
              </w:rPr>
            </w:pPr>
            <w:r w:rsidRPr="00635405">
              <w:rPr>
                <w:snapToGrid/>
                <w:color w:val="000000"/>
                <w:sz w:val="22"/>
                <w:szCs w:val="22"/>
              </w:rPr>
              <w:t>Source</w:t>
            </w:r>
          </w:p>
        </w:tc>
      </w:tr>
      <w:tr w:rsidR="00635405" w:rsidRPr="00635405" w14:paraId="000E1B0F" w14:textId="77777777" w:rsidTr="00635405">
        <w:trPr>
          <w:trHeight w:val="30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36B48EDA" w14:textId="77777777" w:rsidR="00635405" w:rsidRPr="00635405" w:rsidRDefault="00635405" w:rsidP="00635405">
            <w:pPr>
              <w:widowControl/>
              <w:rPr>
                <w:snapToGrid/>
                <w:color w:val="000000"/>
                <w:sz w:val="22"/>
                <w:szCs w:val="22"/>
              </w:rPr>
            </w:pPr>
            <w:r w:rsidRPr="00635405">
              <w:rPr>
                <w:snapToGrid/>
                <w:color w:val="000000"/>
                <w:sz w:val="22"/>
                <w:szCs w:val="22"/>
              </w:rPr>
              <w:t>41-2011</w:t>
            </w:r>
          </w:p>
        </w:tc>
        <w:tc>
          <w:tcPr>
            <w:tcW w:w="1761" w:type="dxa"/>
            <w:tcBorders>
              <w:top w:val="nil"/>
              <w:left w:val="nil"/>
              <w:bottom w:val="single" w:sz="4" w:space="0" w:color="auto"/>
              <w:right w:val="single" w:sz="4" w:space="0" w:color="auto"/>
            </w:tcBorders>
            <w:shd w:val="clear" w:color="auto" w:fill="auto"/>
            <w:noWrap/>
            <w:vAlign w:val="bottom"/>
            <w:hideMark/>
          </w:tcPr>
          <w:p w14:paraId="47D9036F" w14:textId="77777777" w:rsidR="00635405" w:rsidRPr="00635405" w:rsidRDefault="00635405" w:rsidP="00635405">
            <w:pPr>
              <w:widowControl/>
              <w:rPr>
                <w:snapToGrid/>
                <w:color w:val="000000"/>
                <w:sz w:val="22"/>
                <w:szCs w:val="22"/>
              </w:rPr>
            </w:pPr>
            <w:r w:rsidRPr="00635405">
              <w:rPr>
                <w:snapToGrid/>
                <w:color w:val="000000"/>
                <w:sz w:val="22"/>
                <w:szCs w:val="22"/>
              </w:rPr>
              <w:t xml:space="preserve">Cashier </w:t>
            </w:r>
          </w:p>
        </w:tc>
        <w:tc>
          <w:tcPr>
            <w:tcW w:w="944" w:type="dxa"/>
            <w:tcBorders>
              <w:top w:val="nil"/>
              <w:left w:val="nil"/>
              <w:bottom w:val="single" w:sz="4" w:space="0" w:color="auto"/>
              <w:right w:val="single" w:sz="4" w:space="0" w:color="auto"/>
            </w:tcBorders>
            <w:shd w:val="clear" w:color="auto" w:fill="auto"/>
            <w:noWrap/>
            <w:vAlign w:val="bottom"/>
            <w:hideMark/>
          </w:tcPr>
          <w:p w14:paraId="6B6582AD" w14:textId="77777777" w:rsidR="00635405" w:rsidRPr="00635405" w:rsidRDefault="00635405" w:rsidP="00635405">
            <w:pPr>
              <w:widowControl/>
              <w:jc w:val="right"/>
              <w:rPr>
                <w:snapToGrid/>
                <w:color w:val="000000"/>
                <w:sz w:val="22"/>
                <w:szCs w:val="22"/>
              </w:rPr>
            </w:pPr>
            <w:r w:rsidRPr="00635405">
              <w:rPr>
                <w:snapToGrid/>
                <w:color w:val="000000"/>
                <w:sz w:val="22"/>
                <w:szCs w:val="22"/>
              </w:rPr>
              <w:t xml:space="preserve">$10.64 </w:t>
            </w:r>
          </w:p>
        </w:tc>
        <w:tc>
          <w:tcPr>
            <w:tcW w:w="4784" w:type="dxa"/>
            <w:tcBorders>
              <w:top w:val="nil"/>
              <w:left w:val="nil"/>
              <w:bottom w:val="single" w:sz="4" w:space="0" w:color="auto"/>
              <w:right w:val="single" w:sz="4" w:space="0" w:color="auto"/>
            </w:tcBorders>
            <w:shd w:val="clear" w:color="auto" w:fill="auto"/>
            <w:noWrap/>
            <w:vAlign w:val="bottom"/>
            <w:hideMark/>
          </w:tcPr>
          <w:p w14:paraId="30532062" w14:textId="77777777" w:rsidR="00635405" w:rsidRPr="00635405" w:rsidRDefault="00BD3AB3" w:rsidP="00635405">
            <w:pPr>
              <w:widowControl/>
              <w:rPr>
                <w:snapToGrid/>
                <w:color w:val="0563C1"/>
                <w:sz w:val="22"/>
                <w:szCs w:val="22"/>
                <w:u w:val="single"/>
              </w:rPr>
            </w:pPr>
            <w:hyperlink r:id="rId11" w:history="1">
              <w:r w:rsidR="00635405" w:rsidRPr="00635405">
                <w:rPr>
                  <w:snapToGrid/>
                  <w:color w:val="0563C1"/>
                  <w:sz w:val="22"/>
                  <w:szCs w:val="22"/>
                  <w:u w:val="single"/>
                </w:rPr>
                <w:t>https://www.bls.gov/oes/2017/may/oes412011.htm</w:t>
              </w:r>
            </w:hyperlink>
          </w:p>
        </w:tc>
      </w:tr>
      <w:tr w:rsidR="00635405" w:rsidRPr="00635405" w14:paraId="461268AF" w14:textId="77777777" w:rsidTr="00635405">
        <w:trPr>
          <w:trHeight w:val="30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3830BE8E" w14:textId="77777777" w:rsidR="00635405" w:rsidRPr="00635405" w:rsidRDefault="00635405" w:rsidP="00635405">
            <w:pPr>
              <w:widowControl/>
              <w:rPr>
                <w:snapToGrid/>
                <w:color w:val="000000"/>
                <w:sz w:val="22"/>
                <w:szCs w:val="22"/>
              </w:rPr>
            </w:pPr>
            <w:r w:rsidRPr="00635405">
              <w:rPr>
                <w:snapToGrid/>
                <w:color w:val="000000"/>
                <w:sz w:val="22"/>
                <w:szCs w:val="22"/>
              </w:rPr>
              <w:t>35-2021</w:t>
            </w:r>
          </w:p>
        </w:tc>
        <w:tc>
          <w:tcPr>
            <w:tcW w:w="1761" w:type="dxa"/>
            <w:tcBorders>
              <w:top w:val="nil"/>
              <w:left w:val="nil"/>
              <w:bottom w:val="single" w:sz="4" w:space="0" w:color="auto"/>
              <w:right w:val="single" w:sz="4" w:space="0" w:color="auto"/>
            </w:tcBorders>
            <w:shd w:val="clear" w:color="auto" w:fill="auto"/>
            <w:noWrap/>
            <w:vAlign w:val="bottom"/>
            <w:hideMark/>
          </w:tcPr>
          <w:p w14:paraId="410B1897" w14:textId="77777777" w:rsidR="00635405" w:rsidRPr="00635405" w:rsidRDefault="00635405" w:rsidP="00635405">
            <w:pPr>
              <w:widowControl/>
              <w:rPr>
                <w:snapToGrid/>
                <w:color w:val="000000"/>
                <w:sz w:val="22"/>
                <w:szCs w:val="22"/>
              </w:rPr>
            </w:pPr>
            <w:r w:rsidRPr="00635405">
              <w:rPr>
                <w:snapToGrid/>
                <w:color w:val="000000"/>
                <w:sz w:val="22"/>
                <w:szCs w:val="22"/>
              </w:rPr>
              <w:t>Food Prep</w:t>
            </w:r>
          </w:p>
        </w:tc>
        <w:tc>
          <w:tcPr>
            <w:tcW w:w="944" w:type="dxa"/>
            <w:tcBorders>
              <w:top w:val="nil"/>
              <w:left w:val="nil"/>
              <w:bottom w:val="single" w:sz="4" w:space="0" w:color="auto"/>
              <w:right w:val="single" w:sz="4" w:space="0" w:color="auto"/>
            </w:tcBorders>
            <w:shd w:val="clear" w:color="auto" w:fill="auto"/>
            <w:noWrap/>
            <w:vAlign w:val="bottom"/>
            <w:hideMark/>
          </w:tcPr>
          <w:p w14:paraId="61BB3983" w14:textId="77777777" w:rsidR="00635405" w:rsidRPr="00635405" w:rsidRDefault="00635405" w:rsidP="00635405">
            <w:pPr>
              <w:widowControl/>
              <w:jc w:val="right"/>
              <w:rPr>
                <w:snapToGrid/>
                <w:color w:val="000000"/>
                <w:sz w:val="22"/>
                <w:szCs w:val="22"/>
              </w:rPr>
            </w:pPr>
            <w:r w:rsidRPr="00635405">
              <w:rPr>
                <w:snapToGrid/>
                <w:color w:val="000000"/>
                <w:sz w:val="22"/>
                <w:szCs w:val="22"/>
              </w:rPr>
              <w:t xml:space="preserve">$11.49 </w:t>
            </w:r>
          </w:p>
        </w:tc>
        <w:tc>
          <w:tcPr>
            <w:tcW w:w="4784" w:type="dxa"/>
            <w:tcBorders>
              <w:top w:val="nil"/>
              <w:left w:val="nil"/>
              <w:bottom w:val="single" w:sz="4" w:space="0" w:color="auto"/>
              <w:right w:val="single" w:sz="4" w:space="0" w:color="auto"/>
            </w:tcBorders>
            <w:shd w:val="clear" w:color="auto" w:fill="auto"/>
            <w:noWrap/>
            <w:vAlign w:val="bottom"/>
            <w:hideMark/>
          </w:tcPr>
          <w:p w14:paraId="669A3C91" w14:textId="77777777" w:rsidR="00635405" w:rsidRPr="00635405" w:rsidRDefault="00BD3AB3" w:rsidP="00635405">
            <w:pPr>
              <w:widowControl/>
              <w:rPr>
                <w:snapToGrid/>
                <w:color w:val="0563C1"/>
                <w:sz w:val="22"/>
                <w:szCs w:val="22"/>
                <w:u w:val="single"/>
              </w:rPr>
            </w:pPr>
            <w:hyperlink r:id="rId12" w:history="1">
              <w:r w:rsidR="00635405" w:rsidRPr="00635405">
                <w:rPr>
                  <w:snapToGrid/>
                  <w:color w:val="0563C1"/>
                  <w:sz w:val="22"/>
                  <w:szCs w:val="22"/>
                  <w:u w:val="single"/>
                </w:rPr>
                <w:t>https://www.bls.gov/oes/2017/may/oes352021.htm</w:t>
              </w:r>
            </w:hyperlink>
          </w:p>
        </w:tc>
      </w:tr>
      <w:tr w:rsidR="00635405" w:rsidRPr="00635405" w14:paraId="2C859BE2" w14:textId="77777777" w:rsidTr="00635405">
        <w:trPr>
          <w:trHeight w:val="30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4B46CB87" w14:textId="77777777" w:rsidR="00635405" w:rsidRPr="00635405" w:rsidRDefault="00635405" w:rsidP="00635405">
            <w:pPr>
              <w:widowControl/>
              <w:rPr>
                <w:snapToGrid/>
                <w:color w:val="000000"/>
                <w:sz w:val="22"/>
                <w:szCs w:val="22"/>
              </w:rPr>
            </w:pPr>
            <w:r w:rsidRPr="00635405">
              <w:rPr>
                <w:snapToGrid/>
                <w:color w:val="000000"/>
                <w:sz w:val="22"/>
                <w:szCs w:val="22"/>
              </w:rPr>
              <w:t>35-3021</w:t>
            </w:r>
          </w:p>
        </w:tc>
        <w:tc>
          <w:tcPr>
            <w:tcW w:w="1761" w:type="dxa"/>
            <w:tcBorders>
              <w:top w:val="nil"/>
              <w:left w:val="nil"/>
              <w:bottom w:val="single" w:sz="4" w:space="0" w:color="auto"/>
              <w:right w:val="single" w:sz="4" w:space="0" w:color="auto"/>
            </w:tcBorders>
            <w:shd w:val="clear" w:color="auto" w:fill="auto"/>
            <w:noWrap/>
            <w:vAlign w:val="bottom"/>
            <w:hideMark/>
          </w:tcPr>
          <w:p w14:paraId="75FADE98" w14:textId="77777777" w:rsidR="00635405" w:rsidRPr="00635405" w:rsidRDefault="00635405" w:rsidP="00635405">
            <w:pPr>
              <w:widowControl/>
              <w:rPr>
                <w:snapToGrid/>
                <w:color w:val="000000"/>
                <w:sz w:val="22"/>
                <w:szCs w:val="22"/>
              </w:rPr>
            </w:pPr>
            <w:r w:rsidRPr="00635405">
              <w:rPr>
                <w:snapToGrid/>
                <w:color w:val="000000"/>
                <w:sz w:val="22"/>
                <w:szCs w:val="22"/>
              </w:rPr>
              <w:t>Food Prep/fast food</w:t>
            </w:r>
          </w:p>
        </w:tc>
        <w:tc>
          <w:tcPr>
            <w:tcW w:w="944" w:type="dxa"/>
            <w:tcBorders>
              <w:top w:val="nil"/>
              <w:left w:val="nil"/>
              <w:bottom w:val="single" w:sz="4" w:space="0" w:color="auto"/>
              <w:right w:val="single" w:sz="4" w:space="0" w:color="auto"/>
            </w:tcBorders>
            <w:shd w:val="clear" w:color="auto" w:fill="auto"/>
            <w:noWrap/>
            <w:vAlign w:val="bottom"/>
            <w:hideMark/>
          </w:tcPr>
          <w:p w14:paraId="343A6448" w14:textId="77777777" w:rsidR="00635405" w:rsidRPr="00635405" w:rsidRDefault="00635405" w:rsidP="00635405">
            <w:pPr>
              <w:widowControl/>
              <w:jc w:val="right"/>
              <w:rPr>
                <w:snapToGrid/>
                <w:color w:val="000000"/>
                <w:sz w:val="22"/>
                <w:szCs w:val="22"/>
              </w:rPr>
            </w:pPr>
            <w:r w:rsidRPr="00635405">
              <w:rPr>
                <w:snapToGrid/>
                <w:color w:val="000000"/>
                <w:sz w:val="22"/>
                <w:szCs w:val="22"/>
              </w:rPr>
              <w:t xml:space="preserve">$10.21 </w:t>
            </w:r>
          </w:p>
        </w:tc>
        <w:tc>
          <w:tcPr>
            <w:tcW w:w="4784" w:type="dxa"/>
            <w:tcBorders>
              <w:top w:val="nil"/>
              <w:left w:val="nil"/>
              <w:bottom w:val="single" w:sz="4" w:space="0" w:color="auto"/>
              <w:right w:val="single" w:sz="4" w:space="0" w:color="auto"/>
            </w:tcBorders>
            <w:shd w:val="clear" w:color="auto" w:fill="auto"/>
            <w:noWrap/>
            <w:vAlign w:val="bottom"/>
            <w:hideMark/>
          </w:tcPr>
          <w:p w14:paraId="3F25E9C2" w14:textId="77777777" w:rsidR="00635405" w:rsidRPr="00635405" w:rsidRDefault="00BD3AB3" w:rsidP="00635405">
            <w:pPr>
              <w:widowControl/>
              <w:rPr>
                <w:snapToGrid/>
                <w:color w:val="0563C1"/>
                <w:sz w:val="22"/>
                <w:szCs w:val="22"/>
                <w:u w:val="single"/>
              </w:rPr>
            </w:pPr>
            <w:hyperlink r:id="rId13" w:history="1">
              <w:r w:rsidR="00635405" w:rsidRPr="00635405">
                <w:rPr>
                  <w:snapToGrid/>
                  <w:color w:val="0563C1"/>
                  <w:sz w:val="22"/>
                  <w:szCs w:val="22"/>
                  <w:u w:val="single"/>
                </w:rPr>
                <w:t>https://www.bls.gov/oes/2017/may/oes353021.htm</w:t>
              </w:r>
            </w:hyperlink>
          </w:p>
        </w:tc>
      </w:tr>
      <w:tr w:rsidR="00635405" w:rsidRPr="00635405" w14:paraId="621BD2CD" w14:textId="77777777" w:rsidTr="00635405">
        <w:trPr>
          <w:trHeight w:val="30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1CB9EFDD" w14:textId="77777777" w:rsidR="00635405" w:rsidRPr="00635405" w:rsidRDefault="00635405" w:rsidP="00635405">
            <w:pPr>
              <w:widowControl/>
              <w:rPr>
                <w:snapToGrid/>
                <w:color w:val="000000"/>
                <w:sz w:val="22"/>
                <w:szCs w:val="22"/>
              </w:rPr>
            </w:pPr>
            <w:r w:rsidRPr="00635405">
              <w:rPr>
                <w:snapToGrid/>
                <w:color w:val="000000"/>
                <w:sz w:val="22"/>
                <w:szCs w:val="22"/>
              </w:rPr>
              <w:t>35-3031</w:t>
            </w:r>
          </w:p>
        </w:tc>
        <w:tc>
          <w:tcPr>
            <w:tcW w:w="1761" w:type="dxa"/>
            <w:tcBorders>
              <w:top w:val="nil"/>
              <w:left w:val="nil"/>
              <w:bottom w:val="single" w:sz="4" w:space="0" w:color="auto"/>
              <w:right w:val="single" w:sz="4" w:space="0" w:color="auto"/>
            </w:tcBorders>
            <w:shd w:val="clear" w:color="auto" w:fill="auto"/>
            <w:noWrap/>
            <w:vAlign w:val="bottom"/>
            <w:hideMark/>
          </w:tcPr>
          <w:p w14:paraId="2433C50F" w14:textId="77777777" w:rsidR="00635405" w:rsidRPr="00635405" w:rsidRDefault="00635405" w:rsidP="00635405">
            <w:pPr>
              <w:widowControl/>
              <w:rPr>
                <w:snapToGrid/>
                <w:color w:val="000000"/>
                <w:sz w:val="22"/>
                <w:szCs w:val="22"/>
              </w:rPr>
            </w:pPr>
            <w:r w:rsidRPr="00635405">
              <w:rPr>
                <w:snapToGrid/>
                <w:color w:val="000000"/>
                <w:sz w:val="22"/>
                <w:szCs w:val="22"/>
              </w:rPr>
              <w:t>Waitress/Waiter</w:t>
            </w:r>
          </w:p>
        </w:tc>
        <w:tc>
          <w:tcPr>
            <w:tcW w:w="944" w:type="dxa"/>
            <w:tcBorders>
              <w:top w:val="nil"/>
              <w:left w:val="nil"/>
              <w:bottom w:val="single" w:sz="4" w:space="0" w:color="auto"/>
              <w:right w:val="single" w:sz="4" w:space="0" w:color="auto"/>
            </w:tcBorders>
            <w:shd w:val="clear" w:color="auto" w:fill="auto"/>
            <w:noWrap/>
            <w:vAlign w:val="bottom"/>
            <w:hideMark/>
          </w:tcPr>
          <w:p w14:paraId="711B86C5" w14:textId="77777777" w:rsidR="00635405" w:rsidRPr="00635405" w:rsidRDefault="00635405" w:rsidP="00635405">
            <w:pPr>
              <w:widowControl/>
              <w:jc w:val="right"/>
              <w:rPr>
                <w:snapToGrid/>
                <w:color w:val="000000"/>
                <w:sz w:val="22"/>
                <w:szCs w:val="22"/>
              </w:rPr>
            </w:pPr>
            <w:r w:rsidRPr="00635405">
              <w:rPr>
                <w:snapToGrid/>
                <w:color w:val="000000"/>
                <w:sz w:val="22"/>
                <w:szCs w:val="22"/>
              </w:rPr>
              <w:t xml:space="preserve">$12.15 </w:t>
            </w:r>
          </w:p>
        </w:tc>
        <w:tc>
          <w:tcPr>
            <w:tcW w:w="4784" w:type="dxa"/>
            <w:tcBorders>
              <w:top w:val="nil"/>
              <w:left w:val="nil"/>
              <w:bottom w:val="single" w:sz="4" w:space="0" w:color="auto"/>
              <w:right w:val="single" w:sz="4" w:space="0" w:color="auto"/>
            </w:tcBorders>
            <w:shd w:val="clear" w:color="auto" w:fill="auto"/>
            <w:noWrap/>
            <w:vAlign w:val="bottom"/>
            <w:hideMark/>
          </w:tcPr>
          <w:p w14:paraId="480E27DB" w14:textId="77777777" w:rsidR="00635405" w:rsidRPr="00635405" w:rsidRDefault="00BD3AB3" w:rsidP="00635405">
            <w:pPr>
              <w:widowControl/>
              <w:rPr>
                <w:snapToGrid/>
                <w:color w:val="0563C1"/>
                <w:sz w:val="22"/>
                <w:szCs w:val="22"/>
                <w:u w:val="single"/>
              </w:rPr>
            </w:pPr>
            <w:hyperlink r:id="rId14" w:history="1">
              <w:r w:rsidR="00635405" w:rsidRPr="00635405">
                <w:rPr>
                  <w:snapToGrid/>
                  <w:color w:val="0563C1"/>
                  <w:sz w:val="22"/>
                  <w:szCs w:val="22"/>
                  <w:u w:val="single"/>
                </w:rPr>
                <w:t>https://www.bls.gov/oes/2017/may/oes353031.htm</w:t>
              </w:r>
            </w:hyperlink>
          </w:p>
        </w:tc>
      </w:tr>
      <w:tr w:rsidR="00635405" w:rsidRPr="00635405" w14:paraId="2EBBCDED" w14:textId="77777777" w:rsidTr="00635405">
        <w:trPr>
          <w:trHeight w:val="30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6072DEEF" w14:textId="77777777" w:rsidR="00635405" w:rsidRPr="00635405" w:rsidRDefault="00635405" w:rsidP="00635405">
            <w:pPr>
              <w:widowControl/>
              <w:rPr>
                <w:snapToGrid/>
                <w:color w:val="000000"/>
                <w:sz w:val="22"/>
                <w:szCs w:val="22"/>
              </w:rPr>
            </w:pPr>
            <w:r w:rsidRPr="00635405">
              <w:rPr>
                <w:snapToGrid/>
                <w:color w:val="000000"/>
                <w:sz w:val="22"/>
                <w:szCs w:val="22"/>
              </w:rPr>
              <w:t>Average</w:t>
            </w:r>
          </w:p>
        </w:tc>
        <w:tc>
          <w:tcPr>
            <w:tcW w:w="1761" w:type="dxa"/>
            <w:tcBorders>
              <w:top w:val="nil"/>
              <w:left w:val="nil"/>
              <w:bottom w:val="single" w:sz="4" w:space="0" w:color="auto"/>
              <w:right w:val="nil"/>
            </w:tcBorders>
            <w:shd w:val="clear" w:color="auto" w:fill="auto"/>
            <w:noWrap/>
            <w:vAlign w:val="bottom"/>
            <w:hideMark/>
          </w:tcPr>
          <w:p w14:paraId="31DF5636" w14:textId="77777777" w:rsidR="00635405" w:rsidRPr="00635405" w:rsidRDefault="00635405" w:rsidP="00635405">
            <w:pPr>
              <w:widowControl/>
              <w:rPr>
                <w:snapToGrid/>
                <w:color w:val="000000"/>
                <w:sz w:val="22"/>
                <w:szCs w:val="22"/>
              </w:rPr>
            </w:pPr>
            <w:r w:rsidRPr="00635405">
              <w:rPr>
                <w:snapToGrid/>
                <w:color w:val="000000"/>
                <w:sz w:val="22"/>
                <w:szCs w:val="22"/>
              </w:rPr>
              <w:t> </w:t>
            </w:r>
          </w:p>
        </w:tc>
        <w:tc>
          <w:tcPr>
            <w:tcW w:w="944" w:type="dxa"/>
            <w:tcBorders>
              <w:top w:val="nil"/>
              <w:left w:val="nil"/>
              <w:bottom w:val="single" w:sz="4" w:space="0" w:color="auto"/>
              <w:right w:val="nil"/>
            </w:tcBorders>
            <w:shd w:val="clear" w:color="auto" w:fill="auto"/>
            <w:noWrap/>
            <w:vAlign w:val="bottom"/>
            <w:hideMark/>
          </w:tcPr>
          <w:p w14:paraId="5FFB11DC" w14:textId="77777777" w:rsidR="00635405" w:rsidRPr="00635405" w:rsidRDefault="00635405" w:rsidP="00635405">
            <w:pPr>
              <w:widowControl/>
              <w:jc w:val="right"/>
              <w:rPr>
                <w:snapToGrid/>
                <w:color w:val="000000"/>
                <w:sz w:val="22"/>
                <w:szCs w:val="22"/>
              </w:rPr>
            </w:pPr>
            <w:r w:rsidRPr="00635405">
              <w:rPr>
                <w:snapToGrid/>
                <w:color w:val="000000"/>
                <w:sz w:val="22"/>
                <w:szCs w:val="22"/>
              </w:rPr>
              <w:t xml:space="preserve">$11.12 </w:t>
            </w:r>
          </w:p>
        </w:tc>
        <w:tc>
          <w:tcPr>
            <w:tcW w:w="4784" w:type="dxa"/>
            <w:tcBorders>
              <w:top w:val="nil"/>
              <w:left w:val="nil"/>
              <w:bottom w:val="single" w:sz="4" w:space="0" w:color="auto"/>
              <w:right w:val="nil"/>
            </w:tcBorders>
            <w:shd w:val="clear" w:color="auto" w:fill="auto"/>
            <w:noWrap/>
            <w:vAlign w:val="bottom"/>
            <w:hideMark/>
          </w:tcPr>
          <w:p w14:paraId="3DE90043" w14:textId="77777777" w:rsidR="00635405" w:rsidRPr="00635405" w:rsidRDefault="00635405" w:rsidP="00635405">
            <w:pPr>
              <w:widowControl/>
              <w:rPr>
                <w:snapToGrid/>
                <w:color w:val="000000"/>
                <w:sz w:val="22"/>
                <w:szCs w:val="22"/>
              </w:rPr>
            </w:pPr>
            <w:r w:rsidRPr="00635405">
              <w:rPr>
                <w:snapToGrid/>
                <w:color w:val="000000"/>
                <w:sz w:val="22"/>
                <w:szCs w:val="22"/>
              </w:rPr>
              <w:t> </w:t>
            </w:r>
          </w:p>
        </w:tc>
      </w:tr>
    </w:tbl>
    <w:p w14:paraId="6C39C0C1" w14:textId="2AD7C522" w:rsidR="00635405" w:rsidRDefault="00635405" w:rsidP="00CA5B8D">
      <w:pPr>
        <w:pStyle w:val="Default"/>
        <w:ind w:left="720"/>
        <w:jc w:val="both"/>
        <w:rPr>
          <w:color w:val="auto"/>
        </w:rPr>
      </w:pPr>
    </w:p>
    <w:p w14:paraId="0D3AE6F7" w14:textId="1D9B2B18" w:rsidR="00FA7AD5" w:rsidRDefault="00FA7AD5" w:rsidP="00FA7AD5">
      <w:pPr>
        <w:spacing w:line="360" w:lineRule="auto"/>
        <w:ind w:firstLine="720"/>
        <w:rPr>
          <w:snapToGrid/>
          <w:szCs w:val="24"/>
        </w:rPr>
      </w:pPr>
      <w:r>
        <w:rPr>
          <w:szCs w:val="24"/>
        </w:rPr>
        <w:t>When the costs for employee benefits such as paid leave and health insurance are included, the loaded wage is $15.96 per hour. The average hourly loaded wage rate is calculated using the percentage of wages and salaries to total compensation, found in Bureau of Labor Statistics, Employer Costs for Employee Compensation, September 2018, Table 5: Employer costs per hour worked for employee compensation and costs as a percent of total compensation: private industry workers, by major occupational group and bargaining unit status, March 2018,</w:t>
      </w:r>
      <w:r>
        <w:t xml:space="preserve"> </w:t>
      </w:r>
      <w:hyperlink r:id="rId15" w:history="1">
        <w:r>
          <w:rPr>
            <w:rStyle w:val="Hyperlink"/>
          </w:rPr>
          <w:t>https://www.bls.gov/news.release/ecec.t05.htm</w:t>
        </w:r>
      </w:hyperlink>
      <w:r>
        <w:rPr>
          <w:szCs w:val="24"/>
        </w:rPr>
        <w:t xml:space="preserve">. Wages and salaries are 69.7 percent of total compensation.  $15.96 = $11.12 / 0.697. </w:t>
      </w:r>
    </w:p>
    <w:p w14:paraId="32B2666B" w14:textId="77777777" w:rsidR="00635405" w:rsidRPr="0037329B" w:rsidRDefault="00635405" w:rsidP="00CA5B8D">
      <w:pPr>
        <w:pStyle w:val="Default"/>
        <w:ind w:left="720"/>
        <w:jc w:val="both"/>
        <w:rPr>
          <w:color w:val="auto"/>
        </w:rPr>
      </w:pPr>
    </w:p>
    <w:p w14:paraId="1DFED33D" w14:textId="77777777" w:rsidR="00E97314" w:rsidRPr="00A94975" w:rsidRDefault="00E97314" w:rsidP="00E97314">
      <w:pPr>
        <w:pStyle w:val="Default"/>
        <w:jc w:val="both"/>
        <w:rPr>
          <w:color w:val="auto"/>
        </w:rPr>
      </w:pPr>
    </w:p>
    <w:p w14:paraId="53FA933E" w14:textId="77777777" w:rsidR="00E97314" w:rsidRPr="00C267FC" w:rsidRDefault="00E97314" w:rsidP="00E97314">
      <w:pPr>
        <w:tabs>
          <w:tab w:val="left" w:pos="-1440"/>
        </w:tabs>
        <w:ind w:left="720" w:hanging="720"/>
        <w:jc w:val="both"/>
        <w:rPr>
          <w:b/>
        </w:rPr>
      </w:pPr>
      <w:r w:rsidRPr="00C267FC">
        <w:rPr>
          <w:b/>
        </w:rPr>
        <w:t>13.</w:t>
      </w:r>
      <w:r w:rsidRPr="00C267FC">
        <w:rPr>
          <w:b/>
        </w:rPr>
        <w:tab/>
      </w:r>
      <w:r w:rsidRPr="00C267FC">
        <w:rPr>
          <w:b/>
          <w:sz w:val="19"/>
          <w:szCs w:val="19"/>
        </w:rPr>
        <w:t>Provide an estimate of the total annual cost burden to respondents or record keepers resulting from the collection of information.  (Do not include the cost of any hour burden shown in Items 12 and 14).</w:t>
      </w:r>
    </w:p>
    <w:p w14:paraId="4EEF8152" w14:textId="77777777" w:rsidR="00E97314" w:rsidRPr="00C267FC" w:rsidRDefault="00E97314" w:rsidP="00E97314">
      <w:pPr>
        <w:jc w:val="both"/>
        <w:rPr>
          <w:b/>
        </w:rPr>
      </w:pPr>
    </w:p>
    <w:p w14:paraId="554111C9" w14:textId="77777777" w:rsidR="00E97314" w:rsidRPr="00C267FC" w:rsidRDefault="00E97314" w:rsidP="00E97314">
      <w:pPr>
        <w:tabs>
          <w:tab w:val="left" w:pos="-1440"/>
        </w:tabs>
        <w:ind w:left="1440" w:hanging="720"/>
        <w:jc w:val="both"/>
        <w:rPr>
          <w:b/>
        </w:rPr>
      </w:pPr>
      <w:r w:rsidRPr="00C267FC">
        <w:rPr>
          <w:b/>
        </w:rPr>
        <w:t>•</w:t>
      </w:r>
      <w:r w:rsidRPr="00C267FC">
        <w:rPr>
          <w:b/>
        </w:rPr>
        <w:tab/>
      </w:r>
      <w:r w:rsidRPr="00C267FC">
        <w:rPr>
          <w:b/>
          <w:sz w:val="19"/>
          <w:szCs w:val="19"/>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3C54348C" w14:textId="77777777" w:rsidR="00E97314" w:rsidRPr="00C267FC" w:rsidRDefault="00E97314" w:rsidP="00E97314">
      <w:pPr>
        <w:jc w:val="both"/>
        <w:rPr>
          <w:b/>
        </w:rPr>
      </w:pPr>
    </w:p>
    <w:p w14:paraId="0570A140" w14:textId="77777777" w:rsidR="00E97314" w:rsidRPr="00C267FC" w:rsidRDefault="00E97314" w:rsidP="00E97314">
      <w:pPr>
        <w:tabs>
          <w:tab w:val="left" w:pos="-1440"/>
        </w:tabs>
        <w:ind w:left="1440" w:hanging="720"/>
        <w:jc w:val="both"/>
        <w:rPr>
          <w:b/>
        </w:rPr>
      </w:pPr>
      <w:r w:rsidRPr="00C267FC">
        <w:rPr>
          <w:b/>
        </w:rPr>
        <w:t>•</w:t>
      </w:r>
      <w:r w:rsidRPr="00C267FC">
        <w:rPr>
          <w:b/>
        </w:rPr>
        <w:tab/>
      </w:r>
      <w:r w:rsidRPr="00C267FC">
        <w:rPr>
          <w:b/>
          <w:sz w:val="19"/>
          <w:szCs w:val="19"/>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CE6C52D" w14:textId="77777777" w:rsidR="00E97314" w:rsidRPr="00C267FC" w:rsidRDefault="00E97314" w:rsidP="00E97314">
      <w:pPr>
        <w:jc w:val="both"/>
        <w:rPr>
          <w:b/>
        </w:rPr>
      </w:pPr>
    </w:p>
    <w:p w14:paraId="4C2740A4" w14:textId="77777777" w:rsidR="00E97314" w:rsidRPr="00C267FC" w:rsidRDefault="00E97314" w:rsidP="00E97314">
      <w:pPr>
        <w:tabs>
          <w:tab w:val="left" w:pos="-1440"/>
        </w:tabs>
        <w:ind w:left="1440" w:hanging="720"/>
        <w:jc w:val="both"/>
        <w:rPr>
          <w:b/>
        </w:rPr>
      </w:pPr>
      <w:r w:rsidRPr="00C267FC">
        <w:rPr>
          <w:b/>
        </w:rPr>
        <w:t>•</w:t>
      </w:r>
      <w:r w:rsidRPr="00C267FC">
        <w:rPr>
          <w:b/>
        </w:rPr>
        <w:tab/>
      </w:r>
      <w:r w:rsidRPr="00C267FC">
        <w:rPr>
          <w:b/>
          <w:sz w:val="19"/>
          <w:szCs w:val="19"/>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18E79FA2" w14:textId="77777777" w:rsidR="00E97314" w:rsidRDefault="00E97314" w:rsidP="00E97314">
      <w:pPr>
        <w:pStyle w:val="Default"/>
        <w:ind w:left="540" w:hanging="540"/>
        <w:jc w:val="both"/>
        <w:rPr>
          <w:color w:val="auto"/>
        </w:rPr>
      </w:pPr>
      <w:r w:rsidRPr="00A94975">
        <w:rPr>
          <w:color w:val="auto"/>
        </w:rPr>
        <w:t xml:space="preserve"> </w:t>
      </w:r>
    </w:p>
    <w:p w14:paraId="08E3CB58" w14:textId="77777777" w:rsidR="00FB3D83" w:rsidRDefault="00FB3D83" w:rsidP="00CA5B8D">
      <w:pPr>
        <w:pStyle w:val="Default"/>
        <w:ind w:left="540"/>
        <w:jc w:val="both"/>
        <w:rPr>
          <w:color w:val="auto"/>
        </w:rPr>
      </w:pPr>
      <w:r w:rsidRPr="00A94975">
        <w:rPr>
          <w:color w:val="auto"/>
        </w:rPr>
        <w:t xml:space="preserve">There are no capital or start-up costs associated with this information collection.  </w:t>
      </w:r>
    </w:p>
    <w:p w14:paraId="25FC9901" w14:textId="77777777" w:rsidR="00FB3D83" w:rsidRDefault="00FB3D83" w:rsidP="00FB3D83">
      <w:pPr>
        <w:pStyle w:val="Default"/>
        <w:jc w:val="both"/>
        <w:rPr>
          <w:color w:val="auto"/>
        </w:rPr>
      </w:pPr>
    </w:p>
    <w:p w14:paraId="66869161" w14:textId="737D87FA" w:rsidR="00FB3D83" w:rsidRDefault="00FB3D83" w:rsidP="00CA5B8D">
      <w:pPr>
        <w:pStyle w:val="Default"/>
        <w:tabs>
          <w:tab w:val="left" w:pos="540"/>
        </w:tabs>
        <w:ind w:left="540"/>
        <w:jc w:val="both"/>
        <w:rPr>
          <w:color w:val="auto"/>
        </w:rPr>
      </w:pPr>
      <w:r>
        <w:rPr>
          <w:color w:val="auto"/>
        </w:rPr>
        <w:t>The figure of $</w:t>
      </w:r>
      <w:r w:rsidR="00281A15">
        <w:rPr>
          <w:color w:val="auto"/>
        </w:rPr>
        <w:t xml:space="preserve">8.25 </w:t>
      </w:r>
      <w:r>
        <w:rPr>
          <w:color w:val="auto"/>
        </w:rPr>
        <w:t xml:space="preserve">as the maximum national average cost of obtaining a notary seal was derived in this fashion.  First, the four states in which the largest number of illegal aliens have cash immigration bonds executed on their behalf are California, Texas, New York and Florida.  For each of these states, the maximum fee that was allowed by statute for a notary seal was identified.  California </w:t>
      </w:r>
      <w:r w:rsidR="0076302F">
        <w:rPr>
          <w:color w:val="auto"/>
        </w:rPr>
        <w:t xml:space="preserve">has a maximum </w:t>
      </w:r>
      <w:r w:rsidR="00432783">
        <w:rPr>
          <w:color w:val="auto"/>
        </w:rPr>
        <w:t>fee of $15</w:t>
      </w:r>
      <w:r w:rsidR="00432783">
        <w:rPr>
          <w:rStyle w:val="FootnoteReference"/>
          <w:color w:val="auto"/>
        </w:rPr>
        <w:footnoteReference w:id="1"/>
      </w:r>
      <w:r w:rsidR="004F4973">
        <w:rPr>
          <w:color w:val="auto"/>
        </w:rPr>
        <w:t>;</w:t>
      </w:r>
      <w:r>
        <w:rPr>
          <w:color w:val="auto"/>
        </w:rPr>
        <w:t xml:space="preserve"> Florida  allow</w:t>
      </w:r>
      <w:r w:rsidR="00454F60">
        <w:rPr>
          <w:color w:val="auto"/>
        </w:rPr>
        <w:t>s</w:t>
      </w:r>
      <w:r>
        <w:rPr>
          <w:color w:val="auto"/>
        </w:rPr>
        <w:t xml:space="preserve"> a fee of up to $10</w:t>
      </w:r>
      <w:r w:rsidR="00454F60">
        <w:rPr>
          <w:color w:val="auto"/>
        </w:rPr>
        <w:t>,</w:t>
      </w:r>
      <w:r>
        <w:rPr>
          <w:color w:val="auto"/>
        </w:rPr>
        <w:t xml:space="preserve"> Texas allows a fee of up to $6, and New York, $2.  The maximum average cost across these four states </w:t>
      </w:r>
      <w:r w:rsidR="00454F60">
        <w:rPr>
          <w:color w:val="auto"/>
        </w:rPr>
        <w:t>is</w:t>
      </w:r>
      <w:r>
        <w:rPr>
          <w:color w:val="auto"/>
        </w:rPr>
        <w:t xml:space="preserve"> $</w:t>
      </w:r>
      <w:r w:rsidR="00454F60">
        <w:rPr>
          <w:color w:val="auto"/>
        </w:rPr>
        <w:t>8.25</w:t>
      </w:r>
      <w:r>
        <w:rPr>
          <w:color w:val="auto"/>
        </w:rPr>
        <w:t xml:space="preserve">.  Importantly, these are maximum costs.  Many financial institutions perform these services for their customers for free, and many notaries set their fees below the allowed maximums.  </w:t>
      </w:r>
    </w:p>
    <w:p w14:paraId="53842428" w14:textId="77777777" w:rsidR="00FB3D83" w:rsidRPr="00A94975" w:rsidRDefault="00FB3D83" w:rsidP="00FB3D83">
      <w:pPr>
        <w:pStyle w:val="Default"/>
        <w:ind w:left="540"/>
        <w:jc w:val="both"/>
        <w:rPr>
          <w:color w:val="auto"/>
        </w:rPr>
      </w:pPr>
    </w:p>
    <w:p w14:paraId="0F6BFE48" w14:textId="6479E957" w:rsidR="00E97314" w:rsidRDefault="00A81F98" w:rsidP="00CA5B8D">
      <w:pPr>
        <w:pStyle w:val="Default"/>
        <w:ind w:left="540"/>
        <w:jc w:val="both"/>
        <w:rPr>
          <w:color w:val="auto"/>
        </w:rPr>
      </w:pPr>
      <w:r>
        <w:rPr>
          <w:color w:val="auto"/>
        </w:rPr>
        <w:t>The Maximum national average cost of obtaining a notary seal ($</w:t>
      </w:r>
      <w:r w:rsidR="00454F60">
        <w:rPr>
          <w:color w:val="auto"/>
        </w:rPr>
        <w:t>8.25</w:t>
      </w:r>
      <w:r>
        <w:rPr>
          <w:color w:val="auto"/>
        </w:rPr>
        <w:t>) x number of responses (</w:t>
      </w:r>
      <w:r w:rsidR="00454F60">
        <w:rPr>
          <w:color w:val="auto"/>
        </w:rPr>
        <w:t>3,500</w:t>
      </w:r>
      <w:r>
        <w:rPr>
          <w:color w:val="auto"/>
        </w:rPr>
        <w:t>) =</w:t>
      </w:r>
      <w:r w:rsidR="00454F60">
        <w:rPr>
          <w:color w:val="auto"/>
        </w:rPr>
        <w:t xml:space="preserve"> $28,875</w:t>
      </w:r>
    </w:p>
    <w:p w14:paraId="3D06CB46" w14:textId="77777777" w:rsidR="00E97314" w:rsidRDefault="00E97314" w:rsidP="00E97314">
      <w:pPr>
        <w:pStyle w:val="Default"/>
        <w:rPr>
          <w:color w:val="auto"/>
        </w:rPr>
      </w:pPr>
    </w:p>
    <w:p w14:paraId="48B12255" w14:textId="77777777" w:rsidR="00E97314" w:rsidRPr="00C267FC" w:rsidRDefault="00E97314" w:rsidP="00E97314">
      <w:pPr>
        <w:pStyle w:val="Default"/>
        <w:ind w:left="540" w:hanging="540"/>
        <w:rPr>
          <w:b/>
          <w:color w:val="auto"/>
        </w:rPr>
      </w:pPr>
      <w:r w:rsidRPr="00C267FC">
        <w:rPr>
          <w:b/>
          <w:color w:val="auto"/>
        </w:rPr>
        <w:t>14.</w:t>
      </w:r>
      <w:r w:rsidRPr="00C267FC">
        <w:rPr>
          <w:b/>
          <w:color w:val="auto"/>
        </w:rPr>
        <w:tab/>
      </w:r>
      <w:r w:rsidRPr="00C267FC">
        <w:rPr>
          <w:b/>
          <w:sz w:val="19"/>
          <w:szCs w:val="19"/>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r w:rsidRPr="00C267FC">
        <w:rPr>
          <w:b/>
          <w:color w:val="auto"/>
        </w:rPr>
        <w:t xml:space="preserve"> </w:t>
      </w:r>
    </w:p>
    <w:p w14:paraId="4E7EF1EB" w14:textId="77777777" w:rsidR="00E97314" w:rsidRDefault="00E97314" w:rsidP="00E97314">
      <w:pPr>
        <w:pStyle w:val="Default"/>
        <w:rPr>
          <w:color w:val="auto"/>
        </w:rPr>
      </w:pPr>
    </w:p>
    <w:p w14:paraId="77139271" w14:textId="15221990" w:rsidR="00E97314" w:rsidRPr="0037329B" w:rsidRDefault="00E97314" w:rsidP="00CA5B8D">
      <w:pPr>
        <w:pStyle w:val="Default"/>
        <w:ind w:firstLine="540"/>
        <w:rPr>
          <w:color w:val="auto"/>
        </w:rPr>
      </w:pPr>
      <w:r w:rsidRPr="0037329B">
        <w:rPr>
          <w:color w:val="auto"/>
        </w:rPr>
        <w:t xml:space="preserve">Annualized Cost Analysis: </w:t>
      </w:r>
      <w:r w:rsidR="005D60E0">
        <w:rPr>
          <w:color w:val="auto"/>
        </w:rPr>
        <w:t>$499,240</w:t>
      </w:r>
    </w:p>
    <w:p w14:paraId="0B6287BF" w14:textId="1E1A9ECC" w:rsidR="00E97314" w:rsidRPr="0037329B" w:rsidRDefault="00E97314">
      <w:pPr>
        <w:pStyle w:val="Default"/>
        <w:ind w:firstLine="720"/>
        <w:rPr>
          <w:color w:val="auto"/>
        </w:rPr>
      </w:pPr>
    </w:p>
    <w:p w14:paraId="5DFE5CE3" w14:textId="77777777" w:rsidR="00E97314" w:rsidRPr="00A94975" w:rsidRDefault="00E97314" w:rsidP="00E97314">
      <w:pPr>
        <w:pStyle w:val="Default"/>
        <w:rPr>
          <w:color w:val="auto"/>
        </w:rPr>
      </w:pPr>
    </w:p>
    <w:p w14:paraId="023E5AA4" w14:textId="77777777" w:rsidR="00E97314" w:rsidRPr="00A94975" w:rsidRDefault="00E97314" w:rsidP="00CA5B8D">
      <w:pPr>
        <w:pStyle w:val="Default"/>
        <w:ind w:left="540"/>
        <w:rPr>
          <w:color w:val="auto"/>
        </w:rPr>
      </w:pPr>
      <w:r w:rsidRPr="00A94975">
        <w:rPr>
          <w:b/>
          <w:bCs/>
          <w:color w:val="auto"/>
        </w:rPr>
        <w:t xml:space="preserve">Government Cost </w:t>
      </w:r>
    </w:p>
    <w:p w14:paraId="2D2807D1" w14:textId="1A5CB649" w:rsidR="00E97314" w:rsidRDefault="00E97314" w:rsidP="00CA5B8D">
      <w:pPr>
        <w:pStyle w:val="Default"/>
        <w:ind w:left="540"/>
        <w:rPr>
          <w:color w:val="auto"/>
        </w:rPr>
      </w:pPr>
      <w:r w:rsidRPr="00495A18">
        <w:rPr>
          <w:b/>
          <w:color w:val="auto"/>
        </w:rPr>
        <w:t>The estimated cost</w:t>
      </w:r>
      <w:r w:rsidR="00C33960" w:rsidRPr="00495A18">
        <w:rPr>
          <w:b/>
          <w:color w:val="auto"/>
        </w:rPr>
        <w:t xml:space="preserve"> is $</w:t>
      </w:r>
      <w:r w:rsidR="005D60E0">
        <w:rPr>
          <w:b/>
          <w:color w:val="auto"/>
        </w:rPr>
        <w:t>499,240</w:t>
      </w:r>
      <w:r w:rsidR="00C33960">
        <w:rPr>
          <w:color w:val="auto"/>
        </w:rPr>
        <w:t>.</w:t>
      </w:r>
      <w:r w:rsidRPr="0037329B">
        <w:rPr>
          <w:color w:val="auto"/>
        </w:rPr>
        <w:t xml:space="preserve"> </w:t>
      </w:r>
      <w:r w:rsidR="00C33960">
        <w:rPr>
          <w:color w:val="auto"/>
        </w:rPr>
        <w:t>This figure is calculated by using the number of respondents (</w:t>
      </w:r>
      <w:r w:rsidR="00454F60">
        <w:rPr>
          <w:color w:val="auto"/>
        </w:rPr>
        <w:t>3,500</w:t>
      </w:r>
      <w:r w:rsidR="00C33960">
        <w:rPr>
          <w:color w:val="auto"/>
        </w:rPr>
        <w:t>) x frequency of processi</w:t>
      </w:r>
      <w:r w:rsidR="00495A18">
        <w:rPr>
          <w:color w:val="auto"/>
        </w:rPr>
        <w:t>ng (1) x average time 120 minutes</w:t>
      </w:r>
      <w:r w:rsidR="00C33960">
        <w:rPr>
          <w:color w:val="auto"/>
        </w:rPr>
        <w:t xml:space="preserve"> </w:t>
      </w:r>
      <w:r w:rsidR="00495A18">
        <w:rPr>
          <w:color w:val="auto"/>
        </w:rPr>
        <w:t xml:space="preserve">(2.0) </w:t>
      </w:r>
      <w:r w:rsidR="00C33960">
        <w:rPr>
          <w:color w:val="auto"/>
        </w:rPr>
        <w:t>required to collect, validate and process information x ($</w:t>
      </w:r>
      <w:r w:rsidR="009D5909">
        <w:rPr>
          <w:color w:val="auto"/>
        </w:rPr>
        <w:t>71.32</w:t>
      </w:r>
      <w:r w:rsidR="00C33960">
        <w:rPr>
          <w:color w:val="auto"/>
        </w:rPr>
        <w:t>)</w:t>
      </w:r>
      <w:r w:rsidR="009D5909">
        <w:rPr>
          <w:rStyle w:val="FootnoteReference"/>
          <w:color w:val="auto"/>
        </w:rPr>
        <w:footnoteReference w:id="2"/>
      </w:r>
      <w:r w:rsidR="00C33960">
        <w:rPr>
          <w:color w:val="auto"/>
        </w:rPr>
        <w:t xml:space="preserve"> average hourly rate for </w:t>
      </w:r>
      <w:r w:rsidR="00B926AE">
        <w:rPr>
          <w:color w:val="auto"/>
        </w:rPr>
        <w:t>a managerial</w:t>
      </w:r>
      <w:r w:rsidR="00C33960">
        <w:rPr>
          <w:color w:val="auto"/>
        </w:rPr>
        <w:t xml:space="preserve"> officer, with benefits. </w:t>
      </w:r>
    </w:p>
    <w:p w14:paraId="1971E17F" w14:textId="119C8FF8" w:rsidR="009D5909" w:rsidRDefault="009D5909" w:rsidP="005D60E0">
      <w:pPr>
        <w:pStyle w:val="FootnoteText"/>
      </w:pPr>
    </w:p>
    <w:p w14:paraId="73C0A648" w14:textId="77777777" w:rsidR="00E97314" w:rsidRDefault="00E97314" w:rsidP="00E97314">
      <w:pPr>
        <w:pStyle w:val="Default"/>
        <w:jc w:val="both"/>
        <w:rPr>
          <w:color w:val="auto"/>
        </w:rPr>
      </w:pPr>
    </w:p>
    <w:p w14:paraId="40B80254" w14:textId="77777777" w:rsidR="00E97314" w:rsidRPr="00A94975" w:rsidRDefault="00E97314" w:rsidP="00E97314">
      <w:pPr>
        <w:pStyle w:val="Default"/>
        <w:rPr>
          <w:color w:val="auto"/>
        </w:rPr>
      </w:pPr>
    </w:p>
    <w:p w14:paraId="6E3E3930" w14:textId="77777777" w:rsidR="00E97314" w:rsidRPr="00C267FC" w:rsidRDefault="00E97314" w:rsidP="00E97314">
      <w:pPr>
        <w:tabs>
          <w:tab w:val="left" w:pos="-1440"/>
        </w:tabs>
        <w:ind w:left="720" w:hanging="720"/>
        <w:jc w:val="both"/>
        <w:rPr>
          <w:b/>
        </w:rPr>
      </w:pPr>
      <w:r w:rsidRPr="00C267FC">
        <w:rPr>
          <w:b/>
        </w:rPr>
        <w:t>15.</w:t>
      </w:r>
      <w:r w:rsidRPr="00C267FC">
        <w:rPr>
          <w:b/>
        </w:rPr>
        <w:tab/>
      </w:r>
      <w:r w:rsidRPr="00C267FC">
        <w:rPr>
          <w:b/>
          <w:sz w:val="19"/>
          <w:szCs w:val="19"/>
        </w:rPr>
        <w:t>Explain the reasons for any program changes or adjustments reporting in Items 13 or 14 of the OMB Form 83-I.</w:t>
      </w:r>
    </w:p>
    <w:p w14:paraId="6424DD1F" w14:textId="77777777" w:rsidR="00E97314" w:rsidRDefault="00E97314" w:rsidP="00E97314">
      <w:pPr>
        <w:pStyle w:val="Default"/>
        <w:ind w:left="720" w:hanging="720"/>
        <w:jc w:val="both"/>
        <w:rPr>
          <w:color w:val="auto"/>
        </w:rPr>
      </w:pPr>
      <w:r w:rsidRPr="00A94975">
        <w:rPr>
          <w:color w:val="auto"/>
        </w:rPr>
        <w:t xml:space="preserve"> </w:t>
      </w:r>
    </w:p>
    <w:p w14:paraId="7543E3AC" w14:textId="1DDDC9CB" w:rsidR="00E97314" w:rsidRPr="0037329B" w:rsidRDefault="0097656A" w:rsidP="00463769">
      <w:pPr>
        <w:pStyle w:val="Default"/>
        <w:ind w:left="720"/>
        <w:jc w:val="both"/>
        <w:rPr>
          <w:color w:val="auto"/>
        </w:rPr>
      </w:pPr>
      <w:r w:rsidRPr="0037329B">
        <w:rPr>
          <w:color w:val="auto"/>
        </w:rPr>
        <w:t>T</w:t>
      </w:r>
      <w:r w:rsidR="00E97314" w:rsidRPr="0037329B">
        <w:rPr>
          <w:color w:val="auto"/>
        </w:rPr>
        <w:t xml:space="preserve">here is </w:t>
      </w:r>
      <w:r w:rsidR="009D5909">
        <w:rPr>
          <w:color w:val="auto"/>
        </w:rPr>
        <w:t>a</w:t>
      </w:r>
      <w:r w:rsidR="00E97314" w:rsidRPr="0037329B">
        <w:rPr>
          <w:color w:val="auto"/>
        </w:rPr>
        <w:t xml:space="preserve"> decrease in the burden hours previously reported for this</w:t>
      </w:r>
      <w:r w:rsidR="004F4973">
        <w:rPr>
          <w:color w:val="auto"/>
        </w:rPr>
        <w:t xml:space="preserve"> </w:t>
      </w:r>
      <w:r w:rsidR="00E97314" w:rsidRPr="0037329B">
        <w:rPr>
          <w:color w:val="auto"/>
        </w:rPr>
        <w:t>information collection</w:t>
      </w:r>
      <w:r w:rsidR="009D5909">
        <w:rPr>
          <w:color w:val="auto"/>
        </w:rPr>
        <w:t xml:space="preserve"> due to </w:t>
      </w:r>
      <w:r w:rsidR="009D5909" w:rsidRPr="009D5909">
        <w:rPr>
          <w:color w:val="auto"/>
        </w:rPr>
        <w:t>recent data</w:t>
      </w:r>
      <w:r w:rsidR="009D5909">
        <w:rPr>
          <w:color w:val="auto"/>
        </w:rPr>
        <w:t xml:space="preserve"> reflecting the number of respondents</w:t>
      </w:r>
      <w:r w:rsidR="00E97314" w:rsidRPr="0037329B">
        <w:rPr>
          <w:color w:val="auto"/>
        </w:rPr>
        <w:t xml:space="preserve">. </w:t>
      </w:r>
      <w:r w:rsidR="00463769">
        <w:rPr>
          <w:color w:val="auto"/>
        </w:rPr>
        <w:t xml:space="preserve">The collection </w:t>
      </w:r>
      <w:r w:rsidR="009D5909">
        <w:rPr>
          <w:color w:val="auto"/>
        </w:rPr>
        <w:t>also now</w:t>
      </w:r>
      <w:r w:rsidR="00463769">
        <w:rPr>
          <w:color w:val="auto"/>
        </w:rPr>
        <w:t xml:space="preserve"> account</w:t>
      </w:r>
      <w:r w:rsidR="009D5909">
        <w:rPr>
          <w:color w:val="auto"/>
        </w:rPr>
        <w:t>s</w:t>
      </w:r>
      <w:r w:rsidR="00463769">
        <w:rPr>
          <w:color w:val="auto"/>
        </w:rPr>
        <w:t xml:space="preserve"> for the </w:t>
      </w:r>
      <w:r w:rsidR="009D5909">
        <w:rPr>
          <w:color w:val="auto"/>
        </w:rPr>
        <w:t xml:space="preserve">updated </w:t>
      </w:r>
      <w:r w:rsidR="00463769">
        <w:rPr>
          <w:color w:val="auto"/>
        </w:rPr>
        <w:t xml:space="preserve">notary fees as an annual cost burden to respondents. </w:t>
      </w:r>
    </w:p>
    <w:p w14:paraId="48822F86" w14:textId="77777777" w:rsidR="00E97314" w:rsidRPr="00A94975" w:rsidRDefault="00E97314" w:rsidP="00E97314">
      <w:pPr>
        <w:pStyle w:val="Default"/>
        <w:ind w:left="720" w:hanging="720"/>
        <w:jc w:val="both"/>
        <w:rPr>
          <w:color w:val="auto"/>
        </w:rPr>
      </w:pPr>
    </w:p>
    <w:p w14:paraId="45661334" w14:textId="77777777" w:rsidR="00E97314" w:rsidRPr="00C267FC" w:rsidRDefault="00E97314" w:rsidP="00E97314">
      <w:pPr>
        <w:tabs>
          <w:tab w:val="left" w:pos="-1440"/>
        </w:tabs>
        <w:ind w:left="720" w:hanging="720"/>
        <w:jc w:val="both"/>
        <w:rPr>
          <w:b/>
        </w:rPr>
      </w:pPr>
      <w:r w:rsidRPr="00C267FC">
        <w:rPr>
          <w:b/>
        </w:rPr>
        <w:t>16.</w:t>
      </w:r>
      <w:r w:rsidRPr="00C267FC">
        <w:rPr>
          <w:b/>
        </w:rPr>
        <w:tab/>
      </w:r>
      <w:r w:rsidRPr="00C267FC">
        <w:rPr>
          <w:b/>
          <w:sz w:val="19"/>
          <w:szCs w:val="19"/>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77FB7E77" w14:textId="77777777" w:rsidR="00E97314" w:rsidRDefault="00E97314" w:rsidP="00E97314">
      <w:pPr>
        <w:pStyle w:val="Default"/>
        <w:ind w:left="720" w:hanging="720"/>
        <w:jc w:val="both"/>
        <w:rPr>
          <w:color w:val="auto"/>
        </w:rPr>
      </w:pPr>
      <w:r w:rsidRPr="00A94975">
        <w:rPr>
          <w:color w:val="auto"/>
        </w:rPr>
        <w:t xml:space="preserve"> </w:t>
      </w:r>
    </w:p>
    <w:p w14:paraId="062F8D80" w14:textId="77777777" w:rsidR="00E97314" w:rsidRPr="00A94975" w:rsidRDefault="00E97314" w:rsidP="004C35D3">
      <w:pPr>
        <w:pStyle w:val="Default"/>
        <w:ind w:left="720"/>
        <w:jc w:val="both"/>
        <w:rPr>
          <w:color w:val="auto"/>
        </w:rPr>
      </w:pPr>
      <w:r w:rsidRPr="00A94975">
        <w:rPr>
          <w:color w:val="auto"/>
        </w:rPr>
        <w:t xml:space="preserve">ICE does not intend to employ the use of statistics or the publication thereof for this collection of information. </w:t>
      </w:r>
    </w:p>
    <w:p w14:paraId="69541B20" w14:textId="77777777" w:rsidR="00E97314" w:rsidRPr="00A94975" w:rsidRDefault="00E97314" w:rsidP="00E97314">
      <w:pPr>
        <w:pStyle w:val="Default"/>
        <w:ind w:left="720" w:hanging="720"/>
        <w:jc w:val="both"/>
        <w:rPr>
          <w:color w:val="auto"/>
        </w:rPr>
      </w:pPr>
    </w:p>
    <w:p w14:paraId="5AA17A3B" w14:textId="77777777" w:rsidR="00E97314" w:rsidRPr="00C267FC" w:rsidRDefault="00E97314" w:rsidP="00E97314">
      <w:pPr>
        <w:tabs>
          <w:tab w:val="left" w:pos="-1440"/>
        </w:tabs>
        <w:ind w:left="720" w:hanging="720"/>
        <w:jc w:val="both"/>
        <w:rPr>
          <w:b/>
        </w:rPr>
      </w:pPr>
      <w:r w:rsidRPr="00C267FC">
        <w:rPr>
          <w:b/>
        </w:rPr>
        <w:t xml:space="preserve">17. </w:t>
      </w:r>
      <w:r w:rsidRPr="00C267FC">
        <w:rPr>
          <w:b/>
        </w:rPr>
        <w:tab/>
      </w:r>
      <w:r w:rsidRPr="00C267FC">
        <w:rPr>
          <w:b/>
          <w:sz w:val="19"/>
          <w:szCs w:val="19"/>
        </w:rPr>
        <w:t>If seeking approval to not display the expiration date for OMB approval of the information collection, explain the reasons that display would be inappropriate.</w:t>
      </w:r>
    </w:p>
    <w:p w14:paraId="7FDB20F1" w14:textId="77777777" w:rsidR="00E97314" w:rsidRDefault="00E97314" w:rsidP="00E97314">
      <w:pPr>
        <w:pStyle w:val="Default"/>
        <w:ind w:left="720" w:hanging="720"/>
        <w:jc w:val="both"/>
        <w:rPr>
          <w:color w:val="auto"/>
        </w:rPr>
      </w:pPr>
    </w:p>
    <w:p w14:paraId="148BB2E4" w14:textId="77777777" w:rsidR="00E97314" w:rsidRPr="00A94975" w:rsidRDefault="00E97314" w:rsidP="00304560">
      <w:pPr>
        <w:pStyle w:val="Default"/>
        <w:ind w:left="720"/>
        <w:jc w:val="both"/>
        <w:rPr>
          <w:color w:val="auto"/>
        </w:rPr>
      </w:pPr>
      <w:r w:rsidRPr="00A94975">
        <w:rPr>
          <w:color w:val="auto"/>
        </w:rPr>
        <w:t xml:space="preserve">ICE will display the expiration date for OMB approval of this information collection. </w:t>
      </w:r>
    </w:p>
    <w:p w14:paraId="4E5A99B0" w14:textId="77777777" w:rsidR="00E97314" w:rsidRPr="00A94975" w:rsidRDefault="00E97314" w:rsidP="00E97314">
      <w:pPr>
        <w:pStyle w:val="Default"/>
        <w:rPr>
          <w:color w:val="auto"/>
        </w:rPr>
      </w:pPr>
    </w:p>
    <w:p w14:paraId="04C6CC02" w14:textId="77777777" w:rsidR="00E97314" w:rsidRPr="00C267FC" w:rsidRDefault="00E97314" w:rsidP="00E97314">
      <w:pPr>
        <w:tabs>
          <w:tab w:val="left" w:pos="-1440"/>
        </w:tabs>
        <w:ind w:left="720" w:hanging="720"/>
        <w:jc w:val="both"/>
        <w:rPr>
          <w:b/>
        </w:rPr>
      </w:pPr>
      <w:r w:rsidRPr="00C267FC">
        <w:rPr>
          <w:b/>
        </w:rPr>
        <w:t>18.</w:t>
      </w:r>
      <w:r w:rsidRPr="00C267FC">
        <w:rPr>
          <w:b/>
        </w:rPr>
        <w:tab/>
      </w:r>
      <w:r w:rsidRPr="00C267FC">
        <w:rPr>
          <w:b/>
          <w:sz w:val="19"/>
          <w:szCs w:val="19"/>
        </w:rPr>
        <w:t>Explain each exception to the certification statement identified in Item 19, "Certification for Paperwork Reduction Act Submission," of OMB 83-I.</w:t>
      </w:r>
    </w:p>
    <w:p w14:paraId="598D1EC0" w14:textId="77777777" w:rsidR="00E97314" w:rsidRDefault="00E97314" w:rsidP="00E97314">
      <w:pPr>
        <w:pStyle w:val="Default"/>
        <w:rPr>
          <w:color w:val="auto"/>
        </w:rPr>
      </w:pPr>
      <w:r w:rsidRPr="00A94975">
        <w:rPr>
          <w:color w:val="auto"/>
        </w:rPr>
        <w:t xml:space="preserve"> </w:t>
      </w:r>
    </w:p>
    <w:p w14:paraId="15E1842B" w14:textId="77777777" w:rsidR="00E97314" w:rsidRDefault="00E97314" w:rsidP="00304560">
      <w:pPr>
        <w:pStyle w:val="Default"/>
        <w:ind w:left="720"/>
      </w:pPr>
      <w:r w:rsidRPr="00A94975">
        <w:t xml:space="preserve">ICE does not request an exception to the certification of this information collection. </w:t>
      </w:r>
    </w:p>
    <w:sectPr w:rsidR="00E973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2B87D" w14:textId="77777777" w:rsidR="003D6444" w:rsidRDefault="003D6444">
      <w:r>
        <w:separator/>
      </w:r>
    </w:p>
  </w:endnote>
  <w:endnote w:type="continuationSeparator" w:id="0">
    <w:p w14:paraId="5B1351A4" w14:textId="77777777" w:rsidR="003D6444" w:rsidRDefault="003D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DD799" w14:textId="77777777" w:rsidR="003D6444" w:rsidRDefault="003D6444">
      <w:r>
        <w:separator/>
      </w:r>
    </w:p>
  </w:footnote>
  <w:footnote w:type="continuationSeparator" w:id="0">
    <w:p w14:paraId="7B27276E" w14:textId="77777777" w:rsidR="003D6444" w:rsidRDefault="003D6444">
      <w:r>
        <w:continuationSeparator/>
      </w:r>
    </w:p>
  </w:footnote>
  <w:footnote w:id="1">
    <w:p w14:paraId="2F96F69C" w14:textId="5B009874" w:rsidR="00432783" w:rsidRDefault="00432783">
      <w:pPr>
        <w:pStyle w:val="FootnoteText"/>
      </w:pPr>
      <w:r>
        <w:rPr>
          <w:rStyle w:val="FootnoteReference"/>
        </w:rPr>
        <w:footnoteRef/>
      </w:r>
      <w:r>
        <w:t xml:space="preserve"> </w:t>
      </w:r>
      <w:r w:rsidRPr="005670F4">
        <w:rPr>
          <w:i/>
        </w:rPr>
        <w:t>See</w:t>
      </w:r>
      <w:r>
        <w:t xml:space="preserve"> National Notary Association</w:t>
      </w:r>
      <w:r w:rsidR="00454F60">
        <w:t>,</w:t>
      </w:r>
      <w:r>
        <w:t xml:space="preserve"> Notary Fee </w:t>
      </w:r>
      <w:r w:rsidR="00454F60">
        <w:t>by</w:t>
      </w:r>
      <w:r>
        <w:t xml:space="preserve"> State </w:t>
      </w:r>
      <w:hyperlink r:id="rId1" w:history="1">
        <w:r w:rsidR="00454F60" w:rsidRPr="0063133D">
          <w:rPr>
            <w:rStyle w:val="Hyperlink"/>
          </w:rPr>
          <w:t>https://www.nationalnotary.org/knowledge-center/about-notaries/notary-fees-by-state</w:t>
        </w:r>
      </w:hyperlink>
      <w:r w:rsidR="00454F60">
        <w:t xml:space="preserve"> </w:t>
      </w:r>
      <w:r w:rsidR="004F4973">
        <w:t>A</w:t>
      </w:r>
      <w:r w:rsidR="00454F60">
        <w:t xml:space="preserve">ccessed </w:t>
      </w:r>
      <w:r w:rsidR="004F4973">
        <w:t xml:space="preserve">February 22, </w:t>
      </w:r>
      <w:r w:rsidR="00454F60">
        <w:t>2019</w:t>
      </w:r>
      <w:r w:rsidR="004F4973">
        <w:t>.</w:t>
      </w:r>
    </w:p>
  </w:footnote>
  <w:footnote w:id="2">
    <w:p w14:paraId="642804C3" w14:textId="77777777" w:rsidR="005D60E0" w:rsidRDefault="009D5909" w:rsidP="005D60E0">
      <w:pPr>
        <w:pStyle w:val="FootnoteText"/>
        <w:rPr>
          <w:rStyle w:val="Hyperlink"/>
        </w:rPr>
      </w:pPr>
      <w:r>
        <w:rPr>
          <w:rStyle w:val="FootnoteReference"/>
        </w:rPr>
        <w:footnoteRef/>
      </w:r>
      <w:r>
        <w:t xml:space="preserve"> </w:t>
      </w:r>
      <w:r w:rsidR="005D60E0">
        <w:t xml:space="preserve">Hourly wage rate for a federal employee GS-013 step 07, $43.49, </w:t>
      </w:r>
      <w:r w:rsidR="005D60E0" w:rsidRPr="009D5909">
        <w:t>https://www.opm.gov/policy-data-oversight/pay-leave/salaries-wages/salary-tables/pdf/2019/GS_h.pdf</w:t>
      </w:r>
    </w:p>
    <w:p w14:paraId="6E4BA9AB" w14:textId="3FAA5E52" w:rsidR="005D60E0" w:rsidRDefault="005D60E0" w:rsidP="005D60E0">
      <w:pPr>
        <w:pStyle w:val="FootnoteText"/>
      </w:pPr>
      <w:r>
        <w:t xml:space="preserve">The </w:t>
      </w:r>
      <w:r w:rsidRPr="00655505">
        <w:t>average hourly loaded wage rate is calculated</w:t>
      </w:r>
      <w:r>
        <w:t xml:space="preserve"> as $63.67,</w:t>
      </w:r>
      <w:r w:rsidRPr="00655505">
        <w:t xml:space="preserve"> using the percentage of wages and </w:t>
      </w:r>
      <w:r>
        <w:t>salaries to total compensation for civilian workers (0.683), as reported by the Bureau of Labor Statistics</w:t>
      </w:r>
      <w:r w:rsidRPr="00655505">
        <w:t xml:space="preserve">, Employer Costs for Employee Compensation, </w:t>
      </w:r>
      <w:r>
        <w:t>released September</w:t>
      </w:r>
      <w:r w:rsidRPr="00655505">
        <w:t xml:space="preserve"> </w:t>
      </w:r>
      <w:r>
        <w:t>18, 2018 for</w:t>
      </w:r>
      <w:r w:rsidRPr="00655505">
        <w:t xml:space="preserve"> </w:t>
      </w:r>
      <w:r>
        <w:t>June</w:t>
      </w:r>
      <w:r w:rsidRPr="00655505">
        <w:t xml:space="preserve"> 2018, </w:t>
      </w:r>
      <w:hyperlink r:id="rId2" w:history="1">
        <w:r w:rsidRPr="006D2E4A">
          <w:rPr>
            <w:rStyle w:val="Hyperlink"/>
          </w:rPr>
          <w:t>https://www.bls.gov/news.release/ecec.t01.htm</w:t>
        </w:r>
      </w:hyperlink>
      <w:r>
        <w:t>. $63.67 = $43.49 / 0.683.</w:t>
      </w:r>
    </w:p>
    <w:p w14:paraId="704684A8" w14:textId="67B8F67C" w:rsidR="009D5909" w:rsidRDefault="005D60E0" w:rsidP="005D60E0">
      <w:pPr>
        <w:pStyle w:val="FootnoteText"/>
      </w:pPr>
      <w:r>
        <w:t xml:space="preserve">Overhead rate of 12 percent was added to the loaded wage to arrive at an hourly rate of $71.32; the 12 percent overhead reflects indirect expenses as reported in OMB Circular A76, </w:t>
      </w:r>
      <w:hyperlink r:id="rId3" w:history="1">
        <w:r w:rsidRPr="006D2E4A">
          <w:rPr>
            <w:rStyle w:val="Hyperlink"/>
          </w:rPr>
          <w:t>https://www.whitehouse.gov/sites/whitehouse.gov/files/omb/circulars/A76/a76_incl_tech_correction.pdf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5504B"/>
    <w:multiLevelType w:val="hybridMultilevel"/>
    <w:tmpl w:val="528410E4"/>
    <w:lvl w:ilvl="0" w:tplc="7E7250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3B496A"/>
    <w:multiLevelType w:val="singleLevel"/>
    <w:tmpl w:val="74B8134A"/>
    <w:lvl w:ilvl="0">
      <w:start w:val="1"/>
      <w:numFmt w:val="decimal"/>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314"/>
    <w:rsid w:val="000258C0"/>
    <w:rsid w:val="000B1222"/>
    <w:rsid w:val="000B7A5D"/>
    <w:rsid w:val="000D6F06"/>
    <w:rsid w:val="00164EA1"/>
    <w:rsid w:val="00194FF3"/>
    <w:rsid w:val="001A0DC1"/>
    <w:rsid w:val="001A7C6B"/>
    <w:rsid w:val="001C0797"/>
    <w:rsid w:val="001D4AD0"/>
    <w:rsid w:val="0021128C"/>
    <w:rsid w:val="0023591E"/>
    <w:rsid w:val="00254DCD"/>
    <w:rsid w:val="00263833"/>
    <w:rsid w:val="00266B36"/>
    <w:rsid w:val="00281A15"/>
    <w:rsid w:val="002A5424"/>
    <w:rsid w:val="002C7C75"/>
    <w:rsid w:val="002E0F7C"/>
    <w:rsid w:val="00304560"/>
    <w:rsid w:val="00316E36"/>
    <w:rsid w:val="003226EB"/>
    <w:rsid w:val="003448F2"/>
    <w:rsid w:val="0035080E"/>
    <w:rsid w:val="00357FF6"/>
    <w:rsid w:val="00360630"/>
    <w:rsid w:val="0037329B"/>
    <w:rsid w:val="0037487B"/>
    <w:rsid w:val="003D4B41"/>
    <w:rsid w:val="003D6444"/>
    <w:rsid w:val="004234BF"/>
    <w:rsid w:val="00430643"/>
    <w:rsid w:val="00432783"/>
    <w:rsid w:val="00436CD3"/>
    <w:rsid w:val="004376A4"/>
    <w:rsid w:val="004424A7"/>
    <w:rsid w:val="00454F60"/>
    <w:rsid w:val="004561B5"/>
    <w:rsid w:val="004613E9"/>
    <w:rsid w:val="00463769"/>
    <w:rsid w:val="00484EB3"/>
    <w:rsid w:val="004903E5"/>
    <w:rsid w:val="00495A18"/>
    <w:rsid w:val="004C35D3"/>
    <w:rsid w:val="004D44DD"/>
    <w:rsid w:val="004E5EDE"/>
    <w:rsid w:val="004F4973"/>
    <w:rsid w:val="005265C8"/>
    <w:rsid w:val="00553CE3"/>
    <w:rsid w:val="005670F4"/>
    <w:rsid w:val="005D60E0"/>
    <w:rsid w:val="005D757A"/>
    <w:rsid w:val="005E47AB"/>
    <w:rsid w:val="005F67A1"/>
    <w:rsid w:val="00611822"/>
    <w:rsid w:val="00635405"/>
    <w:rsid w:val="00676872"/>
    <w:rsid w:val="006A0E9E"/>
    <w:rsid w:val="006B2086"/>
    <w:rsid w:val="006D716A"/>
    <w:rsid w:val="006E0DC1"/>
    <w:rsid w:val="006F440A"/>
    <w:rsid w:val="006F5346"/>
    <w:rsid w:val="00717DD8"/>
    <w:rsid w:val="0076302F"/>
    <w:rsid w:val="0078146D"/>
    <w:rsid w:val="007874BB"/>
    <w:rsid w:val="007925AC"/>
    <w:rsid w:val="007A6440"/>
    <w:rsid w:val="007B18C1"/>
    <w:rsid w:val="007B1B46"/>
    <w:rsid w:val="007B4E31"/>
    <w:rsid w:val="007D6C34"/>
    <w:rsid w:val="007F227F"/>
    <w:rsid w:val="007F631F"/>
    <w:rsid w:val="00803D56"/>
    <w:rsid w:val="00823738"/>
    <w:rsid w:val="00832FD5"/>
    <w:rsid w:val="00846F2E"/>
    <w:rsid w:val="00885050"/>
    <w:rsid w:val="0088668E"/>
    <w:rsid w:val="008A7B41"/>
    <w:rsid w:val="008D334E"/>
    <w:rsid w:val="008D52C0"/>
    <w:rsid w:val="008E0E0B"/>
    <w:rsid w:val="008F335C"/>
    <w:rsid w:val="00913E69"/>
    <w:rsid w:val="009141CC"/>
    <w:rsid w:val="00926BB0"/>
    <w:rsid w:val="009438E6"/>
    <w:rsid w:val="00954871"/>
    <w:rsid w:val="0097656A"/>
    <w:rsid w:val="00995A10"/>
    <w:rsid w:val="009B0175"/>
    <w:rsid w:val="009C6271"/>
    <w:rsid w:val="009D5909"/>
    <w:rsid w:val="00A3015F"/>
    <w:rsid w:val="00A44BCC"/>
    <w:rsid w:val="00A60A70"/>
    <w:rsid w:val="00A7784C"/>
    <w:rsid w:val="00A81F98"/>
    <w:rsid w:val="00A9510C"/>
    <w:rsid w:val="00A956AB"/>
    <w:rsid w:val="00AF1634"/>
    <w:rsid w:val="00B47FB2"/>
    <w:rsid w:val="00B51647"/>
    <w:rsid w:val="00B64AFB"/>
    <w:rsid w:val="00B701EF"/>
    <w:rsid w:val="00B7545F"/>
    <w:rsid w:val="00B926AE"/>
    <w:rsid w:val="00BA5934"/>
    <w:rsid w:val="00BB50A3"/>
    <w:rsid w:val="00BD3AB3"/>
    <w:rsid w:val="00BF7709"/>
    <w:rsid w:val="00C03149"/>
    <w:rsid w:val="00C25CA4"/>
    <w:rsid w:val="00C27BA5"/>
    <w:rsid w:val="00C33960"/>
    <w:rsid w:val="00C3788F"/>
    <w:rsid w:val="00C66EDC"/>
    <w:rsid w:val="00C70546"/>
    <w:rsid w:val="00C712D2"/>
    <w:rsid w:val="00C810D9"/>
    <w:rsid w:val="00CA5B8D"/>
    <w:rsid w:val="00CB0B88"/>
    <w:rsid w:val="00D140A0"/>
    <w:rsid w:val="00D31AE4"/>
    <w:rsid w:val="00D6058F"/>
    <w:rsid w:val="00D94E9D"/>
    <w:rsid w:val="00DC3B42"/>
    <w:rsid w:val="00DD57F2"/>
    <w:rsid w:val="00DE4623"/>
    <w:rsid w:val="00DE697C"/>
    <w:rsid w:val="00DF096F"/>
    <w:rsid w:val="00DF6D57"/>
    <w:rsid w:val="00E219B1"/>
    <w:rsid w:val="00E46A6A"/>
    <w:rsid w:val="00E97314"/>
    <w:rsid w:val="00EA2709"/>
    <w:rsid w:val="00EC5288"/>
    <w:rsid w:val="00EF5B27"/>
    <w:rsid w:val="00F53960"/>
    <w:rsid w:val="00F564DC"/>
    <w:rsid w:val="00F653D6"/>
    <w:rsid w:val="00F76ACF"/>
    <w:rsid w:val="00F934CE"/>
    <w:rsid w:val="00FA7AD5"/>
    <w:rsid w:val="00FB3D83"/>
    <w:rsid w:val="00FE0402"/>
    <w:rsid w:val="00FF1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A92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14"/>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7314"/>
    <w:pPr>
      <w:autoSpaceDE w:val="0"/>
      <w:autoSpaceDN w:val="0"/>
      <w:adjustRightInd w:val="0"/>
    </w:pPr>
    <w:rPr>
      <w:color w:val="000000"/>
      <w:sz w:val="24"/>
      <w:szCs w:val="24"/>
    </w:rPr>
  </w:style>
  <w:style w:type="paragraph" w:styleId="Header">
    <w:name w:val="header"/>
    <w:basedOn w:val="Normal"/>
    <w:rsid w:val="00E97314"/>
    <w:pPr>
      <w:tabs>
        <w:tab w:val="center" w:pos="4320"/>
        <w:tab w:val="right" w:pos="8640"/>
      </w:tabs>
    </w:pPr>
  </w:style>
  <w:style w:type="paragraph" w:styleId="BalloonText">
    <w:name w:val="Balloon Text"/>
    <w:basedOn w:val="Normal"/>
    <w:link w:val="BalloonTextChar"/>
    <w:rsid w:val="00360630"/>
    <w:rPr>
      <w:rFonts w:ascii="Tahoma" w:hAnsi="Tahoma" w:cs="Tahoma"/>
      <w:sz w:val="16"/>
      <w:szCs w:val="16"/>
    </w:rPr>
  </w:style>
  <w:style w:type="character" w:customStyle="1" w:styleId="BalloonTextChar">
    <w:name w:val="Balloon Text Char"/>
    <w:link w:val="BalloonText"/>
    <w:rsid w:val="00360630"/>
    <w:rPr>
      <w:rFonts w:ascii="Tahoma" w:hAnsi="Tahoma" w:cs="Tahoma"/>
      <w:snapToGrid w:val="0"/>
      <w:sz w:val="16"/>
      <w:szCs w:val="16"/>
    </w:rPr>
  </w:style>
  <w:style w:type="character" w:styleId="CommentReference">
    <w:name w:val="annotation reference"/>
    <w:rsid w:val="00C70546"/>
    <w:rPr>
      <w:sz w:val="16"/>
      <w:szCs w:val="16"/>
    </w:rPr>
  </w:style>
  <w:style w:type="paragraph" w:styleId="CommentText">
    <w:name w:val="annotation text"/>
    <w:basedOn w:val="Normal"/>
    <w:link w:val="CommentTextChar"/>
    <w:rsid w:val="00C70546"/>
    <w:rPr>
      <w:sz w:val="20"/>
    </w:rPr>
  </w:style>
  <w:style w:type="character" w:customStyle="1" w:styleId="CommentTextChar">
    <w:name w:val="Comment Text Char"/>
    <w:link w:val="CommentText"/>
    <w:rsid w:val="00C70546"/>
    <w:rPr>
      <w:snapToGrid w:val="0"/>
    </w:rPr>
  </w:style>
  <w:style w:type="paragraph" w:styleId="CommentSubject">
    <w:name w:val="annotation subject"/>
    <w:basedOn w:val="CommentText"/>
    <w:next w:val="CommentText"/>
    <w:link w:val="CommentSubjectChar"/>
    <w:rsid w:val="00C70546"/>
    <w:rPr>
      <w:b/>
      <w:bCs/>
    </w:rPr>
  </w:style>
  <w:style w:type="character" w:customStyle="1" w:styleId="CommentSubjectChar">
    <w:name w:val="Comment Subject Char"/>
    <w:link w:val="CommentSubject"/>
    <w:rsid w:val="00C70546"/>
    <w:rPr>
      <w:b/>
      <w:bCs/>
      <w:snapToGrid w:val="0"/>
    </w:rPr>
  </w:style>
  <w:style w:type="character" w:styleId="Hyperlink">
    <w:name w:val="Hyperlink"/>
    <w:basedOn w:val="DefaultParagraphFont"/>
    <w:uiPriority w:val="99"/>
    <w:unhideWhenUsed/>
    <w:rsid w:val="00FE0402"/>
    <w:rPr>
      <w:color w:val="0000FF"/>
      <w:u w:val="single"/>
    </w:rPr>
  </w:style>
  <w:style w:type="paragraph" w:styleId="BodyTextIndent2">
    <w:name w:val="Body Text Indent 2"/>
    <w:basedOn w:val="Normal"/>
    <w:link w:val="BodyTextIndent2Char"/>
    <w:rsid w:val="00954871"/>
    <w:pPr>
      <w:widowControl/>
      <w:spacing w:line="360" w:lineRule="auto"/>
      <w:ind w:left="720"/>
    </w:pPr>
    <w:rPr>
      <w:snapToGrid/>
    </w:rPr>
  </w:style>
  <w:style w:type="character" w:customStyle="1" w:styleId="BodyTextIndent2Char">
    <w:name w:val="Body Text Indent 2 Char"/>
    <w:basedOn w:val="DefaultParagraphFont"/>
    <w:link w:val="BodyTextIndent2"/>
    <w:rsid w:val="00954871"/>
    <w:rPr>
      <w:sz w:val="24"/>
    </w:rPr>
  </w:style>
  <w:style w:type="paragraph" w:styleId="FootnoteText">
    <w:name w:val="footnote text"/>
    <w:aliases w:val="ft"/>
    <w:basedOn w:val="Normal"/>
    <w:link w:val="FootnoteTextChar"/>
    <w:unhideWhenUsed/>
    <w:qFormat/>
    <w:rsid w:val="00432783"/>
    <w:rPr>
      <w:sz w:val="20"/>
    </w:rPr>
  </w:style>
  <w:style w:type="character" w:customStyle="1" w:styleId="FootnoteTextChar">
    <w:name w:val="Footnote Text Char"/>
    <w:aliases w:val="ft Char"/>
    <w:basedOn w:val="DefaultParagraphFont"/>
    <w:link w:val="FootnoteText"/>
    <w:rsid w:val="00432783"/>
    <w:rPr>
      <w:snapToGrid w:val="0"/>
    </w:rPr>
  </w:style>
  <w:style w:type="character" w:styleId="FootnoteReference">
    <w:name w:val="footnote reference"/>
    <w:basedOn w:val="DefaultParagraphFont"/>
    <w:uiPriority w:val="99"/>
    <w:semiHidden/>
    <w:unhideWhenUsed/>
    <w:rsid w:val="00432783"/>
    <w:rPr>
      <w:vertAlign w:val="superscript"/>
    </w:rPr>
  </w:style>
  <w:style w:type="character" w:customStyle="1" w:styleId="UnresolvedMention">
    <w:name w:val="Unresolved Mention"/>
    <w:basedOn w:val="DefaultParagraphFont"/>
    <w:uiPriority w:val="99"/>
    <w:semiHidden/>
    <w:unhideWhenUsed/>
    <w:rsid w:val="00454F60"/>
    <w:rPr>
      <w:color w:val="605E5C"/>
      <w:shd w:val="clear" w:color="auto" w:fill="E1DFDD"/>
    </w:rPr>
  </w:style>
  <w:style w:type="character" w:styleId="FollowedHyperlink">
    <w:name w:val="FollowedHyperlink"/>
    <w:basedOn w:val="DefaultParagraphFont"/>
    <w:semiHidden/>
    <w:unhideWhenUsed/>
    <w:rsid w:val="004F49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14"/>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7314"/>
    <w:pPr>
      <w:autoSpaceDE w:val="0"/>
      <w:autoSpaceDN w:val="0"/>
      <w:adjustRightInd w:val="0"/>
    </w:pPr>
    <w:rPr>
      <w:color w:val="000000"/>
      <w:sz w:val="24"/>
      <w:szCs w:val="24"/>
    </w:rPr>
  </w:style>
  <w:style w:type="paragraph" w:styleId="Header">
    <w:name w:val="header"/>
    <w:basedOn w:val="Normal"/>
    <w:rsid w:val="00E97314"/>
    <w:pPr>
      <w:tabs>
        <w:tab w:val="center" w:pos="4320"/>
        <w:tab w:val="right" w:pos="8640"/>
      </w:tabs>
    </w:pPr>
  </w:style>
  <w:style w:type="paragraph" w:styleId="BalloonText">
    <w:name w:val="Balloon Text"/>
    <w:basedOn w:val="Normal"/>
    <w:link w:val="BalloonTextChar"/>
    <w:rsid w:val="00360630"/>
    <w:rPr>
      <w:rFonts w:ascii="Tahoma" w:hAnsi="Tahoma" w:cs="Tahoma"/>
      <w:sz w:val="16"/>
      <w:szCs w:val="16"/>
    </w:rPr>
  </w:style>
  <w:style w:type="character" w:customStyle="1" w:styleId="BalloonTextChar">
    <w:name w:val="Balloon Text Char"/>
    <w:link w:val="BalloonText"/>
    <w:rsid w:val="00360630"/>
    <w:rPr>
      <w:rFonts w:ascii="Tahoma" w:hAnsi="Tahoma" w:cs="Tahoma"/>
      <w:snapToGrid w:val="0"/>
      <w:sz w:val="16"/>
      <w:szCs w:val="16"/>
    </w:rPr>
  </w:style>
  <w:style w:type="character" w:styleId="CommentReference">
    <w:name w:val="annotation reference"/>
    <w:rsid w:val="00C70546"/>
    <w:rPr>
      <w:sz w:val="16"/>
      <w:szCs w:val="16"/>
    </w:rPr>
  </w:style>
  <w:style w:type="paragraph" w:styleId="CommentText">
    <w:name w:val="annotation text"/>
    <w:basedOn w:val="Normal"/>
    <w:link w:val="CommentTextChar"/>
    <w:rsid w:val="00C70546"/>
    <w:rPr>
      <w:sz w:val="20"/>
    </w:rPr>
  </w:style>
  <w:style w:type="character" w:customStyle="1" w:styleId="CommentTextChar">
    <w:name w:val="Comment Text Char"/>
    <w:link w:val="CommentText"/>
    <w:rsid w:val="00C70546"/>
    <w:rPr>
      <w:snapToGrid w:val="0"/>
    </w:rPr>
  </w:style>
  <w:style w:type="paragraph" w:styleId="CommentSubject">
    <w:name w:val="annotation subject"/>
    <w:basedOn w:val="CommentText"/>
    <w:next w:val="CommentText"/>
    <w:link w:val="CommentSubjectChar"/>
    <w:rsid w:val="00C70546"/>
    <w:rPr>
      <w:b/>
      <w:bCs/>
    </w:rPr>
  </w:style>
  <w:style w:type="character" w:customStyle="1" w:styleId="CommentSubjectChar">
    <w:name w:val="Comment Subject Char"/>
    <w:link w:val="CommentSubject"/>
    <w:rsid w:val="00C70546"/>
    <w:rPr>
      <w:b/>
      <w:bCs/>
      <w:snapToGrid w:val="0"/>
    </w:rPr>
  </w:style>
  <w:style w:type="character" w:styleId="Hyperlink">
    <w:name w:val="Hyperlink"/>
    <w:basedOn w:val="DefaultParagraphFont"/>
    <w:uiPriority w:val="99"/>
    <w:unhideWhenUsed/>
    <w:rsid w:val="00FE0402"/>
    <w:rPr>
      <w:color w:val="0000FF"/>
      <w:u w:val="single"/>
    </w:rPr>
  </w:style>
  <w:style w:type="paragraph" w:styleId="BodyTextIndent2">
    <w:name w:val="Body Text Indent 2"/>
    <w:basedOn w:val="Normal"/>
    <w:link w:val="BodyTextIndent2Char"/>
    <w:rsid w:val="00954871"/>
    <w:pPr>
      <w:widowControl/>
      <w:spacing w:line="360" w:lineRule="auto"/>
      <w:ind w:left="720"/>
    </w:pPr>
    <w:rPr>
      <w:snapToGrid/>
    </w:rPr>
  </w:style>
  <w:style w:type="character" w:customStyle="1" w:styleId="BodyTextIndent2Char">
    <w:name w:val="Body Text Indent 2 Char"/>
    <w:basedOn w:val="DefaultParagraphFont"/>
    <w:link w:val="BodyTextIndent2"/>
    <w:rsid w:val="00954871"/>
    <w:rPr>
      <w:sz w:val="24"/>
    </w:rPr>
  </w:style>
  <w:style w:type="paragraph" w:styleId="FootnoteText">
    <w:name w:val="footnote text"/>
    <w:aliases w:val="ft"/>
    <w:basedOn w:val="Normal"/>
    <w:link w:val="FootnoteTextChar"/>
    <w:unhideWhenUsed/>
    <w:qFormat/>
    <w:rsid w:val="00432783"/>
    <w:rPr>
      <w:sz w:val="20"/>
    </w:rPr>
  </w:style>
  <w:style w:type="character" w:customStyle="1" w:styleId="FootnoteTextChar">
    <w:name w:val="Footnote Text Char"/>
    <w:aliases w:val="ft Char"/>
    <w:basedOn w:val="DefaultParagraphFont"/>
    <w:link w:val="FootnoteText"/>
    <w:rsid w:val="00432783"/>
    <w:rPr>
      <w:snapToGrid w:val="0"/>
    </w:rPr>
  </w:style>
  <w:style w:type="character" w:styleId="FootnoteReference">
    <w:name w:val="footnote reference"/>
    <w:basedOn w:val="DefaultParagraphFont"/>
    <w:uiPriority w:val="99"/>
    <w:semiHidden/>
    <w:unhideWhenUsed/>
    <w:rsid w:val="00432783"/>
    <w:rPr>
      <w:vertAlign w:val="superscript"/>
    </w:rPr>
  </w:style>
  <w:style w:type="character" w:customStyle="1" w:styleId="UnresolvedMention">
    <w:name w:val="Unresolved Mention"/>
    <w:basedOn w:val="DefaultParagraphFont"/>
    <w:uiPriority w:val="99"/>
    <w:semiHidden/>
    <w:unhideWhenUsed/>
    <w:rsid w:val="00454F60"/>
    <w:rPr>
      <w:color w:val="605E5C"/>
      <w:shd w:val="clear" w:color="auto" w:fill="E1DFDD"/>
    </w:rPr>
  </w:style>
  <w:style w:type="character" w:styleId="FollowedHyperlink">
    <w:name w:val="FollowedHyperlink"/>
    <w:basedOn w:val="DefaultParagraphFont"/>
    <w:semiHidden/>
    <w:unhideWhenUsed/>
    <w:rsid w:val="004F49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80518">
      <w:bodyDiv w:val="1"/>
      <w:marLeft w:val="0"/>
      <w:marRight w:val="0"/>
      <w:marTop w:val="0"/>
      <w:marBottom w:val="0"/>
      <w:divBdr>
        <w:top w:val="none" w:sz="0" w:space="0" w:color="auto"/>
        <w:left w:val="none" w:sz="0" w:space="0" w:color="auto"/>
        <w:bottom w:val="none" w:sz="0" w:space="0" w:color="auto"/>
        <w:right w:val="none" w:sz="0" w:space="0" w:color="auto"/>
      </w:divBdr>
    </w:div>
    <w:div w:id="280764791">
      <w:bodyDiv w:val="1"/>
      <w:marLeft w:val="0"/>
      <w:marRight w:val="0"/>
      <w:marTop w:val="0"/>
      <w:marBottom w:val="0"/>
      <w:divBdr>
        <w:top w:val="none" w:sz="0" w:space="0" w:color="auto"/>
        <w:left w:val="none" w:sz="0" w:space="0" w:color="auto"/>
        <w:bottom w:val="none" w:sz="0" w:space="0" w:color="auto"/>
        <w:right w:val="none" w:sz="0" w:space="0" w:color="auto"/>
      </w:divBdr>
    </w:div>
    <w:div w:id="1248074279">
      <w:bodyDiv w:val="1"/>
      <w:marLeft w:val="0"/>
      <w:marRight w:val="0"/>
      <w:marTop w:val="0"/>
      <w:marBottom w:val="0"/>
      <w:divBdr>
        <w:top w:val="none" w:sz="0" w:space="0" w:color="auto"/>
        <w:left w:val="none" w:sz="0" w:space="0" w:color="auto"/>
        <w:bottom w:val="none" w:sz="0" w:space="0" w:color="auto"/>
        <w:right w:val="none" w:sz="0" w:space="0" w:color="auto"/>
      </w:divBdr>
    </w:div>
    <w:div w:id="172159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ls.gov/oes/2017/may/oes353021.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ls.gov/oes/2017/may/oes35202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oes/2017/may/oes412011.htm" TargetMode="External"/><Relationship Id="rId5" Type="http://schemas.openxmlformats.org/officeDocument/2006/relationships/settings" Target="settings.xml"/><Relationship Id="rId15" Type="http://schemas.openxmlformats.org/officeDocument/2006/relationships/hyperlink" Target="https://www.bls.gov/news.release/ecec.t05.htm" TargetMode="External"/><Relationship Id="rId10" Type="http://schemas.openxmlformats.org/officeDocument/2006/relationships/hyperlink" Target="https://www.dhs.gov/privacy-documents-ice" TargetMode="External"/><Relationship Id="rId4" Type="http://schemas.microsoft.com/office/2007/relationships/stylesWithEffects" Target="stylesWithEffects.xml"/><Relationship Id="rId9" Type="http://schemas.openxmlformats.org/officeDocument/2006/relationships/hyperlink" Target="https://www.gpo.gov/fdsys/pkg/FR-2011-02-15/html/2011-3448.htm" TargetMode="External"/><Relationship Id="rId14" Type="http://schemas.openxmlformats.org/officeDocument/2006/relationships/hyperlink" Target="https://www.bls.gov/oes/2017/may/oes353031.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hitehouse.gov/sites/whitehouse.gov/files/omb/circulars/A76/a76_incl_tech_correction.pdf" TargetMode="External"/><Relationship Id="rId2" Type="http://schemas.openxmlformats.org/officeDocument/2006/relationships/hyperlink" Target="https://www.bls.gov/news.release/ecec.t01.htm" TargetMode="External"/><Relationship Id="rId1" Type="http://schemas.openxmlformats.org/officeDocument/2006/relationships/hyperlink" Target="https://www.nationalnotary.org/knowledge-center/about-notaries/notary-fees-by-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1C67E-45E8-40AE-961F-70AD2738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3024</Words>
  <Characters>17240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DHS</Company>
  <LinksUpToDate>false</LinksUpToDate>
  <CharactersWithSpaces>20224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mvrobins</dc:creator>
  <cp:lastModifiedBy>SYSTEM</cp:lastModifiedBy>
  <cp:revision>2</cp:revision>
  <cp:lastPrinted>2016-03-31T15:57:00Z</cp:lastPrinted>
  <dcterms:created xsi:type="dcterms:W3CDTF">2019-04-29T15:13:00Z</dcterms:created>
  <dcterms:modified xsi:type="dcterms:W3CDTF">2019-04-29T15:13:00Z</dcterms:modified>
</cp:coreProperties>
</file>