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0C8FC" w14:textId="77777777" w:rsidR="00AB1993" w:rsidRDefault="00AB1993" w:rsidP="0017658C">
      <w:pPr>
        <w:pStyle w:val="NoSpacing"/>
      </w:pPr>
      <w:bookmarkStart w:id="0" w:name="_GoBack"/>
      <w:bookmarkEnd w:id="0"/>
    </w:p>
    <w:p w14:paraId="755B2D2E" w14:textId="77777777" w:rsidR="00B427AD" w:rsidRPr="00BA441F" w:rsidRDefault="00B427AD" w:rsidP="00B427AD">
      <w:pPr>
        <w:pStyle w:val="NoSpacing"/>
        <w:jc w:val="center"/>
        <w:rPr>
          <w:rFonts w:ascii="Cambria" w:hAnsi="Cambria"/>
          <w:b/>
          <w:sz w:val="28"/>
          <w:szCs w:val="28"/>
        </w:rPr>
      </w:pPr>
    </w:p>
    <w:p w14:paraId="45E14269" w14:textId="77777777" w:rsidR="00B427AD" w:rsidRPr="00BA441F" w:rsidRDefault="00B427AD" w:rsidP="00B427AD">
      <w:pPr>
        <w:pStyle w:val="NoSpacing"/>
        <w:jc w:val="center"/>
        <w:rPr>
          <w:rFonts w:ascii="Cambria" w:hAnsi="Cambria"/>
          <w:b/>
          <w:sz w:val="28"/>
          <w:szCs w:val="28"/>
        </w:rPr>
      </w:pPr>
    </w:p>
    <w:p w14:paraId="6DBD83FE" w14:textId="77777777" w:rsidR="00B427AD" w:rsidRPr="00BA441F" w:rsidRDefault="00B427AD" w:rsidP="00B427AD">
      <w:pPr>
        <w:pStyle w:val="NoSpacing"/>
        <w:jc w:val="center"/>
        <w:rPr>
          <w:rFonts w:ascii="Cambria" w:hAnsi="Cambria"/>
          <w:b/>
          <w:sz w:val="28"/>
          <w:szCs w:val="28"/>
        </w:rPr>
      </w:pPr>
    </w:p>
    <w:p w14:paraId="1A7D9CEA" w14:textId="77777777" w:rsidR="00B427AD" w:rsidRPr="00BA441F" w:rsidRDefault="00B427AD" w:rsidP="00B427AD">
      <w:pPr>
        <w:pStyle w:val="NoSpacing"/>
        <w:jc w:val="center"/>
        <w:rPr>
          <w:rFonts w:ascii="Cambria" w:hAnsi="Cambria"/>
          <w:b/>
          <w:sz w:val="28"/>
          <w:szCs w:val="28"/>
        </w:rPr>
      </w:pPr>
    </w:p>
    <w:p w14:paraId="35A42781" w14:textId="0A63ECD1" w:rsidR="006302C4" w:rsidRPr="00CD5D2D" w:rsidRDefault="0022491D" w:rsidP="00A970F1">
      <w:pPr>
        <w:pStyle w:val="NoSpacing"/>
        <w:ind w:left="-90" w:right="-36"/>
        <w:jc w:val="center"/>
        <w:rPr>
          <w:rFonts w:ascii="Cambria" w:hAnsi="Cambria"/>
          <w:sz w:val="36"/>
          <w:szCs w:val="36"/>
        </w:rPr>
      </w:pPr>
      <w:r w:rsidRPr="0022491D">
        <w:rPr>
          <w:rFonts w:ascii="Cambria" w:hAnsi="Cambria"/>
          <w:b/>
          <w:sz w:val="36"/>
          <w:szCs w:val="36"/>
        </w:rPr>
        <w:t xml:space="preserve">Middle Grades Longitudinal Study of 2017-18 (MGLS:2017) </w:t>
      </w:r>
      <w:r w:rsidR="00FF292D" w:rsidRPr="0022491D">
        <w:rPr>
          <w:rFonts w:ascii="Cambria" w:hAnsi="Cambria"/>
          <w:b/>
          <w:sz w:val="36"/>
          <w:szCs w:val="36"/>
        </w:rPr>
        <w:t>Main Study Design Revision</w:t>
      </w:r>
      <w:r w:rsidR="00FF292D">
        <w:rPr>
          <w:rFonts w:ascii="Cambria" w:hAnsi="Cambria"/>
          <w:b/>
          <w:sz w:val="36"/>
          <w:szCs w:val="36"/>
        </w:rPr>
        <w:t xml:space="preserve">, </w:t>
      </w:r>
      <w:r w:rsidR="00A970F1" w:rsidRPr="0022491D">
        <w:rPr>
          <w:rFonts w:ascii="Cambria" w:hAnsi="Cambria"/>
          <w:b/>
          <w:sz w:val="36"/>
          <w:szCs w:val="36"/>
        </w:rPr>
        <w:t xml:space="preserve">Operational Field Test First Follow-up (OFT2) and Second Follow-up (OFT3), </w:t>
      </w:r>
      <w:r w:rsidR="00A970F1">
        <w:rPr>
          <w:rFonts w:ascii="Cambria" w:hAnsi="Cambria"/>
          <w:b/>
          <w:sz w:val="36"/>
          <w:szCs w:val="36"/>
        </w:rPr>
        <w:t>and</w:t>
      </w:r>
      <w:r w:rsidR="00A970F1" w:rsidRPr="0022491D">
        <w:rPr>
          <w:rFonts w:ascii="Cambria" w:hAnsi="Cambria"/>
          <w:b/>
          <w:sz w:val="36"/>
          <w:szCs w:val="36"/>
        </w:rPr>
        <w:t xml:space="preserve"> </w:t>
      </w:r>
      <w:r w:rsidRPr="0022491D">
        <w:rPr>
          <w:rFonts w:ascii="Cambria" w:hAnsi="Cambria"/>
          <w:b/>
          <w:sz w:val="36"/>
          <w:szCs w:val="36"/>
        </w:rPr>
        <w:t>Main Study Base Year (MS1) and Trac</w:t>
      </w:r>
      <w:r w:rsidR="00A970F1">
        <w:rPr>
          <w:rFonts w:ascii="Cambria" w:hAnsi="Cambria"/>
          <w:b/>
          <w:sz w:val="36"/>
          <w:szCs w:val="36"/>
        </w:rPr>
        <w:t>king for First Follow-up (MS2)</w:t>
      </w:r>
    </w:p>
    <w:p w14:paraId="26887C45" w14:textId="77777777" w:rsidR="00B427AD" w:rsidRPr="00BA441F" w:rsidRDefault="00B427AD" w:rsidP="00B427AD">
      <w:pPr>
        <w:pStyle w:val="NoSpacing"/>
        <w:jc w:val="center"/>
        <w:rPr>
          <w:rFonts w:ascii="Cambria" w:hAnsi="Cambria"/>
        </w:rPr>
      </w:pPr>
    </w:p>
    <w:p w14:paraId="5D141A5D" w14:textId="77777777" w:rsidR="00B427AD" w:rsidRPr="00BA441F" w:rsidRDefault="00B427AD" w:rsidP="00B427AD">
      <w:pPr>
        <w:pStyle w:val="NoSpacing"/>
        <w:jc w:val="center"/>
        <w:rPr>
          <w:rFonts w:ascii="Cambria" w:hAnsi="Cambria"/>
        </w:rPr>
      </w:pPr>
    </w:p>
    <w:p w14:paraId="67443D92" w14:textId="77777777" w:rsidR="00B427AD" w:rsidRPr="00BA441F" w:rsidRDefault="00B427AD" w:rsidP="00B427AD">
      <w:pPr>
        <w:pStyle w:val="NoSpacing"/>
        <w:jc w:val="center"/>
        <w:rPr>
          <w:rFonts w:ascii="Cambria" w:hAnsi="Cambria"/>
        </w:rPr>
      </w:pPr>
    </w:p>
    <w:p w14:paraId="3FFAF76F" w14:textId="77777777" w:rsidR="00B427AD" w:rsidRPr="00BA441F" w:rsidRDefault="00B427AD" w:rsidP="00B427AD">
      <w:pPr>
        <w:pStyle w:val="NoSpacing"/>
        <w:jc w:val="center"/>
        <w:rPr>
          <w:rFonts w:ascii="Cambria" w:hAnsi="Cambria"/>
        </w:rPr>
      </w:pPr>
    </w:p>
    <w:p w14:paraId="19F33EA9" w14:textId="77777777"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20</w:t>
      </w:r>
    </w:p>
    <w:p w14:paraId="23B78B00" w14:textId="77777777" w:rsidR="00B427AD" w:rsidRPr="00BA441F" w:rsidRDefault="00B427AD" w:rsidP="00B427AD">
      <w:pPr>
        <w:pStyle w:val="NoSpacing"/>
        <w:jc w:val="center"/>
        <w:rPr>
          <w:rFonts w:ascii="Cambria" w:hAnsi="Cambria"/>
        </w:rPr>
      </w:pPr>
    </w:p>
    <w:p w14:paraId="535C3BEA" w14:textId="77777777" w:rsidR="00B427AD" w:rsidRPr="00BA441F" w:rsidRDefault="00B427AD" w:rsidP="00B427AD">
      <w:pPr>
        <w:pStyle w:val="NoSpacing"/>
        <w:jc w:val="center"/>
        <w:rPr>
          <w:rFonts w:ascii="Cambria" w:hAnsi="Cambria"/>
        </w:rPr>
      </w:pPr>
    </w:p>
    <w:p w14:paraId="147373B3" w14:textId="77777777" w:rsidR="00B427AD" w:rsidRPr="00BA441F" w:rsidRDefault="00B427AD" w:rsidP="00B427AD">
      <w:pPr>
        <w:pStyle w:val="NoSpacing"/>
        <w:jc w:val="center"/>
        <w:rPr>
          <w:rFonts w:ascii="Cambria" w:hAnsi="Cambria"/>
          <w:b/>
          <w:sz w:val="28"/>
          <w:szCs w:val="28"/>
        </w:rPr>
      </w:pPr>
    </w:p>
    <w:p w14:paraId="2C2A5EE3" w14:textId="77777777" w:rsidR="00B427AD" w:rsidRPr="00BA441F" w:rsidRDefault="00B427AD" w:rsidP="00B427AD">
      <w:pPr>
        <w:pStyle w:val="NoSpacing"/>
        <w:jc w:val="center"/>
        <w:rPr>
          <w:rFonts w:ascii="Cambria" w:hAnsi="Cambria"/>
          <w:b/>
          <w:sz w:val="28"/>
          <w:szCs w:val="28"/>
        </w:rPr>
      </w:pPr>
    </w:p>
    <w:p w14:paraId="70870187"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06529ACC" w14:textId="77777777" w:rsidR="00B427AD" w:rsidRPr="00BA441F" w:rsidRDefault="00B427AD" w:rsidP="00B427AD">
      <w:pPr>
        <w:pStyle w:val="NoSpacing"/>
        <w:jc w:val="center"/>
        <w:rPr>
          <w:rFonts w:ascii="Cambria" w:hAnsi="Cambria"/>
        </w:rPr>
      </w:pPr>
    </w:p>
    <w:p w14:paraId="2A09363D" w14:textId="77777777" w:rsidR="00B427AD" w:rsidRPr="00BA441F" w:rsidRDefault="00B427AD" w:rsidP="00B427AD">
      <w:pPr>
        <w:pStyle w:val="NoSpacing"/>
        <w:jc w:val="center"/>
        <w:rPr>
          <w:rFonts w:ascii="Cambria" w:hAnsi="Cambria"/>
        </w:rPr>
      </w:pPr>
    </w:p>
    <w:p w14:paraId="3E72897E" w14:textId="77777777" w:rsidR="00B427AD" w:rsidRPr="00BA441F" w:rsidRDefault="00B427AD" w:rsidP="00B427AD">
      <w:pPr>
        <w:pStyle w:val="NoSpacing"/>
        <w:jc w:val="center"/>
        <w:rPr>
          <w:rFonts w:ascii="Cambria" w:hAnsi="Cambria"/>
        </w:rPr>
      </w:pPr>
    </w:p>
    <w:p w14:paraId="4B117D9D" w14:textId="77777777" w:rsidR="00B427AD" w:rsidRPr="00BA441F" w:rsidRDefault="00B427AD" w:rsidP="00B427AD">
      <w:pPr>
        <w:pStyle w:val="NoSpacing"/>
        <w:jc w:val="center"/>
        <w:rPr>
          <w:rFonts w:ascii="Cambria" w:hAnsi="Cambria"/>
        </w:rPr>
      </w:pPr>
    </w:p>
    <w:p w14:paraId="790CDDE0" w14:textId="77777777" w:rsidR="00B427AD" w:rsidRPr="00BA441F" w:rsidRDefault="00B427AD" w:rsidP="00B427AD">
      <w:pPr>
        <w:pStyle w:val="C1-CtrBoldHd"/>
        <w:spacing w:after="0"/>
        <w:rPr>
          <w:rFonts w:ascii="Cambria" w:hAnsi="Cambria"/>
          <w:b w:val="0"/>
          <w:caps w:val="0"/>
          <w:szCs w:val="22"/>
        </w:rPr>
      </w:pPr>
    </w:p>
    <w:p w14:paraId="7DA8E583" w14:textId="77777777" w:rsidR="00B427AD" w:rsidRPr="00BA441F" w:rsidRDefault="00B427AD" w:rsidP="00B427AD">
      <w:pPr>
        <w:pStyle w:val="C1-CtrBoldHd"/>
        <w:spacing w:after="0"/>
        <w:rPr>
          <w:rFonts w:ascii="Cambria" w:hAnsi="Cambria"/>
          <w:b w:val="0"/>
          <w:caps w:val="0"/>
          <w:szCs w:val="22"/>
        </w:rPr>
      </w:pPr>
    </w:p>
    <w:p w14:paraId="5379DEA1" w14:textId="77777777" w:rsidR="00B427AD" w:rsidRPr="00BA441F" w:rsidRDefault="00B427AD" w:rsidP="00B427AD">
      <w:pPr>
        <w:pStyle w:val="C1-CtrBoldHd"/>
        <w:spacing w:after="0"/>
        <w:rPr>
          <w:rFonts w:ascii="Cambria" w:hAnsi="Cambria"/>
          <w:b w:val="0"/>
          <w:caps w:val="0"/>
          <w:szCs w:val="22"/>
        </w:rPr>
      </w:pPr>
    </w:p>
    <w:p w14:paraId="055EB310" w14:textId="77777777" w:rsidR="00B427AD" w:rsidRPr="00BA441F" w:rsidRDefault="00B427AD" w:rsidP="00B427AD">
      <w:pPr>
        <w:pStyle w:val="C1-CtrBoldHd"/>
        <w:spacing w:after="0"/>
        <w:rPr>
          <w:rFonts w:ascii="Cambria" w:hAnsi="Cambria"/>
          <w:b w:val="0"/>
          <w:caps w:val="0"/>
          <w:szCs w:val="22"/>
        </w:rPr>
      </w:pPr>
    </w:p>
    <w:p w14:paraId="1D0827DC" w14:textId="77777777" w:rsidR="00B427AD" w:rsidRPr="00BA441F" w:rsidRDefault="00B427AD" w:rsidP="00B427AD">
      <w:pPr>
        <w:pStyle w:val="C1-CtrBoldHd"/>
        <w:spacing w:after="0"/>
        <w:rPr>
          <w:rFonts w:ascii="Cambria" w:hAnsi="Cambria"/>
          <w:b w:val="0"/>
          <w:caps w:val="0"/>
          <w:szCs w:val="22"/>
        </w:rPr>
      </w:pPr>
    </w:p>
    <w:p w14:paraId="5CEDDB7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2C0A4FEF"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22A95187"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4A96961"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023C9711" w14:textId="77777777" w:rsidR="00B427AD" w:rsidRPr="00BD30F1" w:rsidRDefault="00B427AD" w:rsidP="00B427AD">
      <w:pPr>
        <w:pStyle w:val="C1-CtrBoldHd"/>
        <w:spacing w:after="0"/>
        <w:rPr>
          <w:rFonts w:ascii="Cambria" w:hAnsi="Cambria"/>
          <w:b w:val="0"/>
          <w:sz w:val="28"/>
          <w:szCs w:val="28"/>
        </w:rPr>
      </w:pPr>
    </w:p>
    <w:p w14:paraId="697C1F12" w14:textId="77777777" w:rsidR="00B427AD" w:rsidRPr="00BD30F1" w:rsidRDefault="00B427AD" w:rsidP="00B427AD">
      <w:pPr>
        <w:pStyle w:val="C1-CtrBoldHd"/>
        <w:spacing w:after="0"/>
        <w:rPr>
          <w:rFonts w:ascii="Cambria" w:hAnsi="Cambria"/>
          <w:b w:val="0"/>
          <w:sz w:val="28"/>
          <w:szCs w:val="28"/>
        </w:rPr>
      </w:pPr>
    </w:p>
    <w:p w14:paraId="59C0E2B6" w14:textId="77777777" w:rsidR="00B427AD" w:rsidRPr="00BD30F1" w:rsidRDefault="00B427AD" w:rsidP="00B427AD">
      <w:pPr>
        <w:pStyle w:val="C1-CtrBoldHd"/>
        <w:spacing w:after="0"/>
        <w:rPr>
          <w:rFonts w:ascii="Cambria" w:hAnsi="Cambria"/>
          <w:b w:val="0"/>
          <w:caps w:val="0"/>
          <w:sz w:val="28"/>
          <w:szCs w:val="28"/>
        </w:rPr>
      </w:pPr>
    </w:p>
    <w:p w14:paraId="57C6438C" w14:textId="77777777" w:rsidR="00B427AD" w:rsidRPr="00BD30F1" w:rsidRDefault="00B427AD" w:rsidP="00B427AD">
      <w:pPr>
        <w:pStyle w:val="C1-CtrBoldHd"/>
        <w:spacing w:after="0"/>
        <w:rPr>
          <w:rFonts w:ascii="Cambria" w:hAnsi="Cambria"/>
          <w:b w:val="0"/>
          <w:caps w:val="0"/>
          <w:sz w:val="28"/>
          <w:szCs w:val="28"/>
        </w:rPr>
      </w:pPr>
    </w:p>
    <w:p w14:paraId="6C1A2D1F" w14:textId="77777777" w:rsidR="00B427AD" w:rsidRPr="00BD30F1" w:rsidRDefault="00B427AD" w:rsidP="00B427AD">
      <w:pPr>
        <w:pStyle w:val="C1-CtrBoldHd"/>
        <w:spacing w:after="0"/>
        <w:rPr>
          <w:rFonts w:ascii="Cambria" w:hAnsi="Cambria"/>
          <w:b w:val="0"/>
          <w:caps w:val="0"/>
          <w:sz w:val="28"/>
          <w:szCs w:val="28"/>
        </w:rPr>
      </w:pPr>
    </w:p>
    <w:p w14:paraId="136E5DF4" w14:textId="77777777" w:rsidR="00B726DA" w:rsidRDefault="00B726DA" w:rsidP="00B726DA">
      <w:pPr>
        <w:pStyle w:val="C1-CtrBoldHd"/>
        <w:spacing w:after="0"/>
        <w:rPr>
          <w:rFonts w:ascii="Cambria" w:hAnsi="Cambria"/>
          <w:caps w:val="0"/>
          <w:sz w:val="28"/>
          <w:szCs w:val="28"/>
        </w:rPr>
      </w:pPr>
      <w:r w:rsidRPr="00BD30F1">
        <w:rPr>
          <w:rFonts w:ascii="Cambria" w:hAnsi="Cambria"/>
          <w:caps w:val="0"/>
          <w:sz w:val="28"/>
          <w:szCs w:val="28"/>
        </w:rPr>
        <w:t>Ju</w:t>
      </w:r>
      <w:r>
        <w:rPr>
          <w:rFonts w:ascii="Cambria" w:hAnsi="Cambria"/>
          <w:caps w:val="0"/>
          <w:sz w:val="28"/>
          <w:szCs w:val="28"/>
        </w:rPr>
        <w:t>ly</w:t>
      </w:r>
      <w:r w:rsidRPr="00BD30F1">
        <w:rPr>
          <w:rFonts w:ascii="Cambria" w:hAnsi="Cambria"/>
          <w:caps w:val="0"/>
          <w:sz w:val="28"/>
          <w:szCs w:val="28"/>
        </w:rPr>
        <w:t xml:space="preserve"> 2017</w:t>
      </w:r>
    </w:p>
    <w:p w14:paraId="4341E13E" w14:textId="2827424B" w:rsidR="0026415D" w:rsidRPr="00BD30F1" w:rsidRDefault="00B726DA" w:rsidP="00B726DA">
      <w:pPr>
        <w:pStyle w:val="C1-CtrBoldHd"/>
        <w:spacing w:after="0"/>
        <w:rPr>
          <w:rFonts w:ascii="Cambria" w:hAnsi="Cambria"/>
          <w:caps w:val="0"/>
          <w:sz w:val="28"/>
          <w:szCs w:val="28"/>
        </w:rPr>
      </w:pPr>
      <w:r>
        <w:rPr>
          <w:rFonts w:ascii="Cambria" w:hAnsi="Cambria"/>
          <w:caps w:val="0"/>
          <w:sz w:val="28"/>
          <w:szCs w:val="28"/>
        </w:rPr>
        <w:t>revised August 2018</w:t>
      </w:r>
    </w:p>
    <w:p w14:paraId="516ADF6A" w14:textId="77777777" w:rsidR="00B427AD" w:rsidRPr="00BA441F" w:rsidRDefault="00B427AD" w:rsidP="00B427AD">
      <w:pPr>
        <w:pStyle w:val="NoSpacing"/>
        <w:jc w:val="center"/>
        <w:rPr>
          <w:rFonts w:ascii="Cambria" w:hAnsi="Cambria"/>
          <w:sz w:val="28"/>
          <w:szCs w:val="28"/>
        </w:rPr>
      </w:pPr>
    </w:p>
    <w:p w14:paraId="0C09C1D3"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6D5D66BC"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333B2525" w14:textId="77777777" w:rsidR="00023878" w:rsidRDefault="00023878" w:rsidP="00B427AD">
              <w:pPr>
                <w:pStyle w:val="TOCHeading"/>
                <w:rPr>
                  <w:rFonts w:ascii="Cambria" w:hAnsi="Cambria"/>
                </w:rPr>
              </w:pPr>
            </w:p>
            <w:p w14:paraId="7F0CD72D" w14:textId="77777777" w:rsidR="00090CDF" w:rsidRDefault="00090CDF" w:rsidP="00B427AD">
              <w:pPr>
                <w:pStyle w:val="TOCHeading"/>
                <w:rPr>
                  <w:rFonts w:ascii="Cambria" w:hAnsi="Cambria"/>
                </w:rPr>
              </w:pPr>
            </w:p>
            <w:p w14:paraId="2AA7D847" w14:textId="77777777" w:rsidR="00B427AD" w:rsidRPr="00BA441F" w:rsidRDefault="00B427AD" w:rsidP="00B427AD">
              <w:pPr>
                <w:pStyle w:val="TOCHeading"/>
                <w:rPr>
                  <w:rFonts w:ascii="Cambria" w:hAnsi="Cambria"/>
                </w:rPr>
              </w:pPr>
              <w:r w:rsidRPr="00BA441F">
                <w:rPr>
                  <w:rFonts w:ascii="Cambria" w:hAnsi="Cambria"/>
                </w:rPr>
                <w:t>Table of Contents</w:t>
              </w:r>
            </w:p>
            <w:p w14:paraId="0420EA3F" w14:textId="77777777" w:rsidR="00B427AD" w:rsidRPr="00BA441F" w:rsidRDefault="00B427AD" w:rsidP="00B427AD">
              <w:pPr>
                <w:pStyle w:val="NoSpacing"/>
                <w:rPr>
                  <w:rFonts w:ascii="Cambria" w:hAnsi="Cambria"/>
                  <w:lang w:eastAsia="ja-JP"/>
                </w:rPr>
              </w:pPr>
            </w:p>
            <w:p w14:paraId="16357279" w14:textId="77777777" w:rsidR="00EC0AAE" w:rsidRDefault="00B427AD">
              <w:pPr>
                <w:pStyle w:val="TOC1"/>
                <w:tabs>
                  <w:tab w:val="right" w:leader="dot" w:pos="10502"/>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521406217" w:history="1">
                <w:r w:rsidR="00EC0AAE" w:rsidRPr="009C700F">
                  <w:rPr>
                    <w:rStyle w:val="Hyperlink"/>
                    <w:rFonts w:ascii="Cambria" w:hAnsi="Cambria"/>
                    <w:noProof/>
                  </w:rPr>
                  <w:t>Preface</w:t>
                </w:r>
                <w:r w:rsidR="00EC0AAE">
                  <w:rPr>
                    <w:noProof/>
                    <w:webHidden/>
                  </w:rPr>
                  <w:tab/>
                </w:r>
                <w:r w:rsidR="00EC0AAE">
                  <w:rPr>
                    <w:noProof/>
                    <w:webHidden/>
                  </w:rPr>
                  <w:fldChar w:fldCharType="begin"/>
                </w:r>
                <w:r w:rsidR="00EC0AAE">
                  <w:rPr>
                    <w:noProof/>
                    <w:webHidden/>
                  </w:rPr>
                  <w:instrText xml:space="preserve"> PAGEREF _Toc521406217 \h </w:instrText>
                </w:r>
                <w:r w:rsidR="00EC0AAE">
                  <w:rPr>
                    <w:noProof/>
                    <w:webHidden/>
                  </w:rPr>
                </w:r>
                <w:r w:rsidR="00EC0AAE">
                  <w:rPr>
                    <w:noProof/>
                    <w:webHidden/>
                  </w:rPr>
                  <w:fldChar w:fldCharType="separate"/>
                </w:r>
                <w:r w:rsidR="00E65B0E">
                  <w:rPr>
                    <w:noProof/>
                    <w:webHidden/>
                  </w:rPr>
                  <w:t>2</w:t>
                </w:r>
                <w:r w:rsidR="00EC0AAE">
                  <w:rPr>
                    <w:noProof/>
                    <w:webHidden/>
                  </w:rPr>
                  <w:fldChar w:fldCharType="end"/>
                </w:r>
              </w:hyperlink>
            </w:p>
            <w:p w14:paraId="1B754E0C" w14:textId="77777777" w:rsidR="00EC0AAE" w:rsidRDefault="00285A6A">
              <w:pPr>
                <w:pStyle w:val="TOC1"/>
                <w:tabs>
                  <w:tab w:val="right" w:leader="dot" w:pos="10502"/>
                </w:tabs>
                <w:rPr>
                  <w:rFonts w:asciiTheme="minorHAnsi" w:eastAsiaTheme="minorEastAsia" w:hAnsiTheme="minorHAnsi" w:cstheme="minorBidi"/>
                  <w:noProof/>
                </w:rPr>
              </w:pPr>
              <w:hyperlink w:anchor="_Toc521406218" w:history="1">
                <w:r w:rsidR="00EC0AAE" w:rsidRPr="009C700F">
                  <w:rPr>
                    <w:rStyle w:val="Hyperlink"/>
                    <w:rFonts w:ascii="Cambria" w:hAnsi="Cambria"/>
                    <w:noProof/>
                  </w:rPr>
                  <w:t>A. Justification</w:t>
                </w:r>
                <w:r w:rsidR="00EC0AAE">
                  <w:rPr>
                    <w:noProof/>
                    <w:webHidden/>
                  </w:rPr>
                  <w:tab/>
                </w:r>
                <w:r w:rsidR="00EC0AAE">
                  <w:rPr>
                    <w:noProof/>
                    <w:webHidden/>
                  </w:rPr>
                  <w:fldChar w:fldCharType="begin"/>
                </w:r>
                <w:r w:rsidR="00EC0AAE">
                  <w:rPr>
                    <w:noProof/>
                    <w:webHidden/>
                  </w:rPr>
                  <w:instrText xml:space="preserve"> PAGEREF _Toc521406218 \h </w:instrText>
                </w:r>
                <w:r w:rsidR="00EC0AAE">
                  <w:rPr>
                    <w:noProof/>
                    <w:webHidden/>
                  </w:rPr>
                </w:r>
                <w:r w:rsidR="00EC0AAE">
                  <w:rPr>
                    <w:noProof/>
                    <w:webHidden/>
                  </w:rPr>
                  <w:fldChar w:fldCharType="separate"/>
                </w:r>
                <w:r w:rsidR="00E65B0E">
                  <w:rPr>
                    <w:noProof/>
                    <w:webHidden/>
                  </w:rPr>
                  <w:t>4</w:t>
                </w:r>
                <w:r w:rsidR="00EC0AAE">
                  <w:rPr>
                    <w:noProof/>
                    <w:webHidden/>
                  </w:rPr>
                  <w:fldChar w:fldCharType="end"/>
                </w:r>
              </w:hyperlink>
            </w:p>
            <w:p w14:paraId="7E3FDDC6" w14:textId="77777777" w:rsidR="00EC0AAE" w:rsidRDefault="00285A6A">
              <w:pPr>
                <w:pStyle w:val="TOC2"/>
                <w:tabs>
                  <w:tab w:val="right" w:leader="dot" w:pos="10502"/>
                </w:tabs>
                <w:rPr>
                  <w:rFonts w:asciiTheme="minorHAnsi" w:eastAsiaTheme="minorEastAsia" w:hAnsiTheme="minorHAnsi" w:cstheme="minorBidi"/>
                  <w:noProof/>
                </w:rPr>
              </w:pPr>
              <w:hyperlink w:anchor="_Toc521406219" w:history="1">
                <w:r w:rsidR="00EC0AAE" w:rsidRPr="009C700F">
                  <w:rPr>
                    <w:rStyle w:val="Hyperlink"/>
                    <w:rFonts w:ascii="Cambria" w:hAnsi="Cambria"/>
                    <w:noProof/>
                  </w:rPr>
                  <w:t>A.1 Importance of Information</w:t>
                </w:r>
                <w:r w:rsidR="00EC0AAE">
                  <w:rPr>
                    <w:noProof/>
                    <w:webHidden/>
                  </w:rPr>
                  <w:tab/>
                </w:r>
                <w:r w:rsidR="00EC0AAE">
                  <w:rPr>
                    <w:noProof/>
                    <w:webHidden/>
                  </w:rPr>
                  <w:fldChar w:fldCharType="begin"/>
                </w:r>
                <w:r w:rsidR="00EC0AAE">
                  <w:rPr>
                    <w:noProof/>
                    <w:webHidden/>
                  </w:rPr>
                  <w:instrText xml:space="preserve"> PAGEREF _Toc521406219 \h </w:instrText>
                </w:r>
                <w:r w:rsidR="00EC0AAE">
                  <w:rPr>
                    <w:noProof/>
                    <w:webHidden/>
                  </w:rPr>
                </w:r>
                <w:r w:rsidR="00EC0AAE">
                  <w:rPr>
                    <w:noProof/>
                    <w:webHidden/>
                  </w:rPr>
                  <w:fldChar w:fldCharType="separate"/>
                </w:r>
                <w:r w:rsidR="00E65B0E">
                  <w:rPr>
                    <w:noProof/>
                    <w:webHidden/>
                  </w:rPr>
                  <w:t>4</w:t>
                </w:r>
                <w:r w:rsidR="00EC0AAE">
                  <w:rPr>
                    <w:noProof/>
                    <w:webHidden/>
                  </w:rPr>
                  <w:fldChar w:fldCharType="end"/>
                </w:r>
              </w:hyperlink>
            </w:p>
            <w:p w14:paraId="732BF6B4" w14:textId="77777777" w:rsidR="00EC0AAE" w:rsidRDefault="00285A6A">
              <w:pPr>
                <w:pStyle w:val="TOC2"/>
                <w:tabs>
                  <w:tab w:val="right" w:leader="dot" w:pos="10502"/>
                </w:tabs>
                <w:rPr>
                  <w:rFonts w:asciiTheme="minorHAnsi" w:eastAsiaTheme="minorEastAsia" w:hAnsiTheme="minorHAnsi" w:cstheme="minorBidi"/>
                  <w:noProof/>
                </w:rPr>
              </w:pPr>
              <w:hyperlink w:anchor="_Toc521406220" w:history="1">
                <w:r w:rsidR="00EC0AAE" w:rsidRPr="009C700F">
                  <w:rPr>
                    <w:rStyle w:val="Hyperlink"/>
                    <w:rFonts w:ascii="Cambria" w:hAnsi="Cambria"/>
                    <w:noProof/>
                  </w:rPr>
                  <w:t>A.2 Purposes and Uses of Data</w:t>
                </w:r>
                <w:r w:rsidR="00EC0AAE">
                  <w:rPr>
                    <w:noProof/>
                    <w:webHidden/>
                  </w:rPr>
                  <w:tab/>
                </w:r>
                <w:r w:rsidR="00EC0AAE">
                  <w:rPr>
                    <w:noProof/>
                    <w:webHidden/>
                  </w:rPr>
                  <w:fldChar w:fldCharType="begin"/>
                </w:r>
                <w:r w:rsidR="00EC0AAE">
                  <w:rPr>
                    <w:noProof/>
                    <w:webHidden/>
                  </w:rPr>
                  <w:instrText xml:space="preserve"> PAGEREF _Toc521406220 \h </w:instrText>
                </w:r>
                <w:r w:rsidR="00EC0AAE">
                  <w:rPr>
                    <w:noProof/>
                    <w:webHidden/>
                  </w:rPr>
                </w:r>
                <w:r w:rsidR="00EC0AAE">
                  <w:rPr>
                    <w:noProof/>
                    <w:webHidden/>
                  </w:rPr>
                  <w:fldChar w:fldCharType="separate"/>
                </w:r>
                <w:r w:rsidR="00E65B0E">
                  <w:rPr>
                    <w:noProof/>
                    <w:webHidden/>
                  </w:rPr>
                  <w:t>5</w:t>
                </w:r>
                <w:r w:rsidR="00EC0AAE">
                  <w:rPr>
                    <w:noProof/>
                    <w:webHidden/>
                  </w:rPr>
                  <w:fldChar w:fldCharType="end"/>
                </w:r>
              </w:hyperlink>
            </w:p>
            <w:p w14:paraId="78A4484E" w14:textId="77777777" w:rsidR="00EC0AAE" w:rsidRDefault="00285A6A">
              <w:pPr>
                <w:pStyle w:val="TOC2"/>
                <w:tabs>
                  <w:tab w:val="right" w:leader="dot" w:pos="10502"/>
                </w:tabs>
                <w:rPr>
                  <w:rFonts w:asciiTheme="minorHAnsi" w:eastAsiaTheme="minorEastAsia" w:hAnsiTheme="minorHAnsi" w:cstheme="minorBidi"/>
                  <w:noProof/>
                </w:rPr>
              </w:pPr>
              <w:hyperlink w:anchor="_Toc521406221" w:history="1">
                <w:r w:rsidR="00EC0AAE" w:rsidRPr="009C700F">
                  <w:rPr>
                    <w:rStyle w:val="Hyperlink"/>
                    <w:rFonts w:ascii="Cambria" w:hAnsi="Cambria"/>
                    <w:noProof/>
                  </w:rPr>
                  <w:t>A.3 Use of Improved Information Technology (Reduction of Burden)</w:t>
                </w:r>
                <w:r w:rsidR="00EC0AAE">
                  <w:rPr>
                    <w:noProof/>
                    <w:webHidden/>
                  </w:rPr>
                  <w:tab/>
                </w:r>
                <w:r w:rsidR="00EC0AAE">
                  <w:rPr>
                    <w:noProof/>
                    <w:webHidden/>
                  </w:rPr>
                  <w:fldChar w:fldCharType="begin"/>
                </w:r>
                <w:r w:rsidR="00EC0AAE">
                  <w:rPr>
                    <w:noProof/>
                    <w:webHidden/>
                  </w:rPr>
                  <w:instrText xml:space="preserve"> PAGEREF _Toc521406221 \h </w:instrText>
                </w:r>
                <w:r w:rsidR="00EC0AAE">
                  <w:rPr>
                    <w:noProof/>
                    <w:webHidden/>
                  </w:rPr>
                </w:r>
                <w:r w:rsidR="00EC0AAE">
                  <w:rPr>
                    <w:noProof/>
                    <w:webHidden/>
                  </w:rPr>
                  <w:fldChar w:fldCharType="separate"/>
                </w:r>
                <w:r w:rsidR="00E65B0E">
                  <w:rPr>
                    <w:noProof/>
                    <w:webHidden/>
                  </w:rPr>
                  <w:t>7</w:t>
                </w:r>
                <w:r w:rsidR="00EC0AAE">
                  <w:rPr>
                    <w:noProof/>
                    <w:webHidden/>
                  </w:rPr>
                  <w:fldChar w:fldCharType="end"/>
                </w:r>
              </w:hyperlink>
            </w:p>
            <w:p w14:paraId="5176CE59" w14:textId="77777777" w:rsidR="00EC0AAE" w:rsidRDefault="00285A6A">
              <w:pPr>
                <w:pStyle w:val="TOC2"/>
                <w:tabs>
                  <w:tab w:val="right" w:leader="dot" w:pos="10502"/>
                </w:tabs>
                <w:rPr>
                  <w:rFonts w:asciiTheme="minorHAnsi" w:eastAsiaTheme="minorEastAsia" w:hAnsiTheme="minorHAnsi" w:cstheme="minorBidi"/>
                  <w:noProof/>
                </w:rPr>
              </w:pPr>
              <w:hyperlink w:anchor="_Toc521406222" w:history="1">
                <w:r w:rsidR="00EC0AAE" w:rsidRPr="009C700F">
                  <w:rPr>
                    <w:rStyle w:val="Hyperlink"/>
                    <w:rFonts w:ascii="Cambria" w:hAnsi="Cambria"/>
                    <w:noProof/>
                  </w:rPr>
                  <w:t>A.4 Efforts to Identify Duplication</w:t>
                </w:r>
                <w:r w:rsidR="00EC0AAE">
                  <w:rPr>
                    <w:noProof/>
                    <w:webHidden/>
                  </w:rPr>
                  <w:tab/>
                </w:r>
                <w:r w:rsidR="00EC0AAE">
                  <w:rPr>
                    <w:noProof/>
                    <w:webHidden/>
                  </w:rPr>
                  <w:fldChar w:fldCharType="begin"/>
                </w:r>
                <w:r w:rsidR="00EC0AAE">
                  <w:rPr>
                    <w:noProof/>
                    <w:webHidden/>
                  </w:rPr>
                  <w:instrText xml:space="preserve"> PAGEREF _Toc521406222 \h </w:instrText>
                </w:r>
                <w:r w:rsidR="00EC0AAE">
                  <w:rPr>
                    <w:noProof/>
                    <w:webHidden/>
                  </w:rPr>
                </w:r>
                <w:r w:rsidR="00EC0AAE">
                  <w:rPr>
                    <w:noProof/>
                    <w:webHidden/>
                  </w:rPr>
                  <w:fldChar w:fldCharType="separate"/>
                </w:r>
                <w:r w:rsidR="00E65B0E">
                  <w:rPr>
                    <w:noProof/>
                    <w:webHidden/>
                  </w:rPr>
                  <w:t>8</w:t>
                </w:r>
                <w:r w:rsidR="00EC0AAE">
                  <w:rPr>
                    <w:noProof/>
                    <w:webHidden/>
                  </w:rPr>
                  <w:fldChar w:fldCharType="end"/>
                </w:r>
              </w:hyperlink>
            </w:p>
            <w:p w14:paraId="55D70978" w14:textId="77777777" w:rsidR="00EC0AAE" w:rsidRDefault="00285A6A">
              <w:pPr>
                <w:pStyle w:val="TOC2"/>
                <w:tabs>
                  <w:tab w:val="right" w:leader="dot" w:pos="10502"/>
                </w:tabs>
                <w:rPr>
                  <w:rFonts w:asciiTheme="minorHAnsi" w:eastAsiaTheme="minorEastAsia" w:hAnsiTheme="minorHAnsi" w:cstheme="minorBidi"/>
                  <w:noProof/>
                </w:rPr>
              </w:pPr>
              <w:hyperlink w:anchor="_Toc521406223" w:history="1">
                <w:r w:rsidR="00EC0AAE" w:rsidRPr="009C700F">
                  <w:rPr>
                    <w:rStyle w:val="Hyperlink"/>
                    <w:rFonts w:ascii="Cambria" w:hAnsi="Cambria"/>
                    <w:noProof/>
                  </w:rPr>
                  <w:t>A.5 Minimizing Burden for Small Entities</w:t>
                </w:r>
                <w:r w:rsidR="00EC0AAE">
                  <w:rPr>
                    <w:noProof/>
                    <w:webHidden/>
                  </w:rPr>
                  <w:tab/>
                </w:r>
                <w:r w:rsidR="00EC0AAE">
                  <w:rPr>
                    <w:noProof/>
                    <w:webHidden/>
                  </w:rPr>
                  <w:fldChar w:fldCharType="begin"/>
                </w:r>
                <w:r w:rsidR="00EC0AAE">
                  <w:rPr>
                    <w:noProof/>
                    <w:webHidden/>
                  </w:rPr>
                  <w:instrText xml:space="preserve"> PAGEREF _Toc521406223 \h </w:instrText>
                </w:r>
                <w:r w:rsidR="00EC0AAE">
                  <w:rPr>
                    <w:noProof/>
                    <w:webHidden/>
                  </w:rPr>
                </w:r>
                <w:r w:rsidR="00EC0AAE">
                  <w:rPr>
                    <w:noProof/>
                    <w:webHidden/>
                  </w:rPr>
                  <w:fldChar w:fldCharType="separate"/>
                </w:r>
                <w:r w:rsidR="00E65B0E">
                  <w:rPr>
                    <w:noProof/>
                    <w:webHidden/>
                  </w:rPr>
                  <w:t>8</w:t>
                </w:r>
                <w:r w:rsidR="00EC0AAE">
                  <w:rPr>
                    <w:noProof/>
                    <w:webHidden/>
                  </w:rPr>
                  <w:fldChar w:fldCharType="end"/>
                </w:r>
              </w:hyperlink>
            </w:p>
            <w:p w14:paraId="359311F8" w14:textId="77777777" w:rsidR="00EC0AAE" w:rsidRDefault="00285A6A">
              <w:pPr>
                <w:pStyle w:val="TOC2"/>
                <w:tabs>
                  <w:tab w:val="right" w:leader="dot" w:pos="10502"/>
                </w:tabs>
                <w:rPr>
                  <w:rFonts w:asciiTheme="minorHAnsi" w:eastAsiaTheme="minorEastAsia" w:hAnsiTheme="minorHAnsi" w:cstheme="minorBidi"/>
                  <w:noProof/>
                </w:rPr>
              </w:pPr>
              <w:hyperlink w:anchor="_Toc521406224" w:history="1">
                <w:r w:rsidR="00EC0AAE" w:rsidRPr="009C700F">
                  <w:rPr>
                    <w:rStyle w:val="Hyperlink"/>
                    <w:rFonts w:ascii="Cambria" w:hAnsi="Cambria"/>
                    <w:noProof/>
                  </w:rPr>
                  <w:t>A.6 Frequency of Data Collection</w:t>
                </w:r>
                <w:r w:rsidR="00EC0AAE">
                  <w:rPr>
                    <w:noProof/>
                    <w:webHidden/>
                  </w:rPr>
                  <w:tab/>
                </w:r>
                <w:r w:rsidR="00EC0AAE">
                  <w:rPr>
                    <w:noProof/>
                    <w:webHidden/>
                  </w:rPr>
                  <w:fldChar w:fldCharType="begin"/>
                </w:r>
                <w:r w:rsidR="00EC0AAE">
                  <w:rPr>
                    <w:noProof/>
                    <w:webHidden/>
                  </w:rPr>
                  <w:instrText xml:space="preserve"> PAGEREF _Toc521406224 \h </w:instrText>
                </w:r>
                <w:r w:rsidR="00EC0AAE">
                  <w:rPr>
                    <w:noProof/>
                    <w:webHidden/>
                  </w:rPr>
                </w:r>
                <w:r w:rsidR="00EC0AAE">
                  <w:rPr>
                    <w:noProof/>
                    <w:webHidden/>
                  </w:rPr>
                  <w:fldChar w:fldCharType="separate"/>
                </w:r>
                <w:r w:rsidR="00E65B0E">
                  <w:rPr>
                    <w:noProof/>
                    <w:webHidden/>
                  </w:rPr>
                  <w:t>8</w:t>
                </w:r>
                <w:r w:rsidR="00EC0AAE">
                  <w:rPr>
                    <w:noProof/>
                    <w:webHidden/>
                  </w:rPr>
                  <w:fldChar w:fldCharType="end"/>
                </w:r>
              </w:hyperlink>
            </w:p>
            <w:p w14:paraId="6625149C" w14:textId="77777777" w:rsidR="00EC0AAE" w:rsidRDefault="00285A6A">
              <w:pPr>
                <w:pStyle w:val="TOC2"/>
                <w:tabs>
                  <w:tab w:val="right" w:leader="dot" w:pos="10502"/>
                </w:tabs>
                <w:rPr>
                  <w:rFonts w:asciiTheme="minorHAnsi" w:eastAsiaTheme="minorEastAsia" w:hAnsiTheme="minorHAnsi" w:cstheme="minorBidi"/>
                  <w:noProof/>
                </w:rPr>
              </w:pPr>
              <w:hyperlink w:anchor="_Toc521406225" w:history="1">
                <w:r w:rsidR="00EC0AAE" w:rsidRPr="009C700F">
                  <w:rPr>
                    <w:rStyle w:val="Hyperlink"/>
                    <w:rFonts w:ascii="Cambria" w:hAnsi="Cambria"/>
                    <w:noProof/>
                  </w:rPr>
                  <w:t>A.7 Special Circumstances</w:t>
                </w:r>
                <w:r w:rsidR="00EC0AAE">
                  <w:rPr>
                    <w:noProof/>
                    <w:webHidden/>
                  </w:rPr>
                  <w:tab/>
                </w:r>
                <w:r w:rsidR="00EC0AAE">
                  <w:rPr>
                    <w:noProof/>
                    <w:webHidden/>
                  </w:rPr>
                  <w:fldChar w:fldCharType="begin"/>
                </w:r>
                <w:r w:rsidR="00EC0AAE">
                  <w:rPr>
                    <w:noProof/>
                    <w:webHidden/>
                  </w:rPr>
                  <w:instrText xml:space="preserve"> PAGEREF _Toc521406225 \h </w:instrText>
                </w:r>
                <w:r w:rsidR="00EC0AAE">
                  <w:rPr>
                    <w:noProof/>
                    <w:webHidden/>
                  </w:rPr>
                </w:r>
                <w:r w:rsidR="00EC0AAE">
                  <w:rPr>
                    <w:noProof/>
                    <w:webHidden/>
                  </w:rPr>
                  <w:fldChar w:fldCharType="separate"/>
                </w:r>
                <w:r w:rsidR="00E65B0E">
                  <w:rPr>
                    <w:noProof/>
                    <w:webHidden/>
                  </w:rPr>
                  <w:t>9</w:t>
                </w:r>
                <w:r w:rsidR="00EC0AAE">
                  <w:rPr>
                    <w:noProof/>
                    <w:webHidden/>
                  </w:rPr>
                  <w:fldChar w:fldCharType="end"/>
                </w:r>
              </w:hyperlink>
            </w:p>
            <w:p w14:paraId="37948362" w14:textId="337070FA" w:rsidR="00EC0AAE" w:rsidRDefault="00285A6A">
              <w:pPr>
                <w:pStyle w:val="TOC2"/>
                <w:tabs>
                  <w:tab w:val="right" w:leader="dot" w:pos="10502"/>
                </w:tabs>
                <w:rPr>
                  <w:rFonts w:asciiTheme="minorHAnsi" w:eastAsiaTheme="minorEastAsia" w:hAnsiTheme="minorHAnsi" w:cstheme="minorBidi"/>
                  <w:noProof/>
                </w:rPr>
              </w:pPr>
              <w:hyperlink w:anchor="_Toc521406226" w:history="1">
                <w:r w:rsidR="0049411D">
                  <w:rPr>
                    <w:rStyle w:val="Hyperlink"/>
                    <w:rFonts w:ascii="Cambria" w:hAnsi="Cambria"/>
                    <w:noProof/>
                  </w:rPr>
                  <w:t>A.8 Consultations o</w:t>
                </w:r>
                <w:r w:rsidR="00EC0AAE" w:rsidRPr="009C700F">
                  <w:rPr>
                    <w:rStyle w:val="Hyperlink"/>
                    <w:rFonts w:ascii="Cambria" w:hAnsi="Cambria"/>
                    <w:noProof/>
                  </w:rPr>
                  <w:t>utside NCES</w:t>
                </w:r>
                <w:r w:rsidR="00EC0AAE">
                  <w:rPr>
                    <w:noProof/>
                    <w:webHidden/>
                  </w:rPr>
                  <w:tab/>
                </w:r>
                <w:r w:rsidR="00EC0AAE">
                  <w:rPr>
                    <w:noProof/>
                    <w:webHidden/>
                  </w:rPr>
                  <w:fldChar w:fldCharType="begin"/>
                </w:r>
                <w:r w:rsidR="00EC0AAE">
                  <w:rPr>
                    <w:noProof/>
                    <w:webHidden/>
                  </w:rPr>
                  <w:instrText xml:space="preserve"> PAGEREF _Toc521406226 \h </w:instrText>
                </w:r>
                <w:r w:rsidR="00EC0AAE">
                  <w:rPr>
                    <w:noProof/>
                    <w:webHidden/>
                  </w:rPr>
                </w:r>
                <w:r w:rsidR="00EC0AAE">
                  <w:rPr>
                    <w:noProof/>
                    <w:webHidden/>
                  </w:rPr>
                  <w:fldChar w:fldCharType="separate"/>
                </w:r>
                <w:r w:rsidR="00E65B0E">
                  <w:rPr>
                    <w:noProof/>
                    <w:webHidden/>
                  </w:rPr>
                  <w:t>9</w:t>
                </w:r>
                <w:r w:rsidR="00EC0AAE">
                  <w:rPr>
                    <w:noProof/>
                    <w:webHidden/>
                  </w:rPr>
                  <w:fldChar w:fldCharType="end"/>
                </w:r>
              </w:hyperlink>
            </w:p>
            <w:p w14:paraId="578110DB" w14:textId="77777777" w:rsidR="00EC0AAE" w:rsidRDefault="00285A6A">
              <w:pPr>
                <w:pStyle w:val="TOC2"/>
                <w:tabs>
                  <w:tab w:val="right" w:leader="dot" w:pos="10502"/>
                </w:tabs>
                <w:rPr>
                  <w:rFonts w:asciiTheme="minorHAnsi" w:eastAsiaTheme="minorEastAsia" w:hAnsiTheme="minorHAnsi" w:cstheme="minorBidi"/>
                  <w:noProof/>
                </w:rPr>
              </w:pPr>
              <w:hyperlink w:anchor="_Toc521406227" w:history="1">
                <w:r w:rsidR="00EC0AAE" w:rsidRPr="009C700F">
                  <w:rPr>
                    <w:rStyle w:val="Hyperlink"/>
                    <w:rFonts w:ascii="Cambria" w:hAnsi="Cambria"/>
                    <w:noProof/>
                  </w:rPr>
                  <w:t>A.9 Payments or Gifts to Respondents</w:t>
                </w:r>
                <w:r w:rsidR="00EC0AAE">
                  <w:rPr>
                    <w:noProof/>
                    <w:webHidden/>
                  </w:rPr>
                  <w:tab/>
                </w:r>
                <w:r w:rsidR="00EC0AAE">
                  <w:rPr>
                    <w:noProof/>
                    <w:webHidden/>
                  </w:rPr>
                  <w:fldChar w:fldCharType="begin"/>
                </w:r>
                <w:r w:rsidR="00EC0AAE">
                  <w:rPr>
                    <w:noProof/>
                    <w:webHidden/>
                  </w:rPr>
                  <w:instrText xml:space="preserve"> PAGEREF _Toc521406227 \h </w:instrText>
                </w:r>
                <w:r w:rsidR="00EC0AAE">
                  <w:rPr>
                    <w:noProof/>
                    <w:webHidden/>
                  </w:rPr>
                </w:r>
                <w:r w:rsidR="00EC0AAE">
                  <w:rPr>
                    <w:noProof/>
                    <w:webHidden/>
                  </w:rPr>
                  <w:fldChar w:fldCharType="separate"/>
                </w:r>
                <w:r w:rsidR="00E65B0E">
                  <w:rPr>
                    <w:noProof/>
                    <w:webHidden/>
                  </w:rPr>
                  <w:t>11</w:t>
                </w:r>
                <w:r w:rsidR="00EC0AAE">
                  <w:rPr>
                    <w:noProof/>
                    <w:webHidden/>
                  </w:rPr>
                  <w:fldChar w:fldCharType="end"/>
                </w:r>
              </w:hyperlink>
            </w:p>
            <w:p w14:paraId="0D707BA0" w14:textId="77777777" w:rsidR="00EC0AAE" w:rsidRDefault="00285A6A">
              <w:pPr>
                <w:pStyle w:val="TOC2"/>
                <w:tabs>
                  <w:tab w:val="right" w:leader="dot" w:pos="10502"/>
                </w:tabs>
                <w:rPr>
                  <w:rFonts w:asciiTheme="minorHAnsi" w:eastAsiaTheme="minorEastAsia" w:hAnsiTheme="minorHAnsi" w:cstheme="minorBidi"/>
                  <w:noProof/>
                </w:rPr>
              </w:pPr>
              <w:hyperlink w:anchor="_Toc521406228" w:history="1">
                <w:r w:rsidR="00EC0AAE" w:rsidRPr="009C700F">
                  <w:rPr>
                    <w:rStyle w:val="Hyperlink"/>
                    <w:rFonts w:ascii="Cambria" w:hAnsi="Cambria"/>
                    <w:noProof/>
                  </w:rPr>
                  <w:t>A.10 Assurance of Confidentiality</w:t>
                </w:r>
                <w:r w:rsidR="00EC0AAE">
                  <w:rPr>
                    <w:noProof/>
                    <w:webHidden/>
                  </w:rPr>
                  <w:tab/>
                </w:r>
                <w:r w:rsidR="00EC0AAE">
                  <w:rPr>
                    <w:noProof/>
                    <w:webHidden/>
                  </w:rPr>
                  <w:fldChar w:fldCharType="begin"/>
                </w:r>
                <w:r w:rsidR="00EC0AAE">
                  <w:rPr>
                    <w:noProof/>
                    <w:webHidden/>
                  </w:rPr>
                  <w:instrText xml:space="preserve"> PAGEREF _Toc521406228 \h </w:instrText>
                </w:r>
                <w:r w:rsidR="00EC0AAE">
                  <w:rPr>
                    <w:noProof/>
                    <w:webHidden/>
                  </w:rPr>
                </w:r>
                <w:r w:rsidR="00EC0AAE">
                  <w:rPr>
                    <w:noProof/>
                    <w:webHidden/>
                  </w:rPr>
                  <w:fldChar w:fldCharType="separate"/>
                </w:r>
                <w:r w:rsidR="00E65B0E">
                  <w:rPr>
                    <w:noProof/>
                    <w:webHidden/>
                  </w:rPr>
                  <w:t>14</w:t>
                </w:r>
                <w:r w:rsidR="00EC0AAE">
                  <w:rPr>
                    <w:noProof/>
                    <w:webHidden/>
                  </w:rPr>
                  <w:fldChar w:fldCharType="end"/>
                </w:r>
              </w:hyperlink>
            </w:p>
            <w:p w14:paraId="2F436957" w14:textId="77777777" w:rsidR="00EC0AAE" w:rsidRDefault="00285A6A">
              <w:pPr>
                <w:pStyle w:val="TOC2"/>
                <w:tabs>
                  <w:tab w:val="right" w:leader="dot" w:pos="10502"/>
                </w:tabs>
                <w:rPr>
                  <w:rFonts w:asciiTheme="minorHAnsi" w:eastAsiaTheme="minorEastAsia" w:hAnsiTheme="minorHAnsi" w:cstheme="minorBidi"/>
                  <w:noProof/>
                </w:rPr>
              </w:pPr>
              <w:hyperlink w:anchor="_Toc521406229" w:history="1">
                <w:r w:rsidR="00EC0AAE" w:rsidRPr="009C700F">
                  <w:rPr>
                    <w:rStyle w:val="Hyperlink"/>
                    <w:rFonts w:ascii="Cambria" w:hAnsi="Cambria"/>
                    <w:noProof/>
                  </w:rPr>
                  <w:t>A.11 Sensitive Questions</w:t>
                </w:r>
                <w:r w:rsidR="00EC0AAE">
                  <w:rPr>
                    <w:noProof/>
                    <w:webHidden/>
                  </w:rPr>
                  <w:tab/>
                </w:r>
                <w:r w:rsidR="00EC0AAE">
                  <w:rPr>
                    <w:noProof/>
                    <w:webHidden/>
                  </w:rPr>
                  <w:fldChar w:fldCharType="begin"/>
                </w:r>
                <w:r w:rsidR="00EC0AAE">
                  <w:rPr>
                    <w:noProof/>
                    <w:webHidden/>
                  </w:rPr>
                  <w:instrText xml:space="preserve"> PAGEREF _Toc521406229 \h </w:instrText>
                </w:r>
                <w:r w:rsidR="00EC0AAE">
                  <w:rPr>
                    <w:noProof/>
                    <w:webHidden/>
                  </w:rPr>
                </w:r>
                <w:r w:rsidR="00EC0AAE">
                  <w:rPr>
                    <w:noProof/>
                    <w:webHidden/>
                  </w:rPr>
                  <w:fldChar w:fldCharType="separate"/>
                </w:r>
                <w:r w:rsidR="00E65B0E">
                  <w:rPr>
                    <w:noProof/>
                    <w:webHidden/>
                  </w:rPr>
                  <w:t>17</w:t>
                </w:r>
                <w:r w:rsidR="00EC0AAE">
                  <w:rPr>
                    <w:noProof/>
                    <w:webHidden/>
                  </w:rPr>
                  <w:fldChar w:fldCharType="end"/>
                </w:r>
              </w:hyperlink>
            </w:p>
            <w:p w14:paraId="482CFBA2" w14:textId="77777777" w:rsidR="00EC0AAE" w:rsidRDefault="00285A6A">
              <w:pPr>
                <w:pStyle w:val="TOC2"/>
                <w:tabs>
                  <w:tab w:val="right" w:leader="dot" w:pos="10502"/>
                </w:tabs>
                <w:rPr>
                  <w:rFonts w:asciiTheme="minorHAnsi" w:eastAsiaTheme="minorEastAsia" w:hAnsiTheme="minorHAnsi" w:cstheme="minorBidi"/>
                  <w:noProof/>
                </w:rPr>
              </w:pPr>
              <w:hyperlink w:anchor="_Toc521406230" w:history="1">
                <w:r w:rsidR="00EC0AAE" w:rsidRPr="009C700F">
                  <w:rPr>
                    <w:rStyle w:val="Hyperlink"/>
                    <w:rFonts w:ascii="Cambria" w:hAnsi="Cambria"/>
                    <w:noProof/>
                  </w:rPr>
                  <w:t>A.12 Estimates of Burden</w:t>
                </w:r>
                <w:r w:rsidR="00EC0AAE">
                  <w:rPr>
                    <w:noProof/>
                    <w:webHidden/>
                  </w:rPr>
                  <w:tab/>
                </w:r>
                <w:r w:rsidR="00EC0AAE">
                  <w:rPr>
                    <w:noProof/>
                    <w:webHidden/>
                  </w:rPr>
                  <w:fldChar w:fldCharType="begin"/>
                </w:r>
                <w:r w:rsidR="00EC0AAE">
                  <w:rPr>
                    <w:noProof/>
                    <w:webHidden/>
                  </w:rPr>
                  <w:instrText xml:space="preserve"> PAGEREF _Toc521406230 \h </w:instrText>
                </w:r>
                <w:r w:rsidR="00EC0AAE">
                  <w:rPr>
                    <w:noProof/>
                    <w:webHidden/>
                  </w:rPr>
                </w:r>
                <w:r w:rsidR="00EC0AAE">
                  <w:rPr>
                    <w:noProof/>
                    <w:webHidden/>
                  </w:rPr>
                  <w:fldChar w:fldCharType="separate"/>
                </w:r>
                <w:r w:rsidR="00E65B0E">
                  <w:rPr>
                    <w:noProof/>
                    <w:webHidden/>
                  </w:rPr>
                  <w:t>18</w:t>
                </w:r>
                <w:r w:rsidR="00EC0AAE">
                  <w:rPr>
                    <w:noProof/>
                    <w:webHidden/>
                  </w:rPr>
                  <w:fldChar w:fldCharType="end"/>
                </w:r>
              </w:hyperlink>
            </w:p>
            <w:p w14:paraId="00BE4534" w14:textId="77777777" w:rsidR="00EC0AAE" w:rsidRDefault="00285A6A">
              <w:pPr>
                <w:pStyle w:val="TOC2"/>
                <w:tabs>
                  <w:tab w:val="right" w:leader="dot" w:pos="10502"/>
                </w:tabs>
                <w:rPr>
                  <w:rFonts w:asciiTheme="minorHAnsi" w:eastAsiaTheme="minorEastAsia" w:hAnsiTheme="minorHAnsi" w:cstheme="minorBidi"/>
                  <w:noProof/>
                </w:rPr>
              </w:pPr>
              <w:hyperlink w:anchor="_Toc521406231" w:history="1">
                <w:r w:rsidR="00EC0AAE" w:rsidRPr="009C700F">
                  <w:rPr>
                    <w:rStyle w:val="Hyperlink"/>
                    <w:rFonts w:ascii="Cambria" w:hAnsi="Cambria"/>
                    <w:noProof/>
                  </w:rPr>
                  <w:t>A.13 Total Annual Cost Burden</w:t>
                </w:r>
                <w:r w:rsidR="00EC0AAE">
                  <w:rPr>
                    <w:noProof/>
                    <w:webHidden/>
                  </w:rPr>
                  <w:tab/>
                </w:r>
                <w:r w:rsidR="00EC0AAE">
                  <w:rPr>
                    <w:noProof/>
                    <w:webHidden/>
                  </w:rPr>
                  <w:fldChar w:fldCharType="begin"/>
                </w:r>
                <w:r w:rsidR="00EC0AAE">
                  <w:rPr>
                    <w:noProof/>
                    <w:webHidden/>
                  </w:rPr>
                  <w:instrText xml:space="preserve"> PAGEREF _Toc521406231 \h </w:instrText>
                </w:r>
                <w:r w:rsidR="00EC0AAE">
                  <w:rPr>
                    <w:noProof/>
                    <w:webHidden/>
                  </w:rPr>
                </w:r>
                <w:r w:rsidR="00EC0AAE">
                  <w:rPr>
                    <w:noProof/>
                    <w:webHidden/>
                  </w:rPr>
                  <w:fldChar w:fldCharType="separate"/>
                </w:r>
                <w:r w:rsidR="00E65B0E">
                  <w:rPr>
                    <w:noProof/>
                    <w:webHidden/>
                  </w:rPr>
                  <w:t>22</w:t>
                </w:r>
                <w:r w:rsidR="00EC0AAE">
                  <w:rPr>
                    <w:noProof/>
                    <w:webHidden/>
                  </w:rPr>
                  <w:fldChar w:fldCharType="end"/>
                </w:r>
              </w:hyperlink>
            </w:p>
            <w:p w14:paraId="1E719D15" w14:textId="77777777" w:rsidR="00EC0AAE" w:rsidRDefault="00285A6A">
              <w:pPr>
                <w:pStyle w:val="TOC2"/>
                <w:tabs>
                  <w:tab w:val="right" w:leader="dot" w:pos="10502"/>
                </w:tabs>
                <w:rPr>
                  <w:rFonts w:asciiTheme="minorHAnsi" w:eastAsiaTheme="minorEastAsia" w:hAnsiTheme="minorHAnsi" w:cstheme="minorBidi"/>
                  <w:noProof/>
                </w:rPr>
              </w:pPr>
              <w:hyperlink w:anchor="_Toc521406232" w:history="1">
                <w:r w:rsidR="00EC0AAE" w:rsidRPr="009C700F">
                  <w:rPr>
                    <w:rStyle w:val="Hyperlink"/>
                    <w:rFonts w:ascii="Cambria" w:hAnsi="Cambria"/>
                    <w:noProof/>
                  </w:rPr>
                  <w:t>A.14 Annualized Cost to Federal Government</w:t>
                </w:r>
                <w:r w:rsidR="00EC0AAE">
                  <w:rPr>
                    <w:noProof/>
                    <w:webHidden/>
                  </w:rPr>
                  <w:tab/>
                </w:r>
                <w:r w:rsidR="00EC0AAE">
                  <w:rPr>
                    <w:noProof/>
                    <w:webHidden/>
                  </w:rPr>
                  <w:fldChar w:fldCharType="begin"/>
                </w:r>
                <w:r w:rsidR="00EC0AAE">
                  <w:rPr>
                    <w:noProof/>
                    <w:webHidden/>
                  </w:rPr>
                  <w:instrText xml:space="preserve"> PAGEREF _Toc521406232 \h </w:instrText>
                </w:r>
                <w:r w:rsidR="00EC0AAE">
                  <w:rPr>
                    <w:noProof/>
                    <w:webHidden/>
                  </w:rPr>
                </w:r>
                <w:r w:rsidR="00EC0AAE">
                  <w:rPr>
                    <w:noProof/>
                    <w:webHidden/>
                  </w:rPr>
                  <w:fldChar w:fldCharType="separate"/>
                </w:r>
                <w:r w:rsidR="00E65B0E">
                  <w:rPr>
                    <w:noProof/>
                    <w:webHidden/>
                  </w:rPr>
                  <w:t>22</w:t>
                </w:r>
                <w:r w:rsidR="00EC0AAE">
                  <w:rPr>
                    <w:noProof/>
                    <w:webHidden/>
                  </w:rPr>
                  <w:fldChar w:fldCharType="end"/>
                </w:r>
              </w:hyperlink>
            </w:p>
            <w:p w14:paraId="07A3E329" w14:textId="77777777" w:rsidR="00EC0AAE" w:rsidRDefault="00285A6A">
              <w:pPr>
                <w:pStyle w:val="TOC2"/>
                <w:tabs>
                  <w:tab w:val="right" w:leader="dot" w:pos="10502"/>
                </w:tabs>
                <w:rPr>
                  <w:rFonts w:asciiTheme="minorHAnsi" w:eastAsiaTheme="minorEastAsia" w:hAnsiTheme="minorHAnsi" w:cstheme="minorBidi"/>
                  <w:noProof/>
                </w:rPr>
              </w:pPr>
              <w:hyperlink w:anchor="_Toc521406233" w:history="1">
                <w:r w:rsidR="00EC0AAE" w:rsidRPr="009C700F">
                  <w:rPr>
                    <w:rStyle w:val="Hyperlink"/>
                    <w:rFonts w:ascii="Cambria" w:hAnsi="Cambria"/>
                    <w:noProof/>
                  </w:rPr>
                  <w:t>A.15 Program Changes or Adjustments</w:t>
                </w:r>
                <w:r w:rsidR="00EC0AAE">
                  <w:rPr>
                    <w:noProof/>
                    <w:webHidden/>
                  </w:rPr>
                  <w:tab/>
                </w:r>
                <w:r w:rsidR="00EC0AAE">
                  <w:rPr>
                    <w:noProof/>
                    <w:webHidden/>
                  </w:rPr>
                  <w:fldChar w:fldCharType="begin"/>
                </w:r>
                <w:r w:rsidR="00EC0AAE">
                  <w:rPr>
                    <w:noProof/>
                    <w:webHidden/>
                  </w:rPr>
                  <w:instrText xml:space="preserve"> PAGEREF _Toc521406233 \h </w:instrText>
                </w:r>
                <w:r w:rsidR="00EC0AAE">
                  <w:rPr>
                    <w:noProof/>
                    <w:webHidden/>
                  </w:rPr>
                </w:r>
                <w:r w:rsidR="00EC0AAE">
                  <w:rPr>
                    <w:noProof/>
                    <w:webHidden/>
                  </w:rPr>
                  <w:fldChar w:fldCharType="separate"/>
                </w:r>
                <w:r w:rsidR="00E65B0E">
                  <w:rPr>
                    <w:noProof/>
                    <w:webHidden/>
                  </w:rPr>
                  <w:t>22</w:t>
                </w:r>
                <w:r w:rsidR="00EC0AAE">
                  <w:rPr>
                    <w:noProof/>
                    <w:webHidden/>
                  </w:rPr>
                  <w:fldChar w:fldCharType="end"/>
                </w:r>
              </w:hyperlink>
            </w:p>
            <w:p w14:paraId="354E412C" w14:textId="77777777" w:rsidR="00EC0AAE" w:rsidRDefault="00285A6A">
              <w:pPr>
                <w:pStyle w:val="TOC2"/>
                <w:tabs>
                  <w:tab w:val="right" w:leader="dot" w:pos="10502"/>
                </w:tabs>
                <w:rPr>
                  <w:rFonts w:asciiTheme="minorHAnsi" w:eastAsiaTheme="minorEastAsia" w:hAnsiTheme="minorHAnsi" w:cstheme="minorBidi"/>
                  <w:noProof/>
                </w:rPr>
              </w:pPr>
              <w:hyperlink w:anchor="_Toc521406234" w:history="1">
                <w:r w:rsidR="00EC0AAE" w:rsidRPr="009C700F">
                  <w:rPr>
                    <w:rStyle w:val="Hyperlink"/>
                    <w:rFonts w:ascii="Cambria" w:hAnsi="Cambria"/>
                    <w:noProof/>
                  </w:rPr>
                  <w:t>A.16 Plans for Tabulation and Publication</w:t>
                </w:r>
                <w:r w:rsidR="00EC0AAE">
                  <w:rPr>
                    <w:noProof/>
                    <w:webHidden/>
                  </w:rPr>
                  <w:tab/>
                </w:r>
                <w:r w:rsidR="00EC0AAE">
                  <w:rPr>
                    <w:noProof/>
                    <w:webHidden/>
                  </w:rPr>
                  <w:fldChar w:fldCharType="begin"/>
                </w:r>
                <w:r w:rsidR="00EC0AAE">
                  <w:rPr>
                    <w:noProof/>
                    <w:webHidden/>
                  </w:rPr>
                  <w:instrText xml:space="preserve"> PAGEREF _Toc521406234 \h </w:instrText>
                </w:r>
                <w:r w:rsidR="00EC0AAE">
                  <w:rPr>
                    <w:noProof/>
                    <w:webHidden/>
                  </w:rPr>
                </w:r>
                <w:r w:rsidR="00EC0AAE">
                  <w:rPr>
                    <w:noProof/>
                    <w:webHidden/>
                  </w:rPr>
                  <w:fldChar w:fldCharType="separate"/>
                </w:r>
                <w:r w:rsidR="00E65B0E">
                  <w:rPr>
                    <w:noProof/>
                    <w:webHidden/>
                  </w:rPr>
                  <w:t>22</w:t>
                </w:r>
                <w:r w:rsidR="00EC0AAE">
                  <w:rPr>
                    <w:noProof/>
                    <w:webHidden/>
                  </w:rPr>
                  <w:fldChar w:fldCharType="end"/>
                </w:r>
              </w:hyperlink>
            </w:p>
            <w:p w14:paraId="162709B2" w14:textId="77777777" w:rsidR="00EC0AAE" w:rsidRDefault="00285A6A">
              <w:pPr>
                <w:pStyle w:val="TOC2"/>
                <w:tabs>
                  <w:tab w:val="right" w:leader="dot" w:pos="10502"/>
                </w:tabs>
                <w:rPr>
                  <w:rFonts w:asciiTheme="minorHAnsi" w:eastAsiaTheme="minorEastAsia" w:hAnsiTheme="minorHAnsi" w:cstheme="minorBidi"/>
                  <w:noProof/>
                </w:rPr>
              </w:pPr>
              <w:hyperlink w:anchor="_Toc521406235" w:history="1">
                <w:r w:rsidR="00EC0AAE" w:rsidRPr="009C700F">
                  <w:rPr>
                    <w:rStyle w:val="Hyperlink"/>
                    <w:rFonts w:ascii="Cambria" w:hAnsi="Cambria"/>
                    <w:noProof/>
                  </w:rPr>
                  <w:t>A.17 Display OMB Expiration Date</w:t>
                </w:r>
                <w:r w:rsidR="00EC0AAE">
                  <w:rPr>
                    <w:noProof/>
                    <w:webHidden/>
                  </w:rPr>
                  <w:tab/>
                </w:r>
                <w:r w:rsidR="00EC0AAE">
                  <w:rPr>
                    <w:noProof/>
                    <w:webHidden/>
                  </w:rPr>
                  <w:fldChar w:fldCharType="begin"/>
                </w:r>
                <w:r w:rsidR="00EC0AAE">
                  <w:rPr>
                    <w:noProof/>
                    <w:webHidden/>
                  </w:rPr>
                  <w:instrText xml:space="preserve"> PAGEREF _Toc521406235 \h </w:instrText>
                </w:r>
                <w:r w:rsidR="00EC0AAE">
                  <w:rPr>
                    <w:noProof/>
                    <w:webHidden/>
                  </w:rPr>
                </w:r>
                <w:r w:rsidR="00EC0AAE">
                  <w:rPr>
                    <w:noProof/>
                    <w:webHidden/>
                  </w:rPr>
                  <w:fldChar w:fldCharType="separate"/>
                </w:r>
                <w:r w:rsidR="00E65B0E">
                  <w:rPr>
                    <w:noProof/>
                    <w:webHidden/>
                  </w:rPr>
                  <w:t>23</w:t>
                </w:r>
                <w:r w:rsidR="00EC0AAE">
                  <w:rPr>
                    <w:noProof/>
                    <w:webHidden/>
                  </w:rPr>
                  <w:fldChar w:fldCharType="end"/>
                </w:r>
              </w:hyperlink>
            </w:p>
            <w:p w14:paraId="72AB9F2E" w14:textId="77777777" w:rsidR="00EC0AAE" w:rsidRDefault="00285A6A">
              <w:pPr>
                <w:pStyle w:val="TOC2"/>
                <w:tabs>
                  <w:tab w:val="right" w:leader="dot" w:pos="10502"/>
                </w:tabs>
                <w:rPr>
                  <w:rFonts w:asciiTheme="minorHAnsi" w:eastAsiaTheme="minorEastAsia" w:hAnsiTheme="minorHAnsi" w:cstheme="minorBidi"/>
                  <w:noProof/>
                </w:rPr>
              </w:pPr>
              <w:hyperlink w:anchor="_Toc521406236" w:history="1">
                <w:r w:rsidR="00EC0AAE" w:rsidRPr="009C700F">
                  <w:rPr>
                    <w:rStyle w:val="Hyperlink"/>
                    <w:rFonts w:ascii="Cambria" w:hAnsi="Cambria"/>
                    <w:noProof/>
                  </w:rPr>
                  <w:t>A.18 Exceptions to Certification Statement</w:t>
                </w:r>
                <w:r w:rsidR="00EC0AAE">
                  <w:rPr>
                    <w:noProof/>
                    <w:webHidden/>
                  </w:rPr>
                  <w:tab/>
                </w:r>
                <w:r w:rsidR="00EC0AAE">
                  <w:rPr>
                    <w:noProof/>
                    <w:webHidden/>
                  </w:rPr>
                  <w:fldChar w:fldCharType="begin"/>
                </w:r>
                <w:r w:rsidR="00EC0AAE">
                  <w:rPr>
                    <w:noProof/>
                    <w:webHidden/>
                  </w:rPr>
                  <w:instrText xml:space="preserve"> PAGEREF _Toc521406236 \h </w:instrText>
                </w:r>
                <w:r w:rsidR="00EC0AAE">
                  <w:rPr>
                    <w:noProof/>
                    <w:webHidden/>
                  </w:rPr>
                </w:r>
                <w:r w:rsidR="00EC0AAE">
                  <w:rPr>
                    <w:noProof/>
                    <w:webHidden/>
                  </w:rPr>
                  <w:fldChar w:fldCharType="separate"/>
                </w:r>
                <w:r w:rsidR="00E65B0E">
                  <w:rPr>
                    <w:noProof/>
                    <w:webHidden/>
                  </w:rPr>
                  <w:t>23</w:t>
                </w:r>
                <w:r w:rsidR="00EC0AAE">
                  <w:rPr>
                    <w:noProof/>
                    <w:webHidden/>
                  </w:rPr>
                  <w:fldChar w:fldCharType="end"/>
                </w:r>
              </w:hyperlink>
            </w:p>
            <w:p w14:paraId="153D659C" w14:textId="77777777"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6F6FE1B1" w14:textId="77777777" w:rsidR="00B427AD" w:rsidRPr="00BA441F" w:rsidRDefault="00B427AD" w:rsidP="00B427AD">
      <w:pPr>
        <w:rPr>
          <w:rFonts w:ascii="Cambria" w:hAnsi="Cambria"/>
        </w:rPr>
        <w:sectPr w:rsidR="00B427AD" w:rsidRPr="00BA441F" w:rsidSect="004C5699">
          <w:footerReference w:type="default" r:id="rId9"/>
          <w:footerReference w:type="first" r:id="rId10"/>
          <w:pgSz w:w="12240" w:h="15840" w:code="1"/>
          <w:pgMar w:top="864" w:right="864" w:bottom="720" w:left="864" w:header="432" w:footer="288" w:gutter="0"/>
          <w:pgNumType w:start="0"/>
          <w:cols w:space="720"/>
          <w:titlePg/>
          <w:docGrid w:linePitch="360"/>
        </w:sectPr>
      </w:pPr>
    </w:p>
    <w:p w14:paraId="32324334" w14:textId="77777777"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521406217"/>
      <w:r w:rsidRPr="00BA441F">
        <w:rPr>
          <w:rFonts w:ascii="Cambria" w:hAnsi="Cambria"/>
        </w:rPr>
        <w:t>Preface</w:t>
      </w:r>
      <w:bookmarkEnd w:id="1"/>
      <w:bookmarkEnd w:id="2"/>
    </w:p>
    <w:p w14:paraId="4D48FE20" w14:textId="77777777" w:rsidR="00EB024D" w:rsidRDefault="00B427AD" w:rsidP="00ED5AE8">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BA441F">
        <w:rPr>
          <w:rFonts w:ascii="Cambria" w:hAnsi="Cambria"/>
        </w:rPr>
        <w:t xml:space="preserve">In preparation for the </w:t>
      </w:r>
      <w:r w:rsidR="00D675D8">
        <w:rPr>
          <w:rFonts w:ascii="Cambria" w:hAnsi="Cambria"/>
        </w:rPr>
        <w:t xml:space="preserve">national data collection, referred to as the </w:t>
      </w:r>
      <w:r w:rsidR="00D675D8" w:rsidRPr="00BA441F">
        <w:rPr>
          <w:rFonts w:ascii="Cambria" w:hAnsi="Cambria"/>
        </w:rPr>
        <w:t>Main Study</w:t>
      </w:r>
      <w:r w:rsidR="00E341A7">
        <w:rPr>
          <w:rFonts w:ascii="Cambria" w:hAnsi="Cambria"/>
        </w:rPr>
        <w:t xml:space="preserve"> (MS)</w:t>
      </w:r>
      <w:r w:rsidR="00D675D8" w:rsidRPr="00BA441F">
        <w:rPr>
          <w:rFonts w:ascii="Cambria" w:hAnsi="Cambria"/>
        </w:rPr>
        <w:t xml:space="preserve">, the data collection instruments and procedures </w:t>
      </w:r>
      <w:r w:rsidR="00D675D8">
        <w:rPr>
          <w:rFonts w:ascii="Cambria" w:hAnsi="Cambria"/>
        </w:rPr>
        <w:t xml:space="preserve">were </w:t>
      </w:r>
      <w:r w:rsidR="00D675D8" w:rsidRPr="00BA441F">
        <w:rPr>
          <w:rFonts w:ascii="Cambria" w:hAnsi="Cambria"/>
        </w:rPr>
        <w:t>field tested.</w:t>
      </w:r>
    </w:p>
    <w:p w14:paraId="1F1AF767" w14:textId="77777777" w:rsidR="00991419" w:rsidRDefault="00243F9E" w:rsidP="00243F9E">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w:t>
      </w:r>
      <w:r w:rsidR="00395A43">
        <w:rPr>
          <w:rFonts w:ascii="Cambria" w:hAnsi="Cambria"/>
        </w:rPr>
        <w:t xml:space="preserve">from </w:t>
      </w:r>
      <w:r w:rsidR="00395A43" w:rsidRPr="00395A43">
        <w:rPr>
          <w:rFonts w:ascii="Cambria" w:hAnsi="Cambria"/>
        </w:rPr>
        <w:t xml:space="preserve">January through May 2016 </w:t>
      </w:r>
      <w:r>
        <w:rPr>
          <w:rFonts w:ascii="Cambria" w:hAnsi="Cambria"/>
        </w:rPr>
        <w:t xml:space="preserve">(OMB# 1850-0911 v. 3-5,7-9)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w:t>
      </w:r>
      <w:r>
        <w:rPr>
          <w:rFonts w:ascii="Cambria" w:hAnsi="Cambria"/>
        </w:rPr>
        <w:t>could</w:t>
      </w:r>
      <w:r w:rsidRPr="00BA441F">
        <w:rPr>
          <w:rFonts w:ascii="Cambria" w:hAnsi="Cambria"/>
        </w:rPr>
        <w:t xml:space="preserve"> be </w:t>
      </w:r>
      <w:r w:rsidR="00395A43" w:rsidRPr="00395A43">
        <w:rPr>
          <w:rFonts w:ascii="Cambria" w:hAnsi="Cambria"/>
        </w:rPr>
        <w:t xml:space="preserve">developed </w:t>
      </w:r>
      <w:r w:rsidRPr="00BA441F">
        <w:rPr>
          <w:rFonts w:ascii="Cambria" w:hAnsi="Cambria"/>
        </w:rPr>
        <w:t>for the Main Study.</w:t>
      </w:r>
      <w:r w:rsidRPr="00ED5AE8">
        <w:rPr>
          <w:rFonts w:ascii="Cambria" w:hAnsi="Cambria"/>
        </w:rPr>
        <w:t xml:space="preserve"> </w:t>
      </w:r>
      <w:r w:rsidRPr="00BA441F">
        <w:rPr>
          <w:rFonts w:ascii="Cambria" w:hAnsi="Cambria"/>
        </w:rPr>
        <w:t xml:space="preserve">The MGLS:2017 </w:t>
      </w:r>
      <w:r>
        <w:rPr>
          <w:rFonts w:ascii="Cambria" w:hAnsi="Cambria"/>
        </w:rPr>
        <w:t xml:space="preserve">Operational Field Test (OFT) Base Year (OFT1) </w:t>
      </w:r>
      <w:r w:rsidRPr="00BA441F">
        <w:rPr>
          <w:rFonts w:ascii="Cambria" w:hAnsi="Cambria"/>
        </w:rPr>
        <w:t xml:space="preserve">data collection </w:t>
      </w:r>
      <w:r>
        <w:rPr>
          <w:rFonts w:ascii="Cambria" w:hAnsi="Cambria"/>
        </w:rPr>
        <w:t xml:space="preserve">was conducted </w:t>
      </w:r>
      <w:r w:rsidR="000E62BF" w:rsidRPr="000E62BF">
        <w:rPr>
          <w:rFonts w:ascii="Cambria" w:hAnsi="Cambria"/>
        </w:rPr>
        <w:t xml:space="preserve">from January through May 2017 </w:t>
      </w:r>
      <w:r>
        <w:rPr>
          <w:rFonts w:ascii="Cambria" w:hAnsi="Cambria"/>
        </w:rPr>
        <w:t>(OMB# 1850-0911 v. 6,10-14)</w:t>
      </w:r>
      <w:r w:rsidR="00A05948">
        <w:rPr>
          <w:rFonts w:ascii="Cambria" w:hAnsi="Cambria"/>
        </w:rPr>
        <w:t xml:space="preserve"> </w:t>
      </w:r>
      <w:r w:rsidR="00A05948" w:rsidRPr="00A05948">
        <w:rPr>
          <w:rFonts w:ascii="Cambria" w:hAnsi="Cambria"/>
        </w:rPr>
        <w:t>to test the near-final instruments and recruitment and data collection procedures and materials in preparation for the MGLS:2017 Main Study Base Year (MS1)</w:t>
      </w:r>
      <w:r w:rsidRPr="00BA441F">
        <w:rPr>
          <w:rFonts w:ascii="Cambria" w:hAnsi="Cambria"/>
        </w:rPr>
        <w:t>.</w:t>
      </w:r>
      <w:r>
        <w:rPr>
          <w:rFonts w:ascii="Cambria" w:hAnsi="Cambria"/>
        </w:rPr>
        <w:t xml:space="preserve"> </w:t>
      </w:r>
      <w:r w:rsidRPr="00BA441F">
        <w:rPr>
          <w:rFonts w:ascii="Cambria" w:hAnsi="Cambria"/>
        </w:rPr>
        <w:t xml:space="preserve">Tracking of students and associated recruitment of schools for the OFT </w:t>
      </w:r>
      <w:r>
        <w:rPr>
          <w:rFonts w:ascii="Cambria" w:hAnsi="Cambria"/>
        </w:rPr>
        <w:t>F</w:t>
      </w:r>
      <w:r w:rsidRPr="00BA441F">
        <w:rPr>
          <w:rFonts w:ascii="Cambria" w:hAnsi="Cambria"/>
        </w:rPr>
        <w:t xml:space="preserve">irst </w:t>
      </w:r>
      <w:r>
        <w:rPr>
          <w:rFonts w:ascii="Cambria" w:hAnsi="Cambria"/>
        </w:rPr>
        <w:t>F</w:t>
      </w:r>
      <w:r w:rsidRPr="00BA441F">
        <w:rPr>
          <w:rFonts w:ascii="Cambria" w:hAnsi="Cambria"/>
        </w:rPr>
        <w:t xml:space="preserve">ollow-up </w:t>
      </w:r>
      <w:r>
        <w:rPr>
          <w:rFonts w:ascii="Cambria" w:hAnsi="Cambria"/>
        </w:rPr>
        <w:t xml:space="preserve">(OFT2) </w:t>
      </w:r>
      <w:r w:rsidRPr="00BA441F">
        <w:rPr>
          <w:rFonts w:ascii="Cambria" w:hAnsi="Cambria"/>
        </w:rPr>
        <w:t xml:space="preserve">data collection </w:t>
      </w:r>
      <w:r w:rsidR="00C8733B">
        <w:rPr>
          <w:rFonts w:ascii="Cambria" w:hAnsi="Cambria"/>
        </w:rPr>
        <w:t>began</w:t>
      </w:r>
      <w:r w:rsidRPr="00BA441F">
        <w:rPr>
          <w:rFonts w:ascii="Cambria" w:hAnsi="Cambria"/>
        </w:rPr>
        <w:t xml:space="preserve"> in </w:t>
      </w:r>
      <w:r w:rsidR="00E341A7">
        <w:rPr>
          <w:rFonts w:ascii="Cambria" w:hAnsi="Cambria"/>
        </w:rPr>
        <w:t>August</w:t>
      </w:r>
      <w:r w:rsidRPr="00BA441F">
        <w:rPr>
          <w:rFonts w:ascii="Cambria" w:hAnsi="Cambria"/>
        </w:rPr>
        <w:t xml:space="preserve"> 2017.</w:t>
      </w:r>
      <w:r>
        <w:rPr>
          <w:rFonts w:ascii="Cambria" w:hAnsi="Cambria"/>
        </w:rPr>
        <w:t xml:space="preserve"> </w:t>
      </w:r>
      <w:r w:rsidR="00DC7E30">
        <w:rPr>
          <w:rFonts w:ascii="Cambria" w:hAnsi="Cambria"/>
        </w:rPr>
        <w:t xml:space="preserve">The primary purpose of </w:t>
      </w:r>
      <w:r w:rsidR="00640E7F">
        <w:rPr>
          <w:rFonts w:ascii="Cambria" w:hAnsi="Cambria"/>
        </w:rPr>
        <w:t>OFT</w:t>
      </w:r>
      <w:r w:rsidR="00DC7E30">
        <w:rPr>
          <w:rFonts w:ascii="Cambria" w:hAnsi="Cambria"/>
        </w:rPr>
        <w:t xml:space="preserve">2 </w:t>
      </w:r>
      <w:r w:rsidR="00F804A7">
        <w:rPr>
          <w:rFonts w:ascii="Cambria" w:hAnsi="Cambria"/>
        </w:rPr>
        <w:t>wa</w:t>
      </w:r>
      <w:r w:rsidR="003B5A63">
        <w:rPr>
          <w:rFonts w:ascii="Cambria" w:hAnsi="Cambria"/>
        </w:rPr>
        <w:t>s</w:t>
      </w:r>
      <w:r w:rsidRPr="00BA441F">
        <w:rPr>
          <w:rFonts w:ascii="Cambria" w:hAnsi="Cambria"/>
        </w:rPr>
        <w:t xml:space="preserve">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w:t>
      </w:r>
      <w:r>
        <w:rPr>
          <w:rFonts w:ascii="Cambria" w:hAnsi="Cambria"/>
        </w:rPr>
        <w:t>, items,</w:t>
      </w:r>
      <w:r w:rsidRPr="00BA441F">
        <w:rPr>
          <w:rFonts w:ascii="Cambria" w:hAnsi="Cambria"/>
        </w:rPr>
        <w:t xml:space="preserve"> and administrative procedures.</w:t>
      </w:r>
      <w:r w:rsidR="00E341A7">
        <w:rPr>
          <w:rFonts w:ascii="Cambria" w:hAnsi="Cambria"/>
        </w:rPr>
        <w:t xml:space="preserve"> The MS1 district and school recruitment began in February 2017. The MS1 and OFT2 data collections </w:t>
      </w:r>
      <w:r w:rsidR="00097D64">
        <w:rPr>
          <w:rFonts w:ascii="Cambria" w:hAnsi="Cambria"/>
        </w:rPr>
        <w:t>took place</w:t>
      </w:r>
      <w:r w:rsidR="00E341A7">
        <w:rPr>
          <w:rFonts w:ascii="Cambria" w:hAnsi="Cambria"/>
        </w:rPr>
        <w:t xml:space="preserve"> </w:t>
      </w:r>
      <w:r w:rsidR="00097D64">
        <w:rPr>
          <w:rFonts w:ascii="Cambria" w:hAnsi="Cambria"/>
        </w:rPr>
        <w:t>from</w:t>
      </w:r>
      <w:r w:rsidR="00E341A7">
        <w:rPr>
          <w:rFonts w:ascii="Cambria" w:hAnsi="Cambria"/>
        </w:rPr>
        <w:t xml:space="preserve"> January</w:t>
      </w:r>
      <w:r w:rsidR="009813FE">
        <w:rPr>
          <w:rFonts w:ascii="Cambria" w:hAnsi="Cambria"/>
        </w:rPr>
        <w:t xml:space="preserve"> to </w:t>
      </w:r>
      <w:r w:rsidR="00097D64">
        <w:rPr>
          <w:rFonts w:ascii="Cambria" w:hAnsi="Cambria"/>
        </w:rPr>
        <w:t>July</w:t>
      </w:r>
      <w:r w:rsidR="00E341A7">
        <w:rPr>
          <w:rFonts w:ascii="Cambria" w:hAnsi="Cambria"/>
        </w:rPr>
        <w:t xml:space="preserve"> 2018.</w:t>
      </w:r>
    </w:p>
    <w:p w14:paraId="264D7E33" w14:textId="0D23525A" w:rsidR="00243F9E" w:rsidRDefault="00D0430F" w:rsidP="00243F9E">
      <w:pPr>
        <w:spacing w:after="120" w:line="23" w:lineRule="atLeast"/>
        <w:rPr>
          <w:rFonts w:ascii="Cambria" w:hAnsi="Cambria"/>
        </w:rPr>
      </w:pPr>
      <w:r w:rsidRPr="00D0430F">
        <w:rPr>
          <w:rFonts w:ascii="Cambria" w:hAnsi="Cambria"/>
        </w:rPr>
        <w:t xml:space="preserve">OMB approved the </w:t>
      </w:r>
      <w:r w:rsidRPr="00EB024D">
        <w:rPr>
          <w:rFonts w:ascii="Cambria" w:hAnsi="Cambria"/>
        </w:rPr>
        <w:t xml:space="preserve">MGLS:2017 </w:t>
      </w:r>
      <w:r w:rsidRPr="00D0430F">
        <w:rPr>
          <w:rFonts w:ascii="Cambria" w:hAnsi="Cambria"/>
        </w:rPr>
        <w:t>OFT</w:t>
      </w:r>
      <w:r>
        <w:rPr>
          <w:rFonts w:ascii="Cambria" w:hAnsi="Cambria"/>
        </w:rPr>
        <w:t>1</w:t>
      </w:r>
      <w:r w:rsidRPr="00D0430F">
        <w:rPr>
          <w:rFonts w:ascii="Cambria" w:hAnsi="Cambria"/>
        </w:rPr>
        <w:t xml:space="preserve"> data collection, </w:t>
      </w:r>
      <w:r>
        <w:rPr>
          <w:rFonts w:ascii="Cambria" w:hAnsi="Cambria"/>
        </w:rPr>
        <w:t>MS1</w:t>
      </w:r>
      <w:r w:rsidRPr="00D0430F">
        <w:rPr>
          <w:rFonts w:ascii="Cambria" w:hAnsi="Cambria"/>
        </w:rPr>
        <w:t xml:space="preserve"> recruitment, and OFT</w:t>
      </w:r>
      <w:r>
        <w:rPr>
          <w:rFonts w:ascii="Cambria" w:hAnsi="Cambria"/>
        </w:rPr>
        <w:t xml:space="preserve">2 </w:t>
      </w:r>
      <w:r w:rsidRPr="00D0430F">
        <w:rPr>
          <w:rFonts w:ascii="Cambria" w:hAnsi="Cambria"/>
        </w:rPr>
        <w:t>tracking materials and procedures in December 2016 with</w:t>
      </w:r>
      <w:r w:rsidR="00AE23EA">
        <w:rPr>
          <w:rFonts w:ascii="Cambria" w:hAnsi="Cambria"/>
        </w:rPr>
        <w:t xml:space="preserve"> </w:t>
      </w:r>
      <w:r w:rsidRPr="00D0430F">
        <w:rPr>
          <w:rFonts w:ascii="Cambria" w:hAnsi="Cambria"/>
        </w:rPr>
        <w:t>change request</w:t>
      </w:r>
      <w:r w:rsidR="00CF27F9">
        <w:rPr>
          <w:rFonts w:ascii="Cambria" w:hAnsi="Cambria"/>
        </w:rPr>
        <w:t>s</w:t>
      </w:r>
      <w:r w:rsidRPr="00D0430F">
        <w:rPr>
          <w:rFonts w:ascii="Cambria" w:hAnsi="Cambria"/>
        </w:rPr>
        <w:t xml:space="preserve"> approved </w:t>
      </w:r>
      <w:r w:rsidR="00CF27F9">
        <w:rPr>
          <w:rFonts w:ascii="Cambria" w:hAnsi="Cambria"/>
        </w:rPr>
        <w:t>through</w:t>
      </w:r>
      <w:r w:rsidRPr="00D0430F">
        <w:rPr>
          <w:rFonts w:ascii="Cambria" w:hAnsi="Cambria"/>
        </w:rPr>
        <w:t xml:space="preserve"> </w:t>
      </w:r>
      <w:r>
        <w:rPr>
          <w:rFonts w:ascii="Cambria" w:hAnsi="Cambria"/>
        </w:rPr>
        <w:t>June</w:t>
      </w:r>
      <w:r w:rsidRPr="00D0430F">
        <w:rPr>
          <w:rFonts w:ascii="Cambria" w:hAnsi="Cambria"/>
        </w:rPr>
        <w:t xml:space="preserve"> 2017 (OMB# 1850-0911 v.11-1</w:t>
      </w:r>
      <w:r>
        <w:rPr>
          <w:rFonts w:ascii="Cambria" w:hAnsi="Cambria"/>
        </w:rPr>
        <w:t>5</w:t>
      </w:r>
      <w:r w:rsidRPr="00D0430F">
        <w:rPr>
          <w:rFonts w:ascii="Cambria" w:hAnsi="Cambria"/>
        </w:rPr>
        <w:t>).</w:t>
      </w:r>
      <w:r w:rsidR="00991419">
        <w:rPr>
          <w:rFonts w:ascii="Cambria" w:hAnsi="Cambria"/>
        </w:rPr>
        <w:t xml:space="preserve"> </w:t>
      </w:r>
      <w:r w:rsidR="00AE23EA">
        <w:rPr>
          <w:rFonts w:ascii="Cambria" w:hAnsi="Cambria"/>
        </w:rPr>
        <w:t xml:space="preserve">OMB also approved the MGLS:2017 MS1 </w:t>
      </w:r>
      <w:r w:rsidR="00793B24">
        <w:rPr>
          <w:rFonts w:ascii="Cambria" w:hAnsi="Cambria"/>
        </w:rPr>
        <w:t>and</w:t>
      </w:r>
      <w:r w:rsidR="00AE23EA">
        <w:rPr>
          <w:rFonts w:ascii="Cambria" w:hAnsi="Cambria"/>
        </w:rPr>
        <w:t xml:space="preserve"> OFT1 data collection</w:t>
      </w:r>
      <w:r w:rsidR="00793B24">
        <w:rPr>
          <w:rFonts w:ascii="Cambria" w:hAnsi="Cambria"/>
        </w:rPr>
        <w:t>s</w:t>
      </w:r>
      <w:r w:rsidR="00CF27F9">
        <w:rPr>
          <w:rFonts w:ascii="Cambria" w:hAnsi="Cambria"/>
        </w:rPr>
        <w:t>,</w:t>
      </w:r>
      <w:r w:rsidR="00AE23EA">
        <w:rPr>
          <w:rFonts w:ascii="Cambria" w:hAnsi="Cambria"/>
        </w:rPr>
        <w:t xml:space="preserve"> and MS2 tracking and recruitment in</w:t>
      </w:r>
      <w:r w:rsidR="00742A47">
        <w:rPr>
          <w:rFonts w:ascii="Cambria" w:hAnsi="Cambria"/>
        </w:rPr>
        <w:t xml:space="preserve"> </w:t>
      </w:r>
      <w:r w:rsidR="00793B24">
        <w:rPr>
          <w:rFonts w:ascii="Cambria" w:hAnsi="Cambria"/>
        </w:rPr>
        <w:t>October</w:t>
      </w:r>
      <w:r w:rsidR="00742A47">
        <w:rPr>
          <w:rFonts w:ascii="Cambria" w:hAnsi="Cambria"/>
        </w:rPr>
        <w:t xml:space="preserve"> 2017</w:t>
      </w:r>
      <w:r w:rsidR="004A4515">
        <w:rPr>
          <w:rFonts w:ascii="Cambria" w:hAnsi="Cambria"/>
        </w:rPr>
        <w:t>, with the latest change request approved in April</w:t>
      </w:r>
      <w:r w:rsidR="00742A47">
        <w:rPr>
          <w:rFonts w:ascii="Cambria" w:hAnsi="Cambria"/>
        </w:rPr>
        <w:t xml:space="preserve"> 2018</w:t>
      </w:r>
      <w:r w:rsidR="00AE23EA">
        <w:rPr>
          <w:rFonts w:ascii="Cambria" w:hAnsi="Cambria"/>
        </w:rPr>
        <w:t xml:space="preserve"> </w:t>
      </w:r>
      <w:r w:rsidR="00742A47">
        <w:rPr>
          <w:rFonts w:ascii="Cambria" w:hAnsi="Cambria"/>
        </w:rPr>
        <w:t>(</w:t>
      </w:r>
      <w:r w:rsidR="00742A47" w:rsidRPr="00D0430F">
        <w:rPr>
          <w:rFonts w:ascii="Cambria" w:hAnsi="Cambria"/>
        </w:rPr>
        <w:t xml:space="preserve">OMB# 1850-0911 </w:t>
      </w:r>
      <w:r w:rsidR="00742A47">
        <w:rPr>
          <w:rFonts w:ascii="Cambria" w:hAnsi="Cambria"/>
        </w:rPr>
        <w:t>v. 16-19).</w:t>
      </w:r>
      <w:r w:rsidR="00C362B4">
        <w:rPr>
          <w:rFonts w:ascii="Cambria" w:hAnsi="Cambria"/>
        </w:rPr>
        <w:t xml:space="preserve"> </w:t>
      </w:r>
      <w:r w:rsidR="007614C1" w:rsidRPr="007614C1">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9857E1">
        <w:rPr>
          <w:rFonts w:ascii="Cambria" w:hAnsi="Cambria"/>
        </w:rPr>
        <w:t>However, d</w:t>
      </w:r>
      <w:r w:rsidR="007614C1" w:rsidRPr="007614C1">
        <w:rPr>
          <w:rFonts w:ascii="Cambria" w:hAnsi="Cambria"/>
        </w:rPr>
        <w:t>ue to lower than expected response rates experienced in the sixth grade data collection, this request is to: (</w:t>
      </w:r>
      <w:r w:rsidR="00E61747">
        <w:rPr>
          <w:rFonts w:ascii="Cambria" w:hAnsi="Cambria"/>
        </w:rPr>
        <w:t>1</w:t>
      </w:r>
      <w:r w:rsidR="007614C1" w:rsidRPr="007614C1">
        <w:rPr>
          <w:rFonts w:ascii="Cambria" w:hAnsi="Cambria"/>
        </w:rPr>
        <w:t xml:space="preserve">) schedule the MS2 data collection for January-July 2020 (when most sample students will be in the eighth grade) instead of January-July 2019 (thus dropping the </w:t>
      </w:r>
      <w:r w:rsidR="009857E1">
        <w:rPr>
          <w:rFonts w:ascii="Cambria" w:hAnsi="Cambria"/>
        </w:rPr>
        <w:t xml:space="preserve">originally planned </w:t>
      </w:r>
      <w:r w:rsidR="007614C1" w:rsidRPr="007614C1">
        <w:rPr>
          <w:rFonts w:ascii="Cambria" w:hAnsi="Cambria"/>
        </w:rPr>
        <w:t>seventh grade round of data collection), (</w:t>
      </w:r>
      <w:r w:rsidR="00E61747">
        <w:rPr>
          <w:rFonts w:ascii="Cambria" w:hAnsi="Cambria"/>
        </w:rPr>
        <w:t>2</w:t>
      </w:r>
      <w:r w:rsidR="007614C1" w:rsidRPr="007614C1">
        <w:rPr>
          <w:rFonts w:ascii="Cambria" w:hAnsi="Cambria"/>
        </w:rPr>
        <w:t xml:space="preserve">) </w:t>
      </w:r>
      <w:r w:rsidR="0030639A" w:rsidRPr="0030639A">
        <w:rPr>
          <w:rFonts w:ascii="Cambria" w:hAnsi="Cambria"/>
        </w:rPr>
        <w:t>notify participating districts and schools of this change in data collection schedule</w:t>
      </w:r>
      <w:r w:rsidR="0030639A">
        <w:rPr>
          <w:rFonts w:ascii="Cambria" w:hAnsi="Cambria"/>
        </w:rPr>
        <w:t xml:space="preserve">, (3) </w:t>
      </w:r>
      <w:r w:rsidR="007614C1" w:rsidRPr="007614C1">
        <w:rPr>
          <w:rFonts w:ascii="Cambria" w:hAnsi="Cambria"/>
        </w:rPr>
        <w:t>discontinue the procedures designed to oversample students in specific IDEA-defined disability groups, and (</w:t>
      </w:r>
      <w:r w:rsidR="0030639A">
        <w:rPr>
          <w:rFonts w:ascii="Cambria" w:hAnsi="Cambria"/>
        </w:rPr>
        <w:t>4</w:t>
      </w:r>
      <w:r w:rsidR="007614C1" w:rsidRPr="007614C1">
        <w:rPr>
          <w:rFonts w:ascii="Cambria" w:hAnsi="Cambria"/>
        </w:rPr>
        <w:t>) conduct MS2 and OFT3 tracking activities</w:t>
      </w:r>
      <w:r w:rsidR="00243F9E" w:rsidRPr="006F7BFD">
        <w:rPr>
          <w:rFonts w:ascii="Cambria" w:hAnsi="Cambria"/>
        </w:rPr>
        <w:t>.</w:t>
      </w:r>
    </w:p>
    <w:p w14:paraId="67211568" w14:textId="12C34D1C" w:rsidR="00AC46B0" w:rsidRDefault="00AC46B0" w:rsidP="00243F9E">
      <w:pPr>
        <w:spacing w:after="120" w:line="23" w:lineRule="atLeast"/>
        <w:rPr>
          <w:rFonts w:ascii="Cambria" w:hAnsi="Cambria"/>
        </w:rPr>
      </w:pPr>
      <w:r>
        <w:rPr>
          <w:rFonts w:ascii="Cambria" w:hAnsi="Cambria"/>
        </w:rPr>
        <w:t xml:space="preserve">Due to overlap in activities at the time of the initial submission of this request </w:t>
      </w:r>
      <w:r w:rsidR="00054A36">
        <w:rPr>
          <w:rFonts w:ascii="Cambria" w:hAnsi="Cambria"/>
        </w:rPr>
        <w:t>in 2017, the then approved MS1</w:t>
      </w:r>
      <w:r w:rsidR="00054A36" w:rsidRPr="00D0430F">
        <w:rPr>
          <w:rFonts w:ascii="Cambria" w:hAnsi="Cambria"/>
        </w:rPr>
        <w:t xml:space="preserve"> recruitment and OFT</w:t>
      </w:r>
      <w:r w:rsidR="00054A36">
        <w:rPr>
          <w:rFonts w:ascii="Cambria" w:hAnsi="Cambria"/>
        </w:rPr>
        <w:t xml:space="preserve">2 </w:t>
      </w:r>
      <w:r w:rsidR="00054A36" w:rsidRPr="00D0430F">
        <w:rPr>
          <w:rFonts w:ascii="Cambria" w:hAnsi="Cambria"/>
        </w:rPr>
        <w:t>tracking</w:t>
      </w:r>
      <w:r w:rsidR="00054A36">
        <w:rPr>
          <w:rFonts w:ascii="Cambria" w:hAnsi="Cambria"/>
        </w:rPr>
        <w:t xml:space="preserve"> activities were being carried over in this submission, and thus this submission </w:t>
      </w:r>
      <w:r w:rsidR="009B15E1">
        <w:rPr>
          <w:rFonts w:ascii="Cambria" w:hAnsi="Cambria"/>
        </w:rPr>
        <w:t>includes</w:t>
      </w:r>
      <w:r w:rsidR="00054A36">
        <w:rPr>
          <w:rFonts w:ascii="Cambria" w:hAnsi="Cambria"/>
        </w:rPr>
        <w:t xml:space="preserve"> the procedures, materials, and associated respondent burden for all activities related to MS1 and OFT2, as well as those related to MS2 </w:t>
      </w:r>
      <w:r w:rsidR="00054A36" w:rsidRPr="006F7BFD">
        <w:rPr>
          <w:rFonts w:ascii="Cambria" w:hAnsi="Cambria"/>
        </w:rPr>
        <w:t>tracking and recruitment.</w:t>
      </w:r>
    </w:p>
    <w:p w14:paraId="48FE161D" w14:textId="1C11ABCA" w:rsidR="00C75D01" w:rsidRDefault="00B726DA" w:rsidP="002B22C0">
      <w:pPr>
        <w:spacing w:after="120" w:line="23" w:lineRule="atLeast"/>
        <w:rPr>
          <w:rFonts w:ascii="Cambria" w:hAnsi="Cambria"/>
          <w:b/>
        </w:rPr>
      </w:pPr>
      <w:r>
        <w:rPr>
          <w:rFonts w:ascii="Cambria" w:hAnsi="Cambria"/>
          <w:b/>
        </w:rPr>
        <w:t xml:space="preserve">Detail of the </w:t>
      </w:r>
      <w:r w:rsidR="004F75A0" w:rsidRPr="004F75A0">
        <w:rPr>
          <w:rFonts w:ascii="Cambria" w:hAnsi="Cambria"/>
          <w:b/>
        </w:rPr>
        <w:t xml:space="preserve">August 2018 </w:t>
      </w:r>
      <w:r w:rsidR="00C75D01">
        <w:rPr>
          <w:rFonts w:ascii="Cambria" w:hAnsi="Cambria"/>
          <w:b/>
        </w:rPr>
        <w:t>R</w:t>
      </w:r>
      <w:r>
        <w:rPr>
          <w:rFonts w:ascii="Cambria" w:hAnsi="Cambria"/>
          <w:b/>
        </w:rPr>
        <w:t xml:space="preserve">evision </w:t>
      </w:r>
      <w:r w:rsidR="00C75D01">
        <w:rPr>
          <w:rFonts w:ascii="Cambria" w:hAnsi="Cambria"/>
          <w:b/>
        </w:rPr>
        <w:t>R</w:t>
      </w:r>
      <w:r>
        <w:rPr>
          <w:rFonts w:ascii="Cambria" w:hAnsi="Cambria"/>
          <w:b/>
        </w:rPr>
        <w:t>equest</w:t>
      </w:r>
    </w:p>
    <w:p w14:paraId="0C665A8F" w14:textId="0D935683" w:rsidR="009D473E" w:rsidRPr="009D473E" w:rsidRDefault="009D473E" w:rsidP="009D473E">
      <w:pPr>
        <w:spacing w:after="120" w:line="23" w:lineRule="atLeast"/>
        <w:rPr>
          <w:rFonts w:ascii="Cambria" w:hAnsi="Cambria"/>
        </w:rPr>
      </w:pPr>
      <w:r w:rsidRPr="009D473E">
        <w:rPr>
          <w:rFonts w:ascii="Cambria" w:hAnsi="Cambria"/>
        </w:rPr>
        <w:t xml:space="preserve">While two annual follow-ups beginning in January 2019 and subsequently in January 2020 were planned for when most of the students in the sample would be in grades 7 and 8, respectively, participation rates in the base year were substantially short of targets. Analyses of the respondent sample sizes indicate that the number of participants is inadequate to meet the precision requirements for several key subgroups of students by the end of the study. This request, with its accompanying 30-day public comment period, is to revise the MGLS:2017 follow-up data collection plan and procedures. The requested changes are needed to meet the overall study goal, given current schedule and budgetary constraints, to obtain data on the progress of students starting in grade 6 and ending in grade 8 in general education schools. A second request will be submitted in October 2018, with another 30-day public comment period, to augment the MGLS:2017 sample by recruiting new schools and students in order to achieve sufficient sample sizes to meet precision requirements. This second request will include the final versions of the respondent materials and procedures to be used during </w:t>
      </w:r>
      <w:r w:rsidR="00433DD4">
        <w:rPr>
          <w:rFonts w:ascii="Cambria" w:hAnsi="Cambria"/>
        </w:rPr>
        <w:t xml:space="preserve">the </w:t>
      </w:r>
      <w:r w:rsidRPr="009D473E">
        <w:rPr>
          <w:rFonts w:ascii="Cambria" w:hAnsi="Cambria"/>
        </w:rPr>
        <w:t>MS2 recruitment that will begin in January 2019.</w:t>
      </w:r>
    </w:p>
    <w:p w14:paraId="4DACDA18" w14:textId="6C64CF85" w:rsidR="009D473E" w:rsidRPr="009D473E" w:rsidRDefault="009D473E" w:rsidP="001A53B5">
      <w:pPr>
        <w:widowControl w:val="0"/>
        <w:spacing w:after="120" w:line="23" w:lineRule="atLeast"/>
        <w:rPr>
          <w:rFonts w:ascii="Cambria" w:hAnsi="Cambria"/>
        </w:rPr>
      </w:pPr>
      <w:r w:rsidRPr="009D473E">
        <w:rPr>
          <w:rFonts w:ascii="Cambria" w:hAnsi="Cambria"/>
        </w:rPr>
        <w:t>This request is to: (1) eliminate the data collection planned for January through Ju</w:t>
      </w:r>
      <w:r w:rsidR="00761F75">
        <w:rPr>
          <w:rFonts w:ascii="Cambria" w:hAnsi="Cambria"/>
        </w:rPr>
        <w:t>ly</w:t>
      </w:r>
      <w:r w:rsidRPr="009D473E">
        <w:rPr>
          <w:rFonts w:ascii="Cambria" w:hAnsi="Cambria"/>
        </w:rPr>
        <w:t xml:space="preserve"> 2019, when most of the MGLS:2017 sample students will be in grade 7, and conduct one follow-up collection (MS2) from January through Ju</w:t>
      </w:r>
      <w:r w:rsidR="00761F75">
        <w:rPr>
          <w:rFonts w:ascii="Cambria" w:hAnsi="Cambria"/>
        </w:rPr>
        <w:t>ly</w:t>
      </w:r>
      <w:r w:rsidRPr="009D473E">
        <w:rPr>
          <w:rFonts w:ascii="Cambria" w:hAnsi="Cambria"/>
        </w:rPr>
        <w:t xml:space="preserve"> 2020, when most students will be in grade 8; (2) notify participating districts and schools of this change in data collection schedule; (3) discontinue further oversampling of students with Individualized Education Programs (IEPs) by disability categories; and (4) conduct </w:t>
      </w:r>
      <w:r w:rsidR="00E45092">
        <w:rPr>
          <w:rFonts w:ascii="Cambria" w:hAnsi="Cambria"/>
        </w:rPr>
        <w:t xml:space="preserve">MS2 and </w:t>
      </w:r>
      <w:r w:rsidRPr="009D473E">
        <w:rPr>
          <w:rFonts w:ascii="Cambria" w:hAnsi="Cambria"/>
        </w:rPr>
        <w:t xml:space="preserve">OFT3 tracking activities with </w:t>
      </w:r>
      <w:r w:rsidR="00E45092">
        <w:rPr>
          <w:rFonts w:ascii="Cambria" w:hAnsi="Cambria"/>
        </w:rPr>
        <w:t xml:space="preserve">MS and </w:t>
      </w:r>
      <w:r w:rsidRPr="009D473E">
        <w:rPr>
          <w:rFonts w:ascii="Cambria" w:hAnsi="Cambria"/>
        </w:rPr>
        <w:t>OFT sample schools and parents</w:t>
      </w:r>
      <w:r w:rsidR="00F26F22">
        <w:rPr>
          <w:rFonts w:ascii="Cambria" w:hAnsi="Cambria"/>
        </w:rPr>
        <w:t>, respectively,</w:t>
      </w:r>
      <w:r w:rsidRPr="009D473E">
        <w:rPr>
          <w:rFonts w:ascii="Cambria" w:hAnsi="Cambria"/>
        </w:rPr>
        <w:t xml:space="preserve"> during the 2018-19 school year. The requested changes will reduce the overall estimated respondent burden by eliminating one round of data collection but, due to higher-than-expected costs associated with recruiting, do not reduce the total cost to the federal government. More detail for each requested change follows below.</w:t>
      </w:r>
    </w:p>
    <w:p w14:paraId="7B37A2C2" w14:textId="0B1A88E5" w:rsidR="009D473E" w:rsidRPr="009D473E" w:rsidRDefault="009D473E" w:rsidP="009D473E">
      <w:pPr>
        <w:pStyle w:val="ListParagraph"/>
        <w:numPr>
          <w:ilvl w:val="0"/>
          <w:numId w:val="41"/>
        </w:numPr>
        <w:spacing w:after="120" w:line="23" w:lineRule="atLeast"/>
        <w:ind w:left="450"/>
        <w:rPr>
          <w:rFonts w:ascii="Cambria" w:hAnsi="Cambria"/>
        </w:rPr>
      </w:pPr>
      <w:r w:rsidRPr="00982FB2">
        <w:rPr>
          <w:rFonts w:ascii="Cambria" w:hAnsi="Cambria"/>
          <w:b/>
        </w:rPr>
        <w:t>Eliminate the data collection planned for January through Ju</w:t>
      </w:r>
      <w:r w:rsidR="00761F75">
        <w:rPr>
          <w:rFonts w:ascii="Cambria" w:hAnsi="Cambria"/>
          <w:b/>
        </w:rPr>
        <w:t>ly</w:t>
      </w:r>
      <w:r w:rsidRPr="00982FB2">
        <w:rPr>
          <w:rFonts w:ascii="Cambria" w:hAnsi="Cambria"/>
          <w:b/>
        </w:rPr>
        <w:t xml:space="preserve"> 2019, when most of the MGLS:2017 sample students will be in grade 7, and conduct one follow-up collection (MS2) from January through Ju</w:t>
      </w:r>
      <w:r w:rsidR="00761F75">
        <w:rPr>
          <w:rFonts w:ascii="Cambria" w:hAnsi="Cambria"/>
          <w:b/>
        </w:rPr>
        <w:t>ly</w:t>
      </w:r>
      <w:r w:rsidRPr="00982FB2">
        <w:rPr>
          <w:rFonts w:ascii="Cambria" w:hAnsi="Cambria"/>
          <w:b/>
        </w:rPr>
        <w:t xml:space="preserve"> 2020, when most students will be in grade 8.</w:t>
      </w:r>
      <w:r w:rsidRPr="009D473E">
        <w:rPr>
          <w:rFonts w:ascii="Cambria" w:hAnsi="Cambria"/>
        </w:rPr>
        <w:t xml:space="preserve"> Despite many strategies designed to maximize MS1 response rates, as described in section B.2 of the OMB# 1850-0911 v.19 Supporting Statement Part B, the MS1 school response rate fell substantially short of targets, at </w:t>
      </w:r>
      <w:r w:rsidR="004D11EF">
        <w:rPr>
          <w:rFonts w:ascii="Cambria" w:hAnsi="Cambria"/>
        </w:rPr>
        <w:t xml:space="preserve">about </w:t>
      </w:r>
      <w:r w:rsidRPr="009D473E">
        <w:rPr>
          <w:rFonts w:ascii="Cambria" w:hAnsi="Cambria"/>
        </w:rPr>
        <w:t>40 percent. The currently achieved sample of approximately 570 schools and about 14,000 students is not sufficient to meet precision requirements by the end of the study for the standard reporting groups typically studied with NCES longitudinal studies, including by key race/ethnicity subgroups, Census regions, and school locale. It also does not support analyses of students with specific disabilities, a feature NCES tried to add for the first time in MGLS:2017. Sample augmentation, that is, adding new schools and students to the study who did not participate in the base-year data collection, is needed to meet end-of-study sample size requirements for certain subgroups of students, including Black non-Hispanic students, students living in the Northeast, students attending schools in towns, and several others. Without sample augmentation, NCES will not be able to report national-level estimates for students in these groups. In order to have adequate time to develop a sound sample augmentation plan, recruit new schools and students into the study, and conduct this work within current budget constraints, we request approval to drop the planned grade 7 data collection and instead to conduct the first, and only, MGLS:2017 follow-up data collection during the 2019-20 school year when most students will be in grade 8.</w:t>
      </w:r>
    </w:p>
    <w:p w14:paraId="206BD6BA" w14:textId="77777777" w:rsidR="009D473E" w:rsidRPr="009D473E" w:rsidRDefault="009D473E" w:rsidP="009D473E">
      <w:pPr>
        <w:spacing w:after="120" w:line="23" w:lineRule="atLeast"/>
        <w:ind w:left="450"/>
        <w:rPr>
          <w:rFonts w:ascii="Cambria" w:hAnsi="Cambria"/>
        </w:rPr>
      </w:pPr>
      <w:r w:rsidRPr="009D473E">
        <w:rPr>
          <w:rFonts w:ascii="Cambria" w:hAnsi="Cambria"/>
        </w:rPr>
        <w:t>Regarding sample augmentation, preliminary analyses indicate that in order to achieve acceptable sample sizes for MGLS:2017, approximately 200 to 250 new schools will need to be added to the study. These schools may be drawn from the existing reserve sample selected for the study. However, it may also be necessary to select an additional set of schools that educate students beginning in grade 8. Final details of this additional sample will be provided in the subsequent, October 2018 request (OMB# 1850-0911 v.21).</w:t>
      </w:r>
    </w:p>
    <w:p w14:paraId="641966C6" w14:textId="1FE1F280" w:rsidR="009D473E" w:rsidRPr="009D473E" w:rsidRDefault="009D473E" w:rsidP="00845A0A">
      <w:pPr>
        <w:pStyle w:val="ListParagraph"/>
        <w:numPr>
          <w:ilvl w:val="0"/>
          <w:numId w:val="41"/>
        </w:numPr>
        <w:spacing w:after="120" w:line="23" w:lineRule="atLeast"/>
        <w:ind w:left="450"/>
        <w:rPr>
          <w:rFonts w:ascii="Cambria" w:hAnsi="Cambria"/>
        </w:rPr>
      </w:pPr>
      <w:r w:rsidRPr="00982FB2">
        <w:rPr>
          <w:rFonts w:ascii="Cambria" w:hAnsi="Cambria"/>
          <w:b/>
        </w:rPr>
        <w:t>Notify participating districts and schools of this change in data collection schedule.</w:t>
      </w:r>
      <w:r w:rsidRPr="009D473E">
        <w:rPr>
          <w:rFonts w:ascii="Cambria" w:hAnsi="Cambria"/>
        </w:rPr>
        <w:t xml:space="preserve"> Participating MS1 school districts and schools expect study staff to begin contacting them in the fall </w:t>
      </w:r>
      <w:r w:rsidR="00B00F2B">
        <w:rPr>
          <w:rFonts w:ascii="Cambria" w:hAnsi="Cambria"/>
        </w:rPr>
        <w:t xml:space="preserve">of </w:t>
      </w:r>
      <w:r w:rsidRPr="009D473E">
        <w:rPr>
          <w:rFonts w:ascii="Cambria" w:hAnsi="Cambria"/>
        </w:rPr>
        <w:t>2018 to plan for a January-Ju</w:t>
      </w:r>
      <w:r w:rsidR="00005A5D">
        <w:rPr>
          <w:rFonts w:ascii="Cambria" w:hAnsi="Cambria"/>
        </w:rPr>
        <w:t>ly</w:t>
      </w:r>
      <w:r w:rsidRPr="009D473E">
        <w:rPr>
          <w:rFonts w:ascii="Cambria" w:hAnsi="Cambria"/>
        </w:rPr>
        <w:t xml:space="preserve"> 2019 data collection. Therefore, we need to communicate to districts and schools as soon as possible that MGLS will not be conducted in their school in the first half of 2019. This request provides the additional letters required for such notification (see revised Appendices A-S). All other types of communication and recruitment materials (including notification of this change to parents) will be provided in the subsequent, October 2018 request (OMB# 1850-0911 v.21).</w:t>
      </w:r>
    </w:p>
    <w:p w14:paraId="3D88A587" w14:textId="57EF38A0" w:rsidR="009D473E" w:rsidRPr="009D473E" w:rsidRDefault="009D473E" w:rsidP="00845A0A">
      <w:pPr>
        <w:pStyle w:val="ListParagraph"/>
        <w:numPr>
          <w:ilvl w:val="0"/>
          <w:numId w:val="41"/>
        </w:numPr>
        <w:spacing w:after="120" w:line="23" w:lineRule="atLeast"/>
        <w:ind w:left="450"/>
        <w:rPr>
          <w:rFonts w:ascii="Cambria" w:hAnsi="Cambria"/>
        </w:rPr>
      </w:pPr>
      <w:r w:rsidRPr="00982FB2">
        <w:rPr>
          <w:rFonts w:ascii="Cambria" w:hAnsi="Cambria"/>
          <w:b/>
        </w:rPr>
        <w:t>Discontinue further oversampling of students with Individualized Education Programs (IEPs) by disability categories.</w:t>
      </w:r>
      <w:r w:rsidRPr="009D473E">
        <w:rPr>
          <w:rFonts w:ascii="Cambria" w:hAnsi="Cambria"/>
        </w:rPr>
        <w:t xml:space="preserve"> MGLS:2017 was designed to include oversamples of students with IEPs in two IDEA-defined categories, Autism and Emotional Disturbance. The purpose of these oversamples was to obtain enough cases for students in these groups to generate reliable estimates for each. MGLS:2017 is the first NCES study to include this feature as part of its sample design. As is the case in some of the other NCES studies, NCES expected to provide, without oversampling, reliable estimates for students in a third disability category, Specific Learning Disability. However, the low sixth-grade school participation rate resulted in significantly smaller numbers of cases in these groups than necessary to meet precision requirements. Reliable estimates for students with emotional disturbance cannot be produced for sixth grade. In addition, given available time and budget, sample augmentation cannot be used to increase sample sizes to necessary levels in a grade 8 collection for any of these three groups.</w:t>
      </w:r>
    </w:p>
    <w:p w14:paraId="3E42FF97" w14:textId="43E88F33" w:rsidR="009D473E" w:rsidRPr="009D473E" w:rsidRDefault="009D473E" w:rsidP="001A53B5">
      <w:pPr>
        <w:widowControl w:val="0"/>
        <w:spacing w:after="120" w:line="23" w:lineRule="atLeast"/>
        <w:ind w:left="446"/>
        <w:rPr>
          <w:rFonts w:ascii="Cambria" w:hAnsi="Cambria"/>
        </w:rPr>
      </w:pPr>
      <w:r w:rsidRPr="009D473E">
        <w:rPr>
          <w:rFonts w:ascii="Cambria" w:hAnsi="Cambria"/>
        </w:rPr>
        <w:t>Because information about students’ specific disability was needed at the sampling stage of the study to select the oversamples, this information was requested from schools for all students in sixth grade at the time student enrollment lists were collected. This contrasted with other NCES studies, which collect disability information only for students selected for the study sample. Asking for this information for all enrolled students harmed school participation. Many schools expressed concern about the legal implications of providing this level of information about all students, even though the law allows the information to be provided for the purposes of this study. Approximately 90 schools that had initially agreed to participate opted out after learning of this requirement, and many schools never agreed to participate in the first place for this reason. Another difficulty in recruiting a sufficient sample of students with IEP</w:t>
      </w:r>
      <w:r w:rsidR="00B00F2B">
        <w:rPr>
          <w:rFonts w:ascii="Cambria" w:hAnsi="Cambria"/>
        </w:rPr>
        <w:t>s</w:t>
      </w:r>
      <w:r w:rsidRPr="009D473E">
        <w:rPr>
          <w:rFonts w:ascii="Cambria" w:hAnsi="Cambria"/>
        </w:rPr>
        <w:t xml:space="preserve"> was that the numbers of students listed as having IEPs in participating schools were far below those expected based on the information about public schools in the U.S. Department of Education’s EDFacts datasets.</w:t>
      </w:r>
    </w:p>
    <w:p w14:paraId="2B540BA3" w14:textId="471F1924" w:rsidR="009D473E" w:rsidRPr="009D473E" w:rsidRDefault="009D473E" w:rsidP="00224996">
      <w:pPr>
        <w:spacing w:after="120" w:line="23" w:lineRule="atLeast"/>
        <w:ind w:left="446"/>
        <w:rPr>
          <w:rFonts w:ascii="Cambria" w:hAnsi="Cambria"/>
        </w:rPr>
      </w:pPr>
      <w:r w:rsidRPr="009D473E">
        <w:rPr>
          <w:rFonts w:ascii="Cambria" w:hAnsi="Cambria"/>
        </w:rPr>
        <w:t xml:space="preserve">In sum, it is not possible to achieve the necessary sample sizes to meet study precision requirements for students in the three study focal disability groups in grade 8, and asking for specific disability information at the time of sampling depresses participation rates for schools, which could jeopardize the planned sample augmentation. For these reasons, we request approval to discontinue further oversampling of students in these groups. MGLS will continue to include information about students with IEPs as is standard in many NCES longitudinal studies. Current participants will be retained in the study and followed into grade 8 at 100%. Additional students with these specific disabilities, as well as students with an IEP for any disability, may still become part of the study through the augmentation sample planned for grade 8. The study will continue to collect information on educational experiences of all students, including of students </w:t>
      </w:r>
      <w:r w:rsidR="007D3B9A">
        <w:rPr>
          <w:rFonts w:ascii="Cambria" w:hAnsi="Cambria"/>
        </w:rPr>
        <w:t>in</w:t>
      </w:r>
      <w:r w:rsidRPr="009D473E">
        <w:rPr>
          <w:rFonts w:ascii="Cambria" w:hAnsi="Cambria"/>
        </w:rPr>
        <w:t xml:space="preserve"> special education, and information will continue to be collected from sampled students’ special education teachers. It is anticipated that NCES will be able to generate reliable estimates for all students with an IEP, as has been done in other NCES studies.</w:t>
      </w:r>
    </w:p>
    <w:p w14:paraId="1B1A87A1" w14:textId="5676D0F6" w:rsidR="002B22C0" w:rsidRDefault="009D473E" w:rsidP="00224996">
      <w:pPr>
        <w:pStyle w:val="ListParagraph"/>
        <w:numPr>
          <w:ilvl w:val="0"/>
          <w:numId w:val="41"/>
        </w:numPr>
        <w:spacing w:after="120" w:line="23" w:lineRule="atLeast"/>
        <w:ind w:left="446"/>
        <w:contextualSpacing w:val="0"/>
        <w:rPr>
          <w:rFonts w:ascii="Cambria" w:hAnsi="Cambria"/>
        </w:rPr>
      </w:pPr>
      <w:r w:rsidRPr="00982FB2">
        <w:rPr>
          <w:rFonts w:ascii="Cambria" w:hAnsi="Cambria"/>
          <w:b/>
        </w:rPr>
        <w:t xml:space="preserve">Conduct </w:t>
      </w:r>
      <w:r w:rsidR="00F26F22" w:rsidRPr="00F26F22">
        <w:rPr>
          <w:rFonts w:ascii="Cambria" w:hAnsi="Cambria"/>
          <w:b/>
        </w:rPr>
        <w:t>MS2 and OFT3 tracking activities with MS and OFT sample schools and parents, respectively, during the 2018-19 school year</w:t>
      </w:r>
      <w:r w:rsidRPr="00982FB2">
        <w:rPr>
          <w:rFonts w:ascii="Cambria" w:hAnsi="Cambria"/>
          <w:b/>
        </w:rPr>
        <w:t>.</w:t>
      </w:r>
      <w:r w:rsidRPr="009D473E">
        <w:rPr>
          <w:rFonts w:ascii="Cambria" w:hAnsi="Cambria"/>
        </w:rPr>
        <w:t xml:space="preserve"> The period of OFT student tracking was envisioned to take place for the OFT First Follow-up (OFT2) from August 2017 through May 2018, and for the OFT Second Follow-up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will not collect data in grade 7, tracking information will become even more important for designing the final materials and procedures for MS2. As with all OFT recruiting and tracking activities, the OFT dates need to mirror and precede by one year those planned for the Main Study. This request provides the additional letters required for OFT3 tracking (see revised Appendices A-S) and, due to the current clearance schedule, indicates that OFT3 tracking will take place from September 2018 through May 2019</w:t>
      </w:r>
      <w:r w:rsidR="002B22C0" w:rsidRPr="002B22C0">
        <w:rPr>
          <w:rFonts w:ascii="Cambria" w:hAnsi="Cambria"/>
        </w:rPr>
        <w:t>.</w:t>
      </w:r>
    </w:p>
    <w:p w14:paraId="6E68989E" w14:textId="4B8CF540" w:rsidR="00224996" w:rsidRPr="006F7BFD" w:rsidRDefault="00224996" w:rsidP="00224996">
      <w:pPr>
        <w:pStyle w:val="ListParagraph"/>
        <w:spacing w:after="120" w:line="23" w:lineRule="atLeast"/>
        <w:ind w:left="450"/>
        <w:rPr>
          <w:rFonts w:ascii="Cambria" w:hAnsi="Cambria"/>
        </w:rPr>
      </w:pPr>
      <w:r w:rsidRPr="00224996">
        <w:rPr>
          <w:rFonts w:ascii="Cambria" w:hAnsi="Cambria"/>
        </w:rPr>
        <w:t xml:space="preserve">MS2 tracking will take place from </w:t>
      </w:r>
      <w:r w:rsidR="004E2C75">
        <w:rPr>
          <w:rFonts w:ascii="Cambria" w:hAnsi="Cambria"/>
        </w:rPr>
        <w:t>September</w:t>
      </w:r>
      <w:r w:rsidRPr="00224996">
        <w:rPr>
          <w:rFonts w:ascii="Cambria" w:hAnsi="Cambria"/>
        </w:rPr>
        <w:t xml:space="preserve"> 2018 through May 20</w:t>
      </w:r>
      <w:r w:rsidR="004E2C75">
        <w:rPr>
          <w:rFonts w:ascii="Cambria" w:hAnsi="Cambria"/>
        </w:rPr>
        <w:t xml:space="preserve">20 and will be carried out in multiple </w:t>
      </w:r>
      <w:r w:rsidR="00276F11">
        <w:rPr>
          <w:rFonts w:ascii="Cambria" w:hAnsi="Cambria"/>
        </w:rPr>
        <w:t>rounds</w:t>
      </w:r>
      <w:r w:rsidR="004E2C75">
        <w:rPr>
          <w:rFonts w:ascii="Cambria" w:hAnsi="Cambria"/>
        </w:rPr>
        <w:t xml:space="preserve">. The final details of the MS2 tracking plan, particularly the </w:t>
      </w:r>
      <w:r w:rsidR="002816DA">
        <w:rPr>
          <w:rFonts w:ascii="Cambria" w:hAnsi="Cambria"/>
        </w:rPr>
        <w:t xml:space="preserve">activities </w:t>
      </w:r>
      <w:r w:rsidR="00BB546F">
        <w:rPr>
          <w:rFonts w:ascii="Cambria" w:hAnsi="Cambria"/>
        </w:rPr>
        <w:t>to take place in 2019 and 2020,</w:t>
      </w:r>
      <w:r w:rsidR="004E2C75">
        <w:rPr>
          <w:rFonts w:ascii="Cambria" w:hAnsi="Cambria"/>
        </w:rPr>
        <w:t xml:space="preserve"> will be provided </w:t>
      </w:r>
      <w:r w:rsidR="00BB546F">
        <w:rPr>
          <w:rFonts w:ascii="Cambria" w:hAnsi="Cambria"/>
        </w:rPr>
        <w:t>in the October 2018 submission</w:t>
      </w:r>
      <w:r w:rsidRPr="00224996">
        <w:rPr>
          <w:rFonts w:ascii="Cambria" w:hAnsi="Cambria"/>
        </w:rPr>
        <w:t xml:space="preserve"> (</w:t>
      </w:r>
      <w:r w:rsidR="004E2C75">
        <w:rPr>
          <w:rFonts w:ascii="Cambria" w:hAnsi="Cambria"/>
        </w:rPr>
        <w:t>OMB# 1850-0911 v.21)</w:t>
      </w:r>
      <w:r w:rsidRPr="00224996">
        <w:rPr>
          <w:rFonts w:ascii="Cambria" w:hAnsi="Cambria"/>
        </w:rPr>
        <w:t>. MS2 data collection will occur from January through July of 2020.</w:t>
      </w:r>
    </w:p>
    <w:p w14:paraId="05EF44BF" w14:textId="0D869750" w:rsidR="00B427AD" w:rsidRPr="00BA441F" w:rsidRDefault="00B427AD" w:rsidP="00B427AD">
      <w:pPr>
        <w:spacing w:after="120" w:line="23" w:lineRule="atLeast"/>
        <w:rPr>
          <w:rFonts w:ascii="Cambria" w:hAnsi="Cambria"/>
        </w:rPr>
      </w:pPr>
      <w:r w:rsidRPr="00BA441F">
        <w:rPr>
          <w:rFonts w:ascii="Cambria" w:hAnsi="Cambria"/>
        </w:rPr>
        <w:t xml:space="preserve">Part A of this submission presents information on the basic design of </w:t>
      </w:r>
      <w:r w:rsidR="00A665BD">
        <w:rPr>
          <w:rFonts w:ascii="Cambria" w:hAnsi="Cambria"/>
        </w:rPr>
        <w:t xml:space="preserve">MS1, </w:t>
      </w:r>
      <w:r w:rsidR="00C362B4">
        <w:rPr>
          <w:rFonts w:ascii="Cambria" w:hAnsi="Cambria"/>
        </w:rPr>
        <w:t>MS2</w:t>
      </w:r>
      <w:r w:rsidR="005B79CE">
        <w:rPr>
          <w:rFonts w:ascii="Cambria" w:hAnsi="Cambria"/>
        </w:rPr>
        <w:t xml:space="preserve"> tracking</w:t>
      </w:r>
      <w:r w:rsidR="0047327C">
        <w:rPr>
          <w:rFonts w:ascii="Cambria" w:hAnsi="Cambria"/>
        </w:rPr>
        <w:t>,</w:t>
      </w:r>
      <w:r w:rsidR="00AE23EA">
        <w:rPr>
          <w:rFonts w:ascii="Cambria" w:hAnsi="Cambria"/>
        </w:rPr>
        <w:t xml:space="preserve"> </w:t>
      </w:r>
      <w:r w:rsidR="00A665BD">
        <w:rPr>
          <w:rFonts w:ascii="Cambria" w:hAnsi="Cambria"/>
        </w:rPr>
        <w:t xml:space="preserve">OFT2, and </w:t>
      </w:r>
      <w:r w:rsidR="00AE23EA">
        <w:rPr>
          <w:rFonts w:ascii="Cambria" w:hAnsi="Cambria"/>
        </w:rPr>
        <w:t>OFT3</w:t>
      </w:r>
      <w:r w:rsidR="005B79CE">
        <w:rPr>
          <w:rFonts w:ascii="Cambria" w:hAnsi="Cambria"/>
        </w:rPr>
        <w:t xml:space="preserve"> tracking</w:t>
      </w:r>
      <w:r w:rsidR="0047327C">
        <w:rPr>
          <w:rFonts w:ascii="Cambria" w:hAnsi="Cambria"/>
        </w:rPr>
        <w:t>.</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163ED9">
        <w:rPr>
          <w:rFonts w:ascii="Cambria" w:hAnsi="Cambria"/>
        </w:rPr>
        <w:t xml:space="preserve">Part C provides content and item justifications for the MGLS:2017 student, parent, math teacher, special education teacher, and school administrator </w:t>
      </w:r>
      <w:r w:rsidR="009975FE" w:rsidRPr="00163ED9">
        <w:rPr>
          <w:rFonts w:ascii="Cambria" w:hAnsi="Cambria"/>
        </w:rPr>
        <w:t>questionnaires</w:t>
      </w:r>
      <w:r w:rsidR="009D1755" w:rsidRPr="00163ED9">
        <w:rPr>
          <w:rFonts w:ascii="Cambria" w:hAnsi="Cambria"/>
        </w:rPr>
        <w:t>, as well as the facilities observation checklist</w:t>
      </w:r>
      <w:r w:rsidR="006E7B74" w:rsidRPr="00163ED9">
        <w:rPr>
          <w:rFonts w:ascii="Cambria" w:hAnsi="Cambria"/>
        </w:rPr>
        <w:t>.</w:t>
      </w:r>
      <w:r w:rsidRPr="00BA441F">
        <w:rPr>
          <w:rFonts w:ascii="Cambria" w:hAnsi="Cambria"/>
        </w:rPr>
        <w:t xml:space="preserve"> </w:t>
      </w:r>
      <w:r w:rsidR="00163ED9" w:rsidRPr="00BA441F">
        <w:rPr>
          <w:rFonts w:ascii="Cambria" w:hAnsi="Cambria"/>
        </w:rPr>
        <w:t xml:space="preserve">Appendices </w:t>
      </w:r>
      <w:r w:rsidR="00163ED9">
        <w:rPr>
          <w:rFonts w:ascii="Cambria" w:hAnsi="Cambria"/>
        </w:rPr>
        <w:t xml:space="preserve">MS1-A through S provide the MS1 communication materials; Appendices OFT2-A through L the </w:t>
      </w:r>
      <w:r w:rsidR="00163ED9" w:rsidRPr="00BA441F">
        <w:rPr>
          <w:rFonts w:ascii="Cambria" w:hAnsi="Cambria"/>
        </w:rPr>
        <w:t>OFT</w:t>
      </w:r>
      <w:r w:rsidR="00163ED9">
        <w:rPr>
          <w:rFonts w:ascii="Cambria" w:hAnsi="Cambria"/>
        </w:rPr>
        <w:t>2</w:t>
      </w:r>
      <w:r w:rsidR="00163ED9" w:rsidRPr="00BA441F">
        <w:rPr>
          <w:rFonts w:ascii="Cambria" w:hAnsi="Cambria"/>
        </w:rPr>
        <w:t xml:space="preserve"> </w:t>
      </w:r>
      <w:r w:rsidR="00163ED9">
        <w:rPr>
          <w:rFonts w:ascii="Cambria" w:hAnsi="Cambria"/>
        </w:rPr>
        <w:t xml:space="preserve">communication </w:t>
      </w:r>
      <w:r w:rsidR="00163ED9" w:rsidRPr="00BA441F">
        <w:rPr>
          <w:rFonts w:ascii="Cambria" w:hAnsi="Cambria"/>
        </w:rPr>
        <w:t>materials</w:t>
      </w:r>
      <w:r w:rsidR="00163ED9">
        <w:rPr>
          <w:rFonts w:ascii="Cambria" w:hAnsi="Cambria"/>
        </w:rPr>
        <w:t>; Appendices MS2-A through L the MS2 tracking materials</w:t>
      </w:r>
      <w:r w:rsidR="00906623">
        <w:rPr>
          <w:rFonts w:ascii="Cambria" w:hAnsi="Cambria"/>
        </w:rPr>
        <w:t xml:space="preserve"> (with MS2</w:t>
      </w:r>
      <w:r w:rsidR="0035103A">
        <w:rPr>
          <w:rFonts w:ascii="Cambria" w:hAnsi="Cambria"/>
        </w:rPr>
        <w:t>A through B1</w:t>
      </w:r>
      <w:r w:rsidR="00F82891">
        <w:rPr>
          <w:rFonts w:ascii="Cambria" w:hAnsi="Cambria"/>
        </w:rPr>
        <w:t>, district and school notification letters,</w:t>
      </w:r>
      <w:r w:rsidR="0035103A">
        <w:rPr>
          <w:rFonts w:ascii="Cambria" w:hAnsi="Cambria"/>
        </w:rPr>
        <w:t xml:space="preserve"> having been revised in August 2018, for this request)</w:t>
      </w:r>
      <w:r w:rsidR="002A41CB">
        <w:rPr>
          <w:rFonts w:ascii="Cambria" w:hAnsi="Cambria"/>
        </w:rPr>
        <w:t>;</w:t>
      </w:r>
      <w:r w:rsidR="00667D93">
        <w:rPr>
          <w:rFonts w:ascii="Cambria" w:hAnsi="Cambria"/>
        </w:rPr>
        <w:t xml:space="preserve"> and </w:t>
      </w:r>
      <w:r w:rsidR="0035103A">
        <w:rPr>
          <w:rFonts w:ascii="Cambria" w:hAnsi="Cambria"/>
        </w:rPr>
        <w:t>newly added</w:t>
      </w:r>
      <w:r w:rsidR="002A41CB">
        <w:rPr>
          <w:rFonts w:ascii="Cambria" w:hAnsi="Cambria"/>
        </w:rPr>
        <w:t xml:space="preserve">, </w:t>
      </w:r>
      <w:r w:rsidR="0035103A">
        <w:rPr>
          <w:rFonts w:ascii="Cambria" w:hAnsi="Cambria"/>
        </w:rPr>
        <w:t xml:space="preserve">in </w:t>
      </w:r>
      <w:r w:rsidR="0035103A" w:rsidRPr="0064795C">
        <w:rPr>
          <w:rFonts w:ascii="Cambria" w:hAnsi="Cambria"/>
        </w:rPr>
        <w:t xml:space="preserve">August 2018, </w:t>
      </w:r>
      <w:r w:rsidRPr="0064795C">
        <w:rPr>
          <w:rFonts w:ascii="Cambria" w:hAnsi="Cambria"/>
        </w:rPr>
        <w:t xml:space="preserve">Appendices </w:t>
      </w:r>
      <w:r w:rsidR="00AA138E" w:rsidRPr="0064795C">
        <w:rPr>
          <w:rFonts w:ascii="Cambria" w:hAnsi="Cambria"/>
        </w:rPr>
        <w:t>OFT3-A through H</w:t>
      </w:r>
      <w:r w:rsidR="0064795C" w:rsidRPr="0064795C">
        <w:rPr>
          <w:rFonts w:ascii="Cambria" w:hAnsi="Cambria"/>
        </w:rPr>
        <w:t xml:space="preserve"> which provide </w:t>
      </w:r>
      <w:r w:rsidR="006F7BFD" w:rsidRPr="0064795C">
        <w:rPr>
          <w:rFonts w:ascii="Cambria" w:hAnsi="Cambria"/>
        </w:rPr>
        <w:t xml:space="preserve">the </w:t>
      </w:r>
      <w:r w:rsidR="00F239BB" w:rsidRPr="0064795C">
        <w:rPr>
          <w:rFonts w:ascii="Cambria" w:hAnsi="Cambria"/>
        </w:rPr>
        <w:t>OFT3</w:t>
      </w:r>
      <w:r w:rsidR="00097D64" w:rsidRPr="0064795C">
        <w:rPr>
          <w:rFonts w:ascii="Cambria" w:hAnsi="Cambria"/>
        </w:rPr>
        <w:t xml:space="preserve"> tracking </w:t>
      </w:r>
      <w:r w:rsidR="00400C93">
        <w:rPr>
          <w:rFonts w:ascii="Cambria" w:hAnsi="Cambria"/>
        </w:rPr>
        <w:t>materials</w:t>
      </w:r>
      <w:r w:rsidR="004C6CFD">
        <w:rPr>
          <w:rFonts w:ascii="Cambria" w:hAnsi="Cambria"/>
        </w:rPr>
        <w:t>.</w:t>
      </w:r>
      <w:r w:rsidR="00400C93">
        <w:rPr>
          <w:rFonts w:ascii="Cambria" w:hAnsi="Cambria"/>
        </w:rPr>
        <w:t xml:space="preserve"> Appendices T-W provide the already approved </w:t>
      </w:r>
      <w:r w:rsidR="00C84F93">
        <w:rPr>
          <w:rFonts w:ascii="Cambria" w:hAnsi="Cambria"/>
        </w:rPr>
        <w:t xml:space="preserve">MS1 and OFT2 data collection instruments </w:t>
      </w:r>
      <w:r w:rsidR="006D5FD7">
        <w:rPr>
          <w:rFonts w:ascii="Cambria" w:hAnsi="Cambria"/>
        </w:rPr>
        <w:t>and the communication materials used during the data collection window.</w:t>
      </w:r>
    </w:p>
    <w:p w14:paraId="472CFB2C" w14:textId="77777777"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3" w:name="_Toc412022720"/>
      <w:bookmarkStart w:id="4" w:name="_Toc521406218"/>
      <w:r w:rsidRPr="00BA441F">
        <w:rPr>
          <w:rFonts w:ascii="Cambria" w:hAnsi="Cambria"/>
        </w:rPr>
        <w:t>A. Justification</w:t>
      </w:r>
      <w:bookmarkEnd w:id="3"/>
      <w:bookmarkEnd w:id="4"/>
    </w:p>
    <w:p w14:paraId="23ACB222" w14:textId="77777777" w:rsidR="00B427AD" w:rsidRPr="00BA441F" w:rsidRDefault="00B427AD" w:rsidP="00B427AD">
      <w:pPr>
        <w:pStyle w:val="Heading2"/>
        <w:spacing w:before="0" w:after="120" w:line="23" w:lineRule="atLeast"/>
        <w:rPr>
          <w:rFonts w:ascii="Cambria" w:hAnsi="Cambria"/>
        </w:rPr>
      </w:pPr>
      <w:bookmarkStart w:id="5" w:name="_Toc412022721"/>
      <w:bookmarkStart w:id="6" w:name="_Toc521406219"/>
      <w:r w:rsidRPr="00BA441F">
        <w:rPr>
          <w:rFonts w:ascii="Cambria" w:hAnsi="Cambria"/>
        </w:rPr>
        <w:t>A.1 Importance of Information</w:t>
      </w:r>
      <w:bookmarkEnd w:id="5"/>
      <w:bookmarkEnd w:id="6"/>
    </w:p>
    <w:p w14:paraId="333A9273" w14:textId="77777777" w:rsidR="0092310C"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69112648" w14:textId="44B5848B"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3F5C2777" w14:textId="77777777" w:rsidR="00991419" w:rsidRDefault="005A67D5" w:rsidP="0082466A">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00B427AD" w:rsidRPr="00BA441F">
        <w:rPr>
          <w:rFonts w:ascii="Cambria" w:hAnsi="Cambria"/>
        </w:rPr>
        <w:t xml:space="preserve">MGLS:2017 will provide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disabilities</w:t>
      </w:r>
      <w:r w:rsidR="00FE0962">
        <w:rPr>
          <w:rFonts w:ascii="Cambria" w:hAnsi="Cambria"/>
        </w:rPr>
        <w:t xml:space="preserve"> as a group</w:t>
      </w:r>
      <w:r w:rsidR="00B427AD" w:rsidRPr="00BA441F">
        <w:rPr>
          <w:rFonts w:ascii="Cambria" w:hAnsi="Cambria"/>
        </w:rPr>
        <w:t>.</w:t>
      </w:r>
    </w:p>
    <w:p w14:paraId="66431FF7" w14:textId="4B644AAA" w:rsidR="00991419" w:rsidRDefault="009C1F2B" w:rsidP="0082466A">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p>
    <w:p w14:paraId="51F6968F" w14:textId="4D62E6F5" w:rsidR="00F16733" w:rsidRDefault="00B427AD" w:rsidP="0082466A">
      <w:pPr>
        <w:widowControl w:val="0"/>
        <w:spacing w:after="120" w:line="23" w:lineRule="atLeast"/>
        <w:rPr>
          <w:rFonts w:ascii="Cambria" w:hAnsi="Cambria"/>
        </w:rPr>
      </w:pPr>
      <w:r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Pr="00BA441F">
        <w:rPr>
          <w:rFonts w:ascii="Cambria" w:hAnsi="Cambria"/>
        </w:rPr>
        <w:t>school influences associated with mathematics and reading success, socioemotional health, and positive life development during the middle grade years and beyond.</w:t>
      </w:r>
    </w:p>
    <w:p w14:paraId="7BFAD632" w14:textId="060C6A3E" w:rsidR="00B427AD" w:rsidRPr="00BA441F" w:rsidRDefault="00B427AD" w:rsidP="00B9379B">
      <w:pPr>
        <w:spacing w:after="120" w:line="23" w:lineRule="atLeast"/>
        <w:rPr>
          <w:rFonts w:ascii="Cambria" w:hAnsi="Cambria"/>
        </w:rPr>
      </w:pPr>
      <w:r w:rsidRPr="00BA441F">
        <w:rPr>
          <w:rFonts w:ascii="Cambria" w:hAnsi="Cambria"/>
        </w:rPr>
        <w:t xml:space="preserve">To support the development of the study, MGLS:2017 </w:t>
      </w:r>
      <w:r w:rsidR="00E248B3">
        <w:rPr>
          <w:rFonts w:ascii="Cambria" w:hAnsi="Cambria"/>
        </w:rPr>
        <w:t xml:space="preserve">has </w:t>
      </w:r>
      <w:r w:rsidRPr="00BA441F">
        <w:rPr>
          <w:rFonts w:ascii="Cambria" w:hAnsi="Cambria"/>
        </w:rPr>
        <w:t>conduct</w:t>
      </w:r>
      <w:r w:rsidR="00B9379B">
        <w:rPr>
          <w:rFonts w:ascii="Cambria" w:hAnsi="Cambria"/>
        </w:rPr>
        <w:t>ed</w:t>
      </w:r>
      <w:r w:rsidRPr="00BA441F">
        <w:rPr>
          <w:rFonts w:ascii="Cambria" w:hAnsi="Cambria"/>
        </w:rPr>
        <w:t xml:space="preserve">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t>
      </w:r>
      <w:r w:rsidR="00B9379B">
        <w:rPr>
          <w:rFonts w:ascii="Cambria" w:hAnsi="Cambria"/>
        </w:rPr>
        <w:t xml:space="preserve">was </w:t>
      </w:r>
      <w:r w:rsidRPr="00BA441F">
        <w:rPr>
          <w:rFonts w:ascii="Cambria" w:hAnsi="Cambria"/>
        </w:rPr>
        <w:t xml:space="preserve">followed by </w:t>
      </w:r>
      <w:r w:rsidR="00B9379B">
        <w:rPr>
          <w:rFonts w:ascii="Cambria" w:hAnsi="Cambria"/>
        </w:rPr>
        <w:t>OFT1</w:t>
      </w:r>
      <w:r w:rsidR="0082466A">
        <w:rPr>
          <w:rFonts w:ascii="Cambria" w:hAnsi="Cambria"/>
        </w:rPr>
        <w:t xml:space="preserve">, which </w:t>
      </w:r>
      <w:r w:rsidR="00B9379B">
        <w:rPr>
          <w:rFonts w:ascii="Cambria" w:hAnsi="Cambria"/>
        </w:rPr>
        <w:t xml:space="preserve">took </w:t>
      </w:r>
      <w:r w:rsidR="00C2765B" w:rsidRPr="00BA441F">
        <w:rPr>
          <w:rFonts w:ascii="Cambria" w:hAnsi="Cambria"/>
        </w:rPr>
        <w:t xml:space="preserve">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B9379B">
        <w:rPr>
          <w:rFonts w:ascii="Cambria" w:hAnsi="Cambria"/>
        </w:rPr>
        <w:t xml:space="preserve"> </w:t>
      </w: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w:t>
      </w:r>
      <w:r w:rsidR="00B9379B">
        <w:rPr>
          <w:rFonts w:ascii="Cambria" w:hAnsi="Cambria"/>
        </w:rPr>
        <w:t xml:space="preserve">, while </w:t>
      </w:r>
      <w:r w:rsidR="00640E7F">
        <w:rPr>
          <w:rFonts w:ascii="Cambria" w:hAnsi="Cambria"/>
        </w:rPr>
        <w:t>OFT</w:t>
      </w:r>
      <w:r w:rsidR="00B9379B">
        <w:rPr>
          <w:rFonts w:ascii="Cambria" w:hAnsi="Cambria"/>
        </w:rPr>
        <w:t>1</w:t>
      </w:r>
      <w:r w:rsidR="0075396D">
        <w:rPr>
          <w:rFonts w:ascii="Cambria" w:hAnsi="Cambria"/>
        </w:rPr>
        <w:t xml:space="preserve"> </w:t>
      </w:r>
      <w:r w:rsidR="005A67D5" w:rsidRPr="00B10223">
        <w:rPr>
          <w:rFonts w:ascii="Cambria" w:hAnsi="Cambria"/>
        </w:rPr>
        <w:t>focus</w:t>
      </w:r>
      <w:r w:rsidR="00B9379B">
        <w:rPr>
          <w:rFonts w:ascii="Cambria" w:hAnsi="Cambria"/>
        </w:rPr>
        <w:t>ed</w:t>
      </w:r>
      <w:r w:rsidR="005A67D5" w:rsidRPr="00B10223">
        <w:rPr>
          <w:rFonts w:ascii="Cambria" w:hAnsi="Cambria"/>
        </w:rPr>
        <w:t xml:space="preserve">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662039">
        <w:rPr>
          <w:rFonts w:ascii="Cambria" w:hAnsi="Cambria"/>
        </w:rPr>
        <w:t>Base Year</w:t>
      </w:r>
      <w:r w:rsidR="00B9379B">
        <w:rPr>
          <w:rFonts w:ascii="Cambria" w:hAnsi="Cambria"/>
        </w:rPr>
        <w:t xml:space="preserve"> </w:t>
      </w:r>
      <w:r w:rsidR="00B10223" w:rsidRPr="00B10223">
        <w:rPr>
          <w:rFonts w:ascii="Cambria" w:hAnsi="Cambria"/>
        </w:rPr>
        <w:t xml:space="preserve">materials and procedures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00496F57">
        <w:rPr>
          <w:rFonts w:ascii="Cambria" w:hAnsi="Cambria"/>
        </w:rPr>
        <w:t>MS1 and OFT2 were</w:t>
      </w:r>
      <w:r w:rsidR="004054AD">
        <w:rPr>
          <w:rFonts w:ascii="Cambria" w:hAnsi="Cambria"/>
        </w:rPr>
        <w:t xml:space="preserve"> </w:t>
      </w:r>
      <w:r w:rsidR="00435076">
        <w:rPr>
          <w:rFonts w:ascii="Cambria" w:hAnsi="Cambria"/>
        </w:rPr>
        <w:t>conducted from January through July 2018.</w:t>
      </w:r>
      <w:r w:rsidR="00991419">
        <w:rPr>
          <w:rFonts w:ascii="Cambria" w:hAnsi="Cambria"/>
        </w:rPr>
        <w:t xml:space="preserve"> </w:t>
      </w:r>
      <w:r w:rsidR="00F8731A">
        <w:rPr>
          <w:rFonts w:ascii="Cambria" w:hAnsi="Cambria"/>
        </w:rPr>
        <w:t>OFT2</w:t>
      </w:r>
      <w:r w:rsidR="00435076">
        <w:rPr>
          <w:rFonts w:ascii="Cambria" w:hAnsi="Cambria"/>
        </w:rPr>
        <w:t xml:space="preserve"> </w:t>
      </w:r>
      <w:r w:rsidR="00F8731A">
        <w:rPr>
          <w:rFonts w:ascii="Cambria" w:hAnsi="Cambria"/>
        </w:rPr>
        <w:t>provide</w:t>
      </w:r>
      <w:r w:rsidR="00435076">
        <w:rPr>
          <w:rFonts w:ascii="Cambria" w:hAnsi="Cambria"/>
        </w:rPr>
        <w:t>d</w:t>
      </w:r>
      <w:r w:rsidR="00F8731A">
        <w:rPr>
          <w:rFonts w:ascii="Cambria" w:hAnsi="Cambria"/>
        </w:rPr>
        <w:t xml:space="preserve"> an opportunity to do further refinement of </w:t>
      </w:r>
      <w:r w:rsidR="00E248B3">
        <w:rPr>
          <w:rFonts w:ascii="Cambria" w:hAnsi="Cambria"/>
        </w:rPr>
        <w:t xml:space="preserve">surveys and assessments </w:t>
      </w:r>
      <w:r w:rsidR="00C06D95">
        <w:rPr>
          <w:rFonts w:ascii="Cambria" w:hAnsi="Cambria"/>
        </w:rPr>
        <w:t xml:space="preserve">and test out the procedures for </w:t>
      </w:r>
      <w:r w:rsidR="00E248B3">
        <w:rPr>
          <w:rFonts w:ascii="Cambria" w:hAnsi="Cambria"/>
        </w:rPr>
        <w:t>recruiting schools, tracking students, and collecting student data in and out of the school setting.</w:t>
      </w:r>
    </w:p>
    <w:p w14:paraId="60F82BBB" w14:textId="77777777" w:rsidR="00B427AD" w:rsidRPr="00BA441F" w:rsidRDefault="00B427AD" w:rsidP="00B427AD">
      <w:pPr>
        <w:pStyle w:val="Heading2"/>
        <w:spacing w:before="0" w:after="120" w:line="23" w:lineRule="atLeast"/>
        <w:rPr>
          <w:rFonts w:ascii="Cambria" w:hAnsi="Cambria"/>
        </w:rPr>
      </w:pPr>
      <w:bookmarkStart w:id="7" w:name="_Toc412022722"/>
      <w:bookmarkStart w:id="8" w:name="_Toc521406220"/>
      <w:r w:rsidRPr="00BA441F">
        <w:rPr>
          <w:rFonts w:ascii="Cambria" w:hAnsi="Cambria"/>
        </w:rPr>
        <w:t>A.2 Purposes and Uses of Data</w:t>
      </w:r>
      <w:bookmarkEnd w:id="7"/>
      <w:bookmarkEnd w:id="8"/>
    </w:p>
    <w:p w14:paraId="2BB2909B" w14:textId="0E81AE6E" w:rsidR="00F16733" w:rsidRDefault="004E1A49" w:rsidP="00DA0B10">
      <w:pPr>
        <w:spacing w:line="240" w:lineRule="auto"/>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00C30735" w:rsidRPr="001E1D6A">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7C6264D2" w14:textId="77777777" w:rsidR="003625D4" w:rsidRPr="003625D4" w:rsidRDefault="00C74DE9" w:rsidP="001673DA">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65C2B650" w14:textId="432BFB53"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00C63F43" w:rsidRPr="003625D4">
        <w:rPr>
          <w:rFonts w:ascii="Cambria" w:hAnsi="Cambria"/>
          <w:sz w:val="22"/>
          <w:szCs w:val="22"/>
        </w:rPr>
        <w:t xml:space="preserve"> </w:t>
      </w:r>
      <w:r w:rsidRPr="003625D4">
        <w:rPr>
          <w:rFonts w:ascii="Cambria" w:hAnsi="Cambria"/>
          <w:sz w:val="22"/>
          <w:szCs w:val="22"/>
        </w:rPr>
        <w:t xml:space="preserve">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79D8F5CC" w14:textId="77777777"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35A920A" w14:textId="77777777"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14A15816" w14:textId="77777777"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0CBCFE4A" w14:textId="77777777"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49741C7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06761626" w14:textId="77777777"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7B3C5364" w14:textId="77777777"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54582E3F" w14:textId="77777777" w:rsidR="00ED7C90" w:rsidRDefault="00336309" w:rsidP="00336309">
      <w:pPr>
        <w:spacing w:after="120"/>
        <w:rPr>
          <w:rFonts w:ascii="Cambria" w:hAnsi="Cambria"/>
        </w:rPr>
      </w:pPr>
      <w:bookmarkStart w:id="9" w:name="_Toc412022723"/>
      <w:r>
        <w:rPr>
          <w:rFonts w:ascii="Cambria" w:hAnsi="Cambria"/>
        </w:rPr>
        <w:t>The study design includes direct measurement of students during a student session that includes the following assessments and surveys:</w:t>
      </w:r>
    </w:p>
    <w:p w14:paraId="55F2F7BC" w14:textId="01DC7ACF"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14:paraId="6516C0C2" w14:textId="77777777"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34EDCE09"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2205F6E7"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59DDC845" w14:textId="77777777" w:rsidR="00336309" w:rsidRDefault="00336309" w:rsidP="001673DA">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2C58DC6E"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680D27DF" w14:textId="77777777"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5BBF93E4"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5F9971A9" w14:textId="509B47C6"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14:paraId="1CAA4673"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4B5D6C63"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5A13FE29"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C0A4FD3" w14:textId="77777777" w:rsidR="00B427AD" w:rsidRPr="00BA441F" w:rsidRDefault="00B427AD" w:rsidP="00B427AD">
      <w:pPr>
        <w:pStyle w:val="Heading2"/>
        <w:spacing w:before="0" w:after="120" w:line="23" w:lineRule="atLeast"/>
        <w:rPr>
          <w:rFonts w:ascii="Cambria" w:hAnsi="Cambria"/>
        </w:rPr>
      </w:pPr>
      <w:bookmarkStart w:id="10" w:name="_Toc521406221"/>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9"/>
      <w:bookmarkEnd w:id="10"/>
    </w:p>
    <w:p w14:paraId="42A51ED4" w14:textId="77777777"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539C884D"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3725D148" w14:textId="60574055"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2C74D0">
        <w:rPr>
          <w:rFonts w:ascii="Cambria" w:hAnsi="Cambria"/>
          <w:sz w:val="22"/>
          <w:szCs w:val="22"/>
        </w:rPr>
        <w:t xml:space="preserve">used for MS1 </w:t>
      </w:r>
      <w:r w:rsidR="00FB2224">
        <w:rPr>
          <w:rFonts w:ascii="Cambria" w:hAnsi="Cambria"/>
          <w:sz w:val="22"/>
          <w:szCs w:val="22"/>
        </w:rPr>
        <w:t xml:space="preserve">students in </w:t>
      </w:r>
      <w:r w:rsidR="002C74D0">
        <w:rPr>
          <w:rFonts w:ascii="Cambria" w:hAnsi="Cambria"/>
          <w:sz w:val="22"/>
          <w:szCs w:val="22"/>
        </w:rPr>
        <w:t>schools that only allow an “out-of-school” data collection and for</w:t>
      </w:r>
      <w:r w:rsidR="00F476AB">
        <w:rPr>
          <w:rFonts w:ascii="Cambria" w:hAnsi="Cambria"/>
          <w:sz w:val="22"/>
          <w:szCs w:val="22"/>
        </w:rPr>
        <w:t xml:space="preserve"> OFT2 students </w:t>
      </w:r>
      <w:r w:rsidR="00FB2224">
        <w:rPr>
          <w:rFonts w:ascii="Cambria" w:hAnsi="Cambria"/>
          <w:sz w:val="22"/>
          <w:szCs w:val="22"/>
        </w:rPr>
        <w:t xml:space="preserve">that </w:t>
      </w:r>
      <w:r w:rsidR="002C74D0">
        <w:rPr>
          <w:rFonts w:ascii="Cambria" w:hAnsi="Cambria"/>
          <w:sz w:val="22"/>
          <w:szCs w:val="22"/>
        </w:rPr>
        <w:t>requir</w:t>
      </w:r>
      <w:r w:rsidR="00FB2224">
        <w:rPr>
          <w:rFonts w:ascii="Cambria" w:hAnsi="Cambria"/>
          <w:sz w:val="22"/>
          <w:szCs w:val="22"/>
        </w:rPr>
        <w:t>e</w:t>
      </w:r>
      <w:r w:rsidR="00F476AB">
        <w:rPr>
          <w:rFonts w:ascii="Cambria" w:hAnsi="Cambria"/>
          <w:sz w:val="22"/>
          <w:szCs w:val="22"/>
        </w:rPr>
        <w:t xml:space="preserve"> “out-of-school” data collection because they attend schools with fewer than 4 sample members</w:t>
      </w:r>
      <w:r w:rsidRPr="002B0748">
        <w:rPr>
          <w:rFonts w:ascii="Cambria" w:hAnsi="Cambria"/>
          <w:sz w:val="22"/>
          <w:szCs w:val="22"/>
        </w:rPr>
        <w:t>.</w:t>
      </w:r>
      <w:r w:rsidR="00991419">
        <w:rPr>
          <w:rFonts w:ascii="Cambria" w:hAnsi="Cambria"/>
          <w:sz w:val="22"/>
          <w:szCs w:val="22"/>
        </w:rPr>
        <w:t xml:space="preserve"> </w:t>
      </w:r>
      <w:r w:rsidR="00344970">
        <w:rPr>
          <w:rFonts w:ascii="Cambria" w:hAnsi="Cambria"/>
          <w:sz w:val="22"/>
          <w:szCs w:val="22"/>
        </w:rPr>
        <w:t xml:space="preserve">Out-of- school data collection will also be conducted with MS2 students </w:t>
      </w:r>
      <w:r w:rsidR="00C236CF">
        <w:rPr>
          <w:rFonts w:ascii="Cambria" w:hAnsi="Cambria"/>
          <w:sz w:val="22"/>
          <w:szCs w:val="22"/>
        </w:rPr>
        <w:t xml:space="preserve">(a) </w:t>
      </w:r>
      <w:r w:rsidR="00344970">
        <w:rPr>
          <w:rFonts w:ascii="Cambria" w:hAnsi="Cambria"/>
          <w:sz w:val="22"/>
          <w:szCs w:val="22"/>
        </w:rPr>
        <w:t>who</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 and </w:t>
      </w:r>
      <w:r w:rsidR="00C236CF">
        <w:rPr>
          <w:rFonts w:ascii="Cambria" w:hAnsi="Cambria"/>
          <w:sz w:val="22"/>
          <w:szCs w:val="22"/>
        </w:rPr>
        <w:t xml:space="preserve">(b) those who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40DA92CB" w14:textId="012B84D3" w:rsidR="00F06588" w:rsidRPr="003C50D9" w:rsidRDefault="00F06588" w:rsidP="00763DEC">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14:paraId="1C3E5535" w14:textId="77777777"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1E579578" w14:textId="77777777" w:rsidR="00B427AD" w:rsidRPr="00BA441F" w:rsidRDefault="00B427AD" w:rsidP="00CC6479">
      <w:pPr>
        <w:pStyle w:val="Heading2"/>
        <w:spacing w:before="0" w:after="120" w:line="23" w:lineRule="atLeast"/>
        <w:rPr>
          <w:rFonts w:ascii="Cambria" w:hAnsi="Cambria"/>
        </w:rPr>
      </w:pPr>
      <w:bookmarkStart w:id="11" w:name="_Toc412022724"/>
      <w:bookmarkStart w:id="12" w:name="_Toc521406222"/>
      <w:r w:rsidRPr="00BA441F">
        <w:rPr>
          <w:rFonts w:ascii="Cambria" w:hAnsi="Cambria"/>
        </w:rPr>
        <w:t>A.4 Efforts to Identify Duplication</w:t>
      </w:r>
      <w:bookmarkEnd w:id="11"/>
      <w:bookmarkEnd w:id="12"/>
    </w:p>
    <w:p w14:paraId="210DCD73" w14:textId="77777777"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298F78BD" w14:textId="77777777"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0017BAD6"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296764DB" w14:textId="77777777" w:rsidR="00B427AD" w:rsidRPr="00BA441F" w:rsidRDefault="00B427AD" w:rsidP="00B427AD">
      <w:pPr>
        <w:pStyle w:val="Heading2"/>
        <w:spacing w:before="0" w:after="120" w:line="23" w:lineRule="atLeast"/>
        <w:rPr>
          <w:rFonts w:ascii="Cambria" w:hAnsi="Cambria"/>
        </w:rPr>
      </w:pPr>
      <w:bookmarkStart w:id="13" w:name="_Toc412022725"/>
      <w:bookmarkStart w:id="14" w:name="_Toc521406223"/>
      <w:r w:rsidRPr="00BA441F">
        <w:rPr>
          <w:rFonts w:ascii="Cambria" w:hAnsi="Cambria"/>
        </w:rPr>
        <w:t>A.5 Minimizing Burden for Small Entities</w:t>
      </w:r>
      <w:bookmarkEnd w:id="13"/>
      <w:bookmarkEnd w:id="14"/>
    </w:p>
    <w:p w14:paraId="7E94F97A"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3433B595" w14:textId="77777777" w:rsidR="00B427AD" w:rsidRPr="00BA441F" w:rsidRDefault="00B427AD" w:rsidP="00B427AD">
      <w:pPr>
        <w:pStyle w:val="Heading2"/>
        <w:spacing w:before="0" w:after="120" w:line="23" w:lineRule="atLeast"/>
        <w:rPr>
          <w:rFonts w:ascii="Cambria" w:hAnsi="Cambria"/>
        </w:rPr>
      </w:pPr>
      <w:bookmarkStart w:id="15" w:name="_Toc412022726"/>
      <w:bookmarkStart w:id="16" w:name="_Toc521406224"/>
      <w:r w:rsidRPr="00BA441F">
        <w:rPr>
          <w:rFonts w:ascii="Cambria" w:hAnsi="Cambria"/>
        </w:rPr>
        <w:t>A.6 Frequency of Data Collection</w:t>
      </w:r>
      <w:bookmarkEnd w:id="15"/>
      <w:bookmarkEnd w:id="16"/>
    </w:p>
    <w:p w14:paraId="4D51F841" w14:textId="63537B49" w:rsidR="005657E2" w:rsidRDefault="00D67CBB" w:rsidP="00364264">
      <w:pPr>
        <w:widowControl w:val="0"/>
        <w:spacing w:after="120" w:line="23" w:lineRule="atLeast"/>
        <w:rPr>
          <w:rFonts w:ascii="Cambria" w:hAnsi="Cambria"/>
        </w:rPr>
      </w:pPr>
      <w:r w:rsidRPr="00D67CBB">
        <w:rPr>
          <w:rFonts w:ascii="Cambria" w:hAnsi="Cambria"/>
        </w:rPr>
        <w:t xml:space="preserve">The MGLS:2017 MS1 data collection </w:t>
      </w:r>
      <w:r>
        <w:rPr>
          <w:rFonts w:ascii="Cambria" w:hAnsi="Cambria"/>
        </w:rPr>
        <w:t>will</w:t>
      </w:r>
      <w:r w:rsidRPr="00D67CBB">
        <w:rPr>
          <w:rFonts w:ascii="Cambria" w:hAnsi="Cambria"/>
        </w:rPr>
        <w:t xml:space="preserve"> take place from January through July of 2018. Tracking activities for OFT2 will occur from August 2017 through May 2018, and data collection from January through </w:t>
      </w:r>
      <w:r w:rsidR="005657E2">
        <w:rPr>
          <w:rFonts w:ascii="Cambria" w:hAnsi="Cambria"/>
        </w:rPr>
        <w:t xml:space="preserve">July of 2018. </w:t>
      </w:r>
      <w:r w:rsidR="005657E2" w:rsidRPr="005657E2">
        <w:rPr>
          <w:rFonts w:ascii="Cambria" w:hAnsi="Cambria"/>
        </w:rPr>
        <w:t xml:space="preserve">Tracking activities for OFT3 will occur from September 2018 through May 2019. </w:t>
      </w:r>
      <w:r w:rsidR="00E063AA" w:rsidRPr="00224996">
        <w:rPr>
          <w:rFonts w:ascii="Cambria" w:hAnsi="Cambria"/>
        </w:rPr>
        <w:t xml:space="preserve">MS2 tracking will take place from </w:t>
      </w:r>
      <w:r w:rsidR="00E063AA">
        <w:rPr>
          <w:rFonts w:ascii="Cambria" w:hAnsi="Cambria"/>
        </w:rPr>
        <w:t>September</w:t>
      </w:r>
      <w:r w:rsidR="00E063AA" w:rsidRPr="00224996">
        <w:rPr>
          <w:rFonts w:ascii="Cambria" w:hAnsi="Cambria"/>
        </w:rPr>
        <w:t xml:space="preserve"> 2018 through May 20</w:t>
      </w:r>
      <w:r w:rsidR="00E063AA">
        <w:rPr>
          <w:rFonts w:ascii="Cambria" w:hAnsi="Cambria"/>
        </w:rPr>
        <w:t xml:space="preserve">20 and will be carried out in multiple </w:t>
      </w:r>
      <w:r w:rsidR="00276F11">
        <w:rPr>
          <w:rFonts w:ascii="Cambria" w:hAnsi="Cambria"/>
        </w:rPr>
        <w:t>rounds</w:t>
      </w:r>
      <w:r w:rsidR="00E063AA">
        <w:rPr>
          <w:rFonts w:ascii="Cambria" w:hAnsi="Cambria"/>
        </w:rPr>
        <w:t xml:space="preserve">. The final details of the MS2 tracking plan, particularly </w:t>
      </w:r>
      <w:r w:rsidR="002816DA" w:rsidRPr="002816DA">
        <w:rPr>
          <w:rFonts w:ascii="Cambria" w:hAnsi="Cambria"/>
        </w:rPr>
        <w:t xml:space="preserve">the activities </w:t>
      </w:r>
      <w:r w:rsidR="00E063AA">
        <w:rPr>
          <w:rFonts w:ascii="Cambria" w:hAnsi="Cambria"/>
        </w:rPr>
        <w:t>to take place in 2019 and 2020, will be provided in the October 2018 submission</w:t>
      </w:r>
      <w:r w:rsidR="00E063AA" w:rsidRPr="00224996">
        <w:rPr>
          <w:rFonts w:ascii="Cambria" w:hAnsi="Cambria"/>
        </w:rPr>
        <w:t xml:space="preserve"> (</w:t>
      </w:r>
      <w:r w:rsidR="00E063AA">
        <w:rPr>
          <w:rFonts w:ascii="Cambria" w:hAnsi="Cambria"/>
        </w:rPr>
        <w:t>OMB# 1850-0911 v.21)</w:t>
      </w:r>
      <w:r w:rsidR="00E063AA" w:rsidRPr="00224996">
        <w:rPr>
          <w:rFonts w:ascii="Cambria" w:hAnsi="Cambria"/>
        </w:rPr>
        <w:t>. MS2 data collection will occur from January through July of 2020</w:t>
      </w:r>
      <w:r w:rsidR="00587E90">
        <w:rPr>
          <w:rFonts w:ascii="Cambria" w:hAnsi="Cambria"/>
        </w:rPr>
        <w:t>.</w:t>
      </w:r>
    </w:p>
    <w:p w14:paraId="6135508B" w14:textId="2554926F" w:rsidR="00B427AD" w:rsidRPr="00BA441F" w:rsidRDefault="00B427AD" w:rsidP="00B427AD">
      <w:pPr>
        <w:pStyle w:val="Heading2"/>
        <w:spacing w:before="0" w:after="120" w:line="23" w:lineRule="atLeast"/>
        <w:rPr>
          <w:rFonts w:ascii="Cambria" w:hAnsi="Cambria"/>
        </w:rPr>
      </w:pPr>
      <w:bookmarkStart w:id="17" w:name="_Toc412022727"/>
      <w:bookmarkStart w:id="18" w:name="_Toc521406225"/>
      <w:r w:rsidRPr="00BA441F">
        <w:rPr>
          <w:rFonts w:ascii="Cambria" w:hAnsi="Cambria"/>
        </w:rPr>
        <w:t>A.7 Special Circumstances</w:t>
      </w:r>
      <w:bookmarkEnd w:id="17"/>
      <w:bookmarkEnd w:id="18"/>
    </w:p>
    <w:p w14:paraId="555FD39D" w14:textId="32E36A58" w:rsidR="00B427AD" w:rsidRPr="00BA441F" w:rsidRDefault="008C3E6C" w:rsidP="00B427AD">
      <w:pPr>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00B427AD" w:rsidRPr="00BA441F">
        <w:rPr>
          <w:rFonts w:ascii="Cambria" w:hAnsi="Cambria"/>
        </w:rPr>
        <w:t>.</w:t>
      </w:r>
    </w:p>
    <w:p w14:paraId="5846162F" w14:textId="5A20A304" w:rsidR="00B427AD" w:rsidRPr="00BA441F" w:rsidRDefault="00B427AD" w:rsidP="00B427AD">
      <w:pPr>
        <w:pStyle w:val="Heading2"/>
        <w:spacing w:before="0" w:after="120" w:line="23" w:lineRule="atLeast"/>
        <w:rPr>
          <w:rFonts w:ascii="Cambria" w:hAnsi="Cambria"/>
        </w:rPr>
      </w:pPr>
      <w:bookmarkStart w:id="19" w:name="_Toc412022728"/>
      <w:bookmarkStart w:id="20" w:name="_Toc521406226"/>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19"/>
      <w:bookmarkEnd w:id="20"/>
    </w:p>
    <w:p w14:paraId="13CDF559" w14:textId="77777777" w:rsidR="00B427AD" w:rsidRPr="00BA441F" w:rsidRDefault="00B427AD" w:rsidP="00CF73F6">
      <w:pPr>
        <w:widowControl w:val="0"/>
        <w:spacing w:after="120" w:line="23" w:lineRule="atLeast"/>
        <w:rPr>
          <w:rFonts w:ascii="Cambria" w:hAnsi="Cambria"/>
        </w:rPr>
      </w:pPr>
      <w:bookmarkStart w:id="21" w:name="_Toc379806377"/>
      <w:r w:rsidRPr="00BA441F">
        <w:rPr>
          <w:rFonts w:ascii="Cambria" w:hAnsi="Cambria"/>
        </w:rPr>
        <w:t>Content experts have been consulted in the development of the assessments and questionnaires. These experts are listed by name, affiliation, and expertise in table 1.</w:t>
      </w:r>
    </w:p>
    <w:p w14:paraId="5F4A1CDD" w14:textId="77777777"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1CEB2AA0" w14:textId="77777777" w:rsidTr="00314B01">
        <w:trPr>
          <w:cantSplit/>
          <w:trHeight w:val="144"/>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1"/>
          <w:p w14:paraId="394239B4" w14:textId="77777777" w:rsidR="00B427AD" w:rsidRPr="00154382" w:rsidRDefault="00B427AD" w:rsidP="00984491">
            <w:pPr>
              <w:pStyle w:val="NoSpacing"/>
              <w:keepNext/>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3CAC8C0D" w14:textId="77777777" w:rsidR="00B427AD" w:rsidRPr="00154382" w:rsidRDefault="00B427AD" w:rsidP="00984491">
            <w:pPr>
              <w:pStyle w:val="NoSpacing"/>
              <w:keepNext/>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4285AA83" w14:textId="77777777" w:rsidR="00B427AD" w:rsidRPr="00154382" w:rsidRDefault="00B427AD" w:rsidP="00984491">
            <w:pPr>
              <w:pStyle w:val="NoSpacing"/>
              <w:keepNext/>
              <w:rPr>
                <w:b/>
                <w:sz w:val="20"/>
                <w:szCs w:val="20"/>
              </w:rPr>
            </w:pPr>
            <w:r w:rsidRPr="00154382">
              <w:rPr>
                <w:b/>
                <w:sz w:val="20"/>
                <w:szCs w:val="20"/>
              </w:rPr>
              <w:t>Expertise</w:t>
            </w:r>
          </w:p>
        </w:tc>
      </w:tr>
      <w:tr w:rsidR="00B427AD" w:rsidRPr="00651C99" w14:paraId="12EA2BB0" w14:textId="77777777" w:rsidTr="00314B01">
        <w:trPr>
          <w:cantSplit/>
          <w:trHeight w:val="144"/>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4CEF719" w14:textId="77777777" w:rsidR="00B427AD" w:rsidRPr="00651C99" w:rsidRDefault="00B427AD" w:rsidP="00984491">
            <w:pPr>
              <w:pStyle w:val="NoSpacing"/>
              <w:keepNext/>
              <w:rPr>
                <w:sz w:val="20"/>
                <w:szCs w:val="20"/>
              </w:rPr>
            </w:pPr>
            <w:r w:rsidRPr="00651C99">
              <w:rPr>
                <w:sz w:val="20"/>
                <w:szCs w:val="20"/>
              </w:rPr>
              <w:t>Mathematics Assessment Content Review Panel (June 18–19, 2013)</w:t>
            </w:r>
          </w:p>
        </w:tc>
      </w:tr>
      <w:tr w:rsidR="00F25BC6" w:rsidRPr="00154382" w14:paraId="05830139"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C9ABBDB"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17258DE3"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16C10254" w14:textId="77777777" w:rsidR="00B427AD" w:rsidRPr="00154382" w:rsidRDefault="00B427AD" w:rsidP="00984491">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3066A26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DD29DBC" w14:textId="77777777" w:rsidR="00B427AD" w:rsidRPr="00154382" w:rsidRDefault="00B427AD" w:rsidP="00984491">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63F9E759" w14:textId="77777777" w:rsidR="00B427AD" w:rsidRPr="00154382" w:rsidRDefault="00B427AD" w:rsidP="00984491">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052D2810"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10AF60A6"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71839D" w14:textId="77777777" w:rsidR="00B427AD" w:rsidRPr="00154382" w:rsidRDefault="00B427AD" w:rsidP="00984491">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59D30656" w14:textId="77777777" w:rsidR="00B427AD" w:rsidRPr="00154382" w:rsidRDefault="00B427AD" w:rsidP="00984491">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0FA6E517"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6CD81AE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31B8A1C"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28E2ACA"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630C6052"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3E7119C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98E00F1" w14:textId="77777777" w:rsidR="00B427AD" w:rsidRPr="00154382" w:rsidRDefault="00B427AD" w:rsidP="00984491">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17C6E75C" w14:textId="77777777" w:rsidR="00B427AD" w:rsidRPr="00154382" w:rsidRDefault="00B427AD" w:rsidP="00984491">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44A664AD" w14:textId="77777777" w:rsidR="00B427AD" w:rsidRPr="00154382" w:rsidRDefault="00B427AD" w:rsidP="00984491">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ADDCFF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3F7252A" w14:textId="77777777" w:rsidR="00B427AD" w:rsidRPr="00154382" w:rsidRDefault="00B427AD" w:rsidP="00984491">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0B597A60" w14:textId="77777777" w:rsidR="00B427AD" w:rsidRPr="00154382" w:rsidRDefault="00B427AD" w:rsidP="00984491">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02B87E9C"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413DADD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A7FC712" w14:textId="77777777" w:rsidR="00B427AD" w:rsidRPr="00154382" w:rsidRDefault="00B427AD" w:rsidP="00984491">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0304B8A9" w14:textId="77777777" w:rsidR="00B427AD" w:rsidRPr="00154382" w:rsidRDefault="00B427AD" w:rsidP="00984491">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672CEAEF" w14:textId="77777777" w:rsidR="00B427AD" w:rsidRPr="00154382" w:rsidRDefault="00B427AD" w:rsidP="00984491">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2469B6E6" w14:textId="77777777" w:rsidTr="00314B01">
        <w:trPr>
          <w:cantSplit/>
          <w:trHeight w:val="144"/>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7643DC5C" w14:textId="77777777" w:rsidR="00B427AD" w:rsidRPr="00154382" w:rsidRDefault="00B427AD" w:rsidP="00984491">
            <w:pPr>
              <w:pStyle w:val="NoSpacing"/>
              <w:rPr>
                <w:sz w:val="20"/>
                <w:szCs w:val="20"/>
              </w:rPr>
            </w:pPr>
            <w:r w:rsidRPr="00154382">
              <w:rPr>
                <w:sz w:val="20"/>
                <w:szCs w:val="20"/>
              </w:rPr>
              <w:t>Executive Function Content Review Panel (July 18, 2013)</w:t>
            </w:r>
          </w:p>
        </w:tc>
      </w:tr>
      <w:tr w:rsidR="00F25BC6" w:rsidRPr="00154382" w14:paraId="576343AB"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69A6A9A" w14:textId="77777777" w:rsidR="00B427AD" w:rsidRPr="00154382" w:rsidRDefault="00B427AD" w:rsidP="00984491">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6CF84FA3" w14:textId="77777777" w:rsidR="00B427AD" w:rsidRPr="00154382" w:rsidRDefault="00B427AD" w:rsidP="00984491">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0D141B2D" w14:textId="77777777" w:rsidR="00B427AD" w:rsidRPr="00154382" w:rsidRDefault="00B427AD" w:rsidP="00984491">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2F3117F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627EB6A" w14:textId="77777777" w:rsidR="00B427AD" w:rsidRPr="00154382" w:rsidRDefault="00B427AD"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147EF164" w14:textId="77777777" w:rsidR="00B427AD" w:rsidRPr="00154382" w:rsidRDefault="00B427AD" w:rsidP="00984491">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64FF3F6D" w14:textId="77777777" w:rsidR="00B427AD" w:rsidRPr="00154382" w:rsidRDefault="00B427AD" w:rsidP="00984491">
            <w:pPr>
              <w:pStyle w:val="NoSpacing"/>
              <w:rPr>
                <w:sz w:val="20"/>
                <w:szCs w:val="20"/>
              </w:rPr>
            </w:pPr>
            <w:r w:rsidRPr="00154382">
              <w:rPr>
                <w:sz w:val="20"/>
                <w:szCs w:val="20"/>
              </w:rPr>
              <w:t>Adolescent risk taking</w:t>
            </w:r>
          </w:p>
        </w:tc>
      </w:tr>
      <w:tr w:rsidR="00F25BC6" w:rsidRPr="00154382" w14:paraId="564DAD97"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971DACB"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6FE352B8"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7EE946CA"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B427AD" w:rsidRPr="00154382" w14:paraId="6B581443" w14:textId="77777777" w:rsidTr="00314B01">
        <w:trPr>
          <w:cantSplit/>
          <w:trHeight w:val="144"/>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7D095D95" w14:textId="77777777" w:rsidR="00B427AD" w:rsidRPr="00154382" w:rsidRDefault="00B427AD" w:rsidP="00984491">
            <w:pPr>
              <w:pStyle w:val="NoSpacing"/>
              <w:rPr>
                <w:sz w:val="20"/>
                <w:szCs w:val="20"/>
              </w:rPr>
            </w:pPr>
            <w:r w:rsidRPr="00154382">
              <w:rPr>
                <w:sz w:val="20"/>
                <w:szCs w:val="20"/>
              </w:rPr>
              <w:t>Socioemotional-Student-Family Content Review Panel (July 25–26, 2013)</w:t>
            </w:r>
          </w:p>
        </w:tc>
      </w:tr>
      <w:tr w:rsidR="00F25BC6" w:rsidRPr="00154382" w14:paraId="570AB2B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D0E475A"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7D408A9"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C5D0161"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F25BC6" w:rsidRPr="00154382" w14:paraId="540D6B5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077E7F5" w14:textId="77777777" w:rsidR="00B427AD" w:rsidRPr="00154382" w:rsidRDefault="00B427AD" w:rsidP="00984491">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230A800A" w14:textId="77777777" w:rsidR="00B427AD" w:rsidRPr="00154382" w:rsidRDefault="00B427AD" w:rsidP="00984491">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4DED7E5" w14:textId="77777777" w:rsidR="00B427AD" w:rsidRPr="00154382" w:rsidRDefault="00B427AD" w:rsidP="00984491">
            <w:pPr>
              <w:pStyle w:val="NoSpacing"/>
              <w:rPr>
                <w:sz w:val="20"/>
                <w:szCs w:val="20"/>
              </w:rPr>
            </w:pPr>
            <w:r w:rsidRPr="00154382">
              <w:rPr>
                <w:sz w:val="20"/>
                <w:szCs w:val="20"/>
              </w:rPr>
              <w:t>School dropouts, ethnic and language minority student achievement</w:t>
            </w:r>
          </w:p>
        </w:tc>
      </w:tr>
      <w:tr w:rsidR="00F25BC6" w:rsidRPr="00154382" w14:paraId="003AA8F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1DBF22D" w14:textId="77777777" w:rsidR="00B427AD" w:rsidRPr="00154382" w:rsidRDefault="00B427AD" w:rsidP="00984491">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0DE66EB5" w14:textId="77777777" w:rsidR="00B427AD" w:rsidRPr="00154382" w:rsidRDefault="00B427AD" w:rsidP="00984491">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5C31DEBC" w14:textId="77777777" w:rsidR="00B427AD" w:rsidRPr="00154382" w:rsidRDefault="00B427AD" w:rsidP="00984491">
            <w:pPr>
              <w:pStyle w:val="NoSpacing"/>
              <w:rPr>
                <w:sz w:val="20"/>
                <w:szCs w:val="20"/>
              </w:rPr>
            </w:pPr>
            <w:r w:rsidRPr="00154382">
              <w:rPr>
                <w:sz w:val="20"/>
                <w:szCs w:val="20"/>
              </w:rPr>
              <w:t>Family context, adolescence, social policy, community and neighborhood indicators</w:t>
            </w:r>
          </w:p>
        </w:tc>
      </w:tr>
      <w:tr w:rsidR="00F25BC6" w:rsidRPr="00154382" w14:paraId="35217DF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571D1D1"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5A8B2BF2"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2821D628"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6CE09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0E97658" w14:textId="77777777" w:rsidR="00B427AD" w:rsidRPr="00154382" w:rsidRDefault="00B427AD" w:rsidP="00984491">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776DE81B" w14:textId="77777777" w:rsidR="00B427AD" w:rsidRPr="00154382" w:rsidRDefault="00B427AD" w:rsidP="00984491">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4E6E415A" w14:textId="77777777" w:rsidR="00B427AD" w:rsidRPr="00154382" w:rsidRDefault="00B427AD" w:rsidP="00984491">
            <w:pPr>
              <w:pStyle w:val="NoSpacing"/>
              <w:rPr>
                <w:sz w:val="20"/>
                <w:szCs w:val="20"/>
              </w:rPr>
            </w:pPr>
            <w:r w:rsidRPr="00154382">
              <w:rPr>
                <w:sz w:val="20"/>
                <w:szCs w:val="20"/>
              </w:rPr>
              <w:t>Social networking, social skills, longitudinal assessment of at-risk populations</w:t>
            </w:r>
          </w:p>
        </w:tc>
      </w:tr>
      <w:tr w:rsidR="00F25BC6" w:rsidRPr="00154382" w14:paraId="5A935E99"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59407B32" w14:textId="77777777" w:rsidR="00B427AD" w:rsidRPr="00154382" w:rsidRDefault="00B427AD" w:rsidP="00984491">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9C3091B" w14:textId="77777777" w:rsidR="00B427AD" w:rsidRPr="00154382" w:rsidRDefault="00B427AD" w:rsidP="00984491">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40FF69" w14:textId="77777777" w:rsidR="00B427AD" w:rsidRPr="00154382" w:rsidRDefault="00B427AD" w:rsidP="00984491">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0B598BAC"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2A0EC4C" w14:textId="77777777" w:rsidR="00B427AD" w:rsidRPr="00154382" w:rsidRDefault="00B427AD" w:rsidP="00984491">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295FBD8" w14:textId="77777777" w:rsidR="00B427AD" w:rsidRPr="00154382" w:rsidRDefault="00B427AD" w:rsidP="00984491">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EEB7E4F" w14:textId="77777777" w:rsidR="00B427AD" w:rsidRPr="00154382" w:rsidRDefault="00B427AD" w:rsidP="00984491">
            <w:pPr>
              <w:pStyle w:val="NoSpacing"/>
              <w:rPr>
                <w:sz w:val="20"/>
                <w:szCs w:val="20"/>
              </w:rPr>
            </w:pPr>
            <w:r w:rsidRPr="00154382">
              <w:rPr>
                <w:sz w:val="20"/>
                <w:szCs w:val="20"/>
              </w:rPr>
              <w:t>Adolescent development and relationships with peers, families, schools, and communities</w:t>
            </w:r>
          </w:p>
        </w:tc>
      </w:tr>
      <w:tr w:rsidR="00B427AD" w:rsidRPr="00154382" w14:paraId="681D2664" w14:textId="77777777" w:rsidTr="00314B01">
        <w:trPr>
          <w:cantSplit/>
          <w:trHeight w:val="144"/>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054FF957" w14:textId="77777777" w:rsidR="00B427AD" w:rsidRPr="00154382" w:rsidRDefault="00B427AD" w:rsidP="00984491">
            <w:pPr>
              <w:pStyle w:val="NoSpacing"/>
              <w:rPr>
                <w:sz w:val="20"/>
                <w:szCs w:val="20"/>
              </w:rPr>
            </w:pPr>
            <w:r w:rsidRPr="00154382">
              <w:rPr>
                <w:sz w:val="20"/>
                <w:szCs w:val="20"/>
              </w:rPr>
              <w:t>School Administrator Content Review Panel (August 16, 2013)</w:t>
            </w:r>
          </w:p>
        </w:tc>
      </w:tr>
      <w:tr w:rsidR="00F25BC6" w:rsidRPr="00154382" w14:paraId="1A6D674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56B57A"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367CD96B"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6EADBE60"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29AC031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21FF91D" w14:textId="77777777" w:rsidR="00B427AD" w:rsidRPr="00154382" w:rsidRDefault="00B427AD" w:rsidP="00984491">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4FA4C412" w14:textId="77777777" w:rsidR="00B427AD" w:rsidRPr="00154382" w:rsidRDefault="00B427AD" w:rsidP="00984491">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F02CE29" w14:textId="77777777" w:rsidR="00B427AD" w:rsidRPr="00154382" w:rsidRDefault="00B427AD" w:rsidP="00984491">
            <w:pPr>
              <w:pStyle w:val="NoSpacing"/>
              <w:rPr>
                <w:sz w:val="20"/>
                <w:szCs w:val="20"/>
              </w:rPr>
            </w:pPr>
            <w:r w:rsidRPr="00154382">
              <w:rPr>
                <w:sz w:val="20"/>
                <w:szCs w:val="20"/>
              </w:rPr>
              <w:t>Schooling equity and human resources</w:t>
            </w:r>
          </w:p>
        </w:tc>
      </w:tr>
      <w:tr w:rsidR="00F25BC6" w:rsidRPr="00154382" w14:paraId="6B36021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7005211" w14:textId="77777777" w:rsidR="00B427AD" w:rsidRPr="00154382" w:rsidRDefault="00B427AD"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72592A8B" w14:textId="77777777" w:rsidR="00B427AD" w:rsidRPr="00154382" w:rsidRDefault="00B427AD" w:rsidP="00984491">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61C20490" w14:textId="77777777" w:rsidR="00B427AD" w:rsidRPr="00154382" w:rsidRDefault="00B427AD" w:rsidP="00984491">
            <w:pPr>
              <w:pStyle w:val="NoSpacing"/>
              <w:rPr>
                <w:sz w:val="20"/>
                <w:szCs w:val="20"/>
              </w:rPr>
            </w:pPr>
            <w:r w:rsidRPr="00154382">
              <w:rPr>
                <w:sz w:val="20"/>
                <w:szCs w:val="20"/>
              </w:rPr>
              <w:t>School organization, school dropouts</w:t>
            </w:r>
          </w:p>
        </w:tc>
      </w:tr>
      <w:tr w:rsidR="00F25BC6" w:rsidRPr="00154382" w14:paraId="5D5604B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1FA4CC0"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A5F1DEB"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E0B94BE" w14:textId="77777777" w:rsidR="00B427AD" w:rsidRPr="00154382" w:rsidRDefault="00B427AD" w:rsidP="00984491">
            <w:pPr>
              <w:pStyle w:val="NoSpacing"/>
              <w:rPr>
                <w:sz w:val="20"/>
                <w:szCs w:val="20"/>
              </w:rPr>
            </w:pPr>
            <w:r w:rsidRPr="00154382">
              <w:rPr>
                <w:sz w:val="20"/>
                <w:szCs w:val="20"/>
              </w:rPr>
              <w:t>Large urban school system administrator</w:t>
            </w:r>
          </w:p>
        </w:tc>
      </w:tr>
      <w:tr w:rsidR="00F25BC6" w:rsidRPr="00154382" w14:paraId="34E44CD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8004D41"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4EA08FDA"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00BB84DA" w14:textId="77777777" w:rsidR="00B427AD" w:rsidRPr="00154382" w:rsidRDefault="00B427AD" w:rsidP="00984491">
            <w:pPr>
              <w:pStyle w:val="NoSpacing"/>
              <w:rPr>
                <w:sz w:val="20"/>
                <w:szCs w:val="20"/>
              </w:rPr>
            </w:pPr>
            <w:r w:rsidRPr="00154382">
              <w:rPr>
                <w:sz w:val="20"/>
                <w:szCs w:val="20"/>
              </w:rPr>
              <w:t>Policy, math curriculum</w:t>
            </w:r>
          </w:p>
        </w:tc>
      </w:tr>
      <w:tr w:rsidR="00B427AD" w:rsidRPr="00154382" w14:paraId="5F0239F3" w14:textId="77777777" w:rsidTr="00314B01">
        <w:trPr>
          <w:cantSplit/>
          <w:trHeight w:val="144"/>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5642C3F" w14:textId="77777777" w:rsidR="00B427AD" w:rsidRPr="00154382" w:rsidRDefault="00B427AD" w:rsidP="00984491">
            <w:pPr>
              <w:pStyle w:val="NoSpacing"/>
              <w:rPr>
                <w:sz w:val="20"/>
                <w:szCs w:val="20"/>
              </w:rPr>
            </w:pPr>
            <w:r w:rsidRPr="00154382">
              <w:rPr>
                <w:sz w:val="20"/>
                <w:szCs w:val="20"/>
              </w:rPr>
              <w:t>Reading Assessment Content Review Panel ( April 14, 2014)</w:t>
            </w:r>
          </w:p>
        </w:tc>
      </w:tr>
      <w:tr w:rsidR="00F25BC6" w:rsidRPr="00154382" w14:paraId="176E7A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3760554" w14:textId="77777777" w:rsidR="00B427AD" w:rsidRPr="00154382" w:rsidRDefault="00B427AD" w:rsidP="00984491">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11B7507E" w14:textId="77777777" w:rsidR="00B427AD" w:rsidRPr="00154382" w:rsidRDefault="00B427AD" w:rsidP="00984491">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4097B7AF" w14:textId="77777777" w:rsidR="00B427AD" w:rsidRPr="00154382" w:rsidRDefault="00B427AD" w:rsidP="00984491">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2ADF3C51"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44F4D3B" w14:textId="77777777" w:rsidR="00B427AD" w:rsidRPr="00154382" w:rsidRDefault="00B427AD" w:rsidP="00984491">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715287BA" w14:textId="77777777" w:rsidR="00B427AD" w:rsidRPr="00154382" w:rsidRDefault="00B427AD" w:rsidP="00984491">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062DECBA" w14:textId="77777777" w:rsidR="00B427AD" w:rsidRPr="00154382" w:rsidRDefault="00B427AD" w:rsidP="00984491">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07DF594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119B15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1B610A1"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20A8D425" w14:textId="77777777" w:rsidR="00B427AD" w:rsidRPr="00154382" w:rsidRDefault="00B427AD" w:rsidP="00984491">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AD3D9CE" w14:textId="77777777" w:rsidTr="00314B01">
        <w:trPr>
          <w:cantSplit/>
          <w:trHeight w:val="144"/>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E6F9C82" w14:textId="77777777" w:rsidR="00B427AD" w:rsidRPr="00154382" w:rsidRDefault="00B427AD" w:rsidP="00984491">
            <w:pPr>
              <w:pStyle w:val="NoSpacing"/>
              <w:keepNext/>
              <w:rPr>
                <w:sz w:val="20"/>
                <w:szCs w:val="20"/>
              </w:rPr>
            </w:pPr>
            <w:r w:rsidRPr="00154382">
              <w:rPr>
                <w:sz w:val="20"/>
                <w:szCs w:val="20"/>
              </w:rPr>
              <w:t>Disabilities Content Review Panel (April 29, 2014)</w:t>
            </w:r>
          </w:p>
        </w:tc>
      </w:tr>
      <w:tr w:rsidR="00F25BC6" w:rsidRPr="00154382" w14:paraId="25410F2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577E9D" w14:textId="77777777" w:rsidR="00B427AD" w:rsidRPr="00154382" w:rsidRDefault="00B427AD" w:rsidP="00984491">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73A13183" w14:textId="77777777" w:rsidR="00B427AD" w:rsidRPr="00154382" w:rsidRDefault="00B427AD"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09F55EC3" w14:textId="77777777" w:rsidR="00B427AD" w:rsidRPr="00154382" w:rsidRDefault="00B427AD" w:rsidP="00984491">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47546BE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BEFC487" w14:textId="77777777" w:rsidR="00B427AD" w:rsidRPr="00154382" w:rsidRDefault="00B427AD" w:rsidP="00984491">
            <w:pPr>
              <w:pStyle w:val="NoSpacing"/>
              <w:rPr>
                <w:sz w:val="20"/>
                <w:szCs w:val="20"/>
              </w:rPr>
            </w:pPr>
            <w:r w:rsidRPr="00154382">
              <w:rPr>
                <w:sz w:val="20"/>
                <w:szCs w:val="20"/>
              </w:rPr>
              <w:t>Lynn</w:t>
            </w:r>
          </w:p>
          <w:p w14:paraId="48535C10" w14:textId="77777777" w:rsidR="00B427AD" w:rsidRPr="00154382" w:rsidRDefault="00B427AD" w:rsidP="00984491">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0FFB6AB" w14:textId="77777777" w:rsidR="00B427AD" w:rsidRPr="00154382" w:rsidRDefault="00B427AD" w:rsidP="00984491">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2D0F8455" w14:textId="77777777" w:rsidR="00B427AD" w:rsidRPr="00154382" w:rsidRDefault="00B427AD" w:rsidP="00984491">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2EEFD243"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CBD1BAC" w14:textId="77777777" w:rsidR="00B427AD" w:rsidRPr="00154382" w:rsidRDefault="00B427AD" w:rsidP="00984491">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4DDB4E48" w14:textId="77777777" w:rsidR="00B427AD" w:rsidRPr="00154382" w:rsidRDefault="00B427AD" w:rsidP="00984491">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7156EDDB" w14:textId="77777777" w:rsidR="00B427AD" w:rsidRPr="00154382" w:rsidRDefault="00B427AD" w:rsidP="00984491">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0414535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6216C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B1194BB"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C83B71B" w14:textId="77777777" w:rsidR="00B427AD" w:rsidRPr="00154382" w:rsidRDefault="00B427AD" w:rsidP="00984491">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03C4408B"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CCE900" w14:textId="77777777" w:rsidR="00B427AD" w:rsidRPr="00154382" w:rsidRDefault="00B427AD" w:rsidP="00984491">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2135CAC" w14:textId="77777777" w:rsidR="00B427AD" w:rsidRPr="00154382" w:rsidRDefault="00B427AD" w:rsidP="00984491">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BD70ABF" w14:textId="77777777" w:rsidR="00B427AD" w:rsidRPr="00154382" w:rsidRDefault="00B427AD" w:rsidP="00984491">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76D22502"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ECD16A" w14:textId="77777777" w:rsidR="00B427AD" w:rsidRPr="00154382" w:rsidRDefault="00B427AD" w:rsidP="00984491">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A2A9CD6" w14:textId="77777777" w:rsidR="00B427AD" w:rsidRPr="00154382" w:rsidRDefault="00B427AD" w:rsidP="00984491">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FCF829B" w14:textId="77777777" w:rsidR="00B427AD" w:rsidRPr="00154382" w:rsidRDefault="00B427AD" w:rsidP="00984491">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73FEE0CF" w14:textId="77777777" w:rsidTr="00314B01">
        <w:trPr>
          <w:cantSplit/>
          <w:trHeight w:val="144"/>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76E2C079" w14:textId="77777777" w:rsidR="002A3551" w:rsidRPr="00154382" w:rsidRDefault="00374E00" w:rsidP="00984491">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C4D06A0"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140352F9" w14:textId="77777777" w:rsidR="002A3551" w:rsidRPr="00CF73F6" w:rsidRDefault="00F25BC6" w:rsidP="00984491">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5E92D1FA" w14:textId="77777777" w:rsidR="002A3551" w:rsidRPr="00CF73F6" w:rsidRDefault="00F25BC6" w:rsidP="00984491">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418E5483" w14:textId="77777777" w:rsidR="002A3551" w:rsidRPr="00CF73F6" w:rsidRDefault="00F25BC6" w:rsidP="00984491">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1706F3E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203E439" w14:textId="77777777" w:rsidR="006E672A" w:rsidRPr="00CF73F6" w:rsidRDefault="00F25BC6" w:rsidP="00984491">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6A5705BE"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7843C38" w14:textId="77777777" w:rsidR="006E672A" w:rsidRPr="00CF73F6" w:rsidRDefault="00F25BC6" w:rsidP="00984491">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56F2B6FA"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0C8C529" w14:textId="77777777" w:rsidR="002A3551" w:rsidRPr="00CF73F6" w:rsidRDefault="00F25BC6" w:rsidP="00984491">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31406540" w14:textId="77777777" w:rsidR="002A3551" w:rsidRPr="00CF73F6" w:rsidRDefault="00F25BC6" w:rsidP="00984491">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0E791A4D" w14:textId="77777777" w:rsidR="002A3551" w:rsidRPr="00CF73F6" w:rsidRDefault="00F25BC6" w:rsidP="00984491">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0234921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8628374" w14:textId="77777777" w:rsidR="006E672A" w:rsidRPr="00CF73F6" w:rsidRDefault="00F25BC6" w:rsidP="00984491">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3659C738" w14:textId="77777777" w:rsidR="006E672A" w:rsidRPr="00CF73F6" w:rsidRDefault="00F25BC6" w:rsidP="00984491">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D3C6D29" w14:textId="77777777" w:rsidR="006E672A" w:rsidRPr="00CF73F6" w:rsidRDefault="00F25BC6" w:rsidP="00984491">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1E2432C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5D642AB" w14:textId="77777777" w:rsidR="006E672A" w:rsidRPr="00CF73F6" w:rsidRDefault="00F25BC6" w:rsidP="00984491">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77C875AF"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057AA11" w14:textId="77777777" w:rsidR="006E672A" w:rsidRPr="00CF73F6" w:rsidRDefault="00F25BC6" w:rsidP="00984491">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64EE9AF8"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6DBDE080" w14:textId="77777777" w:rsidR="006E672A" w:rsidRPr="00154382" w:rsidRDefault="00F25BC6" w:rsidP="00984491">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285A7C46" w14:textId="77777777" w:rsidR="006E672A" w:rsidRPr="00154382" w:rsidRDefault="00F269B2"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325E40F4" w14:textId="77777777" w:rsidR="006E672A" w:rsidRPr="00154382" w:rsidRDefault="00F25BC6" w:rsidP="00984491">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4696D4BC"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0BBFD21" w14:textId="77777777" w:rsidR="006E672A" w:rsidRPr="00154382" w:rsidRDefault="00F25BC6"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36EA9715" w14:textId="77777777" w:rsidR="006E672A" w:rsidRPr="00154382" w:rsidRDefault="00F25BC6" w:rsidP="00984491">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60B2CE07" w14:textId="77777777" w:rsidR="006E672A" w:rsidRPr="00154382" w:rsidRDefault="00F25BC6" w:rsidP="00984491">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3EA0F3A2"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236C033F" w14:textId="77777777" w:rsidR="006E672A" w:rsidRPr="00154382" w:rsidRDefault="00374E00"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01C53E4A" w14:textId="77777777" w:rsidR="006E672A" w:rsidRPr="00154382" w:rsidRDefault="00FD3FF9" w:rsidP="00984491">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06F34B6B" w14:textId="77777777" w:rsidR="006E672A" w:rsidRPr="00154382" w:rsidRDefault="00FD3FF9" w:rsidP="00984491">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468BE6D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FAF5B52" w14:textId="77777777" w:rsidR="006E672A" w:rsidRPr="00154382" w:rsidRDefault="00374E00" w:rsidP="00984491">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454F1C4D" w14:textId="77777777" w:rsidR="006E672A" w:rsidRPr="00154382" w:rsidRDefault="00FD3FF9"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06FD82B4" w14:textId="77777777" w:rsidR="006E672A" w:rsidRPr="00154382" w:rsidRDefault="00FD3FF9" w:rsidP="00984491">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0024A453" w14:textId="77777777" w:rsidR="00B427AD" w:rsidRPr="00BA441F" w:rsidRDefault="00B427AD" w:rsidP="00B427AD">
      <w:pPr>
        <w:spacing w:after="0"/>
        <w:rPr>
          <w:rFonts w:ascii="Cambria" w:eastAsiaTheme="majorEastAsia" w:hAnsi="Cambria" w:cstheme="majorBidi"/>
          <w:bCs/>
          <w:sz w:val="24"/>
          <w:szCs w:val="24"/>
        </w:rPr>
      </w:pPr>
      <w:bookmarkStart w:id="22" w:name="_Toc412022729"/>
    </w:p>
    <w:p w14:paraId="3E18C94A" w14:textId="77777777" w:rsidR="00505B24" w:rsidRPr="00BA441F" w:rsidRDefault="00505B24" w:rsidP="00505B24">
      <w:pPr>
        <w:pStyle w:val="Heading2"/>
        <w:spacing w:before="0" w:after="120" w:line="23" w:lineRule="atLeast"/>
        <w:rPr>
          <w:rFonts w:ascii="Cambria" w:hAnsi="Cambria"/>
        </w:rPr>
      </w:pPr>
      <w:bookmarkStart w:id="23" w:name="_Toc498951225"/>
      <w:bookmarkStart w:id="24" w:name="_Toc521406227"/>
      <w:bookmarkStart w:id="25" w:name="_Toc396918286"/>
      <w:bookmarkEnd w:id="22"/>
      <w:r w:rsidRPr="00BA441F">
        <w:rPr>
          <w:rFonts w:ascii="Cambria" w:hAnsi="Cambria"/>
        </w:rPr>
        <w:t>A.9 Payments or Gifts to Respondents</w:t>
      </w:r>
      <w:bookmarkEnd w:id="23"/>
      <w:bookmarkEnd w:id="24"/>
    </w:p>
    <w:p w14:paraId="57EEF4D2" w14:textId="77777777" w:rsidR="00505B24" w:rsidRDefault="00505B24" w:rsidP="00505B24">
      <w:pPr>
        <w:spacing w:after="120" w:line="23" w:lineRule="atLeast"/>
        <w:rPr>
          <w:rFonts w:ascii="Cambria" w:hAnsi="Cambria"/>
        </w:rPr>
      </w:pPr>
      <w:r w:rsidRPr="00BA441F">
        <w:rPr>
          <w:rFonts w:ascii="Cambria" w:hAnsi="Cambria"/>
        </w:rPr>
        <w:t>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Pr>
          <w:rFonts w:ascii="Cambria" w:hAnsi="Cambria"/>
        </w:rPr>
        <w:t xml:space="preserve"> to be given to respondents after they participate in the data collection activities, for example upon completion of a survey</w:t>
      </w:r>
      <w:r w:rsidRPr="00BA441F">
        <w:rPr>
          <w:rFonts w:ascii="Cambria" w:hAnsi="Cambria"/>
        </w:rPr>
        <w:t>. Table 2 summarizes the proposed incentive amount for each instrument and activity along with their estimated administration times</w:t>
      </w:r>
      <w:r>
        <w:rPr>
          <w:rFonts w:ascii="Cambria" w:hAnsi="Cambria"/>
        </w:rPr>
        <w:t>. A</w:t>
      </w:r>
      <w:r w:rsidRPr="00BA441F">
        <w:rPr>
          <w:rFonts w:ascii="Cambria" w:hAnsi="Cambria"/>
        </w:rPr>
        <w:t xml:space="preserve"> brief justification for each incentive amount follows table 2. Incentive information is provided for </w:t>
      </w:r>
      <w:r>
        <w:rPr>
          <w:rFonts w:ascii="Cambria" w:hAnsi="Cambria"/>
        </w:rPr>
        <w:t>MS1 and OFT2 data collection activities</w:t>
      </w:r>
      <w:bookmarkStart w:id="26" w:name="_Hlk499035161"/>
      <w:r>
        <w:rPr>
          <w:rFonts w:ascii="Cambria" w:hAnsi="Cambria"/>
        </w:rPr>
        <w:t>.</w:t>
      </w:r>
      <w:bookmarkEnd w:id="26"/>
    </w:p>
    <w:p w14:paraId="05330D6F" w14:textId="0BF4B77A" w:rsidR="00505B24" w:rsidRPr="0001752B" w:rsidRDefault="00505B24" w:rsidP="00505B24">
      <w:pPr>
        <w:widowControl w:val="0"/>
        <w:spacing w:before="240" w:after="60" w:line="240" w:lineRule="auto"/>
        <w:rPr>
          <w:rFonts w:ascii="Cambria" w:hAnsi="Cambria"/>
          <w:b/>
        </w:rPr>
      </w:pPr>
      <w:r w:rsidRPr="0001752B">
        <w:rPr>
          <w:rFonts w:ascii="Cambria" w:hAnsi="Cambria"/>
          <w:b/>
        </w:rPr>
        <w:t xml:space="preserve">Table 2. </w:t>
      </w:r>
      <w:r>
        <w:rPr>
          <w:rFonts w:ascii="Cambria" w:hAnsi="Cambria"/>
          <w:b/>
        </w:rPr>
        <w:t>MS1</w:t>
      </w:r>
      <w:r w:rsidRPr="0001752B">
        <w:rPr>
          <w:rFonts w:ascii="Cambria" w:hAnsi="Cambria"/>
          <w:b/>
        </w:rPr>
        <w:t xml:space="preserve"> </w:t>
      </w:r>
      <w:r>
        <w:rPr>
          <w:rFonts w:ascii="Cambria" w:hAnsi="Cambria"/>
          <w:b/>
        </w:rPr>
        <w:t xml:space="preserve">and OFT2 </w:t>
      </w:r>
      <w:r w:rsidRPr="0001752B">
        <w:rPr>
          <w:rFonts w:ascii="Cambria" w:hAnsi="Cambria"/>
          <w:b/>
        </w:rPr>
        <w:t>Instruments and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505B24" w:rsidRPr="0062072C" w14:paraId="59FC2A65" w14:textId="77777777" w:rsidTr="004E042D">
        <w:trPr>
          <w:cantSplit/>
          <w:trHeight w:val="144"/>
          <w:tblHeader/>
          <w:jc w:val="center"/>
        </w:trPr>
        <w:tc>
          <w:tcPr>
            <w:tcW w:w="1564" w:type="pct"/>
            <w:shd w:val="clear" w:color="auto" w:fill="BFBFBF" w:themeFill="background1" w:themeFillShade="BF"/>
            <w:tcMar>
              <w:top w:w="14" w:type="dxa"/>
              <w:left w:w="29" w:type="dxa"/>
              <w:bottom w:w="14" w:type="dxa"/>
              <w:right w:w="14" w:type="dxa"/>
            </w:tcMar>
            <w:vAlign w:val="center"/>
            <w:hideMark/>
          </w:tcPr>
          <w:p w14:paraId="12971971" w14:textId="77777777" w:rsidR="00505B24" w:rsidRPr="0062072C" w:rsidRDefault="00505B24" w:rsidP="004E042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49B7CDC8" w14:textId="77777777" w:rsidR="00505B24" w:rsidRPr="0062072C" w:rsidRDefault="00505B24" w:rsidP="004E042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2B5E414E" w14:textId="77777777" w:rsidR="00505B24" w:rsidRPr="0062072C" w:rsidRDefault="00505B24" w:rsidP="004E042D">
            <w:pPr>
              <w:pStyle w:val="NoSpacing"/>
              <w:widowControl w:val="0"/>
              <w:ind w:left="169"/>
              <w:rPr>
                <w:b/>
                <w:sz w:val="20"/>
                <w:szCs w:val="20"/>
              </w:rPr>
            </w:pPr>
            <w:r>
              <w:rPr>
                <w:b/>
                <w:sz w:val="20"/>
                <w:szCs w:val="20"/>
              </w:rPr>
              <w:t>MS1</w:t>
            </w:r>
            <w:r w:rsidRPr="0062072C">
              <w:rPr>
                <w:b/>
                <w:sz w:val="20"/>
                <w:szCs w:val="20"/>
              </w:rPr>
              <w:t xml:space="preserve"> </w:t>
            </w:r>
            <w:r>
              <w:rPr>
                <w:b/>
                <w:sz w:val="20"/>
                <w:szCs w:val="20"/>
              </w:rPr>
              <w:t>and OFT2</w:t>
            </w:r>
            <w:r w:rsidRPr="0062072C">
              <w:rPr>
                <w:b/>
                <w:sz w:val="20"/>
                <w:szCs w:val="20"/>
              </w:rPr>
              <w:t>** Incentives</w:t>
            </w:r>
          </w:p>
        </w:tc>
      </w:tr>
      <w:tr w:rsidR="00505B24" w:rsidRPr="0062072C" w14:paraId="47225181"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39F35576" w14:textId="77777777" w:rsidR="00505B24" w:rsidRPr="0062072C" w:rsidRDefault="00505B24" w:rsidP="004E042D">
            <w:pPr>
              <w:pStyle w:val="NoSpacing"/>
              <w:widowControl w:val="0"/>
              <w:ind w:left="169"/>
              <w:rPr>
                <w:sz w:val="20"/>
                <w:szCs w:val="20"/>
              </w:rPr>
            </w:pPr>
            <w:r>
              <w:rPr>
                <w:b/>
                <w:sz w:val="20"/>
                <w:szCs w:val="20"/>
              </w:rPr>
              <w:t xml:space="preserve">MS1 </w:t>
            </w:r>
            <w:r w:rsidRPr="004D530E">
              <w:rPr>
                <w:b/>
                <w:sz w:val="20"/>
                <w:szCs w:val="20"/>
              </w:rPr>
              <w:t>Data Collection</w:t>
            </w:r>
          </w:p>
        </w:tc>
      </w:tr>
      <w:tr w:rsidR="00505B24" w:rsidRPr="0062072C" w14:paraId="3824B248"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9DA034" w14:textId="77777777" w:rsidR="00505B24" w:rsidRPr="0062072C" w:rsidRDefault="00505B24" w:rsidP="004E042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5C17924D" w14:textId="77777777" w:rsidR="00505B24" w:rsidRPr="0062072C" w:rsidRDefault="00505B24" w:rsidP="004E042D">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F5482A5" w14:textId="77777777" w:rsidR="00505B24" w:rsidRDefault="00505B24" w:rsidP="004E042D">
            <w:pPr>
              <w:pStyle w:val="NoSpacing"/>
              <w:widowControl w:val="0"/>
              <w:ind w:left="490" w:hanging="360"/>
              <w:rPr>
                <w:sz w:val="20"/>
                <w:szCs w:val="20"/>
              </w:rPr>
            </w:pPr>
            <w:r>
              <w:rPr>
                <w:sz w:val="20"/>
                <w:szCs w:val="20"/>
              </w:rPr>
              <w:t>Food event at school (e.g., pizza, bagels, etc.) sponsored by the study</w:t>
            </w:r>
          </w:p>
        </w:tc>
      </w:tr>
      <w:tr w:rsidR="00505B24" w:rsidRPr="0062072C" w14:paraId="0ECA8723"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72D852CA" w14:textId="77777777" w:rsidR="00505B24" w:rsidRPr="0062072C" w:rsidRDefault="00505B24" w:rsidP="004E042D">
            <w:pPr>
              <w:pStyle w:val="NoSpacing"/>
              <w:widowControl w:val="0"/>
              <w:ind w:left="169"/>
              <w:rPr>
                <w:sz w:val="20"/>
                <w:szCs w:val="20"/>
              </w:rPr>
            </w:pPr>
            <w:r w:rsidRPr="0062072C">
              <w:rPr>
                <w:sz w:val="20"/>
                <w:szCs w:val="20"/>
              </w:rPr>
              <w:t>Student Assessments and Survey</w:t>
            </w:r>
            <w:r>
              <w:rPr>
                <w:sz w:val="20"/>
                <w:szCs w:val="20"/>
              </w:rPr>
              <w:t xml:space="preserve"> – In-school administration</w:t>
            </w:r>
          </w:p>
          <w:p w14:paraId="6FECF907" w14:textId="77777777" w:rsidR="00505B24" w:rsidRPr="0062072C" w:rsidRDefault="00505B24" w:rsidP="004E042D">
            <w:pPr>
              <w:pStyle w:val="NoSpacing"/>
              <w:widowControl w:val="0"/>
              <w:ind w:left="169"/>
              <w:rPr>
                <w:sz w:val="20"/>
                <w:szCs w:val="20"/>
              </w:rPr>
            </w:pPr>
            <w:r w:rsidRPr="0062072C">
              <w:rPr>
                <w:sz w:val="20"/>
                <w:szCs w:val="20"/>
              </w:rPr>
              <w:t xml:space="preserve">(Mathematics, Reading, Executive Function, </w:t>
            </w:r>
            <w:r>
              <w:rPr>
                <w:sz w:val="20"/>
                <w:szCs w:val="20"/>
              </w:rPr>
              <w:t>Height, Weight, &amp;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711A8617" w14:textId="77777777" w:rsidR="00505B24" w:rsidRPr="0062072C" w:rsidRDefault="00505B24" w:rsidP="004E042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219706A3" w14:textId="77777777" w:rsidR="00505B24" w:rsidRPr="0062072C" w:rsidRDefault="00505B24" w:rsidP="004E042D">
            <w:pPr>
              <w:pStyle w:val="NoSpacing"/>
              <w:widowControl w:val="0"/>
              <w:ind w:left="490" w:hanging="360"/>
              <w:rPr>
                <w:sz w:val="20"/>
                <w:szCs w:val="20"/>
              </w:rPr>
            </w:pPr>
            <w:r>
              <w:rPr>
                <w:sz w:val="20"/>
                <w:szCs w:val="20"/>
              </w:rPr>
              <w:t>Earbuds used during assessment, plus c</w:t>
            </w:r>
            <w:r w:rsidRPr="0062072C">
              <w:rPr>
                <w:sz w:val="20"/>
                <w:szCs w:val="20"/>
              </w:rPr>
              <w:t>hoice of (average value $0.50 each)</w:t>
            </w:r>
          </w:p>
          <w:p w14:paraId="39E64C72" w14:textId="77777777" w:rsidR="00505B24" w:rsidRPr="0062072C" w:rsidRDefault="00505B24" w:rsidP="004E042D">
            <w:pPr>
              <w:pStyle w:val="NoSpacing"/>
              <w:widowControl w:val="0"/>
              <w:ind w:left="490" w:hanging="360"/>
              <w:rPr>
                <w:sz w:val="20"/>
                <w:szCs w:val="20"/>
              </w:rPr>
            </w:pPr>
            <w:r w:rsidRPr="0062072C">
              <w:rPr>
                <w:sz w:val="20"/>
                <w:szCs w:val="20"/>
              </w:rPr>
              <w:t>1) mechanical pencil,</w:t>
            </w:r>
          </w:p>
          <w:p w14:paraId="530F71DA" w14:textId="77777777" w:rsidR="00505B24" w:rsidRPr="0062072C" w:rsidRDefault="00505B24" w:rsidP="004E042D">
            <w:pPr>
              <w:pStyle w:val="NoSpacing"/>
              <w:widowControl w:val="0"/>
              <w:ind w:left="490" w:hanging="360"/>
              <w:rPr>
                <w:sz w:val="20"/>
                <w:szCs w:val="20"/>
              </w:rPr>
            </w:pPr>
            <w:r w:rsidRPr="0062072C">
              <w:rPr>
                <w:sz w:val="20"/>
                <w:szCs w:val="20"/>
              </w:rPr>
              <w:t>2) mobile device screen cleaner,</w:t>
            </w:r>
          </w:p>
          <w:p w14:paraId="128F9A21" w14:textId="77777777" w:rsidR="00505B24" w:rsidRPr="0062072C" w:rsidRDefault="00505B24" w:rsidP="004E042D">
            <w:pPr>
              <w:pStyle w:val="NoSpacing"/>
              <w:widowControl w:val="0"/>
              <w:ind w:left="490" w:hanging="360"/>
              <w:rPr>
                <w:sz w:val="20"/>
                <w:szCs w:val="20"/>
              </w:rPr>
            </w:pPr>
            <w:r w:rsidRPr="0062072C">
              <w:rPr>
                <w:sz w:val="20"/>
                <w:szCs w:val="20"/>
              </w:rPr>
              <w:t>3) sun catcher,</w:t>
            </w:r>
          </w:p>
          <w:p w14:paraId="2A18A6FA" w14:textId="77777777" w:rsidR="00505B24" w:rsidRPr="0062072C" w:rsidRDefault="00505B24" w:rsidP="004E042D">
            <w:pPr>
              <w:pStyle w:val="NoSpacing"/>
              <w:widowControl w:val="0"/>
              <w:ind w:left="490" w:hanging="360"/>
              <w:rPr>
                <w:sz w:val="20"/>
                <w:szCs w:val="20"/>
              </w:rPr>
            </w:pPr>
            <w:r>
              <w:rPr>
                <w:sz w:val="20"/>
                <w:szCs w:val="20"/>
              </w:rPr>
              <w:t>4) slap bracelet</w:t>
            </w:r>
          </w:p>
        </w:tc>
      </w:tr>
      <w:tr w:rsidR="00505B24" w:rsidRPr="0062072C" w14:paraId="4DE4E2D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AEF3AE" w14:textId="77777777" w:rsidR="00505B24" w:rsidRPr="0062072C" w:rsidRDefault="00505B24" w:rsidP="004E042D">
            <w:pPr>
              <w:pStyle w:val="NoSpacing"/>
              <w:widowControl w:val="0"/>
              <w:ind w:left="169"/>
              <w:rPr>
                <w:sz w:val="20"/>
                <w:szCs w:val="20"/>
              </w:rPr>
            </w:pPr>
            <w:r w:rsidRPr="0062072C">
              <w:rPr>
                <w:sz w:val="20"/>
                <w:szCs w:val="20"/>
              </w:rPr>
              <w:t>Student Assessments and Survey</w:t>
            </w:r>
            <w:r>
              <w:rPr>
                <w:sz w:val="20"/>
                <w:szCs w:val="20"/>
              </w:rPr>
              <w:t xml:space="preserve"> – Out-of-school administration</w:t>
            </w:r>
          </w:p>
          <w:p w14:paraId="74C702E5" w14:textId="77777777" w:rsidR="00505B24" w:rsidRPr="0062072C" w:rsidRDefault="00505B24" w:rsidP="004E042D">
            <w:pPr>
              <w:widowControl w:val="0"/>
              <w:spacing w:after="0" w:line="240" w:lineRule="auto"/>
              <w:ind w:left="169"/>
              <w:rPr>
                <w:rFonts w:asciiTheme="minorHAnsi" w:hAnsiTheme="minorHAnsi"/>
                <w:sz w:val="20"/>
                <w:szCs w:val="20"/>
              </w:rPr>
            </w:pPr>
            <w:r w:rsidRPr="0062072C">
              <w:rPr>
                <w:sz w:val="20"/>
                <w:szCs w:val="20"/>
              </w:rPr>
              <w:t xml:space="preserve">(Mathematics, Reading, </w:t>
            </w:r>
            <w:r>
              <w:rPr>
                <w:sz w:val="20"/>
                <w:szCs w:val="20"/>
              </w:rPr>
              <w:t>&amp;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11C6FD3C" w14:textId="77777777" w:rsidR="00505B24" w:rsidRDefault="00505B24" w:rsidP="004E042D">
            <w:pPr>
              <w:widowControl w:val="0"/>
              <w:spacing w:after="0" w:line="240" w:lineRule="auto"/>
              <w:ind w:left="169"/>
              <w:rPr>
                <w:rFonts w:asciiTheme="minorHAnsi" w:hAnsiTheme="minorHAnsi"/>
                <w:sz w:val="20"/>
                <w:szCs w:val="20"/>
              </w:rPr>
            </w:pPr>
            <w:r>
              <w:rPr>
                <w:rFonts w:asciiTheme="minorHAnsi" w:hAnsiTheme="minorHAnsi"/>
                <w:sz w:val="20"/>
                <w:szCs w:val="20"/>
              </w:rPr>
              <w:t>55 minutes</w:t>
            </w:r>
          </w:p>
        </w:tc>
        <w:tc>
          <w:tcPr>
            <w:tcW w:w="1910" w:type="pct"/>
            <w:shd w:val="clear" w:color="auto" w:fill="auto"/>
            <w:tcMar>
              <w:top w:w="14" w:type="dxa"/>
              <w:left w:w="29" w:type="dxa"/>
              <w:bottom w:w="14" w:type="dxa"/>
              <w:right w:w="14" w:type="dxa"/>
            </w:tcMar>
            <w:vAlign w:val="center"/>
          </w:tcPr>
          <w:p w14:paraId="19EDABCF" w14:textId="77777777" w:rsidR="00505B24" w:rsidRDefault="00505B24" w:rsidP="004E042D">
            <w:pPr>
              <w:widowControl w:val="0"/>
              <w:spacing w:after="0" w:line="240" w:lineRule="auto"/>
              <w:ind w:left="490" w:hanging="360"/>
              <w:rPr>
                <w:rFonts w:asciiTheme="minorHAnsi" w:hAnsiTheme="minorHAnsi"/>
                <w:sz w:val="20"/>
                <w:szCs w:val="20"/>
              </w:rPr>
            </w:pPr>
            <w:r>
              <w:rPr>
                <w:rFonts w:asciiTheme="minorHAnsi" w:hAnsiTheme="minorHAnsi"/>
                <w:sz w:val="20"/>
                <w:szCs w:val="20"/>
              </w:rPr>
              <w:t>$20</w:t>
            </w:r>
          </w:p>
        </w:tc>
      </w:tr>
      <w:tr w:rsidR="00505B24" w:rsidRPr="0062072C" w14:paraId="30B87D2C"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60DF2640" w14:textId="77777777" w:rsidR="00505B24" w:rsidRPr="0062072C" w:rsidRDefault="00505B24" w:rsidP="004E042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6BCB3E6A" w14:textId="77777777" w:rsidR="00505B24" w:rsidRPr="0062072C" w:rsidRDefault="00505B24" w:rsidP="004E042D">
            <w:pPr>
              <w:widowControl w:val="0"/>
              <w:spacing w:after="0" w:line="240" w:lineRule="auto"/>
              <w:ind w:left="169"/>
              <w:rPr>
                <w:rFonts w:asciiTheme="minorHAnsi" w:hAnsiTheme="minorHAnsi"/>
                <w:sz w:val="20"/>
                <w:szCs w:val="20"/>
              </w:rPr>
            </w:pPr>
            <w:r>
              <w:rPr>
                <w:rFonts w:asciiTheme="minorHAnsi" w:hAnsiTheme="minorHAnsi"/>
                <w:sz w:val="20"/>
                <w:szCs w:val="20"/>
              </w:rPr>
              <w:t>40</w:t>
            </w:r>
            <w:r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F264830" w14:textId="77777777" w:rsidR="00505B24" w:rsidRPr="0062072C" w:rsidRDefault="00505B24" w:rsidP="004E042D">
            <w:pPr>
              <w:widowControl w:val="0"/>
              <w:spacing w:after="0" w:line="240" w:lineRule="auto"/>
              <w:ind w:left="490" w:hanging="360"/>
              <w:rPr>
                <w:rFonts w:asciiTheme="minorHAnsi" w:hAnsiTheme="minorHAnsi"/>
                <w:sz w:val="20"/>
                <w:szCs w:val="20"/>
              </w:rPr>
            </w:pPr>
            <w:r>
              <w:rPr>
                <w:rFonts w:asciiTheme="minorHAnsi" w:hAnsiTheme="minorHAnsi"/>
                <w:sz w:val="20"/>
                <w:szCs w:val="20"/>
              </w:rPr>
              <w:t>$30 to $40</w:t>
            </w:r>
            <w:r w:rsidRPr="0062072C">
              <w:rPr>
                <w:rFonts w:asciiTheme="minorHAnsi" w:hAnsiTheme="minorHAnsi"/>
                <w:sz w:val="20"/>
                <w:szCs w:val="20"/>
              </w:rPr>
              <w:t xml:space="preserve"> </w:t>
            </w:r>
            <w:r>
              <w:rPr>
                <w:rFonts w:asciiTheme="minorHAnsi" w:hAnsiTheme="minorHAnsi"/>
                <w:sz w:val="20"/>
                <w:szCs w:val="20"/>
              </w:rPr>
              <w:t>for responding parents</w:t>
            </w:r>
            <w:r w:rsidRPr="0062072C">
              <w:rPr>
                <w:rFonts w:asciiTheme="minorHAnsi" w:hAnsiTheme="minorHAnsi"/>
                <w:sz w:val="20"/>
                <w:szCs w:val="20"/>
              </w:rPr>
              <w:t xml:space="preserve"> of stud</w:t>
            </w:r>
            <w:r>
              <w:rPr>
                <w:rFonts w:asciiTheme="minorHAnsi" w:hAnsiTheme="minorHAnsi"/>
                <w:sz w:val="20"/>
                <w:szCs w:val="20"/>
              </w:rPr>
              <w:t>ents with emotional disturbance (one parent per student)</w:t>
            </w:r>
          </w:p>
          <w:p w14:paraId="2AAC57FE" w14:textId="77777777" w:rsidR="00505B24" w:rsidRPr="0062072C" w:rsidRDefault="00505B24" w:rsidP="004E042D">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w:t>
            </w:r>
            <w:r>
              <w:rPr>
                <w:rFonts w:asciiTheme="minorHAnsi" w:hAnsiTheme="minorHAnsi"/>
                <w:sz w:val="20"/>
                <w:szCs w:val="20"/>
              </w:rPr>
              <w:t>20</w:t>
            </w:r>
            <w:r w:rsidRPr="0062072C">
              <w:rPr>
                <w:rFonts w:asciiTheme="minorHAnsi" w:hAnsiTheme="minorHAnsi"/>
                <w:sz w:val="20"/>
                <w:szCs w:val="20"/>
              </w:rPr>
              <w:t xml:space="preserve"> to $</w:t>
            </w:r>
            <w:r>
              <w:rPr>
                <w:rFonts w:asciiTheme="minorHAnsi" w:hAnsiTheme="minorHAnsi"/>
                <w:sz w:val="20"/>
                <w:szCs w:val="20"/>
              </w:rPr>
              <w:t>3</w:t>
            </w:r>
            <w:r w:rsidRPr="0062072C">
              <w:rPr>
                <w:rFonts w:asciiTheme="minorHAnsi" w:hAnsiTheme="minorHAnsi"/>
                <w:sz w:val="20"/>
                <w:szCs w:val="20"/>
              </w:rPr>
              <w:t>0</w:t>
            </w:r>
            <w:r>
              <w:rPr>
                <w:rFonts w:asciiTheme="minorHAnsi" w:hAnsiTheme="minorHAnsi"/>
                <w:sz w:val="20"/>
                <w:szCs w:val="20"/>
              </w:rPr>
              <w:t xml:space="preserve"> for responding parents of all other students (one parent per student)</w:t>
            </w:r>
          </w:p>
        </w:tc>
      </w:tr>
      <w:tr w:rsidR="00505B24" w:rsidRPr="0062072C" w14:paraId="564EC8C5"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30A6C8EB" w14:textId="77777777" w:rsidR="00505B24" w:rsidRDefault="00505B24" w:rsidP="004E042D">
            <w:pPr>
              <w:pStyle w:val="NoSpacing"/>
              <w:widowControl w:val="0"/>
              <w:ind w:left="169"/>
              <w:rPr>
                <w:sz w:val="20"/>
                <w:szCs w:val="20"/>
              </w:rPr>
            </w:pPr>
            <w:r w:rsidRPr="0062072C">
              <w:rPr>
                <w:sz w:val="20"/>
                <w:szCs w:val="20"/>
              </w:rPr>
              <w:t>Mathematics Teacher</w:t>
            </w:r>
          </w:p>
          <w:p w14:paraId="0976A13D" w14:textId="77777777" w:rsidR="00505B24" w:rsidRPr="008572E8" w:rsidRDefault="00505B24" w:rsidP="004E042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271447AD" w14:textId="77777777" w:rsidR="00505B24" w:rsidRPr="0062072C" w:rsidRDefault="00505B24" w:rsidP="004E042D">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500E7942" w14:textId="77777777" w:rsidR="00505B24" w:rsidRPr="0062072C" w:rsidRDefault="00505B24" w:rsidP="004E042D">
            <w:pPr>
              <w:pStyle w:val="NoSpacing"/>
              <w:widowControl w:val="0"/>
              <w:ind w:left="490" w:hanging="360"/>
              <w:rPr>
                <w:sz w:val="20"/>
                <w:szCs w:val="20"/>
              </w:rPr>
            </w:pPr>
            <w:r w:rsidRPr="0062072C">
              <w:rPr>
                <w:sz w:val="20"/>
                <w:szCs w:val="20"/>
              </w:rPr>
              <w:t>$20</w:t>
            </w:r>
          </w:p>
        </w:tc>
      </w:tr>
      <w:tr w:rsidR="00505B24" w:rsidRPr="0062072C" w14:paraId="07A1901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77907B5" w14:textId="77777777" w:rsidR="00505B24" w:rsidRDefault="00505B24" w:rsidP="004E042D">
            <w:pPr>
              <w:pStyle w:val="NoSpacing"/>
              <w:widowControl w:val="0"/>
              <w:ind w:left="169"/>
              <w:rPr>
                <w:sz w:val="20"/>
                <w:szCs w:val="20"/>
              </w:rPr>
            </w:pPr>
            <w:r w:rsidRPr="0062072C">
              <w:rPr>
                <w:sz w:val="20"/>
                <w:szCs w:val="20"/>
              </w:rPr>
              <w:t>Mathematics Teacher</w:t>
            </w:r>
          </w:p>
          <w:p w14:paraId="692971EF" w14:textId="77777777" w:rsidR="00505B24" w:rsidRPr="0062072C" w:rsidRDefault="00505B24" w:rsidP="004E042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7604CD17" w14:textId="77777777" w:rsidR="00505B24" w:rsidRPr="0062072C" w:rsidRDefault="00505B24" w:rsidP="004E042D">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13CE172" w14:textId="77777777" w:rsidR="00505B24" w:rsidRPr="0062072C" w:rsidRDefault="00505B24" w:rsidP="004E042D">
            <w:pPr>
              <w:pStyle w:val="NoSpacing"/>
              <w:widowControl w:val="0"/>
              <w:ind w:left="490" w:hanging="360"/>
              <w:rPr>
                <w:sz w:val="20"/>
                <w:szCs w:val="20"/>
              </w:rPr>
            </w:pPr>
            <w:r>
              <w:rPr>
                <w:sz w:val="20"/>
                <w:szCs w:val="20"/>
              </w:rPr>
              <w:t>$7 per student</w:t>
            </w:r>
          </w:p>
        </w:tc>
      </w:tr>
      <w:tr w:rsidR="00505B24" w:rsidRPr="0062072C" w14:paraId="6783FB5C"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C213BE9" w14:textId="77777777" w:rsidR="00505B24" w:rsidRPr="0062072C" w:rsidRDefault="00505B24" w:rsidP="004E042D">
            <w:pPr>
              <w:pStyle w:val="NoSpacing"/>
              <w:widowControl w:val="0"/>
              <w:ind w:left="169"/>
              <w:rPr>
                <w:sz w:val="20"/>
                <w:szCs w:val="20"/>
              </w:rPr>
            </w:pPr>
            <w:r w:rsidRPr="0062072C">
              <w:rPr>
                <w:sz w:val="20"/>
                <w:szCs w:val="20"/>
              </w:rPr>
              <w:t>Special Education Teacher</w:t>
            </w:r>
          </w:p>
          <w:p w14:paraId="02044206" w14:textId="77777777" w:rsidR="00505B24" w:rsidRPr="008572E8" w:rsidRDefault="00505B24" w:rsidP="004E042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786594A0" w14:textId="77777777" w:rsidR="00505B24" w:rsidRPr="0062072C" w:rsidRDefault="00505B24" w:rsidP="004E042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6C03C406" w14:textId="77777777" w:rsidR="00505B24" w:rsidRPr="0062072C" w:rsidRDefault="00505B24" w:rsidP="004E042D">
            <w:pPr>
              <w:pStyle w:val="NoSpacing"/>
              <w:widowControl w:val="0"/>
              <w:ind w:left="490" w:hanging="360"/>
              <w:rPr>
                <w:sz w:val="20"/>
                <w:szCs w:val="20"/>
              </w:rPr>
            </w:pPr>
            <w:r>
              <w:rPr>
                <w:sz w:val="20"/>
                <w:szCs w:val="20"/>
              </w:rPr>
              <w:t>$20</w:t>
            </w:r>
          </w:p>
        </w:tc>
      </w:tr>
      <w:tr w:rsidR="00505B24" w:rsidRPr="0062072C" w14:paraId="77E4FDD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D4EE8E4" w14:textId="77777777" w:rsidR="00505B24" w:rsidRPr="0062072C" w:rsidRDefault="00505B24" w:rsidP="004E042D">
            <w:pPr>
              <w:pStyle w:val="NoSpacing"/>
              <w:widowControl w:val="0"/>
              <w:ind w:left="169"/>
              <w:rPr>
                <w:sz w:val="20"/>
                <w:szCs w:val="20"/>
              </w:rPr>
            </w:pPr>
            <w:r w:rsidRPr="0062072C">
              <w:rPr>
                <w:sz w:val="20"/>
                <w:szCs w:val="20"/>
              </w:rPr>
              <w:t>Special Education Teacher</w:t>
            </w:r>
          </w:p>
          <w:p w14:paraId="67493EF4" w14:textId="77777777" w:rsidR="00505B24" w:rsidRPr="0062072C" w:rsidRDefault="00505B24" w:rsidP="004E042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0010577" w14:textId="77777777" w:rsidR="00505B24" w:rsidRPr="0062072C" w:rsidRDefault="00505B24" w:rsidP="004E042D">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23B4C25" w14:textId="77777777" w:rsidR="00505B24" w:rsidRPr="0062072C" w:rsidRDefault="00505B24" w:rsidP="004E042D">
            <w:pPr>
              <w:pStyle w:val="NoSpacing"/>
              <w:widowControl w:val="0"/>
              <w:ind w:left="490" w:hanging="360"/>
              <w:rPr>
                <w:sz w:val="20"/>
                <w:szCs w:val="20"/>
              </w:rPr>
            </w:pPr>
            <w:r>
              <w:rPr>
                <w:sz w:val="20"/>
                <w:szCs w:val="20"/>
              </w:rPr>
              <w:t>$7 per student</w:t>
            </w:r>
          </w:p>
        </w:tc>
      </w:tr>
      <w:tr w:rsidR="00505B24" w:rsidRPr="0062072C" w14:paraId="5253FEE8"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26EACCA4" w14:textId="77777777" w:rsidR="00505B24" w:rsidRPr="0062072C" w:rsidRDefault="00505B24" w:rsidP="004E042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18B97796" w14:textId="77777777" w:rsidR="00505B24" w:rsidRPr="0062072C" w:rsidRDefault="00505B24" w:rsidP="004E042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1E2D7E53" w14:textId="77777777" w:rsidR="00505B24" w:rsidRPr="0062072C" w:rsidRDefault="00505B24" w:rsidP="004E042D">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No monetary incentive</w:t>
            </w:r>
          </w:p>
        </w:tc>
      </w:tr>
      <w:tr w:rsidR="00505B24" w:rsidRPr="0062072C" w14:paraId="3EF57009"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7B66F26E" w14:textId="77777777" w:rsidR="00505B24" w:rsidRPr="0062072C" w:rsidRDefault="00505B24" w:rsidP="004E042D">
            <w:pPr>
              <w:pStyle w:val="NoSpacing"/>
              <w:widowControl w:val="0"/>
              <w:ind w:left="169"/>
              <w:rPr>
                <w:rFonts w:cs="Times New Roman"/>
                <w:sz w:val="20"/>
                <w:szCs w:val="20"/>
              </w:rPr>
            </w:pPr>
            <w:r w:rsidRPr="0062072C">
              <w:rPr>
                <w:sz w:val="20"/>
                <w:szCs w:val="20"/>
              </w:rPr>
              <w:t>School Participation</w:t>
            </w:r>
          </w:p>
          <w:p w14:paraId="376F523C" w14:textId="77777777" w:rsidR="00505B24" w:rsidRPr="0062072C" w:rsidRDefault="00505B24" w:rsidP="004E042D">
            <w:pPr>
              <w:pStyle w:val="NoSpacing"/>
              <w:widowControl w:val="0"/>
              <w:ind w:left="169"/>
              <w:rPr>
                <w:rFonts w:cs="Times New Roman"/>
                <w:sz w:val="20"/>
                <w:szCs w:val="20"/>
              </w:rPr>
            </w:pPr>
          </w:p>
          <w:p w14:paraId="44B28D68" w14:textId="77777777" w:rsidR="00505B24" w:rsidRPr="0062072C" w:rsidRDefault="00505B24" w:rsidP="004E042D">
            <w:pPr>
              <w:pStyle w:val="NoSpacing"/>
              <w:widowControl w:val="0"/>
              <w:ind w:left="169"/>
              <w:rPr>
                <w:rFonts w:cs="Times New Roman"/>
                <w:sz w:val="20"/>
                <w:szCs w:val="20"/>
              </w:rPr>
            </w:pPr>
            <w:r w:rsidRPr="0062072C">
              <w:rPr>
                <w:sz w:val="20"/>
                <w:szCs w:val="20"/>
              </w:rPr>
              <w:t>School Coordinator</w:t>
            </w:r>
          </w:p>
          <w:p w14:paraId="10E79ECF" w14:textId="77777777" w:rsidR="00505B24" w:rsidRPr="0062072C" w:rsidRDefault="00505B24" w:rsidP="004E042D">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0C41E61" w14:textId="77777777" w:rsidR="00505B24" w:rsidRPr="0062072C" w:rsidRDefault="00505B24" w:rsidP="004E042D">
            <w:pPr>
              <w:pStyle w:val="NoSpacing"/>
              <w:widowControl w:val="0"/>
              <w:ind w:left="381" w:hanging="180"/>
              <w:rPr>
                <w:sz w:val="20"/>
                <w:szCs w:val="20"/>
              </w:rPr>
            </w:pPr>
            <w:r w:rsidRPr="0062072C">
              <w:rPr>
                <w:sz w:val="20"/>
                <w:szCs w:val="20"/>
              </w:rPr>
              <w:t>6 hours for consent assistance</w:t>
            </w:r>
          </w:p>
          <w:p w14:paraId="1ECE250A" w14:textId="77777777" w:rsidR="00505B24" w:rsidRPr="0062072C" w:rsidRDefault="00505B24" w:rsidP="004E042D">
            <w:pPr>
              <w:pStyle w:val="NoSpacing"/>
              <w:widowControl w:val="0"/>
              <w:ind w:left="381" w:hanging="180"/>
              <w:rPr>
                <w:sz w:val="20"/>
                <w:szCs w:val="20"/>
              </w:rPr>
            </w:pPr>
            <w:r w:rsidRPr="0062072C">
              <w:rPr>
                <w:sz w:val="20"/>
                <w:szCs w:val="20"/>
              </w:rPr>
              <w:t>2 hours to schedule assessments</w:t>
            </w:r>
          </w:p>
          <w:p w14:paraId="656FB424" w14:textId="77777777" w:rsidR="00505B24" w:rsidRDefault="00505B24" w:rsidP="004E042D">
            <w:pPr>
              <w:pStyle w:val="NoSpacing"/>
              <w:widowControl w:val="0"/>
              <w:ind w:left="381" w:hanging="180"/>
              <w:rPr>
                <w:sz w:val="20"/>
                <w:szCs w:val="20"/>
              </w:rPr>
            </w:pPr>
            <w:r w:rsidRPr="0062072C">
              <w:rPr>
                <w:sz w:val="20"/>
                <w:szCs w:val="20"/>
              </w:rPr>
              <w:t xml:space="preserve">2 hours to </w:t>
            </w:r>
            <w:r>
              <w:rPr>
                <w:sz w:val="20"/>
                <w:szCs w:val="20"/>
              </w:rPr>
              <w:t>coordinate session logistics</w:t>
            </w:r>
          </w:p>
          <w:p w14:paraId="095EBC2C" w14:textId="77777777" w:rsidR="00505B24" w:rsidRPr="0062072C" w:rsidRDefault="00505B24" w:rsidP="004E042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12659777" w14:textId="77777777" w:rsidR="00505B24" w:rsidRDefault="00505B24" w:rsidP="004E042D">
            <w:pPr>
              <w:pStyle w:val="NoSpacing"/>
              <w:widowControl w:val="0"/>
              <w:ind w:left="490" w:hanging="360"/>
              <w:rPr>
                <w:sz w:val="20"/>
                <w:szCs w:val="20"/>
              </w:rPr>
            </w:pPr>
            <w:r>
              <w:rPr>
                <w:sz w:val="20"/>
                <w:szCs w:val="20"/>
              </w:rPr>
              <w:t>$400</w:t>
            </w:r>
            <w:r w:rsidRPr="0062072C">
              <w:rPr>
                <w:sz w:val="20"/>
                <w:szCs w:val="20"/>
              </w:rPr>
              <w:t xml:space="preserve"> or $</w:t>
            </w:r>
            <w:r>
              <w:rPr>
                <w:sz w:val="20"/>
                <w:szCs w:val="20"/>
              </w:rPr>
              <w:t>6</w:t>
            </w:r>
            <w:r w:rsidRPr="0062072C">
              <w:rPr>
                <w:sz w:val="20"/>
                <w:szCs w:val="20"/>
              </w:rPr>
              <w:t xml:space="preserve">00 in </w:t>
            </w:r>
            <w:r>
              <w:rPr>
                <w:sz w:val="20"/>
                <w:szCs w:val="20"/>
              </w:rPr>
              <w:t xml:space="preserve">check or </w:t>
            </w:r>
            <w:r w:rsidRPr="0062072C">
              <w:rPr>
                <w:sz w:val="20"/>
                <w:szCs w:val="20"/>
              </w:rPr>
              <w:t>material or services for school</w:t>
            </w:r>
            <w:r>
              <w:rPr>
                <w:sz w:val="20"/>
                <w:szCs w:val="20"/>
              </w:rPr>
              <w:t xml:space="preserve"> (Main Study Base Year)</w:t>
            </w:r>
          </w:p>
          <w:p w14:paraId="5E705B8A" w14:textId="77777777" w:rsidR="00505B24" w:rsidRPr="0062072C" w:rsidRDefault="00505B24" w:rsidP="004E042D">
            <w:pPr>
              <w:pStyle w:val="NoSpacing"/>
              <w:widowControl w:val="0"/>
              <w:ind w:left="490" w:hanging="360"/>
              <w:rPr>
                <w:sz w:val="20"/>
                <w:szCs w:val="20"/>
              </w:rPr>
            </w:pPr>
          </w:p>
          <w:p w14:paraId="17749686" w14:textId="77777777" w:rsidR="00505B24" w:rsidRPr="0062072C" w:rsidRDefault="00505B24" w:rsidP="004E042D">
            <w:pPr>
              <w:pStyle w:val="NoSpacing"/>
              <w:widowControl w:val="0"/>
              <w:ind w:left="490" w:hanging="360"/>
              <w:rPr>
                <w:rFonts w:cs="Times New Roman"/>
                <w:sz w:val="20"/>
                <w:szCs w:val="20"/>
              </w:rPr>
            </w:pPr>
          </w:p>
          <w:p w14:paraId="6EBF60E7" w14:textId="77777777" w:rsidR="00505B24" w:rsidRPr="0062072C" w:rsidRDefault="00505B24" w:rsidP="004E042D">
            <w:pPr>
              <w:pStyle w:val="NoSpacing"/>
              <w:widowControl w:val="0"/>
              <w:ind w:left="490" w:hanging="360"/>
              <w:rPr>
                <w:rFonts w:cs="Times New Roman"/>
                <w:sz w:val="20"/>
                <w:szCs w:val="20"/>
              </w:rPr>
            </w:pPr>
            <w:r w:rsidRPr="0062072C">
              <w:rPr>
                <w:sz w:val="20"/>
                <w:szCs w:val="20"/>
              </w:rPr>
              <w:t>$150 for coordinator</w:t>
            </w:r>
          </w:p>
        </w:tc>
      </w:tr>
      <w:tr w:rsidR="00505B24" w:rsidRPr="0062072C" w14:paraId="3B1F92A4"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68D7D552" w14:textId="77777777" w:rsidR="00505B24" w:rsidRPr="0062072C" w:rsidRDefault="00505B24" w:rsidP="004E042D">
            <w:pPr>
              <w:pStyle w:val="NoSpacing"/>
              <w:widowControl w:val="0"/>
              <w:ind w:left="490" w:hanging="360"/>
              <w:rPr>
                <w:sz w:val="20"/>
                <w:szCs w:val="20"/>
              </w:rPr>
            </w:pPr>
            <w:r>
              <w:rPr>
                <w:b/>
                <w:sz w:val="20"/>
                <w:szCs w:val="20"/>
              </w:rPr>
              <w:t xml:space="preserve">OFT2 </w:t>
            </w:r>
            <w:r w:rsidRPr="004D530E">
              <w:rPr>
                <w:b/>
                <w:sz w:val="20"/>
                <w:szCs w:val="20"/>
              </w:rPr>
              <w:t>Data Collection</w:t>
            </w:r>
          </w:p>
        </w:tc>
      </w:tr>
      <w:tr w:rsidR="00505B24" w:rsidRPr="0062072C" w14:paraId="6789AF24"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5496DFA" w14:textId="77777777" w:rsidR="00505B24" w:rsidRPr="0062072C" w:rsidRDefault="00505B24" w:rsidP="004E042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D0CE5D7" w14:textId="77777777" w:rsidR="00505B24" w:rsidRPr="0062072C" w:rsidRDefault="00505B24" w:rsidP="004E042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62DA30A9" w14:textId="77777777" w:rsidR="00505B24" w:rsidRPr="0062072C" w:rsidRDefault="00505B24" w:rsidP="004E042D">
            <w:pPr>
              <w:pStyle w:val="NoSpacing"/>
              <w:widowControl w:val="0"/>
              <w:ind w:left="490" w:hanging="360"/>
              <w:rPr>
                <w:sz w:val="20"/>
                <w:szCs w:val="20"/>
              </w:rPr>
            </w:pPr>
            <w:r>
              <w:rPr>
                <w:sz w:val="20"/>
                <w:szCs w:val="20"/>
              </w:rPr>
              <w:t>Food event at school (e.g., pizza, bagels, etc.) sponsored by the study</w:t>
            </w:r>
          </w:p>
        </w:tc>
      </w:tr>
      <w:tr w:rsidR="00505B24" w:rsidRPr="0062072C" w14:paraId="633D45AF" w14:textId="77777777" w:rsidTr="004E042D">
        <w:trPr>
          <w:cantSplit/>
          <w:trHeight w:val="288"/>
          <w:jc w:val="center"/>
        </w:trPr>
        <w:tc>
          <w:tcPr>
            <w:tcW w:w="1564" w:type="pct"/>
            <w:shd w:val="clear" w:color="auto" w:fill="auto"/>
            <w:tcMar>
              <w:top w:w="14" w:type="dxa"/>
              <w:left w:w="29" w:type="dxa"/>
              <w:bottom w:w="14" w:type="dxa"/>
              <w:right w:w="14" w:type="dxa"/>
            </w:tcMar>
            <w:vAlign w:val="center"/>
          </w:tcPr>
          <w:p w14:paraId="2810D990" w14:textId="77777777" w:rsidR="00505B24" w:rsidRPr="0062072C" w:rsidRDefault="00505B24" w:rsidP="004E042D">
            <w:pPr>
              <w:pStyle w:val="NoSpacing"/>
              <w:widowControl w:val="0"/>
              <w:ind w:left="169"/>
              <w:rPr>
                <w:sz w:val="20"/>
                <w:szCs w:val="20"/>
              </w:rPr>
            </w:pPr>
            <w:r w:rsidRPr="0062072C">
              <w:rPr>
                <w:sz w:val="20"/>
                <w:szCs w:val="20"/>
              </w:rPr>
              <w:t>Student Assessments and Survey</w:t>
            </w:r>
          </w:p>
          <w:p w14:paraId="297728DA" w14:textId="77777777" w:rsidR="00505B24" w:rsidRPr="0062072C" w:rsidRDefault="00505B24" w:rsidP="004E042D">
            <w:pPr>
              <w:pStyle w:val="NoSpacing"/>
              <w:widowControl w:val="0"/>
              <w:ind w:left="169"/>
              <w:rPr>
                <w:sz w:val="20"/>
                <w:szCs w:val="20"/>
              </w:rPr>
            </w:pPr>
            <w:r w:rsidRPr="0062072C">
              <w:rPr>
                <w:sz w:val="20"/>
                <w:szCs w:val="20"/>
              </w:rPr>
              <w:t xml:space="preserve">(Mathematics, Reading, </w:t>
            </w:r>
            <w:r>
              <w:rPr>
                <w:sz w:val="20"/>
                <w:szCs w:val="20"/>
              </w:rPr>
              <w:t>Executive Function &amp;</w:t>
            </w:r>
            <w:r w:rsidRPr="0062072C">
              <w:rPr>
                <w:sz w:val="20"/>
                <w:szCs w:val="20"/>
              </w:rPr>
              <w:t xml:space="preserve"> Survey</w:t>
            </w:r>
            <w:r>
              <w:rPr>
                <w:sz w:val="20"/>
                <w:szCs w:val="20"/>
              </w:rPr>
              <w:t>)</w:t>
            </w:r>
          </w:p>
          <w:p w14:paraId="5B670E3B" w14:textId="77777777" w:rsidR="00505B24" w:rsidRPr="002B1DFD" w:rsidRDefault="00505B24" w:rsidP="004E042D">
            <w:pPr>
              <w:pStyle w:val="NoSpacing"/>
              <w:widowControl w:val="0"/>
              <w:rPr>
                <w:sz w:val="10"/>
                <w:szCs w:val="10"/>
              </w:rPr>
            </w:pPr>
          </w:p>
          <w:p w14:paraId="1B99E1E0" w14:textId="77777777" w:rsidR="00505B24" w:rsidRDefault="00505B24" w:rsidP="004E042D">
            <w:pPr>
              <w:pStyle w:val="NoSpacing"/>
              <w:widowControl w:val="0"/>
              <w:ind w:left="169"/>
              <w:rPr>
                <w:sz w:val="20"/>
                <w:szCs w:val="20"/>
              </w:rPr>
            </w:pPr>
            <w:r>
              <w:rPr>
                <w:sz w:val="20"/>
                <w:szCs w:val="20"/>
              </w:rPr>
              <w:t>In-school administration (grade 7 &amp; 8)</w:t>
            </w:r>
          </w:p>
          <w:p w14:paraId="797B0C30" w14:textId="77777777" w:rsidR="00505B24" w:rsidRPr="002B1DFD" w:rsidRDefault="00505B24" w:rsidP="004E042D">
            <w:pPr>
              <w:pStyle w:val="NoSpacing"/>
              <w:widowControl w:val="0"/>
              <w:ind w:left="169"/>
              <w:rPr>
                <w:sz w:val="10"/>
                <w:szCs w:val="10"/>
              </w:rPr>
            </w:pPr>
          </w:p>
          <w:p w14:paraId="008F8806" w14:textId="77777777" w:rsidR="00505B24" w:rsidRPr="0062072C" w:rsidRDefault="00505B24" w:rsidP="004E042D">
            <w:pPr>
              <w:pStyle w:val="NoSpacing"/>
              <w:widowControl w:val="0"/>
              <w:ind w:left="169"/>
              <w:rPr>
                <w:sz w:val="20"/>
                <w:szCs w:val="20"/>
              </w:rPr>
            </w:pPr>
            <w:r>
              <w:rPr>
                <w:sz w:val="20"/>
                <w:szCs w:val="20"/>
              </w:rPr>
              <w:t>Out-of-school administration (grade 7 only)</w:t>
            </w:r>
          </w:p>
        </w:tc>
        <w:tc>
          <w:tcPr>
            <w:tcW w:w="1526" w:type="pct"/>
            <w:shd w:val="clear" w:color="auto" w:fill="auto"/>
            <w:tcMar>
              <w:top w:w="14" w:type="dxa"/>
              <w:left w:w="29" w:type="dxa"/>
              <w:bottom w:w="14" w:type="dxa"/>
              <w:right w:w="14" w:type="dxa"/>
            </w:tcMar>
            <w:vAlign w:val="bottom"/>
          </w:tcPr>
          <w:p w14:paraId="1D6207F4" w14:textId="77777777" w:rsidR="00505B24" w:rsidRDefault="00505B24" w:rsidP="004E042D">
            <w:pPr>
              <w:pStyle w:val="NoSpacing"/>
              <w:widowControl w:val="0"/>
              <w:ind w:left="169"/>
              <w:rPr>
                <w:sz w:val="20"/>
                <w:szCs w:val="20"/>
              </w:rPr>
            </w:pPr>
          </w:p>
          <w:p w14:paraId="54D7D0D7" w14:textId="77777777" w:rsidR="00505B24" w:rsidRPr="002B1DFD" w:rsidRDefault="00505B24" w:rsidP="004E042D">
            <w:pPr>
              <w:pStyle w:val="NoSpacing"/>
              <w:widowControl w:val="0"/>
              <w:rPr>
                <w:sz w:val="10"/>
                <w:szCs w:val="10"/>
              </w:rPr>
            </w:pPr>
          </w:p>
          <w:p w14:paraId="7673AC18" w14:textId="77777777" w:rsidR="00505B24" w:rsidRDefault="00505B24" w:rsidP="004E042D">
            <w:pPr>
              <w:pStyle w:val="NoSpacing"/>
              <w:widowControl w:val="0"/>
              <w:ind w:left="183"/>
              <w:rPr>
                <w:sz w:val="20"/>
                <w:szCs w:val="20"/>
              </w:rPr>
            </w:pPr>
            <w:r>
              <w:rPr>
                <w:sz w:val="20"/>
                <w:szCs w:val="20"/>
              </w:rPr>
              <w:t>75</w:t>
            </w:r>
            <w:r w:rsidRPr="0062072C">
              <w:rPr>
                <w:sz w:val="20"/>
                <w:szCs w:val="20"/>
              </w:rPr>
              <w:t xml:space="preserve"> minutes</w:t>
            </w:r>
          </w:p>
          <w:p w14:paraId="4E9E1119" w14:textId="77777777" w:rsidR="00505B24" w:rsidRPr="002B1DFD" w:rsidRDefault="00505B24" w:rsidP="004E042D">
            <w:pPr>
              <w:pStyle w:val="NoSpacing"/>
              <w:widowControl w:val="0"/>
              <w:ind w:left="169"/>
              <w:rPr>
                <w:sz w:val="10"/>
                <w:szCs w:val="10"/>
              </w:rPr>
            </w:pPr>
          </w:p>
          <w:p w14:paraId="2102DA01" w14:textId="77777777" w:rsidR="00505B24" w:rsidRPr="0062072C" w:rsidRDefault="00505B24" w:rsidP="004E042D">
            <w:pPr>
              <w:pStyle w:val="NoSpacing"/>
              <w:widowControl w:val="0"/>
              <w:ind w:left="169"/>
              <w:rPr>
                <w:sz w:val="20"/>
                <w:szCs w:val="20"/>
              </w:rPr>
            </w:pPr>
            <w:r>
              <w:rPr>
                <w:sz w:val="20"/>
                <w:szCs w:val="20"/>
              </w:rPr>
              <w:t>75 minutes</w:t>
            </w:r>
          </w:p>
        </w:tc>
        <w:tc>
          <w:tcPr>
            <w:tcW w:w="1910" w:type="pct"/>
            <w:shd w:val="clear" w:color="auto" w:fill="auto"/>
            <w:tcMar>
              <w:top w:w="14" w:type="dxa"/>
              <w:left w:w="29" w:type="dxa"/>
              <w:bottom w:w="14" w:type="dxa"/>
              <w:right w:w="14" w:type="dxa"/>
            </w:tcMar>
            <w:vAlign w:val="center"/>
          </w:tcPr>
          <w:p w14:paraId="05721DC0" w14:textId="77777777" w:rsidR="00505B24" w:rsidRDefault="00505B24" w:rsidP="004E042D">
            <w:pPr>
              <w:pStyle w:val="NoSpacing"/>
              <w:widowControl w:val="0"/>
              <w:ind w:left="490" w:hanging="360"/>
              <w:rPr>
                <w:sz w:val="20"/>
                <w:szCs w:val="20"/>
              </w:rPr>
            </w:pPr>
          </w:p>
          <w:p w14:paraId="05EC09DF" w14:textId="77777777" w:rsidR="00505B24" w:rsidRPr="002B1DFD" w:rsidRDefault="00505B24" w:rsidP="004E042D">
            <w:pPr>
              <w:pStyle w:val="NoSpacing"/>
              <w:widowControl w:val="0"/>
              <w:rPr>
                <w:sz w:val="10"/>
                <w:szCs w:val="10"/>
              </w:rPr>
            </w:pPr>
          </w:p>
          <w:p w14:paraId="4B436F8D" w14:textId="77777777" w:rsidR="00505B24" w:rsidRDefault="00505B24" w:rsidP="004E042D">
            <w:pPr>
              <w:pStyle w:val="NoSpacing"/>
              <w:widowControl w:val="0"/>
              <w:ind w:left="490" w:hanging="360"/>
              <w:rPr>
                <w:sz w:val="20"/>
                <w:szCs w:val="20"/>
              </w:rPr>
            </w:pPr>
            <w:r>
              <w:rPr>
                <w:sz w:val="20"/>
                <w:szCs w:val="20"/>
              </w:rPr>
              <w:t>Earbuds used during assessment (no additional token incentive)</w:t>
            </w:r>
          </w:p>
          <w:p w14:paraId="751B4F42" w14:textId="77777777" w:rsidR="00505B24" w:rsidRPr="005B276C" w:rsidRDefault="00505B24" w:rsidP="004E042D">
            <w:pPr>
              <w:pStyle w:val="NoSpacing"/>
              <w:widowControl w:val="0"/>
              <w:rPr>
                <w:sz w:val="10"/>
                <w:szCs w:val="10"/>
              </w:rPr>
            </w:pPr>
          </w:p>
          <w:p w14:paraId="33BC8B6B" w14:textId="77777777" w:rsidR="00505B24" w:rsidRPr="0062072C" w:rsidRDefault="00505B24" w:rsidP="004E042D">
            <w:pPr>
              <w:pStyle w:val="NoSpacing"/>
              <w:widowControl w:val="0"/>
              <w:ind w:left="490" w:hanging="360"/>
              <w:rPr>
                <w:sz w:val="20"/>
                <w:szCs w:val="20"/>
              </w:rPr>
            </w:pPr>
            <w:r>
              <w:rPr>
                <w:sz w:val="20"/>
                <w:szCs w:val="20"/>
              </w:rPr>
              <w:t>$20</w:t>
            </w:r>
          </w:p>
        </w:tc>
      </w:tr>
      <w:tr w:rsidR="00505B24" w:rsidRPr="0062072C" w14:paraId="4A86AA4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0A74528" w14:textId="77777777" w:rsidR="00505B24" w:rsidRPr="0062072C" w:rsidRDefault="00505B24" w:rsidP="004E042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6C14EFA9" w14:textId="77777777" w:rsidR="00505B24" w:rsidRPr="0062072C" w:rsidRDefault="00505B24" w:rsidP="004E042D">
            <w:pPr>
              <w:pStyle w:val="NoSpacing"/>
              <w:widowControl w:val="0"/>
              <w:ind w:left="169"/>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7A3B2851" w14:textId="77777777" w:rsidR="00505B24" w:rsidRPr="0062072C" w:rsidRDefault="00505B24" w:rsidP="004E042D">
            <w:pPr>
              <w:pStyle w:val="NoSpacing"/>
              <w:widowControl w:val="0"/>
              <w:ind w:left="490" w:hanging="360"/>
              <w:rPr>
                <w:sz w:val="20"/>
                <w:szCs w:val="20"/>
              </w:rPr>
            </w:pPr>
            <w:r w:rsidRPr="0062072C">
              <w:rPr>
                <w:sz w:val="20"/>
                <w:szCs w:val="20"/>
              </w:rPr>
              <w:t>No monetary incentive</w:t>
            </w:r>
          </w:p>
        </w:tc>
      </w:tr>
      <w:tr w:rsidR="00505B24" w:rsidRPr="0062072C" w14:paraId="259C2FC9"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B3F5391" w14:textId="77777777" w:rsidR="00505B24" w:rsidRPr="0062072C" w:rsidRDefault="00505B24" w:rsidP="004E042D">
            <w:pPr>
              <w:pStyle w:val="NoSpacing"/>
              <w:widowControl w:val="0"/>
              <w:ind w:left="169"/>
              <w:rPr>
                <w:rFonts w:cs="Times New Roman"/>
                <w:sz w:val="20"/>
                <w:szCs w:val="20"/>
              </w:rPr>
            </w:pPr>
            <w:r w:rsidRPr="0062072C">
              <w:rPr>
                <w:sz w:val="20"/>
                <w:szCs w:val="20"/>
              </w:rPr>
              <w:t>School Participation</w:t>
            </w:r>
          </w:p>
          <w:p w14:paraId="37759920" w14:textId="77777777" w:rsidR="00505B24" w:rsidRPr="0062072C" w:rsidRDefault="00505B24" w:rsidP="004E042D">
            <w:pPr>
              <w:pStyle w:val="NoSpacing"/>
              <w:widowControl w:val="0"/>
              <w:ind w:left="169"/>
              <w:rPr>
                <w:rFonts w:cs="Times New Roman"/>
                <w:sz w:val="20"/>
                <w:szCs w:val="20"/>
              </w:rPr>
            </w:pPr>
          </w:p>
          <w:p w14:paraId="358023FD" w14:textId="77777777" w:rsidR="00505B24" w:rsidRPr="0062072C" w:rsidRDefault="00505B24" w:rsidP="004E042D">
            <w:pPr>
              <w:pStyle w:val="NoSpacing"/>
              <w:widowControl w:val="0"/>
              <w:ind w:left="169"/>
              <w:rPr>
                <w:rFonts w:cs="Times New Roman"/>
                <w:sz w:val="20"/>
                <w:szCs w:val="20"/>
              </w:rPr>
            </w:pPr>
            <w:r w:rsidRPr="0062072C">
              <w:rPr>
                <w:sz w:val="20"/>
                <w:szCs w:val="20"/>
              </w:rPr>
              <w:t>School Coordinator</w:t>
            </w:r>
          </w:p>
          <w:p w14:paraId="0FF15FB4" w14:textId="77777777" w:rsidR="00505B24" w:rsidRPr="0062072C" w:rsidRDefault="00505B24" w:rsidP="004E042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39F1381C" w14:textId="77777777" w:rsidR="00505B24" w:rsidRPr="0062072C" w:rsidRDefault="00505B24" w:rsidP="004E042D">
            <w:pPr>
              <w:pStyle w:val="NoSpacing"/>
              <w:widowControl w:val="0"/>
              <w:ind w:left="381" w:hanging="180"/>
              <w:rPr>
                <w:sz w:val="20"/>
                <w:szCs w:val="20"/>
              </w:rPr>
            </w:pPr>
            <w:r w:rsidRPr="0062072C">
              <w:rPr>
                <w:sz w:val="20"/>
                <w:szCs w:val="20"/>
              </w:rPr>
              <w:t>6 hours for consent assistance</w:t>
            </w:r>
          </w:p>
          <w:p w14:paraId="76025B17" w14:textId="77777777" w:rsidR="00505B24" w:rsidRPr="0062072C" w:rsidRDefault="00505B24" w:rsidP="004E042D">
            <w:pPr>
              <w:pStyle w:val="NoSpacing"/>
              <w:widowControl w:val="0"/>
              <w:ind w:left="381" w:hanging="180"/>
              <w:rPr>
                <w:sz w:val="20"/>
                <w:szCs w:val="20"/>
              </w:rPr>
            </w:pPr>
            <w:r w:rsidRPr="0062072C">
              <w:rPr>
                <w:sz w:val="20"/>
                <w:szCs w:val="20"/>
              </w:rPr>
              <w:t>2 hours to schedule assessments</w:t>
            </w:r>
          </w:p>
          <w:p w14:paraId="536D8827" w14:textId="77777777" w:rsidR="00505B24" w:rsidRPr="0062072C" w:rsidRDefault="00505B24" w:rsidP="004E042D">
            <w:pPr>
              <w:pStyle w:val="NoSpacing"/>
              <w:widowControl w:val="0"/>
              <w:ind w:left="381" w:hanging="180"/>
              <w:rPr>
                <w:sz w:val="20"/>
                <w:szCs w:val="20"/>
              </w:rPr>
            </w:pPr>
            <w:r w:rsidRPr="0062072C">
              <w:rPr>
                <w:sz w:val="20"/>
                <w:szCs w:val="20"/>
              </w:rPr>
              <w:t xml:space="preserve">2 hours to coordinate </w:t>
            </w:r>
            <w:r>
              <w:rPr>
                <w:sz w:val="20"/>
                <w:szCs w:val="20"/>
              </w:rPr>
              <w:t>session logistics</w:t>
            </w:r>
          </w:p>
          <w:p w14:paraId="2C0D1151" w14:textId="77777777" w:rsidR="00505B24" w:rsidRPr="0062072C" w:rsidRDefault="00505B24" w:rsidP="004E042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0C5E1F67" w14:textId="77777777" w:rsidR="00505B24" w:rsidRPr="0062072C" w:rsidRDefault="00505B24" w:rsidP="004E042D">
            <w:pPr>
              <w:pStyle w:val="NoSpacing"/>
              <w:widowControl w:val="0"/>
              <w:ind w:left="490" w:hanging="360"/>
              <w:rPr>
                <w:sz w:val="20"/>
                <w:szCs w:val="20"/>
              </w:rPr>
            </w:pPr>
            <w:r w:rsidRPr="0062072C">
              <w:rPr>
                <w:sz w:val="20"/>
                <w:szCs w:val="20"/>
              </w:rPr>
              <w:t>$</w:t>
            </w:r>
            <w:r>
              <w:rPr>
                <w:sz w:val="20"/>
                <w:szCs w:val="20"/>
              </w:rPr>
              <w:t>200</w:t>
            </w:r>
            <w:r w:rsidRPr="0062072C">
              <w:rPr>
                <w:sz w:val="20"/>
                <w:szCs w:val="20"/>
              </w:rPr>
              <w:t xml:space="preserve"> in </w:t>
            </w:r>
            <w:r>
              <w:rPr>
                <w:sz w:val="20"/>
                <w:szCs w:val="20"/>
              </w:rPr>
              <w:t xml:space="preserve">check or </w:t>
            </w:r>
            <w:r w:rsidRPr="0062072C">
              <w:rPr>
                <w:sz w:val="20"/>
                <w:szCs w:val="20"/>
              </w:rPr>
              <w:t>material or services for school</w:t>
            </w:r>
          </w:p>
          <w:p w14:paraId="11E77721" w14:textId="77777777" w:rsidR="00505B24" w:rsidRPr="0062072C" w:rsidRDefault="00505B24" w:rsidP="004E042D">
            <w:pPr>
              <w:pStyle w:val="NoSpacing"/>
              <w:widowControl w:val="0"/>
              <w:ind w:left="490" w:hanging="360"/>
              <w:rPr>
                <w:rFonts w:cs="Times New Roman"/>
                <w:sz w:val="20"/>
                <w:szCs w:val="20"/>
              </w:rPr>
            </w:pPr>
          </w:p>
          <w:p w14:paraId="77D1F61D" w14:textId="77777777" w:rsidR="00505B24" w:rsidRPr="0062072C" w:rsidRDefault="00505B24" w:rsidP="004E042D">
            <w:pPr>
              <w:pStyle w:val="NoSpacing"/>
              <w:widowControl w:val="0"/>
              <w:ind w:left="490" w:hanging="360"/>
              <w:rPr>
                <w:rFonts w:cs="Times New Roman"/>
                <w:sz w:val="20"/>
                <w:szCs w:val="20"/>
              </w:rPr>
            </w:pPr>
          </w:p>
          <w:p w14:paraId="4CDBC187" w14:textId="77777777" w:rsidR="00505B24" w:rsidRPr="0062072C" w:rsidRDefault="00505B24" w:rsidP="004E042D">
            <w:pPr>
              <w:pStyle w:val="NoSpacing"/>
              <w:widowControl w:val="0"/>
              <w:ind w:left="490" w:hanging="360"/>
              <w:rPr>
                <w:sz w:val="20"/>
                <w:szCs w:val="20"/>
              </w:rPr>
            </w:pPr>
            <w:r w:rsidRPr="0062072C">
              <w:rPr>
                <w:sz w:val="20"/>
                <w:szCs w:val="20"/>
              </w:rPr>
              <w:t>$150 for coordinator</w:t>
            </w:r>
          </w:p>
        </w:tc>
      </w:tr>
      <w:tr w:rsidR="00505B24" w:rsidRPr="0062072C" w14:paraId="4035FC62"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73E20064" w14:textId="77777777" w:rsidR="00505B24" w:rsidRPr="0062072C" w:rsidRDefault="00505B24" w:rsidP="004E042D">
            <w:pPr>
              <w:pStyle w:val="NoSpacing"/>
              <w:keepNext/>
              <w:widowControl w:val="0"/>
              <w:ind w:left="490" w:hanging="360"/>
              <w:rPr>
                <w:sz w:val="20"/>
                <w:szCs w:val="20"/>
              </w:rPr>
            </w:pPr>
            <w:r>
              <w:rPr>
                <w:b/>
                <w:sz w:val="20"/>
                <w:szCs w:val="20"/>
              </w:rPr>
              <w:t xml:space="preserve">MS2 </w:t>
            </w:r>
            <w:r w:rsidRPr="004D530E">
              <w:rPr>
                <w:b/>
                <w:sz w:val="20"/>
                <w:szCs w:val="20"/>
              </w:rPr>
              <w:t>Data Collection</w:t>
            </w:r>
          </w:p>
        </w:tc>
      </w:tr>
      <w:tr w:rsidR="00505B24" w:rsidRPr="0062072C" w14:paraId="500CD331"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721FFF69" w14:textId="77777777" w:rsidR="00505B24" w:rsidRPr="0062072C" w:rsidRDefault="00505B24" w:rsidP="004E042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509647BE" w14:textId="77777777" w:rsidR="00505B24" w:rsidRPr="0062072C" w:rsidRDefault="00505B24" w:rsidP="004E042D">
            <w:pPr>
              <w:pStyle w:val="NoSpacing"/>
              <w:widowControl w:val="0"/>
              <w:ind w:left="381" w:hanging="180"/>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304B33BE" w14:textId="77777777" w:rsidR="00505B24" w:rsidRPr="0062072C" w:rsidRDefault="00505B24" w:rsidP="004E042D">
            <w:pPr>
              <w:pStyle w:val="NoSpacing"/>
              <w:widowControl w:val="0"/>
              <w:ind w:left="490" w:hanging="360"/>
              <w:rPr>
                <w:sz w:val="20"/>
                <w:szCs w:val="20"/>
              </w:rPr>
            </w:pPr>
            <w:r>
              <w:rPr>
                <w:sz w:val="20"/>
                <w:szCs w:val="20"/>
              </w:rPr>
              <w:t>Food event at school (e.g., pizza, bagels, etc.) sponsored by the study</w:t>
            </w:r>
          </w:p>
        </w:tc>
      </w:tr>
      <w:tr w:rsidR="00505B24" w:rsidRPr="0062072C" w14:paraId="7F884AFB"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170EF078" w14:textId="77777777" w:rsidR="00505B24" w:rsidRPr="002C7D9E" w:rsidRDefault="00505B24" w:rsidP="004E042D">
            <w:pPr>
              <w:pStyle w:val="NoSpacing"/>
              <w:ind w:left="144"/>
              <w:rPr>
                <w:sz w:val="20"/>
                <w:szCs w:val="20"/>
              </w:rPr>
            </w:pPr>
            <w:r w:rsidRPr="002C7D9E">
              <w:rPr>
                <w:sz w:val="20"/>
                <w:szCs w:val="20"/>
              </w:rPr>
              <w:t>Student Assessments and Survey</w:t>
            </w:r>
          </w:p>
          <w:p w14:paraId="332BF420" w14:textId="77777777" w:rsidR="00505B24" w:rsidRPr="002B1DFD" w:rsidRDefault="00505B24" w:rsidP="004E042D">
            <w:pPr>
              <w:pStyle w:val="NoSpacing"/>
              <w:widowControl w:val="0"/>
              <w:ind w:left="144"/>
              <w:rPr>
                <w:sz w:val="10"/>
                <w:szCs w:val="10"/>
              </w:rPr>
            </w:pPr>
            <w:r w:rsidRPr="002C7D9E">
              <w:rPr>
                <w:sz w:val="20"/>
                <w:szCs w:val="20"/>
              </w:rPr>
              <w:t xml:space="preserve">(Mathematics, Reading, Executive Function, </w:t>
            </w:r>
            <w:r>
              <w:rPr>
                <w:sz w:val="20"/>
                <w:szCs w:val="20"/>
              </w:rPr>
              <w:t xml:space="preserve">Height, Weight, </w:t>
            </w:r>
            <w:r w:rsidRPr="002C7D9E">
              <w:rPr>
                <w:sz w:val="20"/>
                <w:szCs w:val="20"/>
              </w:rPr>
              <w:t>and Student Survey)</w:t>
            </w:r>
          </w:p>
          <w:p w14:paraId="384142DF" w14:textId="77777777" w:rsidR="00505B24" w:rsidRDefault="00505B24" w:rsidP="004E042D">
            <w:pPr>
              <w:pStyle w:val="NoSpacing"/>
              <w:widowControl w:val="0"/>
              <w:ind w:left="169"/>
              <w:rPr>
                <w:sz w:val="20"/>
                <w:szCs w:val="20"/>
              </w:rPr>
            </w:pPr>
            <w:r>
              <w:rPr>
                <w:sz w:val="20"/>
                <w:szCs w:val="20"/>
              </w:rPr>
              <w:t>In-school administration</w:t>
            </w:r>
          </w:p>
          <w:p w14:paraId="3AAF3749" w14:textId="77777777" w:rsidR="00505B24" w:rsidRPr="002B1DFD" w:rsidRDefault="00505B24" w:rsidP="004E042D">
            <w:pPr>
              <w:pStyle w:val="NoSpacing"/>
              <w:widowControl w:val="0"/>
              <w:ind w:left="169"/>
              <w:rPr>
                <w:sz w:val="10"/>
                <w:szCs w:val="10"/>
              </w:rPr>
            </w:pPr>
          </w:p>
          <w:p w14:paraId="6EE8AFED" w14:textId="77777777" w:rsidR="00505B24" w:rsidRPr="0062072C" w:rsidRDefault="00505B24" w:rsidP="004E042D">
            <w:pPr>
              <w:pStyle w:val="NoSpacing"/>
              <w:widowControl w:val="0"/>
              <w:ind w:left="169"/>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bottom"/>
          </w:tcPr>
          <w:p w14:paraId="6FB21114" w14:textId="77777777" w:rsidR="00505B24" w:rsidRDefault="00505B24" w:rsidP="004E042D">
            <w:pPr>
              <w:pStyle w:val="NoSpacing"/>
              <w:widowControl w:val="0"/>
              <w:rPr>
                <w:sz w:val="20"/>
                <w:szCs w:val="20"/>
              </w:rPr>
            </w:pPr>
          </w:p>
          <w:p w14:paraId="1D462162" w14:textId="77777777" w:rsidR="00505B24" w:rsidRDefault="00505B24" w:rsidP="004E042D">
            <w:pPr>
              <w:pStyle w:val="NoSpacing"/>
              <w:widowControl w:val="0"/>
              <w:ind w:left="183"/>
              <w:rPr>
                <w:sz w:val="20"/>
                <w:szCs w:val="20"/>
              </w:rPr>
            </w:pPr>
            <w:r>
              <w:rPr>
                <w:sz w:val="20"/>
                <w:szCs w:val="20"/>
              </w:rPr>
              <w:t>90</w:t>
            </w:r>
            <w:r w:rsidRPr="0062072C">
              <w:rPr>
                <w:sz w:val="20"/>
                <w:szCs w:val="20"/>
              </w:rPr>
              <w:t xml:space="preserve"> minutes</w:t>
            </w:r>
          </w:p>
          <w:p w14:paraId="267B5C7C" w14:textId="77777777" w:rsidR="00505B24" w:rsidRPr="002B1DFD" w:rsidRDefault="00505B24" w:rsidP="004E042D">
            <w:pPr>
              <w:pStyle w:val="NoSpacing"/>
              <w:widowControl w:val="0"/>
              <w:ind w:left="169"/>
              <w:rPr>
                <w:sz w:val="10"/>
                <w:szCs w:val="10"/>
              </w:rPr>
            </w:pPr>
          </w:p>
          <w:p w14:paraId="6597B725" w14:textId="77777777" w:rsidR="00505B24" w:rsidRPr="0062072C" w:rsidRDefault="00505B24" w:rsidP="004E042D">
            <w:pPr>
              <w:pStyle w:val="NoSpacing"/>
              <w:widowControl w:val="0"/>
              <w:ind w:left="183"/>
              <w:rPr>
                <w:sz w:val="20"/>
                <w:szCs w:val="20"/>
              </w:rPr>
            </w:pPr>
            <w:r>
              <w:rPr>
                <w:sz w:val="20"/>
                <w:szCs w:val="20"/>
              </w:rPr>
              <w:t>90 minutes</w:t>
            </w:r>
          </w:p>
        </w:tc>
        <w:tc>
          <w:tcPr>
            <w:tcW w:w="1910" w:type="pct"/>
            <w:shd w:val="clear" w:color="auto" w:fill="auto"/>
            <w:tcMar>
              <w:top w:w="14" w:type="dxa"/>
              <w:left w:w="29" w:type="dxa"/>
              <w:bottom w:w="14" w:type="dxa"/>
              <w:right w:w="14" w:type="dxa"/>
            </w:tcMar>
            <w:vAlign w:val="center"/>
          </w:tcPr>
          <w:p w14:paraId="0859E5D4" w14:textId="77777777" w:rsidR="00505B24" w:rsidRDefault="00505B24" w:rsidP="004E042D">
            <w:pPr>
              <w:pStyle w:val="NoSpacing"/>
              <w:widowControl w:val="0"/>
              <w:ind w:left="490" w:hanging="360"/>
              <w:rPr>
                <w:sz w:val="20"/>
                <w:szCs w:val="20"/>
              </w:rPr>
            </w:pPr>
          </w:p>
          <w:p w14:paraId="7BD2B241" w14:textId="77777777" w:rsidR="00505B24" w:rsidRDefault="00505B24" w:rsidP="004E042D">
            <w:pPr>
              <w:pStyle w:val="NoSpacing"/>
              <w:widowControl w:val="0"/>
              <w:ind w:left="490" w:hanging="360"/>
              <w:rPr>
                <w:sz w:val="20"/>
                <w:szCs w:val="20"/>
              </w:rPr>
            </w:pPr>
          </w:p>
          <w:p w14:paraId="5D0D6950" w14:textId="77777777" w:rsidR="00505B24" w:rsidRDefault="00505B24" w:rsidP="004E042D">
            <w:pPr>
              <w:pStyle w:val="NoSpacing"/>
              <w:widowControl w:val="0"/>
              <w:ind w:left="490" w:hanging="360"/>
              <w:rPr>
                <w:sz w:val="20"/>
                <w:szCs w:val="20"/>
              </w:rPr>
            </w:pPr>
          </w:p>
          <w:p w14:paraId="668E0C16" w14:textId="77777777" w:rsidR="00505B24" w:rsidRDefault="00505B24" w:rsidP="004E042D">
            <w:pPr>
              <w:pStyle w:val="NoSpacing"/>
              <w:widowControl w:val="0"/>
              <w:ind w:left="490" w:hanging="360"/>
              <w:rPr>
                <w:sz w:val="20"/>
                <w:szCs w:val="20"/>
              </w:rPr>
            </w:pPr>
            <w:r>
              <w:rPr>
                <w:sz w:val="20"/>
                <w:szCs w:val="20"/>
              </w:rPr>
              <w:t>Earbuds used during assessment (no additional token incentive)</w:t>
            </w:r>
          </w:p>
          <w:p w14:paraId="727282A7" w14:textId="77777777" w:rsidR="00505B24" w:rsidRPr="002B1DFD" w:rsidRDefault="00505B24" w:rsidP="004E042D">
            <w:pPr>
              <w:pStyle w:val="NoSpacing"/>
              <w:widowControl w:val="0"/>
              <w:ind w:left="169"/>
              <w:rPr>
                <w:sz w:val="10"/>
                <w:szCs w:val="10"/>
              </w:rPr>
            </w:pPr>
          </w:p>
          <w:p w14:paraId="2E0B38A1" w14:textId="77777777" w:rsidR="00505B24" w:rsidRPr="0062072C" w:rsidRDefault="00505B24" w:rsidP="004E042D">
            <w:pPr>
              <w:pStyle w:val="NoSpacing"/>
              <w:widowControl w:val="0"/>
              <w:ind w:left="490" w:hanging="360"/>
              <w:rPr>
                <w:sz w:val="20"/>
                <w:szCs w:val="20"/>
              </w:rPr>
            </w:pPr>
            <w:r>
              <w:rPr>
                <w:sz w:val="20"/>
                <w:szCs w:val="20"/>
              </w:rPr>
              <w:t>$20</w:t>
            </w:r>
          </w:p>
        </w:tc>
      </w:tr>
      <w:tr w:rsidR="00505B24" w:rsidRPr="0062072C" w14:paraId="62ACDF1D"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AB17EDD" w14:textId="77777777" w:rsidR="00505B24" w:rsidRPr="0062072C" w:rsidRDefault="00505B24" w:rsidP="004E042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765CAB8A" w14:textId="77777777" w:rsidR="00505B24" w:rsidRPr="0062072C" w:rsidRDefault="00505B24" w:rsidP="004E042D">
            <w:pPr>
              <w:pStyle w:val="NoSpacing"/>
              <w:widowControl w:val="0"/>
              <w:ind w:left="381" w:hanging="180"/>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5C2DC35E" w14:textId="77777777" w:rsidR="00505B24" w:rsidRPr="0062072C" w:rsidRDefault="00505B24" w:rsidP="004E042D">
            <w:pPr>
              <w:pStyle w:val="NoSpacing"/>
              <w:widowControl w:val="0"/>
              <w:ind w:left="490" w:hanging="360"/>
              <w:rPr>
                <w:sz w:val="20"/>
                <w:szCs w:val="20"/>
              </w:rPr>
            </w:pPr>
            <w:r w:rsidRPr="0062072C">
              <w:rPr>
                <w:sz w:val="20"/>
                <w:szCs w:val="20"/>
              </w:rPr>
              <w:t>No monetary incentive</w:t>
            </w:r>
          </w:p>
        </w:tc>
      </w:tr>
      <w:tr w:rsidR="00505B24" w:rsidRPr="0062072C" w14:paraId="60DBBA1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1CF83FF1" w14:textId="77777777" w:rsidR="00505B24" w:rsidRPr="0062072C" w:rsidRDefault="00505B24" w:rsidP="004E042D">
            <w:pPr>
              <w:pStyle w:val="NoSpacing"/>
              <w:widowControl w:val="0"/>
              <w:ind w:left="169"/>
              <w:rPr>
                <w:rFonts w:cs="Times New Roman"/>
                <w:sz w:val="20"/>
                <w:szCs w:val="20"/>
              </w:rPr>
            </w:pPr>
            <w:r w:rsidRPr="0062072C">
              <w:rPr>
                <w:sz w:val="20"/>
                <w:szCs w:val="20"/>
              </w:rPr>
              <w:t>School Participation</w:t>
            </w:r>
          </w:p>
          <w:p w14:paraId="7AB9C34F" w14:textId="77777777" w:rsidR="00505B24" w:rsidRPr="0062072C" w:rsidRDefault="00505B24" w:rsidP="004E042D">
            <w:pPr>
              <w:pStyle w:val="NoSpacing"/>
              <w:widowControl w:val="0"/>
              <w:ind w:left="169"/>
              <w:rPr>
                <w:rFonts w:cs="Times New Roman"/>
                <w:sz w:val="20"/>
                <w:szCs w:val="20"/>
              </w:rPr>
            </w:pPr>
          </w:p>
          <w:p w14:paraId="4386A7D5" w14:textId="77777777" w:rsidR="00505B24" w:rsidRPr="0062072C" w:rsidRDefault="00505B24" w:rsidP="004E042D">
            <w:pPr>
              <w:pStyle w:val="NoSpacing"/>
              <w:widowControl w:val="0"/>
              <w:ind w:left="169"/>
              <w:rPr>
                <w:rFonts w:cs="Times New Roman"/>
                <w:sz w:val="20"/>
                <w:szCs w:val="20"/>
              </w:rPr>
            </w:pPr>
            <w:r w:rsidRPr="0062072C">
              <w:rPr>
                <w:sz w:val="20"/>
                <w:szCs w:val="20"/>
              </w:rPr>
              <w:t>School Coordinator</w:t>
            </w:r>
          </w:p>
          <w:p w14:paraId="1FE17311" w14:textId="77777777" w:rsidR="00505B24" w:rsidRPr="0062072C" w:rsidRDefault="00505B24" w:rsidP="004E042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2708211A" w14:textId="77777777" w:rsidR="00505B24" w:rsidRPr="0062072C" w:rsidRDefault="00505B24" w:rsidP="004E042D">
            <w:pPr>
              <w:pStyle w:val="NoSpacing"/>
              <w:widowControl w:val="0"/>
              <w:ind w:left="381" w:hanging="180"/>
              <w:rPr>
                <w:sz w:val="20"/>
                <w:szCs w:val="20"/>
              </w:rPr>
            </w:pPr>
            <w:r w:rsidRPr="0062072C">
              <w:rPr>
                <w:sz w:val="20"/>
                <w:szCs w:val="20"/>
              </w:rPr>
              <w:t>6 hours for consent assistance</w:t>
            </w:r>
          </w:p>
          <w:p w14:paraId="7DEAB8AF" w14:textId="77777777" w:rsidR="00505B24" w:rsidRPr="0062072C" w:rsidRDefault="00505B24" w:rsidP="004E042D">
            <w:pPr>
              <w:pStyle w:val="NoSpacing"/>
              <w:widowControl w:val="0"/>
              <w:ind w:left="381" w:hanging="180"/>
              <w:rPr>
                <w:sz w:val="20"/>
                <w:szCs w:val="20"/>
              </w:rPr>
            </w:pPr>
            <w:r w:rsidRPr="0062072C">
              <w:rPr>
                <w:sz w:val="20"/>
                <w:szCs w:val="20"/>
              </w:rPr>
              <w:t>2 hours to schedule assessments</w:t>
            </w:r>
          </w:p>
          <w:p w14:paraId="30BC1466" w14:textId="77777777" w:rsidR="00505B24" w:rsidRDefault="00505B24" w:rsidP="004E042D">
            <w:pPr>
              <w:pStyle w:val="NoSpacing"/>
              <w:widowControl w:val="0"/>
              <w:ind w:left="381" w:hanging="180"/>
              <w:rPr>
                <w:sz w:val="20"/>
                <w:szCs w:val="20"/>
              </w:rPr>
            </w:pPr>
            <w:r w:rsidRPr="0062072C">
              <w:rPr>
                <w:sz w:val="20"/>
                <w:szCs w:val="20"/>
              </w:rPr>
              <w:t xml:space="preserve">2 hours to coordinate </w:t>
            </w:r>
            <w:r>
              <w:rPr>
                <w:sz w:val="20"/>
                <w:szCs w:val="20"/>
              </w:rPr>
              <w:t>session logistics</w:t>
            </w:r>
          </w:p>
          <w:p w14:paraId="3A676C70" w14:textId="77777777" w:rsidR="00505B24" w:rsidRPr="0062072C" w:rsidRDefault="00505B24" w:rsidP="004E042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2CB7E74B" w14:textId="77777777" w:rsidR="00505B24" w:rsidRPr="0062072C" w:rsidRDefault="00505B24" w:rsidP="004E042D">
            <w:pPr>
              <w:pStyle w:val="NoSpacing"/>
              <w:widowControl w:val="0"/>
              <w:ind w:left="490" w:hanging="360"/>
              <w:rPr>
                <w:sz w:val="20"/>
                <w:szCs w:val="20"/>
              </w:rPr>
            </w:pPr>
            <w:r w:rsidRPr="0062072C">
              <w:rPr>
                <w:sz w:val="20"/>
                <w:szCs w:val="20"/>
              </w:rPr>
              <w:t>$</w:t>
            </w:r>
            <w:r>
              <w:rPr>
                <w:sz w:val="20"/>
                <w:szCs w:val="20"/>
              </w:rPr>
              <w:t>200</w:t>
            </w:r>
            <w:r w:rsidRPr="0062072C">
              <w:rPr>
                <w:sz w:val="20"/>
                <w:szCs w:val="20"/>
              </w:rPr>
              <w:t xml:space="preserve"> in </w:t>
            </w:r>
            <w:r>
              <w:rPr>
                <w:sz w:val="20"/>
                <w:szCs w:val="20"/>
              </w:rPr>
              <w:t xml:space="preserve">check or </w:t>
            </w:r>
            <w:r w:rsidRPr="0062072C">
              <w:rPr>
                <w:sz w:val="20"/>
                <w:szCs w:val="20"/>
              </w:rPr>
              <w:t>material or services for school</w:t>
            </w:r>
          </w:p>
          <w:p w14:paraId="26310396" w14:textId="77777777" w:rsidR="00505B24" w:rsidRPr="0062072C" w:rsidRDefault="00505B24" w:rsidP="004E042D">
            <w:pPr>
              <w:pStyle w:val="NoSpacing"/>
              <w:widowControl w:val="0"/>
              <w:ind w:left="490" w:hanging="360"/>
              <w:rPr>
                <w:rFonts w:cs="Times New Roman"/>
                <w:sz w:val="20"/>
                <w:szCs w:val="20"/>
              </w:rPr>
            </w:pPr>
          </w:p>
          <w:p w14:paraId="41635514" w14:textId="77777777" w:rsidR="00505B24" w:rsidRPr="0062072C" w:rsidRDefault="00505B24" w:rsidP="004E042D">
            <w:pPr>
              <w:pStyle w:val="NoSpacing"/>
              <w:widowControl w:val="0"/>
              <w:ind w:left="490" w:hanging="360"/>
              <w:rPr>
                <w:rFonts w:cs="Times New Roman"/>
                <w:sz w:val="20"/>
                <w:szCs w:val="20"/>
              </w:rPr>
            </w:pPr>
          </w:p>
          <w:p w14:paraId="1AC3B3F7" w14:textId="77777777" w:rsidR="00505B24" w:rsidRPr="0062072C" w:rsidRDefault="00505B24" w:rsidP="004E042D">
            <w:pPr>
              <w:pStyle w:val="NoSpacing"/>
              <w:widowControl w:val="0"/>
              <w:ind w:left="490" w:hanging="360"/>
              <w:rPr>
                <w:sz w:val="20"/>
                <w:szCs w:val="20"/>
              </w:rPr>
            </w:pPr>
            <w:r w:rsidRPr="0062072C">
              <w:rPr>
                <w:sz w:val="20"/>
                <w:szCs w:val="20"/>
              </w:rPr>
              <w:t>$150 for coordinator</w:t>
            </w:r>
          </w:p>
        </w:tc>
      </w:tr>
    </w:tbl>
    <w:p w14:paraId="687EB009" w14:textId="77777777" w:rsidR="00505B24" w:rsidRPr="00BA441F" w:rsidRDefault="00505B24" w:rsidP="00505B24">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5"/>
    </w:p>
    <w:p w14:paraId="5F344580" w14:textId="77777777" w:rsidR="00505B24" w:rsidRPr="00BA441F" w:rsidRDefault="00505B24" w:rsidP="00505B24">
      <w:pPr>
        <w:spacing w:after="0" w:line="240" w:lineRule="auto"/>
        <w:rPr>
          <w:rFonts w:ascii="Cambria" w:hAnsi="Cambria"/>
        </w:rPr>
      </w:pPr>
      <w:r w:rsidRPr="00BA441F">
        <w:rPr>
          <w:rFonts w:ascii="Cambria" w:hAnsi="Cambria"/>
          <w:sz w:val="16"/>
          <w:szCs w:val="16"/>
        </w:rPr>
        <w:t xml:space="preserve">** Final incentive amounts </w:t>
      </w:r>
      <w:r>
        <w:rPr>
          <w:rFonts w:ascii="Cambria" w:hAnsi="Cambria"/>
          <w:sz w:val="16"/>
          <w:szCs w:val="16"/>
        </w:rPr>
        <w:t>were</w:t>
      </w:r>
      <w:r w:rsidRPr="00BA441F">
        <w:rPr>
          <w:rFonts w:ascii="Cambria" w:hAnsi="Cambria"/>
          <w:sz w:val="16"/>
          <w:szCs w:val="16"/>
        </w:rPr>
        <w:t xml:space="preserve"> determined based on</w:t>
      </w:r>
      <w:r>
        <w:rPr>
          <w:rFonts w:ascii="Cambria" w:hAnsi="Cambria"/>
          <w:sz w:val="16"/>
          <w:szCs w:val="16"/>
        </w:rPr>
        <w:t xml:space="preserve"> the outcome of the field tests</w:t>
      </w:r>
      <w:r w:rsidRPr="00BA441F">
        <w:rPr>
          <w:rFonts w:ascii="Cambria" w:hAnsi="Cambria"/>
          <w:sz w:val="16"/>
          <w:szCs w:val="16"/>
        </w:rPr>
        <w:t>.</w:t>
      </w:r>
    </w:p>
    <w:p w14:paraId="735B1F7B" w14:textId="77777777" w:rsidR="00505B24" w:rsidRPr="00BA441F" w:rsidRDefault="00505B24" w:rsidP="00505B24">
      <w:pPr>
        <w:spacing w:after="0" w:line="240" w:lineRule="auto"/>
        <w:rPr>
          <w:rFonts w:ascii="Cambria" w:hAnsi="Cambria"/>
        </w:rPr>
      </w:pPr>
    </w:p>
    <w:p w14:paraId="09D3A5AD" w14:textId="77777777" w:rsidR="00505B24" w:rsidRPr="00BA441F" w:rsidRDefault="00505B24" w:rsidP="00505B24">
      <w:pPr>
        <w:spacing w:after="120" w:line="23" w:lineRule="atLeast"/>
        <w:rPr>
          <w:rFonts w:ascii="Cambria" w:hAnsi="Cambria"/>
          <w:b/>
          <w:i/>
        </w:rPr>
      </w:pPr>
      <w:r w:rsidRPr="00BA441F">
        <w:rPr>
          <w:rFonts w:ascii="Cambria" w:hAnsi="Cambria"/>
          <w:b/>
          <w:i/>
        </w:rPr>
        <w:t>Students</w:t>
      </w:r>
    </w:p>
    <w:p w14:paraId="61220794" w14:textId="77777777" w:rsidR="006167EF" w:rsidRDefault="006167EF" w:rsidP="006167EF">
      <w:pPr>
        <w:widowControl w:val="0"/>
        <w:spacing w:after="120" w:line="23" w:lineRule="atLeast"/>
        <w:rPr>
          <w:rFonts w:ascii="Cambria" w:hAnsi="Cambria"/>
        </w:rPr>
      </w:pPr>
      <w:r w:rsidRPr="00BA441F">
        <w:rPr>
          <w:rFonts w:ascii="Cambria" w:hAnsi="Cambria"/>
          <w:u w:val="single"/>
        </w:rPr>
        <w:t>Main Study</w:t>
      </w:r>
      <w:r>
        <w:rPr>
          <w:rFonts w:ascii="Cambria" w:hAnsi="Cambria"/>
          <w:u w:val="single"/>
        </w:rPr>
        <w:t xml:space="preserve"> Base Year (MS1)</w:t>
      </w:r>
      <w:r w:rsidRPr="00BA441F">
        <w:rPr>
          <w:rFonts w:ascii="Cambria" w:hAnsi="Cambria"/>
          <w:u w:val="single"/>
        </w:rPr>
        <w:t>:</w:t>
      </w:r>
      <w:r w:rsidRPr="00FB2D3A">
        <w:rPr>
          <w:rFonts w:ascii="Cambria" w:hAnsi="Cambria"/>
        </w:rPr>
        <w:t xml:space="preserve"> </w:t>
      </w:r>
      <w:r w:rsidRPr="00BA441F">
        <w:rPr>
          <w:rFonts w:ascii="Cambria" w:hAnsi="Cambria"/>
        </w:rPr>
        <w:t xml:space="preserve">A choice of </w:t>
      </w:r>
      <w:r>
        <w:rPr>
          <w:rFonts w:ascii="Cambria" w:hAnsi="Cambria"/>
        </w:rPr>
        <w:t xml:space="preserve">up to </w:t>
      </w:r>
      <w:r w:rsidRPr="00BA441F">
        <w:rPr>
          <w:rFonts w:ascii="Cambria" w:hAnsi="Cambria"/>
        </w:rPr>
        <w:t xml:space="preserve">four token incentive items will be offered to students </w:t>
      </w:r>
      <w:r>
        <w:rPr>
          <w:rFonts w:ascii="Cambria" w:hAnsi="Cambria"/>
        </w:rPr>
        <w:t xml:space="preserve">participating </w:t>
      </w:r>
      <w:r w:rsidRPr="00BA441F">
        <w:rPr>
          <w:rFonts w:ascii="Cambria" w:hAnsi="Cambria"/>
        </w:rPr>
        <w:t>in the Main Study data collection</w:t>
      </w:r>
      <w:r w:rsidRPr="00B46D05">
        <w:rPr>
          <w:rFonts w:ascii="Cambria" w:hAnsi="Cambria"/>
        </w:rPr>
        <w:t xml:space="preserve"> </w:t>
      </w:r>
      <w:r>
        <w:rPr>
          <w:rFonts w:ascii="Cambria" w:hAnsi="Cambria"/>
        </w:rPr>
        <w:t>in school</w:t>
      </w:r>
      <w:r w:rsidRPr="00BA441F">
        <w:rPr>
          <w:rFonts w:ascii="Cambria" w:hAnsi="Cambria"/>
        </w:rPr>
        <w:t>.</w:t>
      </w:r>
      <w:r>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71899839" w14:textId="77777777" w:rsidR="006167EF" w:rsidRDefault="006167EF" w:rsidP="006167EF">
      <w:pPr>
        <w:widowControl w:val="0"/>
        <w:spacing w:after="120" w:line="23" w:lineRule="atLeast"/>
        <w:rPr>
          <w:rFonts w:ascii="Cambria" w:hAnsi="Cambria"/>
        </w:rPr>
      </w:pPr>
      <w:r>
        <w:rPr>
          <w:rFonts w:ascii="Cambria" w:hAnsi="Cambria"/>
        </w:rPr>
        <w:t>To increase response rates, schools that cannot permit an in-school session will be offered the option of providing student roster information and having the students participate outside of school. As was approved for OFT2 (OMB# 1850-0911 v.15), students participating in MGLS:2017 MS1 outside of school will be offered $20 to encourage their participation in the study on their own time.</w:t>
      </w:r>
    </w:p>
    <w:p w14:paraId="46A1AC48" w14:textId="77777777" w:rsidR="006167EF" w:rsidRDefault="006167EF" w:rsidP="006167EF">
      <w:pPr>
        <w:widowControl w:val="0"/>
        <w:spacing w:after="120" w:line="23" w:lineRule="atLeast"/>
        <w:rPr>
          <w:rFonts w:ascii="Cambria" w:hAnsi="Cambria"/>
        </w:rPr>
      </w:pPr>
      <w:r>
        <w:rPr>
          <w:rFonts w:ascii="Cambria" w:hAnsi="Cambria"/>
          <w:u w:val="single"/>
        </w:rPr>
        <w:t>Operational Field T</w:t>
      </w:r>
      <w:r w:rsidRPr="00D427B3">
        <w:rPr>
          <w:rFonts w:ascii="Cambria" w:hAnsi="Cambria"/>
          <w:u w:val="single"/>
        </w:rPr>
        <w:t>est Follow-Up</w:t>
      </w:r>
      <w:r>
        <w:rPr>
          <w:rFonts w:ascii="Cambria" w:hAnsi="Cambria"/>
          <w:u w:val="single"/>
        </w:rPr>
        <w:t xml:space="preserve"> (OFT2) and Main Study First Follow-up (MS2)</w:t>
      </w:r>
      <w:r w:rsidRPr="00D427B3">
        <w:rPr>
          <w:rFonts w:ascii="Cambria" w:hAnsi="Cambria"/>
          <w:u w:val="single"/>
        </w:rPr>
        <w:t>:</w:t>
      </w:r>
      <w:r>
        <w:rPr>
          <w:rFonts w:ascii="Cambria" w:hAnsi="Cambria"/>
        </w:rPr>
        <w:t xml:space="preserve"> Students in the OFT1 sample who are participating in school for OFT2 (most of whom will be in grade 7) will be allowed to keep the earbuds used during the 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 but instead will be offered $20 for their participation. The out-of-school data collection is planned to minimize sample attrition for the longitudinal study so that students in the base-year sample may still participate regardless of their educational situation in subsequent rounds. These students are critical as they may be different from students who participate in school. </w:t>
      </w:r>
      <w:r w:rsidRPr="0021128A">
        <w:rPr>
          <w:rFonts w:ascii="Cambria" w:hAnsi="Cambria"/>
        </w:rPr>
        <w:t xml:space="preserve">The monetary incentive offered to these students is designed to encourage them to incur the burden of participating in the study on their </w:t>
      </w:r>
      <w:r>
        <w:rPr>
          <w:rFonts w:ascii="Cambria" w:hAnsi="Cambria"/>
        </w:rPr>
        <w:t>out-of-school</w:t>
      </w:r>
      <w:r w:rsidRPr="0021128A">
        <w:rPr>
          <w:rFonts w:ascii="Cambria" w:hAnsi="Cambria"/>
        </w:rPr>
        <w:t xml:space="preserve"> time</w:t>
      </w:r>
      <w:r>
        <w:rPr>
          <w:rFonts w:ascii="Cambria" w:hAnsi="Cambria"/>
        </w:rPr>
        <w:t>. A $20 incentive is less than that offered for out-of-school data collection for HSLS (which offered an incentive between $25 and $50 in the First Follow-up). We will assess whether this incentive amount is effective to gain participation from students in the middle grades before determining the incentives for MS2. (Additional information is provided in Part B.3).</w:t>
      </w:r>
    </w:p>
    <w:p w14:paraId="435B1D73" w14:textId="00DEE164" w:rsidR="006167EF" w:rsidRDefault="006167EF" w:rsidP="006167EF">
      <w:pPr>
        <w:widowControl w:val="0"/>
        <w:spacing w:after="120" w:line="23" w:lineRule="atLeast"/>
        <w:rPr>
          <w:rFonts w:ascii="Cambria" w:hAnsi="Cambria"/>
        </w:rPr>
      </w:pPr>
      <w:r>
        <w:rPr>
          <w:rFonts w:ascii="Cambria" w:hAnsi="Cambria"/>
        </w:rPr>
        <w:t xml:space="preserve">To calibrate items for the Main Study Second Follow-up </w:t>
      </w:r>
      <w:r w:rsidR="008802D2">
        <w:rPr>
          <w:rFonts w:ascii="Cambria" w:hAnsi="Cambria"/>
        </w:rPr>
        <w:t xml:space="preserve">in eighth grade, </w:t>
      </w:r>
      <w:r>
        <w:rPr>
          <w:rFonts w:ascii="Cambria" w:hAnsi="Cambria"/>
        </w:rPr>
        <w:t>without conducting an additional costly field test, the OFT2 data collection will include about 400 students in grade 8 to test more challenging items on the math and reading assessments than were available in the prior field tests. These students will not be part of the longitudinal sample, will only be eligible to participate in school, and will be allowed to keep their earbuds.</w:t>
      </w:r>
    </w:p>
    <w:p w14:paraId="19858FB5" w14:textId="77777777" w:rsidR="006167EF" w:rsidRPr="00BA441F" w:rsidRDefault="006167EF" w:rsidP="006167EF">
      <w:pPr>
        <w:spacing w:after="120" w:line="23" w:lineRule="atLeast"/>
        <w:rPr>
          <w:rFonts w:ascii="Cambria" w:hAnsi="Cambria"/>
          <w:b/>
          <w:i/>
        </w:rPr>
      </w:pPr>
      <w:r w:rsidRPr="00BA441F">
        <w:rPr>
          <w:rFonts w:ascii="Cambria" w:hAnsi="Cambria"/>
          <w:b/>
          <w:i/>
        </w:rPr>
        <w:t>Parents</w:t>
      </w:r>
    </w:p>
    <w:p w14:paraId="33E6DECF" w14:textId="77777777" w:rsidR="006167EF" w:rsidRPr="00BA441F" w:rsidRDefault="006167EF" w:rsidP="006167EF">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3"/>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4"/>
      </w:r>
      <w:r w:rsidRPr="00BA441F">
        <w:rPr>
          <w:rFonts w:ascii="Cambria" w:hAnsi="Cambria"/>
        </w:rPr>
        <w:t xml:space="preserve"> Additionally, the ninth</w:t>
      </w:r>
      <w:r>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5"/>
      </w:r>
      <w:r w:rsidRPr="00BA441F">
        <w:rPr>
          <w:rFonts w:ascii="Cambria" w:hAnsi="Cambria"/>
        </w:rPr>
        <w:t xml:space="preserve"> The MGLS:2017 parent survey is a key component of the data being collected.</w:t>
      </w:r>
    </w:p>
    <w:p w14:paraId="7DB7B78F" w14:textId="3AFE6CB0" w:rsidR="00505B24" w:rsidRPr="00A04162" w:rsidRDefault="006167EF" w:rsidP="006167EF">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w:t>
      </w:r>
      <w:r>
        <w:rPr>
          <w:rFonts w:ascii="Cambria" w:hAnsi="Cambria"/>
        </w:rPr>
        <w:t xml:space="preserve">In MS1, although we had originally </w:t>
      </w:r>
      <w:r w:rsidRPr="00BA441F">
        <w:rPr>
          <w:rFonts w:ascii="Cambria" w:hAnsi="Cambria"/>
        </w:rPr>
        <w:t>plan</w:t>
      </w:r>
      <w:r>
        <w:rPr>
          <w:rFonts w:ascii="Cambria" w:hAnsi="Cambria"/>
        </w:rPr>
        <w:t>ned</w:t>
      </w:r>
      <w:r w:rsidRPr="00BA441F">
        <w:rPr>
          <w:rFonts w:ascii="Cambria" w:hAnsi="Cambria"/>
        </w:rPr>
        <w:t xml:space="preserve"> to use a responsive design approach to identify cases for nonresponse follow-up interventions</w:t>
      </w:r>
      <w:r>
        <w:rPr>
          <w:rFonts w:ascii="Cambria" w:hAnsi="Cambria"/>
        </w:rPr>
        <w:t xml:space="preserve">, </w:t>
      </w:r>
      <w:r w:rsidRPr="002C3779">
        <w:rPr>
          <w:rFonts w:ascii="Cambria" w:hAnsi="Cambria"/>
        </w:rPr>
        <w:t xml:space="preserve">responsive design methods are not practical to implement for </w:t>
      </w:r>
      <w:r>
        <w:rPr>
          <w:rFonts w:ascii="Cambria" w:hAnsi="Cambria"/>
        </w:rPr>
        <w:t>Base Year</w:t>
      </w:r>
      <w:r w:rsidRPr="002C3779">
        <w:rPr>
          <w:rFonts w:ascii="Cambria" w:hAnsi="Cambria"/>
        </w:rPr>
        <w:t xml:space="preserve"> parent data collection</w:t>
      </w:r>
      <w:r>
        <w:rPr>
          <w:rFonts w:ascii="Cambria" w:hAnsi="Cambria"/>
        </w:rPr>
        <w:t xml:space="preserve"> as discussed in more detail in Part B.3</w:t>
      </w:r>
      <w:r w:rsidRPr="002C3779">
        <w:rPr>
          <w:rFonts w:ascii="Cambria" w:hAnsi="Cambria"/>
        </w:rPr>
        <w:t>. Instead, based on the OFT</w:t>
      </w:r>
      <w:r>
        <w:rPr>
          <w:rFonts w:ascii="Cambria" w:hAnsi="Cambria"/>
        </w:rPr>
        <w:t>1</w:t>
      </w:r>
      <w:r w:rsidRPr="002C3779">
        <w:rPr>
          <w:rFonts w:ascii="Cambria" w:hAnsi="Cambria"/>
        </w:rPr>
        <w:t xml:space="preserve"> results, optimal baseline incentive values </w:t>
      </w:r>
      <w:r>
        <w:rPr>
          <w:rFonts w:ascii="Cambria" w:hAnsi="Cambria"/>
        </w:rPr>
        <w:t xml:space="preserve">and incentive boosts </w:t>
      </w:r>
      <w:r w:rsidRPr="002C3779">
        <w:rPr>
          <w:rFonts w:ascii="Cambria" w:hAnsi="Cambria"/>
        </w:rPr>
        <w:t>have been determined as well as more intensive efforts f</w:t>
      </w:r>
      <w:r>
        <w:rPr>
          <w:rFonts w:ascii="Cambria" w:hAnsi="Cambria"/>
        </w:rPr>
        <w:t>or parents of students with Emotional Disturbance (EMN</w:t>
      </w:r>
      <w:r w:rsidR="00505B24">
        <w:rPr>
          <w:rFonts w:ascii="Cambria" w:hAnsi="Cambria"/>
        </w:rPr>
        <w:t>).</w:t>
      </w:r>
    </w:p>
    <w:p w14:paraId="0C09DB25" w14:textId="77777777" w:rsidR="00505B24" w:rsidRPr="00A81353" w:rsidRDefault="00505B24" w:rsidP="00505B24">
      <w:pPr>
        <w:spacing w:after="120" w:line="23" w:lineRule="atLeast"/>
        <w:rPr>
          <w:rFonts w:ascii="Cambria" w:hAnsi="Cambria"/>
          <w:b/>
          <w:i/>
        </w:rPr>
      </w:pPr>
      <w:r w:rsidRPr="00A81353">
        <w:rPr>
          <w:rFonts w:ascii="Cambria" w:hAnsi="Cambria"/>
          <w:b/>
          <w:i/>
        </w:rPr>
        <w:t>Teachers, Schools, and School Coordinators</w:t>
      </w:r>
    </w:p>
    <w:p w14:paraId="7128C705" w14:textId="77777777" w:rsidR="00505B24" w:rsidRDefault="00505B24" w:rsidP="00505B24">
      <w:pPr>
        <w:widowControl w:val="0"/>
        <w:spacing w:after="120" w:line="23" w:lineRule="atLeast"/>
        <w:rPr>
          <w:rFonts w:ascii="Cambria" w:hAnsi="Cambria"/>
        </w:rPr>
      </w:pPr>
      <w:r w:rsidRPr="00A81353">
        <w:rPr>
          <w:rFonts w:ascii="Cambria" w:hAnsi="Cambria"/>
        </w:rPr>
        <w:t xml:space="preserve">Table </w:t>
      </w:r>
      <w:r>
        <w:rPr>
          <w:rFonts w:ascii="Cambria" w:hAnsi="Cambria"/>
        </w:rPr>
        <w:t>5</w:t>
      </w:r>
      <w:r w:rsidRPr="00A81353">
        <w:rPr>
          <w:rFonts w:ascii="Cambria" w:hAnsi="Cambria"/>
        </w:rPr>
        <w:t xml:space="preserve"> provides information on incentive amounts for teachers, schools, and school coordinators in the </w:t>
      </w:r>
      <w:r>
        <w:rPr>
          <w:rFonts w:ascii="Cambria" w:hAnsi="Cambria"/>
        </w:rPr>
        <w:t>M</w:t>
      </w:r>
      <w:r w:rsidRPr="00A81353">
        <w:rPr>
          <w:rFonts w:ascii="Cambria" w:hAnsi="Cambria"/>
        </w:rPr>
        <w:t xml:space="preserve">ain </w:t>
      </w:r>
      <w:r>
        <w:rPr>
          <w:rFonts w:ascii="Cambria" w:hAnsi="Cambria"/>
        </w:rPr>
        <w:t>S</w:t>
      </w:r>
      <w:r w:rsidRPr="00A81353">
        <w:rPr>
          <w:rFonts w:ascii="Cambria" w:hAnsi="Cambria"/>
        </w:rPr>
        <w:t xml:space="preserve">tudy </w:t>
      </w:r>
      <w:r>
        <w:rPr>
          <w:rFonts w:ascii="Cambria" w:hAnsi="Cambria"/>
        </w:rPr>
        <w:t>B</w:t>
      </w:r>
      <w:r w:rsidRPr="00A81353">
        <w:rPr>
          <w:rFonts w:ascii="Cambria" w:hAnsi="Cambria"/>
        </w:rPr>
        <w:t>ase</w:t>
      </w:r>
      <w:r>
        <w:rPr>
          <w:rFonts w:ascii="Cambria" w:hAnsi="Cambria"/>
        </w:rPr>
        <w:t xml:space="preserve"> Y</w:t>
      </w:r>
      <w:r w:rsidRPr="00A81353">
        <w:rPr>
          <w:rFonts w:ascii="Cambria" w:hAnsi="Cambria"/>
        </w:rPr>
        <w:t>ear and the OFT First Follow-up (OFT2)</w:t>
      </w:r>
      <w:r>
        <w:rPr>
          <w:rFonts w:ascii="Cambria" w:hAnsi="Cambria"/>
        </w:rPr>
        <w:t>. “Schools” refers to all Base Year schools and any new schools with four or more sample members enrolled.</w:t>
      </w:r>
    </w:p>
    <w:p w14:paraId="44680DF1" w14:textId="77777777" w:rsidR="00505B24" w:rsidRPr="00A81353" w:rsidRDefault="00505B24" w:rsidP="00505B24">
      <w:pPr>
        <w:spacing w:after="120" w:line="23" w:lineRule="atLeast"/>
        <w:rPr>
          <w:rFonts w:ascii="Cambria" w:hAnsi="Cambria"/>
          <w:b/>
        </w:rPr>
      </w:pPr>
      <w:r w:rsidRPr="00A81353">
        <w:rPr>
          <w:rFonts w:ascii="Cambria" w:hAnsi="Cambria"/>
          <w:b/>
        </w:rPr>
        <w:t xml:space="preserve">Table </w:t>
      </w:r>
      <w:r>
        <w:rPr>
          <w:rFonts w:ascii="Cambria" w:hAnsi="Cambria"/>
          <w:b/>
        </w:rPr>
        <w:t>5</w:t>
      </w:r>
      <w:r w:rsidRPr="00A81353">
        <w:rPr>
          <w:rFonts w:ascii="Cambria" w:hAnsi="Cambria"/>
          <w:b/>
        </w:rPr>
        <w:t xml:space="preserve">. Main Study </w:t>
      </w:r>
      <w:r>
        <w:rPr>
          <w:rFonts w:ascii="Cambria" w:hAnsi="Cambria"/>
          <w:b/>
        </w:rPr>
        <w:t>Base Year (MS1)</w:t>
      </w:r>
      <w:r w:rsidRPr="00A81353">
        <w:rPr>
          <w:rFonts w:ascii="Cambria" w:hAnsi="Cambria"/>
          <w:b/>
        </w:rPr>
        <w:t xml:space="preserve"> and OFT First Follow-up (OFT</w:t>
      </w:r>
      <w:r>
        <w:rPr>
          <w:rFonts w:ascii="Cambria" w:hAnsi="Cambria"/>
          <w:b/>
        </w:rPr>
        <w:t>2</w:t>
      </w:r>
      <w:r w:rsidRPr="00A81353">
        <w:rPr>
          <w:rFonts w:ascii="Cambria" w:hAnsi="Cambria"/>
          <w:b/>
        </w:rPr>
        <w:t>) Teacher, School, and School Coordinator Incentive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6"/>
        <w:gridCol w:w="4372"/>
        <w:gridCol w:w="4372"/>
      </w:tblGrid>
      <w:tr w:rsidR="00505B24" w:rsidRPr="00373387" w14:paraId="63C2E5DB" w14:textId="77777777" w:rsidTr="004E042D">
        <w:trPr>
          <w:cantSplit/>
          <w:tblHeader/>
        </w:trPr>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66EBAB71" w14:textId="77777777" w:rsidR="00505B24" w:rsidRPr="00373387" w:rsidRDefault="00505B24" w:rsidP="004E042D">
            <w:pPr>
              <w:pStyle w:val="NoSpacing"/>
              <w:jc w:val="center"/>
              <w:rPr>
                <w:b/>
                <w:sz w:val="20"/>
                <w:szCs w:val="20"/>
              </w:rPr>
            </w:pPr>
            <w:r>
              <w:rPr>
                <w:b/>
                <w:sz w:val="20"/>
                <w:szCs w:val="20"/>
              </w:rPr>
              <w:t>Respondent</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7A1D0688" w14:textId="77777777" w:rsidR="00505B24" w:rsidRPr="00373387" w:rsidRDefault="00505B24" w:rsidP="004E042D">
            <w:pPr>
              <w:pStyle w:val="NoSpacing"/>
              <w:rPr>
                <w:b/>
                <w:sz w:val="20"/>
                <w:szCs w:val="20"/>
              </w:rPr>
            </w:pPr>
          </w:p>
          <w:p w14:paraId="4690929B" w14:textId="77777777" w:rsidR="00505B24" w:rsidRPr="00373387" w:rsidRDefault="00505B24" w:rsidP="004E042D">
            <w:pPr>
              <w:pStyle w:val="NoSpacing"/>
              <w:jc w:val="center"/>
              <w:rPr>
                <w:b/>
                <w:sz w:val="20"/>
                <w:szCs w:val="20"/>
              </w:rPr>
            </w:pPr>
            <w:r>
              <w:rPr>
                <w:b/>
                <w:sz w:val="20"/>
                <w:szCs w:val="20"/>
              </w:rPr>
              <w:t>Main Study Base Year (MS1)</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5203F" w14:textId="77777777" w:rsidR="00505B24" w:rsidRPr="00373387" w:rsidRDefault="00505B24" w:rsidP="004E042D">
            <w:pPr>
              <w:pStyle w:val="NoSpacing"/>
              <w:jc w:val="center"/>
              <w:rPr>
                <w:b/>
                <w:sz w:val="20"/>
                <w:szCs w:val="20"/>
              </w:rPr>
            </w:pPr>
            <w:r>
              <w:rPr>
                <w:b/>
                <w:sz w:val="20"/>
                <w:szCs w:val="20"/>
              </w:rPr>
              <w:t>OFT First Follow-up (OFT2)</w:t>
            </w:r>
          </w:p>
        </w:tc>
      </w:tr>
      <w:tr w:rsidR="00505B24" w:rsidRPr="00373387" w14:paraId="3FA4DE48" w14:textId="77777777" w:rsidTr="004E042D">
        <w:trPr>
          <w:cantSplit/>
          <w:tblHeader/>
        </w:trPr>
        <w:tc>
          <w:tcPr>
            <w:tcW w:w="910"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46F8DBA6" w14:textId="77777777" w:rsidR="00505B24" w:rsidRPr="00373387" w:rsidRDefault="00505B24" w:rsidP="004E042D">
            <w:pPr>
              <w:pStyle w:val="NoSpacing"/>
              <w:ind w:left="270" w:hanging="270"/>
              <w:rPr>
                <w:sz w:val="20"/>
                <w:szCs w:val="20"/>
              </w:rPr>
            </w:pPr>
            <w:r>
              <w:rPr>
                <w:sz w:val="20"/>
                <w:szCs w:val="20"/>
              </w:rPr>
              <w:t>Teachers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540F4805" w14:textId="77777777" w:rsidR="00505B24" w:rsidRDefault="00505B24" w:rsidP="004E042D">
            <w:pPr>
              <w:pStyle w:val="NoSpacing"/>
              <w:jc w:val="center"/>
              <w:rPr>
                <w:sz w:val="20"/>
                <w:szCs w:val="20"/>
              </w:rPr>
            </w:pPr>
            <w:r>
              <w:rPr>
                <w:sz w:val="20"/>
                <w:szCs w:val="20"/>
              </w:rPr>
              <w:t>$20 per teacher survey</w:t>
            </w:r>
          </w:p>
          <w:p w14:paraId="694AC40D" w14:textId="77777777" w:rsidR="00505B24" w:rsidRPr="00373387" w:rsidRDefault="00505B24" w:rsidP="004E042D">
            <w:pPr>
              <w:pStyle w:val="NoSpacing"/>
              <w:jc w:val="center"/>
              <w:rPr>
                <w:sz w:val="20"/>
                <w:szCs w:val="20"/>
              </w:rPr>
            </w:pPr>
            <w:r>
              <w:rPr>
                <w:sz w:val="20"/>
                <w:szCs w:val="20"/>
              </w:rPr>
              <w:t>$7 per teacher student report</w:t>
            </w:r>
          </w:p>
        </w:tc>
        <w:tc>
          <w:tcPr>
            <w:tcW w:w="2045" w:type="pct"/>
            <w:tcBorders>
              <w:top w:val="single" w:sz="4" w:space="0" w:color="auto"/>
              <w:left w:val="single" w:sz="4" w:space="0" w:color="auto"/>
              <w:bottom w:val="single" w:sz="4" w:space="0" w:color="auto"/>
              <w:right w:val="single" w:sz="4" w:space="0" w:color="auto"/>
            </w:tcBorders>
            <w:vAlign w:val="center"/>
          </w:tcPr>
          <w:p w14:paraId="74501790" w14:textId="77777777" w:rsidR="00505B24" w:rsidRPr="00373387" w:rsidRDefault="00505B24" w:rsidP="004E042D">
            <w:pPr>
              <w:pStyle w:val="NoSpacing"/>
              <w:jc w:val="center"/>
              <w:rPr>
                <w:sz w:val="20"/>
                <w:szCs w:val="20"/>
              </w:rPr>
            </w:pPr>
            <w:r>
              <w:rPr>
                <w:sz w:val="20"/>
                <w:szCs w:val="20"/>
              </w:rPr>
              <w:t>Not asked to complete a survey in OFT2</w:t>
            </w:r>
          </w:p>
        </w:tc>
      </w:tr>
      <w:tr w:rsidR="00505B24" w:rsidRPr="00373387" w14:paraId="38DF5705" w14:textId="77777777" w:rsidTr="004E042D">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32F04A72" w14:textId="77777777" w:rsidR="00505B24" w:rsidRPr="00373387" w:rsidRDefault="00505B24" w:rsidP="004E042D">
            <w:pPr>
              <w:pStyle w:val="NoSpacing"/>
              <w:ind w:left="270" w:hanging="270"/>
              <w:rPr>
                <w:sz w:val="20"/>
                <w:szCs w:val="20"/>
              </w:rPr>
            </w:pPr>
            <w:r>
              <w:rPr>
                <w:sz w:val="20"/>
                <w:szCs w:val="20"/>
              </w:rPr>
              <w:t>Schools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4764CC88" w14:textId="77777777" w:rsidR="00505B24" w:rsidRDefault="00505B24" w:rsidP="004E042D">
            <w:pPr>
              <w:pStyle w:val="NoSpacing"/>
              <w:jc w:val="center"/>
              <w:rPr>
                <w:sz w:val="20"/>
                <w:szCs w:val="20"/>
              </w:rPr>
            </w:pPr>
            <w:r>
              <w:rPr>
                <w:sz w:val="20"/>
                <w:szCs w:val="20"/>
              </w:rPr>
              <w:t>$400-$600 or</w:t>
            </w:r>
          </w:p>
          <w:p w14:paraId="01076470" w14:textId="77777777" w:rsidR="00505B24" w:rsidRPr="00373387" w:rsidRDefault="00505B24" w:rsidP="004E042D">
            <w:pPr>
              <w:pStyle w:val="NoSpacing"/>
              <w:jc w:val="center"/>
              <w:rPr>
                <w:sz w:val="20"/>
                <w:szCs w:val="20"/>
              </w:rPr>
            </w:pPr>
            <w:r>
              <w:rPr>
                <w:sz w:val="20"/>
                <w:szCs w:val="20"/>
              </w:rPr>
              <w:t>$400-$600 non-monetary equivalent</w:t>
            </w:r>
          </w:p>
        </w:tc>
        <w:tc>
          <w:tcPr>
            <w:tcW w:w="2045" w:type="pct"/>
            <w:tcBorders>
              <w:top w:val="single" w:sz="4" w:space="0" w:color="auto"/>
              <w:left w:val="single" w:sz="4" w:space="0" w:color="auto"/>
              <w:bottom w:val="single" w:sz="4" w:space="0" w:color="auto"/>
              <w:right w:val="single" w:sz="4" w:space="0" w:color="auto"/>
            </w:tcBorders>
            <w:vAlign w:val="center"/>
          </w:tcPr>
          <w:p w14:paraId="13A4C6CD" w14:textId="77777777" w:rsidR="00505B24" w:rsidRDefault="00505B24" w:rsidP="004E042D">
            <w:pPr>
              <w:pStyle w:val="NoSpacing"/>
              <w:jc w:val="center"/>
              <w:rPr>
                <w:sz w:val="20"/>
                <w:szCs w:val="20"/>
              </w:rPr>
            </w:pPr>
            <w:r>
              <w:rPr>
                <w:sz w:val="20"/>
                <w:szCs w:val="20"/>
              </w:rPr>
              <w:t>$200 or</w:t>
            </w:r>
          </w:p>
          <w:p w14:paraId="336B5D19" w14:textId="77777777" w:rsidR="00505B24" w:rsidRPr="00373387" w:rsidRDefault="00505B24" w:rsidP="004E042D">
            <w:pPr>
              <w:pStyle w:val="NoSpacing"/>
              <w:jc w:val="center"/>
              <w:rPr>
                <w:sz w:val="20"/>
                <w:szCs w:val="20"/>
              </w:rPr>
            </w:pPr>
            <w:r>
              <w:rPr>
                <w:sz w:val="20"/>
                <w:szCs w:val="20"/>
              </w:rPr>
              <w:t>$200 non-monetary equivalent</w:t>
            </w:r>
          </w:p>
        </w:tc>
      </w:tr>
      <w:tr w:rsidR="00505B24" w:rsidRPr="00373387" w14:paraId="35520121" w14:textId="77777777" w:rsidTr="004E042D">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6B1A2F39" w14:textId="77777777" w:rsidR="00505B24" w:rsidRDefault="00505B24" w:rsidP="004E042D">
            <w:pPr>
              <w:pStyle w:val="NoSpacing"/>
              <w:ind w:left="270" w:hanging="270"/>
              <w:rPr>
                <w:sz w:val="20"/>
                <w:szCs w:val="20"/>
              </w:rPr>
            </w:pPr>
            <w:r>
              <w:rPr>
                <w:sz w:val="20"/>
                <w:szCs w:val="20"/>
              </w:rPr>
              <w:t>School Coordinators</w:t>
            </w:r>
          </w:p>
        </w:tc>
        <w:tc>
          <w:tcPr>
            <w:tcW w:w="2045"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66927C1D" w14:textId="77777777" w:rsidR="00505B24" w:rsidRPr="00373387" w:rsidRDefault="00505B24" w:rsidP="004E042D">
            <w:pPr>
              <w:pStyle w:val="NoSpacing"/>
              <w:jc w:val="center"/>
              <w:rPr>
                <w:sz w:val="20"/>
                <w:szCs w:val="20"/>
              </w:rPr>
            </w:pPr>
            <w:r>
              <w:rPr>
                <w:sz w:val="20"/>
                <w:szCs w:val="20"/>
              </w:rPr>
              <w:t>$150</w:t>
            </w:r>
          </w:p>
        </w:tc>
        <w:tc>
          <w:tcPr>
            <w:tcW w:w="2045" w:type="pct"/>
            <w:tcBorders>
              <w:top w:val="single" w:sz="4" w:space="0" w:color="auto"/>
              <w:left w:val="single" w:sz="4" w:space="0" w:color="auto"/>
              <w:right w:val="single" w:sz="4" w:space="0" w:color="auto"/>
            </w:tcBorders>
            <w:vAlign w:val="center"/>
          </w:tcPr>
          <w:p w14:paraId="1CB05FA5" w14:textId="77777777" w:rsidR="00505B24" w:rsidRPr="00373387" w:rsidRDefault="00505B24" w:rsidP="004E042D">
            <w:pPr>
              <w:pStyle w:val="NoSpacing"/>
              <w:jc w:val="center"/>
              <w:rPr>
                <w:sz w:val="20"/>
                <w:szCs w:val="20"/>
              </w:rPr>
            </w:pPr>
            <w:r>
              <w:rPr>
                <w:sz w:val="20"/>
                <w:szCs w:val="20"/>
              </w:rPr>
              <w:t>$150</w:t>
            </w:r>
          </w:p>
        </w:tc>
      </w:tr>
    </w:tbl>
    <w:p w14:paraId="26020DB5" w14:textId="77777777" w:rsidR="00505B24" w:rsidRPr="00A81353" w:rsidRDefault="00505B24" w:rsidP="00505B24">
      <w:pPr>
        <w:spacing w:after="0" w:line="23" w:lineRule="atLeast"/>
        <w:rPr>
          <w:rFonts w:ascii="Cambria" w:hAnsi="Cambria"/>
          <w:b/>
          <w:i/>
        </w:rPr>
      </w:pPr>
    </w:p>
    <w:p w14:paraId="37D48D81" w14:textId="77777777" w:rsidR="00505B24" w:rsidRPr="006B10BC" w:rsidRDefault="00505B24" w:rsidP="00505B24">
      <w:pPr>
        <w:pStyle w:val="L1-FlLSp12"/>
        <w:spacing w:after="120" w:line="240" w:lineRule="auto"/>
        <w:rPr>
          <w:rFonts w:ascii="Cambria" w:hAnsi="Cambria"/>
          <w:b/>
          <w:i/>
          <w:sz w:val="22"/>
          <w:szCs w:val="22"/>
        </w:rPr>
      </w:pPr>
      <w:r w:rsidRPr="006B10BC">
        <w:rPr>
          <w:rFonts w:ascii="Cambria" w:hAnsi="Cambria"/>
          <w:b/>
          <w:i/>
          <w:sz w:val="22"/>
          <w:szCs w:val="22"/>
        </w:rPr>
        <w:t>Teachers</w:t>
      </w:r>
    </w:p>
    <w:p w14:paraId="4279D3A8" w14:textId="77777777" w:rsidR="00A97B3D" w:rsidRDefault="00A97B3D" w:rsidP="00A97B3D">
      <w:pPr>
        <w:pStyle w:val="L1-FlLSp12"/>
        <w:spacing w:after="120" w:line="240" w:lineRule="auto"/>
        <w:rPr>
          <w:rFonts w:ascii="Cambria" w:hAnsi="Cambria"/>
          <w:sz w:val="22"/>
          <w:szCs w:val="22"/>
        </w:rPr>
      </w:pPr>
      <w:r w:rsidRPr="00A81353">
        <w:rPr>
          <w:rFonts w:ascii="Cambria" w:hAnsi="Cambria"/>
          <w:sz w:val="22"/>
          <w:szCs w:val="22"/>
          <w:u w:val="single"/>
        </w:rPr>
        <w:t>Main Study Base</w:t>
      </w:r>
      <w:r>
        <w:rPr>
          <w:rFonts w:ascii="Cambria" w:hAnsi="Cambria"/>
          <w:sz w:val="22"/>
          <w:szCs w:val="22"/>
          <w:u w:val="single"/>
        </w:rPr>
        <w:t xml:space="preserve"> Y</w:t>
      </w:r>
      <w:r w:rsidRPr="00A81353">
        <w:rPr>
          <w:rFonts w:ascii="Cambria" w:hAnsi="Cambria"/>
          <w:sz w:val="22"/>
          <w:szCs w:val="22"/>
          <w:u w:val="single"/>
        </w:rPr>
        <w:t>ear</w:t>
      </w:r>
      <w:r>
        <w:rPr>
          <w:rFonts w:ascii="Cambria" w:hAnsi="Cambria"/>
          <w:sz w:val="22"/>
          <w:szCs w:val="22"/>
          <w:u w:val="single"/>
        </w:rPr>
        <w:t xml:space="preserve"> (MS1)</w:t>
      </w:r>
      <w:r w:rsidRPr="00A81353">
        <w:rPr>
          <w:rFonts w:ascii="Cambria" w:hAnsi="Cambria"/>
          <w:sz w:val="22"/>
          <w:szCs w:val="22"/>
          <w:u w:val="single"/>
        </w:rPr>
        <w:t>:</w:t>
      </w:r>
      <w:r w:rsidRPr="00A81353">
        <w:rPr>
          <w:rFonts w:ascii="Cambria" w:hAnsi="Cambria"/>
          <w:sz w:val="22"/>
          <w:szCs w:val="22"/>
        </w:rPr>
        <w:t xml:space="preserve"> The</w:t>
      </w:r>
      <w:r w:rsidRPr="00BA441F">
        <w:rPr>
          <w:rFonts w:ascii="Cambria" w:hAnsi="Cambria"/>
          <w:sz w:val="22"/>
          <w:szCs w:val="22"/>
        </w:rPr>
        <w:t xml:space="preserve"> incentive proposed for students’ teachers is $20 per teacher survey, plus $7 per teacher student report (TSR). These amounts are consistent with the amounts used in current NCES studies, such as the ECLS-K:2011. </w:t>
      </w:r>
      <w:r>
        <w:rPr>
          <w:rFonts w:ascii="Cambria" w:hAnsi="Cambria"/>
          <w:sz w:val="22"/>
          <w:szCs w:val="22"/>
        </w:rPr>
        <w:t>For the mathematics teacher, i</w:t>
      </w:r>
      <w:r w:rsidRPr="00BA441F">
        <w:rPr>
          <w:rFonts w:ascii="Cambria" w:hAnsi="Cambria"/>
          <w:sz w:val="22"/>
          <w:szCs w:val="22"/>
        </w:rPr>
        <w:t>t is estimated that the teacher survey will take 20 minutes</w:t>
      </w:r>
      <w:r>
        <w:rPr>
          <w:rFonts w:ascii="Cambria" w:hAnsi="Cambria"/>
          <w:sz w:val="22"/>
          <w:szCs w:val="22"/>
        </w:rPr>
        <w:t xml:space="preserve"> to complete, and the teacher student report will take 10 minutes per student to complete.</w:t>
      </w:r>
      <w:r w:rsidRPr="00BA441F">
        <w:rPr>
          <w:rFonts w:ascii="Cambria" w:hAnsi="Cambria"/>
          <w:sz w:val="22"/>
          <w:szCs w:val="22"/>
        </w:rPr>
        <w:t xml:space="preserve"> </w:t>
      </w:r>
      <w:r>
        <w:rPr>
          <w:rFonts w:ascii="Cambria" w:hAnsi="Cambria"/>
          <w:sz w:val="22"/>
          <w:szCs w:val="22"/>
        </w:rPr>
        <w:t xml:space="preserve">For the special education teacher, it is estimated that the teacher survey will take </w:t>
      </w:r>
      <w:r w:rsidRPr="00BA441F">
        <w:rPr>
          <w:rFonts w:ascii="Cambria" w:hAnsi="Cambria"/>
          <w:sz w:val="22"/>
          <w:szCs w:val="22"/>
        </w:rPr>
        <w:t>10 minutes</w:t>
      </w:r>
      <w:r>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Pr="00BA441F">
        <w:rPr>
          <w:rFonts w:ascii="Cambria" w:hAnsi="Cambria"/>
          <w:sz w:val="22"/>
          <w:szCs w:val="22"/>
        </w:rPr>
        <w:t>indirect assessment of student’s skills</w:t>
      </w:r>
      <w:r>
        <w:rPr>
          <w:rFonts w:ascii="Cambria" w:hAnsi="Cambria"/>
          <w:sz w:val="22"/>
          <w:szCs w:val="22"/>
        </w:rPr>
        <w:t xml:space="preserve"> that is not included in the mathematic teacher’s teacher student report</w:t>
      </w:r>
      <w:r w:rsidRPr="00BA441F">
        <w:rPr>
          <w:rFonts w:ascii="Cambria" w:hAnsi="Cambria"/>
          <w:sz w:val="22"/>
          <w:szCs w:val="22"/>
        </w:rPr>
        <w:t>. 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30F03E57" w14:textId="56B9A268" w:rsidR="00505B24" w:rsidRDefault="00A97B3D" w:rsidP="00A97B3D">
      <w:pPr>
        <w:pStyle w:val="L1-FlLSp12"/>
        <w:spacing w:after="120" w:line="240" w:lineRule="auto"/>
        <w:rPr>
          <w:rFonts w:ascii="Cambria" w:hAnsi="Cambria"/>
          <w:sz w:val="22"/>
          <w:szCs w:val="22"/>
        </w:rPr>
      </w:pPr>
      <w:r>
        <w:rPr>
          <w:rFonts w:ascii="Cambria" w:hAnsi="Cambria"/>
          <w:u w:val="single"/>
        </w:rPr>
        <w:t>OFT First Follow-up (OFT2):</w:t>
      </w:r>
      <w:r>
        <w:rPr>
          <w:rFonts w:ascii="Cambria" w:hAnsi="Cambria"/>
        </w:rPr>
        <w:t xml:space="preserve"> </w:t>
      </w:r>
      <w:r>
        <w:rPr>
          <w:rFonts w:ascii="Cambria" w:hAnsi="Cambria"/>
          <w:sz w:val="22"/>
          <w:szCs w:val="22"/>
        </w:rPr>
        <w:t>Teachers will not be asked to complete a survey in OFT2</w:t>
      </w:r>
      <w:r w:rsidR="00505B24">
        <w:rPr>
          <w:rFonts w:ascii="Cambria" w:hAnsi="Cambria"/>
          <w:sz w:val="22"/>
          <w:szCs w:val="22"/>
        </w:rPr>
        <w:t>.</w:t>
      </w:r>
    </w:p>
    <w:p w14:paraId="0B946434" w14:textId="77777777" w:rsidR="00505B24" w:rsidRPr="00BA441F" w:rsidRDefault="00505B24" w:rsidP="00505B24">
      <w:pPr>
        <w:keepNext/>
        <w:spacing w:after="120" w:line="240" w:lineRule="auto"/>
        <w:rPr>
          <w:rFonts w:ascii="Cambria" w:hAnsi="Cambria"/>
          <w:b/>
          <w:i/>
        </w:rPr>
      </w:pPr>
      <w:r w:rsidRPr="00BA441F">
        <w:rPr>
          <w:rFonts w:ascii="Cambria" w:hAnsi="Cambria"/>
          <w:b/>
          <w:i/>
        </w:rPr>
        <w:t>Schools</w:t>
      </w:r>
    </w:p>
    <w:p w14:paraId="5B8629A7" w14:textId="77777777" w:rsidR="001C4ECB" w:rsidRPr="00C03DAA" w:rsidRDefault="001C4ECB" w:rsidP="001C4ECB">
      <w:pPr>
        <w:spacing w:after="120" w:line="240" w:lineRule="auto"/>
        <w:rPr>
          <w:rFonts w:ascii="Cambria" w:hAnsi="Cambria"/>
        </w:rPr>
      </w:pPr>
      <w:r>
        <w:rPr>
          <w:rFonts w:ascii="Cambria" w:hAnsi="Cambria"/>
          <w:u w:val="single"/>
        </w:rPr>
        <w:t>Main Study Base Year (MS1)</w:t>
      </w:r>
      <w:r w:rsidRPr="00A04162">
        <w:rPr>
          <w:rFonts w:ascii="Cambria" w:hAnsi="Cambria"/>
          <w:u w:val="single"/>
        </w:rPr>
        <w:t>:</w:t>
      </w:r>
      <w:r w:rsidRPr="00916B15">
        <w:rPr>
          <w:rFonts w:ascii="Cambria" w:hAnsi="Cambria"/>
        </w:rPr>
        <w:t xml:space="preserve"> </w:t>
      </w:r>
      <w:r>
        <w:rPr>
          <w:rFonts w:ascii="Cambria" w:hAnsi="Cambria"/>
        </w:rPr>
        <w:t>A</w:t>
      </w:r>
      <w:r w:rsidRPr="0049525E">
        <w:rPr>
          <w:rFonts w:ascii="Cambria" w:hAnsi="Cambria"/>
        </w:rPr>
        <w:t xml:space="preserve"> school-level incentive for the </w:t>
      </w:r>
      <w:r>
        <w:rPr>
          <w:rFonts w:ascii="Cambria" w:hAnsi="Cambria"/>
        </w:rPr>
        <w:t>Main S</w:t>
      </w:r>
      <w:r w:rsidRPr="0049525E">
        <w:rPr>
          <w:rFonts w:ascii="Cambria" w:hAnsi="Cambria"/>
        </w:rPr>
        <w:t xml:space="preserve">tudy </w:t>
      </w:r>
      <w:r>
        <w:rPr>
          <w:rFonts w:ascii="Cambria" w:hAnsi="Cambria"/>
        </w:rPr>
        <w:t xml:space="preserve">of $400 or non-monetary equivalent to $400 in materials or services </w:t>
      </w:r>
      <w:r w:rsidRPr="0049525E">
        <w:rPr>
          <w:rFonts w:ascii="Cambria" w:hAnsi="Cambria"/>
        </w:rPr>
        <w:t>was approved</w:t>
      </w:r>
      <w:r>
        <w:rPr>
          <w:rFonts w:ascii="Cambria" w:hAnsi="Cambria"/>
        </w:rPr>
        <w:t xml:space="preserve"> in April 2</w:t>
      </w:r>
      <w:r w:rsidRPr="0049525E">
        <w:rPr>
          <w:rFonts w:ascii="Cambria" w:hAnsi="Cambria"/>
        </w:rPr>
        <w:t>017 (1850-0911 v</w:t>
      </w:r>
      <w:r>
        <w:rPr>
          <w:rFonts w:ascii="Cambria" w:hAnsi="Cambria"/>
        </w:rPr>
        <w:t>.</w:t>
      </w:r>
      <w:r w:rsidRPr="0049525E">
        <w:rPr>
          <w:rFonts w:ascii="Cambria" w:hAnsi="Cambria"/>
        </w:rPr>
        <w:t>13)</w:t>
      </w:r>
      <w:r>
        <w:rPr>
          <w:rFonts w:ascii="Cambria" w:hAnsi="Cambria"/>
        </w:rPr>
        <w:t xml:space="preserve"> based on the results of the IVFT and OFT</w:t>
      </w:r>
      <w:r w:rsidRPr="0049525E">
        <w:rPr>
          <w:rFonts w:ascii="Cambria" w:hAnsi="Cambria"/>
        </w:rPr>
        <w:t>.</w:t>
      </w:r>
      <w:r>
        <w:rPr>
          <w:rFonts w:ascii="Cambria" w:hAnsi="Cambria"/>
        </w:rPr>
        <w:t xml:space="preserve"> An additional $200 (for a total of $600) to schools associated with districts that initially decline to participate and that have one or more schools that are designated as having “higher” counts of students in the focal disability </w:t>
      </w:r>
      <w:r w:rsidRPr="00C03DAA">
        <w:rPr>
          <w:rFonts w:ascii="Cambria" w:hAnsi="Cambria"/>
        </w:rPr>
        <w:t xml:space="preserve">groups was approved in June 2017 (1850-0911 v.15) based on the results of </w:t>
      </w:r>
      <w:r>
        <w:rPr>
          <w:rFonts w:ascii="Cambria" w:hAnsi="Cambria"/>
        </w:rPr>
        <w:t>OFT</w:t>
      </w:r>
      <w:r w:rsidRPr="00C03DAA">
        <w:rPr>
          <w:rFonts w:ascii="Cambria" w:hAnsi="Cambria"/>
        </w:rPr>
        <w:t>.</w:t>
      </w:r>
    </w:p>
    <w:p w14:paraId="44F8C3EF" w14:textId="77777777" w:rsidR="001C4ECB" w:rsidRDefault="001C4ECB" w:rsidP="001C4ECB">
      <w:pPr>
        <w:pStyle w:val="ListParagraph"/>
        <w:widowControl w:val="0"/>
        <w:spacing w:after="120" w:line="240" w:lineRule="auto"/>
        <w:ind w:left="0"/>
        <w:rPr>
          <w:rFonts w:ascii="Cambria" w:hAnsi="Cambria"/>
        </w:rPr>
      </w:pPr>
      <w:r>
        <w:rPr>
          <w:rFonts w:ascii="Cambria" w:hAnsi="Cambria"/>
          <w:u w:val="single"/>
        </w:rPr>
        <w:t>OFT First Follow-up (OFT2):</w:t>
      </w:r>
      <w:r>
        <w:rPr>
          <w:rFonts w:ascii="Cambria" w:hAnsi="Cambria"/>
        </w:rPr>
        <w:t xml:space="preserve"> </w:t>
      </w:r>
      <w:r w:rsidRPr="001D003E">
        <w:rPr>
          <w:rFonts w:ascii="Cambria" w:hAnsi="Cambria"/>
        </w:rPr>
        <w:t xml:space="preserve">OFT2 consists of a shorter student session </w:t>
      </w:r>
      <w:r>
        <w:rPr>
          <w:rFonts w:ascii="Cambria" w:hAnsi="Cambria"/>
        </w:rPr>
        <w:t xml:space="preserve">than in OFT1 </w:t>
      </w:r>
      <w:r w:rsidRPr="001D003E">
        <w:rPr>
          <w:rFonts w:ascii="Cambria" w:hAnsi="Cambria"/>
        </w:rPr>
        <w:t xml:space="preserve">and </w:t>
      </w:r>
      <w:r>
        <w:rPr>
          <w:rFonts w:ascii="Cambria" w:hAnsi="Cambria"/>
        </w:rPr>
        <w:t>includes an administrator survey but no other staff surveys</w:t>
      </w:r>
      <w:r w:rsidRPr="001D003E">
        <w:rPr>
          <w:rFonts w:ascii="Cambria" w:hAnsi="Cambria"/>
        </w:rPr>
        <w:t>. However, there is still considerable burden for the school to provide tracking information and to coordinate student sessions. We will offer schools $200 in cash or cash equivalent to encourage their participation in OFT2</w:t>
      </w:r>
      <w:r>
        <w:rPr>
          <w:rFonts w:ascii="Cambria" w:hAnsi="Cambria"/>
        </w:rPr>
        <w:t>.</w:t>
      </w:r>
    </w:p>
    <w:p w14:paraId="1681809E" w14:textId="77777777" w:rsidR="001C4ECB" w:rsidRPr="00BA441F" w:rsidRDefault="001C4ECB" w:rsidP="001C4ECB">
      <w:pPr>
        <w:keepNext/>
        <w:spacing w:after="120" w:line="240" w:lineRule="auto"/>
        <w:rPr>
          <w:rFonts w:ascii="Cambria" w:hAnsi="Cambria"/>
        </w:rPr>
      </w:pPr>
      <w:r w:rsidRPr="00BA441F">
        <w:rPr>
          <w:rFonts w:ascii="Cambria" w:hAnsi="Cambria"/>
          <w:b/>
          <w:i/>
        </w:rPr>
        <w:t>School Coordinators</w:t>
      </w:r>
    </w:p>
    <w:p w14:paraId="5403CD84" w14:textId="012FEA3F" w:rsidR="00B427AD" w:rsidRPr="00BA441F" w:rsidRDefault="001C4ECB" w:rsidP="001C4ECB">
      <w:pPr>
        <w:widowControl w:val="0"/>
        <w:spacing w:after="120" w:line="240" w:lineRule="auto"/>
        <w:rPr>
          <w:rFonts w:ascii="Cambria" w:hAnsi="Cambria"/>
        </w:rPr>
      </w:pPr>
      <w:r>
        <w:rPr>
          <w:rFonts w:ascii="Cambria" w:hAnsi="Cambria"/>
          <w:u w:val="single"/>
        </w:rPr>
        <w:t>Main Study Base Year (MS1) and OFT First Follow-up (OFT2)</w:t>
      </w:r>
      <w:r w:rsidRPr="00EA62E9">
        <w:rPr>
          <w:rFonts w:ascii="Cambria" w:hAnsi="Cambria"/>
          <w:u w:val="single"/>
        </w:rPr>
        <w:t>:</w:t>
      </w:r>
      <w:r w:rsidRPr="00BA441F">
        <w:rPr>
          <w:rFonts w:ascii="Cambria" w:hAnsi="Cambria"/>
        </w:rPr>
        <w:t xml:space="preserve"> School coordinators will be offered a $150 monetary incentive.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w:t>
      </w:r>
      <w:r>
        <w:rPr>
          <w:rFonts w:ascii="Cambria" w:hAnsi="Cambria"/>
        </w:rPr>
        <w:t xml:space="preserve"> for the Main Study and enrollment status update information for OFT2</w:t>
      </w:r>
      <w:r w:rsidRPr="00BA441F">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00505B24" w:rsidRPr="00BA441F">
        <w:rPr>
          <w:rFonts w:ascii="Cambria" w:hAnsi="Cambria"/>
        </w:rPr>
        <w:t>.</w:t>
      </w:r>
    </w:p>
    <w:p w14:paraId="30F023B6" w14:textId="77777777" w:rsidR="00B427AD" w:rsidRPr="00BA441F" w:rsidRDefault="00B427AD" w:rsidP="00090CDF">
      <w:pPr>
        <w:pStyle w:val="Heading2"/>
        <w:spacing w:before="0" w:after="120" w:line="240" w:lineRule="auto"/>
        <w:rPr>
          <w:rFonts w:ascii="Cambria" w:hAnsi="Cambria"/>
        </w:rPr>
      </w:pPr>
      <w:bookmarkStart w:id="27" w:name="_Toc412022730"/>
      <w:bookmarkStart w:id="28" w:name="_Toc521406228"/>
      <w:r w:rsidRPr="00BA441F">
        <w:rPr>
          <w:rFonts w:ascii="Cambria" w:hAnsi="Cambria"/>
        </w:rPr>
        <w:t>A.10 Assurance of Confidentiality</w:t>
      </w:r>
      <w:bookmarkEnd w:id="27"/>
      <w:bookmarkEnd w:id="28"/>
    </w:p>
    <w:p w14:paraId="4028CD7B" w14:textId="0CD2694C" w:rsidR="00991419" w:rsidRDefault="00A2370E" w:rsidP="00DB032B">
      <w:pPr>
        <w:spacing w:after="120" w:line="23" w:lineRule="atLeast"/>
        <w:rPr>
          <w:rFonts w:ascii="Cambria" w:hAnsi="Cambria"/>
        </w:rPr>
      </w:pPr>
      <w:r w:rsidRPr="00BA441F">
        <w:rPr>
          <w:rFonts w:ascii="Cambria" w:hAnsi="Cambria"/>
        </w:rPr>
        <w:t xml:space="preserve">NCES is authorized to conduct this study </w:t>
      </w:r>
      <w:r>
        <w:rPr>
          <w:rFonts w:ascii="Cambria" w:hAnsi="Cambria"/>
        </w:rPr>
        <w:t>by</w:t>
      </w:r>
      <w:r w:rsidRPr="00BA441F">
        <w:rPr>
          <w:rFonts w:ascii="Cambria" w:hAnsi="Cambria"/>
        </w:rPr>
        <w:t xml:space="preserve"> the Education Sciences Reform Act of 2002 (</w:t>
      </w:r>
      <w:r>
        <w:rPr>
          <w:rFonts w:ascii="Cambria" w:hAnsi="Cambria"/>
        </w:rPr>
        <w:t xml:space="preserve">ESRA 2002, </w:t>
      </w:r>
      <w:r w:rsidRPr="00DB032B">
        <w:rPr>
          <w:rFonts w:ascii="Cambria" w:hAnsi="Cambria"/>
        </w:rPr>
        <w:t>20 U.S.C. §9543</w:t>
      </w:r>
      <w:r w:rsidRPr="00BA441F">
        <w:rPr>
          <w:rFonts w:ascii="Cambria" w:hAnsi="Cambria"/>
        </w:rPr>
        <w:t>). By law, the data provided by schools, staff, parents, and students may be used o</w:t>
      </w:r>
      <w:r>
        <w:rPr>
          <w:rFonts w:ascii="Cambria" w:hAnsi="Cambria"/>
        </w:rPr>
        <w:t>nly for statistical purposes and</w:t>
      </w:r>
      <w:r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r w:rsidRPr="00BA441F">
        <w:rPr>
          <w:rFonts w:ascii="Cambria" w:hAnsi="Cambria"/>
        </w:rPr>
        <w:t>A list of sixth</w:t>
      </w:r>
      <w:r>
        <w:rPr>
          <w:rFonts w:ascii="Cambria" w:hAnsi="Cambria"/>
        </w:rPr>
        <w:t>-</w:t>
      </w:r>
      <w:r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sidR="009F7F5E">
        <w:rPr>
          <w:rFonts w:ascii="Cambria" w:hAnsi="Cambria"/>
        </w:rPr>
        <w:t>In turn</w:t>
      </w:r>
      <w:r w:rsidR="001A4E07">
        <w:rPr>
          <w:rFonts w:ascii="Cambria" w:hAnsi="Cambria"/>
        </w:rPr>
        <w:t xml:space="preserve">, </w:t>
      </w:r>
      <w:r w:rsidR="0002739B">
        <w:rPr>
          <w:rFonts w:ascii="Cambria" w:hAnsi="Cambria"/>
        </w:rPr>
        <w:t xml:space="preserve">for the follow-ups, schools will be asked to confirm the enrollment of student sample members. </w:t>
      </w:r>
      <w:r w:rsidRPr="00BA441F">
        <w:rPr>
          <w:rFonts w:ascii="Cambria" w:hAnsi="Cambria"/>
        </w:rPr>
        <w:t>This information will be securely destroyed when no longer needed for the</w:t>
      </w:r>
      <w:r>
        <w:rPr>
          <w:rFonts w:ascii="Cambria" w:hAnsi="Cambria"/>
        </w:rPr>
        <w:t xml:space="preserve"> purposes specified in 34 CFR §</w:t>
      </w:r>
      <w:r w:rsidRPr="00BA441F">
        <w:rPr>
          <w:rFonts w:ascii="Cambria" w:hAnsi="Cambria"/>
        </w:rPr>
        <w:t>99.35</w:t>
      </w:r>
      <w:r>
        <w:rPr>
          <w:rFonts w:ascii="Cambria" w:hAnsi="Cambria"/>
        </w:rPr>
        <w:t>.</w:t>
      </w:r>
      <w:r w:rsidR="008546C2">
        <w:rPr>
          <w:rFonts w:ascii="Cambria" w:hAnsi="Cambria"/>
        </w:rPr>
        <w:t xml:space="preserve"> </w:t>
      </w:r>
      <w:r w:rsidR="00FF39DE">
        <w:rPr>
          <w:rFonts w:ascii="Cambria" w:hAnsi="Cambria"/>
        </w:rPr>
        <w:t xml:space="preserve">Both the sixth grade </w:t>
      </w:r>
      <w:r w:rsidR="00D5076A">
        <w:rPr>
          <w:rFonts w:ascii="Cambria" w:hAnsi="Cambria"/>
        </w:rPr>
        <w:t xml:space="preserve">enrollment </w:t>
      </w:r>
      <w:r w:rsidR="00FF39DE">
        <w:rPr>
          <w:rFonts w:ascii="Cambria" w:hAnsi="Cambria"/>
        </w:rPr>
        <w:t>list and the enrollment update lists</w:t>
      </w:r>
      <w:r w:rsidR="00991419">
        <w:rPr>
          <w:rFonts w:ascii="Cambria" w:hAnsi="Cambria"/>
        </w:rPr>
        <w:t xml:space="preserve"> </w:t>
      </w:r>
      <w:r w:rsidR="00B427AD" w:rsidRPr="00BA441F">
        <w:rPr>
          <w:rFonts w:ascii="Cambria" w:hAnsi="Cambria"/>
        </w:rPr>
        <w:t>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0CDABFFE" w14:textId="35DED943" w:rsidR="00991419" w:rsidRDefault="008546C2"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OFT,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Pr>
          <w:rFonts w:ascii="Cambria" w:hAnsi="Cambria"/>
        </w:rPr>
        <w:t>1</w:t>
      </w:r>
      <w:r w:rsidRPr="006314C4">
        <w:rPr>
          <w:rFonts w:ascii="Cambria" w:hAnsi="Cambria"/>
        </w:rPr>
        <w:t xml:space="preserve"> and MS</w:t>
      </w:r>
      <w:r>
        <w:rPr>
          <w:rFonts w:ascii="Cambria" w:hAnsi="Cambria"/>
        </w:rPr>
        <w:t>1</w:t>
      </w:r>
      <w:r w:rsidRPr="006314C4">
        <w:rPr>
          <w:rFonts w:ascii="Cambria" w:hAnsi="Cambria"/>
        </w:rPr>
        <w:t xml:space="preserve"> endorsement and state letters became operational prior to the implementation of the revised p</w:t>
      </w:r>
      <w:r>
        <w:rPr>
          <w:rFonts w:ascii="Cambria" w:hAnsi="Cambria"/>
        </w:rPr>
        <w:t xml:space="preserve">ledge. All other aspects of </w:t>
      </w:r>
      <w:r w:rsidRPr="006314C4">
        <w:rPr>
          <w:rFonts w:ascii="Cambria" w:hAnsi="Cambria"/>
        </w:rPr>
        <w:t xml:space="preserve">MS1 and recruitment for OFT2 </w:t>
      </w:r>
      <w:r>
        <w:rPr>
          <w:rFonts w:ascii="Cambria" w:hAnsi="Cambria"/>
        </w:rPr>
        <w:t>now</w:t>
      </w:r>
      <w:r w:rsidR="00AA213C">
        <w:rPr>
          <w:rFonts w:ascii="Cambria" w:hAnsi="Cambria"/>
        </w:rPr>
        <w:t xml:space="preserve"> include the revised pledge</w:t>
      </w:r>
      <w:r w:rsidR="00642E87">
        <w:rPr>
          <w:rFonts w:ascii="Cambria" w:hAnsi="Cambria"/>
        </w:rPr>
        <w:t>, as do all materials for MS2 and OFT3</w:t>
      </w:r>
      <w:r w:rsidR="006314C4" w:rsidRPr="006314C4">
        <w:rPr>
          <w:rFonts w:ascii="Cambria" w:hAnsi="Cambria"/>
        </w:rPr>
        <w:t>.</w:t>
      </w:r>
    </w:p>
    <w:p w14:paraId="0196A1B3" w14:textId="785FC378"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0AC5F85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67D4F0CE" w14:textId="77777777"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6F26F3F3"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4469A305"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39FC67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438DA04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2B4B27A7"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7D3CF34D"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264ED5A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3967F556" w14:textId="77777777"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643BB384"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6162AF89"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21F4F9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4E1F2D6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1D1E51D1" w14:textId="77777777"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2F3580A4" w14:textId="77777777"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294D28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125D01F9"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15217624" w14:textId="77777777" w:rsidR="00F06588" w:rsidRPr="004C7490" w:rsidRDefault="00F06588" w:rsidP="00B55508">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3FBDFDE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6C22A9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11E881A7"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1FC2B052"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0AF30CAA"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29398530"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1EB75B74"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7B3C42E2"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51DEDED2" w14:textId="77777777" w:rsidR="00F06588" w:rsidRPr="003066DE" w:rsidRDefault="00F06588" w:rsidP="004D1DE4">
      <w:pPr>
        <w:pStyle w:val="BodyText"/>
        <w:widowControl w:val="0"/>
        <w:spacing w:before="0" w:after="60"/>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E170EE7" w14:textId="77777777" w:rsidR="00F06588" w:rsidRPr="003066DE" w:rsidRDefault="00F06588" w:rsidP="004D1DE4">
      <w:pPr>
        <w:pStyle w:val="BodyText"/>
        <w:spacing w:before="0" w:after="6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5A3B459"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44A7AB1"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6851D9A0"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2716BCBF" w14:textId="77777777" w:rsidR="00F06588" w:rsidRPr="003066DE" w:rsidRDefault="00F06588" w:rsidP="004D1DE4">
      <w:pPr>
        <w:pStyle w:val="BodyText"/>
        <w:spacing w:before="0" w:after="60"/>
        <w:ind w:left="432" w:firstLine="0"/>
        <w:rPr>
          <w:rFonts w:ascii="Cambria" w:hAnsi="Cambria"/>
          <w:i/>
          <w:sz w:val="22"/>
        </w:rPr>
      </w:pPr>
      <w:r w:rsidRPr="003066DE">
        <w:rPr>
          <w:rFonts w:ascii="Cambria" w:hAnsi="Cambria"/>
          <w:i/>
          <w:sz w:val="22"/>
        </w:rPr>
        <w:t>(b) Information that is collected under paragraph (a) of this section must—</w:t>
      </w:r>
    </w:p>
    <w:p w14:paraId="2E53BB43" w14:textId="77777777" w:rsidR="00F06588" w:rsidRPr="003066DE" w:rsidRDefault="00F06588" w:rsidP="004D1DE4">
      <w:pPr>
        <w:pStyle w:val="BodyText"/>
        <w:widowControl w:val="0"/>
        <w:spacing w:before="0" w:after="6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5D43C4F1" w14:textId="77777777" w:rsidR="00F06588" w:rsidRPr="003066DE" w:rsidRDefault="00F06588" w:rsidP="001673DA">
      <w:pPr>
        <w:pStyle w:val="BodyText"/>
        <w:widowControl w:val="0"/>
        <w:spacing w:before="0" w:after="6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0BE735F5" w14:textId="77777777" w:rsidR="00F06588" w:rsidRPr="003066DE" w:rsidRDefault="00F06588" w:rsidP="004D1DE4">
      <w:pPr>
        <w:pStyle w:val="BodyText"/>
        <w:spacing w:before="0" w:after="60"/>
        <w:ind w:left="432" w:firstLine="0"/>
        <w:rPr>
          <w:rFonts w:ascii="Cambria" w:hAnsi="Cambria"/>
          <w:i/>
          <w:sz w:val="22"/>
        </w:rPr>
      </w:pPr>
      <w:r w:rsidRPr="003066DE">
        <w:rPr>
          <w:rFonts w:ascii="Cambria" w:hAnsi="Cambria"/>
          <w:i/>
          <w:sz w:val="22"/>
        </w:rPr>
        <w:t>(c) Paragraph (b) of this section does not apply if:</w:t>
      </w:r>
    </w:p>
    <w:p w14:paraId="400DBAC4" w14:textId="77777777" w:rsidR="00F06588" w:rsidRPr="003066DE" w:rsidRDefault="00F06588" w:rsidP="004D1DE4">
      <w:pPr>
        <w:pStyle w:val="BodyText"/>
        <w:spacing w:before="0" w:after="6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69C2C4F9"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700B6124"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7F9A965D"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68876A64"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2E095ADE" w14:textId="77777777" w:rsidR="00F06588" w:rsidRPr="004C7490" w:rsidRDefault="00F06588" w:rsidP="00B46D05">
      <w:pPr>
        <w:pStyle w:val="BodyText"/>
        <w:widowControl w:val="0"/>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37EFB6A3"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23E69B4"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2F69D3BE" w14:textId="77777777" w:rsidR="00B427AD" w:rsidRPr="00BA441F" w:rsidRDefault="00B427AD" w:rsidP="00090CDF">
      <w:pPr>
        <w:pStyle w:val="Heading2"/>
        <w:spacing w:before="0" w:after="120" w:line="240" w:lineRule="auto"/>
        <w:rPr>
          <w:rFonts w:ascii="Cambria" w:hAnsi="Cambria"/>
        </w:rPr>
      </w:pPr>
      <w:bookmarkStart w:id="29" w:name="_Toc412022731"/>
      <w:bookmarkStart w:id="30" w:name="_Toc521406229"/>
      <w:r w:rsidRPr="00AE5E08">
        <w:rPr>
          <w:rFonts w:ascii="Cambria" w:hAnsi="Cambria"/>
        </w:rPr>
        <w:t>A.11 Sensitive Questions</w:t>
      </w:r>
      <w:bookmarkEnd w:id="29"/>
      <w:bookmarkEnd w:id="30"/>
      <w:r w:rsidRPr="00BA441F">
        <w:rPr>
          <w:rFonts w:ascii="Cambria" w:hAnsi="Cambria"/>
        </w:rPr>
        <w:tab/>
      </w:r>
    </w:p>
    <w:p w14:paraId="09ECE018" w14:textId="77777777"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E6ED87E" w14:textId="433BD39D" w:rsidR="00991419" w:rsidRDefault="004B36DA" w:rsidP="00B55508">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004C6B48" w:rsidRPr="004C6B48">
        <w:rPr>
          <w:rFonts w:ascii="Cambria" w:hAnsi="Cambria"/>
        </w:rPr>
        <w:t xml:space="preserve">In MS1, a roster </w:t>
      </w:r>
      <w:r w:rsidR="004C6B48">
        <w:rPr>
          <w:rFonts w:ascii="Cambria" w:hAnsi="Cambria"/>
        </w:rPr>
        <w:t>of all students in grade 6 will be requested from each school or its school district, including the collection of IEP and disability information</w:t>
      </w:r>
      <w:r w:rsidR="00E75543">
        <w:rPr>
          <w:rFonts w:ascii="Cambria" w:hAnsi="Cambria"/>
        </w:rPr>
        <w:t>.</w:t>
      </w:r>
      <w:r w:rsidR="001D6674">
        <w:rPr>
          <w:rStyle w:val="FootnoteReference"/>
        </w:rPr>
        <w:footnoteReference w:id="6"/>
      </w:r>
      <w:r w:rsidR="004C6B48">
        <w:rPr>
          <w:rFonts w:ascii="Cambria" w:hAnsi="Cambria"/>
        </w:rPr>
        <w:t xml:space="preserve"> </w:t>
      </w:r>
      <w:r w:rsidR="001D58C1">
        <w:rPr>
          <w:rFonts w:ascii="Cambria" w:hAnsi="Cambria"/>
        </w:rPr>
        <w:t>In the OFT2, the OFT1 schools will be asked to verify the enrollment status of each student sampled for OFT1 and provide new school information for those no longer enrolled (see Part B.2 and Appendices OFT2-C and OFT2-D).</w:t>
      </w:r>
      <w:r w:rsidR="004B63CC">
        <w:rPr>
          <w:rFonts w:ascii="Cambria" w:hAnsi="Cambria"/>
        </w:rPr>
        <w:t xml:space="preserve"> The same procedure will be used in the OFT3 with the OFT2 schools (</w:t>
      </w:r>
      <w:r w:rsidR="00D3760D" w:rsidRPr="00F45C93">
        <w:rPr>
          <w:rFonts w:ascii="Cambria" w:hAnsi="Cambria"/>
        </w:rPr>
        <w:t>OFT3-A</w:t>
      </w:r>
      <w:r w:rsidR="00D3760D">
        <w:rPr>
          <w:rFonts w:ascii="Cambria" w:hAnsi="Cambria"/>
        </w:rPr>
        <w:t xml:space="preserve"> and</w:t>
      </w:r>
      <w:r w:rsidR="00D3760D" w:rsidRPr="00F45C93">
        <w:rPr>
          <w:rFonts w:ascii="Cambria" w:hAnsi="Cambria"/>
        </w:rPr>
        <w:t xml:space="preserve"> OFT3-B</w:t>
      </w:r>
      <w:r w:rsidR="004B63CC">
        <w:rPr>
          <w:rFonts w:ascii="Cambria" w:hAnsi="Cambria"/>
        </w:rPr>
        <w:t>).</w:t>
      </w:r>
      <w:r w:rsidR="00F60504">
        <w:rPr>
          <w:rFonts w:ascii="Cambria" w:hAnsi="Cambria"/>
        </w:rPr>
        <w:t xml:space="preserve"> </w:t>
      </w:r>
      <w:r w:rsidR="00F45C93" w:rsidRPr="00F45C93">
        <w:rPr>
          <w:rFonts w:ascii="Cambria" w:hAnsi="Cambria"/>
        </w:rPr>
        <w:t xml:space="preserve">Similar procedures will be proposed </w:t>
      </w:r>
      <w:r w:rsidR="00D3760D" w:rsidRPr="00F45C93">
        <w:rPr>
          <w:rFonts w:ascii="Cambria" w:hAnsi="Cambria"/>
        </w:rPr>
        <w:t xml:space="preserve">for MS2 </w:t>
      </w:r>
      <w:r w:rsidR="00F45C93" w:rsidRPr="00F45C93">
        <w:rPr>
          <w:rFonts w:ascii="Cambria" w:hAnsi="Cambria"/>
        </w:rPr>
        <w:t>in the October 2018 submission (OMB# 1850-0911 v.21).</w:t>
      </w:r>
      <w:r w:rsidR="00F45C93">
        <w:rPr>
          <w:rFonts w:ascii="Cambria" w:hAnsi="Cambria"/>
        </w:rPr>
        <w:t xml:space="preserve"> </w:t>
      </w:r>
      <w:r w:rsidRPr="00241833">
        <w:rPr>
          <w:rFonts w:ascii="Cambria" w:hAnsi="Cambria"/>
        </w:rPr>
        <w:t>Schools may have concerns about providing this information without first obtaining permission from the parents to do so</w:t>
      </w:r>
      <w:r w:rsidR="005B3D95" w:rsidRPr="00241833">
        <w:rPr>
          <w:rFonts w:ascii="Cambria" w:hAnsi="Cambria"/>
        </w:rPr>
        <w:t xml:space="preserve">. </w:t>
      </w:r>
      <w:r w:rsidR="00B427AD" w:rsidRPr="00241833">
        <w:rPr>
          <w:rFonts w:ascii="Cambria" w:hAnsi="Cambria"/>
        </w:rPr>
        <w:t>The disclosure is permitted</w:t>
      </w:r>
      <w:r w:rsidR="00B427AD" w:rsidRPr="00BA441F">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p>
    <w:p w14:paraId="2714124E" w14:textId="77777777" w:rsidR="005B3D95" w:rsidRDefault="005B3D95" w:rsidP="004D1DE4">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0EFB99" w14:textId="77777777"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1D6FE71" w14:textId="77777777"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2FEBF112" w14:textId="77777777"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098C05FA" w14:textId="77777777"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5BCE0868" w14:textId="77777777"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A256DA7" w14:textId="4E0B8AA4"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 xml:space="preserve">for </w:t>
      </w:r>
      <w:r w:rsidR="00A94746">
        <w:rPr>
          <w:rFonts w:ascii="Cambria" w:hAnsi="Cambria"/>
        </w:rPr>
        <w:t xml:space="preserve">MS1 and </w:t>
      </w:r>
      <w:r w:rsidR="00E63013">
        <w:rPr>
          <w:rFonts w:ascii="Cambria" w:hAnsi="Cambria"/>
        </w:rPr>
        <w:t>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43050313" w14:textId="77777777" w:rsidR="004E042D" w:rsidRPr="00BA441F" w:rsidRDefault="004E042D" w:rsidP="004E042D">
      <w:pPr>
        <w:pStyle w:val="Heading2"/>
        <w:spacing w:before="0" w:after="120" w:line="240" w:lineRule="auto"/>
        <w:rPr>
          <w:rFonts w:ascii="Cambria" w:hAnsi="Cambria"/>
        </w:rPr>
      </w:pPr>
      <w:bookmarkStart w:id="31" w:name="_Toc498951228"/>
      <w:bookmarkStart w:id="32" w:name="_Toc521406230"/>
      <w:bookmarkStart w:id="33" w:name="_Toc412022732"/>
      <w:r w:rsidRPr="00BA441F">
        <w:rPr>
          <w:rFonts w:ascii="Cambria" w:hAnsi="Cambria"/>
        </w:rPr>
        <w:t>A.12 Estimates of Burden</w:t>
      </w:r>
      <w:bookmarkEnd w:id="31"/>
      <w:bookmarkEnd w:id="32"/>
    </w:p>
    <w:p w14:paraId="3253D73B" w14:textId="77777777" w:rsidR="004E042D" w:rsidRDefault="004E042D" w:rsidP="004E042D">
      <w:pPr>
        <w:spacing w:after="120" w:line="240" w:lineRule="auto"/>
        <w:rPr>
          <w:rFonts w:ascii="Cambria" w:hAnsi="Cambria"/>
        </w:rPr>
      </w:pPr>
      <w:r w:rsidRPr="00BA441F">
        <w:rPr>
          <w:rFonts w:ascii="Cambria" w:hAnsi="Cambria"/>
        </w:rPr>
        <w:t xml:space="preserve">Burden estimates for </w:t>
      </w:r>
      <w:r>
        <w:rPr>
          <w:rFonts w:ascii="Cambria" w:hAnsi="Cambria"/>
        </w:rPr>
        <w:t>all activities associated with MS1 and OFT2 and tracking and recruitment activities</w:t>
      </w:r>
      <w:r w:rsidRPr="00BA441F">
        <w:rPr>
          <w:rFonts w:ascii="Cambria" w:hAnsi="Cambria"/>
        </w:rPr>
        <w:t xml:space="preserve"> </w:t>
      </w:r>
      <w:r>
        <w:rPr>
          <w:rFonts w:ascii="Cambria" w:hAnsi="Cambria"/>
        </w:rPr>
        <w:t xml:space="preserve">for MS2 </w:t>
      </w:r>
      <w:r w:rsidRPr="00BA441F">
        <w:rPr>
          <w:rFonts w:ascii="Cambria" w:hAnsi="Cambria"/>
        </w:rPr>
        <w:t>are shown in this section.</w:t>
      </w:r>
    </w:p>
    <w:p w14:paraId="5574B86A" w14:textId="77777777" w:rsidR="004E042D" w:rsidRDefault="004E042D" w:rsidP="004E042D">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Pr>
          <w:rFonts w:ascii="Cambria" w:hAnsi="Cambria"/>
          <w:u w:val="single"/>
        </w:rPr>
        <w:t xml:space="preserve">MS1 </w:t>
      </w:r>
      <w:r w:rsidRPr="00004272">
        <w:rPr>
          <w:rFonts w:ascii="Cambria" w:hAnsi="Cambria"/>
          <w:u w:val="single"/>
        </w:rPr>
        <w:t>Recruitment</w:t>
      </w:r>
      <w:r w:rsidRPr="00004272">
        <w:rPr>
          <w:rFonts w:ascii="Cambria" w:hAnsi="Cambria"/>
        </w:rPr>
        <w:t xml:space="preserve"> </w:t>
      </w:r>
      <w:r>
        <w:rPr>
          <w:rFonts w:ascii="Cambria" w:hAnsi="Cambria"/>
        </w:rPr>
        <w:t>portion of t</w:t>
      </w:r>
      <w:r w:rsidRPr="00BA441F">
        <w:rPr>
          <w:rFonts w:ascii="Cambria" w:hAnsi="Cambria"/>
        </w:rPr>
        <w:t xml:space="preserve">able </w:t>
      </w:r>
      <w:r>
        <w:rPr>
          <w:rFonts w:ascii="Cambria" w:hAnsi="Cambria"/>
        </w:rPr>
        <w:t>6</w:t>
      </w:r>
      <w:r w:rsidRPr="00BA441F">
        <w:rPr>
          <w:rFonts w:ascii="Cambria" w:hAnsi="Cambria"/>
        </w:rPr>
        <w:t xml:space="preserve"> shows the expected burden for districts, schools, and parents during </w:t>
      </w:r>
      <w:r>
        <w:rPr>
          <w:rFonts w:ascii="Cambria" w:hAnsi="Cambria"/>
        </w:rPr>
        <w:t>MS1</w:t>
      </w:r>
      <w:r w:rsidRPr="00BA441F">
        <w:rPr>
          <w:rFonts w:ascii="Cambria" w:hAnsi="Cambria"/>
        </w:rPr>
        <w:t xml:space="preserve"> recruitment activities. </w:t>
      </w:r>
      <w:r>
        <w:rPr>
          <w:rFonts w:ascii="Cambria" w:hAnsi="Cambria"/>
        </w:rPr>
        <w:t>W</w:t>
      </w:r>
      <w:r w:rsidRPr="00BA441F">
        <w:rPr>
          <w:rFonts w:ascii="Cambria" w:hAnsi="Cambria"/>
        </w:rPr>
        <w:t xml:space="preserve">e anticipate collecting data within </w:t>
      </w:r>
      <w:r>
        <w:rPr>
          <w:rFonts w:ascii="Cambria" w:hAnsi="Cambria"/>
        </w:rPr>
        <w:t>9</w:t>
      </w:r>
      <w:r w:rsidRPr="00BA441F">
        <w:rPr>
          <w:rFonts w:ascii="Cambria" w:hAnsi="Cambria"/>
        </w:rPr>
        <w:t>00 schools</w:t>
      </w:r>
      <w:r>
        <w:rPr>
          <w:rFonts w:ascii="Cambria" w:hAnsi="Cambria"/>
        </w:rPr>
        <w:t xml:space="preserve"> for MS1.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79D3AD5F" w14:textId="77777777" w:rsidR="004E042D" w:rsidRPr="00BA441F" w:rsidRDefault="004E042D" w:rsidP="004E042D">
      <w:pPr>
        <w:spacing w:after="120" w:line="240" w:lineRule="auto"/>
        <w:rPr>
          <w:rFonts w:ascii="Cambria" w:hAnsi="Cambria"/>
        </w:rPr>
      </w:pPr>
      <w:r>
        <w:rPr>
          <w:rFonts w:ascii="Cambria" w:hAnsi="Cambria"/>
        </w:rPr>
        <w:t>The student sampling process is designed to achieve approximately 20,322 grade 6 participants (Part B, Table 4). To obtain 20,322 participants, we plan to sample approximately 26,100 students (Part B, Table 4).</w:t>
      </w:r>
    </w:p>
    <w:p w14:paraId="48AF00CF" w14:textId="77777777" w:rsidR="004E042D" w:rsidRPr="00CA4FF8" w:rsidRDefault="004E042D" w:rsidP="004E042D">
      <w:pPr>
        <w:widowControl w:val="0"/>
        <w:spacing w:after="120" w:line="240" w:lineRule="auto"/>
        <w:rPr>
          <w:rFonts w:ascii="Cambria" w:hAnsi="Cambria"/>
        </w:rPr>
      </w:pPr>
      <w:r>
        <w:rPr>
          <w:rFonts w:ascii="Cambria" w:hAnsi="Cambria"/>
        </w:rPr>
        <w:t>At the district level, w</w:t>
      </w:r>
      <w:r w:rsidRPr="00BA441F">
        <w:rPr>
          <w:rFonts w:ascii="Cambria" w:hAnsi="Cambria"/>
        </w:rPr>
        <w:t xml:space="preserve">e estimate that it will take 20 minutes on average for district </w:t>
      </w:r>
      <w:r>
        <w:rPr>
          <w:rFonts w:ascii="Cambria" w:hAnsi="Cambria"/>
        </w:rPr>
        <w:t xml:space="preserve">personnel </w:t>
      </w:r>
      <w:r w:rsidRPr="00BA441F">
        <w:rPr>
          <w:rFonts w:ascii="Cambria" w:hAnsi="Cambria"/>
        </w:rPr>
        <w:t xml:space="preserve">to review the materials and either agree or decline to participate, </w:t>
      </w:r>
      <w:r>
        <w:rPr>
          <w:rFonts w:ascii="Cambria" w:hAnsi="Cambria"/>
        </w:rPr>
        <w:t>including</w:t>
      </w:r>
      <w:r w:rsidRPr="00BA441F">
        <w:rPr>
          <w:rFonts w:ascii="Cambria" w:hAnsi="Cambria"/>
        </w:rPr>
        <w:t xml:space="preserve"> debrief</w:t>
      </w:r>
      <w:r>
        <w:rPr>
          <w:rFonts w:ascii="Cambria" w:hAnsi="Cambria"/>
        </w:rPr>
        <w:t>ing</w:t>
      </w:r>
      <w:r w:rsidRPr="00BA441F">
        <w:rPr>
          <w:rFonts w:ascii="Cambria" w:hAnsi="Cambria"/>
        </w:rPr>
        <w:t xml:space="preserve"> on reasons why schools or districts chose to participate or not to participate in </w:t>
      </w:r>
      <w:r>
        <w:rPr>
          <w:rFonts w:ascii="Cambria" w:hAnsi="Cambria"/>
        </w:rPr>
        <w:t>MS1</w:t>
      </w:r>
      <w:r w:rsidRPr="00BA441F">
        <w:rPr>
          <w:rFonts w:ascii="Cambria" w:hAnsi="Cambria"/>
        </w:rPr>
        <w:t xml:space="preserve">. For those </w:t>
      </w:r>
      <w:r>
        <w:rPr>
          <w:rFonts w:ascii="Cambria" w:hAnsi="Cambria"/>
        </w:rPr>
        <w:t xml:space="preserve">districts </w:t>
      </w:r>
      <w:r w:rsidRPr="00BA441F">
        <w:rPr>
          <w:rFonts w:ascii="Cambria" w:hAnsi="Cambria"/>
        </w:rPr>
        <w:t xml:space="preserve">participating, we estimate an additional 4 hours for the provision of student rosters, including information about students for sampling, contact information for their parents, and their math and special education teachers (see Appendices </w:t>
      </w:r>
      <w:r>
        <w:rPr>
          <w:rFonts w:ascii="Cambria" w:hAnsi="Cambria"/>
        </w:rPr>
        <w:t>MS1-S</w:t>
      </w:r>
      <w:r w:rsidRPr="00BA441F">
        <w:rPr>
          <w:rFonts w:ascii="Cambria" w:hAnsi="Cambria"/>
        </w:rPr>
        <w:t xml:space="preserve"> and </w:t>
      </w:r>
      <w:r>
        <w:rPr>
          <w:rFonts w:ascii="Cambria" w:hAnsi="Cambria"/>
        </w:rPr>
        <w:t>MS1-T</w:t>
      </w:r>
      <w:r w:rsidRPr="00BA441F">
        <w:rPr>
          <w:rFonts w:ascii="Cambria" w:hAnsi="Cambria"/>
        </w:rPr>
        <w:t xml:space="preserve">). </w:t>
      </w:r>
      <w:r w:rsidRPr="00890C43">
        <w:rPr>
          <w:rFonts w:ascii="Cambria" w:hAnsi="Cambria"/>
        </w:rPr>
        <w:t xml:space="preserve">The total response burden estimate for </w:t>
      </w:r>
      <w:r>
        <w:rPr>
          <w:rFonts w:ascii="Cambria" w:hAnsi="Cambria"/>
        </w:rPr>
        <w:t xml:space="preserve">district </w:t>
      </w:r>
      <w:r w:rsidRPr="00890C43">
        <w:rPr>
          <w:rFonts w:ascii="Cambria" w:hAnsi="Cambria"/>
        </w:rPr>
        <w:t xml:space="preserve">IRB approvals </w:t>
      </w:r>
      <w:r>
        <w:rPr>
          <w:rFonts w:ascii="Cambria" w:hAnsi="Cambria"/>
        </w:rPr>
        <w:t xml:space="preserve">(in the </w:t>
      </w:r>
      <w:r w:rsidRPr="00890C43">
        <w:rPr>
          <w:rFonts w:ascii="Cambria" w:hAnsi="Cambria"/>
        </w:rPr>
        <w:t xml:space="preserve">special handling districts </w:t>
      </w:r>
      <w:r>
        <w:rPr>
          <w:rFonts w:ascii="Cambria" w:hAnsi="Cambria"/>
        </w:rPr>
        <w:t>that</w:t>
      </w:r>
      <w:r w:rsidRPr="00890C43">
        <w:rPr>
          <w:rFonts w:ascii="Cambria" w:hAnsi="Cambria"/>
        </w:rPr>
        <w:t xml:space="preserve"> require completion of a research application before they will allow schools under their jurisdiction to participate in a study</w:t>
      </w:r>
      <w:r>
        <w:rPr>
          <w:rFonts w:ascii="Cambria" w:hAnsi="Cambria"/>
        </w:rPr>
        <w:t>) is</w:t>
      </w:r>
      <w:r w:rsidRPr="00890C43">
        <w:rPr>
          <w:rFonts w:ascii="Cambria" w:hAnsi="Cambria"/>
        </w:rPr>
        <w:t xml:space="preserve"> based on </w:t>
      </w:r>
      <w:r>
        <w:rPr>
          <w:rFonts w:ascii="Cambria" w:hAnsi="Cambria"/>
        </w:rPr>
        <w:t xml:space="preserve">an estimated </w:t>
      </w:r>
      <w:r w:rsidRPr="00890C43">
        <w:rPr>
          <w:rFonts w:ascii="Cambria" w:hAnsi="Cambria"/>
        </w:rPr>
        <w:t xml:space="preserve">120 minutes for </w:t>
      </w:r>
      <w:r>
        <w:rPr>
          <w:rFonts w:ascii="Cambria" w:hAnsi="Cambria"/>
        </w:rPr>
        <w:t xml:space="preserve">IRB </w:t>
      </w:r>
      <w:r w:rsidRPr="00890C43">
        <w:rPr>
          <w:rFonts w:ascii="Cambria" w:hAnsi="Cambria"/>
        </w:rPr>
        <w:t xml:space="preserve">staff approval and </w:t>
      </w:r>
      <w:r>
        <w:rPr>
          <w:rFonts w:ascii="Cambria" w:hAnsi="Cambria"/>
        </w:rPr>
        <w:t>12</w:t>
      </w:r>
      <w:r w:rsidRPr="00890C43">
        <w:rPr>
          <w:rFonts w:ascii="Cambria" w:hAnsi="Cambria"/>
        </w:rPr>
        <w:t xml:space="preserve">0 minutes </w:t>
      </w:r>
      <w:r>
        <w:rPr>
          <w:rFonts w:ascii="Cambria" w:hAnsi="Cambria"/>
        </w:rPr>
        <w:t xml:space="preserve">per panelist </w:t>
      </w:r>
      <w:r w:rsidRPr="00890C43">
        <w:rPr>
          <w:rFonts w:ascii="Cambria" w:hAnsi="Cambria"/>
        </w:rPr>
        <w:t>for approval</w:t>
      </w:r>
      <w:r>
        <w:rPr>
          <w:rFonts w:ascii="Cambria" w:hAnsi="Cambria"/>
        </w:rPr>
        <w:t xml:space="preserve"> by the district’s IRB panel, which is estimated to average 5 panelists</w:t>
      </w:r>
      <w:r w:rsidRPr="00890C43">
        <w:rPr>
          <w:rFonts w:ascii="Cambria" w:hAnsi="Cambria"/>
        </w:rPr>
        <w:t>.</w:t>
      </w:r>
    </w:p>
    <w:p w14:paraId="7CBEE33B" w14:textId="77777777" w:rsidR="004E042D" w:rsidRDefault="004E042D" w:rsidP="004E042D">
      <w:pPr>
        <w:spacing w:after="120" w:line="240" w:lineRule="auto"/>
        <w:rPr>
          <w:rFonts w:ascii="Cambria" w:hAnsi="Cambria"/>
        </w:rPr>
      </w:pPr>
      <w:r>
        <w:rPr>
          <w:rFonts w:ascii="Cambria" w:hAnsi="Cambria"/>
        </w:rPr>
        <w:t>At the school level, we also estimate that it will take 20 minutes on average for school administrators to review the materials and either agree or decline to participate, and we estimate an additional 4 hours for schools that decide to participate.</w:t>
      </w:r>
    </w:p>
    <w:p w14:paraId="42204D10" w14:textId="77777777" w:rsidR="004E042D" w:rsidRDefault="004E042D" w:rsidP="004E042D">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6C39379A" w14:textId="77777777" w:rsidR="004E042D" w:rsidRPr="00BA441F" w:rsidRDefault="004E042D" w:rsidP="004E042D">
      <w:pPr>
        <w:spacing w:after="120" w:line="240" w:lineRule="auto"/>
        <w:rPr>
          <w:rFonts w:ascii="Cambria" w:hAnsi="Cambria"/>
        </w:rPr>
      </w:pPr>
      <w:r>
        <w:rPr>
          <w:rFonts w:ascii="Cambria" w:hAnsi="Cambria"/>
          <w:u w:val="single"/>
        </w:rPr>
        <w:t xml:space="preserve">MS1 </w:t>
      </w:r>
      <w:r w:rsidRPr="00004272">
        <w:rPr>
          <w:rFonts w:ascii="Cambria" w:hAnsi="Cambria"/>
          <w:u w:val="single"/>
        </w:rPr>
        <w:t>Data Collection</w:t>
      </w:r>
      <w:r w:rsidRPr="00561F12">
        <w:rPr>
          <w:rFonts w:ascii="Cambria" w:hAnsi="Cambria"/>
        </w:rPr>
        <w:t xml:space="preserve"> portion of </w:t>
      </w:r>
      <w:r>
        <w:rPr>
          <w:rFonts w:ascii="Cambria" w:hAnsi="Cambria"/>
        </w:rPr>
        <w:t>table 6</w:t>
      </w:r>
      <w:r w:rsidRPr="00BA441F">
        <w:rPr>
          <w:rFonts w:ascii="Cambria" w:hAnsi="Cambria"/>
        </w:rPr>
        <w:t xml:space="preserve"> shows the expected burden for the </w:t>
      </w:r>
      <w:r>
        <w:rPr>
          <w:rFonts w:ascii="Cambria" w:hAnsi="Cambria"/>
        </w:rPr>
        <w:t>MS1</w:t>
      </w:r>
      <w:r w:rsidRPr="00BA441F">
        <w:rPr>
          <w:rFonts w:ascii="Cambria" w:hAnsi="Cambria"/>
        </w:rPr>
        <w:t xml:space="preserve"> data collection. The burden time estimates are based on the maximum reasonable expected burden per respondent:</w:t>
      </w:r>
    </w:p>
    <w:p w14:paraId="6A16F226" w14:textId="77777777" w:rsidR="004E042D" w:rsidRPr="00BA441F" w:rsidRDefault="004E042D" w:rsidP="004E042D">
      <w:pPr>
        <w:pStyle w:val="ListParagraph"/>
        <w:numPr>
          <w:ilvl w:val="0"/>
          <w:numId w:val="16"/>
        </w:numPr>
        <w:spacing w:after="60" w:line="240" w:lineRule="auto"/>
        <w:ind w:left="270" w:hanging="180"/>
        <w:contextualSpacing w:val="0"/>
        <w:rPr>
          <w:rFonts w:ascii="Cambria" w:hAnsi="Cambria"/>
        </w:rPr>
      </w:pPr>
      <w:r>
        <w:rPr>
          <w:rFonts w:ascii="Cambria" w:hAnsi="Cambria"/>
        </w:rPr>
        <w:t xml:space="preserve">The in-school student session, which includes the </w:t>
      </w:r>
      <w:r w:rsidRPr="00BA441F">
        <w:rPr>
          <w:rFonts w:ascii="Cambria" w:hAnsi="Cambria"/>
        </w:rPr>
        <w:t>survey</w:t>
      </w:r>
      <w:r>
        <w:rPr>
          <w:rFonts w:ascii="Cambria" w:hAnsi="Cambria"/>
        </w:rPr>
        <w:t xml:space="preserve"> and s</w:t>
      </w:r>
      <w:r w:rsidRPr="00BA441F">
        <w:rPr>
          <w:rFonts w:ascii="Cambria" w:hAnsi="Cambria"/>
        </w:rPr>
        <w:t>tudent assessments</w:t>
      </w:r>
      <w:r>
        <w:rPr>
          <w:rFonts w:ascii="Cambria" w:hAnsi="Cambria"/>
        </w:rPr>
        <w:t>,</w:t>
      </w:r>
      <w:r w:rsidRPr="00BA441F">
        <w:rPr>
          <w:rFonts w:ascii="Cambria" w:hAnsi="Cambria"/>
        </w:rPr>
        <w:t xml:space="preserve"> will be approximately 90 minutes</w:t>
      </w:r>
      <w:r>
        <w:rPr>
          <w:rFonts w:ascii="Cambria" w:hAnsi="Cambria"/>
        </w:rPr>
        <w:t>, 20 of which will be for the student survey portion</w:t>
      </w:r>
      <w:r w:rsidRPr="00BA441F">
        <w:rPr>
          <w:rFonts w:ascii="Cambria" w:hAnsi="Cambria"/>
        </w:rPr>
        <w:t xml:space="preserve">. </w:t>
      </w:r>
      <w:r>
        <w:rPr>
          <w:rFonts w:ascii="Cambria" w:hAnsi="Cambria"/>
        </w:rPr>
        <w:t xml:space="preserve">The out-of-school student session, which will include the </w:t>
      </w:r>
      <w:r w:rsidRPr="00BA441F">
        <w:rPr>
          <w:rFonts w:ascii="Cambria" w:hAnsi="Cambria"/>
        </w:rPr>
        <w:t>survey</w:t>
      </w:r>
      <w:r>
        <w:rPr>
          <w:rFonts w:ascii="Cambria" w:hAnsi="Cambria"/>
        </w:rPr>
        <w:t xml:space="preserve"> and a subset of the assessments, will take approximately 55 minutes, 20 of which will be for the student survey portion.</w:t>
      </w:r>
    </w:p>
    <w:p w14:paraId="0D548887" w14:textId="77777777" w:rsidR="004E042D" w:rsidRDefault="004E042D" w:rsidP="004E042D">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r>
        <w:rPr>
          <w:rFonts w:ascii="Cambria" w:hAnsi="Cambria"/>
        </w:rPr>
        <w:t xml:space="preserve"> and will be offered in both English and Spanish</w:t>
      </w:r>
      <w:r w:rsidRPr="00BA441F">
        <w:rPr>
          <w:rFonts w:ascii="Cambria" w:hAnsi="Cambria"/>
        </w:rPr>
        <w:t>.</w:t>
      </w:r>
    </w:p>
    <w:p w14:paraId="7F066C05" w14:textId="77777777" w:rsidR="004E042D" w:rsidRDefault="004E042D" w:rsidP="004E042D">
      <w:pPr>
        <w:pStyle w:val="ListParagraph"/>
        <w:widowControl w:val="0"/>
        <w:numPr>
          <w:ilvl w:val="1"/>
          <w:numId w:val="18"/>
        </w:numPr>
        <w:spacing w:after="60" w:line="240" w:lineRule="auto"/>
        <w:ind w:left="273" w:hanging="187"/>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 xml:space="preserve">will complete a teacher survey that includes three levels of information: teacher level, class level, and student level. The teacher-level and class-level questions are expected to take on average approximately 20 minutes to complete. The teacher will be asked to complete a teacher student record for each sampled student in their class, which is expected to take approximately 10 minutes per student to complete. </w:t>
      </w:r>
      <w:r w:rsidRPr="00EC437B">
        <w:rPr>
          <w:rFonts w:ascii="Cambria" w:hAnsi="Cambria"/>
        </w:rPr>
        <w:t>The teacher-level survey burd</w:t>
      </w:r>
      <w:r>
        <w:rPr>
          <w:rFonts w:ascii="Cambria" w:hAnsi="Cambria"/>
        </w:rPr>
        <w:t xml:space="preserve">en estimates (including class-level information) assume on average 4 sixth-grade </w:t>
      </w:r>
      <w:r w:rsidRPr="00EC437B">
        <w:rPr>
          <w:rFonts w:ascii="Cambria" w:hAnsi="Cambria"/>
        </w:rPr>
        <w:t xml:space="preserve">math </w:t>
      </w:r>
      <w:r>
        <w:rPr>
          <w:rFonts w:ascii="Cambria" w:hAnsi="Cambria"/>
        </w:rPr>
        <w:t>teachers</w:t>
      </w:r>
      <w:r w:rsidRPr="00EC437B">
        <w:rPr>
          <w:rFonts w:ascii="Cambria" w:hAnsi="Cambria"/>
        </w:rPr>
        <w:t xml:space="preserve"> per school</w:t>
      </w:r>
      <w:r>
        <w:rPr>
          <w:rFonts w:ascii="Cambria" w:hAnsi="Cambria"/>
        </w:rPr>
        <w:t xml:space="preserve"> (with an average of approximately 8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in MS1</w:t>
      </w:r>
      <w:r w:rsidRPr="00EC437B">
        <w:rPr>
          <w:rFonts w:ascii="Cambria" w:hAnsi="Cambria"/>
        </w:rPr>
        <w:t xml:space="preserve">, this means approximately </w:t>
      </w:r>
      <w:r>
        <w:rPr>
          <w:rFonts w:ascii="Cambria" w:hAnsi="Cambria"/>
        </w:rPr>
        <w:t>3,600</w:t>
      </w:r>
      <w:r w:rsidRPr="00EC437B">
        <w:rPr>
          <w:rFonts w:ascii="Cambria" w:hAnsi="Cambria"/>
        </w:rPr>
        <w:t xml:space="preserve"> mathematics teachers.</w:t>
      </w:r>
    </w:p>
    <w:p w14:paraId="346AF8DF" w14:textId="77777777" w:rsidR="004E042D" w:rsidRPr="00EC437B" w:rsidRDefault="004E042D" w:rsidP="004E042D">
      <w:pPr>
        <w:pStyle w:val="ListParagraph"/>
        <w:widowControl w:val="0"/>
        <w:numPr>
          <w:ilvl w:val="1"/>
          <w:numId w:val="18"/>
        </w:numPr>
        <w:spacing w:after="60" w:line="240" w:lineRule="auto"/>
        <w:ind w:left="273" w:hanging="187"/>
        <w:contextualSpacing w:val="0"/>
        <w:rPr>
          <w:rFonts w:ascii="Cambria" w:hAnsi="Cambria"/>
        </w:rPr>
      </w:pPr>
      <w:r>
        <w:rPr>
          <w:rFonts w:ascii="Cambria" w:hAnsi="Cambria"/>
        </w:rPr>
        <w:t xml:space="preserve">The special education teacher/service-provider will complete a teacher survey that includes two levels of information: teacher level and student level. The teacher-level portion is expected to take approximately 10 minutes to complete. The special education teacher/service-provider will also be asked to complete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 xml:space="preserve">teacher-level survey burden estimates assume on average </w:t>
      </w:r>
      <w:r>
        <w:rPr>
          <w:rFonts w:ascii="Cambria" w:hAnsi="Cambria"/>
        </w:rPr>
        <w:t>2.25</w:t>
      </w:r>
      <w:r w:rsidRPr="00EC437B">
        <w:rPr>
          <w:rFonts w:ascii="Cambria" w:hAnsi="Cambria"/>
        </w:rPr>
        <w:t xml:space="preserve"> special education teacher</w:t>
      </w:r>
      <w:r>
        <w:rPr>
          <w:rFonts w:ascii="Cambria" w:hAnsi="Cambria"/>
        </w:rPr>
        <w:t>s</w:t>
      </w:r>
      <w:r w:rsidRPr="00EC437B">
        <w:rPr>
          <w:rFonts w:ascii="Cambria" w:hAnsi="Cambria"/>
        </w:rPr>
        <w:t xml:space="preserve"> per school</w:t>
      </w:r>
      <w:r>
        <w:rPr>
          <w:rFonts w:ascii="Cambria" w:hAnsi="Cambria"/>
        </w:rPr>
        <w:t xml:space="preserve"> (with an average of roughly 5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in MS1</w:t>
      </w:r>
      <w:r w:rsidRPr="00EC437B">
        <w:rPr>
          <w:rFonts w:ascii="Cambria" w:hAnsi="Cambria"/>
        </w:rPr>
        <w:t xml:space="preserve">, this means approximately </w:t>
      </w:r>
      <w:r>
        <w:rPr>
          <w:rFonts w:ascii="Cambria" w:hAnsi="Cambria"/>
        </w:rPr>
        <w:t>2,025</w:t>
      </w:r>
      <w:r w:rsidRPr="00EC437B">
        <w:rPr>
          <w:rFonts w:ascii="Cambria" w:hAnsi="Cambria"/>
        </w:rPr>
        <w:t xml:space="preserve"> </w:t>
      </w:r>
      <w:r>
        <w:rPr>
          <w:rFonts w:ascii="Cambria" w:hAnsi="Cambria"/>
        </w:rPr>
        <w:t>s</w:t>
      </w:r>
      <w:r w:rsidRPr="00EC437B">
        <w:rPr>
          <w:rFonts w:ascii="Cambria" w:hAnsi="Cambria"/>
        </w:rPr>
        <w:t xml:space="preserve">pecial </w:t>
      </w:r>
      <w:r>
        <w:rPr>
          <w:rFonts w:ascii="Cambria" w:hAnsi="Cambria"/>
        </w:rPr>
        <w:t>e</w:t>
      </w:r>
      <w:r w:rsidRPr="00EC437B">
        <w:rPr>
          <w:rFonts w:ascii="Cambria" w:hAnsi="Cambria"/>
        </w:rPr>
        <w:t xml:space="preserve">ducation </w:t>
      </w:r>
      <w:r>
        <w:rPr>
          <w:rFonts w:ascii="Cambria" w:hAnsi="Cambria"/>
        </w:rPr>
        <w:t>t</w:t>
      </w:r>
      <w:r w:rsidRPr="00EC437B">
        <w:rPr>
          <w:rFonts w:ascii="Cambria" w:hAnsi="Cambria"/>
        </w:rPr>
        <w:t>eachers.</w:t>
      </w:r>
    </w:p>
    <w:p w14:paraId="06DA6300" w14:textId="77777777" w:rsidR="004E042D" w:rsidRPr="00BA441F" w:rsidRDefault="004E042D" w:rsidP="004E042D">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3149E44" w14:textId="77777777" w:rsidR="004E042D" w:rsidRDefault="004E042D" w:rsidP="004E042D">
      <w:pPr>
        <w:pStyle w:val="ListParagraph"/>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49085112" w14:textId="77777777" w:rsidR="004E042D" w:rsidRDefault="004E042D" w:rsidP="004E042D">
      <w:pPr>
        <w:spacing w:after="120" w:line="240" w:lineRule="auto"/>
        <w:rPr>
          <w:rFonts w:ascii="Cambria" w:hAnsi="Cambria"/>
        </w:rPr>
      </w:pPr>
      <w:r w:rsidRPr="000D698F">
        <w:rPr>
          <w:rFonts w:ascii="Cambria" w:hAnsi="Cambria"/>
        </w:rPr>
        <w:t xml:space="preserve">The </w:t>
      </w:r>
      <w:r>
        <w:rPr>
          <w:rFonts w:ascii="Cambria" w:hAnsi="Cambria"/>
          <w:u w:val="single"/>
        </w:rPr>
        <w:t xml:space="preserve">MS2 </w:t>
      </w:r>
      <w:r w:rsidRPr="000D698F">
        <w:rPr>
          <w:rFonts w:ascii="Cambria" w:hAnsi="Cambria"/>
          <w:u w:val="single"/>
        </w:rPr>
        <w:t>Tracking</w:t>
      </w:r>
      <w:r>
        <w:rPr>
          <w:rFonts w:ascii="Cambria" w:hAnsi="Cambria"/>
          <w:u w:val="single"/>
        </w:rPr>
        <w:t>/Recruitment</w:t>
      </w:r>
      <w:r w:rsidRPr="000D698F">
        <w:rPr>
          <w:rFonts w:ascii="Cambria" w:hAnsi="Cambria"/>
        </w:rPr>
        <w:t xml:space="preserve"> portion of table </w:t>
      </w:r>
      <w:r>
        <w:rPr>
          <w:rFonts w:ascii="Cambria" w:hAnsi="Cambria"/>
        </w:rPr>
        <w:t>6</w:t>
      </w:r>
      <w:r w:rsidRPr="000D698F">
        <w:rPr>
          <w:rFonts w:ascii="Cambria" w:hAnsi="Cambria"/>
        </w:rPr>
        <w:t xml:space="preserve"> shows the expected burden for </w:t>
      </w:r>
      <w:r>
        <w:rPr>
          <w:rFonts w:ascii="Cambria" w:hAnsi="Cambria"/>
        </w:rPr>
        <w:t>MS2</w:t>
      </w:r>
      <w:r w:rsidRPr="000D698F">
        <w:rPr>
          <w:rFonts w:ascii="Cambria" w:hAnsi="Cambria"/>
        </w:rPr>
        <w:t xml:space="preserve"> enrollment status and tracking activities. The estimates of response burden for these proposed activities are based on tracking experiences in HSLS:09.</w:t>
      </w:r>
      <w:r>
        <w:rPr>
          <w:rFonts w:ascii="Cambria" w:hAnsi="Cambria"/>
        </w:rPr>
        <w:t xml:space="preserve"> </w:t>
      </w:r>
      <w:r w:rsidRPr="00C24BE6">
        <w:rPr>
          <w:rFonts w:ascii="Cambria" w:hAnsi="Cambria"/>
        </w:rPr>
        <w:t xml:space="preserve">As discussed in Part B, we anticipate </w:t>
      </w:r>
      <w:r>
        <w:rPr>
          <w:rFonts w:ascii="Cambria" w:hAnsi="Cambria"/>
        </w:rPr>
        <w:t>contacting ‒</w:t>
      </w:r>
    </w:p>
    <w:p w14:paraId="5F1B0C7C" w14:textId="77777777" w:rsidR="004E042D" w:rsidRDefault="004E042D" w:rsidP="004E042D">
      <w:pPr>
        <w:pStyle w:val="ListParagraph"/>
        <w:numPr>
          <w:ilvl w:val="0"/>
          <w:numId w:val="35"/>
        </w:numPr>
        <w:spacing w:after="60" w:line="240" w:lineRule="auto"/>
        <w:ind w:left="270" w:hanging="180"/>
        <w:contextualSpacing w:val="0"/>
        <w:rPr>
          <w:rFonts w:ascii="Cambria" w:hAnsi="Cambria"/>
        </w:rPr>
      </w:pPr>
      <w:r>
        <w:rPr>
          <w:rFonts w:ascii="Cambria" w:hAnsi="Cambria"/>
        </w:rPr>
        <w:t>A</w:t>
      </w:r>
      <w:r w:rsidRPr="00C24BE6">
        <w:rPr>
          <w:rFonts w:ascii="Cambria" w:hAnsi="Cambria"/>
        </w:rPr>
        <w:t xml:space="preserve">ll of the (approximately 900) </w:t>
      </w:r>
      <w:r>
        <w:rPr>
          <w:rFonts w:ascii="Cambria" w:hAnsi="Cambria"/>
        </w:rPr>
        <w:t>MS1 participating schools.</w:t>
      </w:r>
    </w:p>
    <w:p w14:paraId="2BBAE5F0" w14:textId="77777777" w:rsidR="004E042D" w:rsidRDefault="004E042D" w:rsidP="004E042D">
      <w:pPr>
        <w:pStyle w:val="ListParagraph"/>
        <w:numPr>
          <w:ilvl w:val="0"/>
          <w:numId w:val="35"/>
        </w:numPr>
        <w:spacing w:after="60" w:line="240" w:lineRule="auto"/>
        <w:ind w:left="270" w:hanging="180"/>
        <w:contextualSpacing w:val="0"/>
        <w:rPr>
          <w:rFonts w:ascii="Cambria" w:hAnsi="Cambria"/>
        </w:rPr>
      </w:pPr>
      <w:r>
        <w:rPr>
          <w:rFonts w:ascii="Cambria" w:hAnsi="Cambria"/>
        </w:rPr>
        <w:t>T</w:t>
      </w:r>
      <w:r w:rsidRPr="00C24BE6">
        <w:rPr>
          <w:rFonts w:ascii="Cambria" w:hAnsi="Cambria"/>
        </w:rPr>
        <w:t xml:space="preserve">he parents of the </w:t>
      </w:r>
      <w:r>
        <w:rPr>
          <w:rFonts w:ascii="Cambria" w:hAnsi="Cambria"/>
        </w:rPr>
        <w:t xml:space="preserve">MS1 </w:t>
      </w:r>
      <w:r w:rsidRPr="00C24BE6">
        <w:rPr>
          <w:rFonts w:ascii="Cambria" w:hAnsi="Cambria"/>
        </w:rPr>
        <w:t>eligible students (estimated 25,317, which assumes 97 percent eligibility a</w:t>
      </w:r>
      <w:r>
        <w:rPr>
          <w:rFonts w:ascii="Cambria" w:hAnsi="Cambria"/>
        </w:rPr>
        <w:t>mong</w:t>
      </w:r>
      <w:r w:rsidRPr="00C24BE6">
        <w:rPr>
          <w:rFonts w:ascii="Cambria" w:hAnsi="Cambria"/>
        </w:rPr>
        <w:t xml:space="preserve"> the 26,100 sampled, table B.4).</w:t>
      </w:r>
    </w:p>
    <w:p w14:paraId="3C13E973" w14:textId="77777777" w:rsidR="004E042D" w:rsidRPr="00C24BE6" w:rsidRDefault="004E042D" w:rsidP="004E042D">
      <w:pPr>
        <w:pStyle w:val="ListParagraph"/>
        <w:numPr>
          <w:ilvl w:val="0"/>
          <w:numId w:val="37"/>
        </w:numPr>
        <w:spacing w:after="120" w:line="240" w:lineRule="auto"/>
        <w:ind w:left="273" w:hanging="187"/>
        <w:contextualSpacing w:val="0"/>
        <w:rPr>
          <w:rFonts w:ascii="Cambria" w:hAnsi="Cambria"/>
        </w:rPr>
      </w:pPr>
      <w:r>
        <w:rPr>
          <w:rFonts w:ascii="Cambria" w:hAnsi="Cambria"/>
        </w:rPr>
        <w:t>A</w:t>
      </w:r>
      <w:r w:rsidRPr="00C24BE6">
        <w:rPr>
          <w:rFonts w:ascii="Cambria" w:hAnsi="Cambria"/>
        </w:rPr>
        <w:t>n estimated 450 schools to which students have moved (“mover schools”) for enrollment status update activities.</w:t>
      </w:r>
    </w:p>
    <w:p w14:paraId="62EFC2A2" w14:textId="77777777" w:rsidR="004E042D" w:rsidRDefault="004E042D" w:rsidP="004E042D">
      <w:pPr>
        <w:widowControl w:val="0"/>
        <w:spacing w:after="120" w:line="240" w:lineRule="auto"/>
        <w:rPr>
          <w:rFonts w:ascii="Cambria" w:hAnsi="Cambria"/>
        </w:rPr>
      </w:pPr>
      <w:r w:rsidRPr="00C24BE6">
        <w:rPr>
          <w:rFonts w:ascii="Cambria" w:hAnsi="Cambria"/>
        </w:rPr>
        <w:t xml:space="preserve">We estimate </w:t>
      </w:r>
      <w:r>
        <w:rPr>
          <w:rFonts w:ascii="Cambria" w:hAnsi="Cambria"/>
        </w:rPr>
        <w:t xml:space="preserve">that it will take </w:t>
      </w:r>
      <w:r w:rsidRPr="00C24BE6">
        <w:rPr>
          <w:rFonts w:ascii="Cambria" w:hAnsi="Cambria"/>
        </w:rPr>
        <w:t>20 minutes on average for school staff to provide enrollment status of sampled students</w:t>
      </w:r>
      <w:r>
        <w:rPr>
          <w:rFonts w:ascii="Cambria" w:hAnsi="Cambria"/>
        </w:rPr>
        <w:t xml:space="preserve">, and </w:t>
      </w:r>
      <w:r w:rsidRPr="00C24BE6">
        <w:rPr>
          <w:rFonts w:ascii="Cambria" w:hAnsi="Cambria"/>
        </w:rPr>
        <w:t>5 minutes on average for parents to provide updated contact information</w:t>
      </w:r>
      <w:r>
        <w:rPr>
          <w:rFonts w:ascii="Cambria" w:hAnsi="Cambria"/>
        </w:rPr>
        <w:t xml:space="preserve">. We project that approximately </w:t>
      </w:r>
      <w:r w:rsidRPr="00C24BE6">
        <w:rPr>
          <w:rFonts w:ascii="Cambria" w:hAnsi="Cambria"/>
        </w:rPr>
        <w:t>95 percent of schools will provide enrollment status</w:t>
      </w:r>
      <w:r>
        <w:rPr>
          <w:rFonts w:ascii="Cambria" w:hAnsi="Cambria"/>
        </w:rPr>
        <w:t>,</w:t>
      </w:r>
      <w:r w:rsidRPr="00C24BE6">
        <w:rPr>
          <w:rFonts w:ascii="Cambria" w:hAnsi="Cambria"/>
        </w:rPr>
        <w:t xml:space="preserve"> and</w:t>
      </w:r>
      <w:r>
        <w:rPr>
          <w:rFonts w:ascii="Cambria" w:hAnsi="Cambria"/>
        </w:rPr>
        <w:t xml:space="preserve"> </w:t>
      </w:r>
      <w:r w:rsidRPr="00C24BE6">
        <w:rPr>
          <w:rFonts w:ascii="Cambria" w:hAnsi="Cambria"/>
        </w:rPr>
        <w:t>20 percent of parents will provide updated contact information.</w:t>
      </w:r>
    </w:p>
    <w:p w14:paraId="230AA33C" w14:textId="77777777" w:rsidR="004E042D" w:rsidRDefault="004E042D" w:rsidP="00B55508">
      <w:pPr>
        <w:widowControl w:val="0"/>
        <w:spacing w:after="120" w:line="240" w:lineRule="auto"/>
        <w:rPr>
          <w:rFonts w:ascii="Cambria" w:hAnsi="Cambria"/>
        </w:rPr>
      </w:pPr>
      <w:r w:rsidRPr="002B0748">
        <w:rPr>
          <w:rFonts w:ascii="Cambria" w:hAnsi="Cambria"/>
          <w:b/>
          <w:u w:val="single"/>
        </w:rPr>
        <w:t>Operational Field Test</w:t>
      </w:r>
      <w:r>
        <w:rPr>
          <w:rFonts w:ascii="Cambria" w:hAnsi="Cambria"/>
          <w:b/>
          <w:u w:val="single"/>
        </w:rPr>
        <w:t xml:space="preserve"> First Follow-up (OFT2)</w:t>
      </w:r>
      <w:r w:rsidRPr="002B0748">
        <w:rPr>
          <w:rFonts w:ascii="Cambria" w:hAnsi="Cambria"/>
          <w:b/>
          <w:u w:val="single"/>
        </w:rPr>
        <w:t>:</w:t>
      </w:r>
      <w:r>
        <w:rPr>
          <w:rFonts w:ascii="Cambria" w:hAnsi="Cambria"/>
          <w:u w:val="single"/>
        </w:rPr>
        <w:t xml:space="preserve"> </w:t>
      </w:r>
      <w:r>
        <w:rPr>
          <w:rFonts w:ascii="Cambria" w:hAnsi="Cambria"/>
        </w:rPr>
        <w:t xml:space="preserve">The </w:t>
      </w:r>
      <w:r w:rsidRPr="001F4AF7">
        <w:rPr>
          <w:rFonts w:ascii="Cambria" w:hAnsi="Cambria"/>
          <w:u w:val="single"/>
        </w:rPr>
        <w:t>OFT</w:t>
      </w:r>
      <w:r>
        <w:rPr>
          <w:rFonts w:ascii="Cambria" w:hAnsi="Cambria"/>
          <w:u w:val="single"/>
        </w:rPr>
        <w:t>2</w:t>
      </w:r>
      <w:r w:rsidRPr="001F4AF7">
        <w:rPr>
          <w:rFonts w:ascii="Cambria" w:hAnsi="Cambria"/>
          <w:u w:val="single"/>
        </w:rPr>
        <w:t xml:space="preserve"> Tracking</w:t>
      </w:r>
      <w:r w:rsidRPr="00D21FEA">
        <w:rPr>
          <w:rFonts w:ascii="Cambria" w:hAnsi="Cambria"/>
          <w:u w:val="single"/>
        </w:rPr>
        <w:t>/Recruitment</w:t>
      </w:r>
      <w:r w:rsidRPr="001F4AF7">
        <w:rPr>
          <w:rFonts w:ascii="Cambria" w:hAnsi="Cambria"/>
        </w:rPr>
        <w:t xml:space="preserve"> </w:t>
      </w:r>
      <w:r>
        <w:rPr>
          <w:rFonts w:ascii="Cambria" w:hAnsi="Cambria"/>
        </w:rPr>
        <w:t>portion of t</w:t>
      </w:r>
      <w:r w:rsidRPr="001F4AF7">
        <w:rPr>
          <w:rFonts w:ascii="Cambria" w:hAnsi="Cambria"/>
        </w:rPr>
        <w:t xml:space="preserve">able </w:t>
      </w:r>
      <w:r>
        <w:rPr>
          <w:rFonts w:ascii="Cambria" w:hAnsi="Cambria"/>
        </w:rPr>
        <w:t>6</w:t>
      </w:r>
      <w:r w:rsidRPr="001F4AF7">
        <w:rPr>
          <w:rFonts w:ascii="Cambria" w:hAnsi="Cambria"/>
        </w:rPr>
        <w:t xml:space="preserve"> shows the expected burden for the OFT</w:t>
      </w:r>
      <w:r>
        <w:rPr>
          <w:rFonts w:ascii="Cambria" w:hAnsi="Cambria"/>
        </w:rPr>
        <w:t>2</w:t>
      </w:r>
      <w:r w:rsidRPr="001F4AF7">
        <w:rPr>
          <w:rFonts w:ascii="Cambria" w:hAnsi="Cambria"/>
        </w:rPr>
        <w:t xml:space="preserve"> enrollment status and tracking</w:t>
      </w:r>
      <w:r>
        <w:rPr>
          <w:rFonts w:ascii="Cambria" w:hAnsi="Cambria"/>
        </w:rPr>
        <w:t>/recruitment</w:t>
      </w:r>
      <w:r w:rsidRPr="001F4AF7">
        <w:rPr>
          <w:rFonts w:ascii="Cambria" w:hAnsi="Cambria"/>
        </w:rPr>
        <w:t xml:space="preserve"> activities. The estimates of response burden for these proposed activities are based on </w:t>
      </w:r>
      <w:r>
        <w:rPr>
          <w:rFonts w:ascii="Cambria" w:hAnsi="Cambria"/>
        </w:rPr>
        <w:t>tracking</w:t>
      </w:r>
      <w:r w:rsidRPr="001F4AF7">
        <w:rPr>
          <w:rFonts w:ascii="Cambria" w:hAnsi="Cambria"/>
        </w:rPr>
        <w:t xml:space="preserve"> experience</w:t>
      </w:r>
      <w:r>
        <w:rPr>
          <w:rFonts w:ascii="Cambria" w:hAnsi="Cambria"/>
        </w:rPr>
        <w:t>s</w:t>
      </w:r>
      <w:r w:rsidRPr="001F4AF7">
        <w:rPr>
          <w:rFonts w:ascii="Cambria" w:hAnsi="Cambria"/>
        </w:rPr>
        <w:t xml:space="preserve"> </w:t>
      </w:r>
      <w:r>
        <w:rPr>
          <w:rFonts w:ascii="Cambria" w:hAnsi="Cambria"/>
        </w:rPr>
        <w:t>in</w:t>
      </w:r>
      <w:r w:rsidRPr="001F4AF7">
        <w:rPr>
          <w:rFonts w:ascii="Cambria" w:hAnsi="Cambria"/>
        </w:rPr>
        <w:t xml:space="preserve"> HSLS:09.</w:t>
      </w:r>
      <w:r>
        <w:rPr>
          <w:rFonts w:ascii="Cambria" w:hAnsi="Cambria"/>
        </w:rPr>
        <w:t xml:space="preserve"> </w:t>
      </w:r>
      <w:r w:rsidRPr="001F4AF7">
        <w:rPr>
          <w:rFonts w:ascii="Cambria" w:hAnsi="Cambria"/>
        </w:rPr>
        <w:t xml:space="preserve">As </w:t>
      </w:r>
      <w:r>
        <w:rPr>
          <w:rFonts w:ascii="Cambria" w:hAnsi="Cambria"/>
        </w:rPr>
        <w:t>discussed</w:t>
      </w:r>
      <w:r w:rsidRPr="001F4AF7">
        <w:rPr>
          <w:rFonts w:ascii="Cambria" w:hAnsi="Cambria"/>
        </w:rPr>
        <w:t xml:space="preserve"> in Part B, we anticipate </w:t>
      </w:r>
      <w:r>
        <w:rPr>
          <w:rFonts w:ascii="Cambria" w:hAnsi="Cambria"/>
        </w:rPr>
        <w:t>contacting ‒</w:t>
      </w:r>
    </w:p>
    <w:p w14:paraId="6A24FB3A" w14:textId="77777777" w:rsidR="004E042D" w:rsidRDefault="004E042D" w:rsidP="004E042D">
      <w:pPr>
        <w:pStyle w:val="ListParagraph"/>
        <w:numPr>
          <w:ilvl w:val="0"/>
          <w:numId w:val="38"/>
        </w:numPr>
        <w:spacing w:after="60" w:line="240" w:lineRule="auto"/>
        <w:ind w:left="270" w:hanging="180"/>
        <w:contextualSpacing w:val="0"/>
        <w:rPr>
          <w:rFonts w:ascii="Cambria" w:hAnsi="Cambria"/>
        </w:rPr>
      </w:pPr>
      <w:r>
        <w:rPr>
          <w:rFonts w:ascii="Cambria" w:hAnsi="Cambria"/>
        </w:rPr>
        <w:t>A</w:t>
      </w:r>
      <w:r w:rsidRPr="00966CA6">
        <w:rPr>
          <w:rFonts w:ascii="Cambria" w:hAnsi="Cambria"/>
        </w:rPr>
        <w:t xml:space="preserve">ll of the </w:t>
      </w:r>
      <w:r>
        <w:rPr>
          <w:rFonts w:ascii="Cambria" w:hAnsi="Cambria"/>
        </w:rPr>
        <w:t>45</w:t>
      </w:r>
      <w:r w:rsidRPr="00966CA6">
        <w:rPr>
          <w:rFonts w:ascii="Cambria" w:hAnsi="Cambria"/>
        </w:rPr>
        <w:t xml:space="preserve"> OFT</w:t>
      </w:r>
      <w:r>
        <w:rPr>
          <w:rFonts w:ascii="Cambria" w:hAnsi="Cambria"/>
        </w:rPr>
        <w:t>1</w:t>
      </w:r>
      <w:r w:rsidRPr="00966CA6">
        <w:rPr>
          <w:rFonts w:ascii="Cambria" w:hAnsi="Cambria"/>
        </w:rPr>
        <w:t xml:space="preserve"> </w:t>
      </w:r>
      <w:r>
        <w:rPr>
          <w:rFonts w:ascii="Cambria" w:hAnsi="Cambria"/>
        </w:rPr>
        <w:t>participating schools.</w:t>
      </w:r>
    </w:p>
    <w:p w14:paraId="27C6D662" w14:textId="77777777" w:rsidR="004E042D" w:rsidRDefault="004E042D" w:rsidP="004D1DE4">
      <w:pPr>
        <w:pStyle w:val="ListParagraph"/>
        <w:widowControl w:val="0"/>
        <w:numPr>
          <w:ilvl w:val="0"/>
          <w:numId w:val="38"/>
        </w:numPr>
        <w:spacing w:after="60" w:line="240" w:lineRule="auto"/>
        <w:ind w:left="273" w:hanging="187"/>
        <w:contextualSpacing w:val="0"/>
        <w:rPr>
          <w:rFonts w:ascii="Cambria" w:hAnsi="Cambria"/>
        </w:rPr>
      </w:pPr>
      <w:r>
        <w:rPr>
          <w:rFonts w:ascii="Cambria" w:hAnsi="Cambria"/>
        </w:rPr>
        <w:t>T</w:t>
      </w:r>
      <w:r w:rsidRPr="00966CA6">
        <w:rPr>
          <w:rFonts w:ascii="Cambria" w:hAnsi="Cambria"/>
        </w:rPr>
        <w:t xml:space="preserve">he parents of </w:t>
      </w:r>
      <w:r>
        <w:rPr>
          <w:rFonts w:ascii="Cambria" w:hAnsi="Cambria"/>
        </w:rPr>
        <w:t>approximately 1,120 of the</w:t>
      </w:r>
      <w:r w:rsidRPr="00966CA6">
        <w:rPr>
          <w:rFonts w:ascii="Cambria" w:hAnsi="Cambria"/>
        </w:rPr>
        <w:t xml:space="preserve"> OFT</w:t>
      </w:r>
      <w:r>
        <w:rPr>
          <w:rFonts w:ascii="Cambria" w:hAnsi="Cambria"/>
        </w:rPr>
        <w:t>1</w:t>
      </w:r>
      <w:r w:rsidRPr="00966CA6">
        <w:rPr>
          <w:rFonts w:ascii="Cambria" w:hAnsi="Cambria"/>
        </w:rPr>
        <w:t xml:space="preserve"> participating students</w:t>
      </w:r>
      <w:r>
        <w:rPr>
          <w:rFonts w:ascii="Cambria" w:hAnsi="Cambria"/>
        </w:rPr>
        <w:t xml:space="preserve"> (1,294 students participated in OFT1 but for cost reasons some will not be followed; thus a subset of the OFT1 participating students that move to new schools will be included in OFT2.)</w:t>
      </w:r>
    </w:p>
    <w:p w14:paraId="121B402D" w14:textId="77777777" w:rsidR="004E042D" w:rsidRPr="00966CA6" w:rsidRDefault="004E042D" w:rsidP="004E042D">
      <w:pPr>
        <w:pStyle w:val="ListParagraph"/>
        <w:numPr>
          <w:ilvl w:val="0"/>
          <w:numId w:val="39"/>
        </w:numPr>
        <w:spacing w:after="120" w:line="240" w:lineRule="auto"/>
        <w:ind w:left="273" w:hanging="187"/>
        <w:contextualSpacing w:val="0"/>
        <w:rPr>
          <w:rFonts w:ascii="Cambria" w:hAnsi="Cambria"/>
        </w:rPr>
      </w:pPr>
      <w:r>
        <w:rPr>
          <w:rFonts w:ascii="Cambria" w:hAnsi="Cambria"/>
        </w:rPr>
        <w:t>An estimated 30</w:t>
      </w:r>
      <w:r w:rsidRPr="00966CA6">
        <w:rPr>
          <w:rFonts w:ascii="Cambria" w:hAnsi="Cambria"/>
        </w:rPr>
        <w:t xml:space="preserve"> schools to which students have moved (“mover schools”) for OFT2 enrollment status update activities.</w:t>
      </w:r>
    </w:p>
    <w:p w14:paraId="3A79B845" w14:textId="77777777" w:rsidR="004E042D" w:rsidRPr="00966CA6" w:rsidRDefault="004E042D" w:rsidP="004E042D">
      <w:pPr>
        <w:widowControl w:val="0"/>
        <w:spacing w:after="120" w:line="240" w:lineRule="auto"/>
        <w:rPr>
          <w:rFonts w:ascii="Cambria" w:hAnsi="Cambria"/>
        </w:rPr>
      </w:pPr>
      <w:r w:rsidRPr="001F4AF7">
        <w:rPr>
          <w:rFonts w:ascii="Cambria" w:hAnsi="Cambria"/>
        </w:rPr>
        <w:t>We estimate that it will take</w:t>
      </w:r>
      <w:r>
        <w:rPr>
          <w:rFonts w:ascii="Cambria" w:hAnsi="Cambria"/>
        </w:rPr>
        <w:t xml:space="preserve"> </w:t>
      </w:r>
      <w:r w:rsidRPr="00966CA6">
        <w:rPr>
          <w:rFonts w:ascii="Cambria" w:hAnsi="Cambria"/>
        </w:rPr>
        <w:t>20 minutes on average for school staff to provide enrollment status of sampled students and</w:t>
      </w:r>
      <w:r>
        <w:rPr>
          <w:rFonts w:ascii="Cambria" w:hAnsi="Cambria"/>
        </w:rPr>
        <w:t xml:space="preserve"> </w:t>
      </w:r>
      <w:r w:rsidRPr="00966CA6">
        <w:rPr>
          <w:rFonts w:ascii="Cambria" w:hAnsi="Cambria"/>
        </w:rPr>
        <w:t>5 minutes on average for parents to provide updated contact information.</w:t>
      </w:r>
      <w:r>
        <w:rPr>
          <w:rFonts w:ascii="Cambria" w:hAnsi="Cambria"/>
        </w:rPr>
        <w:t xml:space="preserve"> </w:t>
      </w:r>
      <w:r w:rsidRPr="001F4AF7">
        <w:rPr>
          <w:rFonts w:ascii="Cambria" w:hAnsi="Cambria"/>
        </w:rPr>
        <w:t>We project that approximately</w:t>
      </w:r>
      <w:r>
        <w:rPr>
          <w:rFonts w:ascii="Cambria" w:hAnsi="Cambria"/>
        </w:rPr>
        <w:t xml:space="preserve"> </w:t>
      </w:r>
      <w:r w:rsidRPr="00966CA6">
        <w:rPr>
          <w:rFonts w:ascii="Cambria" w:hAnsi="Cambria"/>
        </w:rPr>
        <w:t>95 percent of schools will provide enrollment status and</w:t>
      </w:r>
      <w:r>
        <w:rPr>
          <w:rFonts w:ascii="Cambria" w:hAnsi="Cambria"/>
        </w:rPr>
        <w:t xml:space="preserve"> </w:t>
      </w:r>
      <w:r w:rsidRPr="00966CA6">
        <w:rPr>
          <w:rFonts w:ascii="Cambria" w:hAnsi="Cambria"/>
        </w:rPr>
        <w:t>20 percent of parents will provide updated contact information.</w:t>
      </w:r>
    </w:p>
    <w:p w14:paraId="6A9EF233" w14:textId="77777777" w:rsidR="004E042D" w:rsidRPr="00BA441F" w:rsidRDefault="004E042D" w:rsidP="004E042D">
      <w:pPr>
        <w:spacing w:after="120" w:line="240" w:lineRule="auto"/>
        <w:rPr>
          <w:rFonts w:ascii="Cambria" w:hAnsi="Cambria"/>
        </w:rPr>
      </w:pPr>
      <w:r w:rsidRPr="00561F12">
        <w:rPr>
          <w:rFonts w:ascii="Cambria" w:hAnsi="Cambria"/>
        </w:rPr>
        <w:t xml:space="preserve">The </w:t>
      </w:r>
      <w:r w:rsidRPr="00004272">
        <w:rPr>
          <w:rFonts w:ascii="Cambria" w:hAnsi="Cambria"/>
          <w:u w:val="single"/>
        </w:rPr>
        <w:t>OFT</w:t>
      </w:r>
      <w:r>
        <w:rPr>
          <w:rFonts w:ascii="Cambria" w:hAnsi="Cambria"/>
          <w:u w:val="single"/>
        </w:rPr>
        <w:t>2</w:t>
      </w:r>
      <w:r w:rsidRPr="00004272">
        <w:rPr>
          <w:rFonts w:ascii="Cambria" w:hAnsi="Cambria"/>
          <w:u w:val="single"/>
        </w:rPr>
        <w:t xml:space="preserve"> Data Collection</w:t>
      </w:r>
      <w:r w:rsidRPr="00561F12">
        <w:rPr>
          <w:rFonts w:ascii="Cambria" w:hAnsi="Cambria"/>
        </w:rPr>
        <w:t xml:space="preserve"> portion of </w:t>
      </w:r>
      <w:r>
        <w:rPr>
          <w:rFonts w:ascii="Cambria" w:hAnsi="Cambria"/>
        </w:rPr>
        <w:t>t</w:t>
      </w:r>
      <w:r w:rsidRPr="00561F12">
        <w:rPr>
          <w:rFonts w:ascii="Cambria" w:hAnsi="Cambria"/>
        </w:rPr>
        <w:t xml:space="preserve">able </w:t>
      </w:r>
      <w:r>
        <w:rPr>
          <w:rFonts w:ascii="Cambria" w:hAnsi="Cambria"/>
        </w:rPr>
        <w:t>6</w:t>
      </w:r>
      <w:r w:rsidRPr="00BA441F">
        <w:rPr>
          <w:rFonts w:ascii="Cambria" w:hAnsi="Cambria"/>
        </w:rPr>
        <w:t xml:space="preserve"> shows the expected burden for the OFT</w:t>
      </w:r>
      <w:r>
        <w:rPr>
          <w:rFonts w:ascii="Cambria" w:hAnsi="Cambria"/>
        </w:rPr>
        <w:t>2</w:t>
      </w:r>
      <w:r w:rsidRPr="00BA441F">
        <w:rPr>
          <w:rFonts w:ascii="Cambria" w:hAnsi="Cambria"/>
        </w:rPr>
        <w:t xml:space="preserve"> data collection. The burden time estimates are based on the maximum reasonable expected burden per respondent:</w:t>
      </w:r>
    </w:p>
    <w:p w14:paraId="6EBE8523" w14:textId="77777777" w:rsidR="004E042D" w:rsidRPr="00BA441F" w:rsidRDefault="004E042D" w:rsidP="004E042D">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s</w:t>
      </w:r>
      <w:r w:rsidRPr="00BA441F">
        <w:rPr>
          <w:rFonts w:ascii="Cambria" w:hAnsi="Cambria"/>
        </w:rPr>
        <w:t xml:space="preserve">tudent assessments and </w:t>
      </w:r>
      <w:r>
        <w:rPr>
          <w:rFonts w:ascii="Cambria" w:hAnsi="Cambria"/>
        </w:rPr>
        <w:t xml:space="preserve">a brief </w:t>
      </w:r>
      <w:r w:rsidRPr="00BA441F">
        <w:rPr>
          <w:rFonts w:ascii="Cambria" w:hAnsi="Cambria"/>
        </w:rPr>
        <w:t>survey</w:t>
      </w:r>
      <w:r>
        <w:rPr>
          <w:rFonts w:ascii="Cambria" w:hAnsi="Cambria"/>
        </w:rPr>
        <w:t xml:space="preserve"> for students in both grades 7 and 8,</w:t>
      </w:r>
      <w:r w:rsidRPr="00BA441F">
        <w:rPr>
          <w:rFonts w:ascii="Cambria" w:hAnsi="Cambria"/>
        </w:rPr>
        <w:t xml:space="preserve"> will be approximately </w:t>
      </w:r>
      <w:r>
        <w:rPr>
          <w:rFonts w:ascii="Cambria" w:hAnsi="Cambria"/>
        </w:rPr>
        <w:t>75</w:t>
      </w:r>
      <w:r w:rsidRPr="00BA441F">
        <w:rPr>
          <w:rFonts w:ascii="Cambria" w:hAnsi="Cambria"/>
        </w:rPr>
        <w:t xml:space="preserve"> minutes. Within the </w:t>
      </w:r>
      <w:r>
        <w:rPr>
          <w:rFonts w:ascii="Cambria" w:hAnsi="Cambria"/>
        </w:rPr>
        <w:t>75</w:t>
      </w:r>
      <w:r w:rsidRPr="00BA441F">
        <w:rPr>
          <w:rFonts w:ascii="Cambria" w:hAnsi="Cambria"/>
        </w:rPr>
        <w:t xml:space="preserve"> minutes, the student survey portion will take approximately </w:t>
      </w:r>
      <w:r>
        <w:rPr>
          <w:rFonts w:ascii="Cambria" w:hAnsi="Cambria"/>
        </w:rPr>
        <w:t>5</w:t>
      </w:r>
      <w:r w:rsidRPr="00BA441F">
        <w:rPr>
          <w:rFonts w:ascii="Cambria" w:hAnsi="Cambria"/>
        </w:rPr>
        <w:t xml:space="preserve"> minutes.</w:t>
      </w:r>
    </w:p>
    <w:p w14:paraId="1E067E29" w14:textId="77777777" w:rsidR="004E042D" w:rsidRPr="00BA441F" w:rsidRDefault="004E042D" w:rsidP="004E042D">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7A22BAB1" w14:textId="77777777" w:rsidR="004E042D" w:rsidRPr="001C1926" w:rsidRDefault="004E042D" w:rsidP="004E042D">
      <w:pPr>
        <w:pStyle w:val="ListParagraph"/>
        <w:widowControl w:val="0"/>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w:t>
      </w:r>
      <w:r w:rsidRPr="001C1926">
        <w:rPr>
          <w:rFonts w:ascii="Cambria" w:hAnsi="Cambria"/>
        </w:rPr>
        <w:t>vities. The burden estimates assume one assessment day.</w:t>
      </w:r>
    </w:p>
    <w:p w14:paraId="099751A1" w14:textId="4A24663A" w:rsidR="00991419" w:rsidRDefault="003062B5" w:rsidP="001C1926">
      <w:pPr>
        <w:widowControl w:val="0"/>
        <w:spacing w:after="120" w:line="240" w:lineRule="auto"/>
        <w:ind w:left="86"/>
        <w:rPr>
          <w:rFonts w:ascii="Cambria" w:hAnsi="Cambria"/>
        </w:rPr>
      </w:pPr>
      <w:r w:rsidRPr="002B0748">
        <w:rPr>
          <w:rFonts w:ascii="Cambria" w:hAnsi="Cambria"/>
          <w:b/>
          <w:u w:val="single"/>
        </w:rPr>
        <w:t>Operational Field Test</w:t>
      </w:r>
      <w:r>
        <w:rPr>
          <w:rFonts w:ascii="Cambria" w:hAnsi="Cambria"/>
          <w:b/>
          <w:u w:val="single"/>
        </w:rPr>
        <w:t xml:space="preserve"> Second Follow-up (OFT3)</w:t>
      </w:r>
      <w:r w:rsidRPr="002B0748">
        <w:rPr>
          <w:rFonts w:ascii="Cambria" w:hAnsi="Cambria"/>
          <w:b/>
          <w:u w:val="single"/>
        </w:rPr>
        <w:t>:</w:t>
      </w:r>
      <w:r>
        <w:rPr>
          <w:rFonts w:ascii="Cambria" w:hAnsi="Cambria"/>
          <w:u w:val="single"/>
        </w:rPr>
        <w:t xml:space="preserve"> </w:t>
      </w:r>
      <w:r w:rsidR="001C1926" w:rsidRPr="003062B5">
        <w:rPr>
          <w:rFonts w:ascii="Cambria" w:hAnsi="Cambria"/>
        </w:rPr>
        <w:t xml:space="preserve">The </w:t>
      </w:r>
      <w:r w:rsidR="001C1926" w:rsidRPr="003062B5">
        <w:rPr>
          <w:rFonts w:ascii="Cambria" w:hAnsi="Cambria"/>
          <w:u w:val="single"/>
        </w:rPr>
        <w:t>OFT3 Tracking</w:t>
      </w:r>
      <w:r w:rsidR="001C1926" w:rsidRPr="003062B5">
        <w:rPr>
          <w:rFonts w:ascii="Cambria" w:hAnsi="Cambria"/>
        </w:rPr>
        <w:t xml:space="preserve"> portion</w:t>
      </w:r>
      <w:r w:rsidR="001C1926" w:rsidRPr="001C1926">
        <w:rPr>
          <w:rFonts w:ascii="Cambria" w:hAnsi="Cambria"/>
        </w:rPr>
        <w:t xml:space="preserve"> of table 6 shows the expected burden for the OFT3 tracking activities.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 The purpose of the OFT3 is to test tracking procedures. No other data collection will be conducted.</w:t>
      </w:r>
    </w:p>
    <w:p w14:paraId="2161034D" w14:textId="4FD72A7B" w:rsidR="004E042D" w:rsidRPr="0001752B" w:rsidRDefault="004E042D" w:rsidP="004E042D">
      <w:pPr>
        <w:pStyle w:val="TableTitle"/>
      </w:pPr>
      <w:r w:rsidRPr="0001752B">
        <w:t xml:space="preserve">Table </w:t>
      </w:r>
      <w:r>
        <w:t>6</w:t>
      </w:r>
      <w:r w:rsidRPr="0001752B">
        <w:t xml:space="preserve">. </w:t>
      </w:r>
      <w:r>
        <w:t>MS1, MS2, OFT2</w:t>
      </w:r>
      <w:r w:rsidR="004D01D7">
        <w:t>, and OFT3</w:t>
      </w:r>
      <w:r>
        <w:t xml:space="preserve">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834"/>
        <w:gridCol w:w="839"/>
        <w:gridCol w:w="1298"/>
        <w:gridCol w:w="1003"/>
        <w:gridCol w:w="1003"/>
        <w:gridCol w:w="821"/>
        <w:gridCol w:w="184"/>
        <w:gridCol w:w="7"/>
        <w:gridCol w:w="1152"/>
        <w:gridCol w:w="1156"/>
      </w:tblGrid>
      <w:tr w:rsidR="004E042D" w:rsidRPr="00651C99" w14:paraId="258D6603" w14:textId="77777777" w:rsidTr="004E042D">
        <w:trPr>
          <w:trHeight w:val="20"/>
          <w:tblHeader/>
        </w:trPr>
        <w:tc>
          <w:tcPr>
            <w:tcW w:w="1261" w:type="pct"/>
            <w:shd w:val="clear" w:color="auto" w:fill="auto"/>
            <w:vAlign w:val="center"/>
            <w:hideMark/>
          </w:tcPr>
          <w:p w14:paraId="21C86323" w14:textId="77777777" w:rsidR="004E042D" w:rsidRPr="00651C99" w:rsidRDefault="004E042D" w:rsidP="004E042D">
            <w:pPr>
              <w:keepNext/>
              <w:spacing w:after="0" w:line="240" w:lineRule="auto"/>
              <w:jc w:val="center"/>
              <w:rPr>
                <w:rFonts w:asciiTheme="minorHAnsi" w:eastAsia="Times New Roman" w:hAnsiTheme="minorHAnsi" w:cs="Calibri"/>
                <w:b/>
                <w:bCs/>
                <w:color w:val="000000"/>
                <w:sz w:val="18"/>
                <w:szCs w:val="18"/>
              </w:rPr>
            </w:pPr>
            <w:r>
              <w:rPr>
                <w:rFonts w:asciiTheme="minorHAnsi" w:hAnsiTheme="minorHAnsi" w:cstheme="minorHAnsi"/>
                <w:b/>
                <w:sz w:val="18"/>
                <w:szCs w:val="18"/>
              </w:rPr>
              <w:t>MGLS:2017 Activity</w:t>
            </w:r>
          </w:p>
        </w:tc>
        <w:tc>
          <w:tcPr>
            <w:tcW w:w="376" w:type="pct"/>
            <w:vAlign w:val="center"/>
          </w:tcPr>
          <w:p w14:paraId="1F8FF81B" w14:textId="77777777" w:rsidR="004E042D" w:rsidRPr="00651C99" w:rsidRDefault="004E042D" w:rsidP="004E042D">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8" w:type="pct"/>
            <w:vAlign w:val="center"/>
          </w:tcPr>
          <w:p w14:paraId="712DD4BC" w14:textId="77777777" w:rsidR="004E042D" w:rsidRPr="00651C99" w:rsidRDefault="004E042D" w:rsidP="004E042D">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5" w:type="pct"/>
            <w:vAlign w:val="center"/>
          </w:tcPr>
          <w:p w14:paraId="06472198" w14:textId="77777777" w:rsidR="004E042D" w:rsidRPr="00651C99" w:rsidRDefault="004E042D" w:rsidP="004E042D">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auto"/>
            <w:vAlign w:val="center"/>
            <w:hideMark/>
          </w:tcPr>
          <w:p w14:paraId="71E069E8" w14:textId="77777777" w:rsidR="004E042D" w:rsidRPr="00651C99" w:rsidRDefault="004E042D" w:rsidP="004E042D">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auto"/>
            <w:vAlign w:val="center"/>
            <w:hideMark/>
          </w:tcPr>
          <w:p w14:paraId="494BD122" w14:textId="70B662BF" w:rsidR="004E042D" w:rsidRPr="00651C99" w:rsidRDefault="00FB6CBA" w:rsidP="004E042D">
            <w:pPr>
              <w:keepNext/>
              <w:spacing w:after="0" w:line="240" w:lineRule="auto"/>
              <w:ind w:left="-108" w:right="-108"/>
              <w:jc w:val="center"/>
              <w:rPr>
                <w:rFonts w:asciiTheme="minorHAnsi" w:eastAsia="Times New Roman" w:hAnsiTheme="minorHAnsi" w:cs="Calibri"/>
                <w:b/>
                <w:bCs/>
                <w:color w:val="000000"/>
                <w:sz w:val="18"/>
                <w:szCs w:val="18"/>
              </w:rPr>
            </w:pPr>
            <w:r>
              <w:rPr>
                <w:rFonts w:asciiTheme="minorHAnsi" w:eastAsia="Times New Roman" w:hAnsiTheme="minorHAnsi" w:cs="Calibri"/>
                <w:b/>
                <w:bCs/>
                <w:color w:val="000000"/>
                <w:sz w:val="18"/>
                <w:szCs w:val="18"/>
              </w:rPr>
              <w:t>Median</w:t>
            </w:r>
            <w:r w:rsidR="004E042D" w:rsidRPr="00651C99">
              <w:rPr>
                <w:rFonts w:asciiTheme="minorHAnsi" w:eastAsia="Times New Roman" w:hAnsiTheme="minorHAnsi" w:cs="Calibri"/>
                <w:b/>
                <w:bCs/>
                <w:color w:val="000000"/>
                <w:sz w:val="18"/>
                <w:szCs w:val="18"/>
              </w:rPr>
              <w:t xml:space="preserve"> Burden Time (minutes)</w:t>
            </w:r>
          </w:p>
        </w:tc>
        <w:tc>
          <w:tcPr>
            <w:tcW w:w="370" w:type="pct"/>
            <w:shd w:val="clear" w:color="auto" w:fill="auto"/>
            <w:vAlign w:val="center"/>
            <w:hideMark/>
          </w:tcPr>
          <w:p w14:paraId="7CA2D5BF" w14:textId="77777777" w:rsidR="004E042D" w:rsidRPr="00651C99" w:rsidRDefault="004E042D" w:rsidP="004E042D">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5" w:type="pct"/>
            <w:gridSpan w:val="3"/>
            <w:shd w:val="clear" w:color="auto" w:fill="auto"/>
            <w:vAlign w:val="center"/>
            <w:hideMark/>
          </w:tcPr>
          <w:p w14:paraId="0DEEFCC5" w14:textId="77777777" w:rsidR="004E042D" w:rsidRPr="00903BEC" w:rsidRDefault="004E042D" w:rsidP="004E042D">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1" w:type="pct"/>
            <w:shd w:val="clear" w:color="auto" w:fill="auto"/>
            <w:vAlign w:val="center"/>
            <w:hideMark/>
          </w:tcPr>
          <w:p w14:paraId="2463D920" w14:textId="77777777" w:rsidR="004E042D" w:rsidRPr="00903BEC" w:rsidRDefault="004E042D" w:rsidP="004E042D">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4E042D" w:rsidRPr="00651C99" w14:paraId="5E05A328" w14:textId="77777777" w:rsidTr="004E042D">
        <w:trPr>
          <w:trHeight w:val="20"/>
        </w:trPr>
        <w:tc>
          <w:tcPr>
            <w:tcW w:w="5000" w:type="pct"/>
            <w:gridSpan w:val="11"/>
            <w:shd w:val="clear" w:color="auto" w:fill="auto"/>
            <w:vAlign w:val="center"/>
          </w:tcPr>
          <w:p w14:paraId="3C8F3C35" w14:textId="77777777" w:rsidR="004E042D" w:rsidRPr="00651C99" w:rsidRDefault="004E042D" w:rsidP="004E042D">
            <w:pPr>
              <w:pStyle w:val="NoSpacing"/>
              <w:keepNext/>
              <w:rPr>
                <w:rFonts w:cstheme="minorHAnsi"/>
                <w:b/>
                <w:i/>
                <w:sz w:val="18"/>
                <w:szCs w:val="18"/>
              </w:rPr>
            </w:pPr>
            <w:r>
              <w:rPr>
                <w:rFonts w:cstheme="minorHAnsi"/>
                <w:b/>
                <w:i/>
                <w:sz w:val="18"/>
                <w:szCs w:val="18"/>
              </w:rPr>
              <w:t>MS1 Recruitment</w:t>
            </w:r>
          </w:p>
        </w:tc>
      </w:tr>
      <w:tr w:rsidR="004E042D" w:rsidRPr="005F38E7" w14:paraId="4785DD0A" w14:textId="77777777" w:rsidTr="004E042D">
        <w:trPr>
          <w:trHeight w:val="20"/>
        </w:trPr>
        <w:tc>
          <w:tcPr>
            <w:tcW w:w="1261" w:type="pct"/>
            <w:shd w:val="clear" w:color="auto" w:fill="auto"/>
            <w:vAlign w:val="center"/>
          </w:tcPr>
          <w:p w14:paraId="19511092" w14:textId="77777777" w:rsidR="004E042D" w:rsidRPr="005F38E7" w:rsidRDefault="004E042D" w:rsidP="004E042D">
            <w:pPr>
              <w:pStyle w:val="NoSpacing"/>
              <w:keepNext/>
              <w:rPr>
                <w:rFonts w:cstheme="minorHAnsi"/>
                <w:sz w:val="18"/>
                <w:szCs w:val="18"/>
              </w:rPr>
            </w:pPr>
            <w:r w:rsidRPr="005F38E7">
              <w:rPr>
                <w:rFonts w:eastAsia="Times New Roman" w:cs="Calibri"/>
                <w:color w:val="000000"/>
                <w:sz w:val="18"/>
                <w:szCs w:val="18"/>
              </w:rPr>
              <w:t>Nonparticipating districts</w:t>
            </w:r>
          </w:p>
        </w:tc>
        <w:tc>
          <w:tcPr>
            <w:tcW w:w="376" w:type="pct"/>
            <w:vMerge w:val="restart"/>
            <w:vAlign w:val="center"/>
          </w:tcPr>
          <w:p w14:paraId="55F57F1D" w14:textId="77777777" w:rsidR="004E042D" w:rsidRPr="009D6844" w:rsidRDefault="004E042D" w:rsidP="004E042D">
            <w:pPr>
              <w:pStyle w:val="NoSpacing"/>
              <w:keepNext/>
              <w:jc w:val="right"/>
              <w:rPr>
                <w:rFonts w:cstheme="minorHAnsi"/>
                <w:sz w:val="18"/>
                <w:szCs w:val="18"/>
              </w:rPr>
            </w:pPr>
            <w:r w:rsidRPr="009D6844">
              <w:rPr>
                <w:color w:val="000000"/>
                <w:sz w:val="18"/>
                <w:szCs w:val="18"/>
              </w:rPr>
              <w:t>1,050</w:t>
            </w:r>
          </w:p>
        </w:tc>
        <w:tc>
          <w:tcPr>
            <w:tcW w:w="378" w:type="pct"/>
            <w:vAlign w:val="center"/>
          </w:tcPr>
          <w:p w14:paraId="461A5FB7" w14:textId="77777777" w:rsidR="004E042D" w:rsidRPr="009D6844" w:rsidRDefault="004E042D" w:rsidP="004E042D">
            <w:pPr>
              <w:pStyle w:val="NoSpacing"/>
              <w:keepNext/>
              <w:jc w:val="right"/>
              <w:rPr>
                <w:rFonts w:cstheme="minorHAnsi"/>
                <w:sz w:val="18"/>
                <w:szCs w:val="18"/>
              </w:rPr>
            </w:pPr>
            <w:r w:rsidRPr="009D6844">
              <w:rPr>
                <w:color w:val="000000"/>
                <w:sz w:val="18"/>
                <w:szCs w:val="18"/>
              </w:rPr>
              <w:t>30%</w:t>
            </w:r>
          </w:p>
        </w:tc>
        <w:tc>
          <w:tcPr>
            <w:tcW w:w="585" w:type="pct"/>
            <w:vAlign w:val="center"/>
          </w:tcPr>
          <w:p w14:paraId="7CD6C3B2" w14:textId="77777777" w:rsidR="004E042D" w:rsidRPr="009D6844" w:rsidRDefault="004E042D" w:rsidP="004E042D">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561E8A29" w14:textId="77777777" w:rsidR="004E042D" w:rsidRPr="009D6844" w:rsidRDefault="004E042D" w:rsidP="004E042D">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6CA72288" w14:textId="77777777" w:rsidR="004E042D" w:rsidRPr="009D6844" w:rsidRDefault="004E042D" w:rsidP="004E042D">
            <w:pPr>
              <w:pStyle w:val="NoSpacing"/>
              <w:keepNext/>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62E49ADD" w14:textId="77777777" w:rsidR="004E042D" w:rsidRPr="009D6844" w:rsidRDefault="004E042D" w:rsidP="004E042D">
            <w:pPr>
              <w:pStyle w:val="NoSpacing"/>
              <w:keepNext/>
              <w:jc w:val="right"/>
              <w:rPr>
                <w:rFonts w:cstheme="minorHAnsi"/>
                <w:sz w:val="18"/>
                <w:szCs w:val="18"/>
              </w:rPr>
            </w:pPr>
            <w:r w:rsidRPr="009D6844">
              <w:rPr>
                <w:color w:val="000000"/>
                <w:sz w:val="18"/>
                <w:szCs w:val="18"/>
              </w:rPr>
              <w:t>105</w:t>
            </w:r>
          </w:p>
        </w:tc>
        <w:tc>
          <w:tcPr>
            <w:tcW w:w="605" w:type="pct"/>
            <w:gridSpan w:val="3"/>
            <w:shd w:val="clear" w:color="auto" w:fill="auto"/>
            <w:noWrap/>
            <w:vAlign w:val="center"/>
          </w:tcPr>
          <w:p w14:paraId="7715F9DB" w14:textId="77777777" w:rsidR="004E042D" w:rsidRPr="009D6844" w:rsidRDefault="004E042D" w:rsidP="004E042D">
            <w:pPr>
              <w:pStyle w:val="NoSpacing"/>
              <w:keepNext/>
              <w:jc w:val="right"/>
              <w:rPr>
                <w:sz w:val="18"/>
                <w:szCs w:val="18"/>
              </w:rPr>
            </w:pPr>
            <w:r w:rsidRPr="009D6844">
              <w:rPr>
                <w:color w:val="000000"/>
                <w:sz w:val="18"/>
                <w:szCs w:val="18"/>
              </w:rPr>
              <w:t>$</w:t>
            </w:r>
            <w:r>
              <w:rPr>
                <w:color w:val="000000"/>
                <w:sz w:val="18"/>
                <w:szCs w:val="18"/>
              </w:rPr>
              <w:t>45.86</w:t>
            </w:r>
            <w:r w:rsidRPr="009D6844">
              <w:rPr>
                <w:color w:val="000000"/>
                <w:sz w:val="18"/>
                <w:szCs w:val="18"/>
              </w:rPr>
              <w:t xml:space="preserve">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F4424" w14:textId="77777777" w:rsidR="004E042D" w:rsidRPr="009D6844" w:rsidRDefault="004E042D" w:rsidP="004E042D">
            <w:pPr>
              <w:pStyle w:val="NoSpacing"/>
              <w:keepNext/>
              <w:jc w:val="right"/>
              <w:rPr>
                <w:sz w:val="18"/>
                <w:szCs w:val="18"/>
              </w:rPr>
            </w:pPr>
            <w:r>
              <w:rPr>
                <w:rFonts w:ascii="Calibri" w:hAnsi="Calibri"/>
                <w:color w:val="000000"/>
                <w:sz w:val="18"/>
                <w:szCs w:val="18"/>
              </w:rPr>
              <w:t xml:space="preserve">$4,815 </w:t>
            </w:r>
          </w:p>
        </w:tc>
      </w:tr>
      <w:tr w:rsidR="004E042D" w:rsidRPr="005F38E7" w14:paraId="23B65DCE" w14:textId="77777777" w:rsidTr="004E042D">
        <w:trPr>
          <w:trHeight w:val="20"/>
        </w:trPr>
        <w:tc>
          <w:tcPr>
            <w:tcW w:w="1261" w:type="pct"/>
            <w:shd w:val="clear" w:color="auto" w:fill="auto"/>
            <w:vAlign w:val="center"/>
          </w:tcPr>
          <w:p w14:paraId="757D98CE" w14:textId="77777777" w:rsidR="004E042D" w:rsidRPr="005F38E7" w:rsidRDefault="004E042D" w:rsidP="004E042D">
            <w:pPr>
              <w:pStyle w:val="NoSpacing"/>
              <w:keepNext/>
              <w:rPr>
                <w:rFonts w:cstheme="minorHAnsi"/>
                <w:sz w:val="18"/>
                <w:szCs w:val="18"/>
              </w:rPr>
            </w:pPr>
            <w:r w:rsidRPr="005F38E7">
              <w:rPr>
                <w:rFonts w:eastAsia="Times New Roman" w:cs="Calibri"/>
                <w:color w:val="000000"/>
                <w:sz w:val="18"/>
                <w:szCs w:val="18"/>
              </w:rPr>
              <w:t>Participating districts</w:t>
            </w:r>
          </w:p>
        </w:tc>
        <w:tc>
          <w:tcPr>
            <w:tcW w:w="376" w:type="pct"/>
            <w:vMerge/>
            <w:vAlign w:val="center"/>
          </w:tcPr>
          <w:p w14:paraId="6E5BFE4F" w14:textId="77777777" w:rsidR="004E042D" w:rsidRPr="009D6844" w:rsidRDefault="004E042D" w:rsidP="004E042D">
            <w:pPr>
              <w:pStyle w:val="NoSpacing"/>
              <w:keepNext/>
              <w:jc w:val="right"/>
              <w:rPr>
                <w:rFonts w:cstheme="minorHAnsi"/>
                <w:sz w:val="18"/>
                <w:szCs w:val="18"/>
              </w:rPr>
            </w:pPr>
          </w:p>
        </w:tc>
        <w:tc>
          <w:tcPr>
            <w:tcW w:w="378" w:type="pct"/>
            <w:vAlign w:val="center"/>
          </w:tcPr>
          <w:p w14:paraId="5A38170E" w14:textId="77777777" w:rsidR="004E042D" w:rsidRPr="009D6844" w:rsidRDefault="004E042D" w:rsidP="004E042D">
            <w:pPr>
              <w:pStyle w:val="NoSpacing"/>
              <w:keepNext/>
              <w:jc w:val="right"/>
              <w:rPr>
                <w:rFonts w:cstheme="minorHAnsi"/>
                <w:sz w:val="18"/>
                <w:szCs w:val="18"/>
              </w:rPr>
            </w:pPr>
            <w:r w:rsidRPr="009D6844">
              <w:rPr>
                <w:color w:val="000000"/>
                <w:sz w:val="18"/>
                <w:szCs w:val="18"/>
              </w:rPr>
              <w:t>70%</w:t>
            </w:r>
          </w:p>
        </w:tc>
        <w:tc>
          <w:tcPr>
            <w:tcW w:w="585" w:type="pct"/>
            <w:vAlign w:val="center"/>
          </w:tcPr>
          <w:p w14:paraId="34D965C1" w14:textId="77777777" w:rsidR="004E042D" w:rsidRPr="009D6844" w:rsidRDefault="004E042D" w:rsidP="004E042D">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132165A6" w14:textId="77777777" w:rsidR="004E042D" w:rsidRPr="009D6844" w:rsidRDefault="004E042D" w:rsidP="004E042D">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03453E31" w14:textId="77777777" w:rsidR="004E042D" w:rsidRPr="009D6844" w:rsidRDefault="004E042D" w:rsidP="004E042D">
            <w:pPr>
              <w:pStyle w:val="NoSpacing"/>
              <w:keepNext/>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126F89B6" w14:textId="77777777" w:rsidR="004E042D" w:rsidRPr="009D6844" w:rsidRDefault="004E042D" w:rsidP="004E042D">
            <w:pPr>
              <w:pStyle w:val="NoSpacing"/>
              <w:keepNext/>
              <w:jc w:val="right"/>
              <w:rPr>
                <w:rFonts w:cstheme="minorHAnsi"/>
                <w:sz w:val="18"/>
                <w:szCs w:val="18"/>
              </w:rPr>
            </w:pPr>
            <w:r w:rsidRPr="009D6844">
              <w:rPr>
                <w:color w:val="000000"/>
                <w:sz w:val="18"/>
                <w:szCs w:val="18"/>
              </w:rPr>
              <w:t>3,185</w:t>
            </w:r>
          </w:p>
        </w:tc>
        <w:tc>
          <w:tcPr>
            <w:tcW w:w="605" w:type="pct"/>
            <w:gridSpan w:val="3"/>
            <w:shd w:val="clear" w:color="auto" w:fill="auto"/>
            <w:noWrap/>
            <w:vAlign w:val="center"/>
          </w:tcPr>
          <w:p w14:paraId="5C02CF87" w14:textId="77777777" w:rsidR="004E042D" w:rsidRPr="009D6844" w:rsidRDefault="004E042D" w:rsidP="004E042D">
            <w:pPr>
              <w:pStyle w:val="NoSpacing"/>
              <w:keepNext/>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72E058AA" w14:textId="77777777" w:rsidR="004E042D" w:rsidRPr="009D6844" w:rsidRDefault="004E042D" w:rsidP="004E042D">
            <w:pPr>
              <w:pStyle w:val="NoSpacing"/>
              <w:keepNext/>
              <w:jc w:val="right"/>
              <w:rPr>
                <w:sz w:val="18"/>
                <w:szCs w:val="18"/>
              </w:rPr>
            </w:pPr>
            <w:r w:rsidRPr="00C50224">
              <w:rPr>
                <w:color w:val="000000"/>
                <w:sz w:val="18"/>
                <w:szCs w:val="18"/>
              </w:rPr>
              <w:t>$146,064</w:t>
            </w:r>
          </w:p>
        </w:tc>
      </w:tr>
      <w:tr w:rsidR="004E042D" w:rsidRPr="005F38E7" w14:paraId="78443254" w14:textId="77777777" w:rsidTr="004E042D">
        <w:trPr>
          <w:trHeight w:val="20"/>
        </w:trPr>
        <w:tc>
          <w:tcPr>
            <w:tcW w:w="1261" w:type="pct"/>
            <w:shd w:val="clear" w:color="auto" w:fill="auto"/>
            <w:vAlign w:val="center"/>
          </w:tcPr>
          <w:p w14:paraId="26397ED4" w14:textId="77777777" w:rsidR="004E042D" w:rsidRPr="005F38E7" w:rsidRDefault="004E042D" w:rsidP="004E042D">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06C36070" w14:textId="77777777" w:rsidR="004E042D" w:rsidRPr="009D6844" w:rsidRDefault="004E042D" w:rsidP="004E042D">
            <w:pPr>
              <w:pStyle w:val="NoSpacing"/>
              <w:keepNext/>
              <w:jc w:val="right"/>
              <w:rPr>
                <w:color w:val="000000"/>
                <w:sz w:val="18"/>
                <w:szCs w:val="18"/>
              </w:rPr>
            </w:pPr>
            <w:r w:rsidRPr="009D6844">
              <w:rPr>
                <w:rFonts w:cstheme="minorHAnsi"/>
                <w:sz w:val="18"/>
                <w:szCs w:val="18"/>
              </w:rPr>
              <w:t>263</w:t>
            </w:r>
          </w:p>
        </w:tc>
        <w:tc>
          <w:tcPr>
            <w:tcW w:w="378" w:type="pct"/>
            <w:vAlign w:val="center"/>
          </w:tcPr>
          <w:p w14:paraId="10575EDD" w14:textId="77777777" w:rsidR="004E042D" w:rsidRPr="009D6844" w:rsidRDefault="004E042D" w:rsidP="004E042D">
            <w:pPr>
              <w:pStyle w:val="NoSpacing"/>
              <w:keepNext/>
              <w:jc w:val="right"/>
              <w:rPr>
                <w:color w:val="000000"/>
                <w:sz w:val="18"/>
                <w:szCs w:val="18"/>
              </w:rPr>
            </w:pPr>
            <w:r w:rsidRPr="009D6844">
              <w:rPr>
                <w:color w:val="000000"/>
                <w:sz w:val="18"/>
                <w:szCs w:val="18"/>
              </w:rPr>
              <w:t>100%</w:t>
            </w:r>
          </w:p>
        </w:tc>
        <w:tc>
          <w:tcPr>
            <w:tcW w:w="585" w:type="pct"/>
            <w:vAlign w:val="center"/>
          </w:tcPr>
          <w:p w14:paraId="02DF0447" w14:textId="77777777" w:rsidR="004E042D" w:rsidRPr="009D6844" w:rsidRDefault="004E042D" w:rsidP="004E042D">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40B3CFEA" w14:textId="77777777" w:rsidR="004E042D" w:rsidRPr="009D6844" w:rsidRDefault="004E042D" w:rsidP="004E042D">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4D3C1FB9" w14:textId="77777777" w:rsidR="004E042D" w:rsidRPr="009D6844" w:rsidRDefault="004E042D" w:rsidP="004E042D">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1699D347" w14:textId="77777777" w:rsidR="004E042D" w:rsidRPr="009D6844" w:rsidRDefault="004E042D" w:rsidP="004E042D">
            <w:pPr>
              <w:pStyle w:val="NoSpacing"/>
              <w:keepNext/>
              <w:jc w:val="right"/>
              <w:rPr>
                <w:color w:val="000000"/>
                <w:sz w:val="18"/>
                <w:szCs w:val="18"/>
              </w:rPr>
            </w:pPr>
            <w:r w:rsidRPr="009D6844">
              <w:rPr>
                <w:color w:val="000000"/>
                <w:sz w:val="18"/>
                <w:szCs w:val="18"/>
              </w:rPr>
              <w:t>526</w:t>
            </w:r>
          </w:p>
        </w:tc>
        <w:tc>
          <w:tcPr>
            <w:tcW w:w="605" w:type="pct"/>
            <w:gridSpan w:val="3"/>
            <w:shd w:val="clear" w:color="auto" w:fill="auto"/>
            <w:noWrap/>
          </w:tcPr>
          <w:p w14:paraId="264B00D1" w14:textId="77777777" w:rsidR="004E042D" w:rsidRPr="009D6844" w:rsidRDefault="004E042D" w:rsidP="004E042D">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266B2A58" w14:textId="77777777" w:rsidR="004E042D" w:rsidRPr="00E51DA5" w:rsidRDefault="004E042D" w:rsidP="004E042D">
            <w:pPr>
              <w:pStyle w:val="NoSpacing"/>
              <w:keepNext/>
              <w:jc w:val="right"/>
              <w:rPr>
                <w:color w:val="000000"/>
                <w:sz w:val="18"/>
                <w:szCs w:val="18"/>
              </w:rPr>
            </w:pPr>
            <w:r w:rsidRPr="00E51DA5">
              <w:rPr>
                <w:sz w:val="18"/>
                <w:szCs w:val="18"/>
              </w:rPr>
              <w:t xml:space="preserve">$24,122 </w:t>
            </w:r>
          </w:p>
        </w:tc>
      </w:tr>
      <w:tr w:rsidR="004E042D" w:rsidRPr="005F38E7" w14:paraId="3B615693" w14:textId="77777777" w:rsidTr="004E042D">
        <w:trPr>
          <w:trHeight w:val="20"/>
        </w:trPr>
        <w:tc>
          <w:tcPr>
            <w:tcW w:w="1261" w:type="pct"/>
            <w:shd w:val="clear" w:color="auto" w:fill="auto"/>
            <w:vAlign w:val="center"/>
          </w:tcPr>
          <w:p w14:paraId="6B4BC1D7" w14:textId="77777777" w:rsidR="004E042D" w:rsidRPr="005F38E7" w:rsidRDefault="004E042D" w:rsidP="004E042D">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4584293" w14:textId="77777777" w:rsidR="004E042D" w:rsidRPr="009D6844" w:rsidRDefault="004E042D" w:rsidP="004E042D">
            <w:pPr>
              <w:pStyle w:val="NoSpacing"/>
              <w:keepNext/>
              <w:jc w:val="right"/>
              <w:rPr>
                <w:color w:val="000000"/>
                <w:sz w:val="18"/>
                <w:szCs w:val="18"/>
              </w:rPr>
            </w:pPr>
            <w:r>
              <w:rPr>
                <w:rFonts w:cstheme="minorHAnsi"/>
                <w:sz w:val="18"/>
                <w:szCs w:val="18"/>
              </w:rPr>
              <w:t>1,31</w:t>
            </w:r>
            <w:r w:rsidRPr="009D6844">
              <w:rPr>
                <w:rFonts w:cstheme="minorHAnsi"/>
                <w:sz w:val="18"/>
                <w:szCs w:val="18"/>
              </w:rPr>
              <w:t>5</w:t>
            </w:r>
          </w:p>
        </w:tc>
        <w:tc>
          <w:tcPr>
            <w:tcW w:w="378" w:type="pct"/>
            <w:vAlign w:val="center"/>
          </w:tcPr>
          <w:p w14:paraId="58FEE9C7" w14:textId="77777777" w:rsidR="004E042D" w:rsidRPr="009D6844" w:rsidRDefault="004E042D" w:rsidP="004E042D">
            <w:pPr>
              <w:pStyle w:val="NoSpacing"/>
              <w:keepNext/>
              <w:jc w:val="right"/>
              <w:rPr>
                <w:color w:val="000000"/>
                <w:sz w:val="18"/>
                <w:szCs w:val="18"/>
              </w:rPr>
            </w:pPr>
            <w:r w:rsidRPr="009D6844">
              <w:rPr>
                <w:color w:val="000000"/>
                <w:sz w:val="18"/>
                <w:szCs w:val="18"/>
              </w:rPr>
              <w:t>100%</w:t>
            </w:r>
          </w:p>
        </w:tc>
        <w:tc>
          <w:tcPr>
            <w:tcW w:w="585" w:type="pct"/>
            <w:vAlign w:val="center"/>
          </w:tcPr>
          <w:p w14:paraId="465B521B" w14:textId="77777777" w:rsidR="004E042D" w:rsidRPr="009D6844" w:rsidRDefault="004E042D" w:rsidP="004E042D">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3869B558" w14:textId="77777777" w:rsidR="004E042D" w:rsidRPr="009D6844" w:rsidRDefault="004E042D" w:rsidP="004E042D">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4A5EBB26" w14:textId="77777777" w:rsidR="004E042D" w:rsidRPr="009D6844" w:rsidRDefault="004E042D" w:rsidP="004E042D">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2F3E73E7" w14:textId="77777777" w:rsidR="004E042D" w:rsidRPr="009D6844" w:rsidRDefault="004E042D" w:rsidP="004E042D">
            <w:pPr>
              <w:pStyle w:val="NoSpacing"/>
              <w:keepNext/>
              <w:jc w:val="right"/>
              <w:rPr>
                <w:color w:val="000000"/>
                <w:sz w:val="18"/>
                <w:szCs w:val="18"/>
              </w:rPr>
            </w:pPr>
            <w:r w:rsidRPr="009D6844">
              <w:rPr>
                <w:color w:val="000000"/>
                <w:sz w:val="18"/>
                <w:szCs w:val="18"/>
              </w:rPr>
              <w:t>2,630</w:t>
            </w:r>
          </w:p>
        </w:tc>
        <w:tc>
          <w:tcPr>
            <w:tcW w:w="605" w:type="pct"/>
            <w:gridSpan w:val="3"/>
            <w:shd w:val="clear" w:color="auto" w:fill="auto"/>
            <w:noWrap/>
          </w:tcPr>
          <w:p w14:paraId="09F12942" w14:textId="77777777" w:rsidR="004E042D" w:rsidRPr="009D6844" w:rsidRDefault="004E042D" w:rsidP="004E042D">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03C86F45" w14:textId="77777777" w:rsidR="004E042D" w:rsidRPr="00E51DA5" w:rsidRDefault="004E042D" w:rsidP="004E042D">
            <w:pPr>
              <w:pStyle w:val="NoSpacing"/>
              <w:keepNext/>
              <w:jc w:val="right"/>
              <w:rPr>
                <w:color w:val="000000"/>
                <w:sz w:val="18"/>
                <w:szCs w:val="18"/>
              </w:rPr>
            </w:pPr>
            <w:r w:rsidRPr="00E51DA5">
              <w:rPr>
                <w:sz w:val="18"/>
                <w:szCs w:val="18"/>
              </w:rPr>
              <w:t xml:space="preserve">$120,612 </w:t>
            </w:r>
          </w:p>
        </w:tc>
      </w:tr>
      <w:tr w:rsidR="004E042D" w:rsidRPr="005F38E7" w14:paraId="4D3E445A" w14:textId="77777777" w:rsidTr="004E042D">
        <w:trPr>
          <w:trHeight w:val="20"/>
        </w:trPr>
        <w:tc>
          <w:tcPr>
            <w:tcW w:w="1261" w:type="pct"/>
            <w:shd w:val="clear" w:color="auto" w:fill="auto"/>
            <w:vAlign w:val="center"/>
          </w:tcPr>
          <w:p w14:paraId="20431B33" w14:textId="77777777" w:rsidR="004E042D" w:rsidRPr="005F38E7" w:rsidRDefault="004E042D" w:rsidP="004E042D">
            <w:pPr>
              <w:pStyle w:val="NoSpacing"/>
              <w:rPr>
                <w:rFonts w:cstheme="minorHAnsi"/>
                <w:sz w:val="18"/>
                <w:szCs w:val="18"/>
              </w:rPr>
            </w:pPr>
            <w:r w:rsidRPr="005F38E7">
              <w:rPr>
                <w:rFonts w:eastAsia="Times New Roman" w:cs="Calibri"/>
                <w:color w:val="000000"/>
                <w:sz w:val="18"/>
                <w:szCs w:val="18"/>
              </w:rPr>
              <w:t>Nonparticipating eligible schools</w:t>
            </w:r>
          </w:p>
        </w:tc>
        <w:tc>
          <w:tcPr>
            <w:tcW w:w="376" w:type="pct"/>
            <w:vMerge w:val="restart"/>
            <w:vAlign w:val="center"/>
          </w:tcPr>
          <w:p w14:paraId="4977262E" w14:textId="77777777" w:rsidR="004E042D" w:rsidRPr="009D6844" w:rsidRDefault="004E042D" w:rsidP="004E042D">
            <w:pPr>
              <w:pStyle w:val="NoSpacing"/>
              <w:jc w:val="right"/>
              <w:rPr>
                <w:rFonts w:cstheme="minorHAnsi"/>
                <w:sz w:val="18"/>
                <w:szCs w:val="18"/>
              </w:rPr>
            </w:pPr>
            <w:r w:rsidRPr="009D6844">
              <w:rPr>
                <w:color w:val="000000"/>
                <w:sz w:val="18"/>
                <w:szCs w:val="18"/>
              </w:rPr>
              <w:t>1,500</w:t>
            </w:r>
          </w:p>
        </w:tc>
        <w:tc>
          <w:tcPr>
            <w:tcW w:w="378" w:type="pct"/>
            <w:vAlign w:val="center"/>
          </w:tcPr>
          <w:p w14:paraId="7B008474" w14:textId="77777777" w:rsidR="004E042D" w:rsidRPr="009D6844" w:rsidRDefault="004E042D" w:rsidP="004E042D">
            <w:pPr>
              <w:pStyle w:val="NoSpacing"/>
              <w:jc w:val="right"/>
              <w:rPr>
                <w:rFonts w:cstheme="minorHAnsi"/>
                <w:sz w:val="18"/>
                <w:szCs w:val="18"/>
              </w:rPr>
            </w:pPr>
            <w:r w:rsidRPr="009D6844">
              <w:rPr>
                <w:color w:val="000000"/>
                <w:sz w:val="18"/>
                <w:szCs w:val="18"/>
              </w:rPr>
              <w:t>40%</w:t>
            </w:r>
          </w:p>
        </w:tc>
        <w:tc>
          <w:tcPr>
            <w:tcW w:w="585" w:type="pct"/>
            <w:vAlign w:val="center"/>
          </w:tcPr>
          <w:p w14:paraId="5DE65CDC" w14:textId="77777777" w:rsidR="004E042D" w:rsidRPr="009D6844" w:rsidRDefault="004E042D" w:rsidP="004E042D">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69855463" w14:textId="77777777" w:rsidR="004E042D" w:rsidRPr="009D6844" w:rsidRDefault="004E042D" w:rsidP="004E042D">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3B034C75" w14:textId="77777777" w:rsidR="004E042D" w:rsidRPr="009D6844" w:rsidRDefault="004E042D" w:rsidP="004E042D">
            <w:pPr>
              <w:pStyle w:val="NoSpacing"/>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0898ECF7" w14:textId="77777777" w:rsidR="004E042D" w:rsidRPr="009D6844" w:rsidRDefault="004E042D" w:rsidP="004E042D">
            <w:pPr>
              <w:pStyle w:val="NoSpacing"/>
              <w:jc w:val="right"/>
              <w:rPr>
                <w:rFonts w:cstheme="minorHAnsi"/>
                <w:sz w:val="18"/>
                <w:szCs w:val="18"/>
              </w:rPr>
            </w:pPr>
            <w:r w:rsidRPr="009D6844">
              <w:rPr>
                <w:color w:val="000000"/>
                <w:sz w:val="18"/>
                <w:szCs w:val="18"/>
              </w:rPr>
              <w:t>200</w:t>
            </w:r>
          </w:p>
        </w:tc>
        <w:tc>
          <w:tcPr>
            <w:tcW w:w="605" w:type="pct"/>
            <w:gridSpan w:val="3"/>
            <w:shd w:val="clear" w:color="auto" w:fill="auto"/>
            <w:noWrap/>
          </w:tcPr>
          <w:p w14:paraId="6DC765A4" w14:textId="77777777" w:rsidR="004E042D" w:rsidRPr="009D6844" w:rsidRDefault="004E042D" w:rsidP="004E042D">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15934156" w14:textId="77777777" w:rsidR="004E042D" w:rsidRPr="00E51DA5" w:rsidRDefault="004E042D" w:rsidP="004E042D">
            <w:pPr>
              <w:pStyle w:val="NoSpacing"/>
              <w:jc w:val="right"/>
              <w:rPr>
                <w:sz w:val="18"/>
                <w:szCs w:val="18"/>
              </w:rPr>
            </w:pPr>
            <w:r w:rsidRPr="00E51DA5">
              <w:rPr>
                <w:sz w:val="18"/>
                <w:szCs w:val="18"/>
              </w:rPr>
              <w:t xml:space="preserve">$9,172 </w:t>
            </w:r>
          </w:p>
        </w:tc>
      </w:tr>
      <w:tr w:rsidR="004E042D" w:rsidRPr="005F38E7" w14:paraId="520558AB" w14:textId="77777777" w:rsidTr="004E042D">
        <w:trPr>
          <w:trHeight w:val="20"/>
        </w:trPr>
        <w:tc>
          <w:tcPr>
            <w:tcW w:w="1261" w:type="pct"/>
            <w:shd w:val="clear" w:color="auto" w:fill="auto"/>
            <w:vAlign w:val="center"/>
          </w:tcPr>
          <w:p w14:paraId="68D10ECE" w14:textId="77777777" w:rsidR="004E042D" w:rsidRPr="005F38E7" w:rsidRDefault="004E042D" w:rsidP="004E042D">
            <w:pPr>
              <w:pStyle w:val="NoSpacing"/>
              <w:rPr>
                <w:rFonts w:cstheme="minorHAnsi"/>
                <w:sz w:val="18"/>
                <w:szCs w:val="18"/>
              </w:rPr>
            </w:pPr>
            <w:r w:rsidRPr="005F38E7">
              <w:rPr>
                <w:rFonts w:eastAsia="Times New Roman" w:cs="Calibri"/>
                <w:color w:val="000000"/>
                <w:sz w:val="18"/>
                <w:szCs w:val="18"/>
              </w:rPr>
              <w:t>Participating schools</w:t>
            </w:r>
          </w:p>
        </w:tc>
        <w:tc>
          <w:tcPr>
            <w:tcW w:w="376" w:type="pct"/>
            <w:vMerge/>
            <w:vAlign w:val="center"/>
          </w:tcPr>
          <w:p w14:paraId="3731D412" w14:textId="77777777" w:rsidR="004E042D" w:rsidRPr="009D6844" w:rsidRDefault="004E042D" w:rsidP="004E042D">
            <w:pPr>
              <w:pStyle w:val="NoSpacing"/>
              <w:jc w:val="right"/>
              <w:rPr>
                <w:rFonts w:cstheme="minorHAnsi"/>
                <w:sz w:val="18"/>
                <w:szCs w:val="18"/>
              </w:rPr>
            </w:pPr>
          </w:p>
        </w:tc>
        <w:tc>
          <w:tcPr>
            <w:tcW w:w="378" w:type="pct"/>
            <w:vAlign w:val="center"/>
          </w:tcPr>
          <w:p w14:paraId="0DA18B36" w14:textId="77777777" w:rsidR="004E042D" w:rsidRPr="009D6844" w:rsidRDefault="004E042D" w:rsidP="004E042D">
            <w:pPr>
              <w:pStyle w:val="NoSpacing"/>
              <w:jc w:val="right"/>
              <w:rPr>
                <w:rFonts w:cstheme="minorHAnsi"/>
                <w:sz w:val="18"/>
                <w:szCs w:val="18"/>
              </w:rPr>
            </w:pPr>
            <w:r w:rsidRPr="009D6844">
              <w:rPr>
                <w:color w:val="000000"/>
                <w:sz w:val="18"/>
                <w:szCs w:val="18"/>
              </w:rPr>
              <w:t>60%</w:t>
            </w:r>
          </w:p>
        </w:tc>
        <w:tc>
          <w:tcPr>
            <w:tcW w:w="585" w:type="pct"/>
            <w:vAlign w:val="center"/>
          </w:tcPr>
          <w:p w14:paraId="096653D6" w14:textId="77777777" w:rsidR="004E042D" w:rsidRPr="009D6844" w:rsidRDefault="004E042D" w:rsidP="004E042D">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35AAFB94" w14:textId="77777777" w:rsidR="004E042D" w:rsidRPr="009D6844" w:rsidRDefault="004E042D" w:rsidP="004E042D">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7B823780" w14:textId="77777777" w:rsidR="004E042D" w:rsidRPr="009D6844" w:rsidRDefault="004E042D" w:rsidP="004E042D">
            <w:pPr>
              <w:pStyle w:val="NoSpacing"/>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4D98286E" w14:textId="77777777" w:rsidR="004E042D" w:rsidRPr="009D6844" w:rsidRDefault="004E042D" w:rsidP="004E042D">
            <w:pPr>
              <w:pStyle w:val="NoSpacing"/>
              <w:jc w:val="right"/>
              <w:rPr>
                <w:rFonts w:cstheme="minorHAnsi"/>
                <w:sz w:val="18"/>
                <w:szCs w:val="18"/>
              </w:rPr>
            </w:pPr>
            <w:r w:rsidRPr="009D6844">
              <w:rPr>
                <w:color w:val="000000"/>
                <w:sz w:val="18"/>
                <w:szCs w:val="18"/>
              </w:rPr>
              <w:t>3,900</w:t>
            </w:r>
          </w:p>
        </w:tc>
        <w:tc>
          <w:tcPr>
            <w:tcW w:w="605" w:type="pct"/>
            <w:gridSpan w:val="3"/>
            <w:shd w:val="clear" w:color="auto" w:fill="auto"/>
            <w:noWrap/>
          </w:tcPr>
          <w:p w14:paraId="6153D242" w14:textId="77777777" w:rsidR="004E042D" w:rsidRPr="009D6844" w:rsidRDefault="004E042D" w:rsidP="004E042D">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67B6270F" w14:textId="77777777" w:rsidR="004E042D" w:rsidRPr="00E51DA5" w:rsidRDefault="004E042D" w:rsidP="004E042D">
            <w:pPr>
              <w:pStyle w:val="NoSpacing"/>
              <w:jc w:val="right"/>
              <w:rPr>
                <w:sz w:val="18"/>
                <w:szCs w:val="18"/>
              </w:rPr>
            </w:pPr>
            <w:r w:rsidRPr="00E51DA5">
              <w:rPr>
                <w:sz w:val="18"/>
                <w:szCs w:val="18"/>
              </w:rPr>
              <w:t xml:space="preserve">$178,854 </w:t>
            </w:r>
          </w:p>
        </w:tc>
      </w:tr>
      <w:tr w:rsidR="004E042D" w:rsidRPr="005F38E7" w14:paraId="191FFCBB" w14:textId="77777777" w:rsidTr="004E042D">
        <w:trPr>
          <w:trHeight w:val="20"/>
        </w:trPr>
        <w:tc>
          <w:tcPr>
            <w:tcW w:w="1261" w:type="pct"/>
            <w:shd w:val="clear" w:color="auto" w:fill="auto"/>
            <w:vAlign w:val="center"/>
          </w:tcPr>
          <w:p w14:paraId="32277961" w14:textId="77777777" w:rsidR="004E042D" w:rsidRPr="005F38E7" w:rsidRDefault="004E042D" w:rsidP="004E042D">
            <w:pPr>
              <w:pStyle w:val="NoSpacing"/>
              <w:rPr>
                <w:rFonts w:cstheme="minorHAnsi"/>
                <w:sz w:val="18"/>
                <w:szCs w:val="18"/>
              </w:rPr>
            </w:pPr>
            <w:r w:rsidRPr="005F38E7">
              <w:rPr>
                <w:rFonts w:eastAsia="Times New Roman" w:cs="Calibri"/>
                <w:color w:val="000000"/>
                <w:sz w:val="18"/>
                <w:szCs w:val="18"/>
              </w:rPr>
              <w:t>Students’ parents</w:t>
            </w:r>
          </w:p>
        </w:tc>
        <w:tc>
          <w:tcPr>
            <w:tcW w:w="376" w:type="pct"/>
            <w:vAlign w:val="center"/>
          </w:tcPr>
          <w:p w14:paraId="2F684F3D" w14:textId="77777777" w:rsidR="004E042D" w:rsidRPr="009D6844" w:rsidRDefault="004E042D" w:rsidP="004E042D">
            <w:pPr>
              <w:pStyle w:val="NoSpacing"/>
              <w:jc w:val="right"/>
              <w:rPr>
                <w:rFonts w:cstheme="minorHAnsi"/>
                <w:sz w:val="18"/>
                <w:szCs w:val="18"/>
              </w:rPr>
            </w:pPr>
            <w:r w:rsidRPr="009D6844">
              <w:rPr>
                <w:color w:val="000000"/>
                <w:sz w:val="18"/>
                <w:szCs w:val="18"/>
              </w:rPr>
              <w:t>26,100</w:t>
            </w:r>
          </w:p>
        </w:tc>
        <w:tc>
          <w:tcPr>
            <w:tcW w:w="378" w:type="pct"/>
            <w:vAlign w:val="center"/>
          </w:tcPr>
          <w:p w14:paraId="4FB49833" w14:textId="77777777" w:rsidR="004E042D" w:rsidRPr="009D6844" w:rsidRDefault="004E042D" w:rsidP="004E042D">
            <w:pPr>
              <w:pStyle w:val="NoSpacing"/>
              <w:jc w:val="right"/>
              <w:rPr>
                <w:rFonts w:cstheme="minorHAnsi"/>
                <w:sz w:val="18"/>
                <w:szCs w:val="18"/>
              </w:rPr>
            </w:pPr>
            <w:r w:rsidRPr="009D6844">
              <w:rPr>
                <w:color w:val="000000"/>
                <w:sz w:val="18"/>
                <w:szCs w:val="18"/>
              </w:rPr>
              <w:t>95%</w:t>
            </w:r>
          </w:p>
        </w:tc>
        <w:tc>
          <w:tcPr>
            <w:tcW w:w="585" w:type="pct"/>
            <w:vAlign w:val="center"/>
          </w:tcPr>
          <w:p w14:paraId="5E3FA97A" w14:textId="77777777" w:rsidR="004E042D" w:rsidRPr="009D6844" w:rsidRDefault="004E042D" w:rsidP="004E042D">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4B559C10" w14:textId="77777777" w:rsidR="004E042D" w:rsidRPr="009D6844" w:rsidRDefault="004E042D" w:rsidP="004E042D">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2E50FD7C" w14:textId="77777777" w:rsidR="004E042D" w:rsidRPr="009D6844" w:rsidRDefault="004E042D" w:rsidP="004E042D">
            <w:pPr>
              <w:pStyle w:val="NoSpacing"/>
              <w:jc w:val="right"/>
              <w:rPr>
                <w:rFonts w:cstheme="minorHAnsi"/>
                <w:sz w:val="18"/>
                <w:szCs w:val="18"/>
              </w:rPr>
            </w:pPr>
            <w:r w:rsidRPr="009D6844">
              <w:rPr>
                <w:color w:val="000000"/>
                <w:sz w:val="18"/>
                <w:szCs w:val="18"/>
              </w:rPr>
              <w:t>10</w:t>
            </w:r>
          </w:p>
        </w:tc>
        <w:tc>
          <w:tcPr>
            <w:tcW w:w="370" w:type="pct"/>
            <w:shd w:val="clear" w:color="auto" w:fill="auto"/>
            <w:noWrap/>
            <w:vAlign w:val="center"/>
          </w:tcPr>
          <w:p w14:paraId="7419588F" w14:textId="77777777" w:rsidR="004E042D" w:rsidRPr="009D6844" w:rsidRDefault="004E042D" w:rsidP="004E042D">
            <w:pPr>
              <w:pStyle w:val="NoSpacing"/>
              <w:jc w:val="right"/>
              <w:rPr>
                <w:rFonts w:cstheme="minorHAnsi"/>
                <w:sz w:val="18"/>
                <w:szCs w:val="18"/>
              </w:rPr>
            </w:pPr>
            <w:r w:rsidRPr="009D6844">
              <w:rPr>
                <w:color w:val="000000"/>
                <w:sz w:val="18"/>
                <w:szCs w:val="18"/>
              </w:rPr>
              <w:t>4,133</w:t>
            </w:r>
          </w:p>
        </w:tc>
        <w:tc>
          <w:tcPr>
            <w:tcW w:w="605" w:type="pct"/>
            <w:gridSpan w:val="3"/>
            <w:shd w:val="clear" w:color="auto" w:fill="auto"/>
            <w:noWrap/>
            <w:vAlign w:val="center"/>
          </w:tcPr>
          <w:p w14:paraId="0B674FFA" w14:textId="77777777" w:rsidR="004E042D" w:rsidRPr="009D6844" w:rsidRDefault="004E042D" w:rsidP="004E042D">
            <w:pPr>
              <w:pStyle w:val="NoSpacing"/>
              <w:jc w:val="right"/>
              <w:rPr>
                <w:sz w:val="18"/>
                <w:szCs w:val="18"/>
              </w:rPr>
            </w:pPr>
            <w:r w:rsidRPr="009D6844">
              <w:rPr>
                <w:color w:val="000000"/>
                <w:sz w:val="18"/>
                <w:szCs w:val="18"/>
              </w:rPr>
              <w:t>$</w:t>
            </w:r>
            <w:r>
              <w:rPr>
                <w:color w:val="000000"/>
                <w:sz w:val="18"/>
                <w:szCs w:val="18"/>
              </w:rPr>
              <w:t>23.86</w:t>
            </w:r>
            <w:r w:rsidRPr="009D6844">
              <w:rPr>
                <w:color w:val="000000"/>
                <w:sz w:val="18"/>
                <w:szCs w:val="18"/>
              </w:rPr>
              <w:t xml:space="preserve"> </w:t>
            </w:r>
          </w:p>
        </w:tc>
        <w:tc>
          <w:tcPr>
            <w:tcW w:w="521" w:type="pct"/>
            <w:shd w:val="clear" w:color="auto" w:fill="auto"/>
            <w:noWrap/>
          </w:tcPr>
          <w:p w14:paraId="1573DE33" w14:textId="77777777" w:rsidR="004E042D" w:rsidRPr="00E51DA5" w:rsidRDefault="004E042D" w:rsidP="004E042D">
            <w:pPr>
              <w:pStyle w:val="NoSpacing"/>
              <w:jc w:val="right"/>
              <w:rPr>
                <w:sz w:val="18"/>
                <w:szCs w:val="18"/>
              </w:rPr>
            </w:pPr>
            <w:r w:rsidRPr="00E51DA5">
              <w:rPr>
                <w:sz w:val="18"/>
                <w:szCs w:val="18"/>
              </w:rPr>
              <w:t xml:space="preserve">$98,613 </w:t>
            </w:r>
          </w:p>
        </w:tc>
      </w:tr>
      <w:tr w:rsidR="004E042D" w:rsidRPr="005F38E7" w14:paraId="6C301A8B" w14:textId="77777777" w:rsidTr="004E042D">
        <w:trPr>
          <w:trHeight w:val="20"/>
        </w:trPr>
        <w:tc>
          <w:tcPr>
            <w:tcW w:w="1261" w:type="pct"/>
            <w:shd w:val="clear" w:color="auto" w:fill="F2F2F2" w:themeFill="background1" w:themeFillShade="F2"/>
            <w:vAlign w:val="center"/>
          </w:tcPr>
          <w:p w14:paraId="7B2F603B" w14:textId="77777777" w:rsidR="004E042D" w:rsidRPr="009D6844" w:rsidRDefault="004E042D" w:rsidP="004E042D">
            <w:pPr>
              <w:pStyle w:val="NoSpacing"/>
              <w:ind w:right="-108" w:firstLine="5"/>
              <w:rPr>
                <w:rFonts w:cstheme="minorHAnsi"/>
                <w:sz w:val="18"/>
                <w:szCs w:val="18"/>
              </w:rPr>
            </w:pPr>
            <w:r w:rsidRPr="009D6844">
              <w:rPr>
                <w:rFonts w:cstheme="minorHAnsi"/>
                <w:b/>
                <w:sz w:val="18"/>
                <w:szCs w:val="18"/>
              </w:rPr>
              <w:t xml:space="preserve">Total for </w:t>
            </w:r>
            <w:r>
              <w:rPr>
                <w:rFonts w:cstheme="minorHAnsi"/>
                <w:b/>
                <w:sz w:val="18"/>
                <w:szCs w:val="18"/>
              </w:rPr>
              <w:t>MS1</w:t>
            </w:r>
            <w:r w:rsidRPr="009D6844">
              <w:rPr>
                <w:rFonts w:cstheme="minorHAnsi"/>
                <w:b/>
                <w:sz w:val="18"/>
                <w:szCs w:val="18"/>
              </w:rPr>
              <w:t xml:space="preserve"> Recruitment</w:t>
            </w:r>
            <w:r w:rsidRPr="009D6844">
              <w:rPr>
                <w:rFonts w:cstheme="minorHAnsi"/>
                <w:b/>
                <w:sz w:val="18"/>
                <w:szCs w:val="18"/>
                <w:vertAlign w:val="superscript"/>
              </w:rPr>
              <w:t>2</w:t>
            </w:r>
          </w:p>
        </w:tc>
        <w:tc>
          <w:tcPr>
            <w:tcW w:w="376" w:type="pct"/>
            <w:shd w:val="clear" w:color="auto" w:fill="F2F2F2" w:themeFill="background1" w:themeFillShade="F2"/>
            <w:vAlign w:val="center"/>
          </w:tcPr>
          <w:p w14:paraId="638BB084" w14:textId="77777777" w:rsidR="004E042D" w:rsidRPr="009D6844" w:rsidRDefault="004E042D" w:rsidP="004E042D">
            <w:pPr>
              <w:pStyle w:val="NoSpacing"/>
              <w:jc w:val="right"/>
              <w:rPr>
                <w:rFonts w:cstheme="minorHAnsi"/>
                <w:sz w:val="18"/>
                <w:szCs w:val="18"/>
              </w:rPr>
            </w:pPr>
            <w:r w:rsidRPr="009D6844">
              <w:rPr>
                <w:rFonts w:eastAsia="Times New Roman" w:cs="Calibri"/>
                <w:b/>
                <w:bCs/>
                <w:color w:val="000000"/>
                <w:sz w:val="18"/>
                <w:szCs w:val="18"/>
              </w:rPr>
              <w:t>-</w:t>
            </w:r>
          </w:p>
        </w:tc>
        <w:tc>
          <w:tcPr>
            <w:tcW w:w="378" w:type="pct"/>
            <w:shd w:val="clear" w:color="auto" w:fill="F2F2F2" w:themeFill="background1" w:themeFillShade="F2"/>
            <w:vAlign w:val="center"/>
          </w:tcPr>
          <w:p w14:paraId="00FFA62D" w14:textId="77777777" w:rsidR="004E042D" w:rsidRPr="009D6844" w:rsidRDefault="004E042D" w:rsidP="004E042D">
            <w:pPr>
              <w:pStyle w:val="NoSpacing"/>
              <w:jc w:val="right"/>
              <w:rPr>
                <w:rFonts w:cstheme="minorHAnsi"/>
                <w:sz w:val="18"/>
                <w:szCs w:val="18"/>
              </w:rPr>
            </w:pPr>
            <w:r w:rsidRPr="009D6844">
              <w:rPr>
                <w:b/>
                <w:bCs/>
                <w:color w:val="000000"/>
                <w:sz w:val="18"/>
                <w:szCs w:val="18"/>
              </w:rPr>
              <w:t>-</w:t>
            </w:r>
          </w:p>
        </w:tc>
        <w:tc>
          <w:tcPr>
            <w:tcW w:w="585" w:type="pct"/>
            <w:shd w:val="clear" w:color="auto" w:fill="F2F2F2" w:themeFill="background1" w:themeFillShade="F2"/>
            <w:vAlign w:val="center"/>
          </w:tcPr>
          <w:p w14:paraId="6A96C73D" w14:textId="77777777" w:rsidR="004E042D" w:rsidRPr="009D6844" w:rsidRDefault="004E042D" w:rsidP="004E042D">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35666686" w14:textId="77777777" w:rsidR="004E042D" w:rsidRPr="009D6844" w:rsidRDefault="004E042D" w:rsidP="004E042D">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3477EF2F" w14:textId="77777777" w:rsidR="004E042D" w:rsidRPr="009D6844" w:rsidRDefault="004E042D" w:rsidP="004E042D">
            <w:pPr>
              <w:pStyle w:val="NoSpacing"/>
              <w:jc w:val="right"/>
              <w:rPr>
                <w:rFonts w:cstheme="minorHAnsi"/>
                <w:sz w:val="18"/>
                <w:szCs w:val="18"/>
              </w:rPr>
            </w:pPr>
            <w:r w:rsidRPr="009D6844">
              <w:rPr>
                <w:b/>
                <w:bCs/>
                <w:color w:val="000000"/>
                <w:sz w:val="18"/>
                <w:szCs w:val="18"/>
              </w:rPr>
              <w:t>-</w:t>
            </w:r>
          </w:p>
        </w:tc>
        <w:tc>
          <w:tcPr>
            <w:tcW w:w="370" w:type="pct"/>
            <w:shd w:val="clear" w:color="auto" w:fill="F2F2F2" w:themeFill="background1" w:themeFillShade="F2"/>
            <w:noWrap/>
            <w:vAlign w:val="center"/>
          </w:tcPr>
          <w:p w14:paraId="781FA301" w14:textId="77777777" w:rsidR="004E042D" w:rsidRPr="009D6844" w:rsidRDefault="004E042D" w:rsidP="004E042D">
            <w:pPr>
              <w:pStyle w:val="NoSpacing"/>
              <w:ind w:left="-98"/>
              <w:jc w:val="right"/>
              <w:rPr>
                <w:rFonts w:cstheme="minorHAnsi"/>
                <w:sz w:val="18"/>
                <w:szCs w:val="18"/>
              </w:rPr>
            </w:pPr>
            <w:r w:rsidRPr="009D6844">
              <w:rPr>
                <w:b/>
                <w:bCs/>
                <w:color w:val="000000"/>
                <w:sz w:val="18"/>
                <w:szCs w:val="18"/>
              </w:rPr>
              <w:t>14,679</w:t>
            </w:r>
          </w:p>
        </w:tc>
        <w:tc>
          <w:tcPr>
            <w:tcW w:w="605" w:type="pct"/>
            <w:gridSpan w:val="3"/>
            <w:shd w:val="clear" w:color="auto" w:fill="F2F2F2" w:themeFill="background1" w:themeFillShade="F2"/>
            <w:noWrap/>
            <w:vAlign w:val="center"/>
          </w:tcPr>
          <w:p w14:paraId="70BD61C2" w14:textId="77777777" w:rsidR="004E042D" w:rsidRPr="009D6844" w:rsidRDefault="004E042D" w:rsidP="004E042D">
            <w:pPr>
              <w:pStyle w:val="NoSpacing"/>
              <w:jc w:val="right"/>
              <w:rPr>
                <w:sz w:val="18"/>
                <w:szCs w:val="18"/>
              </w:rPr>
            </w:pPr>
            <w:r w:rsidRPr="009D6844">
              <w:rPr>
                <w:b/>
                <w:bCs/>
                <w:color w:val="000000"/>
                <w:sz w:val="18"/>
                <w:szCs w:val="18"/>
              </w:rPr>
              <w:t>-</w:t>
            </w:r>
          </w:p>
        </w:tc>
        <w:tc>
          <w:tcPr>
            <w:tcW w:w="521" w:type="pct"/>
            <w:shd w:val="clear" w:color="auto" w:fill="F2F2F2" w:themeFill="background1" w:themeFillShade="F2"/>
            <w:noWrap/>
          </w:tcPr>
          <w:p w14:paraId="2C5C4E2F" w14:textId="77777777" w:rsidR="004E042D" w:rsidRPr="00E51DA5" w:rsidRDefault="004E042D" w:rsidP="004E042D">
            <w:pPr>
              <w:pStyle w:val="NoSpacing"/>
              <w:jc w:val="right"/>
              <w:rPr>
                <w:b/>
                <w:sz w:val="18"/>
                <w:szCs w:val="18"/>
              </w:rPr>
            </w:pPr>
            <w:r w:rsidRPr="00E51DA5">
              <w:rPr>
                <w:b/>
                <w:sz w:val="18"/>
                <w:szCs w:val="18"/>
              </w:rPr>
              <w:t xml:space="preserve">$582,252 </w:t>
            </w:r>
          </w:p>
        </w:tc>
      </w:tr>
      <w:tr w:rsidR="004E042D" w:rsidRPr="00651C99" w14:paraId="52F4DFD5" w14:textId="77777777" w:rsidTr="004E042D">
        <w:trPr>
          <w:trHeight w:val="20"/>
        </w:trPr>
        <w:tc>
          <w:tcPr>
            <w:tcW w:w="5000" w:type="pct"/>
            <w:gridSpan w:val="11"/>
            <w:shd w:val="clear" w:color="auto" w:fill="auto"/>
            <w:vAlign w:val="center"/>
          </w:tcPr>
          <w:p w14:paraId="0C772C8D" w14:textId="77777777" w:rsidR="004E042D" w:rsidRPr="00651C99" w:rsidRDefault="004E042D" w:rsidP="004E042D">
            <w:pPr>
              <w:pStyle w:val="NoSpacing"/>
              <w:rPr>
                <w:rFonts w:cstheme="minorHAnsi"/>
                <w:b/>
                <w:i/>
                <w:sz w:val="18"/>
                <w:szCs w:val="18"/>
              </w:rPr>
            </w:pPr>
            <w:r>
              <w:rPr>
                <w:rFonts w:cstheme="minorHAnsi"/>
                <w:b/>
                <w:i/>
                <w:sz w:val="18"/>
                <w:szCs w:val="18"/>
              </w:rPr>
              <w:t>MS1 Data Collection</w:t>
            </w:r>
          </w:p>
        </w:tc>
      </w:tr>
      <w:tr w:rsidR="004E042D" w:rsidRPr="00651C99" w14:paraId="6E3D1E54" w14:textId="77777777" w:rsidTr="004E042D">
        <w:trPr>
          <w:trHeight w:val="20"/>
        </w:trPr>
        <w:tc>
          <w:tcPr>
            <w:tcW w:w="5000" w:type="pct"/>
            <w:gridSpan w:val="11"/>
            <w:shd w:val="clear" w:color="auto" w:fill="auto"/>
            <w:vAlign w:val="center"/>
          </w:tcPr>
          <w:p w14:paraId="173BDA94" w14:textId="77777777" w:rsidR="004E042D" w:rsidRPr="00EF716E" w:rsidRDefault="004E042D" w:rsidP="004E042D">
            <w:pPr>
              <w:pStyle w:val="NoSpacing"/>
              <w:rPr>
                <w:rFonts w:cstheme="minorHAnsi"/>
                <w:b/>
                <w:i/>
                <w:sz w:val="18"/>
                <w:szCs w:val="18"/>
              </w:rPr>
            </w:pPr>
            <w:r w:rsidRPr="00EF716E">
              <w:rPr>
                <w:rFonts w:cstheme="minorHAnsi"/>
                <w:b/>
                <w:i/>
                <w:sz w:val="18"/>
                <w:szCs w:val="18"/>
              </w:rPr>
              <w:t>Students and Parents</w:t>
            </w:r>
          </w:p>
        </w:tc>
      </w:tr>
      <w:tr w:rsidR="004E042D" w:rsidRPr="00651C99" w14:paraId="78BFCE60" w14:textId="77777777" w:rsidTr="004E042D">
        <w:trPr>
          <w:trHeight w:val="20"/>
        </w:trPr>
        <w:tc>
          <w:tcPr>
            <w:tcW w:w="1261" w:type="pct"/>
            <w:shd w:val="clear" w:color="auto" w:fill="auto"/>
            <w:vAlign w:val="center"/>
          </w:tcPr>
          <w:p w14:paraId="39C1700E" w14:textId="77777777" w:rsidR="004E042D" w:rsidRPr="00651C99" w:rsidRDefault="004E042D" w:rsidP="004E042D">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4CF4A65F" w14:textId="77777777" w:rsidR="004E042D" w:rsidRPr="00CB35D2" w:rsidRDefault="004E042D" w:rsidP="004E042D">
            <w:pPr>
              <w:pStyle w:val="NoSpacing"/>
              <w:jc w:val="right"/>
              <w:rPr>
                <w:rFonts w:cstheme="minorHAnsi"/>
                <w:sz w:val="18"/>
                <w:szCs w:val="18"/>
              </w:rPr>
            </w:pPr>
            <w:r w:rsidRPr="00CB35D2">
              <w:rPr>
                <w:rFonts w:cstheme="minorHAnsi"/>
                <w:sz w:val="18"/>
                <w:szCs w:val="18"/>
              </w:rPr>
              <w:t>26,100</w:t>
            </w:r>
          </w:p>
        </w:tc>
        <w:tc>
          <w:tcPr>
            <w:tcW w:w="378" w:type="pct"/>
            <w:vAlign w:val="center"/>
          </w:tcPr>
          <w:p w14:paraId="609F69D2" w14:textId="77777777" w:rsidR="004E042D" w:rsidRPr="00CB35D2" w:rsidRDefault="004E042D" w:rsidP="004E042D">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5EAB78ED" w14:textId="77777777" w:rsidR="004E042D" w:rsidRPr="00CB35D2" w:rsidRDefault="004E042D" w:rsidP="004E042D">
            <w:pPr>
              <w:pStyle w:val="NoSpacing"/>
              <w:jc w:val="right"/>
              <w:rPr>
                <w:rFonts w:cstheme="minorHAnsi"/>
                <w:sz w:val="18"/>
                <w:szCs w:val="18"/>
              </w:rPr>
            </w:pPr>
            <w:r>
              <w:rPr>
                <w:rFonts w:cstheme="minorHAnsi"/>
                <w:sz w:val="18"/>
                <w:szCs w:val="18"/>
              </w:rPr>
              <w:t>22,185</w:t>
            </w:r>
          </w:p>
        </w:tc>
        <w:tc>
          <w:tcPr>
            <w:tcW w:w="452" w:type="pct"/>
            <w:noWrap/>
            <w:vAlign w:val="center"/>
          </w:tcPr>
          <w:p w14:paraId="734AFB8E" w14:textId="77777777" w:rsidR="004E042D" w:rsidRPr="00CB35D2" w:rsidRDefault="004E042D" w:rsidP="004E042D">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1EA1602A" w14:textId="77777777" w:rsidR="004E042D" w:rsidRPr="00CB35D2" w:rsidRDefault="004E042D" w:rsidP="004E042D">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2FF2DC30" w14:textId="77777777" w:rsidR="004E042D" w:rsidRPr="00EF716E" w:rsidRDefault="004E042D" w:rsidP="004E042D">
            <w:pPr>
              <w:pStyle w:val="NoSpacing"/>
              <w:jc w:val="right"/>
              <w:rPr>
                <w:rFonts w:cstheme="minorHAnsi"/>
                <w:color w:val="0070C0"/>
                <w:sz w:val="18"/>
                <w:szCs w:val="18"/>
              </w:rPr>
            </w:pPr>
            <w:r>
              <w:rPr>
                <w:rFonts w:cstheme="minorHAnsi"/>
                <w:sz w:val="18"/>
                <w:szCs w:val="18"/>
              </w:rPr>
              <w:t>7,395</w:t>
            </w:r>
          </w:p>
        </w:tc>
        <w:tc>
          <w:tcPr>
            <w:tcW w:w="605" w:type="pct"/>
            <w:gridSpan w:val="3"/>
            <w:shd w:val="clear" w:color="auto" w:fill="auto"/>
            <w:noWrap/>
            <w:vAlign w:val="center"/>
          </w:tcPr>
          <w:p w14:paraId="12F5E85E" w14:textId="77777777" w:rsidR="004E042D" w:rsidRPr="00CB35D2" w:rsidRDefault="004E042D" w:rsidP="004E042D">
            <w:pPr>
              <w:pStyle w:val="NoSpacing"/>
              <w:jc w:val="right"/>
              <w:rPr>
                <w:sz w:val="18"/>
                <w:szCs w:val="18"/>
              </w:rPr>
            </w:pPr>
            <w:r w:rsidRPr="00CB35D2">
              <w:rPr>
                <w:sz w:val="18"/>
                <w:szCs w:val="18"/>
              </w:rPr>
              <w:t xml:space="preserve">$7.25 </w:t>
            </w:r>
          </w:p>
        </w:tc>
        <w:tc>
          <w:tcPr>
            <w:tcW w:w="521" w:type="pct"/>
            <w:shd w:val="clear" w:color="auto" w:fill="auto"/>
            <w:noWrap/>
            <w:vAlign w:val="center"/>
          </w:tcPr>
          <w:p w14:paraId="7EE02A32" w14:textId="77777777" w:rsidR="004E042D" w:rsidRPr="00EF716E" w:rsidRDefault="004E042D" w:rsidP="004E042D">
            <w:pPr>
              <w:pStyle w:val="NoSpacing"/>
              <w:jc w:val="right"/>
              <w:rPr>
                <w:color w:val="0070C0"/>
                <w:sz w:val="18"/>
                <w:szCs w:val="18"/>
              </w:rPr>
            </w:pPr>
            <w:r w:rsidRPr="0071268F">
              <w:rPr>
                <w:sz w:val="18"/>
                <w:szCs w:val="18"/>
              </w:rPr>
              <w:t>$</w:t>
            </w:r>
            <w:r>
              <w:rPr>
                <w:sz w:val="18"/>
                <w:szCs w:val="18"/>
              </w:rPr>
              <w:t>53,614</w:t>
            </w:r>
            <w:r w:rsidRPr="0071268F">
              <w:rPr>
                <w:sz w:val="18"/>
                <w:szCs w:val="18"/>
              </w:rPr>
              <w:t xml:space="preserve"> </w:t>
            </w:r>
          </w:p>
        </w:tc>
      </w:tr>
      <w:tr w:rsidR="004E042D" w:rsidRPr="00651C99" w14:paraId="56A10256" w14:textId="77777777" w:rsidTr="004E042D">
        <w:trPr>
          <w:trHeight w:val="20"/>
        </w:trPr>
        <w:tc>
          <w:tcPr>
            <w:tcW w:w="1261" w:type="pct"/>
            <w:shd w:val="clear" w:color="auto" w:fill="auto"/>
            <w:vAlign w:val="center"/>
          </w:tcPr>
          <w:p w14:paraId="715D2FA2" w14:textId="77777777" w:rsidR="004E042D" w:rsidRPr="00A15D10" w:rsidRDefault="004E042D" w:rsidP="004E042D">
            <w:pPr>
              <w:pStyle w:val="NoSpacing"/>
              <w:rPr>
                <w:rFonts w:cstheme="minorHAnsi"/>
                <w:color w:val="808080" w:themeColor="background1" w:themeShade="80"/>
                <w:sz w:val="18"/>
                <w:szCs w:val="18"/>
                <w:vertAlign w:val="superscript"/>
              </w:rPr>
            </w:pPr>
            <w:r w:rsidRPr="00790913">
              <w:rPr>
                <w:rFonts w:cstheme="minorHAnsi"/>
                <w:color w:val="808080" w:themeColor="background1" w:themeShade="80"/>
                <w:sz w:val="18"/>
                <w:szCs w:val="18"/>
              </w:rPr>
              <w:t xml:space="preserve"> Student Assessment (in-school)</w:t>
            </w:r>
            <w:r w:rsidRPr="00790913">
              <w:rPr>
                <w:rFonts w:cstheme="minorHAnsi"/>
                <w:color w:val="808080" w:themeColor="background1" w:themeShade="80"/>
                <w:sz w:val="18"/>
                <w:szCs w:val="18"/>
                <w:vertAlign w:val="superscript"/>
              </w:rPr>
              <w:t>3</w:t>
            </w:r>
          </w:p>
        </w:tc>
        <w:tc>
          <w:tcPr>
            <w:tcW w:w="376" w:type="pct"/>
            <w:vAlign w:val="center"/>
          </w:tcPr>
          <w:p w14:paraId="1EF9564F" w14:textId="77777777" w:rsidR="004E042D" w:rsidRPr="00790913" w:rsidRDefault="004E042D" w:rsidP="004E042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25,520</w:t>
            </w:r>
          </w:p>
        </w:tc>
        <w:tc>
          <w:tcPr>
            <w:tcW w:w="378" w:type="pct"/>
            <w:vAlign w:val="center"/>
          </w:tcPr>
          <w:p w14:paraId="5E70E34C" w14:textId="77777777" w:rsidR="004E042D" w:rsidRPr="00790913" w:rsidRDefault="004E042D" w:rsidP="004E042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2BCCC935" w14:textId="77777777" w:rsidR="004E042D" w:rsidRPr="00790913"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21,692</w:t>
            </w:r>
          </w:p>
        </w:tc>
        <w:tc>
          <w:tcPr>
            <w:tcW w:w="452" w:type="pct"/>
            <w:noWrap/>
            <w:vAlign w:val="center"/>
          </w:tcPr>
          <w:p w14:paraId="6A4FADA0" w14:textId="77777777" w:rsidR="004E042D" w:rsidRPr="00790913"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21,692</w:t>
            </w:r>
          </w:p>
        </w:tc>
        <w:tc>
          <w:tcPr>
            <w:tcW w:w="452" w:type="pct"/>
            <w:shd w:val="clear" w:color="auto" w:fill="auto"/>
            <w:noWrap/>
            <w:vAlign w:val="center"/>
          </w:tcPr>
          <w:p w14:paraId="0DC4B5E2" w14:textId="77777777" w:rsidR="004E042D" w:rsidRPr="00790913"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370" w:type="pct"/>
            <w:shd w:val="clear" w:color="auto" w:fill="auto"/>
            <w:noWrap/>
            <w:vAlign w:val="center"/>
          </w:tcPr>
          <w:p w14:paraId="4E826203" w14:textId="77777777" w:rsidR="004E042D" w:rsidRPr="00790913" w:rsidRDefault="004E042D" w:rsidP="004E042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25,307</w:t>
            </w:r>
          </w:p>
        </w:tc>
        <w:tc>
          <w:tcPr>
            <w:tcW w:w="605" w:type="pct"/>
            <w:gridSpan w:val="3"/>
            <w:shd w:val="clear" w:color="auto" w:fill="auto"/>
            <w:noWrap/>
            <w:vAlign w:val="center"/>
          </w:tcPr>
          <w:p w14:paraId="7AF6EECB" w14:textId="77777777" w:rsidR="004E042D" w:rsidRPr="00CB35D2" w:rsidRDefault="004E042D" w:rsidP="004E042D">
            <w:pPr>
              <w:pStyle w:val="NoSpacing"/>
              <w:jc w:val="right"/>
              <w:rPr>
                <w:sz w:val="18"/>
                <w:szCs w:val="18"/>
              </w:rPr>
            </w:pPr>
            <w:r w:rsidRPr="00CB35D2">
              <w:rPr>
                <w:sz w:val="18"/>
                <w:szCs w:val="18"/>
              </w:rPr>
              <w:t>‒</w:t>
            </w:r>
          </w:p>
        </w:tc>
        <w:tc>
          <w:tcPr>
            <w:tcW w:w="521" w:type="pct"/>
            <w:shd w:val="clear" w:color="auto" w:fill="auto"/>
            <w:noWrap/>
            <w:vAlign w:val="center"/>
          </w:tcPr>
          <w:p w14:paraId="6E33DC8D" w14:textId="77777777" w:rsidR="004E042D" w:rsidRPr="00EF716E" w:rsidRDefault="004E042D" w:rsidP="004E042D">
            <w:pPr>
              <w:pStyle w:val="NoSpacing"/>
              <w:jc w:val="right"/>
              <w:rPr>
                <w:color w:val="808080" w:themeColor="background1" w:themeShade="80"/>
                <w:sz w:val="18"/>
                <w:szCs w:val="18"/>
              </w:rPr>
            </w:pPr>
            <w:r w:rsidRPr="00467BF9">
              <w:rPr>
                <w:sz w:val="18"/>
                <w:szCs w:val="18"/>
              </w:rPr>
              <w:t>‒</w:t>
            </w:r>
          </w:p>
        </w:tc>
      </w:tr>
      <w:tr w:rsidR="004E042D" w:rsidRPr="00651C99" w14:paraId="28F5727B" w14:textId="77777777" w:rsidTr="004E042D">
        <w:trPr>
          <w:trHeight w:val="20"/>
        </w:trPr>
        <w:tc>
          <w:tcPr>
            <w:tcW w:w="1261" w:type="pct"/>
            <w:shd w:val="clear" w:color="auto" w:fill="auto"/>
            <w:vAlign w:val="center"/>
          </w:tcPr>
          <w:p w14:paraId="79E3737B" w14:textId="77777777" w:rsidR="004E042D" w:rsidRPr="00A15D10" w:rsidRDefault="004E042D" w:rsidP="004E042D">
            <w:pPr>
              <w:pStyle w:val="NoSpacing"/>
              <w:ind w:right="-124"/>
              <w:rPr>
                <w:rFonts w:cstheme="minorHAnsi"/>
                <w:color w:val="808080" w:themeColor="background1" w:themeShade="80"/>
                <w:sz w:val="18"/>
                <w:szCs w:val="18"/>
                <w:vertAlign w:val="superscript"/>
              </w:rPr>
            </w:pPr>
            <w:r>
              <w:rPr>
                <w:rFonts w:cstheme="minorHAnsi"/>
                <w:color w:val="808080" w:themeColor="background1" w:themeShade="80"/>
                <w:sz w:val="18"/>
                <w:szCs w:val="18"/>
              </w:rPr>
              <w:t xml:space="preserve"> </w:t>
            </w:r>
            <w:r w:rsidRPr="00790913">
              <w:rPr>
                <w:rFonts w:cstheme="minorHAnsi"/>
                <w:color w:val="808080" w:themeColor="background1" w:themeShade="80"/>
                <w:sz w:val="18"/>
                <w:szCs w:val="18"/>
              </w:rPr>
              <w:t>Student Assessment (</w:t>
            </w:r>
            <w:r w:rsidRPr="00A15D10">
              <w:rPr>
                <w:rFonts w:cstheme="minorHAnsi"/>
                <w:color w:val="808080" w:themeColor="background1" w:themeShade="80"/>
                <w:sz w:val="17"/>
                <w:szCs w:val="17"/>
              </w:rPr>
              <w:t>out-of-school</w:t>
            </w:r>
            <w:r w:rsidRPr="00790913">
              <w:rPr>
                <w:rFonts w:cstheme="minorHAnsi"/>
                <w:color w:val="808080" w:themeColor="background1" w:themeShade="80"/>
                <w:sz w:val="18"/>
                <w:szCs w:val="18"/>
              </w:rPr>
              <w:t>)</w:t>
            </w:r>
            <w:r>
              <w:rPr>
                <w:rFonts w:cstheme="minorHAnsi"/>
                <w:color w:val="808080" w:themeColor="background1" w:themeShade="80"/>
                <w:sz w:val="18"/>
                <w:szCs w:val="18"/>
                <w:vertAlign w:val="superscript"/>
              </w:rPr>
              <w:t>3</w:t>
            </w:r>
          </w:p>
        </w:tc>
        <w:tc>
          <w:tcPr>
            <w:tcW w:w="376" w:type="pct"/>
            <w:vAlign w:val="center"/>
          </w:tcPr>
          <w:p w14:paraId="25D23883" w14:textId="77777777" w:rsidR="004E042D" w:rsidRPr="00790913" w:rsidRDefault="004E042D" w:rsidP="004E042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580</w:t>
            </w:r>
          </w:p>
        </w:tc>
        <w:tc>
          <w:tcPr>
            <w:tcW w:w="378" w:type="pct"/>
            <w:vAlign w:val="center"/>
          </w:tcPr>
          <w:p w14:paraId="0CCEB29D" w14:textId="77777777" w:rsidR="004E042D" w:rsidRPr="00790913" w:rsidRDefault="004E042D" w:rsidP="004E042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70A6ED46" w14:textId="77777777" w:rsidR="004E042D" w:rsidRPr="00790913"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493</w:t>
            </w:r>
          </w:p>
        </w:tc>
        <w:tc>
          <w:tcPr>
            <w:tcW w:w="452" w:type="pct"/>
            <w:noWrap/>
            <w:vAlign w:val="center"/>
          </w:tcPr>
          <w:p w14:paraId="4EE99821" w14:textId="77777777" w:rsidR="004E042D" w:rsidRPr="00790913"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493</w:t>
            </w:r>
          </w:p>
        </w:tc>
        <w:tc>
          <w:tcPr>
            <w:tcW w:w="452" w:type="pct"/>
            <w:shd w:val="clear" w:color="auto" w:fill="auto"/>
            <w:noWrap/>
            <w:vAlign w:val="center"/>
          </w:tcPr>
          <w:p w14:paraId="727E1402" w14:textId="77777777" w:rsidR="004E042D" w:rsidRPr="00790913" w:rsidRDefault="004E042D" w:rsidP="004E042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35</w:t>
            </w:r>
          </w:p>
        </w:tc>
        <w:tc>
          <w:tcPr>
            <w:tcW w:w="370" w:type="pct"/>
            <w:shd w:val="clear" w:color="auto" w:fill="auto"/>
            <w:noWrap/>
            <w:vAlign w:val="center"/>
          </w:tcPr>
          <w:p w14:paraId="69D291C0" w14:textId="77777777" w:rsidR="004E042D" w:rsidRPr="00790913"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288</w:t>
            </w:r>
          </w:p>
        </w:tc>
        <w:tc>
          <w:tcPr>
            <w:tcW w:w="605" w:type="pct"/>
            <w:gridSpan w:val="3"/>
            <w:shd w:val="clear" w:color="auto" w:fill="auto"/>
            <w:noWrap/>
            <w:vAlign w:val="center"/>
          </w:tcPr>
          <w:p w14:paraId="4E2E6AB6" w14:textId="77777777" w:rsidR="004E042D" w:rsidRPr="00CB35D2" w:rsidRDefault="004E042D" w:rsidP="004E042D">
            <w:pPr>
              <w:pStyle w:val="NoSpacing"/>
              <w:jc w:val="right"/>
              <w:rPr>
                <w:sz w:val="18"/>
                <w:szCs w:val="18"/>
              </w:rPr>
            </w:pPr>
            <w:r w:rsidRPr="00CB35D2">
              <w:rPr>
                <w:sz w:val="18"/>
                <w:szCs w:val="18"/>
              </w:rPr>
              <w:t>‒</w:t>
            </w:r>
          </w:p>
        </w:tc>
        <w:tc>
          <w:tcPr>
            <w:tcW w:w="521" w:type="pct"/>
            <w:shd w:val="clear" w:color="auto" w:fill="auto"/>
            <w:noWrap/>
            <w:vAlign w:val="center"/>
          </w:tcPr>
          <w:p w14:paraId="65C09A89" w14:textId="77777777" w:rsidR="004E042D" w:rsidRPr="00EF716E" w:rsidRDefault="004E042D" w:rsidP="004E042D">
            <w:pPr>
              <w:pStyle w:val="NoSpacing"/>
              <w:jc w:val="right"/>
              <w:rPr>
                <w:color w:val="808080" w:themeColor="background1" w:themeShade="80"/>
                <w:sz w:val="18"/>
                <w:szCs w:val="18"/>
              </w:rPr>
            </w:pPr>
            <w:r w:rsidRPr="00467BF9">
              <w:rPr>
                <w:sz w:val="18"/>
                <w:szCs w:val="18"/>
              </w:rPr>
              <w:t>‒</w:t>
            </w:r>
          </w:p>
        </w:tc>
      </w:tr>
      <w:tr w:rsidR="004E042D" w:rsidRPr="00651C99" w14:paraId="11F29547" w14:textId="77777777" w:rsidTr="004E042D">
        <w:trPr>
          <w:trHeight w:val="20"/>
        </w:trPr>
        <w:tc>
          <w:tcPr>
            <w:tcW w:w="1261" w:type="pct"/>
            <w:shd w:val="clear" w:color="auto" w:fill="auto"/>
            <w:vAlign w:val="center"/>
          </w:tcPr>
          <w:p w14:paraId="6B35A40F" w14:textId="77777777" w:rsidR="004E042D" w:rsidRPr="00651C99" w:rsidRDefault="004E042D" w:rsidP="004E042D">
            <w:pPr>
              <w:pStyle w:val="NoSpacing"/>
              <w:ind w:firstLine="72"/>
              <w:rPr>
                <w:rFonts w:cstheme="minorHAnsi"/>
                <w:sz w:val="18"/>
                <w:szCs w:val="18"/>
              </w:rPr>
            </w:pPr>
            <w:r w:rsidRPr="00651C99">
              <w:rPr>
                <w:rFonts w:cstheme="minorHAnsi"/>
                <w:sz w:val="18"/>
                <w:szCs w:val="18"/>
              </w:rPr>
              <w:t>Students' parents</w:t>
            </w:r>
          </w:p>
        </w:tc>
        <w:tc>
          <w:tcPr>
            <w:tcW w:w="376" w:type="pct"/>
            <w:vAlign w:val="center"/>
          </w:tcPr>
          <w:p w14:paraId="03E3C951" w14:textId="77777777" w:rsidR="004E042D" w:rsidRPr="00CB35D2" w:rsidRDefault="004E042D" w:rsidP="004E042D">
            <w:pPr>
              <w:pStyle w:val="NoSpacing"/>
              <w:jc w:val="right"/>
              <w:rPr>
                <w:rFonts w:cstheme="minorHAnsi"/>
                <w:sz w:val="18"/>
                <w:szCs w:val="18"/>
              </w:rPr>
            </w:pPr>
            <w:r w:rsidRPr="00CB35D2">
              <w:rPr>
                <w:rFonts w:cstheme="minorHAnsi"/>
                <w:sz w:val="18"/>
                <w:szCs w:val="18"/>
              </w:rPr>
              <w:t>26,100</w:t>
            </w:r>
            <w:r>
              <w:rPr>
                <w:sz w:val="18"/>
                <w:szCs w:val="18"/>
                <w:vertAlign w:val="superscript"/>
              </w:rPr>
              <w:t>4</w:t>
            </w:r>
          </w:p>
        </w:tc>
        <w:tc>
          <w:tcPr>
            <w:tcW w:w="378" w:type="pct"/>
            <w:vAlign w:val="center"/>
          </w:tcPr>
          <w:p w14:paraId="54AED143" w14:textId="77777777" w:rsidR="004E042D" w:rsidRPr="00CB35D2" w:rsidRDefault="004E042D" w:rsidP="004E042D">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519ED0F4" w14:textId="77777777" w:rsidR="004E042D" w:rsidRPr="001E4ACF" w:rsidRDefault="004E042D" w:rsidP="004E042D">
            <w:pPr>
              <w:pStyle w:val="NoSpacing"/>
              <w:jc w:val="right"/>
              <w:rPr>
                <w:rFonts w:cstheme="minorHAnsi"/>
                <w:sz w:val="18"/>
                <w:szCs w:val="18"/>
              </w:rPr>
            </w:pPr>
            <w:r>
              <w:rPr>
                <w:rFonts w:cstheme="minorHAnsi"/>
                <w:sz w:val="18"/>
                <w:szCs w:val="18"/>
              </w:rPr>
              <w:t>22,185*</w:t>
            </w:r>
          </w:p>
        </w:tc>
        <w:tc>
          <w:tcPr>
            <w:tcW w:w="452" w:type="pct"/>
            <w:noWrap/>
            <w:vAlign w:val="center"/>
          </w:tcPr>
          <w:p w14:paraId="54C303C5" w14:textId="77777777" w:rsidR="004E042D" w:rsidRPr="001E4ACF" w:rsidRDefault="004E042D" w:rsidP="004E042D">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58748251" w14:textId="77777777" w:rsidR="004E042D" w:rsidRPr="00CB35D2" w:rsidRDefault="004E042D" w:rsidP="004E042D">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08B850E5" w14:textId="77777777" w:rsidR="004E042D" w:rsidRPr="00EF716E" w:rsidRDefault="004E042D" w:rsidP="004E042D">
            <w:pPr>
              <w:pStyle w:val="NoSpacing"/>
              <w:jc w:val="right"/>
              <w:rPr>
                <w:rFonts w:cstheme="minorHAnsi"/>
                <w:color w:val="0070C0"/>
                <w:sz w:val="18"/>
                <w:szCs w:val="18"/>
              </w:rPr>
            </w:pPr>
            <w:r>
              <w:rPr>
                <w:rFonts w:cstheme="minorHAnsi"/>
                <w:sz w:val="18"/>
                <w:szCs w:val="18"/>
              </w:rPr>
              <w:t>14,790</w:t>
            </w:r>
          </w:p>
        </w:tc>
        <w:tc>
          <w:tcPr>
            <w:tcW w:w="605" w:type="pct"/>
            <w:gridSpan w:val="3"/>
            <w:shd w:val="clear" w:color="auto" w:fill="auto"/>
            <w:noWrap/>
            <w:vAlign w:val="center"/>
          </w:tcPr>
          <w:p w14:paraId="22041126" w14:textId="77777777" w:rsidR="004E042D" w:rsidRPr="00CB35D2" w:rsidRDefault="004E042D" w:rsidP="004E042D">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11129BE0" w14:textId="77777777" w:rsidR="004E042D" w:rsidRPr="00EF716E" w:rsidRDefault="004E042D" w:rsidP="004E042D">
            <w:pPr>
              <w:pStyle w:val="NoSpacing"/>
              <w:jc w:val="right"/>
              <w:rPr>
                <w:color w:val="0070C0"/>
                <w:sz w:val="18"/>
                <w:szCs w:val="18"/>
              </w:rPr>
            </w:pPr>
            <w:r w:rsidRPr="00E51DA5">
              <w:rPr>
                <w:sz w:val="18"/>
                <w:szCs w:val="18"/>
              </w:rPr>
              <w:t>$352,889</w:t>
            </w:r>
          </w:p>
        </w:tc>
      </w:tr>
      <w:tr w:rsidR="004E042D" w:rsidRPr="00651C99" w14:paraId="455270F6" w14:textId="77777777" w:rsidTr="004E042D">
        <w:trPr>
          <w:trHeight w:val="20"/>
        </w:trPr>
        <w:tc>
          <w:tcPr>
            <w:tcW w:w="5000" w:type="pct"/>
            <w:gridSpan w:val="11"/>
            <w:shd w:val="clear" w:color="auto" w:fill="auto"/>
            <w:vAlign w:val="center"/>
          </w:tcPr>
          <w:p w14:paraId="22558169" w14:textId="77777777" w:rsidR="004E042D" w:rsidRPr="00CB35D2" w:rsidRDefault="004E042D" w:rsidP="004E042D">
            <w:pPr>
              <w:pStyle w:val="NoSpacing"/>
              <w:rPr>
                <w:b/>
                <w:i/>
                <w:sz w:val="18"/>
                <w:szCs w:val="18"/>
              </w:rPr>
            </w:pPr>
            <w:r w:rsidRPr="00CB35D2">
              <w:rPr>
                <w:b/>
                <w:i/>
                <w:sz w:val="18"/>
                <w:szCs w:val="18"/>
              </w:rPr>
              <w:t>Students’ mathematics teacher</w:t>
            </w:r>
          </w:p>
        </w:tc>
      </w:tr>
      <w:tr w:rsidR="004E042D" w:rsidRPr="00651C99" w14:paraId="57DA6D7E" w14:textId="77777777" w:rsidTr="004E042D">
        <w:trPr>
          <w:trHeight w:val="20"/>
        </w:trPr>
        <w:tc>
          <w:tcPr>
            <w:tcW w:w="1261" w:type="pct"/>
            <w:shd w:val="clear" w:color="auto" w:fill="auto"/>
            <w:vAlign w:val="center"/>
          </w:tcPr>
          <w:p w14:paraId="06C462B7" w14:textId="77777777" w:rsidR="004E042D" w:rsidRPr="00B56C40" w:rsidRDefault="004E042D" w:rsidP="004E042D">
            <w:pPr>
              <w:pStyle w:val="NoSpacing"/>
              <w:tabs>
                <w:tab w:val="left" w:pos="102"/>
              </w:tabs>
              <w:ind w:firstLine="72"/>
              <w:rPr>
                <w:rFonts w:cstheme="minorHAnsi"/>
                <w:sz w:val="18"/>
                <w:szCs w:val="18"/>
              </w:rPr>
            </w:pPr>
            <w:r w:rsidRPr="00B56C40">
              <w:rPr>
                <w:rFonts w:cstheme="minorHAnsi"/>
                <w:sz w:val="18"/>
                <w:szCs w:val="18"/>
              </w:rPr>
              <w:t>Teacher survey</w:t>
            </w:r>
          </w:p>
        </w:tc>
        <w:tc>
          <w:tcPr>
            <w:tcW w:w="376" w:type="pct"/>
            <w:vAlign w:val="center"/>
          </w:tcPr>
          <w:p w14:paraId="370BB5B0" w14:textId="77777777" w:rsidR="004E042D" w:rsidRPr="00CB35D2" w:rsidRDefault="004E042D" w:rsidP="004E042D">
            <w:pPr>
              <w:pStyle w:val="NoSpacing"/>
              <w:jc w:val="right"/>
              <w:rPr>
                <w:rFonts w:cstheme="minorHAnsi"/>
                <w:sz w:val="18"/>
                <w:szCs w:val="18"/>
              </w:rPr>
            </w:pPr>
            <w:r>
              <w:rPr>
                <w:rFonts w:cstheme="minorHAnsi"/>
                <w:sz w:val="18"/>
                <w:szCs w:val="18"/>
              </w:rPr>
              <w:t>3,6</w:t>
            </w:r>
            <w:r w:rsidRPr="00CB35D2">
              <w:rPr>
                <w:rFonts w:cstheme="minorHAnsi"/>
                <w:sz w:val="18"/>
                <w:szCs w:val="18"/>
              </w:rPr>
              <w:t>00</w:t>
            </w:r>
          </w:p>
        </w:tc>
        <w:tc>
          <w:tcPr>
            <w:tcW w:w="378" w:type="pct"/>
            <w:vAlign w:val="center"/>
          </w:tcPr>
          <w:p w14:paraId="5745E50C" w14:textId="77777777" w:rsidR="004E042D" w:rsidRPr="00CB35D2" w:rsidRDefault="004E042D" w:rsidP="004E042D">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2F70DB78" w14:textId="77777777" w:rsidR="004E042D" w:rsidRPr="001E4ACF" w:rsidRDefault="004E042D" w:rsidP="004E042D">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17A069D5" w14:textId="77777777" w:rsidR="004E042D" w:rsidRPr="001E4ACF" w:rsidRDefault="004E042D" w:rsidP="004E042D">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0008BEB0" w14:textId="77777777" w:rsidR="004E042D" w:rsidRPr="00CB35D2" w:rsidRDefault="004E042D" w:rsidP="004E042D">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6A882327" w14:textId="77777777" w:rsidR="004E042D" w:rsidRPr="0071268F" w:rsidRDefault="004E042D" w:rsidP="004E042D">
            <w:pPr>
              <w:pStyle w:val="NoSpacing"/>
              <w:jc w:val="right"/>
              <w:rPr>
                <w:rFonts w:cstheme="minorHAnsi"/>
                <w:sz w:val="18"/>
                <w:szCs w:val="18"/>
              </w:rPr>
            </w:pPr>
            <w:r>
              <w:rPr>
                <w:rFonts w:cstheme="minorHAnsi"/>
                <w:sz w:val="18"/>
                <w:szCs w:val="18"/>
              </w:rPr>
              <w:t>1,020</w:t>
            </w:r>
          </w:p>
        </w:tc>
        <w:tc>
          <w:tcPr>
            <w:tcW w:w="605" w:type="pct"/>
            <w:gridSpan w:val="3"/>
            <w:shd w:val="clear" w:color="auto" w:fill="auto"/>
            <w:noWrap/>
            <w:vAlign w:val="center"/>
          </w:tcPr>
          <w:p w14:paraId="03B9785F" w14:textId="77777777" w:rsidR="004E042D" w:rsidRPr="00CB35D2" w:rsidRDefault="004E042D" w:rsidP="004E042D">
            <w:pPr>
              <w:pStyle w:val="NoSpacing"/>
              <w:jc w:val="right"/>
              <w:rPr>
                <w:sz w:val="18"/>
                <w:szCs w:val="18"/>
              </w:rPr>
            </w:pPr>
            <w:r w:rsidRPr="00CB35D2">
              <w:rPr>
                <w:sz w:val="18"/>
                <w:szCs w:val="18"/>
              </w:rPr>
              <w:t>$</w:t>
            </w:r>
            <w:r>
              <w:rPr>
                <w:sz w:val="18"/>
                <w:szCs w:val="18"/>
              </w:rPr>
              <w:t>28.75</w:t>
            </w:r>
            <w:r w:rsidRPr="00CB35D2">
              <w:rPr>
                <w:sz w:val="18"/>
                <w:szCs w:val="18"/>
              </w:rPr>
              <w:t xml:space="preserve"> </w:t>
            </w:r>
          </w:p>
        </w:tc>
        <w:tc>
          <w:tcPr>
            <w:tcW w:w="521" w:type="pct"/>
            <w:shd w:val="clear" w:color="auto" w:fill="auto"/>
            <w:noWrap/>
          </w:tcPr>
          <w:p w14:paraId="7D4B9685" w14:textId="77777777" w:rsidR="004E042D" w:rsidRPr="00E51DA5" w:rsidRDefault="004E042D" w:rsidP="004E042D">
            <w:pPr>
              <w:pStyle w:val="NoSpacing"/>
              <w:jc w:val="right"/>
              <w:rPr>
                <w:sz w:val="18"/>
                <w:szCs w:val="18"/>
              </w:rPr>
            </w:pPr>
            <w:r w:rsidRPr="00E51DA5">
              <w:rPr>
                <w:sz w:val="18"/>
                <w:szCs w:val="18"/>
              </w:rPr>
              <w:t xml:space="preserve">$29,325 </w:t>
            </w:r>
          </w:p>
        </w:tc>
      </w:tr>
      <w:tr w:rsidR="004E042D" w:rsidRPr="00651C99" w14:paraId="39CF9178" w14:textId="77777777" w:rsidTr="004E042D">
        <w:trPr>
          <w:trHeight w:val="20"/>
        </w:trPr>
        <w:tc>
          <w:tcPr>
            <w:tcW w:w="1261" w:type="pct"/>
            <w:shd w:val="clear" w:color="auto" w:fill="auto"/>
            <w:vAlign w:val="center"/>
          </w:tcPr>
          <w:p w14:paraId="71A75A4E" w14:textId="77777777" w:rsidR="004E042D" w:rsidRPr="00B56C40" w:rsidRDefault="004E042D" w:rsidP="004E042D">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3C4052E1" w14:textId="77777777" w:rsidR="004E042D" w:rsidRPr="00CB35D2" w:rsidRDefault="004E042D" w:rsidP="004E042D">
            <w:pPr>
              <w:pStyle w:val="NoSpacing"/>
              <w:jc w:val="right"/>
              <w:rPr>
                <w:rFonts w:cstheme="minorHAnsi"/>
                <w:sz w:val="18"/>
                <w:szCs w:val="18"/>
              </w:rPr>
            </w:pPr>
            <w:r w:rsidRPr="00CB35D2">
              <w:rPr>
                <w:rFonts w:cstheme="minorHAnsi"/>
                <w:sz w:val="18"/>
                <w:szCs w:val="18"/>
              </w:rPr>
              <w:t>26,100*</w:t>
            </w:r>
          </w:p>
        </w:tc>
        <w:tc>
          <w:tcPr>
            <w:tcW w:w="378" w:type="pct"/>
            <w:vAlign w:val="center"/>
          </w:tcPr>
          <w:p w14:paraId="0AB854D6" w14:textId="77777777" w:rsidR="004E042D" w:rsidRPr="00CB35D2" w:rsidRDefault="004E042D" w:rsidP="004E042D">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5C9B5A13" w14:textId="77777777" w:rsidR="004E042D" w:rsidRPr="00EF716E" w:rsidRDefault="004E042D" w:rsidP="004E042D">
            <w:pPr>
              <w:pStyle w:val="NoSpacing"/>
              <w:jc w:val="right"/>
              <w:rPr>
                <w:rFonts w:cstheme="minorHAnsi"/>
                <w:color w:val="0070C0"/>
                <w:sz w:val="18"/>
                <w:szCs w:val="18"/>
              </w:rPr>
            </w:pPr>
            <w:r>
              <w:rPr>
                <w:rFonts w:cstheme="minorHAnsi"/>
                <w:sz w:val="18"/>
                <w:szCs w:val="18"/>
              </w:rPr>
              <w:t>3,060</w:t>
            </w:r>
            <w:r w:rsidRPr="001E4ACF">
              <w:rPr>
                <w:rFonts w:cstheme="minorHAnsi"/>
                <w:sz w:val="18"/>
                <w:szCs w:val="18"/>
              </w:rPr>
              <w:t>*</w:t>
            </w:r>
          </w:p>
        </w:tc>
        <w:tc>
          <w:tcPr>
            <w:tcW w:w="452" w:type="pct"/>
            <w:shd w:val="clear" w:color="auto" w:fill="auto"/>
            <w:noWrap/>
            <w:vAlign w:val="center"/>
          </w:tcPr>
          <w:p w14:paraId="4EDB7DEB" w14:textId="77777777" w:rsidR="004E042D" w:rsidRPr="00EF716E" w:rsidRDefault="004E042D" w:rsidP="004E042D">
            <w:pPr>
              <w:pStyle w:val="NoSpacing"/>
              <w:jc w:val="right"/>
              <w:rPr>
                <w:rFonts w:cstheme="minorHAnsi"/>
                <w:color w:val="0070C0"/>
                <w:sz w:val="18"/>
                <w:szCs w:val="18"/>
              </w:rPr>
            </w:pPr>
            <w:r>
              <w:rPr>
                <w:rFonts w:cstheme="minorHAnsi"/>
                <w:sz w:val="18"/>
                <w:szCs w:val="18"/>
              </w:rPr>
              <w:t>22,185</w:t>
            </w:r>
            <w:r w:rsidRPr="001E4ACF">
              <w:rPr>
                <w:sz w:val="18"/>
                <w:szCs w:val="18"/>
                <w:vertAlign w:val="superscript"/>
              </w:rPr>
              <w:t>5</w:t>
            </w:r>
          </w:p>
        </w:tc>
        <w:tc>
          <w:tcPr>
            <w:tcW w:w="452" w:type="pct"/>
            <w:shd w:val="clear" w:color="auto" w:fill="auto"/>
            <w:noWrap/>
            <w:vAlign w:val="center"/>
          </w:tcPr>
          <w:p w14:paraId="557A733E" w14:textId="77777777" w:rsidR="004E042D" w:rsidRPr="00CB35D2" w:rsidRDefault="004E042D" w:rsidP="004E042D">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55A3E751" w14:textId="77777777" w:rsidR="004E042D" w:rsidRPr="0071268F" w:rsidRDefault="004E042D" w:rsidP="004E042D">
            <w:pPr>
              <w:pStyle w:val="NoSpacing"/>
              <w:jc w:val="right"/>
              <w:rPr>
                <w:rFonts w:cstheme="minorHAnsi"/>
                <w:sz w:val="18"/>
                <w:szCs w:val="18"/>
              </w:rPr>
            </w:pPr>
            <w:r>
              <w:rPr>
                <w:rFonts w:cstheme="minorHAnsi"/>
                <w:sz w:val="18"/>
                <w:szCs w:val="18"/>
              </w:rPr>
              <w:t>3,698</w:t>
            </w:r>
          </w:p>
        </w:tc>
        <w:tc>
          <w:tcPr>
            <w:tcW w:w="605" w:type="pct"/>
            <w:gridSpan w:val="3"/>
            <w:shd w:val="clear" w:color="auto" w:fill="auto"/>
            <w:noWrap/>
            <w:vAlign w:val="center"/>
          </w:tcPr>
          <w:p w14:paraId="0BEDE772" w14:textId="77777777" w:rsidR="004E042D" w:rsidRPr="00CB35D2" w:rsidRDefault="004E042D" w:rsidP="004E042D">
            <w:pPr>
              <w:pStyle w:val="NoSpacing"/>
              <w:jc w:val="right"/>
              <w:rPr>
                <w:sz w:val="18"/>
                <w:szCs w:val="18"/>
              </w:rPr>
            </w:pPr>
            <w:r w:rsidRPr="00CB35D2">
              <w:rPr>
                <w:sz w:val="18"/>
                <w:szCs w:val="18"/>
              </w:rPr>
              <w:t>$</w:t>
            </w:r>
            <w:r>
              <w:rPr>
                <w:sz w:val="18"/>
                <w:szCs w:val="18"/>
              </w:rPr>
              <w:t>28.75</w:t>
            </w:r>
          </w:p>
        </w:tc>
        <w:tc>
          <w:tcPr>
            <w:tcW w:w="521" w:type="pct"/>
            <w:shd w:val="clear" w:color="auto" w:fill="auto"/>
            <w:noWrap/>
          </w:tcPr>
          <w:p w14:paraId="40D4ABCC" w14:textId="77777777" w:rsidR="004E042D" w:rsidRPr="00E51DA5" w:rsidRDefault="004E042D" w:rsidP="004E042D">
            <w:pPr>
              <w:pStyle w:val="NoSpacing"/>
              <w:jc w:val="right"/>
              <w:rPr>
                <w:sz w:val="18"/>
                <w:szCs w:val="18"/>
              </w:rPr>
            </w:pPr>
            <w:r w:rsidRPr="00E51DA5">
              <w:rPr>
                <w:sz w:val="18"/>
                <w:szCs w:val="18"/>
              </w:rPr>
              <w:t xml:space="preserve">$106,318 </w:t>
            </w:r>
          </w:p>
        </w:tc>
      </w:tr>
      <w:tr w:rsidR="004E042D" w:rsidRPr="00651C99" w14:paraId="57990927" w14:textId="77777777" w:rsidTr="004E042D">
        <w:trPr>
          <w:trHeight w:val="20"/>
        </w:trPr>
        <w:tc>
          <w:tcPr>
            <w:tcW w:w="5000" w:type="pct"/>
            <w:gridSpan w:val="11"/>
            <w:shd w:val="clear" w:color="auto" w:fill="auto"/>
            <w:vAlign w:val="center"/>
          </w:tcPr>
          <w:p w14:paraId="6B0C72B2" w14:textId="77777777" w:rsidR="004E042D" w:rsidRPr="00EF716E" w:rsidRDefault="004E042D" w:rsidP="004E042D">
            <w:pPr>
              <w:pStyle w:val="NoSpacing"/>
              <w:rPr>
                <w:sz w:val="18"/>
                <w:szCs w:val="18"/>
              </w:rPr>
            </w:pPr>
            <w:r w:rsidRPr="00EF716E">
              <w:rPr>
                <w:rFonts w:cstheme="minorHAnsi"/>
                <w:b/>
                <w:i/>
                <w:sz w:val="18"/>
                <w:szCs w:val="18"/>
              </w:rPr>
              <w:t>Students' special education teacher</w:t>
            </w:r>
          </w:p>
        </w:tc>
      </w:tr>
      <w:tr w:rsidR="004E042D" w:rsidRPr="00651C99" w14:paraId="5B3DC5C4" w14:textId="77777777" w:rsidTr="004E042D">
        <w:trPr>
          <w:trHeight w:val="20"/>
        </w:trPr>
        <w:tc>
          <w:tcPr>
            <w:tcW w:w="1261" w:type="pct"/>
            <w:shd w:val="clear" w:color="auto" w:fill="auto"/>
            <w:vAlign w:val="center"/>
          </w:tcPr>
          <w:p w14:paraId="25010BFD" w14:textId="77777777" w:rsidR="004E042D" w:rsidRPr="00B56C40" w:rsidRDefault="004E042D" w:rsidP="004E042D">
            <w:pPr>
              <w:pStyle w:val="NoSpacing"/>
              <w:ind w:firstLine="72"/>
              <w:rPr>
                <w:rFonts w:cstheme="minorHAnsi"/>
                <w:sz w:val="18"/>
                <w:szCs w:val="18"/>
              </w:rPr>
            </w:pPr>
            <w:r w:rsidRPr="00B56C40">
              <w:rPr>
                <w:rFonts w:cstheme="minorHAnsi"/>
                <w:sz w:val="18"/>
                <w:szCs w:val="18"/>
              </w:rPr>
              <w:t>Teacher survey</w:t>
            </w:r>
          </w:p>
        </w:tc>
        <w:tc>
          <w:tcPr>
            <w:tcW w:w="376" w:type="pct"/>
            <w:vAlign w:val="center"/>
          </w:tcPr>
          <w:p w14:paraId="3435B530" w14:textId="77777777" w:rsidR="004E042D" w:rsidRPr="00EF716E" w:rsidRDefault="004E042D" w:rsidP="004E042D">
            <w:pPr>
              <w:pStyle w:val="NoSpacing"/>
              <w:jc w:val="right"/>
              <w:rPr>
                <w:rFonts w:cstheme="minorHAnsi"/>
                <w:color w:val="0070C0"/>
                <w:sz w:val="18"/>
                <w:szCs w:val="18"/>
              </w:rPr>
            </w:pPr>
            <w:r>
              <w:rPr>
                <w:rFonts w:cstheme="minorHAnsi"/>
                <w:sz w:val="18"/>
                <w:szCs w:val="18"/>
              </w:rPr>
              <w:t>2,025</w:t>
            </w:r>
          </w:p>
        </w:tc>
        <w:tc>
          <w:tcPr>
            <w:tcW w:w="378" w:type="pct"/>
            <w:vAlign w:val="center"/>
          </w:tcPr>
          <w:p w14:paraId="0B74C8D5" w14:textId="77777777" w:rsidR="004E042D" w:rsidRPr="00CB35D2" w:rsidRDefault="004E042D" w:rsidP="004E042D">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1A49576B" w14:textId="77777777" w:rsidR="004E042D" w:rsidRPr="00C12497" w:rsidRDefault="004E042D" w:rsidP="004E042D">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0AAB54A7" w14:textId="77777777" w:rsidR="004E042D" w:rsidRPr="00C12497" w:rsidRDefault="004E042D" w:rsidP="004E042D">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69DB47A8" w14:textId="77777777" w:rsidR="004E042D" w:rsidRPr="00CB35D2" w:rsidRDefault="004E042D" w:rsidP="004E042D">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1C58F2B1" w14:textId="77777777" w:rsidR="004E042D" w:rsidRPr="0071268F" w:rsidRDefault="004E042D" w:rsidP="004E042D">
            <w:pPr>
              <w:pStyle w:val="NoSpacing"/>
              <w:jc w:val="right"/>
              <w:rPr>
                <w:rFonts w:cstheme="minorHAnsi"/>
                <w:sz w:val="18"/>
                <w:szCs w:val="18"/>
              </w:rPr>
            </w:pPr>
            <w:r>
              <w:rPr>
                <w:rFonts w:cstheme="minorHAnsi"/>
                <w:sz w:val="18"/>
                <w:szCs w:val="18"/>
              </w:rPr>
              <w:t>287</w:t>
            </w:r>
          </w:p>
        </w:tc>
        <w:tc>
          <w:tcPr>
            <w:tcW w:w="605" w:type="pct"/>
            <w:gridSpan w:val="3"/>
            <w:shd w:val="clear" w:color="auto" w:fill="auto"/>
            <w:noWrap/>
            <w:vAlign w:val="center"/>
          </w:tcPr>
          <w:p w14:paraId="1B63310B" w14:textId="77777777" w:rsidR="004E042D" w:rsidRPr="00CB35D2" w:rsidRDefault="004E042D" w:rsidP="004E042D">
            <w:pPr>
              <w:pStyle w:val="NoSpacing"/>
              <w:jc w:val="right"/>
              <w:rPr>
                <w:sz w:val="18"/>
                <w:szCs w:val="18"/>
              </w:rPr>
            </w:pPr>
            <w:r w:rsidRPr="00CB35D2">
              <w:rPr>
                <w:sz w:val="18"/>
                <w:szCs w:val="18"/>
              </w:rPr>
              <w:t>$</w:t>
            </w:r>
            <w:r>
              <w:rPr>
                <w:sz w:val="18"/>
                <w:szCs w:val="18"/>
              </w:rPr>
              <w:t>29.76</w:t>
            </w:r>
            <w:r w:rsidRPr="00CB35D2">
              <w:rPr>
                <w:sz w:val="18"/>
                <w:szCs w:val="18"/>
              </w:rPr>
              <w:t xml:space="preserve"> </w:t>
            </w:r>
          </w:p>
        </w:tc>
        <w:tc>
          <w:tcPr>
            <w:tcW w:w="521" w:type="pct"/>
            <w:shd w:val="clear" w:color="auto" w:fill="auto"/>
            <w:noWrap/>
          </w:tcPr>
          <w:p w14:paraId="475D2413" w14:textId="77777777" w:rsidR="004E042D" w:rsidRPr="00E51DA5" w:rsidRDefault="004E042D" w:rsidP="004E042D">
            <w:pPr>
              <w:pStyle w:val="NoSpacing"/>
              <w:jc w:val="right"/>
              <w:rPr>
                <w:sz w:val="18"/>
                <w:szCs w:val="18"/>
              </w:rPr>
            </w:pPr>
            <w:r w:rsidRPr="00E51DA5">
              <w:rPr>
                <w:sz w:val="18"/>
                <w:szCs w:val="18"/>
              </w:rPr>
              <w:t xml:space="preserve">$8,541 </w:t>
            </w:r>
          </w:p>
        </w:tc>
      </w:tr>
      <w:tr w:rsidR="004E042D" w:rsidRPr="00651C99" w14:paraId="054FA6C0" w14:textId="77777777" w:rsidTr="004E042D">
        <w:trPr>
          <w:trHeight w:val="20"/>
        </w:trPr>
        <w:tc>
          <w:tcPr>
            <w:tcW w:w="1261" w:type="pct"/>
            <w:shd w:val="clear" w:color="auto" w:fill="auto"/>
            <w:vAlign w:val="center"/>
          </w:tcPr>
          <w:p w14:paraId="6BD8DA60" w14:textId="77777777" w:rsidR="004E042D" w:rsidRPr="00B56C40" w:rsidRDefault="004E042D" w:rsidP="004E042D">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793E7D79" w14:textId="77777777" w:rsidR="004E042D" w:rsidRPr="00EF716E" w:rsidRDefault="004E042D" w:rsidP="004E042D">
            <w:pPr>
              <w:pStyle w:val="NoSpacing"/>
              <w:jc w:val="right"/>
              <w:rPr>
                <w:rFonts w:cstheme="minorHAnsi"/>
                <w:color w:val="0070C0"/>
                <w:sz w:val="18"/>
                <w:szCs w:val="18"/>
              </w:rPr>
            </w:pPr>
            <w:r>
              <w:rPr>
                <w:rFonts w:cstheme="minorHAnsi"/>
                <w:sz w:val="18"/>
                <w:szCs w:val="18"/>
              </w:rPr>
              <w:t>9,460</w:t>
            </w:r>
            <w:r w:rsidRPr="00CB35D2">
              <w:rPr>
                <w:rFonts w:cstheme="minorHAnsi"/>
                <w:sz w:val="18"/>
                <w:szCs w:val="18"/>
              </w:rPr>
              <w:t>*</w:t>
            </w:r>
          </w:p>
        </w:tc>
        <w:tc>
          <w:tcPr>
            <w:tcW w:w="378" w:type="pct"/>
            <w:vAlign w:val="center"/>
          </w:tcPr>
          <w:p w14:paraId="6D607AAC" w14:textId="77777777" w:rsidR="004E042D" w:rsidRPr="00CB35D2" w:rsidRDefault="004E042D" w:rsidP="004E042D">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294F1218" w14:textId="77777777" w:rsidR="004E042D" w:rsidRPr="00EF716E" w:rsidRDefault="004E042D" w:rsidP="004E042D">
            <w:pPr>
              <w:pStyle w:val="NoSpacing"/>
              <w:jc w:val="right"/>
              <w:rPr>
                <w:rFonts w:cstheme="minorHAnsi"/>
                <w:color w:val="0070C0"/>
                <w:sz w:val="18"/>
                <w:szCs w:val="18"/>
              </w:rPr>
            </w:pPr>
            <w:r>
              <w:rPr>
                <w:rFonts w:cstheme="minorHAnsi"/>
                <w:sz w:val="18"/>
                <w:szCs w:val="18"/>
              </w:rPr>
              <w:t>1,721</w:t>
            </w:r>
            <w:r w:rsidRPr="00C12497">
              <w:rPr>
                <w:rFonts w:cstheme="minorHAnsi"/>
                <w:sz w:val="18"/>
                <w:szCs w:val="18"/>
              </w:rPr>
              <w:t>*</w:t>
            </w:r>
          </w:p>
        </w:tc>
        <w:tc>
          <w:tcPr>
            <w:tcW w:w="452" w:type="pct"/>
            <w:shd w:val="clear" w:color="auto" w:fill="auto"/>
            <w:noWrap/>
            <w:vAlign w:val="center"/>
          </w:tcPr>
          <w:p w14:paraId="5975F510" w14:textId="77777777" w:rsidR="004E042D" w:rsidRPr="00EF716E" w:rsidRDefault="004E042D" w:rsidP="004E042D">
            <w:pPr>
              <w:pStyle w:val="NoSpacing"/>
              <w:jc w:val="right"/>
              <w:rPr>
                <w:rFonts w:cstheme="minorHAnsi"/>
                <w:color w:val="0070C0"/>
                <w:sz w:val="18"/>
                <w:szCs w:val="18"/>
              </w:rPr>
            </w:pPr>
            <w:r>
              <w:rPr>
                <w:rFonts w:cstheme="minorHAnsi"/>
                <w:sz w:val="18"/>
                <w:szCs w:val="18"/>
              </w:rPr>
              <w:t>8,041</w:t>
            </w:r>
            <w:r>
              <w:rPr>
                <w:sz w:val="18"/>
                <w:szCs w:val="18"/>
                <w:vertAlign w:val="superscript"/>
              </w:rPr>
              <w:t>6</w:t>
            </w:r>
          </w:p>
        </w:tc>
        <w:tc>
          <w:tcPr>
            <w:tcW w:w="452" w:type="pct"/>
            <w:shd w:val="clear" w:color="auto" w:fill="auto"/>
            <w:noWrap/>
            <w:vAlign w:val="center"/>
          </w:tcPr>
          <w:p w14:paraId="1D47588E" w14:textId="77777777" w:rsidR="004E042D" w:rsidRPr="00CB35D2" w:rsidRDefault="004E042D" w:rsidP="004E042D">
            <w:pPr>
              <w:pStyle w:val="NoSpacing"/>
              <w:jc w:val="right"/>
              <w:rPr>
                <w:rFonts w:cstheme="minorHAnsi"/>
                <w:sz w:val="18"/>
                <w:szCs w:val="18"/>
              </w:rPr>
            </w:pPr>
            <w:r w:rsidRPr="00CB35D2">
              <w:rPr>
                <w:rFonts w:cstheme="minorHAnsi"/>
                <w:sz w:val="18"/>
                <w:szCs w:val="18"/>
              </w:rPr>
              <w:t>25</w:t>
            </w:r>
          </w:p>
        </w:tc>
        <w:tc>
          <w:tcPr>
            <w:tcW w:w="370" w:type="pct"/>
            <w:shd w:val="clear" w:color="auto" w:fill="auto"/>
            <w:noWrap/>
            <w:vAlign w:val="center"/>
          </w:tcPr>
          <w:p w14:paraId="551D0F15" w14:textId="77777777" w:rsidR="004E042D" w:rsidRPr="0071268F" w:rsidRDefault="004E042D" w:rsidP="004E042D">
            <w:pPr>
              <w:pStyle w:val="NoSpacing"/>
              <w:jc w:val="right"/>
              <w:rPr>
                <w:rFonts w:cstheme="minorHAnsi"/>
                <w:sz w:val="18"/>
                <w:szCs w:val="18"/>
              </w:rPr>
            </w:pPr>
            <w:r>
              <w:rPr>
                <w:rFonts w:cstheme="minorHAnsi"/>
                <w:sz w:val="18"/>
                <w:szCs w:val="18"/>
              </w:rPr>
              <w:t>3,350</w:t>
            </w:r>
          </w:p>
        </w:tc>
        <w:tc>
          <w:tcPr>
            <w:tcW w:w="605" w:type="pct"/>
            <w:gridSpan w:val="3"/>
            <w:shd w:val="clear" w:color="auto" w:fill="auto"/>
            <w:noWrap/>
            <w:vAlign w:val="center"/>
          </w:tcPr>
          <w:p w14:paraId="56D88E1E" w14:textId="77777777" w:rsidR="004E042D" w:rsidRPr="00CB35D2" w:rsidRDefault="004E042D" w:rsidP="004E042D">
            <w:pPr>
              <w:pStyle w:val="NoSpacing"/>
              <w:jc w:val="right"/>
              <w:rPr>
                <w:sz w:val="18"/>
                <w:szCs w:val="18"/>
              </w:rPr>
            </w:pPr>
            <w:r w:rsidRPr="00CB35D2">
              <w:rPr>
                <w:sz w:val="18"/>
                <w:szCs w:val="18"/>
              </w:rPr>
              <w:t>$</w:t>
            </w:r>
            <w:r>
              <w:rPr>
                <w:sz w:val="18"/>
                <w:szCs w:val="18"/>
              </w:rPr>
              <w:t>29.76</w:t>
            </w:r>
          </w:p>
        </w:tc>
        <w:tc>
          <w:tcPr>
            <w:tcW w:w="521" w:type="pct"/>
            <w:shd w:val="clear" w:color="auto" w:fill="auto"/>
            <w:noWrap/>
          </w:tcPr>
          <w:p w14:paraId="4CD0E78B" w14:textId="77777777" w:rsidR="004E042D" w:rsidRPr="00E51DA5" w:rsidRDefault="004E042D" w:rsidP="004E042D">
            <w:pPr>
              <w:pStyle w:val="NoSpacing"/>
              <w:jc w:val="right"/>
              <w:rPr>
                <w:sz w:val="18"/>
                <w:szCs w:val="18"/>
              </w:rPr>
            </w:pPr>
            <w:r w:rsidRPr="00E51DA5">
              <w:rPr>
                <w:sz w:val="18"/>
                <w:szCs w:val="18"/>
              </w:rPr>
              <w:t xml:space="preserve">$99,696 </w:t>
            </w:r>
          </w:p>
        </w:tc>
      </w:tr>
      <w:tr w:rsidR="004E042D" w:rsidRPr="00651C99" w14:paraId="75EE79D3" w14:textId="77777777" w:rsidTr="004E042D">
        <w:trPr>
          <w:trHeight w:val="20"/>
        </w:trPr>
        <w:tc>
          <w:tcPr>
            <w:tcW w:w="5000" w:type="pct"/>
            <w:gridSpan w:val="11"/>
            <w:shd w:val="clear" w:color="auto" w:fill="auto"/>
            <w:vAlign w:val="center"/>
          </w:tcPr>
          <w:p w14:paraId="5BBCD2C3" w14:textId="77777777" w:rsidR="004E042D" w:rsidRPr="00EF716E" w:rsidRDefault="004E042D" w:rsidP="004E042D">
            <w:pPr>
              <w:pStyle w:val="NoSpacing"/>
              <w:rPr>
                <w:b/>
                <w:i/>
                <w:sz w:val="18"/>
                <w:szCs w:val="18"/>
              </w:rPr>
            </w:pPr>
            <w:r w:rsidRPr="00EF716E">
              <w:rPr>
                <w:rFonts w:cstheme="minorHAnsi"/>
                <w:b/>
                <w:i/>
                <w:sz w:val="18"/>
                <w:szCs w:val="18"/>
              </w:rPr>
              <w:t>School administrators and coordinators</w:t>
            </w:r>
          </w:p>
        </w:tc>
      </w:tr>
      <w:tr w:rsidR="004E042D" w:rsidRPr="00651C99" w14:paraId="10139D65" w14:textId="77777777" w:rsidTr="004E042D">
        <w:trPr>
          <w:trHeight w:val="20"/>
        </w:trPr>
        <w:tc>
          <w:tcPr>
            <w:tcW w:w="1261" w:type="pct"/>
            <w:shd w:val="clear" w:color="auto" w:fill="auto"/>
            <w:vAlign w:val="center"/>
          </w:tcPr>
          <w:p w14:paraId="58C47E93" w14:textId="77777777" w:rsidR="004E042D" w:rsidRPr="00651C99" w:rsidRDefault="004E042D" w:rsidP="004E042D">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0538AF0A" w14:textId="77777777" w:rsidR="004E042D" w:rsidRPr="00CB35D2" w:rsidRDefault="004E042D" w:rsidP="004E042D">
            <w:pPr>
              <w:pStyle w:val="NoSpacing"/>
              <w:jc w:val="right"/>
              <w:rPr>
                <w:rFonts w:cstheme="minorHAnsi"/>
                <w:sz w:val="18"/>
                <w:szCs w:val="18"/>
              </w:rPr>
            </w:pPr>
            <w:r w:rsidRPr="00CB35D2">
              <w:rPr>
                <w:rFonts w:cstheme="minorHAnsi"/>
                <w:sz w:val="18"/>
                <w:szCs w:val="18"/>
              </w:rPr>
              <w:t>900</w:t>
            </w:r>
          </w:p>
        </w:tc>
        <w:tc>
          <w:tcPr>
            <w:tcW w:w="378" w:type="pct"/>
            <w:vAlign w:val="center"/>
          </w:tcPr>
          <w:p w14:paraId="6A9FB9BE" w14:textId="77777777" w:rsidR="004E042D" w:rsidRPr="00CB35D2" w:rsidRDefault="004E042D" w:rsidP="004E042D">
            <w:pPr>
              <w:pStyle w:val="NoSpacing"/>
              <w:jc w:val="right"/>
              <w:rPr>
                <w:rFonts w:cstheme="minorHAnsi"/>
                <w:sz w:val="18"/>
                <w:szCs w:val="18"/>
              </w:rPr>
            </w:pPr>
            <w:r>
              <w:rPr>
                <w:rFonts w:cstheme="minorHAnsi"/>
                <w:sz w:val="18"/>
                <w:szCs w:val="18"/>
              </w:rPr>
              <w:t>95</w:t>
            </w:r>
            <w:r w:rsidRPr="00CB35D2">
              <w:rPr>
                <w:rFonts w:cstheme="minorHAnsi"/>
                <w:sz w:val="18"/>
                <w:szCs w:val="18"/>
              </w:rPr>
              <w:t>%</w:t>
            </w:r>
          </w:p>
        </w:tc>
        <w:tc>
          <w:tcPr>
            <w:tcW w:w="585" w:type="pct"/>
            <w:vAlign w:val="center"/>
          </w:tcPr>
          <w:p w14:paraId="0CA5A730" w14:textId="77777777" w:rsidR="004E042D" w:rsidRPr="00C12497" w:rsidRDefault="004E042D" w:rsidP="004E042D">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4A0B84E6" w14:textId="77777777" w:rsidR="004E042D" w:rsidRPr="00C12497" w:rsidRDefault="004E042D" w:rsidP="004E042D">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36F648B1" w14:textId="77777777" w:rsidR="004E042D" w:rsidRPr="00CB35D2" w:rsidRDefault="004E042D" w:rsidP="004E042D">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14F7FAD" w14:textId="77777777" w:rsidR="004E042D" w:rsidRPr="0071268F" w:rsidRDefault="004E042D" w:rsidP="004E042D">
            <w:pPr>
              <w:pStyle w:val="NoSpacing"/>
              <w:jc w:val="right"/>
              <w:rPr>
                <w:rFonts w:cstheme="minorHAnsi"/>
                <w:sz w:val="18"/>
                <w:szCs w:val="18"/>
              </w:rPr>
            </w:pPr>
            <w:r>
              <w:rPr>
                <w:rFonts w:cstheme="minorHAnsi"/>
                <w:sz w:val="18"/>
                <w:szCs w:val="18"/>
              </w:rPr>
              <w:t>570</w:t>
            </w:r>
          </w:p>
        </w:tc>
        <w:tc>
          <w:tcPr>
            <w:tcW w:w="605" w:type="pct"/>
            <w:gridSpan w:val="3"/>
            <w:shd w:val="clear" w:color="auto" w:fill="auto"/>
            <w:noWrap/>
            <w:vAlign w:val="center"/>
          </w:tcPr>
          <w:p w14:paraId="01E1CD5E" w14:textId="77777777" w:rsidR="004E042D" w:rsidRPr="0071268F" w:rsidRDefault="004E042D" w:rsidP="004E042D">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4E90477E" w14:textId="77777777" w:rsidR="004E042D" w:rsidRPr="0071268F" w:rsidRDefault="004E042D" w:rsidP="004E042D">
            <w:pPr>
              <w:pStyle w:val="NoSpacing"/>
              <w:jc w:val="right"/>
              <w:rPr>
                <w:sz w:val="18"/>
                <w:szCs w:val="18"/>
              </w:rPr>
            </w:pPr>
            <w:r w:rsidRPr="0071268F">
              <w:rPr>
                <w:sz w:val="18"/>
                <w:szCs w:val="18"/>
              </w:rPr>
              <w:t>$</w:t>
            </w:r>
            <w:r>
              <w:rPr>
                <w:sz w:val="18"/>
                <w:szCs w:val="18"/>
              </w:rPr>
              <w:t>26,140</w:t>
            </w:r>
            <w:r w:rsidRPr="0071268F">
              <w:rPr>
                <w:sz w:val="18"/>
                <w:szCs w:val="18"/>
              </w:rPr>
              <w:t xml:space="preserve"> </w:t>
            </w:r>
          </w:p>
        </w:tc>
      </w:tr>
      <w:tr w:rsidR="004E042D" w:rsidRPr="00651C99" w14:paraId="3334700D" w14:textId="77777777" w:rsidTr="004E042D">
        <w:trPr>
          <w:trHeight w:val="20"/>
        </w:trPr>
        <w:tc>
          <w:tcPr>
            <w:tcW w:w="1261" w:type="pct"/>
            <w:shd w:val="clear" w:color="auto" w:fill="auto"/>
            <w:vAlign w:val="center"/>
          </w:tcPr>
          <w:p w14:paraId="5B89F665" w14:textId="77777777" w:rsidR="004E042D" w:rsidRPr="00651C99" w:rsidRDefault="004E042D" w:rsidP="004E042D">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56BE5E33" w14:textId="77777777" w:rsidR="004E042D" w:rsidRPr="00CB35D2" w:rsidRDefault="004E042D" w:rsidP="004E042D">
            <w:pPr>
              <w:pStyle w:val="NoSpacing"/>
              <w:jc w:val="right"/>
              <w:rPr>
                <w:rFonts w:cstheme="minorHAnsi"/>
                <w:sz w:val="18"/>
                <w:szCs w:val="18"/>
              </w:rPr>
            </w:pPr>
            <w:r w:rsidRPr="00CB35D2">
              <w:rPr>
                <w:rFonts w:cstheme="minorHAnsi"/>
                <w:sz w:val="18"/>
                <w:szCs w:val="18"/>
              </w:rPr>
              <w:t>900</w:t>
            </w:r>
          </w:p>
        </w:tc>
        <w:tc>
          <w:tcPr>
            <w:tcW w:w="378" w:type="pct"/>
            <w:vAlign w:val="center"/>
          </w:tcPr>
          <w:p w14:paraId="6030BEBD" w14:textId="77777777" w:rsidR="004E042D" w:rsidRPr="00CB35D2" w:rsidRDefault="004E042D" w:rsidP="004E042D">
            <w:pPr>
              <w:pStyle w:val="NoSpacing"/>
              <w:jc w:val="right"/>
              <w:rPr>
                <w:rFonts w:cstheme="minorHAnsi"/>
                <w:sz w:val="18"/>
                <w:szCs w:val="18"/>
              </w:rPr>
            </w:pPr>
            <w:r w:rsidRPr="00CB35D2">
              <w:rPr>
                <w:rFonts w:cstheme="minorHAnsi"/>
                <w:sz w:val="18"/>
                <w:szCs w:val="18"/>
              </w:rPr>
              <w:t>100%</w:t>
            </w:r>
          </w:p>
        </w:tc>
        <w:tc>
          <w:tcPr>
            <w:tcW w:w="585" w:type="pct"/>
            <w:vAlign w:val="center"/>
          </w:tcPr>
          <w:p w14:paraId="49124E4C" w14:textId="77777777" w:rsidR="004E042D" w:rsidRPr="00C12497" w:rsidRDefault="004E042D" w:rsidP="004E042D">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5E529A31" w14:textId="77777777" w:rsidR="004E042D" w:rsidRPr="00C12497" w:rsidRDefault="004E042D" w:rsidP="004E042D">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21F228D0" w14:textId="77777777" w:rsidR="004E042D" w:rsidRPr="00CB35D2" w:rsidRDefault="004E042D" w:rsidP="004E042D">
            <w:pPr>
              <w:pStyle w:val="NoSpacing"/>
              <w:jc w:val="right"/>
              <w:rPr>
                <w:rFonts w:cstheme="minorHAnsi"/>
                <w:sz w:val="18"/>
                <w:szCs w:val="18"/>
              </w:rPr>
            </w:pPr>
            <w:r w:rsidRPr="00CB35D2">
              <w:rPr>
                <w:rFonts w:cstheme="minorHAnsi"/>
                <w:sz w:val="18"/>
                <w:szCs w:val="18"/>
              </w:rPr>
              <w:t>720</w:t>
            </w:r>
          </w:p>
        </w:tc>
        <w:tc>
          <w:tcPr>
            <w:tcW w:w="370" w:type="pct"/>
            <w:shd w:val="clear" w:color="auto" w:fill="auto"/>
            <w:noWrap/>
            <w:vAlign w:val="center"/>
          </w:tcPr>
          <w:p w14:paraId="62147353" w14:textId="77777777" w:rsidR="004E042D" w:rsidRPr="0071268F" w:rsidRDefault="004E042D" w:rsidP="004E042D">
            <w:pPr>
              <w:pStyle w:val="NoSpacing"/>
              <w:jc w:val="right"/>
              <w:rPr>
                <w:rFonts w:cstheme="minorHAnsi"/>
                <w:sz w:val="18"/>
                <w:szCs w:val="18"/>
              </w:rPr>
            </w:pPr>
            <w:r w:rsidRPr="0071268F">
              <w:rPr>
                <w:rFonts w:cstheme="minorHAnsi"/>
                <w:sz w:val="18"/>
                <w:szCs w:val="18"/>
              </w:rPr>
              <w:t>10,800</w:t>
            </w:r>
          </w:p>
        </w:tc>
        <w:tc>
          <w:tcPr>
            <w:tcW w:w="605" w:type="pct"/>
            <w:gridSpan w:val="3"/>
            <w:shd w:val="clear" w:color="auto" w:fill="auto"/>
            <w:noWrap/>
            <w:vAlign w:val="center"/>
          </w:tcPr>
          <w:p w14:paraId="45992718" w14:textId="77777777" w:rsidR="004E042D" w:rsidRPr="0071268F" w:rsidRDefault="004E042D" w:rsidP="004E042D">
            <w:pPr>
              <w:pStyle w:val="NoSpacing"/>
              <w:jc w:val="right"/>
              <w:rPr>
                <w:sz w:val="18"/>
                <w:szCs w:val="18"/>
              </w:rPr>
            </w:pPr>
            <w:r w:rsidRPr="0071268F">
              <w:rPr>
                <w:sz w:val="18"/>
                <w:szCs w:val="18"/>
              </w:rPr>
              <w:t>$</w:t>
            </w:r>
            <w:r>
              <w:rPr>
                <w:sz w:val="18"/>
                <w:szCs w:val="18"/>
              </w:rPr>
              <w:t>27.70</w:t>
            </w:r>
            <w:r w:rsidRPr="0071268F">
              <w:rPr>
                <w:sz w:val="18"/>
                <w:szCs w:val="18"/>
              </w:rPr>
              <w:t xml:space="preserve"> </w:t>
            </w:r>
          </w:p>
        </w:tc>
        <w:tc>
          <w:tcPr>
            <w:tcW w:w="521" w:type="pct"/>
            <w:shd w:val="clear" w:color="auto" w:fill="auto"/>
            <w:noWrap/>
            <w:vAlign w:val="center"/>
          </w:tcPr>
          <w:p w14:paraId="1F7DABCC" w14:textId="77777777" w:rsidR="004E042D" w:rsidRPr="0071268F" w:rsidRDefault="004E042D" w:rsidP="004E042D">
            <w:pPr>
              <w:pStyle w:val="NoSpacing"/>
              <w:jc w:val="right"/>
              <w:rPr>
                <w:sz w:val="18"/>
                <w:szCs w:val="18"/>
              </w:rPr>
            </w:pPr>
            <w:r>
              <w:rPr>
                <w:sz w:val="18"/>
                <w:szCs w:val="18"/>
              </w:rPr>
              <w:t>$299,160</w:t>
            </w:r>
            <w:r w:rsidRPr="0071268F">
              <w:rPr>
                <w:sz w:val="18"/>
                <w:szCs w:val="18"/>
              </w:rPr>
              <w:t xml:space="preserve"> </w:t>
            </w:r>
          </w:p>
        </w:tc>
      </w:tr>
      <w:tr w:rsidR="004E042D" w:rsidRPr="00651C99" w14:paraId="795B204C" w14:textId="77777777" w:rsidTr="004E042D">
        <w:trPr>
          <w:trHeight w:val="20"/>
        </w:trPr>
        <w:tc>
          <w:tcPr>
            <w:tcW w:w="1261" w:type="pct"/>
            <w:shd w:val="clear" w:color="auto" w:fill="auto"/>
            <w:vAlign w:val="center"/>
          </w:tcPr>
          <w:p w14:paraId="7DBB6C60" w14:textId="77777777" w:rsidR="004E042D" w:rsidRPr="00651C99" w:rsidRDefault="004E042D" w:rsidP="004E042D">
            <w:pPr>
              <w:pStyle w:val="NoSpacing"/>
              <w:ind w:left="72" w:hanging="72"/>
              <w:rPr>
                <w:rFonts w:cstheme="minorHAnsi"/>
                <w:sz w:val="18"/>
                <w:szCs w:val="18"/>
              </w:rPr>
            </w:pPr>
            <w:r>
              <w:rPr>
                <w:rFonts w:cstheme="minorHAnsi"/>
                <w:sz w:val="18"/>
                <w:szCs w:val="18"/>
              </w:rPr>
              <w:t xml:space="preserve"> School administrators at non-participating schools</w:t>
            </w:r>
          </w:p>
        </w:tc>
        <w:tc>
          <w:tcPr>
            <w:tcW w:w="376" w:type="pct"/>
            <w:vAlign w:val="center"/>
          </w:tcPr>
          <w:p w14:paraId="1A398DEC" w14:textId="77777777" w:rsidR="004E042D" w:rsidRPr="00CB35D2" w:rsidRDefault="004E042D" w:rsidP="004E042D">
            <w:pPr>
              <w:pStyle w:val="NoSpacing"/>
              <w:jc w:val="right"/>
              <w:rPr>
                <w:rFonts w:cstheme="minorHAnsi"/>
                <w:sz w:val="18"/>
                <w:szCs w:val="18"/>
              </w:rPr>
            </w:pPr>
            <w:r>
              <w:rPr>
                <w:rFonts w:cstheme="minorHAnsi"/>
                <w:sz w:val="18"/>
                <w:szCs w:val="18"/>
              </w:rPr>
              <w:t>600</w:t>
            </w:r>
          </w:p>
        </w:tc>
        <w:tc>
          <w:tcPr>
            <w:tcW w:w="378" w:type="pct"/>
            <w:vAlign w:val="center"/>
          </w:tcPr>
          <w:p w14:paraId="2D06518E" w14:textId="77777777" w:rsidR="004E042D" w:rsidRPr="00CB35D2" w:rsidRDefault="004E042D" w:rsidP="004E042D">
            <w:pPr>
              <w:pStyle w:val="NoSpacing"/>
              <w:jc w:val="right"/>
              <w:rPr>
                <w:rFonts w:cstheme="minorHAnsi"/>
                <w:sz w:val="18"/>
                <w:szCs w:val="18"/>
              </w:rPr>
            </w:pPr>
            <w:r>
              <w:rPr>
                <w:rFonts w:cstheme="minorHAnsi"/>
                <w:sz w:val="18"/>
                <w:szCs w:val="18"/>
              </w:rPr>
              <w:t>60%</w:t>
            </w:r>
          </w:p>
        </w:tc>
        <w:tc>
          <w:tcPr>
            <w:tcW w:w="585" w:type="pct"/>
            <w:vAlign w:val="center"/>
          </w:tcPr>
          <w:p w14:paraId="66737E9D" w14:textId="77777777" w:rsidR="004E042D" w:rsidRPr="00C12497" w:rsidRDefault="004E042D" w:rsidP="004E042D">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77CD388E" w14:textId="77777777" w:rsidR="004E042D" w:rsidRPr="00C12497" w:rsidRDefault="004E042D" w:rsidP="004E042D">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16FF9287" w14:textId="77777777" w:rsidR="004E042D" w:rsidRPr="00CB35D2" w:rsidRDefault="004E042D" w:rsidP="004E042D">
            <w:pPr>
              <w:pStyle w:val="NoSpacing"/>
              <w:jc w:val="right"/>
              <w:rPr>
                <w:rFonts w:cstheme="minorHAnsi"/>
                <w:sz w:val="18"/>
                <w:szCs w:val="18"/>
              </w:rPr>
            </w:pPr>
            <w:r>
              <w:rPr>
                <w:rFonts w:cstheme="minorHAnsi"/>
                <w:sz w:val="18"/>
                <w:szCs w:val="18"/>
              </w:rPr>
              <w:t>20</w:t>
            </w:r>
          </w:p>
        </w:tc>
        <w:tc>
          <w:tcPr>
            <w:tcW w:w="370" w:type="pct"/>
            <w:shd w:val="clear" w:color="auto" w:fill="auto"/>
            <w:noWrap/>
            <w:vAlign w:val="center"/>
          </w:tcPr>
          <w:p w14:paraId="65A510F1" w14:textId="77777777" w:rsidR="004E042D" w:rsidRPr="0071268F" w:rsidRDefault="004E042D" w:rsidP="004E042D">
            <w:pPr>
              <w:pStyle w:val="NoSpacing"/>
              <w:jc w:val="right"/>
              <w:rPr>
                <w:rFonts w:cstheme="minorHAnsi"/>
                <w:sz w:val="18"/>
                <w:szCs w:val="18"/>
              </w:rPr>
            </w:pPr>
            <w:r>
              <w:rPr>
                <w:rFonts w:cstheme="minorHAnsi"/>
                <w:sz w:val="18"/>
                <w:szCs w:val="18"/>
              </w:rPr>
              <w:t>120</w:t>
            </w:r>
          </w:p>
        </w:tc>
        <w:tc>
          <w:tcPr>
            <w:tcW w:w="605" w:type="pct"/>
            <w:gridSpan w:val="3"/>
            <w:shd w:val="clear" w:color="auto" w:fill="auto"/>
            <w:noWrap/>
            <w:vAlign w:val="center"/>
          </w:tcPr>
          <w:p w14:paraId="0887EDD5" w14:textId="77777777" w:rsidR="004E042D" w:rsidRPr="0071268F" w:rsidRDefault="004E042D" w:rsidP="004E042D">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61BBB6A7" w14:textId="77777777" w:rsidR="004E042D" w:rsidRPr="0071268F" w:rsidRDefault="004E042D" w:rsidP="004E042D">
            <w:pPr>
              <w:pStyle w:val="NoSpacing"/>
              <w:jc w:val="right"/>
              <w:rPr>
                <w:sz w:val="18"/>
                <w:szCs w:val="18"/>
              </w:rPr>
            </w:pPr>
            <w:r>
              <w:rPr>
                <w:sz w:val="18"/>
                <w:szCs w:val="18"/>
              </w:rPr>
              <w:t>$5,503</w:t>
            </w:r>
          </w:p>
        </w:tc>
      </w:tr>
      <w:tr w:rsidR="004E042D" w:rsidRPr="00651C99" w14:paraId="7F36E7B4" w14:textId="77777777" w:rsidTr="004E042D">
        <w:trPr>
          <w:trHeight w:val="20"/>
        </w:trPr>
        <w:tc>
          <w:tcPr>
            <w:tcW w:w="5000" w:type="pct"/>
            <w:gridSpan w:val="11"/>
            <w:shd w:val="clear" w:color="auto" w:fill="auto"/>
            <w:vAlign w:val="center"/>
          </w:tcPr>
          <w:p w14:paraId="37F2F893" w14:textId="77777777" w:rsidR="004E042D" w:rsidRPr="00651C99" w:rsidRDefault="004E042D" w:rsidP="004D1DE4">
            <w:pPr>
              <w:pStyle w:val="NoSpacing"/>
              <w:keepNext/>
              <w:rPr>
                <w:rFonts w:cstheme="minorHAnsi"/>
                <w:b/>
                <w:i/>
                <w:sz w:val="18"/>
                <w:szCs w:val="18"/>
              </w:rPr>
            </w:pPr>
            <w:r>
              <w:rPr>
                <w:rFonts w:cstheme="minorHAnsi"/>
                <w:b/>
                <w:i/>
                <w:sz w:val="18"/>
                <w:szCs w:val="18"/>
              </w:rPr>
              <w:t>MS2 Tracking/Recruitment</w:t>
            </w:r>
          </w:p>
        </w:tc>
      </w:tr>
      <w:tr w:rsidR="004E042D" w:rsidRPr="00651C99" w14:paraId="2CE63A24" w14:textId="77777777" w:rsidTr="004E042D">
        <w:trPr>
          <w:trHeight w:val="20"/>
        </w:trPr>
        <w:tc>
          <w:tcPr>
            <w:tcW w:w="5000" w:type="pct"/>
            <w:gridSpan w:val="11"/>
            <w:shd w:val="clear" w:color="auto" w:fill="auto"/>
            <w:vAlign w:val="center"/>
          </w:tcPr>
          <w:p w14:paraId="7863EF74" w14:textId="77777777" w:rsidR="004E042D" w:rsidRPr="00651C99" w:rsidRDefault="004E042D" w:rsidP="004D1DE4">
            <w:pPr>
              <w:pStyle w:val="NoSpacing"/>
              <w:keepNext/>
              <w:rPr>
                <w:rFonts w:cstheme="minorHAnsi"/>
                <w:b/>
                <w: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4E042D" w:rsidRPr="00EF716E" w14:paraId="3EEA2AB1" w14:textId="77777777" w:rsidTr="004E042D">
        <w:trPr>
          <w:trHeight w:val="20"/>
        </w:trPr>
        <w:tc>
          <w:tcPr>
            <w:tcW w:w="1261" w:type="pct"/>
            <w:shd w:val="clear" w:color="auto" w:fill="auto"/>
            <w:vAlign w:val="center"/>
          </w:tcPr>
          <w:p w14:paraId="17513A71" w14:textId="77777777" w:rsidR="004E042D" w:rsidRPr="005F38E7" w:rsidRDefault="004E042D" w:rsidP="004E042D">
            <w:pPr>
              <w:pStyle w:val="NoSpacing"/>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223BBFD8" w14:textId="77777777" w:rsidR="004E042D" w:rsidRPr="009D6844" w:rsidRDefault="004E042D" w:rsidP="004E042D">
            <w:pPr>
              <w:pStyle w:val="NoSpacing"/>
              <w:jc w:val="right"/>
              <w:rPr>
                <w:rFonts w:cstheme="minorHAnsi"/>
                <w:sz w:val="18"/>
                <w:szCs w:val="18"/>
              </w:rPr>
            </w:pPr>
            <w:r w:rsidRPr="009D6844">
              <w:rPr>
                <w:sz w:val="18"/>
                <w:szCs w:val="18"/>
              </w:rPr>
              <w:t>735</w:t>
            </w:r>
          </w:p>
        </w:tc>
        <w:tc>
          <w:tcPr>
            <w:tcW w:w="378" w:type="pct"/>
            <w:vAlign w:val="center"/>
          </w:tcPr>
          <w:p w14:paraId="693B7D2F" w14:textId="77777777" w:rsidR="004E042D" w:rsidRPr="009D6844" w:rsidRDefault="004E042D" w:rsidP="004E042D">
            <w:pPr>
              <w:pStyle w:val="NoSpacing"/>
              <w:jc w:val="right"/>
              <w:rPr>
                <w:rFonts w:cstheme="minorHAnsi"/>
                <w:sz w:val="18"/>
                <w:szCs w:val="18"/>
              </w:rPr>
            </w:pPr>
            <w:r w:rsidRPr="009D6844">
              <w:rPr>
                <w:sz w:val="18"/>
                <w:szCs w:val="18"/>
              </w:rPr>
              <w:t>100%</w:t>
            </w:r>
          </w:p>
        </w:tc>
        <w:tc>
          <w:tcPr>
            <w:tcW w:w="585" w:type="pct"/>
            <w:vAlign w:val="center"/>
          </w:tcPr>
          <w:p w14:paraId="2A3E6B5D" w14:textId="77777777" w:rsidR="004E042D" w:rsidRPr="009D6844" w:rsidRDefault="004E042D" w:rsidP="004E042D">
            <w:pPr>
              <w:pStyle w:val="NoSpacing"/>
              <w:jc w:val="right"/>
              <w:rPr>
                <w:rFonts w:cstheme="minorHAnsi"/>
                <w:sz w:val="18"/>
                <w:szCs w:val="18"/>
              </w:rPr>
            </w:pPr>
            <w:r w:rsidRPr="009D6844">
              <w:rPr>
                <w:sz w:val="18"/>
                <w:szCs w:val="18"/>
              </w:rPr>
              <w:t>735</w:t>
            </w:r>
            <w:r>
              <w:rPr>
                <w:sz w:val="18"/>
                <w:szCs w:val="18"/>
              </w:rPr>
              <w:t>*</w:t>
            </w:r>
          </w:p>
        </w:tc>
        <w:tc>
          <w:tcPr>
            <w:tcW w:w="452" w:type="pct"/>
            <w:shd w:val="clear" w:color="auto" w:fill="auto"/>
            <w:noWrap/>
            <w:vAlign w:val="center"/>
          </w:tcPr>
          <w:p w14:paraId="37A988DB" w14:textId="77777777" w:rsidR="004E042D" w:rsidRPr="009D6844" w:rsidRDefault="004E042D" w:rsidP="004E042D">
            <w:pPr>
              <w:pStyle w:val="NoSpacing"/>
              <w:jc w:val="right"/>
              <w:rPr>
                <w:rFonts w:cstheme="minorHAnsi"/>
                <w:sz w:val="18"/>
                <w:szCs w:val="18"/>
              </w:rPr>
            </w:pPr>
            <w:r w:rsidRPr="009D6844">
              <w:rPr>
                <w:sz w:val="18"/>
                <w:szCs w:val="18"/>
              </w:rPr>
              <w:t>735</w:t>
            </w:r>
          </w:p>
        </w:tc>
        <w:tc>
          <w:tcPr>
            <w:tcW w:w="452" w:type="pct"/>
            <w:shd w:val="clear" w:color="auto" w:fill="auto"/>
            <w:noWrap/>
            <w:vAlign w:val="center"/>
          </w:tcPr>
          <w:p w14:paraId="7DF40AA1" w14:textId="77777777" w:rsidR="004E042D" w:rsidRPr="009D6844" w:rsidRDefault="004E042D" w:rsidP="004E042D">
            <w:pPr>
              <w:pStyle w:val="NoSpacing"/>
              <w:jc w:val="right"/>
              <w:rPr>
                <w:rFonts w:cstheme="minorHAnsi"/>
                <w:sz w:val="18"/>
                <w:szCs w:val="18"/>
              </w:rPr>
            </w:pPr>
            <w:r w:rsidRPr="009D6844">
              <w:rPr>
                <w:sz w:val="18"/>
                <w:szCs w:val="18"/>
              </w:rPr>
              <w:t>30</w:t>
            </w:r>
          </w:p>
        </w:tc>
        <w:tc>
          <w:tcPr>
            <w:tcW w:w="370" w:type="pct"/>
            <w:shd w:val="clear" w:color="auto" w:fill="auto"/>
            <w:noWrap/>
            <w:vAlign w:val="center"/>
          </w:tcPr>
          <w:p w14:paraId="1648B0DC" w14:textId="77777777" w:rsidR="004E042D" w:rsidRPr="009D6844" w:rsidRDefault="004E042D" w:rsidP="004E042D">
            <w:pPr>
              <w:pStyle w:val="NoSpacing"/>
              <w:jc w:val="right"/>
              <w:rPr>
                <w:rFonts w:cstheme="minorHAnsi"/>
                <w:sz w:val="18"/>
                <w:szCs w:val="18"/>
              </w:rPr>
            </w:pPr>
            <w:r w:rsidRPr="009D6844">
              <w:rPr>
                <w:sz w:val="18"/>
                <w:szCs w:val="18"/>
              </w:rPr>
              <w:t>368</w:t>
            </w:r>
          </w:p>
        </w:tc>
        <w:tc>
          <w:tcPr>
            <w:tcW w:w="605" w:type="pct"/>
            <w:gridSpan w:val="3"/>
            <w:shd w:val="clear" w:color="auto" w:fill="auto"/>
            <w:noWrap/>
          </w:tcPr>
          <w:p w14:paraId="7DB5B0D3" w14:textId="77777777" w:rsidR="004E042D" w:rsidRPr="009D6844" w:rsidRDefault="004E042D" w:rsidP="004E042D">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3E4D84BD" w14:textId="77777777" w:rsidR="004E042D" w:rsidRPr="009D6844" w:rsidRDefault="004E042D" w:rsidP="004E042D">
            <w:pPr>
              <w:pStyle w:val="NoSpacing"/>
              <w:jc w:val="right"/>
              <w:rPr>
                <w:color w:val="0070C0"/>
                <w:sz w:val="18"/>
                <w:szCs w:val="18"/>
              </w:rPr>
            </w:pPr>
            <w:r>
              <w:rPr>
                <w:rFonts w:ascii="Calibri" w:hAnsi="Calibri"/>
                <w:sz w:val="18"/>
                <w:szCs w:val="18"/>
              </w:rPr>
              <w:t>$16,876</w:t>
            </w:r>
            <w:r w:rsidRPr="009D6844">
              <w:rPr>
                <w:rFonts w:ascii="Calibri" w:hAnsi="Calibri"/>
                <w:sz w:val="18"/>
                <w:szCs w:val="18"/>
              </w:rPr>
              <w:t xml:space="preserve"> </w:t>
            </w:r>
          </w:p>
        </w:tc>
      </w:tr>
      <w:tr w:rsidR="004E042D" w:rsidRPr="00EF716E" w14:paraId="06CB682D" w14:textId="77777777" w:rsidTr="004E042D">
        <w:trPr>
          <w:trHeight w:val="20"/>
        </w:trPr>
        <w:tc>
          <w:tcPr>
            <w:tcW w:w="1261" w:type="pct"/>
            <w:shd w:val="clear" w:color="auto" w:fill="auto"/>
            <w:vAlign w:val="center"/>
          </w:tcPr>
          <w:p w14:paraId="38748E96" w14:textId="77777777" w:rsidR="004E042D" w:rsidRPr="005F38E7" w:rsidRDefault="004E042D" w:rsidP="004E042D">
            <w:pPr>
              <w:pStyle w:val="NoSpacing"/>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6A8ED280" w14:textId="77777777" w:rsidR="004E042D" w:rsidRPr="009D6844" w:rsidRDefault="004E042D" w:rsidP="004E042D">
            <w:pPr>
              <w:pStyle w:val="NoSpacing"/>
              <w:jc w:val="right"/>
              <w:rPr>
                <w:rFonts w:cstheme="minorHAnsi"/>
                <w:sz w:val="18"/>
                <w:szCs w:val="18"/>
              </w:rPr>
            </w:pPr>
            <w:r w:rsidRPr="009D6844">
              <w:rPr>
                <w:rFonts w:cstheme="minorHAnsi"/>
                <w:sz w:val="18"/>
                <w:szCs w:val="18"/>
              </w:rPr>
              <w:t>368</w:t>
            </w:r>
          </w:p>
        </w:tc>
        <w:tc>
          <w:tcPr>
            <w:tcW w:w="378" w:type="pct"/>
            <w:vAlign w:val="center"/>
          </w:tcPr>
          <w:p w14:paraId="042E79AE" w14:textId="77777777" w:rsidR="004E042D" w:rsidRPr="009D6844" w:rsidRDefault="004E042D" w:rsidP="004E042D">
            <w:pPr>
              <w:pStyle w:val="NoSpacing"/>
              <w:jc w:val="right"/>
              <w:rPr>
                <w:rFonts w:cstheme="minorHAnsi"/>
                <w:sz w:val="18"/>
                <w:szCs w:val="18"/>
              </w:rPr>
            </w:pPr>
            <w:r w:rsidRPr="009D6844">
              <w:rPr>
                <w:sz w:val="18"/>
                <w:szCs w:val="18"/>
              </w:rPr>
              <w:t>100%</w:t>
            </w:r>
          </w:p>
        </w:tc>
        <w:tc>
          <w:tcPr>
            <w:tcW w:w="585" w:type="pct"/>
            <w:vAlign w:val="center"/>
          </w:tcPr>
          <w:p w14:paraId="05FEC163" w14:textId="77777777" w:rsidR="004E042D" w:rsidRPr="009D6844" w:rsidRDefault="004E042D" w:rsidP="004E042D">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194D96C9" w14:textId="77777777" w:rsidR="004E042D" w:rsidRPr="009D6844" w:rsidRDefault="004E042D" w:rsidP="004E042D">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509E49C0" w14:textId="77777777" w:rsidR="004E042D" w:rsidRPr="009D6844" w:rsidRDefault="004E042D" w:rsidP="004E042D">
            <w:pPr>
              <w:pStyle w:val="NoSpacing"/>
              <w:jc w:val="right"/>
              <w:rPr>
                <w:rFonts w:cstheme="minorHAnsi"/>
                <w:sz w:val="18"/>
                <w:szCs w:val="18"/>
              </w:rPr>
            </w:pPr>
            <w:r w:rsidRPr="009D6844">
              <w:rPr>
                <w:sz w:val="18"/>
                <w:szCs w:val="18"/>
              </w:rPr>
              <w:t>120</w:t>
            </w:r>
          </w:p>
        </w:tc>
        <w:tc>
          <w:tcPr>
            <w:tcW w:w="370" w:type="pct"/>
            <w:shd w:val="clear" w:color="auto" w:fill="auto"/>
            <w:noWrap/>
            <w:vAlign w:val="center"/>
          </w:tcPr>
          <w:p w14:paraId="63803572" w14:textId="77777777" w:rsidR="004E042D" w:rsidRPr="009D6844" w:rsidRDefault="004E042D" w:rsidP="004E042D">
            <w:pPr>
              <w:pStyle w:val="NoSpacing"/>
              <w:jc w:val="right"/>
              <w:rPr>
                <w:rFonts w:cstheme="minorHAnsi"/>
                <w:sz w:val="18"/>
                <w:szCs w:val="18"/>
              </w:rPr>
            </w:pPr>
            <w:r w:rsidRPr="009D6844">
              <w:rPr>
                <w:sz w:val="18"/>
                <w:szCs w:val="18"/>
              </w:rPr>
              <w:t>736</w:t>
            </w:r>
          </w:p>
        </w:tc>
        <w:tc>
          <w:tcPr>
            <w:tcW w:w="605" w:type="pct"/>
            <w:gridSpan w:val="3"/>
            <w:shd w:val="clear" w:color="auto" w:fill="auto"/>
            <w:noWrap/>
          </w:tcPr>
          <w:p w14:paraId="488F496E" w14:textId="77777777" w:rsidR="004E042D" w:rsidRPr="009D6844" w:rsidRDefault="004E042D" w:rsidP="004E042D">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3C00D3D5" w14:textId="77777777" w:rsidR="004E042D" w:rsidRPr="009D6844" w:rsidRDefault="004E042D" w:rsidP="004E042D">
            <w:pPr>
              <w:pStyle w:val="NoSpacing"/>
              <w:jc w:val="right"/>
              <w:rPr>
                <w:color w:val="0070C0"/>
                <w:sz w:val="18"/>
                <w:szCs w:val="18"/>
              </w:rPr>
            </w:pPr>
            <w:r>
              <w:rPr>
                <w:rFonts w:ascii="Calibri" w:hAnsi="Calibri"/>
                <w:sz w:val="18"/>
                <w:szCs w:val="18"/>
              </w:rPr>
              <w:t>$33,753</w:t>
            </w:r>
            <w:r w:rsidRPr="009D6844">
              <w:rPr>
                <w:rFonts w:ascii="Calibri" w:hAnsi="Calibri"/>
                <w:sz w:val="18"/>
                <w:szCs w:val="18"/>
              </w:rPr>
              <w:t xml:space="preserve"> </w:t>
            </w:r>
          </w:p>
        </w:tc>
      </w:tr>
      <w:tr w:rsidR="004E042D" w:rsidRPr="00EF716E" w14:paraId="687716FA" w14:textId="77777777" w:rsidTr="004E042D">
        <w:trPr>
          <w:trHeight w:val="20"/>
        </w:trPr>
        <w:tc>
          <w:tcPr>
            <w:tcW w:w="1261" w:type="pct"/>
            <w:shd w:val="clear" w:color="auto" w:fill="auto"/>
            <w:vAlign w:val="center"/>
          </w:tcPr>
          <w:p w14:paraId="44683900" w14:textId="77777777" w:rsidR="004E042D" w:rsidRPr="005F38E7" w:rsidRDefault="004E042D" w:rsidP="004E042D">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6D5F86BF" w14:textId="77777777" w:rsidR="004E042D" w:rsidRPr="009D6844" w:rsidRDefault="004E042D" w:rsidP="004E042D">
            <w:pPr>
              <w:pStyle w:val="NoSpacing"/>
              <w:jc w:val="right"/>
              <w:rPr>
                <w:sz w:val="18"/>
                <w:szCs w:val="18"/>
              </w:rPr>
            </w:pPr>
            <w:r w:rsidRPr="009D6844">
              <w:rPr>
                <w:rFonts w:cstheme="minorHAnsi"/>
                <w:sz w:val="18"/>
                <w:szCs w:val="18"/>
              </w:rPr>
              <w:t>132</w:t>
            </w:r>
          </w:p>
        </w:tc>
        <w:tc>
          <w:tcPr>
            <w:tcW w:w="378" w:type="pct"/>
            <w:vAlign w:val="center"/>
          </w:tcPr>
          <w:p w14:paraId="04C12DC0" w14:textId="77777777" w:rsidR="004E042D" w:rsidRPr="009D6844" w:rsidRDefault="004E042D" w:rsidP="004E042D">
            <w:pPr>
              <w:pStyle w:val="NoSpacing"/>
              <w:jc w:val="right"/>
              <w:rPr>
                <w:sz w:val="18"/>
                <w:szCs w:val="18"/>
              </w:rPr>
            </w:pPr>
            <w:r w:rsidRPr="009D6844">
              <w:rPr>
                <w:sz w:val="18"/>
                <w:szCs w:val="18"/>
              </w:rPr>
              <w:t>100%</w:t>
            </w:r>
          </w:p>
        </w:tc>
        <w:tc>
          <w:tcPr>
            <w:tcW w:w="585" w:type="pct"/>
            <w:vAlign w:val="center"/>
          </w:tcPr>
          <w:p w14:paraId="0204C27F" w14:textId="77777777" w:rsidR="004E042D" w:rsidRPr="009D6844" w:rsidRDefault="004E042D" w:rsidP="004E042D">
            <w:pPr>
              <w:pStyle w:val="NoSpacing"/>
              <w:jc w:val="right"/>
              <w:rPr>
                <w:sz w:val="18"/>
                <w:szCs w:val="18"/>
              </w:rPr>
            </w:pPr>
            <w:r w:rsidRPr="009D6844">
              <w:rPr>
                <w:sz w:val="18"/>
                <w:szCs w:val="18"/>
              </w:rPr>
              <w:t>132</w:t>
            </w:r>
          </w:p>
        </w:tc>
        <w:tc>
          <w:tcPr>
            <w:tcW w:w="452" w:type="pct"/>
            <w:shd w:val="clear" w:color="auto" w:fill="auto"/>
            <w:noWrap/>
            <w:vAlign w:val="center"/>
          </w:tcPr>
          <w:p w14:paraId="0BA627E7" w14:textId="77777777" w:rsidR="004E042D" w:rsidRPr="009D6844" w:rsidRDefault="004E042D" w:rsidP="004E042D">
            <w:pPr>
              <w:pStyle w:val="NoSpacing"/>
              <w:jc w:val="right"/>
              <w:rPr>
                <w:sz w:val="18"/>
                <w:szCs w:val="18"/>
              </w:rPr>
            </w:pPr>
            <w:r w:rsidRPr="009D6844">
              <w:rPr>
                <w:sz w:val="18"/>
                <w:szCs w:val="18"/>
              </w:rPr>
              <w:t>132</w:t>
            </w:r>
          </w:p>
        </w:tc>
        <w:tc>
          <w:tcPr>
            <w:tcW w:w="452" w:type="pct"/>
            <w:shd w:val="clear" w:color="auto" w:fill="auto"/>
            <w:noWrap/>
            <w:vAlign w:val="center"/>
          </w:tcPr>
          <w:p w14:paraId="00559161" w14:textId="77777777" w:rsidR="004E042D" w:rsidRPr="009D6844" w:rsidRDefault="004E042D" w:rsidP="004E042D">
            <w:pPr>
              <w:pStyle w:val="NoSpacing"/>
              <w:jc w:val="right"/>
              <w:rPr>
                <w:sz w:val="18"/>
                <w:szCs w:val="18"/>
              </w:rPr>
            </w:pPr>
            <w:r w:rsidRPr="009D6844">
              <w:rPr>
                <w:sz w:val="18"/>
                <w:szCs w:val="18"/>
              </w:rPr>
              <w:t>120</w:t>
            </w:r>
          </w:p>
        </w:tc>
        <w:tc>
          <w:tcPr>
            <w:tcW w:w="370" w:type="pct"/>
            <w:shd w:val="clear" w:color="auto" w:fill="auto"/>
            <w:noWrap/>
            <w:vAlign w:val="center"/>
          </w:tcPr>
          <w:p w14:paraId="6DB6F325" w14:textId="77777777" w:rsidR="004E042D" w:rsidRPr="009D6844" w:rsidRDefault="004E042D" w:rsidP="004E042D">
            <w:pPr>
              <w:pStyle w:val="NoSpacing"/>
              <w:jc w:val="right"/>
              <w:rPr>
                <w:sz w:val="18"/>
                <w:szCs w:val="18"/>
              </w:rPr>
            </w:pPr>
            <w:r w:rsidRPr="009D6844">
              <w:rPr>
                <w:sz w:val="18"/>
                <w:szCs w:val="18"/>
              </w:rPr>
              <w:t>264</w:t>
            </w:r>
          </w:p>
        </w:tc>
        <w:tc>
          <w:tcPr>
            <w:tcW w:w="605" w:type="pct"/>
            <w:gridSpan w:val="3"/>
            <w:shd w:val="clear" w:color="auto" w:fill="auto"/>
            <w:noWrap/>
          </w:tcPr>
          <w:p w14:paraId="1E9AB6E1" w14:textId="77777777" w:rsidR="004E042D" w:rsidRPr="009D6844" w:rsidRDefault="004E042D" w:rsidP="004E042D">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306687DE" w14:textId="77777777" w:rsidR="004E042D" w:rsidRPr="009D6844" w:rsidRDefault="004E042D" w:rsidP="004E042D">
            <w:pPr>
              <w:pStyle w:val="NoSpacing"/>
              <w:jc w:val="right"/>
              <w:rPr>
                <w:color w:val="0070C0"/>
                <w:sz w:val="18"/>
                <w:szCs w:val="18"/>
              </w:rPr>
            </w:pPr>
            <w:r>
              <w:rPr>
                <w:rFonts w:ascii="Calibri" w:hAnsi="Calibri"/>
                <w:sz w:val="18"/>
                <w:szCs w:val="18"/>
              </w:rPr>
              <w:t>$12,107</w:t>
            </w:r>
            <w:r w:rsidRPr="009D6844">
              <w:rPr>
                <w:rFonts w:ascii="Calibri" w:hAnsi="Calibri"/>
                <w:sz w:val="18"/>
                <w:szCs w:val="18"/>
              </w:rPr>
              <w:t xml:space="preserve"> </w:t>
            </w:r>
          </w:p>
        </w:tc>
      </w:tr>
      <w:tr w:rsidR="004E042D" w:rsidRPr="00EF716E" w14:paraId="7C921596" w14:textId="77777777" w:rsidTr="004E042D">
        <w:trPr>
          <w:trHeight w:val="20"/>
        </w:trPr>
        <w:tc>
          <w:tcPr>
            <w:tcW w:w="1261" w:type="pct"/>
            <w:shd w:val="clear" w:color="auto" w:fill="auto"/>
            <w:vAlign w:val="center"/>
          </w:tcPr>
          <w:p w14:paraId="3BB97207" w14:textId="77777777" w:rsidR="004E042D" w:rsidRPr="005F38E7" w:rsidRDefault="004E042D" w:rsidP="004E042D">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4583E06" w14:textId="77777777" w:rsidR="004E042D" w:rsidRPr="009D6844" w:rsidRDefault="004E042D" w:rsidP="004E042D">
            <w:pPr>
              <w:pStyle w:val="NoSpacing"/>
              <w:jc w:val="right"/>
              <w:rPr>
                <w:sz w:val="18"/>
                <w:szCs w:val="18"/>
              </w:rPr>
            </w:pPr>
            <w:r>
              <w:rPr>
                <w:rFonts w:cstheme="minorHAnsi"/>
                <w:sz w:val="18"/>
                <w:szCs w:val="18"/>
              </w:rPr>
              <w:t>660</w:t>
            </w:r>
          </w:p>
        </w:tc>
        <w:tc>
          <w:tcPr>
            <w:tcW w:w="378" w:type="pct"/>
            <w:vAlign w:val="center"/>
          </w:tcPr>
          <w:p w14:paraId="585050F5" w14:textId="77777777" w:rsidR="004E042D" w:rsidRPr="009D6844" w:rsidRDefault="004E042D" w:rsidP="004E042D">
            <w:pPr>
              <w:pStyle w:val="NoSpacing"/>
              <w:jc w:val="right"/>
              <w:rPr>
                <w:sz w:val="18"/>
                <w:szCs w:val="18"/>
              </w:rPr>
            </w:pPr>
            <w:r w:rsidRPr="009D6844">
              <w:rPr>
                <w:sz w:val="18"/>
                <w:szCs w:val="18"/>
              </w:rPr>
              <w:t>100%</w:t>
            </w:r>
          </w:p>
        </w:tc>
        <w:tc>
          <w:tcPr>
            <w:tcW w:w="585" w:type="pct"/>
            <w:vAlign w:val="center"/>
          </w:tcPr>
          <w:p w14:paraId="1C3EAC9C" w14:textId="77777777" w:rsidR="004E042D" w:rsidRPr="009D6844" w:rsidRDefault="004E042D" w:rsidP="004E042D">
            <w:pPr>
              <w:pStyle w:val="NoSpacing"/>
              <w:jc w:val="right"/>
              <w:rPr>
                <w:sz w:val="18"/>
                <w:szCs w:val="18"/>
              </w:rPr>
            </w:pPr>
            <w:r w:rsidRPr="009D6844">
              <w:rPr>
                <w:sz w:val="18"/>
                <w:szCs w:val="18"/>
              </w:rPr>
              <w:t>660</w:t>
            </w:r>
          </w:p>
        </w:tc>
        <w:tc>
          <w:tcPr>
            <w:tcW w:w="452" w:type="pct"/>
            <w:shd w:val="clear" w:color="auto" w:fill="auto"/>
            <w:noWrap/>
            <w:vAlign w:val="center"/>
          </w:tcPr>
          <w:p w14:paraId="2B709BD7" w14:textId="77777777" w:rsidR="004E042D" w:rsidRPr="009D6844" w:rsidRDefault="004E042D" w:rsidP="004E042D">
            <w:pPr>
              <w:pStyle w:val="NoSpacing"/>
              <w:jc w:val="right"/>
              <w:rPr>
                <w:sz w:val="18"/>
                <w:szCs w:val="18"/>
              </w:rPr>
            </w:pPr>
            <w:r w:rsidRPr="009D6844">
              <w:rPr>
                <w:sz w:val="18"/>
                <w:szCs w:val="18"/>
              </w:rPr>
              <w:t>660</w:t>
            </w:r>
          </w:p>
        </w:tc>
        <w:tc>
          <w:tcPr>
            <w:tcW w:w="452" w:type="pct"/>
            <w:shd w:val="clear" w:color="auto" w:fill="auto"/>
            <w:noWrap/>
            <w:vAlign w:val="center"/>
          </w:tcPr>
          <w:p w14:paraId="1A173F4E" w14:textId="77777777" w:rsidR="004E042D" w:rsidRPr="009D6844" w:rsidRDefault="004E042D" w:rsidP="004E042D">
            <w:pPr>
              <w:pStyle w:val="NoSpacing"/>
              <w:jc w:val="right"/>
              <w:rPr>
                <w:sz w:val="18"/>
                <w:szCs w:val="18"/>
              </w:rPr>
            </w:pPr>
            <w:r w:rsidRPr="009D6844">
              <w:rPr>
                <w:sz w:val="18"/>
                <w:szCs w:val="18"/>
              </w:rPr>
              <w:t>120</w:t>
            </w:r>
          </w:p>
        </w:tc>
        <w:tc>
          <w:tcPr>
            <w:tcW w:w="370" w:type="pct"/>
            <w:shd w:val="clear" w:color="auto" w:fill="auto"/>
            <w:noWrap/>
            <w:vAlign w:val="center"/>
          </w:tcPr>
          <w:p w14:paraId="08E44FA8" w14:textId="77777777" w:rsidR="004E042D" w:rsidRPr="009D6844" w:rsidRDefault="004E042D" w:rsidP="004E042D">
            <w:pPr>
              <w:pStyle w:val="NoSpacing"/>
              <w:jc w:val="right"/>
              <w:rPr>
                <w:sz w:val="18"/>
                <w:szCs w:val="18"/>
              </w:rPr>
            </w:pPr>
            <w:r w:rsidRPr="009D6844">
              <w:rPr>
                <w:sz w:val="18"/>
                <w:szCs w:val="18"/>
              </w:rPr>
              <w:t>1,320</w:t>
            </w:r>
          </w:p>
        </w:tc>
        <w:tc>
          <w:tcPr>
            <w:tcW w:w="605" w:type="pct"/>
            <w:gridSpan w:val="3"/>
            <w:shd w:val="clear" w:color="auto" w:fill="auto"/>
            <w:noWrap/>
          </w:tcPr>
          <w:p w14:paraId="39D09BF9" w14:textId="77777777" w:rsidR="004E042D" w:rsidRPr="009D6844" w:rsidRDefault="004E042D" w:rsidP="004E042D">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12FC854A" w14:textId="77777777" w:rsidR="004E042D" w:rsidRPr="009D6844" w:rsidRDefault="004E042D" w:rsidP="004E042D">
            <w:pPr>
              <w:pStyle w:val="NoSpacing"/>
              <w:jc w:val="right"/>
              <w:rPr>
                <w:color w:val="0070C0"/>
                <w:sz w:val="18"/>
                <w:szCs w:val="18"/>
              </w:rPr>
            </w:pPr>
            <w:r>
              <w:rPr>
                <w:rFonts w:ascii="Calibri" w:hAnsi="Calibri"/>
                <w:sz w:val="18"/>
                <w:szCs w:val="18"/>
              </w:rPr>
              <w:t>$60,535</w:t>
            </w:r>
            <w:r w:rsidRPr="009D6844">
              <w:rPr>
                <w:rFonts w:ascii="Calibri" w:hAnsi="Calibri"/>
                <w:sz w:val="18"/>
                <w:szCs w:val="18"/>
              </w:rPr>
              <w:t xml:space="preserve"> </w:t>
            </w:r>
          </w:p>
        </w:tc>
      </w:tr>
      <w:tr w:rsidR="004E042D" w:rsidRPr="00651C99" w14:paraId="7513F7E5" w14:textId="77777777" w:rsidTr="004E042D">
        <w:trPr>
          <w:trHeight w:val="20"/>
        </w:trPr>
        <w:tc>
          <w:tcPr>
            <w:tcW w:w="1261" w:type="pct"/>
            <w:shd w:val="clear" w:color="auto" w:fill="auto"/>
            <w:vAlign w:val="center"/>
          </w:tcPr>
          <w:p w14:paraId="0B53140E" w14:textId="77777777" w:rsidR="004E042D" w:rsidRPr="00651C99" w:rsidRDefault="004E042D" w:rsidP="004E042D">
            <w:pPr>
              <w:pStyle w:val="NoSpacing"/>
              <w:rPr>
                <w:rFonts w:cstheme="minorHAnsi"/>
                <w:sz w:val="18"/>
                <w:szCs w:val="18"/>
              </w:rPr>
            </w:pPr>
            <w:r>
              <w:rPr>
                <w:rFonts w:ascii="Calibri" w:hAnsi="Calibri"/>
                <w:color w:val="000000"/>
                <w:sz w:val="18"/>
                <w:szCs w:val="18"/>
              </w:rPr>
              <w:t>School staff at Base Year schools</w:t>
            </w:r>
          </w:p>
        </w:tc>
        <w:tc>
          <w:tcPr>
            <w:tcW w:w="376" w:type="pct"/>
            <w:vAlign w:val="center"/>
          </w:tcPr>
          <w:p w14:paraId="0D351A9B" w14:textId="77777777" w:rsidR="004E042D" w:rsidRPr="00EF716E" w:rsidRDefault="004E042D" w:rsidP="004E042D">
            <w:pPr>
              <w:pStyle w:val="NoSpacing"/>
              <w:jc w:val="right"/>
              <w:rPr>
                <w:rFonts w:cstheme="minorHAnsi"/>
                <w:color w:val="0070C0"/>
                <w:sz w:val="18"/>
                <w:szCs w:val="18"/>
              </w:rPr>
            </w:pPr>
            <w:r w:rsidRPr="00CB35D2">
              <w:rPr>
                <w:rFonts w:ascii="Calibri" w:hAnsi="Calibri"/>
                <w:sz w:val="18"/>
                <w:szCs w:val="18"/>
              </w:rPr>
              <w:t>900</w:t>
            </w:r>
          </w:p>
        </w:tc>
        <w:tc>
          <w:tcPr>
            <w:tcW w:w="378" w:type="pct"/>
            <w:vAlign w:val="center"/>
          </w:tcPr>
          <w:p w14:paraId="494A64A8" w14:textId="77777777" w:rsidR="004E042D" w:rsidRPr="00CB35D2" w:rsidRDefault="004E042D" w:rsidP="004E042D">
            <w:pPr>
              <w:pStyle w:val="NoSpacing"/>
              <w:jc w:val="right"/>
              <w:rPr>
                <w:rFonts w:cstheme="minorHAnsi"/>
                <w:sz w:val="18"/>
                <w:szCs w:val="18"/>
              </w:rPr>
            </w:pPr>
            <w:r w:rsidRPr="00CB35D2">
              <w:rPr>
                <w:rFonts w:ascii="Calibri" w:hAnsi="Calibri"/>
                <w:sz w:val="18"/>
                <w:szCs w:val="18"/>
              </w:rPr>
              <w:t>95%</w:t>
            </w:r>
          </w:p>
        </w:tc>
        <w:tc>
          <w:tcPr>
            <w:tcW w:w="585" w:type="pct"/>
            <w:vAlign w:val="center"/>
          </w:tcPr>
          <w:p w14:paraId="46044B49" w14:textId="77777777" w:rsidR="004E042D" w:rsidRPr="00C12497" w:rsidRDefault="004E042D" w:rsidP="004E042D">
            <w:pPr>
              <w:pStyle w:val="NoSpacing"/>
              <w:jc w:val="right"/>
              <w:rPr>
                <w:rFonts w:cstheme="minorHAnsi"/>
                <w:sz w:val="18"/>
                <w:szCs w:val="18"/>
              </w:rPr>
            </w:pPr>
            <w:r w:rsidRPr="00C12497">
              <w:rPr>
                <w:rFonts w:cstheme="minorHAnsi"/>
                <w:sz w:val="18"/>
                <w:szCs w:val="18"/>
              </w:rPr>
              <w:t>855</w:t>
            </w:r>
            <w:r>
              <w:rPr>
                <w:rFonts w:cstheme="minorHAnsi"/>
                <w:sz w:val="18"/>
                <w:szCs w:val="18"/>
              </w:rPr>
              <w:t>*</w:t>
            </w:r>
          </w:p>
        </w:tc>
        <w:tc>
          <w:tcPr>
            <w:tcW w:w="452" w:type="pct"/>
            <w:shd w:val="clear" w:color="auto" w:fill="auto"/>
            <w:noWrap/>
            <w:vAlign w:val="center"/>
          </w:tcPr>
          <w:p w14:paraId="2DC90996" w14:textId="77777777" w:rsidR="004E042D" w:rsidRPr="00C12497" w:rsidRDefault="004E042D" w:rsidP="004E042D">
            <w:pPr>
              <w:pStyle w:val="NoSpacing"/>
              <w:jc w:val="right"/>
              <w:rPr>
                <w:rFonts w:cstheme="minorHAnsi"/>
                <w:sz w:val="18"/>
                <w:szCs w:val="18"/>
              </w:rPr>
            </w:pPr>
            <w:r w:rsidRPr="00C12497">
              <w:rPr>
                <w:rFonts w:cstheme="minorHAnsi"/>
                <w:sz w:val="18"/>
                <w:szCs w:val="18"/>
              </w:rPr>
              <w:t>855</w:t>
            </w:r>
          </w:p>
        </w:tc>
        <w:tc>
          <w:tcPr>
            <w:tcW w:w="452" w:type="pct"/>
            <w:shd w:val="clear" w:color="auto" w:fill="auto"/>
            <w:noWrap/>
            <w:vAlign w:val="center"/>
          </w:tcPr>
          <w:p w14:paraId="14817FB5" w14:textId="77777777" w:rsidR="004E042D" w:rsidRPr="00CB35D2" w:rsidRDefault="004E042D" w:rsidP="004E042D">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470D0FC8" w14:textId="77777777" w:rsidR="004E042D" w:rsidRPr="0071268F" w:rsidRDefault="004E042D" w:rsidP="004E042D">
            <w:pPr>
              <w:pStyle w:val="NoSpacing"/>
              <w:jc w:val="right"/>
              <w:rPr>
                <w:rFonts w:cstheme="minorHAnsi"/>
                <w:sz w:val="18"/>
                <w:szCs w:val="18"/>
              </w:rPr>
            </w:pPr>
            <w:r w:rsidRPr="0071268F">
              <w:rPr>
                <w:rFonts w:cstheme="minorHAnsi"/>
                <w:sz w:val="18"/>
                <w:szCs w:val="18"/>
              </w:rPr>
              <w:t>285</w:t>
            </w:r>
          </w:p>
        </w:tc>
        <w:tc>
          <w:tcPr>
            <w:tcW w:w="605" w:type="pct"/>
            <w:gridSpan w:val="3"/>
            <w:shd w:val="clear" w:color="auto" w:fill="auto"/>
            <w:noWrap/>
          </w:tcPr>
          <w:p w14:paraId="5B233B01" w14:textId="77777777" w:rsidR="004E042D" w:rsidRPr="0071268F" w:rsidRDefault="004E042D" w:rsidP="004E042D">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719B7CE9" w14:textId="77777777" w:rsidR="004E042D" w:rsidRPr="0071268F" w:rsidRDefault="004E042D" w:rsidP="004E042D">
            <w:pPr>
              <w:pStyle w:val="NoSpacing"/>
              <w:jc w:val="right"/>
              <w:rPr>
                <w:sz w:val="18"/>
                <w:szCs w:val="18"/>
              </w:rPr>
            </w:pPr>
            <w:r>
              <w:rPr>
                <w:rFonts w:ascii="Calibri" w:hAnsi="Calibri"/>
                <w:sz w:val="18"/>
                <w:szCs w:val="18"/>
              </w:rPr>
              <w:t>$13,070</w:t>
            </w:r>
            <w:r w:rsidRPr="0071268F">
              <w:rPr>
                <w:rFonts w:ascii="Calibri" w:hAnsi="Calibri"/>
                <w:sz w:val="18"/>
                <w:szCs w:val="18"/>
              </w:rPr>
              <w:t xml:space="preserve"> </w:t>
            </w:r>
          </w:p>
        </w:tc>
      </w:tr>
      <w:tr w:rsidR="004E042D" w:rsidRPr="00651C99" w14:paraId="2E69581C" w14:textId="77777777" w:rsidTr="004E042D">
        <w:trPr>
          <w:trHeight w:val="20"/>
        </w:trPr>
        <w:tc>
          <w:tcPr>
            <w:tcW w:w="1261" w:type="pct"/>
            <w:shd w:val="clear" w:color="auto" w:fill="auto"/>
            <w:vAlign w:val="center"/>
          </w:tcPr>
          <w:p w14:paraId="1A19F2C5" w14:textId="77777777" w:rsidR="004E042D" w:rsidRPr="00651C99" w:rsidRDefault="004E042D" w:rsidP="004E042D">
            <w:pPr>
              <w:pStyle w:val="NoSpacing"/>
              <w:rPr>
                <w:rFonts w:cstheme="minorHAnsi"/>
                <w:sz w:val="18"/>
                <w:szCs w:val="18"/>
              </w:rPr>
            </w:pPr>
            <w:r>
              <w:rPr>
                <w:rFonts w:ascii="Calibri" w:hAnsi="Calibri"/>
                <w:color w:val="000000"/>
                <w:sz w:val="18"/>
                <w:szCs w:val="18"/>
              </w:rPr>
              <w:t>School staff at mover schools</w:t>
            </w:r>
          </w:p>
        </w:tc>
        <w:tc>
          <w:tcPr>
            <w:tcW w:w="376" w:type="pct"/>
            <w:vAlign w:val="center"/>
          </w:tcPr>
          <w:p w14:paraId="70833CAA" w14:textId="77777777" w:rsidR="004E042D" w:rsidRPr="00C12497" w:rsidRDefault="004E042D" w:rsidP="004E042D">
            <w:pPr>
              <w:pStyle w:val="NoSpacing"/>
              <w:jc w:val="right"/>
              <w:rPr>
                <w:rFonts w:cstheme="minorHAnsi"/>
                <w:sz w:val="18"/>
                <w:szCs w:val="18"/>
              </w:rPr>
            </w:pPr>
            <w:r>
              <w:rPr>
                <w:rFonts w:ascii="Calibri" w:hAnsi="Calibri"/>
                <w:sz w:val="18"/>
                <w:szCs w:val="18"/>
              </w:rPr>
              <w:t>450</w:t>
            </w:r>
            <w:r w:rsidRPr="00C12497">
              <w:rPr>
                <w:rFonts w:ascii="Calibri" w:hAnsi="Calibri"/>
                <w:sz w:val="18"/>
                <w:szCs w:val="18"/>
                <w:vertAlign w:val="superscript"/>
              </w:rPr>
              <w:t>7</w:t>
            </w:r>
          </w:p>
        </w:tc>
        <w:tc>
          <w:tcPr>
            <w:tcW w:w="378" w:type="pct"/>
            <w:vAlign w:val="center"/>
          </w:tcPr>
          <w:p w14:paraId="75BB426F" w14:textId="77777777" w:rsidR="004E042D" w:rsidRPr="00C12497" w:rsidRDefault="004E042D" w:rsidP="004E042D">
            <w:pPr>
              <w:pStyle w:val="NoSpacing"/>
              <w:jc w:val="right"/>
              <w:rPr>
                <w:rFonts w:cstheme="minorHAnsi"/>
                <w:sz w:val="18"/>
                <w:szCs w:val="18"/>
              </w:rPr>
            </w:pPr>
            <w:r w:rsidRPr="00C12497">
              <w:rPr>
                <w:rFonts w:ascii="Calibri" w:hAnsi="Calibri"/>
                <w:sz w:val="18"/>
                <w:szCs w:val="18"/>
              </w:rPr>
              <w:t>95%</w:t>
            </w:r>
          </w:p>
        </w:tc>
        <w:tc>
          <w:tcPr>
            <w:tcW w:w="585" w:type="pct"/>
            <w:vAlign w:val="center"/>
          </w:tcPr>
          <w:p w14:paraId="2BF0A61E" w14:textId="77777777" w:rsidR="004E042D" w:rsidRPr="00C12497" w:rsidRDefault="004E042D" w:rsidP="004E042D">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4A21A83C" w14:textId="77777777" w:rsidR="004E042D" w:rsidRPr="00C12497" w:rsidRDefault="004E042D" w:rsidP="004E042D">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083FEFC0" w14:textId="77777777" w:rsidR="004E042D" w:rsidRPr="00CB35D2" w:rsidRDefault="004E042D" w:rsidP="004E042D">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17DD4616" w14:textId="77777777" w:rsidR="004E042D" w:rsidRPr="0071268F" w:rsidRDefault="004E042D" w:rsidP="004E042D">
            <w:pPr>
              <w:pStyle w:val="NoSpacing"/>
              <w:jc w:val="right"/>
              <w:rPr>
                <w:rFonts w:cstheme="minorHAnsi"/>
                <w:sz w:val="18"/>
                <w:szCs w:val="18"/>
              </w:rPr>
            </w:pPr>
            <w:r>
              <w:rPr>
                <w:rFonts w:cstheme="minorHAnsi"/>
                <w:sz w:val="18"/>
                <w:szCs w:val="18"/>
              </w:rPr>
              <w:t>143</w:t>
            </w:r>
          </w:p>
        </w:tc>
        <w:tc>
          <w:tcPr>
            <w:tcW w:w="605" w:type="pct"/>
            <w:gridSpan w:val="3"/>
            <w:shd w:val="clear" w:color="auto" w:fill="auto"/>
            <w:noWrap/>
          </w:tcPr>
          <w:p w14:paraId="1ED66959" w14:textId="77777777" w:rsidR="004E042D" w:rsidRPr="0071268F" w:rsidRDefault="004E042D" w:rsidP="004E042D">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2944D61" w14:textId="77777777" w:rsidR="004E042D" w:rsidRPr="0071268F" w:rsidRDefault="004E042D" w:rsidP="004E042D">
            <w:pPr>
              <w:pStyle w:val="NoSpacing"/>
              <w:jc w:val="right"/>
              <w:rPr>
                <w:sz w:val="18"/>
                <w:szCs w:val="18"/>
              </w:rPr>
            </w:pPr>
            <w:r w:rsidRPr="0071268F">
              <w:rPr>
                <w:rFonts w:ascii="Calibri" w:hAnsi="Calibri"/>
                <w:sz w:val="18"/>
                <w:szCs w:val="18"/>
              </w:rPr>
              <w:t>$</w:t>
            </w:r>
            <w:r>
              <w:rPr>
                <w:rFonts w:ascii="Calibri" w:hAnsi="Calibri"/>
                <w:sz w:val="18"/>
                <w:szCs w:val="18"/>
              </w:rPr>
              <w:t>6,558</w:t>
            </w:r>
            <w:r w:rsidRPr="0071268F">
              <w:rPr>
                <w:rFonts w:ascii="Calibri" w:hAnsi="Calibri"/>
                <w:sz w:val="18"/>
                <w:szCs w:val="18"/>
              </w:rPr>
              <w:t xml:space="preserve"> </w:t>
            </w:r>
          </w:p>
        </w:tc>
      </w:tr>
      <w:tr w:rsidR="004E042D" w:rsidRPr="00651C99" w14:paraId="51E0B05F" w14:textId="77777777" w:rsidTr="004E042D">
        <w:trPr>
          <w:trHeight w:val="20"/>
        </w:trPr>
        <w:tc>
          <w:tcPr>
            <w:tcW w:w="5000" w:type="pct"/>
            <w:gridSpan w:val="11"/>
            <w:shd w:val="clear" w:color="auto" w:fill="auto"/>
            <w:vAlign w:val="center"/>
          </w:tcPr>
          <w:p w14:paraId="1A65E3CB" w14:textId="77777777" w:rsidR="004E042D" w:rsidRPr="00EF716E" w:rsidRDefault="004E042D" w:rsidP="004E042D">
            <w:pPr>
              <w:pStyle w:val="NoSpacing"/>
              <w:rPr>
                <w:b/>
                <w:i/>
                <w:sz w:val="18"/>
                <w:szCs w:val="18"/>
              </w:rPr>
            </w:pPr>
            <w:r w:rsidRPr="00EF716E">
              <w:rPr>
                <w:b/>
                <w:i/>
                <w:sz w:val="18"/>
                <w:szCs w:val="18"/>
              </w:rPr>
              <w:t>Tracking: Locating Update</w:t>
            </w:r>
          </w:p>
        </w:tc>
      </w:tr>
      <w:tr w:rsidR="004E042D" w:rsidRPr="0071268F" w14:paraId="7D48FA61" w14:textId="77777777" w:rsidTr="004E042D">
        <w:trPr>
          <w:trHeight w:val="20"/>
        </w:trPr>
        <w:tc>
          <w:tcPr>
            <w:tcW w:w="1261" w:type="pct"/>
            <w:shd w:val="clear" w:color="auto" w:fill="auto"/>
            <w:vAlign w:val="center"/>
          </w:tcPr>
          <w:p w14:paraId="33DB0D3F" w14:textId="77777777" w:rsidR="004E042D" w:rsidRPr="0071268F" w:rsidRDefault="004E042D" w:rsidP="004E042D">
            <w:pPr>
              <w:pStyle w:val="NoSpacing"/>
              <w:rPr>
                <w:rFonts w:ascii="Calibri" w:hAnsi="Calibri"/>
                <w:sz w:val="18"/>
                <w:szCs w:val="18"/>
              </w:rPr>
            </w:pPr>
            <w:r w:rsidRPr="0071268F">
              <w:rPr>
                <w:rFonts w:ascii="Calibri" w:hAnsi="Calibri"/>
                <w:sz w:val="18"/>
                <w:szCs w:val="18"/>
              </w:rPr>
              <w:t>Parents</w:t>
            </w:r>
            <w:r>
              <w:rPr>
                <w:rFonts w:cstheme="minorHAnsi"/>
                <w:color w:val="808080" w:themeColor="background1" w:themeShade="80"/>
                <w:sz w:val="18"/>
                <w:szCs w:val="18"/>
                <w:vertAlign w:val="superscript"/>
              </w:rPr>
              <w:t>4</w:t>
            </w:r>
          </w:p>
        </w:tc>
        <w:tc>
          <w:tcPr>
            <w:tcW w:w="376" w:type="pct"/>
            <w:vAlign w:val="center"/>
          </w:tcPr>
          <w:p w14:paraId="7597F077" w14:textId="77777777" w:rsidR="004E042D" w:rsidRPr="0071268F" w:rsidRDefault="004E042D" w:rsidP="004E042D">
            <w:pPr>
              <w:pStyle w:val="NoSpacing"/>
              <w:jc w:val="right"/>
              <w:rPr>
                <w:rFonts w:cstheme="minorHAnsi"/>
                <w:sz w:val="18"/>
                <w:szCs w:val="18"/>
              </w:rPr>
            </w:pPr>
            <w:r>
              <w:rPr>
                <w:rFonts w:cstheme="minorHAnsi"/>
                <w:sz w:val="18"/>
                <w:szCs w:val="18"/>
              </w:rPr>
              <w:t>25,317</w:t>
            </w:r>
            <w:r>
              <w:rPr>
                <w:sz w:val="18"/>
                <w:szCs w:val="18"/>
                <w:vertAlign w:val="superscript"/>
              </w:rPr>
              <w:t>4</w:t>
            </w:r>
          </w:p>
        </w:tc>
        <w:tc>
          <w:tcPr>
            <w:tcW w:w="378" w:type="pct"/>
            <w:vAlign w:val="center"/>
          </w:tcPr>
          <w:p w14:paraId="60F1097A" w14:textId="77777777" w:rsidR="004E042D" w:rsidRPr="0071268F" w:rsidRDefault="004E042D" w:rsidP="004E042D">
            <w:pPr>
              <w:pStyle w:val="NoSpacing"/>
              <w:jc w:val="right"/>
              <w:rPr>
                <w:rFonts w:cstheme="minorHAnsi"/>
                <w:sz w:val="18"/>
                <w:szCs w:val="18"/>
              </w:rPr>
            </w:pPr>
            <w:r w:rsidRPr="0071268F">
              <w:rPr>
                <w:rFonts w:ascii="Calibri" w:hAnsi="Calibri"/>
                <w:sz w:val="18"/>
                <w:szCs w:val="18"/>
              </w:rPr>
              <w:t>20%</w:t>
            </w:r>
          </w:p>
        </w:tc>
        <w:tc>
          <w:tcPr>
            <w:tcW w:w="585" w:type="pct"/>
            <w:vAlign w:val="center"/>
          </w:tcPr>
          <w:p w14:paraId="1A057E17" w14:textId="77777777" w:rsidR="004E042D" w:rsidRPr="0071268F" w:rsidRDefault="004E042D" w:rsidP="004E042D">
            <w:pPr>
              <w:pStyle w:val="NoSpacing"/>
              <w:jc w:val="right"/>
              <w:rPr>
                <w:rFonts w:cstheme="minorHAnsi"/>
                <w:sz w:val="18"/>
                <w:szCs w:val="18"/>
              </w:rPr>
            </w:pPr>
            <w:r>
              <w:rPr>
                <w:rFonts w:cstheme="minorHAnsi"/>
                <w:sz w:val="18"/>
                <w:szCs w:val="18"/>
              </w:rPr>
              <w:t>5,063*</w:t>
            </w:r>
          </w:p>
        </w:tc>
        <w:tc>
          <w:tcPr>
            <w:tcW w:w="452" w:type="pct"/>
            <w:shd w:val="clear" w:color="auto" w:fill="auto"/>
            <w:noWrap/>
            <w:vAlign w:val="center"/>
          </w:tcPr>
          <w:p w14:paraId="5FC2F9FE" w14:textId="77777777" w:rsidR="004E042D" w:rsidRPr="0071268F" w:rsidRDefault="004E042D" w:rsidP="004E042D">
            <w:pPr>
              <w:pStyle w:val="NoSpacing"/>
              <w:jc w:val="right"/>
              <w:rPr>
                <w:rFonts w:cstheme="minorHAnsi"/>
                <w:sz w:val="18"/>
                <w:szCs w:val="18"/>
              </w:rPr>
            </w:pPr>
            <w:r w:rsidRPr="0071268F">
              <w:rPr>
                <w:rFonts w:cstheme="minorHAnsi"/>
                <w:sz w:val="18"/>
                <w:szCs w:val="18"/>
              </w:rPr>
              <w:t>5,</w:t>
            </w:r>
            <w:r>
              <w:rPr>
                <w:rFonts w:cstheme="minorHAnsi"/>
                <w:sz w:val="18"/>
                <w:szCs w:val="18"/>
              </w:rPr>
              <w:t>063</w:t>
            </w:r>
          </w:p>
        </w:tc>
        <w:tc>
          <w:tcPr>
            <w:tcW w:w="452" w:type="pct"/>
            <w:shd w:val="clear" w:color="auto" w:fill="auto"/>
            <w:noWrap/>
            <w:vAlign w:val="center"/>
          </w:tcPr>
          <w:p w14:paraId="55FD639B" w14:textId="77777777" w:rsidR="004E042D" w:rsidRPr="0071268F" w:rsidRDefault="004E042D" w:rsidP="004E042D">
            <w:pPr>
              <w:pStyle w:val="NoSpacing"/>
              <w:jc w:val="right"/>
              <w:rPr>
                <w:rFonts w:cstheme="minorHAnsi"/>
                <w:sz w:val="18"/>
                <w:szCs w:val="18"/>
              </w:rPr>
            </w:pPr>
            <w:r w:rsidRPr="0071268F">
              <w:rPr>
                <w:rFonts w:ascii="Calibri" w:hAnsi="Calibri"/>
                <w:sz w:val="18"/>
                <w:szCs w:val="18"/>
              </w:rPr>
              <w:t>5</w:t>
            </w:r>
          </w:p>
        </w:tc>
        <w:tc>
          <w:tcPr>
            <w:tcW w:w="370" w:type="pct"/>
            <w:shd w:val="clear" w:color="auto" w:fill="auto"/>
            <w:noWrap/>
            <w:vAlign w:val="center"/>
          </w:tcPr>
          <w:p w14:paraId="74E32572" w14:textId="77777777" w:rsidR="004E042D" w:rsidRPr="0071268F" w:rsidRDefault="004E042D" w:rsidP="004E042D">
            <w:pPr>
              <w:pStyle w:val="NoSpacing"/>
              <w:jc w:val="right"/>
              <w:rPr>
                <w:rFonts w:cstheme="minorHAnsi"/>
                <w:sz w:val="18"/>
                <w:szCs w:val="18"/>
              </w:rPr>
            </w:pPr>
            <w:r>
              <w:rPr>
                <w:rFonts w:cstheme="minorHAnsi"/>
                <w:sz w:val="18"/>
                <w:szCs w:val="18"/>
              </w:rPr>
              <w:t>422</w:t>
            </w:r>
          </w:p>
        </w:tc>
        <w:tc>
          <w:tcPr>
            <w:tcW w:w="605" w:type="pct"/>
            <w:gridSpan w:val="3"/>
            <w:shd w:val="clear" w:color="auto" w:fill="auto"/>
            <w:noWrap/>
            <w:vAlign w:val="center"/>
          </w:tcPr>
          <w:p w14:paraId="49207515" w14:textId="77777777" w:rsidR="004E042D" w:rsidRPr="0071268F" w:rsidRDefault="004E042D" w:rsidP="004E042D">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7D388B67" w14:textId="77777777" w:rsidR="004E042D" w:rsidRPr="0071268F" w:rsidRDefault="004E042D" w:rsidP="004E042D">
            <w:pPr>
              <w:pStyle w:val="NoSpacing"/>
              <w:jc w:val="right"/>
              <w:rPr>
                <w:sz w:val="18"/>
                <w:szCs w:val="18"/>
              </w:rPr>
            </w:pPr>
            <w:r w:rsidRPr="0071268F">
              <w:rPr>
                <w:rFonts w:ascii="Calibri" w:hAnsi="Calibri"/>
                <w:sz w:val="18"/>
                <w:szCs w:val="18"/>
              </w:rPr>
              <w:t>$</w:t>
            </w:r>
            <w:r>
              <w:rPr>
                <w:rFonts w:ascii="Calibri" w:hAnsi="Calibri"/>
                <w:sz w:val="18"/>
                <w:szCs w:val="18"/>
              </w:rPr>
              <w:t>10,069</w:t>
            </w:r>
            <w:r w:rsidRPr="0071268F">
              <w:rPr>
                <w:rFonts w:ascii="Calibri" w:hAnsi="Calibri"/>
                <w:sz w:val="18"/>
                <w:szCs w:val="18"/>
              </w:rPr>
              <w:t xml:space="preserve"> </w:t>
            </w:r>
          </w:p>
        </w:tc>
      </w:tr>
      <w:tr w:rsidR="003904F7" w:rsidRPr="0071268F" w14:paraId="3F603FBD" w14:textId="77777777" w:rsidTr="0016288A">
        <w:trPr>
          <w:trHeight w:val="20"/>
        </w:trPr>
        <w:tc>
          <w:tcPr>
            <w:tcW w:w="1261" w:type="pct"/>
            <w:shd w:val="clear" w:color="auto" w:fill="D9D9D9" w:themeFill="background1" w:themeFillShade="D9"/>
            <w:noWrap/>
            <w:vAlign w:val="center"/>
          </w:tcPr>
          <w:p w14:paraId="73BA6720" w14:textId="77777777" w:rsidR="003904F7" w:rsidRPr="0071268F" w:rsidRDefault="003904F7" w:rsidP="004E042D">
            <w:pPr>
              <w:pStyle w:val="NoSpacing"/>
              <w:rPr>
                <w:rFonts w:cstheme="minorHAnsi"/>
                <w:b/>
                <w:sz w:val="18"/>
                <w:szCs w:val="18"/>
              </w:rPr>
            </w:pPr>
            <w:r>
              <w:rPr>
                <w:rFonts w:cstheme="minorHAnsi"/>
                <w:b/>
                <w:sz w:val="18"/>
                <w:szCs w:val="18"/>
              </w:rPr>
              <w:t>MS1</w:t>
            </w:r>
            <w:r w:rsidRPr="0071268F">
              <w:rPr>
                <w:rFonts w:cstheme="minorHAnsi"/>
                <w:b/>
                <w:sz w:val="18"/>
                <w:szCs w:val="18"/>
              </w:rPr>
              <w:t xml:space="preserve"> </w:t>
            </w:r>
            <w:r>
              <w:rPr>
                <w:rFonts w:cstheme="minorHAnsi"/>
                <w:b/>
                <w:sz w:val="18"/>
                <w:szCs w:val="18"/>
              </w:rPr>
              <w:t>&amp;</w:t>
            </w:r>
            <w:r w:rsidRPr="0071268F">
              <w:rPr>
                <w:rFonts w:cstheme="minorHAnsi"/>
                <w:b/>
                <w:sz w:val="18"/>
                <w:szCs w:val="18"/>
              </w:rPr>
              <w:t xml:space="preserve"> Tracking/Recruitment </w:t>
            </w:r>
            <w:r>
              <w:rPr>
                <w:rFonts w:cstheme="minorHAnsi"/>
                <w:b/>
                <w:sz w:val="18"/>
                <w:szCs w:val="18"/>
              </w:rPr>
              <w:t xml:space="preserve">for MS2 </w:t>
            </w:r>
            <w:r w:rsidRPr="0071268F">
              <w:rPr>
                <w:rFonts w:cstheme="minorHAnsi"/>
                <w:b/>
                <w:sz w:val="18"/>
                <w:szCs w:val="18"/>
              </w:rPr>
              <w:t>Total</w:t>
            </w:r>
          </w:p>
        </w:tc>
        <w:tc>
          <w:tcPr>
            <w:tcW w:w="376" w:type="pct"/>
            <w:shd w:val="clear" w:color="auto" w:fill="D9D9D9" w:themeFill="background1" w:themeFillShade="D9"/>
            <w:vAlign w:val="center"/>
          </w:tcPr>
          <w:p w14:paraId="51133B9F" w14:textId="2A22DE77" w:rsidR="003904F7" w:rsidRPr="0071268F" w:rsidRDefault="003904F7" w:rsidP="004E042D">
            <w:pPr>
              <w:pStyle w:val="NoSpacing"/>
              <w:jc w:val="right"/>
              <w:rPr>
                <w:rFonts w:cstheme="minorHAnsi"/>
                <w:b/>
                <w:sz w:val="18"/>
                <w:szCs w:val="18"/>
              </w:rPr>
            </w:pPr>
            <w:r w:rsidRPr="0071268F">
              <w:rPr>
                <w:rFonts w:ascii="Calibri" w:hAnsi="Calibri"/>
                <w:b/>
                <w:bCs/>
                <w:sz w:val="18"/>
                <w:szCs w:val="18"/>
              </w:rPr>
              <w:t>-</w:t>
            </w:r>
          </w:p>
        </w:tc>
        <w:tc>
          <w:tcPr>
            <w:tcW w:w="378" w:type="pct"/>
            <w:shd w:val="clear" w:color="auto" w:fill="D9D9D9" w:themeFill="background1" w:themeFillShade="D9"/>
            <w:vAlign w:val="center"/>
          </w:tcPr>
          <w:p w14:paraId="69E32C7C" w14:textId="7484729A" w:rsidR="003904F7" w:rsidRPr="0071268F" w:rsidRDefault="003904F7" w:rsidP="004E042D">
            <w:pPr>
              <w:pStyle w:val="NoSpacing"/>
              <w:jc w:val="right"/>
              <w:rPr>
                <w:rFonts w:cstheme="minorHAnsi"/>
                <w:b/>
                <w:sz w:val="18"/>
                <w:szCs w:val="18"/>
              </w:rPr>
            </w:pPr>
            <w:r w:rsidRPr="0071268F">
              <w:rPr>
                <w:rFonts w:ascii="Calibri" w:hAnsi="Calibri"/>
                <w:b/>
                <w:bCs/>
                <w:sz w:val="18"/>
                <w:szCs w:val="18"/>
              </w:rPr>
              <w:t>-</w:t>
            </w:r>
          </w:p>
        </w:tc>
        <w:tc>
          <w:tcPr>
            <w:tcW w:w="585" w:type="pct"/>
            <w:shd w:val="clear" w:color="auto" w:fill="D9D9D9" w:themeFill="background1" w:themeFillShade="D9"/>
            <w:vAlign w:val="center"/>
          </w:tcPr>
          <w:p w14:paraId="4B2E7633" w14:textId="2289FDC8" w:rsidR="003904F7" w:rsidRPr="0071268F" w:rsidRDefault="003904F7" w:rsidP="0016288A">
            <w:pPr>
              <w:pStyle w:val="NoSpacing"/>
              <w:jc w:val="right"/>
              <w:rPr>
                <w:rFonts w:cstheme="minorHAnsi"/>
                <w:b/>
                <w:sz w:val="18"/>
                <w:szCs w:val="18"/>
              </w:rPr>
            </w:pPr>
            <w:r>
              <w:rPr>
                <w:rFonts w:cstheme="minorHAnsi"/>
                <w:b/>
                <w:sz w:val="18"/>
                <w:szCs w:val="18"/>
              </w:rPr>
              <w:t>59,592</w:t>
            </w:r>
          </w:p>
        </w:tc>
        <w:tc>
          <w:tcPr>
            <w:tcW w:w="452" w:type="pct"/>
            <w:shd w:val="clear" w:color="auto" w:fill="D9D9D9" w:themeFill="background1" w:themeFillShade="D9"/>
            <w:noWrap/>
            <w:vAlign w:val="center"/>
          </w:tcPr>
          <w:p w14:paraId="5079649C" w14:textId="15233283" w:rsidR="003904F7" w:rsidRPr="0071268F" w:rsidRDefault="003904F7" w:rsidP="0016288A">
            <w:pPr>
              <w:pStyle w:val="NoSpacing"/>
              <w:jc w:val="right"/>
              <w:rPr>
                <w:rFonts w:cstheme="minorHAnsi"/>
                <w:b/>
                <w:sz w:val="18"/>
                <w:szCs w:val="18"/>
              </w:rPr>
            </w:pPr>
            <w:r>
              <w:rPr>
                <w:rFonts w:cstheme="minorHAnsi"/>
                <w:b/>
                <w:sz w:val="18"/>
                <w:szCs w:val="18"/>
              </w:rPr>
              <w:t>118,656</w:t>
            </w:r>
          </w:p>
        </w:tc>
        <w:tc>
          <w:tcPr>
            <w:tcW w:w="452" w:type="pct"/>
            <w:shd w:val="clear" w:color="auto" w:fill="D9D9D9" w:themeFill="background1" w:themeFillShade="D9"/>
            <w:noWrap/>
            <w:vAlign w:val="center"/>
          </w:tcPr>
          <w:p w14:paraId="5C158598" w14:textId="253A9DE0" w:rsidR="003904F7" w:rsidRPr="0071268F" w:rsidRDefault="003904F7" w:rsidP="004E042D">
            <w:pPr>
              <w:pStyle w:val="NoSpacing"/>
              <w:jc w:val="right"/>
              <w:rPr>
                <w:rFonts w:cstheme="minorHAnsi"/>
                <w:b/>
                <w:sz w:val="18"/>
                <w:szCs w:val="18"/>
              </w:rPr>
            </w:pPr>
            <w:r w:rsidRPr="0071268F">
              <w:rPr>
                <w:rFonts w:ascii="Calibri" w:hAnsi="Calibri"/>
                <w:b/>
                <w:bCs/>
                <w:sz w:val="18"/>
                <w:szCs w:val="18"/>
              </w:rPr>
              <w:t>-</w:t>
            </w:r>
          </w:p>
        </w:tc>
        <w:tc>
          <w:tcPr>
            <w:tcW w:w="370" w:type="pct"/>
            <w:shd w:val="clear" w:color="auto" w:fill="D9D9D9" w:themeFill="background1" w:themeFillShade="D9"/>
            <w:noWrap/>
            <w:vAlign w:val="center"/>
          </w:tcPr>
          <w:p w14:paraId="40B2F8A7" w14:textId="7FFC4A98" w:rsidR="003904F7" w:rsidRPr="0071268F" w:rsidRDefault="003904F7" w:rsidP="004E042D">
            <w:pPr>
              <w:pStyle w:val="NoSpacing"/>
              <w:jc w:val="right"/>
              <w:rPr>
                <w:rFonts w:cstheme="minorHAnsi"/>
                <w:b/>
                <w:sz w:val="18"/>
                <w:szCs w:val="18"/>
              </w:rPr>
            </w:pPr>
            <w:r>
              <w:rPr>
                <w:rFonts w:cstheme="minorHAnsi"/>
                <w:b/>
                <w:sz w:val="18"/>
                <w:szCs w:val="18"/>
              </w:rPr>
              <w:t>60,247</w:t>
            </w:r>
          </w:p>
        </w:tc>
        <w:tc>
          <w:tcPr>
            <w:tcW w:w="605" w:type="pct"/>
            <w:gridSpan w:val="3"/>
            <w:shd w:val="clear" w:color="auto" w:fill="D9D9D9" w:themeFill="background1" w:themeFillShade="D9"/>
            <w:noWrap/>
            <w:vAlign w:val="center"/>
          </w:tcPr>
          <w:p w14:paraId="2CF9EFBE" w14:textId="3E02131A" w:rsidR="003904F7" w:rsidRPr="0071268F" w:rsidRDefault="003904F7" w:rsidP="004E042D">
            <w:pPr>
              <w:pStyle w:val="NoSpacing"/>
              <w:jc w:val="right"/>
              <w:rPr>
                <w:sz w:val="18"/>
                <w:szCs w:val="18"/>
              </w:rPr>
            </w:pPr>
            <w:r w:rsidRPr="0071268F">
              <w:rPr>
                <w:rFonts w:ascii="Calibri" w:hAnsi="Calibri"/>
                <w:b/>
                <w:bCs/>
                <w:sz w:val="18"/>
                <w:szCs w:val="18"/>
              </w:rPr>
              <w:t>-</w:t>
            </w:r>
          </w:p>
        </w:tc>
        <w:tc>
          <w:tcPr>
            <w:tcW w:w="521" w:type="pct"/>
            <w:shd w:val="clear" w:color="auto" w:fill="D9D9D9" w:themeFill="background1" w:themeFillShade="D9"/>
            <w:noWrap/>
            <w:vAlign w:val="center"/>
          </w:tcPr>
          <w:p w14:paraId="0B6F1408" w14:textId="4E3B1234" w:rsidR="003904F7" w:rsidRPr="0071268F" w:rsidRDefault="003904F7" w:rsidP="004E042D">
            <w:pPr>
              <w:pStyle w:val="NoSpacing"/>
              <w:jc w:val="right"/>
              <w:rPr>
                <w:b/>
                <w:sz w:val="18"/>
                <w:szCs w:val="18"/>
              </w:rPr>
            </w:pPr>
            <w:r w:rsidRPr="0071268F">
              <w:rPr>
                <w:rFonts w:ascii="Calibri" w:hAnsi="Calibri"/>
                <w:b/>
                <w:bCs/>
                <w:sz w:val="18"/>
                <w:szCs w:val="18"/>
              </w:rPr>
              <w:t>$</w:t>
            </w:r>
            <w:r>
              <w:rPr>
                <w:rFonts w:ascii="Calibri" w:hAnsi="Calibri"/>
                <w:b/>
                <w:bCs/>
                <w:sz w:val="18"/>
                <w:szCs w:val="18"/>
              </w:rPr>
              <w:t>1,716,406</w:t>
            </w:r>
            <w:r w:rsidRPr="0071268F">
              <w:rPr>
                <w:rFonts w:ascii="Calibri" w:hAnsi="Calibri"/>
                <w:b/>
                <w:bCs/>
                <w:sz w:val="18"/>
                <w:szCs w:val="18"/>
              </w:rPr>
              <w:t xml:space="preserve"> </w:t>
            </w:r>
          </w:p>
        </w:tc>
      </w:tr>
      <w:tr w:rsidR="004E042D" w:rsidRPr="00651C99" w14:paraId="652210A8" w14:textId="77777777" w:rsidTr="004E042D">
        <w:trPr>
          <w:trHeight w:val="20"/>
        </w:trPr>
        <w:tc>
          <w:tcPr>
            <w:tcW w:w="5000" w:type="pct"/>
            <w:gridSpan w:val="11"/>
            <w:shd w:val="clear" w:color="auto" w:fill="auto"/>
            <w:vAlign w:val="center"/>
          </w:tcPr>
          <w:p w14:paraId="6A79FE6A" w14:textId="77777777" w:rsidR="004E042D" w:rsidRPr="00651C99" w:rsidRDefault="004E042D" w:rsidP="004E042D">
            <w:pPr>
              <w:pStyle w:val="NoSpacing"/>
              <w:rPr>
                <w:rFonts w:cstheme="minorHAnsi"/>
                <w:b/>
                <w:i/>
                <w:sz w:val="18"/>
                <w:szCs w:val="18"/>
              </w:rPr>
            </w:pPr>
            <w:r>
              <w:rPr>
                <w:rFonts w:cstheme="minorHAnsi"/>
                <w:b/>
                <w:i/>
                <w:sz w:val="18"/>
                <w:szCs w:val="18"/>
              </w:rPr>
              <w:t>OFT2 Tracking/Recruitment</w:t>
            </w:r>
          </w:p>
        </w:tc>
      </w:tr>
      <w:tr w:rsidR="004E042D" w:rsidRPr="00094A1B" w14:paraId="1D341ADF" w14:textId="77777777" w:rsidTr="004E042D">
        <w:trPr>
          <w:trHeight w:val="20"/>
        </w:trPr>
        <w:tc>
          <w:tcPr>
            <w:tcW w:w="5000" w:type="pct"/>
            <w:gridSpan w:val="11"/>
            <w:shd w:val="clear" w:color="auto" w:fill="auto"/>
            <w:vAlign w:val="center"/>
          </w:tcPr>
          <w:p w14:paraId="66E5E94D" w14:textId="77777777" w:rsidR="004E042D" w:rsidRPr="00094A1B" w:rsidRDefault="004E042D" w:rsidP="004E042D">
            <w:pPr>
              <w:pStyle w:val="NoSpacing"/>
              <w:rPr>
                <w:rFonts w:cstheme="minorHAnsi"/>
                <w:b/>
                <w:i/>
                <w:sz w:val="18"/>
                <w:szCs w:val="18"/>
              </w:rPr>
            </w:pPr>
            <w:r w:rsidRPr="00094A1B">
              <w:rPr>
                <w:rFonts w:cstheme="minorHAnsi"/>
                <w:b/>
                <w:i/>
                <w:sz w:val="18"/>
                <w:szCs w:val="18"/>
              </w:rPr>
              <w:t>Tracking: Enrollment Status Update</w:t>
            </w:r>
          </w:p>
        </w:tc>
      </w:tr>
      <w:tr w:rsidR="003904F7" w:rsidRPr="00651C99" w14:paraId="7C758C84" w14:textId="77777777" w:rsidTr="004E042D">
        <w:trPr>
          <w:trHeight w:val="20"/>
        </w:trPr>
        <w:tc>
          <w:tcPr>
            <w:tcW w:w="1261" w:type="pct"/>
            <w:shd w:val="clear" w:color="auto" w:fill="auto"/>
            <w:vAlign w:val="center"/>
          </w:tcPr>
          <w:p w14:paraId="72F7A610" w14:textId="77777777" w:rsidR="003904F7" w:rsidRPr="00094A1B" w:rsidRDefault="003904F7" w:rsidP="004E042D">
            <w:pPr>
              <w:pStyle w:val="NoSpacing"/>
              <w:rPr>
                <w:rFonts w:cstheme="minorHAnsi"/>
                <w:sz w:val="18"/>
                <w:szCs w:val="18"/>
              </w:rPr>
            </w:pPr>
            <w:r w:rsidRPr="00094A1B">
              <w:rPr>
                <w:rFonts w:ascii="Calibri" w:hAnsi="Calibri"/>
                <w:sz w:val="18"/>
                <w:szCs w:val="18"/>
              </w:rPr>
              <w:t xml:space="preserve">School staff at </w:t>
            </w:r>
            <w:r>
              <w:rPr>
                <w:rFonts w:ascii="Calibri" w:hAnsi="Calibri"/>
                <w:sz w:val="18"/>
                <w:szCs w:val="18"/>
              </w:rPr>
              <w:t>OFT1</w:t>
            </w:r>
            <w:r w:rsidRPr="00094A1B">
              <w:rPr>
                <w:rFonts w:ascii="Calibri" w:hAnsi="Calibri"/>
                <w:sz w:val="18"/>
                <w:szCs w:val="18"/>
              </w:rPr>
              <w:t xml:space="preserve"> schools</w:t>
            </w:r>
          </w:p>
        </w:tc>
        <w:tc>
          <w:tcPr>
            <w:tcW w:w="376" w:type="pct"/>
            <w:vAlign w:val="center"/>
          </w:tcPr>
          <w:p w14:paraId="21AAB7D7"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45</w:t>
            </w:r>
          </w:p>
        </w:tc>
        <w:tc>
          <w:tcPr>
            <w:tcW w:w="378" w:type="pct"/>
            <w:vAlign w:val="center"/>
          </w:tcPr>
          <w:p w14:paraId="2D5B6888"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26C5F071"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12A5DA06"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7FA9C9C7"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2FAEE0F0"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14</w:t>
            </w:r>
          </w:p>
        </w:tc>
        <w:tc>
          <w:tcPr>
            <w:tcW w:w="519" w:type="pct"/>
            <w:shd w:val="clear" w:color="auto" w:fill="auto"/>
            <w:noWrap/>
          </w:tcPr>
          <w:p w14:paraId="62F82496" w14:textId="77777777" w:rsidR="003904F7" w:rsidRPr="00651C99" w:rsidRDefault="003904F7" w:rsidP="004E042D">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64A080AE" w14:textId="0626A87C" w:rsidR="003904F7" w:rsidRPr="00651C99" w:rsidRDefault="003904F7" w:rsidP="004E042D">
            <w:pPr>
              <w:pStyle w:val="NoSpacing"/>
              <w:jc w:val="right"/>
              <w:rPr>
                <w:sz w:val="18"/>
                <w:szCs w:val="18"/>
              </w:rPr>
            </w:pPr>
            <w:r>
              <w:rPr>
                <w:rFonts w:ascii="Calibri" w:hAnsi="Calibri"/>
                <w:color w:val="000000"/>
                <w:sz w:val="18"/>
                <w:szCs w:val="18"/>
              </w:rPr>
              <w:t xml:space="preserve">$642 </w:t>
            </w:r>
          </w:p>
        </w:tc>
      </w:tr>
      <w:tr w:rsidR="003904F7" w:rsidRPr="00651C99" w14:paraId="3A4662C0" w14:textId="77777777" w:rsidTr="004E042D">
        <w:trPr>
          <w:trHeight w:val="20"/>
        </w:trPr>
        <w:tc>
          <w:tcPr>
            <w:tcW w:w="1261" w:type="pct"/>
            <w:shd w:val="clear" w:color="auto" w:fill="auto"/>
            <w:vAlign w:val="center"/>
          </w:tcPr>
          <w:p w14:paraId="449CA714" w14:textId="77777777" w:rsidR="003904F7" w:rsidRPr="00094A1B" w:rsidRDefault="003904F7" w:rsidP="004E042D">
            <w:pPr>
              <w:pStyle w:val="NoSpacing"/>
              <w:rPr>
                <w:rFonts w:cstheme="minorHAnsi"/>
                <w:sz w:val="18"/>
                <w:szCs w:val="18"/>
              </w:rPr>
            </w:pPr>
            <w:r w:rsidRPr="00094A1B">
              <w:rPr>
                <w:rFonts w:ascii="Calibri" w:hAnsi="Calibri"/>
                <w:sz w:val="18"/>
                <w:szCs w:val="18"/>
              </w:rPr>
              <w:t>School staff at mover schools</w:t>
            </w:r>
          </w:p>
        </w:tc>
        <w:tc>
          <w:tcPr>
            <w:tcW w:w="376" w:type="pct"/>
            <w:vAlign w:val="center"/>
          </w:tcPr>
          <w:p w14:paraId="48C27F29"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30</w:t>
            </w:r>
            <w:r w:rsidRPr="00C12497">
              <w:rPr>
                <w:rFonts w:ascii="Calibri" w:hAnsi="Calibri"/>
                <w:sz w:val="18"/>
                <w:szCs w:val="18"/>
                <w:vertAlign w:val="superscript"/>
              </w:rPr>
              <w:t>7</w:t>
            </w:r>
          </w:p>
        </w:tc>
        <w:tc>
          <w:tcPr>
            <w:tcW w:w="378" w:type="pct"/>
            <w:vAlign w:val="center"/>
          </w:tcPr>
          <w:p w14:paraId="68951A04"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3B13E84A"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5C33AC0"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2DB17F63"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0D70D62E"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10</w:t>
            </w:r>
          </w:p>
        </w:tc>
        <w:tc>
          <w:tcPr>
            <w:tcW w:w="519" w:type="pct"/>
            <w:shd w:val="clear" w:color="auto" w:fill="auto"/>
            <w:noWrap/>
          </w:tcPr>
          <w:p w14:paraId="3CD554B0" w14:textId="77777777" w:rsidR="003904F7" w:rsidRPr="00651C99" w:rsidRDefault="003904F7" w:rsidP="004E042D">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5F1EC3B2" w14:textId="51AF696B" w:rsidR="003904F7" w:rsidRPr="00651C99" w:rsidRDefault="003904F7" w:rsidP="0016288A">
            <w:pPr>
              <w:pStyle w:val="NoSpacing"/>
              <w:jc w:val="right"/>
              <w:rPr>
                <w:sz w:val="18"/>
                <w:szCs w:val="18"/>
              </w:rPr>
            </w:pPr>
            <w:r>
              <w:rPr>
                <w:rFonts w:ascii="Calibri" w:hAnsi="Calibri"/>
                <w:color w:val="000000"/>
                <w:sz w:val="18"/>
                <w:szCs w:val="18"/>
              </w:rPr>
              <w:t xml:space="preserve">$459 </w:t>
            </w:r>
          </w:p>
        </w:tc>
      </w:tr>
      <w:tr w:rsidR="004E042D" w:rsidRPr="00094A1B" w14:paraId="799C2881" w14:textId="77777777" w:rsidTr="004E042D">
        <w:trPr>
          <w:trHeight w:val="20"/>
        </w:trPr>
        <w:tc>
          <w:tcPr>
            <w:tcW w:w="5000" w:type="pct"/>
            <w:gridSpan w:val="11"/>
            <w:shd w:val="clear" w:color="auto" w:fill="auto"/>
            <w:vAlign w:val="center"/>
          </w:tcPr>
          <w:p w14:paraId="3947267C" w14:textId="77777777" w:rsidR="004E042D" w:rsidRPr="00094A1B" w:rsidRDefault="004E042D" w:rsidP="004E042D">
            <w:pPr>
              <w:pStyle w:val="NoSpacing"/>
              <w:rPr>
                <w:b/>
                <w:i/>
                <w:sz w:val="18"/>
                <w:szCs w:val="18"/>
              </w:rPr>
            </w:pPr>
            <w:r w:rsidRPr="00094A1B">
              <w:rPr>
                <w:b/>
                <w:i/>
                <w:sz w:val="18"/>
                <w:szCs w:val="18"/>
              </w:rPr>
              <w:t>Tracking: Locating Update</w:t>
            </w:r>
          </w:p>
        </w:tc>
      </w:tr>
      <w:tr w:rsidR="003904F7" w:rsidRPr="00651C99" w14:paraId="1BCCD832" w14:textId="77777777" w:rsidTr="004E042D">
        <w:trPr>
          <w:trHeight w:val="20"/>
        </w:trPr>
        <w:tc>
          <w:tcPr>
            <w:tcW w:w="1261" w:type="pct"/>
            <w:shd w:val="clear" w:color="auto" w:fill="auto"/>
            <w:vAlign w:val="center"/>
          </w:tcPr>
          <w:p w14:paraId="76CAC54F" w14:textId="77777777" w:rsidR="003904F7" w:rsidRPr="00094A1B" w:rsidRDefault="003904F7" w:rsidP="004E042D">
            <w:pPr>
              <w:pStyle w:val="NoSpacing"/>
              <w:rPr>
                <w:rFonts w:ascii="Calibri" w:hAnsi="Calibri"/>
                <w:sz w:val="18"/>
                <w:szCs w:val="18"/>
              </w:rPr>
            </w:pPr>
            <w:r w:rsidRPr="00094A1B">
              <w:rPr>
                <w:rFonts w:ascii="Calibri" w:hAnsi="Calibri"/>
                <w:sz w:val="18"/>
                <w:szCs w:val="18"/>
              </w:rPr>
              <w:t>Parents</w:t>
            </w:r>
          </w:p>
        </w:tc>
        <w:tc>
          <w:tcPr>
            <w:tcW w:w="376" w:type="pct"/>
            <w:vAlign w:val="center"/>
          </w:tcPr>
          <w:p w14:paraId="5C006FD8"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1,120</w:t>
            </w:r>
          </w:p>
        </w:tc>
        <w:tc>
          <w:tcPr>
            <w:tcW w:w="378" w:type="pct"/>
            <w:vAlign w:val="center"/>
          </w:tcPr>
          <w:p w14:paraId="17CF8CF5"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20%</w:t>
            </w:r>
          </w:p>
        </w:tc>
        <w:tc>
          <w:tcPr>
            <w:tcW w:w="585" w:type="pct"/>
            <w:vAlign w:val="center"/>
          </w:tcPr>
          <w:p w14:paraId="105F6487" w14:textId="77777777" w:rsidR="003904F7" w:rsidRPr="00651C99" w:rsidRDefault="003904F7" w:rsidP="004E042D">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36A05A7F" w14:textId="77777777" w:rsidR="003904F7" w:rsidRPr="00651C99" w:rsidRDefault="003904F7" w:rsidP="004E042D">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40BC909B"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5</w:t>
            </w:r>
          </w:p>
        </w:tc>
        <w:tc>
          <w:tcPr>
            <w:tcW w:w="456" w:type="pct"/>
            <w:gridSpan w:val="3"/>
            <w:shd w:val="clear" w:color="auto" w:fill="auto"/>
            <w:noWrap/>
            <w:vAlign w:val="center"/>
          </w:tcPr>
          <w:p w14:paraId="1D045550" w14:textId="77777777" w:rsidR="003904F7" w:rsidRPr="00651C99" w:rsidRDefault="003904F7" w:rsidP="004E042D">
            <w:pPr>
              <w:pStyle w:val="NoSpacing"/>
              <w:jc w:val="right"/>
              <w:rPr>
                <w:rFonts w:cstheme="minorHAnsi"/>
                <w:sz w:val="18"/>
                <w:szCs w:val="18"/>
              </w:rPr>
            </w:pPr>
            <w:r>
              <w:rPr>
                <w:rFonts w:ascii="Calibri" w:hAnsi="Calibri"/>
                <w:color w:val="000000"/>
                <w:sz w:val="18"/>
                <w:szCs w:val="18"/>
              </w:rPr>
              <w:t>19</w:t>
            </w:r>
          </w:p>
        </w:tc>
        <w:tc>
          <w:tcPr>
            <w:tcW w:w="519" w:type="pct"/>
            <w:shd w:val="clear" w:color="auto" w:fill="auto"/>
            <w:noWrap/>
            <w:vAlign w:val="center"/>
          </w:tcPr>
          <w:p w14:paraId="4A49B115" w14:textId="77777777" w:rsidR="003904F7" w:rsidRPr="00651C99" w:rsidRDefault="003904F7" w:rsidP="004E042D">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081B565D" w14:textId="1DC898A2" w:rsidR="003904F7" w:rsidRPr="00651C99" w:rsidRDefault="003904F7" w:rsidP="004E042D">
            <w:pPr>
              <w:pStyle w:val="NoSpacing"/>
              <w:jc w:val="right"/>
              <w:rPr>
                <w:sz w:val="18"/>
                <w:szCs w:val="18"/>
              </w:rPr>
            </w:pPr>
            <w:r>
              <w:rPr>
                <w:rFonts w:ascii="Calibri" w:hAnsi="Calibri"/>
                <w:color w:val="000000"/>
                <w:sz w:val="18"/>
                <w:szCs w:val="18"/>
              </w:rPr>
              <w:t xml:space="preserve">$453 </w:t>
            </w:r>
          </w:p>
        </w:tc>
      </w:tr>
      <w:tr w:rsidR="003904F7" w:rsidRPr="00651C99" w14:paraId="5B013693" w14:textId="77777777" w:rsidTr="004E042D">
        <w:trPr>
          <w:trHeight w:val="20"/>
        </w:trPr>
        <w:tc>
          <w:tcPr>
            <w:tcW w:w="1261" w:type="pct"/>
            <w:shd w:val="clear" w:color="auto" w:fill="F2F2F2" w:themeFill="background1" w:themeFillShade="F2"/>
            <w:vAlign w:val="center"/>
          </w:tcPr>
          <w:p w14:paraId="1C8EC8AA" w14:textId="77777777" w:rsidR="003904F7" w:rsidRPr="00094A1B" w:rsidRDefault="003904F7" w:rsidP="004E042D">
            <w:pPr>
              <w:pStyle w:val="NoSpacing"/>
              <w:rPr>
                <w:rFonts w:ascii="Calibri" w:hAnsi="Calibri"/>
                <w:sz w:val="18"/>
                <w:szCs w:val="18"/>
              </w:rPr>
            </w:pPr>
            <w:r w:rsidRPr="00651C99">
              <w:rPr>
                <w:rFonts w:cstheme="minorHAnsi"/>
                <w:b/>
                <w:sz w:val="18"/>
                <w:szCs w:val="18"/>
              </w:rPr>
              <w:t xml:space="preserve">Total for </w:t>
            </w:r>
            <w:r>
              <w:rPr>
                <w:rFonts w:cstheme="minorHAnsi"/>
                <w:b/>
                <w:sz w:val="18"/>
                <w:szCs w:val="18"/>
              </w:rPr>
              <w:t>OFT2 Tracking</w:t>
            </w:r>
            <w:r>
              <w:rPr>
                <w:rFonts w:cstheme="minorHAnsi"/>
                <w:b/>
                <w:sz w:val="18"/>
                <w:szCs w:val="18"/>
                <w:vertAlign w:val="superscript"/>
              </w:rPr>
              <w:t>2</w:t>
            </w:r>
          </w:p>
        </w:tc>
        <w:tc>
          <w:tcPr>
            <w:tcW w:w="376" w:type="pct"/>
            <w:shd w:val="clear" w:color="auto" w:fill="F2F2F2" w:themeFill="background1" w:themeFillShade="F2"/>
            <w:vAlign w:val="center"/>
          </w:tcPr>
          <w:p w14:paraId="2CB4D4B6" w14:textId="77777777" w:rsidR="003904F7" w:rsidRDefault="003904F7" w:rsidP="004E042D">
            <w:pPr>
              <w:pStyle w:val="NoSpacing"/>
              <w:jc w:val="right"/>
              <w:rPr>
                <w:rFonts w:ascii="Calibri" w:hAnsi="Calibri"/>
                <w:color w:val="000000"/>
                <w:sz w:val="18"/>
                <w:szCs w:val="18"/>
              </w:rPr>
            </w:pPr>
            <w:r w:rsidRPr="005F38E7">
              <w:rPr>
                <w:rFonts w:eastAsia="Times New Roman" w:cs="Calibri"/>
                <w:b/>
                <w:bCs/>
                <w:color w:val="000000"/>
                <w:sz w:val="18"/>
                <w:szCs w:val="18"/>
              </w:rPr>
              <w:t>-</w:t>
            </w:r>
          </w:p>
        </w:tc>
        <w:tc>
          <w:tcPr>
            <w:tcW w:w="378" w:type="pct"/>
            <w:shd w:val="clear" w:color="auto" w:fill="F2F2F2" w:themeFill="background1" w:themeFillShade="F2"/>
            <w:vAlign w:val="center"/>
          </w:tcPr>
          <w:p w14:paraId="30511160" w14:textId="77777777" w:rsidR="003904F7" w:rsidRDefault="003904F7" w:rsidP="004E042D">
            <w:pPr>
              <w:pStyle w:val="NoSpacing"/>
              <w:jc w:val="right"/>
              <w:rPr>
                <w:rFonts w:ascii="Calibri" w:hAnsi="Calibri"/>
                <w:color w:val="000000"/>
                <w:sz w:val="18"/>
                <w:szCs w:val="18"/>
              </w:rPr>
            </w:pPr>
            <w:r w:rsidRPr="00380A1F">
              <w:rPr>
                <w:b/>
                <w:bCs/>
                <w:color w:val="000000"/>
                <w:sz w:val="19"/>
                <w:szCs w:val="19"/>
              </w:rPr>
              <w:t>-</w:t>
            </w:r>
          </w:p>
        </w:tc>
        <w:tc>
          <w:tcPr>
            <w:tcW w:w="585" w:type="pct"/>
            <w:shd w:val="clear" w:color="auto" w:fill="F2F2F2" w:themeFill="background1" w:themeFillShade="F2"/>
            <w:vAlign w:val="center"/>
          </w:tcPr>
          <w:p w14:paraId="31145FC0" w14:textId="77777777" w:rsidR="003904F7" w:rsidRDefault="003904F7" w:rsidP="004E042D">
            <w:pPr>
              <w:pStyle w:val="NoSpacing"/>
              <w:jc w:val="right"/>
              <w:rPr>
                <w:rFonts w:cstheme="minorHAnsi"/>
                <w:sz w:val="18"/>
                <w:szCs w:val="18"/>
              </w:rPr>
            </w:pPr>
            <w:r w:rsidRPr="00380A1F">
              <w:rPr>
                <w:b/>
                <w:bCs/>
                <w:color w:val="000000"/>
                <w:sz w:val="19"/>
                <w:szCs w:val="19"/>
              </w:rPr>
              <w:t>2</w:t>
            </w:r>
            <w:r>
              <w:rPr>
                <w:b/>
                <w:bCs/>
                <w:color w:val="000000"/>
                <w:sz w:val="19"/>
                <w:szCs w:val="19"/>
              </w:rPr>
              <w:t>96</w:t>
            </w:r>
          </w:p>
        </w:tc>
        <w:tc>
          <w:tcPr>
            <w:tcW w:w="452" w:type="pct"/>
            <w:shd w:val="clear" w:color="auto" w:fill="F2F2F2" w:themeFill="background1" w:themeFillShade="F2"/>
            <w:noWrap/>
            <w:vAlign w:val="center"/>
          </w:tcPr>
          <w:p w14:paraId="75AA145A" w14:textId="77777777" w:rsidR="003904F7" w:rsidRDefault="003904F7" w:rsidP="004E042D">
            <w:pPr>
              <w:pStyle w:val="NoSpacing"/>
              <w:jc w:val="right"/>
              <w:rPr>
                <w:rFonts w:ascii="Calibri" w:hAnsi="Calibri"/>
                <w:color w:val="000000"/>
                <w:sz w:val="18"/>
                <w:szCs w:val="18"/>
              </w:rPr>
            </w:pPr>
            <w:r>
              <w:rPr>
                <w:b/>
                <w:bCs/>
                <w:color w:val="000000"/>
                <w:sz w:val="19"/>
                <w:szCs w:val="19"/>
              </w:rPr>
              <w:t>296</w:t>
            </w:r>
          </w:p>
        </w:tc>
        <w:tc>
          <w:tcPr>
            <w:tcW w:w="452" w:type="pct"/>
            <w:shd w:val="clear" w:color="auto" w:fill="F2F2F2" w:themeFill="background1" w:themeFillShade="F2"/>
            <w:noWrap/>
            <w:vAlign w:val="center"/>
          </w:tcPr>
          <w:p w14:paraId="18DBA51A" w14:textId="77777777" w:rsidR="003904F7" w:rsidRDefault="003904F7" w:rsidP="004E042D">
            <w:pPr>
              <w:pStyle w:val="NoSpacing"/>
              <w:jc w:val="right"/>
              <w:rPr>
                <w:rFonts w:ascii="Calibri" w:hAnsi="Calibri"/>
                <w:color w:val="000000"/>
                <w:sz w:val="18"/>
                <w:szCs w:val="18"/>
              </w:rPr>
            </w:pPr>
            <w:r w:rsidRPr="00380A1F">
              <w:rPr>
                <w:b/>
                <w:bCs/>
                <w:color w:val="000000"/>
                <w:sz w:val="19"/>
                <w:szCs w:val="19"/>
              </w:rPr>
              <w:t>-</w:t>
            </w:r>
          </w:p>
        </w:tc>
        <w:tc>
          <w:tcPr>
            <w:tcW w:w="456" w:type="pct"/>
            <w:gridSpan w:val="3"/>
            <w:shd w:val="clear" w:color="auto" w:fill="F2F2F2" w:themeFill="background1" w:themeFillShade="F2"/>
            <w:noWrap/>
            <w:vAlign w:val="center"/>
          </w:tcPr>
          <w:p w14:paraId="3D599935" w14:textId="77777777" w:rsidR="003904F7" w:rsidRDefault="003904F7" w:rsidP="004E042D">
            <w:pPr>
              <w:pStyle w:val="NoSpacing"/>
              <w:jc w:val="right"/>
              <w:rPr>
                <w:rFonts w:ascii="Calibri" w:hAnsi="Calibri"/>
                <w:color w:val="000000"/>
                <w:sz w:val="18"/>
                <w:szCs w:val="18"/>
              </w:rPr>
            </w:pPr>
            <w:r>
              <w:rPr>
                <w:b/>
                <w:bCs/>
                <w:color w:val="000000"/>
                <w:sz w:val="19"/>
                <w:szCs w:val="19"/>
              </w:rPr>
              <w:t>43</w:t>
            </w:r>
          </w:p>
        </w:tc>
        <w:tc>
          <w:tcPr>
            <w:tcW w:w="519" w:type="pct"/>
            <w:shd w:val="clear" w:color="auto" w:fill="F2F2F2" w:themeFill="background1" w:themeFillShade="F2"/>
            <w:noWrap/>
            <w:vAlign w:val="center"/>
          </w:tcPr>
          <w:p w14:paraId="31575A06" w14:textId="77777777" w:rsidR="003904F7" w:rsidRDefault="003904F7" w:rsidP="004E042D">
            <w:pPr>
              <w:pStyle w:val="NoSpacing"/>
              <w:jc w:val="right"/>
              <w:rPr>
                <w:rFonts w:ascii="Calibri" w:hAnsi="Calibri"/>
                <w:color w:val="000000"/>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7F2574DD" w14:textId="5AB42BA6" w:rsidR="003904F7" w:rsidRDefault="003904F7" w:rsidP="0016288A">
            <w:pPr>
              <w:pStyle w:val="NoSpacing"/>
              <w:jc w:val="right"/>
              <w:rPr>
                <w:rFonts w:ascii="Calibri" w:hAnsi="Calibri"/>
                <w:color w:val="000000"/>
                <w:sz w:val="18"/>
                <w:szCs w:val="18"/>
              </w:rPr>
            </w:pPr>
            <w:r w:rsidRPr="00380A1F">
              <w:rPr>
                <w:b/>
                <w:bCs/>
                <w:color w:val="000000"/>
                <w:sz w:val="19"/>
                <w:szCs w:val="19"/>
              </w:rPr>
              <w:t xml:space="preserve"> $</w:t>
            </w:r>
            <w:r>
              <w:rPr>
                <w:b/>
                <w:bCs/>
                <w:color w:val="000000"/>
                <w:sz w:val="19"/>
                <w:szCs w:val="19"/>
              </w:rPr>
              <w:t xml:space="preserve"> 1,554</w:t>
            </w:r>
            <w:r w:rsidRPr="00380A1F">
              <w:rPr>
                <w:b/>
                <w:bCs/>
                <w:color w:val="000000"/>
                <w:sz w:val="19"/>
                <w:szCs w:val="19"/>
              </w:rPr>
              <w:t xml:space="preserve"> </w:t>
            </w:r>
          </w:p>
        </w:tc>
      </w:tr>
      <w:tr w:rsidR="004E042D" w:rsidRPr="00651C99" w14:paraId="466F4567" w14:textId="77777777" w:rsidTr="004E042D">
        <w:trPr>
          <w:trHeight w:val="20"/>
        </w:trPr>
        <w:tc>
          <w:tcPr>
            <w:tcW w:w="5000" w:type="pct"/>
            <w:gridSpan w:val="11"/>
            <w:shd w:val="clear" w:color="auto" w:fill="auto"/>
            <w:vAlign w:val="center"/>
          </w:tcPr>
          <w:p w14:paraId="58977BA5" w14:textId="77777777" w:rsidR="004E042D" w:rsidRPr="00651C99" w:rsidRDefault="004E042D" w:rsidP="004E042D">
            <w:pPr>
              <w:pStyle w:val="NoSpacing"/>
              <w:rPr>
                <w:rFonts w:cstheme="minorHAnsi"/>
                <w:b/>
                <w:i/>
                <w:sz w:val="18"/>
                <w:szCs w:val="18"/>
              </w:rPr>
            </w:pPr>
            <w:r>
              <w:rPr>
                <w:rFonts w:cstheme="minorHAnsi"/>
                <w:b/>
                <w:i/>
                <w:sz w:val="18"/>
                <w:szCs w:val="18"/>
              </w:rPr>
              <w:t>OFT2 Data Collection</w:t>
            </w:r>
          </w:p>
        </w:tc>
      </w:tr>
      <w:tr w:rsidR="004E042D" w:rsidRPr="00651C99" w14:paraId="16561E15" w14:textId="77777777" w:rsidTr="004E042D">
        <w:trPr>
          <w:trHeight w:val="20"/>
        </w:trPr>
        <w:tc>
          <w:tcPr>
            <w:tcW w:w="5000" w:type="pct"/>
            <w:gridSpan w:val="11"/>
            <w:shd w:val="clear" w:color="auto" w:fill="auto"/>
            <w:vAlign w:val="center"/>
          </w:tcPr>
          <w:p w14:paraId="35C65FCD" w14:textId="77777777" w:rsidR="004E042D" w:rsidRPr="00651C99" w:rsidRDefault="004E042D" w:rsidP="004E042D">
            <w:pPr>
              <w:pStyle w:val="NoSpacing"/>
              <w:rPr>
                <w:rFonts w:cstheme="minorHAnsi"/>
                <w:b/>
                <w:i/>
                <w:sz w:val="18"/>
                <w:szCs w:val="18"/>
              </w:rPr>
            </w:pPr>
            <w:r w:rsidRPr="00C45D62">
              <w:rPr>
                <w:rFonts w:cstheme="minorHAnsi"/>
                <w:b/>
                <w:i/>
                <w:sz w:val="18"/>
                <w:szCs w:val="18"/>
              </w:rPr>
              <w:t xml:space="preserve">Students </w:t>
            </w:r>
            <w:r>
              <w:rPr>
                <w:rFonts w:cstheme="minorHAnsi"/>
                <w:b/>
                <w:i/>
                <w:sz w:val="18"/>
                <w:szCs w:val="18"/>
              </w:rPr>
              <w:t>(Grade 7)</w:t>
            </w:r>
          </w:p>
        </w:tc>
      </w:tr>
      <w:tr w:rsidR="004E042D" w:rsidRPr="00651C99" w14:paraId="0D8E5DE0" w14:textId="77777777" w:rsidTr="004E042D">
        <w:trPr>
          <w:trHeight w:val="20"/>
        </w:trPr>
        <w:tc>
          <w:tcPr>
            <w:tcW w:w="1261" w:type="pct"/>
            <w:shd w:val="clear" w:color="auto" w:fill="auto"/>
            <w:vAlign w:val="center"/>
          </w:tcPr>
          <w:p w14:paraId="00CCC09B" w14:textId="77777777" w:rsidR="004E042D" w:rsidRPr="00651C99" w:rsidRDefault="004E042D" w:rsidP="004E042D">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4A05BDE5" w14:textId="77777777" w:rsidR="004E042D" w:rsidRPr="00651C99" w:rsidRDefault="004E042D" w:rsidP="004E042D">
            <w:pPr>
              <w:pStyle w:val="NoSpacing"/>
              <w:jc w:val="right"/>
              <w:rPr>
                <w:rFonts w:cstheme="minorHAnsi"/>
                <w:sz w:val="18"/>
                <w:szCs w:val="18"/>
              </w:rPr>
            </w:pPr>
            <w:r w:rsidRPr="00651C99">
              <w:rPr>
                <w:rFonts w:cstheme="minorHAnsi"/>
                <w:sz w:val="18"/>
                <w:szCs w:val="18"/>
              </w:rPr>
              <w:t>1,</w:t>
            </w:r>
            <w:r>
              <w:rPr>
                <w:rFonts w:cstheme="minorHAnsi"/>
                <w:sz w:val="18"/>
                <w:szCs w:val="18"/>
              </w:rPr>
              <w:t>120</w:t>
            </w:r>
          </w:p>
        </w:tc>
        <w:tc>
          <w:tcPr>
            <w:tcW w:w="378" w:type="pct"/>
            <w:vAlign w:val="center"/>
          </w:tcPr>
          <w:p w14:paraId="5952CDE3" w14:textId="77777777" w:rsidR="004E042D" w:rsidRPr="00651C99" w:rsidRDefault="004E042D" w:rsidP="004E042D">
            <w:pPr>
              <w:pStyle w:val="NoSpacing"/>
              <w:jc w:val="right"/>
              <w:rPr>
                <w:rFonts w:cstheme="minorHAnsi"/>
                <w:sz w:val="18"/>
                <w:szCs w:val="18"/>
              </w:rPr>
            </w:pPr>
            <w:r>
              <w:rPr>
                <w:rFonts w:cstheme="minorHAnsi"/>
                <w:sz w:val="18"/>
                <w:szCs w:val="18"/>
              </w:rPr>
              <w:t>64%</w:t>
            </w:r>
          </w:p>
        </w:tc>
        <w:tc>
          <w:tcPr>
            <w:tcW w:w="585" w:type="pct"/>
            <w:vAlign w:val="center"/>
          </w:tcPr>
          <w:p w14:paraId="58B15EA5" w14:textId="77777777" w:rsidR="004E042D" w:rsidRPr="00651C99" w:rsidRDefault="004E042D" w:rsidP="004E042D">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2788D056" w14:textId="77777777" w:rsidR="004E042D" w:rsidRPr="00651C99" w:rsidRDefault="004E042D" w:rsidP="004E042D">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6AD3867" w14:textId="77777777" w:rsidR="004E042D" w:rsidRPr="00651C99" w:rsidRDefault="004E042D" w:rsidP="004E042D">
            <w:pPr>
              <w:pStyle w:val="NoSpacing"/>
              <w:jc w:val="right"/>
              <w:rPr>
                <w:rFonts w:cstheme="minorHAnsi"/>
                <w:sz w:val="18"/>
                <w:szCs w:val="18"/>
              </w:rPr>
            </w:pPr>
            <w:r>
              <w:rPr>
                <w:rFonts w:cstheme="minorHAnsi"/>
                <w:sz w:val="18"/>
                <w:szCs w:val="18"/>
              </w:rPr>
              <w:t>5</w:t>
            </w:r>
          </w:p>
        </w:tc>
        <w:tc>
          <w:tcPr>
            <w:tcW w:w="456" w:type="pct"/>
            <w:gridSpan w:val="3"/>
            <w:shd w:val="clear" w:color="auto" w:fill="auto"/>
            <w:noWrap/>
            <w:vAlign w:val="center"/>
          </w:tcPr>
          <w:p w14:paraId="7E5993FE" w14:textId="77777777" w:rsidR="004E042D" w:rsidRPr="00651C99" w:rsidRDefault="004E042D" w:rsidP="004E042D">
            <w:pPr>
              <w:pStyle w:val="NoSpacing"/>
              <w:jc w:val="right"/>
              <w:rPr>
                <w:rFonts w:cstheme="minorHAnsi"/>
                <w:sz w:val="18"/>
                <w:szCs w:val="18"/>
              </w:rPr>
            </w:pPr>
            <w:r>
              <w:rPr>
                <w:rFonts w:cstheme="minorHAnsi"/>
                <w:sz w:val="18"/>
                <w:szCs w:val="18"/>
              </w:rPr>
              <w:t>60</w:t>
            </w:r>
          </w:p>
        </w:tc>
        <w:tc>
          <w:tcPr>
            <w:tcW w:w="519" w:type="pct"/>
            <w:shd w:val="clear" w:color="auto" w:fill="auto"/>
            <w:noWrap/>
            <w:vAlign w:val="center"/>
          </w:tcPr>
          <w:p w14:paraId="4D8F698A" w14:textId="77777777" w:rsidR="004E042D" w:rsidRPr="00651C99" w:rsidRDefault="004E042D" w:rsidP="004E042D">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1D0AD20" w14:textId="77777777" w:rsidR="004E042D" w:rsidRPr="00651C99" w:rsidRDefault="004E042D" w:rsidP="004E042D">
            <w:pPr>
              <w:pStyle w:val="NoSpacing"/>
              <w:jc w:val="right"/>
              <w:rPr>
                <w:sz w:val="18"/>
                <w:szCs w:val="18"/>
              </w:rPr>
            </w:pPr>
            <w:r w:rsidRPr="00651C99">
              <w:rPr>
                <w:sz w:val="18"/>
                <w:szCs w:val="18"/>
              </w:rPr>
              <w:t>$</w:t>
            </w:r>
            <w:r>
              <w:rPr>
                <w:sz w:val="18"/>
                <w:szCs w:val="18"/>
              </w:rPr>
              <w:t>435</w:t>
            </w:r>
          </w:p>
        </w:tc>
      </w:tr>
      <w:tr w:rsidR="004E042D" w:rsidRPr="00467BF9" w14:paraId="349CA121" w14:textId="77777777" w:rsidTr="004E042D">
        <w:trPr>
          <w:trHeight w:val="20"/>
        </w:trPr>
        <w:tc>
          <w:tcPr>
            <w:tcW w:w="1261" w:type="pct"/>
            <w:shd w:val="clear" w:color="auto" w:fill="auto"/>
            <w:vAlign w:val="center"/>
          </w:tcPr>
          <w:p w14:paraId="29B40529" w14:textId="77777777" w:rsidR="004E042D" w:rsidRPr="00467BF9" w:rsidRDefault="004E042D" w:rsidP="004E042D">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7A36C4DE" w14:textId="77777777" w:rsidR="004E042D" w:rsidRPr="00467BF9"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1,120</w:t>
            </w:r>
          </w:p>
        </w:tc>
        <w:tc>
          <w:tcPr>
            <w:tcW w:w="378" w:type="pct"/>
            <w:vAlign w:val="center"/>
          </w:tcPr>
          <w:p w14:paraId="222B63B9" w14:textId="77777777" w:rsidR="004E042D" w:rsidRPr="00467BF9"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759D7969" w14:textId="77777777" w:rsidR="004E042D" w:rsidRPr="00467BF9"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35479CBE" w14:textId="77777777" w:rsidR="004E042D" w:rsidRPr="00467BF9"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1754F892" w14:textId="77777777" w:rsidR="004E042D" w:rsidRPr="00467BF9"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31D0C0D2" w14:textId="77777777" w:rsidR="004E042D" w:rsidRPr="00467BF9"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837</w:t>
            </w:r>
          </w:p>
        </w:tc>
        <w:tc>
          <w:tcPr>
            <w:tcW w:w="519" w:type="pct"/>
            <w:shd w:val="clear" w:color="auto" w:fill="auto"/>
            <w:noWrap/>
            <w:vAlign w:val="center"/>
          </w:tcPr>
          <w:p w14:paraId="30821294" w14:textId="77777777" w:rsidR="004E042D" w:rsidRPr="00467BF9" w:rsidRDefault="004E042D" w:rsidP="004E042D">
            <w:pPr>
              <w:pStyle w:val="NoSpacing"/>
              <w:jc w:val="right"/>
              <w:rPr>
                <w:sz w:val="18"/>
                <w:szCs w:val="18"/>
              </w:rPr>
            </w:pPr>
            <w:r w:rsidRPr="00467BF9">
              <w:rPr>
                <w:sz w:val="18"/>
                <w:szCs w:val="18"/>
              </w:rPr>
              <w:t>-</w:t>
            </w:r>
          </w:p>
        </w:tc>
        <w:tc>
          <w:tcPr>
            <w:tcW w:w="521" w:type="pct"/>
            <w:shd w:val="clear" w:color="auto" w:fill="auto"/>
            <w:noWrap/>
            <w:vAlign w:val="center"/>
          </w:tcPr>
          <w:p w14:paraId="090F8CE3" w14:textId="77777777" w:rsidR="004E042D" w:rsidRPr="00467BF9" w:rsidRDefault="004E042D" w:rsidP="004E042D">
            <w:pPr>
              <w:pStyle w:val="NoSpacing"/>
              <w:jc w:val="right"/>
              <w:rPr>
                <w:sz w:val="18"/>
                <w:szCs w:val="18"/>
              </w:rPr>
            </w:pPr>
            <w:r w:rsidRPr="00467BF9">
              <w:rPr>
                <w:sz w:val="18"/>
                <w:szCs w:val="18"/>
              </w:rPr>
              <w:t>-</w:t>
            </w:r>
          </w:p>
        </w:tc>
      </w:tr>
      <w:tr w:rsidR="004E042D" w:rsidRPr="00467BF9" w14:paraId="24356EDB" w14:textId="77777777" w:rsidTr="004E042D">
        <w:trPr>
          <w:trHeight w:val="20"/>
        </w:trPr>
        <w:tc>
          <w:tcPr>
            <w:tcW w:w="5000" w:type="pct"/>
            <w:gridSpan w:val="11"/>
            <w:shd w:val="clear" w:color="auto" w:fill="auto"/>
            <w:vAlign w:val="center"/>
          </w:tcPr>
          <w:p w14:paraId="77DE3F75" w14:textId="77777777" w:rsidR="004E042D" w:rsidRPr="00467BF9" w:rsidRDefault="004E042D" w:rsidP="004E042D">
            <w:pPr>
              <w:pStyle w:val="NoSpacing"/>
              <w:rPr>
                <w:sz w:val="18"/>
                <w:szCs w:val="18"/>
              </w:rPr>
            </w:pPr>
            <w:r w:rsidRPr="00C45D62">
              <w:rPr>
                <w:rFonts w:cstheme="minorHAnsi"/>
                <w:b/>
                <w:i/>
                <w:sz w:val="18"/>
                <w:szCs w:val="18"/>
              </w:rPr>
              <w:t xml:space="preserve">Students </w:t>
            </w:r>
            <w:r>
              <w:rPr>
                <w:rFonts w:cstheme="minorHAnsi"/>
                <w:b/>
                <w:i/>
                <w:sz w:val="18"/>
                <w:szCs w:val="18"/>
              </w:rPr>
              <w:t>(Grade 8)</w:t>
            </w:r>
          </w:p>
        </w:tc>
      </w:tr>
      <w:tr w:rsidR="004E042D" w:rsidRPr="00467BF9" w14:paraId="476ED3F6" w14:textId="77777777" w:rsidTr="004E042D">
        <w:trPr>
          <w:trHeight w:val="20"/>
        </w:trPr>
        <w:tc>
          <w:tcPr>
            <w:tcW w:w="1261" w:type="pct"/>
            <w:shd w:val="clear" w:color="auto" w:fill="auto"/>
            <w:vAlign w:val="center"/>
          </w:tcPr>
          <w:p w14:paraId="30EA8B12" w14:textId="77777777" w:rsidR="004E042D" w:rsidRPr="00467BF9" w:rsidRDefault="004E042D" w:rsidP="004E042D">
            <w:pPr>
              <w:pStyle w:val="NoSpacing"/>
              <w:rPr>
                <w:rFonts w:cstheme="minorHAnsi"/>
                <w:color w:val="808080" w:themeColor="background1" w:themeShade="80"/>
                <w:sz w:val="18"/>
                <w:szCs w:val="18"/>
              </w:rPr>
            </w:pPr>
            <w:r w:rsidRPr="00651C99">
              <w:rPr>
                <w:rFonts w:cstheme="minorHAnsi"/>
                <w:sz w:val="18"/>
                <w:szCs w:val="18"/>
              </w:rPr>
              <w:t xml:space="preserve"> Student Survey</w:t>
            </w:r>
          </w:p>
        </w:tc>
        <w:tc>
          <w:tcPr>
            <w:tcW w:w="376" w:type="pct"/>
            <w:vAlign w:val="center"/>
          </w:tcPr>
          <w:p w14:paraId="30E5FE44" w14:textId="77777777" w:rsidR="004E042D" w:rsidRDefault="004E042D" w:rsidP="004E042D">
            <w:pPr>
              <w:pStyle w:val="NoSpacing"/>
              <w:jc w:val="right"/>
              <w:rPr>
                <w:rFonts w:cstheme="minorHAnsi"/>
                <w:color w:val="808080" w:themeColor="background1" w:themeShade="80"/>
                <w:sz w:val="18"/>
                <w:szCs w:val="18"/>
              </w:rPr>
            </w:pPr>
            <w:r>
              <w:rPr>
                <w:rFonts w:cstheme="minorHAnsi"/>
                <w:sz w:val="18"/>
                <w:szCs w:val="18"/>
              </w:rPr>
              <w:t>625</w:t>
            </w:r>
          </w:p>
        </w:tc>
        <w:tc>
          <w:tcPr>
            <w:tcW w:w="378" w:type="pct"/>
            <w:vAlign w:val="center"/>
          </w:tcPr>
          <w:p w14:paraId="0258508C" w14:textId="77777777" w:rsidR="004E042D" w:rsidRDefault="004E042D" w:rsidP="004E042D">
            <w:pPr>
              <w:pStyle w:val="NoSpacing"/>
              <w:jc w:val="right"/>
              <w:rPr>
                <w:rFonts w:cstheme="minorHAnsi"/>
                <w:color w:val="808080" w:themeColor="background1" w:themeShade="80"/>
                <w:sz w:val="18"/>
                <w:szCs w:val="18"/>
              </w:rPr>
            </w:pPr>
            <w:r>
              <w:rPr>
                <w:rFonts w:cstheme="minorHAnsi"/>
                <w:sz w:val="18"/>
                <w:szCs w:val="18"/>
              </w:rPr>
              <w:t>64%</w:t>
            </w:r>
          </w:p>
        </w:tc>
        <w:tc>
          <w:tcPr>
            <w:tcW w:w="585" w:type="pct"/>
            <w:vAlign w:val="center"/>
          </w:tcPr>
          <w:p w14:paraId="1116B62C" w14:textId="77777777" w:rsidR="004E042D" w:rsidRDefault="004E042D" w:rsidP="004E042D">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2F576904" w14:textId="77777777" w:rsidR="004E042D" w:rsidRDefault="004E042D" w:rsidP="004E042D">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47647D51" w14:textId="77777777" w:rsidR="004E042D" w:rsidRDefault="004E042D" w:rsidP="004E042D">
            <w:pPr>
              <w:pStyle w:val="NoSpacing"/>
              <w:jc w:val="right"/>
              <w:rPr>
                <w:rFonts w:cstheme="minorHAnsi"/>
                <w:color w:val="808080" w:themeColor="background1" w:themeShade="80"/>
                <w:sz w:val="18"/>
                <w:szCs w:val="18"/>
              </w:rPr>
            </w:pPr>
            <w:r>
              <w:rPr>
                <w:rFonts w:cstheme="minorHAnsi"/>
                <w:sz w:val="18"/>
                <w:szCs w:val="18"/>
              </w:rPr>
              <w:t>5</w:t>
            </w:r>
          </w:p>
        </w:tc>
        <w:tc>
          <w:tcPr>
            <w:tcW w:w="456" w:type="pct"/>
            <w:gridSpan w:val="3"/>
            <w:shd w:val="clear" w:color="auto" w:fill="auto"/>
            <w:noWrap/>
            <w:vAlign w:val="center"/>
          </w:tcPr>
          <w:p w14:paraId="75287579" w14:textId="77777777" w:rsidR="004E042D" w:rsidRDefault="004E042D" w:rsidP="004E042D">
            <w:pPr>
              <w:pStyle w:val="NoSpacing"/>
              <w:jc w:val="right"/>
              <w:rPr>
                <w:rFonts w:cstheme="minorHAnsi"/>
                <w:color w:val="808080" w:themeColor="background1" w:themeShade="80"/>
                <w:sz w:val="18"/>
                <w:szCs w:val="18"/>
              </w:rPr>
            </w:pPr>
            <w:r w:rsidRPr="0044258C">
              <w:rPr>
                <w:rFonts w:cstheme="minorHAnsi"/>
                <w:sz w:val="18"/>
                <w:szCs w:val="18"/>
              </w:rPr>
              <w:t>33</w:t>
            </w:r>
          </w:p>
        </w:tc>
        <w:tc>
          <w:tcPr>
            <w:tcW w:w="519" w:type="pct"/>
            <w:shd w:val="clear" w:color="auto" w:fill="auto"/>
            <w:noWrap/>
            <w:vAlign w:val="center"/>
          </w:tcPr>
          <w:p w14:paraId="2C2F9620" w14:textId="77777777" w:rsidR="004E042D" w:rsidRPr="00467BF9" w:rsidRDefault="004E042D" w:rsidP="004E042D">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389F0425" w14:textId="77777777" w:rsidR="004E042D" w:rsidRPr="00467BF9" w:rsidRDefault="004E042D" w:rsidP="004E042D">
            <w:pPr>
              <w:pStyle w:val="NoSpacing"/>
              <w:jc w:val="right"/>
              <w:rPr>
                <w:sz w:val="18"/>
                <w:szCs w:val="18"/>
              </w:rPr>
            </w:pPr>
            <w:r w:rsidRPr="00651C99">
              <w:rPr>
                <w:sz w:val="18"/>
                <w:szCs w:val="18"/>
              </w:rPr>
              <w:t>$</w:t>
            </w:r>
            <w:r>
              <w:rPr>
                <w:sz w:val="18"/>
                <w:szCs w:val="18"/>
              </w:rPr>
              <w:t>239</w:t>
            </w:r>
          </w:p>
        </w:tc>
      </w:tr>
      <w:tr w:rsidR="004E042D" w:rsidRPr="00467BF9" w14:paraId="16BE815A" w14:textId="77777777" w:rsidTr="004E042D">
        <w:trPr>
          <w:trHeight w:val="20"/>
        </w:trPr>
        <w:tc>
          <w:tcPr>
            <w:tcW w:w="1261" w:type="pct"/>
            <w:shd w:val="clear" w:color="auto" w:fill="auto"/>
            <w:vAlign w:val="center"/>
          </w:tcPr>
          <w:p w14:paraId="01C65A04" w14:textId="77777777" w:rsidR="004E042D" w:rsidRPr="00467BF9" w:rsidRDefault="004E042D" w:rsidP="004E042D">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3177F02B" w14:textId="77777777" w:rsidR="004E042D"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625</w:t>
            </w:r>
          </w:p>
        </w:tc>
        <w:tc>
          <w:tcPr>
            <w:tcW w:w="378" w:type="pct"/>
            <w:vAlign w:val="center"/>
          </w:tcPr>
          <w:p w14:paraId="61457B9C" w14:textId="77777777" w:rsidR="004E042D"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41A40649" w14:textId="77777777" w:rsidR="004E042D"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4C91E69A" w14:textId="77777777" w:rsidR="004E042D"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144871BF" w14:textId="77777777" w:rsidR="004E042D"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3A407106" w14:textId="77777777" w:rsidR="004E042D" w:rsidRDefault="004E042D" w:rsidP="004E042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467</w:t>
            </w:r>
          </w:p>
        </w:tc>
        <w:tc>
          <w:tcPr>
            <w:tcW w:w="519" w:type="pct"/>
            <w:shd w:val="clear" w:color="auto" w:fill="auto"/>
            <w:noWrap/>
            <w:vAlign w:val="center"/>
          </w:tcPr>
          <w:p w14:paraId="553CB557" w14:textId="77777777" w:rsidR="004E042D" w:rsidRPr="00467BF9" w:rsidRDefault="004E042D" w:rsidP="004E042D">
            <w:pPr>
              <w:pStyle w:val="NoSpacing"/>
              <w:jc w:val="right"/>
              <w:rPr>
                <w:sz w:val="18"/>
                <w:szCs w:val="18"/>
              </w:rPr>
            </w:pPr>
            <w:r w:rsidRPr="00467BF9">
              <w:rPr>
                <w:sz w:val="18"/>
                <w:szCs w:val="18"/>
              </w:rPr>
              <w:t>-</w:t>
            </w:r>
          </w:p>
        </w:tc>
        <w:tc>
          <w:tcPr>
            <w:tcW w:w="521" w:type="pct"/>
            <w:shd w:val="clear" w:color="auto" w:fill="auto"/>
            <w:noWrap/>
            <w:vAlign w:val="center"/>
          </w:tcPr>
          <w:p w14:paraId="1505B35C" w14:textId="77777777" w:rsidR="004E042D" w:rsidRPr="00467BF9" w:rsidRDefault="004E042D" w:rsidP="004E042D">
            <w:pPr>
              <w:pStyle w:val="NoSpacing"/>
              <w:jc w:val="right"/>
              <w:rPr>
                <w:sz w:val="18"/>
                <w:szCs w:val="18"/>
              </w:rPr>
            </w:pPr>
            <w:r w:rsidRPr="00467BF9">
              <w:rPr>
                <w:sz w:val="18"/>
                <w:szCs w:val="18"/>
              </w:rPr>
              <w:t>-</w:t>
            </w:r>
          </w:p>
        </w:tc>
      </w:tr>
      <w:tr w:rsidR="004E042D" w:rsidRPr="00C45D62" w14:paraId="1A0ADA2E" w14:textId="77777777" w:rsidTr="004E042D">
        <w:trPr>
          <w:trHeight w:val="20"/>
        </w:trPr>
        <w:tc>
          <w:tcPr>
            <w:tcW w:w="5000" w:type="pct"/>
            <w:gridSpan w:val="11"/>
            <w:shd w:val="clear" w:color="auto" w:fill="auto"/>
            <w:vAlign w:val="center"/>
          </w:tcPr>
          <w:p w14:paraId="257524A0" w14:textId="77777777" w:rsidR="004E042D" w:rsidRPr="00C45D62" w:rsidRDefault="004E042D" w:rsidP="004E042D">
            <w:pPr>
              <w:pStyle w:val="NoSpacing"/>
              <w:rPr>
                <w:b/>
                <w:i/>
                <w:sz w:val="18"/>
                <w:szCs w:val="18"/>
              </w:rPr>
            </w:pPr>
            <w:r w:rsidRPr="00C45D62">
              <w:rPr>
                <w:rFonts w:cstheme="minorHAnsi"/>
                <w:b/>
                <w:i/>
                <w:sz w:val="18"/>
                <w:szCs w:val="18"/>
              </w:rPr>
              <w:t>School administrators and coordinators</w:t>
            </w:r>
          </w:p>
        </w:tc>
      </w:tr>
      <w:tr w:rsidR="004E042D" w:rsidRPr="00651C99" w14:paraId="040ECAE4" w14:textId="77777777" w:rsidTr="004E042D">
        <w:trPr>
          <w:trHeight w:val="20"/>
        </w:trPr>
        <w:tc>
          <w:tcPr>
            <w:tcW w:w="1261" w:type="pct"/>
            <w:shd w:val="clear" w:color="auto" w:fill="auto"/>
            <w:vAlign w:val="center"/>
          </w:tcPr>
          <w:p w14:paraId="2D60D833" w14:textId="77777777" w:rsidR="004E042D" w:rsidRPr="00651C99" w:rsidRDefault="004E042D" w:rsidP="004E042D">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7752ECEC" w14:textId="77777777" w:rsidR="004E042D" w:rsidRPr="00651C99" w:rsidRDefault="004E042D" w:rsidP="004E042D">
            <w:pPr>
              <w:pStyle w:val="NoSpacing"/>
              <w:jc w:val="right"/>
              <w:rPr>
                <w:rFonts w:cstheme="minorHAnsi"/>
                <w:sz w:val="18"/>
                <w:szCs w:val="18"/>
              </w:rPr>
            </w:pPr>
            <w:r>
              <w:rPr>
                <w:rFonts w:cstheme="minorHAnsi"/>
                <w:sz w:val="18"/>
                <w:szCs w:val="18"/>
              </w:rPr>
              <w:t>72</w:t>
            </w:r>
          </w:p>
        </w:tc>
        <w:tc>
          <w:tcPr>
            <w:tcW w:w="378" w:type="pct"/>
            <w:vAlign w:val="center"/>
          </w:tcPr>
          <w:p w14:paraId="4358161E" w14:textId="77777777" w:rsidR="004E042D" w:rsidRPr="00651C99" w:rsidRDefault="004E042D" w:rsidP="004E042D">
            <w:pPr>
              <w:pStyle w:val="NoSpacing"/>
              <w:jc w:val="right"/>
              <w:rPr>
                <w:rFonts w:cstheme="minorHAnsi"/>
                <w:sz w:val="18"/>
                <w:szCs w:val="18"/>
              </w:rPr>
            </w:pPr>
            <w:r>
              <w:rPr>
                <w:rFonts w:cstheme="minorHAnsi"/>
                <w:sz w:val="18"/>
                <w:szCs w:val="18"/>
              </w:rPr>
              <w:t>80</w:t>
            </w:r>
            <w:r w:rsidRPr="00651C99">
              <w:rPr>
                <w:rFonts w:cstheme="minorHAnsi"/>
                <w:sz w:val="18"/>
                <w:szCs w:val="18"/>
              </w:rPr>
              <w:t>%</w:t>
            </w:r>
          </w:p>
        </w:tc>
        <w:tc>
          <w:tcPr>
            <w:tcW w:w="585" w:type="pct"/>
            <w:vAlign w:val="center"/>
          </w:tcPr>
          <w:p w14:paraId="25554475" w14:textId="77777777" w:rsidR="004E042D" w:rsidRPr="00651C99" w:rsidRDefault="004E042D" w:rsidP="004E042D">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533001E3" w14:textId="77777777" w:rsidR="004E042D" w:rsidRPr="00651C99" w:rsidRDefault="004E042D" w:rsidP="004E042D">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73C542F2" w14:textId="77777777" w:rsidR="004E042D" w:rsidRPr="00651C99" w:rsidRDefault="004E042D" w:rsidP="004E042D">
            <w:pPr>
              <w:pStyle w:val="NoSpacing"/>
              <w:jc w:val="right"/>
              <w:rPr>
                <w:rFonts w:cstheme="minorHAnsi"/>
                <w:sz w:val="18"/>
                <w:szCs w:val="18"/>
              </w:rPr>
            </w:pPr>
            <w:r w:rsidRPr="00651C99">
              <w:rPr>
                <w:rFonts w:cstheme="minorHAnsi"/>
                <w:sz w:val="18"/>
                <w:szCs w:val="18"/>
              </w:rPr>
              <w:t>40</w:t>
            </w:r>
          </w:p>
        </w:tc>
        <w:tc>
          <w:tcPr>
            <w:tcW w:w="453" w:type="pct"/>
            <w:gridSpan w:val="2"/>
            <w:shd w:val="clear" w:color="auto" w:fill="auto"/>
            <w:noWrap/>
            <w:vAlign w:val="center"/>
          </w:tcPr>
          <w:p w14:paraId="71A623D0" w14:textId="77777777" w:rsidR="004E042D" w:rsidRPr="00651C99" w:rsidRDefault="004E042D" w:rsidP="004E042D">
            <w:pPr>
              <w:pStyle w:val="NoSpacing"/>
              <w:jc w:val="right"/>
              <w:rPr>
                <w:rFonts w:cstheme="minorHAnsi"/>
                <w:sz w:val="18"/>
                <w:szCs w:val="18"/>
              </w:rPr>
            </w:pPr>
            <w:r>
              <w:rPr>
                <w:rFonts w:cstheme="minorHAnsi"/>
                <w:sz w:val="18"/>
                <w:szCs w:val="18"/>
              </w:rPr>
              <w:t>39</w:t>
            </w:r>
          </w:p>
        </w:tc>
        <w:tc>
          <w:tcPr>
            <w:tcW w:w="522" w:type="pct"/>
            <w:gridSpan w:val="2"/>
            <w:shd w:val="clear" w:color="auto" w:fill="auto"/>
            <w:noWrap/>
            <w:vAlign w:val="center"/>
          </w:tcPr>
          <w:p w14:paraId="0DB8E3F8" w14:textId="77777777" w:rsidR="004E042D" w:rsidRPr="00651C99" w:rsidRDefault="004E042D" w:rsidP="004E042D">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090E48E2" w14:textId="77777777" w:rsidR="004E042D" w:rsidRPr="00651C99" w:rsidRDefault="004E042D" w:rsidP="004E042D">
            <w:pPr>
              <w:pStyle w:val="NoSpacing"/>
              <w:jc w:val="right"/>
              <w:rPr>
                <w:sz w:val="18"/>
                <w:szCs w:val="18"/>
              </w:rPr>
            </w:pPr>
            <w:r>
              <w:rPr>
                <w:sz w:val="18"/>
                <w:szCs w:val="18"/>
              </w:rPr>
              <w:t>$1,789</w:t>
            </w:r>
          </w:p>
        </w:tc>
      </w:tr>
      <w:tr w:rsidR="004E042D" w:rsidRPr="00651C99" w14:paraId="4A537EB8" w14:textId="77777777" w:rsidTr="004E042D">
        <w:trPr>
          <w:trHeight w:val="20"/>
        </w:trPr>
        <w:tc>
          <w:tcPr>
            <w:tcW w:w="1261" w:type="pct"/>
            <w:shd w:val="clear" w:color="auto" w:fill="auto"/>
            <w:vAlign w:val="center"/>
          </w:tcPr>
          <w:p w14:paraId="468A3690" w14:textId="77777777" w:rsidR="004E042D" w:rsidRPr="00651C99" w:rsidRDefault="004E042D" w:rsidP="004E042D">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3F5C12D2" w14:textId="77777777" w:rsidR="004E042D" w:rsidRPr="00651C99" w:rsidRDefault="004E042D" w:rsidP="004E042D">
            <w:pPr>
              <w:pStyle w:val="NoSpacing"/>
              <w:jc w:val="right"/>
              <w:rPr>
                <w:rFonts w:cstheme="minorHAnsi"/>
                <w:sz w:val="18"/>
                <w:szCs w:val="18"/>
              </w:rPr>
            </w:pPr>
            <w:r>
              <w:rPr>
                <w:rFonts w:cstheme="minorHAnsi"/>
                <w:sz w:val="18"/>
                <w:szCs w:val="18"/>
              </w:rPr>
              <w:t>72</w:t>
            </w:r>
          </w:p>
        </w:tc>
        <w:tc>
          <w:tcPr>
            <w:tcW w:w="378" w:type="pct"/>
            <w:vAlign w:val="center"/>
          </w:tcPr>
          <w:p w14:paraId="4A4ADA54" w14:textId="77777777" w:rsidR="004E042D" w:rsidRPr="00651C99" w:rsidRDefault="004E042D" w:rsidP="004E042D">
            <w:pPr>
              <w:pStyle w:val="NoSpacing"/>
              <w:jc w:val="right"/>
              <w:rPr>
                <w:rFonts w:cstheme="minorHAnsi"/>
                <w:sz w:val="18"/>
                <w:szCs w:val="18"/>
              </w:rPr>
            </w:pPr>
            <w:r w:rsidRPr="00651C99">
              <w:rPr>
                <w:rFonts w:cstheme="minorHAnsi"/>
                <w:sz w:val="18"/>
                <w:szCs w:val="18"/>
              </w:rPr>
              <w:t>100%</w:t>
            </w:r>
          </w:p>
        </w:tc>
        <w:tc>
          <w:tcPr>
            <w:tcW w:w="585" w:type="pct"/>
            <w:vAlign w:val="center"/>
          </w:tcPr>
          <w:p w14:paraId="34A6B2C4" w14:textId="77777777" w:rsidR="004E042D" w:rsidRPr="00651C99" w:rsidRDefault="004E042D" w:rsidP="004E042D">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7A24D268" w14:textId="77777777" w:rsidR="004E042D" w:rsidRPr="00651C99" w:rsidRDefault="004E042D" w:rsidP="004E042D">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71A8CB60" w14:textId="77777777" w:rsidR="004E042D" w:rsidRPr="00651C99" w:rsidRDefault="004E042D" w:rsidP="004E042D">
            <w:pPr>
              <w:pStyle w:val="NoSpacing"/>
              <w:jc w:val="right"/>
              <w:rPr>
                <w:rFonts w:cstheme="minorHAnsi"/>
                <w:sz w:val="18"/>
                <w:szCs w:val="18"/>
              </w:rPr>
            </w:pPr>
            <w:r w:rsidRPr="00651C99">
              <w:rPr>
                <w:rFonts w:cstheme="minorHAnsi"/>
                <w:sz w:val="18"/>
                <w:szCs w:val="18"/>
              </w:rPr>
              <w:t>720</w:t>
            </w:r>
          </w:p>
        </w:tc>
        <w:tc>
          <w:tcPr>
            <w:tcW w:w="453" w:type="pct"/>
            <w:gridSpan w:val="2"/>
            <w:shd w:val="clear" w:color="auto" w:fill="auto"/>
            <w:noWrap/>
            <w:vAlign w:val="center"/>
          </w:tcPr>
          <w:p w14:paraId="738F1BC8" w14:textId="77777777" w:rsidR="004E042D" w:rsidRPr="00651C99" w:rsidRDefault="004E042D" w:rsidP="004E042D">
            <w:pPr>
              <w:pStyle w:val="NoSpacing"/>
              <w:jc w:val="right"/>
              <w:rPr>
                <w:rFonts w:cstheme="minorHAnsi"/>
                <w:sz w:val="18"/>
                <w:szCs w:val="18"/>
              </w:rPr>
            </w:pPr>
            <w:r>
              <w:rPr>
                <w:rFonts w:cstheme="minorHAnsi"/>
                <w:sz w:val="18"/>
                <w:szCs w:val="18"/>
              </w:rPr>
              <w:t>864</w:t>
            </w:r>
          </w:p>
        </w:tc>
        <w:tc>
          <w:tcPr>
            <w:tcW w:w="522" w:type="pct"/>
            <w:gridSpan w:val="2"/>
            <w:shd w:val="clear" w:color="auto" w:fill="auto"/>
            <w:noWrap/>
            <w:vAlign w:val="center"/>
          </w:tcPr>
          <w:p w14:paraId="5429B5E0" w14:textId="77777777" w:rsidR="004E042D" w:rsidRPr="00651C99" w:rsidRDefault="004E042D" w:rsidP="004E042D">
            <w:pPr>
              <w:pStyle w:val="NoSpacing"/>
              <w:jc w:val="right"/>
              <w:rPr>
                <w:sz w:val="18"/>
                <w:szCs w:val="18"/>
              </w:rPr>
            </w:pPr>
            <w:r w:rsidRPr="0071268F">
              <w:rPr>
                <w:sz w:val="18"/>
                <w:szCs w:val="18"/>
              </w:rPr>
              <w:t>$</w:t>
            </w:r>
            <w:r>
              <w:rPr>
                <w:sz w:val="18"/>
                <w:szCs w:val="18"/>
              </w:rPr>
              <w:t>27.70</w:t>
            </w:r>
          </w:p>
        </w:tc>
        <w:tc>
          <w:tcPr>
            <w:tcW w:w="521" w:type="pct"/>
            <w:shd w:val="clear" w:color="auto" w:fill="auto"/>
            <w:noWrap/>
            <w:vAlign w:val="center"/>
          </w:tcPr>
          <w:p w14:paraId="5F3333B5" w14:textId="77777777" w:rsidR="004E042D" w:rsidRPr="00651C99" w:rsidRDefault="004E042D" w:rsidP="004E042D">
            <w:pPr>
              <w:pStyle w:val="NoSpacing"/>
              <w:jc w:val="right"/>
              <w:rPr>
                <w:sz w:val="18"/>
                <w:szCs w:val="18"/>
              </w:rPr>
            </w:pPr>
            <w:r>
              <w:rPr>
                <w:sz w:val="18"/>
                <w:szCs w:val="18"/>
              </w:rPr>
              <w:t>$23,933</w:t>
            </w:r>
            <w:r w:rsidRPr="00651C99">
              <w:rPr>
                <w:sz w:val="18"/>
                <w:szCs w:val="18"/>
              </w:rPr>
              <w:t xml:space="preserve"> </w:t>
            </w:r>
          </w:p>
        </w:tc>
      </w:tr>
      <w:tr w:rsidR="00F97A1A" w:rsidRPr="00651C99" w14:paraId="1040977F" w14:textId="77777777" w:rsidTr="00AE210D">
        <w:trPr>
          <w:trHeight w:val="20"/>
        </w:trPr>
        <w:tc>
          <w:tcPr>
            <w:tcW w:w="1261" w:type="pct"/>
            <w:shd w:val="clear" w:color="auto" w:fill="D9D9D9" w:themeFill="background1" w:themeFillShade="D9"/>
            <w:noWrap/>
            <w:vAlign w:val="center"/>
          </w:tcPr>
          <w:p w14:paraId="00313C21" w14:textId="77777777" w:rsidR="00F97A1A" w:rsidRPr="00651C99" w:rsidRDefault="00F97A1A" w:rsidP="004E042D">
            <w:pPr>
              <w:pStyle w:val="NoSpacing"/>
              <w:rPr>
                <w:rFonts w:cstheme="minorHAnsi"/>
                <w:b/>
                <w:sz w:val="18"/>
                <w:szCs w:val="18"/>
              </w:rPr>
            </w:pPr>
            <w:r w:rsidRPr="00651C99">
              <w:rPr>
                <w:rFonts w:cstheme="minorHAnsi"/>
                <w:b/>
                <w:sz w:val="18"/>
                <w:szCs w:val="18"/>
              </w:rPr>
              <w:t>OFT</w:t>
            </w:r>
            <w:r>
              <w:rPr>
                <w:rFonts w:cstheme="minorHAnsi"/>
                <w:b/>
                <w:sz w:val="18"/>
                <w:szCs w:val="18"/>
              </w:rPr>
              <w:t>2</w:t>
            </w:r>
            <w:r w:rsidRPr="00651C99">
              <w:rPr>
                <w:rFonts w:cstheme="minorHAnsi"/>
                <w:b/>
                <w:sz w:val="18"/>
                <w:szCs w:val="18"/>
              </w:rPr>
              <w:t xml:space="preserve"> </w:t>
            </w:r>
            <w:r>
              <w:rPr>
                <w:rFonts w:cstheme="minorHAnsi"/>
                <w:b/>
                <w:sz w:val="18"/>
                <w:szCs w:val="18"/>
              </w:rPr>
              <w:t>Total</w:t>
            </w:r>
          </w:p>
        </w:tc>
        <w:tc>
          <w:tcPr>
            <w:tcW w:w="376" w:type="pct"/>
            <w:shd w:val="clear" w:color="auto" w:fill="D9D9D9" w:themeFill="background1" w:themeFillShade="D9"/>
            <w:vAlign w:val="center"/>
          </w:tcPr>
          <w:p w14:paraId="7BDC64F3" w14:textId="51754F9E" w:rsidR="00F97A1A" w:rsidRPr="00651C99" w:rsidRDefault="00F97A1A" w:rsidP="004E042D">
            <w:pPr>
              <w:pStyle w:val="NoSpacing"/>
              <w:jc w:val="right"/>
              <w:rPr>
                <w:rFonts w:cstheme="minorHAnsi"/>
                <w:b/>
                <w:sz w:val="18"/>
                <w:szCs w:val="18"/>
              </w:rPr>
            </w:pPr>
            <w:r>
              <w:rPr>
                <w:rFonts w:ascii="Calibri" w:hAnsi="Calibri"/>
                <w:b/>
                <w:bCs/>
                <w:color w:val="000000"/>
                <w:sz w:val="18"/>
                <w:szCs w:val="18"/>
              </w:rPr>
              <w:t>-</w:t>
            </w:r>
          </w:p>
        </w:tc>
        <w:tc>
          <w:tcPr>
            <w:tcW w:w="378" w:type="pct"/>
            <w:shd w:val="clear" w:color="auto" w:fill="D9D9D9" w:themeFill="background1" w:themeFillShade="D9"/>
            <w:vAlign w:val="center"/>
          </w:tcPr>
          <w:p w14:paraId="5119A980" w14:textId="63BF143F" w:rsidR="00F97A1A" w:rsidRPr="00651C99" w:rsidRDefault="00F97A1A" w:rsidP="004E042D">
            <w:pPr>
              <w:pStyle w:val="NoSpacing"/>
              <w:jc w:val="right"/>
              <w:rPr>
                <w:rFonts w:cstheme="minorHAnsi"/>
                <w:b/>
                <w:sz w:val="18"/>
                <w:szCs w:val="18"/>
              </w:rPr>
            </w:pPr>
            <w:r>
              <w:rPr>
                <w:rFonts w:ascii="Calibri" w:hAnsi="Calibri"/>
                <w:b/>
                <w:bCs/>
                <w:color w:val="000000"/>
                <w:sz w:val="18"/>
                <w:szCs w:val="18"/>
              </w:rPr>
              <w:t>-</w:t>
            </w:r>
          </w:p>
        </w:tc>
        <w:tc>
          <w:tcPr>
            <w:tcW w:w="585" w:type="pct"/>
            <w:shd w:val="clear" w:color="auto" w:fill="D9D9D9" w:themeFill="background1" w:themeFillShade="D9"/>
            <w:vAlign w:val="center"/>
          </w:tcPr>
          <w:p w14:paraId="608878E0" w14:textId="11C2F354" w:rsidR="00F97A1A" w:rsidRPr="00651C99" w:rsidRDefault="00F97A1A" w:rsidP="004E042D">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6E92205C" w14:textId="633F9475" w:rsidR="00F97A1A" w:rsidRPr="00651C99" w:rsidRDefault="00F97A1A" w:rsidP="004E042D">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76F05457" w14:textId="43B8EECB" w:rsidR="00F97A1A" w:rsidRPr="00651C99" w:rsidRDefault="00F97A1A" w:rsidP="004E042D">
            <w:pPr>
              <w:pStyle w:val="NoSpacing"/>
              <w:jc w:val="right"/>
              <w:rPr>
                <w:rFonts w:cstheme="minorHAnsi"/>
                <w:b/>
                <w:sz w:val="18"/>
                <w:szCs w:val="18"/>
              </w:rPr>
            </w:pPr>
            <w:r>
              <w:rPr>
                <w:rFonts w:ascii="Calibri" w:hAnsi="Calibri"/>
                <w:b/>
                <w:bCs/>
                <w:color w:val="000000"/>
                <w:sz w:val="18"/>
                <w:szCs w:val="18"/>
              </w:rPr>
              <w:t>-</w:t>
            </w:r>
          </w:p>
        </w:tc>
        <w:tc>
          <w:tcPr>
            <w:tcW w:w="453" w:type="pct"/>
            <w:gridSpan w:val="2"/>
            <w:shd w:val="clear" w:color="auto" w:fill="D9D9D9" w:themeFill="background1" w:themeFillShade="D9"/>
            <w:noWrap/>
            <w:vAlign w:val="center"/>
          </w:tcPr>
          <w:p w14:paraId="7CE09599" w14:textId="2A4D4ED3" w:rsidR="00F97A1A" w:rsidRPr="00ED6408" w:rsidRDefault="00F97A1A" w:rsidP="001C1926">
            <w:pPr>
              <w:pStyle w:val="NoSpacing"/>
              <w:jc w:val="right"/>
              <w:rPr>
                <w:rFonts w:cstheme="minorHAnsi"/>
                <w:b/>
                <w:sz w:val="18"/>
                <w:szCs w:val="18"/>
              </w:rPr>
            </w:pPr>
            <w:r>
              <w:rPr>
                <w:rFonts w:cstheme="minorHAnsi"/>
                <w:b/>
                <w:sz w:val="18"/>
                <w:szCs w:val="18"/>
              </w:rPr>
              <w:t>1,039</w:t>
            </w:r>
          </w:p>
        </w:tc>
        <w:tc>
          <w:tcPr>
            <w:tcW w:w="522" w:type="pct"/>
            <w:gridSpan w:val="2"/>
            <w:shd w:val="clear" w:color="auto" w:fill="D9D9D9" w:themeFill="background1" w:themeFillShade="D9"/>
            <w:noWrap/>
            <w:vAlign w:val="center"/>
          </w:tcPr>
          <w:p w14:paraId="4ED8027F" w14:textId="0B7176B6" w:rsidR="00F97A1A" w:rsidRPr="00651C99" w:rsidRDefault="00F97A1A" w:rsidP="004E042D">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4FE49BFA" w14:textId="35310D18" w:rsidR="00F97A1A" w:rsidRPr="00651C99" w:rsidRDefault="00F97A1A" w:rsidP="001C1926">
            <w:pPr>
              <w:pStyle w:val="NoSpacing"/>
              <w:jc w:val="right"/>
              <w:rPr>
                <w:b/>
                <w:sz w:val="18"/>
                <w:szCs w:val="18"/>
              </w:rPr>
            </w:pPr>
            <w:r>
              <w:rPr>
                <w:rFonts w:ascii="Calibri" w:hAnsi="Calibri"/>
                <w:b/>
                <w:bCs/>
                <w:color w:val="000000"/>
                <w:sz w:val="18"/>
                <w:szCs w:val="18"/>
              </w:rPr>
              <w:t xml:space="preserve">$27,950 </w:t>
            </w:r>
          </w:p>
        </w:tc>
      </w:tr>
      <w:tr w:rsidR="00475E24" w:rsidRPr="00651C99" w14:paraId="2C311D0A" w14:textId="77777777" w:rsidTr="00475E24">
        <w:trPr>
          <w:trHeight w:val="20"/>
        </w:trPr>
        <w:tc>
          <w:tcPr>
            <w:tcW w:w="5000" w:type="pct"/>
            <w:gridSpan w:val="11"/>
            <w:shd w:val="clear" w:color="auto" w:fill="auto"/>
            <w:noWrap/>
            <w:vAlign w:val="center"/>
          </w:tcPr>
          <w:p w14:paraId="44F5FE7F" w14:textId="33FE38CA" w:rsidR="00475E24" w:rsidRPr="00FB6CBA" w:rsidRDefault="00475E24" w:rsidP="00475E24">
            <w:pPr>
              <w:pStyle w:val="NoSpacing"/>
              <w:rPr>
                <w:rFonts w:ascii="Calibri" w:hAnsi="Calibri"/>
                <w:b/>
                <w:bCs/>
                <w:sz w:val="18"/>
                <w:szCs w:val="18"/>
              </w:rPr>
            </w:pPr>
            <w:r w:rsidRPr="00475E24">
              <w:rPr>
                <w:rFonts w:cstheme="minorHAnsi"/>
                <w:b/>
                <w:i/>
                <w:sz w:val="18"/>
                <w:szCs w:val="18"/>
              </w:rPr>
              <w:t>OFT3</w:t>
            </w:r>
            <w:r w:rsidR="00991419">
              <w:rPr>
                <w:rFonts w:cstheme="minorHAnsi"/>
                <w:b/>
                <w:i/>
                <w:sz w:val="18"/>
                <w:szCs w:val="18"/>
              </w:rPr>
              <w:t xml:space="preserve"> </w:t>
            </w:r>
            <w:r w:rsidRPr="00FB6CBA">
              <w:rPr>
                <w:rFonts w:ascii="Calibri" w:eastAsia="Times New Roman" w:hAnsi="Calibri" w:cs="Calibri"/>
                <w:b/>
                <w:bCs/>
                <w:i/>
                <w:iCs/>
                <w:sz w:val="18"/>
                <w:szCs w:val="18"/>
              </w:rPr>
              <w:t>Tracking: Enrollment Status Update</w:t>
            </w:r>
          </w:p>
        </w:tc>
      </w:tr>
      <w:tr w:rsidR="009B7107" w:rsidRPr="00651C99" w14:paraId="6BA0D084" w14:textId="77777777" w:rsidTr="0049411D">
        <w:trPr>
          <w:trHeight w:val="20"/>
        </w:trPr>
        <w:tc>
          <w:tcPr>
            <w:tcW w:w="1261" w:type="pct"/>
            <w:shd w:val="clear" w:color="auto" w:fill="auto"/>
            <w:noWrap/>
            <w:vAlign w:val="center"/>
          </w:tcPr>
          <w:p w14:paraId="475B4CBF" w14:textId="4C869A44" w:rsidR="009B7107" w:rsidRPr="00FB6CBA" w:rsidRDefault="009B7107" w:rsidP="004E042D">
            <w:pPr>
              <w:pStyle w:val="NoSpacing"/>
              <w:rPr>
                <w:rFonts w:cstheme="minorHAnsi"/>
                <w:b/>
                <w:sz w:val="18"/>
                <w:szCs w:val="18"/>
              </w:rPr>
            </w:pPr>
            <w:r w:rsidRPr="00FB6CBA">
              <w:rPr>
                <w:rFonts w:ascii="Calibri" w:eastAsia="Times New Roman" w:hAnsi="Calibri" w:cs="Calibri"/>
                <w:sz w:val="18"/>
                <w:szCs w:val="18"/>
              </w:rPr>
              <w:t>School staff at OFT2</w:t>
            </w:r>
          </w:p>
        </w:tc>
        <w:tc>
          <w:tcPr>
            <w:tcW w:w="376" w:type="pct"/>
            <w:shd w:val="clear" w:color="auto" w:fill="auto"/>
            <w:vAlign w:val="center"/>
          </w:tcPr>
          <w:p w14:paraId="149C06FE" w14:textId="62D90D19" w:rsidR="009B7107" w:rsidRPr="00FB6CBA" w:rsidRDefault="009B7107" w:rsidP="004E042D">
            <w:pPr>
              <w:pStyle w:val="NoSpacing"/>
              <w:jc w:val="right"/>
              <w:rPr>
                <w:rFonts w:ascii="Calibri" w:hAnsi="Calibri"/>
                <w:b/>
                <w:bCs/>
                <w:sz w:val="18"/>
                <w:szCs w:val="18"/>
              </w:rPr>
            </w:pPr>
            <w:r w:rsidRPr="00FB6CBA">
              <w:rPr>
                <w:rFonts w:ascii="Calibri" w:eastAsia="Times New Roman" w:hAnsi="Calibri" w:cs="Calibri"/>
                <w:sz w:val="18"/>
                <w:szCs w:val="18"/>
              </w:rPr>
              <w:t>45</w:t>
            </w:r>
          </w:p>
        </w:tc>
        <w:tc>
          <w:tcPr>
            <w:tcW w:w="378" w:type="pct"/>
            <w:shd w:val="clear" w:color="auto" w:fill="auto"/>
            <w:vAlign w:val="center"/>
          </w:tcPr>
          <w:p w14:paraId="40C4FC50" w14:textId="3BD87596" w:rsidR="009B7107" w:rsidRPr="00FB6CBA" w:rsidRDefault="009B7107" w:rsidP="004E042D">
            <w:pPr>
              <w:pStyle w:val="NoSpacing"/>
              <w:jc w:val="right"/>
              <w:rPr>
                <w:rFonts w:ascii="Calibri" w:hAnsi="Calibri"/>
                <w:b/>
                <w:bCs/>
                <w:sz w:val="18"/>
                <w:szCs w:val="18"/>
              </w:rPr>
            </w:pPr>
            <w:r w:rsidRPr="00FB6CBA">
              <w:rPr>
                <w:rFonts w:ascii="Calibri" w:eastAsia="Times New Roman" w:hAnsi="Calibri" w:cs="Calibri"/>
                <w:sz w:val="18"/>
                <w:szCs w:val="18"/>
              </w:rPr>
              <w:t>95%</w:t>
            </w:r>
          </w:p>
        </w:tc>
        <w:tc>
          <w:tcPr>
            <w:tcW w:w="585" w:type="pct"/>
            <w:shd w:val="clear" w:color="auto" w:fill="auto"/>
            <w:vAlign w:val="center"/>
          </w:tcPr>
          <w:p w14:paraId="6010722F" w14:textId="7A23DED8" w:rsidR="009B7107" w:rsidRPr="00FB6CBA" w:rsidRDefault="009B7107" w:rsidP="004E042D">
            <w:pPr>
              <w:pStyle w:val="NoSpacing"/>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71F96F34" w14:textId="4D28FF20" w:rsidR="009B7107" w:rsidRPr="00FB6CBA" w:rsidRDefault="009B7107" w:rsidP="004E042D">
            <w:pPr>
              <w:pStyle w:val="NoSpacing"/>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092C20F2" w14:textId="38D055CD" w:rsidR="009B7107" w:rsidRPr="00FB6CBA" w:rsidRDefault="009B7107" w:rsidP="004E042D">
            <w:pPr>
              <w:pStyle w:val="NoSpacing"/>
              <w:jc w:val="right"/>
              <w:rPr>
                <w:rFonts w:ascii="Calibri" w:hAnsi="Calibri"/>
                <w:b/>
                <w:bCs/>
                <w:sz w:val="18"/>
                <w:szCs w:val="18"/>
              </w:rPr>
            </w:pPr>
            <w:r w:rsidRPr="00FB6CBA">
              <w:rPr>
                <w:rFonts w:ascii="Calibri" w:eastAsia="Times New Roman" w:hAnsi="Calibri" w:cs="Calibri"/>
                <w:sz w:val="18"/>
                <w:szCs w:val="18"/>
              </w:rPr>
              <w:t>20</w:t>
            </w:r>
          </w:p>
        </w:tc>
        <w:tc>
          <w:tcPr>
            <w:tcW w:w="453" w:type="pct"/>
            <w:gridSpan w:val="2"/>
            <w:shd w:val="clear" w:color="auto" w:fill="auto"/>
            <w:noWrap/>
            <w:vAlign w:val="center"/>
          </w:tcPr>
          <w:p w14:paraId="7CF88B8C" w14:textId="21FE3397" w:rsidR="009B7107" w:rsidRPr="00FB6CBA" w:rsidRDefault="009B7107" w:rsidP="001C1926">
            <w:pPr>
              <w:pStyle w:val="NoSpacing"/>
              <w:jc w:val="right"/>
              <w:rPr>
                <w:rFonts w:cstheme="minorHAnsi"/>
                <w:b/>
                <w:sz w:val="18"/>
                <w:szCs w:val="18"/>
              </w:rPr>
            </w:pPr>
            <w:r w:rsidRPr="00FB6CBA">
              <w:rPr>
                <w:rFonts w:ascii="Calibri" w:eastAsia="Times New Roman" w:hAnsi="Calibri" w:cs="Calibri"/>
                <w:sz w:val="18"/>
                <w:szCs w:val="18"/>
              </w:rPr>
              <w:t>1</w:t>
            </w:r>
            <w:r>
              <w:rPr>
                <w:rFonts w:ascii="Calibri" w:eastAsia="Times New Roman" w:hAnsi="Calibri" w:cs="Calibri"/>
                <w:sz w:val="18"/>
                <w:szCs w:val="18"/>
              </w:rPr>
              <w:t>4</w:t>
            </w:r>
          </w:p>
        </w:tc>
        <w:tc>
          <w:tcPr>
            <w:tcW w:w="522" w:type="pct"/>
            <w:gridSpan w:val="2"/>
            <w:shd w:val="clear" w:color="auto" w:fill="auto"/>
            <w:noWrap/>
          </w:tcPr>
          <w:p w14:paraId="660E7D6E" w14:textId="2DF3C11B" w:rsidR="009B7107" w:rsidRPr="00FB6CBA" w:rsidRDefault="009B7107" w:rsidP="004E042D">
            <w:pPr>
              <w:pStyle w:val="NoSpacing"/>
              <w:jc w:val="right"/>
              <w:rPr>
                <w:rFonts w:ascii="Calibri" w:hAnsi="Calibri"/>
                <w:b/>
                <w:bCs/>
                <w:sz w:val="18"/>
                <w:szCs w:val="18"/>
              </w:rPr>
            </w:pPr>
            <w:r w:rsidRPr="00914F73">
              <w:rPr>
                <w:color w:val="000000"/>
                <w:sz w:val="18"/>
                <w:szCs w:val="18"/>
              </w:rPr>
              <w:t xml:space="preserve">$45.86 </w:t>
            </w:r>
          </w:p>
        </w:tc>
        <w:tc>
          <w:tcPr>
            <w:tcW w:w="521" w:type="pct"/>
            <w:shd w:val="clear" w:color="auto" w:fill="auto"/>
            <w:noWrap/>
            <w:vAlign w:val="center"/>
          </w:tcPr>
          <w:p w14:paraId="54EEE3AA" w14:textId="0073867F" w:rsidR="009B7107" w:rsidRPr="00FB6CBA" w:rsidRDefault="009B7107" w:rsidP="009B7107">
            <w:pPr>
              <w:pStyle w:val="NoSpacing"/>
              <w:jc w:val="right"/>
              <w:rPr>
                <w:rFonts w:ascii="Calibri" w:hAnsi="Calibri"/>
                <w:b/>
                <w:bCs/>
                <w:sz w:val="18"/>
                <w:szCs w:val="18"/>
              </w:rPr>
            </w:pPr>
            <w:r w:rsidRPr="00FB6CBA">
              <w:rPr>
                <w:rFonts w:ascii="Calibri" w:eastAsia="Times New Roman" w:hAnsi="Calibri" w:cs="Calibri"/>
                <w:sz w:val="18"/>
                <w:szCs w:val="18"/>
              </w:rPr>
              <w:t xml:space="preserve"> $</w:t>
            </w:r>
            <w:r>
              <w:rPr>
                <w:rFonts w:ascii="Calibri" w:eastAsia="Times New Roman" w:hAnsi="Calibri" w:cs="Calibri"/>
                <w:sz w:val="18"/>
                <w:szCs w:val="18"/>
              </w:rPr>
              <w:t xml:space="preserve"> 642</w:t>
            </w:r>
            <w:r w:rsidRPr="00FB6CBA">
              <w:rPr>
                <w:rFonts w:ascii="Calibri" w:eastAsia="Times New Roman" w:hAnsi="Calibri" w:cs="Calibri"/>
                <w:sz w:val="18"/>
                <w:szCs w:val="18"/>
              </w:rPr>
              <w:t xml:space="preserve"> </w:t>
            </w:r>
          </w:p>
        </w:tc>
      </w:tr>
      <w:tr w:rsidR="009B7107" w:rsidRPr="00651C99" w14:paraId="3F1EAE08" w14:textId="77777777" w:rsidTr="0049411D">
        <w:trPr>
          <w:trHeight w:val="20"/>
        </w:trPr>
        <w:tc>
          <w:tcPr>
            <w:tcW w:w="1261" w:type="pct"/>
            <w:shd w:val="clear" w:color="auto" w:fill="auto"/>
            <w:noWrap/>
            <w:vAlign w:val="center"/>
          </w:tcPr>
          <w:p w14:paraId="03B1685E" w14:textId="5DBD1888" w:rsidR="009B7107" w:rsidRPr="00FB6CBA" w:rsidRDefault="009B7107" w:rsidP="004E042D">
            <w:pPr>
              <w:pStyle w:val="NoSpacing"/>
              <w:rPr>
                <w:rFonts w:cstheme="minorHAnsi"/>
                <w:b/>
                <w:sz w:val="18"/>
                <w:szCs w:val="18"/>
              </w:rPr>
            </w:pPr>
            <w:r w:rsidRPr="00FB6CBA">
              <w:rPr>
                <w:rFonts w:ascii="Calibri" w:eastAsia="Times New Roman" w:hAnsi="Calibri" w:cs="Calibri"/>
                <w:sz w:val="18"/>
                <w:szCs w:val="18"/>
              </w:rPr>
              <w:t>School staff at mover schools</w:t>
            </w:r>
          </w:p>
        </w:tc>
        <w:tc>
          <w:tcPr>
            <w:tcW w:w="376" w:type="pct"/>
            <w:shd w:val="clear" w:color="auto" w:fill="auto"/>
            <w:vAlign w:val="center"/>
          </w:tcPr>
          <w:p w14:paraId="47FD7D9E" w14:textId="3A62F485" w:rsidR="009B7107" w:rsidRPr="00FB6CBA" w:rsidRDefault="009B7107" w:rsidP="004E042D">
            <w:pPr>
              <w:pStyle w:val="NoSpacing"/>
              <w:jc w:val="right"/>
              <w:rPr>
                <w:rFonts w:ascii="Calibri" w:hAnsi="Calibri"/>
                <w:b/>
                <w:bCs/>
                <w:sz w:val="18"/>
                <w:szCs w:val="18"/>
              </w:rPr>
            </w:pPr>
            <w:r w:rsidRPr="00FB6CBA">
              <w:rPr>
                <w:rFonts w:ascii="Calibri" w:eastAsia="Times New Roman" w:hAnsi="Calibri" w:cs="Calibri"/>
                <w:sz w:val="18"/>
                <w:szCs w:val="18"/>
              </w:rPr>
              <w:t>44</w:t>
            </w:r>
          </w:p>
        </w:tc>
        <w:tc>
          <w:tcPr>
            <w:tcW w:w="378" w:type="pct"/>
            <w:shd w:val="clear" w:color="auto" w:fill="auto"/>
            <w:vAlign w:val="center"/>
          </w:tcPr>
          <w:p w14:paraId="62C8FB53" w14:textId="014B675D" w:rsidR="009B7107" w:rsidRPr="00FB6CBA" w:rsidRDefault="009B7107" w:rsidP="004E042D">
            <w:pPr>
              <w:pStyle w:val="NoSpacing"/>
              <w:jc w:val="right"/>
              <w:rPr>
                <w:rFonts w:ascii="Calibri" w:hAnsi="Calibri"/>
                <w:b/>
                <w:bCs/>
                <w:sz w:val="18"/>
                <w:szCs w:val="18"/>
              </w:rPr>
            </w:pPr>
            <w:r w:rsidRPr="00FB6CBA">
              <w:rPr>
                <w:rFonts w:ascii="Calibri" w:eastAsia="Times New Roman" w:hAnsi="Calibri" w:cs="Calibri"/>
                <w:sz w:val="18"/>
                <w:szCs w:val="18"/>
              </w:rPr>
              <w:t>95%</w:t>
            </w:r>
          </w:p>
        </w:tc>
        <w:tc>
          <w:tcPr>
            <w:tcW w:w="585" w:type="pct"/>
            <w:shd w:val="clear" w:color="auto" w:fill="auto"/>
            <w:vAlign w:val="center"/>
          </w:tcPr>
          <w:p w14:paraId="535E92B1" w14:textId="44C9147B" w:rsidR="009B7107" w:rsidRPr="00FB6CBA" w:rsidRDefault="009B7107" w:rsidP="004E042D">
            <w:pPr>
              <w:pStyle w:val="NoSpacing"/>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6E2E6D96" w14:textId="71238747" w:rsidR="009B7107" w:rsidRPr="00FB6CBA" w:rsidRDefault="009B7107" w:rsidP="004E042D">
            <w:pPr>
              <w:pStyle w:val="NoSpacing"/>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062EF2CE" w14:textId="7B0996DD" w:rsidR="009B7107" w:rsidRPr="00FB6CBA" w:rsidRDefault="009B7107" w:rsidP="004E042D">
            <w:pPr>
              <w:pStyle w:val="NoSpacing"/>
              <w:jc w:val="right"/>
              <w:rPr>
                <w:rFonts w:ascii="Calibri" w:hAnsi="Calibri"/>
                <w:b/>
                <w:bCs/>
                <w:sz w:val="18"/>
                <w:szCs w:val="18"/>
              </w:rPr>
            </w:pPr>
            <w:r w:rsidRPr="00FB6CBA">
              <w:rPr>
                <w:rFonts w:ascii="Calibri" w:eastAsia="Times New Roman" w:hAnsi="Calibri" w:cs="Calibri"/>
                <w:sz w:val="18"/>
                <w:szCs w:val="18"/>
              </w:rPr>
              <w:t>20</w:t>
            </w:r>
          </w:p>
        </w:tc>
        <w:tc>
          <w:tcPr>
            <w:tcW w:w="453" w:type="pct"/>
            <w:gridSpan w:val="2"/>
            <w:shd w:val="clear" w:color="auto" w:fill="auto"/>
            <w:noWrap/>
            <w:vAlign w:val="center"/>
          </w:tcPr>
          <w:p w14:paraId="52257E1C" w14:textId="39EDA807" w:rsidR="009B7107" w:rsidRPr="00FB6CBA" w:rsidRDefault="009B7107" w:rsidP="004E042D">
            <w:pPr>
              <w:pStyle w:val="NoSpacing"/>
              <w:jc w:val="right"/>
              <w:rPr>
                <w:rFonts w:cstheme="minorHAnsi"/>
                <w:b/>
                <w:sz w:val="18"/>
                <w:szCs w:val="18"/>
              </w:rPr>
            </w:pPr>
            <w:r w:rsidRPr="00FB6CBA">
              <w:rPr>
                <w:rFonts w:ascii="Calibri" w:eastAsia="Times New Roman" w:hAnsi="Calibri" w:cs="Calibri"/>
                <w:sz w:val="18"/>
                <w:szCs w:val="18"/>
              </w:rPr>
              <w:t>14</w:t>
            </w:r>
          </w:p>
        </w:tc>
        <w:tc>
          <w:tcPr>
            <w:tcW w:w="522" w:type="pct"/>
            <w:gridSpan w:val="2"/>
            <w:shd w:val="clear" w:color="auto" w:fill="auto"/>
            <w:noWrap/>
          </w:tcPr>
          <w:p w14:paraId="0363D7A2" w14:textId="7A5D3507" w:rsidR="009B7107" w:rsidRPr="00FB6CBA" w:rsidRDefault="009B7107" w:rsidP="004E042D">
            <w:pPr>
              <w:pStyle w:val="NoSpacing"/>
              <w:jc w:val="right"/>
              <w:rPr>
                <w:rFonts w:ascii="Calibri" w:hAnsi="Calibri"/>
                <w:b/>
                <w:bCs/>
                <w:sz w:val="18"/>
                <w:szCs w:val="18"/>
              </w:rPr>
            </w:pPr>
            <w:r w:rsidRPr="00914F73">
              <w:rPr>
                <w:color w:val="000000"/>
                <w:sz w:val="18"/>
                <w:szCs w:val="18"/>
              </w:rPr>
              <w:t xml:space="preserve">$45.86 </w:t>
            </w:r>
          </w:p>
        </w:tc>
        <w:tc>
          <w:tcPr>
            <w:tcW w:w="521" w:type="pct"/>
            <w:shd w:val="clear" w:color="auto" w:fill="auto"/>
            <w:noWrap/>
            <w:vAlign w:val="center"/>
          </w:tcPr>
          <w:p w14:paraId="28542510" w14:textId="19AEFE34" w:rsidR="009B7107" w:rsidRPr="00FB6CBA" w:rsidRDefault="009B7107" w:rsidP="009B7107">
            <w:pPr>
              <w:pStyle w:val="NoSpacing"/>
              <w:jc w:val="right"/>
              <w:rPr>
                <w:rFonts w:ascii="Calibri" w:hAnsi="Calibri"/>
                <w:b/>
                <w:bCs/>
                <w:sz w:val="18"/>
                <w:szCs w:val="18"/>
              </w:rPr>
            </w:pPr>
            <w:r w:rsidRPr="00FB6CBA">
              <w:rPr>
                <w:rFonts w:ascii="Calibri" w:eastAsia="Times New Roman" w:hAnsi="Calibri" w:cs="Calibri"/>
                <w:sz w:val="18"/>
                <w:szCs w:val="18"/>
              </w:rPr>
              <w:t xml:space="preserve"> $ </w:t>
            </w:r>
            <w:r>
              <w:rPr>
                <w:rFonts w:ascii="Calibri" w:eastAsia="Times New Roman" w:hAnsi="Calibri" w:cs="Calibri"/>
                <w:sz w:val="18"/>
                <w:szCs w:val="18"/>
              </w:rPr>
              <w:t>642</w:t>
            </w:r>
            <w:r w:rsidRPr="00FB6CBA">
              <w:rPr>
                <w:rFonts w:ascii="Calibri" w:eastAsia="Times New Roman" w:hAnsi="Calibri" w:cs="Calibri"/>
                <w:sz w:val="18"/>
                <w:szCs w:val="18"/>
              </w:rPr>
              <w:t xml:space="preserve"> </w:t>
            </w:r>
          </w:p>
        </w:tc>
      </w:tr>
      <w:tr w:rsidR="00FB6CBA" w:rsidRPr="00651C99" w14:paraId="13B12ABD" w14:textId="77777777" w:rsidTr="00FB6CBA">
        <w:trPr>
          <w:trHeight w:val="20"/>
        </w:trPr>
        <w:tc>
          <w:tcPr>
            <w:tcW w:w="1261" w:type="pct"/>
            <w:shd w:val="clear" w:color="auto" w:fill="auto"/>
            <w:noWrap/>
            <w:vAlign w:val="center"/>
          </w:tcPr>
          <w:p w14:paraId="4A0B191E" w14:textId="5B489B28" w:rsidR="00FB6CBA" w:rsidRPr="00FB6CBA" w:rsidRDefault="00FB6CBA" w:rsidP="004E042D">
            <w:pPr>
              <w:pStyle w:val="NoSpacing"/>
              <w:rPr>
                <w:rFonts w:cstheme="minorHAnsi"/>
                <w:b/>
                <w:sz w:val="18"/>
                <w:szCs w:val="18"/>
              </w:rPr>
            </w:pPr>
            <w:r w:rsidRPr="00FB6CBA">
              <w:rPr>
                <w:rFonts w:ascii="Calibri" w:eastAsia="Times New Roman" w:hAnsi="Calibri" w:cs="Calibri"/>
                <w:b/>
                <w:bCs/>
                <w:i/>
                <w:iCs/>
                <w:sz w:val="18"/>
                <w:szCs w:val="18"/>
              </w:rPr>
              <w:t>Tracking: Locating Update</w:t>
            </w:r>
          </w:p>
        </w:tc>
        <w:tc>
          <w:tcPr>
            <w:tcW w:w="376" w:type="pct"/>
            <w:shd w:val="clear" w:color="auto" w:fill="auto"/>
            <w:vAlign w:val="center"/>
          </w:tcPr>
          <w:p w14:paraId="26CF7263" w14:textId="77777777" w:rsidR="00FB6CBA" w:rsidRPr="00FB6CBA" w:rsidRDefault="00FB6CBA" w:rsidP="004E042D">
            <w:pPr>
              <w:pStyle w:val="NoSpacing"/>
              <w:jc w:val="right"/>
              <w:rPr>
                <w:rFonts w:ascii="Calibri" w:hAnsi="Calibri"/>
                <w:b/>
                <w:bCs/>
                <w:sz w:val="18"/>
                <w:szCs w:val="18"/>
              </w:rPr>
            </w:pPr>
          </w:p>
        </w:tc>
        <w:tc>
          <w:tcPr>
            <w:tcW w:w="378" w:type="pct"/>
            <w:shd w:val="clear" w:color="auto" w:fill="auto"/>
            <w:vAlign w:val="center"/>
          </w:tcPr>
          <w:p w14:paraId="7F63F54F" w14:textId="77777777" w:rsidR="00FB6CBA" w:rsidRPr="00FB6CBA" w:rsidRDefault="00FB6CBA" w:rsidP="004E042D">
            <w:pPr>
              <w:pStyle w:val="NoSpacing"/>
              <w:jc w:val="right"/>
              <w:rPr>
                <w:rFonts w:ascii="Calibri" w:hAnsi="Calibri"/>
                <w:b/>
                <w:bCs/>
                <w:sz w:val="18"/>
                <w:szCs w:val="18"/>
              </w:rPr>
            </w:pPr>
          </w:p>
        </w:tc>
        <w:tc>
          <w:tcPr>
            <w:tcW w:w="585" w:type="pct"/>
            <w:shd w:val="clear" w:color="auto" w:fill="auto"/>
            <w:vAlign w:val="center"/>
          </w:tcPr>
          <w:p w14:paraId="38C6E47E" w14:textId="77777777" w:rsidR="00FB6CBA" w:rsidRPr="00FB6CBA" w:rsidRDefault="00FB6CBA" w:rsidP="004E042D">
            <w:pPr>
              <w:pStyle w:val="NoSpacing"/>
              <w:jc w:val="right"/>
              <w:rPr>
                <w:rFonts w:cstheme="minorHAnsi"/>
                <w:b/>
                <w:sz w:val="18"/>
                <w:szCs w:val="18"/>
              </w:rPr>
            </w:pPr>
          </w:p>
        </w:tc>
        <w:tc>
          <w:tcPr>
            <w:tcW w:w="452" w:type="pct"/>
            <w:shd w:val="clear" w:color="auto" w:fill="auto"/>
            <w:noWrap/>
            <w:vAlign w:val="center"/>
          </w:tcPr>
          <w:p w14:paraId="413874F0" w14:textId="77777777" w:rsidR="00FB6CBA" w:rsidRPr="00FB6CBA" w:rsidRDefault="00FB6CBA" w:rsidP="004E042D">
            <w:pPr>
              <w:pStyle w:val="NoSpacing"/>
              <w:jc w:val="right"/>
              <w:rPr>
                <w:rFonts w:cstheme="minorHAnsi"/>
                <w:b/>
                <w:sz w:val="18"/>
                <w:szCs w:val="18"/>
              </w:rPr>
            </w:pPr>
          </w:p>
        </w:tc>
        <w:tc>
          <w:tcPr>
            <w:tcW w:w="452" w:type="pct"/>
            <w:shd w:val="clear" w:color="auto" w:fill="auto"/>
            <w:noWrap/>
            <w:vAlign w:val="center"/>
          </w:tcPr>
          <w:p w14:paraId="2DEAF9C0" w14:textId="77777777" w:rsidR="00FB6CBA" w:rsidRPr="00FB6CBA" w:rsidRDefault="00FB6CBA" w:rsidP="004E042D">
            <w:pPr>
              <w:pStyle w:val="NoSpacing"/>
              <w:jc w:val="right"/>
              <w:rPr>
                <w:rFonts w:ascii="Calibri" w:hAnsi="Calibri"/>
                <w:b/>
                <w:bCs/>
                <w:sz w:val="18"/>
                <w:szCs w:val="18"/>
              </w:rPr>
            </w:pPr>
          </w:p>
        </w:tc>
        <w:tc>
          <w:tcPr>
            <w:tcW w:w="453" w:type="pct"/>
            <w:gridSpan w:val="2"/>
            <w:shd w:val="clear" w:color="auto" w:fill="auto"/>
            <w:noWrap/>
            <w:vAlign w:val="center"/>
          </w:tcPr>
          <w:p w14:paraId="2A7BF712" w14:textId="77777777" w:rsidR="00FB6CBA" w:rsidRPr="00FB6CBA" w:rsidRDefault="00FB6CBA" w:rsidP="004E042D">
            <w:pPr>
              <w:pStyle w:val="NoSpacing"/>
              <w:jc w:val="right"/>
              <w:rPr>
                <w:rFonts w:cstheme="minorHAnsi"/>
                <w:b/>
                <w:sz w:val="18"/>
                <w:szCs w:val="18"/>
              </w:rPr>
            </w:pPr>
          </w:p>
        </w:tc>
        <w:tc>
          <w:tcPr>
            <w:tcW w:w="522" w:type="pct"/>
            <w:gridSpan w:val="2"/>
            <w:shd w:val="clear" w:color="auto" w:fill="auto"/>
            <w:noWrap/>
            <w:vAlign w:val="center"/>
          </w:tcPr>
          <w:p w14:paraId="70C2297B" w14:textId="77777777" w:rsidR="00FB6CBA" w:rsidRPr="00FB6CBA" w:rsidRDefault="00FB6CBA" w:rsidP="004E042D">
            <w:pPr>
              <w:pStyle w:val="NoSpacing"/>
              <w:jc w:val="right"/>
              <w:rPr>
                <w:rFonts w:ascii="Calibri" w:hAnsi="Calibri"/>
                <w:b/>
                <w:bCs/>
                <w:sz w:val="18"/>
                <w:szCs w:val="18"/>
              </w:rPr>
            </w:pPr>
          </w:p>
        </w:tc>
        <w:tc>
          <w:tcPr>
            <w:tcW w:w="521" w:type="pct"/>
            <w:shd w:val="clear" w:color="auto" w:fill="auto"/>
            <w:noWrap/>
            <w:vAlign w:val="center"/>
          </w:tcPr>
          <w:p w14:paraId="63BE3982" w14:textId="77777777" w:rsidR="00FB6CBA" w:rsidRPr="00FB6CBA" w:rsidRDefault="00FB6CBA" w:rsidP="004E042D">
            <w:pPr>
              <w:pStyle w:val="NoSpacing"/>
              <w:jc w:val="right"/>
              <w:rPr>
                <w:rFonts w:ascii="Calibri" w:hAnsi="Calibri"/>
                <w:b/>
                <w:bCs/>
                <w:sz w:val="18"/>
                <w:szCs w:val="18"/>
              </w:rPr>
            </w:pPr>
          </w:p>
        </w:tc>
      </w:tr>
      <w:tr w:rsidR="00FB6CBA" w:rsidRPr="00651C99" w14:paraId="0B31736D" w14:textId="77777777" w:rsidTr="00FB6CBA">
        <w:trPr>
          <w:trHeight w:val="20"/>
        </w:trPr>
        <w:tc>
          <w:tcPr>
            <w:tcW w:w="1261" w:type="pct"/>
            <w:shd w:val="clear" w:color="auto" w:fill="auto"/>
            <w:noWrap/>
            <w:vAlign w:val="center"/>
          </w:tcPr>
          <w:p w14:paraId="615A257C" w14:textId="0B753AC8" w:rsidR="00FB6CBA" w:rsidRPr="00FB6CBA" w:rsidRDefault="00FB6CBA" w:rsidP="004E042D">
            <w:pPr>
              <w:pStyle w:val="NoSpacing"/>
              <w:rPr>
                <w:rFonts w:cstheme="minorHAnsi"/>
                <w:b/>
                <w:sz w:val="18"/>
                <w:szCs w:val="18"/>
              </w:rPr>
            </w:pPr>
            <w:r w:rsidRPr="00FB6CBA">
              <w:rPr>
                <w:rFonts w:ascii="Calibri" w:eastAsia="Times New Roman" w:hAnsi="Calibri" w:cs="Calibri"/>
                <w:sz w:val="18"/>
                <w:szCs w:val="18"/>
              </w:rPr>
              <w:t>Parents</w:t>
            </w:r>
          </w:p>
        </w:tc>
        <w:tc>
          <w:tcPr>
            <w:tcW w:w="376" w:type="pct"/>
            <w:shd w:val="clear" w:color="auto" w:fill="auto"/>
            <w:vAlign w:val="center"/>
          </w:tcPr>
          <w:p w14:paraId="5A5CF923" w14:textId="2B5CB7B1" w:rsidR="00FB6CBA" w:rsidRPr="00FB6CBA" w:rsidRDefault="00FB6CBA" w:rsidP="004E042D">
            <w:pPr>
              <w:pStyle w:val="NoSpacing"/>
              <w:jc w:val="right"/>
              <w:rPr>
                <w:rFonts w:ascii="Calibri" w:hAnsi="Calibri"/>
                <w:b/>
                <w:bCs/>
                <w:sz w:val="18"/>
                <w:szCs w:val="18"/>
              </w:rPr>
            </w:pPr>
            <w:r w:rsidRPr="00FB6CBA">
              <w:rPr>
                <w:rFonts w:ascii="Calibri" w:eastAsia="Times New Roman" w:hAnsi="Calibri" w:cs="Calibri"/>
                <w:sz w:val="18"/>
                <w:szCs w:val="18"/>
              </w:rPr>
              <w:t>1,500</w:t>
            </w:r>
          </w:p>
        </w:tc>
        <w:tc>
          <w:tcPr>
            <w:tcW w:w="378" w:type="pct"/>
            <w:shd w:val="clear" w:color="auto" w:fill="auto"/>
            <w:vAlign w:val="center"/>
          </w:tcPr>
          <w:p w14:paraId="3BCE8D8E" w14:textId="1EFFBB26" w:rsidR="00FB6CBA" w:rsidRPr="00FB6CBA" w:rsidRDefault="00FB6CBA" w:rsidP="004E042D">
            <w:pPr>
              <w:pStyle w:val="NoSpacing"/>
              <w:jc w:val="right"/>
              <w:rPr>
                <w:rFonts w:ascii="Calibri" w:hAnsi="Calibri"/>
                <w:b/>
                <w:bCs/>
                <w:sz w:val="18"/>
                <w:szCs w:val="18"/>
              </w:rPr>
            </w:pPr>
            <w:r w:rsidRPr="00FB6CBA">
              <w:rPr>
                <w:rFonts w:ascii="Calibri" w:eastAsia="Times New Roman" w:hAnsi="Calibri" w:cs="Calibri"/>
                <w:sz w:val="18"/>
                <w:szCs w:val="18"/>
              </w:rPr>
              <w:t>20%</w:t>
            </w:r>
          </w:p>
        </w:tc>
        <w:tc>
          <w:tcPr>
            <w:tcW w:w="585" w:type="pct"/>
            <w:shd w:val="clear" w:color="auto" w:fill="auto"/>
            <w:vAlign w:val="center"/>
          </w:tcPr>
          <w:p w14:paraId="7E195241" w14:textId="53BB5CF9" w:rsidR="00FB6CBA" w:rsidRPr="00FB6CBA" w:rsidRDefault="00FB6CBA" w:rsidP="004E042D">
            <w:pPr>
              <w:pStyle w:val="NoSpacing"/>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2C75875E" w14:textId="55EA90D3" w:rsidR="00FB6CBA" w:rsidRPr="00FB6CBA" w:rsidRDefault="00FB6CBA" w:rsidP="004E042D">
            <w:pPr>
              <w:pStyle w:val="NoSpacing"/>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33D6EF73" w14:textId="22C2DCB9" w:rsidR="00FB6CBA" w:rsidRPr="00FB6CBA" w:rsidRDefault="00FB6CBA" w:rsidP="004E042D">
            <w:pPr>
              <w:pStyle w:val="NoSpacing"/>
              <w:jc w:val="right"/>
              <w:rPr>
                <w:rFonts w:ascii="Calibri" w:hAnsi="Calibri"/>
                <w:b/>
                <w:bCs/>
                <w:sz w:val="18"/>
                <w:szCs w:val="18"/>
              </w:rPr>
            </w:pPr>
            <w:r w:rsidRPr="00FB6CBA">
              <w:rPr>
                <w:rFonts w:ascii="Calibri" w:eastAsia="Times New Roman" w:hAnsi="Calibri" w:cs="Calibri"/>
                <w:sz w:val="18"/>
                <w:szCs w:val="18"/>
              </w:rPr>
              <w:t>5</w:t>
            </w:r>
          </w:p>
        </w:tc>
        <w:tc>
          <w:tcPr>
            <w:tcW w:w="453" w:type="pct"/>
            <w:gridSpan w:val="2"/>
            <w:shd w:val="clear" w:color="auto" w:fill="auto"/>
            <w:noWrap/>
            <w:vAlign w:val="center"/>
          </w:tcPr>
          <w:p w14:paraId="57ACE17F" w14:textId="289A7887" w:rsidR="00FB6CBA" w:rsidRPr="00FB6CBA" w:rsidRDefault="00FB6CBA" w:rsidP="004E042D">
            <w:pPr>
              <w:pStyle w:val="NoSpacing"/>
              <w:jc w:val="right"/>
              <w:rPr>
                <w:rFonts w:cstheme="minorHAnsi"/>
                <w:b/>
                <w:sz w:val="18"/>
                <w:szCs w:val="18"/>
              </w:rPr>
            </w:pPr>
            <w:r w:rsidRPr="00FB6CBA">
              <w:rPr>
                <w:rFonts w:ascii="Calibri" w:eastAsia="Times New Roman" w:hAnsi="Calibri" w:cs="Calibri"/>
                <w:sz w:val="18"/>
                <w:szCs w:val="18"/>
              </w:rPr>
              <w:t>25</w:t>
            </w:r>
          </w:p>
        </w:tc>
        <w:tc>
          <w:tcPr>
            <w:tcW w:w="522" w:type="pct"/>
            <w:gridSpan w:val="2"/>
            <w:shd w:val="clear" w:color="auto" w:fill="auto"/>
            <w:noWrap/>
            <w:vAlign w:val="center"/>
          </w:tcPr>
          <w:p w14:paraId="1E53B35C" w14:textId="07B33E44" w:rsidR="00FB6CBA" w:rsidRPr="00FB6CBA" w:rsidRDefault="009B7107" w:rsidP="004E042D">
            <w:pPr>
              <w:pStyle w:val="NoSpacing"/>
              <w:jc w:val="right"/>
              <w:rPr>
                <w:rFonts w:ascii="Calibri" w:hAnsi="Calibri"/>
                <w:b/>
                <w:bCs/>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0C148B52" w14:textId="0A05BA32" w:rsidR="00FB6CBA" w:rsidRPr="00FB6CBA" w:rsidRDefault="00FB6CBA" w:rsidP="009B7107">
            <w:pPr>
              <w:pStyle w:val="NoSpacing"/>
              <w:jc w:val="right"/>
              <w:rPr>
                <w:rFonts w:ascii="Calibri" w:hAnsi="Calibri"/>
                <w:b/>
                <w:bCs/>
                <w:sz w:val="18"/>
                <w:szCs w:val="18"/>
              </w:rPr>
            </w:pPr>
            <w:r w:rsidRPr="00FB6CBA">
              <w:rPr>
                <w:rFonts w:ascii="Calibri" w:eastAsia="Times New Roman" w:hAnsi="Calibri" w:cs="Calibri"/>
                <w:sz w:val="18"/>
                <w:szCs w:val="18"/>
              </w:rPr>
              <w:t xml:space="preserve"> $ </w:t>
            </w:r>
            <w:r w:rsidR="009B7107">
              <w:rPr>
                <w:rFonts w:ascii="Calibri" w:eastAsia="Times New Roman" w:hAnsi="Calibri" w:cs="Calibri"/>
                <w:sz w:val="18"/>
                <w:szCs w:val="18"/>
              </w:rPr>
              <w:t>597</w:t>
            </w:r>
            <w:r w:rsidRPr="00FB6CBA">
              <w:rPr>
                <w:rFonts w:ascii="Calibri" w:eastAsia="Times New Roman" w:hAnsi="Calibri" w:cs="Calibri"/>
                <w:sz w:val="18"/>
                <w:szCs w:val="18"/>
              </w:rPr>
              <w:t xml:space="preserve"> </w:t>
            </w:r>
          </w:p>
        </w:tc>
      </w:tr>
      <w:tr w:rsidR="00C82496" w:rsidRPr="00651C99" w14:paraId="7B742FB2" w14:textId="77777777" w:rsidTr="00475E24">
        <w:trPr>
          <w:trHeight w:val="20"/>
        </w:trPr>
        <w:tc>
          <w:tcPr>
            <w:tcW w:w="1261" w:type="pct"/>
            <w:shd w:val="clear" w:color="auto" w:fill="D9D9D9" w:themeFill="background1" w:themeFillShade="D9"/>
            <w:noWrap/>
            <w:vAlign w:val="center"/>
          </w:tcPr>
          <w:p w14:paraId="07F5E868" w14:textId="7C67D531" w:rsidR="00C82496" w:rsidRPr="00FB6CBA" w:rsidRDefault="00C82496" w:rsidP="004E042D">
            <w:pPr>
              <w:pStyle w:val="NoSpacing"/>
              <w:rPr>
                <w:rFonts w:cstheme="minorHAnsi"/>
                <w:b/>
                <w:sz w:val="18"/>
                <w:szCs w:val="18"/>
              </w:rPr>
            </w:pPr>
            <w:r w:rsidRPr="00FB6CBA">
              <w:rPr>
                <w:rFonts w:ascii="Calibri" w:eastAsia="Times New Roman" w:hAnsi="Calibri" w:cs="Calibri"/>
                <w:b/>
                <w:bCs/>
                <w:sz w:val="18"/>
                <w:szCs w:val="18"/>
              </w:rPr>
              <w:t>OFT3 Total</w:t>
            </w:r>
          </w:p>
        </w:tc>
        <w:tc>
          <w:tcPr>
            <w:tcW w:w="376" w:type="pct"/>
            <w:shd w:val="clear" w:color="auto" w:fill="D9D9D9" w:themeFill="background1" w:themeFillShade="D9"/>
            <w:vAlign w:val="center"/>
          </w:tcPr>
          <w:p w14:paraId="7FE18DF5" w14:textId="366AAA65" w:rsidR="00C82496" w:rsidRPr="00325186" w:rsidRDefault="00C82496" w:rsidP="004E042D">
            <w:pPr>
              <w:pStyle w:val="NoSpacing"/>
              <w:jc w:val="right"/>
              <w:rPr>
                <w:rFonts w:ascii="Calibri" w:hAnsi="Calibri"/>
                <w:b/>
                <w:bCs/>
                <w:sz w:val="18"/>
                <w:szCs w:val="18"/>
              </w:rPr>
            </w:pPr>
            <w:r w:rsidRPr="00325186">
              <w:rPr>
                <w:rFonts w:ascii="Calibri" w:eastAsia="Times New Roman" w:hAnsi="Calibri" w:cs="Calibri"/>
                <w:b/>
                <w:bCs/>
                <w:sz w:val="18"/>
                <w:szCs w:val="18"/>
              </w:rPr>
              <w:t>-</w:t>
            </w:r>
          </w:p>
        </w:tc>
        <w:tc>
          <w:tcPr>
            <w:tcW w:w="378" w:type="pct"/>
            <w:shd w:val="clear" w:color="auto" w:fill="D9D9D9" w:themeFill="background1" w:themeFillShade="D9"/>
            <w:vAlign w:val="center"/>
          </w:tcPr>
          <w:p w14:paraId="0B0FE858" w14:textId="3517A641" w:rsidR="00C82496" w:rsidRPr="00325186" w:rsidRDefault="00C82496" w:rsidP="004E042D">
            <w:pPr>
              <w:pStyle w:val="NoSpacing"/>
              <w:jc w:val="right"/>
              <w:rPr>
                <w:rFonts w:ascii="Calibri" w:hAnsi="Calibri"/>
                <w:b/>
                <w:bCs/>
                <w:sz w:val="18"/>
                <w:szCs w:val="18"/>
              </w:rPr>
            </w:pPr>
            <w:r w:rsidRPr="00325186">
              <w:rPr>
                <w:rFonts w:ascii="Calibri" w:eastAsia="Times New Roman" w:hAnsi="Calibri" w:cs="Calibri"/>
                <w:b/>
                <w:bCs/>
                <w:sz w:val="18"/>
                <w:szCs w:val="18"/>
              </w:rPr>
              <w:t>-</w:t>
            </w:r>
          </w:p>
        </w:tc>
        <w:tc>
          <w:tcPr>
            <w:tcW w:w="585" w:type="pct"/>
            <w:shd w:val="clear" w:color="auto" w:fill="D9D9D9" w:themeFill="background1" w:themeFillShade="D9"/>
            <w:vAlign w:val="center"/>
          </w:tcPr>
          <w:p w14:paraId="7C512080" w14:textId="6751E2FA" w:rsidR="00C82496" w:rsidRPr="00325186" w:rsidRDefault="00C82496" w:rsidP="004E042D">
            <w:pPr>
              <w:pStyle w:val="NoSpacing"/>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4F58D8F8" w14:textId="4B7D8914" w:rsidR="00C82496" w:rsidRPr="00325186" w:rsidRDefault="00C82496" w:rsidP="004E042D">
            <w:pPr>
              <w:pStyle w:val="NoSpacing"/>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1E886F59" w14:textId="2A00B290" w:rsidR="00C82496" w:rsidRPr="00325186" w:rsidRDefault="00C82496" w:rsidP="004E042D">
            <w:pPr>
              <w:pStyle w:val="NoSpacing"/>
              <w:jc w:val="right"/>
              <w:rPr>
                <w:rFonts w:ascii="Calibri" w:hAnsi="Calibri"/>
                <w:b/>
                <w:bCs/>
                <w:sz w:val="18"/>
                <w:szCs w:val="18"/>
              </w:rPr>
            </w:pPr>
            <w:r w:rsidRPr="00325186">
              <w:rPr>
                <w:rFonts w:ascii="Calibri" w:eastAsia="Times New Roman" w:hAnsi="Calibri" w:cs="Calibri"/>
                <w:b/>
                <w:bCs/>
                <w:sz w:val="18"/>
                <w:szCs w:val="18"/>
              </w:rPr>
              <w:t>-</w:t>
            </w:r>
          </w:p>
        </w:tc>
        <w:tc>
          <w:tcPr>
            <w:tcW w:w="453" w:type="pct"/>
            <w:gridSpan w:val="2"/>
            <w:shd w:val="clear" w:color="auto" w:fill="D9D9D9" w:themeFill="background1" w:themeFillShade="D9"/>
            <w:noWrap/>
            <w:vAlign w:val="center"/>
          </w:tcPr>
          <w:p w14:paraId="73246738" w14:textId="222D94D1" w:rsidR="00C82496" w:rsidRPr="00325186" w:rsidRDefault="00C82496" w:rsidP="001C1926">
            <w:pPr>
              <w:pStyle w:val="NoSpacing"/>
              <w:jc w:val="right"/>
              <w:rPr>
                <w:rFonts w:cstheme="minorHAnsi"/>
                <w:b/>
                <w:sz w:val="18"/>
                <w:szCs w:val="18"/>
              </w:rPr>
            </w:pPr>
            <w:r w:rsidRPr="00325186">
              <w:rPr>
                <w:rFonts w:ascii="Calibri" w:eastAsia="Times New Roman" w:hAnsi="Calibri" w:cs="Calibri"/>
                <w:b/>
                <w:sz w:val="18"/>
                <w:szCs w:val="18"/>
              </w:rPr>
              <w:t>53</w:t>
            </w:r>
          </w:p>
        </w:tc>
        <w:tc>
          <w:tcPr>
            <w:tcW w:w="522" w:type="pct"/>
            <w:gridSpan w:val="2"/>
            <w:shd w:val="clear" w:color="auto" w:fill="D9D9D9" w:themeFill="background1" w:themeFillShade="D9"/>
            <w:noWrap/>
            <w:vAlign w:val="center"/>
          </w:tcPr>
          <w:p w14:paraId="5698D0E5" w14:textId="570D2CD0" w:rsidR="00C82496" w:rsidRPr="00325186" w:rsidRDefault="00C82496" w:rsidP="004E042D">
            <w:pPr>
              <w:pStyle w:val="NoSpacing"/>
              <w:jc w:val="right"/>
              <w:rPr>
                <w:rFonts w:ascii="Calibri" w:hAnsi="Calibri"/>
                <w:b/>
                <w:bCs/>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3F92BD47" w14:textId="2017A38A" w:rsidR="00C82496" w:rsidRPr="00325186" w:rsidRDefault="00C82496" w:rsidP="00D47FAD">
            <w:pPr>
              <w:pStyle w:val="NoSpacing"/>
              <w:jc w:val="right"/>
              <w:rPr>
                <w:rFonts w:ascii="Calibri" w:hAnsi="Calibri"/>
                <w:b/>
                <w:bCs/>
                <w:sz w:val="18"/>
                <w:szCs w:val="18"/>
              </w:rPr>
            </w:pPr>
            <w:r w:rsidRPr="00325186">
              <w:rPr>
                <w:rFonts w:ascii="Calibri" w:eastAsia="Times New Roman" w:hAnsi="Calibri" w:cs="Calibri"/>
                <w:b/>
                <w:sz w:val="18"/>
                <w:szCs w:val="18"/>
              </w:rPr>
              <w:t xml:space="preserve"> $ 1,</w:t>
            </w:r>
            <w:r w:rsidR="00D47FAD">
              <w:rPr>
                <w:rFonts w:ascii="Calibri" w:eastAsia="Times New Roman" w:hAnsi="Calibri" w:cs="Calibri"/>
                <w:b/>
                <w:sz w:val="18"/>
                <w:szCs w:val="18"/>
              </w:rPr>
              <w:t>881</w:t>
            </w:r>
            <w:r w:rsidRPr="00325186">
              <w:rPr>
                <w:rFonts w:ascii="Calibri" w:eastAsia="Times New Roman" w:hAnsi="Calibri" w:cs="Calibri"/>
                <w:b/>
                <w:sz w:val="18"/>
                <w:szCs w:val="18"/>
              </w:rPr>
              <w:t xml:space="preserve"> </w:t>
            </w:r>
          </w:p>
        </w:tc>
      </w:tr>
      <w:tr w:rsidR="00475E24" w:rsidRPr="00651C99" w14:paraId="4CC0E539" w14:textId="77777777" w:rsidTr="00475E24">
        <w:trPr>
          <w:trHeight w:val="20"/>
        </w:trPr>
        <w:tc>
          <w:tcPr>
            <w:tcW w:w="5000" w:type="pct"/>
            <w:gridSpan w:val="11"/>
            <w:shd w:val="clear" w:color="auto" w:fill="auto"/>
            <w:noWrap/>
            <w:vAlign w:val="center"/>
          </w:tcPr>
          <w:p w14:paraId="7A3E8D55" w14:textId="50E138D8" w:rsidR="00475E24" w:rsidRPr="00FB6CBA" w:rsidRDefault="00475E24" w:rsidP="00475E24">
            <w:pPr>
              <w:pStyle w:val="NoSpacing"/>
              <w:rPr>
                <w:rFonts w:ascii="Calibri" w:eastAsia="Times New Roman" w:hAnsi="Calibri" w:cs="Calibri"/>
                <w:sz w:val="18"/>
                <w:szCs w:val="18"/>
              </w:rPr>
            </w:pPr>
            <w:r w:rsidRPr="00475E24">
              <w:rPr>
                <w:rFonts w:cstheme="minorHAnsi"/>
                <w:b/>
                <w:i/>
                <w:sz w:val="18"/>
                <w:szCs w:val="18"/>
              </w:rPr>
              <w:t>MS 2 School Notification</w:t>
            </w:r>
          </w:p>
        </w:tc>
      </w:tr>
      <w:tr w:rsidR="00475E24" w:rsidRPr="00651C99" w14:paraId="0BCD24F5" w14:textId="77777777" w:rsidTr="009C1F2B">
        <w:trPr>
          <w:trHeight w:val="20"/>
        </w:trPr>
        <w:tc>
          <w:tcPr>
            <w:tcW w:w="1261" w:type="pct"/>
            <w:shd w:val="clear" w:color="auto" w:fill="auto"/>
            <w:noWrap/>
          </w:tcPr>
          <w:p w14:paraId="47E053FA" w14:textId="4A5BD360" w:rsidR="00475E24" w:rsidRPr="00FB6CBA" w:rsidRDefault="00475E24" w:rsidP="004E042D">
            <w:pPr>
              <w:pStyle w:val="NoSpacing"/>
              <w:rPr>
                <w:rFonts w:ascii="Calibri" w:eastAsia="Times New Roman" w:hAnsi="Calibri" w:cs="Calibri"/>
                <w:b/>
                <w:bCs/>
                <w:sz w:val="18"/>
                <w:szCs w:val="18"/>
              </w:rPr>
            </w:pPr>
            <w:r w:rsidRPr="00562275">
              <w:rPr>
                <w:rFonts w:eastAsia="Times New Roman" w:cs="Calibri"/>
                <w:color w:val="000000"/>
                <w:sz w:val="18"/>
                <w:szCs w:val="18"/>
              </w:rPr>
              <w:t>Participating districts</w:t>
            </w:r>
          </w:p>
        </w:tc>
        <w:tc>
          <w:tcPr>
            <w:tcW w:w="376" w:type="pct"/>
            <w:shd w:val="clear" w:color="auto" w:fill="auto"/>
            <w:vAlign w:val="center"/>
          </w:tcPr>
          <w:p w14:paraId="04027D22" w14:textId="74F7C3C3" w:rsidR="00475E24" w:rsidRPr="00475E24" w:rsidRDefault="005F0147"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40</w:t>
            </w:r>
            <w:r w:rsidR="00475E24" w:rsidRPr="00475E24">
              <w:rPr>
                <w:rFonts w:ascii="Calibri" w:eastAsia="Times New Roman" w:hAnsi="Calibri" w:cs="Calibri"/>
                <w:bCs/>
                <w:sz w:val="18"/>
                <w:szCs w:val="18"/>
              </w:rPr>
              <w:t>0</w:t>
            </w:r>
            <w:r w:rsidR="00DE724C" w:rsidRPr="00DE724C">
              <w:rPr>
                <w:rFonts w:ascii="Calibri" w:eastAsia="Times New Roman" w:hAnsi="Calibri" w:cs="Calibri"/>
                <w:bCs/>
                <w:sz w:val="18"/>
                <w:szCs w:val="18"/>
                <w:vertAlign w:val="superscript"/>
              </w:rPr>
              <w:t>8</w:t>
            </w:r>
          </w:p>
        </w:tc>
        <w:tc>
          <w:tcPr>
            <w:tcW w:w="378" w:type="pct"/>
            <w:shd w:val="clear" w:color="auto" w:fill="auto"/>
            <w:vAlign w:val="center"/>
          </w:tcPr>
          <w:p w14:paraId="6E8736A0" w14:textId="7C093F0D" w:rsidR="00475E24" w:rsidRPr="00475E24" w:rsidRDefault="00475E24"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100%</w:t>
            </w:r>
          </w:p>
        </w:tc>
        <w:tc>
          <w:tcPr>
            <w:tcW w:w="585" w:type="pct"/>
            <w:shd w:val="clear" w:color="auto" w:fill="auto"/>
            <w:vAlign w:val="center"/>
          </w:tcPr>
          <w:p w14:paraId="54477795" w14:textId="05B1C36D" w:rsidR="00475E24" w:rsidRPr="00475E24" w:rsidRDefault="005F0147"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40</w:t>
            </w:r>
            <w:r w:rsidR="00475E24" w:rsidRPr="00475E24">
              <w:rPr>
                <w:rFonts w:ascii="Calibri" w:eastAsia="Times New Roman" w:hAnsi="Calibri" w:cs="Calibri"/>
                <w:bCs/>
                <w:sz w:val="18"/>
                <w:szCs w:val="18"/>
              </w:rPr>
              <w:t>0</w:t>
            </w:r>
          </w:p>
        </w:tc>
        <w:tc>
          <w:tcPr>
            <w:tcW w:w="452" w:type="pct"/>
            <w:shd w:val="clear" w:color="auto" w:fill="auto"/>
            <w:noWrap/>
            <w:vAlign w:val="center"/>
          </w:tcPr>
          <w:p w14:paraId="54C378B4" w14:textId="7F363859" w:rsidR="00475E24" w:rsidRPr="00475E24" w:rsidRDefault="005F0147"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40</w:t>
            </w:r>
            <w:r w:rsidR="00475E24" w:rsidRPr="00475E24">
              <w:rPr>
                <w:rFonts w:ascii="Calibri" w:eastAsia="Times New Roman" w:hAnsi="Calibri" w:cs="Calibri"/>
                <w:bCs/>
                <w:sz w:val="18"/>
                <w:szCs w:val="18"/>
              </w:rPr>
              <w:t>0</w:t>
            </w:r>
          </w:p>
        </w:tc>
        <w:tc>
          <w:tcPr>
            <w:tcW w:w="452" w:type="pct"/>
            <w:shd w:val="clear" w:color="auto" w:fill="auto"/>
            <w:noWrap/>
            <w:vAlign w:val="center"/>
          </w:tcPr>
          <w:p w14:paraId="69FA689B" w14:textId="0E464E4F" w:rsidR="00475E24" w:rsidRPr="00475E24" w:rsidRDefault="00475E24"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10</w:t>
            </w:r>
          </w:p>
        </w:tc>
        <w:tc>
          <w:tcPr>
            <w:tcW w:w="453" w:type="pct"/>
            <w:gridSpan w:val="2"/>
            <w:shd w:val="clear" w:color="auto" w:fill="auto"/>
            <w:noWrap/>
          </w:tcPr>
          <w:p w14:paraId="468BECA2" w14:textId="705E3BF4" w:rsidR="00475E24" w:rsidRPr="00475E24" w:rsidRDefault="005F0147" w:rsidP="001C1926">
            <w:pPr>
              <w:pStyle w:val="NoSpacing"/>
              <w:jc w:val="right"/>
              <w:rPr>
                <w:rFonts w:ascii="Calibri" w:eastAsia="Times New Roman" w:hAnsi="Calibri" w:cs="Calibri"/>
                <w:sz w:val="18"/>
                <w:szCs w:val="18"/>
              </w:rPr>
            </w:pPr>
            <w:r>
              <w:rPr>
                <w:rFonts w:ascii="Calibri" w:eastAsia="Times New Roman" w:hAnsi="Calibri" w:cs="Calibri"/>
                <w:sz w:val="18"/>
                <w:szCs w:val="18"/>
              </w:rPr>
              <w:t>67</w:t>
            </w:r>
          </w:p>
        </w:tc>
        <w:tc>
          <w:tcPr>
            <w:tcW w:w="522" w:type="pct"/>
            <w:gridSpan w:val="2"/>
            <w:shd w:val="clear" w:color="auto" w:fill="auto"/>
            <w:noWrap/>
          </w:tcPr>
          <w:p w14:paraId="0101D307" w14:textId="53DB3FBB" w:rsidR="00475E24" w:rsidRPr="00475E24" w:rsidRDefault="00475E24" w:rsidP="004E042D">
            <w:pPr>
              <w:pStyle w:val="NoSpacing"/>
              <w:jc w:val="right"/>
              <w:rPr>
                <w:rFonts w:ascii="Calibri" w:eastAsia="Times New Roman" w:hAnsi="Calibri" w:cs="Calibri"/>
                <w:sz w:val="18"/>
                <w:szCs w:val="18"/>
              </w:rPr>
            </w:pPr>
            <w:r w:rsidRPr="00475E24">
              <w:rPr>
                <w:rFonts w:ascii="Calibri" w:eastAsia="Times New Roman" w:hAnsi="Calibri" w:cs="Calibri"/>
                <w:sz w:val="18"/>
                <w:szCs w:val="18"/>
              </w:rPr>
              <w:t xml:space="preserve">$45.86 </w:t>
            </w:r>
          </w:p>
        </w:tc>
        <w:tc>
          <w:tcPr>
            <w:tcW w:w="521" w:type="pct"/>
            <w:shd w:val="clear" w:color="auto" w:fill="auto"/>
            <w:noWrap/>
            <w:vAlign w:val="center"/>
          </w:tcPr>
          <w:p w14:paraId="3E0974A8" w14:textId="430C67F4" w:rsidR="00475E24" w:rsidRPr="00475E24" w:rsidRDefault="00475E24" w:rsidP="005F0147">
            <w:pPr>
              <w:pStyle w:val="NoSpacing"/>
              <w:jc w:val="right"/>
              <w:rPr>
                <w:rFonts w:ascii="Calibri" w:eastAsia="Times New Roman" w:hAnsi="Calibri" w:cs="Calibri"/>
                <w:sz w:val="18"/>
                <w:szCs w:val="18"/>
              </w:rPr>
            </w:pPr>
            <w:r>
              <w:rPr>
                <w:rFonts w:ascii="Calibri" w:eastAsia="Times New Roman" w:hAnsi="Calibri" w:cs="Calibri"/>
                <w:sz w:val="18"/>
                <w:szCs w:val="18"/>
              </w:rPr>
              <w:t>$</w:t>
            </w:r>
            <w:r w:rsidR="005F0147">
              <w:rPr>
                <w:rFonts w:ascii="Calibri" w:eastAsia="Times New Roman" w:hAnsi="Calibri" w:cs="Calibri"/>
                <w:sz w:val="18"/>
                <w:szCs w:val="18"/>
              </w:rPr>
              <w:t>3,073</w:t>
            </w:r>
          </w:p>
        </w:tc>
      </w:tr>
      <w:tr w:rsidR="00475E24" w:rsidRPr="00651C99" w14:paraId="1DB768C8" w14:textId="77777777" w:rsidTr="009C1F2B">
        <w:trPr>
          <w:trHeight w:val="20"/>
        </w:trPr>
        <w:tc>
          <w:tcPr>
            <w:tcW w:w="1261" w:type="pct"/>
            <w:shd w:val="clear" w:color="auto" w:fill="auto"/>
            <w:noWrap/>
          </w:tcPr>
          <w:p w14:paraId="26684A8E" w14:textId="76812961" w:rsidR="00475E24" w:rsidRPr="00FB6CBA" w:rsidRDefault="00475E24" w:rsidP="00475E24">
            <w:pPr>
              <w:pStyle w:val="NoSpacing"/>
              <w:rPr>
                <w:rFonts w:ascii="Calibri" w:eastAsia="Times New Roman" w:hAnsi="Calibri" w:cs="Calibri"/>
                <w:b/>
                <w:bCs/>
                <w:sz w:val="18"/>
                <w:szCs w:val="18"/>
              </w:rPr>
            </w:pPr>
            <w:r w:rsidRPr="00562275">
              <w:rPr>
                <w:rFonts w:eastAsia="Times New Roman" w:cs="Calibri"/>
                <w:color w:val="000000"/>
                <w:sz w:val="18"/>
                <w:szCs w:val="18"/>
              </w:rPr>
              <w:t xml:space="preserve">Participating </w:t>
            </w:r>
            <w:r>
              <w:rPr>
                <w:rFonts w:eastAsia="Times New Roman" w:cs="Calibri"/>
                <w:color w:val="000000"/>
                <w:sz w:val="18"/>
                <w:szCs w:val="18"/>
              </w:rPr>
              <w:t>schools</w:t>
            </w:r>
          </w:p>
        </w:tc>
        <w:tc>
          <w:tcPr>
            <w:tcW w:w="376" w:type="pct"/>
            <w:shd w:val="clear" w:color="auto" w:fill="auto"/>
            <w:vAlign w:val="center"/>
          </w:tcPr>
          <w:p w14:paraId="0A00FC76" w14:textId="063A0CC9" w:rsidR="00475E24" w:rsidRPr="00475E24" w:rsidRDefault="00475E24" w:rsidP="004E042D">
            <w:pPr>
              <w:pStyle w:val="NoSpacing"/>
              <w:jc w:val="right"/>
              <w:rPr>
                <w:rFonts w:ascii="Calibri" w:eastAsia="Times New Roman" w:hAnsi="Calibri" w:cs="Calibri"/>
                <w:bCs/>
                <w:sz w:val="18"/>
                <w:szCs w:val="18"/>
              </w:rPr>
            </w:pPr>
            <w:r w:rsidRPr="00475E24">
              <w:rPr>
                <w:rFonts w:ascii="Calibri" w:eastAsia="Times New Roman" w:hAnsi="Calibri" w:cs="Calibri"/>
                <w:bCs/>
                <w:sz w:val="18"/>
                <w:szCs w:val="18"/>
              </w:rPr>
              <w:t>570</w:t>
            </w:r>
          </w:p>
        </w:tc>
        <w:tc>
          <w:tcPr>
            <w:tcW w:w="378" w:type="pct"/>
            <w:shd w:val="clear" w:color="auto" w:fill="auto"/>
            <w:vAlign w:val="center"/>
          </w:tcPr>
          <w:p w14:paraId="62E1EA4C" w14:textId="09C4D33B" w:rsidR="00475E24" w:rsidRPr="00475E24" w:rsidRDefault="00475E24"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100%</w:t>
            </w:r>
          </w:p>
        </w:tc>
        <w:tc>
          <w:tcPr>
            <w:tcW w:w="585" w:type="pct"/>
            <w:shd w:val="clear" w:color="auto" w:fill="auto"/>
            <w:vAlign w:val="center"/>
          </w:tcPr>
          <w:p w14:paraId="0FE63EA1" w14:textId="55FCE0F4" w:rsidR="00475E24" w:rsidRPr="00475E24" w:rsidRDefault="00475E24" w:rsidP="004E042D">
            <w:pPr>
              <w:pStyle w:val="NoSpacing"/>
              <w:jc w:val="right"/>
              <w:rPr>
                <w:rFonts w:ascii="Calibri" w:eastAsia="Times New Roman" w:hAnsi="Calibri" w:cs="Calibri"/>
                <w:bCs/>
                <w:sz w:val="18"/>
                <w:szCs w:val="18"/>
              </w:rPr>
            </w:pPr>
            <w:r w:rsidRPr="00475E24">
              <w:rPr>
                <w:rFonts w:ascii="Calibri" w:eastAsia="Times New Roman" w:hAnsi="Calibri" w:cs="Calibri"/>
                <w:bCs/>
                <w:sz w:val="18"/>
                <w:szCs w:val="18"/>
              </w:rPr>
              <w:t>570</w:t>
            </w:r>
          </w:p>
        </w:tc>
        <w:tc>
          <w:tcPr>
            <w:tcW w:w="452" w:type="pct"/>
            <w:shd w:val="clear" w:color="auto" w:fill="auto"/>
            <w:noWrap/>
            <w:vAlign w:val="center"/>
          </w:tcPr>
          <w:p w14:paraId="0EFD51E0" w14:textId="2689C48E" w:rsidR="00475E24" w:rsidRPr="00475E24" w:rsidRDefault="00475E24" w:rsidP="004E042D">
            <w:pPr>
              <w:pStyle w:val="NoSpacing"/>
              <w:jc w:val="right"/>
              <w:rPr>
                <w:rFonts w:ascii="Calibri" w:eastAsia="Times New Roman" w:hAnsi="Calibri" w:cs="Calibri"/>
                <w:bCs/>
                <w:sz w:val="18"/>
                <w:szCs w:val="18"/>
              </w:rPr>
            </w:pPr>
            <w:r w:rsidRPr="00475E24">
              <w:rPr>
                <w:rFonts w:ascii="Calibri" w:eastAsia="Times New Roman" w:hAnsi="Calibri" w:cs="Calibri"/>
                <w:bCs/>
                <w:sz w:val="18"/>
                <w:szCs w:val="18"/>
              </w:rPr>
              <w:t>570</w:t>
            </w:r>
          </w:p>
        </w:tc>
        <w:tc>
          <w:tcPr>
            <w:tcW w:w="452" w:type="pct"/>
            <w:shd w:val="clear" w:color="auto" w:fill="auto"/>
            <w:noWrap/>
            <w:vAlign w:val="center"/>
          </w:tcPr>
          <w:p w14:paraId="273AB85F" w14:textId="3A36F48E" w:rsidR="00475E24" w:rsidRPr="00475E24" w:rsidRDefault="00475E24" w:rsidP="004E042D">
            <w:pPr>
              <w:pStyle w:val="NoSpacing"/>
              <w:jc w:val="right"/>
              <w:rPr>
                <w:rFonts w:ascii="Calibri" w:eastAsia="Times New Roman" w:hAnsi="Calibri" w:cs="Calibri"/>
                <w:bCs/>
                <w:sz w:val="18"/>
                <w:szCs w:val="18"/>
              </w:rPr>
            </w:pPr>
            <w:r>
              <w:rPr>
                <w:rFonts w:ascii="Calibri" w:eastAsia="Times New Roman" w:hAnsi="Calibri" w:cs="Calibri"/>
                <w:bCs/>
                <w:sz w:val="18"/>
                <w:szCs w:val="18"/>
              </w:rPr>
              <w:t>10</w:t>
            </w:r>
          </w:p>
        </w:tc>
        <w:tc>
          <w:tcPr>
            <w:tcW w:w="453" w:type="pct"/>
            <w:gridSpan w:val="2"/>
            <w:shd w:val="clear" w:color="auto" w:fill="auto"/>
            <w:noWrap/>
          </w:tcPr>
          <w:p w14:paraId="12BFDE9E" w14:textId="1D28C2C6" w:rsidR="00475E24" w:rsidRPr="00475E24" w:rsidRDefault="00475E24" w:rsidP="001C1926">
            <w:pPr>
              <w:pStyle w:val="NoSpacing"/>
              <w:jc w:val="right"/>
              <w:rPr>
                <w:rFonts w:ascii="Calibri" w:eastAsia="Times New Roman" w:hAnsi="Calibri" w:cs="Calibri"/>
                <w:sz w:val="18"/>
                <w:szCs w:val="18"/>
              </w:rPr>
            </w:pPr>
            <w:r w:rsidRPr="00475E24">
              <w:rPr>
                <w:rFonts w:ascii="Calibri" w:eastAsia="Times New Roman" w:hAnsi="Calibri" w:cs="Calibri"/>
                <w:sz w:val="18"/>
                <w:szCs w:val="18"/>
              </w:rPr>
              <w:t>95</w:t>
            </w:r>
          </w:p>
        </w:tc>
        <w:tc>
          <w:tcPr>
            <w:tcW w:w="522" w:type="pct"/>
            <w:gridSpan w:val="2"/>
            <w:shd w:val="clear" w:color="auto" w:fill="auto"/>
            <w:noWrap/>
          </w:tcPr>
          <w:p w14:paraId="65CC1F86" w14:textId="3FC4F79A" w:rsidR="00475E24" w:rsidRPr="00475E24" w:rsidRDefault="00475E24" w:rsidP="004E042D">
            <w:pPr>
              <w:pStyle w:val="NoSpacing"/>
              <w:jc w:val="right"/>
              <w:rPr>
                <w:rFonts w:ascii="Calibri" w:eastAsia="Times New Roman" w:hAnsi="Calibri" w:cs="Calibri"/>
                <w:sz w:val="18"/>
                <w:szCs w:val="18"/>
              </w:rPr>
            </w:pPr>
            <w:r w:rsidRPr="00475E24">
              <w:rPr>
                <w:rFonts w:ascii="Calibri" w:eastAsia="Times New Roman" w:hAnsi="Calibri" w:cs="Calibri"/>
                <w:sz w:val="18"/>
                <w:szCs w:val="18"/>
              </w:rPr>
              <w:t xml:space="preserve">$45.86 </w:t>
            </w:r>
          </w:p>
        </w:tc>
        <w:tc>
          <w:tcPr>
            <w:tcW w:w="521" w:type="pct"/>
            <w:shd w:val="clear" w:color="auto" w:fill="auto"/>
            <w:noWrap/>
            <w:vAlign w:val="center"/>
          </w:tcPr>
          <w:p w14:paraId="62E2467F" w14:textId="73B5C54F" w:rsidR="00475E24" w:rsidRPr="00475E24" w:rsidRDefault="00475E24" w:rsidP="001C1926">
            <w:pPr>
              <w:pStyle w:val="NoSpacing"/>
              <w:jc w:val="right"/>
              <w:rPr>
                <w:rFonts w:ascii="Calibri" w:eastAsia="Times New Roman" w:hAnsi="Calibri" w:cs="Calibri"/>
                <w:sz w:val="18"/>
                <w:szCs w:val="18"/>
              </w:rPr>
            </w:pPr>
            <w:r>
              <w:rPr>
                <w:rFonts w:ascii="Calibri" w:eastAsia="Times New Roman" w:hAnsi="Calibri" w:cs="Calibri"/>
                <w:sz w:val="18"/>
                <w:szCs w:val="18"/>
              </w:rPr>
              <w:t>$4,357</w:t>
            </w:r>
          </w:p>
        </w:tc>
      </w:tr>
      <w:tr w:rsidR="00C82496" w:rsidRPr="00651C99" w14:paraId="331BBC8F" w14:textId="77777777" w:rsidTr="00475E24">
        <w:trPr>
          <w:trHeight w:val="20"/>
        </w:trPr>
        <w:tc>
          <w:tcPr>
            <w:tcW w:w="1261" w:type="pct"/>
            <w:shd w:val="clear" w:color="auto" w:fill="D9D9D9" w:themeFill="background1" w:themeFillShade="D9"/>
            <w:noWrap/>
            <w:vAlign w:val="center"/>
          </w:tcPr>
          <w:p w14:paraId="5DDAC52B" w14:textId="32803E74" w:rsidR="00C82496" w:rsidRPr="00FB6CBA" w:rsidRDefault="00C82496" w:rsidP="004E042D">
            <w:pPr>
              <w:pStyle w:val="NoSpacing"/>
              <w:rPr>
                <w:rFonts w:ascii="Calibri" w:eastAsia="Times New Roman" w:hAnsi="Calibri" w:cs="Calibri"/>
                <w:b/>
                <w:bCs/>
                <w:sz w:val="18"/>
                <w:szCs w:val="18"/>
              </w:rPr>
            </w:pPr>
            <w:r>
              <w:rPr>
                <w:rFonts w:ascii="Calibri" w:eastAsia="Times New Roman" w:hAnsi="Calibri" w:cs="Calibri"/>
                <w:b/>
                <w:bCs/>
                <w:sz w:val="18"/>
                <w:szCs w:val="18"/>
              </w:rPr>
              <w:t>MS2 Total</w:t>
            </w:r>
          </w:p>
        </w:tc>
        <w:tc>
          <w:tcPr>
            <w:tcW w:w="376" w:type="pct"/>
            <w:shd w:val="clear" w:color="auto" w:fill="D9D9D9" w:themeFill="background1" w:themeFillShade="D9"/>
            <w:vAlign w:val="center"/>
          </w:tcPr>
          <w:p w14:paraId="2CCAEE98" w14:textId="51EC5152" w:rsidR="00C82496" w:rsidRPr="00C82496" w:rsidRDefault="00C82496" w:rsidP="004E042D">
            <w:pPr>
              <w:pStyle w:val="NoSpacing"/>
              <w:jc w:val="right"/>
              <w:rPr>
                <w:rFonts w:ascii="Calibri" w:eastAsia="Times New Roman" w:hAnsi="Calibri" w:cs="Calibri"/>
                <w:b/>
                <w:bCs/>
                <w:sz w:val="18"/>
                <w:szCs w:val="18"/>
              </w:rPr>
            </w:pPr>
            <w:r w:rsidRPr="00C82496">
              <w:rPr>
                <w:rFonts w:ascii="Calibri" w:eastAsia="Times New Roman" w:hAnsi="Calibri" w:cs="Calibri"/>
                <w:b/>
                <w:bCs/>
                <w:sz w:val="18"/>
                <w:szCs w:val="18"/>
              </w:rPr>
              <w:t>-</w:t>
            </w:r>
          </w:p>
        </w:tc>
        <w:tc>
          <w:tcPr>
            <w:tcW w:w="378" w:type="pct"/>
            <w:shd w:val="clear" w:color="auto" w:fill="D9D9D9" w:themeFill="background1" w:themeFillShade="D9"/>
            <w:vAlign w:val="center"/>
          </w:tcPr>
          <w:p w14:paraId="00300D3F" w14:textId="71F8A0E3" w:rsidR="00C82496" w:rsidRPr="00C82496" w:rsidRDefault="00C82496" w:rsidP="004E042D">
            <w:pPr>
              <w:pStyle w:val="NoSpacing"/>
              <w:jc w:val="right"/>
              <w:rPr>
                <w:rFonts w:ascii="Calibri" w:eastAsia="Times New Roman" w:hAnsi="Calibri" w:cs="Calibri"/>
                <w:b/>
                <w:bCs/>
                <w:sz w:val="18"/>
                <w:szCs w:val="18"/>
              </w:rPr>
            </w:pPr>
            <w:r w:rsidRPr="00C82496">
              <w:rPr>
                <w:rFonts w:ascii="Calibri" w:eastAsia="Times New Roman" w:hAnsi="Calibri" w:cs="Calibri"/>
                <w:b/>
                <w:bCs/>
                <w:sz w:val="18"/>
                <w:szCs w:val="18"/>
              </w:rPr>
              <w:t>-</w:t>
            </w:r>
          </w:p>
        </w:tc>
        <w:tc>
          <w:tcPr>
            <w:tcW w:w="585" w:type="pct"/>
            <w:shd w:val="clear" w:color="auto" w:fill="D9D9D9" w:themeFill="background1" w:themeFillShade="D9"/>
            <w:vAlign w:val="center"/>
          </w:tcPr>
          <w:p w14:paraId="4E78DD10" w14:textId="08CE94DA" w:rsidR="00C82496" w:rsidRPr="00C82496" w:rsidRDefault="00C82496" w:rsidP="004E042D">
            <w:pPr>
              <w:pStyle w:val="NoSpacing"/>
              <w:jc w:val="right"/>
              <w:rPr>
                <w:rFonts w:ascii="Calibri" w:eastAsia="Times New Roman" w:hAnsi="Calibri" w:cs="Calibri"/>
                <w:b/>
                <w:bCs/>
                <w:sz w:val="18"/>
                <w:szCs w:val="18"/>
              </w:rPr>
            </w:pPr>
            <w:r w:rsidRPr="00C82496">
              <w:rPr>
                <w:rFonts w:ascii="Calibri" w:eastAsia="Times New Roman" w:hAnsi="Calibri" w:cs="Calibri"/>
                <w:b/>
                <w:bCs/>
                <w:sz w:val="18"/>
                <w:szCs w:val="18"/>
              </w:rPr>
              <w:t>970</w:t>
            </w:r>
          </w:p>
        </w:tc>
        <w:tc>
          <w:tcPr>
            <w:tcW w:w="452" w:type="pct"/>
            <w:shd w:val="clear" w:color="auto" w:fill="D9D9D9" w:themeFill="background1" w:themeFillShade="D9"/>
            <w:noWrap/>
            <w:vAlign w:val="center"/>
          </w:tcPr>
          <w:p w14:paraId="0DC58AFB" w14:textId="29EC698A" w:rsidR="00C82496" w:rsidRPr="00C82496" w:rsidRDefault="00C82496" w:rsidP="004E042D">
            <w:pPr>
              <w:pStyle w:val="NoSpacing"/>
              <w:jc w:val="right"/>
              <w:rPr>
                <w:rFonts w:ascii="Calibri" w:eastAsia="Times New Roman" w:hAnsi="Calibri" w:cs="Calibri"/>
                <w:b/>
                <w:bCs/>
                <w:sz w:val="18"/>
                <w:szCs w:val="18"/>
              </w:rPr>
            </w:pPr>
            <w:r w:rsidRPr="00C82496">
              <w:rPr>
                <w:rFonts w:ascii="Calibri" w:eastAsia="Times New Roman" w:hAnsi="Calibri" w:cs="Calibri"/>
                <w:b/>
                <w:bCs/>
                <w:sz w:val="18"/>
                <w:szCs w:val="18"/>
              </w:rPr>
              <w:t>970</w:t>
            </w:r>
          </w:p>
        </w:tc>
        <w:tc>
          <w:tcPr>
            <w:tcW w:w="452" w:type="pct"/>
            <w:shd w:val="clear" w:color="auto" w:fill="D9D9D9" w:themeFill="background1" w:themeFillShade="D9"/>
            <w:noWrap/>
            <w:vAlign w:val="center"/>
          </w:tcPr>
          <w:p w14:paraId="6E716AB7" w14:textId="3E34FBD5" w:rsidR="00C82496" w:rsidRPr="00C82496" w:rsidRDefault="00C82496" w:rsidP="004E042D">
            <w:pPr>
              <w:pStyle w:val="NoSpacing"/>
              <w:jc w:val="right"/>
              <w:rPr>
                <w:rFonts w:ascii="Calibri" w:eastAsia="Times New Roman" w:hAnsi="Calibri" w:cs="Calibri"/>
                <w:b/>
                <w:bCs/>
                <w:sz w:val="18"/>
                <w:szCs w:val="18"/>
              </w:rPr>
            </w:pPr>
            <w:r w:rsidRPr="00C82496">
              <w:rPr>
                <w:rFonts w:ascii="Calibri" w:eastAsia="Times New Roman" w:hAnsi="Calibri" w:cs="Calibri"/>
                <w:b/>
                <w:bCs/>
                <w:sz w:val="18"/>
                <w:szCs w:val="18"/>
              </w:rPr>
              <w:t>-</w:t>
            </w:r>
          </w:p>
        </w:tc>
        <w:tc>
          <w:tcPr>
            <w:tcW w:w="453" w:type="pct"/>
            <w:gridSpan w:val="2"/>
            <w:shd w:val="clear" w:color="auto" w:fill="D9D9D9" w:themeFill="background1" w:themeFillShade="D9"/>
            <w:noWrap/>
            <w:vAlign w:val="center"/>
          </w:tcPr>
          <w:p w14:paraId="1017DCC7" w14:textId="5EEEEA85" w:rsidR="00C82496" w:rsidRPr="00C82496" w:rsidRDefault="00C82496" w:rsidP="005F0147">
            <w:pPr>
              <w:pStyle w:val="NoSpacing"/>
              <w:jc w:val="right"/>
              <w:rPr>
                <w:rFonts w:ascii="Calibri" w:eastAsia="Times New Roman" w:hAnsi="Calibri" w:cs="Calibri"/>
                <w:b/>
                <w:sz w:val="18"/>
                <w:szCs w:val="18"/>
              </w:rPr>
            </w:pPr>
            <w:r w:rsidRPr="00C82496">
              <w:rPr>
                <w:rFonts w:ascii="Calibri" w:eastAsia="Times New Roman" w:hAnsi="Calibri" w:cs="Calibri"/>
                <w:b/>
                <w:sz w:val="18"/>
                <w:szCs w:val="18"/>
              </w:rPr>
              <w:t>162</w:t>
            </w:r>
          </w:p>
        </w:tc>
        <w:tc>
          <w:tcPr>
            <w:tcW w:w="522" w:type="pct"/>
            <w:gridSpan w:val="2"/>
            <w:shd w:val="clear" w:color="auto" w:fill="D9D9D9" w:themeFill="background1" w:themeFillShade="D9"/>
            <w:noWrap/>
            <w:vAlign w:val="center"/>
          </w:tcPr>
          <w:p w14:paraId="7E7D8027" w14:textId="2A013210" w:rsidR="00C82496" w:rsidRPr="00C82496" w:rsidRDefault="00C82496" w:rsidP="004E042D">
            <w:pPr>
              <w:pStyle w:val="NoSpacing"/>
              <w:jc w:val="right"/>
              <w:rPr>
                <w:rFonts w:ascii="Calibri" w:eastAsia="Times New Roman" w:hAnsi="Calibri" w:cs="Calibri"/>
                <w:b/>
                <w:sz w:val="18"/>
                <w:szCs w:val="18"/>
              </w:rPr>
            </w:pPr>
            <w:r w:rsidRPr="00C82496">
              <w:rPr>
                <w:rFonts w:ascii="Calibri" w:hAnsi="Calibri"/>
                <w:b/>
                <w:bCs/>
                <w:color w:val="000000"/>
                <w:sz w:val="18"/>
                <w:szCs w:val="18"/>
              </w:rPr>
              <w:t>-</w:t>
            </w:r>
          </w:p>
        </w:tc>
        <w:tc>
          <w:tcPr>
            <w:tcW w:w="521" w:type="pct"/>
            <w:shd w:val="clear" w:color="auto" w:fill="D9D9D9" w:themeFill="background1" w:themeFillShade="D9"/>
            <w:noWrap/>
            <w:vAlign w:val="center"/>
          </w:tcPr>
          <w:p w14:paraId="2FAA4B69" w14:textId="486DF4F5" w:rsidR="00C82496" w:rsidRPr="00C82496" w:rsidRDefault="00C82496" w:rsidP="005F0147">
            <w:pPr>
              <w:pStyle w:val="NoSpacing"/>
              <w:jc w:val="right"/>
              <w:rPr>
                <w:rFonts w:ascii="Calibri" w:eastAsia="Times New Roman" w:hAnsi="Calibri" w:cs="Calibri"/>
                <w:b/>
                <w:sz w:val="18"/>
                <w:szCs w:val="18"/>
              </w:rPr>
            </w:pPr>
            <w:r w:rsidRPr="00C82496">
              <w:rPr>
                <w:rFonts w:ascii="Calibri" w:eastAsia="Times New Roman" w:hAnsi="Calibri" w:cs="Calibri"/>
                <w:b/>
                <w:sz w:val="18"/>
                <w:szCs w:val="18"/>
              </w:rPr>
              <w:t>$7,430</w:t>
            </w:r>
          </w:p>
        </w:tc>
      </w:tr>
      <w:tr w:rsidR="00FB6CBA" w:rsidRPr="0071268F" w14:paraId="3773B660" w14:textId="77777777" w:rsidTr="004E042D">
        <w:trPr>
          <w:trHeight w:val="20"/>
        </w:trPr>
        <w:tc>
          <w:tcPr>
            <w:tcW w:w="1261" w:type="pct"/>
            <w:shd w:val="clear" w:color="auto" w:fill="BFBFBF" w:themeFill="background1" w:themeFillShade="BF"/>
            <w:noWrap/>
            <w:vAlign w:val="center"/>
          </w:tcPr>
          <w:p w14:paraId="1900962A" w14:textId="77777777" w:rsidR="00FB6CBA" w:rsidRPr="0071268F" w:rsidRDefault="00FB6CBA" w:rsidP="004E042D">
            <w:pPr>
              <w:pStyle w:val="NoSpacing"/>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468D977C" w14:textId="77777777" w:rsidR="00FB6CBA" w:rsidRPr="0071268F" w:rsidRDefault="00FB6CBA" w:rsidP="004E042D">
            <w:pPr>
              <w:pStyle w:val="NoSpacing"/>
              <w:jc w:val="right"/>
              <w:rPr>
                <w:rFonts w:cstheme="minorHAnsi"/>
                <w:b/>
                <w:sz w:val="18"/>
                <w:szCs w:val="18"/>
              </w:rPr>
            </w:pPr>
            <w:r w:rsidRPr="0071268F">
              <w:rPr>
                <w:rFonts w:cstheme="minorHAnsi"/>
                <w:b/>
                <w:sz w:val="18"/>
                <w:szCs w:val="18"/>
              </w:rPr>
              <w:t>-</w:t>
            </w:r>
          </w:p>
        </w:tc>
        <w:tc>
          <w:tcPr>
            <w:tcW w:w="378" w:type="pct"/>
            <w:shd w:val="clear" w:color="auto" w:fill="BFBFBF" w:themeFill="background1" w:themeFillShade="BF"/>
            <w:vAlign w:val="center"/>
          </w:tcPr>
          <w:p w14:paraId="40F93BCD" w14:textId="77777777" w:rsidR="00FB6CBA" w:rsidRPr="0071268F" w:rsidRDefault="00FB6CBA" w:rsidP="004E042D">
            <w:pPr>
              <w:pStyle w:val="NoSpacing"/>
              <w:jc w:val="right"/>
              <w:rPr>
                <w:rFonts w:cstheme="minorHAnsi"/>
                <w:b/>
                <w:sz w:val="18"/>
                <w:szCs w:val="18"/>
              </w:rPr>
            </w:pPr>
            <w:r w:rsidRPr="0071268F">
              <w:rPr>
                <w:rFonts w:cstheme="minorHAnsi"/>
                <w:b/>
                <w:sz w:val="18"/>
                <w:szCs w:val="18"/>
              </w:rPr>
              <w:t>-</w:t>
            </w:r>
          </w:p>
        </w:tc>
        <w:tc>
          <w:tcPr>
            <w:tcW w:w="585" w:type="pct"/>
            <w:shd w:val="clear" w:color="auto" w:fill="BFBFBF" w:themeFill="background1" w:themeFillShade="BF"/>
            <w:vAlign w:val="center"/>
          </w:tcPr>
          <w:p w14:paraId="3477F373" w14:textId="24EF39A8" w:rsidR="00FB6CBA" w:rsidRPr="0071268F" w:rsidRDefault="00FB6CBA" w:rsidP="00586E9F">
            <w:pPr>
              <w:pStyle w:val="NoSpacing"/>
              <w:jc w:val="right"/>
              <w:rPr>
                <w:rFonts w:cstheme="minorHAnsi"/>
                <w:b/>
                <w:sz w:val="18"/>
                <w:szCs w:val="18"/>
              </w:rPr>
            </w:pPr>
            <w:r>
              <w:rPr>
                <w:rFonts w:cstheme="minorHAnsi"/>
                <w:b/>
                <w:sz w:val="18"/>
                <w:szCs w:val="18"/>
              </w:rPr>
              <w:t>6</w:t>
            </w:r>
            <w:r w:rsidR="00DE724C">
              <w:rPr>
                <w:rFonts w:cstheme="minorHAnsi"/>
                <w:b/>
                <w:sz w:val="18"/>
                <w:szCs w:val="18"/>
              </w:rPr>
              <w:t>2,</w:t>
            </w:r>
            <w:r w:rsidR="00586E9F">
              <w:rPr>
                <w:rFonts w:cstheme="minorHAnsi"/>
                <w:b/>
                <w:sz w:val="18"/>
                <w:szCs w:val="18"/>
              </w:rPr>
              <w:t>190</w:t>
            </w:r>
          </w:p>
        </w:tc>
        <w:tc>
          <w:tcPr>
            <w:tcW w:w="452" w:type="pct"/>
            <w:shd w:val="clear" w:color="auto" w:fill="BFBFBF" w:themeFill="background1" w:themeFillShade="BF"/>
            <w:noWrap/>
            <w:vAlign w:val="center"/>
          </w:tcPr>
          <w:p w14:paraId="78C363A8" w14:textId="4EB3EFD0" w:rsidR="00FB6CBA" w:rsidRPr="0071268F" w:rsidRDefault="00DE724C" w:rsidP="005F0147">
            <w:pPr>
              <w:pStyle w:val="NoSpacing"/>
              <w:jc w:val="right"/>
              <w:rPr>
                <w:rFonts w:cstheme="minorHAnsi"/>
                <w:b/>
                <w:sz w:val="18"/>
                <w:szCs w:val="18"/>
              </w:rPr>
            </w:pPr>
            <w:r>
              <w:rPr>
                <w:rFonts w:cstheme="minorHAnsi"/>
                <w:b/>
                <w:sz w:val="18"/>
                <w:szCs w:val="18"/>
              </w:rPr>
              <w:t>121,</w:t>
            </w:r>
            <w:r w:rsidR="005F0147">
              <w:rPr>
                <w:rFonts w:cstheme="minorHAnsi"/>
                <w:b/>
                <w:sz w:val="18"/>
                <w:szCs w:val="18"/>
              </w:rPr>
              <w:t>554</w:t>
            </w:r>
          </w:p>
        </w:tc>
        <w:tc>
          <w:tcPr>
            <w:tcW w:w="452" w:type="pct"/>
            <w:shd w:val="clear" w:color="auto" w:fill="BFBFBF" w:themeFill="background1" w:themeFillShade="BF"/>
            <w:noWrap/>
            <w:vAlign w:val="center"/>
          </w:tcPr>
          <w:p w14:paraId="7AD31EE9" w14:textId="77777777" w:rsidR="00FB6CBA" w:rsidRPr="0071268F" w:rsidRDefault="00FB6CBA" w:rsidP="004E042D">
            <w:pPr>
              <w:pStyle w:val="NoSpacing"/>
              <w:jc w:val="right"/>
              <w:rPr>
                <w:rFonts w:cstheme="minorHAnsi"/>
                <w:b/>
                <w:sz w:val="18"/>
                <w:szCs w:val="18"/>
              </w:rPr>
            </w:pPr>
            <w:r w:rsidRPr="0071268F">
              <w:rPr>
                <w:rFonts w:cstheme="minorHAnsi"/>
                <w:b/>
                <w:sz w:val="18"/>
                <w:szCs w:val="18"/>
              </w:rPr>
              <w:t>-</w:t>
            </w:r>
          </w:p>
        </w:tc>
        <w:tc>
          <w:tcPr>
            <w:tcW w:w="453" w:type="pct"/>
            <w:gridSpan w:val="2"/>
            <w:shd w:val="clear" w:color="auto" w:fill="BFBFBF" w:themeFill="background1" w:themeFillShade="BF"/>
            <w:noWrap/>
            <w:vAlign w:val="center"/>
          </w:tcPr>
          <w:p w14:paraId="1055CCA7" w14:textId="6E43AF3B" w:rsidR="00FB6CBA" w:rsidRPr="0071268F" w:rsidRDefault="00586E9F" w:rsidP="00586E9F">
            <w:pPr>
              <w:pStyle w:val="NoSpacing"/>
              <w:ind w:left="-98"/>
              <w:jc w:val="right"/>
              <w:rPr>
                <w:rFonts w:cstheme="minorHAnsi"/>
                <w:b/>
                <w:sz w:val="18"/>
                <w:szCs w:val="18"/>
              </w:rPr>
            </w:pPr>
            <w:r>
              <w:rPr>
                <w:rFonts w:cstheme="minorHAnsi"/>
                <w:b/>
                <w:sz w:val="18"/>
                <w:szCs w:val="18"/>
              </w:rPr>
              <w:t>61</w:t>
            </w:r>
            <w:r w:rsidR="001C1926">
              <w:rPr>
                <w:rFonts w:cstheme="minorHAnsi"/>
                <w:b/>
                <w:sz w:val="18"/>
                <w:szCs w:val="18"/>
              </w:rPr>
              <w:t>,</w:t>
            </w:r>
            <w:r>
              <w:rPr>
                <w:rFonts w:cstheme="minorHAnsi"/>
                <w:b/>
                <w:sz w:val="18"/>
                <w:szCs w:val="18"/>
              </w:rPr>
              <w:t>501</w:t>
            </w:r>
          </w:p>
        </w:tc>
        <w:tc>
          <w:tcPr>
            <w:tcW w:w="522" w:type="pct"/>
            <w:gridSpan w:val="2"/>
            <w:shd w:val="clear" w:color="auto" w:fill="BFBFBF" w:themeFill="background1" w:themeFillShade="BF"/>
            <w:noWrap/>
            <w:vAlign w:val="center"/>
          </w:tcPr>
          <w:p w14:paraId="4698EDD2" w14:textId="77777777" w:rsidR="00FB6CBA" w:rsidRPr="0071268F" w:rsidRDefault="00FB6CBA" w:rsidP="004E042D">
            <w:pPr>
              <w:pStyle w:val="NoSpacing"/>
              <w:jc w:val="right"/>
              <w:rPr>
                <w:rFonts w:cstheme="minorHAnsi"/>
                <w:b/>
                <w:sz w:val="18"/>
                <w:szCs w:val="18"/>
              </w:rPr>
            </w:pPr>
            <w:r w:rsidRPr="0071268F">
              <w:rPr>
                <w:rFonts w:cstheme="minorHAnsi"/>
                <w:b/>
                <w:sz w:val="18"/>
                <w:szCs w:val="18"/>
              </w:rPr>
              <w:t>-</w:t>
            </w:r>
          </w:p>
        </w:tc>
        <w:tc>
          <w:tcPr>
            <w:tcW w:w="521" w:type="pct"/>
            <w:shd w:val="clear" w:color="auto" w:fill="BFBFBF" w:themeFill="background1" w:themeFillShade="BF"/>
            <w:noWrap/>
            <w:vAlign w:val="center"/>
          </w:tcPr>
          <w:p w14:paraId="73E8723E" w14:textId="24BA5F1C" w:rsidR="00FB6CBA" w:rsidRPr="0071268F" w:rsidRDefault="00FB6CBA" w:rsidP="006D56B6">
            <w:pPr>
              <w:pStyle w:val="NoSpacing"/>
              <w:jc w:val="right"/>
              <w:rPr>
                <w:b/>
                <w:sz w:val="18"/>
                <w:szCs w:val="18"/>
              </w:rPr>
            </w:pPr>
            <w:r w:rsidRPr="0071268F">
              <w:rPr>
                <w:b/>
                <w:sz w:val="18"/>
                <w:szCs w:val="18"/>
              </w:rPr>
              <w:t>$</w:t>
            </w:r>
            <w:r>
              <w:rPr>
                <w:b/>
                <w:sz w:val="18"/>
                <w:szCs w:val="18"/>
              </w:rPr>
              <w:t>1,7</w:t>
            </w:r>
            <w:r w:rsidR="00586E9F">
              <w:rPr>
                <w:b/>
                <w:sz w:val="18"/>
                <w:szCs w:val="18"/>
              </w:rPr>
              <w:t>5</w:t>
            </w:r>
            <w:r w:rsidR="005F0147">
              <w:rPr>
                <w:b/>
                <w:sz w:val="18"/>
                <w:szCs w:val="18"/>
              </w:rPr>
              <w:t>3</w:t>
            </w:r>
            <w:r w:rsidR="00DE724C">
              <w:rPr>
                <w:b/>
                <w:sz w:val="18"/>
                <w:szCs w:val="18"/>
              </w:rPr>
              <w:t>,</w:t>
            </w:r>
            <w:r w:rsidR="006D56B6">
              <w:rPr>
                <w:b/>
                <w:sz w:val="18"/>
                <w:szCs w:val="18"/>
              </w:rPr>
              <w:t>667</w:t>
            </w:r>
          </w:p>
        </w:tc>
      </w:tr>
    </w:tbl>
    <w:p w14:paraId="6D285278" w14:textId="77777777" w:rsidR="004E042D" w:rsidRPr="00116683" w:rsidRDefault="004E042D" w:rsidP="004E042D">
      <w:pPr>
        <w:pStyle w:val="NoSpacing"/>
        <w:spacing w:after="40"/>
        <w:ind w:left="270" w:hanging="270"/>
        <w:rPr>
          <w:rFonts w:ascii="Cambria" w:hAnsi="Cambria"/>
          <w:sz w:val="16"/>
          <w:szCs w:val="16"/>
        </w:rPr>
      </w:pPr>
      <w:r w:rsidRPr="0071268F">
        <w:rPr>
          <w:rFonts w:ascii="Cambria" w:hAnsi="Cambria"/>
          <w:sz w:val="16"/>
          <w:szCs w:val="16"/>
          <w:vertAlign w:val="superscript"/>
        </w:rPr>
        <w:t>1</w:t>
      </w:r>
      <w:r w:rsidRPr="0071268F">
        <w:rPr>
          <w:rFonts w:ascii="Cambria" w:hAnsi="Cambria"/>
          <w:sz w:val="16"/>
          <w:szCs w:val="16"/>
        </w:rPr>
        <w:t xml:space="preserve"> The average hourly earnings of par</w:t>
      </w:r>
      <w:r>
        <w:rPr>
          <w:rFonts w:ascii="Cambria" w:hAnsi="Cambria"/>
          <w:sz w:val="16"/>
          <w:szCs w:val="16"/>
        </w:rPr>
        <w:t>ents derived from May 2016</w:t>
      </w:r>
      <w:r w:rsidRPr="0071268F">
        <w:rPr>
          <w:rFonts w:ascii="Cambria" w:hAnsi="Cambria"/>
          <w:sz w:val="16"/>
          <w:szCs w:val="16"/>
        </w:rPr>
        <w:t xml:space="preserve"> Bureau of </w:t>
      </w:r>
      <w:r>
        <w:rPr>
          <w:rFonts w:ascii="Cambria" w:hAnsi="Cambria"/>
          <w:sz w:val="16"/>
          <w:szCs w:val="16"/>
        </w:rPr>
        <w:t>Labor Statistics (BLS) Occupation Employment Statistics is $23.86</w:t>
      </w:r>
      <w:r w:rsidRPr="0071268F">
        <w:rPr>
          <w:rFonts w:ascii="Cambria" w:hAnsi="Cambria"/>
          <w:sz w:val="16"/>
          <w:szCs w:val="16"/>
        </w:rPr>
        <w:t xml:space="preserve">, of </w:t>
      </w:r>
      <w:r>
        <w:rPr>
          <w:rFonts w:ascii="Cambria" w:hAnsi="Cambria"/>
          <w:sz w:val="16"/>
          <w:szCs w:val="16"/>
        </w:rPr>
        <w:t>middle school teachers is $28.75</w:t>
      </w:r>
      <w:r w:rsidRPr="009E56D2">
        <w:rPr>
          <w:rFonts w:ascii="Cambria" w:hAnsi="Cambria"/>
          <w:sz w:val="16"/>
          <w:szCs w:val="16"/>
        </w:rPr>
        <w:t>, of middle school spec</w:t>
      </w:r>
      <w:r>
        <w:rPr>
          <w:rFonts w:ascii="Cambria" w:hAnsi="Cambria"/>
          <w:sz w:val="16"/>
          <w:szCs w:val="16"/>
        </w:rPr>
        <w:t>ial education teachers is $29.76</w:t>
      </w:r>
      <w:r w:rsidRPr="009E56D2">
        <w:rPr>
          <w:rFonts w:ascii="Cambria" w:hAnsi="Cambria"/>
          <w:sz w:val="16"/>
          <w:szCs w:val="16"/>
        </w:rPr>
        <w:t>, of ed</w:t>
      </w:r>
      <w:r>
        <w:rPr>
          <w:rFonts w:ascii="Cambria" w:hAnsi="Cambria"/>
          <w:sz w:val="16"/>
          <w:szCs w:val="16"/>
        </w:rPr>
        <w:t>ucation administrators is $45.86</w:t>
      </w:r>
      <w:r w:rsidRPr="009E56D2">
        <w:rPr>
          <w:rFonts w:ascii="Cambria" w:hAnsi="Cambria"/>
          <w:sz w:val="16"/>
          <w:szCs w:val="16"/>
        </w:rPr>
        <w:t>, and of educational guidance counselors is $</w:t>
      </w:r>
      <w:r>
        <w:rPr>
          <w:rFonts w:ascii="Cambria" w:hAnsi="Cambria"/>
          <w:sz w:val="16"/>
          <w:szCs w:val="16"/>
        </w:rPr>
        <w:t>27.70</w:t>
      </w:r>
      <w:r w:rsidRPr="00877ED0">
        <w:rPr>
          <w:rFonts w:ascii="Cambria" w:hAnsi="Cambria"/>
          <w:sz w:val="16"/>
          <w:szCs w:val="16"/>
        </w:rPr>
        <w:t>.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w:t>
      </w:r>
      <w:r>
        <w:rPr>
          <w:rFonts w:ascii="Cambria" w:hAnsi="Cambria"/>
          <w:sz w:val="16"/>
          <w:szCs w:val="16"/>
        </w:rPr>
        <w:t>lors (21-1012); accessed on July 6</w:t>
      </w:r>
      <w:r w:rsidRPr="00116683">
        <w:rPr>
          <w:rFonts w:ascii="Cambria" w:hAnsi="Cambria"/>
          <w:sz w:val="16"/>
          <w:szCs w:val="16"/>
        </w:rPr>
        <w:t>, 20</w:t>
      </w:r>
      <w:r>
        <w:rPr>
          <w:rFonts w:ascii="Cambria" w:hAnsi="Cambria"/>
          <w:sz w:val="16"/>
          <w:szCs w:val="16"/>
        </w:rPr>
        <w:t>17</w:t>
      </w:r>
      <w:r w:rsidRPr="00116683">
        <w:rPr>
          <w:rFonts w:ascii="Cambria" w:hAnsi="Cambria"/>
          <w:sz w:val="16"/>
          <w:szCs w:val="16"/>
        </w:rPr>
        <w:t>.</w:t>
      </w:r>
    </w:p>
    <w:p w14:paraId="3EF0BE61" w14:textId="0D5FCABB" w:rsidR="004E042D" w:rsidRPr="00074913" w:rsidRDefault="004E042D" w:rsidP="004E042D">
      <w:pPr>
        <w:pStyle w:val="NoSpacing"/>
        <w:spacing w:after="40"/>
        <w:ind w:left="270" w:hanging="270"/>
        <w:rPr>
          <w:rFonts w:ascii="Cambria" w:hAnsi="Cambria"/>
          <w:sz w:val="16"/>
          <w:szCs w:val="16"/>
        </w:rPr>
      </w:pPr>
      <w:r>
        <w:rPr>
          <w:rFonts w:ascii="Cambria" w:hAnsi="Cambria"/>
          <w:sz w:val="16"/>
          <w:szCs w:val="16"/>
          <w:vertAlign w:val="superscript"/>
        </w:rPr>
        <w:t>2</w:t>
      </w:r>
      <w:r w:rsidRPr="00074913">
        <w:rPr>
          <w:rFonts w:ascii="Cambria" w:hAnsi="Cambria"/>
          <w:sz w:val="16"/>
          <w:szCs w:val="16"/>
        </w:rPr>
        <w:t xml:space="preserve"> Recruitment activities for the </w:t>
      </w:r>
      <w:r>
        <w:rPr>
          <w:rFonts w:ascii="Cambria" w:hAnsi="Cambria"/>
          <w:sz w:val="16"/>
          <w:szCs w:val="16"/>
        </w:rPr>
        <w:t>MS1</w:t>
      </w:r>
      <w:r w:rsidRPr="00074913">
        <w:rPr>
          <w:rFonts w:ascii="Cambria" w:hAnsi="Cambria"/>
          <w:sz w:val="16"/>
          <w:szCs w:val="16"/>
        </w:rPr>
        <w:t xml:space="preserve"> </w:t>
      </w:r>
      <w:r>
        <w:rPr>
          <w:rFonts w:ascii="Cambria" w:hAnsi="Cambria"/>
          <w:sz w:val="16"/>
          <w:szCs w:val="16"/>
        </w:rPr>
        <w:t xml:space="preserve">and OFT2 tracking activities </w:t>
      </w:r>
      <w:r w:rsidR="00A35331">
        <w:rPr>
          <w:rFonts w:ascii="Cambria" w:hAnsi="Cambria"/>
          <w:sz w:val="16"/>
          <w:szCs w:val="16"/>
        </w:rPr>
        <w:t>were not</w:t>
      </w:r>
      <w:r w:rsidRPr="00074913">
        <w:rPr>
          <w:rFonts w:ascii="Cambria" w:hAnsi="Cambria"/>
          <w:sz w:val="16"/>
          <w:szCs w:val="16"/>
        </w:rPr>
        <w:t xml:space="preserve"> completed at the time this request </w:t>
      </w:r>
      <w:r w:rsidR="00A35331">
        <w:rPr>
          <w:rFonts w:ascii="Cambria" w:hAnsi="Cambria"/>
          <w:sz w:val="16"/>
          <w:szCs w:val="16"/>
        </w:rPr>
        <w:t xml:space="preserve">was initially </w:t>
      </w:r>
      <w:r w:rsidRPr="00074913">
        <w:rPr>
          <w:rFonts w:ascii="Cambria" w:hAnsi="Cambria"/>
          <w:sz w:val="16"/>
          <w:szCs w:val="16"/>
        </w:rPr>
        <w:t xml:space="preserve">approved, and thus the approved burden affiliated with the </w:t>
      </w:r>
      <w:r>
        <w:rPr>
          <w:rFonts w:ascii="Cambria" w:hAnsi="Cambria"/>
          <w:sz w:val="16"/>
          <w:szCs w:val="16"/>
        </w:rPr>
        <w:t>MS1</w:t>
      </w:r>
      <w:r w:rsidRPr="00074913">
        <w:rPr>
          <w:rFonts w:ascii="Cambria" w:hAnsi="Cambria"/>
          <w:sz w:val="16"/>
          <w:szCs w:val="16"/>
        </w:rPr>
        <w:t xml:space="preserve"> recruitment</w:t>
      </w:r>
      <w:r>
        <w:rPr>
          <w:rFonts w:ascii="Cambria" w:hAnsi="Cambria"/>
          <w:sz w:val="16"/>
          <w:szCs w:val="16"/>
        </w:rPr>
        <w:t xml:space="preserve"> and OFT2 tracking</w:t>
      </w:r>
      <w:r w:rsidRPr="00074913">
        <w:rPr>
          <w:rFonts w:ascii="Cambria" w:hAnsi="Cambria"/>
          <w:sz w:val="16"/>
          <w:szCs w:val="16"/>
        </w:rPr>
        <w:t xml:space="preserve"> is being carried over and is included in the total requested in this submission.</w:t>
      </w:r>
    </w:p>
    <w:p w14:paraId="34C46196" w14:textId="77777777" w:rsidR="004E042D" w:rsidRPr="00074913" w:rsidRDefault="004E042D" w:rsidP="004E042D">
      <w:pPr>
        <w:pStyle w:val="NoSpacing"/>
        <w:spacing w:after="40"/>
        <w:ind w:left="270" w:hanging="270"/>
        <w:rPr>
          <w:rFonts w:ascii="Cambria" w:hAnsi="Cambria"/>
          <w:sz w:val="16"/>
          <w:szCs w:val="16"/>
        </w:rPr>
      </w:pPr>
      <w:r>
        <w:rPr>
          <w:rFonts w:ascii="Cambria" w:hAnsi="Cambria"/>
          <w:sz w:val="16"/>
          <w:szCs w:val="16"/>
          <w:vertAlign w:val="superscript"/>
        </w:rPr>
        <w:t>3</w:t>
      </w:r>
      <w:r w:rsidRPr="00074913">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6CE082DE" w14:textId="77777777" w:rsidR="004E042D" w:rsidRPr="00074913" w:rsidRDefault="004E042D" w:rsidP="004E042D">
      <w:pPr>
        <w:pStyle w:val="NoSpacing"/>
        <w:spacing w:after="40"/>
        <w:ind w:left="270" w:hanging="270"/>
        <w:rPr>
          <w:rFonts w:ascii="Cambria" w:hAnsi="Cambria"/>
          <w:sz w:val="16"/>
          <w:szCs w:val="16"/>
        </w:rPr>
      </w:pPr>
      <w:r>
        <w:rPr>
          <w:rFonts w:ascii="Cambria" w:hAnsi="Cambria"/>
          <w:sz w:val="16"/>
          <w:szCs w:val="16"/>
          <w:vertAlign w:val="superscript"/>
        </w:rPr>
        <w:t>4</w:t>
      </w:r>
      <w:r w:rsidRPr="00074913">
        <w:rPr>
          <w:rFonts w:ascii="Cambria" w:hAnsi="Cambria"/>
          <w:sz w:val="16"/>
          <w:szCs w:val="16"/>
        </w:rPr>
        <w:t xml:space="preserve"> The number of parent respondents is already included in the recruitment number of respondents.</w:t>
      </w:r>
      <w:r>
        <w:rPr>
          <w:rFonts w:ascii="Cambria" w:hAnsi="Cambria"/>
          <w:sz w:val="16"/>
          <w:szCs w:val="16"/>
        </w:rPr>
        <w:t xml:space="preserve"> The number of parents included in the MS2 locating update is based on an estimated 97 percent Base Year student-eligibility rate.</w:t>
      </w:r>
    </w:p>
    <w:p w14:paraId="7C097482" w14:textId="77777777" w:rsidR="004E042D" w:rsidRPr="00074913" w:rsidRDefault="004E042D" w:rsidP="004E042D">
      <w:pPr>
        <w:pStyle w:val="NoSpacing"/>
        <w:spacing w:after="40"/>
        <w:ind w:left="270" w:hanging="270"/>
        <w:rPr>
          <w:rFonts w:ascii="Cambria" w:hAnsi="Cambria"/>
          <w:sz w:val="16"/>
          <w:szCs w:val="16"/>
        </w:rPr>
      </w:pPr>
      <w:r>
        <w:rPr>
          <w:rFonts w:ascii="Cambria" w:hAnsi="Cambria"/>
          <w:sz w:val="16"/>
          <w:szCs w:val="16"/>
          <w:vertAlign w:val="superscript"/>
        </w:rPr>
        <w:t>5</w:t>
      </w:r>
      <w:r w:rsidRPr="00074913">
        <w:rPr>
          <w:rFonts w:ascii="Cambria" w:hAnsi="Cambria"/>
          <w:sz w:val="16"/>
          <w:szCs w:val="16"/>
        </w:rPr>
        <w:t xml:space="preserve"> Teachers will be asked to complete student-level reports regardless of the students’ participation, so this estimate </w:t>
      </w:r>
      <w:r>
        <w:rPr>
          <w:rFonts w:ascii="Cambria" w:hAnsi="Cambria"/>
          <w:sz w:val="16"/>
          <w:szCs w:val="16"/>
        </w:rPr>
        <w:t>accounts for 85</w:t>
      </w:r>
      <w:r w:rsidRPr="001E4ACF">
        <w:rPr>
          <w:rFonts w:ascii="Cambria" w:hAnsi="Cambria"/>
          <w:sz w:val="16"/>
          <w:szCs w:val="16"/>
        </w:rPr>
        <w:t>% of the sam</w:t>
      </w:r>
      <w:r w:rsidRPr="00074913">
        <w:rPr>
          <w:rFonts w:ascii="Cambria" w:hAnsi="Cambria"/>
          <w:sz w:val="16"/>
          <w:szCs w:val="16"/>
        </w:rPr>
        <w:t>pled students.</w:t>
      </w:r>
    </w:p>
    <w:p w14:paraId="11C794CB" w14:textId="77777777" w:rsidR="004E042D" w:rsidRPr="00074913" w:rsidRDefault="004E042D" w:rsidP="004E042D">
      <w:pPr>
        <w:pStyle w:val="NoSpacing"/>
        <w:spacing w:after="40"/>
        <w:ind w:left="270" w:hanging="270"/>
        <w:rPr>
          <w:rFonts w:ascii="Cambria" w:hAnsi="Cambria"/>
          <w:sz w:val="16"/>
          <w:szCs w:val="16"/>
        </w:rPr>
      </w:pPr>
      <w:r>
        <w:rPr>
          <w:rFonts w:ascii="Cambria" w:hAnsi="Cambria"/>
          <w:sz w:val="16"/>
          <w:szCs w:val="16"/>
          <w:vertAlign w:val="superscript"/>
        </w:rPr>
        <w:t>6</w:t>
      </w:r>
      <w:r w:rsidRPr="00074913">
        <w:rPr>
          <w:rFonts w:ascii="Cambria" w:hAnsi="Cambria"/>
          <w:sz w:val="16"/>
          <w:szCs w:val="16"/>
        </w:rPr>
        <w:t xml:space="preserve"> The number of student-level reports </w:t>
      </w:r>
      <w:r w:rsidRPr="001E4ACF">
        <w:rPr>
          <w:rFonts w:ascii="Cambria" w:hAnsi="Cambria"/>
          <w:sz w:val="16"/>
          <w:szCs w:val="16"/>
        </w:rPr>
        <w:t xml:space="preserve">estimates </w:t>
      </w:r>
      <w:r>
        <w:rPr>
          <w:rFonts w:ascii="Cambria" w:hAnsi="Cambria"/>
          <w:sz w:val="16"/>
          <w:szCs w:val="16"/>
        </w:rPr>
        <w:t>approximately 10.5</w:t>
      </w:r>
      <w:r w:rsidRPr="001E4ACF">
        <w:rPr>
          <w:rFonts w:ascii="Cambria" w:hAnsi="Cambria"/>
          <w:sz w:val="16"/>
          <w:szCs w:val="16"/>
        </w:rPr>
        <w:t xml:space="preserve"> students with IEPs per school.</w:t>
      </w:r>
    </w:p>
    <w:p w14:paraId="30A3E313" w14:textId="77777777" w:rsidR="004E042D" w:rsidRDefault="004E042D" w:rsidP="004E042D">
      <w:pPr>
        <w:pStyle w:val="NoSpacing"/>
        <w:spacing w:after="40"/>
        <w:ind w:left="270" w:hanging="270"/>
        <w:rPr>
          <w:rFonts w:ascii="Cambria" w:hAnsi="Cambria"/>
          <w:sz w:val="16"/>
          <w:szCs w:val="16"/>
        </w:rPr>
      </w:pPr>
      <w:r>
        <w:rPr>
          <w:rFonts w:ascii="Cambria" w:hAnsi="Cambria"/>
          <w:sz w:val="16"/>
          <w:szCs w:val="16"/>
          <w:vertAlign w:val="superscript"/>
        </w:rPr>
        <w:t>7</w:t>
      </w:r>
      <w:r w:rsidRPr="00074913">
        <w:rPr>
          <w:rFonts w:ascii="Cambria" w:hAnsi="Cambria"/>
          <w:sz w:val="16"/>
          <w:szCs w:val="16"/>
        </w:rPr>
        <w:t xml:space="preserve"> This estimate includes schools that students left after grade 6 because the schools end in grade 6, and other schools from which students moved since</w:t>
      </w:r>
      <w:r>
        <w:rPr>
          <w:rFonts w:ascii="Cambria" w:hAnsi="Cambria"/>
          <w:sz w:val="16"/>
          <w:szCs w:val="16"/>
        </w:rPr>
        <w:t xml:space="preserve"> their participation in MGLS 2017 Base Year (when they were in grade 6)</w:t>
      </w:r>
      <w:r w:rsidRPr="008771D4">
        <w:rPr>
          <w:rFonts w:ascii="Cambria" w:hAnsi="Cambria"/>
          <w:sz w:val="16"/>
          <w:szCs w:val="16"/>
        </w:rPr>
        <w:t>.</w:t>
      </w:r>
    </w:p>
    <w:p w14:paraId="5D1F5B2D" w14:textId="38DAD17A" w:rsidR="00DE724C" w:rsidRPr="00B36772" w:rsidRDefault="00DE724C" w:rsidP="004E042D">
      <w:pPr>
        <w:pStyle w:val="NoSpacing"/>
        <w:spacing w:after="40"/>
        <w:ind w:left="270" w:hanging="270"/>
        <w:rPr>
          <w:rFonts w:ascii="Cambria" w:hAnsi="Cambria"/>
          <w:sz w:val="16"/>
          <w:szCs w:val="16"/>
        </w:rPr>
      </w:pPr>
      <w:r w:rsidRPr="00DE724C">
        <w:rPr>
          <w:rFonts w:ascii="Cambria" w:hAnsi="Cambria"/>
          <w:sz w:val="16"/>
          <w:szCs w:val="16"/>
          <w:vertAlign w:val="superscript"/>
        </w:rPr>
        <w:t xml:space="preserve">8 </w:t>
      </w:r>
      <w:r>
        <w:rPr>
          <w:rFonts w:ascii="Cambria" w:hAnsi="Cambria"/>
          <w:sz w:val="16"/>
          <w:szCs w:val="16"/>
        </w:rPr>
        <w:t>This is a conservative estimate</w:t>
      </w:r>
      <w:r w:rsidR="001B7F50">
        <w:rPr>
          <w:rFonts w:ascii="Cambria" w:hAnsi="Cambria"/>
          <w:sz w:val="16"/>
          <w:szCs w:val="16"/>
        </w:rPr>
        <w:t xml:space="preserve"> of district count</w:t>
      </w:r>
      <w:r>
        <w:rPr>
          <w:rFonts w:ascii="Cambria" w:hAnsi="Cambria"/>
          <w:sz w:val="16"/>
          <w:szCs w:val="16"/>
        </w:rPr>
        <w:t>; actual num</w:t>
      </w:r>
      <w:r w:rsidR="001B7F50">
        <w:rPr>
          <w:rFonts w:ascii="Cambria" w:hAnsi="Cambria"/>
          <w:sz w:val="16"/>
          <w:szCs w:val="16"/>
        </w:rPr>
        <w:t xml:space="preserve">ber </w:t>
      </w:r>
      <w:r>
        <w:rPr>
          <w:rFonts w:ascii="Cambria" w:hAnsi="Cambria"/>
          <w:sz w:val="16"/>
          <w:szCs w:val="16"/>
        </w:rPr>
        <w:t xml:space="preserve">may be </w:t>
      </w:r>
      <w:r w:rsidR="005F0147">
        <w:rPr>
          <w:rFonts w:ascii="Cambria" w:hAnsi="Cambria"/>
          <w:sz w:val="16"/>
          <w:szCs w:val="16"/>
        </w:rPr>
        <w:t xml:space="preserve">slightly </w:t>
      </w:r>
      <w:r>
        <w:rPr>
          <w:rFonts w:ascii="Cambria" w:hAnsi="Cambria"/>
          <w:sz w:val="16"/>
          <w:szCs w:val="16"/>
        </w:rPr>
        <w:t>less</w:t>
      </w:r>
      <w:r w:rsidR="00AD273B">
        <w:rPr>
          <w:rFonts w:ascii="Cambria" w:hAnsi="Cambria"/>
          <w:sz w:val="16"/>
          <w:szCs w:val="16"/>
        </w:rPr>
        <w:t>,</w:t>
      </w:r>
      <w:r>
        <w:rPr>
          <w:rFonts w:ascii="Cambria" w:hAnsi="Cambria"/>
          <w:sz w:val="16"/>
          <w:szCs w:val="16"/>
        </w:rPr>
        <w:t xml:space="preserve"> subject to further analysis.</w:t>
      </w:r>
    </w:p>
    <w:p w14:paraId="1A4B13A4" w14:textId="77777777" w:rsidR="004E042D" w:rsidRDefault="004E042D" w:rsidP="00AE210D">
      <w:pPr>
        <w:pStyle w:val="NoSpacing"/>
        <w:widowControl w:val="0"/>
        <w:ind w:left="274" w:hanging="274"/>
        <w:rPr>
          <w:rFonts w:ascii="Cambria" w:hAnsi="Cambria"/>
        </w:rPr>
      </w:pPr>
      <w:r w:rsidRPr="00B36772">
        <w:rPr>
          <w:rFonts w:ascii="Cambria" w:hAnsi="Cambria"/>
          <w:sz w:val="16"/>
          <w:szCs w:val="16"/>
        </w:rPr>
        <w:t>* The same respondent group as above, not double counted in the total number of respondents.</w:t>
      </w:r>
    </w:p>
    <w:p w14:paraId="4D3D35D9" w14:textId="77777777" w:rsidR="004E042D" w:rsidRDefault="004E042D" w:rsidP="001A53B5">
      <w:pPr>
        <w:pStyle w:val="Heading2"/>
        <w:spacing w:before="0" w:line="240" w:lineRule="auto"/>
        <w:rPr>
          <w:rFonts w:ascii="Cambria" w:hAnsi="Cambria"/>
        </w:rPr>
      </w:pPr>
    </w:p>
    <w:p w14:paraId="20AA55CF" w14:textId="77777777" w:rsidR="00501AA5" w:rsidRPr="00BA441F" w:rsidRDefault="00501AA5" w:rsidP="00501AA5">
      <w:pPr>
        <w:pStyle w:val="Heading2"/>
        <w:keepNext w:val="0"/>
        <w:keepLines w:val="0"/>
        <w:spacing w:before="0" w:after="120" w:line="240" w:lineRule="auto"/>
        <w:rPr>
          <w:rFonts w:ascii="Cambria" w:hAnsi="Cambria"/>
        </w:rPr>
      </w:pPr>
      <w:bookmarkStart w:id="34" w:name="_Toc498951229"/>
      <w:bookmarkStart w:id="35" w:name="_Toc521406231"/>
      <w:bookmarkEnd w:id="33"/>
      <w:r w:rsidRPr="00BA441F">
        <w:rPr>
          <w:rFonts w:ascii="Cambria" w:hAnsi="Cambria"/>
        </w:rPr>
        <w:t>A.13 Total Annual Cost Burden</w:t>
      </w:r>
      <w:bookmarkEnd w:id="34"/>
      <w:bookmarkEnd w:id="35"/>
    </w:p>
    <w:p w14:paraId="41AAA1D8" w14:textId="77777777" w:rsidR="00501AA5" w:rsidRDefault="00501AA5" w:rsidP="00501AA5">
      <w:pPr>
        <w:spacing w:after="120" w:line="240" w:lineRule="auto"/>
        <w:rPr>
          <w:rFonts w:ascii="Cambria" w:hAnsi="Cambria"/>
        </w:rPr>
      </w:pPr>
      <w:r w:rsidRPr="00BA441F">
        <w:rPr>
          <w:rFonts w:ascii="Cambria" w:hAnsi="Cambria"/>
        </w:rPr>
        <w:t>There are no respondent costs other than the cost associated with response time burden.</w:t>
      </w:r>
    </w:p>
    <w:p w14:paraId="4A0FA56C" w14:textId="77777777" w:rsidR="00501AA5" w:rsidRPr="0092310C" w:rsidRDefault="00501AA5" w:rsidP="00501AA5">
      <w:pPr>
        <w:pStyle w:val="Heading2"/>
        <w:keepNext w:val="0"/>
        <w:keepLines w:val="0"/>
        <w:spacing w:before="0" w:after="120" w:line="240" w:lineRule="auto"/>
        <w:rPr>
          <w:rFonts w:ascii="Cambria" w:hAnsi="Cambria"/>
        </w:rPr>
      </w:pPr>
      <w:bookmarkStart w:id="36" w:name="_Toc412022734"/>
      <w:bookmarkStart w:id="37" w:name="_Toc498951230"/>
      <w:bookmarkStart w:id="38" w:name="_Toc521406232"/>
      <w:r w:rsidRPr="0092310C">
        <w:rPr>
          <w:rFonts w:ascii="Cambria" w:hAnsi="Cambria"/>
        </w:rPr>
        <w:t>A.14 Annualized Cost to Federal Government</w:t>
      </w:r>
      <w:bookmarkEnd w:id="36"/>
      <w:bookmarkEnd w:id="37"/>
      <w:bookmarkEnd w:id="38"/>
    </w:p>
    <w:p w14:paraId="554A04CA" w14:textId="455A204C" w:rsidR="00501AA5" w:rsidRDefault="00501AA5" w:rsidP="00501AA5">
      <w:pPr>
        <w:spacing w:after="120" w:line="240" w:lineRule="auto"/>
        <w:rPr>
          <w:rFonts w:ascii="Cambria" w:hAnsi="Cambria"/>
        </w:rPr>
      </w:pPr>
      <w:r>
        <w:rPr>
          <w:rFonts w:ascii="Cambria" w:hAnsi="Cambria"/>
        </w:rPr>
        <w:t>As shown in table 7, t</w:t>
      </w:r>
      <w:r w:rsidRPr="00BA441F">
        <w:rPr>
          <w:rFonts w:ascii="Cambria" w:hAnsi="Cambria"/>
        </w:rPr>
        <w:t xml:space="preserve">he estimated cost to the federal government for contractor and subcontractor work to conduct </w:t>
      </w:r>
      <w:r>
        <w:rPr>
          <w:rFonts w:ascii="Cambria" w:hAnsi="Cambria"/>
        </w:rPr>
        <w:t xml:space="preserve">all aspects of MS1, </w:t>
      </w:r>
      <w:r w:rsidRPr="00BA441F">
        <w:rPr>
          <w:rFonts w:ascii="Cambria" w:hAnsi="Cambria"/>
        </w:rPr>
        <w:t>OFT</w:t>
      </w:r>
      <w:r>
        <w:rPr>
          <w:rFonts w:ascii="Cambria" w:hAnsi="Cambria"/>
        </w:rPr>
        <w:t>2,</w:t>
      </w:r>
      <w:r w:rsidRPr="00BA441F">
        <w:rPr>
          <w:rFonts w:ascii="Cambria" w:hAnsi="Cambria"/>
        </w:rPr>
        <w:t xml:space="preserve"> </w:t>
      </w:r>
      <w:r>
        <w:rPr>
          <w:rFonts w:ascii="Cambria" w:hAnsi="Cambria"/>
        </w:rPr>
        <w:t>OFT3 Tracking, and MS2 tracking and recruitment</w:t>
      </w:r>
      <w:r w:rsidRPr="00BA441F">
        <w:rPr>
          <w:rFonts w:ascii="Cambria" w:hAnsi="Cambria"/>
        </w:rPr>
        <w:t xml:space="preserve"> </w:t>
      </w:r>
      <w:r w:rsidRPr="008A3477">
        <w:rPr>
          <w:rFonts w:ascii="Cambria" w:hAnsi="Cambria"/>
        </w:rPr>
        <w:t>is $</w:t>
      </w:r>
      <w:r w:rsidR="00250167" w:rsidRPr="00250167">
        <w:rPr>
          <w:rFonts w:ascii="Cambria" w:hAnsi="Cambria"/>
        </w:rPr>
        <w:t>13,371,989</w:t>
      </w:r>
      <w:r w:rsidRPr="008A3477">
        <w:rPr>
          <w:rFonts w:ascii="Cambria" w:hAnsi="Cambria"/>
        </w:rPr>
        <w:t xml:space="preserve">. These figures include costs for planning, instrument development, recruitment, data collection, data analysis, and reporting. The total cost for the activities requested in this submission is </w:t>
      </w:r>
      <w:r w:rsidRPr="00083328">
        <w:rPr>
          <w:rFonts w:ascii="Cambria" w:hAnsi="Cambria"/>
        </w:rPr>
        <w:t>$</w:t>
      </w:r>
      <w:r w:rsidRPr="00075EF4">
        <w:rPr>
          <w:rFonts w:ascii="Cambria" w:hAnsi="Cambria"/>
          <w:b/>
        </w:rPr>
        <w:t>11,</w:t>
      </w:r>
      <w:r w:rsidR="00250167">
        <w:rPr>
          <w:rFonts w:ascii="Cambria" w:hAnsi="Cambria"/>
          <w:b/>
        </w:rPr>
        <w:t>75</w:t>
      </w:r>
      <w:r w:rsidRPr="00075EF4">
        <w:rPr>
          <w:rFonts w:ascii="Cambria" w:hAnsi="Cambria"/>
          <w:b/>
        </w:rPr>
        <w:t>3,041</w:t>
      </w:r>
      <w:r>
        <w:rPr>
          <w:rFonts w:ascii="Cambria" w:hAnsi="Cambria"/>
        </w:rPr>
        <w:t xml:space="preserve"> (not including the </w:t>
      </w:r>
      <w:r w:rsidR="00891DDC">
        <w:rPr>
          <w:rFonts w:ascii="Cambria" w:hAnsi="Cambria"/>
        </w:rPr>
        <w:t>previously</w:t>
      </w:r>
      <w:r>
        <w:rPr>
          <w:rFonts w:ascii="Cambria" w:hAnsi="Cambria"/>
        </w:rPr>
        <w:t xml:space="preserve"> approved MS1 </w:t>
      </w:r>
      <w:r w:rsidRPr="00075EF4">
        <w:rPr>
          <w:rFonts w:ascii="Cambria" w:hAnsi="Cambria"/>
        </w:rPr>
        <w:t>Sampling and Recruitment</w:t>
      </w:r>
      <w:r>
        <w:rPr>
          <w:rFonts w:ascii="Cambria" w:hAnsi="Cambria"/>
        </w:rPr>
        <w:t xml:space="preserve"> and OFT2 </w:t>
      </w:r>
      <w:r w:rsidRPr="00075EF4">
        <w:rPr>
          <w:rFonts w:ascii="Cambria" w:hAnsi="Cambria"/>
        </w:rPr>
        <w:t>Tracking and Recruitment</w:t>
      </w:r>
      <w:r>
        <w:rPr>
          <w:rFonts w:ascii="Cambria" w:hAnsi="Cambria"/>
        </w:rPr>
        <w:t>)</w:t>
      </w:r>
      <w:r w:rsidRPr="00083328">
        <w:rPr>
          <w:rFonts w:ascii="Cambria" w:hAnsi="Cambria"/>
        </w:rPr>
        <w:t>.</w:t>
      </w:r>
    </w:p>
    <w:p w14:paraId="13A68A15" w14:textId="77777777" w:rsidR="00501AA5" w:rsidRPr="008771D4" w:rsidRDefault="00501AA5" w:rsidP="00501AA5">
      <w:pPr>
        <w:pStyle w:val="ExhibitTitle"/>
        <w:spacing w:after="60"/>
        <w:rPr>
          <w:rFonts w:ascii="Cambria" w:hAnsi="Cambria"/>
          <w:sz w:val="22"/>
          <w:szCs w:val="22"/>
        </w:rPr>
      </w:pPr>
      <w:bookmarkStart w:id="39" w:name="_Toc427332890"/>
      <w:r w:rsidRPr="008771D4">
        <w:rPr>
          <w:rFonts w:ascii="Cambria" w:hAnsi="Cambria"/>
          <w:sz w:val="22"/>
          <w:szCs w:val="22"/>
        </w:rPr>
        <w:t xml:space="preserve">Table </w:t>
      </w:r>
      <w:r>
        <w:rPr>
          <w:rFonts w:ascii="Cambria" w:hAnsi="Cambria"/>
          <w:sz w:val="22"/>
          <w:szCs w:val="22"/>
        </w:rPr>
        <w:t>7</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9"/>
      <w:r w:rsidRPr="008771D4">
        <w:rPr>
          <w:rFonts w:ascii="Cambria" w:hAnsi="Cambria"/>
          <w:sz w:val="22"/>
          <w:szCs w:val="22"/>
        </w:rPr>
        <w:t xml:space="preserve"> for </w:t>
      </w:r>
      <w:r>
        <w:rPr>
          <w:rFonts w:ascii="Cambria" w:hAnsi="Cambria"/>
          <w:sz w:val="22"/>
          <w:szCs w:val="22"/>
        </w:rPr>
        <w:t>OFT2 and MS1</w:t>
      </w:r>
      <w:r w:rsidRPr="008771D4">
        <w:rPr>
          <w:rFonts w:ascii="Cambria" w:hAnsi="Cambria"/>
          <w:sz w:val="22"/>
          <w:szCs w:val="22"/>
        </w:rPr>
        <w:t xml:space="preserve">, </w:t>
      </w:r>
      <w:r>
        <w:rPr>
          <w:rFonts w:ascii="Cambria" w:hAnsi="Cambria"/>
          <w:sz w:val="22"/>
          <w:szCs w:val="22"/>
        </w:rPr>
        <w:t>and for Tracking and Recruitment for MS2</w:t>
      </w:r>
      <w:r w:rsidRPr="00651C99">
        <w:rPr>
          <w:vertAlign w:val="superscript"/>
        </w:rPr>
        <w:t>1</w:t>
      </w:r>
    </w:p>
    <w:tbl>
      <w:tblPr>
        <w:tblW w:w="5000" w:type="pct"/>
        <w:tblLook w:val="04A0" w:firstRow="1" w:lastRow="0" w:firstColumn="1" w:lastColumn="0" w:noHBand="0" w:noVBand="1"/>
      </w:tblPr>
      <w:tblGrid>
        <w:gridCol w:w="7808"/>
        <w:gridCol w:w="3064"/>
      </w:tblGrid>
      <w:tr w:rsidR="00501AA5" w:rsidRPr="00346F91" w14:paraId="4D0F6B0D" w14:textId="77777777" w:rsidTr="009C1F2B">
        <w:trPr>
          <w:trHeight w:val="144"/>
        </w:trPr>
        <w:tc>
          <w:tcPr>
            <w:tcW w:w="3591" w:type="pct"/>
            <w:tcBorders>
              <w:top w:val="single" w:sz="12" w:space="0" w:color="auto"/>
              <w:left w:val="nil"/>
              <w:bottom w:val="nil"/>
              <w:right w:val="nil"/>
            </w:tcBorders>
            <w:shd w:val="clear" w:color="000000" w:fill="FFFFFF"/>
            <w:vAlign w:val="center"/>
          </w:tcPr>
          <w:p w14:paraId="770C1327" w14:textId="77777777" w:rsidR="00501AA5" w:rsidRPr="008771D4" w:rsidRDefault="00501AA5" w:rsidP="009C1F2B">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Pr>
                <w:rFonts w:asciiTheme="minorHAnsi" w:hAnsiTheme="minorHAnsi"/>
                <w:b/>
              </w:rPr>
              <w:t>Base Year (MS1)</w:t>
            </w:r>
          </w:p>
        </w:tc>
        <w:tc>
          <w:tcPr>
            <w:tcW w:w="1409" w:type="pct"/>
            <w:tcBorders>
              <w:top w:val="single" w:sz="12" w:space="0" w:color="auto"/>
              <w:left w:val="nil"/>
              <w:bottom w:val="nil"/>
              <w:right w:val="nil"/>
            </w:tcBorders>
            <w:shd w:val="clear" w:color="000000" w:fill="FFFFFF"/>
            <w:noWrap/>
            <w:vAlign w:val="center"/>
          </w:tcPr>
          <w:p w14:paraId="2547C2F8" w14:textId="77777777" w:rsidR="00501AA5" w:rsidRPr="00083328" w:rsidRDefault="00501AA5" w:rsidP="009C1F2B">
            <w:pPr>
              <w:pStyle w:val="Tabletext"/>
              <w:keepNext w:val="0"/>
              <w:widowControl w:val="0"/>
              <w:spacing w:before="0" w:after="0"/>
              <w:jc w:val="right"/>
              <w:rPr>
                <w:rFonts w:asciiTheme="minorHAnsi" w:hAnsiTheme="minorHAnsi"/>
                <w:b/>
              </w:rPr>
            </w:pPr>
            <w:r w:rsidRPr="00083328">
              <w:rPr>
                <w:rFonts w:asciiTheme="minorHAnsi" w:hAnsiTheme="minorHAnsi"/>
                <w:b/>
              </w:rPr>
              <w:t xml:space="preserve"> $ 10,865,667 </w:t>
            </w:r>
          </w:p>
        </w:tc>
      </w:tr>
      <w:tr w:rsidR="00501AA5" w:rsidRPr="00346F91" w14:paraId="32BB762C" w14:textId="77777777" w:rsidTr="009C1F2B">
        <w:trPr>
          <w:trHeight w:val="144"/>
        </w:trPr>
        <w:tc>
          <w:tcPr>
            <w:tcW w:w="3591" w:type="pct"/>
            <w:tcBorders>
              <w:top w:val="nil"/>
              <w:left w:val="nil"/>
              <w:bottom w:val="nil"/>
              <w:right w:val="nil"/>
            </w:tcBorders>
            <w:shd w:val="clear" w:color="000000" w:fill="FFFFFF"/>
            <w:vAlign w:val="center"/>
          </w:tcPr>
          <w:p w14:paraId="638AAC16" w14:textId="77777777" w:rsidR="00501AA5" w:rsidRPr="008771D4" w:rsidRDefault="00501AA5" w:rsidP="009C1F2B">
            <w:pPr>
              <w:pStyle w:val="Tabletext"/>
              <w:keepNext w:val="0"/>
              <w:widowControl w:val="0"/>
              <w:spacing w:before="0" w:after="0"/>
              <w:rPr>
                <w:rFonts w:asciiTheme="minorHAnsi" w:hAnsiTheme="minorHAnsi"/>
                <w:b/>
              </w:rPr>
            </w:pPr>
            <w:r>
              <w:rPr>
                <w:rFonts w:asciiTheme="minorHAnsi" w:hAnsiTheme="minorHAnsi"/>
              </w:rPr>
              <w:t>Main Study Base Year</w:t>
            </w:r>
            <w:r w:rsidRPr="008771D4">
              <w:rPr>
                <w:rFonts w:asciiTheme="minorHAnsi" w:hAnsiTheme="minorHAnsi"/>
              </w:rPr>
              <w:t xml:space="preserve"> – Sampling and Recruitment</w:t>
            </w:r>
          </w:p>
        </w:tc>
        <w:tc>
          <w:tcPr>
            <w:tcW w:w="1409" w:type="pct"/>
            <w:tcBorders>
              <w:top w:val="nil"/>
              <w:left w:val="nil"/>
              <w:bottom w:val="nil"/>
              <w:right w:val="nil"/>
            </w:tcBorders>
            <w:shd w:val="clear" w:color="000000" w:fill="FFFFFF"/>
            <w:noWrap/>
            <w:vAlign w:val="center"/>
          </w:tcPr>
          <w:p w14:paraId="59F8A414" w14:textId="77777777" w:rsidR="00501AA5" w:rsidRPr="00083328" w:rsidRDefault="00501AA5" w:rsidP="009C1F2B">
            <w:pPr>
              <w:pStyle w:val="Tabletext"/>
              <w:keepNext w:val="0"/>
              <w:widowControl w:val="0"/>
              <w:spacing w:before="0" w:after="0"/>
              <w:jc w:val="right"/>
              <w:rPr>
                <w:rFonts w:asciiTheme="minorHAnsi" w:hAnsiTheme="minorHAnsi"/>
                <w:b/>
              </w:rPr>
            </w:pPr>
            <w:r w:rsidRPr="00083328">
              <w:rPr>
                <w:rFonts w:asciiTheme="minorHAnsi" w:hAnsiTheme="minorHAnsi"/>
              </w:rPr>
              <w:t xml:space="preserve"> $ 1,302,292 </w:t>
            </w:r>
          </w:p>
        </w:tc>
      </w:tr>
      <w:tr w:rsidR="00501AA5" w:rsidRPr="00346F91" w14:paraId="01665DAB" w14:textId="77777777" w:rsidTr="009C1F2B">
        <w:trPr>
          <w:trHeight w:val="144"/>
        </w:trPr>
        <w:tc>
          <w:tcPr>
            <w:tcW w:w="3591" w:type="pct"/>
            <w:tcBorders>
              <w:top w:val="nil"/>
              <w:left w:val="nil"/>
              <w:bottom w:val="nil"/>
              <w:right w:val="nil"/>
            </w:tcBorders>
            <w:shd w:val="clear" w:color="000000" w:fill="FFFFFF"/>
            <w:vAlign w:val="center"/>
          </w:tcPr>
          <w:p w14:paraId="5CB146D5" w14:textId="77777777" w:rsidR="00501AA5" w:rsidRPr="008771D4" w:rsidRDefault="00501AA5" w:rsidP="009C1F2B">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Pr>
                <w:rFonts w:asciiTheme="minorHAnsi" w:hAnsiTheme="minorHAnsi"/>
              </w:rPr>
              <w:t>Base Year</w:t>
            </w:r>
            <w:r w:rsidRPr="008771D4">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17F732D9" w14:textId="77777777" w:rsidR="00501AA5" w:rsidRPr="00083328" w:rsidRDefault="00501AA5" w:rsidP="009C1F2B">
            <w:pPr>
              <w:pStyle w:val="Tabletext"/>
              <w:keepNext w:val="0"/>
              <w:widowControl w:val="0"/>
              <w:spacing w:before="0" w:after="0"/>
              <w:jc w:val="right"/>
              <w:rPr>
                <w:rFonts w:asciiTheme="minorHAnsi" w:hAnsiTheme="minorHAnsi"/>
              </w:rPr>
            </w:pPr>
            <w:r w:rsidRPr="00083328">
              <w:rPr>
                <w:rFonts w:asciiTheme="minorHAnsi" w:hAnsiTheme="minorHAnsi"/>
              </w:rPr>
              <w:t xml:space="preserve"> $ 9,563,375 </w:t>
            </w:r>
          </w:p>
        </w:tc>
      </w:tr>
      <w:tr w:rsidR="00501AA5" w:rsidRPr="00346F91" w14:paraId="489C7E09" w14:textId="77777777" w:rsidTr="009C1F2B">
        <w:trPr>
          <w:trHeight w:val="144"/>
        </w:trPr>
        <w:tc>
          <w:tcPr>
            <w:tcW w:w="3591" w:type="pct"/>
            <w:tcBorders>
              <w:top w:val="nil"/>
              <w:left w:val="nil"/>
              <w:bottom w:val="nil"/>
              <w:right w:val="nil"/>
            </w:tcBorders>
            <w:shd w:val="clear" w:color="000000" w:fill="FFFFFF"/>
            <w:vAlign w:val="center"/>
          </w:tcPr>
          <w:p w14:paraId="4F240A63" w14:textId="77777777" w:rsidR="00501AA5" w:rsidRPr="00A3260D" w:rsidRDefault="00501AA5" w:rsidP="009C1F2B">
            <w:pPr>
              <w:pStyle w:val="Tabletext"/>
              <w:keepNext w:val="0"/>
              <w:widowControl w:val="0"/>
              <w:spacing w:before="0" w:after="0"/>
              <w:rPr>
                <w:rFonts w:asciiTheme="minorHAnsi" w:hAnsiTheme="minorHAnsi"/>
                <w:b/>
              </w:rPr>
            </w:pPr>
            <w:r w:rsidRPr="00A3260D">
              <w:rPr>
                <w:rFonts w:asciiTheme="minorHAnsi" w:hAnsiTheme="minorHAnsi"/>
                <w:b/>
              </w:rPr>
              <w:t>Main Study First Follow-up – Tracking and Recruitment</w:t>
            </w:r>
            <w:r>
              <w:rPr>
                <w:rFonts w:asciiTheme="minorHAnsi" w:hAnsiTheme="minorHAnsi"/>
                <w:b/>
              </w:rPr>
              <w:t xml:space="preserve"> (MS2)</w:t>
            </w:r>
          </w:p>
        </w:tc>
        <w:tc>
          <w:tcPr>
            <w:tcW w:w="1409" w:type="pct"/>
            <w:tcBorders>
              <w:top w:val="nil"/>
              <w:left w:val="nil"/>
              <w:bottom w:val="nil"/>
              <w:right w:val="nil"/>
            </w:tcBorders>
            <w:shd w:val="clear" w:color="000000" w:fill="FFFFFF"/>
            <w:noWrap/>
            <w:vAlign w:val="center"/>
          </w:tcPr>
          <w:p w14:paraId="34AF6AAF" w14:textId="77777777" w:rsidR="00501AA5" w:rsidRPr="00083328" w:rsidRDefault="00501AA5" w:rsidP="009C1F2B">
            <w:pPr>
              <w:pStyle w:val="Tabletext"/>
              <w:keepNext w:val="0"/>
              <w:widowControl w:val="0"/>
              <w:spacing w:before="0" w:after="0"/>
              <w:jc w:val="right"/>
              <w:rPr>
                <w:rFonts w:asciiTheme="minorHAnsi" w:hAnsiTheme="minorHAnsi"/>
                <w:b/>
              </w:rPr>
            </w:pPr>
            <w:r w:rsidRPr="00083328">
              <w:rPr>
                <w:rFonts w:asciiTheme="minorHAnsi" w:hAnsiTheme="minorHAnsi"/>
                <w:b/>
              </w:rPr>
              <w:t>$397,437</w:t>
            </w:r>
          </w:p>
        </w:tc>
      </w:tr>
      <w:tr w:rsidR="00501AA5" w:rsidRPr="00346F91" w14:paraId="61A4C309" w14:textId="77777777" w:rsidTr="009C1F2B">
        <w:trPr>
          <w:trHeight w:val="144"/>
        </w:trPr>
        <w:tc>
          <w:tcPr>
            <w:tcW w:w="3591" w:type="pct"/>
            <w:tcBorders>
              <w:top w:val="nil"/>
              <w:left w:val="nil"/>
              <w:bottom w:val="nil"/>
              <w:right w:val="nil"/>
            </w:tcBorders>
            <w:shd w:val="clear" w:color="000000" w:fill="FFFFFF"/>
            <w:vAlign w:val="center"/>
          </w:tcPr>
          <w:p w14:paraId="09C6B5CF" w14:textId="5B2D2BA5" w:rsidR="00501AA5" w:rsidRPr="00501AA5" w:rsidRDefault="00501AA5" w:rsidP="009C1F2B">
            <w:pPr>
              <w:pStyle w:val="Tabletext"/>
              <w:keepNext w:val="0"/>
              <w:widowControl w:val="0"/>
              <w:spacing w:before="0" w:after="0"/>
              <w:rPr>
                <w:rFonts w:asciiTheme="minorHAnsi" w:hAnsiTheme="minorHAnsi"/>
              </w:rPr>
            </w:pPr>
            <w:r w:rsidRPr="00501AA5">
              <w:rPr>
                <w:rFonts w:asciiTheme="minorHAnsi" w:hAnsiTheme="minorHAnsi"/>
              </w:rPr>
              <w:t>Main Study</w:t>
            </w:r>
            <w:r>
              <w:rPr>
                <w:rFonts w:asciiTheme="minorHAnsi" w:hAnsiTheme="minorHAnsi"/>
              </w:rPr>
              <w:t xml:space="preserve"> First Follow-up Notification</w:t>
            </w:r>
          </w:p>
        </w:tc>
        <w:tc>
          <w:tcPr>
            <w:tcW w:w="1409" w:type="pct"/>
            <w:tcBorders>
              <w:top w:val="nil"/>
              <w:left w:val="nil"/>
              <w:bottom w:val="nil"/>
              <w:right w:val="nil"/>
            </w:tcBorders>
            <w:shd w:val="clear" w:color="000000" w:fill="FFFFFF"/>
            <w:noWrap/>
            <w:vAlign w:val="center"/>
          </w:tcPr>
          <w:p w14:paraId="273970AF" w14:textId="6EF04BA7" w:rsidR="00501AA5" w:rsidRPr="00501AA5" w:rsidRDefault="00501AA5" w:rsidP="009C1F2B">
            <w:pPr>
              <w:pStyle w:val="Tabletext"/>
              <w:keepNext w:val="0"/>
              <w:widowControl w:val="0"/>
              <w:spacing w:before="0" w:after="0"/>
              <w:jc w:val="right"/>
              <w:rPr>
                <w:rFonts w:asciiTheme="minorHAnsi" w:hAnsiTheme="minorHAnsi"/>
              </w:rPr>
            </w:pPr>
            <w:r w:rsidRPr="00501AA5">
              <w:rPr>
                <w:rFonts w:asciiTheme="minorHAnsi" w:hAnsiTheme="minorHAnsi"/>
              </w:rPr>
              <w:t>$30,000</w:t>
            </w:r>
          </w:p>
        </w:tc>
      </w:tr>
      <w:tr w:rsidR="00501AA5" w:rsidRPr="00346F91" w14:paraId="2F533769" w14:textId="77777777" w:rsidTr="009C1F2B">
        <w:trPr>
          <w:trHeight w:val="144"/>
        </w:trPr>
        <w:tc>
          <w:tcPr>
            <w:tcW w:w="3591" w:type="pct"/>
            <w:tcBorders>
              <w:top w:val="nil"/>
              <w:left w:val="nil"/>
              <w:bottom w:val="nil"/>
              <w:right w:val="nil"/>
            </w:tcBorders>
            <w:shd w:val="clear" w:color="000000" w:fill="FFFFFF"/>
            <w:vAlign w:val="center"/>
          </w:tcPr>
          <w:p w14:paraId="369BFD88" w14:textId="77777777" w:rsidR="00501AA5" w:rsidRPr="008771D4" w:rsidRDefault="00501AA5" w:rsidP="009C1F2B">
            <w:pPr>
              <w:pStyle w:val="Tabletext"/>
              <w:keepNext w:val="0"/>
              <w:widowControl w:val="0"/>
              <w:spacing w:before="0" w:after="0"/>
              <w:rPr>
                <w:rFonts w:asciiTheme="minorHAnsi" w:hAnsiTheme="minorHAnsi"/>
              </w:rPr>
            </w:pPr>
            <w:r w:rsidRPr="008771D4">
              <w:rPr>
                <w:rFonts w:asciiTheme="minorHAnsi" w:hAnsiTheme="minorHAnsi"/>
                <w:b/>
              </w:rPr>
              <w:t xml:space="preserve">Operational Field Test First Follow-up </w:t>
            </w:r>
            <w:r>
              <w:rPr>
                <w:rFonts w:asciiTheme="minorHAnsi" w:hAnsiTheme="minorHAnsi"/>
                <w:b/>
              </w:rPr>
              <w:t>(OFT2)</w:t>
            </w:r>
          </w:p>
        </w:tc>
        <w:tc>
          <w:tcPr>
            <w:tcW w:w="1409" w:type="pct"/>
            <w:tcBorders>
              <w:top w:val="nil"/>
              <w:left w:val="nil"/>
              <w:bottom w:val="nil"/>
              <w:right w:val="nil"/>
            </w:tcBorders>
            <w:shd w:val="clear" w:color="000000" w:fill="FFFFFF"/>
            <w:noWrap/>
            <w:vAlign w:val="center"/>
          </w:tcPr>
          <w:p w14:paraId="195A1137" w14:textId="77777777" w:rsidR="00501AA5" w:rsidRPr="00083328" w:rsidRDefault="00501AA5" w:rsidP="009C1F2B">
            <w:pPr>
              <w:pStyle w:val="Tabletext"/>
              <w:keepNext w:val="0"/>
              <w:widowControl w:val="0"/>
              <w:spacing w:before="0" w:after="0"/>
              <w:jc w:val="right"/>
              <w:rPr>
                <w:rFonts w:asciiTheme="minorHAnsi" w:hAnsiTheme="minorHAnsi"/>
              </w:rPr>
            </w:pPr>
            <w:r w:rsidRPr="00083328">
              <w:rPr>
                <w:rFonts w:asciiTheme="minorHAnsi" w:hAnsiTheme="minorHAnsi"/>
                <w:b/>
              </w:rPr>
              <w:t>$ 1,978,885</w:t>
            </w:r>
          </w:p>
        </w:tc>
      </w:tr>
      <w:tr w:rsidR="00501AA5" w:rsidRPr="00346F91" w14:paraId="134B8F69" w14:textId="77777777" w:rsidTr="009C1F2B">
        <w:trPr>
          <w:trHeight w:val="144"/>
        </w:trPr>
        <w:tc>
          <w:tcPr>
            <w:tcW w:w="3591" w:type="pct"/>
            <w:tcBorders>
              <w:top w:val="nil"/>
              <w:left w:val="nil"/>
              <w:bottom w:val="nil"/>
              <w:right w:val="nil"/>
            </w:tcBorders>
            <w:shd w:val="clear" w:color="000000" w:fill="FFFFFF"/>
            <w:vAlign w:val="center"/>
            <w:hideMark/>
          </w:tcPr>
          <w:p w14:paraId="2681751D" w14:textId="77777777" w:rsidR="00501AA5" w:rsidRPr="00A3260D" w:rsidRDefault="00501AA5" w:rsidP="009C1F2B">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w:t>
            </w:r>
            <w:r w:rsidRPr="00A3260D">
              <w:rPr>
                <w:rFonts w:asciiTheme="minorHAnsi" w:hAnsiTheme="minorHAnsi"/>
              </w:rPr>
              <w:t xml:space="preserve">Tracking and Recruitment </w:t>
            </w:r>
          </w:p>
        </w:tc>
        <w:tc>
          <w:tcPr>
            <w:tcW w:w="1409" w:type="pct"/>
            <w:tcBorders>
              <w:top w:val="nil"/>
              <w:left w:val="nil"/>
              <w:bottom w:val="nil"/>
              <w:right w:val="nil"/>
            </w:tcBorders>
            <w:shd w:val="clear" w:color="000000" w:fill="FFFFFF"/>
            <w:noWrap/>
            <w:vAlign w:val="center"/>
            <w:hideMark/>
          </w:tcPr>
          <w:p w14:paraId="4F769554" w14:textId="77777777" w:rsidR="00501AA5" w:rsidRPr="00083328" w:rsidRDefault="00501AA5" w:rsidP="009C1F2B">
            <w:pPr>
              <w:pStyle w:val="Tabletext"/>
              <w:keepNext w:val="0"/>
              <w:widowControl w:val="0"/>
              <w:spacing w:before="0" w:after="0"/>
              <w:jc w:val="right"/>
              <w:rPr>
                <w:rFonts w:asciiTheme="minorHAnsi" w:hAnsiTheme="minorHAnsi"/>
              </w:rPr>
            </w:pPr>
            <w:r w:rsidRPr="00083328">
              <w:rPr>
                <w:rFonts w:asciiTheme="minorHAnsi" w:hAnsiTheme="minorHAnsi"/>
              </w:rPr>
              <w:t xml:space="preserve">316,656 </w:t>
            </w:r>
          </w:p>
        </w:tc>
      </w:tr>
      <w:tr w:rsidR="00501AA5" w:rsidRPr="00346F91" w14:paraId="7C77051A" w14:textId="77777777" w:rsidTr="009C1F2B">
        <w:trPr>
          <w:trHeight w:val="144"/>
        </w:trPr>
        <w:tc>
          <w:tcPr>
            <w:tcW w:w="3591" w:type="pct"/>
            <w:tcBorders>
              <w:top w:val="nil"/>
              <w:left w:val="nil"/>
              <w:bottom w:val="nil"/>
              <w:right w:val="nil"/>
            </w:tcBorders>
            <w:shd w:val="clear" w:color="000000" w:fill="FFFFFF"/>
            <w:vAlign w:val="center"/>
          </w:tcPr>
          <w:p w14:paraId="54C96518" w14:textId="77777777" w:rsidR="00501AA5" w:rsidRPr="00A3260D" w:rsidRDefault="00501AA5" w:rsidP="009C1F2B">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4D381B2A" w14:textId="77777777" w:rsidR="00501AA5" w:rsidRPr="00083328" w:rsidRDefault="00501AA5" w:rsidP="009C1F2B">
            <w:pPr>
              <w:pStyle w:val="Tabletext"/>
              <w:keepNext w:val="0"/>
              <w:widowControl w:val="0"/>
              <w:spacing w:before="0" w:after="0"/>
              <w:jc w:val="right"/>
              <w:rPr>
                <w:rFonts w:asciiTheme="minorHAnsi" w:hAnsiTheme="minorHAnsi"/>
              </w:rPr>
            </w:pPr>
            <w:r w:rsidRPr="00083328">
              <w:rPr>
                <w:rFonts w:asciiTheme="minorHAnsi" w:hAnsiTheme="minorHAnsi"/>
              </w:rPr>
              <w:t>$1,662,229</w:t>
            </w:r>
          </w:p>
        </w:tc>
      </w:tr>
      <w:tr w:rsidR="00501AA5" w:rsidRPr="00346F91" w14:paraId="0AEA7EE2" w14:textId="77777777" w:rsidTr="009C1F2B">
        <w:trPr>
          <w:trHeight w:val="144"/>
        </w:trPr>
        <w:tc>
          <w:tcPr>
            <w:tcW w:w="3591" w:type="pct"/>
            <w:tcBorders>
              <w:top w:val="nil"/>
              <w:left w:val="nil"/>
              <w:bottom w:val="nil"/>
              <w:right w:val="nil"/>
            </w:tcBorders>
            <w:shd w:val="clear" w:color="000000" w:fill="FFFFFF"/>
            <w:vAlign w:val="center"/>
          </w:tcPr>
          <w:p w14:paraId="73AD9ABF" w14:textId="7DEB67C6" w:rsidR="00501AA5" w:rsidRPr="00A3260D" w:rsidRDefault="00501AA5" w:rsidP="00501AA5">
            <w:pPr>
              <w:pStyle w:val="Tabletext"/>
              <w:keepNext w:val="0"/>
              <w:widowControl w:val="0"/>
              <w:spacing w:before="0" w:after="0"/>
              <w:rPr>
                <w:rFonts w:asciiTheme="minorHAnsi" w:hAnsiTheme="minorHAnsi"/>
              </w:rPr>
            </w:pPr>
            <w:r w:rsidRPr="00A3260D">
              <w:rPr>
                <w:rFonts w:asciiTheme="minorHAnsi" w:hAnsiTheme="minorHAnsi"/>
              </w:rPr>
              <w:t xml:space="preserve">Operational Field Test </w:t>
            </w:r>
            <w:r>
              <w:rPr>
                <w:rFonts w:asciiTheme="minorHAnsi" w:hAnsiTheme="minorHAnsi"/>
              </w:rPr>
              <w:t>Second</w:t>
            </w:r>
            <w:r w:rsidRPr="00A3260D">
              <w:rPr>
                <w:rFonts w:asciiTheme="minorHAnsi" w:hAnsiTheme="minorHAnsi"/>
              </w:rPr>
              <w:t xml:space="preserve"> Follow-up</w:t>
            </w:r>
            <w:r>
              <w:rPr>
                <w:rFonts w:asciiTheme="minorHAnsi" w:hAnsiTheme="minorHAnsi"/>
              </w:rPr>
              <w:t xml:space="preserve"> – </w:t>
            </w:r>
            <w:r w:rsidRPr="00A3260D">
              <w:rPr>
                <w:rFonts w:asciiTheme="minorHAnsi" w:hAnsiTheme="minorHAnsi"/>
              </w:rPr>
              <w:t xml:space="preserve">Tracking </w:t>
            </w:r>
          </w:p>
        </w:tc>
        <w:tc>
          <w:tcPr>
            <w:tcW w:w="1409" w:type="pct"/>
            <w:tcBorders>
              <w:top w:val="nil"/>
              <w:left w:val="nil"/>
              <w:bottom w:val="nil"/>
              <w:right w:val="nil"/>
            </w:tcBorders>
            <w:shd w:val="clear" w:color="000000" w:fill="FFFFFF"/>
            <w:noWrap/>
            <w:vAlign w:val="center"/>
          </w:tcPr>
          <w:p w14:paraId="661691F6" w14:textId="345AE579" w:rsidR="00501AA5" w:rsidRPr="00083328" w:rsidRDefault="00501AA5" w:rsidP="00501AA5">
            <w:pPr>
              <w:pStyle w:val="Tabletext"/>
              <w:keepNext w:val="0"/>
              <w:widowControl w:val="0"/>
              <w:spacing w:before="0" w:after="0"/>
              <w:jc w:val="right"/>
              <w:rPr>
                <w:rFonts w:asciiTheme="minorHAnsi" w:hAnsiTheme="minorHAnsi"/>
              </w:rPr>
            </w:pPr>
            <w:r>
              <w:rPr>
                <w:rFonts w:asciiTheme="minorHAnsi" w:hAnsiTheme="minorHAnsi"/>
              </w:rPr>
              <w:t>100</w:t>
            </w:r>
            <w:r w:rsidRPr="00083328">
              <w:rPr>
                <w:rFonts w:asciiTheme="minorHAnsi" w:hAnsiTheme="minorHAnsi"/>
              </w:rPr>
              <w:t>,</w:t>
            </w:r>
            <w:r>
              <w:rPr>
                <w:rFonts w:asciiTheme="minorHAnsi" w:hAnsiTheme="minorHAnsi"/>
              </w:rPr>
              <w:t>00</w:t>
            </w:r>
            <w:r w:rsidR="004A5CA6">
              <w:rPr>
                <w:rFonts w:asciiTheme="minorHAnsi" w:hAnsiTheme="minorHAnsi"/>
              </w:rPr>
              <w:t>0</w:t>
            </w:r>
            <w:r w:rsidRPr="00083328">
              <w:rPr>
                <w:rFonts w:asciiTheme="minorHAnsi" w:hAnsiTheme="minorHAnsi"/>
              </w:rPr>
              <w:t xml:space="preserve"> </w:t>
            </w:r>
          </w:p>
        </w:tc>
      </w:tr>
      <w:tr w:rsidR="00501AA5" w:rsidRPr="00346F91" w14:paraId="7C7C860F" w14:textId="77777777" w:rsidTr="009C1F2B">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D0BB765" w14:textId="77777777" w:rsidR="00501AA5" w:rsidRPr="008771D4" w:rsidRDefault="00501AA5" w:rsidP="009C1F2B">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45878EC2" w14:textId="6A362EEC" w:rsidR="00501AA5" w:rsidRPr="00A3260D" w:rsidRDefault="00501AA5" w:rsidP="005F0147">
            <w:pPr>
              <w:pStyle w:val="Tabletext"/>
              <w:keepNext w:val="0"/>
              <w:widowControl w:val="0"/>
              <w:jc w:val="right"/>
              <w:rPr>
                <w:rFonts w:asciiTheme="minorHAnsi" w:hAnsiTheme="minorHAnsi"/>
                <w:b/>
              </w:rPr>
            </w:pPr>
            <w:r w:rsidRPr="00A3260D">
              <w:rPr>
                <w:rFonts w:asciiTheme="minorHAnsi" w:hAnsiTheme="minorHAnsi"/>
                <w:b/>
              </w:rPr>
              <w:t xml:space="preserve"> $ 13,</w:t>
            </w:r>
            <w:r w:rsidR="005F0147">
              <w:rPr>
                <w:rFonts w:asciiTheme="minorHAnsi" w:hAnsiTheme="minorHAnsi"/>
                <w:b/>
              </w:rPr>
              <w:t>37</w:t>
            </w:r>
            <w:r w:rsidRPr="00A3260D">
              <w:rPr>
                <w:rFonts w:asciiTheme="minorHAnsi" w:hAnsiTheme="minorHAnsi"/>
                <w:b/>
              </w:rPr>
              <w:t xml:space="preserve">1,989 </w:t>
            </w:r>
          </w:p>
        </w:tc>
      </w:tr>
    </w:tbl>
    <w:p w14:paraId="502FE8A1" w14:textId="77777777" w:rsidR="00501AA5" w:rsidRPr="008771D4" w:rsidRDefault="00501AA5" w:rsidP="00501AA5">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2/5 of cost of management task in </w:t>
      </w:r>
      <w:r>
        <w:rPr>
          <w:rFonts w:ascii="Cambria" w:hAnsi="Cambria"/>
          <w:sz w:val="18"/>
          <w:szCs w:val="18"/>
        </w:rPr>
        <w:t xml:space="preserve">MS1; and </w:t>
      </w:r>
      <w:r w:rsidRPr="008771D4">
        <w:rPr>
          <w:rFonts w:ascii="Cambria" w:hAnsi="Cambria"/>
          <w:sz w:val="18"/>
          <w:szCs w:val="18"/>
        </w:rPr>
        <w:t>1</w:t>
      </w:r>
      <w:r>
        <w:rPr>
          <w:rFonts w:ascii="Cambria" w:hAnsi="Cambria"/>
          <w:sz w:val="18"/>
          <w:szCs w:val="18"/>
        </w:rPr>
        <w:t>/5 of cost of management task for</w:t>
      </w:r>
      <w:r w:rsidRPr="008771D4">
        <w:rPr>
          <w:rFonts w:ascii="Cambria" w:hAnsi="Cambria"/>
          <w:sz w:val="18"/>
          <w:szCs w:val="18"/>
        </w:rPr>
        <w:t xml:space="preserve"> </w:t>
      </w:r>
      <w:r>
        <w:rPr>
          <w:rFonts w:ascii="Cambria" w:hAnsi="Cambria"/>
          <w:sz w:val="18"/>
          <w:szCs w:val="18"/>
        </w:rPr>
        <w:t>OFT2 and MS2.</w:t>
      </w:r>
    </w:p>
    <w:p w14:paraId="58FC5A01" w14:textId="77777777" w:rsidR="00501AA5" w:rsidRPr="00BA441F" w:rsidRDefault="00501AA5" w:rsidP="00501AA5">
      <w:pPr>
        <w:pStyle w:val="Heading2"/>
        <w:keepNext w:val="0"/>
        <w:keepLines w:val="0"/>
        <w:spacing w:before="0" w:after="120" w:line="240" w:lineRule="auto"/>
        <w:rPr>
          <w:rFonts w:ascii="Cambria" w:hAnsi="Cambria"/>
        </w:rPr>
      </w:pPr>
      <w:bookmarkStart w:id="40" w:name="_Toc412022735"/>
      <w:bookmarkStart w:id="41" w:name="_Toc498951231"/>
      <w:bookmarkStart w:id="42" w:name="_Toc521406233"/>
      <w:r w:rsidRPr="00BA441F">
        <w:rPr>
          <w:rFonts w:ascii="Cambria" w:hAnsi="Cambria"/>
        </w:rPr>
        <w:t>A.15 Program Changes or Adjustments</w:t>
      </w:r>
      <w:bookmarkEnd w:id="40"/>
      <w:bookmarkEnd w:id="41"/>
      <w:bookmarkEnd w:id="42"/>
    </w:p>
    <w:p w14:paraId="6415B952" w14:textId="67647E3D" w:rsidR="00501AA5" w:rsidRPr="00BA441F" w:rsidRDefault="00501AA5" w:rsidP="00501AA5">
      <w:pPr>
        <w:spacing w:after="120" w:line="240" w:lineRule="auto"/>
        <w:rPr>
          <w:rFonts w:ascii="Cambria" w:hAnsi="Cambria"/>
        </w:rPr>
      </w:pPr>
      <w:bookmarkStart w:id="43" w:name="_Toc412022736"/>
      <w:r w:rsidRPr="00705DC2">
        <w:rPr>
          <w:rFonts w:ascii="Cambria" w:hAnsi="Cambria"/>
        </w:rPr>
        <w:t xml:space="preserve">The increase in burden from the last approved package is due to the fact that the total burden requested in this submission is a sum of burden estimates for </w:t>
      </w:r>
      <w:r>
        <w:rPr>
          <w:rFonts w:ascii="Cambria" w:hAnsi="Cambria"/>
        </w:rPr>
        <w:t xml:space="preserve">MS1 </w:t>
      </w:r>
      <w:r w:rsidRPr="00705DC2">
        <w:rPr>
          <w:rFonts w:ascii="Cambria" w:hAnsi="Cambria"/>
        </w:rPr>
        <w:t>recruitment</w:t>
      </w:r>
      <w:r>
        <w:rPr>
          <w:rFonts w:ascii="Cambria" w:hAnsi="Cambria"/>
        </w:rPr>
        <w:t xml:space="preserve">, MS1 data collection, MS2 tracking/recruitment, </w:t>
      </w:r>
      <w:r w:rsidRPr="00705DC2">
        <w:rPr>
          <w:rFonts w:ascii="Cambria" w:hAnsi="Cambria"/>
        </w:rPr>
        <w:t>OFT</w:t>
      </w:r>
      <w:r>
        <w:rPr>
          <w:rFonts w:ascii="Cambria" w:hAnsi="Cambria"/>
        </w:rPr>
        <w:t>2</w:t>
      </w:r>
      <w:r w:rsidRPr="00705DC2">
        <w:rPr>
          <w:rFonts w:ascii="Cambria" w:hAnsi="Cambria"/>
        </w:rPr>
        <w:t xml:space="preserve"> tracking</w:t>
      </w:r>
      <w:r>
        <w:rPr>
          <w:rFonts w:ascii="Cambria" w:hAnsi="Cambria"/>
        </w:rPr>
        <w:t>/recruitment</w:t>
      </w:r>
      <w:r w:rsidRPr="00705DC2">
        <w:rPr>
          <w:rFonts w:ascii="Cambria" w:hAnsi="Cambria"/>
        </w:rPr>
        <w:t xml:space="preserve">, </w:t>
      </w:r>
      <w:r>
        <w:rPr>
          <w:rFonts w:ascii="Cambria" w:hAnsi="Cambria"/>
        </w:rPr>
        <w:t xml:space="preserve">and </w:t>
      </w:r>
      <w:r w:rsidRPr="00705DC2">
        <w:rPr>
          <w:rFonts w:ascii="Cambria" w:hAnsi="Cambria"/>
        </w:rPr>
        <w:t>OFT</w:t>
      </w:r>
      <w:r>
        <w:rPr>
          <w:rFonts w:ascii="Cambria" w:hAnsi="Cambria"/>
        </w:rPr>
        <w:t>2 data collection, while t</w:t>
      </w:r>
      <w:r w:rsidRPr="00705DC2">
        <w:rPr>
          <w:rFonts w:ascii="Cambria" w:hAnsi="Cambria"/>
        </w:rPr>
        <w:t>he last approved burden was for OFT</w:t>
      </w:r>
      <w:r>
        <w:rPr>
          <w:rFonts w:ascii="Cambria" w:hAnsi="Cambria"/>
        </w:rPr>
        <w:t>1</w:t>
      </w:r>
      <w:r w:rsidRPr="00705DC2">
        <w:rPr>
          <w:rFonts w:ascii="Cambria" w:hAnsi="Cambria"/>
        </w:rPr>
        <w:t xml:space="preserve"> recruitment, OFT</w:t>
      </w:r>
      <w:r>
        <w:rPr>
          <w:rFonts w:ascii="Cambria" w:hAnsi="Cambria"/>
        </w:rPr>
        <w:t>1</w:t>
      </w:r>
      <w:r w:rsidRPr="00705DC2">
        <w:rPr>
          <w:rFonts w:ascii="Cambria" w:hAnsi="Cambria"/>
        </w:rPr>
        <w:t xml:space="preserve"> data collection, OFT</w:t>
      </w:r>
      <w:r>
        <w:rPr>
          <w:rFonts w:ascii="Cambria" w:hAnsi="Cambria"/>
        </w:rPr>
        <w:t>2</w:t>
      </w:r>
      <w:r w:rsidRPr="00705DC2">
        <w:rPr>
          <w:rFonts w:ascii="Cambria" w:hAnsi="Cambria"/>
        </w:rPr>
        <w:t xml:space="preserve"> tracking, and </w:t>
      </w:r>
      <w:r>
        <w:rPr>
          <w:rFonts w:ascii="Cambria" w:hAnsi="Cambria"/>
        </w:rPr>
        <w:t xml:space="preserve">MS1 </w:t>
      </w:r>
      <w:r w:rsidRPr="00705DC2">
        <w:rPr>
          <w:rFonts w:ascii="Cambria" w:hAnsi="Cambria"/>
        </w:rPr>
        <w:t>recruitment only</w:t>
      </w:r>
      <w:r>
        <w:rPr>
          <w:rFonts w:ascii="Cambria" w:hAnsi="Cambria"/>
        </w:rPr>
        <w:t>.</w:t>
      </w:r>
      <w:r w:rsidR="00ED5DA1">
        <w:rPr>
          <w:rFonts w:ascii="Cambria" w:hAnsi="Cambria"/>
        </w:rPr>
        <w:t xml:space="preserve"> The August 2018 update to this submission further increase</w:t>
      </w:r>
      <w:r w:rsidR="00552966">
        <w:rPr>
          <w:rFonts w:ascii="Cambria" w:hAnsi="Cambria"/>
        </w:rPr>
        <w:t>s</w:t>
      </w:r>
      <w:r w:rsidR="00ED5DA1">
        <w:rPr>
          <w:rFonts w:ascii="Cambria" w:hAnsi="Cambria"/>
        </w:rPr>
        <w:t xml:space="preserve"> </w:t>
      </w:r>
      <w:r w:rsidR="00552966">
        <w:rPr>
          <w:rFonts w:ascii="Cambria" w:hAnsi="Cambria"/>
        </w:rPr>
        <w:t xml:space="preserve">the total </w:t>
      </w:r>
      <w:r w:rsidR="00ED5DA1">
        <w:rPr>
          <w:rFonts w:ascii="Cambria" w:hAnsi="Cambria"/>
        </w:rPr>
        <w:t>burden</w:t>
      </w:r>
      <w:r w:rsidR="00552966">
        <w:rPr>
          <w:rFonts w:ascii="Cambria" w:hAnsi="Cambria"/>
        </w:rPr>
        <w:t xml:space="preserve"> time</w:t>
      </w:r>
      <w:r w:rsidR="00ED5DA1">
        <w:rPr>
          <w:rFonts w:ascii="Cambria" w:hAnsi="Cambria"/>
        </w:rPr>
        <w:t xml:space="preserve"> by 215 hours due to the addition of </w:t>
      </w:r>
      <w:r w:rsidR="00396392">
        <w:rPr>
          <w:rFonts w:ascii="Cambria" w:hAnsi="Cambria"/>
        </w:rPr>
        <w:t>MS2 district and school notification and OFT3 tracking.</w:t>
      </w:r>
    </w:p>
    <w:p w14:paraId="30735A47" w14:textId="77777777" w:rsidR="00501AA5" w:rsidRPr="00BA441F" w:rsidRDefault="00501AA5" w:rsidP="00501AA5">
      <w:pPr>
        <w:pStyle w:val="Heading2"/>
        <w:keepNext w:val="0"/>
        <w:keepLines w:val="0"/>
        <w:spacing w:before="0" w:after="120" w:line="240" w:lineRule="auto"/>
        <w:rPr>
          <w:rFonts w:ascii="Cambria" w:hAnsi="Cambria"/>
        </w:rPr>
      </w:pPr>
      <w:bookmarkStart w:id="44" w:name="_Toc498951232"/>
      <w:bookmarkStart w:id="45" w:name="_Toc521406234"/>
      <w:r w:rsidRPr="00BA441F">
        <w:rPr>
          <w:rFonts w:ascii="Cambria" w:hAnsi="Cambria"/>
        </w:rPr>
        <w:t>A.16 Plans for Tabulation and Publication</w:t>
      </w:r>
      <w:bookmarkEnd w:id="43"/>
      <w:bookmarkEnd w:id="44"/>
      <w:bookmarkEnd w:id="45"/>
    </w:p>
    <w:p w14:paraId="545B2750" w14:textId="77777777" w:rsidR="00501AA5" w:rsidRPr="00BA441F" w:rsidRDefault="00501AA5" w:rsidP="00501AA5">
      <w:pPr>
        <w:widowControl w:val="0"/>
        <w:spacing w:after="120" w:line="240" w:lineRule="auto"/>
        <w:rPr>
          <w:rFonts w:ascii="Cambria" w:hAnsi="Cambria"/>
        </w:rPr>
      </w:pPr>
      <w:r w:rsidRPr="00BA441F">
        <w:rPr>
          <w:rFonts w:ascii="Cambria" w:hAnsi="Cambria"/>
        </w:rPr>
        <w:t xml:space="preserve">The results from </w:t>
      </w:r>
      <w:r>
        <w:rPr>
          <w:rFonts w:ascii="Cambria" w:hAnsi="Cambria"/>
        </w:rPr>
        <w:t>OFT2</w:t>
      </w:r>
      <w:r w:rsidRPr="00BA441F">
        <w:rPr>
          <w:rFonts w:ascii="Cambria" w:hAnsi="Cambria"/>
        </w:rPr>
        <w:t xml:space="preserve"> will be presented in a </w:t>
      </w:r>
      <w:r>
        <w:rPr>
          <w:rFonts w:ascii="Cambria" w:hAnsi="Cambria"/>
        </w:rPr>
        <w:t xml:space="preserve">field test </w:t>
      </w:r>
      <w:r w:rsidRPr="008771D4">
        <w:rPr>
          <w:rFonts w:ascii="Cambria" w:hAnsi="Cambria"/>
        </w:rPr>
        <w:t>report</w:t>
      </w:r>
      <w:r w:rsidRPr="00BA441F">
        <w:rPr>
          <w:rFonts w:ascii="Cambria" w:hAnsi="Cambria"/>
        </w:rPr>
        <w:t xml:space="preserve"> </w:t>
      </w:r>
      <w:r>
        <w:rPr>
          <w:rFonts w:ascii="Cambria" w:hAnsi="Cambria"/>
        </w:rPr>
        <w:t>that will be prepared</w:t>
      </w:r>
      <w:r w:rsidRPr="00BA441F">
        <w:rPr>
          <w:rFonts w:ascii="Cambria" w:hAnsi="Cambria"/>
        </w:rPr>
        <w:t xml:space="preserve"> approximately 6 months after the completion of the field test</w:t>
      </w:r>
      <w:r>
        <w:rPr>
          <w:rFonts w:ascii="Cambria" w:hAnsi="Cambria"/>
        </w:rPr>
        <w:t xml:space="preserve"> and subsequently made available in 2019 as an appendix in the MGLS:2017 methodology report</w:t>
      </w:r>
      <w:r w:rsidRPr="00BA441F">
        <w:rPr>
          <w:rFonts w:ascii="Cambria" w:hAnsi="Cambria"/>
        </w:rPr>
        <w:t xml:space="preserve">. </w:t>
      </w:r>
      <w:r>
        <w:rPr>
          <w:rFonts w:ascii="Cambria" w:hAnsi="Cambria"/>
        </w:rPr>
        <w:t xml:space="preserve">The field test report will include an overview of the study, purposes of the IVFT and OFT1, sample design and methodologies employed, recruitment and data collection results, and recommendations for MS1.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All MGLS:2017 results from the national data collections and all reports related to 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Pr>
          <w:rFonts w:ascii="Cambria" w:hAnsi="Cambria"/>
        </w:rPr>
        <w:t>8</w:t>
      </w:r>
      <w:r w:rsidRPr="00BA441F">
        <w:rPr>
          <w:rFonts w:ascii="Cambria" w:hAnsi="Cambria"/>
        </w:rPr>
        <w:t>.</w:t>
      </w:r>
    </w:p>
    <w:p w14:paraId="480019E1" w14:textId="793F9D8A" w:rsidR="00501AA5" w:rsidRPr="00BB257F" w:rsidRDefault="00501AA5" w:rsidP="00501AA5">
      <w:pPr>
        <w:keepNext/>
        <w:spacing w:before="240" w:after="60" w:line="240" w:lineRule="auto"/>
        <w:ind w:left="1440" w:hanging="1440"/>
        <w:rPr>
          <w:rFonts w:ascii="Cambria" w:hAnsi="Cambria"/>
          <w:b/>
        </w:rPr>
      </w:pPr>
      <w:r w:rsidRPr="00BB257F">
        <w:rPr>
          <w:rFonts w:ascii="Cambria" w:hAnsi="Cambria"/>
          <w:b/>
        </w:rPr>
        <w:t xml:space="preserve">Table </w:t>
      </w:r>
      <w:r>
        <w:rPr>
          <w:rFonts w:ascii="Cambria" w:hAnsi="Cambria"/>
          <w:b/>
        </w:rPr>
        <w:t>8</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00501AA5" w:rsidRPr="00E51837" w14:paraId="0A87035F" w14:textId="77777777" w:rsidTr="009C1F2B">
        <w:trPr>
          <w:tblHeader/>
        </w:trPr>
        <w:tc>
          <w:tcPr>
            <w:tcW w:w="3113" w:type="pct"/>
            <w:shd w:val="clear" w:color="auto" w:fill="F2F2F2" w:themeFill="background1" w:themeFillShade="F2"/>
            <w:vAlign w:val="center"/>
          </w:tcPr>
          <w:p w14:paraId="46EDA335" w14:textId="77777777" w:rsidR="00501AA5" w:rsidRPr="00E51837" w:rsidRDefault="00501AA5" w:rsidP="009C1F2B">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259AF342"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4472FDFF"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501AA5" w:rsidRPr="00E51837" w14:paraId="4E17FDE0" w14:textId="77777777" w:rsidTr="009C1F2B">
        <w:tc>
          <w:tcPr>
            <w:tcW w:w="3113" w:type="pct"/>
            <w:vAlign w:val="center"/>
          </w:tcPr>
          <w:p w14:paraId="7898FDEB"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OFT1 r</w:t>
            </w:r>
            <w:r w:rsidRPr="00E51837">
              <w:rPr>
                <w:rFonts w:asciiTheme="minorHAnsi" w:hAnsiTheme="minorHAnsi"/>
                <w:sz w:val="20"/>
                <w:szCs w:val="20"/>
              </w:rPr>
              <w:t>ecruitment of schools and districts</w:t>
            </w:r>
          </w:p>
        </w:tc>
        <w:tc>
          <w:tcPr>
            <w:tcW w:w="943" w:type="pct"/>
            <w:vAlign w:val="center"/>
          </w:tcPr>
          <w:p w14:paraId="2052193C"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944" w:type="pct"/>
            <w:vAlign w:val="center"/>
          </w:tcPr>
          <w:p w14:paraId="089EC5D4"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501AA5" w:rsidRPr="00E51837" w14:paraId="49235A5F" w14:textId="77777777" w:rsidTr="009C1F2B">
        <w:tc>
          <w:tcPr>
            <w:tcW w:w="3113" w:type="pct"/>
            <w:vAlign w:val="center"/>
          </w:tcPr>
          <w:p w14:paraId="09736C7F"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OFT1 r</w:t>
            </w:r>
            <w:r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14:paraId="2C15E9C1"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5FB54BA1"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501AA5" w:rsidRPr="00E51837" w14:paraId="21B9EA01" w14:textId="77777777" w:rsidTr="009C1F2B">
        <w:tc>
          <w:tcPr>
            <w:tcW w:w="3113" w:type="pct"/>
            <w:vAlign w:val="center"/>
          </w:tcPr>
          <w:p w14:paraId="6C4EC427"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OFT1</w:t>
            </w:r>
            <w:r w:rsidRPr="00E51837">
              <w:rPr>
                <w:rFonts w:asciiTheme="minorHAnsi" w:hAnsiTheme="minorHAnsi"/>
                <w:sz w:val="20"/>
                <w:szCs w:val="20"/>
              </w:rPr>
              <w:t xml:space="preserve"> Data Collection</w:t>
            </w:r>
          </w:p>
        </w:tc>
        <w:tc>
          <w:tcPr>
            <w:tcW w:w="943" w:type="pct"/>
            <w:vAlign w:val="center"/>
          </w:tcPr>
          <w:p w14:paraId="24C7FD9D"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275923AA"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501AA5" w:rsidRPr="00E51837" w14:paraId="37CC8F18" w14:textId="77777777" w:rsidTr="009C1F2B">
        <w:tc>
          <w:tcPr>
            <w:tcW w:w="3113" w:type="pct"/>
            <w:vAlign w:val="center"/>
          </w:tcPr>
          <w:p w14:paraId="7452F982"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 xml:space="preserve">OFT1 &amp; IVFT </w:t>
            </w:r>
            <w:r w:rsidRPr="00E51837">
              <w:rPr>
                <w:rFonts w:asciiTheme="minorHAnsi" w:hAnsiTheme="minorHAnsi"/>
                <w:sz w:val="20"/>
                <w:szCs w:val="20"/>
              </w:rPr>
              <w:t>Report</w:t>
            </w:r>
          </w:p>
        </w:tc>
        <w:tc>
          <w:tcPr>
            <w:tcW w:w="943" w:type="pct"/>
            <w:vAlign w:val="center"/>
          </w:tcPr>
          <w:p w14:paraId="2E3AE591" w14:textId="77777777" w:rsidR="00501AA5" w:rsidRPr="00E51837" w:rsidRDefault="00501AA5" w:rsidP="009C1F2B">
            <w:pPr>
              <w:spacing w:after="0" w:line="240" w:lineRule="auto"/>
              <w:jc w:val="right"/>
              <w:rPr>
                <w:rFonts w:asciiTheme="minorHAnsi" w:hAnsiTheme="minorHAnsi"/>
                <w:sz w:val="20"/>
                <w:szCs w:val="20"/>
              </w:rPr>
            </w:pPr>
            <w:r>
              <w:rPr>
                <w:rFonts w:asciiTheme="minorHAnsi" w:hAnsiTheme="minorHAnsi"/>
                <w:sz w:val="20"/>
                <w:szCs w:val="20"/>
              </w:rPr>
              <w:t>June</w:t>
            </w:r>
            <w:r w:rsidRPr="00E51837">
              <w:rPr>
                <w:rFonts w:asciiTheme="minorHAnsi" w:hAnsiTheme="minorHAnsi"/>
                <w:sz w:val="20"/>
                <w:szCs w:val="20"/>
              </w:rPr>
              <w:t xml:space="preserve"> 2017</w:t>
            </w:r>
          </w:p>
        </w:tc>
        <w:tc>
          <w:tcPr>
            <w:tcW w:w="944" w:type="pct"/>
            <w:vAlign w:val="center"/>
          </w:tcPr>
          <w:p w14:paraId="2485B063"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501AA5" w:rsidRPr="00E51837" w14:paraId="6D530C97" w14:textId="77777777" w:rsidTr="009C1F2B">
        <w:tc>
          <w:tcPr>
            <w:tcW w:w="3113" w:type="pct"/>
            <w:vAlign w:val="center"/>
          </w:tcPr>
          <w:p w14:paraId="3D9A7059"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MS1 r</w:t>
            </w:r>
            <w:r w:rsidRPr="00E51837">
              <w:rPr>
                <w:rFonts w:asciiTheme="minorHAnsi" w:hAnsiTheme="minorHAnsi"/>
                <w:sz w:val="20"/>
                <w:szCs w:val="20"/>
              </w:rPr>
              <w:t>ecruitme</w:t>
            </w:r>
            <w:r>
              <w:rPr>
                <w:rFonts w:asciiTheme="minorHAnsi" w:hAnsiTheme="minorHAnsi"/>
                <w:sz w:val="20"/>
                <w:szCs w:val="20"/>
              </w:rPr>
              <w:t>nt of schools and districts</w:t>
            </w:r>
          </w:p>
        </w:tc>
        <w:tc>
          <w:tcPr>
            <w:tcW w:w="943" w:type="pct"/>
            <w:vAlign w:val="center"/>
          </w:tcPr>
          <w:p w14:paraId="68D4DDFF" w14:textId="77777777" w:rsidR="00501AA5" w:rsidRPr="00E51837" w:rsidRDefault="00501AA5" w:rsidP="009C1F2B">
            <w:pPr>
              <w:spacing w:after="0" w:line="240" w:lineRule="auto"/>
              <w:jc w:val="right"/>
              <w:rPr>
                <w:rFonts w:asciiTheme="minorHAnsi" w:hAnsiTheme="minorHAnsi"/>
                <w:sz w:val="20"/>
                <w:szCs w:val="20"/>
              </w:rPr>
            </w:pPr>
            <w:r>
              <w:rPr>
                <w:rFonts w:asciiTheme="minorHAnsi" w:hAnsiTheme="minorHAnsi"/>
                <w:sz w:val="20"/>
                <w:szCs w:val="20"/>
              </w:rPr>
              <w:t>February</w:t>
            </w:r>
            <w:r w:rsidRPr="00E51837">
              <w:rPr>
                <w:rFonts w:asciiTheme="minorHAnsi" w:hAnsiTheme="minorHAnsi"/>
                <w:sz w:val="20"/>
                <w:szCs w:val="20"/>
              </w:rPr>
              <w:t xml:space="preserve"> 2017</w:t>
            </w:r>
          </w:p>
        </w:tc>
        <w:tc>
          <w:tcPr>
            <w:tcW w:w="944" w:type="pct"/>
            <w:vAlign w:val="center"/>
          </w:tcPr>
          <w:p w14:paraId="49556D68"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501AA5" w:rsidRPr="00E51837" w14:paraId="628951F4" w14:textId="77777777" w:rsidTr="009C1F2B">
        <w:tc>
          <w:tcPr>
            <w:tcW w:w="3113" w:type="pct"/>
            <w:vAlign w:val="center"/>
          </w:tcPr>
          <w:p w14:paraId="2616E695"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MS1 r</w:t>
            </w:r>
            <w:r w:rsidRPr="00E51837">
              <w:rPr>
                <w:rFonts w:asciiTheme="minorHAnsi" w:hAnsiTheme="minorHAnsi"/>
                <w:sz w:val="20"/>
                <w:szCs w:val="20"/>
              </w:rPr>
              <w:t>ecruitment of students and parents through</w:t>
            </w:r>
            <w:r>
              <w:rPr>
                <w:rFonts w:asciiTheme="minorHAnsi" w:hAnsiTheme="minorHAnsi"/>
                <w:sz w:val="20"/>
                <w:szCs w:val="20"/>
              </w:rPr>
              <w:t xml:space="preserve"> requesting parent consent</w:t>
            </w:r>
          </w:p>
        </w:tc>
        <w:tc>
          <w:tcPr>
            <w:tcW w:w="943" w:type="pct"/>
            <w:vAlign w:val="center"/>
          </w:tcPr>
          <w:p w14:paraId="5798A0FE"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944" w:type="pct"/>
            <w:vAlign w:val="center"/>
          </w:tcPr>
          <w:p w14:paraId="15651953"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501AA5" w:rsidRPr="00E51837" w14:paraId="0520ABDD" w14:textId="77777777" w:rsidTr="009C1F2B">
        <w:tc>
          <w:tcPr>
            <w:tcW w:w="3113" w:type="pct"/>
            <w:vAlign w:val="center"/>
          </w:tcPr>
          <w:p w14:paraId="4919DE73"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 xml:space="preserve">MS1 </w:t>
            </w:r>
            <w:r w:rsidRPr="00E51837">
              <w:rPr>
                <w:rFonts w:asciiTheme="minorHAnsi" w:hAnsiTheme="minorHAnsi"/>
                <w:sz w:val="20"/>
                <w:szCs w:val="20"/>
              </w:rPr>
              <w:t>Data Collection</w:t>
            </w:r>
          </w:p>
        </w:tc>
        <w:tc>
          <w:tcPr>
            <w:tcW w:w="943" w:type="pct"/>
            <w:vAlign w:val="center"/>
          </w:tcPr>
          <w:p w14:paraId="0077AF55"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944" w:type="pct"/>
            <w:vAlign w:val="center"/>
          </w:tcPr>
          <w:p w14:paraId="0A8E0349"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Ju</w:t>
            </w:r>
            <w:r>
              <w:rPr>
                <w:rFonts w:asciiTheme="minorHAnsi" w:hAnsiTheme="minorHAnsi"/>
                <w:sz w:val="20"/>
                <w:szCs w:val="20"/>
              </w:rPr>
              <w:t>ly</w:t>
            </w:r>
            <w:r w:rsidRPr="00E51837">
              <w:rPr>
                <w:rFonts w:asciiTheme="minorHAnsi" w:hAnsiTheme="minorHAnsi"/>
                <w:sz w:val="20"/>
                <w:szCs w:val="20"/>
              </w:rPr>
              <w:t xml:space="preserve"> 2018</w:t>
            </w:r>
          </w:p>
        </w:tc>
      </w:tr>
      <w:tr w:rsidR="00501AA5" w:rsidRPr="00E51837" w14:paraId="42032868" w14:textId="77777777" w:rsidTr="009C1F2B">
        <w:tc>
          <w:tcPr>
            <w:tcW w:w="3113" w:type="pct"/>
            <w:vAlign w:val="center"/>
          </w:tcPr>
          <w:p w14:paraId="516DFFEF"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OFT2 t</w:t>
            </w:r>
            <w:r w:rsidRPr="00E51837">
              <w:rPr>
                <w:rFonts w:asciiTheme="minorHAnsi" w:hAnsiTheme="minorHAnsi"/>
                <w:sz w:val="20"/>
                <w:szCs w:val="20"/>
              </w:rPr>
              <w:t xml:space="preserve">racking and </w:t>
            </w:r>
            <w:r>
              <w:rPr>
                <w:rFonts w:asciiTheme="minorHAnsi" w:hAnsiTheme="minorHAnsi"/>
                <w:sz w:val="20"/>
                <w:szCs w:val="20"/>
              </w:rPr>
              <w:t>recruitment</w:t>
            </w:r>
          </w:p>
        </w:tc>
        <w:tc>
          <w:tcPr>
            <w:tcW w:w="943" w:type="pct"/>
            <w:vAlign w:val="center"/>
          </w:tcPr>
          <w:p w14:paraId="04005054"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August 201</w:t>
            </w:r>
            <w:r>
              <w:rPr>
                <w:rFonts w:asciiTheme="minorHAnsi" w:hAnsiTheme="minorHAnsi"/>
                <w:sz w:val="20"/>
                <w:szCs w:val="20"/>
              </w:rPr>
              <w:t>7</w:t>
            </w:r>
          </w:p>
        </w:tc>
        <w:tc>
          <w:tcPr>
            <w:tcW w:w="944" w:type="pct"/>
            <w:vAlign w:val="center"/>
          </w:tcPr>
          <w:p w14:paraId="1B164FE1" w14:textId="77777777" w:rsidR="00501AA5" w:rsidRPr="00E51837" w:rsidRDefault="00501AA5" w:rsidP="009C1F2B">
            <w:pPr>
              <w:spacing w:after="0" w:line="240" w:lineRule="auto"/>
              <w:jc w:val="right"/>
              <w:rPr>
                <w:rFonts w:asciiTheme="minorHAnsi" w:hAnsiTheme="minorHAnsi"/>
                <w:sz w:val="20"/>
                <w:szCs w:val="20"/>
              </w:rPr>
            </w:pPr>
            <w:r w:rsidRPr="00E51837">
              <w:rPr>
                <w:rFonts w:asciiTheme="minorHAnsi" w:hAnsiTheme="minorHAnsi"/>
                <w:sz w:val="20"/>
                <w:szCs w:val="20"/>
              </w:rPr>
              <w:t>May 201</w:t>
            </w:r>
            <w:r>
              <w:rPr>
                <w:rFonts w:asciiTheme="minorHAnsi" w:hAnsiTheme="minorHAnsi"/>
                <w:sz w:val="20"/>
                <w:szCs w:val="20"/>
              </w:rPr>
              <w:t>8</w:t>
            </w:r>
          </w:p>
        </w:tc>
      </w:tr>
      <w:tr w:rsidR="00501AA5" w:rsidRPr="00E51837" w14:paraId="55DA84C8" w14:textId="77777777" w:rsidTr="009C1F2B">
        <w:tc>
          <w:tcPr>
            <w:tcW w:w="3113" w:type="pct"/>
            <w:vAlign w:val="center"/>
          </w:tcPr>
          <w:p w14:paraId="0E31E411" w14:textId="77777777" w:rsidR="00501AA5" w:rsidRPr="00E51837" w:rsidRDefault="00501AA5" w:rsidP="009C1F2B">
            <w:pPr>
              <w:spacing w:after="0" w:line="240" w:lineRule="auto"/>
              <w:ind w:left="360" w:hanging="360"/>
              <w:rPr>
                <w:rFonts w:asciiTheme="minorHAnsi" w:hAnsiTheme="minorHAnsi"/>
                <w:sz w:val="20"/>
                <w:szCs w:val="20"/>
              </w:rPr>
            </w:pPr>
            <w:r>
              <w:rPr>
                <w:rFonts w:asciiTheme="minorHAnsi" w:hAnsiTheme="minorHAnsi"/>
                <w:sz w:val="20"/>
                <w:szCs w:val="20"/>
              </w:rPr>
              <w:t>OFT2 Data Collection</w:t>
            </w:r>
          </w:p>
        </w:tc>
        <w:tc>
          <w:tcPr>
            <w:tcW w:w="943" w:type="pct"/>
            <w:vAlign w:val="center"/>
          </w:tcPr>
          <w:p w14:paraId="2B072230" w14:textId="77777777" w:rsidR="00501AA5" w:rsidRPr="00E51837" w:rsidRDefault="00501AA5" w:rsidP="009C1F2B">
            <w:pPr>
              <w:spacing w:after="0" w:line="240" w:lineRule="auto"/>
              <w:jc w:val="right"/>
              <w:rPr>
                <w:rFonts w:asciiTheme="minorHAnsi" w:hAnsiTheme="minorHAnsi"/>
                <w:sz w:val="20"/>
                <w:szCs w:val="20"/>
              </w:rPr>
            </w:pPr>
            <w:r>
              <w:rPr>
                <w:rFonts w:asciiTheme="minorHAnsi" w:hAnsiTheme="minorHAnsi"/>
                <w:sz w:val="20"/>
                <w:szCs w:val="20"/>
              </w:rPr>
              <w:t>January 2018</w:t>
            </w:r>
          </w:p>
        </w:tc>
        <w:tc>
          <w:tcPr>
            <w:tcW w:w="944" w:type="pct"/>
            <w:vAlign w:val="center"/>
          </w:tcPr>
          <w:p w14:paraId="4BB76640" w14:textId="77777777" w:rsidR="00501AA5" w:rsidRPr="00E51837" w:rsidRDefault="00501AA5" w:rsidP="009C1F2B">
            <w:pPr>
              <w:spacing w:after="0" w:line="240" w:lineRule="auto"/>
              <w:jc w:val="right"/>
              <w:rPr>
                <w:rFonts w:asciiTheme="minorHAnsi" w:hAnsiTheme="minorHAnsi"/>
                <w:sz w:val="20"/>
                <w:szCs w:val="20"/>
              </w:rPr>
            </w:pPr>
            <w:r>
              <w:rPr>
                <w:rFonts w:asciiTheme="minorHAnsi" w:hAnsiTheme="minorHAnsi"/>
                <w:sz w:val="20"/>
                <w:szCs w:val="20"/>
              </w:rPr>
              <w:t>May 2018</w:t>
            </w:r>
          </w:p>
        </w:tc>
      </w:tr>
      <w:tr w:rsidR="00501AA5" w:rsidRPr="00E51837" w14:paraId="2EF84185" w14:textId="77777777" w:rsidTr="009C1F2B">
        <w:tc>
          <w:tcPr>
            <w:tcW w:w="3113" w:type="pct"/>
            <w:vAlign w:val="center"/>
          </w:tcPr>
          <w:p w14:paraId="3B24DD33" w14:textId="1EA204A1" w:rsidR="00501AA5" w:rsidRDefault="007C526B" w:rsidP="009C1F2B">
            <w:pPr>
              <w:spacing w:after="0" w:line="240" w:lineRule="auto"/>
              <w:ind w:left="360" w:hanging="360"/>
              <w:rPr>
                <w:rFonts w:asciiTheme="minorHAnsi" w:hAnsiTheme="minorHAnsi"/>
                <w:sz w:val="20"/>
                <w:szCs w:val="20"/>
              </w:rPr>
            </w:pPr>
            <w:r>
              <w:rPr>
                <w:rFonts w:asciiTheme="minorHAnsi" w:hAnsiTheme="minorHAnsi"/>
                <w:sz w:val="20"/>
                <w:szCs w:val="20"/>
              </w:rPr>
              <w:t>OFT3</w:t>
            </w:r>
            <w:r w:rsidR="00501AA5">
              <w:rPr>
                <w:rFonts w:asciiTheme="minorHAnsi" w:hAnsiTheme="minorHAnsi"/>
                <w:sz w:val="20"/>
                <w:szCs w:val="20"/>
              </w:rPr>
              <w:t xml:space="preserve"> tracking and recruitment</w:t>
            </w:r>
          </w:p>
        </w:tc>
        <w:tc>
          <w:tcPr>
            <w:tcW w:w="943" w:type="pct"/>
            <w:vAlign w:val="center"/>
          </w:tcPr>
          <w:p w14:paraId="1046C0A0" w14:textId="77777777" w:rsidR="00501AA5" w:rsidRDefault="00501AA5" w:rsidP="009C1F2B">
            <w:pPr>
              <w:spacing w:after="0" w:line="240" w:lineRule="auto"/>
              <w:jc w:val="right"/>
              <w:rPr>
                <w:rFonts w:asciiTheme="minorHAnsi" w:hAnsiTheme="minorHAnsi"/>
                <w:sz w:val="20"/>
                <w:szCs w:val="20"/>
              </w:rPr>
            </w:pPr>
            <w:r>
              <w:rPr>
                <w:rFonts w:asciiTheme="minorHAnsi" w:hAnsiTheme="minorHAnsi"/>
                <w:sz w:val="20"/>
                <w:szCs w:val="20"/>
              </w:rPr>
              <w:t>September 2018</w:t>
            </w:r>
          </w:p>
        </w:tc>
        <w:tc>
          <w:tcPr>
            <w:tcW w:w="944" w:type="pct"/>
            <w:vAlign w:val="center"/>
          </w:tcPr>
          <w:p w14:paraId="05587E77" w14:textId="11646C45" w:rsidR="00501AA5" w:rsidRDefault="007C526B" w:rsidP="009C1F2B">
            <w:pPr>
              <w:spacing w:after="0" w:line="240" w:lineRule="auto"/>
              <w:jc w:val="right"/>
              <w:rPr>
                <w:rFonts w:asciiTheme="minorHAnsi" w:hAnsiTheme="minorHAnsi"/>
                <w:sz w:val="20"/>
                <w:szCs w:val="20"/>
              </w:rPr>
            </w:pPr>
            <w:r>
              <w:rPr>
                <w:rFonts w:asciiTheme="minorHAnsi" w:hAnsiTheme="minorHAnsi"/>
                <w:sz w:val="20"/>
                <w:szCs w:val="20"/>
              </w:rPr>
              <w:t>May</w:t>
            </w:r>
            <w:r w:rsidR="00501AA5">
              <w:rPr>
                <w:rFonts w:asciiTheme="minorHAnsi" w:hAnsiTheme="minorHAnsi"/>
                <w:sz w:val="20"/>
                <w:szCs w:val="20"/>
              </w:rPr>
              <w:t xml:space="preserve"> 2019</w:t>
            </w:r>
          </w:p>
        </w:tc>
      </w:tr>
      <w:tr w:rsidR="00A34D0D" w:rsidRPr="00A34D0D" w14:paraId="566F562E" w14:textId="77777777" w:rsidTr="0049411D">
        <w:tc>
          <w:tcPr>
            <w:tcW w:w="3113" w:type="pct"/>
          </w:tcPr>
          <w:p w14:paraId="5A74C858" w14:textId="2B8A5FCA" w:rsidR="00457D31" w:rsidRPr="00A34D0D" w:rsidRDefault="00457D31" w:rsidP="006D7D6B">
            <w:pPr>
              <w:spacing w:after="0" w:line="240" w:lineRule="auto"/>
              <w:ind w:left="360" w:hanging="360"/>
              <w:rPr>
                <w:rFonts w:ascii="Calibri" w:hAnsi="Calibri"/>
                <w:sz w:val="20"/>
                <w:szCs w:val="20"/>
              </w:rPr>
            </w:pPr>
            <w:r w:rsidRPr="00A34D0D">
              <w:rPr>
                <w:rFonts w:ascii="Calibri" w:hAnsi="Calibri"/>
                <w:sz w:val="20"/>
                <w:szCs w:val="20"/>
              </w:rPr>
              <w:t xml:space="preserve">MS2 District and School Notification </w:t>
            </w:r>
          </w:p>
        </w:tc>
        <w:tc>
          <w:tcPr>
            <w:tcW w:w="943" w:type="pct"/>
          </w:tcPr>
          <w:p w14:paraId="4D36AD29" w14:textId="76898B5E" w:rsidR="00457D31" w:rsidRPr="00A34D0D" w:rsidRDefault="00457D31" w:rsidP="009C1F2B">
            <w:pPr>
              <w:spacing w:after="0" w:line="240" w:lineRule="auto"/>
              <w:jc w:val="right"/>
              <w:rPr>
                <w:rFonts w:ascii="Calibri" w:hAnsi="Calibri"/>
                <w:sz w:val="20"/>
                <w:szCs w:val="20"/>
              </w:rPr>
            </w:pPr>
            <w:r w:rsidRPr="00A34D0D">
              <w:rPr>
                <w:rFonts w:ascii="Calibri" w:hAnsi="Calibri"/>
                <w:sz w:val="20"/>
                <w:szCs w:val="20"/>
              </w:rPr>
              <w:t>September 2018</w:t>
            </w:r>
          </w:p>
        </w:tc>
        <w:tc>
          <w:tcPr>
            <w:tcW w:w="944" w:type="pct"/>
          </w:tcPr>
          <w:p w14:paraId="459DEBE4" w14:textId="7D7902BC" w:rsidR="00457D31" w:rsidRPr="00A34D0D" w:rsidRDefault="009D6A6F" w:rsidP="006D7D6B">
            <w:pPr>
              <w:spacing w:after="0" w:line="240" w:lineRule="auto"/>
              <w:jc w:val="right"/>
              <w:rPr>
                <w:rFonts w:ascii="Calibri" w:hAnsi="Calibri"/>
                <w:sz w:val="20"/>
                <w:szCs w:val="20"/>
              </w:rPr>
            </w:pPr>
            <w:r w:rsidRPr="009D6A6F">
              <w:rPr>
                <w:rFonts w:ascii="Calibri" w:hAnsi="Calibri"/>
                <w:sz w:val="20"/>
                <w:szCs w:val="20"/>
              </w:rPr>
              <w:t>November</w:t>
            </w:r>
            <w:r w:rsidR="00457D31" w:rsidRPr="00A34D0D">
              <w:rPr>
                <w:rFonts w:ascii="Calibri" w:hAnsi="Calibri"/>
                <w:sz w:val="20"/>
                <w:szCs w:val="20"/>
              </w:rPr>
              <w:t xml:space="preserve"> 2018</w:t>
            </w:r>
          </w:p>
        </w:tc>
      </w:tr>
      <w:tr w:rsidR="00A34D0D" w:rsidRPr="00A34D0D" w14:paraId="1A61C997" w14:textId="77777777" w:rsidTr="0049411D">
        <w:tc>
          <w:tcPr>
            <w:tcW w:w="3113" w:type="pct"/>
          </w:tcPr>
          <w:p w14:paraId="348EA397" w14:textId="35713C0D" w:rsidR="00457D31" w:rsidRPr="00A34D0D" w:rsidRDefault="00457D31" w:rsidP="00577402">
            <w:pPr>
              <w:spacing w:after="0" w:line="240" w:lineRule="auto"/>
              <w:ind w:left="360" w:hanging="360"/>
              <w:rPr>
                <w:rFonts w:ascii="Calibri" w:hAnsi="Calibri"/>
                <w:sz w:val="20"/>
                <w:szCs w:val="20"/>
              </w:rPr>
            </w:pPr>
            <w:r w:rsidRPr="00A34D0D">
              <w:rPr>
                <w:rFonts w:ascii="Calibri" w:hAnsi="Calibri"/>
                <w:sz w:val="20"/>
                <w:szCs w:val="20"/>
              </w:rPr>
              <w:t>MS2 tracking</w:t>
            </w:r>
          </w:p>
        </w:tc>
        <w:tc>
          <w:tcPr>
            <w:tcW w:w="943" w:type="pct"/>
          </w:tcPr>
          <w:p w14:paraId="5F26B477" w14:textId="4534DB82" w:rsidR="00457D31" w:rsidRPr="00A34D0D" w:rsidRDefault="00577402" w:rsidP="009C1F2B">
            <w:pPr>
              <w:spacing w:after="0" w:line="240" w:lineRule="auto"/>
              <w:jc w:val="right"/>
              <w:rPr>
                <w:rFonts w:ascii="Calibri" w:hAnsi="Calibri"/>
                <w:sz w:val="20"/>
                <w:szCs w:val="20"/>
              </w:rPr>
            </w:pPr>
            <w:r w:rsidRPr="00A34D0D">
              <w:rPr>
                <w:rFonts w:ascii="Calibri" w:hAnsi="Calibri"/>
                <w:sz w:val="20"/>
                <w:szCs w:val="20"/>
              </w:rPr>
              <w:t xml:space="preserve">September </w:t>
            </w:r>
            <w:r w:rsidR="00457D31" w:rsidRPr="00A34D0D">
              <w:rPr>
                <w:rFonts w:ascii="Calibri" w:hAnsi="Calibri"/>
                <w:sz w:val="20"/>
                <w:szCs w:val="20"/>
              </w:rPr>
              <w:t>2018</w:t>
            </w:r>
          </w:p>
        </w:tc>
        <w:tc>
          <w:tcPr>
            <w:tcW w:w="944" w:type="pct"/>
          </w:tcPr>
          <w:p w14:paraId="6AE6268C" w14:textId="3911D9CF" w:rsidR="00457D31" w:rsidRPr="00A34D0D" w:rsidRDefault="00457D31" w:rsidP="00577402">
            <w:pPr>
              <w:spacing w:after="0" w:line="240" w:lineRule="auto"/>
              <w:jc w:val="right"/>
              <w:rPr>
                <w:rFonts w:ascii="Calibri" w:hAnsi="Calibri"/>
                <w:sz w:val="20"/>
                <w:szCs w:val="20"/>
              </w:rPr>
            </w:pPr>
            <w:r w:rsidRPr="00A34D0D">
              <w:rPr>
                <w:rFonts w:ascii="Calibri" w:hAnsi="Calibri"/>
                <w:sz w:val="20"/>
                <w:szCs w:val="20"/>
              </w:rPr>
              <w:t>May 20</w:t>
            </w:r>
            <w:r w:rsidR="00577402">
              <w:rPr>
                <w:rFonts w:ascii="Calibri" w:hAnsi="Calibri"/>
                <w:sz w:val="20"/>
                <w:szCs w:val="20"/>
              </w:rPr>
              <w:t>20</w:t>
            </w:r>
          </w:p>
        </w:tc>
      </w:tr>
      <w:tr w:rsidR="00A34D0D" w:rsidRPr="00A34D0D" w14:paraId="4A3897A6" w14:textId="77777777" w:rsidTr="0049411D">
        <w:tc>
          <w:tcPr>
            <w:tcW w:w="3113" w:type="pct"/>
          </w:tcPr>
          <w:p w14:paraId="033DB766" w14:textId="5CB1DA16" w:rsidR="00457D31" w:rsidRPr="00A34D0D" w:rsidRDefault="00457D31" w:rsidP="006D7D6B">
            <w:pPr>
              <w:spacing w:after="0" w:line="240" w:lineRule="auto"/>
              <w:ind w:left="360" w:hanging="360"/>
              <w:rPr>
                <w:rFonts w:ascii="Calibri" w:hAnsi="Calibri"/>
                <w:sz w:val="20"/>
                <w:szCs w:val="20"/>
              </w:rPr>
            </w:pPr>
            <w:r w:rsidRPr="00A34D0D">
              <w:rPr>
                <w:rFonts w:ascii="Calibri" w:hAnsi="Calibri"/>
                <w:sz w:val="20"/>
                <w:szCs w:val="20"/>
              </w:rPr>
              <w:t>MS2 recruitment</w:t>
            </w:r>
          </w:p>
        </w:tc>
        <w:tc>
          <w:tcPr>
            <w:tcW w:w="943" w:type="pct"/>
          </w:tcPr>
          <w:p w14:paraId="71B1853D" w14:textId="2E08726F" w:rsidR="00457D31" w:rsidRPr="00A34D0D" w:rsidRDefault="00457D31" w:rsidP="009C1F2B">
            <w:pPr>
              <w:spacing w:after="0" w:line="240" w:lineRule="auto"/>
              <w:jc w:val="right"/>
              <w:rPr>
                <w:rFonts w:ascii="Calibri" w:hAnsi="Calibri"/>
                <w:sz w:val="20"/>
                <w:szCs w:val="20"/>
              </w:rPr>
            </w:pPr>
            <w:r w:rsidRPr="00A34D0D">
              <w:rPr>
                <w:rFonts w:ascii="Calibri" w:hAnsi="Calibri"/>
                <w:sz w:val="20"/>
                <w:szCs w:val="20"/>
              </w:rPr>
              <w:t>January 2019</w:t>
            </w:r>
          </w:p>
        </w:tc>
        <w:tc>
          <w:tcPr>
            <w:tcW w:w="944" w:type="pct"/>
          </w:tcPr>
          <w:p w14:paraId="4251766A" w14:textId="323ED81A" w:rsidR="00457D31" w:rsidRPr="00A34D0D" w:rsidRDefault="00E65B0E" w:rsidP="006D7D6B">
            <w:pPr>
              <w:spacing w:after="0" w:line="240" w:lineRule="auto"/>
              <w:jc w:val="right"/>
              <w:rPr>
                <w:rFonts w:ascii="Calibri" w:hAnsi="Calibri"/>
                <w:sz w:val="20"/>
                <w:szCs w:val="20"/>
              </w:rPr>
            </w:pPr>
            <w:r w:rsidRPr="00A34D0D">
              <w:rPr>
                <w:rFonts w:ascii="Calibri" w:hAnsi="Calibri"/>
                <w:sz w:val="20"/>
                <w:szCs w:val="20"/>
              </w:rPr>
              <w:t xml:space="preserve">May </w:t>
            </w:r>
            <w:r w:rsidR="00457D31" w:rsidRPr="00A34D0D">
              <w:rPr>
                <w:rFonts w:ascii="Calibri" w:hAnsi="Calibri"/>
                <w:sz w:val="20"/>
                <w:szCs w:val="20"/>
              </w:rPr>
              <w:t>2020</w:t>
            </w:r>
          </w:p>
        </w:tc>
      </w:tr>
      <w:tr w:rsidR="00A34D0D" w:rsidRPr="00A34D0D" w14:paraId="2D9DBE6D" w14:textId="77777777" w:rsidTr="0049411D">
        <w:tc>
          <w:tcPr>
            <w:tcW w:w="3113" w:type="pct"/>
          </w:tcPr>
          <w:p w14:paraId="297FD7E2" w14:textId="193FCBF0" w:rsidR="00457D31" w:rsidRPr="00A34D0D" w:rsidRDefault="004B472C" w:rsidP="006D7D6B">
            <w:pPr>
              <w:spacing w:after="0" w:line="240" w:lineRule="auto"/>
              <w:ind w:left="360" w:hanging="360"/>
              <w:rPr>
                <w:rFonts w:ascii="Calibri" w:hAnsi="Calibri"/>
                <w:sz w:val="20"/>
                <w:szCs w:val="20"/>
              </w:rPr>
            </w:pPr>
            <w:r>
              <w:rPr>
                <w:rFonts w:ascii="Calibri" w:hAnsi="Calibri"/>
                <w:sz w:val="20"/>
                <w:szCs w:val="20"/>
              </w:rPr>
              <w:t>MS2 Data Collection</w:t>
            </w:r>
          </w:p>
        </w:tc>
        <w:tc>
          <w:tcPr>
            <w:tcW w:w="943" w:type="pct"/>
          </w:tcPr>
          <w:p w14:paraId="2889B69F" w14:textId="345792BE" w:rsidR="00457D31" w:rsidRPr="00A34D0D" w:rsidRDefault="00457D31" w:rsidP="009C1F2B">
            <w:pPr>
              <w:spacing w:after="0" w:line="240" w:lineRule="auto"/>
              <w:jc w:val="right"/>
              <w:rPr>
                <w:rFonts w:ascii="Calibri" w:hAnsi="Calibri"/>
                <w:sz w:val="20"/>
                <w:szCs w:val="20"/>
              </w:rPr>
            </w:pPr>
            <w:r w:rsidRPr="00A34D0D">
              <w:rPr>
                <w:rFonts w:ascii="Calibri" w:hAnsi="Calibri"/>
                <w:sz w:val="20"/>
                <w:szCs w:val="20"/>
              </w:rPr>
              <w:t>January 2020</w:t>
            </w:r>
          </w:p>
        </w:tc>
        <w:tc>
          <w:tcPr>
            <w:tcW w:w="944" w:type="pct"/>
          </w:tcPr>
          <w:p w14:paraId="462FAA1C" w14:textId="1EA55E97" w:rsidR="00457D31" w:rsidRPr="00A34D0D" w:rsidRDefault="00457D31" w:rsidP="006D7D6B">
            <w:pPr>
              <w:spacing w:after="0" w:line="240" w:lineRule="auto"/>
              <w:jc w:val="right"/>
              <w:rPr>
                <w:rFonts w:ascii="Calibri" w:hAnsi="Calibri"/>
                <w:sz w:val="20"/>
                <w:szCs w:val="20"/>
              </w:rPr>
            </w:pPr>
            <w:r w:rsidRPr="00A34D0D">
              <w:rPr>
                <w:rFonts w:ascii="Calibri" w:hAnsi="Calibri"/>
                <w:sz w:val="20"/>
                <w:szCs w:val="20"/>
              </w:rPr>
              <w:t>July 2020</w:t>
            </w:r>
          </w:p>
        </w:tc>
      </w:tr>
    </w:tbl>
    <w:p w14:paraId="60C1BF09" w14:textId="77777777" w:rsidR="00501AA5" w:rsidRPr="00090CDF" w:rsidRDefault="00501AA5" w:rsidP="00501AA5">
      <w:pPr>
        <w:spacing w:after="0" w:line="240" w:lineRule="auto"/>
        <w:rPr>
          <w:rFonts w:ascii="Cambria" w:hAnsi="Cambria"/>
          <w:sz w:val="20"/>
          <w:szCs w:val="20"/>
        </w:rPr>
      </w:pPr>
    </w:p>
    <w:p w14:paraId="03CAACBE" w14:textId="77777777" w:rsidR="00501AA5" w:rsidRPr="00BA441F" w:rsidRDefault="00501AA5" w:rsidP="00501AA5">
      <w:pPr>
        <w:pStyle w:val="Heading2"/>
        <w:keepLines w:val="0"/>
        <w:spacing w:before="0" w:after="120" w:line="240" w:lineRule="auto"/>
        <w:rPr>
          <w:rFonts w:ascii="Cambria" w:hAnsi="Cambria"/>
        </w:rPr>
      </w:pPr>
      <w:bookmarkStart w:id="46" w:name="_Toc412022737"/>
      <w:bookmarkStart w:id="47" w:name="_Toc498951233"/>
      <w:bookmarkStart w:id="48" w:name="_Toc521406235"/>
      <w:r w:rsidRPr="00BA441F">
        <w:rPr>
          <w:rFonts w:ascii="Cambria" w:hAnsi="Cambria"/>
        </w:rPr>
        <w:t>A.17 Display OMB Expiration Date</w:t>
      </w:r>
      <w:bookmarkEnd w:id="46"/>
      <w:bookmarkEnd w:id="47"/>
      <w:bookmarkEnd w:id="48"/>
    </w:p>
    <w:p w14:paraId="11519ACA" w14:textId="77777777" w:rsidR="00501AA5" w:rsidRPr="00BA441F" w:rsidRDefault="00501AA5" w:rsidP="00501AA5">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02ABFFD8" w14:textId="77777777" w:rsidR="00501AA5" w:rsidRPr="00BA441F" w:rsidRDefault="00501AA5" w:rsidP="00501AA5">
      <w:pPr>
        <w:pStyle w:val="Heading2"/>
        <w:keepNext w:val="0"/>
        <w:keepLines w:val="0"/>
        <w:spacing w:before="0" w:after="120" w:line="240" w:lineRule="auto"/>
        <w:rPr>
          <w:rFonts w:ascii="Cambria" w:hAnsi="Cambria"/>
        </w:rPr>
      </w:pPr>
      <w:bookmarkStart w:id="49" w:name="_Toc412022738"/>
      <w:bookmarkStart w:id="50" w:name="_Toc498951234"/>
      <w:bookmarkStart w:id="51" w:name="_Toc521406236"/>
      <w:r w:rsidRPr="00BA441F">
        <w:rPr>
          <w:rFonts w:ascii="Cambria" w:hAnsi="Cambria"/>
        </w:rPr>
        <w:t>A.18 Exceptions to Certification Statement</w:t>
      </w:r>
      <w:bookmarkEnd w:id="49"/>
      <w:bookmarkEnd w:id="50"/>
      <w:bookmarkEnd w:id="51"/>
    </w:p>
    <w:p w14:paraId="1B82A763" w14:textId="77777777" w:rsidR="00501AA5" w:rsidRDefault="00501AA5" w:rsidP="00501AA5">
      <w:pPr>
        <w:spacing w:line="240" w:lineRule="auto"/>
        <w:rPr>
          <w:rFonts w:ascii="Cambria" w:hAnsi="Cambria"/>
        </w:rPr>
      </w:pPr>
      <w:r w:rsidRPr="00BA441F">
        <w:rPr>
          <w:rFonts w:ascii="Cambria" w:hAnsi="Cambria"/>
        </w:rPr>
        <w:t>No exceptions to the certification statement are requested or required.</w:t>
      </w:r>
    </w:p>
    <w:p w14:paraId="732215E3" w14:textId="4E8A09E4" w:rsidR="00D54461" w:rsidRPr="00BA441F" w:rsidRDefault="00D54461" w:rsidP="00501AA5">
      <w:pPr>
        <w:pStyle w:val="Heading2"/>
        <w:keepNext w:val="0"/>
        <w:keepLines w:val="0"/>
        <w:spacing w:before="0" w:after="120" w:line="240" w:lineRule="auto"/>
        <w:rPr>
          <w:rFonts w:ascii="Cambria" w:hAnsi="Cambria"/>
        </w:rPr>
      </w:pPr>
    </w:p>
    <w:sectPr w:rsidR="00D54461" w:rsidRPr="00BA441F" w:rsidSect="00763DEC">
      <w:pgSz w:w="12240" w:h="15840" w:code="1"/>
      <w:pgMar w:top="792" w:right="792" w:bottom="720" w:left="792"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3AD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3AD60" w16cid:durableId="1EBA8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C7356" w14:textId="77777777" w:rsidR="00836EF8" w:rsidRDefault="00836EF8" w:rsidP="00B427AD">
      <w:pPr>
        <w:spacing w:after="0" w:line="240" w:lineRule="auto"/>
      </w:pPr>
      <w:r>
        <w:separator/>
      </w:r>
    </w:p>
  </w:endnote>
  <w:endnote w:type="continuationSeparator" w:id="0">
    <w:p w14:paraId="74F86CE8" w14:textId="77777777" w:rsidR="00836EF8" w:rsidRDefault="00836EF8"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86810"/>
      <w:docPartObj>
        <w:docPartGallery w:val="Page Numbers (Bottom of Page)"/>
        <w:docPartUnique/>
      </w:docPartObj>
    </w:sdtPr>
    <w:sdtEndPr>
      <w:rPr>
        <w:noProof/>
      </w:rPr>
    </w:sdtEndPr>
    <w:sdtContent>
      <w:p w14:paraId="60D36154" w14:textId="77777777" w:rsidR="00761F75" w:rsidRDefault="00761F75" w:rsidP="00610FBB">
        <w:pPr>
          <w:pStyle w:val="Footer"/>
          <w:jc w:val="center"/>
        </w:pPr>
        <w:r>
          <w:fldChar w:fldCharType="begin"/>
        </w:r>
        <w:r>
          <w:instrText xml:space="preserve"> PAGE   \* MERGEFORMAT </w:instrText>
        </w:r>
        <w:r>
          <w:fldChar w:fldCharType="separate"/>
        </w:r>
        <w:r w:rsidR="00E65B0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661" w14:textId="77777777" w:rsidR="00761F75" w:rsidRDefault="00761F75">
    <w:pPr>
      <w:pStyle w:val="Footer"/>
      <w:jc w:val="center"/>
    </w:pPr>
  </w:p>
  <w:p w14:paraId="5847E187" w14:textId="77777777" w:rsidR="00761F75" w:rsidRDefault="00761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62DEA" w14:textId="77777777" w:rsidR="00836EF8" w:rsidRDefault="00836EF8" w:rsidP="00B427AD">
      <w:pPr>
        <w:spacing w:after="0" w:line="240" w:lineRule="auto"/>
      </w:pPr>
      <w:r>
        <w:separator/>
      </w:r>
    </w:p>
  </w:footnote>
  <w:footnote w:type="continuationSeparator" w:id="0">
    <w:p w14:paraId="718C46F6" w14:textId="77777777" w:rsidR="00836EF8" w:rsidRDefault="00836EF8" w:rsidP="00B427AD">
      <w:pPr>
        <w:spacing w:after="0" w:line="240" w:lineRule="auto"/>
      </w:pPr>
      <w:r>
        <w:continuationSeparator/>
      </w:r>
    </w:p>
  </w:footnote>
  <w:footnote w:id="1">
    <w:p w14:paraId="3EB22235" w14:textId="77777777" w:rsidR="00761F75" w:rsidRPr="0030767F" w:rsidRDefault="00761F75"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sidRPr="0030767F">
        <w:rPr>
          <w:rFonts w:ascii="Times New Roman" w:hAnsi="Times New Roman"/>
          <w:sz w:val="18"/>
          <w:szCs w:val="18"/>
        </w:rPr>
        <w:t xml:space="preserve">(2), e438–e446. </w:t>
      </w:r>
    </w:p>
  </w:footnote>
  <w:footnote w:id="2">
    <w:p w14:paraId="52D7283D" w14:textId="77777777" w:rsidR="00761F75" w:rsidRPr="0066148C" w:rsidRDefault="00761F75"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761F75" w:rsidRPr="0060072D" w:rsidRDefault="00761F75"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761F75" w:rsidRPr="0060072D" w:rsidRDefault="00761F75"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761F75" w:rsidRDefault="00761F75"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6">
    <w:p w14:paraId="5C0E6E3B" w14:textId="31AC36F4" w:rsidR="00761F75" w:rsidRDefault="00761F75">
      <w:pPr>
        <w:pStyle w:val="FootnoteText"/>
      </w:pPr>
      <w:r>
        <w:rPr>
          <w:rStyle w:val="FootnoteReference"/>
        </w:rPr>
        <w:footnoteRef/>
      </w:r>
      <w:r>
        <w:t xml:space="preserve"> </w:t>
      </w:r>
      <w:r w:rsidRPr="001D6674">
        <w:t xml:space="preserve">The collection of these data </w:t>
      </w:r>
      <w:r w:rsidR="004A5CA6">
        <w:t xml:space="preserve">in MS1 </w:t>
      </w:r>
      <w:r w:rsidRPr="001D6674">
        <w:t>is necessary to facilitate the oversampling of students in two of the three focal disability groups: autism and emotional disturbance. Schools that opt not to provide IEP and disability information may still participate and disability information will be requested as part of the parent and teacher surveys.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8">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3"/>
  </w:num>
  <w:num w:numId="3">
    <w:abstractNumId w:val="0"/>
  </w:num>
  <w:num w:numId="4">
    <w:abstractNumId w:val="22"/>
  </w:num>
  <w:num w:numId="5">
    <w:abstractNumId w:val="28"/>
  </w:num>
  <w:num w:numId="6">
    <w:abstractNumId w:val="36"/>
  </w:num>
  <w:num w:numId="7">
    <w:abstractNumId w:val="8"/>
  </w:num>
  <w:num w:numId="8">
    <w:abstractNumId w:val="21"/>
  </w:num>
  <w:num w:numId="9">
    <w:abstractNumId w:val="24"/>
  </w:num>
  <w:num w:numId="10">
    <w:abstractNumId w:val="3"/>
  </w:num>
  <w:num w:numId="11">
    <w:abstractNumId w:val="31"/>
  </w:num>
  <w:num w:numId="12">
    <w:abstractNumId w:val="34"/>
  </w:num>
  <w:num w:numId="13">
    <w:abstractNumId w:val="10"/>
  </w:num>
  <w:num w:numId="14">
    <w:abstractNumId w:val="7"/>
  </w:num>
  <w:num w:numId="15">
    <w:abstractNumId w:val="35"/>
  </w:num>
  <w:num w:numId="16">
    <w:abstractNumId w:val="16"/>
  </w:num>
  <w:num w:numId="17">
    <w:abstractNumId w:val="1"/>
  </w:num>
  <w:num w:numId="18">
    <w:abstractNumId w:val="3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7"/>
  </w:num>
  <w:num w:numId="26">
    <w:abstractNumId w:val="19"/>
  </w:num>
  <w:num w:numId="27">
    <w:abstractNumId w:val="15"/>
  </w:num>
  <w:num w:numId="28">
    <w:abstractNumId w:val="12"/>
  </w:num>
  <w:num w:numId="29">
    <w:abstractNumId w:val="37"/>
  </w:num>
  <w:num w:numId="30">
    <w:abstractNumId w:val="14"/>
  </w:num>
  <w:num w:numId="31">
    <w:abstractNumId w:val="30"/>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29"/>
  </w:num>
  <w:num w:numId="36">
    <w:abstractNumId w:val="32"/>
  </w:num>
  <w:num w:numId="37">
    <w:abstractNumId w:val="2"/>
  </w:num>
  <w:num w:numId="38">
    <w:abstractNumId w:val="13"/>
  </w:num>
  <w:num w:numId="39">
    <w:abstractNumId w:val="9"/>
  </w:num>
  <w:num w:numId="40">
    <w:abstractNumId w:val="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05A5D"/>
    <w:rsid w:val="00011D73"/>
    <w:rsid w:val="0001282B"/>
    <w:rsid w:val="00012C7A"/>
    <w:rsid w:val="000131D3"/>
    <w:rsid w:val="000151E9"/>
    <w:rsid w:val="00016F4B"/>
    <w:rsid w:val="0001752B"/>
    <w:rsid w:val="0002037B"/>
    <w:rsid w:val="00020561"/>
    <w:rsid w:val="00020E82"/>
    <w:rsid w:val="000215E9"/>
    <w:rsid w:val="00023878"/>
    <w:rsid w:val="0002429D"/>
    <w:rsid w:val="000261B7"/>
    <w:rsid w:val="000268A0"/>
    <w:rsid w:val="0002739B"/>
    <w:rsid w:val="0003142C"/>
    <w:rsid w:val="00032DD3"/>
    <w:rsid w:val="00032E0D"/>
    <w:rsid w:val="00037ED0"/>
    <w:rsid w:val="000401B9"/>
    <w:rsid w:val="00040E91"/>
    <w:rsid w:val="00041F5E"/>
    <w:rsid w:val="00045631"/>
    <w:rsid w:val="00047726"/>
    <w:rsid w:val="000479E0"/>
    <w:rsid w:val="00047B82"/>
    <w:rsid w:val="00050839"/>
    <w:rsid w:val="00050FA9"/>
    <w:rsid w:val="00051F7A"/>
    <w:rsid w:val="00053232"/>
    <w:rsid w:val="00053A2B"/>
    <w:rsid w:val="00053C23"/>
    <w:rsid w:val="00054312"/>
    <w:rsid w:val="00054A36"/>
    <w:rsid w:val="00056C9C"/>
    <w:rsid w:val="000623A5"/>
    <w:rsid w:val="000624FF"/>
    <w:rsid w:val="00063C71"/>
    <w:rsid w:val="0006647E"/>
    <w:rsid w:val="00066665"/>
    <w:rsid w:val="00067A1B"/>
    <w:rsid w:val="00071F8C"/>
    <w:rsid w:val="00072F70"/>
    <w:rsid w:val="0007427A"/>
    <w:rsid w:val="00074913"/>
    <w:rsid w:val="00074B2D"/>
    <w:rsid w:val="00075EF4"/>
    <w:rsid w:val="0007738A"/>
    <w:rsid w:val="00082576"/>
    <w:rsid w:val="000825FE"/>
    <w:rsid w:val="00083328"/>
    <w:rsid w:val="00083D72"/>
    <w:rsid w:val="00086FFB"/>
    <w:rsid w:val="00090CDF"/>
    <w:rsid w:val="0009194F"/>
    <w:rsid w:val="00093769"/>
    <w:rsid w:val="00093D00"/>
    <w:rsid w:val="00094900"/>
    <w:rsid w:val="00094A1B"/>
    <w:rsid w:val="00096C98"/>
    <w:rsid w:val="00097D64"/>
    <w:rsid w:val="000A087A"/>
    <w:rsid w:val="000A26AC"/>
    <w:rsid w:val="000A330C"/>
    <w:rsid w:val="000A60FF"/>
    <w:rsid w:val="000B0C53"/>
    <w:rsid w:val="000B0E1D"/>
    <w:rsid w:val="000B3C9F"/>
    <w:rsid w:val="000B5B9E"/>
    <w:rsid w:val="000B7F00"/>
    <w:rsid w:val="000C4A14"/>
    <w:rsid w:val="000C76B7"/>
    <w:rsid w:val="000C7ED3"/>
    <w:rsid w:val="000D103F"/>
    <w:rsid w:val="000D1675"/>
    <w:rsid w:val="000D2991"/>
    <w:rsid w:val="000D5A3F"/>
    <w:rsid w:val="000D606E"/>
    <w:rsid w:val="000D698F"/>
    <w:rsid w:val="000D7091"/>
    <w:rsid w:val="000E0ECD"/>
    <w:rsid w:val="000E28BD"/>
    <w:rsid w:val="000E2DC9"/>
    <w:rsid w:val="000E62BF"/>
    <w:rsid w:val="000E65BC"/>
    <w:rsid w:val="000F0743"/>
    <w:rsid w:val="000F3DF8"/>
    <w:rsid w:val="000F3EBD"/>
    <w:rsid w:val="000F598A"/>
    <w:rsid w:val="000F72F3"/>
    <w:rsid w:val="001014BE"/>
    <w:rsid w:val="00101D04"/>
    <w:rsid w:val="00104D91"/>
    <w:rsid w:val="00110DAC"/>
    <w:rsid w:val="00115126"/>
    <w:rsid w:val="00116683"/>
    <w:rsid w:val="0011727D"/>
    <w:rsid w:val="00117877"/>
    <w:rsid w:val="001220D2"/>
    <w:rsid w:val="00125B8E"/>
    <w:rsid w:val="00125CDA"/>
    <w:rsid w:val="00125EDC"/>
    <w:rsid w:val="00130645"/>
    <w:rsid w:val="0013203F"/>
    <w:rsid w:val="0013351E"/>
    <w:rsid w:val="00133F1A"/>
    <w:rsid w:val="001353B4"/>
    <w:rsid w:val="00137E94"/>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6AA5"/>
    <w:rsid w:val="001572DA"/>
    <w:rsid w:val="0016048F"/>
    <w:rsid w:val="001620BB"/>
    <w:rsid w:val="0016288A"/>
    <w:rsid w:val="00163B06"/>
    <w:rsid w:val="00163ED9"/>
    <w:rsid w:val="0016461E"/>
    <w:rsid w:val="00165345"/>
    <w:rsid w:val="00166D34"/>
    <w:rsid w:val="001673DA"/>
    <w:rsid w:val="00167D7F"/>
    <w:rsid w:val="0017025C"/>
    <w:rsid w:val="00171C2A"/>
    <w:rsid w:val="0017562C"/>
    <w:rsid w:val="0017658C"/>
    <w:rsid w:val="0018037B"/>
    <w:rsid w:val="00180B3D"/>
    <w:rsid w:val="00185B31"/>
    <w:rsid w:val="00193FD5"/>
    <w:rsid w:val="001946FC"/>
    <w:rsid w:val="0019524D"/>
    <w:rsid w:val="00196367"/>
    <w:rsid w:val="00197A9F"/>
    <w:rsid w:val="001A15A7"/>
    <w:rsid w:val="001A273E"/>
    <w:rsid w:val="001A3463"/>
    <w:rsid w:val="001A39E7"/>
    <w:rsid w:val="001A3A96"/>
    <w:rsid w:val="001A4E07"/>
    <w:rsid w:val="001A53B5"/>
    <w:rsid w:val="001B2A8E"/>
    <w:rsid w:val="001B3532"/>
    <w:rsid w:val="001B3CC3"/>
    <w:rsid w:val="001B3CEB"/>
    <w:rsid w:val="001B4E9F"/>
    <w:rsid w:val="001B7121"/>
    <w:rsid w:val="001B72A5"/>
    <w:rsid w:val="001B7F50"/>
    <w:rsid w:val="001C0EB7"/>
    <w:rsid w:val="001C1926"/>
    <w:rsid w:val="001C2669"/>
    <w:rsid w:val="001C26FA"/>
    <w:rsid w:val="001C2C2B"/>
    <w:rsid w:val="001C4115"/>
    <w:rsid w:val="001C4226"/>
    <w:rsid w:val="001C4ECB"/>
    <w:rsid w:val="001C7775"/>
    <w:rsid w:val="001C7CD6"/>
    <w:rsid w:val="001D003E"/>
    <w:rsid w:val="001D35C6"/>
    <w:rsid w:val="001D58C1"/>
    <w:rsid w:val="001D58E3"/>
    <w:rsid w:val="001D5B6F"/>
    <w:rsid w:val="001D6612"/>
    <w:rsid w:val="001D6674"/>
    <w:rsid w:val="001D6BBE"/>
    <w:rsid w:val="001D6D23"/>
    <w:rsid w:val="001D7F0F"/>
    <w:rsid w:val="001E1D6A"/>
    <w:rsid w:val="001E24C2"/>
    <w:rsid w:val="001E2601"/>
    <w:rsid w:val="001E2F6A"/>
    <w:rsid w:val="001E4ACF"/>
    <w:rsid w:val="001E5407"/>
    <w:rsid w:val="001E58DC"/>
    <w:rsid w:val="001F1AAE"/>
    <w:rsid w:val="001F1B6D"/>
    <w:rsid w:val="001F27FC"/>
    <w:rsid w:val="001F303C"/>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4081"/>
    <w:rsid w:val="0021518A"/>
    <w:rsid w:val="00217E66"/>
    <w:rsid w:val="00221B40"/>
    <w:rsid w:val="0022234D"/>
    <w:rsid w:val="00223389"/>
    <w:rsid w:val="0022491D"/>
    <w:rsid w:val="00224996"/>
    <w:rsid w:val="002255F6"/>
    <w:rsid w:val="002256F2"/>
    <w:rsid w:val="0022643C"/>
    <w:rsid w:val="0023037F"/>
    <w:rsid w:val="00231E04"/>
    <w:rsid w:val="00241833"/>
    <w:rsid w:val="002429C1"/>
    <w:rsid w:val="00243F9E"/>
    <w:rsid w:val="002453D2"/>
    <w:rsid w:val="002471B1"/>
    <w:rsid w:val="00250167"/>
    <w:rsid w:val="00253BDA"/>
    <w:rsid w:val="00253E19"/>
    <w:rsid w:val="002568C5"/>
    <w:rsid w:val="00261B54"/>
    <w:rsid w:val="00263FDC"/>
    <w:rsid w:val="0026415D"/>
    <w:rsid w:val="00264480"/>
    <w:rsid w:val="00266E26"/>
    <w:rsid w:val="0027199D"/>
    <w:rsid w:val="00273BDE"/>
    <w:rsid w:val="00273C6F"/>
    <w:rsid w:val="00276F11"/>
    <w:rsid w:val="00277EDF"/>
    <w:rsid w:val="0028112E"/>
    <w:rsid w:val="002816DA"/>
    <w:rsid w:val="002850CD"/>
    <w:rsid w:val="00285A6A"/>
    <w:rsid w:val="00286C1B"/>
    <w:rsid w:val="00286D39"/>
    <w:rsid w:val="00287DE2"/>
    <w:rsid w:val="00291A2F"/>
    <w:rsid w:val="00291C19"/>
    <w:rsid w:val="002A1C3E"/>
    <w:rsid w:val="002A2D1A"/>
    <w:rsid w:val="002A3551"/>
    <w:rsid w:val="002A41CB"/>
    <w:rsid w:val="002B0748"/>
    <w:rsid w:val="002B0A99"/>
    <w:rsid w:val="002B1DFD"/>
    <w:rsid w:val="002B1F3F"/>
    <w:rsid w:val="002B22C0"/>
    <w:rsid w:val="002B2A9B"/>
    <w:rsid w:val="002B4750"/>
    <w:rsid w:val="002B4877"/>
    <w:rsid w:val="002B5022"/>
    <w:rsid w:val="002B7CEB"/>
    <w:rsid w:val="002C07D1"/>
    <w:rsid w:val="002C1902"/>
    <w:rsid w:val="002C2813"/>
    <w:rsid w:val="002C3779"/>
    <w:rsid w:val="002C639B"/>
    <w:rsid w:val="002C7467"/>
    <w:rsid w:val="002C74D0"/>
    <w:rsid w:val="002C7D9E"/>
    <w:rsid w:val="002D19FA"/>
    <w:rsid w:val="002D29CE"/>
    <w:rsid w:val="002D5320"/>
    <w:rsid w:val="002D624D"/>
    <w:rsid w:val="002D7622"/>
    <w:rsid w:val="002E09E2"/>
    <w:rsid w:val="002E0D58"/>
    <w:rsid w:val="002E42F8"/>
    <w:rsid w:val="002E560B"/>
    <w:rsid w:val="002E6E9E"/>
    <w:rsid w:val="002E70AB"/>
    <w:rsid w:val="002E7F0A"/>
    <w:rsid w:val="002E7FD9"/>
    <w:rsid w:val="002F0F8D"/>
    <w:rsid w:val="002F2B05"/>
    <w:rsid w:val="002F4A84"/>
    <w:rsid w:val="002F656A"/>
    <w:rsid w:val="002F678A"/>
    <w:rsid w:val="002F79DB"/>
    <w:rsid w:val="00301814"/>
    <w:rsid w:val="00301C53"/>
    <w:rsid w:val="00302989"/>
    <w:rsid w:val="00302CC3"/>
    <w:rsid w:val="00303B50"/>
    <w:rsid w:val="00303D93"/>
    <w:rsid w:val="003058ED"/>
    <w:rsid w:val="00305E37"/>
    <w:rsid w:val="003060A2"/>
    <w:rsid w:val="003062B5"/>
    <w:rsid w:val="0030639A"/>
    <w:rsid w:val="003066DE"/>
    <w:rsid w:val="0030767F"/>
    <w:rsid w:val="00311872"/>
    <w:rsid w:val="00313F93"/>
    <w:rsid w:val="003141A1"/>
    <w:rsid w:val="00314B01"/>
    <w:rsid w:val="00316AB0"/>
    <w:rsid w:val="00320345"/>
    <w:rsid w:val="00320F4A"/>
    <w:rsid w:val="00321004"/>
    <w:rsid w:val="0032174E"/>
    <w:rsid w:val="00321915"/>
    <w:rsid w:val="00322939"/>
    <w:rsid w:val="003238AB"/>
    <w:rsid w:val="0032413C"/>
    <w:rsid w:val="00325186"/>
    <w:rsid w:val="00325D65"/>
    <w:rsid w:val="00327E4B"/>
    <w:rsid w:val="0033011D"/>
    <w:rsid w:val="003319E6"/>
    <w:rsid w:val="0033210D"/>
    <w:rsid w:val="00334D63"/>
    <w:rsid w:val="003354B2"/>
    <w:rsid w:val="00336309"/>
    <w:rsid w:val="003364FF"/>
    <w:rsid w:val="003409A4"/>
    <w:rsid w:val="00341DFA"/>
    <w:rsid w:val="003425A7"/>
    <w:rsid w:val="00344970"/>
    <w:rsid w:val="00344C2A"/>
    <w:rsid w:val="0035055B"/>
    <w:rsid w:val="0035103A"/>
    <w:rsid w:val="00355370"/>
    <w:rsid w:val="0035636C"/>
    <w:rsid w:val="00360499"/>
    <w:rsid w:val="003617C1"/>
    <w:rsid w:val="003625D4"/>
    <w:rsid w:val="00364226"/>
    <w:rsid w:val="00364264"/>
    <w:rsid w:val="0036756A"/>
    <w:rsid w:val="00370F57"/>
    <w:rsid w:val="00371E97"/>
    <w:rsid w:val="003728E6"/>
    <w:rsid w:val="00373387"/>
    <w:rsid w:val="00373906"/>
    <w:rsid w:val="00374E00"/>
    <w:rsid w:val="0037608C"/>
    <w:rsid w:val="00376B40"/>
    <w:rsid w:val="0038065B"/>
    <w:rsid w:val="00380A1F"/>
    <w:rsid w:val="00381F6C"/>
    <w:rsid w:val="00384364"/>
    <w:rsid w:val="0038471F"/>
    <w:rsid w:val="00384BC4"/>
    <w:rsid w:val="00385A2C"/>
    <w:rsid w:val="003904F7"/>
    <w:rsid w:val="00393E7F"/>
    <w:rsid w:val="00395A43"/>
    <w:rsid w:val="00396392"/>
    <w:rsid w:val="003969FB"/>
    <w:rsid w:val="003A0382"/>
    <w:rsid w:val="003A1B66"/>
    <w:rsid w:val="003A34ED"/>
    <w:rsid w:val="003A4250"/>
    <w:rsid w:val="003A4EF7"/>
    <w:rsid w:val="003A5BEB"/>
    <w:rsid w:val="003B1078"/>
    <w:rsid w:val="003B1C2A"/>
    <w:rsid w:val="003B2F16"/>
    <w:rsid w:val="003B4739"/>
    <w:rsid w:val="003B5A63"/>
    <w:rsid w:val="003B644B"/>
    <w:rsid w:val="003B6B9A"/>
    <w:rsid w:val="003B6F2A"/>
    <w:rsid w:val="003B781C"/>
    <w:rsid w:val="003C067B"/>
    <w:rsid w:val="003C14A1"/>
    <w:rsid w:val="003C2CE7"/>
    <w:rsid w:val="003C67DC"/>
    <w:rsid w:val="003C75E1"/>
    <w:rsid w:val="003D07CC"/>
    <w:rsid w:val="003D13EE"/>
    <w:rsid w:val="003D2A7A"/>
    <w:rsid w:val="003D338D"/>
    <w:rsid w:val="003D39E4"/>
    <w:rsid w:val="003D4BA4"/>
    <w:rsid w:val="003D59C4"/>
    <w:rsid w:val="003E27DE"/>
    <w:rsid w:val="003F2C84"/>
    <w:rsid w:val="003F3457"/>
    <w:rsid w:val="003F42C4"/>
    <w:rsid w:val="00400C93"/>
    <w:rsid w:val="00402D9E"/>
    <w:rsid w:val="004054AD"/>
    <w:rsid w:val="004056F7"/>
    <w:rsid w:val="004057CA"/>
    <w:rsid w:val="00410A8F"/>
    <w:rsid w:val="00410F5E"/>
    <w:rsid w:val="00414001"/>
    <w:rsid w:val="00415B58"/>
    <w:rsid w:val="00416AFA"/>
    <w:rsid w:val="0042035B"/>
    <w:rsid w:val="00421938"/>
    <w:rsid w:val="00421ADA"/>
    <w:rsid w:val="00422F24"/>
    <w:rsid w:val="00431D79"/>
    <w:rsid w:val="00433DD4"/>
    <w:rsid w:val="00433E06"/>
    <w:rsid w:val="00434B65"/>
    <w:rsid w:val="00435076"/>
    <w:rsid w:val="00440E96"/>
    <w:rsid w:val="00442197"/>
    <w:rsid w:val="0044258C"/>
    <w:rsid w:val="00443066"/>
    <w:rsid w:val="004443E2"/>
    <w:rsid w:val="0044535D"/>
    <w:rsid w:val="00445928"/>
    <w:rsid w:val="0045024B"/>
    <w:rsid w:val="0045091A"/>
    <w:rsid w:val="00450E56"/>
    <w:rsid w:val="00454A21"/>
    <w:rsid w:val="004550E5"/>
    <w:rsid w:val="00457D31"/>
    <w:rsid w:val="00463F12"/>
    <w:rsid w:val="00465DCF"/>
    <w:rsid w:val="00467BF9"/>
    <w:rsid w:val="00471396"/>
    <w:rsid w:val="0047327C"/>
    <w:rsid w:val="0047431E"/>
    <w:rsid w:val="00474C2D"/>
    <w:rsid w:val="0047513F"/>
    <w:rsid w:val="00475911"/>
    <w:rsid w:val="00475D87"/>
    <w:rsid w:val="00475E24"/>
    <w:rsid w:val="004774FD"/>
    <w:rsid w:val="00480683"/>
    <w:rsid w:val="00480B5B"/>
    <w:rsid w:val="0048320A"/>
    <w:rsid w:val="00484B4C"/>
    <w:rsid w:val="004855DF"/>
    <w:rsid w:val="00486DB6"/>
    <w:rsid w:val="00487EBD"/>
    <w:rsid w:val="004920FE"/>
    <w:rsid w:val="004921D2"/>
    <w:rsid w:val="00493F14"/>
    <w:rsid w:val="00493FC6"/>
    <w:rsid w:val="0049411D"/>
    <w:rsid w:val="0049525E"/>
    <w:rsid w:val="00496F57"/>
    <w:rsid w:val="00496FF7"/>
    <w:rsid w:val="0049727F"/>
    <w:rsid w:val="0049745D"/>
    <w:rsid w:val="004A028E"/>
    <w:rsid w:val="004A138F"/>
    <w:rsid w:val="004A1C58"/>
    <w:rsid w:val="004A37C3"/>
    <w:rsid w:val="004A4515"/>
    <w:rsid w:val="004A53FC"/>
    <w:rsid w:val="004A5CA6"/>
    <w:rsid w:val="004A7097"/>
    <w:rsid w:val="004B0105"/>
    <w:rsid w:val="004B18E8"/>
    <w:rsid w:val="004B2907"/>
    <w:rsid w:val="004B2A00"/>
    <w:rsid w:val="004B36DA"/>
    <w:rsid w:val="004B472C"/>
    <w:rsid w:val="004B63CC"/>
    <w:rsid w:val="004B7A0F"/>
    <w:rsid w:val="004C04F1"/>
    <w:rsid w:val="004C1AC3"/>
    <w:rsid w:val="004C3B4D"/>
    <w:rsid w:val="004C4610"/>
    <w:rsid w:val="004C5699"/>
    <w:rsid w:val="004C6A2E"/>
    <w:rsid w:val="004C6B48"/>
    <w:rsid w:val="004C6CFD"/>
    <w:rsid w:val="004D01D7"/>
    <w:rsid w:val="004D0D10"/>
    <w:rsid w:val="004D11EF"/>
    <w:rsid w:val="004D16D0"/>
    <w:rsid w:val="004D1DE4"/>
    <w:rsid w:val="004D2636"/>
    <w:rsid w:val="004D2CAD"/>
    <w:rsid w:val="004D4991"/>
    <w:rsid w:val="004D530E"/>
    <w:rsid w:val="004D5C55"/>
    <w:rsid w:val="004E042D"/>
    <w:rsid w:val="004E0AD1"/>
    <w:rsid w:val="004E1A49"/>
    <w:rsid w:val="004E2C75"/>
    <w:rsid w:val="004E4C9C"/>
    <w:rsid w:val="004E6157"/>
    <w:rsid w:val="004E75F9"/>
    <w:rsid w:val="004F34A4"/>
    <w:rsid w:val="004F4A5B"/>
    <w:rsid w:val="004F4CEE"/>
    <w:rsid w:val="004F5CF5"/>
    <w:rsid w:val="004F75A0"/>
    <w:rsid w:val="004F7A66"/>
    <w:rsid w:val="0050150F"/>
    <w:rsid w:val="00501AA5"/>
    <w:rsid w:val="0050209E"/>
    <w:rsid w:val="005035FF"/>
    <w:rsid w:val="0050444B"/>
    <w:rsid w:val="005046D2"/>
    <w:rsid w:val="00505377"/>
    <w:rsid w:val="00505B24"/>
    <w:rsid w:val="00505F4F"/>
    <w:rsid w:val="00507645"/>
    <w:rsid w:val="00507FC3"/>
    <w:rsid w:val="00511179"/>
    <w:rsid w:val="0051741A"/>
    <w:rsid w:val="00517950"/>
    <w:rsid w:val="00520B11"/>
    <w:rsid w:val="0052195F"/>
    <w:rsid w:val="00522DF5"/>
    <w:rsid w:val="00523356"/>
    <w:rsid w:val="00523D49"/>
    <w:rsid w:val="005241A8"/>
    <w:rsid w:val="00524A0D"/>
    <w:rsid w:val="005270F2"/>
    <w:rsid w:val="00532610"/>
    <w:rsid w:val="005339E5"/>
    <w:rsid w:val="0053450E"/>
    <w:rsid w:val="005368F9"/>
    <w:rsid w:val="00537B43"/>
    <w:rsid w:val="00537BAF"/>
    <w:rsid w:val="0054213D"/>
    <w:rsid w:val="0054253F"/>
    <w:rsid w:val="00542908"/>
    <w:rsid w:val="0054381F"/>
    <w:rsid w:val="00543B33"/>
    <w:rsid w:val="0055283A"/>
    <w:rsid w:val="00552966"/>
    <w:rsid w:val="00561F12"/>
    <w:rsid w:val="005623C1"/>
    <w:rsid w:val="005630B5"/>
    <w:rsid w:val="0056320B"/>
    <w:rsid w:val="005635BA"/>
    <w:rsid w:val="00564DAF"/>
    <w:rsid w:val="00564FFF"/>
    <w:rsid w:val="005657E2"/>
    <w:rsid w:val="00567D94"/>
    <w:rsid w:val="00570412"/>
    <w:rsid w:val="005732EE"/>
    <w:rsid w:val="00576A12"/>
    <w:rsid w:val="00577402"/>
    <w:rsid w:val="00580FFD"/>
    <w:rsid w:val="00581DCE"/>
    <w:rsid w:val="00582B35"/>
    <w:rsid w:val="00586C76"/>
    <w:rsid w:val="00586E9F"/>
    <w:rsid w:val="00587047"/>
    <w:rsid w:val="005879F5"/>
    <w:rsid w:val="00587E90"/>
    <w:rsid w:val="00591138"/>
    <w:rsid w:val="00592BDC"/>
    <w:rsid w:val="00592CA6"/>
    <w:rsid w:val="005934F3"/>
    <w:rsid w:val="00594A44"/>
    <w:rsid w:val="00597447"/>
    <w:rsid w:val="005A1498"/>
    <w:rsid w:val="005A67D5"/>
    <w:rsid w:val="005A7272"/>
    <w:rsid w:val="005B276C"/>
    <w:rsid w:val="005B3144"/>
    <w:rsid w:val="005B339C"/>
    <w:rsid w:val="005B3D95"/>
    <w:rsid w:val="005B4BC8"/>
    <w:rsid w:val="005B59C0"/>
    <w:rsid w:val="005B79CE"/>
    <w:rsid w:val="005C0245"/>
    <w:rsid w:val="005C14B2"/>
    <w:rsid w:val="005C2A08"/>
    <w:rsid w:val="005C3CBF"/>
    <w:rsid w:val="005C7853"/>
    <w:rsid w:val="005D0097"/>
    <w:rsid w:val="005D070F"/>
    <w:rsid w:val="005D1B80"/>
    <w:rsid w:val="005D30F8"/>
    <w:rsid w:val="005D39E6"/>
    <w:rsid w:val="005D443D"/>
    <w:rsid w:val="005D7D8B"/>
    <w:rsid w:val="005E3AF7"/>
    <w:rsid w:val="005E4841"/>
    <w:rsid w:val="005E5C2F"/>
    <w:rsid w:val="005F0147"/>
    <w:rsid w:val="005F0D95"/>
    <w:rsid w:val="005F3861"/>
    <w:rsid w:val="005F38E7"/>
    <w:rsid w:val="005F3D09"/>
    <w:rsid w:val="005F581D"/>
    <w:rsid w:val="005F7141"/>
    <w:rsid w:val="00603029"/>
    <w:rsid w:val="00606972"/>
    <w:rsid w:val="006102EE"/>
    <w:rsid w:val="00610FBB"/>
    <w:rsid w:val="0061127D"/>
    <w:rsid w:val="00611813"/>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14C4"/>
    <w:rsid w:val="00637AA0"/>
    <w:rsid w:val="00640E7F"/>
    <w:rsid w:val="00642E87"/>
    <w:rsid w:val="0064326C"/>
    <w:rsid w:val="006438D2"/>
    <w:rsid w:val="0064394B"/>
    <w:rsid w:val="0064784D"/>
    <w:rsid w:val="0064795C"/>
    <w:rsid w:val="00647E77"/>
    <w:rsid w:val="00651C99"/>
    <w:rsid w:val="00652209"/>
    <w:rsid w:val="00652816"/>
    <w:rsid w:val="006535D4"/>
    <w:rsid w:val="006538F3"/>
    <w:rsid w:val="00654B32"/>
    <w:rsid w:val="00655360"/>
    <w:rsid w:val="00655DB0"/>
    <w:rsid w:val="0066148C"/>
    <w:rsid w:val="00661B44"/>
    <w:rsid w:val="00662039"/>
    <w:rsid w:val="0066407D"/>
    <w:rsid w:val="00664751"/>
    <w:rsid w:val="00667D93"/>
    <w:rsid w:val="00670C8E"/>
    <w:rsid w:val="0067229A"/>
    <w:rsid w:val="00672780"/>
    <w:rsid w:val="006747AB"/>
    <w:rsid w:val="00674C5D"/>
    <w:rsid w:val="0067547F"/>
    <w:rsid w:val="00675B08"/>
    <w:rsid w:val="00676580"/>
    <w:rsid w:val="00676921"/>
    <w:rsid w:val="00676D91"/>
    <w:rsid w:val="006803A2"/>
    <w:rsid w:val="0068043E"/>
    <w:rsid w:val="0068059E"/>
    <w:rsid w:val="00681D65"/>
    <w:rsid w:val="00681E95"/>
    <w:rsid w:val="0068287C"/>
    <w:rsid w:val="00684438"/>
    <w:rsid w:val="006859AB"/>
    <w:rsid w:val="00692FEF"/>
    <w:rsid w:val="006966EA"/>
    <w:rsid w:val="006A081D"/>
    <w:rsid w:val="006A1521"/>
    <w:rsid w:val="006A3225"/>
    <w:rsid w:val="006A3CD5"/>
    <w:rsid w:val="006A468F"/>
    <w:rsid w:val="006A538A"/>
    <w:rsid w:val="006B0597"/>
    <w:rsid w:val="006B10BC"/>
    <w:rsid w:val="006B1A77"/>
    <w:rsid w:val="006B243F"/>
    <w:rsid w:val="006B2DC0"/>
    <w:rsid w:val="006B30DD"/>
    <w:rsid w:val="006B3C57"/>
    <w:rsid w:val="006B41EF"/>
    <w:rsid w:val="006B6220"/>
    <w:rsid w:val="006B73E1"/>
    <w:rsid w:val="006C3229"/>
    <w:rsid w:val="006C5FE5"/>
    <w:rsid w:val="006D04B4"/>
    <w:rsid w:val="006D0867"/>
    <w:rsid w:val="006D4A3A"/>
    <w:rsid w:val="006D56B6"/>
    <w:rsid w:val="006D5FD7"/>
    <w:rsid w:val="006D7C58"/>
    <w:rsid w:val="006D7D6B"/>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14A9"/>
    <w:rsid w:val="00702C79"/>
    <w:rsid w:val="0070576A"/>
    <w:rsid w:val="00705DC2"/>
    <w:rsid w:val="00706316"/>
    <w:rsid w:val="00711FF0"/>
    <w:rsid w:val="0071268F"/>
    <w:rsid w:val="00713D04"/>
    <w:rsid w:val="00720CF3"/>
    <w:rsid w:val="0072244D"/>
    <w:rsid w:val="00726E89"/>
    <w:rsid w:val="007314D5"/>
    <w:rsid w:val="007328AD"/>
    <w:rsid w:val="00735157"/>
    <w:rsid w:val="00735BE4"/>
    <w:rsid w:val="00736849"/>
    <w:rsid w:val="00736FB0"/>
    <w:rsid w:val="00740AA5"/>
    <w:rsid w:val="0074177F"/>
    <w:rsid w:val="00741CFE"/>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3DEC"/>
    <w:rsid w:val="00764180"/>
    <w:rsid w:val="00765320"/>
    <w:rsid w:val="00766240"/>
    <w:rsid w:val="0076665E"/>
    <w:rsid w:val="0077115B"/>
    <w:rsid w:val="007716FD"/>
    <w:rsid w:val="007724E1"/>
    <w:rsid w:val="007725CB"/>
    <w:rsid w:val="0077377D"/>
    <w:rsid w:val="00773B6C"/>
    <w:rsid w:val="0077456B"/>
    <w:rsid w:val="007751C8"/>
    <w:rsid w:val="00775691"/>
    <w:rsid w:val="00775DA2"/>
    <w:rsid w:val="007805B9"/>
    <w:rsid w:val="00782BC7"/>
    <w:rsid w:val="007840FC"/>
    <w:rsid w:val="0078426C"/>
    <w:rsid w:val="007843C0"/>
    <w:rsid w:val="00784930"/>
    <w:rsid w:val="00786D58"/>
    <w:rsid w:val="00790913"/>
    <w:rsid w:val="00791DBC"/>
    <w:rsid w:val="00793B24"/>
    <w:rsid w:val="00794C92"/>
    <w:rsid w:val="007958C6"/>
    <w:rsid w:val="00796751"/>
    <w:rsid w:val="00797BDA"/>
    <w:rsid w:val="007A03A1"/>
    <w:rsid w:val="007A246E"/>
    <w:rsid w:val="007A4832"/>
    <w:rsid w:val="007A66EA"/>
    <w:rsid w:val="007A6703"/>
    <w:rsid w:val="007A7E9A"/>
    <w:rsid w:val="007B1EFD"/>
    <w:rsid w:val="007B2988"/>
    <w:rsid w:val="007B304E"/>
    <w:rsid w:val="007B51A4"/>
    <w:rsid w:val="007B5B39"/>
    <w:rsid w:val="007B5F59"/>
    <w:rsid w:val="007B63B4"/>
    <w:rsid w:val="007B6626"/>
    <w:rsid w:val="007B6AC1"/>
    <w:rsid w:val="007C29B4"/>
    <w:rsid w:val="007C3D3D"/>
    <w:rsid w:val="007C5106"/>
    <w:rsid w:val="007C526B"/>
    <w:rsid w:val="007C7EAE"/>
    <w:rsid w:val="007D15BD"/>
    <w:rsid w:val="007D18A5"/>
    <w:rsid w:val="007D276C"/>
    <w:rsid w:val="007D2B3C"/>
    <w:rsid w:val="007D2CDC"/>
    <w:rsid w:val="007D3196"/>
    <w:rsid w:val="007D3B9A"/>
    <w:rsid w:val="007D47EF"/>
    <w:rsid w:val="007D5D5A"/>
    <w:rsid w:val="007D6434"/>
    <w:rsid w:val="007E143A"/>
    <w:rsid w:val="007E30D6"/>
    <w:rsid w:val="007E3274"/>
    <w:rsid w:val="007E370C"/>
    <w:rsid w:val="007E3C8A"/>
    <w:rsid w:val="007E4875"/>
    <w:rsid w:val="007E5F4D"/>
    <w:rsid w:val="007F20B7"/>
    <w:rsid w:val="007F216A"/>
    <w:rsid w:val="007F3CDE"/>
    <w:rsid w:val="007F51FB"/>
    <w:rsid w:val="007F5252"/>
    <w:rsid w:val="007F5883"/>
    <w:rsid w:val="007F626F"/>
    <w:rsid w:val="007F7136"/>
    <w:rsid w:val="007F73C5"/>
    <w:rsid w:val="0080074D"/>
    <w:rsid w:val="008013B3"/>
    <w:rsid w:val="008054AD"/>
    <w:rsid w:val="0080617F"/>
    <w:rsid w:val="00807AAC"/>
    <w:rsid w:val="00813EEF"/>
    <w:rsid w:val="00814EFC"/>
    <w:rsid w:val="00817B73"/>
    <w:rsid w:val="00823762"/>
    <w:rsid w:val="0082466A"/>
    <w:rsid w:val="008248F4"/>
    <w:rsid w:val="008300F4"/>
    <w:rsid w:val="008329C3"/>
    <w:rsid w:val="008341E1"/>
    <w:rsid w:val="008358E0"/>
    <w:rsid w:val="00836EF8"/>
    <w:rsid w:val="00841E66"/>
    <w:rsid w:val="00842D67"/>
    <w:rsid w:val="00844536"/>
    <w:rsid w:val="00845A0A"/>
    <w:rsid w:val="00847A57"/>
    <w:rsid w:val="0085011F"/>
    <w:rsid w:val="00851F21"/>
    <w:rsid w:val="008534DC"/>
    <w:rsid w:val="008546C2"/>
    <w:rsid w:val="0085598D"/>
    <w:rsid w:val="00856342"/>
    <w:rsid w:val="008570E0"/>
    <w:rsid w:val="008572E8"/>
    <w:rsid w:val="008578E7"/>
    <w:rsid w:val="00860E04"/>
    <w:rsid w:val="008633F1"/>
    <w:rsid w:val="00863CDA"/>
    <w:rsid w:val="00866C5A"/>
    <w:rsid w:val="00867869"/>
    <w:rsid w:val="00867FDE"/>
    <w:rsid w:val="008710DC"/>
    <w:rsid w:val="00871BE0"/>
    <w:rsid w:val="00872191"/>
    <w:rsid w:val="00872839"/>
    <w:rsid w:val="00873AE4"/>
    <w:rsid w:val="00873FC0"/>
    <w:rsid w:val="008742C8"/>
    <w:rsid w:val="008771D4"/>
    <w:rsid w:val="00877E73"/>
    <w:rsid w:val="00877ED0"/>
    <w:rsid w:val="008801F7"/>
    <w:rsid w:val="008802D2"/>
    <w:rsid w:val="008855A0"/>
    <w:rsid w:val="00885B14"/>
    <w:rsid w:val="0088608B"/>
    <w:rsid w:val="00886FFF"/>
    <w:rsid w:val="00890C43"/>
    <w:rsid w:val="00891DDC"/>
    <w:rsid w:val="00892A32"/>
    <w:rsid w:val="00892F7A"/>
    <w:rsid w:val="00893909"/>
    <w:rsid w:val="0089680C"/>
    <w:rsid w:val="008A19FC"/>
    <w:rsid w:val="008A1AB3"/>
    <w:rsid w:val="008A2E3B"/>
    <w:rsid w:val="008A3477"/>
    <w:rsid w:val="008A51FB"/>
    <w:rsid w:val="008B0514"/>
    <w:rsid w:val="008B09CF"/>
    <w:rsid w:val="008B2A11"/>
    <w:rsid w:val="008B554F"/>
    <w:rsid w:val="008B582D"/>
    <w:rsid w:val="008B6EF9"/>
    <w:rsid w:val="008B7811"/>
    <w:rsid w:val="008C040A"/>
    <w:rsid w:val="008C3E6C"/>
    <w:rsid w:val="008C55D2"/>
    <w:rsid w:val="008C605D"/>
    <w:rsid w:val="008C77C9"/>
    <w:rsid w:val="008D04C9"/>
    <w:rsid w:val="008D09C9"/>
    <w:rsid w:val="008D445F"/>
    <w:rsid w:val="008D58ED"/>
    <w:rsid w:val="008D7D80"/>
    <w:rsid w:val="008E0CF0"/>
    <w:rsid w:val="008E4A00"/>
    <w:rsid w:val="008E7480"/>
    <w:rsid w:val="008F1963"/>
    <w:rsid w:val="008F1BD5"/>
    <w:rsid w:val="008F788D"/>
    <w:rsid w:val="00903BEC"/>
    <w:rsid w:val="009044EF"/>
    <w:rsid w:val="00906623"/>
    <w:rsid w:val="009121FE"/>
    <w:rsid w:val="0091397A"/>
    <w:rsid w:val="00913C89"/>
    <w:rsid w:val="009157C4"/>
    <w:rsid w:val="00916B15"/>
    <w:rsid w:val="00921F02"/>
    <w:rsid w:val="0092310C"/>
    <w:rsid w:val="00923B03"/>
    <w:rsid w:val="00925904"/>
    <w:rsid w:val="009279C5"/>
    <w:rsid w:val="00931BED"/>
    <w:rsid w:val="0093538A"/>
    <w:rsid w:val="009354E4"/>
    <w:rsid w:val="00935F85"/>
    <w:rsid w:val="00944344"/>
    <w:rsid w:val="009444CE"/>
    <w:rsid w:val="00950D7F"/>
    <w:rsid w:val="0095113E"/>
    <w:rsid w:val="00952E0E"/>
    <w:rsid w:val="009550D7"/>
    <w:rsid w:val="00955769"/>
    <w:rsid w:val="00960EDA"/>
    <w:rsid w:val="00960EFA"/>
    <w:rsid w:val="009620F9"/>
    <w:rsid w:val="00963B4C"/>
    <w:rsid w:val="009667C4"/>
    <w:rsid w:val="00966CA6"/>
    <w:rsid w:val="00967651"/>
    <w:rsid w:val="00967704"/>
    <w:rsid w:val="009700EC"/>
    <w:rsid w:val="00974C62"/>
    <w:rsid w:val="009813FE"/>
    <w:rsid w:val="00981CB0"/>
    <w:rsid w:val="00982FB2"/>
    <w:rsid w:val="00983871"/>
    <w:rsid w:val="00984491"/>
    <w:rsid w:val="009852BF"/>
    <w:rsid w:val="009857E1"/>
    <w:rsid w:val="00986CD8"/>
    <w:rsid w:val="00987419"/>
    <w:rsid w:val="0099010E"/>
    <w:rsid w:val="00991419"/>
    <w:rsid w:val="00991435"/>
    <w:rsid w:val="0099206F"/>
    <w:rsid w:val="00993558"/>
    <w:rsid w:val="00996409"/>
    <w:rsid w:val="00996682"/>
    <w:rsid w:val="009975FE"/>
    <w:rsid w:val="009A05D5"/>
    <w:rsid w:val="009A1D1E"/>
    <w:rsid w:val="009A3D0E"/>
    <w:rsid w:val="009A5375"/>
    <w:rsid w:val="009A7706"/>
    <w:rsid w:val="009B01CA"/>
    <w:rsid w:val="009B0A18"/>
    <w:rsid w:val="009B15E1"/>
    <w:rsid w:val="009B3446"/>
    <w:rsid w:val="009B453A"/>
    <w:rsid w:val="009B54BA"/>
    <w:rsid w:val="009B5833"/>
    <w:rsid w:val="009B5CCB"/>
    <w:rsid w:val="009B70D1"/>
    <w:rsid w:val="009B7107"/>
    <w:rsid w:val="009C02C4"/>
    <w:rsid w:val="009C08D9"/>
    <w:rsid w:val="009C15B8"/>
    <w:rsid w:val="009C1F2B"/>
    <w:rsid w:val="009C2777"/>
    <w:rsid w:val="009C53EC"/>
    <w:rsid w:val="009D1755"/>
    <w:rsid w:val="009D3EA4"/>
    <w:rsid w:val="009D473E"/>
    <w:rsid w:val="009D476F"/>
    <w:rsid w:val="009D4897"/>
    <w:rsid w:val="009D4A7B"/>
    <w:rsid w:val="009D6844"/>
    <w:rsid w:val="009D6923"/>
    <w:rsid w:val="009D6A6F"/>
    <w:rsid w:val="009D6DE6"/>
    <w:rsid w:val="009D798D"/>
    <w:rsid w:val="009D7A9C"/>
    <w:rsid w:val="009E1D62"/>
    <w:rsid w:val="009E2248"/>
    <w:rsid w:val="009E2283"/>
    <w:rsid w:val="009E2323"/>
    <w:rsid w:val="009E50CC"/>
    <w:rsid w:val="009E56D2"/>
    <w:rsid w:val="009E67CB"/>
    <w:rsid w:val="009E6CB6"/>
    <w:rsid w:val="009F097D"/>
    <w:rsid w:val="009F18AF"/>
    <w:rsid w:val="009F19B7"/>
    <w:rsid w:val="009F29AC"/>
    <w:rsid w:val="009F2B3A"/>
    <w:rsid w:val="009F375D"/>
    <w:rsid w:val="009F4D1F"/>
    <w:rsid w:val="009F5875"/>
    <w:rsid w:val="009F7F5E"/>
    <w:rsid w:val="00A02548"/>
    <w:rsid w:val="00A03F39"/>
    <w:rsid w:val="00A03F4F"/>
    <w:rsid w:val="00A04162"/>
    <w:rsid w:val="00A04578"/>
    <w:rsid w:val="00A05948"/>
    <w:rsid w:val="00A05B58"/>
    <w:rsid w:val="00A1199F"/>
    <w:rsid w:val="00A15D10"/>
    <w:rsid w:val="00A161CA"/>
    <w:rsid w:val="00A2370E"/>
    <w:rsid w:val="00A238B4"/>
    <w:rsid w:val="00A251E8"/>
    <w:rsid w:val="00A27BC7"/>
    <w:rsid w:val="00A30172"/>
    <w:rsid w:val="00A314C6"/>
    <w:rsid w:val="00A319F4"/>
    <w:rsid w:val="00A3260D"/>
    <w:rsid w:val="00A330F7"/>
    <w:rsid w:val="00A34D0D"/>
    <w:rsid w:val="00A35331"/>
    <w:rsid w:val="00A3679A"/>
    <w:rsid w:val="00A376B3"/>
    <w:rsid w:val="00A43707"/>
    <w:rsid w:val="00A44156"/>
    <w:rsid w:val="00A4444D"/>
    <w:rsid w:val="00A44EF7"/>
    <w:rsid w:val="00A46073"/>
    <w:rsid w:val="00A5391E"/>
    <w:rsid w:val="00A54290"/>
    <w:rsid w:val="00A5569A"/>
    <w:rsid w:val="00A56862"/>
    <w:rsid w:val="00A57F5C"/>
    <w:rsid w:val="00A57FB1"/>
    <w:rsid w:val="00A6119C"/>
    <w:rsid w:val="00A62E52"/>
    <w:rsid w:val="00A63886"/>
    <w:rsid w:val="00A65F8B"/>
    <w:rsid w:val="00A665BD"/>
    <w:rsid w:val="00A67766"/>
    <w:rsid w:val="00A70EED"/>
    <w:rsid w:val="00A7288B"/>
    <w:rsid w:val="00A73ED8"/>
    <w:rsid w:val="00A74C80"/>
    <w:rsid w:val="00A74F03"/>
    <w:rsid w:val="00A75D5E"/>
    <w:rsid w:val="00A81353"/>
    <w:rsid w:val="00A8504F"/>
    <w:rsid w:val="00A85D9A"/>
    <w:rsid w:val="00A86C5F"/>
    <w:rsid w:val="00A905B9"/>
    <w:rsid w:val="00A90EB9"/>
    <w:rsid w:val="00A94473"/>
    <w:rsid w:val="00A9467E"/>
    <w:rsid w:val="00A94746"/>
    <w:rsid w:val="00A94DD4"/>
    <w:rsid w:val="00A960B3"/>
    <w:rsid w:val="00A96898"/>
    <w:rsid w:val="00A968A0"/>
    <w:rsid w:val="00A970F1"/>
    <w:rsid w:val="00A9723C"/>
    <w:rsid w:val="00A97B3D"/>
    <w:rsid w:val="00AA138E"/>
    <w:rsid w:val="00AA1CA4"/>
    <w:rsid w:val="00AA213C"/>
    <w:rsid w:val="00AA2558"/>
    <w:rsid w:val="00AA3056"/>
    <w:rsid w:val="00AA5023"/>
    <w:rsid w:val="00AA5039"/>
    <w:rsid w:val="00AA691D"/>
    <w:rsid w:val="00AA7218"/>
    <w:rsid w:val="00AB1993"/>
    <w:rsid w:val="00AC13F1"/>
    <w:rsid w:val="00AC46B0"/>
    <w:rsid w:val="00AC4C9D"/>
    <w:rsid w:val="00AC6910"/>
    <w:rsid w:val="00AC770E"/>
    <w:rsid w:val="00AD0EF3"/>
    <w:rsid w:val="00AD273B"/>
    <w:rsid w:val="00AD4A45"/>
    <w:rsid w:val="00AD5617"/>
    <w:rsid w:val="00AD7CC0"/>
    <w:rsid w:val="00AD7D09"/>
    <w:rsid w:val="00AE210D"/>
    <w:rsid w:val="00AE23EA"/>
    <w:rsid w:val="00AE2E9B"/>
    <w:rsid w:val="00AE3609"/>
    <w:rsid w:val="00AE36D3"/>
    <w:rsid w:val="00AE3C1A"/>
    <w:rsid w:val="00AE40CF"/>
    <w:rsid w:val="00AE5702"/>
    <w:rsid w:val="00AE5E08"/>
    <w:rsid w:val="00AE66E7"/>
    <w:rsid w:val="00AE7CAF"/>
    <w:rsid w:val="00AF2A14"/>
    <w:rsid w:val="00AF4801"/>
    <w:rsid w:val="00AF546B"/>
    <w:rsid w:val="00AF71D1"/>
    <w:rsid w:val="00AF799F"/>
    <w:rsid w:val="00B00546"/>
    <w:rsid w:val="00B00F2B"/>
    <w:rsid w:val="00B02AE5"/>
    <w:rsid w:val="00B10223"/>
    <w:rsid w:val="00B10C4F"/>
    <w:rsid w:val="00B12B9B"/>
    <w:rsid w:val="00B13F6A"/>
    <w:rsid w:val="00B14A1D"/>
    <w:rsid w:val="00B1550F"/>
    <w:rsid w:val="00B218B9"/>
    <w:rsid w:val="00B3220F"/>
    <w:rsid w:val="00B3281A"/>
    <w:rsid w:val="00B33B28"/>
    <w:rsid w:val="00B33CAB"/>
    <w:rsid w:val="00B340B5"/>
    <w:rsid w:val="00B34238"/>
    <w:rsid w:val="00B36772"/>
    <w:rsid w:val="00B37869"/>
    <w:rsid w:val="00B40870"/>
    <w:rsid w:val="00B42617"/>
    <w:rsid w:val="00B427AD"/>
    <w:rsid w:val="00B42862"/>
    <w:rsid w:val="00B460F9"/>
    <w:rsid w:val="00B46D05"/>
    <w:rsid w:val="00B4767A"/>
    <w:rsid w:val="00B505FC"/>
    <w:rsid w:val="00B52155"/>
    <w:rsid w:val="00B53502"/>
    <w:rsid w:val="00B54CE7"/>
    <w:rsid w:val="00B55508"/>
    <w:rsid w:val="00B56C40"/>
    <w:rsid w:val="00B5754E"/>
    <w:rsid w:val="00B57F23"/>
    <w:rsid w:val="00B57F9A"/>
    <w:rsid w:val="00B57FD8"/>
    <w:rsid w:val="00B60196"/>
    <w:rsid w:val="00B63131"/>
    <w:rsid w:val="00B667C6"/>
    <w:rsid w:val="00B66DFE"/>
    <w:rsid w:val="00B66FDC"/>
    <w:rsid w:val="00B676B3"/>
    <w:rsid w:val="00B71E4C"/>
    <w:rsid w:val="00B71F36"/>
    <w:rsid w:val="00B726DA"/>
    <w:rsid w:val="00B8022E"/>
    <w:rsid w:val="00B80DF2"/>
    <w:rsid w:val="00B82549"/>
    <w:rsid w:val="00B82A90"/>
    <w:rsid w:val="00B90119"/>
    <w:rsid w:val="00B90AA7"/>
    <w:rsid w:val="00B91470"/>
    <w:rsid w:val="00B9379B"/>
    <w:rsid w:val="00B93842"/>
    <w:rsid w:val="00B96B11"/>
    <w:rsid w:val="00BA34CE"/>
    <w:rsid w:val="00BA441F"/>
    <w:rsid w:val="00BA4759"/>
    <w:rsid w:val="00BA5BE8"/>
    <w:rsid w:val="00BA5C3B"/>
    <w:rsid w:val="00BA7FDF"/>
    <w:rsid w:val="00BB1A0C"/>
    <w:rsid w:val="00BB257F"/>
    <w:rsid w:val="00BB546F"/>
    <w:rsid w:val="00BC0F72"/>
    <w:rsid w:val="00BC11B1"/>
    <w:rsid w:val="00BC1485"/>
    <w:rsid w:val="00BC245A"/>
    <w:rsid w:val="00BC3D75"/>
    <w:rsid w:val="00BC4E3C"/>
    <w:rsid w:val="00BC59DF"/>
    <w:rsid w:val="00BD07D6"/>
    <w:rsid w:val="00BD30F1"/>
    <w:rsid w:val="00BD780E"/>
    <w:rsid w:val="00BE0104"/>
    <w:rsid w:val="00BE1BC8"/>
    <w:rsid w:val="00BE2E67"/>
    <w:rsid w:val="00BE3435"/>
    <w:rsid w:val="00BE493B"/>
    <w:rsid w:val="00BE61C4"/>
    <w:rsid w:val="00BF0050"/>
    <w:rsid w:val="00BF0C35"/>
    <w:rsid w:val="00BF156C"/>
    <w:rsid w:val="00BF1D75"/>
    <w:rsid w:val="00BF55EF"/>
    <w:rsid w:val="00BF627B"/>
    <w:rsid w:val="00C03DAA"/>
    <w:rsid w:val="00C047A2"/>
    <w:rsid w:val="00C06D95"/>
    <w:rsid w:val="00C11B6E"/>
    <w:rsid w:val="00C12497"/>
    <w:rsid w:val="00C12CA4"/>
    <w:rsid w:val="00C13BB4"/>
    <w:rsid w:val="00C13FEA"/>
    <w:rsid w:val="00C162A9"/>
    <w:rsid w:val="00C22AA2"/>
    <w:rsid w:val="00C236CF"/>
    <w:rsid w:val="00C2421B"/>
    <w:rsid w:val="00C24BE6"/>
    <w:rsid w:val="00C2665D"/>
    <w:rsid w:val="00C267E8"/>
    <w:rsid w:val="00C2719D"/>
    <w:rsid w:val="00C2765B"/>
    <w:rsid w:val="00C27F7C"/>
    <w:rsid w:val="00C30735"/>
    <w:rsid w:val="00C3078D"/>
    <w:rsid w:val="00C3169B"/>
    <w:rsid w:val="00C33A51"/>
    <w:rsid w:val="00C343FC"/>
    <w:rsid w:val="00C362B4"/>
    <w:rsid w:val="00C36F7B"/>
    <w:rsid w:val="00C37D9B"/>
    <w:rsid w:val="00C4472A"/>
    <w:rsid w:val="00C45D62"/>
    <w:rsid w:val="00C50224"/>
    <w:rsid w:val="00C53AB3"/>
    <w:rsid w:val="00C5586A"/>
    <w:rsid w:val="00C55E55"/>
    <w:rsid w:val="00C57CFA"/>
    <w:rsid w:val="00C6383A"/>
    <w:rsid w:val="00C63F43"/>
    <w:rsid w:val="00C64B59"/>
    <w:rsid w:val="00C65BD8"/>
    <w:rsid w:val="00C67D3F"/>
    <w:rsid w:val="00C70A5F"/>
    <w:rsid w:val="00C73B56"/>
    <w:rsid w:val="00C74DE9"/>
    <w:rsid w:val="00C75491"/>
    <w:rsid w:val="00C75D01"/>
    <w:rsid w:val="00C76B28"/>
    <w:rsid w:val="00C77B69"/>
    <w:rsid w:val="00C8110F"/>
    <w:rsid w:val="00C82496"/>
    <w:rsid w:val="00C84F93"/>
    <w:rsid w:val="00C85AA7"/>
    <w:rsid w:val="00C86D04"/>
    <w:rsid w:val="00C8733B"/>
    <w:rsid w:val="00C87FC5"/>
    <w:rsid w:val="00C9188F"/>
    <w:rsid w:val="00C921A1"/>
    <w:rsid w:val="00C97436"/>
    <w:rsid w:val="00CA21DF"/>
    <w:rsid w:val="00CA4FF8"/>
    <w:rsid w:val="00CA62E4"/>
    <w:rsid w:val="00CB0CC1"/>
    <w:rsid w:val="00CB35D2"/>
    <w:rsid w:val="00CB4DC9"/>
    <w:rsid w:val="00CB4EE9"/>
    <w:rsid w:val="00CB7D34"/>
    <w:rsid w:val="00CC0F71"/>
    <w:rsid w:val="00CC2CE5"/>
    <w:rsid w:val="00CC47B9"/>
    <w:rsid w:val="00CC6479"/>
    <w:rsid w:val="00CC7072"/>
    <w:rsid w:val="00CC758B"/>
    <w:rsid w:val="00CD0D57"/>
    <w:rsid w:val="00CD3F80"/>
    <w:rsid w:val="00CD48EA"/>
    <w:rsid w:val="00CD5D2D"/>
    <w:rsid w:val="00CD5E14"/>
    <w:rsid w:val="00CD6655"/>
    <w:rsid w:val="00CD6E6A"/>
    <w:rsid w:val="00CD7353"/>
    <w:rsid w:val="00CE632F"/>
    <w:rsid w:val="00CF21EB"/>
    <w:rsid w:val="00CF2272"/>
    <w:rsid w:val="00CF27F9"/>
    <w:rsid w:val="00CF4B15"/>
    <w:rsid w:val="00CF65B1"/>
    <w:rsid w:val="00CF65BC"/>
    <w:rsid w:val="00CF73F6"/>
    <w:rsid w:val="00D00A10"/>
    <w:rsid w:val="00D027B5"/>
    <w:rsid w:val="00D02FD1"/>
    <w:rsid w:val="00D03311"/>
    <w:rsid w:val="00D039E5"/>
    <w:rsid w:val="00D0430F"/>
    <w:rsid w:val="00D04A6A"/>
    <w:rsid w:val="00D063F8"/>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71A5"/>
    <w:rsid w:val="00D27910"/>
    <w:rsid w:val="00D27BF3"/>
    <w:rsid w:val="00D27CDD"/>
    <w:rsid w:val="00D3059F"/>
    <w:rsid w:val="00D3075E"/>
    <w:rsid w:val="00D3093D"/>
    <w:rsid w:val="00D316B8"/>
    <w:rsid w:val="00D33F30"/>
    <w:rsid w:val="00D3445C"/>
    <w:rsid w:val="00D365B3"/>
    <w:rsid w:val="00D3706A"/>
    <w:rsid w:val="00D3760D"/>
    <w:rsid w:val="00D40202"/>
    <w:rsid w:val="00D41DE2"/>
    <w:rsid w:val="00D427B3"/>
    <w:rsid w:val="00D4675E"/>
    <w:rsid w:val="00D47FAD"/>
    <w:rsid w:val="00D5076A"/>
    <w:rsid w:val="00D514E2"/>
    <w:rsid w:val="00D52761"/>
    <w:rsid w:val="00D53033"/>
    <w:rsid w:val="00D533CB"/>
    <w:rsid w:val="00D54461"/>
    <w:rsid w:val="00D57172"/>
    <w:rsid w:val="00D60612"/>
    <w:rsid w:val="00D60C9A"/>
    <w:rsid w:val="00D60EE1"/>
    <w:rsid w:val="00D61732"/>
    <w:rsid w:val="00D627AF"/>
    <w:rsid w:val="00D63CA1"/>
    <w:rsid w:val="00D63CD1"/>
    <w:rsid w:val="00D63ED8"/>
    <w:rsid w:val="00D65719"/>
    <w:rsid w:val="00D66173"/>
    <w:rsid w:val="00D667FF"/>
    <w:rsid w:val="00D675D8"/>
    <w:rsid w:val="00D67CBB"/>
    <w:rsid w:val="00D710B4"/>
    <w:rsid w:val="00D71859"/>
    <w:rsid w:val="00D7359A"/>
    <w:rsid w:val="00D740FF"/>
    <w:rsid w:val="00D74D83"/>
    <w:rsid w:val="00D750C2"/>
    <w:rsid w:val="00D755A9"/>
    <w:rsid w:val="00D75E29"/>
    <w:rsid w:val="00D75F0B"/>
    <w:rsid w:val="00D7686F"/>
    <w:rsid w:val="00D8062B"/>
    <w:rsid w:val="00D80D29"/>
    <w:rsid w:val="00D82276"/>
    <w:rsid w:val="00D83027"/>
    <w:rsid w:val="00D83C57"/>
    <w:rsid w:val="00D849AA"/>
    <w:rsid w:val="00D8629A"/>
    <w:rsid w:val="00D86376"/>
    <w:rsid w:val="00D903F5"/>
    <w:rsid w:val="00D9127A"/>
    <w:rsid w:val="00D93822"/>
    <w:rsid w:val="00D93DED"/>
    <w:rsid w:val="00D946D1"/>
    <w:rsid w:val="00DA0B10"/>
    <w:rsid w:val="00DA181C"/>
    <w:rsid w:val="00DA1B9D"/>
    <w:rsid w:val="00DA1D65"/>
    <w:rsid w:val="00DA6110"/>
    <w:rsid w:val="00DA778C"/>
    <w:rsid w:val="00DB032B"/>
    <w:rsid w:val="00DB09FA"/>
    <w:rsid w:val="00DB1BBC"/>
    <w:rsid w:val="00DB28FD"/>
    <w:rsid w:val="00DB3949"/>
    <w:rsid w:val="00DB5ACF"/>
    <w:rsid w:val="00DB6F24"/>
    <w:rsid w:val="00DB7A00"/>
    <w:rsid w:val="00DC1117"/>
    <w:rsid w:val="00DC1B37"/>
    <w:rsid w:val="00DC27B8"/>
    <w:rsid w:val="00DC39A3"/>
    <w:rsid w:val="00DC7E30"/>
    <w:rsid w:val="00DD3E54"/>
    <w:rsid w:val="00DD4887"/>
    <w:rsid w:val="00DD5F7B"/>
    <w:rsid w:val="00DE05CA"/>
    <w:rsid w:val="00DE0E2C"/>
    <w:rsid w:val="00DE1D55"/>
    <w:rsid w:val="00DE240F"/>
    <w:rsid w:val="00DE2837"/>
    <w:rsid w:val="00DE2FAA"/>
    <w:rsid w:val="00DE3A94"/>
    <w:rsid w:val="00DE43DE"/>
    <w:rsid w:val="00DE4DB8"/>
    <w:rsid w:val="00DE5465"/>
    <w:rsid w:val="00DE564A"/>
    <w:rsid w:val="00DE724C"/>
    <w:rsid w:val="00DF37EA"/>
    <w:rsid w:val="00DF4410"/>
    <w:rsid w:val="00DF5625"/>
    <w:rsid w:val="00DF7074"/>
    <w:rsid w:val="00E00425"/>
    <w:rsid w:val="00E0161B"/>
    <w:rsid w:val="00E0344B"/>
    <w:rsid w:val="00E0458E"/>
    <w:rsid w:val="00E058C5"/>
    <w:rsid w:val="00E063AA"/>
    <w:rsid w:val="00E10518"/>
    <w:rsid w:val="00E127CF"/>
    <w:rsid w:val="00E132D9"/>
    <w:rsid w:val="00E1768C"/>
    <w:rsid w:val="00E17817"/>
    <w:rsid w:val="00E17902"/>
    <w:rsid w:val="00E2401E"/>
    <w:rsid w:val="00E248B3"/>
    <w:rsid w:val="00E24DB7"/>
    <w:rsid w:val="00E25C40"/>
    <w:rsid w:val="00E26148"/>
    <w:rsid w:val="00E27EF1"/>
    <w:rsid w:val="00E31CE7"/>
    <w:rsid w:val="00E32459"/>
    <w:rsid w:val="00E32583"/>
    <w:rsid w:val="00E341A7"/>
    <w:rsid w:val="00E34271"/>
    <w:rsid w:val="00E34490"/>
    <w:rsid w:val="00E43808"/>
    <w:rsid w:val="00E445AA"/>
    <w:rsid w:val="00E447E7"/>
    <w:rsid w:val="00E45092"/>
    <w:rsid w:val="00E46664"/>
    <w:rsid w:val="00E514F0"/>
    <w:rsid w:val="00E51837"/>
    <w:rsid w:val="00E518D1"/>
    <w:rsid w:val="00E51DA5"/>
    <w:rsid w:val="00E51F6C"/>
    <w:rsid w:val="00E53A21"/>
    <w:rsid w:val="00E53FC6"/>
    <w:rsid w:val="00E54D73"/>
    <w:rsid w:val="00E55633"/>
    <w:rsid w:val="00E56844"/>
    <w:rsid w:val="00E60C21"/>
    <w:rsid w:val="00E61747"/>
    <w:rsid w:val="00E627C3"/>
    <w:rsid w:val="00E63013"/>
    <w:rsid w:val="00E65AFC"/>
    <w:rsid w:val="00E65B0E"/>
    <w:rsid w:val="00E70C31"/>
    <w:rsid w:val="00E7286A"/>
    <w:rsid w:val="00E745FE"/>
    <w:rsid w:val="00E75147"/>
    <w:rsid w:val="00E75543"/>
    <w:rsid w:val="00E76232"/>
    <w:rsid w:val="00E80AA4"/>
    <w:rsid w:val="00E80B1C"/>
    <w:rsid w:val="00E8178A"/>
    <w:rsid w:val="00E82C85"/>
    <w:rsid w:val="00E85DEF"/>
    <w:rsid w:val="00E86EA4"/>
    <w:rsid w:val="00E871CE"/>
    <w:rsid w:val="00E9163D"/>
    <w:rsid w:val="00E92687"/>
    <w:rsid w:val="00E93654"/>
    <w:rsid w:val="00E94AA1"/>
    <w:rsid w:val="00E96922"/>
    <w:rsid w:val="00E97BF1"/>
    <w:rsid w:val="00EA62E9"/>
    <w:rsid w:val="00EA65D9"/>
    <w:rsid w:val="00EA6D82"/>
    <w:rsid w:val="00EB024D"/>
    <w:rsid w:val="00EB08CF"/>
    <w:rsid w:val="00EB10BC"/>
    <w:rsid w:val="00EB5494"/>
    <w:rsid w:val="00EC017E"/>
    <w:rsid w:val="00EC0AAE"/>
    <w:rsid w:val="00EC1C6B"/>
    <w:rsid w:val="00EC27BF"/>
    <w:rsid w:val="00EC3492"/>
    <w:rsid w:val="00EC3586"/>
    <w:rsid w:val="00EC437B"/>
    <w:rsid w:val="00EC57CA"/>
    <w:rsid w:val="00EC79A9"/>
    <w:rsid w:val="00ED07EB"/>
    <w:rsid w:val="00ED29CA"/>
    <w:rsid w:val="00ED3041"/>
    <w:rsid w:val="00ED5AE8"/>
    <w:rsid w:val="00ED5BA9"/>
    <w:rsid w:val="00ED5DA1"/>
    <w:rsid w:val="00ED6408"/>
    <w:rsid w:val="00ED6BC8"/>
    <w:rsid w:val="00ED7C90"/>
    <w:rsid w:val="00EE0399"/>
    <w:rsid w:val="00EE07EE"/>
    <w:rsid w:val="00EE531B"/>
    <w:rsid w:val="00EE5D82"/>
    <w:rsid w:val="00EE6751"/>
    <w:rsid w:val="00EE6C70"/>
    <w:rsid w:val="00EE70BD"/>
    <w:rsid w:val="00EF1293"/>
    <w:rsid w:val="00EF1383"/>
    <w:rsid w:val="00EF16F5"/>
    <w:rsid w:val="00EF29CD"/>
    <w:rsid w:val="00EF2F69"/>
    <w:rsid w:val="00EF343D"/>
    <w:rsid w:val="00EF716E"/>
    <w:rsid w:val="00EF75BE"/>
    <w:rsid w:val="00F06588"/>
    <w:rsid w:val="00F06EF2"/>
    <w:rsid w:val="00F070D0"/>
    <w:rsid w:val="00F1024B"/>
    <w:rsid w:val="00F12337"/>
    <w:rsid w:val="00F133E5"/>
    <w:rsid w:val="00F13A64"/>
    <w:rsid w:val="00F15EAC"/>
    <w:rsid w:val="00F16733"/>
    <w:rsid w:val="00F2035D"/>
    <w:rsid w:val="00F20880"/>
    <w:rsid w:val="00F221B7"/>
    <w:rsid w:val="00F23914"/>
    <w:rsid w:val="00F239BB"/>
    <w:rsid w:val="00F25907"/>
    <w:rsid w:val="00F25BC6"/>
    <w:rsid w:val="00F26196"/>
    <w:rsid w:val="00F269B2"/>
    <w:rsid w:val="00F26BCE"/>
    <w:rsid w:val="00F26F22"/>
    <w:rsid w:val="00F27350"/>
    <w:rsid w:val="00F3150A"/>
    <w:rsid w:val="00F31DDB"/>
    <w:rsid w:val="00F36E2B"/>
    <w:rsid w:val="00F42E24"/>
    <w:rsid w:val="00F43970"/>
    <w:rsid w:val="00F45C93"/>
    <w:rsid w:val="00F462F5"/>
    <w:rsid w:val="00F476AB"/>
    <w:rsid w:val="00F478C8"/>
    <w:rsid w:val="00F513B4"/>
    <w:rsid w:val="00F525C1"/>
    <w:rsid w:val="00F542C3"/>
    <w:rsid w:val="00F60504"/>
    <w:rsid w:val="00F660C8"/>
    <w:rsid w:val="00F72668"/>
    <w:rsid w:val="00F75830"/>
    <w:rsid w:val="00F75F56"/>
    <w:rsid w:val="00F76FC4"/>
    <w:rsid w:val="00F77E7E"/>
    <w:rsid w:val="00F80306"/>
    <w:rsid w:val="00F804A7"/>
    <w:rsid w:val="00F82891"/>
    <w:rsid w:val="00F8629F"/>
    <w:rsid w:val="00F869F0"/>
    <w:rsid w:val="00F8731A"/>
    <w:rsid w:val="00F945C8"/>
    <w:rsid w:val="00F94A83"/>
    <w:rsid w:val="00F958B2"/>
    <w:rsid w:val="00F96B58"/>
    <w:rsid w:val="00F96F6D"/>
    <w:rsid w:val="00F974D1"/>
    <w:rsid w:val="00F97A1A"/>
    <w:rsid w:val="00FA01C3"/>
    <w:rsid w:val="00FA09DB"/>
    <w:rsid w:val="00FA1436"/>
    <w:rsid w:val="00FA2806"/>
    <w:rsid w:val="00FA3F33"/>
    <w:rsid w:val="00FB0BB0"/>
    <w:rsid w:val="00FB2224"/>
    <w:rsid w:val="00FB2D3A"/>
    <w:rsid w:val="00FB4DE2"/>
    <w:rsid w:val="00FB5CEC"/>
    <w:rsid w:val="00FB6CBA"/>
    <w:rsid w:val="00FB7185"/>
    <w:rsid w:val="00FB75DB"/>
    <w:rsid w:val="00FC20A6"/>
    <w:rsid w:val="00FC385C"/>
    <w:rsid w:val="00FC708E"/>
    <w:rsid w:val="00FC71D8"/>
    <w:rsid w:val="00FD1026"/>
    <w:rsid w:val="00FD3165"/>
    <w:rsid w:val="00FD3FF9"/>
    <w:rsid w:val="00FD4206"/>
    <w:rsid w:val="00FD455D"/>
    <w:rsid w:val="00FD6681"/>
    <w:rsid w:val="00FD7536"/>
    <w:rsid w:val="00FD7DD9"/>
    <w:rsid w:val="00FE0962"/>
    <w:rsid w:val="00FE2E1F"/>
    <w:rsid w:val="00FE3A23"/>
    <w:rsid w:val="00FE41F6"/>
    <w:rsid w:val="00FE4308"/>
    <w:rsid w:val="00FE44D0"/>
    <w:rsid w:val="00FE53F4"/>
    <w:rsid w:val="00FF292D"/>
    <w:rsid w:val="00FF2B3A"/>
    <w:rsid w:val="00FF2EAB"/>
    <w:rsid w:val="00FF2FC5"/>
    <w:rsid w:val="00FF39DE"/>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14B01"/>
    <w:pPr>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14B01"/>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14B01"/>
    <w:pPr>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14B01"/>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7D89-9B28-4B4C-BEE7-6FA2B90C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14082</Words>
  <Characters>80269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2018-08-09T19:12:00Z</dcterms:created>
  <dcterms:modified xsi:type="dcterms:W3CDTF">2018-08-09T19:12:00Z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-1239991630</vt:i4>
  </property>
  <property fmtid="{D5CDD505-2E9C-101B-9397-08002B2CF9AE}" pid="3" name="_NewReviewCycle">
    <vt:lpwstr/>
  </property>
  <property fmtid="{D5CDD505-2E9C-101B-9397-08002B2CF9AE}" pid="4" name="_ReviewingToolsShownOnce">
    <vt:lpwstr/>
  </property>
</Properties>
</file>