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9D" w:rsidRDefault="00B9189D">
      <w:pPr>
        <w:suppressAutoHyphens/>
        <w:rPr>
          <w:rFonts w:ascii="AvantGarde" w:hAnsi="AvantGarde"/>
          <w:spacing w:val="-4"/>
          <w:sz w:val="16"/>
        </w:rPr>
      </w:pPr>
      <w:bookmarkStart w:id="0" w:name="_GoBack"/>
      <w:bookmarkEnd w:id="0"/>
    </w:p>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30C42" w:rsidRDefault="00AA2AEC">
      <w:pPr>
        <w:suppressAutoHyphens/>
        <w:rPr>
          <w:rFonts w:ascii="AvantGarde" w:hAnsi="AvantGarde"/>
          <w:spacing w:val="-4"/>
          <w:sz w:val="16"/>
        </w:rPr>
      </w:pPr>
      <w:r>
        <w:rPr>
          <w:rFonts w:ascii="AvantGarde" w:hAnsi="AvantGarde"/>
          <w:noProof/>
          <w:spacing w:val="-4"/>
          <w:sz w:val="16"/>
        </w:rPr>
        <w:drawing>
          <wp:inline distT="0" distB="0" distL="0" distR="0" wp14:anchorId="31C9DD02" wp14:editId="283050D9">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AA2AEC">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609A545F" wp14:editId="1BA39B8D">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pPr>
        <w:rPr>
          <w:spacing w:val="-4"/>
          <w:sz w:val="16"/>
        </w:rPr>
      </w:pPr>
      <w:r>
        <w:rPr>
          <w:spacing w:val="-4"/>
          <w:sz w:val="16"/>
        </w:rPr>
        <w:br w:type="column"/>
      </w:r>
    </w:p>
    <w:p w:rsidR="00B9189D" w:rsidRDefault="00B9189D">
      <w:pPr>
        <w:rPr>
          <w:rFonts w:ascii="AvantGarde" w:hAnsi="AvantGarde"/>
          <w:b/>
          <w:bCs/>
          <w:sz w:val="40"/>
          <w:szCs w:val="40"/>
        </w:rPr>
      </w:pPr>
    </w:p>
    <w:p w:rsidR="00B30C42" w:rsidRDefault="00A53986" w:rsidP="00270314">
      <w:pPr>
        <w:spacing w:before="1320"/>
        <w:rPr>
          <w:rFonts w:ascii="AvantGarde" w:hAnsi="AvantGarde"/>
          <w:b/>
          <w:bCs/>
          <w:sz w:val="50"/>
        </w:rPr>
      </w:pPr>
      <w:r w:rsidRPr="00702EC5">
        <w:rPr>
          <w:rFonts w:ascii="AvantGarde" w:hAnsi="AvantGarde"/>
          <w:b/>
          <w:bCs/>
          <w:sz w:val="40"/>
          <w:szCs w:val="40"/>
        </w:rPr>
        <w:t xml:space="preserve">Common Core of Data (CCD) </w:t>
      </w:r>
      <w:r>
        <w:rPr>
          <w:rFonts w:ascii="AvantGarde" w:hAnsi="AvantGarde"/>
          <w:b/>
          <w:bCs/>
          <w:sz w:val="40"/>
          <w:szCs w:val="40"/>
        </w:rPr>
        <w:t xml:space="preserve">School-Level Finance </w:t>
      </w:r>
      <w:r w:rsidRPr="00B9189D">
        <w:rPr>
          <w:rFonts w:ascii="AvantGarde" w:hAnsi="AvantGarde"/>
          <w:b/>
          <w:bCs/>
          <w:sz w:val="40"/>
          <w:szCs w:val="40"/>
        </w:rPr>
        <w:t>Survey</w:t>
      </w:r>
      <w:r>
        <w:rPr>
          <w:rFonts w:ascii="AvantGarde" w:hAnsi="AvantGarde"/>
          <w:b/>
          <w:bCs/>
          <w:sz w:val="40"/>
          <w:szCs w:val="40"/>
        </w:rPr>
        <w:t xml:space="preserve"> (SLFS) </w:t>
      </w:r>
      <w:r w:rsidRPr="00B9189D">
        <w:rPr>
          <w:rFonts w:ascii="AvantGarde" w:hAnsi="AvantGarde"/>
          <w:b/>
          <w:bCs/>
          <w:sz w:val="40"/>
          <w:szCs w:val="40"/>
        </w:rPr>
        <w:t>20</w:t>
      </w:r>
      <w:r>
        <w:rPr>
          <w:rFonts w:ascii="AvantGarde" w:hAnsi="AvantGarde"/>
          <w:b/>
          <w:bCs/>
          <w:sz w:val="40"/>
          <w:szCs w:val="40"/>
        </w:rPr>
        <w:t>18</w:t>
      </w:r>
      <w:r w:rsidRPr="00B9189D">
        <w:rPr>
          <w:rFonts w:ascii="AvantGarde" w:hAnsi="AvantGarde"/>
          <w:b/>
          <w:bCs/>
          <w:sz w:val="40"/>
          <w:szCs w:val="40"/>
        </w:rPr>
        <w:t>-20</w:t>
      </w:r>
      <w:r>
        <w:rPr>
          <w:rFonts w:ascii="AvantGarde" w:hAnsi="AvantGarde"/>
          <w:b/>
          <w:bCs/>
          <w:sz w:val="40"/>
          <w:szCs w:val="40"/>
        </w:rPr>
        <w:t>20</w:t>
      </w:r>
    </w:p>
    <w:p w:rsidR="00B30C42" w:rsidRDefault="00B30C42">
      <w:pPr>
        <w:pStyle w:val="H4"/>
        <w:keepNext w:val="0"/>
        <w:spacing w:before="0" w:after="0"/>
        <w:outlineLvl w:val="9"/>
        <w:rPr>
          <w:rFonts w:ascii="AvantGarde" w:hAnsi="AvantGarde"/>
          <w:bCs/>
          <w:szCs w:val="24"/>
        </w:rPr>
      </w:pPr>
    </w:p>
    <w:p w:rsidR="00B30C42" w:rsidRDefault="00B30C42"/>
    <w:p w:rsidR="00B30C42" w:rsidRDefault="00B30C42"/>
    <w:p w:rsidR="00EC35E7" w:rsidRPr="00B9189D" w:rsidRDefault="006C42B5">
      <w:pPr>
        <w:rPr>
          <w:sz w:val="40"/>
          <w:szCs w:val="40"/>
        </w:rPr>
      </w:pPr>
      <w:r w:rsidRPr="00B9189D">
        <w:rPr>
          <w:rFonts w:ascii="AvantGarde" w:hAnsi="AvantGarde"/>
          <w:b/>
          <w:bCs/>
          <w:sz w:val="40"/>
          <w:szCs w:val="40"/>
        </w:rPr>
        <w:t>Supporting Statement Part A</w:t>
      </w:r>
    </w:p>
    <w:p w:rsidR="00EC35E7" w:rsidRDefault="00EC35E7"/>
    <w:p w:rsidR="00EC35E7" w:rsidRDefault="00EC35E7"/>
    <w:p w:rsidR="00EC35E7" w:rsidRDefault="00EC35E7"/>
    <w:p w:rsidR="00A53986" w:rsidRPr="00B9189D" w:rsidRDefault="00A53986" w:rsidP="00A53986">
      <w:pPr>
        <w:rPr>
          <w:rFonts w:ascii="AvantGarde" w:hAnsi="AvantGarde"/>
          <w:b/>
          <w:bCs/>
          <w:sz w:val="36"/>
          <w:szCs w:val="36"/>
        </w:rPr>
      </w:pPr>
      <w:r w:rsidRPr="00B9189D">
        <w:rPr>
          <w:rFonts w:ascii="AvantGarde" w:hAnsi="AvantGarde"/>
          <w:b/>
          <w:bCs/>
          <w:sz w:val="36"/>
          <w:szCs w:val="36"/>
        </w:rPr>
        <w:t xml:space="preserve">OMB# </w:t>
      </w:r>
      <w:r>
        <w:rPr>
          <w:rFonts w:ascii="AvantGarde" w:hAnsi="AvantGarde"/>
          <w:b/>
          <w:bCs/>
          <w:sz w:val="36"/>
          <w:szCs w:val="36"/>
        </w:rPr>
        <w:t>1850-0930 v.2</w:t>
      </w:r>
    </w:p>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B30C42" w:rsidRDefault="00FC0793">
      <w:pPr>
        <w:suppressAutoHyphens/>
        <w:rPr>
          <w:rFonts w:ascii="AvantGarde" w:hAnsi="AvantGarde"/>
          <w:b/>
          <w:spacing w:val="-3"/>
        </w:rPr>
      </w:pPr>
      <w:r>
        <w:rPr>
          <w:rFonts w:ascii="AvantGarde" w:hAnsi="AvantGarde"/>
          <w:b/>
          <w:spacing w:val="-3"/>
        </w:rPr>
        <w:t>August</w:t>
      </w:r>
      <w:r w:rsidR="000B74CA">
        <w:rPr>
          <w:rFonts w:ascii="AvantGarde" w:hAnsi="AvantGarde"/>
          <w:b/>
          <w:spacing w:val="-3"/>
        </w:rPr>
        <w:t xml:space="preserve"> </w:t>
      </w:r>
      <w:r w:rsidR="00AA1670">
        <w:rPr>
          <w:rFonts w:ascii="AvantGarde" w:hAnsi="AvantGarde"/>
          <w:b/>
          <w:spacing w:val="-3"/>
        </w:rPr>
        <w:t>201</w:t>
      </w:r>
      <w:r w:rsidR="00F83FAF">
        <w:rPr>
          <w:rFonts w:ascii="AvantGarde" w:hAnsi="AvantGarde"/>
          <w:b/>
          <w:spacing w:val="-3"/>
        </w:rPr>
        <w:t>8</w:t>
      </w: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Pr="00982B28" w:rsidRDefault="00B30C42" w:rsidP="00982B28">
      <w:pPr>
        <w:suppressAutoHyphens/>
        <w:rPr>
          <w:rFonts w:ascii="AvantGarde" w:hAnsi="AvantGarde"/>
          <w:b/>
          <w:spacing w:val="-3"/>
        </w:rPr>
        <w:sectPr w:rsidR="00B30C42" w:rsidRPr="00982B28" w:rsidSect="00513C9A">
          <w:pgSz w:w="12240" w:h="15840" w:code="1"/>
          <w:pgMar w:top="792" w:right="792" w:bottom="720" w:left="792" w:header="432" w:footer="288" w:gutter="0"/>
          <w:cols w:num="2" w:space="720" w:equalWidth="0">
            <w:col w:w="4968" w:space="2"/>
            <w:col w:w="5686"/>
          </w:cols>
          <w:titlePg/>
          <w:docGrid w:linePitch="326"/>
        </w:sectPr>
      </w:pPr>
      <w:r w:rsidRPr="00982B28">
        <w:rPr>
          <w:rFonts w:ascii="AvantGarde" w:hAnsi="AvantGarde"/>
          <w:b/>
          <w:spacing w:val="-3"/>
        </w:rPr>
        <w:t>National Center for Education Statistics</w:t>
      </w:r>
      <w:r w:rsidR="00982B28">
        <w:rPr>
          <w:rFonts w:ascii="AvantGarde" w:hAnsi="AvantGarde"/>
          <w:b/>
          <w:spacing w:val="-3"/>
        </w:rPr>
        <w:t xml:space="preserve"> (NCES)</w:t>
      </w:r>
    </w:p>
    <w:p w:rsidR="00B57859" w:rsidRDefault="00B57859">
      <w:pPr>
        <w:pStyle w:val="Heading"/>
      </w:pPr>
    </w:p>
    <w:p w:rsidR="00B57859" w:rsidRDefault="00B57859">
      <w:pPr>
        <w:pStyle w:val="Heading"/>
      </w:pPr>
    </w:p>
    <w:p w:rsidR="00B57859" w:rsidRDefault="00B57859">
      <w:pPr>
        <w:pStyle w:val="Heading"/>
      </w:pPr>
    </w:p>
    <w:p w:rsidR="00B30C42" w:rsidRPr="003C364A" w:rsidRDefault="00B03422" w:rsidP="003C364A">
      <w:pPr>
        <w:pStyle w:val="Heading"/>
        <w:spacing w:before="0"/>
        <w:rPr>
          <w:rFonts w:ascii="Times New Roman" w:hAnsi="Times New Roman"/>
          <w:sz w:val="28"/>
          <w:szCs w:val="28"/>
        </w:rPr>
      </w:pPr>
      <w:r>
        <w:rPr>
          <w:rFonts w:ascii="Times New Roman" w:hAnsi="Times New Roman"/>
          <w:sz w:val="28"/>
          <w:szCs w:val="28"/>
        </w:rPr>
        <w:t xml:space="preserve">Submission </w:t>
      </w:r>
      <w:r w:rsidR="00B30C42" w:rsidRPr="003C364A">
        <w:rPr>
          <w:rFonts w:ascii="Times New Roman" w:hAnsi="Times New Roman"/>
          <w:sz w:val="28"/>
          <w:szCs w:val="28"/>
        </w:rPr>
        <w:t>Contents</w:t>
      </w:r>
    </w:p>
    <w:p w:rsidR="00764F8E" w:rsidRPr="003C364A" w:rsidRDefault="00764F8E" w:rsidP="003C364A">
      <w:pPr>
        <w:pStyle w:val="TOC"/>
        <w:tabs>
          <w:tab w:val="clear" w:pos="9360"/>
          <w:tab w:val="right" w:leader="dot" w:pos="10170"/>
        </w:tabs>
        <w:spacing w:before="0"/>
        <w:rPr>
          <w:sz w:val="24"/>
        </w:rPr>
      </w:pPr>
    </w:p>
    <w:p w:rsidR="00B30C42" w:rsidRDefault="00B30C42" w:rsidP="003C364A">
      <w:pPr>
        <w:pStyle w:val="TOC"/>
        <w:tabs>
          <w:tab w:val="clear" w:pos="360"/>
          <w:tab w:val="clear" w:pos="9360"/>
          <w:tab w:val="right" w:leader="dot" w:pos="10170"/>
        </w:tabs>
        <w:spacing w:before="0"/>
        <w:rPr>
          <w:color w:val="0D0D0D" w:themeColor="text1" w:themeTint="F2"/>
        </w:rPr>
      </w:pPr>
      <w:r w:rsidRPr="00AD6247">
        <w:rPr>
          <w:sz w:val="24"/>
        </w:rPr>
        <w:t>Part A. Justification</w:t>
      </w:r>
      <w:r w:rsidR="0067005E" w:rsidRPr="00310CA6">
        <w:rPr>
          <w:color w:val="0D0D0D" w:themeColor="text1" w:themeTint="F2"/>
        </w:rPr>
        <w:tab/>
      </w:r>
      <w:r w:rsidR="000450B8">
        <w:rPr>
          <w:color w:val="0D0D0D" w:themeColor="text1" w:themeTint="F2"/>
        </w:rPr>
        <w:t>3</w:t>
      </w:r>
    </w:p>
    <w:p w:rsidR="0067005E" w:rsidRPr="00AD6247" w:rsidRDefault="000450B8" w:rsidP="00D57728">
      <w:pPr>
        <w:pStyle w:val="TOC"/>
        <w:tabs>
          <w:tab w:val="clear" w:pos="360"/>
          <w:tab w:val="clear" w:pos="9360"/>
          <w:tab w:val="right" w:leader="dot" w:pos="10170"/>
        </w:tabs>
        <w:spacing w:before="0" w:after="0"/>
        <w:rPr>
          <w:sz w:val="24"/>
        </w:rPr>
      </w:pPr>
      <w:r w:rsidRPr="000450B8">
        <w:rPr>
          <w:sz w:val="24"/>
        </w:rPr>
        <w:t>A1.</w:t>
      </w:r>
      <w:r w:rsidRPr="000450B8">
        <w:rPr>
          <w:sz w:val="24"/>
        </w:rPr>
        <w:tab/>
        <w:t>Necessity of Information Collection</w:t>
      </w:r>
      <w:r w:rsidRPr="00310CA6">
        <w:rPr>
          <w:color w:val="0D0D0D" w:themeColor="text1" w:themeTint="F2"/>
        </w:rPr>
        <w:tab/>
      </w:r>
      <w:r>
        <w:rPr>
          <w:color w:val="0D0D0D" w:themeColor="text1" w:themeTint="F2"/>
        </w:rPr>
        <w:t>3</w:t>
      </w:r>
    </w:p>
    <w:p w:rsidR="000450B8" w:rsidRPr="00AD6247" w:rsidRDefault="000450B8" w:rsidP="00D57728">
      <w:pPr>
        <w:pStyle w:val="TOC"/>
        <w:tabs>
          <w:tab w:val="clear" w:pos="360"/>
          <w:tab w:val="clear" w:pos="9360"/>
          <w:tab w:val="right" w:leader="dot" w:pos="10170"/>
        </w:tabs>
        <w:spacing w:before="0" w:after="0"/>
        <w:rPr>
          <w:sz w:val="24"/>
        </w:rPr>
      </w:pPr>
      <w:r w:rsidRPr="000450B8">
        <w:rPr>
          <w:sz w:val="24"/>
        </w:rPr>
        <w:t>A2.</w:t>
      </w:r>
      <w:r w:rsidRPr="000450B8">
        <w:rPr>
          <w:sz w:val="24"/>
        </w:rPr>
        <w:tab/>
        <w:t>Needs and Uses</w:t>
      </w:r>
      <w:r w:rsidRPr="000252B5">
        <w:rPr>
          <w:sz w:val="24"/>
        </w:rPr>
        <w:tab/>
        <w:t>5</w:t>
      </w:r>
    </w:p>
    <w:p w:rsidR="008674E1" w:rsidRPr="000252B5" w:rsidRDefault="000450B8" w:rsidP="00D57728">
      <w:pPr>
        <w:pStyle w:val="TOC"/>
        <w:tabs>
          <w:tab w:val="clear" w:pos="360"/>
          <w:tab w:val="clear" w:pos="9360"/>
          <w:tab w:val="right" w:leader="dot" w:pos="10170"/>
        </w:tabs>
        <w:spacing w:before="0" w:after="0"/>
        <w:rPr>
          <w:sz w:val="24"/>
        </w:rPr>
      </w:pPr>
      <w:r w:rsidRPr="000450B8">
        <w:rPr>
          <w:sz w:val="24"/>
        </w:rPr>
        <w:t>A3.</w:t>
      </w:r>
      <w:r w:rsidRPr="000450B8">
        <w:rPr>
          <w:sz w:val="24"/>
        </w:rPr>
        <w:tab/>
        <w:t>Use of Information Technology</w:t>
      </w:r>
      <w:r w:rsidRPr="000252B5">
        <w:rPr>
          <w:sz w:val="24"/>
        </w:rPr>
        <w:tab/>
        <w:t>7</w:t>
      </w:r>
    </w:p>
    <w:p w:rsidR="000450B8" w:rsidRDefault="000450B8" w:rsidP="00D57728">
      <w:pPr>
        <w:pStyle w:val="TOC"/>
        <w:tabs>
          <w:tab w:val="clear" w:pos="360"/>
          <w:tab w:val="clear" w:pos="9360"/>
          <w:tab w:val="right" w:leader="dot" w:pos="10170"/>
        </w:tabs>
        <w:spacing w:before="0" w:after="0"/>
        <w:rPr>
          <w:sz w:val="24"/>
        </w:rPr>
      </w:pPr>
      <w:r w:rsidRPr="000450B8">
        <w:rPr>
          <w:sz w:val="24"/>
        </w:rPr>
        <w:t>A4.</w:t>
      </w:r>
      <w:r w:rsidRPr="000450B8">
        <w:rPr>
          <w:sz w:val="24"/>
        </w:rPr>
        <w:tab/>
        <w:t>Efforts to Identify Duplication</w:t>
      </w:r>
      <w:r w:rsidRPr="000252B5">
        <w:rPr>
          <w:sz w:val="24"/>
        </w:rPr>
        <w:tab/>
        <w:t>7</w:t>
      </w:r>
    </w:p>
    <w:p w:rsidR="000450B8" w:rsidRDefault="000450B8" w:rsidP="00D57728">
      <w:pPr>
        <w:pStyle w:val="TOC"/>
        <w:tabs>
          <w:tab w:val="clear" w:pos="360"/>
          <w:tab w:val="clear" w:pos="9360"/>
          <w:tab w:val="right" w:leader="dot" w:pos="10170"/>
        </w:tabs>
        <w:spacing w:before="0" w:after="0"/>
        <w:rPr>
          <w:sz w:val="24"/>
        </w:rPr>
      </w:pPr>
      <w:r w:rsidRPr="000450B8">
        <w:rPr>
          <w:sz w:val="24"/>
        </w:rPr>
        <w:t>A5.</w:t>
      </w:r>
      <w:r w:rsidRPr="000450B8">
        <w:rPr>
          <w:sz w:val="24"/>
        </w:rPr>
        <w:tab/>
        <w:t>Minimizing Burden</w:t>
      </w:r>
      <w:r w:rsidRPr="000252B5">
        <w:rPr>
          <w:sz w:val="24"/>
        </w:rPr>
        <w:tab/>
      </w:r>
      <w:r w:rsidR="001A0876" w:rsidRPr="000252B5">
        <w:rPr>
          <w:sz w:val="24"/>
        </w:rPr>
        <w:t>9</w:t>
      </w:r>
    </w:p>
    <w:p w:rsidR="000450B8" w:rsidRPr="000252B5" w:rsidRDefault="000450B8" w:rsidP="00D57728">
      <w:pPr>
        <w:pStyle w:val="TOC"/>
        <w:tabs>
          <w:tab w:val="clear" w:pos="360"/>
          <w:tab w:val="clear" w:pos="9360"/>
          <w:tab w:val="right" w:leader="dot" w:pos="10170"/>
        </w:tabs>
        <w:spacing w:before="0" w:after="0"/>
        <w:rPr>
          <w:sz w:val="24"/>
        </w:rPr>
      </w:pPr>
      <w:r w:rsidRPr="000450B8">
        <w:rPr>
          <w:sz w:val="24"/>
        </w:rPr>
        <w:t>A6.</w:t>
      </w:r>
      <w:r w:rsidRPr="000450B8">
        <w:rPr>
          <w:sz w:val="24"/>
        </w:rPr>
        <w:tab/>
        <w:t>Consequences of Less Frequent Collection</w:t>
      </w:r>
      <w:r w:rsidRPr="000252B5">
        <w:rPr>
          <w:sz w:val="24"/>
        </w:rPr>
        <w:tab/>
      </w:r>
      <w:r w:rsidR="001A0876" w:rsidRPr="000252B5">
        <w:rPr>
          <w:sz w:val="24"/>
        </w:rPr>
        <w:t>9</w:t>
      </w:r>
    </w:p>
    <w:p w:rsidR="00720F0A" w:rsidRPr="00AD6247" w:rsidRDefault="00D57728" w:rsidP="00D57728">
      <w:pPr>
        <w:pStyle w:val="TOC"/>
        <w:tabs>
          <w:tab w:val="clear" w:pos="360"/>
          <w:tab w:val="clear" w:pos="9360"/>
          <w:tab w:val="right" w:leader="dot" w:pos="10170"/>
        </w:tabs>
        <w:spacing w:before="0" w:after="0"/>
        <w:rPr>
          <w:sz w:val="24"/>
        </w:rPr>
      </w:pPr>
      <w:r w:rsidRPr="000252B5">
        <w:rPr>
          <w:sz w:val="24"/>
        </w:rPr>
        <w:t>A7.</w:t>
      </w:r>
      <w:r w:rsidRPr="000252B5">
        <w:rPr>
          <w:sz w:val="24"/>
        </w:rPr>
        <w:tab/>
        <w:t>Special Circumstances</w:t>
      </w:r>
      <w:r w:rsidR="00720F0A" w:rsidRPr="000252B5">
        <w:rPr>
          <w:sz w:val="24"/>
        </w:rPr>
        <w:tab/>
      </w:r>
      <w:r w:rsidRPr="000252B5">
        <w:rPr>
          <w:sz w:val="24"/>
        </w:rPr>
        <w:t>9</w:t>
      </w:r>
    </w:p>
    <w:p w:rsidR="00720F0A" w:rsidRPr="00AD6247" w:rsidRDefault="00D57728" w:rsidP="00D57728">
      <w:pPr>
        <w:pStyle w:val="TOC"/>
        <w:tabs>
          <w:tab w:val="clear" w:pos="360"/>
          <w:tab w:val="clear" w:pos="9360"/>
          <w:tab w:val="right" w:leader="dot" w:pos="10170"/>
        </w:tabs>
        <w:spacing w:before="0" w:after="0"/>
        <w:rPr>
          <w:sz w:val="24"/>
        </w:rPr>
      </w:pPr>
      <w:r w:rsidRPr="00D57728">
        <w:rPr>
          <w:sz w:val="24"/>
        </w:rPr>
        <w:t>A8.</w:t>
      </w:r>
      <w:r w:rsidRPr="00D57728">
        <w:rPr>
          <w:sz w:val="24"/>
        </w:rPr>
        <w:tab/>
        <w:t xml:space="preserve">Consultations </w:t>
      </w:r>
      <w:r w:rsidR="00D15273">
        <w:rPr>
          <w:sz w:val="24"/>
        </w:rPr>
        <w:t>o</w:t>
      </w:r>
      <w:r w:rsidRPr="00D57728">
        <w:rPr>
          <w:sz w:val="24"/>
        </w:rPr>
        <w:t>utside the Agency</w:t>
      </w:r>
      <w:r w:rsidR="00720F0A" w:rsidRPr="000450B8">
        <w:rPr>
          <w:sz w:val="24"/>
        </w:rPr>
        <w:t>.</w:t>
      </w:r>
      <w:r w:rsidR="00720F0A" w:rsidRPr="000450B8">
        <w:rPr>
          <w:sz w:val="24"/>
        </w:rPr>
        <w:tab/>
      </w:r>
      <w:r>
        <w:rPr>
          <w:sz w:val="24"/>
        </w:rPr>
        <w:t>9</w:t>
      </w:r>
    </w:p>
    <w:p w:rsidR="00720F0A" w:rsidRPr="000252B5" w:rsidRDefault="00D57728" w:rsidP="00D57728">
      <w:pPr>
        <w:pStyle w:val="TOC"/>
        <w:tabs>
          <w:tab w:val="clear" w:pos="360"/>
          <w:tab w:val="clear" w:pos="9360"/>
          <w:tab w:val="right" w:leader="dot" w:pos="10170"/>
        </w:tabs>
        <w:spacing w:before="0" w:after="0"/>
        <w:rPr>
          <w:sz w:val="24"/>
        </w:rPr>
      </w:pPr>
      <w:r w:rsidRPr="00D57728">
        <w:rPr>
          <w:sz w:val="24"/>
        </w:rPr>
        <w:t>A9.</w:t>
      </w:r>
      <w:r w:rsidRPr="00D57728">
        <w:rPr>
          <w:sz w:val="24"/>
        </w:rPr>
        <w:tab/>
        <w:t>Provision of Payments or Gifts to Respondents</w:t>
      </w:r>
      <w:r w:rsidR="00720F0A" w:rsidRPr="000252B5">
        <w:rPr>
          <w:sz w:val="24"/>
        </w:rPr>
        <w:tab/>
      </w:r>
      <w:r w:rsidRPr="000252B5">
        <w:rPr>
          <w:sz w:val="24"/>
        </w:rPr>
        <w:t>9</w:t>
      </w:r>
    </w:p>
    <w:p w:rsidR="00720F0A" w:rsidRDefault="00D57728" w:rsidP="00D57728">
      <w:pPr>
        <w:pStyle w:val="TOC"/>
        <w:tabs>
          <w:tab w:val="clear" w:pos="360"/>
          <w:tab w:val="clear" w:pos="9360"/>
          <w:tab w:val="right" w:leader="dot" w:pos="10170"/>
        </w:tabs>
        <w:spacing w:before="0" w:after="0"/>
        <w:rPr>
          <w:sz w:val="24"/>
        </w:rPr>
      </w:pPr>
      <w:r w:rsidRPr="00D57728">
        <w:rPr>
          <w:sz w:val="24"/>
        </w:rPr>
        <w:t>A10.</w:t>
      </w:r>
      <w:r w:rsidRPr="00D57728">
        <w:rPr>
          <w:sz w:val="24"/>
        </w:rPr>
        <w:tab/>
        <w:t>Assurance of Confidentiality</w:t>
      </w:r>
      <w:r w:rsidR="00720F0A" w:rsidRPr="000252B5">
        <w:rPr>
          <w:sz w:val="24"/>
        </w:rPr>
        <w:tab/>
      </w:r>
      <w:r w:rsidRPr="000252B5">
        <w:rPr>
          <w:sz w:val="24"/>
        </w:rPr>
        <w:t>9</w:t>
      </w:r>
    </w:p>
    <w:p w:rsidR="00720F0A" w:rsidRDefault="00D57728" w:rsidP="00D57728">
      <w:pPr>
        <w:pStyle w:val="TOC"/>
        <w:tabs>
          <w:tab w:val="clear" w:pos="360"/>
          <w:tab w:val="clear" w:pos="9360"/>
          <w:tab w:val="right" w:leader="dot" w:pos="10170"/>
        </w:tabs>
        <w:spacing w:before="0" w:after="0"/>
        <w:rPr>
          <w:sz w:val="24"/>
        </w:rPr>
      </w:pPr>
      <w:r w:rsidRPr="00D57728">
        <w:rPr>
          <w:sz w:val="24"/>
        </w:rPr>
        <w:t>A11.</w:t>
      </w:r>
      <w:r w:rsidRPr="00D57728">
        <w:rPr>
          <w:sz w:val="24"/>
        </w:rPr>
        <w:tab/>
        <w:t>Need for the Use of Sensitive Questions</w:t>
      </w:r>
      <w:r w:rsidR="00720F0A" w:rsidRPr="000252B5">
        <w:rPr>
          <w:sz w:val="24"/>
        </w:rPr>
        <w:tab/>
      </w:r>
      <w:r w:rsidR="001A0876" w:rsidRPr="000252B5">
        <w:rPr>
          <w:sz w:val="24"/>
        </w:rPr>
        <w:t>10</w:t>
      </w:r>
    </w:p>
    <w:p w:rsidR="00720F0A" w:rsidRPr="000252B5" w:rsidRDefault="00D57728" w:rsidP="00D57728">
      <w:pPr>
        <w:pStyle w:val="TOC"/>
        <w:tabs>
          <w:tab w:val="clear" w:pos="360"/>
          <w:tab w:val="clear" w:pos="9360"/>
          <w:tab w:val="right" w:leader="dot" w:pos="10170"/>
        </w:tabs>
        <w:spacing w:before="0" w:after="0"/>
        <w:rPr>
          <w:sz w:val="24"/>
        </w:rPr>
      </w:pPr>
      <w:r w:rsidRPr="00D57728">
        <w:rPr>
          <w:sz w:val="24"/>
        </w:rPr>
        <w:t>A12.</w:t>
      </w:r>
      <w:r w:rsidR="000D53BA">
        <w:rPr>
          <w:sz w:val="24"/>
        </w:rPr>
        <w:tab/>
      </w:r>
      <w:r w:rsidRPr="00D57728">
        <w:rPr>
          <w:sz w:val="24"/>
        </w:rPr>
        <w:t>Estimates of Hour Burden</w:t>
      </w:r>
      <w:r w:rsidR="00720F0A" w:rsidRPr="000252B5">
        <w:rPr>
          <w:sz w:val="24"/>
        </w:rPr>
        <w:tab/>
      </w:r>
      <w:r w:rsidR="001A0876" w:rsidRPr="000252B5">
        <w:rPr>
          <w:sz w:val="24"/>
        </w:rPr>
        <w:t>10</w:t>
      </w:r>
    </w:p>
    <w:p w:rsidR="00D01B5C" w:rsidRPr="00AD6247" w:rsidRDefault="00D01B5C" w:rsidP="00D01B5C">
      <w:pPr>
        <w:pStyle w:val="TOC"/>
        <w:tabs>
          <w:tab w:val="clear" w:pos="360"/>
          <w:tab w:val="clear" w:pos="9360"/>
          <w:tab w:val="right" w:leader="dot" w:pos="10170"/>
        </w:tabs>
        <w:spacing w:before="0" w:after="0"/>
        <w:rPr>
          <w:sz w:val="24"/>
        </w:rPr>
      </w:pPr>
      <w:r w:rsidRPr="000252B5">
        <w:rPr>
          <w:sz w:val="24"/>
        </w:rPr>
        <w:t>A13.</w:t>
      </w:r>
      <w:r w:rsidRPr="000252B5">
        <w:rPr>
          <w:sz w:val="24"/>
        </w:rPr>
        <w:tab/>
        <w:t xml:space="preserve">Estimates of Cost Burden </w:t>
      </w:r>
      <w:r w:rsidRPr="000252B5">
        <w:rPr>
          <w:sz w:val="24"/>
        </w:rPr>
        <w:tab/>
      </w:r>
      <w:r w:rsidR="00D51A8B" w:rsidRPr="000252B5">
        <w:rPr>
          <w:sz w:val="24"/>
        </w:rPr>
        <w:t>10</w:t>
      </w:r>
    </w:p>
    <w:p w:rsidR="00D01B5C" w:rsidRPr="00AD6247" w:rsidRDefault="00D01B5C" w:rsidP="00D01B5C">
      <w:pPr>
        <w:pStyle w:val="TOC"/>
        <w:tabs>
          <w:tab w:val="clear" w:pos="360"/>
          <w:tab w:val="clear" w:pos="9360"/>
          <w:tab w:val="right" w:leader="dot" w:pos="10170"/>
        </w:tabs>
        <w:spacing w:before="0" w:after="0"/>
        <w:rPr>
          <w:sz w:val="24"/>
        </w:rPr>
      </w:pPr>
      <w:r w:rsidRPr="00D01B5C">
        <w:rPr>
          <w:sz w:val="24"/>
        </w:rPr>
        <w:t>A14.</w:t>
      </w:r>
      <w:r w:rsidRPr="00D01B5C">
        <w:rPr>
          <w:sz w:val="24"/>
        </w:rPr>
        <w:tab/>
        <w:t>Cost to the Federal Government</w:t>
      </w:r>
      <w:r w:rsidRPr="000450B8">
        <w:rPr>
          <w:sz w:val="24"/>
        </w:rPr>
        <w:t>.</w:t>
      </w:r>
      <w:r w:rsidRPr="000450B8">
        <w:rPr>
          <w:sz w:val="24"/>
        </w:rPr>
        <w:tab/>
      </w:r>
      <w:r w:rsidR="00D51A8B">
        <w:rPr>
          <w:sz w:val="24"/>
        </w:rPr>
        <w:t>10</w:t>
      </w:r>
    </w:p>
    <w:p w:rsidR="00D01B5C" w:rsidRPr="000252B5" w:rsidRDefault="00D01B5C" w:rsidP="00D01B5C">
      <w:pPr>
        <w:pStyle w:val="TOC"/>
        <w:tabs>
          <w:tab w:val="clear" w:pos="360"/>
          <w:tab w:val="clear" w:pos="9360"/>
          <w:tab w:val="right" w:leader="dot" w:pos="10170"/>
        </w:tabs>
        <w:spacing w:before="0" w:after="0"/>
        <w:rPr>
          <w:sz w:val="24"/>
        </w:rPr>
      </w:pPr>
      <w:r w:rsidRPr="000252B5">
        <w:rPr>
          <w:sz w:val="24"/>
        </w:rPr>
        <w:t>A15.</w:t>
      </w:r>
      <w:r w:rsidRPr="000252B5">
        <w:rPr>
          <w:sz w:val="24"/>
        </w:rPr>
        <w:tab/>
        <w:t>Reason for Change in Burden</w:t>
      </w:r>
      <w:r w:rsidRPr="00D57728">
        <w:rPr>
          <w:sz w:val="24"/>
        </w:rPr>
        <w:t xml:space="preserve"> </w:t>
      </w:r>
      <w:r w:rsidRPr="000252B5">
        <w:rPr>
          <w:sz w:val="24"/>
        </w:rPr>
        <w:tab/>
      </w:r>
      <w:r w:rsidR="001A0876" w:rsidRPr="000252B5">
        <w:rPr>
          <w:sz w:val="24"/>
        </w:rPr>
        <w:t>11</w:t>
      </w:r>
    </w:p>
    <w:p w:rsidR="00D01B5C" w:rsidRDefault="00D01B5C" w:rsidP="00D01B5C">
      <w:pPr>
        <w:pStyle w:val="TOC"/>
        <w:tabs>
          <w:tab w:val="clear" w:pos="360"/>
          <w:tab w:val="clear" w:pos="9360"/>
          <w:tab w:val="right" w:leader="dot" w:pos="10170"/>
        </w:tabs>
        <w:spacing w:before="0" w:after="0"/>
        <w:rPr>
          <w:sz w:val="24"/>
        </w:rPr>
      </w:pPr>
      <w:r w:rsidRPr="00D01B5C">
        <w:rPr>
          <w:sz w:val="24"/>
        </w:rPr>
        <w:t>A16.</w:t>
      </w:r>
      <w:r w:rsidRPr="00D01B5C">
        <w:rPr>
          <w:sz w:val="24"/>
        </w:rPr>
        <w:tab/>
        <w:t>Project Schedule</w:t>
      </w:r>
      <w:r w:rsidRPr="000252B5">
        <w:rPr>
          <w:sz w:val="24"/>
        </w:rPr>
        <w:tab/>
      </w:r>
      <w:r w:rsidR="00D51A8B" w:rsidRPr="000252B5">
        <w:rPr>
          <w:sz w:val="24"/>
        </w:rPr>
        <w:t>11</w:t>
      </w:r>
    </w:p>
    <w:p w:rsidR="00D01B5C" w:rsidRDefault="00D01B5C" w:rsidP="00D01B5C">
      <w:pPr>
        <w:pStyle w:val="TOC"/>
        <w:tabs>
          <w:tab w:val="clear" w:pos="360"/>
          <w:tab w:val="clear" w:pos="9360"/>
          <w:tab w:val="right" w:leader="dot" w:pos="10170"/>
        </w:tabs>
        <w:spacing w:before="0" w:after="0"/>
        <w:rPr>
          <w:sz w:val="24"/>
        </w:rPr>
      </w:pPr>
      <w:r w:rsidRPr="00D01B5C">
        <w:rPr>
          <w:sz w:val="24"/>
        </w:rPr>
        <w:t>A17.</w:t>
      </w:r>
      <w:r w:rsidRPr="00D01B5C">
        <w:rPr>
          <w:sz w:val="24"/>
        </w:rPr>
        <w:tab/>
        <w:t>Request Not to Display Expiration Date</w:t>
      </w:r>
      <w:r w:rsidRPr="000252B5">
        <w:rPr>
          <w:sz w:val="24"/>
        </w:rPr>
        <w:tab/>
      </w:r>
      <w:r w:rsidR="001A0876" w:rsidRPr="000252B5">
        <w:rPr>
          <w:sz w:val="24"/>
        </w:rPr>
        <w:t>12</w:t>
      </w:r>
    </w:p>
    <w:p w:rsidR="00D01B5C" w:rsidRPr="000252B5" w:rsidRDefault="00D51A8B" w:rsidP="00D01B5C">
      <w:pPr>
        <w:pStyle w:val="TOC"/>
        <w:tabs>
          <w:tab w:val="clear" w:pos="360"/>
          <w:tab w:val="clear" w:pos="9360"/>
          <w:tab w:val="right" w:leader="dot" w:pos="10170"/>
        </w:tabs>
        <w:spacing w:before="0" w:after="0"/>
        <w:rPr>
          <w:sz w:val="24"/>
        </w:rPr>
      </w:pPr>
      <w:r w:rsidRPr="00D51A8B">
        <w:rPr>
          <w:sz w:val="24"/>
        </w:rPr>
        <w:t>A18.</w:t>
      </w:r>
      <w:r w:rsidRPr="00D51A8B">
        <w:rPr>
          <w:sz w:val="24"/>
        </w:rPr>
        <w:tab/>
        <w:t>Exceptions to the Certification</w:t>
      </w:r>
      <w:r w:rsidR="00D01B5C" w:rsidRPr="00D57728">
        <w:rPr>
          <w:sz w:val="24"/>
        </w:rPr>
        <w:t xml:space="preserve"> </w:t>
      </w:r>
      <w:r w:rsidR="00D01B5C" w:rsidRPr="000252B5">
        <w:rPr>
          <w:sz w:val="24"/>
        </w:rPr>
        <w:tab/>
      </w:r>
      <w:r w:rsidR="001A0876" w:rsidRPr="000252B5">
        <w:rPr>
          <w:sz w:val="24"/>
        </w:rPr>
        <w:t>12</w:t>
      </w:r>
    </w:p>
    <w:p w:rsidR="00D01B5C" w:rsidRDefault="00D01B5C" w:rsidP="00D57728">
      <w:pPr>
        <w:autoSpaceDE w:val="0"/>
        <w:autoSpaceDN w:val="0"/>
        <w:adjustRightInd w:val="0"/>
        <w:rPr>
          <w:color w:val="0D0D0D" w:themeColor="text1" w:themeTint="F2"/>
        </w:rPr>
      </w:pPr>
    </w:p>
    <w:p w:rsidR="00D51A8B" w:rsidRPr="000252B5" w:rsidRDefault="00D51A8B" w:rsidP="00D51A8B">
      <w:pPr>
        <w:pStyle w:val="TOC"/>
        <w:tabs>
          <w:tab w:val="clear" w:pos="360"/>
          <w:tab w:val="clear" w:pos="9360"/>
          <w:tab w:val="right" w:leader="dot" w:pos="10170"/>
        </w:tabs>
        <w:spacing w:before="0" w:after="0"/>
        <w:rPr>
          <w:sz w:val="24"/>
        </w:rPr>
      </w:pPr>
      <w:r w:rsidRPr="00D51A8B">
        <w:rPr>
          <w:sz w:val="24"/>
        </w:rPr>
        <w:t>References</w:t>
      </w:r>
      <w:r w:rsidRPr="00D57728">
        <w:rPr>
          <w:sz w:val="24"/>
        </w:rPr>
        <w:t xml:space="preserve"> </w:t>
      </w:r>
      <w:r w:rsidRPr="000252B5">
        <w:rPr>
          <w:sz w:val="24"/>
        </w:rPr>
        <w:tab/>
      </w:r>
      <w:r w:rsidR="00090E6C" w:rsidRPr="000252B5">
        <w:rPr>
          <w:sz w:val="24"/>
        </w:rPr>
        <w:t>12</w:t>
      </w:r>
    </w:p>
    <w:p w:rsidR="000450B8" w:rsidRPr="00AD6247" w:rsidRDefault="000450B8" w:rsidP="003C364A">
      <w:pPr>
        <w:pStyle w:val="TOC"/>
        <w:tabs>
          <w:tab w:val="clear" w:pos="360"/>
          <w:tab w:val="clear" w:pos="9360"/>
          <w:tab w:val="right" w:leader="dot" w:pos="10170"/>
        </w:tabs>
        <w:spacing w:before="0" w:after="0"/>
        <w:rPr>
          <w:sz w:val="24"/>
        </w:rPr>
      </w:pPr>
    </w:p>
    <w:p w:rsidR="00B30C42" w:rsidRPr="00AD6247" w:rsidRDefault="00B30C42" w:rsidP="00D57728">
      <w:pPr>
        <w:pStyle w:val="TOC"/>
        <w:tabs>
          <w:tab w:val="clear" w:pos="360"/>
          <w:tab w:val="clear" w:pos="9360"/>
          <w:tab w:val="right" w:leader="dot" w:pos="10170"/>
        </w:tabs>
        <w:spacing w:before="0" w:after="0"/>
        <w:rPr>
          <w:sz w:val="24"/>
        </w:rPr>
      </w:pPr>
      <w:r w:rsidRPr="00AD6247">
        <w:rPr>
          <w:sz w:val="24"/>
        </w:rPr>
        <w:t>Part B. Collections of Information Employing Statistical Methods</w:t>
      </w:r>
    </w:p>
    <w:p w:rsidR="00B30C42" w:rsidRPr="00AD6247" w:rsidRDefault="00B30C42" w:rsidP="00D57728">
      <w:pPr>
        <w:pStyle w:val="TOC"/>
        <w:tabs>
          <w:tab w:val="clear" w:pos="360"/>
          <w:tab w:val="clear" w:pos="9360"/>
          <w:tab w:val="right" w:leader="dot" w:pos="10170"/>
        </w:tabs>
        <w:spacing w:before="0" w:after="0"/>
        <w:rPr>
          <w:sz w:val="24"/>
        </w:rPr>
      </w:pPr>
    </w:p>
    <w:p w:rsidR="00B30C42" w:rsidRPr="00AD6247" w:rsidRDefault="00B30C42" w:rsidP="00D57728">
      <w:pPr>
        <w:pStyle w:val="TOC"/>
        <w:tabs>
          <w:tab w:val="clear" w:pos="360"/>
          <w:tab w:val="clear" w:pos="9360"/>
          <w:tab w:val="right" w:leader="dot" w:pos="10170"/>
        </w:tabs>
        <w:spacing w:before="0" w:after="0"/>
        <w:rPr>
          <w:sz w:val="24"/>
        </w:rPr>
      </w:pPr>
      <w:r w:rsidRPr="00AD6247">
        <w:rPr>
          <w:sz w:val="24"/>
        </w:rPr>
        <w:t xml:space="preserve">Part C. </w:t>
      </w:r>
      <w:r w:rsidR="000B74CA" w:rsidRPr="00AD6247">
        <w:rPr>
          <w:sz w:val="24"/>
        </w:rPr>
        <w:t>School-Level Finance Survey (SLFS)</w:t>
      </w:r>
    </w:p>
    <w:p w:rsidR="00B30C42" w:rsidRPr="00AD6247" w:rsidRDefault="007E689B" w:rsidP="00D57728">
      <w:pPr>
        <w:pStyle w:val="TOC1"/>
        <w:spacing w:line="240" w:lineRule="auto"/>
        <w:rPr>
          <w:szCs w:val="24"/>
        </w:rPr>
      </w:pPr>
      <w:r w:rsidRPr="00AD6247">
        <w:rPr>
          <w:szCs w:val="24"/>
        </w:rPr>
        <w:t>C</w:t>
      </w:r>
      <w:r w:rsidR="00B30C42" w:rsidRPr="00AD6247">
        <w:rPr>
          <w:szCs w:val="24"/>
        </w:rPr>
        <w:t>.1. Discussion of Items</w:t>
      </w:r>
    </w:p>
    <w:p w:rsidR="00B30C42" w:rsidRPr="00AD6247" w:rsidRDefault="007E689B" w:rsidP="00D57728">
      <w:pPr>
        <w:pStyle w:val="TOC1"/>
        <w:spacing w:line="240" w:lineRule="auto"/>
        <w:rPr>
          <w:szCs w:val="24"/>
        </w:rPr>
      </w:pPr>
      <w:r w:rsidRPr="00AD6247">
        <w:rPr>
          <w:szCs w:val="24"/>
        </w:rPr>
        <w:t>C</w:t>
      </w:r>
      <w:r w:rsidR="00B30C42" w:rsidRPr="00AD6247">
        <w:rPr>
          <w:szCs w:val="24"/>
        </w:rPr>
        <w:t>.2. Sample Tables</w:t>
      </w:r>
    </w:p>
    <w:p w:rsidR="007E689B" w:rsidRPr="00AD6247" w:rsidRDefault="007E689B" w:rsidP="00D57728">
      <w:pPr>
        <w:pStyle w:val="TOC"/>
        <w:tabs>
          <w:tab w:val="clear" w:pos="360"/>
          <w:tab w:val="clear" w:pos="9360"/>
          <w:tab w:val="right" w:leader="dot" w:pos="10170"/>
        </w:tabs>
        <w:spacing w:before="0" w:after="0"/>
        <w:rPr>
          <w:sz w:val="24"/>
        </w:rPr>
      </w:pPr>
    </w:p>
    <w:p w:rsidR="002F7842" w:rsidRPr="00AD6247" w:rsidRDefault="007E689B" w:rsidP="00D57728">
      <w:pPr>
        <w:pStyle w:val="TOC"/>
        <w:tabs>
          <w:tab w:val="clear" w:pos="360"/>
          <w:tab w:val="clear" w:pos="9360"/>
          <w:tab w:val="right" w:leader="dot" w:pos="10170"/>
        </w:tabs>
        <w:spacing w:before="0" w:after="0"/>
        <w:rPr>
          <w:sz w:val="24"/>
        </w:rPr>
      </w:pPr>
      <w:r w:rsidRPr="00AD6247">
        <w:rPr>
          <w:sz w:val="24"/>
        </w:rPr>
        <w:t>Appendix A. Communication</w:t>
      </w:r>
      <w:r w:rsidR="00D03F0F" w:rsidRPr="00AD6247">
        <w:rPr>
          <w:sz w:val="24"/>
        </w:rPr>
        <w:t xml:space="preserve"> Material</w:t>
      </w:r>
      <w:r w:rsidRPr="00AD6247">
        <w:rPr>
          <w:sz w:val="24"/>
        </w:rPr>
        <w:t>s</w:t>
      </w:r>
    </w:p>
    <w:p w:rsidR="003D3693" w:rsidRPr="00AD6247" w:rsidRDefault="00E074D2" w:rsidP="00D57728">
      <w:pPr>
        <w:pStyle w:val="TOC1"/>
        <w:spacing w:line="240" w:lineRule="auto"/>
        <w:rPr>
          <w:szCs w:val="24"/>
        </w:rPr>
      </w:pPr>
      <w:r w:rsidRPr="00AD6247">
        <w:rPr>
          <w:szCs w:val="24"/>
        </w:rPr>
        <w:t>A.</w:t>
      </w:r>
      <w:r w:rsidR="003D3693" w:rsidRPr="00AD6247">
        <w:rPr>
          <w:szCs w:val="24"/>
        </w:rPr>
        <w:t>1.</w:t>
      </w:r>
      <w:r w:rsidR="008D2FC3" w:rsidRPr="00AD6247">
        <w:rPr>
          <w:szCs w:val="24"/>
        </w:rPr>
        <w:t xml:space="preserve"> </w:t>
      </w:r>
      <w:r w:rsidR="009940D5" w:rsidRPr="00AD6247">
        <w:rPr>
          <w:szCs w:val="24"/>
        </w:rPr>
        <w:t>SLFS 201</w:t>
      </w:r>
      <w:r w:rsidR="00DE2545" w:rsidRPr="00AD6247">
        <w:rPr>
          <w:szCs w:val="24"/>
        </w:rPr>
        <w:t>8</w:t>
      </w:r>
      <w:r w:rsidR="009940D5" w:rsidRPr="00AD6247">
        <w:rPr>
          <w:szCs w:val="24"/>
        </w:rPr>
        <w:t xml:space="preserve"> Announcement</w:t>
      </w:r>
      <w:r w:rsidR="00FE0ABA" w:rsidRPr="00AD6247">
        <w:rPr>
          <w:szCs w:val="24"/>
        </w:rPr>
        <w:t xml:space="preserve"> </w:t>
      </w:r>
      <w:r w:rsidR="003D3693" w:rsidRPr="00AD6247">
        <w:rPr>
          <w:szCs w:val="24"/>
        </w:rPr>
        <w:t>l</w:t>
      </w:r>
      <w:r w:rsidR="007C7909" w:rsidRPr="00AD6247">
        <w:rPr>
          <w:szCs w:val="24"/>
        </w:rPr>
        <w:t>etter to Respondents</w:t>
      </w:r>
    </w:p>
    <w:p w:rsidR="00673E11" w:rsidRPr="00AD6247" w:rsidRDefault="006172B2" w:rsidP="00D57728">
      <w:pPr>
        <w:pStyle w:val="TOC1"/>
        <w:spacing w:line="240" w:lineRule="auto"/>
        <w:rPr>
          <w:szCs w:val="24"/>
        </w:rPr>
      </w:pPr>
      <w:r w:rsidRPr="00AD6247">
        <w:rPr>
          <w:szCs w:val="24"/>
        </w:rPr>
        <w:t>A.</w:t>
      </w:r>
      <w:r w:rsidR="008A42C4" w:rsidRPr="00AD6247">
        <w:rPr>
          <w:szCs w:val="24"/>
        </w:rPr>
        <w:t>2</w:t>
      </w:r>
      <w:r w:rsidRPr="00AD6247">
        <w:rPr>
          <w:szCs w:val="24"/>
        </w:rPr>
        <w:t xml:space="preserve">. </w:t>
      </w:r>
      <w:r w:rsidR="00081992" w:rsidRPr="00AD6247">
        <w:rPr>
          <w:szCs w:val="24"/>
        </w:rPr>
        <w:t xml:space="preserve">SLFS </w:t>
      </w:r>
      <w:r w:rsidR="00B5117F" w:rsidRPr="00AD6247">
        <w:rPr>
          <w:szCs w:val="24"/>
        </w:rPr>
        <w:t>201</w:t>
      </w:r>
      <w:r w:rsidR="00DE2545" w:rsidRPr="00AD6247">
        <w:rPr>
          <w:szCs w:val="24"/>
        </w:rPr>
        <w:t>8</w:t>
      </w:r>
      <w:r w:rsidRPr="00AD6247">
        <w:rPr>
          <w:szCs w:val="24"/>
        </w:rPr>
        <w:t xml:space="preserve"> Instruction</w:t>
      </w:r>
      <w:r w:rsidR="008D2FC3" w:rsidRPr="00AD6247">
        <w:rPr>
          <w:szCs w:val="24"/>
        </w:rPr>
        <w:t>s</w:t>
      </w:r>
    </w:p>
    <w:p w:rsidR="00781A8A" w:rsidRPr="00AD6247" w:rsidRDefault="00781A8A" w:rsidP="00D57728">
      <w:pPr>
        <w:pStyle w:val="TOC"/>
        <w:tabs>
          <w:tab w:val="clear" w:pos="360"/>
          <w:tab w:val="clear" w:pos="9360"/>
          <w:tab w:val="right" w:leader="dot" w:pos="10170"/>
        </w:tabs>
        <w:spacing w:before="0" w:after="0"/>
        <w:rPr>
          <w:sz w:val="24"/>
        </w:rPr>
      </w:pPr>
    </w:p>
    <w:p w:rsidR="007E689B" w:rsidRPr="00AD6247" w:rsidRDefault="007E689B" w:rsidP="00D57728">
      <w:pPr>
        <w:pStyle w:val="TOC"/>
        <w:tabs>
          <w:tab w:val="clear" w:pos="360"/>
          <w:tab w:val="clear" w:pos="9360"/>
          <w:tab w:val="right" w:leader="dot" w:pos="10170"/>
        </w:tabs>
        <w:spacing w:before="0" w:after="0"/>
        <w:rPr>
          <w:sz w:val="24"/>
        </w:rPr>
      </w:pPr>
      <w:r w:rsidRPr="00AD6247">
        <w:rPr>
          <w:sz w:val="24"/>
        </w:rPr>
        <w:t xml:space="preserve">Appendix B. Survey </w:t>
      </w:r>
      <w:r w:rsidR="00157C3E" w:rsidRPr="00AD6247">
        <w:rPr>
          <w:sz w:val="24"/>
        </w:rPr>
        <w:t xml:space="preserve">Form with </w:t>
      </w:r>
      <w:r w:rsidRPr="00AD6247">
        <w:rPr>
          <w:sz w:val="24"/>
        </w:rPr>
        <w:t>Items</w:t>
      </w:r>
    </w:p>
    <w:p w:rsidR="00157C3E" w:rsidRPr="00AD6247" w:rsidRDefault="00157C3E" w:rsidP="00D57728">
      <w:pPr>
        <w:pStyle w:val="TOC"/>
        <w:tabs>
          <w:tab w:val="clear" w:pos="360"/>
          <w:tab w:val="clear" w:pos="9360"/>
          <w:tab w:val="right" w:leader="dot" w:pos="10170"/>
        </w:tabs>
        <w:spacing w:before="0" w:after="0"/>
        <w:rPr>
          <w:sz w:val="24"/>
        </w:rPr>
      </w:pPr>
    </w:p>
    <w:p w:rsidR="00157C3E" w:rsidRPr="00AD6247" w:rsidRDefault="00157C3E" w:rsidP="00D57728">
      <w:pPr>
        <w:pStyle w:val="TOC"/>
        <w:tabs>
          <w:tab w:val="clear" w:pos="360"/>
          <w:tab w:val="clear" w:pos="9360"/>
          <w:tab w:val="right" w:leader="dot" w:pos="10170"/>
        </w:tabs>
        <w:spacing w:before="0" w:after="0"/>
        <w:rPr>
          <w:sz w:val="24"/>
        </w:rPr>
      </w:pPr>
      <w:r w:rsidRPr="00AD6247">
        <w:rPr>
          <w:sz w:val="24"/>
        </w:rPr>
        <w:t>Appendix C. Data Plan Survey</w:t>
      </w:r>
    </w:p>
    <w:p w:rsidR="009E709B" w:rsidRPr="00AD6247" w:rsidRDefault="009E709B" w:rsidP="003C364A">
      <w:pPr>
        <w:pStyle w:val="TOC"/>
        <w:tabs>
          <w:tab w:val="clear" w:pos="360"/>
          <w:tab w:val="clear" w:pos="9360"/>
          <w:tab w:val="right" w:leader="dot" w:pos="10170"/>
        </w:tabs>
        <w:spacing w:before="0" w:after="0"/>
        <w:rPr>
          <w:sz w:val="24"/>
        </w:rPr>
      </w:pPr>
    </w:p>
    <w:p w:rsidR="008349D5" w:rsidRDefault="008349D5" w:rsidP="00263644">
      <w:pPr>
        <w:autoSpaceDE w:val="0"/>
        <w:autoSpaceDN w:val="0"/>
        <w:adjustRightInd w:val="0"/>
        <w:spacing w:after="120" w:line="22" w:lineRule="atLeast"/>
        <w:jc w:val="center"/>
        <w:rPr>
          <w:bCs/>
        </w:rPr>
      </w:pPr>
    </w:p>
    <w:p w:rsidR="00B65A43" w:rsidRDefault="00B65A43">
      <w:pPr>
        <w:rPr>
          <w:bCs/>
        </w:rPr>
      </w:pPr>
      <w:r>
        <w:rPr>
          <w:bCs/>
        </w:rPr>
        <w:br w:type="page"/>
      </w:r>
    </w:p>
    <w:p w:rsidR="00B30C42" w:rsidRPr="00BD41C6" w:rsidRDefault="00DE40FC" w:rsidP="00263644">
      <w:pPr>
        <w:autoSpaceDE w:val="0"/>
        <w:autoSpaceDN w:val="0"/>
        <w:adjustRightInd w:val="0"/>
        <w:spacing w:after="120" w:line="22" w:lineRule="atLeast"/>
        <w:jc w:val="center"/>
        <w:rPr>
          <w:b/>
        </w:rPr>
      </w:pPr>
      <w:r w:rsidRPr="00BD41C6">
        <w:rPr>
          <w:b/>
        </w:rPr>
        <w:lastRenderedPageBreak/>
        <w:t>PART A. JUSTIFICATION</w:t>
      </w:r>
    </w:p>
    <w:p w:rsidR="00B30C42" w:rsidRPr="00C747F1" w:rsidRDefault="00BD41C6" w:rsidP="00336321">
      <w:pPr>
        <w:pStyle w:val="Heading1"/>
        <w:spacing w:before="0" w:line="22" w:lineRule="atLeast"/>
        <w:rPr>
          <w:rFonts w:ascii="Times New Roman" w:hAnsi="Times New Roman"/>
          <w:sz w:val="24"/>
          <w:szCs w:val="24"/>
        </w:rPr>
      </w:pPr>
      <w:r w:rsidRPr="00C747F1">
        <w:rPr>
          <w:rFonts w:ascii="Times New Roman" w:hAnsi="Times New Roman"/>
          <w:sz w:val="24"/>
          <w:szCs w:val="24"/>
        </w:rPr>
        <w:t>A1.</w:t>
      </w:r>
      <w:r w:rsidRPr="00C747F1">
        <w:rPr>
          <w:rFonts w:ascii="Times New Roman" w:hAnsi="Times New Roman"/>
          <w:sz w:val="24"/>
          <w:szCs w:val="24"/>
        </w:rPr>
        <w:tab/>
      </w:r>
      <w:r w:rsidR="00ED5CFE" w:rsidRPr="00C747F1">
        <w:rPr>
          <w:rFonts w:ascii="Times New Roman" w:hAnsi="Times New Roman"/>
          <w:sz w:val="24"/>
          <w:szCs w:val="24"/>
        </w:rPr>
        <w:t>Necessity of Information Collection</w:t>
      </w:r>
    </w:p>
    <w:p w:rsidR="00BD41C6" w:rsidRPr="00C747F1" w:rsidRDefault="00BD41C6" w:rsidP="00336321">
      <w:pPr>
        <w:pStyle w:val="Heading"/>
        <w:spacing w:before="0" w:line="22" w:lineRule="atLeast"/>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rsidR="00376F18" w:rsidRPr="00376F18" w:rsidRDefault="00B06042" w:rsidP="00336321">
      <w:pPr>
        <w:pStyle w:val="Heading5"/>
        <w:keepNext w:val="0"/>
        <w:spacing w:after="120" w:line="22" w:lineRule="atLeast"/>
        <w:rPr>
          <w:rFonts w:ascii="Times New Roman" w:hAnsi="Times New Roman" w:cs="Times New Roman"/>
          <w:b w:val="0"/>
          <w:color w:val="000000"/>
          <w:sz w:val="24"/>
          <w:szCs w:val="24"/>
        </w:rPr>
      </w:pPr>
      <w:r w:rsidRPr="00B06042">
        <w:rPr>
          <w:rFonts w:ascii="Times New Roman" w:hAnsi="Times New Roman" w:cs="Times New Roman"/>
          <w:b w:val="0"/>
          <w:color w:val="000000"/>
          <w:sz w:val="24"/>
          <w:szCs w:val="24"/>
        </w:rPr>
        <w:t xml:space="preserve">The School-Level Finance Survey (SLFS) data collection is conducted annually by the National Center for Education Statistics (NCES), within the U.S. Department of Education (ED). SLFS complements two existing data collections conducted by NCES in collaboration with the U.S. Census Bureau (Census): </w:t>
      </w:r>
      <w:r w:rsidR="007B6759" w:rsidRPr="00B06042">
        <w:rPr>
          <w:rFonts w:ascii="Times New Roman" w:hAnsi="Times New Roman" w:cs="Times New Roman"/>
          <w:b w:val="0"/>
          <w:color w:val="000000"/>
          <w:sz w:val="24"/>
          <w:szCs w:val="24"/>
        </w:rPr>
        <w:t>the state-level National Public Education Financial Survey (NPEFS)</w:t>
      </w:r>
      <w:r w:rsidR="00CD0061" w:rsidRPr="00CD0061">
        <w:t xml:space="preserve"> </w:t>
      </w:r>
      <w:r w:rsidR="00CD0061" w:rsidRPr="00CD0061">
        <w:rPr>
          <w:rFonts w:ascii="Times New Roman" w:hAnsi="Times New Roman" w:cs="Times New Roman"/>
          <w:b w:val="0"/>
          <w:color w:val="000000"/>
          <w:sz w:val="24"/>
          <w:szCs w:val="24"/>
        </w:rPr>
        <w:t>(OMB#1850-0067)</w:t>
      </w:r>
      <w:r w:rsidR="007B6759">
        <w:rPr>
          <w:rFonts w:ascii="Times New Roman" w:hAnsi="Times New Roman" w:cs="Times New Roman"/>
          <w:b w:val="0"/>
          <w:color w:val="000000"/>
          <w:sz w:val="24"/>
          <w:szCs w:val="24"/>
        </w:rPr>
        <w:t xml:space="preserve"> and </w:t>
      </w:r>
      <w:r w:rsidRPr="00B06042">
        <w:rPr>
          <w:rFonts w:ascii="Times New Roman" w:hAnsi="Times New Roman" w:cs="Times New Roman"/>
          <w:b w:val="0"/>
          <w:color w:val="000000"/>
          <w:sz w:val="24"/>
          <w:szCs w:val="24"/>
        </w:rPr>
        <w:t xml:space="preserve">the </w:t>
      </w:r>
      <w:r w:rsidR="003D1C7A" w:rsidRPr="003D1C7A">
        <w:rPr>
          <w:rFonts w:ascii="Times New Roman" w:hAnsi="Times New Roman" w:cs="Times New Roman"/>
          <w:b w:val="0"/>
          <w:color w:val="000000"/>
          <w:sz w:val="24"/>
          <w:szCs w:val="24"/>
        </w:rPr>
        <w:t>Survey of Local Governments: School Systems (OMB# 0607-0700), commonly called F-33 and the School District Finance Survey</w:t>
      </w:r>
      <w:r w:rsidRPr="00B06042">
        <w:rPr>
          <w:rFonts w:ascii="Times New Roman" w:hAnsi="Times New Roman" w:cs="Times New Roman"/>
          <w:b w:val="0"/>
          <w:color w:val="000000"/>
          <w:sz w:val="24"/>
          <w:szCs w:val="24"/>
        </w:rPr>
        <w:t xml:space="preserve">. </w:t>
      </w:r>
      <w:r w:rsidRPr="007B6759">
        <w:rPr>
          <w:rFonts w:ascii="Times New Roman" w:hAnsi="Times New Roman" w:cs="Times New Roman"/>
          <w:b w:val="0"/>
          <w:color w:val="000000"/>
          <w:sz w:val="24"/>
          <w:szCs w:val="24"/>
        </w:rPr>
        <w:t xml:space="preserve">SLFS expands F-33 to include </w:t>
      </w:r>
      <w:r w:rsidR="00DB4945">
        <w:rPr>
          <w:rFonts w:ascii="Times New Roman" w:hAnsi="Times New Roman" w:cs="Times New Roman"/>
          <w:b w:val="0"/>
          <w:color w:val="000000"/>
          <w:sz w:val="24"/>
          <w:szCs w:val="24"/>
        </w:rPr>
        <w:t xml:space="preserve">its </w:t>
      </w:r>
      <w:r w:rsidRPr="007B6759">
        <w:rPr>
          <w:rFonts w:ascii="Times New Roman" w:hAnsi="Times New Roman" w:cs="Times New Roman"/>
          <w:b w:val="0"/>
          <w:color w:val="000000"/>
          <w:sz w:val="24"/>
          <w:szCs w:val="24"/>
        </w:rPr>
        <w:t xml:space="preserve">finance variables at the school level. Beginning with FY18, the SEAs will report total current expenditures at the school level in the same manner as for </w:t>
      </w:r>
      <w:r w:rsidR="007B6759" w:rsidRPr="007B6759">
        <w:rPr>
          <w:rFonts w:ascii="Times New Roman" w:hAnsi="Times New Roman" w:cs="Times New Roman"/>
          <w:b w:val="0"/>
          <w:color w:val="000000"/>
          <w:sz w:val="24"/>
          <w:szCs w:val="24"/>
        </w:rPr>
        <w:t xml:space="preserve">the </w:t>
      </w:r>
      <w:r w:rsidRPr="007B6759">
        <w:rPr>
          <w:rFonts w:ascii="Times New Roman" w:hAnsi="Times New Roman" w:cs="Times New Roman"/>
          <w:b w:val="0"/>
          <w:color w:val="000000"/>
          <w:sz w:val="24"/>
          <w:szCs w:val="24"/>
        </w:rPr>
        <w:t>district level on F-33.</w:t>
      </w:r>
      <w:r w:rsidRPr="00B06042">
        <w:rPr>
          <w:rFonts w:ascii="Times New Roman" w:hAnsi="Times New Roman" w:cs="Times New Roman"/>
          <w:b w:val="0"/>
          <w:color w:val="000000"/>
          <w:sz w:val="24"/>
          <w:szCs w:val="24"/>
        </w:rPr>
        <w:t xml:space="preserve"> This request is to conduct in 2019 through 2021 SLFS for fiscal years 2018 through 2020 (corresponding to school years 2017/18 through 2019/20) and to expand the collected data to be analogous to the current ESSA expenditures per pupil provision</w:t>
      </w:r>
      <w:r w:rsidR="00376F18" w:rsidRPr="00376F18">
        <w:rPr>
          <w:rFonts w:ascii="Times New Roman" w:hAnsi="Times New Roman" w:cs="Times New Roman"/>
          <w:b w:val="0"/>
          <w:color w:val="000000"/>
          <w:sz w:val="24"/>
          <w:szCs w:val="24"/>
        </w:rPr>
        <w:t>.</w:t>
      </w:r>
    </w:p>
    <w:p w:rsidR="002F7842" w:rsidRDefault="00810866" w:rsidP="00336321">
      <w:pPr>
        <w:pStyle w:val="Heading5"/>
        <w:keepNext w:val="0"/>
        <w:spacing w:after="120" w:line="22" w:lineRule="atLeast"/>
        <w:rPr>
          <w:rFonts w:ascii="Times New Roman" w:hAnsi="Times New Roman" w:cs="Times New Roman"/>
          <w:b w:val="0"/>
          <w:sz w:val="24"/>
          <w:szCs w:val="24"/>
        </w:rPr>
      </w:pPr>
      <w:r w:rsidRPr="00810866">
        <w:rPr>
          <w:rFonts w:ascii="Times New Roman" w:hAnsi="Times New Roman" w:cs="Times New Roman"/>
          <w:b w:val="0"/>
          <w:sz w:val="24"/>
          <w:szCs w:val="24"/>
        </w:rPr>
        <w:t xml:space="preserve">Census’s Governments Division administers the </w:t>
      </w:r>
      <w:r w:rsidR="007B6759" w:rsidRPr="00810866">
        <w:rPr>
          <w:rFonts w:ascii="Times New Roman" w:hAnsi="Times New Roman" w:cs="Times New Roman"/>
          <w:b w:val="0"/>
          <w:sz w:val="24"/>
          <w:szCs w:val="24"/>
        </w:rPr>
        <w:t xml:space="preserve">NPEFS, </w:t>
      </w:r>
      <w:r w:rsidRPr="00810866">
        <w:rPr>
          <w:rFonts w:ascii="Times New Roman" w:hAnsi="Times New Roman" w:cs="Times New Roman"/>
          <w:b w:val="0"/>
          <w:sz w:val="24"/>
          <w:szCs w:val="24"/>
        </w:rPr>
        <w:t>F-33, and SLFS data collections for NCES under an interagency agreement. The new SLFS collection leverages the existing expertise and infrastructure developed by NCES and Census by virtue of their administration of the NPEFS and F-33 surveys, conducted jointly for over 20 years. Collaboration between the two agencies on SLFS enhances data collection and editing efficiency, and promotes consistency across all three finance surveys</w:t>
      </w:r>
      <w:r w:rsidR="0056084F" w:rsidRPr="0056084F">
        <w:rPr>
          <w:rFonts w:ascii="Times New Roman" w:hAnsi="Times New Roman" w:cs="Times New Roman"/>
          <w:b w:val="0"/>
          <w:sz w:val="24"/>
          <w:szCs w:val="24"/>
        </w:rPr>
        <w:t>.</w:t>
      </w:r>
    </w:p>
    <w:p w:rsidR="009C25DA" w:rsidRPr="0088030A" w:rsidRDefault="009C25DA" w:rsidP="00336321">
      <w:pPr>
        <w:spacing w:after="120" w:line="22" w:lineRule="atLeast"/>
        <w:rPr>
          <w:color w:val="000000"/>
        </w:rPr>
      </w:pPr>
      <w:r>
        <w:rPr>
          <w:color w:val="000000"/>
        </w:rPr>
        <w:t xml:space="preserve">Former President Obama signed the Every Student Succeeds Act (ESSA) into law on December 10, 2015, which amended the Elementary and Secondary Education Act of 1965 (ESEA). </w:t>
      </w:r>
      <w:r w:rsidR="00F95504">
        <w:rPr>
          <w:color w:val="000000"/>
        </w:rPr>
        <w:t>As amended, t</w:t>
      </w:r>
      <w:r w:rsidRPr="0088030A">
        <w:rPr>
          <w:color w:val="000000"/>
        </w:rPr>
        <w:t xml:space="preserve">he ESEA now </w:t>
      </w:r>
      <w:r>
        <w:rPr>
          <w:color w:val="000000"/>
        </w:rPr>
        <w:t xml:space="preserve">requires state education agencies (SEAs) to produce report cards </w:t>
      </w:r>
      <w:r w:rsidR="00F95504">
        <w:rPr>
          <w:color w:val="000000"/>
        </w:rPr>
        <w:t>beginning with</w:t>
      </w:r>
      <w:r>
        <w:rPr>
          <w:color w:val="000000"/>
        </w:rPr>
        <w:t xml:space="preserve"> the 2017-18 school year that include “</w:t>
      </w:r>
      <w:r w:rsidRPr="008F3EC1">
        <w:rPr>
          <w:color w:val="000000"/>
        </w:rPr>
        <w:t xml:space="preserve">per-pupil expenditures of Federal, State, and local funds, including actual personnel expenditures and actual nonpersonnel expenditures of Federal, State, and local funds, disaggregated by source of funds, for each local educational agency </w:t>
      </w:r>
      <w:r w:rsidR="00AD3856">
        <w:rPr>
          <w:color w:val="000000"/>
        </w:rPr>
        <w:t xml:space="preserve">(LEA) </w:t>
      </w:r>
      <w:r w:rsidRPr="008F3EC1">
        <w:rPr>
          <w:color w:val="000000"/>
        </w:rPr>
        <w:t>and each</w:t>
      </w:r>
      <w:r>
        <w:rPr>
          <w:color w:val="000000"/>
        </w:rPr>
        <w:t xml:space="preserve"> </w:t>
      </w:r>
      <w:r w:rsidRPr="008F3EC1">
        <w:rPr>
          <w:color w:val="000000"/>
        </w:rPr>
        <w:t>school in the State for the preceding fiscal year</w:t>
      </w:r>
      <w:r>
        <w:rPr>
          <w:color w:val="000000"/>
        </w:rPr>
        <w:t xml:space="preserve">” </w:t>
      </w:r>
      <w:r w:rsidR="00A5123F">
        <w:rPr>
          <w:color w:val="000000"/>
        </w:rPr>
        <w:t>[</w:t>
      </w:r>
      <w:r w:rsidRPr="00DB3EAE">
        <w:rPr>
          <w:color w:val="000000"/>
        </w:rPr>
        <w:t>20 U</w:t>
      </w:r>
      <w:r>
        <w:rPr>
          <w:color w:val="000000"/>
        </w:rPr>
        <w:t>.</w:t>
      </w:r>
      <w:r w:rsidRPr="00DB3EAE">
        <w:rPr>
          <w:color w:val="000000"/>
        </w:rPr>
        <w:t>S</w:t>
      </w:r>
      <w:r>
        <w:rPr>
          <w:color w:val="000000"/>
        </w:rPr>
        <w:t>.</w:t>
      </w:r>
      <w:r w:rsidRPr="00DB3EAE">
        <w:rPr>
          <w:color w:val="000000"/>
        </w:rPr>
        <w:t>C</w:t>
      </w:r>
      <w:r>
        <w:rPr>
          <w:color w:val="000000"/>
        </w:rPr>
        <w:t>.</w:t>
      </w:r>
      <w:r w:rsidRPr="00DB3EAE">
        <w:rPr>
          <w:color w:val="000000"/>
        </w:rPr>
        <w:t xml:space="preserve"> 6301 </w:t>
      </w:r>
      <w:r w:rsidRPr="0088030A">
        <w:rPr>
          <w:color w:val="000000"/>
        </w:rPr>
        <w:t>§1111(h)(1)(C)(x) and (h)(2)(C)</w:t>
      </w:r>
      <w:r w:rsidR="00A5123F">
        <w:rPr>
          <w:color w:val="000000"/>
        </w:rPr>
        <w:t>]</w:t>
      </w:r>
      <w:r w:rsidRPr="0088030A">
        <w:rPr>
          <w:color w:val="000000"/>
        </w:rPr>
        <w:t>.</w:t>
      </w:r>
      <w:r>
        <w:rPr>
          <w:color w:val="000000"/>
        </w:rPr>
        <w:t xml:space="preserve"> </w:t>
      </w:r>
      <w:r w:rsidRPr="000A1CBA">
        <w:rPr>
          <w:color w:val="000000"/>
        </w:rPr>
        <w:t xml:space="preserve">The ESEA also requires that LEA report cards include the same information for the LEA and </w:t>
      </w:r>
      <w:r w:rsidR="00AD3856">
        <w:rPr>
          <w:color w:val="000000"/>
        </w:rPr>
        <w:t xml:space="preserve">for </w:t>
      </w:r>
      <w:r w:rsidRPr="000A1CBA">
        <w:rPr>
          <w:color w:val="000000"/>
        </w:rPr>
        <w:t>each school served by the LEA</w:t>
      </w:r>
      <w:r w:rsidR="00AD3856">
        <w:rPr>
          <w:color w:val="000000"/>
        </w:rPr>
        <w:t xml:space="preserve"> [</w:t>
      </w:r>
      <w:r w:rsidR="004909F5">
        <w:rPr>
          <w:color w:val="000000"/>
        </w:rPr>
        <w:t xml:space="preserve">20 </w:t>
      </w:r>
      <w:r w:rsidR="00AD3856" w:rsidRPr="00DB3EAE">
        <w:rPr>
          <w:color w:val="000000"/>
        </w:rPr>
        <w:t>U</w:t>
      </w:r>
      <w:r w:rsidR="00AD3856">
        <w:rPr>
          <w:color w:val="000000"/>
        </w:rPr>
        <w:t>.</w:t>
      </w:r>
      <w:r w:rsidR="00AD3856" w:rsidRPr="00DB3EAE">
        <w:rPr>
          <w:color w:val="000000"/>
        </w:rPr>
        <w:t>S</w:t>
      </w:r>
      <w:r w:rsidR="00AD3856">
        <w:rPr>
          <w:color w:val="000000"/>
        </w:rPr>
        <w:t>.</w:t>
      </w:r>
      <w:r w:rsidR="00AD3856" w:rsidRPr="00DB3EAE">
        <w:rPr>
          <w:color w:val="000000"/>
        </w:rPr>
        <w:t>C</w:t>
      </w:r>
      <w:r w:rsidR="00AD3856">
        <w:rPr>
          <w:color w:val="000000"/>
        </w:rPr>
        <w:t>.</w:t>
      </w:r>
      <w:r w:rsidR="00AD3856" w:rsidRPr="00DB3EAE">
        <w:rPr>
          <w:color w:val="000000"/>
        </w:rPr>
        <w:t xml:space="preserve"> 6301</w:t>
      </w:r>
      <w:r w:rsidRPr="000A1CBA">
        <w:rPr>
          <w:color w:val="000000"/>
        </w:rPr>
        <w:t xml:space="preserve"> </w:t>
      </w:r>
      <w:r>
        <w:rPr>
          <w:color w:val="000000"/>
        </w:rPr>
        <w:t>§</w:t>
      </w:r>
      <w:r w:rsidRPr="000A1CBA">
        <w:rPr>
          <w:color w:val="000000"/>
        </w:rPr>
        <w:t>1111(h)(2)(C)</w:t>
      </w:r>
      <w:r w:rsidR="00207B60">
        <w:rPr>
          <w:color w:val="000000"/>
        </w:rPr>
        <w:t>]</w:t>
      </w:r>
      <w:r w:rsidRPr="000A1CBA">
        <w:rPr>
          <w:color w:val="000000"/>
        </w:rPr>
        <w:t>.</w:t>
      </w:r>
    </w:p>
    <w:p w:rsidR="009C25DA" w:rsidRDefault="009C25DA" w:rsidP="00336321">
      <w:pPr>
        <w:spacing w:after="60" w:line="22" w:lineRule="atLeast"/>
        <w:rPr>
          <w:color w:val="000000"/>
        </w:rPr>
      </w:pPr>
      <w:r>
        <w:rPr>
          <w:color w:val="000000"/>
        </w:rPr>
        <w:t>Since the passage of ESSA, multiple SEAs have expressed interest in participating in the SLFS.</w:t>
      </w:r>
      <w:r w:rsidR="00D85E14">
        <w:rPr>
          <w:color w:val="000000"/>
        </w:rPr>
        <w:t xml:space="preserve"> </w:t>
      </w:r>
      <w:r>
        <w:rPr>
          <w:color w:val="000000"/>
        </w:rPr>
        <w:t>The a</w:t>
      </w:r>
      <w:r w:rsidRPr="008E494F">
        <w:rPr>
          <w:color w:val="000000"/>
        </w:rPr>
        <w:t xml:space="preserve">dvantages of </w:t>
      </w:r>
      <w:r>
        <w:rPr>
          <w:color w:val="000000"/>
        </w:rPr>
        <w:t>p</w:t>
      </w:r>
      <w:r w:rsidRPr="008E494F">
        <w:rPr>
          <w:color w:val="000000"/>
        </w:rPr>
        <w:t>articipating in SLFS</w:t>
      </w:r>
      <w:r>
        <w:rPr>
          <w:color w:val="000000"/>
        </w:rPr>
        <w:t xml:space="preserve"> include the following</w:t>
      </w:r>
      <w:r w:rsidRPr="008E494F">
        <w:rPr>
          <w:color w:val="000000"/>
        </w:rPr>
        <w:t>:</w:t>
      </w:r>
    </w:p>
    <w:p w:rsidR="009C25DA" w:rsidRPr="00A64076" w:rsidRDefault="009C25DA" w:rsidP="00336321">
      <w:pPr>
        <w:pStyle w:val="ListParagraph"/>
        <w:numPr>
          <w:ilvl w:val="0"/>
          <w:numId w:val="24"/>
        </w:numPr>
        <w:spacing w:after="60" w:line="22" w:lineRule="atLeast"/>
        <w:rPr>
          <w:color w:val="000000"/>
        </w:rPr>
      </w:pPr>
      <w:r w:rsidRPr="00A64076">
        <w:rPr>
          <w:color w:val="000000"/>
        </w:rPr>
        <w:t>Technical help from NCES and Census will likely improve data quality at school level</w:t>
      </w:r>
      <w:r w:rsidR="00B77B9C">
        <w:rPr>
          <w:color w:val="000000"/>
        </w:rPr>
        <w:t>;</w:t>
      </w:r>
    </w:p>
    <w:p w:rsidR="009C25DA" w:rsidRPr="00A64076" w:rsidRDefault="009C25DA" w:rsidP="00336321">
      <w:pPr>
        <w:pStyle w:val="ListParagraph"/>
        <w:numPr>
          <w:ilvl w:val="0"/>
          <w:numId w:val="24"/>
        </w:numPr>
        <w:spacing w:after="60" w:line="22" w:lineRule="atLeast"/>
        <w:rPr>
          <w:color w:val="000000"/>
        </w:rPr>
      </w:pPr>
      <w:r w:rsidRPr="00A64076">
        <w:rPr>
          <w:color w:val="000000"/>
        </w:rPr>
        <w:t>Opportunity to work with NCES and Census to reconcile data issues/anomalies</w:t>
      </w:r>
      <w:r w:rsidR="00B77B9C">
        <w:rPr>
          <w:color w:val="000000"/>
        </w:rPr>
        <w:t>;</w:t>
      </w:r>
    </w:p>
    <w:p w:rsidR="009C25DA" w:rsidRPr="00A64076" w:rsidRDefault="009C25DA" w:rsidP="00336321">
      <w:pPr>
        <w:pStyle w:val="ListParagraph"/>
        <w:numPr>
          <w:ilvl w:val="0"/>
          <w:numId w:val="24"/>
        </w:numPr>
        <w:spacing w:after="60" w:line="22" w:lineRule="atLeast"/>
        <w:rPr>
          <w:color w:val="000000"/>
        </w:rPr>
      </w:pPr>
      <w:r w:rsidRPr="00A64076">
        <w:rPr>
          <w:color w:val="000000"/>
        </w:rPr>
        <w:t>Facilitates compliance with ESSA expenditure per pupil provision</w:t>
      </w:r>
      <w:r w:rsidR="00D85E14">
        <w:rPr>
          <w:color w:val="000000"/>
        </w:rPr>
        <w:t>; and</w:t>
      </w:r>
    </w:p>
    <w:p w:rsidR="009C25DA" w:rsidRPr="00A64076" w:rsidRDefault="009C25DA" w:rsidP="00336321">
      <w:pPr>
        <w:pStyle w:val="ListParagraph"/>
        <w:numPr>
          <w:ilvl w:val="0"/>
          <w:numId w:val="24"/>
        </w:numPr>
        <w:spacing w:after="120" w:line="22" w:lineRule="atLeast"/>
        <w:rPr>
          <w:bCs/>
          <w:noProof/>
        </w:rPr>
      </w:pPr>
      <w:r w:rsidRPr="00A64076">
        <w:rPr>
          <w:color w:val="000000"/>
        </w:rPr>
        <w:t>Expand</w:t>
      </w:r>
      <w:r w:rsidR="00D85E14">
        <w:rPr>
          <w:color w:val="000000"/>
        </w:rPr>
        <w:t>ing</w:t>
      </w:r>
      <w:r w:rsidRPr="00A64076">
        <w:rPr>
          <w:color w:val="000000"/>
        </w:rPr>
        <w:t xml:space="preserve"> knowledge </w:t>
      </w:r>
      <w:r w:rsidR="00D85E14">
        <w:rPr>
          <w:color w:val="000000"/>
        </w:rPr>
        <w:t>base of SEA fiscal coordinators.</w:t>
      </w:r>
    </w:p>
    <w:p w:rsidR="00C85DF7" w:rsidRPr="00C85DF7" w:rsidRDefault="00C85DF7" w:rsidP="00336321">
      <w:pPr>
        <w:spacing w:after="120" w:line="22" w:lineRule="atLeast"/>
        <w:rPr>
          <w:rFonts w:eastAsia="Calibri"/>
          <w:u w:val="single"/>
        </w:rPr>
      </w:pPr>
      <w:r w:rsidRPr="00C85DF7">
        <w:rPr>
          <w:rFonts w:eastAsia="Calibri"/>
          <w:u w:val="single"/>
        </w:rPr>
        <w:t xml:space="preserve">Recent </w:t>
      </w:r>
      <w:r w:rsidR="00A24B7B">
        <w:rPr>
          <w:rFonts w:eastAsia="Calibri"/>
          <w:u w:val="single"/>
        </w:rPr>
        <w:t>ED</w:t>
      </w:r>
      <w:r w:rsidRPr="00C85DF7">
        <w:rPr>
          <w:rFonts w:eastAsia="Calibri"/>
          <w:u w:val="single"/>
        </w:rPr>
        <w:t xml:space="preserve"> school-level finance data collections</w:t>
      </w:r>
    </w:p>
    <w:p w:rsidR="00C85DF7" w:rsidRPr="005B192A" w:rsidRDefault="00C85DF7" w:rsidP="00336321">
      <w:pPr>
        <w:widowControl w:val="0"/>
        <w:spacing w:after="60" w:line="22" w:lineRule="atLeast"/>
        <w:rPr>
          <w:rFonts w:eastAsia="Calibri"/>
        </w:rPr>
      </w:pPr>
      <w:r>
        <w:rPr>
          <w:color w:val="000000"/>
        </w:rPr>
        <w:t>T</w:t>
      </w:r>
      <w:r w:rsidRPr="005B192A">
        <w:rPr>
          <w:color w:val="000000"/>
        </w:rPr>
        <w:t xml:space="preserve">he </w:t>
      </w:r>
      <w:r w:rsidRPr="005B192A">
        <w:rPr>
          <w:rFonts w:eastAsia="Calibri"/>
        </w:rPr>
        <w:t>American Recovery and Reinvestment Act of 2009 (ARRA</w:t>
      </w:r>
      <w:r>
        <w:rPr>
          <w:rFonts w:eastAsia="Calibri"/>
        </w:rPr>
        <w:t>)</w:t>
      </w:r>
      <w:r w:rsidRPr="005B192A">
        <w:rPr>
          <w:rFonts w:eastAsia="Calibri"/>
        </w:rPr>
        <w:t xml:space="preserve"> required states to report a school-by-school listing of per-pupil education expenditures for the 2008–09 school year for each school district that received Title I, Part A </w:t>
      </w:r>
      <w:r w:rsidRPr="005B192A">
        <w:rPr>
          <w:rFonts w:eastAsia="Calibri"/>
          <w:iCs/>
        </w:rPr>
        <w:t>ARRA</w:t>
      </w:r>
      <w:r w:rsidRPr="005B192A">
        <w:rPr>
          <w:rFonts w:eastAsia="Calibri"/>
        </w:rPr>
        <w:t xml:space="preserve"> funds. </w:t>
      </w:r>
      <w:r w:rsidR="00E66F1A">
        <w:rPr>
          <w:rFonts w:eastAsia="Calibri"/>
        </w:rPr>
        <w:t>The school-level d</w:t>
      </w:r>
      <w:r w:rsidRPr="005B192A">
        <w:rPr>
          <w:rFonts w:eastAsia="Calibri"/>
        </w:rPr>
        <w:t xml:space="preserve">ata collection </w:t>
      </w:r>
      <w:r w:rsidR="00823F55">
        <w:rPr>
          <w:rFonts w:eastAsia="Calibri"/>
        </w:rPr>
        <w:t xml:space="preserve">pursuant to ARRA </w:t>
      </w:r>
      <w:r w:rsidRPr="005B192A">
        <w:rPr>
          <w:rFonts w:eastAsia="Calibri"/>
        </w:rPr>
        <w:t>was completed in 2010, and a final report and dataset were released in November 2011</w:t>
      </w:r>
      <w:r w:rsidR="005C47B1">
        <w:rPr>
          <w:rFonts w:eastAsia="Calibri"/>
        </w:rPr>
        <w:t xml:space="preserve"> (Heuer and Stullich 2011)</w:t>
      </w:r>
      <w:r w:rsidR="00856B8C">
        <w:rPr>
          <w:rFonts w:eastAsia="Calibri"/>
        </w:rPr>
        <w:t xml:space="preserve">. </w:t>
      </w:r>
      <w:r w:rsidRPr="005B192A">
        <w:rPr>
          <w:rFonts w:eastAsia="Calibri"/>
        </w:rPr>
        <w:t>Approximately 96</w:t>
      </w:r>
      <w:r>
        <w:rPr>
          <w:rFonts w:eastAsia="Calibri"/>
        </w:rPr>
        <w:t xml:space="preserve"> percent</w:t>
      </w:r>
      <w:r w:rsidRPr="005B192A">
        <w:rPr>
          <w:rFonts w:eastAsia="Calibri"/>
        </w:rPr>
        <w:t xml:space="preserve"> of regular schools receiving Title I funds reported data. The four finance data items collected by</w:t>
      </w:r>
      <w:r>
        <w:rPr>
          <w:rFonts w:eastAsia="Calibri"/>
        </w:rPr>
        <w:t xml:space="preserve"> </w:t>
      </w:r>
      <w:r w:rsidR="00A24B7B">
        <w:rPr>
          <w:rFonts w:eastAsia="Calibri"/>
        </w:rPr>
        <w:t>ED</w:t>
      </w:r>
      <w:r>
        <w:rPr>
          <w:color w:val="000000"/>
        </w:rPr>
        <w:t>’s</w:t>
      </w:r>
      <w:r w:rsidRPr="005B192A">
        <w:rPr>
          <w:color w:val="000000"/>
        </w:rPr>
        <w:t xml:space="preserve"> Office of Planning, Evaluation, and Policy Development</w:t>
      </w:r>
      <w:r w:rsidRPr="005B192A">
        <w:rPr>
          <w:rFonts w:eastAsia="Calibri"/>
        </w:rPr>
        <w:t xml:space="preserve"> </w:t>
      </w:r>
      <w:r>
        <w:rPr>
          <w:rFonts w:eastAsia="Calibri"/>
        </w:rPr>
        <w:t>(</w:t>
      </w:r>
      <w:r w:rsidRPr="005B192A">
        <w:rPr>
          <w:rFonts w:eastAsia="Calibri"/>
        </w:rPr>
        <w:t>OPEPD</w:t>
      </w:r>
      <w:r>
        <w:rPr>
          <w:rFonts w:eastAsia="Calibri"/>
        </w:rPr>
        <w:t>)</w:t>
      </w:r>
      <w:r w:rsidRPr="005B192A">
        <w:rPr>
          <w:rFonts w:eastAsia="Calibri"/>
        </w:rPr>
        <w:t xml:space="preserve"> are listed below:</w:t>
      </w:r>
    </w:p>
    <w:p w:rsidR="00C85DF7" w:rsidRPr="005B192A" w:rsidRDefault="00C85DF7" w:rsidP="00336321">
      <w:pPr>
        <w:numPr>
          <w:ilvl w:val="0"/>
          <w:numId w:val="20"/>
        </w:numPr>
        <w:spacing w:after="60" w:line="22" w:lineRule="atLeast"/>
        <w:rPr>
          <w:rFonts w:eastAsia="Calibri"/>
        </w:rPr>
      </w:pPr>
      <w:r w:rsidRPr="005B192A">
        <w:rPr>
          <w:rFonts w:eastAsia="Calibri"/>
        </w:rPr>
        <w:t xml:space="preserve">Personnel salaries at the school level for all school-level instructional and support staff, based on </w:t>
      </w:r>
      <w:r w:rsidR="002F48A4">
        <w:rPr>
          <w:rFonts w:eastAsia="Calibri"/>
        </w:rPr>
        <w:t>Census</w:t>
      </w:r>
      <w:r w:rsidRPr="005B192A">
        <w:rPr>
          <w:rFonts w:eastAsia="Calibri"/>
        </w:rPr>
        <w:t>’s classification used in F-33.</w:t>
      </w:r>
    </w:p>
    <w:p w:rsidR="00C85DF7" w:rsidRPr="005B192A" w:rsidRDefault="00C85DF7" w:rsidP="00336321">
      <w:pPr>
        <w:numPr>
          <w:ilvl w:val="0"/>
          <w:numId w:val="20"/>
        </w:numPr>
        <w:spacing w:after="60" w:line="22" w:lineRule="atLeast"/>
        <w:rPr>
          <w:rFonts w:eastAsia="Calibri"/>
        </w:rPr>
      </w:pPr>
      <w:r w:rsidRPr="005B192A">
        <w:rPr>
          <w:rFonts w:eastAsia="Calibri"/>
        </w:rPr>
        <w:t>Personnel salaries at the school level for instructional staff only.</w:t>
      </w:r>
    </w:p>
    <w:p w:rsidR="00C85DF7" w:rsidRPr="005B192A" w:rsidRDefault="00C85DF7" w:rsidP="00336321">
      <w:pPr>
        <w:numPr>
          <w:ilvl w:val="0"/>
          <w:numId w:val="20"/>
        </w:numPr>
        <w:spacing w:after="60" w:line="22" w:lineRule="atLeast"/>
        <w:rPr>
          <w:rFonts w:eastAsia="Calibri"/>
        </w:rPr>
      </w:pPr>
      <w:r w:rsidRPr="005B192A">
        <w:rPr>
          <w:rFonts w:eastAsia="Calibri"/>
        </w:rPr>
        <w:t>Personnel salaries at the school level for teachers only.</w:t>
      </w:r>
    </w:p>
    <w:p w:rsidR="00C85DF7" w:rsidRPr="005B192A" w:rsidRDefault="00C85DF7" w:rsidP="00336321">
      <w:pPr>
        <w:numPr>
          <w:ilvl w:val="0"/>
          <w:numId w:val="20"/>
        </w:numPr>
        <w:spacing w:after="120" w:line="22" w:lineRule="atLeast"/>
        <w:rPr>
          <w:b/>
        </w:rPr>
      </w:pPr>
      <w:r w:rsidRPr="005B192A">
        <w:t>Nonpersonnel expenditures at the school level.</w:t>
      </w:r>
    </w:p>
    <w:p w:rsidR="00C85DF7" w:rsidRDefault="00A24B7B" w:rsidP="00336321">
      <w:pPr>
        <w:widowControl w:val="0"/>
        <w:spacing w:after="120" w:line="22" w:lineRule="atLeast"/>
        <w:rPr>
          <w:rFonts w:eastAsia="Calibri"/>
        </w:rPr>
      </w:pPr>
      <w:r>
        <w:rPr>
          <w:rFonts w:eastAsia="Calibri"/>
        </w:rPr>
        <w:t>ED’s</w:t>
      </w:r>
      <w:r w:rsidR="00C85DF7">
        <w:rPr>
          <w:rFonts w:eastAsia="Calibri"/>
        </w:rPr>
        <w:t xml:space="preserve"> </w:t>
      </w:r>
      <w:r w:rsidR="00C85DF7" w:rsidRPr="005B192A">
        <w:rPr>
          <w:rFonts w:eastAsia="Calibri"/>
        </w:rPr>
        <w:t xml:space="preserve">Office for Civil Rights added similar school-level finance data items to </w:t>
      </w:r>
      <w:r w:rsidR="00C85DF7">
        <w:rPr>
          <w:rFonts w:eastAsia="Calibri"/>
        </w:rPr>
        <w:t>the</w:t>
      </w:r>
      <w:r w:rsidR="00C85DF7" w:rsidRPr="005B192A">
        <w:rPr>
          <w:rFonts w:eastAsia="Calibri"/>
        </w:rPr>
        <w:t xml:space="preserve"> </w:t>
      </w:r>
      <w:r w:rsidR="00C85DF7">
        <w:rPr>
          <w:rFonts w:eastAsia="Calibri"/>
        </w:rPr>
        <w:t>C</w:t>
      </w:r>
      <w:r w:rsidR="00C85DF7" w:rsidRPr="005B192A">
        <w:rPr>
          <w:rFonts w:eastAsia="Calibri"/>
        </w:rPr>
        <w:t xml:space="preserve">ivil Rights Data Collection </w:t>
      </w:r>
      <w:r w:rsidR="00C85DF7">
        <w:rPr>
          <w:rFonts w:eastAsia="Calibri"/>
        </w:rPr>
        <w:t>(</w:t>
      </w:r>
      <w:r w:rsidR="00C85DF7" w:rsidRPr="005B192A">
        <w:rPr>
          <w:rFonts w:eastAsia="Calibri"/>
        </w:rPr>
        <w:t>CRDC</w:t>
      </w:r>
      <w:r w:rsidR="00C85DF7">
        <w:rPr>
          <w:rFonts w:eastAsia="Calibri"/>
        </w:rPr>
        <w:t>)</w:t>
      </w:r>
      <w:r w:rsidR="00C85DF7" w:rsidRPr="005B192A">
        <w:rPr>
          <w:rFonts w:eastAsia="Calibri"/>
        </w:rPr>
        <w:t xml:space="preserve"> beginning in </w:t>
      </w:r>
      <w:r w:rsidR="00C85DF7">
        <w:rPr>
          <w:rFonts w:eastAsia="Calibri"/>
        </w:rPr>
        <w:t>school year (</w:t>
      </w:r>
      <w:r w:rsidR="00C85DF7" w:rsidRPr="005B192A">
        <w:rPr>
          <w:rFonts w:eastAsia="Calibri"/>
        </w:rPr>
        <w:t>SY</w:t>
      </w:r>
      <w:r w:rsidR="00C85DF7">
        <w:rPr>
          <w:rFonts w:eastAsia="Calibri"/>
        </w:rPr>
        <w:t>)</w:t>
      </w:r>
      <w:r w:rsidR="00C85DF7" w:rsidRPr="005B192A">
        <w:rPr>
          <w:rFonts w:eastAsia="Calibri"/>
        </w:rPr>
        <w:t xml:space="preserve"> 2009–10. CRDC is a biennial </w:t>
      </w:r>
      <w:r w:rsidR="00C85DF7">
        <w:rPr>
          <w:rFonts w:eastAsia="Calibri"/>
        </w:rPr>
        <w:t xml:space="preserve">data </w:t>
      </w:r>
      <w:r w:rsidR="00C85DF7" w:rsidRPr="005B192A">
        <w:rPr>
          <w:rFonts w:eastAsia="Calibri"/>
        </w:rPr>
        <w:t>collection</w:t>
      </w:r>
      <w:r w:rsidR="00C85DF7">
        <w:rPr>
          <w:rFonts w:eastAsia="Calibri"/>
        </w:rPr>
        <w:t xml:space="preserve"> that </w:t>
      </w:r>
      <w:r w:rsidR="00EE4281">
        <w:rPr>
          <w:rFonts w:eastAsia="Calibri"/>
        </w:rPr>
        <w:t xml:space="preserve">so far </w:t>
      </w:r>
      <w:r w:rsidR="00C85DF7">
        <w:rPr>
          <w:rFonts w:eastAsia="Calibri"/>
        </w:rPr>
        <w:t xml:space="preserve">has been </w:t>
      </w:r>
      <w:r w:rsidR="000A528E">
        <w:rPr>
          <w:rFonts w:eastAsia="Calibri"/>
        </w:rPr>
        <w:t>conducted</w:t>
      </w:r>
      <w:r w:rsidR="00C85DF7">
        <w:rPr>
          <w:rFonts w:eastAsia="Calibri"/>
        </w:rPr>
        <w:t xml:space="preserve"> for the </w:t>
      </w:r>
      <w:r w:rsidR="00C85DF7" w:rsidRPr="005B192A">
        <w:rPr>
          <w:rFonts w:eastAsia="Calibri"/>
        </w:rPr>
        <w:t xml:space="preserve">2009–10, 2011–12, </w:t>
      </w:r>
      <w:r w:rsidR="00336321" w:rsidRPr="005B192A">
        <w:rPr>
          <w:rFonts w:eastAsia="Calibri"/>
        </w:rPr>
        <w:t>2013–14</w:t>
      </w:r>
      <w:r w:rsidR="00336321">
        <w:rPr>
          <w:rFonts w:eastAsia="Calibri"/>
        </w:rPr>
        <w:t xml:space="preserve">, 2015-16, and 2017-18 </w:t>
      </w:r>
      <w:r w:rsidR="00C85DF7">
        <w:rPr>
          <w:rFonts w:eastAsia="Calibri"/>
        </w:rPr>
        <w:t>school years</w:t>
      </w:r>
      <w:r w:rsidR="00C85DF7" w:rsidRPr="005B192A">
        <w:rPr>
          <w:rFonts w:eastAsia="Calibri"/>
        </w:rPr>
        <w:t>.</w:t>
      </w:r>
    </w:p>
    <w:p w:rsidR="00C85DF7" w:rsidRPr="00B543FA" w:rsidRDefault="00336321" w:rsidP="00336321">
      <w:pPr>
        <w:spacing w:after="120" w:line="22" w:lineRule="atLeast"/>
      </w:pPr>
      <w:r>
        <w:t xml:space="preserve">In the past few years, </w:t>
      </w:r>
      <w:r w:rsidR="00C85DF7" w:rsidRPr="00B543FA">
        <w:t xml:space="preserve">OPEPD also collected </w:t>
      </w:r>
      <w:r w:rsidR="00C85DF7">
        <w:t>fiscal year (</w:t>
      </w:r>
      <w:r w:rsidR="00C85DF7" w:rsidRPr="00B543FA">
        <w:t>FY</w:t>
      </w:r>
      <w:r w:rsidR="00C85DF7">
        <w:t>)</w:t>
      </w:r>
      <w:r w:rsidR="00C85DF7" w:rsidRPr="00B543FA">
        <w:t xml:space="preserve"> </w:t>
      </w:r>
      <w:r w:rsidR="00EE4281">
        <w:t>20</w:t>
      </w:r>
      <w:r w:rsidR="00C85DF7" w:rsidRPr="00B543FA">
        <w:t xml:space="preserve">12 data from five </w:t>
      </w:r>
      <w:r w:rsidR="00C85DF7">
        <w:t>s</w:t>
      </w:r>
      <w:r w:rsidR="00C85DF7" w:rsidRPr="00B543FA">
        <w:t xml:space="preserve">tates </w:t>
      </w:r>
      <w:r w:rsidR="00C85DF7">
        <w:t>(</w:t>
      </w:r>
      <w:r w:rsidR="00C85DF7" w:rsidRPr="00B543FA">
        <w:t xml:space="preserve">Florida, Hawaii, Ohio, Rhode Island, </w:t>
      </w:r>
      <w:r w:rsidR="00C85DF7">
        <w:t xml:space="preserve">and </w:t>
      </w:r>
      <w:r w:rsidR="00C85DF7" w:rsidRPr="00B543FA">
        <w:t>Texas</w:t>
      </w:r>
      <w:r w:rsidR="00C85DF7">
        <w:t>)</w:t>
      </w:r>
      <w:r w:rsidR="00C85DF7" w:rsidRPr="00B543FA">
        <w:t>, and four districts</w:t>
      </w:r>
      <w:r w:rsidR="00C85DF7">
        <w:t xml:space="preserve"> (</w:t>
      </w:r>
      <w:r w:rsidR="00C85DF7" w:rsidRPr="00B543FA">
        <w:t>Baltimore City Schools (MD), Hillsborough County Public Schools (FL), Houston</w:t>
      </w:r>
      <w:r w:rsidR="00C85DF7">
        <w:t xml:space="preserve"> Independent School District</w:t>
      </w:r>
      <w:r w:rsidR="000A528E">
        <w:t xml:space="preserve"> (</w:t>
      </w:r>
      <w:r w:rsidR="00C85DF7" w:rsidRPr="00B543FA">
        <w:t>TX), and Los Angeles Unified (CA)</w:t>
      </w:r>
      <w:r w:rsidR="00C85DF7">
        <w:t>)</w:t>
      </w:r>
      <w:r w:rsidR="00C85DF7" w:rsidRPr="00B543FA">
        <w:t>.</w:t>
      </w:r>
    </w:p>
    <w:p w:rsidR="00BD41C6" w:rsidRPr="00C747F1" w:rsidRDefault="00EA70C0" w:rsidP="00336321">
      <w:pPr>
        <w:pStyle w:val="Heading5"/>
        <w:spacing w:after="120" w:line="22" w:lineRule="atLeast"/>
        <w:rPr>
          <w:rFonts w:ascii="Times New Roman" w:eastAsia="Arial Unicode MS" w:hAnsi="Times New Roman"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rsidR="00BD41C6" w:rsidRPr="00864F60" w:rsidRDefault="00702EC5" w:rsidP="00336321">
      <w:pPr>
        <w:autoSpaceDE w:val="0"/>
        <w:autoSpaceDN w:val="0"/>
        <w:adjustRightInd w:val="0"/>
        <w:spacing w:after="120" w:line="22" w:lineRule="atLeast"/>
        <w:rPr>
          <w:color w:val="000000"/>
        </w:rPr>
      </w:pPr>
      <w:r>
        <w:t>The Common Core of Data (</w:t>
      </w:r>
      <w:r w:rsidR="00567497">
        <w:t>CCD</w:t>
      </w:r>
      <w:r>
        <w:t>)</w:t>
      </w:r>
      <w:r w:rsidR="00BD41C6" w:rsidRPr="00864F60">
        <w:t xml:space="preserve"> is the primary NCES database on public</w:t>
      </w:r>
      <w:r w:rsidR="00BD41C6">
        <w:t xml:space="preserve"> </w:t>
      </w:r>
      <w:r w:rsidR="00BD41C6" w:rsidRPr="00864F60">
        <w:t>elementary and secondary education in the United States. The annual CCD</w:t>
      </w:r>
      <w:r w:rsidR="00BD41C6">
        <w:t xml:space="preserve"> </w:t>
      </w:r>
      <w:r w:rsidR="00BD41C6" w:rsidRPr="00864F60">
        <w:t>is a comprehensive national statistical database of all public elementary and</w:t>
      </w:r>
      <w:r w:rsidR="00BD41C6">
        <w:t xml:space="preserve"> </w:t>
      </w:r>
      <w:r w:rsidR="00BD41C6" w:rsidRPr="00864F60">
        <w:t>secondary schools and school districts that contains comparable data across</w:t>
      </w:r>
      <w:r w:rsidR="00BD41C6">
        <w:t xml:space="preserve"> </w:t>
      </w:r>
      <w:r w:rsidR="00BD41C6" w:rsidRPr="00864F60">
        <w:t>all states.</w:t>
      </w:r>
      <w:r w:rsidR="002F7842">
        <w:t xml:space="preserve"> </w:t>
      </w:r>
      <w:r w:rsidR="00BD41C6">
        <w:t xml:space="preserve">One of the objectives of CCD is to provide </w:t>
      </w:r>
      <w:r w:rsidR="00BD41C6" w:rsidRPr="00864F60">
        <w:t>basic information and descriptive statistics on public elementary and</w:t>
      </w:r>
      <w:r w:rsidR="00BD41C6">
        <w:t xml:space="preserve"> </w:t>
      </w:r>
      <w:r w:rsidR="00BD41C6" w:rsidRPr="00864F60">
        <w:t>secondary schools, students and staff</w:t>
      </w:r>
      <w:r w:rsidR="008376CE">
        <w:t>,</w:t>
      </w:r>
      <w:r w:rsidR="00567497">
        <w:t xml:space="preserve"> and the supporting financial data on revenues and expenditures.</w:t>
      </w:r>
    </w:p>
    <w:p w:rsidR="002F7842" w:rsidRDefault="00BD41C6" w:rsidP="00336321">
      <w:pPr>
        <w:autoSpaceDE w:val="0"/>
        <w:autoSpaceDN w:val="0"/>
        <w:adjustRightInd w:val="0"/>
        <w:spacing w:after="120" w:line="22" w:lineRule="atLeast"/>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w:t>
      </w:r>
      <w:r w:rsidR="000A528E">
        <w:rPr>
          <w:rFonts w:eastAsia="Calibri"/>
        </w:rPr>
        <w:t>collections</w:t>
      </w:r>
      <w:r w:rsidRPr="00BD41C6">
        <w:rPr>
          <w:rFonts w:eastAsia="Calibri"/>
        </w:rPr>
        <w:t xml:space="preserve"> </w:t>
      </w:r>
      <w:r w:rsidR="008C0359">
        <w:rPr>
          <w:rFonts w:eastAsia="Calibri"/>
        </w:rPr>
        <w:t>from</w:t>
      </w:r>
      <w:r w:rsidRPr="00BD41C6">
        <w:rPr>
          <w:rFonts w:eastAsia="Calibri"/>
        </w:rPr>
        <w:t xml:space="preserve"> SEAs</w:t>
      </w:r>
      <w:r w:rsidR="00567497">
        <w:rPr>
          <w:rFonts w:eastAsia="Calibri"/>
        </w:rPr>
        <w:t>.</w:t>
      </w:r>
      <w:r w:rsidR="002F7842">
        <w:rPr>
          <w:rFonts w:eastAsia="Calibri"/>
        </w:rPr>
        <w:t xml:space="preserve"> </w:t>
      </w:r>
      <w:r w:rsidR="00A24B7B">
        <w:rPr>
          <w:rFonts w:eastAsia="Calibri"/>
        </w:rPr>
        <w:t xml:space="preserve">Of these, </w:t>
      </w:r>
      <w:r w:rsidR="002416AC">
        <w:rPr>
          <w:rFonts w:eastAsia="Calibri"/>
        </w:rPr>
        <w:t xml:space="preserve">three </w:t>
      </w:r>
      <w:r w:rsidR="00A24B7B">
        <w:rPr>
          <w:rFonts w:eastAsia="Calibri"/>
        </w:rPr>
        <w:t xml:space="preserve">are </w:t>
      </w:r>
      <w:r w:rsidR="002416AC">
        <w:rPr>
          <w:rFonts w:eastAsia="Calibri"/>
        </w:rPr>
        <w:t>nonfiscal components</w:t>
      </w:r>
      <w:r w:rsidR="00567497">
        <w:rPr>
          <w:rFonts w:eastAsia="Calibri"/>
        </w:rPr>
        <w:t xml:space="preserve"> collected as part of </w:t>
      </w:r>
      <w:r w:rsidR="00A24B7B">
        <w:rPr>
          <w:rFonts w:eastAsia="Calibri"/>
        </w:rPr>
        <w:t>ED</w:t>
      </w:r>
      <w:r w:rsidR="00567497">
        <w:rPr>
          <w:rFonts w:eastAsia="Calibri"/>
        </w:rPr>
        <w:t>’s E</w:t>
      </w:r>
      <w:r w:rsidR="00A24B7B">
        <w:rPr>
          <w:rFonts w:eastAsia="Calibri"/>
        </w:rPr>
        <w:t>D</w:t>
      </w:r>
      <w:r w:rsidR="00567497" w:rsidRPr="00A24B7B">
        <w:rPr>
          <w:rFonts w:eastAsia="Calibri"/>
          <w:i/>
        </w:rPr>
        <w:t>Facts</w:t>
      </w:r>
      <w:r w:rsidR="00567497">
        <w:rPr>
          <w:rFonts w:eastAsia="Calibri"/>
        </w:rPr>
        <w:t xml:space="preserve"> system:</w:t>
      </w:r>
    </w:p>
    <w:p w:rsidR="00BD41C6" w:rsidRPr="00BB33FC" w:rsidRDefault="00BD41C6" w:rsidP="00336321">
      <w:pPr>
        <w:pStyle w:val="ListParagraph"/>
        <w:numPr>
          <w:ilvl w:val="0"/>
          <w:numId w:val="14"/>
        </w:numPr>
        <w:autoSpaceDE w:val="0"/>
        <w:autoSpaceDN w:val="0"/>
        <w:adjustRightInd w:val="0"/>
        <w:spacing w:after="120" w:line="22" w:lineRule="atLeast"/>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00BB33FC" w:rsidRPr="00BB33FC">
        <w:rPr>
          <w:rFonts w:eastAsia="Calibri"/>
        </w:rPr>
        <w:t xml:space="preserve"> dropouts and</w:t>
      </w:r>
      <w:r w:rsidRPr="00BB33FC">
        <w:rPr>
          <w:rFonts w:eastAsia="Calibri"/>
        </w:rPr>
        <w:t xml:space="preserve"> high school completers from the previous year.</w:t>
      </w:r>
    </w:p>
    <w:p w:rsidR="002F7842" w:rsidRDefault="00BD41C6" w:rsidP="00336321">
      <w:pPr>
        <w:pStyle w:val="ListParagraph"/>
        <w:numPr>
          <w:ilvl w:val="0"/>
          <w:numId w:val="14"/>
        </w:numPr>
        <w:autoSpaceDE w:val="0"/>
        <w:autoSpaceDN w:val="0"/>
        <w:adjustRightInd w:val="0"/>
        <w:spacing w:after="120" w:line="22" w:lineRule="atLeast"/>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00BB33FC" w:rsidRP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BD41C6" w:rsidRDefault="00BD41C6" w:rsidP="00336321">
      <w:pPr>
        <w:pStyle w:val="ListParagraph"/>
        <w:widowControl w:val="0"/>
        <w:numPr>
          <w:ilvl w:val="0"/>
          <w:numId w:val="14"/>
        </w:numPr>
        <w:autoSpaceDE w:val="0"/>
        <w:autoSpaceDN w:val="0"/>
        <w:adjustRightInd w:val="0"/>
        <w:spacing w:after="120" w:line="22" w:lineRule="atLeast"/>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00BB33FC" w:rsidRPr="00BB33FC">
        <w:rPr>
          <w:rFonts w:eastAsia="Calibri"/>
        </w:rPr>
        <w:t>address and telephone number</w:t>
      </w:r>
      <w:r w:rsidR="00BB33FC">
        <w:rPr>
          <w:rFonts w:eastAsia="Calibri"/>
        </w:rPr>
        <w:t>,</w:t>
      </w:r>
      <w:r w:rsidR="00BB33FC" w:rsidRP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00BB33FC" w:rsidRP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008376CE" w:rsidRPr="00BB33FC">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BB33FC" w:rsidRDefault="00F91D04" w:rsidP="00336321">
      <w:pPr>
        <w:autoSpaceDE w:val="0"/>
        <w:autoSpaceDN w:val="0"/>
        <w:adjustRightInd w:val="0"/>
        <w:spacing w:after="120" w:line="22" w:lineRule="atLeast"/>
        <w:rPr>
          <w:rFonts w:eastAsia="Calibri"/>
        </w:rPr>
      </w:pPr>
      <w:r>
        <w:rPr>
          <w:rFonts w:eastAsia="Calibri"/>
        </w:rPr>
        <w:t>And</w:t>
      </w:r>
      <w:r w:rsidR="002416AC">
        <w:rPr>
          <w:rFonts w:eastAsia="Calibri"/>
        </w:rPr>
        <w:t xml:space="preserve"> </w:t>
      </w:r>
      <w:r>
        <w:rPr>
          <w:rFonts w:eastAsia="Calibri"/>
        </w:rPr>
        <w:t>three</w:t>
      </w:r>
      <w:r w:rsidR="002416AC">
        <w:rPr>
          <w:rFonts w:eastAsia="Calibri"/>
        </w:rPr>
        <w:t xml:space="preserve"> </w:t>
      </w:r>
      <w:r>
        <w:rPr>
          <w:rFonts w:eastAsia="Calibri"/>
        </w:rPr>
        <w:t xml:space="preserve">are </w:t>
      </w:r>
      <w:r w:rsidR="002416AC">
        <w:rPr>
          <w:rFonts w:eastAsia="Calibri"/>
        </w:rPr>
        <w:t>fiscal survey components</w:t>
      </w:r>
      <w:r w:rsidR="001D7903">
        <w:rPr>
          <w:rFonts w:eastAsia="Calibri"/>
        </w:rPr>
        <w:t xml:space="preserve"> collected separately</w:t>
      </w:r>
      <w:r>
        <w:rPr>
          <w:rFonts w:eastAsia="Calibri"/>
        </w:rPr>
        <w:t>,</w:t>
      </w:r>
      <w:r w:rsidR="001D7903">
        <w:rPr>
          <w:rFonts w:eastAsia="Calibri"/>
        </w:rPr>
        <w:t xml:space="preserve"> in cooperation with Census</w:t>
      </w:r>
      <w:r w:rsidR="002416AC">
        <w:rPr>
          <w:rFonts w:eastAsia="Calibri"/>
        </w:rPr>
        <w:t>:</w:t>
      </w:r>
    </w:p>
    <w:p w:rsidR="00BD41C6" w:rsidRPr="00A25B62" w:rsidRDefault="00BD41C6" w:rsidP="00336321">
      <w:pPr>
        <w:pStyle w:val="ListParagraph"/>
        <w:widowControl w:val="0"/>
        <w:numPr>
          <w:ilvl w:val="0"/>
          <w:numId w:val="15"/>
        </w:numPr>
        <w:autoSpaceDE w:val="0"/>
        <w:autoSpaceDN w:val="0"/>
        <w:adjustRightInd w:val="0"/>
        <w:spacing w:after="120" w:line="22" w:lineRule="atLeast"/>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00F91D04" w:rsidRDefault="00BD41C6" w:rsidP="00336321">
      <w:pPr>
        <w:pStyle w:val="ListParagraph"/>
        <w:numPr>
          <w:ilvl w:val="0"/>
          <w:numId w:val="15"/>
        </w:numPr>
        <w:autoSpaceDE w:val="0"/>
        <w:autoSpaceDN w:val="0"/>
        <w:adjustRightInd w:val="0"/>
        <w:spacing w:after="120" w:line="22" w:lineRule="atLeast"/>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00F244D3" w:rsidRPr="00A25B62">
        <w:rPr>
          <w:rFonts w:eastAsia="Calibri"/>
        </w:rPr>
        <w:t>source</w:t>
      </w:r>
      <w:r w:rsidRPr="00A25B62">
        <w:rPr>
          <w:rFonts w:eastAsia="Calibri"/>
        </w:rPr>
        <w:t xml:space="preserve"> </w:t>
      </w:r>
      <w:r w:rsidR="001D7903" w:rsidRPr="00A25B62">
        <w:rPr>
          <w:rFonts w:eastAsia="Calibri"/>
        </w:rPr>
        <w:t xml:space="preserve">and </w:t>
      </w:r>
      <w:r w:rsidRPr="00A25B62">
        <w:rPr>
          <w:rFonts w:eastAsia="Calibri"/>
        </w:rPr>
        <w:t>expenditures by function and subfunction.</w:t>
      </w:r>
      <w:r w:rsidR="002F7842">
        <w:rPr>
          <w:rFonts w:eastAsia="Calibri"/>
        </w:rPr>
        <w:t xml:space="preserve"> </w:t>
      </w:r>
      <w:r w:rsidR="001D7903" w:rsidRPr="00A25B62">
        <w:rPr>
          <w:rFonts w:eastAsia="Calibri"/>
        </w:rPr>
        <w:t xml:space="preserve">This survey is co-sponsored </w:t>
      </w:r>
      <w:r w:rsidR="00F91D04" w:rsidRPr="00A25B62">
        <w:rPr>
          <w:rFonts w:eastAsia="Calibri"/>
        </w:rPr>
        <w:t xml:space="preserve">and published </w:t>
      </w:r>
      <w:r w:rsidR="001D7903" w:rsidRPr="00A25B62">
        <w:rPr>
          <w:rFonts w:eastAsia="Calibri"/>
        </w:rPr>
        <w:t>by Census as the Survey of Local Governments: School Systems (OMB# 0607-0700).</w:t>
      </w:r>
    </w:p>
    <w:p w:rsidR="00673E11" w:rsidRPr="00F91D04" w:rsidRDefault="004225C6" w:rsidP="00336321">
      <w:pPr>
        <w:pStyle w:val="ListParagraph"/>
        <w:numPr>
          <w:ilvl w:val="0"/>
          <w:numId w:val="15"/>
        </w:numPr>
        <w:autoSpaceDE w:val="0"/>
        <w:autoSpaceDN w:val="0"/>
        <w:adjustRightInd w:val="0"/>
        <w:spacing w:after="120" w:line="22" w:lineRule="atLeast"/>
        <w:rPr>
          <w:rFonts w:eastAsia="Calibri"/>
        </w:rPr>
      </w:pPr>
      <w:r w:rsidRPr="00F91D04">
        <w:rPr>
          <w:rFonts w:eastAsia="Calibri"/>
          <w:i/>
          <w:u w:val="single"/>
        </w:rPr>
        <w:t>School Level Finance</w:t>
      </w:r>
      <w:r w:rsidR="00F244D3" w:rsidRPr="00F91D04">
        <w:rPr>
          <w:rFonts w:eastAsia="Calibri"/>
          <w:i/>
          <w:u w:val="single"/>
        </w:rPr>
        <w:t xml:space="preserve"> Survey (</w:t>
      </w:r>
      <w:r w:rsidRPr="00F91D04">
        <w:rPr>
          <w:rFonts w:eastAsia="Calibri"/>
          <w:i/>
          <w:u w:val="single"/>
        </w:rPr>
        <w:t>SLFS</w:t>
      </w:r>
      <w:r w:rsidR="00F244D3" w:rsidRPr="00F91D04">
        <w:rPr>
          <w:rFonts w:eastAsia="Calibri"/>
          <w:i/>
          <w:u w:val="single"/>
        </w:rPr>
        <w:t>)</w:t>
      </w:r>
      <w:r w:rsidR="00F244D3" w:rsidRPr="00F91D04">
        <w:rPr>
          <w:rFonts w:eastAsia="Calibri"/>
        </w:rPr>
        <w:t xml:space="preserve"> —</w:t>
      </w:r>
      <w:r w:rsidR="00F91D04">
        <w:rPr>
          <w:rFonts w:eastAsia="Calibri"/>
        </w:rPr>
        <w:t xml:space="preserve">approved </w:t>
      </w:r>
      <w:r w:rsidR="008C0359">
        <w:rPr>
          <w:rFonts w:eastAsia="Calibri"/>
        </w:rPr>
        <w:t xml:space="preserve">in May </w:t>
      </w:r>
      <w:r w:rsidR="008C0359" w:rsidRPr="00F91D04">
        <w:rPr>
          <w:rFonts w:eastAsia="Calibri"/>
        </w:rPr>
        <w:t>201</w:t>
      </w:r>
      <w:r w:rsidR="008C0359">
        <w:rPr>
          <w:rFonts w:eastAsia="Calibri"/>
        </w:rPr>
        <w:t>5</w:t>
      </w:r>
      <w:r w:rsidR="00037E7B">
        <w:t>(OMB#1850-0803 v.133)</w:t>
      </w:r>
      <w:r w:rsidR="00FE0ABA">
        <w:t xml:space="preserve"> </w:t>
      </w:r>
      <w:r w:rsidR="00F91D04">
        <w:rPr>
          <w:rFonts w:eastAsia="Calibri"/>
        </w:rPr>
        <w:t xml:space="preserve">to be conducted as a pilot study </w:t>
      </w:r>
      <w:r w:rsidR="00B41557" w:rsidRPr="00F91D04">
        <w:rPr>
          <w:rFonts w:eastAsia="Calibri"/>
        </w:rPr>
        <w:t>for fiscal years 2014 and 2015 (</w:t>
      </w:r>
      <w:r w:rsidR="00847C2D">
        <w:rPr>
          <w:rFonts w:eastAsia="Calibri"/>
        </w:rPr>
        <w:t>FY</w:t>
      </w:r>
      <w:r w:rsidR="00B5117F">
        <w:rPr>
          <w:rFonts w:eastAsia="Calibri"/>
        </w:rPr>
        <w:t>1</w:t>
      </w:r>
      <w:r w:rsidR="00B41557" w:rsidRPr="00F91D04">
        <w:rPr>
          <w:rFonts w:eastAsia="Calibri"/>
        </w:rPr>
        <w:t xml:space="preserve">4 and </w:t>
      </w:r>
      <w:r w:rsidR="00847C2D">
        <w:rPr>
          <w:rFonts w:eastAsia="Calibri"/>
        </w:rPr>
        <w:t>FY</w:t>
      </w:r>
      <w:r w:rsidR="00B5117F">
        <w:rPr>
          <w:rFonts w:eastAsia="Calibri"/>
        </w:rPr>
        <w:t>1</w:t>
      </w:r>
      <w:r w:rsidR="00B41557" w:rsidRPr="00F91D04">
        <w:rPr>
          <w:rFonts w:eastAsia="Calibri"/>
        </w:rPr>
        <w:t>5)</w:t>
      </w:r>
      <w:r w:rsidR="00F91D04">
        <w:rPr>
          <w:rFonts w:eastAsia="Calibri"/>
        </w:rPr>
        <w:t>, to</w:t>
      </w:r>
      <w:r w:rsidR="00B41557" w:rsidRPr="009F2624">
        <w:t xml:space="preserve"> collect school-level finance data from </w:t>
      </w:r>
      <w:r w:rsidR="00F91D04">
        <w:t xml:space="preserve">up to </w:t>
      </w:r>
      <w:r w:rsidR="00B41557" w:rsidRPr="009F2624">
        <w:t>1</w:t>
      </w:r>
      <w:r w:rsidR="00F91D04">
        <w:t>5</w:t>
      </w:r>
      <w:r w:rsidR="00B41557" w:rsidRPr="009F2624">
        <w:t xml:space="preserve"> SEAs in its first year and</w:t>
      </w:r>
      <w:r w:rsidR="00B41557">
        <w:t xml:space="preserve"> </w:t>
      </w:r>
      <w:r w:rsidR="00B41557" w:rsidRPr="009F2624">
        <w:t>up to 20 SEAs</w:t>
      </w:r>
      <w:r w:rsidR="00B41557">
        <w:t xml:space="preserve"> in its second year</w:t>
      </w:r>
      <w:r w:rsidR="00B41557" w:rsidRPr="009F2624">
        <w:t>.</w:t>
      </w:r>
    </w:p>
    <w:p w:rsidR="005E3E38" w:rsidRPr="008A5916" w:rsidRDefault="005E3E38" w:rsidP="00513C9A">
      <w:pPr>
        <w:widowControl w:val="0"/>
        <w:spacing w:after="120" w:line="22" w:lineRule="atLeast"/>
      </w:pPr>
      <w:r w:rsidRPr="008243F2">
        <w:t xml:space="preserve">SLFS </w:t>
      </w:r>
      <w:r w:rsidR="002E4DF0">
        <w:t xml:space="preserve">was first approved by OMB in May 2015 as a </w:t>
      </w:r>
      <w:r w:rsidRPr="008243F2">
        <w:t xml:space="preserve">pilot study </w:t>
      </w:r>
      <w:r w:rsidR="002E4DF0">
        <w:t xml:space="preserve">(OMB# 1850-0803 v.133) </w:t>
      </w:r>
      <w:r w:rsidRPr="008243F2">
        <w:t xml:space="preserve">to collect school-level finance data from </w:t>
      </w:r>
      <w:r w:rsidR="00C64088">
        <w:t xml:space="preserve">a subset of </w:t>
      </w:r>
      <w:r w:rsidRPr="008243F2">
        <w:t xml:space="preserve">SEAs. </w:t>
      </w:r>
      <w:r w:rsidRPr="008A5916">
        <w:t xml:space="preserve">The first year of the </w:t>
      </w:r>
      <w:r>
        <w:t xml:space="preserve">pilot </w:t>
      </w:r>
      <w:r w:rsidRPr="008A5916">
        <w:t>SLFS</w:t>
      </w:r>
      <w:r>
        <w:t xml:space="preserve"> </w:t>
      </w:r>
      <w:r w:rsidRPr="008A5916">
        <w:t>data collection commenced on May 7, 2015 and the second year of data collection on April 4, 2016.</w:t>
      </w:r>
      <w:r w:rsidR="00D85E14">
        <w:t xml:space="preserve"> </w:t>
      </w:r>
      <w:r w:rsidRPr="002E5474">
        <w:t xml:space="preserve">In 2015, data </w:t>
      </w:r>
      <w:r w:rsidR="002072AF">
        <w:t>were</w:t>
      </w:r>
      <w:r>
        <w:t xml:space="preserve"> </w:t>
      </w:r>
      <w:r w:rsidRPr="002E5474">
        <w:t>collected for the 2013-14 school year (</w:t>
      </w:r>
      <w:r w:rsidR="00D056C5">
        <w:t>FY</w:t>
      </w:r>
      <w:r>
        <w:t>14</w:t>
      </w:r>
      <w:r w:rsidRPr="002E5474">
        <w:t>) and in 2016 for the 2014-15 school year (</w:t>
      </w:r>
      <w:r w:rsidR="00D056C5">
        <w:t>FY</w:t>
      </w:r>
      <w:r>
        <w:t>15</w:t>
      </w:r>
      <w:r w:rsidRPr="002E5474">
        <w:t>).</w:t>
      </w:r>
      <w:r>
        <w:t xml:space="preserve"> </w:t>
      </w:r>
      <w:r w:rsidRPr="008A5916">
        <w:t>In the first year, 12</w:t>
      </w:r>
      <w:r>
        <w:t xml:space="preserve"> states</w:t>
      </w:r>
      <w:r w:rsidRPr="008A5916">
        <w:t xml:space="preserve"> committed to submitting </w:t>
      </w:r>
      <w:r w:rsidR="00847C2D">
        <w:t>FY</w:t>
      </w:r>
      <w:r>
        <w:t>1</w:t>
      </w:r>
      <w:r w:rsidRPr="008A5916">
        <w:t xml:space="preserve">4 </w:t>
      </w:r>
      <w:r>
        <w:t xml:space="preserve">and </w:t>
      </w:r>
      <w:r w:rsidR="00847C2D">
        <w:t>FY</w:t>
      </w:r>
      <w:r>
        <w:t xml:space="preserve">15 </w:t>
      </w:r>
      <w:r w:rsidRPr="008A5916">
        <w:t>data</w:t>
      </w:r>
      <w:r>
        <w:t xml:space="preserve">: </w:t>
      </w:r>
      <w:r w:rsidRPr="008A5916">
        <w:t xml:space="preserve">Arkansas, Colorado, Kentucky, Louisiana, Maine, Maryland, Michigan, New Jersey, North Carolina, Ohio, Rhode Island, and South Carolina. In the second year, an additional 7 </w:t>
      </w:r>
      <w:r>
        <w:t xml:space="preserve">states – Alabama, Florida, Georgia, Hawaii, Montana, Oklahoma, and Wyoming – </w:t>
      </w:r>
      <w:r w:rsidRPr="008A5916">
        <w:t xml:space="preserve">committed to providing </w:t>
      </w:r>
      <w:r w:rsidR="00847C2D">
        <w:t>FY</w:t>
      </w:r>
      <w:r>
        <w:t>1</w:t>
      </w:r>
      <w:r w:rsidRPr="008A5916">
        <w:t xml:space="preserve">5 data, </w:t>
      </w:r>
      <w:r w:rsidR="00D72D53">
        <w:t>which brought</w:t>
      </w:r>
      <w:r w:rsidRPr="008A5916">
        <w:t xml:space="preserve"> the total number </w:t>
      </w:r>
      <w:r w:rsidR="00D72D53">
        <w:t xml:space="preserve">states </w:t>
      </w:r>
      <w:r w:rsidR="00D72D53" w:rsidRPr="008A5916">
        <w:t>participat</w:t>
      </w:r>
      <w:r w:rsidR="00D72D53">
        <w:t>ing in SLFS to 19</w:t>
      </w:r>
      <w:r>
        <w:t>.</w:t>
      </w:r>
      <w:r w:rsidR="009E6787">
        <w:t xml:space="preserve"> </w:t>
      </w:r>
      <w:r w:rsidRPr="00520F93">
        <w:t xml:space="preserve">In </w:t>
      </w:r>
      <w:r>
        <w:t xml:space="preserve">January </w:t>
      </w:r>
      <w:r w:rsidRPr="00520F93">
        <w:t xml:space="preserve">2017, NCES obtained full clearance from OMB </w:t>
      </w:r>
      <w:r w:rsidR="00F80B63">
        <w:t xml:space="preserve">to collect </w:t>
      </w:r>
      <w:r w:rsidR="00F80B63" w:rsidRPr="00520F93">
        <w:t>SLFS</w:t>
      </w:r>
      <w:r w:rsidR="00F80B63">
        <w:t xml:space="preserve"> data from</w:t>
      </w:r>
      <w:r w:rsidRPr="00520F93">
        <w:t xml:space="preserve"> up to 51 </w:t>
      </w:r>
      <w:r w:rsidR="00F80B63" w:rsidRPr="00520F93">
        <w:t xml:space="preserve">voluntarily </w:t>
      </w:r>
      <w:r w:rsidR="00F80B63">
        <w:t xml:space="preserve">participating </w:t>
      </w:r>
      <w:r w:rsidRPr="00520F93">
        <w:t xml:space="preserve">SEAs </w:t>
      </w:r>
      <w:r w:rsidR="00F80B63">
        <w:t>beginning with</w:t>
      </w:r>
      <w:r w:rsidRPr="00520F93">
        <w:t xml:space="preserve"> FY16. </w:t>
      </w:r>
      <w:r w:rsidR="00F80B63">
        <w:t>T</w:t>
      </w:r>
      <w:r w:rsidR="00CB7B73">
        <w:t>he FY</w:t>
      </w:r>
      <w:r w:rsidRPr="00520F93">
        <w:t>1</w:t>
      </w:r>
      <w:r w:rsidR="00CB7B73">
        <w:t>6</w:t>
      </w:r>
      <w:r w:rsidRPr="00520F93">
        <w:t xml:space="preserve"> data collection </w:t>
      </w:r>
      <w:r w:rsidR="00CB7B73">
        <w:t>began in</w:t>
      </w:r>
      <w:r w:rsidRPr="00520F93">
        <w:t xml:space="preserve"> March 201</w:t>
      </w:r>
      <w:r w:rsidR="00CB7B73">
        <w:t>7</w:t>
      </w:r>
      <w:r w:rsidR="00767510">
        <w:t xml:space="preserve"> and the FY17 in March 2018</w:t>
      </w:r>
      <w:r w:rsidRPr="00520F93">
        <w:t>.</w:t>
      </w:r>
    </w:p>
    <w:p w:rsidR="005E3E38" w:rsidRDefault="005E3E38" w:rsidP="00336321">
      <w:pPr>
        <w:spacing w:after="120" w:line="22" w:lineRule="atLeast"/>
        <w:rPr>
          <w:color w:val="000000"/>
        </w:rPr>
      </w:pPr>
      <w:r w:rsidRPr="00B41557">
        <w:rPr>
          <w:bCs/>
          <w:noProof/>
        </w:rPr>
        <w:t xml:space="preserve">The primary goal of the pilot SLFS </w:t>
      </w:r>
      <w:r>
        <w:rPr>
          <w:bCs/>
          <w:noProof/>
        </w:rPr>
        <w:t>wa</w:t>
      </w:r>
      <w:r w:rsidRPr="00B41557">
        <w:rPr>
          <w:bCs/>
          <w:noProof/>
        </w:rPr>
        <w:t xml:space="preserve">s to test the feasibility of collecting school level finance data in conjunction with the existing LEA- and SEA-level finance surveys. </w:t>
      </w:r>
      <w:r w:rsidRPr="005B192A">
        <w:rPr>
          <w:color w:val="000000"/>
        </w:rPr>
        <w:t>Th</w:t>
      </w:r>
      <w:r>
        <w:rPr>
          <w:color w:val="000000"/>
        </w:rPr>
        <w:t xml:space="preserve">e </w:t>
      </w:r>
      <w:r w:rsidRPr="005B192A">
        <w:rPr>
          <w:color w:val="000000"/>
        </w:rPr>
        <w:t xml:space="preserve">SLFS </w:t>
      </w:r>
      <w:r>
        <w:rPr>
          <w:color w:val="000000"/>
        </w:rPr>
        <w:t xml:space="preserve">pilot was initially published </w:t>
      </w:r>
      <w:r w:rsidR="00106386">
        <w:rPr>
          <w:color w:val="000000"/>
        </w:rPr>
        <w:t xml:space="preserve">on April 24, 2018 </w:t>
      </w:r>
      <w:r>
        <w:rPr>
          <w:color w:val="000000"/>
        </w:rPr>
        <w:t xml:space="preserve">as </w:t>
      </w:r>
      <w:r w:rsidRPr="005B192A">
        <w:rPr>
          <w:color w:val="000000"/>
        </w:rPr>
        <w:t xml:space="preserve">part of </w:t>
      </w:r>
      <w:r>
        <w:rPr>
          <w:color w:val="000000"/>
        </w:rPr>
        <w:t>NCES’s Research and Development (</w:t>
      </w:r>
      <w:r w:rsidRPr="005B192A">
        <w:rPr>
          <w:color w:val="000000"/>
        </w:rPr>
        <w:t>R&amp;D</w:t>
      </w:r>
      <w:r>
        <w:rPr>
          <w:color w:val="000000"/>
        </w:rPr>
        <w:t>)</w:t>
      </w:r>
      <w:r w:rsidRPr="005B192A">
        <w:rPr>
          <w:color w:val="000000"/>
        </w:rPr>
        <w:t xml:space="preserve"> series of reports</w:t>
      </w:r>
      <w:r w:rsidRPr="00B41557">
        <w:rPr>
          <w:rStyle w:val="FootnoteReference"/>
          <w:color w:val="000000"/>
          <w:vertAlign w:val="superscript"/>
        </w:rPr>
        <w:footnoteReference w:id="1"/>
      </w:r>
      <w:r w:rsidRPr="005B192A">
        <w:rPr>
          <w:color w:val="000000"/>
        </w:rPr>
        <w:t xml:space="preserve"> </w:t>
      </w:r>
      <w:r>
        <w:rPr>
          <w:color w:val="000000"/>
        </w:rPr>
        <w:t>and</w:t>
      </w:r>
      <w:r w:rsidRPr="005B192A">
        <w:rPr>
          <w:color w:val="000000"/>
        </w:rPr>
        <w:t xml:space="preserve"> focus</w:t>
      </w:r>
      <w:r>
        <w:rPr>
          <w:color w:val="000000"/>
        </w:rPr>
        <w:t>ed</w:t>
      </w:r>
      <w:r w:rsidRPr="005B192A">
        <w:rPr>
          <w:color w:val="000000"/>
        </w:rPr>
        <w:t xml:space="preserve"> on whether </w:t>
      </w:r>
      <w:r>
        <w:rPr>
          <w:color w:val="000000"/>
        </w:rPr>
        <w:t>SLFS is</w:t>
      </w:r>
      <w:r w:rsidRPr="005B192A">
        <w:rPr>
          <w:color w:val="000000"/>
        </w:rPr>
        <w:t xml:space="preserve"> a viable, efficient, and cost</w:t>
      </w:r>
      <w:r>
        <w:rPr>
          <w:color w:val="000000"/>
        </w:rPr>
        <w:t>-</w:t>
      </w:r>
      <w:r w:rsidRPr="005B192A">
        <w:rPr>
          <w:color w:val="000000"/>
        </w:rPr>
        <w:t xml:space="preserve">effective method to collect school finance </w:t>
      </w:r>
      <w:r w:rsidRPr="00B41557">
        <w:rPr>
          <w:color w:val="000000"/>
        </w:rPr>
        <w:t xml:space="preserve">data </w:t>
      </w:r>
      <w:r w:rsidRPr="00B41557">
        <w:rPr>
          <w:bCs/>
          <w:noProof/>
        </w:rPr>
        <w:t xml:space="preserve">and whether this method provides higher quality data than the previously used methods of collecting </w:t>
      </w:r>
      <w:r>
        <w:rPr>
          <w:bCs/>
          <w:noProof/>
        </w:rPr>
        <w:t>such</w:t>
      </w:r>
      <w:r w:rsidRPr="00B41557">
        <w:rPr>
          <w:bCs/>
          <w:noProof/>
        </w:rPr>
        <w:t xml:space="preserve"> data.</w:t>
      </w:r>
    </w:p>
    <w:p w:rsidR="002F7842" w:rsidRDefault="00BD41C6" w:rsidP="00336321">
      <w:pPr>
        <w:autoSpaceDE w:val="0"/>
        <w:autoSpaceDN w:val="0"/>
        <w:adjustRightInd w:val="0"/>
        <w:spacing w:after="120" w:line="22" w:lineRule="atLeast"/>
        <w:rPr>
          <w:color w:val="000000"/>
          <w:sz w:val="22"/>
          <w:szCs w:val="22"/>
        </w:rPr>
      </w:pPr>
      <w:r w:rsidRPr="00AA1670">
        <w:rPr>
          <w:color w:val="000000"/>
        </w:rPr>
        <w:t>Part</w:t>
      </w:r>
      <w:r w:rsidR="00702EC5">
        <w:rPr>
          <w:color w:val="000000"/>
        </w:rPr>
        <w:t>s</w:t>
      </w:r>
      <w:r w:rsidRPr="00AA1670">
        <w:rPr>
          <w:color w:val="000000"/>
        </w:rPr>
        <w:t xml:space="preserve"> A </w:t>
      </w:r>
      <w:r w:rsidR="00702EC5">
        <w:rPr>
          <w:color w:val="000000"/>
        </w:rPr>
        <w:t xml:space="preserve">and B </w:t>
      </w:r>
      <w:r w:rsidRPr="00AA1670">
        <w:rPr>
          <w:color w:val="000000"/>
        </w:rPr>
        <w:t xml:space="preserve">of this </w:t>
      </w:r>
      <w:r w:rsidR="00106386">
        <w:rPr>
          <w:color w:val="000000"/>
        </w:rPr>
        <w:t>submission</w:t>
      </w:r>
      <w:r w:rsidRPr="00AA1670">
        <w:rPr>
          <w:color w:val="000000"/>
        </w:rPr>
        <w:t xml:space="preserve"> present the justification for the information collection and an</w:t>
      </w:r>
      <w:r>
        <w:rPr>
          <w:color w:val="000000"/>
        </w:rPr>
        <w:t xml:space="preserve"> </w:t>
      </w:r>
      <w:r w:rsidRPr="00AA1670">
        <w:rPr>
          <w:color w:val="000000"/>
        </w:rPr>
        <w:t xml:space="preserve">explanation of </w:t>
      </w:r>
      <w:r w:rsidR="00106386">
        <w:rPr>
          <w:color w:val="000000"/>
        </w:rPr>
        <w:t>the</w:t>
      </w:r>
      <w:r w:rsidRPr="00AA1670">
        <w:rPr>
          <w:color w:val="000000"/>
        </w:rPr>
        <w:t xml:space="preserve"> statistical methods employed. Part C describes the </w:t>
      </w:r>
      <w:r w:rsidR="007C4587">
        <w:rPr>
          <w:color w:val="000000"/>
        </w:rPr>
        <w:t xml:space="preserve">SLFS </w:t>
      </w:r>
      <w:r w:rsidR="00167A98">
        <w:rPr>
          <w:color w:val="000000"/>
        </w:rPr>
        <w:t>instrument</w:t>
      </w:r>
      <w:r w:rsidR="00702EC5">
        <w:rPr>
          <w:color w:val="000000"/>
        </w:rPr>
        <w:t xml:space="preserve">, </w:t>
      </w:r>
      <w:r w:rsidRPr="00AA1670">
        <w:rPr>
          <w:color w:val="000000"/>
        </w:rPr>
        <w:t xml:space="preserve">Appendix A </w:t>
      </w:r>
      <w:r w:rsidR="00702EC5">
        <w:rPr>
          <w:color w:val="000000"/>
        </w:rPr>
        <w:t>provides the</w:t>
      </w:r>
      <w:r w:rsidRPr="00AA1670">
        <w:rPr>
          <w:color w:val="000000"/>
        </w:rPr>
        <w:t xml:space="preserve"> </w:t>
      </w:r>
      <w:r w:rsidR="00702EC5">
        <w:rPr>
          <w:color w:val="000000"/>
        </w:rPr>
        <w:t xml:space="preserve">SEA </w:t>
      </w:r>
      <w:r w:rsidRPr="00AA1670">
        <w:rPr>
          <w:color w:val="000000"/>
        </w:rPr>
        <w:t xml:space="preserve">communication materials </w:t>
      </w:r>
      <w:r w:rsidR="00702EC5">
        <w:rPr>
          <w:color w:val="000000"/>
        </w:rPr>
        <w:t>that will be used to conduct the SLFS data collection</w:t>
      </w:r>
      <w:r w:rsidR="00C2431C">
        <w:rPr>
          <w:color w:val="000000"/>
        </w:rPr>
        <w:t>, Appendix B provide</w:t>
      </w:r>
      <w:r w:rsidR="00E665F9">
        <w:rPr>
          <w:color w:val="000000"/>
        </w:rPr>
        <w:t xml:space="preserve">s the SLFS data collection form and instructions, and Appendix C provides the </w:t>
      </w:r>
      <w:r w:rsidR="00DD7051" w:rsidRPr="00E665F9">
        <w:rPr>
          <w:color w:val="000000"/>
        </w:rPr>
        <w:t>su</w:t>
      </w:r>
      <w:r w:rsidR="00DD7051">
        <w:rPr>
          <w:color w:val="000000"/>
        </w:rPr>
        <w:t>rvey of SEA’s school-level finances</w:t>
      </w:r>
      <w:r w:rsidR="00DD7051" w:rsidRPr="00E665F9">
        <w:rPr>
          <w:color w:val="000000"/>
        </w:rPr>
        <w:t xml:space="preserve"> fiscal data plan</w:t>
      </w:r>
      <w:r w:rsidRPr="00AA1670">
        <w:rPr>
          <w:color w:val="000000"/>
        </w:rPr>
        <w:t>.</w:t>
      </w:r>
    </w:p>
    <w:p w:rsidR="00BD41C6" w:rsidRPr="00BD41C6" w:rsidRDefault="00BD41C6" w:rsidP="00336321">
      <w:pPr>
        <w:pStyle w:val="Heading"/>
        <w:spacing w:before="0" w:line="22" w:lineRule="atLeast"/>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002F7842" w:rsidRDefault="00AF7C13" w:rsidP="00336321">
      <w:pPr>
        <w:spacing w:after="120" w:line="22" w:lineRule="atLeast"/>
        <w:ind w:right="-86"/>
      </w:pPr>
      <w:r>
        <w:t xml:space="preserve">SLFS </w:t>
      </w:r>
      <w:r w:rsidR="00B30C42" w:rsidRPr="00AA1670">
        <w:t>is the Nation’s only source of annual statistical information about total revenues and expenditures for public elementary and secondary education</w:t>
      </w:r>
      <w:r w:rsidR="00926529">
        <w:t xml:space="preserve"> at the </w:t>
      </w:r>
      <w:r>
        <w:t>school-level.</w:t>
      </w:r>
      <w:r w:rsidR="002F7842">
        <w:t xml:space="preserve"> </w:t>
      </w:r>
      <w:r w:rsidR="00702EC5">
        <w:t xml:space="preserve">NCES is authorized </w:t>
      </w:r>
      <w:r w:rsidR="00F555EF">
        <w:t xml:space="preserve">to conduct this study </w:t>
      </w:r>
      <w:r w:rsidR="00702EC5">
        <w:t xml:space="preserve">by </w:t>
      </w:r>
      <w:r w:rsidR="009C2E9E" w:rsidRPr="009C2E9E">
        <w:t>the Education Sciences Reform Act of 2002 (ESRA 2002, U.S.C. 20 §9543</w:t>
      </w:r>
      <w:r w:rsidR="000E2688">
        <w:t>)</w:t>
      </w:r>
      <w:r w:rsidR="009C6FAA">
        <w:t>.</w:t>
      </w:r>
    </w:p>
    <w:p w:rsidR="00E0452D" w:rsidRPr="00BD41C6" w:rsidRDefault="00E0452D" w:rsidP="00336321">
      <w:pPr>
        <w:pStyle w:val="Heading"/>
        <w:spacing w:before="0" w:line="22" w:lineRule="atLeast"/>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00B30C42" w:rsidRPr="00FF3382" w:rsidRDefault="00B30C42" w:rsidP="00336321">
      <w:pPr>
        <w:widowControl w:val="0"/>
        <w:spacing w:after="120" w:line="22" w:lineRule="atLeast"/>
        <w:rPr>
          <w:rFonts w:ascii="Courier New" w:hAnsi="Courier New" w:cs="Courier New"/>
        </w:rPr>
      </w:pPr>
      <w:r w:rsidRPr="00AA1670">
        <w:t>Participation in the CCD</w:t>
      </w:r>
      <w:r w:rsidR="00702EC5">
        <w:t xml:space="preserve"> and therefore SLFS</w:t>
      </w:r>
      <w:r w:rsidRPr="00AA1670">
        <w:t xml:space="preserve"> is voluntary, but several </w:t>
      </w:r>
      <w:r w:rsidR="00A24B7B">
        <w:t>ED</w:t>
      </w:r>
      <w:r w:rsidRPr="00AA1670">
        <w:t xml:space="preserve"> Programs require the use of its data. The use may be stipulated by guidance or reporting instr</w:t>
      </w:r>
      <w:r w:rsidR="00FF3382">
        <w:t>uctions rather than regulation.</w:t>
      </w:r>
    </w:p>
    <w:p w:rsidR="00B30C42" w:rsidRPr="00AA1670" w:rsidRDefault="0079018C" w:rsidP="00336321">
      <w:pPr>
        <w:pStyle w:val="Heading"/>
        <w:spacing w:before="0" w:line="22" w:lineRule="atLeast"/>
        <w:jc w:val="left"/>
        <w:rPr>
          <w:rFonts w:ascii="Times New Roman" w:hAnsi="Times New Roman"/>
        </w:rPr>
      </w:pPr>
      <w:r>
        <w:rPr>
          <w:rFonts w:ascii="Times New Roman" w:hAnsi="Times New Roman"/>
        </w:rPr>
        <w:t>A2.</w:t>
      </w:r>
      <w:r>
        <w:rPr>
          <w:rFonts w:ascii="Times New Roman" w:hAnsi="Times New Roman"/>
        </w:rPr>
        <w:tab/>
      </w:r>
      <w:r w:rsidRPr="0079018C">
        <w:rPr>
          <w:rFonts w:ascii="Times New Roman" w:hAnsi="Times New Roman"/>
        </w:rPr>
        <w:t>Needs and Uses</w:t>
      </w:r>
    </w:p>
    <w:p w:rsidR="00F25BC7" w:rsidRDefault="00F25BC7" w:rsidP="00F25BC7">
      <w:pPr>
        <w:spacing w:after="120" w:line="22" w:lineRule="atLeast"/>
      </w:pPr>
      <w:r>
        <w:t>The survey content was developed with assistance and feedback from various SEA and LEA staff and school finance experts – often through interviews, exploratory webinars, and formal sessions at national education conferences. NCES also consulted with other federal government offices and education finance interest groups to assess data needs. Through discussions with these groups it was decided to keep SLFS data items and definitions generally consistent with the items and definitions present on the NPEFS and F-33 surveys already collected by NCES.</w:t>
      </w:r>
    </w:p>
    <w:p w:rsidR="00F25BC7" w:rsidRDefault="00F25BC7" w:rsidP="00F25BC7">
      <w:pPr>
        <w:spacing w:after="120" w:line="22" w:lineRule="atLeast"/>
      </w:pPr>
      <w:r>
        <w:t xml:space="preserve">The SLFS form instructs respondents to report data in accordance with the uniform standards provided in the NCES accounting handbook </w:t>
      </w:r>
      <w:r w:rsidR="0023458C">
        <w:t xml:space="preserve">, </w:t>
      </w:r>
      <w:r w:rsidR="0023458C">
        <w:rPr>
          <w:i/>
        </w:rPr>
        <w:t>Financial Accounting for Local and State School Systems: 2014 Edition</w:t>
      </w:r>
      <w:r w:rsidR="0023458C">
        <w:t xml:space="preserve"> (Allison 2015)</w:t>
      </w:r>
      <w:r>
        <w:t>. Use of the accounting handbook by survey respondents facilitates the comparability of school finance data across states and schools.</w:t>
      </w:r>
    </w:p>
    <w:p w:rsidR="00552FDA" w:rsidRDefault="00F25BC7" w:rsidP="00713AE9">
      <w:pPr>
        <w:widowControl w:val="0"/>
        <w:spacing w:after="120" w:line="22" w:lineRule="atLeast"/>
      </w:pPr>
      <w:r>
        <w:t>The SLFS data collection instrument for FY16 and FY17 was the same as that used in the SLFS Pilot for FY14 and FY15. Two types of expenditures wer</w:t>
      </w:r>
      <w:r w:rsidR="00D056C5">
        <w:t>e collected in the SLFS FY14-FY</w:t>
      </w:r>
      <w:r>
        <w:t>17 instrument: 12 “personnel” and 18 “nonpersonnel” expenditures items (of these 30, 12 were exhibit items of amounts already included within other SLFS expenditures).</w:t>
      </w:r>
      <w:r w:rsidR="00381BD7">
        <w:t xml:space="preserve"> </w:t>
      </w:r>
      <w:r w:rsidR="00EB093D">
        <w:t>The personnel expenditures consisted of gross salary and wage expenditures (including overtime, incentive pay, and bonuses) for school-level staff.</w:t>
      </w:r>
      <w:r w:rsidR="00EB093D" w:rsidRPr="00EB093D">
        <w:rPr>
          <w:rStyle w:val="FootnoteReference"/>
          <w:vertAlign w:val="superscript"/>
        </w:rPr>
        <w:footnoteReference w:id="2"/>
      </w:r>
      <w:r w:rsidR="00EB093D">
        <w:t xml:space="preserve"> </w:t>
      </w:r>
      <w:r w:rsidR="00EB093D">
        <w:rPr>
          <w:iCs/>
        </w:rPr>
        <w:t xml:space="preserve">Nonpersonnel expenditures </w:t>
      </w:r>
      <w:r w:rsidR="00EB093D">
        <w:t xml:space="preserve">consisted of </w:t>
      </w:r>
      <w:r w:rsidR="00EB093D">
        <w:rPr>
          <w:iCs/>
        </w:rPr>
        <w:t>all non-salary expenditures directly associated with the instruction and educational and administrative support of students at the school level.</w:t>
      </w:r>
      <w:r w:rsidR="00EB093D" w:rsidRPr="00EB093D">
        <w:rPr>
          <w:rStyle w:val="FootnoteReference"/>
          <w:iCs/>
          <w:vertAlign w:val="superscript"/>
        </w:rPr>
        <w:footnoteReference w:id="3"/>
      </w:r>
      <w:r w:rsidR="00EB093D">
        <w:rPr>
          <w:iCs/>
        </w:rPr>
        <w:t xml:space="preserve"> </w:t>
      </w:r>
      <w:r w:rsidR="00EB093D">
        <w:t>However, t</w:t>
      </w:r>
      <w:r w:rsidR="00EB093D" w:rsidRPr="00621EC6">
        <w:t xml:space="preserve">he FY14-FY17 </w:t>
      </w:r>
      <w:r w:rsidR="00EB093D">
        <w:t xml:space="preserve">SLFS </w:t>
      </w:r>
      <w:r w:rsidR="00EB093D" w:rsidRPr="00621EC6">
        <w:t>instrument did not include</w:t>
      </w:r>
      <w:r>
        <w:t>:</w:t>
      </w:r>
    </w:p>
    <w:p w:rsidR="003F1BBB" w:rsidRPr="009D4F8B" w:rsidRDefault="003F1BBB" w:rsidP="003F1BBB">
      <w:pPr>
        <w:pStyle w:val="ListParagraph"/>
        <w:widowControl w:val="0"/>
        <w:numPr>
          <w:ilvl w:val="0"/>
          <w:numId w:val="28"/>
        </w:numPr>
        <w:spacing w:after="120" w:line="22" w:lineRule="atLeast"/>
        <w:rPr>
          <w:color w:val="000000"/>
        </w:rPr>
      </w:pPr>
      <w:r>
        <w:rPr>
          <w:color w:val="000000"/>
        </w:rPr>
        <w:t>Total current expenditures for instruction, student staff support, instructional staff support, and school administration.</w:t>
      </w:r>
    </w:p>
    <w:p w:rsidR="003A7E2D" w:rsidRDefault="00713AE9" w:rsidP="009769A3">
      <w:pPr>
        <w:pStyle w:val="ListParagraph"/>
        <w:widowControl w:val="0"/>
        <w:numPr>
          <w:ilvl w:val="0"/>
          <w:numId w:val="28"/>
        </w:numPr>
        <w:spacing w:after="120" w:line="22" w:lineRule="atLeast"/>
        <w:rPr>
          <w:color w:val="000000"/>
        </w:rPr>
      </w:pPr>
      <w:r w:rsidRPr="007B6BE5">
        <w:t>Current expenditure</w:t>
      </w:r>
      <w:r>
        <w:t>s</w:t>
      </w:r>
      <w:r w:rsidR="003F1BBB">
        <w:t xml:space="preserve"> (salaries and total current expenditures) </w:t>
      </w:r>
      <w:r>
        <w:t>for</w:t>
      </w:r>
      <w:r w:rsidRPr="007B6BE5">
        <w:t xml:space="preserve"> functions </w:t>
      </w:r>
      <w:r>
        <w:t xml:space="preserve">such as </w:t>
      </w:r>
      <w:r w:rsidRPr="007B6BE5">
        <w:rPr>
          <w:color w:val="000000"/>
        </w:rPr>
        <w:t>general administration (administration at the district level), operation and maintenance of plant</w:t>
      </w:r>
      <w:r w:rsidR="004909F5">
        <w:rPr>
          <w:color w:val="000000"/>
        </w:rPr>
        <w:t xml:space="preserve">, </w:t>
      </w:r>
      <w:r w:rsidRPr="007B6BE5">
        <w:rPr>
          <w:color w:val="000000"/>
        </w:rPr>
        <w:t>student transportation</w:t>
      </w:r>
      <w:r w:rsidR="004909F5">
        <w:rPr>
          <w:color w:val="000000"/>
        </w:rPr>
        <w:t xml:space="preserve">, </w:t>
      </w:r>
      <w:r w:rsidRPr="007B6BE5">
        <w:rPr>
          <w:color w:val="000000"/>
        </w:rPr>
        <w:t>food service</w:t>
      </w:r>
      <w:r>
        <w:rPr>
          <w:color w:val="000000"/>
        </w:rPr>
        <w:t xml:space="preserve">, </w:t>
      </w:r>
      <w:r w:rsidRPr="007B6BE5">
        <w:rPr>
          <w:color w:val="000000"/>
        </w:rPr>
        <w:t>business/</w:t>
      </w:r>
      <w:r>
        <w:rPr>
          <w:color w:val="000000"/>
        </w:rPr>
        <w:t>central/other support services</w:t>
      </w:r>
      <w:r w:rsidR="004909F5">
        <w:rPr>
          <w:color w:val="000000"/>
        </w:rPr>
        <w:t>, and enterprise operations</w:t>
      </w:r>
      <w:r w:rsidRPr="007B6BE5">
        <w:rPr>
          <w:color w:val="000000"/>
        </w:rPr>
        <w:t>.</w:t>
      </w:r>
      <w:r w:rsidRPr="00713AE9">
        <w:rPr>
          <w:rStyle w:val="FootnoteReference"/>
          <w:color w:val="000000"/>
          <w:vertAlign w:val="superscript"/>
        </w:rPr>
        <w:footnoteReference w:id="4"/>
      </w:r>
    </w:p>
    <w:p w:rsidR="007B7856" w:rsidRPr="003A7E2D" w:rsidRDefault="00833940" w:rsidP="003A7E2D">
      <w:pPr>
        <w:pStyle w:val="ListParagraph"/>
        <w:numPr>
          <w:ilvl w:val="0"/>
          <w:numId w:val="28"/>
        </w:numPr>
        <w:spacing w:after="120" w:line="22" w:lineRule="atLeast"/>
        <w:rPr>
          <w:color w:val="000000"/>
        </w:rPr>
      </w:pPr>
      <w:r>
        <w:rPr>
          <w:color w:val="000000"/>
        </w:rPr>
        <w:t>E</w:t>
      </w:r>
      <w:r w:rsidRPr="007B6BE5">
        <w:rPr>
          <w:bCs/>
          <w:color w:val="000000"/>
        </w:rPr>
        <w:t>mployee benefits</w:t>
      </w:r>
      <w:r w:rsidR="003F1BBB">
        <w:rPr>
          <w:bCs/>
          <w:color w:val="000000"/>
        </w:rPr>
        <w:t xml:space="preserve"> for all functions</w:t>
      </w:r>
      <w:r w:rsidRPr="007B6BE5">
        <w:rPr>
          <w:color w:val="000000"/>
        </w:rPr>
        <w:t>, which are also a significant portion of current expenditures.</w:t>
      </w:r>
      <w:r>
        <w:rPr>
          <w:color w:val="000000"/>
        </w:rPr>
        <w:t xml:space="preserve"> </w:t>
      </w:r>
      <w:r w:rsidRPr="007B6BE5">
        <w:rPr>
          <w:color w:val="000000"/>
        </w:rPr>
        <w:t xml:space="preserve">The personnel items </w:t>
      </w:r>
      <w:r w:rsidRPr="007B6BE5">
        <w:rPr>
          <w:bCs/>
          <w:color w:val="000000"/>
        </w:rPr>
        <w:t>only cover</w:t>
      </w:r>
      <w:r>
        <w:rPr>
          <w:bCs/>
          <w:color w:val="000000"/>
        </w:rPr>
        <w:t>ed</w:t>
      </w:r>
      <w:r w:rsidRPr="007B6BE5">
        <w:rPr>
          <w:bCs/>
          <w:color w:val="000000"/>
        </w:rPr>
        <w:t xml:space="preserve"> salaries and wages</w:t>
      </w:r>
      <w:r w:rsidR="009769A3">
        <w:rPr>
          <w:color w:val="000000"/>
        </w:rPr>
        <w:t>.</w:t>
      </w:r>
    </w:p>
    <w:p w:rsidR="007B7856" w:rsidRPr="00E50254" w:rsidRDefault="00833940" w:rsidP="007B7856">
      <w:pPr>
        <w:pStyle w:val="Text"/>
        <w:snapToGrid w:val="0"/>
        <w:spacing w:after="120" w:line="22" w:lineRule="atLeast"/>
        <w:ind w:right="18"/>
        <w:rPr>
          <w:color w:val="000000"/>
          <w:sz w:val="24"/>
        </w:rPr>
      </w:pPr>
      <w:r>
        <w:rPr>
          <w:color w:val="000000"/>
          <w:sz w:val="24"/>
        </w:rPr>
        <w:t xml:space="preserve">In order to make the data collected through SLFS directly analogous to the ESSA expenditures per pupil provision, in FY18 SLFS will begin </w:t>
      </w:r>
      <w:r>
        <w:rPr>
          <w:bCs/>
          <w:color w:val="000000"/>
          <w:sz w:val="24"/>
        </w:rPr>
        <w:t>collecting additional data from 4 broad categories</w:t>
      </w:r>
      <w:r w:rsidR="007B7856" w:rsidRPr="00E50254">
        <w:rPr>
          <w:b/>
          <w:bCs/>
          <w:color w:val="000000"/>
          <w:sz w:val="24"/>
        </w:rPr>
        <w:t>:</w:t>
      </w:r>
    </w:p>
    <w:p w:rsidR="007B7856" w:rsidRPr="00E50254" w:rsidRDefault="007B7856" w:rsidP="007B7856">
      <w:pPr>
        <w:pStyle w:val="Text"/>
        <w:snapToGrid w:val="0"/>
        <w:spacing w:after="120" w:line="22" w:lineRule="atLeast"/>
        <w:ind w:right="18"/>
        <w:rPr>
          <w:color w:val="000000"/>
          <w:sz w:val="24"/>
        </w:rPr>
      </w:pPr>
      <w:r w:rsidRPr="00E50254">
        <w:rPr>
          <w:color w:val="000000"/>
          <w:sz w:val="24"/>
        </w:rPr>
        <w:t>1.</w:t>
      </w:r>
      <w:r>
        <w:rPr>
          <w:color w:val="000000"/>
          <w:sz w:val="24"/>
        </w:rPr>
        <w:t xml:space="preserve"> </w:t>
      </w:r>
      <w:r w:rsidRPr="00E50254">
        <w:rPr>
          <w:color w:val="000000"/>
          <w:sz w:val="24"/>
        </w:rPr>
        <w:t>Employee benefits (for each function).</w:t>
      </w:r>
    </w:p>
    <w:p w:rsidR="007B7856" w:rsidRDefault="007B7856" w:rsidP="002C1194">
      <w:pPr>
        <w:pStyle w:val="Text"/>
        <w:snapToGrid w:val="0"/>
        <w:spacing w:after="120" w:line="22" w:lineRule="atLeast"/>
        <w:ind w:right="18"/>
        <w:rPr>
          <w:color w:val="000000"/>
          <w:sz w:val="24"/>
        </w:rPr>
      </w:pPr>
      <w:r w:rsidRPr="00E50254">
        <w:rPr>
          <w:color w:val="000000"/>
          <w:sz w:val="24"/>
        </w:rPr>
        <w:t>2.</w:t>
      </w:r>
      <w:r>
        <w:rPr>
          <w:color w:val="000000"/>
          <w:sz w:val="24"/>
        </w:rPr>
        <w:t xml:space="preserve"> </w:t>
      </w:r>
      <w:r w:rsidRPr="00E50254">
        <w:rPr>
          <w:color w:val="000000"/>
          <w:sz w:val="24"/>
        </w:rPr>
        <w:t>Total current expenditures for Elementary-Secondary Educational Programs</w:t>
      </w:r>
      <w:r w:rsidR="002C1194">
        <w:rPr>
          <w:color w:val="000000"/>
          <w:sz w:val="24"/>
        </w:rPr>
        <w:t>:</w:t>
      </w:r>
    </w:p>
    <w:p w:rsidR="00390863" w:rsidRDefault="00390863" w:rsidP="001E5862">
      <w:pPr>
        <w:pStyle w:val="Text"/>
        <w:numPr>
          <w:ilvl w:val="0"/>
          <w:numId w:val="30"/>
        </w:numPr>
        <w:snapToGrid w:val="0"/>
        <w:spacing w:after="60" w:line="22" w:lineRule="atLeast"/>
        <w:ind w:left="900" w:right="14"/>
        <w:rPr>
          <w:color w:val="000000"/>
          <w:sz w:val="24"/>
        </w:rPr>
      </w:pPr>
      <w:r>
        <w:rPr>
          <w:color w:val="000000"/>
          <w:sz w:val="24"/>
        </w:rPr>
        <w:t>Instruction (function 1000)</w:t>
      </w:r>
    </w:p>
    <w:p w:rsidR="00390863" w:rsidRDefault="00390863" w:rsidP="001E5862">
      <w:pPr>
        <w:pStyle w:val="Text"/>
        <w:numPr>
          <w:ilvl w:val="0"/>
          <w:numId w:val="30"/>
        </w:numPr>
        <w:snapToGrid w:val="0"/>
        <w:spacing w:after="60" w:line="22" w:lineRule="atLeast"/>
        <w:ind w:left="900" w:right="14"/>
        <w:rPr>
          <w:color w:val="000000"/>
          <w:sz w:val="24"/>
        </w:rPr>
      </w:pPr>
      <w:r>
        <w:rPr>
          <w:color w:val="000000"/>
          <w:sz w:val="24"/>
        </w:rPr>
        <w:t>Support services, pupils (function 2100)</w:t>
      </w:r>
    </w:p>
    <w:p w:rsidR="00390863" w:rsidRDefault="00390863" w:rsidP="001E5862">
      <w:pPr>
        <w:pStyle w:val="Text"/>
        <w:numPr>
          <w:ilvl w:val="0"/>
          <w:numId w:val="30"/>
        </w:numPr>
        <w:snapToGrid w:val="0"/>
        <w:spacing w:after="60" w:line="22" w:lineRule="atLeast"/>
        <w:ind w:left="900" w:right="14"/>
        <w:rPr>
          <w:color w:val="000000"/>
          <w:sz w:val="24"/>
        </w:rPr>
      </w:pPr>
      <w:r>
        <w:rPr>
          <w:color w:val="000000"/>
          <w:sz w:val="24"/>
        </w:rPr>
        <w:t>Support services, instructional staff (function 2200)</w:t>
      </w:r>
    </w:p>
    <w:p w:rsidR="00F15D2B" w:rsidRDefault="007B7856" w:rsidP="001E5862">
      <w:pPr>
        <w:pStyle w:val="Text"/>
        <w:numPr>
          <w:ilvl w:val="0"/>
          <w:numId w:val="30"/>
        </w:numPr>
        <w:snapToGrid w:val="0"/>
        <w:spacing w:after="60" w:line="22" w:lineRule="atLeast"/>
        <w:ind w:left="900" w:right="14"/>
        <w:rPr>
          <w:color w:val="000000"/>
          <w:sz w:val="24"/>
        </w:rPr>
      </w:pPr>
      <w:r w:rsidRPr="00E50254">
        <w:rPr>
          <w:color w:val="000000"/>
          <w:sz w:val="24"/>
        </w:rPr>
        <w:t>Support services, general administration (function 2300)</w:t>
      </w:r>
      <w:r w:rsidR="00F15D2B">
        <w:rPr>
          <w:color w:val="000000"/>
          <w:sz w:val="24"/>
        </w:rPr>
        <w:t>, including a salary item</w:t>
      </w:r>
    </w:p>
    <w:p w:rsidR="00390863" w:rsidRPr="00E50254" w:rsidRDefault="00390863" w:rsidP="001E5862">
      <w:pPr>
        <w:pStyle w:val="Text"/>
        <w:numPr>
          <w:ilvl w:val="0"/>
          <w:numId w:val="30"/>
        </w:numPr>
        <w:snapToGrid w:val="0"/>
        <w:spacing w:after="60" w:line="22" w:lineRule="atLeast"/>
        <w:ind w:left="900" w:right="14"/>
        <w:rPr>
          <w:color w:val="000000"/>
          <w:sz w:val="24"/>
        </w:rPr>
      </w:pPr>
      <w:r>
        <w:rPr>
          <w:color w:val="000000"/>
          <w:sz w:val="24"/>
        </w:rPr>
        <w:t>Support services, school administration (function 2400)</w:t>
      </w:r>
    </w:p>
    <w:p w:rsidR="00F15D2B" w:rsidRPr="00E50254" w:rsidRDefault="007B7856" w:rsidP="001E5862">
      <w:pPr>
        <w:pStyle w:val="Text"/>
        <w:numPr>
          <w:ilvl w:val="0"/>
          <w:numId w:val="30"/>
        </w:numPr>
        <w:snapToGrid w:val="0"/>
        <w:spacing w:after="60" w:line="22" w:lineRule="atLeast"/>
        <w:ind w:left="900" w:right="14"/>
        <w:rPr>
          <w:color w:val="000000"/>
          <w:sz w:val="24"/>
        </w:rPr>
      </w:pPr>
      <w:r w:rsidRPr="00E50254">
        <w:rPr>
          <w:color w:val="000000"/>
          <w:sz w:val="24"/>
        </w:rPr>
        <w:t>Support services, operation and maintenance of plant (function 2600)</w:t>
      </w:r>
      <w:r w:rsidR="00F15D2B">
        <w:rPr>
          <w:color w:val="000000"/>
          <w:sz w:val="24"/>
        </w:rPr>
        <w:t>, including a salary item</w:t>
      </w:r>
    </w:p>
    <w:p w:rsidR="007B7856" w:rsidRPr="00E50254" w:rsidRDefault="007B7856" w:rsidP="001E5862">
      <w:pPr>
        <w:pStyle w:val="Text"/>
        <w:numPr>
          <w:ilvl w:val="0"/>
          <w:numId w:val="30"/>
        </w:numPr>
        <w:snapToGrid w:val="0"/>
        <w:spacing w:after="60" w:line="22" w:lineRule="atLeast"/>
        <w:ind w:left="900" w:right="14"/>
        <w:rPr>
          <w:color w:val="000000"/>
          <w:sz w:val="24"/>
        </w:rPr>
      </w:pPr>
      <w:r w:rsidRPr="00E50254">
        <w:rPr>
          <w:color w:val="000000"/>
          <w:sz w:val="24"/>
        </w:rPr>
        <w:t>Support services, student transportation (function 2700)</w:t>
      </w:r>
      <w:r w:rsidR="00F15D2B">
        <w:rPr>
          <w:color w:val="000000"/>
          <w:sz w:val="24"/>
        </w:rPr>
        <w:t>, including a salary item</w:t>
      </w:r>
    </w:p>
    <w:p w:rsidR="007B7856" w:rsidRDefault="007B7856" w:rsidP="001E5862">
      <w:pPr>
        <w:pStyle w:val="Text"/>
        <w:numPr>
          <w:ilvl w:val="0"/>
          <w:numId w:val="30"/>
        </w:numPr>
        <w:snapToGrid w:val="0"/>
        <w:spacing w:after="120" w:line="22" w:lineRule="atLeast"/>
        <w:ind w:left="900" w:right="18"/>
        <w:rPr>
          <w:sz w:val="24"/>
        </w:rPr>
      </w:pPr>
      <w:r w:rsidRPr="00E50254">
        <w:rPr>
          <w:color w:val="000000"/>
          <w:sz w:val="24"/>
        </w:rPr>
        <w:t>Business/central/other support services (function 2500 and 2900)</w:t>
      </w:r>
      <w:r w:rsidR="00F15D2B">
        <w:rPr>
          <w:color w:val="000000"/>
          <w:sz w:val="24"/>
        </w:rPr>
        <w:t>, including a salary item</w:t>
      </w:r>
    </w:p>
    <w:p w:rsidR="007B7856" w:rsidRPr="00E50254" w:rsidRDefault="007B7856" w:rsidP="007B7856">
      <w:pPr>
        <w:pStyle w:val="Text"/>
        <w:snapToGrid w:val="0"/>
        <w:spacing w:after="60" w:line="22" w:lineRule="atLeast"/>
        <w:ind w:right="14"/>
        <w:rPr>
          <w:color w:val="000000"/>
          <w:sz w:val="24"/>
        </w:rPr>
      </w:pPr>
      <w:r w:rsidRPr="00E50254">
        <w:rPr>
          <w:sz w:val="24"/>
        </w:rPr>
        <w:t>3.</w:t>
      </w:r>
      <w:r>
        <w:rPr>
          <w:sz w:val="24"/>
        </w:rPr>
        <w:t xml:space="preserve"> </w:t>
      </w:r>
      <w:r w:rsidR="005147CF" w:rsidRPr="00E50254">
        <w:rPr>
          <w:color w:val="000000"/>
          <w:sz w:val="24"/>
        </w:rPr>
        <w:t xml:space="preserve">Total current expenditures for </w:t>
      </w:r>
      <w:r w:rsidR="005147CF">
        <w:rPr>
          <w:color w:val="000000"/>
          <w:sz w:val="24"/>
        </w:rPr>
        <w:t>Elementary-</w:t>
      </w:r>
      <w:r w:rsidRPr="00E50254">
        <w:rPr>
          <w:color w:val="000000"/>
          <w:sz w:val="24"/>
        </w:rPr>
        <w:t xml:space="preserve">Secondary </w:t>
      </w:r>
      <w:r w:rsidR="005147CF">
        <w:rPr>
          <w:color w:val="000000"/>
          <w:sz w:val="24"/>
        </w:rPr>
        <w:t>N</w:t>
      </w:r>
      <w:r w:rsidRPr="00E50254">
        <w:rPr>
          <w:color w:val="000000"/>
          <w:sz w:val="24"/>
        </w:rPr>
        <w:t xml:space="preserve">on-instructional </w:t>
      </w:r>
      <w:r w:rsidR="005147CF">
        <w:rPr>
          <w:color w:val="000000"/>
          <w:sz w:val="24"/>
        </w:rPr>
        <w:t>P</w:t>
      </w:r>
      <w:r w:rsidRPr="00E50254">
        <w:rPr>
          <w:color w:val="000000"/>
          <w:sz w:val="24"/>
        </w:rPr>
        <w:t>rograms</w:t>
      </w:r>
      <w:r w:rsidR="005147CF">
        <w:rPr>
          <w:color w:val="000000"/>
          <w:sz w:val="24"/>
        </w:rPr>
        <w:t>:</w:t>
      </w:r>
    </w:p>
    <w:p w:rsidR="007B7856" w:rsidRPr="00E50254" w:rsidRDefault="007B7856" w:rsidP="001E5862">
      <w:pPr>
        <w:pStyle w:val="Text"/>
        <w:numPr>
          <w:ilvl w:val="0"/>
          <w:numId w:val="31"/>
        </w:numPr>
        <w:snapToGrid w:val="0"/>
        <w:spacing w:after="60" w:line="22" w:lineRule="atLeast"/>
        <w:ind w:left="900" w:right="14"/>
        <w:rPr>
          <w:color w:val="000000"/>
          <w:sz w:val="24"/>
        </w:rPr>
      </w:pPr>
      <w:r w:rsidRPr="00E50254">
        <w:rPr>
          <w:color w:val="000000"/>
          <w:sz w:val="24"/>
        </w:rPr>
        <w:t>Food services (function 3100)</w:t>
      </w:r>
      <w:r w:rsidR="00F15D2B">
        <w:rPr>
          <w:color w:val="000000"/>
          <w:sz w:val="24"/>
        </w:rPr>
        <w:t>, including a salary item</w:t>
      </w:r>
    </w:p>
    <w:p w:rsidR="007B7856" w:rsidRPr="00E50254" w:rsidRDefault="007B7856" w:rsidP="001E5862">
      <w:pPr>
        <w:pStyle w:val="Text"/>
        <w:numPr>
          <w:ilvl w:val="0"/>
          <w:numId w:val="31"/>
        </w:numPr>
        <w:snapToGrid w:val="0"/>
        <w:spacing w:after="60" w:line="22" w:lineRule="atLeast"/>
        <w:ind w:left="900" w:right="14"/>
        <w:rPr>
          <w:color w:val="000000"/>
          <w:sz w:val="24"/>
        </w:rPr>
      </w:pPr>
      <w:r w:rsidRPr="00E50254">
        <w:rPr>
          <w:color w:val="000000"/>
          <w:sz w:val="24"/>
        </w:rPr>
        <w:t>Enterprise operations (function 3200)</w:t>
      </w:r>
    </w:p>
    <w:p w:rsidR="007B7856" w:rsidRPr="00E6202E" w:rsidRDefault="007B7856" w:rsidP="001E5862">
      <w:pPr>
        <w:pStyle w:val="Text"/>
        <w:numPr>
          <w:ilvl w:val="0"/>
          <w:numId w:val="31"/>
        </w:numPr>
        <w:snapToGrid w:val="0"/>
        <w:spacing w:after="120" w:line="22" w:lineRule="atLeast"/>
        <w:ind w:left="900" w:right="18"/>
        <w:rPr>
          <w:color w:val="000000"/>
          <w:sz w:val="24"/>
        </w:rPr>
      </w:pPr>
      <w:r w:rsidRPr="00E6202E">
        <w:rPr>
          <w:color w:val="000000"/>
          <w:sz w:val="24"/>
        </w:rPr>
        <w:t>Other Elementary-Secondary Non-instructional programs</w:t>
      </w:r>
      <w:r w:rsidR="00A01D95">
        <w:rPr>
          <w:color w:val="000000"/>
          <w:sz w:val="24"/>
        </w:rPr>
        <w:t xml:space="preserve"> </w:t>
      </w:r>
      <w:r w:rsidR="00E6202E" w:rsidRPr="00E6202E">
        <w:rPr>
          <w:color w:val="000000"/>
          <w:sz w:val="24"/>
        </w:rPr>
        <w:t>(total collected only)</w:t>
      </w:r>
    </w:p>
    <w:p w:rsidR="007B7856" w:rsidRPr="00E50254" w:rsidRDefault="007B7856" w:rsidP="007B7856">
      <w:pPr>
        <w:pStyle w:val="Text"/>
        <w:snapToGrid w:val="0"/>
        <w:spacing w:after="60" w:line="22" w:lineRule="atLeast"/>
        <w:ind w:right="14"/>
        <w:rPr>
          <w:color w:val="000000"/>
          <w:sz w:val="24"/>
        </w:rPr>
      </w:pPr>
      <w:r w:rsidRPr="00E50254">
        <w:rPr>
          <w:color w:val="000000"/>
          <w:sz w:val="24"/>
        </w:rPr>
        <w:t>4.</w:t>
      </w:r>
      <w:r>
        <w:rPr>
          <w:color w:val="000000"/>
          <w:sz w:val="24"/>
        </w:rPr>
        <w:t xml:space="preserve"> </w:t>
      </w:r>
      <w:r w:rsidR="00833940">
        <w:rPr>
          <w:color w:val="000000"/>
          <w:sz w:val="24"/>
        </w:rPr>
        <w:t>Total current expenditures borne by the central office at the LEA level:</w:t>
      </w:r>
    </w:p>
    <w:p w:rsidR="007B7856" w:rsidRDefault="00833940" w:rsidP="001E5862">
      <w:pPr>
        <w:pStyle w:val="Text"/>
        <w:numPr>
          <w:ilvl w:val="0"/>
          <w:numId w:val="27"/>
        </w:numPr>
        <w:snapToGrid w:val="0"/>
        <w:spacing w:after="120" w:line="22" w:lineRule="atLeast"/>
        <w:ind w:left="900" w:right="18"/>
        <w:rPr>
          <w:color w:val="000000"/>
          <w:sz w:val="24"/>
        </w:rPr>
      </w:pPr>
      <w:r>
        <w:rPr>
          <w:color w:val="000000"/>
          <w:sz w:val="24"/>
        </w:rPr>
        <w:t>Districtwide current expenditures (“catch-all” category for current expenditures unable to be broken out to the school level</w:t>
      </w:r>
      <w:r w:rsidR="007B7856" w:rsidRPr="00E50254">
        <w:rPr>
          <w:color w:val="000000"/>
          <w:sz w:val="24"/>
        </w:rPr>
        <w:t>).</w:t>
      </w:r>
    </w:p>
    <w:p w:rsidR="00637FB7" w:rsidRDefault="0071463A" w:rsidP="00EA2BD5">
      <w:pPr>
        <w:spacing w:after="120" w:line="22" w:lineRule="atLeast"/>
      </w:pPr>
      <w:r w:rsidRPr="006F49C4">
        <w:rPr>
          <w:color w:val="000000" w:themeColor="text1"/>
        </w:rPr>
        <w:t xml:space="preserve">In summary, the inclusion of these new variables </w:t>
      </w:r>
      <w:r>
        <w:rPr>
          <w:color w:val="000000" w:themeColor="text1"/>
        </w:rPr>
        <w:t>starting with</w:t>
      </w:r>
      <w:r w:rsidRPr="006F49C4">
        <w:rPr>
          <w:color w:val="000000" w:themeColor="text1"/>
        </w:rPr>
        <w:t xml:space="preserve"> the FY18 SLFS will reflect total current expenditures for each school. </w:t>
      </w:r>
      <w:r>
        <w:rPr>
          <w:color w:val="000000" w:themeColor="text1"/>
        </w:rPr>
        <w:t>Total c</w:t>
      </w:r>
      <w:r w:rsidRPr="006F49C4">
        <w:rPr>
          <w:color w:val="000000" w:themeColor="text1"/>
        </w:rPr>
        <w:t xml:space="preserve">urrent expenditures are comprised of </w:t>
      </w:r>
      <w:r>
        <w:rPr>
          <w:color w:val="000000" w:themeColor="text1"/>
        </w:rPr>
        <w:t xml:space="preserve">(i) </w:t>
      </w:r>
      <w:r w:rsidRPr="006F49C4">
        <w:rPr>
          <w:color w:val="000000" w:themeColor="text1"/>
        </w:rPr>
        <w:t>expenditures for the day-to-day operation of schools and LEAs for public elementary and secondary education, including expenditures for staff salaries and benefits, supplies, and purchased services</w:t>
      </w:r>
      <w:r>
        <w:rPr>
          <w:color w:val="000000" w:themeColor="text1"/>
        </w:rPr>
        <w:t>; (ii) g</w:t>
      </w:r>
      <w:r w:rsidRPr="006F49C4">
        <w:rPr>
          <w:color w:val="000000" w:themeColor="text1"/>
        </w:rPr>
        <w:t>eneral administration expenditures</w:t>
      </w:r>
      <w:r>
        <w:rPr>
          <w:color w:val="000000" w:themeColor="text1"/>
        </w:rPr>
        <w:t xml:space="preserve">; </w:t>
      </w:r>
      <w:r w:rsidRPr="006F49C4">
        <w:rPr>
          <w:color w:val="000000" w:themeColor="text1"/>
        </w:rPr>
        <w:t xml:space="preserve">and </w:t>
      </w:r>
      <w:r>
        <w:rPr>
          <w:color w:val="000000" w:themeColor="text1"/>
        </w:rPr>
        <w:t>(iii)</w:t>
      </w:r>
      <w:r w:rsidRPr="006F49C4">
        <w:rPr>
          <w:color w:val="000000" w:themeColor="text1"/>
        </w:rPr>
        <w:t xml:space="preserve"> school administration expenditures</w:t>
      </w:r>
      <w:r w:rsidR="002A2FE9" w:rsidRPr="002A2FE9">
        <w:t>.</w:t>
      </w:r>
    </w:p>
    <w:p w:rsidR="0058692D" w:rsidRDefault="0071463A" w:rsidP="00336321">
      <w:pPr>
        <w:spacing w:after="120" w:line="22" w:lineRule="atLeast"/>
        <w:rPr>
          <w:iCs/>
        </w:rPr>
      </w:pPr>
      <w:r>
        <w:rPr>
          <w:color w:val="000000"/>
        </w:rPr>
        <w:t xml:space="preserve">The SLFS reporting burden on SEAs is expected to be reduced given that SEAs are currently reporting total current expenditures at the </w:t>
      </w:r>
      <w:r w:rsidR="00106878">
        <w:rPr>
          <w:color w:val="000000"/>
        </w:rPr>
        <w:t xml:space="preserve">state level on NPEFS and at the </w:t>
      </w:r>
      <w:r>
        <w:rPr>
          <w:color w:val="000000"/>
        </w:rPr>
        <w:t xml:space="preserve">district level on F-33 and are now also obligated by law to report </w:t>
      </w:r>
      <w:r w:rsidR="00602E36">
        <w:rPr>
          <w:color w:val="000000"/>
        </w:rPr>
        <w:t xml:space="preserve">expenditures per pupil </w:t>
      </w:r>
      <w:r>
        <w:rPr>
          <w:color w:val="000000"/>
        </w:rPr>
        <w:t>at the school level. Thus, rather than having to parse out certain expenditures such as benefits for staff as had to be done for the FY14-FY17 SLFS, beginning with FY18 SLFS</w:t>
      </w:r>
      <w:r w:rsidR="00357F21">
        <w:rPr>
          <w:color w:val="000000"/>
        </w:rPr>
        <w:t>,</w:t>
      </w:r>
      <w:r>
        <w:rPr>
          <w:color w:val="000000"/>
        </w:rPr>
        <w:t xml:space="preserve"> all current expenditures will be included at the school level</w:t>
      </w:r>
      <w:r w:rsidR="002A2FE9">
        <w:rPr>
          <w:iCs/>
        </w:rPr>
        <w:t>.</w:t>
      </w:r>
    </w:p>
    <w:p w:rsidR="00203201" w:rsidRDefault="00203201" w:rsidP="00336321">
      <w:pPr>
        <w:spacing w:after="120" w:line="22" w:lineRule="atLeast"/>
        <w:rPr>
          <w:iCs/>
        </w:rPr>
      </w:pPr>
      <w:r>
        <w:t>The expenditures per pupil required by ESSA are comparable to expenditures</w:t>
      </w:r>
      <w:r w:rsidR="007A386E">
        <w:t xml:space="preserve"> per pupil derived from NPEFS and F-33</w:t>
      </w:r>
      <w:r>
        <w:t xml:space="preserve"> survey data in that the current expenditures are based on the same functions and objects in each survey. </w:t>
      </w:r>
      <w:r w:rsidRPr="003B2A9E">
        <w:t>A function describes the activity for which a service or material object is acquired.</w:t>
      </w:r>
      <w:r w:rsidRPr="00203201">
        <w:rPr>
          <w:rStyle w:val="FootnoteReference"/>
          <w:vertAlign w:val="superscript"/>
        </w:rPr>
        <w:footnoteReference w:id="5"/>
      </w:r>
      <w:r w:rsidRPr="003B2A9E">
        <w:t xml:space="preserve"> An object is used to describe the service or commodity obtained as a result of a specific expenditure.</w:t>
      </w:r>
      <w:r w:rsidRPr="00203201">
        <w:rPr>
          <w:rStyle w:val="FootnoteReference"/>
          <w:vertAlign w:val="superscript"/>
        </w:rPr>
        <w:footnoteReference w:id="6"/>
      </w:r>
      <w:r>
        <w:t xml:space="preserve"> A</w:t>
      </w:r>
      <w:r w:rsidRPr="00F27E81">
        <w:t>lthough</w:t>
      </w:r>
      <w:r>
        <w:t xml:space="preserve"> the ESSA expenditures per pupil provision does not require data for specific functions and objects to be set forth on SEA and LEA report cards, the underlying functions and objects for the numerator of current expenditures in the expenditures per pupil equation are the same across ESSA reporting and </w:t>
      </w:r>
      <w:r w:rsidR="00E2151C">
        <w:t xml:space="preserve">NPEFS and </w:t>
      </w:r>
      <w:r>
        <w:t>F-33 survey reporting.</w:t>
      </w:r>
    </w:p>
    <w:p w:rsidR="00305BDF" w:rsidRPr="00C747F1" w:rsidRDefault="00305BDF" w:rsidP="00336321">
      <w:pPr>
        <w:spacing w:after="120" w:line="22" w:lineRule="atLeast"/>
        <w:rPr>
          <w:i/>
          <w:u w:val="single"/>
        </w:rPr>
      </w:pPr>
      <w:r w:rsidRPr="00C747F1">
        <w:rPr>
          <w:i/>
          <w:u w:val="single"/>
        </w:rPr>
        <w:t>Statistical Uses</w:t>
      </w:r>
    </w:p>
    <w:p w:rsidR="006C2ADE" w:rsidRDefault="006C2ADE" w:rsidP="00B06042">
      <w:pPr>
        <w:widowControl w:val="0"/>
        <w:spacing w:after="120" w:line="22" w:lineRule="atLeast"/>
        <w:rPr>
          <w:bCs/>
          <w:noProof/>
        </w:rPr>
      </w:pPr>
      <w:r w:rsidRPr="00AA1670">
        <w:t>As a general statistical collection</w:t>
      </w:r>
      <w:r>
        <w:t xml:space="preserve"> SLFS </w:t>
      </w:r>
      <w:r w:rsidRPr="00AA1670">
        <w:t>is used for a range of purposes.</w:t>
      </w:r>
      <w:r>
        <w:t xml:space="preserve"> </w:t>
      </w:r>
      <w:r w:rsidRPr="005B192A">
        <w:t xml:space="preserve">There is a significant demand for finance data at the school level. </w:t>
      </w:r>
      <w:r w:rsidRPr="00E830EA">
        <w:t xml:space="preserve">Policymakers, researchers, and the public have </w:t>
      </w:r>
      <w:r>
        <w:t xml:space="preserve">long </w:t>
      </w:r>
      <w:r w:rsidRPr="00E830EA">
        <w:t>voiced concerns about the equitable distribution of school funding within and across school districts</w:t>
      </w:r>
      <w:r>
        <w:t>.</w:t>
      </w:r>
      <w:r w:rsidRPr="00E830EA">
        <w:t xml:space="preserve"> </w:t>
      </w:r>
      <w:r w:rsidRPr="00E83F44">
        <w:t>School-level finance data addresses the need for reliable and unbiased measures that allow for comparison of how resources are distributed among schools within local districts.</w:t>
      </w:r>
      <w:r>
        <w:rPr>
          <w:color w:val="000000"/>
        </w:rPr>
        <w:t xml:space="preserve"> </w:t>
      </w:r>
      <w:r w:rsidRPr="00C84B76">
        <w:rPr>
          <w:bCs/>
          <w:noProof/>
        </w:rPr>
        <w:t>NCES</w:t>
      </w:r>
      <w:r>
        <w:rPr>
          <w:bCs/>
          <w:noProof/>
        </w:rPr>
        <w:t>’s role,</w:t>
      </w:r>
      <w:r w:rsidRPr="00C84B76">
        <w:rPr>
          <w:bCs/>
          <w:noProof/>
        </w:rPr>
        <w:t xml:space="preserve"> as </w:t>
      </w:r>
      <w:r>
        <w:rPr>
          <w:bCs/>
          <w:noProof/>
        </w:rPr>
        <w:t>the</w:t>
      </w:r>
      <w:r w:rsidRPr="00C84B76">
        <w:rPr>
          <w:bCs/>
          <w:noProof/>
        </w:rPr>
        <w:t xml:space="preserve"> statistical </w:t>
      </w:r>
      <w:r>
        <w:rPr>
          <w:bCs/>
          <w:noProof/>
        </w:rPr>
        <w:t>agency for education,</w:t>
      </w:r>
      <w:r w:rsidRPr="00C84B76">
        <w:rPr>
          <w:bCs/>
          <w:noProof/>
        </w:rPr>
        <w:t xml:space="preserve"> is to inform the conversation about equity by providing objective and comparable data that can be used to measure differences among schools and districts </w:t>
      </w:r>
      <w:r w:rsidR="00AA1CF7">
        <w:rPr>
          <w:bCs/>
          <w:noProof/>
        </w:rPr>
        <w:t>including taking into account</w:t>
      </w:r>
      <w:r w:rsidRPr="00C84B76">
        <w:rPr>
          <w:bCs/>
          <w:noProof/>
        </w:rPr>
        <w:t xml:space="preserve"> the</w:t>
      </w:r>
      <w:r>
        <w:rPr>
          <w:bCs/>
          <w:noProof/>
        </w:rPr>
        <w:t>ir</w:t>
      </w:r>
      <w:r w:rsidRPr="00C84B76">
        <w:rPr>
          <w:bCs/>
          <w:noProof/>
        </w:rPr>
        <w:t xml:space="preserve"> demographic characteristics. School-level finance data have been identified as </w:t>
      </w:r>
      <w:r>
        <w:rPr>
          <w:bCs/>
          <w:noProof/>
        </w:rPr>
        <w:t>curcial</w:t>
      </w:r>
      <w:r w:rsidRPr="00C84B76">
        <w:rPr>
          <w:bCs/>
          <w:noProof/>
        </w:rPr>
        <w:t xml:space="preserve"> </w:t>
      </w:r>
      <w:r>
        <w:rPr>
          <w:bCs/>
          <w:noProof/>
        </w:rPr>
        <w:t>to</w:t>
      </w:r>
      <w:r w:rsidRPr="00C84B76">
        <w:rPr>
          <w:bCs/>
          <w:noProof/>
        </w:rPr>
        <w:t xml:space="preserve"> measur</w:t>
      </w:r>
      <w:r>
        <w:rPr>
          <w:bCs/>
          <w:noProof/>
        </w:rPr>
        <w:t>ing</w:t>
      </w:r>
      <w:r w:rsidRPr="00C84B76">
        <w:rPr>
          <w:bCs/>
          <w:noProof/>
        </w:rPr>
        <w:t xml:space="preserve"> how school-level education resources are distributed across and within school districts and examining the funding distributions across population characteristics (e.g. race/ethnicity make-up, poverty level, urban/rural, etc.) of those schools </w:t>
      </w:r>
      <w:r>
        <w:rPr>
          <w:bCs/>
          <w:noProof/>
        </w:rPr>
        <w:t xml:space="preserve">and </w:t>
      </w:r>
      <w:r w:rsidRPr="00C84B76">
        <w:rPr>
          <w:bCs/>
          <w:noProof/>
        </w:rPr>
        <w:t>districts.</w:t>
      </w:r>
    </w:p>
    <w:p w:rsidR="00A40D7A" w:rsidRDefault="00A40D7A" w:rsidP="00336321">
      <w:pPr>
        <w:widowControl w:val="0"/>
        <w:spacing w:after="120" w:line="22" w:lineRule="atLeast"/>
      </w:pPr>
      <w:r>
        <w:t xml:space="preserve">Education finance data provide powerful information for </w:t>
      </w:r>
      <w:r w:rsidR="00FC53B1">
        <w:t xml:space="preserve">reporting, research, management and budgeting </w:t>
      </w:r>
      <w:r>
        <w:t>decision</w:t>
      </w:r>
      <w:r w:rsidR="00C83139">
        <w:t xml:space="preserve"> </w:t>
      </w:r>
      <w:r>
        <w:t>making, policymaking</w:t>
      </w:r>
      <w:r w:rsidR="00FC53B1">
        <w:t>,</w:t>
      </w:r>
      <w:r>
        <w:t xml:space="preserve"> and evaluation within and across education systems.</w:t>
      </w:r>
      <w:r w:rsidR="002F7842">
        <w:t xml:space="preserve"> </w:t>
      </w:r>
      <w:r>
        <w:t>Uses can be far-ranging from state and national comparisons to individual school le</w:t>
      </w:r>
      <w:r w:rsidR="00FC53B1">
        <w:t>vel management of resources</w:t>
      </w:r>
      <w:r>
        <w:t>.</w:t>
      </w:r>
      <w:r w:rsidR="002F7842">
        <w:t xml:space="preserve"> </w:t>
      </w:r>
      <w:r w:rsidR="00C83139">
        <w:t>The consumers of education finance data typically include five major groups: (1) oversight bodies such as school boards</w:t>
      </w:r>
      <w:r w:rsidR="00031727">
        <w:t xml:space="preserve">, </w:t>
      </w:r>
      <w:r w:rsidR="00F91D04">
        <w:t>SEAs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673E11" w:rsidRDefault="006F1A63" w:rsidP="00336321">
      <w:pPr>
        <w:widowControl w:val="0"/>
        <w:autoSpaceDE w:val="0"/>
        <w:autoSpaceDN w:val="0"/>
        <w:adjustRightInd w:val="0"/>
        <w:spacing w:after="120" w:line="22" w:lineRule="atLeast"/>
      </w:pPr>
      <w:r>
        <w:t xml:space="preserve">SLFS </w:t>
      </w:r>
      <w:r w:rsidR="00177C3C" w:rsidRPr="00AA1670">
        <w:t xml:space="preserve">data </w:t>
      </w:r>
      <w:r>
        <w:t xml:space="preserve">may </w:t>
      </w:r>
      <w:r w:rsidR="00177C3C">
        <w:t xml:space="preserve">also </w:t>
      </w:r>
      <w:r>
        <w:t xml:space="preserve">be </w:t>
      </w:r>
      <w:r w:rsidR="00177C3C" w:rsidRPr="00AA1670">
        <w:t xml:space="preserve">used </w:t>
      </w:r>
      <w:r w:rsidR="00177C3C">
        <w:t>for</w:t>
      </w:r>
      <w:r w:rsidR="00177C3C" w:rsidRPr="00AA1670">
        <w:t xml:space="preserve"> the </w:t>
      </w:r>
      <w:r w:rsidR="00177C3C" w:rsidRPr="00AA1670">
        <w:rPr>
          <w:i/>
          <w:iCs/>
        </w:rPr>
        <w:t>Condition of Education</w:t>
      </w:r>
      <w:r w:rsidR="00177C3C">
        <w:rPr>
          <w:i/>
          <w:iCs/>
        </w:rPr>
        <w:t xml:space="preserve"> </w:t>
      </w:r>
      <w:r w:rsidR="00177C3C">
        <w:t>–</w:t>
      </w:r>
      <w:r w:rsidR="00177C3C" w:rsidRPr="00AA1670">
        <w:t xml:space="preserve"> </w:t>
      </w:r>
      <w:r w:rsidR="00177C3C" w:rsidRPr="00DD4F75">
        <w:t>a congressionally</w:t>
      </w:r>
      <w:r w:rsidR="00177C3C">
        <w:t xml:space="preserve"> </w:t>
      </w:r>
      <w:r w:rsidR="00177C3C" w:rsidRPr="00DD4F75">
        <w:t xml:space="preserve">mandated annual report </w:t>
      </w:r>
      <w:r w:rsidR="00177C3C">
        <w:t xml:space="preserve">from </w:t>
      </w:r>
      <w:r w:rsidR="00177C3C" w:rsidRPr="00AA1670">
        <w:t>NCES</w:t>
      </w:r>
      <w:r w:rsidR="00E3481B">
        <w:t>,</w:t>
      </w:r>
      <w:r w:rsidR="00385E0C">
        <w:t xml:space="preserve"> for</w:t>
      </w:r>
      <w:r w:rsidR="00177C3C">
        <w:t xml:space="preserve"> </w:t>
      </w:r>
      <w:r w:rsidR="00177C3C" w:rsidRPr="00AA1670">
        <w:rPr>
          <w:color w:val="000000"/>
        </w:rPr>
        <w:t xml:space="preserve">the </w:t>
      </w:r>
      <w:r w:rsidR="00177C3C" w:rsidRPr="00AA1670">
        <w:rPr>
          <w:i/>
          <w:iCs/>
          <w:color w:val="000000"/>
        </w:rPr>
        <w:t xml:space="preserve">Digest </w:t>
      </w:r>
      <w:r w:rsidR="00E3481B">
        <w:rPr>
          <w:i/>
          <w:iCs/>
          <w:color w:val="000000"/>
        </w:rPr>
        <w:t>of Education Statistics</w:t>
      </w:r>
      <w:r w:rsidR="00E3481B">
        <w:rPr>
          <w:color w:val="000000"/>
        </w:rPr>
        <w:t>, a</w:t>
      </w:r>
      <w:r w:rsidR="00177C3C" w:rsidRPr="00AA1670">
        <w:rPr>
          <w:color w:val="000000"/>
        </w:rPr>
        <w:t xml:space="preserve">nd </w:t>
      </w:r>
      <w:r w:rsidR="003D2ED7">
        <w:rPr>
          <w:color w:val="000000"/>
        </w:rPr>
        <w:t xml:space="preserve">in </w:t>
      </w:r>
      <w:r>
        <w:rPr>
          <w:color w:val="000000"/>
        </w:rPr>
        <w:t>research and development reports.</w:t>
      </w:r>
      <w:r w:rsidR="00673E11">
        <w:rPr>
          <w:color w:val="000000"/>
        </w:rPr>
        <w:t xml:space="preserve"> </w:t>
      </w:r>
      <w:r w:rsidR="00177C3C" w:rsidRPr="00AA1670">
        <w:rPr>
          <w:color w:val="000000"/>
        </w:rPr>
        <w:t xml:space="preserve">The NCES website makes the </w:t>
      </w:r>
      <w:r w:rsidR="00177C3C">
        <w:rPr>
          <w:color w:val="000000"/>
        </w:rPr>
        <w:t xml:space="preserve">CCD school finance data </w:t>
      </w:r>
      <w:r w:rsidR="00177C3C" w:rsidRPr="00AA1670">
        <w:rPr>
          <w:color w:val="000000"/>
        </w:rPr>
        <w:t>available to the general publi</w:t>
      </w:r>
      <w:r w:rsidR="00177C3C">
        <w:rPr>
          <w:color w:val="000000"/>
        </w:rPr>
        <w:t>c through public use data files</w:t>
      </w:r>
      <w:r w:rsidR="00177C3C" w:rsidRPr="00AA1670">
        <w:rPr>
          <w:color w:val="000000"/>
        </w:rPr>
        <w:t xml:space="preserve"> and through easy to use applications</w:t>
      </w:r>
      <w:r w:rsidR="00E3481B">
        <w:rPr>
          <w:color w:val="000000"/>
        </w:rPr>
        <w:t>,</w:t>
      </w:r>
      <w:r w:rsidR="00177C3C" w:rsidRPr="00AA1670">
        <w:rPr>
          <w:color w:val="000000"/>
        </w:rPr>
        <w:t xml:space="preserve"> such as </w:t>
      </w:r>
      <w:r w:rsidR="00177C3C" w:rsidRPr="00FB3F2B">
        <w:rPr>
          <w:color w:val="000000"/>
        </w:rPr>
        <w:t xml:space="preserve">the </w:t>
      </w:r>
      <w:r w:rsidR="004D0609">
        <w:rPr>
          <w:color w:val="000000"/>
        </w:rPr>
        <w:t>S</w:t>
      </w:r>
      <w:r w:rsidR="00177C3C" w:rsidRPr="00FB3F2B">
        <w:t xml:space="preserve">earch for </w:t>
      </w:r>
      <w:r w:rsidR="004D0609">
        <w:t>P</w:t>
      </w:r>
      <w:r w:rsidR="00177C3C" w:rsidRPr="00FB3F2B">
        <w:t xml:space="preserve">ublic </w:t>
      </w:r>
      <w:r w:rsidR="004D0609">
        <w:t>S</w:t>
      </w:r>
      <w:r w:rsidR="00177C3C" w:rsidRPr="00FB3F2B">
        <w:t>chools</w:t>
      </w:r>
      <w:r w:rsidR="00177C3C">
        <w:t xml:space="preserve"> and </w:t>
      </w:r>
      <w:r w:rsidR="004D0609">
        <w:t>D</w:t>
      </w:r>
      <w:r w:rsidR="00177C3C" w:rsidRPr="00FB3F2B">
        <w:t>istricts locator</w:t>
      </w:r>
      <w:r w:rsidR="004D0609">
        <w:t xml:space="preserve"> tool</w:t>
      </w:r>
      <w:r w:rsidR="00177C3C" w:rsidRPr="00FB3F2B">
        <w:t xml:space="preserve"> </w:t>
      </w:r>
      <w:r w:rsidR="003D2ED7">
        <w:t xml:space="preserve">and the </w:t>
      </w:r>
      <w:r w:rsidR="00177C3C" w:rsidRPr="00FB3F2B">
        <w:t>Elementary-Secondary Information System</w:t>
      </w:r>
      <w:r w:rsidR="00D70594">
        <w:t xml:space="preserve"> (E</w:t>
      </w:r>
      <w:r w:rsidR="00146304">
        <w:t>l</w:t>
      </w:r>
      <w:r w:rsidR="00D70594">
        <w:t>S</w:t>
      </w:r>
      <w:r w:rsidR="00146304">
        <w:t>i</w:t>
      </w:r>
      <w:r w:rsidR="00D70594">
        <w:t>)</w:t>
      </w:r>
      <w:r w:rsidR="00735D3D" w:rsidRPr="00735D3D">
        <w:t xml:space="preserve"> </w:t>
      </w:r>
      <w:r w:rsidR="00735D3D">
        <w:t>t</w:t>
      </w:r>
      <w:r w:rsidR="00735D3D" w:rsidRPr="00FB3F2B">
        <w:t>ool</w:t>
      </w:r>
      <w:r w:rsidR="003D2ED7">
        <w:t>.</w:t>
      </w:r>
    </w:p>
    <w:p w:rsidR="00B30C42" w:rsidRPr="001A61A2" w:rsidRDefault="001A61A2" w:rsidP="00336321">
      <w:pPr>
        <w:autoSpaceDE w:val="0"/>
        <w:autoSpaceDN w:val="0"/>
        <w:adjustRightInd w:val="0"/>
        <w:spacing w:after="120" w:line="22" w:lineRule="atLeast"/>
        <w:rPr>
          <w:b/>
          <w:bCs/>
          <w:color w:val="000000"/>
        </w:rPr>
      </w:pPr>
      <w:r w:rsidRPr="001A61A2">
        <w:rPr>
          <w:b/>
          <w:bCs/>
          <w:color w:val="000000"/>
        </w:rPr>
        <w:t>A</w:t>
      </w:r>
      <w:r>
        <w:rPr>
          <w:b/>
          <w:bCs/>
          <w:color w:val="000000"/>
        </w:rPr>
        <w:t>3.</w:t>
      </w:r>
      <w:r>
        <w:rPr>
          <w:b/>
          <w:bCs/>
          <w:color w:val="000000"/>
        </w:rPr>
        <w:tab/>
      </w:r>
      <w:r w:rsidRPr="001A61A2">
        <w:rPr>
          <w:b/>
          <w:bCs/>
        </w:rPr>
        <w:t>Use of Information Technology</w:t>
      </w:r>
    </w:p>
    <w:p w:rsidR="00D55570" w:rsidRDefault="00E3481B" w:rsidP="00336321">
      <w:pPr>
        <w:spacing w:after="120" w:line="22" w:lineRule="atLeast"/>
        <w:rPr>
          <w:color w:val="000000"/>
        </w:rPr>
      </w:pPr>
      <w:r>
        <w:rPr>
          <w:color w:val="000000"/>
        </w:rPr>
        <w:t>SEA r</w:t>
      </w:r>
      <w:r w:rsidR="00D55570" w:rsidRPr="00D55570">
        <w:rPr>
          <w:color w:val="000000"/>
        </w:rPr>
        <w:t xml:space="preserve">espondents </w:t>
      </w:r>
      <w:r>
        <w:rPr>
          <w:color w:val="000000"/>
        </w:rPr>
        <w:t>submit</w:t>
      </w:r>
      <w:r w:rsidR="00D55570" w:rsidRPr="00D55570">
        <w:rPr>
          <w:color w:val="000000"/>
        </w:rPr>
        <w:t xml:space="preserve"> data files </w:t>
      </w:r>
      <w:r>
        <w:rPr>
          <w:color w:val="000000"/>
        </w:rPr>
        <w:t>via</w:t>
      </w:r>
      <w:r w:rsidR="00D55570" w:rsidRPr="00D55570">
        <w:rPr>
          <w:color w:val="000000"/>
        </w:rPr>
        <w:t xml:space="preserve"> </w:t>
      </w:r>
      <w:r w:rsidR="00D55570">
        <w:rPr>
          <w:color w:val="000000"/>
        </w:rPr>
        <w:t>Census</w:t>
      </w:r>
      <w:r>
        <w:rPr>
          <w:color w:val="000000"/>
        </w:rPr>
        <w:t xml:space="preserve">’s </w:t>
      </w:r>
      <w:r>
        <w:t>File Transfer Protocol</w:t>
      </w:r>
      <w:r w:rsidR="00D55570" w:rsidRPr="00D55570">
        <w:rPr>
          <w:color w:val="000000"/>
        </w:rPr>
        <w:t xml:space="preserve"> </w:t>
      </w:r>
      <w:r>
        <w:rPr>
          <w:color w:val="000000"/>
        </w:rPr>
        <w:t>(</w:t>
      </w:r>
      <w:r w:rsidR="00D55570" w:rsidRPr="00D55570">
        <w:rPr>
          <w:color w:val="000000"/>
        </w:rPr>
        <w:t>FTP</w:t>
      </w:r>
      <w:r>
        <w:rPr>
          <w:color w:val="000000"/>
        </w:rPr>
        <w:t>)</w:t>
      </w:r>
      <w:r w:rsidR="00D55570" w:rsidRPr="00D55570">
        <w:rPr>
          <w:color w:val="000000"/>
        </w:rPr>
        <w:t xml:space="preserve"> </w:t>
      </w:r>
      <w:r w:rsidR="00F42A80">
        <w:rPr>
          <w:color w:val="000000"/>
        </w:rPr>
        <w:t>web</w:t>
      </w:r>
      <w:r w:rsidR="00D55570" w:rsidRPr="00D55570">
        <w:rPr>
          <w:color w:val="000000"/>
        </w:rPr>
        <w:t>site</w:t>
      </w:r>
      <w:r>
        <w:rPr>
          <w:color w:val="000000"/>
        </w:rPr>
        <w:t xml:space="preserve">, including their </w:t>
      </w:r>
      <w:r w:rsidRPr="00D55570">
        <w:rPr>
          <w:color w:val="000000"/>
        </w:rPr>
        <w:t>data plan</w:t>
      </w:r>
      <w:r w:rsidR="007B647D">
        <w:rPr>
          <w:color w:val="000000"/>
        </w:rPr>
        <w:t>,</w:t>
      </w:r>
      <w:r>
        <w:rPr>
          <w:color w:val="000000"/>
        </w:rPr>
        <w:t xml:space="preserve"> or later </w:t>
      </w:r>
      <w:r w:rsidRPr="00D55570">
        <w:rPr>
          <w:color w:val="000000"/>
        </w:rPr>
        <w:t>email</w:t>
      </w:r>
      <w:r>
        <w:rPr>
          <w:color w:val="000000"/>
        </w:rPr>
        <w:t>ing it</w:t>
      </w:r>
      <w:r w:rsidRPr="00D55570">
        <w:rPr>
          <w:color w:val="000000"/>
        </w:rPr>
        <w:t xml:space="preserve"> separately to </w:t>
      </w:r>
      <w:r>
        <w:rPr>
          <w:color w:val="000000"/>
        </w:rPr>
        <w:t>Census.</w:t>
      </w:r>
      <w:r w:rsidR="006C1401">
        <w:rPr>
          <w:color w:val="000000"/>
        </w:rPr>
        <w:t xml:space="preserve"> </w:t>
      </w:r>
      <w:r>
        <w:rPr>
          <w:color w:val="000000"/>
        </w:rPr>
        <w:t xml:space="preserve">Census retrieves the </w:t>
      </w:r>
      <w:r w:rsidR="007B647D">
        <w:rPr>
          <w:color w:val="000000"/>
        </w:rPr>
        <w:t xml:space="preserve">submitted </w:t>
      </w:r>
      <w:r>
        <w:rPr>
          <w:color w:val="000000"/>
        </w:rPr>
        <w:t xml:space="preserve">data files </w:t>
      </w:r>
      <w:r w:rsidR="00D55570" w:rsidRPr="00D55570">
        <w:rPr>
          <w:color w:val="000000"/>
        </w:rPr>
        <w:t>from the FTP server</w:t>
      </w:r>
      <w:r w:rsidR="00D55570">
        <w:rPr>
          <w:color w:val="000000"/>
        </w:rPr>
        <w:t>.</w:t>
      </w:r>
    </w:p>
    <w:p w:rsidR="00B30C42" w:rsidRPr="00AA1670" w:rsidRDefault="008678A4" w:rsidP="00336321">
      <w:pPr>
        <w:autoSpaceDE w:val="0"/>
        <w:autoSpaceDN w:val="0"/>
        <w:adjustRightInd w:val="0"/>
        <w:spacing w:after="120" w:line="22" w:lineRule="atLeast"/>
        <w:rPr>
          <w:b/>
          <w:bCs/>
          <w:color w:val="000000"/>
        </w:rPr>
      </w:pPr>
      <w:r>
        <w:rPr>
          <w:b/>
          <w:bCs/>
          <w:color w:val="000000"/>
        </w:rPr>
        <w:t>A</w:t>
      </w:r>
      <w:r w:rsidR="00B30C42" w:rsidRPr="00AA1670">
        <w:rPr>
          <w:b/>
          <w:bCs/>
          <w:color w:val="000000"/>
        </w:rPr>
        <w:t>4.</w:t>
      </w:r>
      <w:r>
        <w:rPr>
          <w:b/>
          <w:bCs/>
          <w:color w:val="000000"/>
        </w:rPr>
        <w:tab/>
      </w:r>
      <w:r w:rsidR="001A0F98">
        <w:rPr>
          <w:b/>
          <w:bCs/>
          <w:color w:val="000000"/>
        </w:rPr>
        <w:t>Efforts t</w:t>
      </w:r>
      <w:r w:rsidRPr="00AA1670">
        <w:rPr>
          <w:b/>
          <w:bCs/>
          <w:color w:val="000000"/>
        </w:rPr>
        <w:t>o Identify Duplication</w:t>
      </w:r>
    </w:p>
    <w:p w:rsidR="00DB4945" w:rsidRPr="00B43008" w:rsidRDefault="00DB4945" w:rsidP="00DB4945">
      <w:pPr>
        <w:shd w:val="clear" w:color="auto" w:fill="FFFFFF"/>
        <w:spacing w:after="120" w:line="22" w:lineRule="atLeast"/>
        <w:textAlignment w:val="center"/>
        <w:rPr>
          <w:color w:val="000000"/>
        </w:rPr>
      </w:pPr>
      <w:r w:rsidRPr="00B43008">
        <w:rPr>
          <w:color w:val="000000"/>
        </w:rPr>
        <w:t xml:space="preserve">SLFS is </w:t>
      </w:r>
      <w:r>
        <w:rPr>
          <w:color w:val="000000"/>
        </w:rPr>
        <w:t xml:space="preserve">the only national </w:t>
      </w:r>
      <w:r w:rsidRPr="00B43008">
        <w:rPr>
          <w:color w:val="000000"/>
        </w:rPr>
        <w:t>annual collection of school-level finance data. The survey most closely resembling SLFS is F-33.</w:t>
      </w:r>
      <w:r>
        <w:rPr>
          <w:color w:val="000000"/>
        </w:rPr>
        <w:t xml:space="preserve"> F-33</w:t>
      </w:r>
      <w:r w:rsidRPr="00B43008">
        <w:rPr>
          <w:color w:val="000000"/>
        </w:rPr>
        <w:t xml:space="preserve"> is </w:t>
      </w:r>
      <w:r>
        <w:rPr>
          <w:color w:val="000000"/>
        </w:rPr>
        <w:t>an</w:t>
      </w:r>
      <w:r w:rsidRPr="00B43008">
        <w:rPr>
          <w:color w:val="000000"/>
        </w:rPr>
        <w:t xml:space="preserve"> annual collection of school, district</w:t>
      </w:r>
      <w:r>
        <w:rPr>
          <w:color w:val="000000"/>
        </w:rPr>
        <w:t>-level finance data</w:t>
      </w:r>
      <w:r w:rsidRPr="00B43008">
        <w:rPr>
          <w:color w:val="000000"/>
        </w:rPr>
        <w:t xml:space="preserve">, including data on local revenues by source and state, federal revenues by program, expenditures by function </w:t>
      </w:r>
      <w:r>
        <w:rPr>
          <w:color w:val="000000"/>
        </w:rPr>
        <w:t xml:space="preserve">and object, debt, and school district cash and investments (assets). </w:t>
      </w:r>
      <w:r w:rsidRPr="00B43008">
        <w:rPr>
          <w:color w:val="000000"/>
        </w:rPr>
        <w:t xml:space="preserve">NPEFS is another comprehensive </w:t>
      </w:r>
      <w:r>
        <w:rPr>
          <w:color w:val="000000"/>
        </w:rPr>
        <w:t xml:space="preserve">NCES </w:t>
      </w:r>
      <w:r w:rsidRPr="00B43008">
        <w:rPr>
          <w:color w:val="000000"/>
        </w:rPr>
        <w:t xml:space="preserve">collection of education finance data used to </w:t>
      </w:r>
      <w:r>
        <w:rPr>
          <w:color w:val="000000"/>
        </w:rPr>
        <w:t>report</w:t>
      </w:r>
      <w:r w:rsidRPr="00B43008">
        <w:rPr>
          <w:color w:val="000000"/>
        </w:rPr>
        <w:t xml:space="preserve"> actual revenues and expenditures made by public school systems for elementary-secondary education.</w:t>
      </w:r>
      <w:r>
        <w:rPr>
          <w:color w:val="000000"/>
        </w:rPr>
        <w:t xml:space="preserve"> The key distinction </w:t>
      </w:r>
      <w:r w:rsidR="00CD0061">
        <w:rPr>
          <w:color w:val="000000"/>
        </w:rPr>
        <w:t xml:space="preserve">between the three surveys </w:t>
      </w:r>
      <w:r>
        <w:rPr>
          <w:color w:val="000000"/>
        </w:rPr>
        <w:t xml:space="preserve">is that </w:t>
      </w:r>
      <w:r w:rsidRPr="00B43008">
        <w:rPr>
          <w:color w:val="000000"/>
        </w:rPr>
        <w:t xml:space="preserve">NPEFS </w:t>
      </w:r>
      <w:r>
        <w:rPr>
          <w:color w:val="000000"/>
        </w:rPr>
        <w:t>collects school finance data at the state level,</w:t>
      </w:r>
      <w:r w:rsidRPr="00B43008">
        <w:rPr>
          <w:color w:val="000000"/>
        </w:rPr>
        <w:t xml:space="preserve"> F-33 </w:t>
      </w:r>
      <w:r>
        <w:rPr>
          <w:color w:val="000000"/>
        </w:rPr>
        <w:t>at a school district level</w:t>
      </w:r>
      <w:r w:rsidRPr="00B43008">
        <w:rPr>
          <w:color w:val="000000"/>
        </w:rPr>
        <w:t xml:space="preserve">, </w:t>
      </w:r>
      <w:r>
        <w:rPr>
          <w:color w:val="000000"/>
        </w:rPr>
        <w:t>and</w:t>
      </w:r>
      <w:r w:rsidRPr="00B43008">
        <w:rPr>
          <w:color w:val="000000"/>
        </w:rPr>
        <w:t xml:space="preserve"> </w:t>
      </w:r>
      <w:r>
        <w:rPr>
          <w:color w:val="000000"/>
        </w:rPr>
        <w:t>SLFS</w:t>
      </w:r>
      <w:r w:rsidRPr="00B43008">
        <w:rPr>
          <w:color w:val="000000"/>
        </w:rPr>
        <w:t xml:space="preserve"> </w:t>
      </w:r>
      <w:r>
        <w:rPr>
          <w:color w:val="000000"/>
        </w:rPr>
        <w:t>at a school level</w:t>
      </w:r>
      <w:r w:rsidRPr="00B43008">
        <w:rPr>
          <w:color w:val="000000"/>
        </w:rPr>
        <w:t>.</w:t>
      </w:r>
      <w:r>
        <w:rPr>
          <w:color w:val="000000"/>
        </w:rPr>
        <w:t xml:space="preserve"> O</w:t>
      </w:r>
      <w:r w:rsidRPr="00B43008">
        <w:rPr>
          <w:color w:val="000000"/>
        </w:rPr>
        <w:t xml:space="preserve">ther </w:t>
      </w:r>
      <w:r>
        <w:rPr>
          <w:color w:val="000000"/>
        </w:rPr>
        <w:t>significant</w:t>
      </w:r>
      <w:r w:rsidRPr="00B43008">
        <w:rPr>
          <w:color w:val="000000"/>
        </w:rPr>
        <w:t xml:space="preserve"> differences between SLFS, F-33, and NPEFS</w:t>
      </w:r>
      <w:r>
        <w:rPr>
          <w:color w:val="000000"/>
        </w:rPr>
        <w:t xml:space="preserve"> include</w:t>
      </w:r>
      <w:r w:rsidRPr="00B43008">
        <w:rPr>
          <w:color w:val="000000"/>
        </w:rPr>
        <w:t>:</w:t>
      </w:r>
    </w:p>
    <w:p w:rsidR="006C2ADE" w:rsidRPr="00567B28" w:rsidRDefault="006C2ADE" w:rsidP="00336321">
      <w:pPr>
        <w:pStyle w:val="ListParagraph"/>
        <w:numPr>
          <w:ilvl w:val="0"/>
          <w:numId w:val="22"/>
        </w:numPr>
        <w:shd w:val="clear" w:color="auto" w:fill="FFFFFF"/>
        <w:spacing w:after="120" w:line="22" w:lineRule="atLeast"/>
        <w:ind w:left="540" w:hanging="270"/>
        <w:textAlignment w:val="center"/>
        <w:rPr>
          <w:color w:val="000000"/>
        </w:rPr>
      </w:pPr>
      <w:r w:rsidRPr="00567B28">
        <w:rPr>
          <w:color w:val="000000"/>
        </w:rPr>
        <w:t>The reporting deadlines for each collection are substantially different;</w:t>
      </w:r>
    </w:p>
    <w:p w:rsidR="006C2ADE" w:rsidRPr="00567B28" w:rsidRDefault="006C2ADE" w:rsidP="00336321">
      <w:pPr>
        <w:pStyle w:val="ListParagraph"/>
        <w:shd w:val="clear" w:color="auto" w:fill="FFFFFF"/>
        <w:spacing w:after="120" w:line="22" w:lineRule="atLeast"/>
        <w:ind w:left="540"/>
        <w:textAlignment w:val="center"/>
        <w:rPr>
          <w:color w:val="000000"/>
        </w:rPr>
      </w:pPr>
      <w:r w:rsidRPr="00567B28">
        <w:rPr>
          <w:color w:val="000000"/>
        </w:rPr>
        <w:t>and</w:t>
      </w:r>
    </w:p>
    <w:p w:rsidR="006C2ADE" w:rsidRPr="00567B28" w:rsidRDefault="006C2ADE" w:rsidP="00336321">
      <w:pPr>
        <w:pStyle w:val="ListParagraph"/>
        <w:numPr>
          <w:ilvl w:val="0"/>
          <w:numId w:val="22"/>
        </w:numPr>
        <w:shd w:val="clear" w:color="auto" w:fill="FFFFFF"/>
        <w:spacing w:after="120" w:line="22" w:lineRule="atLeast"/>
        <w:ind w:left="540" w:hanging="270"/>
        <w:textAlignment w:val="center"/>
        <w:rPr>
          <w:color w:val="000000"/>
        </w:rPr>
      </w:pPr>
      <w:r w:rsidRPr="00567B28">
        <w:rPr>
          <w:color w:val="000000"/>
        </w:rPr>
        <w:t>The timing of the editing processes and procedures by SEAs vary greatly between the three surveys given the different levels of collections and varied items collected on each survey.</w:t>
      </w:r>
    </w:p>
    <w:p w:rsidR="006C2ADE" w:rsidRDefault="006C2ADE" w:rsidP="00336321">
      <w:pPr>
        <w:shd w:val="clear" w:color="auto" w:fill="FFFFFF"/>
        <w:spacing w:after="120" w:line="22" w:lineRule="atLeast"/>
        <w:textAlignment w:val="center"/>
        <w:rPr>
          <w:color w:val="000000"/>
        </w:rPr>
      </w:pPr>
      <w:r w:rsidRPr="00B43008">
        <w:rPr>
          <w:i/>
          <w:iCs/>
          <w:color w:val="000000"/>
          <w:u w:val="single"/>
        </w:rPr>
        <w:t xml:space="preserve">The reporting deadlines </w:t>
      </w:r>
      <w:r>
        <w:rPr>
          <w:i/>
          <w:iCs/>
          <w:color w:val="000000"/>
          <w:u w:val="single"/>
        </w:rPr>
        <w:t xml:space="preserve">for each collection </w:t>
      </w:r>
      <w:r w:rsidRPr="00B43008">
        <w:rPr>
          <w:i/>
          <w:iCs/>
          <w:color w:val="000000"/>
          <w:u w:val="single"/>
        </w:rPr>
        <w:t>are substantially different</w:t>
      </w:r>
    </w:p>
    <w:p w:rsidR="006C2ADE" w:rsidRPr="00B43008" w:rsidRDefault="006C2ADE" w:rsidP="00336321">
      <w:pPr>
        <w:shd w:val="clear" w:color="auto" w:fill="FFFFFF"/>
        <w:spacing w:after="120" w:line="22" w:lineRule="atLeast"/>
        <w:textAlignment w:val="center"/>
        <w:rPr>
          <w:color w:val="000000"/>
        </w:rPr>
      </w:pPr>
      <w:r w:rsidRPr="00B43008">
        <w:rPr>
          <w:color w:val="000000"/>
        </w:rPr>
        <w:t xml:space="preserve">The most significant barrier to consolidation of the SLFS, F-33, and NPEFS surveys is the difference in the timing of reporting deadlines for each survey. In order to comply with federal statutory obligations and to provide the data needed by the Secretary of Education to calculate allocations for and allow for timely distribution of federal funds, States must submit current year and revised prior year state-level </w:t>
      </w:r>
      <w:r>
        <w:rPr>
          <w:color w:val="000000"/>
        </w:rPr>
        <w:t xml:space="preserve">NPEFS </w:t>
      </w:r>
      <w:r w:rsidRPr="00B43008">
        <w:rPr>
          <w:color w:val="000000"/>
        </w:rPr>
        <w:t xml:space="preserve">data by August 15 of each year. However, many states do not currently report the </w:t>
      </w:r>
      <w:r>
        <w:rPr>
          <w:color w:val="000000"/>
        </w:rPr>
        <w:t xml:space="preserve">school-level </w:t>
      </w:r>
      <w:r w:rsidRPr="00B43008">
        <w:rPr>
          <w:color w:val="000000"/>
        </w:rPr>
        <w:t xml:space="preserve">SLFS and </w:t>
      </w:r>
      <w:r>
        <w:rPr>
          <w:color w:val="000000"/>
        </w:rPr>
        <w:t>school district-level F-33 survey</w:t>
      </w:r>
      <w:r w:rsidRPr="00B43008">
        <w:rPr>
          <w:color w:val="000000"/>
        </w:rPr>
        <w:t xml:space="preserve"> data until December of each year.</w:t>
      </w:r>
    </w:p>
    <w:p w:rsidR="006C2ADE" w:rsidRDefault="006C2ADE" w:rsidP="00336321">
      <w:pPr>
        <w:shd w:val="clear" w:color="auto" w:fill="FFFFFF"/>
        <w:spacing w:after="120" w:line="22" w:lineRule="atLeast"/>
        <w:textAlignment w:val="center"/>
        <w:rPr>
          <w:color w:val="000000"/>
        </w:rPr>
      </w:pPr>
      <w:r w:rsidRPr="00B43008">
        <w:rPr>
          <w:i/>
          <w:iCs/>
          <w:color w:val="000000"/>
          <w:u w:val="single"/>
        </w:rPr>
        <w:t>The timing of editing processes and procedures by SEAs vary greatly between state</w:t>
      </w:r>
      <w:r>
        <w:rPr>
          <w:i/>
          <w:iCs/>
          <w:color w:val="000000"/>
          <w:u w:val="single"/>
        </w:rPr>
        <w:t>-</w:t>
      </w:r>
      <w:r w:rsidRPr="00B43008">
        <w:rPr>
          <w:i/>
          <w:iCs/>
          <w:color w:val="000000"/>
          <w:u w:val="single"/>
        </w:rPr>
        <w:t>level</w:t>
      </w:r>
      <w:r>
        <w:rPr>
          <w:i/>
          <w:iCs/>
          <w:color w:val="000000"/>
          <w:u w:val="single"/>
        </w:rPr>
        <w:t>, school district-level,</w:t>
      </w:r>
      <w:r w:rsidRPr="00B43008">
        <w:rPr>
          <w:i/>
          <w:iCs/>
          <w:color w:val="000000"/>
          <w:u w:val="single"/>
        </w:rPr>
        <w:t xml:space="preserve"> </w:t>
      </w:r>
      <w:r>
        <w:rPr>
          <w:i/>
          <w:iCs/>
          <w:color w:val="000000"/>
          <w:u w:val="single"/>
        </w:rPr>
        <w:t>and s</w:t>
      </w:r>
      <w:r w:rsidRPr="00B43008">
        <w:rPr>
          <w:i/>
          <w:iCs/>
          <w:color w:val="000000"/>
          <w:u w:val="single"/>
        </w:rPr>
        <w:t xml:space="preserve">chool-level </w:t>
      </w:r>
      <w:r>
        <w:rPr>
          <w:i/>
          <w:iCs/>
          <w:color w:val="000000"/>
          <w:u w:val="single"/>
        </w:rPr>
        <w:t>finance</w:t>
      </w:r>
      <w:r w:rsidRPr="00B43008">
        <w:rPr>
          <w:i/>
          <w:iCs/>
          <w:color w:val="000000"/>
          <w:u w:val="single"/>
        </w:rPr>
        <w:t xml:space="preserve"> data</w:t>
      </w:r>
    </w:p>
    <w:p w:rsidR="00001459" w:rsidRDefault="00001459" w:rsidP="00001459">
      <w:pPr>
        <w:shd w:val="clear" w:color="auto" w:fill="FFFFFF"/>
        <w:spacing w:after="120" w:line="22" w:lineRule="atLeast"/>
        <w:textAlignment w:val="center"/>
        <w:rPr>
          <w:color w:val="000000"/>
        </w:rPr>
      </w:pPr>
      <w:r w:rsidRPr="00B43008">
        <w:rPr>
          <w:color w:val="000000"/>
        </w:rPr>
        <w:t>The timing of editing processes and procedures by SEAs vary greatly between the state</w:t>
      </w:r>
      <w:r>
        <w:rPr>
          <w:color w:val="000000"/>
        </w:rPr>
        <w:t>-</w:t>
      </w:r>
      <w:r w:rsidRPr="00B43008">
        <w:rPr>
          <w:color w:val="000000"/>
        </w:rPr>
        <w:t xml:space="preserve">level NPEFS </w:t>
      </w:r>
      <w:r>
        <w:rPr>
          <w:color w:val="000000"/>
        </w:rPr>
        <w:t>data, school district-level</w:t>
      </w:r>
      <w:r w:rsidRPr="00B43008">
        <w:rPr>
          <w:color w:val="000000"/>
        </w:rPr>
        <w:t xml:space="preserve"> </w:t>
      </w:r>
      <w:r>
        <w:rPr>
          <w:color w:val="000000"/>
        </w:rPr>
        <w:t xml:space="preserve">F-33 </w:t>
      </w:r>
      <w:r w:rsidRPr="00B43008">
        <w:rPr>
          <w:color w:val="000000"/>
        </w:rPr>
        <w:t>data</w:t>
      </w:r>
      <w:r>
        <w:rPr>
          <w:color w:val="000000"/>
        </w:rPr>
        <w:t>, and the school-level SLFS data</w:t>
      </w:r>
      <w:r w:rsidRPr="00B43008">
        <w:rPr>
          <w:color w:val="000000"/>
        </w:rPr>
        <w:t>. While SEAs are able to submit state</w:t>
      </w:r>
      <w:r>
        <w:rPr>
          <w:color w:val="000000"/>
        </w:rPr>
        <w:t>-</w:t>
      </w:r>
      <w:r w:rsidRPr="00B43008">
        <w:rPr>
          <w:color w:val="000000"/>
        </w:rPr>
        <w:t xml:space="preserve">level </w:t>
      </w:r>
      <w:r>
        <w:rPr>
          <w:color w:val="000000"/>
        </w:rPr>
        <w:t xml:space="preserve">NPEFS </w:t>
      </w:r>
      <w:r w:rsidRPr="00B43008">
        <w:rPr>
          <w:color w:val="000000"/>
        </w:rPr>
        <w:t xml:space="preserve">data by August 15, they are not able to submit, review, clarify, correct, and certify the school and </w:t>
      </w:r>
      <w:r>
        <w:rPr>
          <w:color w:val="000000"/>
        </w:rPr>
        <w:t>school district-</w:t>
      </w:r>
      <w:r w:rsidRPr="00B43008">
        <w:rPr>
          <w:color w:val="000000"/>
        </w:rPr>
        <w:t xml:space="preserve">level </w:t>
      </w:r>
      <w:r>
        <w:rPr>
          <w:color w:val="000000"/>
        </w:rPr>
        <w:t>finance</w:t>
      </w:r>
      <w:r w:rsidRPr="00B43008">
        <w:rPr>
          <w:color w:val="000000"/>
        </w:rPr>
        <w:t xml:space="preserve"> data on the same schedule.</w:t>
      </w:r>
      <w:r>
        <w:rPr>
          <w:color w:val="000000"/>
        </w:rPr>
        <w:t xml:space="preserve"> If the three data collections were to be merged, the SEAs would have less time to review and certify school district and school-level finance data. SEAs and school districts generally require </w:t>
      </w:r>
      <w:r w:rsidRPr="00856B8C">
        <w:rPr>
          <w:color w:val="000000"/>
        </w:rPr>
        <w:t>more time to compile, edit, and verify school district and school-level detail</w:t>
      </w:r>
      <w:r>
        <w:rPr>
          <w:color w:val="000000"/>
        </w:rPr>
        <w:t xml:space="preserve">, because resolving </w:t>
      </w:r>
      <w:r w:rsidRPr="00856B8C">
        <w:rPr>
          <w:color w:val="000000"/>
        </w:rPr>
        <w:t xml:space="preserve">data issues and anomalies of school finance data </w:t>
      </w:r>
      <w:r>
        <w:rPr>
          <w:color w:val="000000"/>
        </w:rPr>
        <w:t>(</w:t>
      </w:r>
      <w:r w:rsidRPr="00856B8C">
        <w:rPr>
          <w:color w:val="000000"/>
        </w:rPr>
        <w:t>at the micro</w:t>
      </w:r>
      <w:r>
        <w:rPr>
          <w:color w:val="000000"/>
        </w:rPr>
        <w:t xml:space="preserve"> </w:t>
      </w:r>
      <w:r w:rsidRPr="00856B8C">
        <w:rPr>
          <w:color w:val="000000"/>
        </w:rPr>
        <w:t>level</w:t>
      </w:r>
      <w:r>
        <w:rPr>
          <w:color w:val="000000"/>
        </w:rPr>
        <w:t>),</w:t>
      </w:r>
      <w:r w:rsidRPr="00856B8C">
        <w:rPr>
          <w:color w:val="000000"/>
        </w:rPr>
        <w:t xml:space="preserve"> and preparing </w:t>
      </w:r>
      <w:r>
        <w:rPr>
          <w:color w:val="000000"/>
        </w:rPr>
        <w:t>them</w:t>
      </w:r>
      <w:r w:rsidRPr="00856B8C">
        <w:rPr>
          <w:color w:val="000000"/>
        </w:rPr>
        <w:t xml:space="preserve"> for submission</w:t>
      </w:r>
      <w:r>
        <w:rPr>
          <w:color w:val="000000"/>
        </w:rPr>
        <w:t>,</w:t>
      </w:r>
      <w:r w:rsidRPr="00856B8C">
        <w:rPr>
          <w:color w:val="000000"/>
        </w:rPr>
        <w:t xml:space="preserve"> </w:t>
      </w:r>
      <w:r>
        <w:rPr>
          <w:color w:val="000000"/>
        </w:rPr>
        <w:t>usually</w:t>
      </w:r>
      <w:r w:rsidRPr="00856B8C">
        <w:rPr>
          <w:color w:val="000000"/>
        </w:rPr>
        <w:t xml:space="preserve"> takes </w:t>
      </w:r>
      <w:r>
        <w:rPr>
          <w:color w:val="000000"/>
        </w:rPr>
        <w:t xml:space="preserve">significantly </w:t>
      </w:r>
      <w:r w:rsidRPr="00856B8C">
        <w:rPr>
          <w:color w:val="000000"/>
        </w:rPr>
        <w:t xml:space="preserve">longer than </w:t>
      </w:r>
      <w:r>
        <w:rPr>
          <w:color w:val="000000"/>
        </w:rPr>
        <w:t>doing the same with state-level data (a</w:t>
      </w:r>
      <w:r w:rsidRPr="00856B8C">
        <w:rPr>
          <w:color w:val="000000"/>
        </w:rPr>
        <w:t>t the macro level</w:t>
      </w:r>
      <w:r>
        <w:rPr>
          <w:color w:val="000000"/>
        </w:rPr>
        <w:t>)</w:t>
      </w:r>
      <w:r w:rsidRPr="00856B8C">
        <w:rPr>
          <w:color w:val="000000"/>
        </w:rPr>
        <w:t xml:space="preserve">. </w:t>
      </w:r>
      <w:r>
        <w:rPr>
          <w:color w:val="000000"/>
        </w:rPr>
        <w:t>Additionally, in many states, finance data at the LEA and school levels are not audited until the end of the calendar year (e.g., school finance data for SY18 would not be audited until the end of 2018 calendar year), and review and editing of school district- and school-level finance data by Census and NCES staff takes more time than to review and edit fiscal data at the state level.</w:t>
      </w:r>
    </w:p>
    <w:p w:rsidR="00765E91" w:rsidRDefault="00001459" w:rsidP="00001459">
      <w:pPr>
        <w:shd w:val="clear" w:color="auto" w:fill="FFFFFF"/>
        <w:spacing w:after="120" w:line="22" w:lineRule="atLeast"/>
        <w:textAlignment w:val="center"/>
        <w:rPr>
          <w:color w:val="000000"/>
        </w:rPr>
      </w:pPr>
      <w:r w:rsidRPr="00B43008">
        <w:rPr>
          <w:color w:val="000000"/>
        </w:rPr>
        <w:t>In summary, the potential efficiency gained by consolidating the three surveys is far outweighed by the capacity issues at the state and federal levels, the practical problems with changing the reporting deadlines for LEA</w:t>
      </w:r>
      <w:r>
        <w:rPr>
          <w:color w:val="000000"/>
        </w:rPr>
        <w:t>-level</w:t>
      </w:r>
      <w:r w:rsidRPr="00B43008">
        <w:rPr>
          <w:color w:val="000000"/>
        </w:rPr>
        <w:t xml:space="preserve"> finance data, and the purposeful differences between the </w:t>
      </w:r>
      <w:r>
        <w:rPr>
          <w:color w:val="000000"/>
        </w:rPr>
        <w:t>three</w:t>
      </w:r>
      <w:r w:rsidRPr="00B43008">
        <w:rPr>
          <w:color w:val="000000"/>
        </w:rPr>
        <w:t xml:space="preserve"> collections</w:t>
      </w:r>
      <w:r w:rsidR="001009B7" w:rsidRPr="00B43008">
        <w:rPr>
          <w:color w:val="000000"/>
        </w:rPr>
        <w:t>.</w:t>
      </w:r>
    </w:p>
    <w:p w:rsidR="00765E91" w:rsidRDefault="001009B7" w:rsidP="00336321">
      <w:pPr>
        <w:shd w:val="clear" w:color="auto" w:fill="FFFFFF"/>
        <w:spacing w:after="120" w:line="22" w:lineRule="atLeast"/>
        <w:textAlignment w:val="center"/>
        <w:rPr>
          <w:color w:val="000000"/>
        </w:rPr>
      </w:pPr>
      <w:r w:rsidRPr="00B43008">
        <w:rPr>
          <w:color w:val="000000"/>
        </w:rPr>
        <w:t>To minimize duplication</w:t>
      </w:r>
      <w:r w:rsidR="007261A3">
        <w:rPr>
          <w:color w:val="000000"/>
        </w:rPr>
        <w:t xml:space="preserve"> of effort</w:t>
      </w:r>
      <w:r w:rsidRPr="00B43008">
        <w:rPr>
          <w:color w:val="000000"/>
        </w:rPr>
        <w:t xml:space="preserve">, </w:t>
      </w:r>
      <w:r w:rsidR="002F48A4">
        <w:rPr>
          <w:color w:val="000000"/>
        </w:rPr>
        <w:t xml:space="preserve">NCES and </w:t>
      </w:r>
      <w:r w:rsidRPr="00B43008">
        <w:rPr>
          <w:color w:val="000000"/>
        </w:rPr>
        <w:t>Census coordinate the</w:t>
      </w:r>
      <w:r w:rsidR="002F48A4">
        <w:rPr>
          <w:color w:val="000000"/>
        </w:rPr>
        <w:t>se</w:t>
      </w:r>
      <w:r w:rsidRPr="00B43008">
        <w:rPr>
          <w:color w:val="000000"/>
        </w:rPr>
        <w:t xml:space="preserve"> collection</w:t>
      </w:r>
      <w:r w:rsidR="007261A3">
        <w:rPr>
          <w:color w:val="000000"/>
        </w:rPr>
        <w:t>s</w:t>
      </w:r>
      <w:r w:rsidRPr="00B43008">
        <w:rPr>
          <w:color w:val="000000"/>
        </w:rPr>
        <w:t xml:space="preserve"> as closely as possible. </w:t>
      </w:r>
      <w:r w:rsidR="007261A3">
        <w:rPr>
          <w:color w:val="000000"/>
        </w:rPr>
        <w:t>Because t</w:t>
      </w:r>
      <w:r w:rsidRPr="00B43008">
        <w:rPr>
          <w:color w:val="000000"/>
        </w:rPr>
        <w:t>he SLFS, F-33</w:t>
      </w:r>
      <w:r>
        <w:rPr>
          <w:color w:val="000000"/>
        </w:rPr>
        <w:t>,</w:t>
      </w:r>
      <w:r w:rsidRPr="00B43008">
        <w:rPr>
          <w:color w:val="000000"/>
        </w:rPr>
        <w:t xml:space="preserve"> and</w:t>
      </w:r>
      <w:r w:rsidR="00673E11">
        <w:rPr>
          <w:color w:val="000000"/>
        </w:rPr>
        <w:t xml:space="preserve"> </w:t>
      </w:r>
      <w:r w:rsidRPr="00B43008">
        <w:rPr>
          <w:color w:val="000000"/>
        </w:rPr>
        <w:t>NPEFS collections are inter-related and complementary</w:t>
      </w:r>
      <w:r w:rsidR="007261A3">
        <w:rPr>
          <w:color w:val="000000"/>
        </w:rPr>
        <w:t xml:space="preserve">, </w:t>
      </w:r>
      <w:r w:rsidRPr="00B43008">
        <w:rPr>
          <w:color w:val="000000"/>
        </w:rPr>
        <w:t xml:space="preserve">NCES and </w:t>
      </w:r>
      <w:r w:rsidR="002F48A4">
        <w:rPr>
          <w:color w:val="000000"/>
        </w:rPr>
        <w:t>Census</w:t>
      </w:r>
      <w:r>
        <w:rPr>
          <w:color w:val="000000"/>
        </w:rPr>
        <w:t xml:space="preserve"> </w:t>
      </w:r>
      <w:r w:rsidRPr="00B43008">
        <w:rPr>
          <w:color w:val="000000"/>
        </w:rPr>
        <w:t xml:space="preserve">have found ways to create efficiency in use of resources between </w:t>
      </w:r>
      <w:r>
        <w:rPr>
          <w:color w:val="000000"/>
        </w:rPr>
        <w:t xml:space="preserve">the </w:t>
      </w:r>
      <w:r w:rsidRPr="00B43008">
        <w:rPr>
          <w:color w:val="000000"/>
        </w:rPr>
        <w:t>three surveys</w:t>
      </w:r>
      <w:r w:rsidR="007261A3">
        <w:rPr>
          <w:color w:val="000000"/>
        </w:rPr>
        <w:t xml:space="preserve">, </w:t>
      </w:r>
      <w:r w:rsidRPr="00B43008">
        <w:rPr>
          <w:color w:val="000000"/>
        </w:rPr>
        <w:t xml:space="preserve">including the use of </w:t>
      </w:r>
      <w:r w:rsidR="002F48A4">
        <w:rPr>
          <w:color w:val="000000"/>
        </w:rPr>
        <w:t>Census</w:t>
      </w:r>
      <w:r>
        <w:rPr>
          <w:color w:val="000000"/>
        </w:rPr>
        <w:t>’</w:t>
      </w:r>
      <w:r w:rsidRPr="00B43008">
        <w:rPr>
          <w:color w:val="000000"/>
        </w:rPr>
        <w:t xml:space="preserve">s Local Education Agency Finance System (LEAFS) processing application </w:t>
      </w:r>
      <w:r w:rsidR="007261A3">
        <w:rPr>
          <w:color w:val="000000"/>
        </w:rPr>
        <w:t>to</w:t>
      </w:r>
      <w:r w:rsidRPr="00B43008">
        <w:rPr>
          <w:color w:val="000000"/>
        </w:rPr>
        <w:t xml:space="preserve"> process school district-level </w:t>
      </w:r>
      <w:r>
        <w:rPr>
          <w:color w:val="000000"/>
        </w:rPr>
        <w:t xml:space="preserve">F-33 and school-level SLFS </w:t>
      </w:r>
      <w:r w:rsidRPr="00B43008">
        <w:rPr>
          <w:color w:val="000000"/>
        </w:rPr>
        <w:t>finance data.</w:t>
      </w:r>
      <w:r w:rsidR="007261A3">
        <w:rPr>
          <w:color w:val="000000"/>
        </w:rPr>
        <w:t xml:space="preserve"> </w:t>
      </w:r>
      <w:r w:rsidRPr="00B43008">
        <w:rPr>
          <w:color w:val="000000"/>
        </w:rPr>
        <w:t xml:space="preserve">Many current school district finance edits and processing procedures </w:t>
      </w:r>
      <w:r>
        <w:rPr>
          <w:color w:val="000000"/>
        </w:rPr>
        <w:t>are</w:t>
      </w:r>
      <w:r w:rsidRPr="00B43008">
        <w:rPr>
          <w:color w:val="000000"/>
        </w:rPr>
        <w:t xml:space="preserve"> applicable to school-level finance data. Modifications </w:t>
      </w:r>
      <w:r>
        <w:rPr>
          <w:color w:val="000000"/>
        </w:rPr>
        <w:t>have been made</w:t>
      </w:r>
      <w:r w:rsidRPr="00B43008">
        <w:rPr>
          <w:color w:val="000000"/>
        </w:rPr>
        <w:t xml:space="preserve"> to the current system to add capability to process finance data at the school level. LEAFS gives survey staff the ability to compare data across the state, district, and school levels</w:t>
      </w:r>
      <w:r w:rsidR="007261A3">
        <w:rPr>
          <w:color w:val="000000"/>
        </w:rPr>
        <w:t>,</w:t>
      </w:r>
      <w:r w:rsidRPr="00B43008">
        <w:rPr>
          <w:color w:val="000000"/>
        </w:rPr>
        <w:t xml:space="preserve"> detect data errors</w:t>
      </w:r>
      <w:r w:rsidR="007261A3">
        <w:rPr>
          <w:color w:val="000000"/>
        </w:rPr>
        <w:t>,</w:t>
      </w:r>
      <w:r w:rsidRPr="00B43008">
        <w:rPr>
          <w:color w:val="000000"/>
        </w:rPr>
        <w:t xml:space="preserve"> and ensure data consistency across the surveys. This often allows for identification and resolution of errors in the reported data for one or all three collections</w:t>
      </w:r>
      <w:r w:rsidR="007261A3">
        <w:rPr>
          <w:color w:val="000000"/>
        </w:rPr>
        <w:t xml:space="preserve"> simultaneously</w:t>
      </w:r>
      <w:r w:rsidRPr="00B43008">
        <w:rPr>
          <w:color w:val="000000"/>
        </w:rPr>
        <w:t>, resulting in improve</w:t>
      </w:r>
      <w:r w:rsidR="007261A3">
        <w:rPr>
          <w:color w:val="000000"/>
        </w:rPr>
        <w:t>d</w:t>
      </w:r>
      <w:r w:rsidRPr="00B43008">
        <w:rPr>
          <w:color w:val="000000"/>
        </w:rPr>
        <w:t xml:space="preserve"> data quality for all three programs. LEAFS’s capability to cross-check data at the district and state levels also facilitate</w:t>
      </w:r>
      <w:r w:rsidR="007261A3">
        <w:rPr>
          <w:color w:val="000000"/>
        </w:rPr>
        <w:t>s</w:t>
      </w:r>
      <w:r w:rsidRPr="00B43008">
        <w:rPr>
          <w:color w:val="000000"/>
        </w:rPr>
        <w:t xml:space="preserve"> understanding of how different models of LEA organization affect school-level finance collections.</w:t>
      </w:r>
    </w:p>
    <w:p w:rsidR="00765E91" w:rsidRDefault="001009B7" w:rsidP="00336321">
      <w:pPr>
        <w:widowControl w:val="0"/>
        <w:shd w:val="clear" w:color="auto" w:fill="FFFFFF"/>
        <w:spacing w:after="120" w:line="22" w:lineRule="atLeast"/>
        <w:textAlignment w:val="center"/>
        <w:rPr>
          <w:color w:val="000000"/>
          <w:spacing w:val="-1"/>
        </w:rPr>
      </w:pPr>
      <w:r w:rsidRPr="00B43008">
        <w:rPr>
          <w:color w:val="000000"/>
        </w:rPr>
        <w:t xml:space="preserve">NCES and </w:t>
      </w:r>
      <w:r w:rsidR="002F48A4">
        <w:rPr>
          <w:color w:val="000000"/>
        </w:rPr>
        <w:t>Census</w:t>
      </w:r>
      <w:r w:rsidRPr="00B43008">
        <w:rPr>
          <w:color w:val="000000"/>
        </w:rPr>
        <w:t xml:space="preserve"> also have a longstanding and proven ability to work closely with the </w:t>
      </w:r>
      <w:r w:rsidR="008C0359">
        <w:rPr>
          <w:color w:val="000000"/>
        </w:rPr>
        <w:t>SEA</w:t>
      </w:r>
      <w:r w:rsidRPr="00B43008">
        <w:rPr>
          <w:color w:val="000000"/>
        </w:rPr>
        <w:t xml:space="preserve"> fiscal coordinators who are the primary respondents for </w:t>
      </w:r>
      <w:r w:rsidR="007261A3" w:rsidRPr="00B43008">
        <w:rPr>
          <w:color w:val="000000"/>
        </w:rPr>
        <w:t>SLFS, F-33</w:t>
      </w:r>
      <w:r w:rsidR="007261A3">
        <w:rPr>
          <w:color w:val="000000"/>
        </w:rPr>
        <w:t>,</w:t>
      </w:r>
      <w:r w:rsidR="007261A3" w:rsidRPr="00B43008">
        <w:rPr>
          <w:color w:val="000000"/>
        </w:rPr>
        <w:t xml:space="preserve"> and</w:t>
      </w:r>
      <w:r w:rsidR="007261A3">
        <w:rPr>
          <w:color w:val="000000"/>
        </w:rPr>
        <w:t xml:space="preserve"> </w:t>
      </w:r>
      <w:r w:rsidR="007261A3" w:rsidRPr="00B43008">
        <w:rPr>
          <w:color w:val="000000"/>
        </w:rPr>
        <w:t>NPEFS</w:t>
      </w:r>
      <w:r w:rsidRPr="00B43008">
        <w:rPr>
          <w:color w:val="000000"/>
        </w:rPr>
        <w:t xml:space="preserve">. Many states provide one fiscal coordinator for three surveys, and NCES and Census </w:t>
      </w:r>
      <w:r w:rsidR="007261A3">
        <w:rPr>
          <w:color w:val="000000"/>
        </w:rPr>
        <w:t>are</w:t>
      </w:r>
      <w:r>
        <w:rPr>
          <w:color w:val="000000"/>
        </w:rPr>
        <w:t xml:space="preserve"> able to </w:t>
      </w:r>
      <w:r w:rsidRPr="00B43008">
        <w:rPr>
          <w:color w:val="000000"/>
        </w:rPr>
        <w:t xml:space="preserve">provide consolidated training to fiscal coordinators for </w:t>
      </w:r>
      <w:r>
        <w:rPr>
          <w:color w:val="000000"/>
        </w:rPr>
        <w:t xml:space="preserve">all </w:t>
      </w:r>
      <w:r w:rsidR="007261A3">
        <w:rPr>
          <w:color w:val="000000"/>
        </w:rPr>
        <w:t>three surveys at once</w:t>
      </w:r>
      <w:r w:rsidRPr="00B43008">
        <w:rPr>
          <w:color w:val="000000"/>
          <w:spacing w:val="-1"/>
        </w:rPr>
        <w:t>.</w:t>
      </w:r>
    </w:p>
    <w:p w:rsidR="00B30C42" w:rsidRPr="008678A4" w:rsidRDefault="008678A4" w:rsidP="00B612C2">
      <w:pPr>
        <w:keepNext/>
        <w:autoSpaceDE w:val="0"/>
        <w:autoSpaceDN w:val="0"/>
        <w:adjustRightInd w:val="0"/>
        <w:spacing w:after="120" w:line="22" w:lineRule="atLeast"/>
        <w:rPr>
          <w:b/>
          <w:bCs/>
          <w:color w:val="000000"/>
        </w:rPr>
      </w:pPr>
      <w:r w:rsidRPr="008678A4">
        <w:rPr>
          <w:b/>
          <w:bCs/>
          <w:color w:val="000000"/>
        </w:rPr>
        <w:t>A</w:t>
      </w:r>
      <w:r w:rsidR="00B30C42" w:rsidRPr="008678A4">
        <w:rPr>
          <w:b/>
          <w:bCs/>
          <w:color w:val="000000"/>
        </w:rPr>
        <w:t>5.</w:t>
      </w:r>
      <w:r w:rsidRPr="008678A4">
        <w:rPr>
          <w:b/>
          <w:bCs/>
          <w:color w:val="000000"/>
        </w:rPr>
        <w:tab/>
      </w:r>
      <w:r w:rsidRPr="008678A4">
        <w:rPr>
          <w:b/>
          <w:bCs/>
        </w:rPr>
        <w:t>Minimizing Burden</w:t>
      </w:r>
    </w:p>
    <w:p w:rsidR="00B30C42" w:rsidRPr="00AA1670" w:rsidRDefault="00B423F8" w:rsidP="00336321">
      <w:pPr>
        <w:autoSpaceDE w:val="0"/>
        <w:autoSpaceDN w:val="0"/>
        <w:adjustRightInd w:val="0"/>
        <w:spacing w:after="120" w:line="22" w:lineRule="atLeast"/>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w:t>
      </w:r>
      <w:r w:rsidR="00167A98">
        <w:rPr>
          <w:color w:val="000000"/>
        </w:rPr>
        <w:t>SLFS</w:t>
      </w:r>
      <w:r w:rsidRPr="00AA1670">
        <w:rPr>
          <w:color w:val="000000"/>
        </w:rPr>
        <w:t>.</w:t>
      </w:r>
      <w:r w:rsidR="002F7842">
        <w:rPr>
          <w:color w:val="000000"/>
        </w:rPr>
        <w:t xml:space="preserve"> </w:t>
      </w:r>
      <w:r w:rsidR="00E03CFF">
        <w:rPr>
          <w:color w:val="000000"/>
        </w:rPr>
        <w:t xml:space="preserve">SLFS </w:t>
      </w:r>
      <w:r>
        <w:rPr>
          <w:color w:val="000000"/>
        </w:rPr>
        <w:t xml:space="preserve">data come from state administrative records and </w:t>
      </w:r>
      <w:r w:rsidR="00B30C42" w:rsidRPr="00AA1670">
        <w:rPr>
          <w:color w:val="000000"/>
        </w:rPr>
        <w:t xml:space="preserve">NCES </w:t>
      </w:r>
      <w:r>
        <w:rPr>
          <w:color w:val="000000"/>
        </w:rPr>
        <w:t xml:space="preserve">works with </w:t>
      </w:r>
      <w:r w:rsidR="005C44EE">
        <w:rPr>
          <w:color w:val="000000"/>
        </w:rPr>
        <w:t xml:space="preserve">SEAs and </w:t>
      </w:r>
      <w:r>
        <w:rPr>
          <w:color w:val="000000"/>
        </w:rPr>
        <w:t xml:space="preserve">LEAs on an ongoing basis to assure that burden associated with </w:t>
      </w:r>
      <w:r w:rsidR="002D7D5F">
        <w:rPr>
          <w:color w:val="000000"/>
        </w:rPr>
        <w:t>SLFS</w:t>
      </w:r>
      <w:r w:rsidR="00FE0ABA">
        <w:rPr>
          <w:color w:val="000000"/>
        </w:rPr>
        <w:t xml:space="preserve"> </w:t>
      </w:r>
      <w:r>
        <w:rPr>
          <w:color w:val="000000"/>
        </w:rPr>
        <w:t>data submission is kept</w:t>
      </w:r>
      <w:r w:rsidR="00820E3E">
        <w:rPr>
          <w:color w:val="000000"/>
        </w:rPr>
        <w:t xml:space="preserve"> to a</w:t>
      </w:r>
      <w:r w:rsidR="002F7842">
        <w:rPr>
          <w:color w:val="000000"/>
        </w:rPr>
        <w:t xml:space="preserve"> </w:t>
      </w:r>
      <w:r>
        <w:rPr>
          <w:color w:val="000000"/>
        </w:rPr>
        <w:t>minimum.</w:t>
      </w:r>
    </w:p>
    <w:p w:rsidR="00B30C42" w:rsidRPr="008678A4" w:rsidRDefault="008678A4" w:rsidP="00336321">
      <w:pPr>
        <w:autoSpaceDE w:val="0"/>
        <w:autoSpaceDN w:val="0"/>
        <w:adjustRightInd w:val="0"/>
        <w:spacing w:after="120" w:line="22" w:lineRule="atLeast"/>
        <w:rPr>
          <w:b/>
          <w:bCs/>
          <w:color w:val="000000"/>
        </w:rPr>
      </w:pPr>
      <w:r w:rsidRPr="008678A4">
        <w:rPr>
          <w:b/>
          <w:bCs/>
          <w:color w:val="000000"/>
        </w:rPr>
        <w:t>A6.</w:t>
      </w:r>
      <w:r w:rsidRPr="008678A4">
        <w:rPr>
          <w:b/>
          <w:bCs/>
          <w:color w:val="000000"/>
        </w:rPr>
        <w:tab/>
      </w:r>
      <w:r w:rsidRPr="008678A4">
        <w:rPr>
          <w:b/>
          <w:bCs/>
        </w:rPr>
        <w:t>Consequences of Less Frequent Collection</w:t>
      </w:r>
    </w:p>
    <w:p w:rsidR="00B30C42" w:rsidRPr="00AA1670" w:rsidRDefault="00B30C42" w:rsidP="00336321">
      <w:pPr>
        <w:autoSpaceDE w:val="0"/>
        <w:autoSpaceDN w:val="0"/>
        <w:adjustRightInd w:val="0"/>
        <w:spacing w:after="120" w:line="22" w:lineRule="atLeast"/>
        <w:rPr>
          <w:color w:val="000000"/>
        </w:rPr>
      </w:pPr>
      <w:r w:rsidRPr="00AA1670">
        <w:rPr>
          <w:color w:val="000000"/>
          <w:u w:val="single"/>
        </w:rPr>
        <w:t>Consequences if not collected</w:t>
      </w:r>
      <w:r w:rsidR="009F3CCE">
        <w:rPr>
          <w:color w:val="000000"/>
        </w:rPr>
        <w:t>.</w:t>
      </w:r>
      <w:r w:rsidR="002F7842">
        <w:rPr>
          <w:color w:val="000000"/>
        </w:rPr>
        <w:t xml:space="preserve"> </w:t>
      </w:r>
      <w:r w:rsidR="008A3342" w:rsidRPr="0031795A">
        <w:t>Having accurate</w:t>
      </w:r>
      <w:r w:rsidR="00B423F8">
        <w:t>,</w:t>
      </w:r>
      <w:r w:rsidR="008A3342" w:rsidRPr="0031795A">
        <w:t xml:space="preserve"> consistent</w:t>
      </w:r>
      <w:r w:rsidR="00B423F8">
        <w:t>, and timely</w:t>
      </w:r>
      <w:r w:rsidR="008A3342" w:rsidRPr="0031795A">
        <w:t xml:space="preserve"> </w:t>
      </w:r>
      <w:r w:rsidR="00B423F8">
        <w:t xml:space="preserve">fiscal </w:t>
      </w:r>
      <w:r w:rsidR="008A3342" w:rsidRPr="0031795A">
        <w:t xml:space="preserve">information </w:t>
      </w:r>
      <w:r w:rsidR="00B423F8">
        <w:t xml:space="preserve">from states </w:t>
      </w:r>
      <w:r w:rsidR="008A3342" w:rsidRPr="0031795A">
        <w:t xml:space="preserve">is critical to </w:t>
      </w:r>
      <w:r w:rsidR="0063610A">
        <w:t xml:space="preserve">the ability </w:t>
      </w:r>
      <w:r w:rsidR="0067291B">
        <w:t xml:space="preserve">of NCES </w:t>
      </w:r>
      <w:r w:rsidR="0063610A">
        <w:t>to make publically available</w:t>
      </w:r>
      <w:r w:rsidR="00B25F5E">
        <w:t xml:space="preserve"> current and comparable finance data </w:t>
      </w:r>
      <w:r w:rsidR="0063610A">
        <w:t>for all states and territories</w:t>
      </w:r>
      <w:r w:rsidR="008A3342" w:rsidRPr="0031795A">
        <w:t>.</w:t>
      </w:r>
      <w:r w:rsidR="00673E11">
        <w:t xml:space="preserve"> </w:t>
      </w:r>
      <w:r w:rsidR="00193DE4">
        <w:rPr>
          <w:color w:val="000000"/>
        </w:rPr>
        <w:t>N</w:t>
      </w:r>
      <w:r w:rsidR="003E62F3">
        <w:rPr>
          <w:color w:val="000000"/>
        </w:rPr>
        <w:t xml:space="preserve">ot collecting SLFS data </w:t>
      </w:r>
      <w:r w:rsidRPr="00AA1670">
        <w:rPr>
          <w:color w:val="000000"/>
        </w:rPr>
        <w:t xml:space="preserve">would have negative consequences for </w:t>
      </w:r>
      <w:r w:rsidR="0031795A">
        <w:t>school boards</w:t>
      </w:r>
      <w:r w:rsidR="009F3CCE">
        <w:t>,</w:t>
      </w:r>
      <w:r w:rsidR="0031795A">
        <w:t xml:space="preserve"> legislatures and policymakers</w:t>
      </w:r>
      <w:r w:rsidR="009F3CCE">
        <w:t>,</w:t>
      </w:r>
      <w:r w:rsidR="0031795A">
        <w:t xml:space="preserve"> </w:t>
      </w:r>
      <w:r w:rsidR="008C0359">
        <w:t>SEAs</w:t>
      </w:r>
      <w:r w:rsidR="009F3CCE">
        <w:t>,</w:t>
      </w:r>
      <w:r w:rsidR="0031795A">
        <w:t xml:space="preserve"> investors </w:t>
      </w:r>
      <w:r w:rsidR="00193DE4">
        <w:t>and</w:t>
      </w:r>
      <w:r w:rsidR="0031795A">
        <w:t xml:space="preserve">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765E91" w:rsidRDefault="00B30C42" w:rsidP="00B06042">
      <w:pPr>
        <w:widowControl w:val="0"/>
        <w:spacing w:after="120" w:line="22" w:lineRule="atLeast"/>
      </w:pPr>
      <w:r w:rsidRPr="00AA1670">
        <w:rPr>
          <w:color w:val="000000"/>
          <w:u w:val="single"/>
        </w:rPr>
        <w:t>Consequences if collected less frequently.</w:t>
      </w:r>
      <w:r w:rsidRPr="00AA1670">
        <w:rPr>
          <w:color w:val="000000"/>
        </w:rPr>
        <w:t xml:space="preserve"> </w:t>
      </w:r>
      <w:r w:rsidR="00B270F2">
        <w:rPr>
          <w:color w:val="000000"/>
        </w:rPr>
        <w:t>S</w:t>
      </w:r>
      <w:r w:rsidRPr="00AA1670">
        <w:rPr>
          <w:color w:val="000000"/>
        </w:rPr>
        <w:t xml:space="preserve">tate administrative record systems </w:t>
      </w:r>
      <w:r w:rsidR="00B270F2">
        <w:rPr>
          <w:color w:val="000000"/>
        </w:rPr>
        <w:t xml:space="preserve">already collect school-level </w:t>
      </w:r>
      <w:r w:rsidR="00193DE4">
        <w:rPr>
          <w:color w:val="000000"/>
        </w:rPr>
        <w:t xml:space="preserve">data </w:t>
      </w:r>
      <w:r w:rsidRPr="00AA1670">
        <w:rPr>
          <w:color w:val="000000"/>
        </w:rPr>
        <w:t>for states’ own purposes.</w:t>
      </w:r>
      <w:r w:rsidR="00F250AE">
        <w:rPr>
          <w:color w:val="000000"/>
        </w:rPr>
        <w:t xml:space="preserve"> Participation in the annual SLFS benefits the SEAs in that NCES and </w:t>
      </w:r>
      <w:r w:rsidR="002F48A4">
        <w:rPr>
          <w:color w:val="000000"/>
        </w:rPr>
        <w:t>Census</w:t>
      </w:r>
      <w:r w:rsidR="00F250AE">
        <w:rPr>
          <w:color w:val="000000"/>
        </w:rPr>
        <w:t xml:space="preserve"> offer technical assistance in the production of data required for State and LEA reports under </w:t>
      </w:r>
      <w:r w:rsidR="00193DE4">
        <w:rPr>
          <w:color w:val="000000"/>
        </w:rPr>
        <w:t>ESSA</w:t>
      </w:r>
      <w:r w:rsidR="00F250AE">
        <w:rPr>
          <w:color w:val="000000"/>
        </w:rPr>
        <w:t xml:space="preserve">. </w:t>
      </w:r>
      <w:r w:rsidRPr="00AA1670">
        <w:rPr>
          <w:color w:val="000000"/>
        </w:rPr>
        <w:t xml:space="preserve">Changing </w:t>
      </w:r>
      <w:r w:rsidR="00167A98">
        <w:rPr>
          <w:color w:val="000000"/>
        </w:rPr>
        <w:t>SLFS</w:t>
      </w:r>
      <w:r w:rsidR="00B270F2">
        <w:rPr>
          <w:color w:val="000000"/>
        </w:rPr>
        <w:t xml:space="preserve"> </w:t>
      </w:r>
      <w:r w:rsidRPr="00AA1670">
        <w:rPr>
          <w:color w:val="000000"/>
        </w:rPr>
        <w:t xml:space="preserve">from an annual cycle to a less frequent schedule would </w:t>
      </w:r>
      <w:r w:rsidR="00B270F2">
        <w:rPr>
          <w:color w:val="000000"/>
        </w:rPr>
        <w:t>impact the analysis of trends in funding levels and equity</w:t>
      </w:r>
      <w:r w:rsidR="00193DE4">
        <w:rPr>
          <w:color w:val="000000"/>
        </w:rPr>
        <w:t xml:space="preserve">, and </w:t>
      </w:r>
      <w:r w:rsidR="00B270F2">
        <w:t>would dramatically decrease availability of th</w:t>
      </w:r>
      <w:r w:rsidR="00193DE4">
        <w:t>ese</w:t>
      </w:r>
      <w:r w:rsidR="00B270F2">
        <w:t xml:space="preserve"> </w:t>
      </w:r>
      <w:r w:rsidR="00193DE4">
        <w:t xml:space="preserve">needed </w:t>
      </w:r>
      <w:r w:rsidR="00B270F2">
        <w:t>data.</w:t>
      </w:r>
    </w:p>
    <w:p w:rsidR="00B30C42" w:rsidRPr="00167A98" w:rsidRDefault="008678A4" w:rsidP="00336321">
      <w:pPr>
        <w:autoSpaceDE w:val="0"/>
        <w:autoSpaceDN w:val="0"/>
        <w:adjustRightInd w:val="0"/>
        <w:spacing w:after="120" w:line="22" w:lineRule="atLeast"/>
        <w:rPr>
          <w:b/>
        </w:rPr>
      </w:pPr>
      <w:r w:rsidRPr="00167A98">
        <w:rPr>
          <w:b/>
        </w:rPr>
        <w:t>A</w:t>
      </w:r>
      <w:r w:rsidR="00B30C42" w:rsidRPr="00167A98">
        <w:rPr>
          <w:b/>
        </w:rPr>
        <w:t>7.</w:t>
      </w:r>
      <w:r w:rsidRPr="00167A98">
        <w:rPr>
          <w:b/>
        </w:rPr>
        <w:tab/>
        <w:t>Special Circumstances</w:t>
      </w:r>
    </w:p>
    <w:p w:rsidR="00B30C42" w:rsidRPr="00AA1670" w:rsidRDefault="00360AF0" w:rsidP="00336321">
      <w:pPr>
        <w:autoSpaceDE w:val="0"/>
        <w:autoSpaceDN w:val="0"/>
        <w:adjustRightInd w:val="0"/>
        <w:spacing w:after="120" w:line="22" w:lineRule="atLeast"/>
        <w:rPr>
          <w:color w:val="000000"/>
        </w:rPr>
      </w:pPr>
      <w:r>
        <w:rPr>
          <w:color w:val="000000"/>
        </w:rPr>
        <w:t>N</w:t>
      </w:r>
      <w:r w:rsidR="00B30C42" w:rsidRPr="00AA1670">
        <w:rPr>
          <w:color w:val="000000"/>
        </w:rPr>
        <w:t xml:space="preserve">o </w:t>
      </w:r>
      <w:r w:rsidR="0091545D">
        <w:rPr>
          <w:color w:val="000000"/>
        </w:rPr>
        <w:t xml:space="preserve">special </w:t>
      </w:r>
      <w:r w:rsidR="00B30C42" w:rsidRPr="00AA1670">
        <w:rPr>
          <w:color w:val="000000"/>
        </w:rPr>
        <w:t xml:space="preserve">circumstances </w:t>
      </w:r>
      <w:r w:rsidR="0091545D">
        <w:rPr>
          <w:color w:val="000000"/>
        </w:rPr>
        <w:t>associated with</w:t>
      </w:r>
      <w:r w:rsidR="00B30C42" w:rsidRPr="00AA1670">
        <w:rPr>
          <w:color w:val="000000"/>
        </w:rPr>
        <w:t xml:space="preserve"> </w:t>
      </w:r>
      <w:r w:rsidR="00B270F2">
        <w:rPr>
          <w:color w:val="000000"/>
        </w:rPr>
        <w:t xml:space="preserve">SLFS </w:t>
      </w:r>
      <w:r>
        <w:rPr>
          <w:color w:val="000000"/>
        </w:rPr>
        <w:t>are anticipated</w:t>
      </w:r>
      <w:r w:rsidR="00B30C42" w:rsidRPr="00AA1670">
        <w:rPr>
          <w:color w:val="000000"/>
        </w:rPr>
        <w:t>.</w:t>
      </w:r>
    </w:p>
    <w:p w:rsidR="00B30C42" w:rsidRPr="008678A4" w:rsidRDefault="00B30C42" w:rsidP="00336321">
      <w:pPr>
        <w:pStyle w:val="BodyText3"/>
        <w:spacing w:after="120" w:line="22" w:lineRule="atLeast"/>
        <w:rPr>
          <w:sz w:val="24"/>
        </w:rPr>
      </w:pPr>
      <w:r w:rsidRPr="008678A4">
        <w:rPr>
          <w:sz w:val="24"/>
        </w:rPr>
        <w:t>A8.</w:t>
      </w:r>
      <w:r w:rsidR="008678A4" w:rsidRPr="008678A4">
        <w:rPr>
          <w:sz w:val="24"/>
        </w:rPr>
        <w:tab/>
        <w:t xml:space="preserve">Consultations </w:t>
      </w:r>
      <w:r w:rsidR="005C44EE">
        <w:rPr>
          <w:sz w:val="24"/>
        </w:rPr>
        <w:t>o</w:t>
      </w:r>
      <w:r w:rsidR="008678A4" w:rsidRPr="008678A4">
        <w:rPr>
          <w:sz w:val="24"/>
        </w:rPr>
        <w:t>utside the Agency</w:t>
      </w:r>
    </w:p>
    <w:p w:rsidR="00BE1599" w:rsidRDefault="00BE1599" w:rsidP="00336321">
      <w:pPr>
        <w:widowControl w:val="0"/>
        <w:spacing w:after="120" w:line="22" w:lineRule="atLeast"/>
      </w:pPr>
      <w:r w:rsidRPr="00C84B76">
        <w:t xml:space="preserve">In </w:t>
      </w:r>
      <w:r>
        <w:t>January</w:t>
      </w:r>
      <w:r w:rsidRPr="00C84B76">
        <w:t xml:space="preserve"> 2014, NCES participated in an expert panel convened by OPEPD </w:t>
      </w:r>
      <w:r>
        <w:t xml:space="preserve">for the </w:t>
      </w:r>
      <w:r>
        <w:rPr>
          <w:rFonts w:eastAsia="Calibri"/>
        </w:rPr>
        <w:t>Feasibility Study on Improving the Quality of School-Level Expenditure Data</w:t>
      </w:r>
      <w:r w:rsidRPr="00C84B76">
        <w:t>, which focused on the availability of data, data quality, data elements, and proposed data item definitions.</w:t>
      </w:r>
      <w:r>
        <w:t xml:space="preserve"> </w:t>
      </w:r>
      <w:r w:rsidR="005D56F9" w:rsidRPr="005D56F9">
        <w:t>The proposed genera</w:t>
      </w:r>
      <w:r w:rsidR="00D056C5">
        <w:t>l design and content for the FY</w:t>
      </w:r>
      <w:r w:rsidR="005D56F9" w:rsidRPr="005D56F9">
        <w:t xml:space="preserve">14 SLFS </w:t>
      </w:r>
      <w:r w:rsidR="00500831">
        <w:t>p</w:t>
      </w:r>
      <w:r w:rsidR="005D56F9" w:rsidRPr="005D56F9">
        <w:t>ilot collection was based on the F-33 collection, OMB’s request, webinars with SEA coordinators, annual training sessions with SEA coordinators, and the work of OPEPD on this topic</w:t>
      </w:r>
      <w:r>
        <w:t>.</w:t>
      </w:r>
      <w:r w:rsidR="00D85E14">
        <w:t xml:space="preserve"> </w:t>
      </w:r>
      <w:r>
        <w:t>The SLFS</w:t>
      </w:r>
      <w:r w:rsidR="00D85E14">
        <w:t xml:space="preserve"> </w:t>
      </w:r>
      <w:r w:rsidR="00500831">
        <w:t xml:space="preserve">pilot study </w:t>
      </w:r>
      <w:r w:rsidRPr="00C84B76">
        <w:t>was presented to policymakers, researchers, state fiscal coordinators, and the public</w:t>
      </w:r>
      <w:r w:rsidR="00D85E14">
        <w:t xml:space="preserve"> </w:t>
      </w:r>
      <w:r w:rsidRPr="00C84B76">
        <w:t>at</w:t>
      </w:r>
      <w:r w:rsidR="00BA3128">
        <w:t>:</w:t>
      </w:r>
      <w:r w:rsidRPr="00C84B76">
        <w:t xml:space="preserve"> the American Education Finance and Policy Association </w:t>
      </w:r>
      <w:r w:rsidRPr="00C3750B">
        <w:t xml:space="preserve">conference </w:t>
      </w:r>
      <w:r>
        <w:t>in 2014, 2016</w:t>
      </w:r>
      <w:r w:rsidR="00BA3128">
        <w:t>,</w:t>
      </w:r>
      <w:r>
        <w:t xml:space="preserve"> and 2017</w:t>
      </w:r>
      <w:r w:rsidR="00BA3128">
        <w:t>;</w:t>
      </w:r>
      <w:r>
        <w:t xml:space="preserve"> the American Education Research and Association in 2018</w:t>
      </w:r>
      <w:r w:rsidR="00BA3128">
        <w:t>;</w:t>
      </w:r>
      <w:r>
        <w:t xml:space="preserve"> </w:t>
      </w:r>
      <w:r w:rsidRPr="00C3750B">
        <w:t xml:space="preserve">and the </w:t>
      </w:r>
      <w:r>
        <w:t>Stats DC</w:t>
      </w:r>
      <w:r w:rsidR="00D85E14">
        <w:t xml:space="preserve"> </w:t>
      </w:r>
      <w:r w:rsidRPr="00C3750B">
        <w:t>Data Conference</w:t>
      </w:r>
      <w:r>
        <w:t xml:space="preserve"> in 2017 and 2018. </w:t>
      </w:r>
      <w:r w:rsidRPr="00C84B76">
        <w:t>The proposed general design and content for the</w:t>
      </w:r>
      <w:r>
        <w:t xml:space="preserve"> </w:t>
      </w:r>
      <w:r w:rsidR="00F73E26">
        <w:t>FY</w:t>
      </w:r>
      <w:r>
        <w:t>18-</w:t>
      </w:r>
      <w:r w:rsidR="00F73E26">
        <w:t>FY</w:t>
      </w:r>
      <w:r>
        <w:t xml:space="preserve">20 SLFS is based on the </w:t>
      </w:r>
      <w:r w:rsidR="00F73E26">
        <w:t>FY14-FY17 data</w:t>
      </w:r>
      <w:r>
        <w:t xml:space="preserve"> collection</w:t>
      </w:r>
      <w:r w:rsidR="00F73E26">
        <w:t>s</w:t>
      </w:r>
      <w:r>
        <w:t xml:space="preserve">, </w:t>
      </w:r>
      <w:r w:rsidR="00511484">
        <w:t>and on discussions</w:t>
      </w:r>
      <w:r>
        <w:t xml:space="preserve"> with SEA</w:t>
      </w:r>
      <w:r w:rsidR="009975CF">
        <w:t xml:space="preserve"> and </w:t>
      </w:r>
      <w:r>
        <w:t>LEA</w:t>
      </w:r>
      <w:r w:rsidR="009975CF">
        <w:t xml:space="preserve"> coordinator</w:t>
      </w:r>
      <w:r w:rsidR="00511484">
        <w:t xml:space="preserve">s and </w:t>
      </w:r>
      <w:r w:rsidR="009975CF">
        <w:t xml:space="preserve">with </w:t>
      </w:r>
      <w:r w:rsidR="00511484">
        <w:t>OMB</w:t>
      </w:r>
      <w:r>
        <w:t>.</w:t>
      </w:r>
      <w:r w:rsidR="00D85E14">
        <w:t xml:space="preserve"> </w:t>
      </w:r>
      <w:r w:rsidRPr="00C3750B">
        <w:t xml:space="preserve">NCES will continue to solicit feedback on </w:t>
      </w:r>
      <w:r>
        <w:t xml:space="preserve">the </w:t>
      </w:r>
      <w:r w:rsidRPr="00C3750B">
        <w:t>design and conte</w:t>
      </w:r>
      <w:r w:rsidRPr="00161248">
        <w:t>nt of SLFS during we</w:t>
      </w:r>
      <w:r w:rsidR="009975CF">
        <w:t xml:space="preserve">binars, training, and technical assistance </w:t>
      </w:r>
      <w:r>
        <w:t xml:space="preserve">that will be provided to participating </w:t>
      </w:r>
      <w:r w:rsidRPr="00C3750B">
        <w:t>states.</w:t>
      </w:r>
    </w:p>
    <w:p w:rsidR="00BE1599" w:rsidRDefault="00BE1599" w:rsidP="00336321">
      <w:pPr>
        <w:autoSpaceDE w:val="0"/>
        <w:autoSpaceDN w:val="0"/>
        <w:adjustRightInd w:val="0"/>
        <w:spacing w:after="120" w:line="22" w:lineRule="atLeast"/>
        <w:rPr>
          <w:color w:val="000000"/>
        </w:rPr>
      </w:pPr>
      <w:r w:rsidRPr="00AA1670">
        <w:rPr>
          <w:color w:val="000000"/>
        </w:rPr>
        <w:t>Each state’s Chief State School Officer appoints a staff person to serve as the state’s Fiscal CCD Coordinator.</w:t>
      </w:r>
      <w:r>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r:id="rId11" w:history="1">
        <w:r w:rsidRPr="009260ED">
          <w:rPr>
            <w:rStyle w:val="Hyperlink"/>
          </w:rPr>
          <w:t>http://nces.ed.gov/ccd/corner.asp</w:t>
        </w:r>
      </w:hyperlink>
      <w:r>
        <w:rPr>
          <w:color w:val="000000"/>
        </w:rPr>
        <w:t>)</w:t>
      </w:r>
      <w:r w:rsidRPr="00AA1670">
        <w:rPr>
          <w:color w:val="000000"/>
        </w:rPr>
        <w:t>.</w:t>
      </w:r>
    </w:p>
    <w:p w:rsidR="00B30C42" w:rsidRPr="008678A4" w:rsidRDefault="008678A4" w:rsidP="00336321">
      <w:pPr>
        <w:pStyle w:val="BodyText3"/>
        <w:spacing w:after="120" w:line="22" w:lineRule="atLeast"/>
        <w:rPr>
          <w:sz w:val="24"/>
        </w:rPr>
      </w:pPr>
      <w:r w:rsidRPr="008678A4">
        <w:rPr>
          <w:sz w:val="24"/>
        </w:rPr>
        <w:t>A</w:t>
      </w:r>
      <w:r w:rsidR="00B30C42" w:rsidRPr="008678A4">
        <w:rPr>
          <w:sz w:val="24"/>
        </w:rPr>
        <w:t>9.</w:t>
      </w:r>
      <w:r w:rsidRPr="008678A4">
        <w:rPr>
          <w:sz w:val="24"/>
        </w:rPr>
        <w:tab/>
        <w:t>Provision of Payments or Gifts to Respondents</w:t>
      </w:r>
    </w:p>
    <w:p w:rsidR="00B30C42" w:rsidRDefault="00B30C42" w:rsidP="00336321">
      <w:pPr>
        <w:autoSpaceDE w:val="0"/>
        <w:autoSpaceDN w:val="0"/>
        <w:adjustRightInd w:val="0"/>
        <w:spacing w:after="120" w:line="22" w:lineRule="atLeast"/>
        <w:rPr>
          <w:color w:val="000000"/>
        </w:rPr>
      </w:pPr>
      <w:r w:rsidRPr="00AA1670">
        <w:rPr>
          <w:color w:val="000000"/>
        </w:rPr>
        <w:t>No payments or gifts are offered</w:t>
      </w:r>
      <w:r w:rsidR="00E61845">
        <w:rPr>
          <w:color w:val="000000"/>
        </w:rPr>
        <w:t xml:space="preserve"> to respondents</w:t>
      </w:r>
      <w:r w:rsidRPr="00AA1670">
        <w:rPr>
          <w:color w:val="000000"/>
        </w:rPr>
        <w:t>.</w:t>
      </w:r>
    </w:p>
    <w:p w:rsidR="00B30C42" w:rsidRPr="008678A4" w:rsidRDefault="008678A4" w:rsidP="00336321">
      <w:pPr>
        <w:pStyle w:val="BodyText3"/>
        <w:spacing w:after="120" w:line="22" w:lineRule="atLeast"/>
        <w:rPr>
          <w:sz w:val="24"/>
        </w:rPr>
      </w:pPr>
      <w:r w:rsidRPr="008678A4">
        <w:rPr>
          <w:sz w:val="24"/>
        </w:rPr>
        <w:t>A</w:t>
      </w:r>
      <w:r w:rsidR="00B30C42" w:rsidRPr="008678A4">
        <w:rPr>
          <w:sz w:val="24"/>
        </w:rPr>
        <w:t>10.</w:t>
      </w:r>
      <w:r w:rsidRPr="008678A4">
        <w:rPr>
          <w:sz w:val="24"/>
        </w:rPr>
        <w:tab/>
        <w:t>Assurance of Confidentiality</w:t>
      </w:r>
    </w:p>
    <w:p w:rsidR="00727F48" w:rsidRDefault="00727F48" w:rsidP="00336321">
      <w:pPr>
        <w:autoSpaceDE w:val="0"/>
        <w:autoSpaceDN w:val="0"/>
        <w:adjustRightInd w:val="0"/>
        <w:spacing w:after="120" w:line="22" w:lineRule="atLeast"/>
      </w:pPr>
      <w:r w:rsidRPr="00C84B76">
        <w:t xml:space="preserve">The data collected in this survey are from public records and do not require </w:t>
      </w:r>
      <w:r>
        <w:t xml:space="preserve">a pledge of </w:t>
      </w:r>
      <w:r w:rsidRPr="00C84B76">
        <w:t>confidentiality. We cite this confidentiality statement and the voluntary nature of this data collection in the Announcement letter.</w:t>
      </w:r>
      <w:r>
        <w:t xml:space="preserve"> The following PRA statement is included on the SLFS Form and Instructions (Attachment B):</w:t>
      </w:r>
    </w:p>
    <w:p w:rsidR="00727F48" w:rsidRPr="006332EC" w:rsidRDefault="00727F48" w:rsidP="00336321">
      <w:pPr>
        <w:autoSpaceDE w:val="0"/>
        <w:autoSpaceDN w:val="0"/>
        <w:adjustRightInd w:val="0"/>
        <w:spacing w:after="120" w:line="22" w:lineRule="atLeast"/>
        <w:ind w:left="180"/>
        <w:rPr>
          <w:sz w:val="18"/>
          <w:szCs w:val="18"/>
        </w:rPr>
      </w:pPr>
      <w:r w:rsidRPr="006332EC">
        <w:rPr>
          <w:sz w:val="18"/>
          <w:szCs w:val="18"/>
        </w:rPr>
        <w:t xml:space="preserve">The National Center for Education Statistics (NCES), </w:t>
      </w:r>
      <w:r w:rsidR="001E3606" w:rsidRPr="001E3606">
        <w:rPr>
          <w:sz w:val="18"/>
          <w:szCs w:val="18"/>
        </w:rPr>
        <w:t>in the U.S. Department of Education’s Institute for Education Sciences</w:t>
      </w:r>
      <w:r w:rsidRPr="006332EC">
        <w:rPr>
          <w:sz w:val="18"/>
          <w:szCs w:val="18"/>
        </w:rPr>
        <w:t xml:space="preserve">, is authorized to conduct this study by the </w:t>
      </w:r>
      <w:r w:rsidR="00D0524A" w:rsidRPr="00D0524A">
        <w:rPr>
          <w:sz w:val="18"/>
          <w:szCs w:val="18"/>
        </w:rPr>
        <w:t>Education Sciences Reform Act of 2002 (ESRA</w:t>
      </w:r>
      <w:r w:rsidR="008C7977">
        <w:rPr>
          <w:sz w:val="18"/>
          <w:szCs w:val="18"/>
        </w:rPr>
        <w:t xml:space="preserve"> 2002,</w:t>
      </w:r>
      <w:r w:rsidR="00D0524A" w:rsidRPr="00D0524A">
        <w:rPr>
          <w:sz w:val="18"/>
          <w:szCs w:val="18"/>
        </w:rPr>
        <w:t xml:space="preserve"> 20 U.S.C. §9543</w:t>
      </w:r>
      <w:r w:rsidRPr="006332EC">
        <w:rPr>
          <w:sz w:val="18"/>
          <w:szCs w:val="18"/>
        </w:rPr>
        <w:t>). The U.S. Census Bureau is administering this survey on behalf of NCES. This study has been approved by the Office of Management and Budget (OMB). According to the Paperwork Reduction Act of 1995, no persons are required to respond to a collection of information unless it displays a valid OMB control number. The valid OMB control number for this voluntary survey is 1850–</w:t>
      </w:r>
      <w:r w:rsidR="00D0524A">
        <w:rPr>
          <w:sz w:val="18"/>
          <w:szCs w:val="18"/>
        </w:rPr>
        <w:t>0930</w:t>
      </w:r>
      <w:r w:rsidRPr="006332EC">
        <w:rPr>
          <w:sz w:val="18"/>
          <w:szCs w:val="18"/>
        </w:rPr>
        <w:t xml:space="preserve">. The time required to complete this survey is estimated to average 45-130 hours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write to: School-Level Finance Survey (SLFS), National Center for Education Statistics, </w:t>
      </w:r>
      <w:r w:rsidR="0028633F" w:rsidRPr="0028633F">
        <w:rPr>
          <w:sz w:val="18"/>
          <w:szCs w:val="18"/>
        </w:rPr>
        <w:t>PCP, 550 12th St., SW, 4th floor, Washington, DC</w:t>
      </w:r>
      <w:r w:rsidR="006C1401">
        <w:rPr>
          <w:sz w:val="18"/>
          <w:szCs w:val="18"/>
        </w:rPr>
        <w:t xml:space="preserve"> </w:t>
      </w:r>
      <w:r w:rsidR="0028633F" w:rsidRPr="0028633F">
        <w:rPr>
          <w:sz w:val="18"/>
          <w:szCs w:val="18"/>
        </w:rPr>
        <w:t>20202</w:t>
      </w:r>
      <w:r w:rsidRPr="006332EC">
        <w:rPr>
          <w:sz w:val="18"/>
          <w:szCs w:val="18"/>
        </w:rPr>
        <w:t>.</w:t>
      </w:r>
    </w:p>
    <w:p w:rsidR="00B30C42" w:rsidRPr="008678A4" w:rsidRDefault="008678A4" w:rsidP="00336321">
      <w:pPr>
        <w:pStyle w:val="BodyText3"/>
        <w:spacing w:after="120" w:line="22" w:lineRule="atLeast"/>
        <w:rPr>
          <w:sz w:val="24"/>
        </w:rPr>
      </w:pPr>
      <w:r w:rsidRPr="008678A4">
        <w:rPr>
          <w:sz w:val="24"/>
        </w:rPr>
        <w:t>A11.</w:t>
      </w:r>
      <w:r w:rsidRPr="008678A4">
        <w:rPr>
          <w:sz w:val="24"/>
        </w:rPr>
        <w:tab/>
        <w:t>Need for the Use of Sensitive Questions</w:t>
      </w:r>
    </w:p>
    <w:p w:rsidR="00B939AF" w:rsidRDefault="00167A98" w:rsidP="00336321">
      <w:pPr>
        <w:autoSpaceDE w:val="0"/>
        <w:autoSpaceDN w:val="0"/>
        <w:adjustRightInd w:val="0"/>
        <w:spacing w:after="120" w:line="22" w:lineRule="atLeast"/>
        <w:rPr>
          <w:color w:val="000000"/>
        </w:rPr>
      </w:pPr>
      <w:r>
        <w:rPr>
          <w:color w:val="000000"/>
        </w:rPr>
        <w:t>SLFS</w:t>
      </w:r>
      <w:r w:rsidR="00727F48">
        <w:rPr>
          <w:color w:val="000000"/>
        </w:rPr>
        <w:t xml:space="preserve"> </w:t>
      </w:r>
      <w:r w:rsidR="00B30C42" w:rsidRPr="00AA1670">
        <w:rPr>
          <w:color w:val="000000"/>
        </w:rPr>
        <w:t>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00B30C42" w:rsidRPr="00AA1670">
        <w:rPr>
          <w:color w:val="000000"/>
        </w:rPr>
        <w:t>.</w:t>
      </w:r>
    </w:p>
    <w:p w:rsidR="00FA493E" w:rsidRPr="00FA493E" w:rsidRDefault="00FA493E" w:rsidP="00336321">
      <w:pPr>
        <w:spacing w:after="120" w:line="22" w:lineRule="atLeast"/>
        <w:rPr>
          <w:rFonts w:eastAsia="Calibri"/>
          <w:b/>
        </w:rPr>
      </w:pPr>
      <w:r w:rsidRPr="00FA493E">
        <w:rPr>
          <w:rFonts w:eastAsia="Calibri"/>
          <w:b/>
        </w:rPr>
        <w:t>A12.</w:t>
      </w:r>
      <w:r w:rsidR="00D85E14">
        <w:rPr>
          <w:rFonts w:eastAsia="Calibri"/>
          <w:b/>
        </w:rPr>
        <w:t xml:space="preserve"> </w:t>
      </w:r>
      <w:r w:rsidRPr="00FA493E">
        <w:rPr>
          <w:rFonts w:eastAsia="Calibri"/>
          <w:b/>
        </w:rPr>
        <w:t>Estimates of Hour Burden</w:t>
      </w:r>
    </w:p>
    <w:p w:rsidR="00D85E14" w:rsidRDefault="00FA493E" w:rsidP="00336321">
      <w:pPr>
        <w:widowControl w:val="0"/>
        <w:spacing w:after="120" w:line="22" w:lineRule="atLeast"/>
        <w:rPr>
          <w:rFonts w:eastAsia="Calibri"/>
        </w:rPr>
      </w:pPr>
      <w:r w:rsidRPr="00FA493E">
        <w:rPr>
          <w:rFonts w:eastAsia="Calibri"/>
        </w:rPr>
        <w:t>As previously mentioned, SLFS leverages the work of state fiscal coordinators on F-33 (OMB# 0607-0700).</w:t>
      </w:r>
      <w:r w:rsidRPr="00FA493E">
        <w:rPr>
          <w:rFonts w:eastAsia="Calibri"/>
          <w:vertAlign w:val="superscript"/>
        </w:rPr>
        <w:footnoteReference w:id="7"/>
      </w:r>
      <w:r w:rsidRPr="00FA493E">
        <w:rPr>
          <w:rFonts w:eastAsia="Calibri"/>
        </w:rPr>
        <w:t xml:space="preserve"> Respondents often use data from F-33 to cross check and edit SLFS data. In order to enhance efficiency, NCES and Census provided account numbers in the NCES financial accounting handbook beside the revenue and expenditure items on the Form F-33-SLFS</w:t>
      </w:r>
      <w:r w:rsidR="007D2FE2">
        <w:rPr>
          <w:rFonts w:eastAsia="Calibri"/>
        </w:rPr>
        <w:t xml:space="preserve"> (used to collect the SLFS data)</w:t>
      </w:r>
      <w:r w:rsidRPr="00FA493E">
        <w:rPr>
          <w:rFonts w:eastAsia="Calibri"/>
        </w:rPr>
        <w:t xml:space="preserve">. Additionally, NCES and Census discussed with SEAs interested in participating in the SLFS the likely reporting burden of this collection. Based on the F-33 existing survey, </w:t>
      </w:r>
      <w:r w:rsidR="00F83964">
        <w:rPr>
          <w:rFonts w:eastAsia="Calibri"/>
        </w:rPr>
        <w:t>we</w:t>
      </w:r>
      <w:r w:rsidRPr="00FA493E">
        <w:rPr>
          <w:rFonts w:eastAsia="Calibri"/>
        </w:rPr>
        <w:t xml:space="preserve"> estimated that it will take each SEA on average 125 ho</w:t>
      </w:r>
      <w:r w:rsidR="00F83964">
        <w:rPr>
          <w:rFonts w:eastAsia="Calibri"/>
        </w:rPr>
        <w:t>urs to provide data in the F-33-</w:t>
      </w:r>
      <w:r w:rsidRPr="00FA493E">
        <w:rPr>
          <w:rFonts w:eastAsia="Calibri"/>
        </w:rPr>
        <w:t xml:space="preserve">SLFS format, and based on conversations with the interested SEAs, </w:t>
      </w:r>
      <w:r w:rsidR="00F83964">
        <w:rPr>
          <w:rFonts w:eastAsia="Calibri"/>
        </w:rPr>
        <w:t>we</w:t>
      </w:r>
      <w:r w:rsidRPr="00FA493E">
        <w:rPr>
          <w:rFonts w:eastAsia="Calibri"/>
        </w:rPr>
        <w:t xml:space="preserve"> estimated that it will take an SEA approximately 42 hours to submit data in their own state-specific format. The burden to complete the data plan survey is estimated at 2.5 hours. Table 1 shows the total estimated burden to respondents for participating in SLFS 2018 (the same response burden is estimated for SLFS 2019 and 2020).</w:t>
      </w:r>
    </w:p>
    <w:p w:rsidR="001760C1" w:rsidRDefault="001760C1" w:rsidP="001760C1">
      <w:r>
        <w:t>Estimating an average hourly rate for SEA technicians and managers to prepare and submit SLFS data to be $32.01</w:t>
      </w:r>
      <w:r w:rsidR="00550EA8" w:rsidRPr="00D51A8B">
        <w:rPr>
          <w:rStyle w:val="FootnoteReference"/>
          <w:vertAlign w:val="superscript"/>
        </w:rPr>
        <w:footnoteReference w:id="8"/>
      </w:r>
      <w:r>
        <w:t xml:space="preserve"> and for managers, estimated to contribute 20 percent of the SLFS data submission time, to be $49.06, the total estimated burden time cost for the annual SLFS collection, if all states participate, is $174,904.</w:t>
      </w:r>
    </w:p>
    <w:p w:rsidR="00762E4A" w:rsidRPr="00673E11" w:rsidRDefault="00762E4A" w:rsidP="00336321">
      <w:pPr>
        <w:spacing w:before="240" w:after="60"/>
        <w:rPr>
          <w:b/>
          <w:spacing w:val="-1"/>
        </w:rPr>
      </w:pPr>
      <w:r w:rsidRPr="00673E11">
        <w:rPr>
          <w:b/>
          <w:spacing w:val="-1"/>
        </w:rPr>
        <w:t xml:space="preserve">Table </w:t>
      </w:r>
      <w:r w:rsidRPr="00673E11">
        <w:rPr>
          <w:b/>
        </w:rPr>
        <w:t xml:space="preserve">1. </w:t>
      </w:r>
      <w:r w:rsidRPr="00081992">
        <w:rPr>
          <w:b/>
        </w:rPr>
        <w:t xml:space="preserve">SLFS </w:t>
      </w:r>
      <w:r w:rsidRPr="00673E11">
        <w:rPr>
          <w:b/>
        </w:rPr>
        <w:t>201</w:t>
      </w:r>
      <w:r>
        <w:rPr>
          <w:b/>
        </w:rPr>
        <w:t>8</w:t>
      </w:r>
      <w:r w:rsidRPr="00673E11">
        <w:rPr>
          <w:b/>
        </w:rPr>
        <w:t xml:space="preserve"> </w:t>
      </w:r>
      <w:r w:rsidRPr="00673E11">
        <w:rPr>
          <w:b/>
          <w:spacing w:val="-1"/>
        </w:rPr>
        <w:t>Estimated</w:t>
      </w:r>
      <w:r w:rsidRPr="00673E11">
        <w:rPr>
          <w:b/>
        </w:rPr>
        <w:t xml:space="preserve"> </w:t>
      </w:r>
      <w:r w:rsidRPr="00673E11">
        <w:rPr>
          <w:b/>
          <w:spacing w:val="-1"/>
        </w:rPr>
        <w:t>Respondent</w:t>
      </w:r>
      <w:r w:rsidRPr="00673E11">
        <w:rPr>
          <w:b/>
        </w:rPr>
        <w:t xml:space="preserve"> </w:t>
      </w:r>
      <w:r w:rsidRPr="00673E11">
        <w:rPr>
          <w:b/>
          <w:spacing w:val="-1"/>
        </w:rPr>
        <w:t>Burden</w:t>
      </w:r>
      <w:r>
        <w:rPr>
          <w:b/>
          <w:spacing w:val="-1"/>
        </w:rPr>
        <w:t xml:space="preserve"> if 51 SEAs Participate</w:t>
      </w:r>
    </w:p>
    <w:tbl>
      <w:tblPr>
        <w:tblStyle w:val="TableGrid"/>
        <w:tblW w:w="0" w:type="auto"/>
        <w:tblLook w:val="04A0" w:firstRow="1" w:lastRow="0" w:firstColumn="1" w:lastColumn="0" w:noHBand="0" w:noVBand="1"/>
      </w:tblPr>
      <w:tblGrid>
        <w:gridCol w:w="3618"/>
        <w:gridCol w:w="1800"/>
        <w:gridCol w:w="1890"/>
        <w:gridCol w:w="1440"/>
        <w:gridCol w:w="1836"/>
      </w:tblGrid>
      <w:tr w:rsidR="00C10A46" w:rsidTr="00C10A46">
        <w:tc>
          <w:tcPr>
            <w:tcW w:w="3618" w:type="dxa"/>
            <w:vAlign w:val="center"/>
          </w:tcPr>
          <w:p w:rsidR="005E5F2D" w:rsidRPr="00615C3B" w:rsidRDefault="005E5F2D" w:rsidP="00C10A46">
            <w:pPr>
              <w:ind w:left="9"/>
              <w:jc w:val="center"/>
              <w:rPr>
                <w:sz w:val="20"/>
                <w:szCs w:val="20"/>
              </w:rPr>
            </w:pPr>
            <w:r w:rsidRPr="00615C3B">
              <w:rPr>
                <w:b/>
                <w:bCs/>
                <w:sz w:val="20"/>
                <w:szCs w:val="20"/>
              </w:rPr>
              <w:t xml:space="preserve">Submission </w:t>
            </w:r>
            <w:r w:rsidRPr="00615C3B">
              <w:rPr>
                <w:b/>
                <w:bCs/>
                <w:spacing w:val="-1"/>
                <w:sz w:val="20"/>
                <w:szCs w:val="20"/>
              </w:rPr>
              <w:t>Method</w:t>
            </w:r>
            <w:r w:rsidRPr="00615C3B">
              <w:rPr>
                <w:b/>
                <w:bCs/>
                <w:spacing w:val="25"/>
                <w:sz w:val="20"/>
                <w:szCs w:val="20"/>
              </w:rPr>
              <w:t xml:space="preserve"> </w:t>
            </w:r>
            <w:r w:rsidRPr="00615C3B">
              <w:rPr>
                <w:b/>
                <w:bCs/>
                <w:sz w:val="20"/>
                <w:szCs w:val="20"/>
              </w:rPr>
              <w:t>or</w:t>
            </w:r>
            <w:r w:rsidRPr="00615C3B">
              <w:rPr>
                <w:b/>
                <w:bCs/>
                <w:spacing w:val="-1"/>
                <w:sz w:val="20"/>
                <w:szCs w:val="20"/>
              </w:rPr>
              <w:t xml:space="preserve"> Form</w:t>
            </w:r>
            <w:r w:rsidRPr="00615C3B">
              <w:rPr>
                <w:b/>
                <w:bCs/>
                <w:sz w:val="20"/>
                <w:szCs w:val="20"/>
              </w:rPr>
              <w:t xml:space="preserve"> Type</w:t>
            </w:r>
          </w:p>
        </w:tc>
        <w:tc>
          <w:tcPr>
            <w:tcW w:w="1800" w:type="dxa"/>
            <w:vAlign w:val="center"/>
          </w:tcPr>
          <w:p w:rsidR="005E5F2D" w:rsidRPr="00615C3B" w:rsidRDefault="005E5F2D" w:rsidP="00C10A46">
            <w:pPr>
              <w:ind w:left="-108" w:right="-18"/>
              <w:jc w:val="center"/>
              <w:rPr>
                <w:sz w:val="20"/>
                <w:szCs w:val="20"/>
              </w:rPr>
            </w:pPr>
            <w:r w:rsidRPr="00615C3B">
              <w:rPr>
                <w:b/>
                <w:bCs/>
                <w:spacing w:val="-1"/>
                <w:sz w:val="20"/>
                <w:szCs w:val="20"/>
              </w:rPr>
              <w:t xml:space="preserve">Maximum Number </w:t>
            </w:r>
            <w:r w:rsidRPr="00615C3B">
              <w:rPr>
                <w:b/>
                <w:bCs/>
                <w:sz w:val="20"/>
                <w:szCs w:val="20"/>
              </w:rPr>
              <w:t>of</w:t>
            </w:r>
            <w:r w:rsidRPr="00615C3B">
              <w:rPr>
                <w:b/>
                <w:bCs/>
                <w:spacing w:val="24"/>
                <w:sz w:val="20"/>
                <w:szCs w:val="20"/>
              </w:rPr>
              <w:t xml:space="preserve"> </w:t>
            </w:r>
            <w:r w:rsidRPr="00615C3B">
              <w:rPr>
                <w:b/>
                <w:bCs/>
                <w:spacing w:val="-1"/>
                <w:sz w:val="20"/>
                <w:szCs w:val="20"/>
              </w:rPr>
              <w:t>Respondents</w:t>
            </w:r>
          </w:p>
        </w:tc>
        <w:tc>
          <w:tcPr>
            <w:tcW w:w="1890" w:type="dxa"/>
            <w:vAlign w:val="center"/>
          </w:tcPr>
          <w:p w:rsidR="005E5F2D" w:rsidRPr="00615C3B" w:rsidRDefault="005E5F2D" w:rsidP="00C10A46">
            <w:pPr>
              <w:ind w:left="-108" w:right="-108"/>
              <w:jc w:val="center"/>
              <w:rPr>
                <w:sz w:val="20"/>
                <w:szCs w:val="20"/>
              </w:rPr>
            </w:pPr>
            <w:r w:rsidRPr="00615C3B">
              <w:rPr>
                <w:b/>
                <w:bCs/>
                <w:spacing w:val="-1"/>
                <w:sz w:val="20"/>
                <w:szCs w:val="20"/>
              </w:rPr>
              <w:t xml:space="preserve">Maximum Number </w:t>
            </w:r>
            <w:r w:rsidRPr="00615C3B">
              <w:rPr>
                <w:b/>
                <w:bCs/>
                <w:sz w:val="20"/>
                <w:szCs w:val="20"/>
              </w:rPr>
              <w:t>of</w:t>
            </w:r>
            <w:r w:rsidRPr="00615C3B">
              <w:rPr>
                <w:b/>
                <w:bCs/>
                <w:spacing w:val="24"/>
                <w:sz w:val="20"/>
                <w:szCs w:val="20"/>
              </w:rPr>
              <w:t xml:space="preserve"> </w:t>
            </w:r>
            <w:r w:rsidRPr="00615C3B">
              <w:rPr>
                <w:b/>
                <w:bCs/>
                <w:spacing w:val="-1"/>
                <w:sz w:val="20"/>
                <w:szCs w:val="20"/>
              </w:rPr>
              <w:t>Responses</w:t>
            </w:r>
          </w:p>
        </w:tc>
        <w:tc>
          <w:tcPr>
            <w:tcW w:w="1440" w:type="dxa"/>
            <w:vAlign w:val="center"/>
          </w:tcPr>
          <w:p w:rsidR="005E5F2D" w:rsidRPr="00615C3B" w:rsidRDefault="005E5F2D" w:rsidP="00C10A46">
            <w:pPr>
              <w:ind w:left="4"/>
              <w:jc w:val="center"/>
              <w:rPr>
                <w:sz w:val="20"/>
                <w:szCs w:val="20"/>
              </w:rPr>
            </w:pPr>
            <w:r w:rsidRPr="00615C3B">
              <w:rPr>
                <w:b/>
                <w:bCs/>
                <w:spacing w:val="-1"/>
                <w:sz w:val="20"/>
                <w:szCs w:val="20"/>
              </w:rPr>
              <w:t>Hours</w:t>
            </w:r>
            <w:r w:rsidRPr="00615C3B">
              <w:rPr>
                <w:b/>
                <w:bCs/>
                <w:sz w:val="20"/>
                <w:szCs w:val="20"/>
              </w:rPr>
              <w:t xml:space="preserve"> </w:t>
            </w:r>
            <w:r w:rsidRPr="00615C3B">
              <w:rPr>
                <w:b/>
                <w:bCs/>
                <w:spacing w:val="-1"/>
                <w:sz w:val="20"/>
                <w:szCs w:val="20"/>
              </w:rPr>
              <w:t>Per</w:t>
            </w:r>
            <w:r w:rsidRPr="00615C3B">
              <w:rPr>
                <w:b/>
                <w:bCs/>
                <w:spacing w:val="23"/>
                <w:sz w:val="20"/>
                <w:szCs w:val="20"/>
              </w:rPr>
              <w:t xml:space="preserve"> </w:t>
            </w:r>
            <w:r w:rsidRPr="00615C3B">
              <w:rPr>
                <w:b/>
                <w:bCs/>
                <w:spacing w:val="-1"/>
                <w:sz w:val="20"/>
                <w:szCs w:val="20"/>
              </w:rPr>
              <w:t>Respondent</w:t>
            </w:r>
          </w:p>
        </w:tc>
        <w:tc>
          <w:tcPr>
            <w:tcW w:w="1836" w:type="dxa"/>
            <w:vAlign w:val="center"/>
          </w:tcPr>
          <w:p w:rsidR="005E5F2D" w:rsidRPr="00615C3B" w:rsidRDefault="005E5F2D" w:rsidP="00C10A46">
            <w:pPr>
              <w:ind w:right="63"/>
              <w:jc w:val="center"/>
              <w:rPr>
                <w:sz w:val="20"/>
                <w:szCs w:val="20"/>
              </w:rPr>
            </w:pPr>
            <w:r w:rsidRPr="00615C3B">
              <w:rPr>
                <w:b/>
                <w:bCs/>
                <w:spacing w:val="-1"/>
                <w:sz w:val="20"/>
                <w:szCs w:val="20"/>
              </w:rPr>
              <w:t>Maximum Total</w:t>
            </w:r>
            <w:r w:rsidRPr="00615C3B">
              <w:rPr>
                <w:b/>
                <w:bCs/>
                <w:spacing w:val="29"/>
                <w:sz w:val="20"/>
                <w:szCs w:val="20"/>
              </w:rPr>
              <w:t xml:space="preserve"> </w:t>
            </w:r>
            <w:r w:rsidRPr="00615C3B">
              <w:rPr>
                <w:b/>
                <w:bCs/>
                <w:spacing w:val="-1"/>
                <w:sz w:val="20"/>
                <w:szCs w:val="20"/>
              </w:rPr>
              <w:t>Burden</w:t>
            </w:r>
            <w:r w:rsidRPr="00615C3B">
              <w:rPr>
                <w:b/>
                <w:bCs/>
                <w:spacing w:val="25"/>
                <w:sz w:val="20"/>
                <w:szCs w:val="20"/>
              </w:rPr>
              <w:t xml:space="preserve"> </w:t>
            </w:r>
            <w:r w:rsidRPr="00615C3B">
              <w:rPr>
                <w:b/>
                <w:bCs/>
                <w:spacing w:val="-1"/>
                <w:sz w:val="20"/>
                <w:szCs w:val="20"/>
              </w:rPr>
              <w:t>Hours</w:t>
            </w:r>
          </w:p>
        </w:tc>
      </w:tr>
      <w:tr w:rsidR="00A91F84" w:rsidRPr="000F3447" w:rsidTr="00A91F84">
        <w:tc>
          <w:tcPr>
            <w:tcW w:w="10584" w:type="dxa"/>
            <w:gridSpan w:val="5"/>
            <w:vAlign w:val="center"/>
          </w:tcPr>
          <w:p w:rsidR="00A91F84" w:rsidRPr="000F3447" w:rsidRDefault="00A91F84" w:rsidP="00A91F84">
            <w:pPr>
              <w:ind w:left="90" w:right="153"/>
              <w:jc w:val="center"/>
              <w:rPr>
                <w:sz w:val="20"/>
                <w:szCs w:val="20"/>
              </w:rPr>
            </w:pPr>
            <w:r w:rsidRPr="000F3447">
              <w:rPr>
                <w:sz w:val="20"/>
                <w:szCs w:val="20"/>
              </w:rPr>
              <w:t>SLFS 2018 Data Collection (in 2019)</w:t>
            </w:r>
          </w:p>
        </w:tc>
      </w:tr>
      <w:tr w:rsidR="00C10A46" w:rsidTr="00C10A46">
        <w:tc>
          <w:tcPr>
            <w:tcW w:w="3618" w:type="dxa"/>
            <w:vAlign w:val="center"/>
          </w:tcPr>
          <w:p w:rsidR="005E5F2D" w:rsidRPr="00615C3B" w:rsidRDefault="005E5F2D" w:rsidP="00C10A46">
            <w:pPr>
              <w:ind w:left="9"/>
              <w:rPr>
                <w:sz w:val="20"/>
                <w:szCs w:val="20"/>
              </w:rPr>
            </w:pPr>
            <w:r w:rsidRPr="00615C3B">
              <w:rPr>
                <w:spacing w:val="-1"/>
                <w:sz w:val="20"/>
                <w:szCs w:val="20"/>
              </w:rPr>
              <w:t>SEA Recruitment</w:t>
            </w:r>
          </w:p>
        </w:tc>
        <w:tc>
          <w:tcPr>
            <w:tcW w:w="1800" w:type="dxa"/>
            <w:vAlign w:val="center"/>
          </w:tcPr>
          <w:p w:rsidR="005E5F2D" w:rsidRPr="00615C3B" w:rsidRDefault="005E5F2D" w:rsidP="00C10A46">
            <w:pPr>
              <w:ind w:right="88"/>
              <w:jc w:val="right"/>
              <w:rPr>
                <w:sz w:val="20"/>
                <w:szCs w:val="20"/>
              </w:rPr>
            </w:pPr>
            <w:r w:rsidRPr="00615C3B">
              <w:rPr>
                <w:sz w:val="20"/>
                <w:szCs w:val="20"/>
              </w:rPr>
              <w:t>51</w:t>
            </w:r>
          </w:p>
        </w:tc>
        <w:tc>
          <w:tcPr>
            <w:tcW w:w="1890" w:type="dxa"/>
            <w:vAlign w:val="center"/>
          </w:tcPr>
          <w:p w:rsidR="005E5F2D" w:rsidRPr="00615C3B" w:rsidRDefault="005E5F2D" w:rsidP="00C10A46">
            <w:pPr>
              <w:ind w:right="88"/>
              <w:jc w:val="right"/>
              <w:rPr>
                <w:sz w:val="20"/>
                <w:szCs w:val="20"/>
              </w:rPr>
            </w:pPr>
            <w:r w:rsidRPr="00615C3B">
              <w:rPr>
                <w:sz w:val="20"/>
                <w:szCs w:val="20"/>
              </w:rPr>
              <w:t>51</w:t>
            </w:r>
          </w:p>
        </w:tc>
        <w:tc>
          <w:tcPr>
            <w:tcW w:w="1440" w:type="dxa"/>
            <w:vAlign w:val="center"/>
          </w:tcPr>
          <w:p w:rsidR="005E5F2D" w:rsidRPr="00615C3B" w:rsidRDefault="005E5F2D" w:rsidP="00C10A46">
            <w:pPr>
              <w:ind w:right="88"/>
              <w:jc w:val="right"/>
              <w:rPr>
                <w:sz w:val="20"/>
                <w:szCs w:val="20"/>
              </w:rPr>
            </w:pPr>
            <w:r w:rsidRPr="00615C3B">
              <w:rPr>
                <w:sz w:val="20"/>
                <w:szCs w:val="20"/>
              </w:rPr>
              <w:t>1</w:t>
            </w:r>
          </w:p>
        </w:tc>
        <w:tc>
          <w:tcPr>
            <w:tcW w:w="1836" w:type="dxa"/>
            <w:vAlign w:val="center"/>
          </w:tcPr>
          <w:p w:rsidR="005E5F2D" w:rsidRPr="00615C3B" w:rsidRDefault="005E5F2D" w:rsidP="00C10A46">
            <w:pPr>
              <w:ind w:left="90" w:right="153"/>
              <w:jc w:val="right"/>
              <w:rPr>
                <w:sz w:val="20"/>
                <w:szCs w:val="20"/>
              </w:rPr>
            </w:pPr>
            <w:r w:rsidRPr="00615C3B">
              <w:rPr>
                <w:sz w:val="20"/>
                <w:szCs w:val="20"/>
              </w:rPr>
              <w:t>51</w:t>
            </w:r>
          </w:p>
        </w:tc>
      </w:tr>
      <w:tr w:rsidR="00C10A46" w:rsidTr="00C10A46">
        <w:tc>
          <w:tcPr>
            <w:tcW w:w="3618" w:type="dxa"/>
            <w:vAlign w:val="center"/>
          </w:tcPr>
          <w:p w:rsidR="005E5F2D" w:rsidRPr="00615C3B" w:rsidRDefault="005E5F2D" w:rsidP="00C10A46">
            <w:pPr>
              <w:ind w:left="9"/>
              <w:rPr>
                <w:sz w:val="20"/>
                <w:szCs w:val="20"/>
              </w:rPr>
            </w:pPr>
            <w:r w:rsidRPr="00615C3B">
              <w:rPr>
                <w:sz w:val="20"/>
                <w:szCs w:val="20"/>
              </w:rPr>
              <w:t>Survey</w:t>
            </w:r>
            <w:r w:rsidRPr="00615C3B">
              <w:rPr>
                <w:spacing w:val="23"/>
                <w:sz w:val="20"/>
                <w:szCs w:val="20"/>
              </w:rPr>
              <w:t xml:space="preserve"> </w:t>
            </w:r>
            <w:r w:rsidRPr="00615C3B">
              <w:rPr>
                <w:spacing w:val="-1"/>
                <w:sz w:val="20"/>
                <w:szCs w:val="20"/>
              </w:rPr>
              <w:t>Announcement</w:t>
            </w:r>
          </w:p>
        </w:tc>
        <w:tc>
          <w:tcPr>
            <w:tcW w:w="1800" w:type="dxa"/>
            <w:vAlign w:val="center"/>
          </w:tcPr>
          <w:p w:rsidR="005E5F2D" w:rsidRPr="00615C3B" w:rsidRDefault="005E5F2D" w:rsidP="00C10A46">
            <w:pPr>
              <w:ind w:right="88"/>
              <w:jc w:val="right"/>
              <w:rPr>
                <w:sz w:val="20"/>
                <w:szCs w:val="20"/>
              </w:rPr>
            </w:pPr>
            <w:r w:rsidRPr="00615C3B">
              <w:rPr>
                <w:sz w:val="20"/>
                <w:szCs w:val="20"/>
              </w:rPr>
              <w:t>51</w:t>
            </w:r>
          </w:p>
        </w:tc>
        <w:tc>
          <w:tcPr>
            <w:tcW w:w="1890" w:type="dxa"/>
            <w:vAlign w:val="center"/>
          </w:tcPr>
          <w:p w:rsidR="005E5F2D" w:rsidRPr="00615C3B" w:rsidRDefault="005E5F2D" w:rsidP="00C10A46">
            <w:pPr>
              <w:ind w:right="88"/>
              <w:jc w:val="right"/>
              <w:rPr>
                <w:sz w:val="20"/>
                <w:szCs w:val="20"/>
              </w:rPr>
            </w:pPr>
            <w:r w:rsidRPr="00615C3B">
              <w:rPr>
                <w:sz w:val="20"/>
                <w:szCs w:val="20"/>
              </w:rPr>
              <w:t>51</w:t>
            </w:r>
          </w:p>
        </w:tc>
        <w:tc>
          <w:tcPr>
            <w:tcW w:w="1440" w:type="dxa"/>
            <w:vAlign w:val="center"/>
          </w:tcPr>
          <w:p w:rsidR="005E5F2D" w:rsidRPr="00615C3B" w:rsidRDefault="005E5F2D" w:rsidP="00C10A46">
            <w:pPr>
              <w:ind w:right="88"/>
              <w:jc w:val="right"/>
              <w:rPr>
                <w:sz w:val="20"/>
                <w:szCs w:val="20"/>
              </w:rPr>
            </w:pPr>
            <w:r w:rsidRPr="00615C3B">
              <w:rPr>
                <w:sz w:val="20"/>
                <w:szCs w:val="20"/>
              </w:rPr>
              <w:t>0.25</w:t>
            </w:r>
          </w:p>
        </w:tc>
        <w:tc>
          <w:tcPr>
            <w:tcW w:w="1836" w:type="dxa"/>
            <w:vAlign w:val="center"/>
          </w:tcPr>
          <w:p w:rsidR="005E5F2D" w:rsidRPr="00615C3B" w:rsidRDefault="005E5F2D" w:rsidP="00C10A46">
            <w:pPr>
              <w:ind w:left="90" w:right="153"/>
              <w:jc w:val="right"/>
              <w:rPr>
                <w:sz w:val="20"/>
                <w:szCs w:val="20"/>
              </w:rPr>
            </w:pPr>
            <w:r w:rsidRPr="00615C3B">
              <w:rPr>
                <w:sz w:val="20"/>
                <w:szCs w:val="20"/>
              </w:rPr>
              <w:t>12.75</w:t>
            </w:r>
          </w:p>
        </w:tc>
      </w:tr>
      <w:tr w:rsidR="00C10A46" w:rsidTr="00C10A46">
        <w:tc>
          <w:tcPr>
            <w:tcW w:w="3618" w:type="dxa"/>
            <w:vAlign w:val="center"/>
          </w:tcPr>
          <w:p w:rsidR="005E5F2D" w:rsidRPr="00615C3B" w:rsidRDefault="005E5F2D" w:rsidP="00D51A8B">
            <w:pPr>
              <w:ind w:left="9"/>
              <w:rPr>
                <w:sz w:val="20"/>
                <w:szCs w:val="20"/>
              </w:rPr>
            </w:pPr>
            <w:r w:rsidRPr="00615C3B">
              <w:rPr>
                <w:spacing w:val="-1"/>
                <w:sz w:val="20"/>
                <w:szCs w:val="20"/>
              </w:rPr>
              <w:t>SLFS 201</w:t>
            </w:r>
            <w:r w:rsidR="00D51A8B">
              <w:rPr>
                <w:spacing w:val="-1"/>
                <w:sz w:val="20"/>
                <w:szCs w:val="20"/>
              </w:rPr>
              <w:t>8</w:t>
            </w:r>
            <w:r w:rsidRPr="00615C3B">
              <w:rPr>
                <w:spacing w:val="-1"/>
                <w:sz w:val="20"/>
                <w:szCs w:val="20"/>
              </w:rPr>
              <w:t xml:space="preserve"> Webinar</w:t>
            </w:r>
          </w:p>
        </w:tc>
        <w:tc>
          <w:tcPr>
            <w:tcW w:w="1800" w:type="dxa"/>
            <w:vAlign w:val="center"/>
          </w:tcPr>
          <w:p w:rsidR="005E5F2D" w:rsidRPr="00615C3B" w:rsidRDefault="005E5F2D" w:rsidP="00C10A46">
            <w:pPr>
              <w:ind w:right="88"/>
              <w:jc w:val="right"/>
              <w:rPr>
                <w:sz w:val="20"/>
                <w:szCs w:val="20"/>
              </w:rPr>
            </w:pPr>
            <w:r w:rsidRPr="00615C3B">
              <w:rPr>
                <w:sz w:val="20"/>
                <w:szCs w:val="20"/>
              </w:rPr>
              <w:t>51</w:t>
            </w:r>
          </w:p>
        </w:tc>
        <w:tc>
          <w:tcPr>
            <w:tcW w:w="1890" w:type="dxa"/>
            <w:vAlign w:val="center"/>
          </w:tcPr>
          <w:p w:rsidR="005E5F2D" w:rsidRPr="00615C3B" w:rsidRDefault="005E5F2D" w:rsidP="00C10A46">
            <w:pPr>
              <w:ind w:right="88"/>
              <w:jc w:val="right"/>
              <w:rPr>
                <w:sz w:val="20"/>
                <w:szCs w:val="20"/>
              </w:rPr>
            </w:pPr>
            <w:r w:rsidRPr="00615C3B">
              <w:rPr>
                <w:sz w:val="20"/>
                <w:szCs w:val="20"/>
              </w:rPr>
              <w:t>51</w:t>
            </w:r>
          </w:p>
        </w:tc>
        <w:tc>
          <w:tcPr>
            <w:tcW w:w="1440" w:type="dxa"/>
            <w:vAlign w:val="center"/>
          </w:tcPr>
          <w:p w:rsidR="005E5F2D" w:rsidRPr="00615C3B" w:rsidRDefault="005E5F2D" w:rsidP="00C10A46">
            <w:pPr>
              <w:ind w:right="88"/>
              <w:jc w:val="right"/>
              <w:rPr>
                <w:sz w:val="20"/>
                <w:szCs w:val="20"/>
              </w:rPr>
            </w:pPr>
            <w:r w:rsidRPr="00615C3B">
              <w:rPr>
                <w:sz w:val="20"/>
                <w:szCs w:val="20"/>
              </w:rPr>
              <w:t>2</w:t>
            </w:r>
          </w:p>
        </w:tc>
        <w:tc>
          <w:tcPr>
            <w:tcW w:w="1836" w:type="dxa"/>
            <w:vAlign w:val="center"/>
          </w:tcPr>
          <w:p w:rsidR="005E5F2D" w:rsidRPr="00615C3B" w:rsidRDefault="005E5F2D" w:rsidP="00C10A46">
            <w:pPr>
              <w:ind w:left="90" w:right="153"/>
              <w:jc w:val="right"/>
              <w:rPr>
                <w:sz w:val="20"/>
                <w:szCs w:val="20"/>
              </w:rPr>
            </w:pPr>
            <w:r w:rsidRPr="00615C3B">
              <w:rPr>
                <w:sz w:val="20"/>
                <w:szCs w:val="20"/>
              </w:rPr>
              <w:t>102</w:t>
            </w:r>
          </w:p>
        </w:tc>
      </w:tr>
      <w:tr w:rsidR="00C10A46" w:rsidTr="00C10A46">
        <w:tc>
          <w:tcPr>
            <w:tcW w:w="3618" w:type="dxa"/>
            <w:vAlign w:val="center"/>
          </w:tcPr>
          <w:p w:rsidR="005E5F2D" w:rsidRPr="00615C3B" w:rsidRDefault="005E5F2D" w:rsidP="00C10A46">
            <w:pPr>
              <w:ind w:left="9"/>
              <w:rPr>
                <w:sz w:val="20"/>
                <w:szCs w:val="20"/>
              </w:rPr>
            </w:pPr>
            <w:r w:rsidRPr="00615C3B">
              <w:rPr>
                <w:spacing w:val="-1"/>
                <w:sz w:val="20"/>
                <w:szCs w:val="20"/>
              </w:rPr>
              <w:t>Form</w:t>
            </w:r>
            <w:r w:rsidRPr="00615C3B">
              <w:rPr>
                <w:sz w:val="20"/>
                <w:szCs w:val="20"/>
              </w:rPr>
              <w:t xml:space="preserve"> </w:t>
            </w:r>
            <w:r w:rsidRPr="00615C3B">
              <w:rPr>
                <w:spacing w:val="-1"/>
                <w:sz w:val="20"/>
                <w:szCs w:val="20"/>
              </w:rPr>
              <w:t>F-33-SLFS Instructions</w:t>
            </w:r>
          </w:p>
        </w:tc>
        <w:tc>
          <w:tcPr>
            <w:tcW w:w="1800" w:type="dxa"/>
            <w:vAlign w:val="center"/>
          </w:tcPr>
          <w:p w:rsidR="005E5F2D" w:rsidRPr="00615C3B" w:rsidRDefault="005E5F2D" w:rsidP="00C10A46">
            <w:pPr>
              <w:ind w:right="88"/>
              <w:jc w:val="right"/>
              <w:rPr>
                <w:sz w:val="20"/>
                <w:szCs w:val="20"/>
              </w:rPr>
            </w:pPr>
            <w:r w:rsidRPr="00615C3B">
              <w:rPr>
                <w:sz w:val="20"/>
                <w:szCs w:val="20"/>
              </w:rPr>
              <w:t>51</w:t>
            </w:r>
          </w:p>
        </w:tc>
        <w:tc>
          <w:tcPr>
            <w:tcW w:w="1890" w:type="dxa"/>
            <w:vAlign w:val="center"/>
          </w:tcPr>
          <w:p w:rsidR="005E5F2D" w:rsidRPr="00615C3B" w:rsidRDefault="005E5F2D" w:rsidP="00C10A46">
            <w:pPr>
              <w:ind w:right="88"/>
              <w:jc w:val="right"/>
              <w:rPr>
                <w:sz w:val="20"/>
                <w:szCs w:val="20"/>
              </w:rPr>
            </w:pPr>
            <w:r w:rsidRPr="00615C3B">
              <w:rPr>
                <w:sz w:val="20"/>
                <w:szCs w:val="20"/>
              </w:rPr>
              <w:t>51</w:t>
            </w:r>
          </w:p>
        </w:tc>
        <w:tc>
          <w:tcPr>
            <w:tcW w:w="1440" w:type="dxa"/>
            <w:vAlign w:val="center"/>
          </w:tcPr>
          <w:p w:rsidR="005E5F2D" w:rsidRPr="00615C3B" w:rsidRDefault="005E5F2D" w:rsidP="00C10A46">
            <w:pPr>
              <w:ind w:right="88"/>
              <w:jc w:val="right"/>
              <w:rPr>
                <w:sz w:val="20"/>
                <w:szCs w:val="20"/>
              </w:rPr>
            </w:pPr>
            <w:r w:rsidRPr="00615C3B">
              <w:rPr>
                <w:sz w:val="20"/>
                <w:szCs w:val="20"/>
              </w:rPr>
              <w:t>0.25</w:t>
            </w:r>
          </w:p>
        </w:tc>
        <w:tc>
          <w:tcPr>
            <w:tcW w:w="1836" w:type="dxa"/>
            <w:vAlign w:val="center"/>
          </w:tcPr>
          <w:p w:rsidR="005E5F2D" w:rsidRPr="00615C3B" w:rsidRDefault="005E5F2D" w:rsidP="00C10A46">
            <w:pPr>
              <w:ind w:left="90" w:right="153"/>
              <w:jc w:val="right"/>
              <w:rPr>
                <w:sz w:val="20"/>
                <w:szCs w:val="20"/>
              </w:rPr>
            </w:pPr>
            <w:r w:rsidRPr="00615C3B">
              <w:rPr>
                <w:sz w:val="20"/>
                <w:szCs w:val="20"/>
              </w:rPr>
              <w:t>12.75</w:t>
            </w:r>
          </w:p>
        </w:tc>
      </w:tr>
      <w:tr w:rsidR="00C10A46" w:rsidTr="00C10A46">
        <w:tc>
          <w:tcPr>
            <w:tcW w:w="3618" w:type="dxa"/>
            <w:vAlign w:val="center"/>
          </w:tcPr>
          <w:p w:rsidR="005E5F2D" w:rsidRPr="00615C3B" w:rsidRDefault="005E5F2D" w:rsidP="00C10A46">
            <w:pPr>
              <w:ind w:left="9"/>
              <w:rPr>
                <w:sz w:val="20"/>
                <w:szCs w:val="20"/>
              </w:rPr>
            </w:pPr>
            <w:r w:rsidRPr="00615C3B">
              <w:rPr>
                <w:spacing w:val="-1"/>
                <w:sz w:val="20"/>
                <w:szCs w:val="20"/>
              </w:rPr>
              <w:t>Data Submission using SLFS F-33 Format</w:t>
            </w:r>
          </w:p>
        </w:tc>
        <w:tc>
          <w:tcPr>
            <w:tcW w:w="1800" w:type="dxa"/>
            <w:vAlign w:val="center"/>
          </w:tcPr>
          <w:p w:rsidR="005E5F2D" w:rsidRPr="00615C3B" w:rsidRDefault="005E5F2D" w:rsidP="00C10A46">
            <w:pPr>
              <w:ind w:right="88"/>
              <w:jc w:val="right"/>
              <w:rPr>
                <w:sz w:val="20"/>
                <w:szCs w:val="20"/>
              </w:rPr>
            </w:pPr>
            <w:r w:rsidRPr="00615C3B">
              <w:rPr>
                <w:sz w:val="20"/>
                <w:szCs w:val="20"/>
              </w:rPr>
              <w:t>30</w:t>
            </w:r>
          </w:p>
        </w:tc>
        <w:tc>
          <w:tcPr>
            <w:tcW w:w="1890" w:type="dxa"/>
            <w:vAlign w:val="center"/>
          </w:tcPr>
          <w:p w:rsidR="005E5F2D" w:rsidRPr="00615C3B" w:rsidRDefault="005E5F2D" w:rsidP="00C10A46">
            <w:pPr>
              <w:ind w:right="88"/>
              <w:jc w:val="right"/>
              <w:rPr>
                <w:sz w:val="20"/>
                <w:szCs w:val="20"/>
              </w:rPr>
            </w:pPr>
            <w:r w:rsidRPr="00615C3B">
              <w:rPr>
                <w:sz w:val="20"/>
                <w:szCs w:val="20"/>
              </w:rPr>
              <w:t>30</w:t>
            </w:r>
          </w:p>
        </w:tc>
        <w:tc>
          <w:tcPr>
            <w:tcW w:w="1440" w:type="dxa"/>
            <w:vAlign w:val="center"/>
          </w:tcPr>
          <w:p w:rsidR="005E5F2D" w:rsidRPr="00615C3B" w:rsidRDefault="005E5F2D" w:rsidP="00C10A46">
            <w:pPr>
              <w:ind w:right="88"/>
              <w:jc w:val="right"/>
              <w:rPr>
                <w:sz w:val="20"/>
                <w:szCs w:val="20"/>
              </w:rPr>
            </w:pPr>
            <w:r w:rsidRPr="00615C3B">
              <w:rPr>
                <w:sz w:val="20"/>
                <w:szCs w:val="20"/>
              </w:rPr>
              <w:t>125</w:t>
            </w:r>
          </w:p>
        </w:tc>
        <w:tc>
          <w:tcPr>
            <w:tcW w:w="1836" w:type="dxa"/>
            <w:vAlign w:val="center"/>
          </w:tcPr>
          <w:p w:rsidR="005E5F2D" w:rsidRPr="00615C3B" w:rsidRDefault="005E5F2D" w:rsidP="00C10A46">
            <w:pPr>
              <w:ind w:left="90" w:right="153"/>
              <w:jc w:val="right"/>
              <w:rPr>
                <w:sz w:val="20"/>
                <w:szCs w:val="20"/>
              </w:rPr>
            </w:pPr>
            <w:r w:rsidRPr="00615C3B">
              <w:rPr>
                <w:sz w:val="20"/>
                <w:szCs w:val="20"/>
              </w:rPr>
              <w:t>3750</w:t>
            </w:r>
          </w:p>
        </w:tc>
      </w:tr>
      <w:tr w:rsidR="00C10A46" w:rsidTr="00C10A46">
        <w:tc>
          <w:tcPr>
            <w:tcW w:w="3618" w:type="dxa"/>
            <w:vAlign w:val="center"/>
          </w:tcPr>
          <w:p w:rsidR="005E5F2D" w:rsidRPr="00615C3B" w:rsidRDefault="005E5F2D" w:rsidP="00C10A46">
            <w:pPr>
              <w:ind w:left="9"/>
              <w:rPr>
                <w:sz w:val="20"/>
                <w:szCs w:val="20"/>
              </w:rPr>
            </w:pPr>
            <w:r w:rsidRPr="00615C3B">
              <w:rPr>
                <w:spacing w:val="-1"/>
                <w:sz w:val="20"/>
                <w:szCs w:val="20"/>
              </w:rPr>
              <w:t>Data Submission using SEA’s Format</w:t>
            </w:r>
          </w:p>
        </w:tc>
        <w:tc>
          <w:tcPr>
            <w:tcW w:w="1800" w:type="dxa"/>
            <w:vAlign w:val="center"/>
          </w:tcPr>
          <w:p w:rsidR="005E5F2D" w:rsidRPr="00615C3B" w:rsidRDefault="005E5F2D" w:rsidP="00C10A46">
            <w:pPr>
              <w:ind w:right="88"/>
              <w:jc w:val="right"/>
              <w:rPr>
                <w:sz w:val="20"/>
                <w:szCs w:val="20"/>
              </w:rPr>
            </w:pPr>
            <w:r w:rsidRPr="00615C3B">
              <w:rPr>
                <w:sz w:val="20"/>
                <w:szCs w:val="20"/>
              </w:rPr>
              <w:t>21</w:t>
            </w:r>
          </w:p>
        </w:tc>
        <w:tc>
          <w:tcPr>
            <w:tcW w:w="1890" w:type="dxa"/>
            <w:vAlign w:val="center"/>
          </w:tcPr>
          <w:p w:rsidR="005E5F2D" w:rsidRPr="00615C3B" w:rsidRDefault="005E5F2D" w:rsidP="00C10A46">
            <w:pPr>
              <w:ind w:right="88"/>
              <w:jc w:val="right"/>
              <w:rPr>
                <w:sz w:val="20"/>
                <w:szCs w:val="20"/>
              </w:rPr>
            </w:pPr>
            <w:r w:rsidRPr="00615C3B">
              <w:rPr>
                <w:sz w:val="20"/>
                <w:szCs w:val="20"/>
              </w:rPr>
              <w:t>21</w:t>
            </w:r>
          </w:p>
        </w:tc>
        <w:tc>
          <w:tcPr>
            <w:tcW w:w="1440" w:type="dxa"/>
            <w:vAlign w:val="center"/>
          </w:tcPr>
          <w:p w:rsidR="005E5F2D" w:rsidRPr="00615C3B" w:rsidRDefault="005E5F2D" w:rsidP="00C10A46">
            <w:pPr>
              <w:ind w:right="88"/>
              <w:jc w:val="right"/>
              <w:rPr>
                <w:sz w:val="20"/>
                <w:szCs w:val="20"/>
              </w:rPr>
            </w:pPr>
            <w:r w:rsidRPr="00615C3B">
              <w:rPr>
                <w:sz w:val="20"/>
                <w:szCs w:val="20"/>
              </w:rPr>
              <w:t>42</w:t>
            </w:r>
          </w:p>
        </w:tc>
        <w:tc>
          <w:tcPr>
            <w:tcW w:w="1836" w:type="dxa"/>
            <w:vAlign w:val="center"/>
          </w:tcPr>
          <w:p w:rsidR="005E5F2D" w:rsidRPr="00615C3B" w:rsidRDefault="005E5F2D" w:rsidP="00C10A46">
            <w:pPr>
              <w:ind w:left="90" w:right="153"/>
              <w:jc w:val="right"/>
              <w:rPr>
                <w:sz w:val="20"/>
                <w:szCs w:val="20"/>
              </w:rPr>
            </w:pPr>
            <w:r w:rsidRPr="00615C3B">
              <w:rPr>
                <w:sz w:val="20"/>
                <w:szCs w:val="20"/>
              </w:rPr>
              <w:t>882</w:t>
            </w:r>
          </w:p>
        </w:tc>
      </w:tr>
      <w:tr w:rsidR="00C10A46" w:rsidTr="00C10A46">
        <w:tc>
          <w:tcPr>
            <w:tcW w:w="3618" w:type="dxa"/>
            <w:vAlign w:val="center"/>
          </w:tcPr>
          <w:p w:rsidR="005E5F2D" w:rsidRPr="00615C3B" w:rsidRDefault="005E5F2D" w:rsidP="00D51A8B">
            <w:pPr>
              <w:ind w:left="9"/>
              <w:rPr>
                <w:sz w:val="20"/>
                <w:szCs w:val="20"/>
              </w:rPr>
            </w:pPr>
            <w:r w:rsidRPr="00615C3B">
              <w:rPr>
                <w:spacing w:val="-1"/>
                <w:sz w:val="20"/>
                <w:szCs w:val="20"/>
              </w:rPr>
              <w:t>SLFS 201</w:t>
            </w:r>
            <w:r w:rsidR="00D51A8B">
              <w:rPr>
                <w:spacing w:val="-1"/>
                <w:sz w:val="20"/>
                <w:szCs w:val="20"/>
              </w:rPr>
              <w:t>8</w:t>
            </w:r>
            <w:r w:rsidRPr="00615C3B">
              <w:rPr>
                <w:spacing w:val="-1"/>
                <w:sz w:val="20"/>
                <w:szCs w:val="20"/>
              </w:rPr>
              <w:t xml:space="preserve"> Data Plan Survey</w:t>
            </w:r>
          </w:p>
        </w:tc>
        <w:tc>
          <w:tcPr>
            <w:tcW w:w="1800" w:type="dxa"/>
            <w:vAlign w:val="center"/>
          </w:tcPr>
          <w:p w:rsidR="005E5F2D" w:rsidRPr="00615C3B" w:rsidRDefault="005E5F2D" w:rsidP="00C10A46">
            <w:pPr>
              <w:ind w:right="88"/>
              <w:jc w:val="right"/>
              <w:rPr>
                <w:sz w:val="20"/>
                <w:szCs w:val="20"/>
              </w:rPr>
            </w:pPr>
            <w:r w:rsidRPr="00615C3B">
              <w:rPr>
                <w:sz w:val="20"/>
                <w:szCs w:val="20"/>
              </w:rPr>
              <w:t>51</w:t>
            </w:r>
          </w:p>
        </w:tc>
        <w:tc>
          <w:tcPr>
            <w:tcW w:w="1890" w:type="dxa"/>
            <w:vAlign w:val="center"/>
          </w:tcPr>
          <w:p w:rsidR="005E5F2D" w:rsidRPr="00615C3B" w:rsidRDefault="005E5F2D" w:rsidP="00C10A46">
            <w:pPr>
              <w:ind w:right="88"/>
              <w:jc w:val="right"/>
              <w:rPr>
                <w:sz w:val="20"/>
                <w:szCs w:val="20"/>
              </w:rPr>
            </w:pPr>
            <w:r w:rsidRPr="00615C3B">
              <w:rPr>
                <w:sz w:val="20"/>
                <w:szCs w:val="20"/>
              </w:rPr>
              <w:t>51</w:t>
            </w:r>
          </w:p>
        </w:tc>
        <w:tc>
          <w:tcPr>
            <w:tcW w:w="1440" w:type="dxa"/>
            <w:vAlign w:val="center"/>
          </w:tcPr>
          <w:p w:rsidR="005E5F2D" w:rsidRPr="00615C3B" w:rsidRDefault="005E5F2D" w:rsidP="00C10A46">
            <w:pPr>
              <w:ind w:right="88"/>
              <w:jc w:val="right"/>
              <w:rPr>
                <w:sz w:val="20"/>
                <w:szCs w:val="20"/>
              </w:rPr>
            </w:pPr>
            <w:r w:rsidRPr="00615C3B">
              <w:rPr>
                <w:sz w:val="20"/>
                <w:szCs w:val="20"/>
              </w:rPr>
              <w:t>2.5</w:t>
            </w:r>
          </w:p>
        </w:tc>
        <w:tc>
          <w:tcPr>
            <w:tcW w:w="1836" w:type="dxa"/>
            <w:vAlign w:val="center"/>
          </w:tcPr>
          <w:p w:rsidR="005E5F2D" w:rsidRPr="00615C3B" w:rsidRDefault="005E5F2D" w:rsidP="00C10A46">
            <w:pPr>
              <w:ind w:left="90" w:right="153"/>
              <w:jc w:val="right"/>
              <w:rPr>
                <w:sz w:val="20"/>
                <w:szCs w:val="20"/>
              </w:rPr>
            </w:pPr>
            <w:r w:rsidRPr="00615C3B">
              <w:rPr>
                <w:sz w:val="20"/>
                <w:szCs w:val="20"/>
              </w:rPr>
              <w:t>127.5</w:t>
            </w:r>
          </w:p>
        </w:tc>
      </w:tr>
      <w:tr w:rsidR="00C10A46" w:rsidTr="00C10A46">
        <w:tc>
          <w:tcPr>
            <w:tcW w:w="3618" w:type="dxa"/>
            <w:vAlign w:val="center"/>
          </w:tcPr>
          <w:p w:rsidR="005E5F2D" w:rsidRPr="00615C3B" w:rsidRDefault="005E5F2D" w:rsidP="00C10A46">
            <w:pPr>
              <w:ind w:left="9"/>
              <w:jc w:val="center"/>
              <w:rPr>
                <w:sz w:val="20"/>
                <w:szCs w:val="20"/>
              </w:rPr>
            </w:pPr>
            <w:r w:rsidRPr="00615C3B">
              <w:rPr>
                <w:b/>
                <w:bCs/>
                <w:spacing w:val="-1"/>
                <w:sz w:val="20"/>
                <w:szCs w:val="20"/>
              </w:rPr>
              <w:t>TOTAL</w:t>
            </w:r>
          </w:p>
        </w:tc>
        <w:tc>
          <w:tcPr>
            <w:tcW w:w="1800" w:type="dxa"/>
            <w:vAlign w:val="center"/>
          </w:tcPr>
          <w:p w:rsidR="005E5F2D" w:rsidRPr="00615C3B" w:rsidRDefault="005E5F2D" w:rsidP="00C10A46">
            <w:pPr>
              <w:ind w:right="88"/>
              <w:jc w:val="right"/>
              <w:rPr>
                <w:sz w:val="20"/>
                <w:szCs w:val="20"/>
              </w:rPr>
            </w:pPr>
            <w:r w:rsidRPr="00615C3B">
              <w:rPr>
                <w:b/>
                <w:bCs/>
                <w:sz w:val="20"/>
                <w:szCs w:val="20"/>
              </w:rPr>
              <w:t>51</w:t>
            </w:r>
          </w:p>
        </w:tc>
        <w:tc>
          <w:tcPr>
            <w:tcW w:w="1890" w:type="dxa"/>
            <w:vAlign w:val="center"/>
          </w:tcPr>
          <w:p w:rsidR="005E5F2D" w:rsidRPr="00615C3B" w:rsidRDefault="005E5F2D" w:rsidP="00C10A46">
            <w:pPr>
              <w:ind w:right="88"/>
              <w:jc w:val="right"/>
              <w:rPr>
                <w:sz w:val="20"/>
                <w:szCs w:val="20"/>
              </w:rPr>
            </w:pPr>
            <w:r w:rsidRPr="00615C3B">
              <w:rPr>
                <w:b/>
                <w:bCs/>
                <w:sz w:val="20"/>
                <w:szCs w:val="20"/>
              </w:rPr>
              <w:t>306</w:t>
            </w:r>
          </w:p>
        </w:tc>
        <w:tc>
          <w:tcPr>
            <w:tcW w:w="1440" w:type="dxa"/>
            <w:vAlign w:val="center"/>
          </w:tcPr>
          <w:p w:rsidR="005E5F2D" w:rsidRPr="00615C3B" w:rsidRDefault="005E5F2D" w:rsidP="00C10A46">
            <w:pPr>
              <w:jc w:val="right"/>
              <w:rPr>
                <w:sz w:val="20"/>
                <w:szCs w:val="20"/>
              </w:rPr>
            </w:pPr>
            <w:r w:rsidRPr="00615C3B">
              <w:rPr>
                <w:b/>
                <w:bCs/>
                <w:sz w:val="20"/>
                <w:szCs w:val="20"/>
              </w:rPr>
              <w:t>--</w:t>
            </w:r>
          </w:p>
        </w:tc>
        <w:tc>
          <w:tcPr>
            <w:tcW w:w="1836" w:type="dxa"/>
            <w:vAlign w:val="center"/>
          </w:tcPr>
          <w:p w:rsidR="005E5F2D" w:rsidRPr="00615C3B" w:rsidRDefault="005E5F2D" w:rsidP="00C10A46">
            <w:pPr>
              <w:ind w:left="90" w:right="153"/>
              <w:jc w:val="right"/>
              <w:rPr>
                <w:sz w:val="20"/>
                <w:szCs w:val="20"/>
              </w:rPr>
            </w:pPr>
            <w:r w:rsidRPr="00615C3B">
              <w:rPr>
                <w:b/>
                <w:bCs/>
                <w:sz w:val="20"/>
                <w:szCs w:val="20"/>
              </w:rPr>
              <w:t>4,938</w:t>
            </w:r>
          </w:p>
        </w:tc>
      </w:tr>
    </w:tbl>
    <w:p w:rsidR="005E5F2D" w:rsidRDefault="005E5F2D" w:rsidP="00C10A46">
      <w:pPr>
        <w:spacing w:line="22" w:lineRule="atLeast"/>
        <w:rPr>
          <w:rFonts w:eastAsia="Calibri"/>
        </w:rPr>
      </w:pPr>
    </w:p>
    <w:p w:rsidR="00547828" w:rsidRPr="00547828" w:rsidRDefault="00547828" w:rsidP="001F506D">
      <w:pPr>
        <w:spacing w:after="120" w:line="22" w:lineRule="atLeast"/>
        <w:rPr>
          <w:rFonts w:eastAsia="Calibri"/>
          <w:b/>
        </w:rPr>
      </w:pPr>
      <w:r w:rsidRPr="00547828">
        <w:rPr>
          <w:rFonts w:eastAsia="Calibri"/>
          <w:b/>
        </w:rPr>
        <w:t>A13.</w:t>
      </w:r>
      <w:r w:rsidR="000F3447">
        <w:rPr>
          <w:rFonts w:eastAsia="Calibri"/>
          <w:b/>
        </w:rPr>
        <w:tab/>
      </w:r>
      <w:r w:rsidRPr="00547828">
        <w:rPr>
          <w:rFonts w:eastAsia="Calibri"/>
          <w:b/>
        </w:rPr>
        <w:t>Estimates of Cost Burden</w:t>
      </w:r>
    </w:p>
    <w:p w:rsidR="00547828" w:rsidRPr="00547828" w:rsidRDefault="00547828" w:rsidP="001F506D">
      <w:pPr>
        <w:spacing w:after="120" w:line="22" w:lineRule="atLeast"/>
        <w:rPr>
          <w:rFonts w:eastAsia="Calibri"/>
        </w:rPr>
      </w:pPr>
      <w:r w:rsidRPr="00547828">
        <w:rPr>
          <w:rFonts w:eastAsia="Calibri"/>
        </w:rPr>
        <w:t>There are no additional recordkeeping costs to the responding SEAs beyond their time to respond. All SLFS data are extracted from administrative record systems already collected by the state for its own purposes and are of the type and scope normally included in government records. The added burden for SLFS is limited to the SEA’s effort taken in extracting data from files, transferring them to NCES, and responding to edit reports. The information requested does not require special hardware or accounting software or system, and thus respondents are not expected to incur any capital and start-up costs or system maintenance costs in responding. If any outside accounting or information collection services are contracted for by the respondent, they are considered part of customary business practices and not specifically required for this information collection.</w:t>
      </w:r>
    </w:p>
    <w:p w:rsidR="00B30C42" w:rsidRDefault="00B30C42" w:rsidP="001F506D">
      <w:pPr>
        <w:pStyle w:val="Heading1"/>
        <w:spacing w:before="0" w:line="22" w:lineRule="atLeast"/>
        <w:rPr>
          <w:rFonts w:ascii="Times New Roman" w:hAnsi="Times New Roman"/>
          <w:sz w:val="24"/>
          <w:szCs w:val="24"/>
        </w:rPr>
      </w:pPr>
      <w:r w:rsidRPr="00AA1670">
        <w:rPr>
          <w:rFonts w:ascii="Times New Roman" w:hAnsi="Times New Roman"/>
          <w:sz w:val="24"/>
          <w:szCs w:val="24"/>
        </w:rPr>
        <w:t>A14.</w:t>
      </w:r>
      <w:r w:rsidR="008678A4">
        <w:rPr>
          <w:rFonts w:ascii="Times New Roman" w:hAnsi="Times New Roman"/>
          <w:sz w:val="24"/>
          <w:szCs w:val="24"/>
        </w:rPr>
        <w:tab/>
      </w:r>
      <w:r w:rsidR="008678A4" w:rsidRPr="008678A4">
        <w:rPr>
          <w:rFonts w:ascii="Times New Roman" w:hAnsi="Times New Roman"/>
          <w:sz w:val="24"/>
          <w:szCs w:val="24"/>
        </w:rPr>
        <w:t>Cost to the Federal Government</w:t>
      </w:r>
    </w:p>
    <w:p w:rsidR="00440E70" w:rsidRDefault="00440E70" w:rsidP="00B612C2">
      <w:pPr>
        <w:widowControl w:val="0"/>
        <w:spacing w:after="120" w:line="22" w:lineRule="atLeast"/>
        <w:rPr>
          <w:rFonts w:eastAsia="Calibri"/>
        </w:rPr>
      </w:pPr>
      <w:r w:rsidRPr="00440E70">
        <w:rPr>
          <w:rFonts w:eastAsia="Calibri"/>
        </w:rPr>
        <w:t>The estimated cost to the federal government for SLFS 2018 is approximately $802,243. This amount includes $420,000 for Census for data collection activities; $97,243 for American Institutes for Research (AIR) to independently review the data; $250,000 for NCES statisticians to oversee the data collection and reporting, and $35,000 for annual SEA Staff Training. Training costs reflect the cost of general training and professional development for the reporting School-Level Finance Survey and the costs of conducting training at NCES of approximately 12 new fiscal coordinators each year. These costs are expected to be similar for SLFS 2019 and 2020.</w:t>
      </w:r>
    </w:p>
    <w:p w:rsidR="00B30C42" w:rsidRPr="008678A4" w:rsidRDefault="008678A4" w:rsidP="001F506D">
      <w:pPr>
        <w:pStyle w:val="Heading1"/>
        <w:spacing w:before="0" w:line="22" w:lineRule="atLeast"/>
        <w:rPr>
          <w:rFonts w:ascii="Times New Roman" w:hAnsi="Times New Roman"/>
          <w:sz w:val="24"/>
          <w:szCs w:val="24"/>
        </w:rPr>
      </w:pPr>
      <w:r w:rsidRPr="008678A4">
        <w:rPr>
          <w:rFonts w:ascii="Times New Roman" w:hAnsi="Times New Roman"/>
          <w:sz w:val="24"/>
          <w:szCs w:val="24"/>
        </w:rPr>
        <w:t>A15.</w:t>
      </w:r>
      <w:r w:rsidRPr="008678A4">
        <w:rPr>
          <w:rFonts w:ascii="Times New Roman" w:hAnsi="Times New Roman"/>
          <w:sz w:val="24"/>
          <w:szCs w:val="24"/>
        </w:rPr>
        <w:tab/>
        <w:t>Reason for Change in Burden</w:t>
      </w:r>
    </w:p>
    <w:p w:rsidR="00B30C42" w:rsidRPr="00AA1670" w:rsidRDefault="00081992" w:rsidP="001F506D">
      <w:pPr>
        <w:pStyle w:val="Text"/>
        <w:spacing w:after="120" w:line="22" w:lineRule="atLeast"/>
        <w:rPr>
          <w:sz w:val="24"/>
        </w:rPr>
      </w:pPr>
      <w:r>
        <w:rPr>
          <w:sz w:val="24"/>
        </w:rPr>
        <w:t>Th</w:t>
      </w:r>
      <w:r w:rsidR="008F1109">
        <w:rPr>
          <w:sz w:val="24"/>
        </w:rPr>
        <w:t xml:space="preserve">ere </w:t>
      </w:r>
      <w:r>
        <w:rPr>
          <w:sz w:val="24"/>
        </w:rPr>
        <w:t xml:space="preserve">is </w:t>
      </w:r>
      <w:r w:rsidR="008F1109">
        <w:rPr>
          <w:sz w:val="24"/>
        </w:rPr>
        <w:t>no change requested to the estimated response burden</w:t>
      </w:r>
      <w:r>
        <w:rPr>
          <w:sz w:val="24"/>
        </w:rPr>
        <w:t>.</w:t>
      </w:r>
    </w:p>
    <w:p w:rsidR="00B30C42" w:rsidRDefault="008678A4" w:rsidP="001F506D">
      <w:pPr>
        <w:pStyle w:val="Heading1"/>
        <w:spacing w:before="0" w:line="22" w:lineRule="atLeast"/>
        <w:rPr>
          <w:rFonts w:ascii="Times New Roman" w:hAnsi="Times New Roman"/>
          <w:sz w:val="24"/>
          <w:szCs w:val="24"/>
        </w:rPr>
      </w:pPr>
      <w:r>
        <w:rPr>
          <w:rFonts w:ascii="Times New Roman" w:hAnsi="Times New Roman"/>
          <w:sz w:val="24"/>
          <w:szCs w:val="24"/>
        </w:rPr>
        <w:t>A16.</w:t>
      </w:r>
      <w:r w:rsidRPr="008678A4">
        <w:rPr>
          <w:rFonts w:ascii="Times New Roman" w:hAnsi="Times New Roman"/>
          <w:sz w:val="24"/>
          <w:szCs w:val="24"/>
        </w:rPr>
        <w:tab/>
        <w:t>Project Schedule</w:t>
      </w:r>
    </w:p>
    <w:p w:rsidR="00091A5C" w:rsidRPr="008D6048" w:rsidRDefault="009E2C2A" w:rsidP="009E6787">
      <w:pPr>
        <w:widowControl w:val="0"/>
        <w:spacing w:after="120" w:line="22" w:lineRule="atLeast"/>
        <w:rPr>
          <w:bCs/>
          <w:noProof/>
        </w:rPr>
      </w:pPr>
      <w:r>
        <w:t>The FY1</w:t>
      </w:r>
      <w:r w:rsidR="00D056C5">
        <w:t>8</w:t>
      </w:r>
      <w:r>
        <w:t xml:space="preserve"> SLFS will be the subject of a Statistical Analysis report, which is tentatively scheduled to be released by June 20</w:t>
      </w:r>
      <w:r w:rsidR="009E6787">
        <w:t>20</w:t>
      </w:r>
      <w:r>
        <w:t>.</w:t>
      </w:r>
      <w:r w:rsidR="00091A5C">
        <w:t xml:space="preserve"> The accompanying </w:t>
      </w:r>
      <w:r w:rsidR="00091A5C" w:rsidRPr="00C84B76">
        <w:rPr>
          <w:bCs/>
          <w:noProof/>
        </w:rPr>
        <w:t xml:space="preserve">documentation </w:t>
      </w:r>
      <w:r w:rsidR="00091A5C">
        <w:rPr>
          <w:bCs/>
          <w:noProof/>
        </w:rPr>
        <w:t>will also</w:t>
      </w:r>
      <w:r w:rsidR="00091A5C" w:rsidRPr="00C84B76">
        <w:rPr>
          <w:bCs/>
          <w:noProof/>
        </w:rPr>
        <w:t xml:space="preserve"> </w:t>
      </w:r>
      <w:r w:rsidR="00091A5C">
        <w:rPr>
          <w:bCs/>
          <w:noProof/>
        </w:rPr>
        <w:t xml:space="preserve">be </w:t>
      </w:r>
      <w:r w:rsidR="00091A5C" w:rsidRPr="00C84B76">
        <w:rPr>
          <w:bCs/>
          <w:noProof/>
        </w:rPr>
        <w:t>produced.</w:t>
      </w:r>
      <w:r>
        <w:t xml:space="preserve"> </w:t>
      </w:r>
      <w:r w:rsidR="005A526C">
        <w:rPr>
          <w:bCs/>
          <w:noProof/>
        </w:rPr>
        <w:t xml:space="preserve">Additionally, </w:t>
      </w:r>
      <w:r w:rsidR="00091A5C" w:rsidRPr="008D6048">
        <w:rPr>
          <w:bCs/>
          <w:noProof/>
        </w:rPr>
        <w:t xml:space="preserve">NCES will make a </w:t>
      </w:r>
      <w:r w:rsidR="00091A5C">
        <w:rPr>
          <w:bCs/>
          <w:noProof/>
        </w:rPr>
        <w:t>da</w:t>
      </w:r>
      <w:r w:rsidR="00091A5C" w:rsidRPr="008D6048">
        <w:rPr>
          <w:bCs/>
          <w:noProof/>
        </w:rPr>
        <w:t>ta file available for external data users</w:t>
      </w:r>
      <w:r w:rsidR="005A526C">
        <w:rPr>
          <w:bCs/>
          <w:noProof/>
        </w:rPr>
        <w:t xml:space="preserve">, who will be </w:t>
      </w:r>
      <w:r w:rsidR="00091A5C" w:rsidRPr="008D6048">
        <w:rPr>
          <w:bCs/>
          <w:noProof/>
        </w:rPr>
        <w:t>subject to an NCES data use agreement that specifically covers the SLFS data. In order to proceed to the SLFS data files, the data user(s) must signify their agreement to comply with the provisions in the data usage agreement set forth below. The NCES Data Usage Agreement for the SLFS Data states:</w:t>
      </w:r>
    </w:p>
    <w:p w:rsidR="00091A5C" w:rsidRPr="00D93D47" w:rsidRDefault="00091A5C" w:rsidP="001F506D">
      <w:pPr>
        <w:spacing w:after="120" w:line="22" w:lineRule="atLeast"/>
        <w:ind w:left="360"/>
        <w:rPr>
          <w:sz w:val="21"/>
          <w:szCs w:val="21"/>
        </w:rPr>
      </w:pPr>
      <w:r w:rsidRPr="00D93D47">
        <w:rPr>
          <w:b/>
          <w:sz w:val="21"/>
          <w:szCs w:val="21"/>
        </w:rPr>
        <w:t>NCES Data Usage Agreement for School-Level Finance Survey (SLFS) Data</w:t>
      </w:r>
      <w:r w:rsidRPr="00D93D47">
        <w:rPr>
          <w:sz w:val="21"/>
          <w:szCs w:val="21"/>
        </w:rPr>
        <w:t>:</w:t>
      </w:r>
    </w:p>
    <w:p w:rsidR="00091A5C" w:rsidRPr="00D93D47" w:rsidRDefault="00091A5C" w:rsidP="001F506D">
      <w:pPr>
        <w:spacing w:after="120" w:line="22" w:lineRule="atLeast"/>
        <w:ind w:left="360"/>
        <w:rPr>
          <w:sz w:val="21"/>
          <w:szCs w:val="21"/>
        </w:rPr>
      </w:pPr>
      <w:r w:rsidRPr="00D93D47">
        <w:rPr>
          <w:sz w:val="21"/>
          <w:szCs w:val="21"/>
        </w:rPr>
        <w:t>The SLFS data can only be used for the express purpose of research and development activities. Users shall:</w:t>
      </w:r>
    </w:p>
    <w:p w:rsidR="00091A5C" w:rsidRPr="00D93D47" w:rsidRDefault="00091A5C" w:rsidP="001F506D">
      <w:pPr>
        <w:pStyle w:val="ListParagraph"/>
        <w:numPr>
          <w:ilvl w:val="0"/>
          <w:numId w:val="23"/>
        </w:numPr>
        <w:spacing w:after="120" w:line="22" w:lineRule="atLeast"/>
        <w:ind w:hanging="180"/>
        <w:contextualSpacing/>
        <w:rPr>
          <w:sz w:val="21"/>
          <w:szCs w:val="21"/>
        </w:rPr>
      </w:pPr>
      <w:r w:rsidRPr="00D93D47">
        <w:rPr>
          <w:sz w:val="21"/>
          <w:szCs w:val="21"/>
        </w:rPr>
        <w:t>Make no use of the identity of any person discovered inadvertently, and advise NCES of any such discovery.</w:t>
      </w:r>
    </w:p>
    <w:p w:rsidR="00091A5C" w:rsidRPr="00D93D47" w:rsidRDefault="00091A5C" w:rsidP="001F506D">
      <w:pPr>
        <w:pStyle w:val="ListParagraph"/>
        <w:numPr>
          <w:ilvl w:val="0"/>
          <w:numId w:val="23"/>
        </w:numPr>
        <w:spacing w:after="120" w:line="22" w:lineRule="atLeast"/>
        <w:ind w:hanging="180"/>
        <w:contextualSpacing/>
        <w:rPr>
          <w:sz w:val="21"/>
          <w:szCs w:val="21"/>
        </w:rPr>
      </w:pPr>
      <w:r w:rsidRPr="00D93D47">
        <w:rPr>
          <w:sz w:val="21"/>
          <w:szCs w:val="21"/>
        </w:rPr>
        <w:t>Not link any dataset with individually identifiable data from other NCES or non-NCES datasets.</w:t>
      </w:r>
    </w:p>
    <w:p w:rsidR="00091A5C" w:rsidRPr="00D93D47" w:rsidRDefault="00091A5C" w:rsidP="001F506D">
      <w:pPr>
        <w:spacing w:after="120" w:line="22" w:lineRule="atLeast"/>
        <w:ind w:left="360"/>
        <w:rPr>
          <w:sz w:val="21"/>
          <w:szCs w:val="21"/>
        </w:rPr>
      </w:pPr>
      <w:r w:rsidRPr="00D93D47">
        <w:rPr>
          <w:sz w:val="21"/>
          <w:szCs w:val="21"/>
        </w:rPr>
        <w:t>Any effort to determine the identity of any reported case by public-use data users is prohibited by law. Violations are subject to Class E felony charges of a fine up to $250,000 and/or a prison term up to 5 years.</w:t>
      </w:r>
    </w:p>
    <w:p w:rsidR="00091A5C" w:rsidRPr="00D93D47" w:rsidRDefault="00091A5C" w:rsidP="001F506D">
      <w:pPr>
        <w:spacing w:after="120" w:line="22" w:lineRule="atLeast"/>
        <w:ind w:left="360"/>
        <w:rPr>
          <w:sz w:val="21"/>
          <w:szCs w:val="21"/>
        </w:rPr>
      </w:pPr>
      <w:r w:rsidRPr="00D93D47">
        <w:rPr>
          <w:sz w:val="21"/>
          <w:szCs w:val="21"/>
        </w:rPr>
        <w:t>NCES does all it can to assure that the identity of data subjects cannot be disclosed. All direct identifiers, as well as any characteristics that might lead to identification, are omitted or modified in the dataset to protect the true characteristics of individual cases. Any intentional identification or disclosure of a person violates the assurances of confidentiality given to the providers of the information.</w:t>
      </w:r>
    </w:p>
    <w:p w:rsidR="00091A5C" w:rsidRPr="00D93D47" w:rsidRDefault="00091A5C" w:rsidP="001F506D">
      <w:pPr>
        <w:spacing w:after="120" w:line="22" w:lineRule="atLeast"/>
        <w:ind w:left="360"/>
        <w:rPr>
          <w:sz w:val="21"/>
          <w:szCs w:val="21"/>
        </w:rPr>
      </w:pPr>
      <w:r w:rsidRPr="00D93D47">
        <w:rPr>
          <w:sz w:val="21"/>
          <w:szCs w:val="21"/>
        </w:rPr>
        <w:t>To proceed</w:t>
      </w:r>
      <w:r w:rsidR="00FE0ABA">
        <w:rPr>
          <w:sz w:val="21"/>
          <w:szCs w:val="21"/>
        </w:rPr>
        <w:t>,</w:t>
      </w:r>
      <w:r w:rsidRPr="00D93D47">
        <w:rPr>
          <w:sz w:val="21"/>
          <w:szCs w:val="21"/>
        </w:rPr>
        <w:t xml:space="preserve"> you must signify your agreement to comply with the above-stated requirements by clicking the box below that states</w:t>
      </w:r>
      <w:r w:rsidR="00727578">
        <w:rPr>
          <w:sz w:val="21"/>
          <w:szCs w:val="21"/>
        </w:rPr>
        <w:t>:</w:t>
      </w:r>
      <w:r w:rsidRPr="00D93D47">
        <w:rPr>
          <w:sz w:val="21"/>
          <w:szCs w:val="21"/>
        </w:rPr>
        <w:t xml:space="preserve"> </w:t>
      </w:r>
      <w:r w:rsidR="00727578">
        <w:rPr>
          <w:sz w:val="21"/>
          <w:szCs w:val="21"/>
        </w:rPr>
        <w:t>“</w:t>
      </w:r>
      <w:r w:rsidRPr="00D93D47">
        <w:rPr>
          <w:sz w:val="21"/>
          <w:szCs w:val="21"/>
        </w:rPr>
        <w:t>I agree</w:t>
      </w:r>
      <w:r w:rsidR="00727578">
        <w:rPr>
          <w:sz w:val="21"/>
          <w:szCs w:val="21"/>
        </w:rPr>
        <w:t>”</w:t>
      </w:r>
      <w:r w:rsidRPr="00D93D47">
        <w:rPr>
          <w:sz w:val="21"/>
          <w:szCs w:val="21"/>
        </w:rPr>
        <w:t xml:space="preserve">. Doing so will close this window, and allow you to proceed to download the </w:t>
      </w:r>
      <w:r w:rsidR="00863F02">
        <w:rPr>
          <w:sz w:val="21"/>
          <w:szCs w:val="21"/>
        </w:rPr>
        <w:t xml:space="preserve">SLFS </w:t>
      </w:r>
      <w:r w:rsidRPr="00D93D47">
        <w:rPr>
          <w:sz w:val="21"/>
          <w:szCs w:val="21"/>
        </w:rPr>
        <w:t>data set.</w:t>
      </w:r>
    </w:p>
    <w:p w:rsidR="00D85E14" w:rsidRDefault="00FC187B" w:rsidP="001F506D">
      <w:pPr>
        <w:spacing w:after="120" w:line="22" w:lineRule="atLeast"/>
      </w:pPr>
      <w:r w:rsidRPr="00C84B76">
        <w:t xml:space="preserve">Table </w:t>
      </w:r>
      <w:r>
        <w:t>2</w:t>
      </w:r>
      <w:r w:rsidRPr="00C84B76">
        <w:t xml:space="preserve"> below shows the project schedule</w:t>
      </w:r>
      <w:r>
        <w:t xml:space="preserve"> for the SLFS 2018.</w:t>
      </w:r>
    </w:p>
    <w:p w:rsidR="00FC187B" w:rsidRPr="00673E11" w:rsidRDefault="00FC187B" w:rsidP="00FC187B">
      <w:pPr>
        <w:spacing w:before="240" w:after="60"/>
        <w:rPr>
          <w:b/>
          <w:spacing w:val="-1"/>
        </w:rPr>
      </w:pPr>
      <w:r w:rsidRPr="00673E11">
        <w:rPr>
          <w:b/>
          <w:spacing w:val="-1"/>
        </w:rPr>
        <w:t xml:space="preserve">Table </w:t>
      </w:r>
      <w:r>
        <w:rPr>
          <w:b/>
          <w:spacing w:val="-1"/>
        </w:rPr>
        <w:t>2</w:t>
      </w:r>
      <w:r w:rsidRPr="00673E11">
        <w:rPr>
          <w:b/>
          <w:spacing w:val="-1"/>
        </w:rPr>
        <w:t>.</w:t>
      </w:r>
      <w:r>
        <w:rPr>
          <w:b/>
          <w:spacing w:val="-1"/>
        </w:rPr>
        <w:t xml:space="preserve"> </w:t>
      </w:r>
      <w:r w:rsidRPr="00673E11">
        <w:rPr>
          <w:b/>
          <w:spacing w:val="-1"/>
        </w:rPr>
        <w:t>SLFS 201</w:t>
      </w:r>
      <w:r>
        <w:rPr>
          <w:b/>
          <w:spacing w:val="-1"/>
        </w:rPr>
        <w:t>8</w:t>
      </w:r>
      <w:r w:rsidRPr="00673E11">
        <w:rPr>
          <w:b/>
          <w:spacing w:val="-1"/>
        </w:rPr>
        <w:t xml:space="preserve"> Timetable</w:t>
      </w:r>
    </w:p>
    <w:tbl>
      <w:tblPr>
        <w:tblStyle w:val="TableGrid"/>
        <w:tblW w:w="5000" w:type="pct"/>
        <w:tblLook w:val="04A0" w:firstRow="1" w:lastRow="0" w:firstColumn="1" w:lastColumn="0" w:noHBand="0" w:noVBand="1"/>
      </w:tblPr>
      <w:tblGrid>
        <w:gridCol w:w="7367"/>
        <w:gridCol w:w="3505"/>
      </w:tblGrid>
      <w:tr w:rsidR="00E5743B" w:rsidTr="00C7031B">
        <w:trPr>
          <w:trHeight w:val="144"/>
        </w:trPr>
        <w:tc>
          <w:tcPr>
            <w:tcW w:w="3388" w:type="pct"/>
          </w:tcPr>
          <w:p w:rsidR="00E5743B" w:rsidRPr="0021035C" w:rsidRDefault="00E5743B" w:rsidP="00C7031B">
            <w:pPr>
              <w:rPr>
                <w:b/>
                <w:sz w:val="20"/>
                <w:szCs w:val="20"/>
              </w:rPr>
            </w:pPr>
            <w:r w:rsidRPr="0021035C">
              <w:rPr>
                <w:b/>
                <w:sz w:val="20"/>
                <w:szCs w:val="20"/>
              </w:rPr>
              <w:t>Data Collection</w:t>
            </w:r>
          </w:p>
        </w:tc>
        <w:tc>
          <w:tcPr>
            <w:tcW w:w="1612" w:type="pct"/>
          </w:tcPr>
          <w:p w:rsidR="00E5743B" w:rsidRPr="0021035C" w:rsidRDefault="00E5743B" w:rsidP="00951366">
            <w:pPr>
              <w:rPr>
                <w:b/>
                <w:sz w:val="20"/>
                <w:szCs w:val="20"/>
              </w:rPr>
            </w:pPr>
            <w:r>
              <w:rPr>
                <w:b/>
                <w:sz w:val="20"/>
                <w:szCs w:val="20"/>
              </w:rPr>
              <w:t>Timeframe</w:t>
            </w: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Data item definitions</w:t>
            </w:r>
          </w:p>
          <w:p w:rsidR="00FC187B" w:rsidRPr="0021035C" w:rsidRDefault="00FC187B" w:rsidP="00C7031B">
            <w:pPr>
              <w:rPr>
                <w:sz w:val="20"/>
                <w:szCs w:val="20"/>
              </w:rPr>
            </w:pPr>
            <w:r>
              <w:rPr>
                <w:sz w:val="20"/>
                <w:szCs w:val="20"/>
              </w:rPr>
              <w:t>Data collection materials development</w:t>
            </w:r>
          </w:p>
          <w:p w:rsidR="00FC187B" w:rsidRPr="0021035C" w:rsidRDefault="00FC187B" w:rsidP="00C7031B">
            <w:pPr>
              <w:rPr>
                <w:sz w:val="20"/>
                <w:szCs w:val="20"/>
              </w:rPr>
            </w:pPr>
            <w:r w:rsidRPr="0021035C">
              <w:rPr>
                <w:sz w:val="20"/>
                <w:szCs w:val="20"/>
              </w:rPr>
              <w:t>Add school-level capacity to F-33 LEAFS processing system</w:t>
            </w:r>
          </w:p>
        </w:tc>
        <w:tc>
          <w:tcPr>
            <w:tcW w:w="1612" w:type="pct"/>
          </w:tcPr>
          <w:p w:rsidR="00FC187B" w:rsidRPr="0021035C" w:rsidRDefault="00FC187B" w:rsidP="00C7031B">
            <w:pPr>
              <w:rPr>
                <w:sz w:val="20"/>
                <w:szCs w:val="20"/>
              </w:rPr>
            </w:pPr>
            <w:r w:rsidRPr="0021035C">
              <w:rPr>
                <w:sz w:val="20"/>
                <w:szCs w:val="20"/>
              </w:rPr>
              <w:t>October 30, 201</w:t>
            </w:r>
            <w:r w:rsidR="00E703AE">
              <w:rPr>
                <w:sz w:val="20"/>
                <w:szCs w:val="20"/>
              </w:rPr>
              <w:t>8</w:t>
            </w:r>
          </w:p>
          <w:p w:rsidR="00FC187B" w:rsidRPr="0021035C" w:rsidRDefault="00FC187B" w:rsidP="00C7031B">
            <w:pPr>
              <w:rPr>
                <w:sz w:val="20"/>
                <w:szCs w:val="20"/>
              </w:rPr>
            </w:pPr>
            <w:r w:rsidRPr="0021035C">
              <w:rPr>
                <w:sz w:val="20"/>
                <w:szCs w:val="20"/>
              </w:rPr>
              <w:t>November 14, 201</w:t>
            </w:r>
            <w:r w:rsidR="00E703AE">
              <w:rPr>
                <w:sz w:val="20"/>
                <w:szCs w:val="20"/>
              </w:rPr>
              <w:t>8</w:t>
            </w:r>
          </w:p>
          <w:p w:rsidR="00FC187B" w:rsidRPr="0021035C" w:rsidRDefault="00FC187B" w:rsidP="00E703AE">
            <w:pPr>
              <w:rPr>
                <w:sz w:val="20"/>
                <w:szCs w:val="20"/>
              </w:rPr>
            </w:pPr>
            <w:r w:rsidRPr="00513E3C">
              <w:rPr>
                <w:sz w:val="20"/>
                <w:szCs w:val="20"/>
              </w:rPr>
              <w:t>December, 15, 201</w:t>
            </w:r>
            <w:r w:rsidR="00E703AE">
              <w:rPr>
                <w:sz w:val="20"/>
                <w:szCs w:val="20"/>
              </w:rPr>
              <w:t>8</w:t>
            </w:r>
          </w:p>
        </w:tc>
      </w:tr>
      <w:tr w:rsidR="00FC187B" w:rsidTr="00C7031B">
        <w:trPr>
          <w:trHeight w:val="144"/>
        </w:trPr>
        <w:tc>
          <w:tcPr>
            <w:tcW w:w="3388" w:type="pct"/>
          </w:tcPr>
          <w:p w:rsidR="00FC187B" w:rsidRPr="0021035C" w:rsidRDefault="00FC187B" w:rsidP="00C7031B">
            <w:pPr>
              <w:rPr>
                <w:sz w:val="20"/>
                <w:szCs w:val="20"/>
              </w:rPr>
            </w:pPr>
            <w:r>
              <w:rPr>
                <w:sz w:val="20"/>
                <w:szCs w:val="20"/>
              </w:rPr>
              <w:t>SLFS 2018 d</w:t>
            </w:r>
            <w:r w:rsidRPr="0021035C">
              <w:rPr>
                <w:sz w:val="20"/>
                <w:szCs w:val="20"/>
              </w:rPr>
              <w:t>ata collection opens</w:t>
            </w:r>
          </w:p>
        </w:tc>
        <w:tc>
          <w:tcPr>
            <w:tcW w:w="1612" w:type="pct"/>
          </w:tcPr>
          <w:p w:rsidR="00FC187B" w:rsidRPr="008C7746" w:rsidRDefault="00FC187B" w:rsidP="00C7031B">
            <w:pPr>
              <w:rPr>
                <w:sz w:val="20"/>
                <w:szCs w:val="20"/>
              </w:rPr>
            </w:pPr>
            <w:r>
              <w:rPr>
                <w:sz w:val="20"/>
                <w:szCs w:val="20"/>
              </w:rPr>
              <w:t>March 2019</w:t>
            </w: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Editing and processing of data</w:t>
            </w:r>
          </w:p>
        </w:tc>
        <w:tc>
          <w:tcPr>
            <w:tcW w:w="1612" w:type="pct"/>
          </w:tcPr>
          <w:p w:rsidR="00FC187B" w:rsidRPr="00E471D3" w:rsidRDefault="00FC187B" w:rsidP="00E5743B">
            <w:pPr>
              <w:rPr>
                <w:sz w:val="20"/>
                <w:szCs w:val="20"/>
              </w:rPr>
            </w:pPr>
            <w:r w:rsidRPr="00E471D3">
              <w:rPr>
                <w:sz w:val="20"/>
                <w:szCs w:val="20"/>
              </w:rPr>
              <w:t>May-December 20</w:t>
            </w:r>
            <w:r w:rsidR="00E5743B">
              <w:rPr>
                <w:sz w:val="20"/>
                <w:szCs w:val="20"/>
              </w:rPr>
              <w:t>19</w:t>
            </w: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Independent review of data</w:t>
            </w:r>
          </w:p>
        </w:tc>
        <w:tc>
          <w:tcPr>
            <w:tcW w:w="1612" w:type="pct"/>
          </w:tcPr>
          <w:p w:rsidR="00FC187B" w:rsidRPr="00E471D3" w:rsidRDefault="00FC187B" w:rsidP="00E5743B">
            <w:pPr>
              <w:rPr>
                <w:sz w:val="20"/>
                <w:szCs w:val="20"/>
              </w:rPr>
            </w:pPr>
            <w:r w:rsidRPr="00E471D3">
              <w:rPr>
                <w:sz w:val="20"/>
                <w:szCs w:val="20"/>
              </w:rPr>
              <w:t>May-December 20</w:t>
            </w:r>
            <w:r w:rsidR="00E5743B">
              <w:rPr>
                <w:sz w:val="20"/>
                <w:szCs w:val="20"/>
              </w:rPr>
              <w:t>19</w:t>
            </w: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SEAs respond to data issues uncovered in independent reviews</w:t>
            </w:r>
          </w:p>
        </w:tc>
        <w:tc>
          <w:tcPr>
            <w:tcW w:w="1612" w:type="pct"/>
          </w:tcPr>
          <w:p w:rsidR="00FC187B" w:rsidRPr="00E471D3" w:rsidRDefault="00FC187B" w:rsidP="00E5743B">
            <w:pPr>
              <w:rPr>
                <w:sz w:val="20"/>
                <w:szCs w:val="20"/>
              </w:rPr>
            </w:pPr>
            <w:r w:rsidRPr="00E471D3">
              <w:rPr>
                <w:sz w:val="20"/>
                <w:szCs w:val="20"/>
              </w:rPr>
              <w:t>June-December, 20</w:t>
            </w:r>
            <w:r w:rsidR="00E5743B">
              <w:rPr>
                <w:sz w:val="20"/>
                <w:szCs w:val="20"/>
              </w:rPr>
              <w:t>19</w:t>
            </w: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 xml:space="preserve">Complete </w:t>
            </w:r>
            <w:r w:rsidR="00811EF0">
              <w:rPr>
                <w:sz w:val="20"/>
                <w:szCs w:val="20"/>
              </w:rPr>
              <w:t>FY</w:t>
            </w:r>
            <w:r>
              <w:rPr>
                <w:sz w:val="20"/>
                <w:szCs w:val="20"/>
              </w:rPr>
              <w:t>18</w:t>
            </w:r>
            <w:r w:rsidRPr="0021035C">
              <w:rPr>
                <w:sz w:val="20"/>
                <w:szCs w:val="20"/>
              </w:rPr>
              <w:t xml:space="preserve"> data collection</w:t>
            </w:r>
          </w:p>
        </w:tc>
        <w:tc>
          <w:tcPr>
            <w:tcW w:w="1612" w:type="pct"/>
          </w:tcPr>
          <w:p w:rsidR="00FC187B" w:rsidRPr="00E471D3" w:rsidRDefault="00FC187B" w:rsidP="00E703AE">
            <w:pPr>
              <w:rPr>
                <w:sz w:val="20"/>
                <w:szCs w:val="20"/>
              </w:rPr>
            </w:pPr>
            <w:r w:rsidRPr="00E471D3">
              <w:rPr>
                <w:sz w:val="20"/>
                <w:szCs w:val="20"/>
              </w:rPr>
              <w:t>December 31, 20</w:t>
            </w:r>
            <w:r>
              <w:rPr>
                <w:sz w:val="20"/>
                <w:szCs w:val="20"/>
              </w:rPr>
              <w:t>19</w:t>
            </w:r>
          </w:p>
        </w:tc>
      </w:tr>
      <w:tr w:rsidR="00FC187B" w:rsidTr="00C7031B">
        <w:trPr>
          <w:trHeight w:val="144"/>
        </w:trPr>
        <w:tc>
          <w:tcPr>
            <w:tcW w:w="3388" w:type="pct"/>
          </w:tcPr>
          <w:p w:rsidR="00FC187B" w:rsidRPr="0021035C" w:rsidRDefault="00FC187B" w:rsidP="00C7031B">
            <w:pPr>
              <w:rPr>
                <w:b/>
                <w:sz w:val="20"/>
                <w:szCs w:val="20"/>
              </w:rPr>
            </w:pPr>
            <w:r w:rsidRPr="0021035C">
              <w:rPr>
                <w:b/>
                <w:sz w:val="20"/>
                <w:szCs w:val="20"/>
              </w:rPr>
              <w:t>Analysis Plan</w:t>
            </w:r>
          </w:p>
        </w:tc>
        <w:tc>
          <w:tcPr>
            <w:tcW w:w="1612" w:type="pct"/>
          </w:tcPr>
          <w:p w:rsidR="00FC187B" w:rsidRPr="008C7746" w:rsidRDefault="00FC187B" w:rsidP="00C7031B">
            <w:pPr>
              <w:rPr>
                <w:sz w:val="20"/>
                <w:szCs w:val="20"/>
                <w:highlight w:val="yellow"/>
              </w:rPr>
            </w:pP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Draft Analysis Plan</w:t>
            </w:r>
          </w:p>
        </w:tc>
        <w:tc>
          <w:tcPr>
            <w:tcW w:w="1612" w:type="pct"/>
          </w:tcPr>
          <w:p w:rsidR="00FC187B" w:rsidRPr="00DF4747" w:rsidRDefault="00FC187B" w:rsidP="00C7031B">
            <w:pPr>
              <w:rPr>
                <w:sz w:val="20"/>
                <w:szCs w:val="20"/>
              </w:rPr>
            </w:pPr>
            <w:r w:rsidRPr="00DF4747">
              <w:rPr>
                <w:sz w:val="20"/>
                <w:szCs w:val="20"/>
              </w:rPr>
              <w:t>September 15, 201</w:t>
            </w:r>
            <w:r>
              <w:rPr>
                <w:sz w:val="20"/>
                <w:szCs w:val="20"/>
              </w:rPr>
              <w:t>9</w:t>
            </w: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Revised Analysis Plan</w:t>
            </w:r>
          </w:p>
        </w:tc>
        <w:tc>
          <w:tcPr>
            <w:tcW w:w="1612" w:type="pct"/>
          </w:tcPr>
          <w:p w:rsidR="00FC187B" w:rsidRPr="00DF4747" w:rsidRDefault="00FC187B" w:rsidP="00C7031B">
            <w:pPr>
              <w:rPr>
                <w:sz w:val="20"/>
                <w:szCs w:val="20"/>
              </w:rPr>
            </w:pPr>
            <w:r w:rsidRPr="00DF4747">
              <w:rPr>
                <w:sz w:val="20"/>
                <w:szCs w:val="20"/>
              </w:rPr>
              <w:t>November 15, 201</w:t>
            </w:r>
            <w:r>
              <w:rPr>
                <w:sz w:val="20"/>
                <w:szCs w:val="20"/>
              </w:rPr>
              <w:t>9</w:t>
            </w: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Preliminary data tabulations</w:t>
            </w:r>
          </w:p>
        </w:tc>
        <w:tc>
          <w:tcPr>
            <w:tcW w:w="1612" w:type="pct"/>
          </w:tcPr>
          <w:p w:rsidR="00FC187B" w:rsidRPr="00DF4747" w:rsidRDefault="00FC187B" w:rsidP="00C7031B">
            <w:pPr>
              <w:rPr>
                <w:sz w:val="20"/>
                <w:szCs w:val="20"/>
              </w:rPr>
            </w:pPr>
            <w:r w:rsidRPr="00DF4747">
              <w:rPr>
                <w:sz w:val="20"/>
                <w:szCs w:val="20"/>
              </w:rPr>
              <w:t>March 31,20</w:t>
            </w:r>
            <w:r>
              <w:rPr>
                <w:sz w:val="20"/>
                <w:szCs w:val="20"/>
              </w:rPr>
              <w:t>20</w:t>
            </w: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Revised data tabulations</w:t>
            </w:r>
          </w:p>
        </w:tc>
        <w:tc>
          <w:tcPr>
            <w:tcW w:w="1612" w:type="pct"/>
          </w:tcPr>
          <w:p w:rsidR="00FC187B" w:rsidRPr="00DF4747" w:rsidRDefault="00FC187B" w:rsidP="00C7031B">
            <w:pPr>
              <w:rPr>
                <w:sz w:val="20"/>
                <w:szCs w:val="20"/>
              </w:rPr>
            </w:pPr>
            <w:r w:rsidRPr="00DF4747">
              <w:rPr>
                <w:sz w:val="20"/>
                <w:szCs w:val="20"/>
              </w:rPr>
              <w:t>April 30, 20</w:t>
            </w:r>
            <w:r>
              <w:rPr>
                <w:sz w:val="20"/>
                <w:szCs w:val="20"/>
              </w:rPr>
              <w:t>20</w:t>
            </w: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 xml:space="preserve">Data tabulations for </w:t>
            </w:r>
            <w:r>
              <w:rPr>
                <w:sz w:val="20"/>
                <w:szCs w:val="20"/>
              </w:rPr>
              <w:t xml:space="preserve">Statistical Analysis </w:t>
            </w:r>
            <w:r w:rsidRPr="0021035C">
              <w:rPr>
                <w:sz w:val="20"/>
                <w:szCs w:val="20"/>
              </w:rPr>
              <w:t>report</w:t>
            </w:r>
          </w:p>
        </w:tc>
        <w:tc>
          <w:tcPr>
            <w:tcW w:w="1612" w:type="pct"/>
          </w:tcPr>
          <w:p w:rsidR="00FC187B" w:rsidRPr="00DF4747" w:rsidRDefault="00FC187B" w:rsidP="00C7031B">
            <w:pPr>
              <w:rPr>
                <w:sz w:val="20"/>
                <w:szCs w:val="20"/>
              </w:rPr>
            </w:pPr>
            <w:r w:rsidRPr="00DF4747">
              <w:rPr>
                <w:sz w:val="20"/>
                <w:szCs w:val="20"/>
              </w:rPr>
              <w:t>May 14, 20</w:t>
            </w:r>
            <w:r>
              <w:rPr>
                <w:sz w:val="20"/>
                <w:szCs w:val="20"/>
              </w:rPr>
              <w:t>20</w:t>
            </w:r>
          </w:p>
        </w:tc>
      </w:tr>
      <w:tr w:rsidR="00FC187B" w:rsidTr="00C7031B">
        <w:trPr>
          <w:trHeight w:val="144"/>
        </w:trPr>
        <w:tc>
          <w:tcPr>
            <w:tcW w:w="3388" w:type="pct"/>
          </w:tcPr>
          <w:p w:rsidR="00FC187B" w:rsidRPr="0021035C" w:rsidRDefault="00FC187B" w:rsidP="00C7031B">
            <w:pPr>
              <w:rPr>
                <w:b/>
                <w:sz w:val="20"/>
                <w:szCs w:val="20"/>
              </w:rPr>
            </w:pPr>
            <w:r>
              <w:rPr>
                <w:b/>
                <w:sz w:val="20"/>
                <w:szCs w:val="20"/>
              </w:rPr>
              <w:t>Documentation</w:t>
            </w:r>
          </w:p>
        </w:tc>
        <w:tc>
          <w:tcPr>
            <w:tcW w:w="1612" w:type="pct"/>
          </w:tcPr>
          <w:p w:rsidR="00FC187B" w:rsidRPr="00DF4747" w:rsidRDefault="00FC187B" w:rsidP="00C7031B">
            <w:pPr>
              <w:rPr>
                <w:sz w:val="20"/>
                <w:szCs w:val="20"/>
              </w:rPr>
            </w:pP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Draft documentation</w:t>
            </w:r>
          </w:p>
        </w:tc>
        <w:tc>
          <w:tcPr>
            <w:tcW w:w="1612" w:type="pct"/>
          </w:tcPr>
          <w:p w:rsidR="00FC187B" w:rsidRPr="00DF4747" w:rsidRDefault="00FC187B" w:rsidP="00C7031B">
            <w:pPr>
              <w:rPr>
                <w:sz w:val="20"/>
                <w:szCs w:val="20"/>
              </w:rPr>
            </w:pPr>
            <w:r w:rsidRPr="00DF4747">
              <w:rPr>
                <w:sz w:val="20"/>
                <w:szCs w:val="20"/>
              </w:rPr>
              <w:t>November 15, 20</w:t>
            </w:r>
            <w:r>
              <w:rPr>
                <w:sz w:val="20"/>
                <w:szCs w:val="20"/>
              </w:rPr>
              <w:t>19</w:t>
            </w:r>
          </w:p>
        </w:tc>
      </w:tr>
      <w:tr w:rsidR="00FC187B" w:rsidTr="00C7031B">
        <w:trPr>
          <w:trHeight w:val="144"/>
        </w:trPr>
        <w:tc>
          <w:tcPr>
            <w:tcW w:w="3388" w:type="pct"/>
          </w:tcPr>
          <w:p w:rsidR="00FC187B" w:rsidRPr="0021035C" w:rsidRDefault="00FC187B" w:rsidP="00C7031B">
            <w:pPr>
              <w:rPr>
                <w:b/>
                <w:sz w:val="20"/>
                <w:szCs w:val="20"/>
              </w:rPr>
            </w:pPr>
            <w:r>
              <w:rPr>
                <w:b/>
                <w:sz w:val="20"/>
                <w:szCs w:val="20"/>
              </w:rPr>
              <w:t xml:space="preserve">Statistical Analysis </w:t>
            </w:r>
            <w:r w:rsidRPr="0021035C">
              <w:rPr>
                <w:b/>
                <w:sz w:val="20"/>
                <w:szCs w:val="20"/>
              </w:rPr>
              <w:t>Report</w:t>
            </w:r>
          </w:p>
        </w:tc>
        <w:tc>
          <w:tcPr>
            <w:tcW w:w="1612" w:type="pct"/>
          </w:tcPr>
          <w:p w:rsidR="00FC187B" w:rsidRPr="00DF4747" w:rsidRDefault="00FC187B" w:rsidP="00C7031B">
            <w:pPr>
              <w:rPr>
                <w:sz w:val="20"/>
                <w:szCs w:val="20"/>
              </w:rPr>
            </w:pP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 xml:space="preserve">First draft of </w:t>
            </w:r>
            <w:r>
              <w:rPr>
                <w:sz w:val="20"/>
                <w:szCs w:val="20"/>
              </w:rPr>
              <w:t xml:space="preserve">Statistical Analysis </w:t>
            </w:r>
            <w:r w:rsidRPr="0021035C">
              <w:rPr>
                <w:sz w:val="20"/>
                <w:szCs w:val="20"/>
              </w:rPr>
              <w:t>report</w:t>
            </w:r>
          </w:p>
        </w:tc>
        <w:tc>
          <w:tcPr>
            <w:tcW w:w="1612" w:type="pct"/>
          </w:tcPr>
          <w:p w:rsidR="00FC187B" w:rsidRPr="00DF4747" w:rsidRDefault="00FC187B" w:rsidP="00C7031B">
            <w:pPr>
              <w:rPr>
                <w:sz w:val="20"/>
                <w:szCs w:val="20"/>
              </w:rPr>
            </w:pPr>
            <w:r>
              <w:rPr>
                <w:sz w:val="20"/>
                <w:szCs w:val="20"/>
              </w:rPr>
              <w:t xml:space="preserve">March </w:t>
            </w:r>
            <w:r w:rsidRPr="00DF4747">
              <w:rPr>
                <w:sz w:val="20"/>
                <w:szCs w:val="20"/>
              </w:rPr>
              <w:t>20</w:t>
            </w:r>
            <w:r>
              <w:rPr>
                <w:sz w:val="20"/>
                <w:szCs w:val="20"/>
              </w:rPr>
              <w:t>20</w:t>
            </w:r>
          </w:p>
        </w:tc>
      </w:tr>
      <w:tr w:rsidR="00FC187B" w:rsidTr="00C7031B">
        <w:trPr>
          <w:trHeight w:val="144"/>
        </w:trPr>
        <w:tc>
          <w:tcPr>
            <w:tcW w:w="3388" w:type="pct"/>
          </w:tcPr>
          <w:p w:rsidR="00FC187B" w:rsidRPr="0021035C" w:rsidRDefault="00FC187B" w:rsidP="00C7031B">
            <w:pPr>
              <w:rPr>
                <w:sz w:val="20"/>
                <w:szCs w:val="20"/>
              </w:rPr>
            </w:pPr>
            <w:r w:rsidRPr="0021035C">
              <w:rPr>
                <w:sz w:val="20"/>
                <w:szCs w:val="20"/>
              </w:rPr>
              <w:t xml:space="preserve">Publish </w:t>
            </w:r>
            <w:r>
              <w:rPr>
                <w:sz w:val="20"/>
                <w:szCs w:val="20"/>
              </w:rPr>
              <w:t xml:space="preserve">Statistical Analysis </w:t>
            </w:r>
            <w:r w:rsidRPr="0021035C">
              <w:rPr>
                <w:sz w:val="20"/>
                <w:szCs w:val="20"/>
              </w:rPr>
              <w:t>report</w:t>
            </w:r>
          </w:p>
        </w:tc>
        <w:tc>
          <w:tcPr>
            <w:tcW w:w="1612" w:type="pct"/>
          </w:tcPr>
          <w:p w:rsidR="00FC187B" w:rsidRPr="00DF4747" w:rsidRDefault="00FC187B" w:rsidP="00C7031B">
            <w:pPr>
              <w:rPr>
                <w:sz w:val="20"/>
                <w:szCs w:val="20"/>
              </w:rPr>
            </w:pPr>
            <w:r>
              <w:rPr>
                <w:sz w:val="20"/>
                <w:szCs w:val="20"/>
              </w:rPr>
              <w:t xml:space="preserve">June </w:t>
            </w:r>
            <w:r w:rsidRPr="00DF4747">
              <w:rPr>
                <w:sz w:val="20"/>
                <w:szCs w:val="20"/>
              </w:rPr>
              <w:t>20</w:t>
            </w:r>
            <w:r>
              <w:rPr>
                <w:sz w:val="20"/>
                <w:szCs w:val="20"/>
              </w:rPr>
              <w:t>20</w:t>
            </w:r>
          </w:p>
        </w:tc>
      </w:tr>
      <w:tr w:rsidR="00FC187B" w:rsidTr="00C7031B">
        <w:trPr>
          <w:trHeight w:val="144"/>
        </w:trPr>
        <w:tc>
          <w:tcPr>
            <w:tcW w:w="3388" w:type="pct"/>
          </w:tcPr>
          <w:p w:rsidR="00FC187B" w:rsidRPr="009C3241" w:rsidRDefault="00FC187B" w:rsidP="00C7031B">
            <w:pPr>
              <w:rPr>
                <w:b/>
                <w:sz w:val="20"/>
                <w:szCs w:val="20"/>
              </w:rPr>
            </w:pPr>
            <w:r w:rsidRPr="009C3241">
              <w:rPr>
                <w:b/>
                <w:sz w:val="20"/>
                <w:szCs w:val="20"/>
              </w:rPr>
              <w:t>Data Files</w:t>
            </w:r>
          </w:p>
        </w:tc>
        <w:tc>
          <w:tcPr>
            <w:tcW w:w="1612" w:type="pct"/>
          </w:tcPr>
          <w:p w:rsidR="00FC187B" w:rsidRDefault="00FC187B" w:rsidP="00C7031B">
            <w:pPr>
              <w:rPr>
                <w:sz w:val="20"/>
                <w:szCs w:val="20"/>
              </w:rPr>
            </w:pPr>
          </w:p>
        </w:tc>
      </w:tr>
      <w:tr w:rsidR="00FC187B" w:rsidTr="00C7031B">
        <w:trPr>
          <w:trHeight w:val="144"/>
        </w:trPr>
        <w:tc>
          <w:tcPr>
            <w:tcW w:w="3388" w:type="pct"/>
          </w:tcPr>
          <w:p w:rsidR="00FC187B" w:rsidRPr="0021035C" w:rsidRDefault="00D056C5" w:rsidP="00C7031B">
            <w:pPr>
              <w:rPr>
                <w:sz w:val="20"/>
                <w:szCs w:val="20"/>
              </w:rPr>
            </w:pPr>
            <w:r>
              <w:rPr>
                <w:sz w:val="20"/>
                <w:szCs w:val="20"/>
              </w:rPr>
              <w:t>Release of FY</w:t>
            </w:r>
            <w:r w:rsidR="00FC187B">
              <w:rPr>
                <w:sz w:val="20"/>
                <w:szCs w:val="20"/>
              </w:rPr>
              <w:t>18 SLFS Data File</w:t>
            </w:r>
          </w:p>
        </w:tc>
        <w:tc>
          <w:tcPr>
            <w:tcW w:w="1612" w:type="pct"/>
          </w:tcPr>
          <w:p w:rsidR="00FC187B" w:rsidRDefault="00FC187B" w:rsidP="00C7031B">
            <w:pPr>
              <w:rPr>
                <w:sz w:val="20"/>
                <w:szCs w:val="20"/>
              </w:rPr>
            </w:pPr>
            <w:r>
              <w:rPr>
                <w:sz w:val="20"/>
                <w:szCs w:val="20"/>
              </w:rPr>
              <w:t>July 2020</w:t>
            </w:r>
          </w:p>
        </w:tc>
      </w:tr>
    </w:tbl>
    <w:p w:rsidR="00BB7C9F" w:rsidRPr="00673E11" w:rsidRDefault="00BB7C9F" w:rsidP="00673E11">
      <w:pPr>
        <w:pStyle w:val="Heading"/>
        <w:spacing w:before="0" w:after="0"/>
        <w:jc w:val="left"/>
        <w:rPr>
          <w:b w:val="0"/>
        </w:rPr>
      </w:pPr>
    </w:p>
    <w:p w:rsidR="00B30C42" w:rsidRPr="00AA1670" w:rsidRDefault="008678A4" w:rsidP="00B612C2">
      <w:pPr>
        <w:pStyle w:val="Heading1"/>
        <w:keepNext/>
        <w:spacing w:before="0" w:line="259" w:lineRule="auto"/>
        <w:rPr>
          <w:rFonts w:ascii="Times New Roman" w:hAnsi="Times New Roman"/>
          <w:sz w:val="24"/>
          <w:szCs w:val="24"/>
        </w:rPr>
      </w:pPr>
      <w:r>
        <w:rPr>
          <w:rFonts w:ascii="Times New Roman" w:hAnsi="Times New Roman"/>
          <w:sz w:val="24"/>
          <w:szCs w:val="24"/>
        </w:rPr>
        <w:t>A17.</w:t>
      </w:r>
      <w:r>
        <w:rPr>
          <w:rFonts w:ascii="Times New Roman" w:hAnsi="Times New Roman"/>
          <w:sz w:val="24"/>
          <w:szCs w:val="24"/>
        </w:rPr>
        <w:tab/>
      </w:r>
      <w:r w:rsidRPr="008678A4">
        <w:rPr>
          <w:rFonts w:ascii="Times New Roman" w:hAnsi="Times New Roman"/>
          <w:sz w:val="24"/>
          <w:szCs w:val="24"/>
        </w:rPr>
        <w:t>Request Not to Display Expiration Date</w:t>
      </w:r>
    </w:p>
    <w:p w:rsidR="00B30C42" w:rsidRPr="00AA1670" w:rsidRDefault="00B30C42" w:rsidP="001A0876">
      <w:pPr>
        <w:pStyle w:val="Text"/>
        <w:widowControl w:val="0"/>
        <w:spacing w:after="120" w:line="259" w:lineRule="auto"/>
        <w:rPr>
          <w:sz w:val="24"/>
        </w:rPr>
      </w:pPr>
      <w:r w:rsidRPr="00AA1670">
        <w:rPr>
          <w:sz w:val="24"/>
        </w:rPr>
        <w:t>NCES displays the OMB expiration date on the instruction manual sent to the state Fiscal CCD Coordinators and on the data collection web site.</w:t>
      </w:r>
    </w:p>
    <w:p w:rsidR="00B30C42" w:rsidRPr="00AA1670" w:rsidRDefault="00B30C42" w:rsidP="001F506D">
      <w:pPr>
        <w:pStyle w:val="Heading1"/>
        <w:spacing w:before="0" w:line="259" w:lineRule="auto"/>
        <w:rPr>
          <w:rFonts w:ascii="Times New Roman" w:hAnsi="Times New Roman"/>
          <w:sz w:val="24"/>
          <w:szCs w:val="24"/>
        </w:rPr>
      </w:pPr>
      <w:r w:rsidRPr="00AA1670">
        <w:rPr>
          <w:rFonts w:ascii="Times New Roman" w:hAnsi="Times New Roman"/>
          <w:sz w:val="24"/>
          <w:szCs w:val="24"/>
        </w:rPr>
        <w:t>A</w:t>
      </w:r>
      <w:r w:rsidR="008678A4">
        <w:rPr>
          <w:rFonts w:ascii="Times New Roman" w:hAnsi="Times New Roman"/>
          <w:sz w:val="24"/>
          <w:szCs w:val="24"/>
        </w:rPr>
        <w:t>18.</w:t>
      </w:r>
      <w:r w:rsidR="008678A4">
        <w:rPr>
          <w:rFonts w:ascii="Times New Roman" w:hAnsi="Times New Roman"/>
          <w:sz w:val="24"/>
          <w:szCs w:val="24"/>
        </w:rPr>
        <w:tab/>
      </w:r>
      <w:r w:rsidR="008678A4" w:rsidRPr="008678A4">
        <w:rPr>
          <w:rFonts w:ascii="Times New Roman" w:hAnsi="Times New Roman"/>
          <w:sz w:val="24"/>
          <w:szCs w:val="24"/>
        </w:rPr>
        <w:t>Exceptions to the Certification</w:t>
      </w:r>
    </w:p>
    <w:p w:rsidR="00B30C42" w:rsidRDefault="00B30C42" w:rsidP="001F506D">
      <w:pPr>
        <w:pStyle w:val="Text"/>
        <w:spacing w:after="120" w:line="259" w:lineRule="auto"/>
        <w:rPr>
          <w:sz w:val="24"/>
        </w:rPr>
      </w:pPr>
      <w:r w:rsidRPr="00AA1670">
        <w:rPr>
          <w:sz w:val="24"/>
        </w:rPr>
        <w:t>There are no exceptions to the items in that certification.</w:t>
      </w:r>
    </w:p>
    <w:p w:rsidR="001A0876" w:rsidRDefault="001A0876" w:rsidP="001F506D">
      <w:pPr>
        <w:pStyle w:val="Text"/>
        <w:spacing w:after="120" w:line="259" w:lineRule="auto"/>
        <w:rPr>
          <w:sz w:val="24"/>
        </w:rPr>
      </w:pPr>
    </w:p>
    <w:p w:rsidR="005C47B1" w:rsidRPr="00727578" w:rsidRDefault="005C47B1" w:rsidP="00C10A46">
      <w:pPr>
        <w:pStyle w:val="Text"/>
        <w:keepNext/>
        <w:spacing w:after="120" w:line="276" w:lineRule="auto"/>
        <w:jc w:val="center"/>
        <w:rPr>
          <w:b/>
          <w:sz w:val="24"/>
        </w:rPr>
      </w:pPr>
      <w:r w:rsidRPr="00727578">
        <w:rPr>
          <w:b/>
          <w:sz w:val="24"/>
        </w:rPr>
        <w:t>References</w:t>
      </w:r>
    </w:p>
    <w:p w:rsidR="005C47B1" w:rsidRPr="00727578" w:rsidRDefault="005C47B1" w:rsidP="001F506D">
      <w:pPr>
        <w:pStyle w:val="Text"/>
        <w:spacing w:after="120"/>
        <w:rPr>
          <w:szCs w:val="22"/>
        </w:rPr>
      </w:pPr>
      <w:r w:rsidRPr="00727578">
        <w:rPr>
          <w:szCs w:val="22"/>
        </w:rPr>
        <w:t xml:space="preserve">Allison, G.S. (2015). </w:t>
      </w:r>
      <w:r w:rsidRPr="00727578">
        <w:rPr>
          <w:i/>
          <w:szCs w:val="22"/>
        </w:rPr>
        <w:t>Financial Accounting for Local and State School Systems: 2014 Edition</w:t>
      </w:r>
      <w:r w:rsidRPr="00727578">
        <w:rPr>
          <w:szCs w:val="22"/>
        </w:rPr>
        <w:t xml:space="preserve"> (NCES 2015–347). National Center for Education Statistics, Institute of Education Sciences, U.S. Department of Education. Washington, DC. Retrieved March 31, 2015, from </w:t>
      </w:r>
      <w:hyperlink r:id="rId12" w:history="1">
        <w:r w:rsidRPr="00727578">
          <w:rPr>
            <w:rStyle w:val="Hyperlink"/>
            <w:szCs w:val="22"/>
          </w:rPr>
          <w:t>http://nces.ed.gov/pubsearch/pubsinfo.asp?pubid=2015347</w:t>
        </w:r>
      </w:hyperlink>
      <w:r w:rsidR="00727578" w:rsidRPr="00727578">
        <w:rPr>
          <w:rStyle w:val="Hyperlink"/>
          <w:color w:val="auto"/>
          <w:szCs w:val="22"/>
          <w:u w:val="none"/>
        </w:rPr>
        <w:t>.</w:t>
      </w:r>
    </w:p>
    <w:p w:rsidR="00CA4A02" w:rsidRDefault="00CA4A02" w:rsidP="00E66871">
      <w:pPr>
        <w:pStyle w:val="Text"/>
        <w:widowControl w:val="0"/>
        <w:spacing w:after="120"/>
        <w:rPr>
          <w:szCs w:val="22"/>
        </w:rPr>
      </w:pPr>
      <w:r w:rsidRPr="00CA4A02">
        <w:rPr>
          <w:szCs w:val="22"/>
        </w:rPr>
        <w:t xml:space="preserve">Cornman, S.Q., Zhou, L., Ampadu, O., D’Antonio, L., Gromos, D., and Wheeler, S. (2018). </w:t>
      </w:r>
      <w:r w:rsidRPr="00CA4A02">
        <w:rPr>
          <w:i/>
          <w:szCs w:val="22"/>
        </w:rPr>
        <w:t xml:space="preserve">The Feasibility of Collecting School-Level Finance Data: An Evaluation of Data From the School-Level Finance Survey (SLFS) School Year 2013–14 </w:t>
      </w:r>
      <w:r w:rsidRPr="00CA4A02">
        <w:rPr>
          <w:szCs w:val="22"/>
        </w:rPr>
        <w:t xml:space="preserve">(NCES 2018-305). U.S. Department of Education. Washington, DC: National Center for Education Statistics. Retrieved </w:t>
      </w:r>
      <w:r>
        <w:rPr>
          <w:szCs w:val="22"/>
        </w:rPr>
        <w:t>August 8, 2018</w:t>
      </w:r>
      <w:r w:rsidRPr="00CA4A02">
        <w:rPr>
          <w:szCs w:val="22"/>
        </w:rPr>
        <w:t xml:space="preserve"> from </w:t>
      </w:r>
      <w:hyperlink r:id="rId13" w:history="1">
        <w:r w:rsidRPr="00275B10">
          <w:rPr>
            <w:rStyle w:val="Hyperlink"/>
            <w:szCs w:val="22"/>
          </w:rPr>
          <w:t>http://nces.ed.gov/pubsearch</w:t>
        </w:r>
      </w:hyperlink>
      <w:r w:rsidRPr="00CA4A02">
        <w:rPr>
          <w:szCs w:val="22"/>
        </w:rPr>
        <w:t>.</w:t>
      </w:r>
    </w:p>
    <w:p w:rsidR="00CA4A02" w:rsidRPr="001F506D" w:rsidRDefault="005C47B1" w:rsidP="001F506D">
      <w:pPr>
        <w:pStyle w:val="Text"/>
        <w:spacing w:after="120"/>
        <w:rPr>
          <w:szCs w:val="22"/>
        </w:rPr>
      </w:pPr>
      <w:r w:rsidRPr="00727578">
        <w:rPr>
          <w:szCs w:val="22"/>
        </w:rPr>
        <w:t xml:space="preserve">U.S. Department of Education, Office of Planning, Evaluation and Policy Development, Policy and Program Studies Service, </w:t>
      </w:r>
      <w:r w:rsidRPr="00727578">
        <w:rPr>
          <w:i/>
          <w:iCs/>
          <w:szCs w:val="22"/>
        </w:rPr>
        <w:t>Comparability of State and Local Expenditures Among Schools Within Districts: A Report From the Study of School-Level Expenditures</w:t>
      </w:r>
      <w:r w:rsidRPr="00727578">
        <w:rPr>
          <w:szCs w:val="22"/>
        </w:rPr>
        <w:t>, by Ruth Heuer and Stephanie Stullich, Washington, D.C.,2011</w:t>
      </w:r>
      <w:r w:rsidRPr="00727578">
        <w:rPr>
          <w:rFonts w:eastAsia="Calibri"/>
          <w:szCs w:val="22"/>
        </w:rPr>
        <w:t>.</w:t>
      </w:r>
      <w:r w:rsidR="00E40BD5" w:rsidRPr="00727578">
        <w:rPr>
          <w:rFonts w:eastAsia="Calibri"/>
          <w:szCs w:val="22"/>
        </w:rPr>
        <w:t xml:space="preserve"> Retrieved September 12, 2016</w:t>
      </w:r>
      <w:r w:rsidR="00727578">
        <w:rPr>
          <w:rFonts w:eastAsia="Calibri"/>
          <w:szCs w:val="22"/>
        </w:rPr>
        <w:t xml:space="preserve">, from </w:t>
      </w:r>
      <w:r w:rsidR="00727578" w:rsidRPr="00727578">
        <w:rPr>
          <w:rStyle w:val="Hyperlink"/>
        </w:rPr>
        <w:t>www2.ed.gov/rschstat/eval/title-i/school-level-expenditures/school-level-expenditures.pdf</w:t>
      </w:r>
      <w:r w:rsidR="00727578" w:rsidRPr="00727578">
        <w:rPr>
          <w:rStyle w:val="Hyperlink"/>
          <w:color w:val="auto"/>
          <w:szCs w:val="22"/>
          <w:u w:val="none"/>
        </w:rPr>
        <w:t>.</w:t>
      </w:r>
    </w:p>
    <w:sectPr w:rsidR="00CA4A02" w:rsidRPr="001F506D" w:rsidSect="00513C9A">
      <w:headerReference w:type="default" r:id="rId14"/>
      <w:footerReference w:type="default" r:id="rId15"/>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23" w:rsidRDefault="00346A23">
      <w:r>
        <w:separator/>
      </w:r>
    </w:p>
  </w:endnote>
  <w:endnote w:type="continuationSeparator" w:id="0">
    <w:p w:rsidR="00346A23" w:rsidRDefault="0034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A4" w:rsidRDefault="002F48A4">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AE6AB8">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23" w:rsidRDefault="00346A23">
      <w:r>
        <w:separator/>
      </w:r>
    </w:p>
  </w:footnote>
  <w:footnote w:type="continuationSeparator" w:id="0">
    <w:p w:rsidR="00346A23" w:rsidRDefault="00346A23">
      <w:r>
        <w:continuationSeparator/>
      </w:r>
    </w:p>
  </w:footnote>
  <w:footnote w:id="1">
    <w:p w:rsidR="005E3E38" w:rsidRPr="0002791F" w:rsidRDefault="005E3E38" w:rsidP="005E3E38">
      <w:pPr>
        <w:pStyle w:val="FootnoteText"/>
        <w:rPr>
          <w:szCs w:val="18"/>
        </w:rPr>
      </w:pPr>
      <w:r w:rsidRPr="00EB093D">
        <w:rPr>
          <w:rStyle w:val="FootnoteReference"/>
          <w:vertAlign w:val="superscript"/>
        </w:rPr>
        <w:footnoteRef/>
      </w:r>
      <w:r>
        <w:t xml:space="preserve"> </w:t>
      </w:r>
      <w:r w:rsidRPr="0002791F">
        <w:rPr>
          <w:szCs w:val="18"/>
        </w:rPr>
        <w:t>The R&amp;D series of reports at NCES has been initiated to:</w:t>
      </w:r>
    </w:p>
    <w:p w:rsidR="005E3E38" w:rsidRPr="0002791F" w:rsidRDefault="005E3E38" w:rsidP="005E3E38">
      <w:pPr>
        <w:pStyle w:val="FootnoteText"/>
        <w:widowControl/>
        <w:numPr>
          <w:ilvl w:val="0"/>
          <w:numId w:val="19"/>
        </w:numPr>
        <w:ind w:left="360" w:hanging="180"/>
        <w:rPr>
          <w:szCs w:val="18"/>
        </w:rPr>
      </w:pPr>
      <w:r w:rsidRPr="0002791F">
        <w:rPr>
          <w:szCs w:val="18"/>
        </w:rPr>
        <w:t>Share studies and research that are developmental in nature. The results of such studies may be revised as the work continues and additional data become available;</w:t>
      </w:r>
    </w:p>
    <w:p w:rsidR="005E3E38" w:rsidRPr="0002791F" w:rsidRDefault="005E3E38" w:rsidP="005E3E38">
      <w:pPr>
        <w:pStyle w:val="FootnoteText"/>
        <w:widowControl/>
        <w:numPr>
          <w:ilvl w:val="0"/>
          <w:numId w:val="19"/>
        </w:numPr>
        <w:ind w:left="360" w:hanging="180"/>
        <w:rPr>
          <w:szCs w:val="18"/>
        </w:rPr>
      </w:pPr>
      <w:r w:rsidRPr="0002791F">
        <w:rPr>
          <w:szCs w:val="18"/>
        </w:rPr>
        <w:t>Share the results of studies that are, to some extent, the “cutting edge” of methodological developments. Emerging analytical approaches and new computer software development often permit new and sometimes controversial analyses to be done. By participating in “frontier research,” we hope to contribute to the resolution of issues and improved analysis; and</w:t>
      </w:r>
    </w:p>
    <w:p w:rsidR="005E3E38" w:rsidRPr="00B57859" w:rsidRDefault="005E3E38" w:rsidP="00FA793D">
      <w:pPr>
        <w:pStyle w:val="FootnoteText"/>
        <w:widowControl/>
        <w:numPr>
          <w:ilvl w:val="0"/>
          <w:numId w:val="19"/>
        </w:numPr>
        <w:spacing w:after="60"/>
        <w:ind w:left="374" w:hanging="187"/>
        <w:rPr>
          <w:szCs w:val="18"/>
        </w:rPr>
      </w:pPr>
      <w:r w:rsidRPr="0002791F">
        <w:rPr>
          <w:szCs w:val="18"/>
        </w:rPr>
        <w:t>Participate in discussions of emerging issues of interest to education researchers, statisticians, and the federal statistical community in general. Such reports may document workshops and symposia sponsored by NCES that address methodological and analytical issues or may share and discuss issues regarding NCES practices, procedures, and standards.</w:t>
      </w:r>
    </w:p>
  </w:footnote>
  <w:footnote w:id="2">
    <w:p w:rsidR="00EB093D" w:rsidRDefault="00EB093D" w:rsidP="00FA793D">
      <w:pPr>
        <w:pStyle w:val="FootnoteText"/>
        <w:spacing w:after="40"/>
      </w:pPr>
      <w:r w:rsidRPr="00EB093D">
        <w:rPr>
          <w:rStyle w:val="FootnoteReference"/>
          <w:vertAlign w:val="superscript"/>
        </w:rPr>
        <w:footnoteRef/>
      </w:r>
      <w:r>
        <w:t xml:space="preserve"> </w:t>
      </w:r>
      <w:r w:rsidRPr="00FB1AFD">
        <w:t>Personnel expenditures exclude</w:t>
      </w:r>
      <w:r>
        <w:t>d</w:t>
      </w:r>
      <w:r w:rsidRPr="00FB1AFD">
        <w:t xml:space="preserve"> employee benefits (e.g., employer health insurance and retirement contributions) and exclude</w:t>
      </w:r>
      <w:r>
        <w:t>d</w:t>
      </w:r>
      <w:r w:rsidRPr="00FB1AFD">
        <w:t xml:space="preserve"> expenditures for staff that would typically be considered school district-level staff (e.g., student transportation and operations and maintenance staff).</w:t>
      </w:r>
    </w:p>
  </w:footnote>
  <w:footnote w:id="3">
    <w:p w:rsidR="00EB093D" w:rsidRDefault="00EB093D" w:rsidP="00FA793D">
      <w:pPr>
        <w:pStyle w:val="FootnoteText"/>
        <w:spacing w:after="40"/>
      </w:pPr>
      <w:r w:rsidRPr="00833940">
        <w:rPr>
          <w:rStyle w:val="FootnoteReference"/>
          <w:vertAlign w:val="superscript"/>
        </w:rPr>
        <w:footnoteRef/>
      </w:r>
      <w:r>
        <w:t xml:space="preserve"> </w:t>
      </w:r>
      <w:r w:rsidRPr="008903D1">
        <w:t xml:space="preserve">Nonpersonnel expenditures </w:t>
      </w:r>
      <w:r w:rsidRPr="00FB1AFD">
        <w:t>include</w:t>
      </w:r>
      <w:r>
        <w:t>d</w:t>
      </w:r>
      <w:r w:rsidRPr="00FB1AFD">
        <w:t xml:space="preserve"> supplies, purchased services (e.g., contracted teacher services and administrative support), instructional equipment, and textbooks. The</w:t>
      </w:r>
      <w:r>
        <w:t>y</w:t>
      </w:r>
      <w:r w:rsidRPr="00FB1AFD">
        <w:t xml:space="preserve"> exclude</w:t>
      </w:r>
      <w:r>
        <w:t>d</w:t>
      </w:r>
      <w:r w:rsidRPr="00FB1AFD">
        <w:t xml:space="preserve"> school district-level expenditures </w:t>
      </w:r>
      <w:r>
        <w:t xml:space="preserve">(e.g., </w:t>
      </w:r>
      <w:r w:rsidRPr="00FB1AFD">
        <w:t>tuition payments to other school systems</w:t>
      </w:r>
      <w:r>
        <w:t>)</w:t>
      </w:r>
      <w:r w:rsidRPr="00FB1AFD">
        <w:t xml:space="preserve"> and most capital outlay expenses (e.g., construction, land, and building expenditures). As </w:t>
      </w:r>
      <w:r>
        <w:t>in</w:t>
      </w:r>
      <w:r w:rsidRPr="00FB1AFD">
        <w:t xml:space="preserve"> personnel expenditures, employee benefits </w:t>
      </w:r>
      <w:r>
        <w:t>we</w:t>
      </w:r>
      <w:r w:rsidRPr="00FB1AFD">
        <w:t>re also excluded from the non</w:t>
      </w:r>
      <w:r>
        <w:t>-</w:t>
      </w:r>
      <w:r w:rsidRPr="00FB1AFD">
        <w:t>personnel expenditure items.</w:t>
      </w:r>
    </w:p>
  </w:footnote>
  <w:footnote w:id="4">
    <w:p w:rsidR="00713AE9" w:rsidRDefault="00713AE9" w:rsidP="00713AE9">
      <w:pPr>
        <w:pStyle w:val="FootnoteText"/>
      </w:pPr>
      <w:r w:rsidRPr="00713AE9">
        <w:rPr>
          <w:rStyle w:val="FootnoteReference"/>
          <w:vertAlign w:val="superscript"/>
        </w:rPr>
        <w:footnoteRef/>
      </w:r>
      <w:r>
        <w:t xml:space="preserve"> </w:t>
      </w:r>
      <w:r w:rsidR="00155F05" w:rsidRPr="00F8628C">
        <w:t xml:space="preserve">Variables not collected on the </w:t>
      </w:r>
      <w:r w:rsidR="00155F05">
        <w:t>FY14-FY17</w:t>
      </w:r>
      <w:r w:rsidR="00155F05" w:rsidRPr="00F8628C">
        <w:t xml:space="preserve"> SLFS include</w:t>
      </w:r>
      <w:r w:rsidR="00155F05">
        <w:t xml:space="preserve"> (by function):</w:t>
      </w:r>
      <w:r w:rsidR="00155F05" w:rsidRPr="00F8628C">
        <w:t xml:space="preserve"> </w:t>
      </w:r>
      <w:r w:rsidR="00155F05">
        <w:t>(a) general administration –</w:t>
      </w:r>
      <w:r w:rsidR="00155F05" w:rsidDel="007A570D">
        <w:t xml:space="preserve"> </w:t>
      </w:r>
      <w:r w:rsidR="00155F05">
        <w:t>expenditures for board of education and executive administration (i.e., administration at the district level) services; (b) operation and maintenance of plant</w:t>
      </w:r>
      <w:r w:rsidR="00F77BE3">
        <w:t xml:space="preserve"> </w:t>
      </w:r>
      <w:r w:rsidR="00155F05">
        <w:t xml:space="preserve">– </w:t>
      </w:r>
      <w:r w:rsidR="00F77BE3">
        <w:t xml:space="preserve">expenditures for </w:t>
      </w:r>
      <w:r w:rsidR="00155F05">
        <w:t>care and upkeep of grounds and equipment, nonstudent transportation vehicle operation and maintenance, and security/safety; (c) student transportation</w:t>
      </w:r>
      <w:r w:rsidR="00F77BE3">
        <w:t xml:space="preserve"> </w:t>
      </w:r>
      <w:r w:rsidR="00155F05">
        <w:t>– expenditures for vehicle service and maintenance, vehicle operation, and monitoring riders; (d) business/central/other support services – expenditures for fiscal services, administrative technology, purchasing, warehousing, distributing, planning, evaluation, and research and development services; (e) food service expenditures; and (f) enterprise operations –</w:t>
      </w:r>
      <w:r w:rsidR="00155F05" w:rsidDel="008228D1">
        <w:t xml:space="preserve"> </w:t>
      </w:r>
      <w:r w:rsidR="00155F05">
        <w:t>expenditures for business-like activities where the costs are recouped largely with user charges (e.g., a student bookstore).</w:t>
      </w:r>
    </w:p>
  </w:footnote>
  <w:footnote w:id="5">
    <w:p w:rsidR="00203201" w:rsidRDefault="00203201" w:rsidP="00203201">
      <w:pPr>
        <w:pStyle w:val="FootnoteText"/>
      </w:pPr>
      <w:r w:rsidRPr="00203201">
        <w:rPr>
          <w:rStyle w:val="FootnoteReference"/>
          <w:vertAlign w:val="superscript"/>
        </w:rPr>
        <w:footnoteRef/>
      </w:r>
      <w:r>
        <w:t xml:space="preserve"> </w:t>
      </w:r>
      <w:r w:rsidRPr="003B2A9E">
        <w:t>The expenditure functions include instruction, instructional staff support services, pupil support services, general administration, school administration, operations and maintenance, student transportation, other support services (such as business services), food services, and enterprise operations.</w:t>
      </w:r>
    </w:p>
  </w:footnote>
  <w:footnote w:id="6">
    <w:p w:rsidR="00203201" w:rsidRDefault="00203201" w:rsidP="00203201">
      <w:pPr>
        <w:pStyle w:val="FootnoteText"/>
      </w:pPr>
      <w:r w:rsidRPr="00203201">
        <w:rPr>
          <w:rStyle w:val="FootnoteReference"/>
          <w:vertAlign w:val="superscript"/>
        </w:rPr>
        <w:footnoteRef/>
      </w:r>
      <w:r>
        <w:t xml:space="preserve"> </w:t>
      </w:r>
      <w:r w:rsidRPr="003B2A9E">
        <w:t>Objects reported within a function include salaries, employee benefits, purchased services, supplies, and equipment</w:t>
      </w:r>
      <w:r>
        <w:t>.</w:t>
      </w:r>
      <w:r w:rsidR="00A01D95">
        <w:t xml:space="preserve"> </w:t>
      </w:r>
    </w:p>
  </w:footnote>
  <w:footnote w:id="7">
    <w:p w:rsidR="00FA493E" w:rsidRDefault="00FA493E" w:rsidP="00FA493E">
      <w:pPr>
        <w:pStyle w:val="FootnoteText"/>
      </w:pPr>
      <w:r w:rsidRPr="00237C62">
        <w:rPr>
          <w:rStyle w:val="FootnoteReference"/>
          <w:vertAlign w:val="superscript"/>
        </w:rPr>
        <w:footnoteRef/>
      </w:r>
      <w:r>
        <w:t xml:space="preserve"> </w:t>
      </w:r>
      <w:r w:rsidRPr="00F6028B">
        <w:t>The Annual Survey of School System Finances data are collected from the universe of school districts using uniform definitions and concepts of revenue, expenditure, debt, and assets.</w:t>
      </w:r>
    </w:p>
  </w:footnote>
  <w:footnote w:id="8">
    <w:p w:rsidR="00550EA8" w:rsidRDefault="00550EA8" w:rsidP="00550EA8">
      <w:pPr>
        <w:pStyle w:val="FootnoteText"/>
      </w:pPr>
      <w:r w:rsidRPr="00877166">
        <w:rPr>
          <w:rStyle w:val="FootnoteReference"/>
          <w:vertAlign w:val="superscript"/>
        </w:rPr>
        <w:footnoteRef/>
      </w:r>
      <w:r>
        <w:t xml:space="preserve"> </w:t>
      </w:r>
      <w:r w:rsidRPr="001760C1">
        <w:t xml:space="preserve">The mean salary for SEA technicians is estimated at $32.01 per hour (SOC code 132031, Budget Analysts) and the mean salary for financial managers (SOC code 113031) working in State government is estimated at $49.06 per hour, based on May 2017 Occupation and Employment Statistics, Bureau of Labor Statistics (BLS) </w:t>
      </w:r>
      <w:r w:rsidR="00FA6319">
        <w:t xml:space="preserve">website, </w:t>
      </w:r>
      <w:hyperlink r:id="rId1" w:history="1">
        <w:r w:rsidR="00FA6319" w:rsidRPr="00827A0D">
          <w:rPr>
            <w:rStyle w:val="Hyperlink"/>
          </w:rPr>
          <w:t>https://www.bls.gov/oes/current/999201.htm</w:t>
        </w:r>
      </w:hyperlink>
      <w:r w:rsidR="00FA6319">
        <w:t>, accessed August 8, 2018</w:t>
      </w:r>
      <w:r w:rsidRPr="001760C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A4" w:rsidRPr="00B939AF" w:rsidRDefault="002F48A4" w:rsidP="00B57859">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4C94477"/>
    <w:multiLevelType w:val="hybridMultilevel"/>
    <w:tmpl w:val="B122F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E20E8"/>
    <w:multiLevelType w:val="hybridMultilevel"/>
    <w:tmpl w:val="1E167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EE496D"/>
    <w:multiLevelType w:val="hybridMultilevel"/>
    <w:tmpl w:val="93CA4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12">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805274"/>
    <w:multiLevelType w:val="hybridMultilevel"/>
    <w:tmpl w:val="CE0299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A14ED2"/>
    <w:multiLevelType w:val="hybridMultilevel"/>
    <w:tmpl w:val="1C8ED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2E03B9"/>
    <w:multiLevelType w:val="hybridMultilevel"/>
    <w:tmpl w:val="1EE0CF90"/>
    <w:lvl w:ilvl="0" w:tplc="1E24C9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57123"/>
    <w:multiLevelType w:val="hybridMultilevel"/>
    <w:tmpl w:val="F68A9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953D92"/>
    <w:multiLevelType w:val="hybridMultilevel"/>
    <w:tmpl w:val="02A4CC24"/>
    <w:lvl w:ilvl="0" w:tplc="CF72D550">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C22413"/>
    <w:multiLevelType w:val="hybridMultilevel"/>
    <w:tmpl w:val="ADA2A6C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1015AB"/>
    <w:multiLevelType w:val="hybridMultilevel"/>
    <w:tmpl w:val="0FDC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D2CFB"/>
    <w:multiLevelType w:val="hybridMultilevel"/>
    <w:tmpl w:val="824C3596"/>
    <w:lvl w:ilvl="0" w:tplc="1E24C9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5D6B5D"/>
    <w:multiLevelType w:val="hybridMultilevel"/>
    <w:tmpl w:val="BE461E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2E7C5D"/>
    <w:multiLevelType w:val="hybridMultilevel"/>
    <w:tmpl w:val="2FB2260C"/>
    <w:lvl w:ilvl="0" w:tplc="CF72D5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2"/>
  </w:num>
  <w:num w:numId="4">
    <w:abstractNumId w:val="5"/>
  </w:num>
  <w:num w:numId="5">
    <w:abstractNumId w:val="10"/>
  </w:num>
  <w:num w:numId="6">
    <w:abstractNumId w:val="11"/>
  </w:num>
  <w:num w:numId="7">
    <w:abstractNumId w:val="23"/>
  </w:num>
  <w:num w:numId="8">
    <w:abstractNumId w:val="21"/>
  </w:num>
  <w:num w:numId="9">
    <w:abstractNumId w:val="14"/>
  </w:num>
  <w:num w:numId="10">
    <w:abstractNumId w:val="19"/>
  </w:num>
  <w:num w:numId="11">
    <w:abstractNumId w:val="8"/>
  </w:num>
  <w:num w:numId="12">
    <w:abstractNumId w:val="27"/>
  </w:num>
  <w:num w:numId="13">
    <w:abstractNumId w:val="0"/>
  </w:num>
  <w:num w:numId="14">
    <w:abstractNumId w:val="2"/>
  </w:num>
  <w:num w:numId="15">
    <w:abstractNumId w:val="4"/>
  </w:num>
  <w:num w:numId="16">
    <w:abstractNumId w:val="15"/>
  </w:num>
  <w:num w:numId="17">
    <w:abstractNumId w:val="9"/>
  </w:num>
  <w:num w:numId="18">
    <w:abstractNumId w:val="25"/>
  </w:num>
  <w:num w:numId="19">
    <w:abstractNumId w:val="22"/>
  </w:num>
  <w:num w:numId="20">
    <w:abstractNumId w:val="7"/>
  </w:num>
  <w:num w:numId="21">
    <w:abstractNumId w:val="26"/>
  </w:num>
  <w:num w:numId="22">
    <w:abstractNumId w:val="20"/>
  </w:num>
  <w:num w:numId="23">
    <w:abstractNumId w:val="30"/>
  </w:num>
  <w:num w:numId="24">
    <w:abstractNumId w:val="1"/>
  </w:num>
  <w:num w:numId="25">
    <w:abstractNumId w:val="18"/>
  </w:num>
  <w:num w:numId="26">
    <w:abstractNumId w:val="28"/>
  </w:num>
  <w:num w:numId="27">
    <w:abstractNumId w:val="29"/>
  </w:num>
  <w:num w:numId="28">
    <w:abstractNumId w:val="24"/>
  </w:num>
  <w:num w:numId="29">
    <w:abstractNumId w:val="13"/>
  </w:num>
  <w:num w:numId="30">
    <w:abstractNumId w:val="17"/>
  </w:num>
  <w:num w:numId="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13"/>
    <w:rsid w:val="00001459"/>
    <w:rsid w:val="0000763F"/>
    <w:rsid w:val="000125CB"/>
    <w:rsid w:val="000205DC"/>
    <w:rsid w:val="0002144C"/>
    <w:rsid w:val="00022542"/>
    <w:rsid w:val="000252B5"/>
    <w:rsid w:val="00025C4A"/>
    <w:rsid w:val="00031727"/>
    <w:rsid w:val="00031E64"/>
    <w:rsid w:val="00034496"/>
    <w:rsid w:val="00037E7B"/>
    <w:rsid w:val="00043C1B"/>
    <w:rsid w:val="00045078"/>
    <w:rsid w:val="000450B8"/>
    <w:rsid w:val="000475DE"/>
    <w:rsid w:val="0005030C"/>
    <w:rsid w:val="000524AA"/>
    <w:rsid w:val="0006010D"/>
    <w:rsid w:val="0006245E"/>
    <w:rsid w:val="00073AD5"/>
    <w:rsid w:val="00075C96"/>
    <w:rsid w:val="0008195C"/>
    <w:rsid w:val="00081992"/>
    <w:rsid w:val="00083393"/>
    <w:rsid w:val="00085BDD"/>
    <w:rsid w:val="00090E6C"/>
    <w:rsid w:val="00091A5C"/>
    <w:rsid w:val="00092FDA"/>
    <w:rsid w:val="000941B4"/>
    <w:rsid w:val="00095F20"/>
    <w:rsid w:val="000A203C"/>
    <w:rsid w:val="000A3ADD"/>
    <w:rsid w:val="000A528E"/>
    <w:rsid w:val="000A6D16"/>
    <w:rsid w:val="000B74CA"/>
    <w:rsid w:val="000C51C7"/>
    <w:rsid w:val="000D04EF"/>
    <w:rsid w:val="000D53BA"/>
    <w:rsid w:val="000D5A62"/>
    <w:rsid w:val="000E2688"/>
    <w:rsid w:val="000E719E"/>
    <w:rsid w:val="000F3447"/>
    <w:rsid w:val="000F3757"/>
    <w:rsid w:val="000F4E30"/>
    <w:rsid w:val="000F55B7"/>
    <w:rsid w:val="000F604C"/>
    <w:rsid w:val="000F7556"/>
    <w:rsid w:val="001009B7"/>
    <w:rsid w:val="00100FBD"/>
    <w:rsid w:val="0010135C"/>
    <w:rsid w:val="001029F1"/>
    <w:rsid w:val="00106386"/>
    <w:rsid w:val="00106878"/>
    <w:rsid w:val="00111108"/>
    <w:rsid w:val="0011189D"/>
    <w:rsid w:val="00112012"/>
    <w:rsid w:val="00121F35"/>
    <w:rsid w:val="00141224"/>
    <w:rsid w:val="00142976"/>
    <w:rsid w:val="001446E1"/>
    <w:rsid w:val="00146304"/>
    <w:rsid w:val="001478CD"/>
    <w:rsid w:val="00147C66"/>
    <w:rsid w:val="00152765"/>
    <w:rsid w:val="001547C4"/>
    <w:rsid w:val="00155F05"/>
    <w:rsid w:val="00157213"/>
    <w:rsid w:val="00157C3E"/>
    <w:rsid w:val="001644D2"/>
    <w:rsid w:val="00165D1A"/>
    <w:rsid w:val="00167A98"/>
    <w:rsid w:val="001760C1"/>
    <w:rsid w:val="00177C3C"/>
    <w:rsid w:val="00184ABE"/>
    <w:rsid w:val="00187ED5"/>
    <w:rsid w:val="00193DE4"/>
    <w:rsid w:val="0019701A"/>
    <w:rsid w:val="00197941"/>
    <w:rsid w:val="001A0876"/>
    <w:rsid w:val="001A0F98"/>
    <w:rsid w:val="001A130F"/>
    <w:rsid w:val="001A4979"/>
    <w:rsid w:val="001A61A2"/>
    <w:rsid w:val="001A6DE1"/>
    <w:rsid w:val="001B1A7F"/>
    <w:rsid w:val="001B22D2"/>
    <w:rsid w:val="001B3EB8"/>
    <w:rsid w:val="001C03E7"/>
    <w:rsid w:val="001C0A85"/>
    <w:rsid w:val="001C21A4"/>
    <w:rsid w:val="001C3F24"/>
    <w:rsid w:val="001C68E8"/>
    <w:rsid w:val="001D36AA"/>
    <w:rsid w:val="001D3762"/>
    <w:rsid w:val="001D7903"/>
    <w:rsid w:val="001E0684"/>
    <w:rsid w:val="001E1700"/>
    <w:rsid w:val="001E2810"/>
    <w:rsid w:val="001E3606"/>
    <w:rsid w:val="001E5862"/>
    <w:rsid w:val="001F506D"/>
    <w:rsid w:val="001F63E4"/>
    <w:rsid w:val="001F738F"/>
    <w:rsid w:val="00201C98"/>
    <w:rsid w:val="00203201"/>
    <w:rsid w:val="002068AF"/>
    <w:rsid w:val="00206A4D"/>
    <w:rsid w:val="002072AF"/>
    <w:rsid w:val="00207B60"/>
    <w:rsid w:val="00210836"/>
    <w:rsid w:val="0021271B"/>
    <w:rsid w:val="00213A2F"/>
    <w:rsid w:val="00221293"/>
    <w:rsid w:val="00222D6E"/>
    <w:rsid w:val="00223C01"/>
    <w:rsid w:val="0023084B"/>
    <w:rsid w:val="002344D7"/>
    <w:rsid w:val="0023458C"/>
    <w:rsid w:val="00237C62"/>
    <w:rsid w:val="00237D3E"/>
    <w:rsid w:val="002416AC"/>
    <w:rsid w:val="00251820"/>
    <w:rsid w:val="0025388C"/>
    <w:rsid w:val="00254938"/>
    <w:rsid w:val="00260BF8"/>
    <w:rsid w:val="00262038"/>
    <w:rsid w:val="002621EE"/>
    <w:rsid w:val="00263644"/>
    <w:rsid w:val="00263A4F"/>
    <w:rsid w:val="00266047"/>
    <w:rsid w:val="00270314"/>
    <w:rsid w:val="00270397"/>
    <w:rsid w:val="0027334A"/>
    <w:rsid w:val="002735E0"/>
    <w:rsid w:val="00284F44"/>
    <w:rsid w:val="00285392"/>
    <w:rsid w:val="0028633F"/>
    <w:rsid w:val="00287983"/>
    <w:rsid w:val="00287E1F"/>
    <w:rsid w:val="0029137D"/>
    <w:rsid w:val="0029191C"/>
    <w:rsid w:val="00292492"/>
    <w:rsid w:val="00294548"/>
    <w:rsid w:val="00294985"/>
    <w:rsid w:val="002A02F3"/>
    <w:rsid w:val="002A19F8"/>
    <w:rsid w:val="002A1AC4"/>
    <w:rsid w:val="002A2FE9"/>
    <w:rsid w:val="002A6D95"/>
    <w:rsid w:val="002A76B3"/>
    <w:rsid w:val="002B3D08"/>
    <w:rsid w:val="002B3FE8"/>
    <w:rsid w:val="002B4B1D"/>
    <w:rsid w:val="002B779D"/>
    <w:rsid w:val="002C078C"/>
    <w:rsid w:val="002C1194"/>
    <w:rsid w:val="002D3C23"/>
    <w:rsid w:val="002D3DA7"/>
    <w:rsid w:val="002D597D"/>
    <w:rsid w:val="002D7D5F"/>
    <w:rsid w:val="002E10BA"/>
    <w:rsid w:val="002E1D42"/>
    <w:rsid w:val="002E4DF0"/>
    <w:rsid w:val="002F3489"/>
    <w:rsid w:val="002F3F12"/>
    <w:rsid w:val="002F48A4"/>
    <w:rsid w:val="002F5A4C"/>
    <w:rsid w:val="002F7842"/>
    <w:rsid w:val="00305BC4"/>
    <w:rsid w:val="00305BDF"/>
    <w:rsid w:val="003062AF"/>
    <w:rsid w:val="003068F5"/>
    <w:rsid w:val="00306915"/>
    <w:rsid w:val="0031795A"/>
    <w:rsid w:val="00322AE1"/>
    <w:rsid w:val="00332E78"/>
    <w:rsid w:val="00333B2B"/>
    <w:rsid w:val="0033464B"/>
    <w:rsid w:val="00336321"/>
    <w:rsid w:val="00340CDA"/>
    <w:rsid w:val="00341628"/>
    <w:rsid w:val="00341843"/>
    <w:rsid w:val="003427E8"/>
    <w:rsid w:val="003434E0"/>
    <w:rsid w:val="00344B45"/>
    <w:rsid w:val="003459D2"/>
    <w:rsid w:val="00346A23"/>
    <w:rsid w:val="00347798"/>
    <w:rsid w:val="003505A6"/>
    <w:rsid w:val="00355651"/>
    <w:rsid w:val="00357E70"/>
    <w:rsid w:val="00357F21"/>
    <w:rsid w:val="00360AF0"/>
    <w:rsid w:val="003641F1"/>
    <w:rsid w:val="0037254E"/>
    <w:rsid w:val="0037375C"/>
    <w:rsid w:val="003739EE"/>
    <w:rsid w:val="0037523A"/>
    <w:rsid w:val="00376F18"/>
    <w:rsid w:val="00381BD7"/>
    <w:rsid w:val="00381D6B"/>
    <w:rsid w:val="00384B7E"/>
    <w:rsid w:val="00385C5C"/>
    <w:rsid w:val="00385E0C"/>
    <w:rsid w:val="00385FAD"/>
    <w:rsid w:val="00390863"/>
    <w:rsid w:val="00390ACF"/>
    <w:rsid w:val="0039203D"/>
    <w:rsid w:val="00392F43"/>
    <w:rsid w:val="00395F75"/>
    <w:rsid w:val="003965D0"/>
    <w:rsid w:val="003A0972"/>
    <w:rsid w:val="003A0B71"/>
    <w:rsid w:val="003A51F6"/>
    <w:rsid w:val="003A7E2D"/>
    <w:rsid w:val="003B0ACC"/>
    <w:rsid w:val="003B26FB"/>
    <w:rsid w:val="003C153D"/>
    <w:rsid w:val="003C1B31"/>
    <w:rsid w:val="003C364A"/>
    <w:rsid w:val="003C783A"/>
    <w:rsid w:val="003D07A7"/>
    <w:rsid w:val="003D1C7A"/>
    <w:rsid w:val="003D2ED7"/>
    <w:rsid w:val="003D3693"/>
    <w:rsid w:val="003D548A"/>
    <w:rsid w:val="003D60DA"/>
    <w:rsid w:val="003E62F3"/>
    <w:rsid w:val="003E7880"/>
    <w:rsid w:val="003F1BBB"/>
    <w:rsid w:val="003F3F6F"/>
    <w:rsid w:val="003F476C"/>
    <w:rsid w:val="00402197"/>
    <w:rsid w:val="004113E0"/>
    <w:rsid w:val="00421711"/>
    <w:rsid w:val="004225C6"/>
    <w:rsid w:val="0042289A"/>
    <w:rsid w:val="004258BB"/>
    <w:rsid w:val="00433CF9"/>
    <w:rsid w:val="0044086F"/>
    <w:rsid w:val="00440E70"/>
    <w:rsid w:val="004439C9"/>
    <w:rsid w:val="00443D36"/>
    <w:rsid w:val="00444DBE"/>
    <w:rsid w:val="00445501"/>
    <w:rsid w:val="00456960"/>
    <w:rsid w:val="00466A47"/>
    <w:rsid w:val="004725BA"/>
    <w:rsid w:val="004725BB"/>
    <w:rsid w:val="0047757E"/>
    <w:rsid w:val="00486CF7"/>
    <w:rsid w:val="004909F5"/>
    <w:rsid w:val="004934E9"/>
    <w:rsid w:val="00494ACE"/>
    <w:rsid w:val="004A046E"/>
    <w:rsid w:val="004A32D1"/>
    <w:rsid w:val="004A4168"/>
    <w:rsid w:val="004A71DF"/>
    <w:rsid w:val="004A79B9"/>
    <w:rsid w:val="004B10E3"/>
    <w:rsid w:val="004B3FAF"/>
    <w:rsid w:val="004B640F"/>
    <w:rsid w:val="004C20AE"/>
    <w:rsid w:val="004C494F"/>
    <w:rsid w:val="004C5F89"/>
    <w:rsid w:val="004D0609"/>
    <w:rsid w:val="004D250D"/>
    <w:rsid w:val="004D5C43"/>
    <w:rsid w:val="004E1B44"/>
    <w:rsid w:val="004E1D71"/>
    <w:rsid w:val="004E2014"/>
    <w:rsid w:val="004E5AD1"/>
    <w:rsid w:val="004E5B53"/>
    <w:rsid w:val="004E7F8D"/>
    <w:rsid w:val="004F06EC"/>
    <w:rsid w:val="004F1CCB"/>
    <w:rsid w:val="004F4BD7"/>
    <w:rsid w:val="004F5534"/>
    <w:rsid w:val="00500831"/>
    <w:rsid w:val="00505507"/>
    <w:rsid w:val="0050663D"/>
    <w:rsid w:val="00510013"/>
    <w:rsid w:val="00510541"/>
    <w:rsid w:val="00511484"/>
    <w:rsid w:val="005132FD"/>
    <w:rsid w:val="00513C9A"/>
    <w:rsid w:val="005147CF"/>
    <w:rsid w:val="005151E2"/>
    <w:rsid w:val="00522082"/>
    <w:rsid w:val="00523E48"/>
    <w:rsid w:val="00524BB2"/>
    <w:rsid w:val="00524CF6"/>
    <w:rsid w:val="005252F7"/>
    <w:rsid w:val="00525C15"/>
    <w:rsid w:val="00534201"/>
    <w:rsid w:val="0053798C"/>
    <w:rsid w:val="005428B1"/>
    <w:rsid w:val="00545497"/>
    <w:rsid w:val="00547828"/>
    <w:rsid w:val="00550EA8"/>
    <w:rsid w:val="00551B11"/>
    <w:rsid w:val="0055276B"/>
    <w:rsid w:val="00552975"/>
    <w:rsid w:val="00552FDA"/>
    <w:rsid w:val="00555C89"/>
    <w:rsid w:val="005574F1"/>
    <w:rsid w:val="0056084F"/>
    <w:rsid w:val="00561B10"/>
    <w:rsid w:val="00564D08"/>
    <w:rsid w:val="00567497"/>
    <w:rsid w:val="00567B28"/>
    <w:rsid w:val="00570FD4"/>
    <w:rsid w:val="00575C2C"/>
    <w:rsid w:val="005802D2"/>
    <w:rsid w:val="005839BA"/>
    <w:rsid w:val="00583B58"/>
    <w:rsid w:val="0058500E"/>
    <w:rsid w:val="00585F7D"/>
    <w:rsid w:val="005867F2"/>
    <w:rsid w:val="0058692D"/>
    <w:rsid w:val="00586937"/>
    <w:rsid w:val="0058748F"/>
    <w:rsid w:val="0059450C"/>
    <w:rsid w:val="005957E6"/>
    <w:rsid w:val="00597317"/>
    <w:rsid w:val="005A34F4"/>
    <w:rsid w:val="005A526C"/>
    <w:rsid w:val="005B0BDD"/>
    <w:rsid w:val="005B2055"/>
    <w:rsid w:val="005B3F43"/>
    <w:rsid w:val="005B42FE"/>
    <w:rsid w:val="005B655F"/>
    <w:rsid w:val="005C44EE"/>
    <w:rsid w:val="005C47B1"/>
    <w:rsid w:val="005C4A97"/>
    <w:rsid w:val="005D1930"/>
    <w:rsid w:val="005D3F34"/>
    <w:rsid w:val="005D56F9"/>
    <w:rsid w:val="005D7520"/>
    <w:rsid w:val="005E05AE"/>
    <w:rsid w:val="005E3109"/>
    <w:rsid w:val="005E3E38"/>
    <w:rsid w:val="005E4965"/>
    <w:rsid w:val="005E5E5C"/>
    <w:rsid w:val="005E5F2D"/>
    <w:rsid w:val="005E67D3"/>
    <w:rsid w:val="005E76F2"/>
    <w:rsid w:val="005F4589"/>
    <w:rsid w:val="00601F1A"/>
    <w:rsid w:val="00602E36"/>
    <w:rsid w:val="00615C3B"/>
    <w:rsid w:val="00615E26"/>
    <w:rsid w:val="006172B2"/>
    <w:rsid w:val="0062224B"/>
    <w:rsid w:val="00622659"/>
    <w:rsid w:val="0062465C"/>
    <w:rsid w:val="0062720F"/>
    <w:rsid w:val="00632DBD"/>
    <w:rsid w:val="0063610A"/>
    <w:rsid w:val="00637FB7"/>
    <w:rsid w:val="00641FB9"/>
    <w:rsid w:val="006437FA"/>
    <w:rsid w:val="006446AC"/>
    <w:rsid w:val="00654D86"/>
    <w:rsid w:val="00655924"/>
    <w:rsid w:val="00655C06"/>
    <w:rsid w:val="006606DF"/>
    <w:rsid w:val="00664772"/>
    <w:rsid w:val="0066482C"/>
    <w:rsid w:val="00665FA8"/>
    <w:rsid w:val="00666A2B"/>
    <w:rsid w:val="0067005E"/>
    <w:rsid w:val="00670B90"/>
    <w:rsid w:val="0067291B"/>
    <w:rsid w:val="00673E11"/>
    <w:rsid w:val="00675153"/>
    <w:rsid w:val="006757B2"/>
    <w:rsid w:val="006820FC"/>
    <w:rsid w:val="00686CCF"/>
    <w:rsid w:val="00691A23"/>
    <w:rsid w:val="00692858"/>
    <w:rsid w:val="0069335E"/>
    <w:rsid w:val="0069424A"/>
    <w:rsid w:val="006A72C4"/>
    <w:rsid w:val="006A772C"/>
    <w:rsid w:val="006A7A52"/>
    <w:rsid w:val="006B50A9"/>
    <w:rsid w:val="006C1401"/>
    <w:rsid w:val="006C2ADE"/>
    <w:rsid w:val="006C42B5"/>
    <w:rsid w:val="006D2040"/>
    <w:rsid w:val="006D49A3"/>
    <w:rsid w:val="006E50F4"/>
    <w:rsid w:val="006E5B6C"/>
    <w:rsid w:val="006F0DC6"/>
    <w:rsid w:val="006F1A63"/>
    <w:rsid w:val="00701D6F"/>
    <w:rsid w:val="007022BF"/>
    <w:rsid w:val="00702685"/>
    <w:rsid w:val="00702EC5"/>
    <w:rsid w:val="0070303C"/>
    <w:rsid w:val="00706E18"/>
    <w:rsid w:val="00713AE9"/>
    <w:rsid w:val="0071463A"/>
    <w:rsid w:val="007159B6"/>
    <w:rsid w:val="00717628"/>
    <w:rsid w:val="007208D1"/>
    <w:rsid w:val="00720F0A"/>
    <w:rsid w:val="00723A88"/>
    <w:rsid w:val="00724F93"/>
    <w:rsid w:val="007261A3"/>
    <w:rsid w:val="00726663"/>
    <w:rsid w:val="00726A25"/>
    <w:rsid w:val="00727578"/>
    <w:rsid w:val="00727F48"/>
    <w:rsid w:val="007301B9"/>
    <w:rsid w:val="00732636"/>
    <w:rsid w:val="0073533A"/>
    <w:rsid w:val="00735D3D"/>
    <w:rsid w:val="00735ED6"/>
    <w:rsid w:val="0074586F"/>
    <w:rsid w:val="00746793"/>
    <w:rsid w:val="0075447F"/>
    <w:rsid w:val="00761F9B"/>
    <w:rsid w:val="00762E4A"/>
    <w:rsid w:val="00764138"/>
    <w:rsid w:val="00764F8E"/>
    <w:rsid w:val="00765E91"/>
    <w:rsid w:val="00767510"/>
    <w:rsid w:val="00767676"/>
    <w:rsid w:val="00767965"/>
    <w:rsid w:val="00770F55"/>
    <w:rsid w:val="007726AB"/>
    <w:rsid w:val="00781A8A"/>
    <w:rsid w:val="00783888"/>
    <w:rsid w:val="00784AFB"/>
    <w:rsid w:val="00784D96"/>
    <w:rsid w:val="00785876"/>
    <w:rsid w:val="007878EE"/>
    <w:rsid w:val="0079018C"/>
    <w:rsid w:val="0079557C"/>
    <w:rsid w:val="007979A4"/>
    <w:rsid w:val="00797D6D"/>
    <w:rsid w:val="007A0DE0"/>
    <w:rsid w:val="007A386E"/>
    <w:rsid w:val="007A6ACA"/>
    <w:rsid w:val="007B45B9"/>
    <w:rsid w:val="007B647D"/>
    <w:rsid w:val="007B6759"/>
    <w:rsid w:val="007B7856"/>
    <w:rsid w:val="007C04CE"/>
    <w:rsid w:val="007C4587"/>
    <w:rsid w:val="007C7909"/>
    <w:rsid w:val="007D2FE2"/>
    <w:rsid w:val="007D4D63"/>
    <w:rsid w:val="007D6189"/>
    <w:rsid w:val="007E4D40"/>
    <w:rsid w:val="007E689B"/>
    <w:rsid w:val="007F3ACA"/>
    <w:rsid w:val="00802946"/>
    <w:rsid w:val="0080311E"/>
    <w:rsid w:val="00810866"/>
    <w:rsid w:val="00810BF1"/>
    <w:rsid w:val="00811EF0"/>
    <w:rsid w:val="008129D1"/>
    <w:rsid w:val="008170A1"/>
    <w:rsid w:val="00820E3E"/>
    <w:rsid w:val="0082312F"/>
    <w:rsid w:val="00823F55"/>
    <w:rsid w:val="00826174"/>
    <w:rsid w:val="00827333"/>
    <w:rsid w:val="00831D85"/>
    <w:rsid w:val="008320A3"/>
    <w:rsid w:val="00833327"/>
    <w:rsid w:val="00833940"/>
    <w:rsid w:val="00834455"/>
    <w:rsid w:val="008349D5"/>
    <w:rsid w:val="008376CE"/>
    <w:rsid w:val="008442FD"/>
    <w:rsid w:val="00846542"/>
    <w:rsid w:val="00847C2D"/>
    <w:rsid w:val="00850A9B"/>
    <w:rsid w:val="0085354F"/>
    <w:rsid w:val="00856B8C"/>
    <w:rsid w:val="00860FF9"/>
    <w:rsid w:val="008625CD"/>
    <w:rsid w:val="00863F02"/>
    <w:rsid w:val="008674E1"/>
    <w:rsid w:val="008678A4"/>
    <w:rsid w:val="00867D0C"/>
    <w:rsid w:val="008714B0"/>
    <w:rsid w:val="00873083"/>
    <w:rsid w:val="00877166"/>
    <w:rsid w:val="00880F36"/>
    <w:rsid w:val="0088175F"/>
    <w:rsid w:val="00883453"/>
    <w:rsid w:val="00890037"/>
    <w:rsid w:val="00891AF5"/>
    <w:rsid w:val="00891E1D"/>
    <w:rsid w:val="00892B41"/>
    <w:rsid w:val="00897498"/>
    <w:rsid w:val="00897C34"/>
    <w:rsid w:val="008A3342"/>
    <w:rsid w:val="008A42C4"/>
    <w:rsid w:val="008B0B5A"/>
    <w:rsid w:val="008B26E1"/>
    <w:rsid w:val="008B4844"/>
    <w:rsid w:val="008C0359"/>
    <w:rsid w:val="008C1D39"/>
    <w:rsid w:val="008C32E3"/>
    <w:rsid w:val="008C7977"/>
    <w:rsid w:val="008D2BFB"/>
    <w:rsid w:val="008D2FC3"/>
    <w:rsid w:val="008D3B55"/>
    <w:rsid w:val="008E3C22"/>
    <w:rsid w:val="008F1109"/>
    <w:rsid w:val="008F12B7"/>
    <w:rsid w:val="008F1494"/>
    <w:rsid w:val="008F46DF"/>
    <w:rsid w:val="00910A1A"/>
    <w:rsid w:val="009135AA"/>
    <w:rsid w:val="0091545D"/>
    <w:rsid w:val="00924683"/>
    <w:rsid w:val="0092557C"/>
    <w:rsid w:val="00926529"/>
    <w:rsid w:val="009509DE"/>
    <w:rsid w:val="00953B38"/>
    <w:rsid w:val="009549C4"/>
    <w:rsid w:val="00954CAB"/>
    <w:rsid w:val="009618D3"/>
    <w:rsid w:val="00965125"/>
    <w:rsid w:val="00975904"/>
    <w:rsid w:val="009769A3"/>
    <w:rsid w:val="0097748E"/>
    <w:rsid w:val="00980B5B"/>
    <w:rsid w:val="00981CFD"/>
    <w:rsid w:val="009828A3"/>
    <w:rsid w:val="00982B28"/>
    <w:rsid w:val="00983709"/>
    <w:rsid w:val="0098760B"/>
    <w:rsid w:val="00993892"/>
    <w:rsid w:val="009940D5"/>
    <w:rsid w:val="00994B90"/>
    <w:rsid w:val="00995C80"/>
    <w:rsid w:val="0099687E"/>
    <w:rsid w:val="009975CF"/>
    <w:rsid w:val="009A0B89"/>
    <w:rsid w:val="009B4BD9"/>
    <w:rsid w:val="009B5098"/>
    <w:rsid w:val="009B5CF5"/>
    <w:rsid w:val="009C0058"/>
    <w:rsid w:val="009C2015"/>
    <w:rsid w:val="009C25DA"/>
    <w:rsid w:val="009C2E60"/>
    <w:rsid w:val="009C2E9E"/>
    <w:rsid w:val="009C2EE2"/>
    <w:rsid w:val="009C410B"/>
    <w:rsid w:val="009C6FAA"/>
    <w:rsid w:val="009C6FC2"/>
    <w:rsid w:val="009D0819"/>
    <w:rsid w:val="009D1A85"/>
    <w:rsid w:val="009E0107"/>
    <w:rsid w:val="009E2C2A"/>
    <w:rsid w:val="009E2C72"/>
    <w:rsid w:val="009E3D4B"/>
    <w:rsid w:val="009E6787"/>
    <w:rsid w:val="009E709B"/>
    <w:rsid w:val="009F341C"/>
    <w:rsid w:val="009F3CCE"/>
    <w:rsid w:val="009F68A5"/>
    <w:rsid w:val="00A00638"/>
    <w:rsid w:val="00A00B5A"/>
    <w:rsid w:val="00A01D95"/>
    <w:rsid w:val="00A0308D"/>
    <w:rsid w:val="00A071EF"/>
    <w:rsid w:val="00A11F25"/>
    <w:rsid w:val="00A13150"/>
    <w:rsid w:val="00A15401"/>
    <w:rsid w:val="00A17096"/>
    <w:rsid w:val="00A211E3"/>
    <w:rsid w:val="00A2377C"/>
    <w:rsid w:val="00A24B7B"/>
    <w:rsid w:val="00A24FCA"/>
    <w:rsid w:val="00A25667"/>
    <w:rsid w:val="00A25B62"/>
    <w:rsid w:val="00A27848"/>
    <w:rsid w:val="00A31CAF"/>
    <w:rsid w:val="00A325E5"/>
    <w:rsid w:val="00A40D7A"/>
    <w:rsid w:val="00A44814"/>
    <w:rsid w:val="00A5123F"/>
    <w:rsid w:val="00A53986"/>
    <w:rsid w:val="00A53BE1"/>
    <w:rsid w:val="00A71DF4"/>
    <w:rsid w:val="00A76939"/>
    <w:rsid w:val="00A769FF"/>
    <w:rsid w:val="00A8385D"/>
    <w:rsid w:val="00A85E3D"/>
    <w:rsid w:val="00A901E0"/>
    <w:rsid w:val="00A91F84"/>
    <w:rsid w:val="00A96835"/>
    <w:rsid w:val="00AA05CD"/>
    <w:rsid w:val="00AA1647"/>
    <w:rsid w:val="00AA1670"/>
    <w:rsid w:val="00AA1CF7"/>
    <w:rsid w:val="00AA2AEC"/>
    <w:rsid w:val="00AA3222"/>
    <w:rsid w:val="00AA45E5"/>
    <w:rsid w:val="00AB034B"/>
    <w:rsid w:val="00AB167C"/>
    <w:rsid w:val="00AB2EB3"/>
    <w:rsid w:val="00AB701D"/>
    <w:rsid w:val="00AC39FC"/>
    <w:rsid w:val="00AD3856"/>
    <w:rsid w:val="00AD4123"/>
    <w:rsid w:val="00AD6247"/>
    <w:rsid w:val="00AD7F9D"/>
    <w:rsid w:val="00AE621A"/>
    <w:rsid w:val="00AE6426"/>
    <w:rsid w:val="00AE6522"/>
    <w:rsid w:val="00AE6AB8"/>
    <w:rsid w:val="00AF4B9F"/>
    <w:rsid w:val="00AF597A"/>
    <w:rsid w:val="00AF6313"/>
    <w:rsid w:val="00AF7C13"/>
    <w:rsid w:val="00B03422"/>
    <w:rsid w:val="00B06042"/>
    <w:rsid w:val="00B07EC3"/>
    <w:rsid w:val="00B10B34"/>
    <w:rsid w:val="00B13FE7"/>
    <w:rsid w:val="00B24328"/>
    <w:rsid w:val="00B25F5E"/>
    <w:rsid w:val="00B270F2"/>
    <w:rsid w:val="00B30C42"/>
    <w:rsid w:val="00B31612"/>
    <w:rsid w:val="00B33014"/>
    <w:rsid w:val="00B33C96"/>
    <w:rsid w:val="00B346FB"/>
    <w:rsid w:val="00B40F59"/>
    <w:rsid w:val="00B41557"/>
    <w:rsid w:val="00B423F8"/>
    <w:rsid w:val="00B44461"/>
    <w:rsid w:val="00B478C5"/>
    <w:rsid w:val="00B5117F"/>
    <w:rsid w:val="00B511CD"/>
    <w:rsid w:val="00B51DE1"/>
    <w:rsid w:val="00B51DE2"/>
    <w:rsid w:val="00B52CF1"/>
    <w:rsid w:val="00B54904"/>
    <w:rsid w:val="00B55BCB"/>
    <w:rsid w:val="00B564D8"/>
    <w:rsid w:val="00B57859"/>
    <w:rsid w:val="00B612C2"/>
    <w:rsid w:val="00B65A43"/>
    <w:rsid w:val="00B6651B"/>
    <w:rsid w:val="00B714FF"/>
    <w:rsid w:val="00B71D31"/>
    <w:rsid w:val="00B72568"/>
    <w:rsid w:val="00B726B4"/>
    <w:rsid w:val="00B73044"/>
    <w:rsid w:val="00B740A7"/>
    <w:rsid w:val="00B7735A"/>
    <w:rsid w:val="00B77B9C"/>
    <w:rsid w:val="00B801A5"/>
    <w:rsid w:val="00B813F0"/>
    <w:rsid w:val="00B822AC"/>
    <w:rsid w:val="00B84146"/>
    <w:rsid w:val="00B866FA"/>
    <w:rsid w:val="00B9189D"/>
    <w:rsid w:val="00B91E19"/>
    <w:rsid w:val="00B939AF"/>
    <w:rsid w:val="00B94718"/>
    <w:rsid w:val="00B96923"/>
    <w:rsid w:val="00BA14F1"/>
    <w:rsid w:val="00BA3128"/>
    <w:rsid w:val="00BA3724"/>
    <w:rsid w:val="00BA58D3"/>
    <w:rsid w:val="00BA7D0B"/>
    <w:rsid w:val="00BB33FC"/>
    <w:rsid w:val="00BB50A9"/>
    <w:rsid w:val="00BB79DB"/>
    <w:rsid w:val="00BB7C9F"/>
    <w:rsid w:val="00BC1705"/>
    <w:rsid w:val="00BC199F"/>
    <w:rsid w:val="00BC3411"/>
    <w:rsid w:val="00BC52CB"/>
    <w:rsid w:val="00BD17DE"/>
    <w:rsid w:val="00BD41C6"/>
    <w:rsid w:val="00BE1599"/>
    <w:rsid w:val="00BE2B5A"/>
    <w:rsid w:val="00BE6CDE"/>
    <w:rsid w:val="00BF4AD2"/>
    <w:rsid w:val="00BF74A4"/>
    <w:rsid w:val="00C03754"/>
    <w:rsid w:val="00C10A46"/>
    <w:rsid w:val="00C11A28"/>
    <w:rsid w:val="00C14ABF"/>
    <w:rsid w:val="00C175A6"/>
    <w:rsid w:val="00C20F78"/>
    <w:rsid w:val="00C2431C"/>
    <w:rsid w:val="00C326D9"/>
    <w:rsid w:val="00C331C2"/>
    <w:rsid w:val="00C43AA4"/>
    <w:rsid w:val="00C4596B"/>
    <w:rsid w:val="00C477CA"/>
    <w:rsid w:val="00C51EA4"/>
    <w:rsid w:val="00C53EB7"/>
    <w:rsid w:val="00C553BE"/>
    <w:rsid w:val="00C64088"/>
    <w:rsid w:val="00C70362"/>
    <w:rsid w:val="00C747F1"/>
    <w:rsid w:val="00C75864"/>
    <w:rsid w:val="00C76BD2"/>
    <w:rsid w:val="00C7784D"/>
    <w:rsid w:val="00C801E5"/>
    <w:rsid w:val="00C83139"/>
    <w:rsid w:val="00C85DF7"/>
    <w:rsid w:val="00C8770E"/>
    <w:rsid w:val="00CA015C"/>
    <w:rsid w:val="00CA466E"/>
    <w:rsid w:val="00CA4A02"/>
    <w:rsid w:val="00CB114A"/>
    <w:rsid w:val="00CB57AA"/>
    <w:rsid w:val="00CB6A33"/>
    <w:rsid w:val="00CB7B73"/>
    <w:rsid w:val="00CC14E4"/>
    <w:rsid w:val="00CC451C"/>
    <w:rsid w:val="00CD0061"/>
    <w:rsid w:val="00CD2ABC"/>
    <w:rsid w:val="00CD33E3"/>
    <w:rsid w:val="00CD35BC"/>
    <w:rsid w:val="00CD3633"/>
    <w:rsid w:val="00CD4340"/>
    <w:rsid w:val="00CD4D09"/>
    <w:rsid w:val="00CD52B6"/>
    <w:rsid w:val="00CD5E39"/>
    <w:rsid w:val="00CD7123"/>
    <w:rsid w:val="00CE0F9C"/>
    <w:rsid w:val="00CF194C"/>
    <w:rsid w:val="00CF648E"/>
    <w:rsid w:val="00D01B5C"/>
    <w:rsid w:val="00D03F0F"/>
    <w:rsid w:val="00D0524A"/>
    <w:rsid w:val="00D05609"/>
    <w:rsid w:val="00D056C5"/>
    <w:rsid w:val="00D07536"/>
    <w:rsid w:val="00D07B3B"/>
    <w:rsid w:val="00D149A4"/>
    <w:rsid w:val="00D15273"/>
    <w:rsid w:val="00D22BB3"/>
    <w:rsid w:val="00D23713"/>
    <w:rsid w:val="00D253D2"/>
    <w:rsid w:val="00D261E5"/>
    <w:rsid w:val="00D27BFD"/>
    <w:rsid w:val="00D3132E"/>
    <w:rsid w:val="00D33AE7"/>
    <w:rsid w:val="00D34C48"/>
    <w:rsid w:val="00D41239"/>
    <w:rsid w:val="00D41858"/>
    <w:rsid w:val="00D41C1B"/>
    <w:rsid w:val="00D42D1F"/>
    <w:rsid w:val="00D51A8B"/>
    <w:rsid w:val="00D55570"/>
    <w:rsid w:val="00D57728"/>
    <w:rsid w:val="00D67485"/>
    <w:rsid w:val="00D70594"/>
    <w:rsid w:val="00D70661"/>
    <w:rsid w:val="00D708AD"/>
    <w:rsid w:val="00D7138B"/>
    <w:rsid w:val="00D714C7"/>
    <w:rsid w:val="00D72CF4"/>
    <w:rsid w:val="00D72D53"/>
    <w:rsid w:val="00D72E0D"/>
    <w:rsid w:val="00D73C6C"/>
    <w:rsid w:val="00D774FD"/>
    <w:rsid w:val="00D80984"/>
    <w:rsid w:val="00D85C17"/>
    <w:rsid w:val="00D85E14"/>
    <w:rsid w:val="00D86AE3"/>
    <w:rsid w:val="00D86D96"/>
    <w:rsid w:val="00D92BA4"/>
    <w:rsid w:val="00D9323F"/>
    <w:rsid w:val="00D95FEE"/>
    <w:rsid w:val="00D96EAB"/>
    <w:rsid w:val="00DA007D"/>
    <w:rsid w:val="00DA1090"/>
    <w:rsid w:val="00DA3A3F"/>
    <w:rsid w:val="00DB0FFA"/>
    <w:rsid w:val="00DB4945"/>
    <w:rsid w:val="00DC5EFB"/>
    <w:rsid w:val="00DC73D3"/>
    <w:rsid w:val="00DC7F7B"/>
    <w:rsid w:val="00DD0F77"/>
    <w:rsid w:val="00DD445B"/>
    <w:rsid w:val="00DD4F75"/>
    <w:rsid w:val="00DD7051"/>
    <w:rsid w:val="00DE2545"/>
    <w:rsid w:val="00DE40FC"/>
    <w:rsid w:val="00DE4995"/>
    <w:rsid w:val="00DE73BB"/>
    <w:rsid w:val="00DF0339"/>
    <w:rsid w:val="00DF058D"/>
    <w:rsid w:val="00DF0F64"/>
    <w:rsid w:val="00DF4C53"/>
    <w:rsid w:val="00DF591C"/>
    <w:rsid w:val="00DF5FA8"/>
    <w:rsid w:val="00DF5FDA"/>
    <w:rsid w:val="00E03C7F"/>
    <w:rsid w:val="00E03CFF"/>
    <w:rsid w:val="00E0452D"/>
    <w:rsid w:val="00E063F9"/>
    <w:rsid w:val="00E074D2"/>
    <w:rsid w:val="00E13774"/>
    <w:rsid w:val="00E162F1"/>
    <w:rsid w:val="00E1686D"/>
    <w:rsid w:val="00E207E4"/>
    <w:rsid w:val="00E2151C"/>
    <w:rsid w:val="00E22476"/>
    <w:rsid w:val="00E31870"/>
    <w:rsid w:val="00E33A6A"/>
    <w:rsid w:val="00E3481B"/>
    <w:rsid w:val="00E34C99"/>
    <w:rsid w:val="00E40BD5"/>
    <w:rsid w:val="00E41D5D"/>
    <w:rsid w:val="00E44C8D"/>
    <w:rsid w:val="00E50254"/>
    <w:rsid w:val="00E53604"/>
    <w:rsid w:val="00E56F1B"/>
    <w:rsid w:val="00E5743B"/>
    <w:rsid w:val="00E61845"/>
    <w:rsid w:val="00E6202E"/>
    <w:rsid w:val="00E62197"/>
    <w:rsid w:val="00E64754"/>
    <w:rsid w:val="00E665F9"/>
    <w:rsid w:val="00E66871"/>
    <w:rsid w:val="00E66F1A"/>
    <w:rsid w:val="00E703AE"/>
    <w:rsid w:val="00E719EE"/>
    <w:rsid w:val="00E72C3B"/>
    <w:rsid w:val="00E74186"/>
    <w:rsid w:val="00E7748E"/>
    <w:rsid w:val="00E81172"/>
    <w:rsid w:val="00E84EEF"/>
    <w:rsid w:val="00E90358"/>
    <w:rsid w:val="00E96A51"/>
    <w:rsid w:val="00EA1595"/>
    <w:rsid w:val="00EA2BD5"/>
    <w:rsid w:val="00EA70C0"/>
    <w:rsid w:val="00EB093D"/>
    <w:rsid w:val="00EB50F4"/>
    <w:rsid w:val="00EC16E6"/>
    <w:rsid w:val="00EC35E7"/>
    <w:rsid w:val="00EC43CB"/>
    <w:rsid w:val="00EC4584"/>
    <w:rsid w:val="00ED0232"/>
    <w:rsid w:val="00ED109D"/>
    <w:rsid w:val="00ED5CFE"/>
    <w:rsid w:val="00EE00B4"/>
    <w:rsid w:val="00EE3D43"/>
    <w:rsid w:val="00EE4281"/>
    <w:rsid w:val="00EF0BC0"/>
    <w:rsid w:val="00EF6EE6"/>
    <w:rsid w:val="00EF780C"/>
    <w:rsid w:val="00F008C2"/>
    <w:rsid w:val="00F04B56"/>
    <w:rsid w:val="00F05855"/>
    <w:rsid w:val="00F05F4F"/>
    <w:rsid w:val="00F060A6"/>
    <w:rsid w:val="00F06D2F"/>
    <w:rsid w:val="00F1295C"/>
    <w:rsid w:val="00F147F5"/>
    <w:rsid w:val="00F15288"/>
    <w:rsid w:val="00F15D2B"/>
    <w:rsid w:val="00F20EB4"/>
    <w:rsid w:val="00F23713"/>
    <w:rsid w:val="00F244D3"/>
    <w:rsid w:val="00F250AE"/>
    <w:rsid w:val="00F254F3"/>
    <w:rsid w:val="00F25BC7"/>
    <w:rsid w:val="00F26FCA"/>
    <w:rsid w:val="00F33ED8"/>
    <w:rsid w:val="00F341C2"/>
    <w:rsid w:val="00F370F3"/>
    <w:rsid w:val="00F42A80"/>
    <w:rsid w:val="00F4316C"/>
    <w:rsid w:val="00F5136F"/>
    <w:rsid w:val="00F5138A"/>
    <w:rsid w:val="00F525D2"/>
    <w:rsid w:val="00F52949"/>
    <w:rsid w:val="00F54F3C"/>
    <w:rsid w:val="00F555EF"/>
    <w:rsid w:val="00F57812"/>
    <w:rsid w:val="00F6038D"/>
    <w:rsid w:val="00F70E33"/>
    <w:rsid w:val="00F73E26"/>
    <w:rsid w:val="00F77BE3"/>
    <w:rsid w:val="00F80B63"/>
    <w:rsid w:val="00F8140A"/>
    <w:rsid w:val="00F83964"/>
    <w:rsid w:val="00F83A91"/>
    <w:rsid w:val="00F83FAF"/>
    <w:rsid w:val="00F87270"/>
    <w:rsid w:val="00F91D04"/>
    <w:rsid w:val="00F92FC5"/>
    <w:rsid w:val="00F95504"/>
    <w:rsid w:val="00F97682"/>
    <w:rsid w:val="00FA20DF"/>
    <w:rsid w:val="00FA2405"/>
    <w:rsid w:val="00FA493E"/>
    <w:rsid w:val="00FA6319"/>
    <w:rsid w:val="00FA793D"/>
    <w:rsid w:val="00FB3D46"/>
    <w:rsid w:val="00FB3F2B"/>
    <w:rsid w:val="00FB6351"/>
    <w:rsid w:val="00FB78B7"/>
    <w:rsid w:val="00FC0793"/>
    <w:rsid w:val="00FC187B"/>
    <w:rsid w:val="00FC48DE"/>
    <w:rsid w:val="00FC53B1"/>
    <w:rsid w:val="00FC6F0B"/>
    <w:rsid w:val="00FD0974"/>
    <w:rsid w:val="00FD0A32"/>
    <w:rsid w:val="00FD7D4E"/>
    <w:rsid w:val="00FE0ABA"/>
    <w:rsid w:val="00FE4A3A"/>
    <w:rsid w:val="00FE7113"/>
    <w:rsid w:val="00FE7B35"/>
    <w:rsid w:val="00FF13EE"/>
    <w:rsid w:val="00FF30D5"/>
    <w:rsid w:val="00FF3382"/>
    <w:rsid w:val="00FF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uiPriority w:val="39"/>
    <w:rsid w:val="007C7909"/>
    <w:pPr>
      <w:widowControl w:val="0"/>
      <w:spacing w:line="276" w:lineRule="auto"/>
      <w:ind w:left="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link w:val="ListParagraphChar"/>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paragraph" w:customStyle="1" w:styleId="TableParagraph">
    <w:name w:val="Table Paragraph"/>
    <w:basedOn w:val="Normal"/>
    <w:uiPriority w:val="1"/>
    <w:qFormat/>
    <w:rsid w:val="00BB7C9F"/>
    <w:pPr>
      <w:widowControl w:val="0"/>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091A5C"/>
    <w:rPr>
      <w:sz w:val="24"/>
      <w:szCs w:val="24"/>
    </w:rPr>
  </w:style>
  <w:style w:type="paragraph" w:styleId="TOCHeading">
    <w:name w:val="TOC Heading"/>
    <w:basedOn w:val="Heading1"/>
    <w:next w:val="Normal"/>
    <w:uiPriority w:val="39"/>
    <w:semiHidden/>
    <w:unhideWhenUsed/>
    <w:qFormat/>
    <w:rsid w:val="00F341C2"/>
    <w:pPr>
      <w:keepNext/>
      <w:keepLines/>
      <w:spacing w:before="480" w:after="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uiPriority w:val="39"/>
    <w:rsid w:val="007C7909"/>
    <w:pPr>
      <w:widowControl w:val="0"/>
      <w:spacing w:line="276" w:lineRule="auto"/>
      <w:ind w:left="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link w:val="ListParagraphChar"/>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paragraph" w:customStyle="1" w:styleId="TableParagraph">
    <w:name w:val="Table Paragraph"/>
    <w:basedOn w:val="Normal"/>
    <w:uiPriority w:val="1"/>
    <w:qFormat/>
    <w:rsid w:val="00BB7C9F"/>
    <w:pPr>
      <w:widowControl w:val="0"/>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091A5C"/>
    <w:rPr>
      <w:sz w:val="24"/>
      <w:szCs w:val="24"/>
    </w:rPr>
  </w:style>
  <w:style w:type="paragraph" w:styleId="TOCHeading">
    <w:name w:val="TOC Heading"/>
    <w:basedOn w:val="Heading1"/>
    <w:next w:val="Normal"/>
    <w:uiPriority w:val="39"/>
    <w:semiHidden/>
    <w:unhideWhenUsed/>
    <w:qFormat/>
    <w:rsid w:val="00F341C2"/>
    <w:pPr>
      <w:keepNext/>
      <w:keepLines/>
      <w:spacing w:before="480" w:after="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68431296">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732847929">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0773562">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057390254">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534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ccd/corner.as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46CD-82A0-41B0-98DA-2997E252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5507</Words>
  <Characters>31394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SYSTEM</cp:lastModifiedBy>
  <cp:revision>2</cp:revision>
  <cp:lastPrinted>2015-06-17T16:25:00Z</cp:lastPrinted>
  <dcterms:created xsi:type="dcterms:W3CDTF">2018-08-16T18:54:00Z</dcterms:created>
  <dcterms:modified xsi:type="dcterms:W3CDTF">2018-08-16T18:54:00Z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1470359031</vt:i4>
  </property>
  <property fmtid="{D5CDD505-2E9C-101B-9397-08002B2CF9AE}" pid="4" name="_EmailSubject">
    <vt:lpwstr>CCD SLFS 2018-2020 (1850-0930 v.2)</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PreviousAdHocReviewCycleID">
    <vt:i4>1470359031</vt:i4>
  </property>
  <property fmtid="{D5CDD505-2E9C-101B-9397-08002B2CF9AE}" pid="8" name="_ReviewingToolsShownOnce">
    <vt:lpwstr/>
  </property>
</Properties>
</file>