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276AA8FC" w:rsidR="00C80603" w:rsidRPr="008057A0" w:rsidRDefault="00E31C03">
      <w:pPr>
        <w:pStyle w:val="C1-CtrBoldHd"/>
        <w:spacing w:after="0"/>
        <w:rPr>
          <w:caps w:val="0"/>
          <w:sz w:val="48"/>
        </w:rPr>
      </w:pPr>
      <w:r>
        <w:rPr>
          <w:caps w:val="0"/>
          <w:sz w:val="48"/>
          <w:szCs w:val="48"/>
        </w:rPr>
        <w:t>Main Study</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9241C33" w:rsidR="005611C5" w:rsidRDefault="005611C5">
      <w:pPr>
        <w:pStyle w:val="C1-CtrBoldHd"/>
        <w:spacing w:after="0"/>
        <w:rPr>
          <w:sz w:val="28"/>
        </w:rPr>
      </w:pPr>
    </w:p>
    <w:p w14:paraId="5E0F8690" w14:textId="7BB24CD8" w:rsidR="005611C5" w:rsidRPr="00124802" w:rsidRDefault="005611C5">
      <w:pPr>
        <w:pStyle w:val="C1-CtrBoldHd"/>
        <w:spacing w:after="0"/>
        <w:rPr>
          <w:sz w:val="36"/>
          <w:szCs w:val="36"/>
        </w:rPr>
      </w:pPr>
      <w:r w:rsidRPr="0099342A">
        <w:rPr>
          <w:sz w:val="36"/>
          <w:szCs w:val="36"/>
        </w:rPr>
        <w:t>OMB# 1850-</w:t>
      </w:r>
      <w:r w:rsidR="005F4F9F" w:rsidRPr="0099342A">
        <w:rPr>
          <w:caps w:val="0"/>
          <w:sz w:val="36"/>
          <w:szCs w:val="36"/>
        </w:rPr>
        <w:t xml:space="preserve">0936 </w:t>
      </w:r>
      <w:r w:rsidR="00174298" w:rsidRPr="0099342A">
        <w:rPr>
          <w:caps w:val="0"/>
          <w:sz w:val="36"/>
          <w:szCs w:val="36"/>
        </w:rPr>
        <w:t>v.</w:t>
      </w:r>
      <w:r w:rsidR="00BC2871">
        <w:rPr>
          <w:sz w:val="36"/>
          <w:szCs w:val="36"/>
        </w:rPr>
        <w:t>6</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580FB3A0" w:rsidR="005611C5" w:rsidRPr="00387E87" w:rsidRDefault="005611C5">
      <w:pPr>
        <w:pStyle w:val="C1-CtrBoldHd"/>
        <w:spacing w:after="0"/>
        <w:rPr>
          <w:caps w:val="0"/>
        </w:rPr>
      </w:pP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73FADBEE" w14:textId="77777777" w:rsidR="007D4D00" w:rsidRDefault="007D4D00">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0327E8D7" w14:textId="0F145F1C" w:rsidR="003A3101" w:rsidRDefault="00435B2F">
      <w:pPr>
        <w:pStyle w:val="C1-CtrBoldHd"/>
        <w:spacing w:after="0"/>
        <w:rPr>
          <w:caps w:val="0"/>
        </w:rPr>
      </w:pPr>
      <w:r>
        <w:rPr>
          <w:caps w:val="0"/>
        </w:rPr>
        <w:t>June</w:t>
      </w:r>
      <w:r w:rsidR="0031669E">
        <w:rPr>
          <w:caps w:val="0"/>
        </w:rPr>
        <w:t xml:space="preserve"> </w:t>
      </w:r>
      <w:r w:rsidR="006F28FF">
        <w:rPr>
          <w:caps w:val="0"/>
        </w:rPr>
        <w:t>2018</w:t>
      </w:r>
    </w:p>
    <w:p w14:paraId="1B916A73" w14:textId="487E2937" w:rsidR="00435B2F" w:rsidRDefault="00435B2F">
      <w:pPr>
        <w:pStyle w:val="C1-CtrBoldHd"/>
        <w:spacing w:after="0"/>
        <w:rPr>
          <w:caps w:val="0"/>
        </w:rPr>
      </w:pPr>
      <w:r>
        <w:rPr>
          <w:caps w:val="0"/>
        </w:rPr>
        <w:t>revised August 2018</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17B8AD97" w14:textId="6EB74EEC" w:rsidR="004F445F" w:rsidRDefault="003D70B7">
      <w:pPr>
        <w:pStyle w:val="TOC1"/>
        <w:rPr>
          <w:rFonts w:asciiTheme="minorHAnsi" w:eastAsiaTheme="minorEastAsia" w:hAnsiTheme="minorHAnsi" w:cstheme="minorBidi"/>
          <w:b w:val="0"/>
          <w:noProof/>
          <w:sz w:val="22"/>
          <w:szCs w:val="22"/>
        </w:rPr>
      </w:pPr>
      <w:r w:rsidRPr="002B5DE2">
        <w:rPr>
          <w:b w:val="0"/>
          <w:szCs w:val="24"/>
        </w:rPr>
        <w:fldChar w:fldCharType="begin"/>
      </w:r>
      <w:r w:rsidR="005611C5" w:rsidRPr="002B5DE2">
        <w:rPr>
          <w:b w:val="0"/>
          <w:szCs w:val="24"/>
        </w:rPr>
        <w:instrText xml:space="preserve"> TOC \h \z \t "Heading 1,2,Heading 2,3,Heading 3,4,Heading 0,1" </w:instrText>
      </w:r>
      <w:r w:rsidRPr="002B5DE2">
        <w:rPr>
          <w:b w:val="0"/>
          <w:szCs w:val="24"/>
        </w:rPr>
        <w:fldChar w:fldCharType="separate"/>
      </w:r>
      <w:hyperlink w:anchor="_Toc511986611" w:history="1">
        <w:r w:rsidR="004F445F" w:rsidRPr="004E1543">
          <w:rPr>
            <w:rStyle w:val="Hyperlink"/>
            <w:noProof/>
          </w:rPr>
          <w:t>PREFACE</w:t>
        </w:r>
        <w:r w:rsidR="004F445F">
          <w:rPr>
            <w:noProof/>
            <w:webHidden/>
          </w:rPr>
          <w:tab/>
        </w:r>
        <w:r w:rsidR="004F445F">
          <w:rPr>
            <w:noProof/>
            <w:webHidden/>
          </w:rPr>
          <w:fldChar w:fldCharType="begin"/>
        </w:r>
        <w:r w:rsidR="004F445F">
          <w:rPr>
            <w:noProof/>
            <w:webHidden/>
          </w:rPr>
          <w:instrText xml:space="preserve"> PAGEREF _Toc511986611 \h </w:instrText>
        </w:r>
        <w:r w:rsidR="004F445F">
          <w:rPr>
            <w:noProof/>
            <w:webHidden/>
          </w:rPr>
        </w:r>
        <w:r w:rsidR="004F445F">
          <w:rPr>
            <w:noProof/>
            <w:webHidden/>
          </w:rPr>
          <w:fldChar w:fldCharType="separate"/>
        </w:r>
        <w:r w:rsidR="00D34F75">
          <w:rPr>
            <w:noProof/>
            <w:webHidden/>
          </w:rPr>
          <w:t>2</w:t>
        </w:r>
        <w:r w:rsidR="004F445F">
          <w:rPr>
            <w:noProof/>
            <w:webHidden/>
          </w:rPr>
          <w:fldChar w:fldCharType="end"/>
        </w:r>
      </w:hyperlink>
    </w:p>
    <w:p w14:paraId="22E83172" w14:textId="1BAE7E0D" w:rsidR="004F445F" w:rsidRDefault="00BE434E">
      <w:pPr>
        <w:pStyle w:val="TOC1"/>
        <w:rPr>
          <w:rFonts w:asciiTheme="minorHAnsi" w:eastAsiaTheme="minorEastAsia" w:hAnsiTheme="minorHAnsi" w:cstheme="minorBidi"/>
          <w:b w:val="0"/>
          <w:noProof/>
          <w:sz w:val="22"/>
          <w:szCs w:val="22"/>
        </w:rPr>
      </w:pPr>
      <w:hyperlink w:anchor="_Toc511986612" w:history="1">
        <w:r w:rsidR="004F445F" w:rsidRPr="004E1543">
          <w:rPr>
            <w:rStyle w:val="Hyperlink"/>
            <w:noProof/>
          </w:rPr>
          <w:t>A. JUSTIFICATION</w:t>
        </w:r>
        <w:r w:rsidR="004F445F">
          <w:rPr>
            <w:noProof/>
            <w:webHidden/>
          </w:rPr>
          <w:tab/>
        </w:r>
        <w:r w:rsidR="004F445F">
          <w:rPr>
            <w:noProof/>
            <w:webHidden/>
          </w:rPr>
          <w:fldChar w:fldCharType="begin"/>
        </w:r>
        <w:r w:rsidR="004F445F">
          <w:rPr>
            <w:noProof/>
            <w:webHidden/>
          </w:rPr>
          <w:instrText xml:space="preserve"> PAGEREF _Toc511986612 \h </w:instrText>
        </w:r>
        <w:r w:rsidR="004F445F">
          <w:rPr>
            <w:noProof/>
            <w:webHidden/>
          </w:rPr>
        </w:r>
        <w:r w:rsidR="004F445F">
          <w:rPr>
            <w:noProof/>
            <w:webHidden/>
          </w:rPr>
          <w:fldChar w:fldCharType="separate"/>
        </w:r>
        <w:r w:rsidR="00D34F75">
          <w:rPr>
            <w:noProof/>
            <w:webHidden/>
          </w:rPr>
          <w:t>3</w:t>
        </w:r>
        <w:r w:rsidR="004F445F">
          <w:rPr>
            <w:noProof/>
            <w:webHidden/>
          </w:rPr>
          <w:fldChar w:fldCharType="end"/>
        </w:r>
      </w:hyperlink>
    </w:p>
    <w:p w14:paraId="40BDA477" w14:textId="5E72A7B5" w:rsidR="004F445F" w:rsidRDefault="00BE434E">
      <w:pPr>
        <w:pStyle w:val="TOC2"/>
        <w:rPr>
          <w:rFonts w:asciiTheme="minorHAnsi" w:eastAsiaTheme="minorEastAsia" w:hAnsiTheme="minorHAnsi" w:cstheme="minorBidi"/>
          <w:sz w:val="22"/>
          <w:szCs w:val="22"/>
        </w:rPr>
      </w:pPr>
      <w:hyperlink w:anchor="_Toc511986613" w:history="1">
        <w:r w:rsidR="004F445F" w:rsidRPr="004E1543">
          <w:rPr>
            <w:rStyle w:val="Hyperlink"/>
          </w:rPr>
          <w:t>A.1</w:t>
        </w:r>
        <w:r w:rsidR="004F445F">
          <w:rPr>
            <w:rFonts w:asciiTheme="minorHAnsi" w:eastAsiaTheme="minorEastAsia" w:hAnsiTheme="minorHAnsi" w:cstheme="minorBidi"/>
            <w:sz w:val="22"/>
            <w:szCs w:val="22"/>
          </w:rPr>
          <w:tab/>
        </w:r>
        <w:r w:rsidR="004F445F" w:rsidRPr="004E1543">
          <w:rPr>
            <w:rStyle w:val="Hyperlink"/>
          </w:rPr>
          <w:t>Importance of Information</w:t>
        </w:r>
        <w:r w:rsidR="004F445F">
          <w:rPr>
            <w:webHidden/>
          </w:rPr>
          <w:tab/>
        </w:r>
        <w:r w:rsidR="004F445F">
          <w:rPr>
            <w:webHidden/>
          </w:rPr>
          <w:fldChar w:fldCharType="begin"/>
        </w:r>
        <w:r w:rsidR="004F445F">
          <w:rPr>
            <w:webHidden/>
          </w:rPr>
          <w:instrText xml:space="preserve"> PAGEREF _Toc511986613 \h </w:instrText>
        </w:r>
        <w:r w:rsidR="004F445F">
          <w:rPr>
            <w:webHidden/>
          </w:rPr>
        </w:r>
        <w:r w:rsidR="004F445F">
          <w:rPr>
            <w:webHidden/>
          </w:rPr>
          <w:fldChar w:fldCharType="separate"/>
        </w:r>
        <w:r w:rsidR="00D34F75">
          <w:rPr>
            <w:webHidden/>
          </w:rPr>
          <w:t>3</w:t>
        </w:r>
        <w:r w:rsidR="004F445F">
          <w:rPr>
            <w:webHidden/>
          </w:rPr>
          <w:fldChar w:fldCharType="end"/>
        </w:r>
      </w:hyperlink>
    </w:p>
    <w:p w14:paraId="465B3459" w14:textId="0821ECEA" w:rsidR="004F445F" w:rsidRDefault="00BE434E">
      <w:pPr>
        <w:pStyle w:val="TOC2"/>
        <w:rPr>
          <w:rFonts w:asciiTheme="minorHAnsi" w:eastAsiaTheme="minorEastAsia" w:hAnsiTheme="minorHAnsi" w:cstheme="minorBidi"/>
          <w:sz w:val="22"/>
          <w:szCs w:val="22"/>
        </w:rPr>
      </w:pPr>
      <w:hyperlink w:anchor="_Toc511986614" w:history="1">
        <w:r w:rsidR="004F445F" w:rsidRPr="004E1543">
          <w:rPr>
            <w:rStyle w:val="Hyperlink"/>
          </w:rPr>
          <w:t>A.2</w:t>
        </w:r>
        <w:r w:rsidR="004F445F">
          <w:rPr>
            <w:rFonts w:asciiTheme="minorHAnsi" w:eastAsiaTheme="minorEastAsia" w:hAnsiTheme="minorHAnsi" w:cstheme="minorBidi"/>
            <w:sz w:val="22"/>
            <w:szCs w:val="22"/>
          </w:rPr>
          <w:tab/>
        </w:r>
        <w:r w:rsidR="004F445F" w:rsidRPr="004E1543">
          <w:rPr>
            <w:rStyle w:val="Hyperlink"/>
          </w:rPr>
          <w:t>Purposes and Uses of Data</w:t>
        </w:r>
        <w:r w:rsidR="004F445F">
          <w:rPr>
            <w:webHidden/>
          </w:rPr>
          <w:tab/>
        </w:r>
        <w:r w:rsidR="004F445F">
          <w:rPr>
            <w:webHidden/>
          </w:rPr>
          <w:fldChar w:fldCharType="begin"/>
        </w:r>
        <w:r w:rsidR="004F445F">
          <w:rPr>
            <w:webHidden/>
          </w:rPr>
          <w:instrText xml:space="preserve"> PAGEREF _Toc511986614 \h </w:instrText>
        </w:r>
        <w:r w:rsidR="004F445F">
          <w:rPr>
            <w:webHidden/>
          </w:rPr>
        </w:r>
        <w:r w:rsidR="004F445F">
          <w:rPr>
            <w:webHidden/>
          </w:rPr>
          <w:fldChar w:fldCharType="separate"/>
        </w:r>
        <w:r w:rsidR="00D34F75">
          <w:rPr>
            <w:webHidden/>
          </w:rPr>
          <w:t>3</w:t>
        </w:r>
        <w:r w:rsidR="004F445F">
          <w:rPr>
            <w:webHidden/>
          </w:rPr>
          <w:fldChar w:fldCharType="end"/>
        </w:r>
      </w:hyperlink>
    </w:p>
    <w:p w14:paraId="33F404A9" w14:textId="588C5181" w:rsidR="004F445F" w:rsidRDefault="00BE434E">
      <w:pPr>
        <w:pStyle w:val="TOC2"/>
        <w:rPr>
          <w:rFonts w:asciiTheme="minorHAnsi" w:eastAsiaTheme="minorEastAsia" w:hAnsiTheme="minorHAnsi" w:cstheme="minorBidi"/>
          <w:sz w:val="22"/>
          <w:szCs w:val="22"/>
        </w:rPr>
      </w:pPr>
      <w:hyperlink w:anchor="_Toc511986615" w:history="1">
        <w:r w:rsidR="004F445F" w:rsidRPr="004E1543">
          <w:rPr>
            <w:rStyle w:val="Hyperlink"/>
          </w:rPr>
          <w:t>A.3</w:t>
        </w:r>
        <w:r w:rsidR="004F445F">
          <w:rPr>
            <w:rFonts w:asciiTheme="minorHAnsi" w:eastAsiaTheme="minorEastAsia" w:hAnsiTheme="minorHAnsi" w:cstheme="minorBidi"/>
            <w:sz w:val="22"/>
            <w:szCs w:val="22"/>
          </w:rPr>
          <w:tab/>
        </w:r>
        <w:r w:rsidR="004F445F" w:rsidRPr="004E1543">
          <w:rPr>
            <w:rStyle w:val="Hyperlink"/>
          </w:rPr>
          <w:t>Improved Information Technology (Reduction of Burden)</w:t>
        </w:r>
        <w:r w:rsidR="004F445F">
          <w:rPr>
            <w:webHidden/>
          </w:rPr>
          <w:tab/>
        </w:r>
        <w:r w:rsidR="004F445F">
          <w:rPr>
            <w:webHidden/>
          </w:rPr>
          <w:fldChar w:fldCharType="begin"/>
        </w:r>
        <w:r w:rsidR="004F445F">
          <w:rPr>
            <w:webHidden/>
          </w:rPr>
          <w:instrText xml:space="preserve"> PAGEREF _Toc511986615 \h </w:instrText>
        </w:r>
        <w:r w:rsidR="004F445F">
          <w:rPr>
            <w:webHidden/>
          </w:rPr>
        </w:r>
        <w:r w:rsidR="004F445F">
          <w:rPr>
            <w:webHidden/>
          </w:rPr>
          <w:fldChar w:fldCharType="separate"/>
        </w:r>
        <w:r w:rsidR="00D34F75">
          <w:rPr>
            <w:webHidden/>
          </w:rPr>
          <w:t>4</w:t>
        </w:r>
        <w:r w:rsidR="004F445F">
          <w:rPr>
            <w:webHidden/>
          </w:rPr>
          <w:fldChar w:fldCharType="end"/>
        </w:r>
      </w:hyperlink>
    </w:p>
    <w:p w14:paraId="3363A86E" w14:textId="74DF2728" w:rsidR="004F445F" w:rsidRDefault="00BE434E">
      <w:pPr>
        <w:pStyle w:val="TOC2"/>
        <w:rPr>
          <w:rFonts w:asciiTheme="minorHAnsi" w:eastAsiaTheme="minorEastAsia" w:hAnsiTheme="minorHAnsi" w:cstheme="minorBidi"/>
          <w:sz w:val="22"/>
          <w:szCs w:val="22"/>
        </w:rPr>
      </w:pPr>
      <w:hyperlink w:anchor="_Toc511986616" w:history="1">
        <w:r w:rsidR="004F445F" w:rsidRPr="004E1543">
          <w:rPr>
            <w:rStyle w:val="Hyperlink"/>
          </w:rPr>
          <w:t>A.4</w:t>
        </w:r>
        <w:r w:rsidR="004F445F">
          <w:rPr>
            <w:rFonts w:asciiTheme="minorHAnsi" w:eastAsiaTheme="minorEastAsia" w:hAnsiTheme="minorHAnsi" w:cstheme="minorBidi"/>
            <w:sz w:val="22"/>
            <w:szCs w:val="22"/>
          </w:rPr>
          <w:tab/>
        </w:r>
        <w:r w:rsidR="004F445F" w:rsidRPr="004E1543">
          <w:rPr>
            <w:rStyle w:val="Hyperlink"/>
          </w:rPr>
          <w:t>Efforts to Identify Duplication</w:t>
        </w:r>
        <w:r w:rsidR="004F445F">
          <w:rPr>
            <w:webHidden/>
          </w:rPr>
          <w:tab/>
        </w:r>
        <w:r w:rsidR="004F445F">
          <w:rPr>
            <w:webHidden/>
          </w:rPr>
          <w:fldChar w:fldCharType="begin"/>
        </w:r>
        <w:r w:rsidR="004F445F">
          <w:rPr>
            <w:webHidden/>
          </w:rPr>
          <w:instrText xml:space="preserve"> PAGEREF _Toc511986616 \h </w:instrText>
        </w:r>
        <w:r w:rsidR="004F445F">
          <w:rPr>
            <w:webHidden/>
          </w:rPr>
        </w:r>
        <w:r w:rsidR="004F445F">
          <w:rPr>
            <w:webHidden/>
          </w:rPr>
          <w:fldChar w:fldCharType="separate"/>
        </w:r>
        <w:r w:rsidR="00D34F75">
          <w:rPr>
            <w:webHidden/>
          </w:rPr>
          <w:t>5</w:t>
        </w:r>
        <w:r w:rsidR="004F445F">
          <w:rPr>
            <w:webHidden/>
          </w:rPr>
          <w:fldChar w:fldCharType="end"/>
        </w:r>
      </w:hyperlink>
    </w:p>
    <w:p w14:paraId="1141400E" w14:textId="476209CF" w:rsidR="004F445F" w:rsidRDefault="00BE434E">
      <w:pPr>
        <w:pStyle w:val="TOC2"/>
        <w:rPr>
          <w:rFonts w:asciiTheme="minorHAnsi" w:eastAsiaTheme="minorEastAsia" w:hAnsiTheme="minorHAnsi" w:cstheme="minorBidi"/>
          <w:sz w:val="22"/>
          <w:szCs w:val="22"/>
        </w:rPr>
      </w:pPr>
      <w:hyperlink w:anchor="_Toc511986617" w:history="1">
        <w:r w:rsidR="004F445F" w:rsidRPr="004E1543">
          <w:rPr>
            <w:rStyle w:val="Hyperlink"/>
          </w:rPr>
          <w:t>A.5</w:t>
        </w:r>
        <w:r w:rsidR="004F445F">
          <w:rPr>
            <w:rFonts w:asciiTheme="minorHAnsi" w:eastAsiaTheme="minorEastAsia" w:hAnsiTheme="minorHAnsi" w:cstheme="minorBidi"/>
            <w:sz w:val="22"/>
            <w:szCs w:val="22"/>
          </w:rPr>
          <w:tab/>
        </w:r>
        <w:r w:rsidR="004F445F" w:rsidRPr="004E1543">
          <w:rPr>
            <w:rStyle w:val="Hyperlink"/>
          </w:rPr>
          <w:t>Minimizing Burden for Small Entities</w:t>
        </w:r>
        <w:r w:rsidR="004F445F">
          <w:rPr>
            <w:webHidden/>
          </w:rPr>
          <w:tab/>
        </w:r>
        <w:r w:rsidR="004F445F">
          <w:rPr>
            <w:webHidden/>
          </w:rPr>
          <w:fldChar w:fldCharType="begin"/>
        </w:r>
        <w:r w:rsidR="004F445F">
          <w:rPr>
            <w:webHidden/>
          </w:rPr>
          <w:instrText xml:space="preserve"> PAGEREF _Toc511986617 \h </w:instrText>
        </w:r>
        <w:r w:rsidR="004F445F">
          <w:rPr>
            <w:webHidden/>
          </w:rPr>
        </w:r>
        <w:r w:rsidR="004F445F">
          <w:rPr>
            <w:webHidden/>
          </w:rPr>
          <w:fldChar w:fldCharType="separate"/>
        </w:r>
        <w:r w:rsidR="00D34F75">
          <w:rPr>
            <w:webHidden/>
          </w:rPr>
          <w:t>5</w:t>
        </w:r>
        <w:r w:rsidR="004F445F">
          <w:rPr>
            <w:webHidden/>
          </w:rPr>
          <w:fldChar w:fldCharType="end"/>
        </w:r>
      </w:hyperlink>
    </w:p>
    <w:p w14:paraId="0F43267D" w14:textId="40585F27" w:rsidR="004F445F" w:rsidRDefault="00BE434E">
      <w:pPr>
        <w:pStyle w:val="TOC2"/>
        <w:rPr>
          <w:rFonts w:asciiTheme="minorHAnsi" w:eastAsiaTheme="minorEastAsia" w:hAnsiTheme="minorHAnsi" w:cstheme="minorBidi"/>
          <w:sz w:val="22"/>
          <w:szCs w:val="22"/>
        </w:rPr>
      </w:pPr>
      <w:hyperlink w:anchor="_Toc511986618" w:history="1">
        <w:r w:rsidR="004F445F" w:rsidRPr="004E1543">
          <w:rPr>
            <w:rStyle w:val="Hyperlink"/>
          </w:rPr>
          <w:t>A.6</w:t>
        </w:r>
        <w:r w:rsidR="004F445F">
          <w:rPr>
            <w:rFonts w:asciiTheme="minorHAnsi" w:eastAsiaTheme="minorEastAsia" w:hAnsiTheme="minorHAnsi" w:cstheme="minorBidi"/>
            <w:sz w:val="22"/>
            <w:szCs w:val="22"/>
          </w:rPr>
          <w:tab/>
        </w:r>
        <w:r w:rsidR="004F445F" w:rsidRPr="004E1543">
          <w:rPr>
            <w:rStyle w:val="Hyperlink"/>
          </w:rPr>
          <w:t>Frequency of Data Collection</w:t>
        </w:r>
        <w:r w:rsidR="004F445F">
          <w:rPr>
            <w:webHidden/>
          </w:rPr>
          <w:tab/>
        </w:r>
        <w:r w:rsidR="004F445F">
          <w:rPr>
            <w:webHidden/>
          </w:rPr>
          <w:fldChar w:fldCharType="begin"/>
        </w:r>
        <w:r w:rsidR="004F445F">
          <w:rPr>
            <w:webHidden/>
          </w:rPr>
          <w:instrText xml:space="preserve"> PAGEREF _Toc511986618 \h </w:instrText>
        </w:r>
        <w:r w:rsidR="004F445F">
          <w:rPr>
            <w:webHidden/>
          </w:rPr>
        </w:r>
        <w:r w:rsidR="004F445F">
          <w:rPr>
            <w:webHidden/>
          </w:rPr>
          <w:fldChar w:fldCharType="separate"/>
        </w:r>
        <w:r w:rsidR="00D34F75">
          <w:rPr>
            <w:webHidden/>
          </w:rPr>
          <w:t>5</w:t>
        </w:r>
        <w:r w:rsidR="004F445F">
          <w:rPr>
            <w:webHidden/>
          </w:rPr>
          <w:fldChar w:fldCharType="end"/>
        </w:r>
      </w:hyperlink>
    </w:p>
    <w:p w14:paraId="1E28553D" w14:textId="0A7086BE" w:rsidR="004F445F" w:rsidRDefault="00BE434E">
      <w:pPr>
        <w:pStyle w:val="TOC2"/>
        <w:rPr>
          <w:rFonts w:asciiTheme="minorHAnsi" w:eastAsiaTheme="minorEastAsia" w:hAnsiTheme="minorHAnsi" w:cstheme="minorBidi"/>
          <w:sz w:val="22"/>
          <w:szCs w:val="22"/>
        </w:rPr>
      </w:pPr>
      <w:hyperlink w:anchor="_Toc511986619" w:history="1">
        <w:r w:rsidR="004F445F" w:rsidRPr="004E1543">
          <w:rPr>
            <w:rStyle w:val="Hyperlink"/>
          </w:rPr>
          <w:t>A.7</w:t>
        </w:r>
        <w:r w:rsidR="004F445F">
          <w:rPr>
            <w:rFonts w:asciiTheme="minorHAnsi" w:eastAsiaTheme="minorEastAsia" w:hAnsiTheme="minorHAnsi" w:cstheme="minorBidi"/>
            <w:sz w:val="22"/>
            <w:szCs w:val="22"/>
          </w:rPr>
          <w:tab/>
        </w:r>
        <w:r w:rsidR="004F445F" w:rsidRPr="004E1543">
          <w:rPr>
            <w:rStyle w:val="Hyperlink"/>
          </w:rPr>
          <w:t>Special Circumstances</w:t>
        </w:r>
        <w:r w:rsidR="004F445F">
          <w:rPr>
            <w:webHidden/>
          </w:rPr>
          <w:tab/>
        </w:r>
        <w:r w:rsidR="004F445F">
          <w:rPr>
            <w:webHidden/>
          </w:rPr>
          <w:fldChar w:fldCharType="begin"/>
        </w:r>
        <w:r w:rsidR="004F445F">
          <w:rPr>
            <w:webHidden/>
          </w:rPr>
          <w:instrText xml:space="preserve"> PAGEREF _Toc511986619 \h </w:instrText>
        </w:r>
        <w:r w:rsidR="004F445F">
          <w:rPr>
            <w:webHidden/>
          </w:rPr>
        </w:r>
        <w:r w:rsidR="004F445F">
          <w:rPr>
            <w:webHidden/>
          </w:rPr>
          <w:fldChar w:fldCharType="separate"/>
        </w:r>
        <w:r w:rsidR="00D34F75">
          <w:rPr>
            <w:webHidden/>
          </w:rPr>
          <w:t>6</w:t>
        </w:r>
        <w:r w:rsidR="004F445F">
          <w:rPr>
            <w:webHidden/>
          </w:rPr>
          <w:fldChar w:fldCharType="end"/>
        </w:r>
      </w:hyperlink>
    </w:p>
    <w:p w14:paraId="0C5AD81C" w14:textId="3B33DC32" w:rsidR="004F445F" w:rsidRDefault="00BE434E">
      <w:pPr>
        <w:pStyle w:val="TOC2"/>
        <w:rPr>
          <w:rFonts w:asciiTheme="minorHAnsi" w:eastAsiaTheme="minorEastAsia" w:hAnsiTheme="minorHAnsi" w:cstheme="minorBidi"/>
          <w:sz w:val="22"/>
          <w:szCs w:val="22"/>
        </w:rPr>
      </w:pPr>
      <w:hyperlink w:anchor="_Toc511986620" w:history="1">
        <w:r w:rsidR="004F445F" w:rsidRPr="004E1543">
          <w:rPr>
            <w:rStyle w:val="Hyperlink"/>
          </w:rPr>
          <w:t>A.8</w:t>
        </w:r>
        <w:r w:rsidR="004F445F">
          <w:rPr>
            <w:rFonts w:asciiTheme="minorHAnsi" w:eastAsiaTheme="minorEastAsia" w:hAnsiTheme="minorHAnsi" w:cstheme="minorBidi"/>
            <w:sz w:val="22"/>
            <w:szCs w:val="22"/>
          </w:rPr>
          <w:tab/>
        </w:r>
        <w:r w:rsidR="004F445F" w:rsidRPr="004E1543">
          <w:rPr>
            <w:rStyle w:val="Hyperlink"/>
          </w:rPr>
          <w:t>Consultations Outside NCES</w:t>
        </w:r>
        <w:r w:rsidR="004F445F">
          <w:rPr>
            <w:webHidden/>
          </w:rPr>
          <w:tab/>
        </w:r>
        <w:r w:rsidR="004F445F">
          <w:rPr>
            <w:webHidden/>
          </w:rPr>
          <w:fldChar w:fldCharType="begin"/>
        </w:r>
        <w:r w:rsidR="004F445F">
          <w:rPr>
            <w:webHidden/>
          </w:rPr>
          <w:instrText xml:space="preserve"> PAGEREF _Toc511986620 \h </w:instrText>
        </w:r>
        <w:r w:rsidR="004F445F">
          <w:rPr>
            <w:webHidden/>
          </w:rPr>
        </w:r>
        <w:r w:rsidR="004F445F">
          <w:rPr>
            <w:webHidden/>
          </w:rPr>
          <w:fldChar w:fldCharType="separate"/>
        </w:r>
        <w:r w:rsidR="00D34F75">
          <w:rPr>
            <w:webHidden/>
          </w:rPr>
          <w:t>6</w:t>
        </w:r>
        <w:r w:rsidR="004F445F">
          <w:rPr>
            <w:webHidden/>
          </w:rPr>
          <w:fldChar w:fldCharType="end"/>
        </w:r>
      </w:hyperlink>
    </w:p>
    <w:p w14:paraId="14216093" w14:textId="0EBDD492" w:rsidR="004F445F" w:rsidRDefault="00BE434E">
      <w:pPr>
        <w:pStyle w:val="TOC2"/>
        <w:rPr>
          <w:rFonts w:asciiTheme="minorHAnsi" w:eastAsiaTheme="minorEastAsia" w:hAnsiTheme="minorHAnsi" w:cstheme="minorBidi"/>
          <w:sz w:val="22"/>
          <w:szCs w:val="22"/>
        </w:rPr>
      </w:pPr>
      <w:hyperlink w:anchor="_Toc511986621" w:history="1">
        <w:r w:rsidR="004F445F" w:rsidRPr="004E1543">
          <w:rPr>
            <w:rStyle w:val="Hyperlink"/>
          </w:rPr>
          <w:t>A.9</w:t>
        </w:r>
        <w:r w:rsidR="004F445F">
          <w:rPr>
            <w:rFonts w:asciiTheme="minorHAnsi" w:eastAsiaTheme="minorEastAsia" w:hAnsiTheme="minorHAnsi" w:cstheme="minorBidi"/>
            <w:sz w:val="22"/>
            <w:szCs w:val="22"/>
          </w:rPr>
          <w:tab/>
        </w:r>
        <w:r w:rsidR="004F445F" w:rsidRPr="004E1543">
          <w:rPr>
            <w:rStyle w:val="Hyperlink"/>
          </w:rPr>
          <w:t>Payments or Gifts to Respondents</w:t>
        </w:r>
        <w:r w:rsidR="004F445F">
          <w:rPr>
            <w:webHidden/>
          </w:rPr>
          <w:tab/>
        </w:r>
        <w:r w:rsidR="004F445F">
          <w:rPr>
            <w:webHidden/>
          </w:rPr>
          <w:fldChar w:fldCharType="begin"/>
        </w:r>
        <w:r w:rsidR="004F445F">
          <w:rPr>
            <w:webHidden/>
          </w:rPr>
          <w:instrText xml:space="preserve"> PAGEREF _Toc511986621 \h </w:instrText>
        </w:r>
        <w:r w:rsidR="004F445F">
          <w:rPr>
            <w:webHidden/>
          </w:rPr>
        </w:r>
        <w:r w:rsidR="004F445F">
          <w:rPr>
            <w:webHidden/>
          </w:rPr>
          <w:fldChar w:fldCharType="separate"/>
        </w:r>
        <w:r w:rsidR="00D34F75">
          <w:rPr>
            <w:webHidden/>
          </w:rPr>
          <w:t>6</w:t>
        </w:r>
        <w:r w:rsidR="004F445F">
          <w:rPr>
            <w:webHidden/>
          </w:rPr>
          <w:fldChar w:fldCharType="end"/>
        </w:r>
      </w:hyperlink>
    </w:p>
    <w:p w14:paraId="5F8295EE" w14:textId="3C34A56E" w:rsidR="004F445F" w:rsidRDefault="00BE434E">
      <w:pPr>
        <w:pStyle w:val="TOC2"/>
        <w:rPr>
          <w:rFonts w:asciiTheme="minorHAnsi" w:eastAsiaTheme="minorEastAsia" w:hAnsiTheme="minorHAnsi" w:cstheme="minorBidi"/>
          <w:sz w:val="22"/>
          <w:szCs w:val="22"/>
        </w:rPr>
      </w:pPr>
      <w:hyperlink w:anchor="_Toc511986622" w:history="1">
        <w:r w:rsidR="004F445F" w:rsidRPr="004E1543">
          <w:rPr>
            <w:rStyle w:val="Hyperlink"/>
          </w:rPr>
          <w:t>A.10</w:t>
        </w:r>
        <w:r w:rsidR="004F445F">
          <w:rPr>
            <w:rFonts w:asciiTheme="minorHAnsi" w:eastAsiaTheme="minorEastAsia" w:hAnsiTheme="minorHAnsi" w:cstheme="minorBidi"/>
            <w:sz w:val="22"/>
            <w:szCs w:val="22"/>
          </w:rPr>
          <w:tab/>
        </w:r>
        <w:r w:rsidR="004F445F" w:rsidRPr="004E1543">
          <w:rPr>
            <w:rStyle w:val="Hyperlink"/>
          </w:rPr>
          <w:t>Assurance of Confidentiality</w:t>
        </w:r>
        <w:r w:rsidR="004F445F">
          <w:rPr>
            <w:webHidden/>
          </w:rPr>
          <w:tab/>
        </w:r>
        <w:r w:rsidR="004F445F">
          <w:rPr>
            <w:webHidden/>
          </w:rPr>
          <w:fldChar w:fldCharType="begin"/>
        </w:r>
        <w:r w:rsidR="004F445F">
          <w:rPr>
            <w:webHidden/>
          </w:rPr>
          <w:instrText xml:space="preserve"> PAGEREF _Toc511986622 \h </w:instrText>
        </w:r>
        <w:r w:rsidR="004F445F">
          <w:rPr>
            <w:webHidden/>
          </w:rPr>
        </w:r>
        <w:r w:rsidR="004F445F">
          <w:rPr>
            <w:webHidden/>
          </w:rPr>
          <w:fldChar w:fldCharType="separate"/>
        </w:r>
        <w:r w:rsidR="00D34F75">
          <w:rPr>
            <w:webHidden/>
          </w:rPr>
          <w:t>9</w:t>
        </w:r>
        <w:r w:rsidR="004F445F">
          <w:rPr>
            <w:webHidden/>
          </w:rPr>
          <w:fldChar w:fldCharType="end"/>
        </w:r>
      </w:hyperlink>
    </w:p>
    <w:p w14:paraId="2FBEC3F2" w14:textId="76040452" w:rsidR="004F445F" w:rsidRDefault="00BE434E">
      <w:pPr>
        <w:pStyle w:val="TOC2"/>
        <w:rPr>
          <w:rFonts w:asciiTheme="minorHAnsi" w:eastAsiaTheme="minorEastAsia" w:hAnsiTheme="minorHAnsi" w:cstheme="minorBidi"/>
          <w:sz w:val="22"/>
          <w:szCs w:val="22"/>
        </w:rPr>
      </w:pPr>
      <w:hyperlink w:anchor="_Toc511986623" w:history="1">
        <w:r w:rsidR="004F445F" w:rsidRPr="004E1543">
          <w:rPr>
            <w:rStyle w:val="Hyperlink"/>
          </w:rPr>
          <w:t>A. 11</w:t>
        </w:r>
        <w:r w:rsidR="004F445F">
          <w:rPr>
            <w:rFonts w:asciiTheme="minorHAnsi" w:eastAsiaTheme="minorEastAsia" w:hAnsiTheme="minorHAnsi" w:cstheme="minorBidi"/>
            <w:sz w:val="22"/>
            <w:szCs w:val="22"/>
          </w:rPr>
          <w:tab/>
        </w:r>
        <w:r w:rsidR="004F445F" w:rsidRPr="004E1543">
          <w:rPr>
            <w:rStyle w:val="Hyperlink"/>
          </w:rPr>
          <w:t>Sensitive Questions</w:t>
        </w:r>
        <w:r w:rsidR="004F445F">
          <w:rPr>
            <w:webHidden/>
          </w:rPr>
          <w:tab/>
        </w:r>
        <w:r w:rsidR="004F445F">
          <w:rPr>
            <w:webHidden/>
          </w:rPr>
          <w:fldChar w:fldCharType="begin"/>
        </w:r>
        <w:r w:rsidR="004F445F">
          <w:rPr>
            <w:webHidden/>
          </w:rPr>
          <w:instrText xml:space="preserve"> PAGEREF _Toc511986623 \h </w:instrText>
        </w:r>
        <w:r w:rsidR="004F445F">
          <w:rPr>
            <w:webHidden/>
          </w:rPr>
        </w:r>
        <w:r w:rsidR="004F445F">
          <w:rPr>
            <w:webHidden/>
          </w:rPr>
          <w:fldChar w:fldCharType="separate"/>
        </w:r>
        <w:r w:rsidR="00D34F75">
          <w:rPr>
            <w:webHidden/>
          </w:rPr>
          <w:t>11</w:t>
        </w:r>
        <w:r w:rsidR="004F445F">
          <w:rPr>
            <w:webHidden/>
          </w:rPr>
          <w:fldChar w:fldCharType="end"/>
        </w:r>
      </w:hyperlink>
    </w:p>
    <w:p w14:paraId="446FF7C0" w14:textId="06A60D94" w:rsidR="004F445F" w:rsidRDefault="00BE434E">
      <w:pPr>
        <w:pStyle w:val="TOC2"/>
        <w:rPr>
          <w:rFonts w:asciiTheme="minorHAnsi" w:eastAsiaTheme="minorEastAsia" w:hAnsiTheme="minorHAnsi" w:cstheme="minorBidi"/>
          <w:sz w:val="22"/>
          <w:szCs w:val="22"/>
        </w:rPr>
      </w:pPr>
      <w:hyperlink w:anchor="_Toc511986624" w:history="1">
        <w:r w:rsidR="004F445F" w:rsidRPr="004E1543">
          <w:rPr>
            <w:rStyle w:val="Hyperlink"/>
          </w:rPr>
          <w:t>A. 12</w:t>
        </w:r>
        <w:r w:rsidR="004F445F">
          <w:rPr>
            <w:rFonts w:asciiTheme="minorHAnsi" w:eastAsiaTheme="minorEastAsia" w:hAnsiTheme="minorHAnsi" w:cstheme="minorBidi"/>
            <w:sz w:val="22"/>
            <w:szCs w:val="22"/>
          </w:rPr>
          <w:tab/>
        </w:r>
        <w:r w:rsidR="004F445F" w:rsidRPr="004E1543">
          <w:rPr>
            <w:rStyle w:val="Hyperlink"/>
          </w:rPr>
          <w:t>Estimates of Burden</w:t>
        </w:r>
        <w:r w:rsidR="004F445F">
          <w:rPr>
            <w:webHidden/>
          </w:rPr>
          <w:tab/>
        </w:r>
        <w:r w:rsidR="004F445F">
          <w:rPr>
            <w:webHidden/>
          </w:rPr>
          <w:fldChar w:fldCharType="begin"/>
        </w:r>
        <w:r w:rsidR="004F445F">
          <w:rPr>
            <w:webHidden/>
          </w:rPr>
          <w:instrText xml:space="preserve"> PAGEREF _Toc511986624 \h </w:instrText>
        </w:r>
        <w:r w:rsidR="004F445F">
          <w:rPr>
            <w:webHidden/>
          </w:rPr>
        </w:r>
        <w:r w:rsidR="004F445F">
          <w:rPr>
            <w:webHidden/>
          </w:rPr>
          <w:fldChar w:fldCharType="separate"/>
        </w:r>
        <w:r w:rsidR="00D34F75">
          <w:rPr>
            <w:webHidden/>
          </w:rPr>
          <w:t>11</w:t>
        </w:r>
        <w:r w:rsidR="004F445F">
          <w:rPr>
            <w:webHidden/>
          </w:rPr>
          <w:fldChar w:fldCharType="end"/>
        </w:r>
      </w:hyperlink>
    </w:p>
    <w:p w14:paraId="16805C9D" w14:textId="7C29359D" w:rsidR="004F445F" w:rsidRDefault="00BE434E">
      <w:pPr>
        <w:pStyle w:val="TOC2"/>
        <w:rPr>
          <w:rFonts w:asciiTheme="minorHAnsi" w:eastAsiaTheme="minorEastAsia" w:hAnsiTheme="minorHAnsi" w:cstheme="minorBidi"/>
          <w:sz w:val="22"/>
          <w:szCs w:val="22"/>
        </w:rPr>
      </w:pPr>
      <w:hyperlink w:anchor="_Toc511986625" w:history="1">
        <w:r w:rsidR="004F445F" w:rsidRPr="004E1543">
          <w:rPr>
            <w:rStyle w:val="Hyperlink"/>
          </w:rPr>
          <w:t>A.13</w:t>
        </w:r>
        <w:r w:rsidR="004F445F">
          <w:rPr>
            <w:rFonts w:asciiTheme="minorHAnsi" w:eastAsiaTheme="minorEastAsia" w:hAnsiTheme="minorHAnsi" w:cstheme="minorBidi"/>
            <w:sz w:val="22"/>
            <w:szCs w:val="22"/>
          </w:rPr>
          <w:tab/>
        </w:r>
        <w:r w:rsidR="004F445F" w:rsidRPr="004E1543">
          <w:rPr>
            <w:rStyle w:val="Hyperlink"/>
          </w:rPr>
          <w:t>Total Annual Cost Burden</w:t>
        </w:r>
        <w:r w:rsidR="004F445F">
          <w:rPr>
            <w:webHidden/>
          </w:rPr>
          <w:tab/>
        </w:r>
        <w:r w:rsidR="004F445F">
          <w:rPr>
            <w:webHidden/>
          </w:rPr>
          <w:fldChar w:fldCharType="begin"/>
        </w:r>
        <w:r w:rsidR="004F445F">
          <w:rPr>
            <w:webHidden/>
          </w:rPr>
          <w:instrText xml:space="preserve"> PAGEREF _Toc511986625 \h </w:instrText>
        </w:r>
        <w:r w:rsidR="004F445F">
          <w:rPr>
            <w:webHidden/>
          </w:rPr>
        </w:r>
        <w:r w:rsidR="004F445F">
          <w:rPr>
            <w:webHidden/>
          </w:rPr>
          <w:fldChar w:fldCharType="separate"/>
        </w:r>
        <w:r w:rsidR="00D34F75">
          <w:rPr>
            <w:webHidden/>
          </w:rPr>
          <w:t>12</w:t>
        </w:r>
        <w:r w:rsidR="004F445F">
          <w:rPr>
            <w:webHidden/>
          </w:rPr>
          <w:fldChar w:fldCharType="end"/>
        </w:r>
      </w:hyperlink>
    </w:p>
    <w:p w14:paraId="556DC109" w14:textId="675CAFBD" w:rsidR="004F445F" w:rsidRDefault="00BE434E">
      <w:pPr>
        <w:pStyle w:val="TOC2"/>
        <w:rPr>
          <w:rFonts w:asciiTheme="minorHAnsi" w:eastAsiaTheme="minorEastAsia" w:hAnsiTheme="minorHAnsi" w:cstheme="minorBidi"/>
          <w:sz w:val="22"/>
          <w:szCs w:val="22"/>
        </w:rPr>
      </w:pPr>
      <w:hyperlink w:anchor="_Toc511986626" w:history="1">
        <w:r w:rsidR="004F445F" w:rsidRPr="004E1543">
          <w:rPr>
            <w:rStyle w:val="Hyperlink"/>
          </w:rPr>
          <w:t>A.14</w:t>
        </w:r>
        <w:r w:rsidR="004F445F">
          <w:rPr>
            <w:rFonts w:asciiTheme="minorHAnsi" w:eastAsiaTheme="minorEastAsia" w:hAnsiTheme="minorHAnsi" w:cstheme="minorBidi"/>
            <w:sz w:val="22"/>
            <w:szCs w:val="22"/>
          </w:rPr>
          <w:tab/>
        </w:r>
        <w:r w:rsidR="004F445F" w:rsidRPr="004E1543">
          <w:rPr>
            <w:rStyle w:val="Hyperlink"/>
          </w:rPr>
          <w:t>Annualized Cost to Federal Government</w:t>
        </w:r>
        <w:r w:rsidR="004F445F">
          <w:rPr>
            <w:webHidden/>
          </w:rPr>
          <w:tab/>
        </w:r>
        <w:r w:rsidR="004F445F">
          <w:rPr>
            <w:webHidden/>
          </w:rPr>
          <w:fldChar w:fldCharType="begin"/>
        </w:r>
        <w:r w:rsidR="004F445F">
          <w:rPr>
            <w:webHidden/>
          </w:rPr>
          <w:instrText xml:space="preserve"> PAGEREF _Toc511986626 \h </w:instrText>
        </w:r>
        <w:r w:rsidR="004F445F">
          <w:rPr>
            <w:webHidden/>
          </w:rPr>
        </w:r>
        <w:r w:rsidR="004F445F">
          <w:rPr>
            <w:webHidden/>
          </w:rPr>
          <w:fldChar w:fldCharType="separate"/>
        </w:r>
        <w:r w:rsidR="00D34F75">
          <w:rPr>
            <w:webHidden/>
          </w:rPr>
          <w:t>12</w:t>
        </w:r>
        <w:r w:rsidR="004F445F">
          <w:rPr>
            <w:webHidden/>
          </w:rPr>
          <w:fldChar w:fldCharType="end"/>
        </w:r>
      </w:hyperlink>
    </w:p>
    <w:p w14:paraId="6E93537A" w14:textId="63CFEA9B" w:rsidR="004F445F" w:rsidRDefault="00BE434E">
      <w:pPr>
        <w:pStyle w:val="TOC2"/>
        <w:rPr>
          <w:rFonts w:asciiTheme="minorHAnsi" w:eastAsiaTheme="minorEastAsia" w:hAnsiTheme="minorHAnsi" w:cstheme="minorBidi"/>
          <w:sz w:val="22"/>
          <w:szCs w:val="22"/>
        </w:rPr>
      </w:pPr>
      <w:hyperlink w:anchor="_Toc511986627" w:history="1">
        <w:r w:rsidR="004F445F" w:rsidRPr="004E1543">
          <w:rPr>
            <w:rStyle w:val="Hyperlink"/>
          </w:rPr>
          <w:t>A.15</w:t>
        </w:r>
        <w:r w:rsidR="004F445F">
          <w:rPr>
            <w:rFonts w:asciiTheme="minorHAnsi" w:eastAsiaTheme="minorEastAsia" w:hAnsiTheme="minorHAnsi" w:cstheme="minorBidi"/>
            <w:sz w:val="22"/>
            <w:szCs w:val="22"/>
          </w:rPr>
          <w:tab/>
        </w:r>
        <w:r w:rsidR="004F445F" w:rsidRPr="004E1543">
          <w:rPr>
            <w:rStyle w:val="Hyperlink"/>
          </w:rPr>
          <w:t>Program Changes or Adjustments</w:t>
        </w:r>
        <w:r w:rsidR="004F445F">
          <w:rPr>
            <w:webHidden/>
          </w:rPr>
          <w:tab/>
        </w:r>
        <w:r w:rsidR="004F445F">
          <w:rPr>
            <w:webHidden/>
          </w:rPr>
          <w:fldChar w:fldCharType="begin"/>
        </w:r>
        <w:r w:rsidR="004F445F">
          <w:rPr>
            <w:webHidden/>
          </w:rPr>
          <w:instrText xml:space="preserve"> PAGEREF _Toc511986627 \h </w:instrText>
        </w:r>
        <w:r w:rsidR="004F445F">
          <w:rPr>
            <w:webHidden/>
          </w:rPr>
        </w:r>
        <w:r w:rsidR="004F445F">
          <w:rPr>
            <w:webHidden/>
          </w:rPr>
          <w:fldChar w:fldCharType="separate"/>
        </w:r>
        <w:r w:rsidR="00D34F75">
          <w:rPr>
            <w:webHidden/>
          </w:rPr>
          <w:t>13</w:t>
        </w:r>
        <w:r w:rsidR="004F445F">
          <w:rPr>
            <w:webHidden/>
          </w:rPr>
          <w:fldChar w:fldCharType="end"/>
        </w:r>
      </w:hyperlink>
    </w:p>
    <w:p w14:paraId="24F66E07" w14:textId="330FCB9F" w:rsidR="004F445F" w:rsidRDefault="00BE434E">
      <w:pPr>
        <w:pStyle w:val="TOC2"/>
        <w:rPr>
          <w:rFonts w:asciiTheme="minorHAnsi" w:eastAsiaTheme="minorEastAsia" w:hAnsiTheme="minorHAnsi" w:cstheme="minorBidi"/>
          <w:sz w:val="22"/>
          <w:szCs w:val="22"/>
        </w:rPr>
      </w:pPr>
      <w:hyperlink w:anchor="_Toc511986628" w:history="1">
        <w:r w:rsidR="004F445F" w:rsidRPr="004E1543">
          <w:rPr>
            <w:rStyle w:val="Hyperlink"/>
          </w:rPr>
          <w:t>A.16</w:t>
        </w:r>
        <w:r w:rsidR="004F445F">
          <w:rPr>
            <w:rFonts w:asciiTheme="minorHAnsi" w:eastAsiaTheme="minorEastAsia" w:hAnsiTheme="minorHAnsi" w:cstheme="minorBidi"/>
            <w:sz w:val="22"/>
            <w:szCs w:val="22"/>
          </w:rPr>
          <w:tab/>
        </w:r>
        <w:r w:rsidR="004F445F" w:rsidRPr="004E1543">
          <w:rPr>
            <w:rStyle w:val="Hyperlink"/>
          </w:rPr>
          <w:t>Plans for Tabulation and Publication</w:t>
        </w:r>
        <w:r w:rsidR="004F445F">
          <w:rPr>
            <w:webHidden/>
          </w:rPr>
          <w:tab/>
        </w:r>
        <w:r w:rsidR="004F445F">
          <w:rPr>
            <w:webHidden/>
          </w:rPr>
          <w:fldChar w:fldCharType="begin"/>
        </w:r>
        <w:r w:rsidR="004F445F">
          <w:rPr>
            <w:webHidden/>
          </w:rPr>
          <w:instrText xml:space="preserve"> PAGEREF _Toc511986628 \h </w:instrText>
        </w:r>
        <w:r w:rsidR="004F445F">
          <w:rPr>
            <w:webHidden/>
          </w:rPr>
        </w:r>
        <w:r w:rsidR="004F445F">
          <w:rPr>
            <w:webHidden/>
          </w:rPr>
          <w:fldChar w:fldCharType="separate"/>
        </w:r>
        <w:r w:rsidR="00D34F75">
          <w:rPr>
            <w:webHidden/>
          </w:rPr>
          <w:t>13</w:t>
        </w:r>
        <w:r w:rsidR="004F445F">
          <w:rPr>
            <w:webHidden/>
          </w:rPr>
          <w:fldChar w:fldCharType="end"/>
        </w:r>
      </w:hyperlink>
    </w:p>
    <w:p w14:paraId="1CE7BC04" w14:textId="7FD561BE" w:rsidR="004F445F" w:rsidRDefault="00BE434E">
      <w:pPr>
        <w:pStyle w:val="TOC2"/>
        <w:rPr>
          <w:rFonts w:asciiTheme="minorHAnsi" w:eastAsiaTheme="minorEastAsia" w:hAnsiTheme="minorHAnsi" w:cstheme="minorBidi"/>
          <w:sz w:val="22"/>
          <w:szCs w:val="22"/>
        </w:rPr>
      </w:pPr>
      <w:hyperlink w:anchor="_Toc511986629" w:history="1">
        <w:r w:rsidR="004F445F" w:rsidRPr="004E1543">
          <w:rPr>
            <w:rStyle w:val="Hyperlink"/>
          </w:rPr>
          <w:t>A.17</w:t>
        </w:r>
        <w:r w:rsidR="004F445F">
          <w:rPr>
            <w:rFonts w:asciiTheme="minorHAnsi" w:eastAsiaTheme="minorEastAsia" w:hAnsiTheme="minorHAnsi" w:cstheme="minorBidi"/>
            <w:sz w:val="22"/>
            <w:szCs w:val="22"/>
          </w:rPr>
          <w:tab/>
        </w:r>
        <w:r w:rsidR="004F445F" w:rsidRPr="004E1543">
          <w:rPr>
            <w:rStyle w:val="Hyperlink"/>
          </w:rPr>
          <w:t>Display OMB Expiration Date</w:t>
        </w:r>
        <w:r w:rsidR="004F445F">
          <w:rPr>
            <w:webHidden/>
          </w:rPr>
          <w:tab/>
        </w:r>
        <w:r w:rsidR="004F445F">
          <w:rPr>
            <w:webHidden/>
          </w:rPr>
          <w:fldChar w:fldCharType="begin"/>
        </w:r>
        <w:r w:rsidR="004F445F">
          <w:rPr>
            <w:webHidden/>
          </w:rPr>
          <w:instrText xml:space="preserve"> PAGEREF _Toc511986629 \h </w:instrText>
        </w:r>
        <w:r w:rsidR="004F445F">
          <w:rPr>
            <w:webHidden/>
          </w:rPr>
        </w:r>
        <w:r w:rsidR="004F445F">
          <w:rPr>
            <w:webHidden/>
          </w:rPr>
          <w:fldChar w:fldCharType="separate"/>
        </w:r>
        <w:r w:rsidR="00D34F75">
          <w:rPr>
            <w:webHidden/>
          </w:rPr>
          <w:t>14</w:t>
        </w:r>
        <w:r w:rsidR="004F445F">
          <w:rPr>
            <w:webHidden/>
          </w:rPr>
          <w:fldChar w:fldCharType="end"/>
        </w:r>
      </w:hyperlink>
    </w:p>
    <w:p w14:paraId="0124A525" w14:textId="7F538F96" w:rsidR="004F445F" w:rsidRDefault="00BE434E">
      <w:pPr>
        <w:pStyle w:val="TOC2"/>
        <w:rPr>
          <w:rFonts w:asciiTheme="minorHAnsi" w:eastAsiaTheme="minorEastAsia" w:hAnsiTheme="minorHAnsi" w:cstheme="minorBidi"/>
          <w:sz w:val="22"/>
          <w:szCs w:val="22"/>
        </w:rPr>
      </w:pPr>
      <w:hyperlink w:anchor="_Toc511986630" w:history="1">
        <w:r w:rsidR="004F445F" w:rsidRPr="004E1543">
          <w:rPr>
            <w:rStyle w:val="Hyperlink"/>
          </w:rPr>
          <w:t>A.18</w:t>
        </w:r>
        <w:r w:rsidR="004F445F">
          <w:rPr>
            <w:rFonts w:asciiTheme="minorHAnsi" w:eastAsiaTheme="minorEastAsia" w:hAnsiTheme="minorHAnsi" w:cstheme="minorBidi"/>
            <w:sz w:val="22"/>
            <w:szCs w:val="22"/>
          </w:rPr>
          <w:tab/>
        </w:r>
        <w:r w:rsidR="004F445F" w:rsidRPr="004E1543">
          <w:rPr>
            <w:rStyle w:val="Hyperlink"/>
          </w:rPr>
          <w:t>Exceptions to Certification Statement</w:t>
        </w:r>
        <w:r w:rsidR="004F445F">
          <w:rPr>
            <w:webHidden/>
          </w:rPr>
          <w:tab/>
        </w:r>
        <w:r w:rsidR="004F445F">
          <w:rPr>
            <w:webHidden/>
          </w:rPr>
          <w:fldChar w:fldCharType="begin"/>
        </w:r>
        <w:r w:rsidR="004F445F">
          <w:rPr>
            <w:webHidden/>
          </w:rPr>
          <w:instrText xml:space="preserve"> PAGEREF _Toc511986630 \h </w:instrText>
        </w:r>
        <w:r w:rsidR="004F445F">
          <w:rPr>
            <w:webHidden/>
          </w:rPr>
        </w:r>
        <w:r w:rsidR="004F445F">
          <w:rPr>
            <w:webHidden/>
          </w:rPr>
          <w:fldChar w:fldCharType="separate"/>
        </w:r>
        <w:r w:rsidR="00D34F75">
          <w:rPr>
            <w:webHidden/>
          </w:rPr>
          <w:t>14</w:t>
        </w:r>
        <w:r w:rsidR="004F445F">
          <w:rPr>
            <w:webHidden/>
          </w:rPr>
          <w:fldChar w:fldCharType="end"/>
        </w:r>
      </w:hyperlink>
    </w:p>
    <w:p w14:paraId="5E0F86C9" w14:textId="1352758E" w:rsidR="005611C5" w:rsidRPr="002B5DE2" w:rsidRDefault="003D70B7" w:rsidP="00C44B81">
      <w:pPr>
        <w:pStyle w:val="C1-CtrBoldHd"/>
        <w:tabs>
          <w:tab w:val="left" w:pos="900"/>
          <w:tab w:val="right" w:leader="dot" w:pos="8640"/>
        </w:tabs>
        <w:spacing w:after="0"/>
        <w:ind w:left="720" w:right="720" w:hanging="360"/>
        <w:jc w:val="both"/>
        <w:rPr>
          <w:b w:val="0"/>
          <w:szCs w:val="24"/>
        </w:rPr>
      </w:pPr>
      <w:r w:rsidRPr="002B5DE2">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5D5BD34B" w:rsidR="0085330C" w:rsidRDefault="0085330C" w:rsidP="0085330C">
      <w:pPr>
        <w:pStyle w:val="TOC1"/>
        <w:rPr>
          <w:b w:val="0"/>
          <w:noProof/>
        </w:rPr>
      </w:pPr>
      <w:r w:rsidRPr="00C44B81">
        <w:rPr>
          <w:b w:val="0"/>
          <w:noProof/>
        </w:rPr>
        <w:t>B.1</w:t>
      </w:r>
      <w:r w:rsidRPr="00C44B81">
        <w:rPr>
          <w:b w:val="0"/>
          <w:noProof/>
        </w:rPr>
        <w:tab/>
        <w:t>Respondent Universe</w:t>
      </w:r>
    </w:p>
    <w:p w14:paraId="26C5D3BE" w14:textId="1B455B56" w:rsidR="0083044C" w:rsidRPr="00C12BDD" w:rsidRDefault="0083044C" w:rsidP="0085330C">
      <w:pPr>
        <w:pStyle w:val="TOC1"/>
        <w:rPr>
          <w:b w:val="0"/>
          <w:noProof/>
        </w:rPr>
      </w:pPr>
      <w:r w:rsidRPr="00C12BDD">
        <w:rPr>
          <w:b w:val="0"/>
          <w:noProof/>
        </w:rPr>
        <w:t>B.2 Procedures for the Collection of Information</w:t>
      </w:r>
    </w:p>
    <w:p w14:paraId="4ECDAD0F" w14:textId="49974968" w:rsidR="0083044C" w:rsidRPr="00C12BDD" w:rsidRDefault="0083044C" w:rsidP="0085330C">
      <w:pPr>
        <w:pStyle w:val="TOC1"/>
        <w:rPr>
          <w:b w:val="0"/>
          <w:noProof/>
        </w:rPr>
      </w:pPr>
      <w:r w:rsidRPr="00C12BDD">
        <w:rPr>
          <w:b w:val="0"/>
          <w:noProof/>
        </w:rPr>
        <w:tab/>
        <w:t>B.2.a Respondent Recruitment</w:t>
      </w:r>
    </w:p>
    <w:p w14:paraId="4BE7F49F" w14:textId="03A082EA" w:rsidR="0083044C" w:rsidRPr="003A07FF" w:rsidRDefault="0083044C" w:rsidP="0085330C">
      <w:pPr>
        <w:pStyle w:val="TOC1"/>
        <w:rPr>
          <w:b w:val="0"/>
          <w:noProof/>
          <w:color w:val="FF0000"/>
        </w:rPr>
      </w:pPr>
      <w:r w:rsidRPr="00C12BDD">
        <w:rPr>
          <w:b w:val="0"/>
          <w:noProof/>
        </w:rPr>
        <w:tab/>
        <w:t>B.2.b Data Collection</w:t>
      </w:r>
    </w:p>
    <w:p w14:paraId="0A300A18" w14:textId="77777777" w:rsidR="006C762F" w:rsidRPr="00C44B81" w:rsidRDefault="006C762F" w:rsidP="006C762F">
      <w:pPr>
        <w:pStyle w:val="TOC1"/>
        <w:rPr>
          <w:b w:val="0"/>
          <w:noProof/>
        </w:rPr>
      </w:pPr>
      <w:r>
        <w:rPr>
          <w:b w:val="0"/>
          <w:noProof/>
        </w:rPr>
        <w:t>B.3</w:t>
      </w:r>
      <w:r w:rsidRPr="00C44B81">
        <w:rPr>
          <w:b w:val="0"/>
          <w:noProof/>
        </w:rPr>
        <w:tab/>
        <w:t>Maximizing Response Rates</w:t>
      </w:r>
    </w:p>
    <w:p w14:paraId="6FFFF274" w14:textId="77777777" w:rsidR="006C762F" w:rsidRPr="00C44B81" w:rsidRDefault="006C762F" w:rsidP="006C762F">
      <w:pPr>
        <w:pStyle w:val="TOC1"/>
        <w:rPr>
          <w:b w:val="0"/>
          <w:noProof/>
        </w:rPr>
      </w:pPr>
      <w:r>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4905427B" w:rsidR="0085330C" w:rsidRDefault="006C762F" w:rsidP="006C762F">
      <w:pPr>
        <w:pStyle w:val="C1-CtrBoldHd"/>
        <w:tabs>
          <w:tab w:val="left" w:pos="900"/>
          <w:tab w:val="right" w:leader="dot" w:pos="8640"/>
        </w:tabs>
        <w:spacing w:after="0"/>
        <w:ind w:left="720" w:right="720" w:hanging="360"/>
        <w:jc w:val="both"/>
        <w:rPr>
          <w:b w:val="0"/>
          <w:noProof/>
        </w:rPr>
      </w:pPr>
      <w:r>
        <w:rPr>
          <w:b w:val="0"/>
          <w:noProof/>
        </w:rPr>
        <w:t>B.5</w:t>
      </w:r>
      <w:r w:rsidRPr="00C44B81">
        <w:rPr>
          <w:b w:val="0"/>
          <w:noProof/>
        </w:rPr>
        <w:tab/>
      </w:r>
      <w:r>
        <w:rPr>
          <w:b w:val="0"/>
          <w:caps w:val="0"/>
          <w:noProof/>
        </w:rPr>
        <w:t>Individuals Consulted o</w:t>
      </w:r>
      <w:r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325BBE56" w14:textId="4985E3B5" w:rsidR="00281E55" w:rsidRPr="00C44B81" w:rsidRDefault="00281E55" w:rsidP="00281E55">
      <w:pPr>
        <w:pStyle w:val="TOC1"/>
        <w:rPr>
          <w:b w:val="0"/>
          <w:noProof/>
        </w:rPr>
      </w:pPr>
      <w:r w:rsidRPr="00C44B81">
        <w:rPr>
          <w:b w:val="0"/>
          <w:noProof/>
        </w:rPr>
        <w:t>APPENDIX A: Recruitment Materials</w:t>
      </w:r>
      <w:r w:rsidR="00D15F1D">
        <w:rPr>
          <w:b w:val="0"/>
          <w:noProof/>
        </w:rPr>
        <w:t>, MyIELS</w:t>
      </w:r>
    </w:p>
    <w:p w14:paraId="04A1C40F" w14:textId="5F470585" w:rsidR="00281E55" w:rsidRDefault="00281E55" w:rsidP="000701FD">
      <w:pPr>
        <w:pStyle w:val="TOC1"/>
        <w:ind w:right="0"/>
        <w:rPr>
          <w:b w:val="0"/>
          <w:noProof/>
        </w:rPr>
      </w:pPr>
      <w:r w:rsidRPr="00C44B81">
        <w:rPr>
          <w:b w:val="0"/>
          <w:noProof/>
        </w:rPr>
        <w:t xml:space="preserve">APPENDIX B: </w:t>
      </w:r>
      <w:r w:rsidR="000701FD" w:rsidRPr="000701FD">
        <w:rPr>
          <w:b w:val="0"/>
          <w:noProof/>
        </w:rPr>
        <w:t>Sampling Materials, MyIELS, Consent, Nonresponse Follow-up, and Thank You Letters</w:t>
      </w:r>
    </w:p>
    <w:p w14:paraId="4CEB2C9E" w14:textId="29B2D5F9" w:rsidR="00281E55" w:rsidRDefault="00281E55" w:rsidP="00281E55">
      <w:pPr>
        <w:pStyle w:val="TOC1"/>
        <w:rPr>
          <w:b w:val="0"/>
          <w:noProof/>
        </w:rPr>
      </w:pPr>
      <w:r>
        <w:rPr>
          <w:b w:val="0"/>
          <w:noProof/>
        </w:rPr>
        <w:t xml:space="preserve">APPENDIX C: </w:t>
      </w:r>
      <w:r w:rsidR="000701FD" w:rsidRPr="000701FD">
        <w:rPr>
          <w:b w:val="0"/>
          <w:noProof/>
        </w:rPr>
        <w:t>Recruitment PowerPoint Presentations</w:t>
      </w:r>
    </w:p>
    <w:p w14:paraId="3B4F2917" w14:textId="164C27EB" w:rsidR="005F4F9F" w:rsidRDefault="00281E55" w:rsidP="0085330C">
      <w:pPr>
        <w:pStyle w:val="TOC1"/>
        <w:rPr>
          <w:b w:val="0"/>
          <w:noProof/>
        </w:rPr>
      </w:pPr>
      <w:r>
        <w:rPr>
          <w:b w:val="0"/>
          <w:noProof/>
        </w:rPr>
        <w:t>APPENDIX D: Instruments</w:t>
      </w:r>
    </w:p>
    <w:p w14:paraId="4FC23432" w14:textId="03111AE3" w:rsidR="007A0005" w:rsidRDefault="007A0005" w:rsidP="007A0005">
      <w:pPr>
        <w:pStyle w:val="TOC1"/>
        <w:rPr>
          <w:b w:val="0"/>
          <w:noProof/>
        </w:rPr>
      </w:pPr>
      <w:r>
        <w:rPr>
          <w:b w:val="0"/>
          <w:noProof/>
        </w:rPr>
        <w:t xml:space="preserve">APPENDIX E: </w:t>
      </w:r>
      <w:r w:rsidRPr="007A0005">
        <w:rPr>
          <w:b w:val="0"/>
          <w:noProof/>
        </w:rPr>
        <w:t xml:space="preserve">IELS 2018 School Coordinator </w:t>
      </w:r>
      <w:r>
        <w:rPr>
          <w:b w:val="0"/>
          <w:noProof/>
        </w:rPr>
        <w:t>Handbook</w:t>
      </w:r>
    </w:p>
    <w:p w14:paraId="27798ACC" w14:textId="4513D105" w:rsidR="00547611" w:rsidRDefault="00547611" w:rsidP="00547611">
      <w:pPr>
        <w:pStyle w:val="TOC1"/>
        <w:rPr>
          <w:b w:val="0"/>
          <w:noProof/>
        </w:rPr>
      </w:pPr>
      <w:r>
        <w:rPr>
          <w:b w:val="0"/>
          <w:noProof/>
        </w:rPr>
        <w:t xml:space="preserve">APPENDIX F: Recruitment Video </w:t>
      </w:r>
      <w:r w:rsidRPr="00547611">
        <w:rPr>
          <w:b w:val="0"/>
          <w:noProof/>
        </w:rPr>
        <w:t>Storyboards</w:t>
      </w:r>
    </w:p>
    <w:p w14:paraId="4268F66B" w14:textId="77777777" w:rsidR="007A0005" w:rsidRPr="00C44B81" w:rsidRDefault="007A0005" w:rsidP="0085330C">
      <w:pPr>
        <w:pStyle w:val="TOC1"/>
        <w:rPr>
          <w:b w:val="0"/>
          <w:noProof/>
        </w:rPr>
      </w:pPr>
    </w:p>
    <w:p w14:paraId="5E0F86CC" w14:textId="77777777" w:rsidR="005611C5" w:rsidRPr="00BA3FB2" w:rsidRDefault="005611C5" w:rsidP="007A0005">
      <w:pPr>
        <w:pStyle w:val="C1-CtrBoldHd"/>
        <w:tabs>
          <w:tab w:val="left" w:pos="450"/>
          <w:tab w:val="right" w:leader="dot" w:pos="8190"/>
          <w:tab w:val="right" w:leader="dot" w:pos="8640"/>
        </w:tabs>
        <w:spacing w:after="0"/>
        <w:ind w:left="360" w:right="720"/>
        <w:jc w:val="left"/>
      </w:pPr>
      <w:r w:rsidRPr="00BA3FB2">
        <w:br w:type="page"/>
      </w:r>
    </w:p>
    <w:p w14:paraId="5E0F86CD" w14:textId="77777777" w:rsidR="005611C5" w:rsidRPr="002200BF" w:rsidRDefault="005611C5" w:rsidP="00E75B50">
      <w:pPr>
        <w:pStyle w:val="Heading0"/>
        <w:spacing w:after="240" w:line="240" w:lineRule="auto"/>
      </w:pPr>
      <w:bookmarkStart w:id="1" w:name="_Toc511986611"/>
      <w:r w:rsidRPr="002200BF">
        <w:t>PREFACE</w:t>
      </w:r>
      <w:bookmarkEnd w:id="1"/>
    </w:p>
    <w:p w14:paraId="118BAD80" w14:textId="0F59F31F" w:rsidR="00124802" w:rsidRDefault="005611C5" w:rsidP="004A0772">
      <w:pPr>
        <w:pStyle w:val="BodyText1"/>
        <w:spacing w:before="0"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6F28FF">
        <w:t xml:space="preserve"> main study</w:t>
      </w:r>
      <w:r w:rsidR="00124802">
        <w:t>,</w:t>
      </w:r>
      <w:r w:rsidRPr="002200BF">
        <w:t xml:space="preserve"> </w:t>
      </w:r>
      <w:r w:rsidR="00124802">
        <w:t>scheduled to be conducted in 201</w:t>
      </w:r>
      <w:r w:rsidR="00E255EC">
        <w:t>8</w:t>
      </w:r>
      <w:r w:rsidR="00124802">
        <w:t xml:space="preserve">,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2A8D4B7F" w:rsidR="00124802" w:rsidRDefault="002200BF" w:rsidP="004A0772">
      <w:pPr>
        <w:pStyle w:val="ListParagraph"/>
        <w:numPr>
          <w:ilvl w:val="0"/>
          <w:numId w:val="17"/>
        </w:numPr>
        <w:spacing w:after="120" w:line="240" w:lineRule="auto"/>
        <w:jc w:val="left"/>
        <w:rPr>
          <w:rFonts w:ascii="Garamond" w:hAnsi="Garamond"/>
          <w:sz w:val="24"/>
        </w:rPr>
      </w:pPr>
      <w:r w:rsidRPr="0040549C">
        <w:rPr>
          <w:rFonts w:ascii="Garamond" w:hAnsi="Garamond"/>
          <w:sz w:val="24"/>
        </w:rPr>
        <w:t xml:space="preserve">Children’s early learning and development in a broad range of domains, including social </w:t>
      </w:r>
      <w:r w:rsidR="008F55B2">
        <w:rPr>
          <w:rFonts w:ascii="Garamond" w:hAnsi="Garamond"/>
          <w:sz w:val="24"/>
        </w:rPr>
        <w:t>and</w:t>
      </w:r>
      <w:r w:rsidRPr="0040549C">
        <w:rPr>
          <w:rFonts w:ascii="Garamond" w:hAnsi="Garamond"/>
          <w:sz w:val="24"/>
        </w:rPr>
        <w:t xml:space="preserve"> cognitive skills</w:t>
      </w:r>
      <w:r w:rsidR="0040549C">
        <w:rPr>
          <w:rFonts w:ascii="Garamond" w:hAnsi="Garamond"/>
          <w:sz w:val="24"/>
        </w:rPr>
        <w:t>;</w:t>
      </w:r>
    </w:p>
    <w:p w14:paraId="5929F6FD" w14:textId="368BB0B6" w:rsidR="002200BF" w:rsidRPr="0040549C" w:rsidRDefault="002200BF" w:rsidP="004A0772">
      <w:pPr>
        <w:pStyle w:val="ListParagraph"/>
        <w:numPr>
          <w:ilvl w:val="0"/>
          <w:numId w:val="17"/>
        </w:numPr>
        <w:spacing w:after="120" w:line="240"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4A0772">
      <w:pPr>
        <w:pStyle w:val="ListParagraph"/>
        <w:numPr>
          <w:ilvl w:val="0"/>
          <w:numId w:val="17"/>
        </w:numPr>
        <w:spacing w:after="120" w:line="240"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0F0EA019" w:rsidR="00124802" w:rsidRDefault="0040549C" w:rsidP="004A0772">
      <w:pPr>
        <w:pStyle w:val="ListParagraph"/>
        <w:numPr>
          <w:ilvl w:val="0"/>
          <w:numId w:val="17"/>
        </w:numPr>
        <w:spacing w:after="120" w:line="240"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w:t>
      </w:r>
      <w:r w:rsidR="00335332">
        <w:rPr>
          <w:rFonts w:ascii="Garamond" w:hAnsi="Garamond"/>
          <w:sz w:val="24"/>
        </w:rPr>
        <w:t>, or in the early stages</w:t>
      </w:r>
      <w:r w:rsidR="006C762F">
        <w:rPr>
          <w:rFonts w:ascii="Garamond" w:hAnsi="Garamond"/>
          <w:sz w:val="24"/>
        </w:rPr>
        <w:t>,</w:t>
      </w:r>
      <w:r w:rsidR="00335332">
        <w:rPr>
          <w:rFonts w:ascii="Garamond" w:hAnsi="Garamond"/>
          <w:sz w:val="24"/>
        </w:rPr>
        <w:t xml:space="preserve"> of</w:t>
      </w:r>
      <w:r>
        <w:rPr>
          <w:rFonts w:ascii="Garamond" w:hAnsi="Garamond"/>
          <w:sz w:val="24"/>
        </w:rPr>
        <w:t xml:space="preserve"> primary school.</w:t>
      </w:r>
    </w:p>
    <w:p w14:paraId="6FF48895" w14:textId="41D28DE7"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w:t>
      </w:r>
      <w:r w:rsidR="00043B87">
        <w:rPr>
          <w:rFonts w:ascii="Garamond" w:hAnsi="Garamond"/>
          <w:sz w:val="24"/>
        </w:rPr>
        <w:t>5-year</w:t>
      </w:r>
      <w:r w:rsidR="00A70284">
        <w:rPr>
          <w:rFonts w:ascii="Garamond" w:hAnsi="Garamond"/>
          <w:sz w:val="24"/>
        </w:rPr>
        <w:t>-</w:t>
      </w:r>
      <w:r w:rsidR="00043B87">
        <w:rPr>
          <w:rFonts w:ascii="Garamond" w:hAnsi="Garamond"/>
          <w:sz w:val="24"/>
        </w:rPr>
        <w:t xml:space="preserve">old </w:t>
      </w:r>
      <w:r w:rsidR="0040549C">
        <w:rPr>
          <w:rFonts w:ascii="Garamond" w:hAnsi="Garamond"/>
          <w:sz w:val="24"/>
        </w:rPr>
        <w:t xml:space="preserve">children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school</w:t>
      </w:r>
      <w:r w:rsidR="00043B87">
        <w:rPr>
          <w:rFonts w:ascii="Garamond" w:hAnsi="Garamond"/>
          <w:sz w:val="24"/>
        </w:rPr>
        <w:t>s</w:t>
      </w:r>
      <w:r w:rsidR="006E07BF">
        <w:rPr>
          <w:rFonts w:ascii="Garamond" w:hAnsi="Garamond"/>
          <w:sz w:val="24"/>
        </w:rPr>
        <w:t xml:space="preserve"> that </w:t>
      </w:r>
      <w:r w:rsidR="00A70284">
        <w:rPr>
          <w:rFonts w:ascii="Garamond" w:hAnsi="Garamond"/>
          <w:sz w:val="24"/>
        </w:rPr>
        <w:t>offer</w:t>
      </w:r>
      <w:r w:rsidR="006E07BF">
        <w:rPr>
          <w:rFonts w:ascii="Garamond" w:hAnsi="Garamond"/>
          <w:sz w:val="24"/>
        </w:rPr>
        <w:t xml:space="preserve"> kindergarten</w:t>
      </w:r>
      <w:r w:rsidR="00B02695">
        <w:rPr>
          <w:rFonts w:ascii="Garamond" w:hAnsi="Garamond"/>
          <w:sz w:val="24"/>
        </w:rPr>
        <w:t>,</w:t>
      </w:r>
      <w:r w:rsidR="000C503A">
        <w:rPr>
          <w:rFonts w:ascii="Garamond" w:hAnsi="Garamond"/>
          <w:sz w:val="24"/>
        </w:rPr>
        <w:t xml:space="preserve"> </w:t>
      </w:r>
      <w:r w:rsidR="0040549C">
        <w:rPr>
          <w:rFonts w:ascii="Garamond" w:hAnsi="Garamond"/>
          <w:sz w:val="24"/>
        </w:rPr>
        <w:t xml:space="preserve">through direct and indirect measures, and will collect contextual data about </w:t>
      </w:r>
      <w:r w:rsidR="00B02695">
        <w:rPr>
          <w:rFonts w:ascii="Garamond" w:hAnsi="Garamond"/>
          <w:sz w:val="24"/>
        </w:rPr>
        <w:t>the children’s</w:t>
      </w:r>
      <w:r w:rsidR="0040549C">
        <w:rPr>
          <w:rFonts w:ascii="Garamond" w:hAnsi="Garamond"/>
          <w:sz w:val="24"/>
        </w:rPr>
        <w:t xml:space="preserve">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r w:rsidR="00A008CF">
        <w:rPr>
          <w:rStyle w:val="FootnoteReference"/>
          <w:rFonts w:ascii="Garamond" w:hAnsi="Garamond"/>
          <w:sz w:val="24"/>
        </w:rPr>
        <w:footnoteReference w:id="2"/>
      </w:r>
      <w:r w:rsidR="008E4DD5" w:rsidRPr="008445EC">
        <w:rPr>
          <w:rFonts w:ascii="Garamond" w:hAnsi="Garamond"/>
          <w:sz w:val="24"/>
        </w:rPr>
        <w:t>.</w:t>
      </w:r>
    </w:p>
    <w:p w14:paraId="0B1E8313" w14:textId="3B10C1B3" w:rsidR="0040549C" w:rsidRDefault="0040549C" w:rsidP="0040549C">
      <w:pPr>
        <w:pStyle w:val="BodyText1"/>
      </w:pPr>
      <w:r>
        <w:t>In the United States, IELS is conducted by the National Center for Education Statistics (NCES)</w:t>
      </w:r>
      <w:r w:rsidR="00B02695">
        <w:t>, part of the</w:t>
      </w:r>
      <w:r>
        <w:t xml:space="preserve"> </w:t>
      </w:r>
      <w:r w:rsidR="00B02695">
        <w:t>U.S. Department of Education’s</w:t>
      </w:r>
      <w:r>
        <w:t xml:space="preserve"> Institute of Education Scie</w:t>
      </w:r>
      <w:r w:rsidR="00B02695">
        <w:t>nces (IES)</w:t>
      </w:r>
      <w:r w:rsidR="00904762">
        <w:t>.</w:t>
      </w:r>
      <w:r w:rsidR="00091391">
        <w:t xml:space="preserve"> </w:t>
      </w:r>
      <w:r w:rsidR="00B02695">
        <w:t xml:space="preserve">NCES, with the support of IELS 2018 U.S. data collection contractor, </w:t>
      </w:r>
      <w:r w:rsidR="00091391">
        <w:t>Westat</w:t>
      </w:r>
      <w:r w:rsidR="00B02695">
        <w:t xml:space="preserve">, </w:t>
      </w:r>
      <w:r w:rsidR="00904762" w:rsidRPr="003D6A50">
        <w:rPr>
          <w:szCs w:val="22"/>
          <w:lang w:val="de-DE"/>
        </w:rPr>
        <w:t>ensur</w:t>
      </w:r>
      <w:r w:rsidR="00050E91">
        <w:rPr>
          <w:szCs w:val="22"/>
          <w:lang w:val="de-DE"/>
        </w:rPr>
        <w:t>es</w:t>
      </w:r>
      <w:r w:rsidR="00904762" w:rsidRPr="003D6A50">
        <w:rPr>
          <w:szCs w:val="22"/>
          <w:lang w:val="de-DE"/>
        </w:rPr>
        <w:t xml:space="preserve"> proper implementation of the study and adoption of practices in adherence to the </w:t>
      </w:r>
      <w:r w:rsidR="00904762">
        <w:rPr>
          <w:szCs w:val="22"/>
          <w:lang w:val="de-DE"/>
        </w:rPr>
        <w:t>OECD‘s</w:t>
      </w:r>
      <w:r w:rsidR="00904762" w:rsidRPr="003D6A50">
        <w:rPr>
          <w:szCs w:val="22"/>
          <w:lang w:val="de-DE"/>
        </w:rPr>
        <w:t xml:space="preserve"> standards</w:t>
      </w:r>
      <w:r>
        <w:t>.</w:t>
      </w:r>
      <w:r w:rsidR="00124802">
        <w:t xml:space="preserve"> </w:t>
      </w:r>
      <w:r w:rsidR="00771204">
        <w:t xml:space="preserve">The </w:t>
      </w:r>
      <w:r>
        <w:t xml:space="preserve">IELS is a collaboration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753EDFB8" w14:textId="72C07C31" w:rsidR="00EC035D" w:rsidRDefault="005611C5" w:rsidP="00841EFA">
      <w:pPr>
        <w:pStyle w:val="BodyText1"/>
        <w:spacing w:before="0"/>
      </w:pPr>
      <w:r>
        <w:t xml:space="preserve">To prepare for the main study, </w:t>
      </w:r>
      <w:r w:rsidR="008445EC">
        <w:t>which will be conducted from</w:t>
      </w:r>
      <w:r w:rsidR="00904762">
        <w:t xml:space="preserve"> </w:t>
      </w:r>
      <w:r w:rsidR="008A7768">
        <w:t>October</w:t>
      </w:r>
      <w:r w:rsidR="008445EC">
        <w:t xml:space="preserve"> to </w:t>
      </w:r>
      <w:r w:rsidR="006F28FF">
        <w:t>December</w:t>
      </w:r>
      <w:r w:rsidR="008445EC" w:rsidRPr="00E61481">
        <w:t xml:space="preserve"> 201</w:t>
      </w:r>
      <w:r w:rsidR="008445EC">
        <w:t xml:space="preserve">8, </w:t>
      </w:r>
      <w:r w:rsidR="003E7CF1">
        <w:t xml:space="preserve">the </w:t>
      </w:r>
      <w:r w:rsidR="0040549C">
        <w:t>IELS</w:t>
      </w:r>
      <w:r>
        <w:t xml:space="preserve"> countries conduct</w:t>
      </w:r>
      <w:r w:rsidR="006F28FF">
        <w:t>ed</w:t>
      </w:r>
      <w:r>
        <w:t xml:space="preserve"> a </w:t>
      </w:r>
      <w:r w:rsidR="00CA2440">
        <w:t>field test</w:t>
      </w:r>
      <w:r>
        <w:t xml:space="preserve"> in the </w:t>
      </w:r>
      <w:r w:rsidR="0040549C">
        <w:t>fall</w:t>
      </w:r>
      <w:r>
        <w:t xml:space="preserve"> of 201</w:t>
      </w:r>
      <w:r w:rsidR="00DD77B4">
        <w:t>7</w:t>
      </w:r>
      <w:r w:rsidR="00017F17">
        <w:t xml:space="preserve"> </w:t>
      </w:r>
      <w:r w:rsidR="00A3143F">
        <w:t>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w:t>
      </w:r>
      <w:r w:rsidRPr="00DF0307">
        <w:t xml:space="preserve">data collection </w:t>
      </w:r>
      <w:r w:rsidR="007720A7">
        <w:t>occurred</w:t>
      </w:r>
      <w:r w:rsidRPr="00DF0307">
        <w:t xml:space="preserve"> from </w:t>
      </w:r>
      <w:r w:rsidR="008F55B2" w:rsidRPr="00DF0307">
        <w:t xml:space="preserve">November </w:t>
      </w:r>
      <w:r w:rsidR="006F28FF">
        <w:t xml:space="preserve">6 </w:t>
      </w:r>
      <w:r w:rsidR="008F55B2" w:rsidRPr="00DF0307">
        <w:t>to December</w:t>
      </w:r>
      <w:r w:rsidR="003E7CF1" w:rsidRPr="00DF0307">
        <w:t xml:space="preserve"> </w:t>
      </w:r>
      <w:r w:rsidR="006F28FF">
        <w:t xml:space="preserve">20, </w:t>
      </w:r>
      <w:r w:rsidR="003E7CF1" w:rsidRPr="00DF0307">
        <w:t>2017</w:t>
      </w:r>
      <w:r w:rsidR="00F653B0" w:rsidRPr="00DF0307">
        <w:t xml:space="preserve">. </w:t>
      </w:r>
      <w:r w:rsidR="00EC035D" w:rsidRPr="00DF0307">
        <w:t xml:space="preserve">In addition, main study recruitment activities with states and districts </w:t>
      </w:r>
      <w:r w:rsidR="006F28FF">
        <w:t>began</w:t>
      </w:r>
      <w:r w:rsidR="00EC035D" w:rsidRPr="00DF0307">
        <w:t xml:space="preserve"> in September 2017 to allow enough time to gain cooperation prior to contacting schools in early winter 2018. </w:t>
      </w:r>
      <w:r w:rsidR="00F653B0" w:rsidRPr="00DF0307">
        <w:t xml:space="preserve">Because </w:t>
      </w:r>
      <w:r w:rsidR="00EB01B9" w:rsidRPr="00DF0307">
        <w:t xml:space="preserve">the </w:t>
      </w:r>
      <w:r w:rsidR="00F653B0" w:rsidRPr="00DF0307">
        <w:t xml:space="preserve">IELS is a collaborative effort among many parties, </w:t>
      </w:r>
      <w:r w:rsidR="00A70284" w:rsidRPr="00DF0307">
        <w:t xml:space="preserve">the </w:t>
      </w:r>
      <w:r w:rsidR="008445EC" w:rsidRPr="00DF0307">
        <w:t>U.S.</w:t>
      </w:r>
      <w:r w:rsidR="00F653B0" w:rsidRPr="00DF0307">
        <w:t xml:space="preserve"> must adhere to the international schedule set forth by the OECD, including the availability </w:t>
      </w:r>
      <w:r w:rsidR="00F653B0" w:rsidRPr="007B3BC9">
        <w:t xml:space="preserve">of </w:t>
      </w:r>
      <w:r w:rsidR="00DD007A">
        <w:t xml:space="preserve">the </w:t>
      </w:r>
      <w:r w:rsidR="00F653B0" w:rsidRPr="007B3BC9">
        <w:t>final main study plans</w:t>
      </w:r>
      <w:r w:rsidR="008445EC">
        <w:t xml:space="preserve"> and </w:t>
      </w:r>
      <w:r w:rsidR="00F653B0" w:rsidRPr="007B3BC9">
        <w:t>questionnaires.</w:t>
      </w:r>
    </w:p>
    <w:p w14:paraId="530C56AA" w14:textId="711ADAB5" w:rsidR="00D04730" w:rsidRDefault="00D04730" w:rsidP="00AD6FC1">
      <w:pPr>
        <w:pStyle w:val="BodyText1"/>
        <w:widowControl w:val="0"/>
        <w:spacing w:before="0"/>
      </w:pPr>
      <w:r>
        <w:t>I</w:t>
      </w:r>
      <w:r w:rsidRPr="00D04730">
        <w:t>n September 2017</w:t>
      </w:r>
      <w:r>
        <w:t>,</w:t>
      </w:r>
      <w:r w:rsidRPr="00D04730">
        <w:t xml:space="preserve"> </w:t>
      </w:r>
      <w:r w:rsidRPr="004F19E7">
        <w:t xml:space="preserve">OMB approved the initial phase of this collection </w:t>
      </w:r>
      <w:r>
        <w:t xml:space="preserve">as part of </w:t>
      </w:r>
      <w:r w:rsidRPr="00D04730">
        <w:t xml:space="preserve">request to conduct </w:t>
      </w:r>
      <w:r>
        <w:t xml:space="preserve">the </w:t>
      </w:r>
      <w:r w:rsidRPr="00D04730">
        <w:t xml:space="preserve">2017 IELS field test data collection and recruitment for the IELS 2018 main study (OMB# 1850-0936 v.3-4). </w:t>
      </w:r>
      <w:r w:rsidRPr="00E96B73">
        <w:t xml:space="preserve">With </w:t>
      </w:r>
      <w:r>
        <w:t>those</w:t>
      </w:r>
      <w:r w:rsidRPr="00E96B73">
        <w:t xml:space="preserve"> submission</w:t>
      </w:r>
      <w:r>
        <w:t>s</w:t>
      </w:r>
      <w:r w:rsidRPr="00E96B73">
        <w:t>, NCES adequately justified the need for and overall practical utility of the main study as proposed</w:t>
      </w:r>
      <w:r>
        <w:t>,</w:t>
      </w:r>
      <w:r w:rsidRPr="00E96B73">
        <w:t xml:space="preserve"> and an overarching plan for the phases of the data collection over the next 3 years, and provided as much detail on the measures to be used as was available at the time of the submission. Thus OMB approved all aspects of the initial phase of this collection, and now NCES published a notice in the Federal Register allowing a 30-day public comment period on the details of the subsequent phase of </w:t>
      </w:r>
      <w:r>
        <w:t>the IELS 2018 main study</w:t>
      </w:r>
      <w:r w:rsidRPr="00E96B73">
        <w:t xml:space="preserve"> collection described in this submission.</w:t>
      </w:r>
      <w:r>
        <w:t xml:space="preserve"> </w:t>
      </w:r>
      <w:r w:rsidRPr="00D04730">
        <w:t>This request is to conduct the IELS 2018 main study</w:t>
      </w:r>
      <w:r>
        <w:t xml:space="preserve">. </w:t>
      </w:r>
      <w:r w:rsidR="00DD007A">
        <w:t xml:space="preserve">The </w:t>
      </w:r>
      <w:r w:rsidR="00BC0106">
        <w:t xml:space="preserve">IELS main study </w:t>
      </w:r>
      <w:r w:rsidR="003D3521">
        <w:t>procedures</w:t>
      </w:r>
      <w:r w:rsidR="004B57AD" w:rsidRPr="005E5F28">
        <w:t xml:space="preserve"> and materials </w:t>
      </w:r>
      <w:r w:rsidR="00070B92">
        <w:t xml:space="preserve">are based on those used in the field test and are </w:t>
      </w:r>
      <w:r>
        <w:t>provided in</w:t>
      </w:r>
      <w:r w:rsidR="00050E91">
        <w:t xml:space="preserve"> this submission</w:t>
      </w:r>
      <w:r w:rsidR="00070B92">
        <w:t>.</w:t>
      </w:r>
      <w:r w:rsidR="00AD6FC1">
        <w:t xml:space="preserve"> </w:t>
      </w:r>
      <w:r w:rsidR="00D15F1D">
        <w:t>A</w:t>
      </w:r>
      <w:r w:rsidR="00D15F1D" w:rsidRPr="00EF1877">
        <w:t>ppendi</w:t>
      </w:r>
      <w:r w:rsidR="00D15F1D">
        <w:t>ces</w:t>
      </w:r>
      <w:r w:rsidR="00D15F1D" w:rsidRPr="00EF1877">
        <w:t xml:space="preserve"> </w:t>
      </w:r>
      <w:r w:rsidR="00D15F1D">
        <w:t>A-C and E provide all recruitment, consent, and administrative data collection materials, including the content of MyIELS portal</w:t>
      </w:r>
      <w:r w:rsidR="00D15F1D" w:rsidRPr="00EF1877">
        <w:t>.</w:t>
      </w:r>
      <w:r w:rsidR="00D15F1D">
        <w:t xml:space="preserve"> </w:t>
      </w:r>
      <w:r w:rsidR="00EF1877" w:rsidRPr="00C13D4B">
        <w:t xml:space="preserve">The </w:t>
      </w:r>
      <w:r w:rsidR="00D15F1D">
        <w:t>final national</w:t>
      </w:r>
      <w:r w:rsidR="000E0EA0">
        <w:t xml:space="preserve"> versions</w:t>
      </w:r>
      <w:r w:rsidR="00EF1877" w:rsidRPr="00C13D4B">
        <w:t xml:space="preserve"> </w:t>
      </w:r>
      <w:r w:rsidR="00C1200A">
        <w:t xml:space="preserve">of </w:t>
      </w:r>
      <w:r w:rsidR="00EF1877" w:rsidRPr="00C13D4B">
        <w:t>parent and teacher questionnaires</w:t>
      </w:r>
      <w:r w:rsidR="001B57A5" w:rsidRPr="00C13D4B">
        <w:t xml:space="preserve"> are </w:t>
      </w:r>
      <w:r w:rsidR="007A0005">
        <w:t>provid</w:t>
      </w:r>
      <w:r w:rsidR="006F28FF" w:rsidRPr="00C13D4B">
        <w:t xml:space="preserve">ed in Appendix </w:t>
      </w:r>
      <w:r w:rsidR="00281E55">
        <w:t>D</w:t>
      </w:r>
      <w:r w:rsidR="00D15F1D">
        <w:t>.</w:t>
      </w:r>
    </w:p>
    <w:p w14:paraId="5E0F86E0" w14:textId="453D6941" w:rsidR="005611C5" w:rsidRDefault="005611C5" w:rsidP="004B626E">
      <w:pPr>
        <w:pStyle w:val="Heading0"/>
        <w:spacing w:before="240" w:after="120"/>
      </w:pPr>
      <w:bookmarkStart w:id="3" w:name="_Toc511986612"/>
      <w:r>
        <w:t>A.</w:t>
      </w:r>
      <w:r w:rsidR="00FA3B61">
        <w:t xml:space="preserve"> </w:t>
      </w:r>
      <w:r w:rsidRPr="00244B12">
        <w:t>JUSTIFICATION</w:t>
      </w:r>
      <w:bookmarkEnd w:id="3"/>
    </w:p>
    <w:p w14:paraId="5E0F86E1" w14:textId="77777777" w:rsidR="005611C5" w:rsidRDefault="005611C5" w:rsidP="00D927E0">
      <w:pPr>
        <w:pStyle w:val="Heading1"/>
        <w:tabs>
          <w:tab w:val="clear" w:pos="1152"/>
          <w:tab w:val="left" w:pos="0"/>
        </w:tabs>
        <w:spacing w:before="120" w:line="240" w:lineRule="auto"/>
        <w:ind w:left="720" w:hanging="720"/>
      </w:pPr>
      <w:bookmarkStart w:id="4" w:name="_Toc511986613"/>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5E0F86EA" w14:textId="6B511309" w:rsidR="005611C5" w:rsidRPr="00841EFA" w:rsidRDefault="009F7AD8" w:rsidP="00D927E0">
      <w:pPr>
        <w:pStyle w:val="Heading1"/>
        <w:tabs>
          <w:tab w:val="clear" w:pos="1152"/>
          <w:tab w:val="left" w:pos="0"/>
        </w:tabs>
        <w:spacing w:before="120" w:line="240" w:lineRule="auto"/>
        <w:ind w:left="720" w:hanging="720"/>
      </w:pPr>
      <w:bookmarkStart w:id="5" w:name="_Toc511986614"/>
      <w:r w:rsidRPr="00841EFA">
        <w:t>A.</w:t>
      </w:r>
      <w:r w:rsidR="00DF0307">
        <w:t>2</w:t>
      </w:r>
      <w:r w:rsidRPr="00841EFA">
        <w:tab/>
      </w:r>
      <w:r w:rsidR="005611C5" w:rsidRPr="00841EFA">
        <w:t>Purposes and Uses of Data</w:t>
      </w:r>
      <w:bookmarkEnd w:id="5"/>
    </w:p>
    <w:p w14:paraId="6A1C12D1" w14:textId="77777777" w:rsidR="00DF0307" w:rsidRPr="00DF0307" w:rsidRDefault="00DF0307" w:rsidP="00DF0307">
      <w:pPr>
        <w:pStyle w:val="BodyText1"/>
        <w:rPr>
          <w:b/>
        </w:rPr>
      </w:pPr>
      <w:bookmarkStart w:id="6" w:name="_Toc488670086"/>
      <w:r w:rsidRPr="00DF0307">
        <w:rPr>
          <w:b/>
        </w:rPr>
        <w:t>Overview of the IELS Study Design</w:t>
      </w:r>
      <w:bookmarkEnd w:id="6"/>
    </w:p>
    <w:p w14:paraId="0452BF2F" w14:textId="62162ABD" w:rsidR="00DF0307" w:rsidRPr="00DF0307" w:rsidRDefault="00DF0307" w:rsidP="00AD6FC1">
      <w:pPr>
        <w:pStyle w:val="BodyText1"/>
        <w:widowControl w:val="0"/>
      </w:pPr>
      <w:bookmarkStart w:id="7" w:name="_Toc488670087"/>
      <w:r w:rsidRPr="00841EFA">
        <w:t xml:space="preserve">The IELS </w:t>
      </w:r>
      <w:r w:rsidRPr="00DF0307">
        <w:t xml:space="preserve">2018 </w:t>
      </w:r>
      <w:r w:rsidRPr="00841EFA">
        <w:t>will collect data on a nationally representative sample that will yield approximately 3,000 assessed five-year-old children</w:t>
      </w:r>
      <w:r w:rsidRPr="006F28FF">
        <w:rPr>
          <w:vertAlign w:val="superscript"/>
        </w:rPr>
        <w:footnoteReference w:id="3"/>
      </w:r>
      <w:r w:rsidRPr="00841EFA">
        <w:t xml:space="preserve"> enrolled in 200 schools through the United States. </w:t>
      </w:r>
      <w:bookmarkStart w:id="8" w:name="_Toc488670088"/>
      <w:bookmarkEnd w:id="7"/>
      <w:r w:rsidR="009B3540">
        <w:t>As in the 2017 field test, t</w:t>
      </w:r>
      <w:r w:rsidRPr="00841EFA">
        <w:t xml:space="preserve">he data collection for the main study will include direct child assessments and online parent and teacher questionnaires. Instruments have been </w:t>
      </w:r>
      <w:r w:rsidR="003F6DFD" w:rsidRPr="00841EFA">
        <w:t>developed</w:t>
      </w:r>
      <w:r w:rsidRPr="00841EFA">
        <w:t xml:space="preserve"> based on frameworks that define the constructs and provide specifications for distributions of items by framework dimensions. </w:t>
      </w:r>
      <w:r w:rsidR="009B3540">
        <w:t>In order to develop the main study instruments,</w:t>
      </w:r>
      <w:r w:rsidR="00DC23F1">
        <w:t xml:space="preserve"> </w:t>
      </w:r>
      <w:r w:rsidR="009B3540">
        <w:t xml:space="preserve">the field test </w:t>
      </w:r>
      <w:r w:rsidRPr="00841EFA">
        <w:t xml:space="preserve">cognitive and non-cognitive items </w:t>
      </w:r>
      <w:r w:rsidR="009B3540">
        <w:t>were</w:t>
      </w:r>
      <w:r w:rsidRPr="00841EFA">
        <w:t xml:space="preserve"> evaluated for bias and interpretation issues, following standard protocols. For the main study, the pool of items </w:t>
      </w:r>
      <w:r w:rsidR="009B3540">
        <w:t>was</w:t>
      </w:r>
      <w:r w:rsidRPr="00841EFA">
        <w:t xml:space="preserve"> reduced to only include those that demonstrate validity across the participating education systems, meet the goals of content coverage to adequately measure the frameworks, and provide the desired distribution of item types.</w:t>
      </w:r>
      <w:bookmarkEnd w:id="8"/>
    </w:p>
    <w:p w14:paraId="757D1CE7" w14:textId="29357A71"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Cognitive Assessments.</w:t>
      </w:r>
      <w:r w:rsidRPr="00841EFA">
        <w:rPr>
          <w:rFonts w:ascii="Garamond" w:hAnsi="Garamond"/>
          <w:sz w:val="24"/>
          <w:szCs w:val="24"/>
        </w:rPr>
        <w:t xml:space="preserve"> </w:t>
      </w:r>
      <w:r w:rsidR="009B3540">
        <w:rPr>
          <w:rFonts w:ascii="Garamond" w:hAnsi="Garamond"/>
          <w:sz w:val="24"/>
          <w:szCs w:val="24"/>
        </w:rPr>
        <w:t>The</w:t>
      </w:r>
      <w:r w:rsidRPr="00841EFA">
        <w:rPr>
          <w:rFonts w:ascii="Garamond" w:hAnsi="Garamond"/>
          <w:sz w:val="24"/>
          <w:szCs w:val="24"/>
        </w:rPr>
        <w:t xml:space="preserve"> IELS assessment will be comprised of four domains: emerging literacy, emerging numeracy, empathy and trust, and self-regulation. Each assessment will be monitored by a trained assessor, using a tablet. Each item will be read aloud to the child</w:t>
      </w:r>
      <w:r w:rsidR="009B3540">
        <w:rPr>
          <w:rFonts w:ascii="Garamond" w:hAnsi="Garamond"/>
          <w:sz w:val="24"/>
          <w:szCs w:val="24"/>
        </w:rPr>
        <w:t>, using the microphone feature of the tablet</w:t>
      </w:r>
      <w:r w:rsidRPr="00841EFA">
        <w:rPr>
          <w:rFonts w:ascii="Garamond" w:hAnsi="Garamond"/>
          <w:sz w:val="24"/>
          <w:szCs w:val="24"/>
        </w:rPr>
        <w:t xml:space="preserve">. </w:t>
      </w:r>
      <w:r w:rsidR="00533AD3">
        <w:rPr>
          <w:rFonts w:ascii="Garamond" w:hAnsi="Garamond"/>
          <w:sz w:val="24"/>
          <w:szCs w:val="24"/>
        </w:rPr>
        <w:t xml:space="preserve">Headphones will be available for children to use in cases where there is a lot of distraction or noise in the assessment space. </w:t>
      </w:r>
      <w:r w:rsidRPr="00841EFA">
        <w:rPr>
          <w:rFonts w:ascii="Garamond" w:hAnsi="Garamond"/>
          <w:sz w:val="24"/>
          <w:szCs w:val="24"/>
        </w:rPr>
        <w:t xml:space="preserve">The child will be asked to respond </w:t>
      </w:r>
      <w:r>
        <w:rPr>
          <w:rFonts w:ascii="Garamond" w:hAnsi="Garamond"/>
          <w:sz w:val="24"/>
          <w:szCs w:val="24"/>
        </w:rPr>
        <w:t xml:space="preserve">to </w:t>
      </w:r>
      <w:r w:rsidRPr="00841EFA">
        <w:rPr>
          <w:rFonts w:ascii="Garamond" w:hAnsi="Garamond"/>
          <w:sz w:val="24"/>
          <w:szCs w:val="24"/>
        </w:rPr>
        <w:t>questions in a variety of methods, including tapping on a picture or dragging and dropping items. After a brief introductory session where the assessor demonstrates to the child how to use the tablet to respond to questions and the child answers a few practice items, the assessment will begin. The play-based assessment is untimed and self-</w:t>
      </w:r>
      <w:r w:rsidR="003F6DFD" w:rsidRPr="00841EFA">
        <w:rPr>
          <w:rFonts w:ascii="Garamond" w:hAnsi="Garamond"/>
          <w:sz w:val="24"/>
          <w:szCs w:val="24"/>
        </w:rPr>
        <w:t>administered</w:t>
      </w:r>
      <w:r w:rsidRPr="00841EFA">
        <w:rPr>
          <w:rFonts w:ascii="Garamond" w:hAnsi="Garamond"/>
          <w:sz w:val="24"/>
          <w:szCs w:val="24"/>
        </w:rPr>
        <w:t>, although the assessor will be available to respond to questions, demonstrate how to answer items if needed, and intervene if technical issues with the hardware or software arise. The assessment is expected to last approximately 60 minutes, although it will be broken into two sessions spread across two days. That is, each child will complete on average a 30-minute session on day 1 and another 30-minute session on day 2.</w:t>
      </w:r>
    </w:p>
    <w:p w14:paraId="5BCAB7E9" w14:textId="669946AF"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Parent questionnaire.</w:t>
      </w:r>
      <w:r w:rsidRPr="00841EFA">
        <w:rPr>
          <w:rFonts w:ascii="Garamond" w:hAnsi="Garamond"/>
          <w:sz w:val="24"/>
          <w:szCs w:val="24"/>
        </w:rPr>
        <w:t xml:space="preserve"> One parent or guardian of each student will be asked to complete a brief online survey. If </w:t>
      </w:r>
      <w:r w:rsidR="003F6DFD" w:rsidRPr="00841EFA">
        <w:rPr>
          <w:rFonts w:ascii="Garamond" w:hAnsi="Garamond"/>
          <w:sz w:val="24"/>
          <w:szCs w:val="24"/>
        </w:rPr>
        <w:t>preferred</w:t>
      </w:r>
      <w:r w:rsidRPr="00841EFA">
        <w:rPr>
          <w:rFonts w:ascii="Garamond" w:hAnsi="Garamond"/>
          <w:sz w:val="24"/>
          <w:szCs w:val="24"/>
        </w:rPr>
        <w:t xml:space="preserve">, a paper-and-pencil version can be requested. The questionnaire asks demographic questions as well as questions about the child’s early learning environment and experiences, social skills, and participation in child care. </w:t>
      </w:r>
      <w:r w:rsidRPr="00EF1877">
        <w:rPr>
          <w:rFonts w:ascii="Garamond" w:hAnsi="Garamond"/>
          <w:sz w:val="24"/>
          <w:szCs w:val="24"/>
        </w:rPr>
        <w:t xml:space="preserve">The English questionnaire </w:t>
      </w:r>
      <w:r w:rsidR="000C5454">
        <w:rPr>
          <w:rFonts w:ascii="Garamond" w:hAnsi="Garamond"/>
          <w:sz w:val="24"/>
          <w:szCs w:val="24"/>
        </w:rPr>
        <w:t>are</w:t>
      </w:r>
      <w:r w:rsidR="000E0EA0">
        <w:rPr>
          <w:rFonts w:ascii="Garamond" w:hAnsi="Garamond"/>
          <w:sz w:val="24"/>
          <w:szCs w:val="24"/>
        </w:rPr>
        <w:t xml:space="preserve"> also available in </w:t>
      </w:r>
      <w:r w:rsidRPr="00EF1877">
        <w:rPr>
          <w:rFonts w:ascii="Garamond" w:hAnsi="Garamond"/>
          <w:sz w:val="24"/>
          <w:szCs w:val="24"/>
        </w:rPr>
        <w:t>Spanish (</w:t>
      </w:r>
      <w:r w:rsidR="000C5454">
        <w:rPr>
          <w:rFonts w:ascii="Garamond" w:hAnsi="Garamond"/>
          <w:sz w:val="24"/>
          <w:szCs w:val="24"/>
        </w:rPr>
        <w:t>see</w:t>
      </w:r>
      <w:r w:rsidR="000E0EA0">
        <w:rPr>
          <w:rFonts w:ascii="Garamond" w:hAnsi="Garamond"/>
          <w:sz w:val="24"/>
          <w:szCs w:val="24"/>
        </w:rPr>
        <w:t xml:space="preserve"> </w:t>
      </w:r>
      <w:r w:rsidR="00F74DBC">
        <w:rPr>
          <w:rFonts w:ascii="Garamond" w:hAnsi="Garamond"/>
          <w:sz w:val="24"/>
          <w:szCs w:val="24"/>
        </w:rPr>
        <w:t>Appendix D</w:t>
      </w:r>
      <w:r w:rsidR="000E0EA0">
        <w:rPr>
          <w:rFonts w:ascii="Garamond" w:hAnsi="Garamond"/>
          <w:sz w:val="24"/>
          <w:szCs w:val="24"/>
        </w:rPr>
        <w:t>)</w:t>
      </w:r>
      <w:r w:rsidR="002705C3">
        <w:rPr>
          <w:rFonts w:ascii="Garamond" w:hAnsi="Garamond"/>
          <w:sz w:val="24"/>
          <w:szCs w:val="24"/>
        </w:rPr>
        <w:t>.</w:t>
      </w:r>
    </w:p>
    <w:p w14:paraId="0AFE585D" w14:textId="72638079" w:rsidR="00DF0307" w:rsidRPr="00841EFA"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Teacher questionnaire.</w:t>
      </w:r>
      <w:r w:rsidRPr="00841EFA">
        <w:rPr>
          <w:rFonts w:ascii="Garamond" w:hAnsi="Garamond"/>
          <w:sz w:val="24"/>
          <w:szCs w:val="24"/>
        </w:rPr>
        <w:t xml:space="preserve"> Teachers of selected students will be asked to complete an online</w:t>
      </w:r>
      <w:r>
        <w:rPr>
          <w:rFonts w:ascii="Garamond" w:hAnsi="Garamond"/>
          <w:sz w:val="24"/>
          <w:szCs w:val="24"/>
        </w:rPr>
        <w:t xml:space="preserve"> </w:t>
      </w:r>
      <w:r w:rsidRPr="00841EFA">
        <w:rPr>
          <w:rFonts w:ascii="Garamond" w:hAnsi="Garamond"/>
          <w:sz w:val="24"/>
          <w:szCs w:val="24"/>
        </w:rPr>
        <w:t xml:space="preserve">questionnaire, which includes questions about their professional background (about 3 minutes to complete) and the skills and abilities of the students selected for the study (about 5 minutes per child, with an average of </w:t>
      </w:r>
      <w:r w:rsidR="002D5775">
        <w:rPr>
          <w:rFonts w:ascii="Garamond" w:hAnsi="Garamond"/>
          <w:sz w:val="24"/>
          <w:szCs w:val="24"/>
        </w:rPr>
        <w:t>4</w:t>
      </w:r>
      <w:r w:rsidR="00EF1877" w:rsidRPr="00841EFA">
        <w:rPr>
          <w:rFonts w:ascii="Garamond" w:hAnsi="Garamond"/>
          <w:sz w:val="24"/>
          <w:szCs w:val="24"/>
        </w:rPr>
        <w:t xml:space="preserve"> </w:t>
      </w:r>
      <w:r w:rsidRPr="00841EFA">
        <w:rPr>
          <w:rFonts w:ascii="Garamond" w:hAnsi="Garamond"/>
          <w:sz w:val="24"/>
          <w:szCs w:val="24"/>
        </w:rPr>
        <w:t>students per teacher). The survey does not need to be completed in a single session. Paper-and-pencil versions of the surveys will be available upon request</w:t>
      </w:r>
      <w:r>
        <w:rPr>
          <w:rFonts w:ascii="Garamond" w:hAnsi="Garamond"/>
          <w:sz w:val="24"/>
          <w:szCs w:val="24"/>
        </w:rPr>
        <w:t xml:space="preserve"> (</w:t>
      </w:r>
      <w:r w:rsidR="00F74DBC">
        <w:rPr>
          <w:rFonts w:ascii="Garamond" w:hAnsi="Garamond"/>
          <w:sz w:val="24"/>
          <w:szCs w:val="24"/>
        </w:rPr>
        <w:t>s</w:t>
      </w:r>
      <w:r w:rsidRPr="00EF1877">
        <w:rPr>
          <w:rFonts w:ascii="Garamond" w:hAnsi="Garamond"/>
          <w:sz w:val="24"/>
          <w:szCs w:val="24"/>
        </w:rPr>
        <w:t xml:space="preserve">ee </w:t>
      </w:r>
      <w:r w:rsidR="003A3101" w:rsidRPr="00EF1877">
        <w:rPr>
          <w:rFonts w:ascii="Garamond" w:hAnsi="Garamond"/>
          <w:sz w:val="24"/>
          <w:szCs w:val="24"/>
        </w:rPr>
        <w:t xml:space="preserve">Appendix </w:t>
      </w:r>
      <w:r w:rsidR="00281E55">
        <w:rPr>
          <w:rFonts w:ascii="Garamond" w:hAnsi="Garamond"/>
          <w:sz w:val="24"/>
          <w:szCs w:val="24"/>
        </w:rPr>
        <w:t>D</w:t>
      </w:r>
      <w:r>
        <w:rPr>
          <w:rFonts w:ascii="Garamond" w:hAnsi="Garamond"/>
          <w:sz w:val="24"/>
          <w:szCs w:val="24"/>
        </w:rPr>
        <w:t>)</w:t>
      </w:r>
      <w:r w:rsidRPr="00841EFA">
        <w:rPr>
          <w:rFonts w:ascii="Garamond" w:hAnsi="Garamond"/>
          <w:sz w:val="24"/>
          <w:szCs w:val="24"/>
        </w:rPr>
        <w:t>.</w:t>
      </w:r>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0C88E9AF" w14:textId="03351F44" w:rsidR="00DF0307" w:rsidRPr="00DF0307" w:rsidRDefault="00DF0307" w:rsidP="00BD7BA6">
      <w:pPr>
        <w:pStyle w:val="BodyText1"/>
        <w:rPr>
          <w:b/>
        </w:rPr>
      </w:pPr>
      <w:r w:rsidRPr="00DF0307">
        <w:rPr>
          <w:b/>
        </w:rPr>
        <w:t>Purposes of Data</w:t>
      </w:r>
    </w:p>
    <w:p w14:paraId="5E0F86ED" w14:textId="35942DA6" w:rsidR="005611C5" w:rsidRDefault="00C325D6" w:rsidP="004A0772">
      <w:pPr>
        <w:pStyle w:val="BodyText1"/>
        <w:widowControl w:val="0"/>
        <w:spacing w:after="0"/>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w:t>
      </w:r>
      <w:r w:rsidR="00D85CC9">
        <w:t>5-year</w:t>
      </w:r>
      <w:r w:rsidR="00904762">
        <w:t>-</w:t>
      </w:r>
      <w:r w:rsidR="00D85CC9">
        <w:t xml:space="preserve">old </w:t>
      </w:r>
      <w:r w:rsidR="00F3055C">
        <w:t xml:space="preserve">children </w:t>
      </w:r>
      <w:r w:rsidR="00050E91">
        <w:t>in</w:t>
      </w:r>
      <w:r w:rsidR="00D85CC9">
        <w:t xml:space="preserve"> the U.S. </w:t>
      </w:r>
      <w:r w:rsidR="00F3055C">
        <w:t xml:space="preserve">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4A0772">
      <w:pPr>
        <w:pStyle w:val="Bodybullet"/>
        <w:widowControl w:val="0"/>
        <w:numPr>
          <w:ilvl w:val="0"/>
          <w:numId w:val="5"/>
        </w:numPr>
        <w:spacing w:before="0" w:after="0" w:line="240" w:lineRule="auto"/>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6076BC">
      <w:pPr>
        <w:pStyle w:val="Bodybullet"/>
        <w:numPr>
          <w:ilvl w:val="0"/>
          <w:numId w:val="5"/>
        </w:numPr>
        <w:spacing w:before="0" w:line="240" w:lineRule="auto"/>
        <w:ind w:left="547"/>
      </w:pPr>
      <w:r>
        <w:t>Contextual indicators that show how such skills relate to important demographic, social, eco</w:t>
      </w:r>
      <w:r w:rsidR="00F3055C">
        <w:t>nomic, and education variables.</w:t>
      </w:r>
    </w:p>
    <w:p w14:paraId="5E0F8706" w14:textId="5712A38E" w:rsidR="005611C5" w:rsidRDefault="005611C5" w:rsidP="00D927E0">
      <w:pPr>
        <w:pStyle w:val="Heading1"/>
        <w:tabs>
          <w:tab w:val="clear" w:pos="1152"/>
          <w:tab w:val="left" w:pos="0"/>
        </w:tabs>
        <w:spacing w:before="120" w:line="240" w:lineRule="auto"/>
        <w:ind w:left="720" w:hanging="720"/>
      </w:pPr>
      <w:bookmarkStart w:id="9" w:name="_Toc511986615"/>
      <w:r>
        <w:t>A.</w:t>
      </w:r>
      <w:r w:rsidR="00DF0307">
        <w:t>3</w:t>
      </w:r>
      <w:r>
        <w:tab/>
        <w:t>Improved Information Technology (Reduction of Burden)</w:t>
      </w:r>
      <w:bookmarkEnd w:id="9"/>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2ABBFF53" w:rsidR="004B57AD" w:rsidRDefault="00F65B23" w:rsidP="007D4D00">
      <w:pPr>
        <w:widowControl w:val="0"/>
        <w:spacing w:before="120" w:after="120" w:line="300" w:lineRule="atLeast"/>
        <w:jc w:val="left"/>
        <w:rPr>
          <w:rFonts w:ascii="Garamond" w:hAnsi="Garamond"/>
          <w:sz w:val="24"/>
          <w:szCs w:val="24"/>
        </w:rPr>
      </w:pPr>
      <w:r>
        <w:rPr>
          <w:rFonts w:ascii="Garamond" w:hAnsi="Garamond"/>
          <w:sz w:val="24"/>
          <w:szCs w:val="24"/>
        </w:rPr>
        <w:t xml:space="preserve">A </w:t>
      </w:r>
      <w:r w:rsidRPr="00DF0307">
        <w:rPr>
          <w:rFonts w:ascii="Garamond" w:hAnsi="Garamond"/>
          <w:sz w:val="24"/>
          <w:szCs w:val="24"/>
        </w:rPr>
        <w:t>communication website</w:t>
      </w:r>
      <w:r w:rsidR="002B3232" w:rsidRPr="00DF0307">
        <w:rPr>
          <w:rFonts w:ascii="Garamond" w:hAnsi="Garamond"/>
          <w:sz w:val="24"/>
          <w:szCs w:val="24"/>
        </w:rPr>
        <w:t>, MyIELS.us,</w:t>
      </w:r>
      <w:r w:rsidRPr="00DF0307">
        <w:rPr>
          <w:rFonts w:ascii="Garamond" w:hAnsi="Garamond"/>
          <w:sz w:val="24"/>
          <w:szCs w:val="24"/>
        </w:rPr>
        <w:t xml:space="preserve"> </w:t>
      </w:r>
      <w:r w:rsidR="00200B06" w:rsidRPr="00DF0307">
        <w:rPr>
          <w:rFonts w:ascii="Garamond" w:hAnsi="Garamond"/>
          <w:sz w:val="24"/>
          <w:szCs w:val="24"/>
        </w:rPr>
        <w:t xml:space="preserve">will be used during </w:t>
      </w:r>
      <w:r w:rsidR="00DD007A">
        <w:rPr>
          <w:rFonts w:ascii="Garamond" w:hAnsi="Garamond"/>
          <w:sz w:val="24"/>
          <w:szCs w:val="24"/>
        </w:rPr>
        <w:t xml:space="preserve">the </w:t>
      </w:r>
      <w:r w:rsidR="00200B06" w:rsidRPr="00DF0307">
        <w:rPr>
          <w:rFonts w:ascii="Garamond" w:hAnsi="Garamond"/>
          <w:sz w:val="24"/>
          <w:szCs w:val="24"/>
        </w:rPr>
        <w:t>main study in order to provide a simple, single source of information to engage sample</w:t>
      </w:r>
      <w:r w:rsidR="00A36AF8" w:rsidRPr="00DF0307">
        <w:rPr>
          <w:rFonts w:ascii="Garamond" w:hAnsi="Garamond"/>
          <w:sz w:val="24"/>
          <w:szCs w:val="24"/>
        </w:rPr>
        <w:t>d</w:t>
      </w:r>
      <w:r w:rsidR="00200B06" w:rsidRPr="00DF0307">
        <w:rPr>
          <w:rFonts w:ascii="Garamond" w:hAnsi="Garamond"/>
          <w:sz w:val="24"/>
          <w:szCs w:val="24"/>
        </w:rPr>
        <w:t xml:space="preserve"> schools and maintain high levels </w:t>
      </w:r>
      <w:r w:rsidR="00A36AF8" w:rsidRPr="00DF0307">
        <w:rPr>
          <w:rFonts w:ascii="Garamond" w:hAnsi="Garamond"/>
          <w:sz w:val="24"/>
          <w:szCs w:val="24"/>
        </w:rPr>
        <w:t xml:space="preserve">of </w:t>
      </w:r>
      <w:r w:rsidR="005F59F6" w:rsidRPr="00DF0307">
        <w:rPr>
          <w:rFonts w:ascii="Garamond" w:hAnsi="Garamond"/>
          <w:sz w:val="24"/>
          <w:szCs w:val="24"/>
        </w:rPr>
        <w:t xml:space="preserve">their </w:t>
      </w:r>
      <w:r w:rsidR="00200B06" w:rsidRPr="00DF0307">
        <w:rPr>
          <w:rFonts w:ascii="Garamond" w:hAnsi="Garamond"/>
          <w:sz w:val="24"/>
          <w:szCs w:val="24"/>
        </w:rPr>
        <w:t>involvement. This portal</w:t>
      </w:r>
      <w:r w:rsidR="009B3540">
        <w:rPr>
          <w:rFonts w:ascii="Garamond" w:hAnsi="Garamond"/>
          <w:sz w:val="24"/>
          <w:szCs w:val="24"/>
        </w:rPr>
        <w:t xml:space="preserve">, used </w:t>
      </w:r>
      <w:r w:rsidR="007720A7">
        <w:rPr>
          <w:rFonts w:ascii="Garamond" w:hAnsi="Garamond"/>
          <w:sz w:val="24"/>
          <w:szCs w:val="24"/>
        </w:rPr>
        <w:t>successfully</w:t>
      </w:r>
      <w:r w:rsidR="009B3540">
        <w:rPr>
          <w:rFonts w:ascii="Garamond" w:hAnsi="Garamond"/>
          <w:sz w:val="24"/>
          <w:szCs w:val="24"/>
        </w:rPr>
        <w:t xml:space="preserve"> during the field test,</w:t>
      </w:r>
      <w:r w:rsidR="00200B06" w:rsidRPr="00DF0307">
        <w:rPr>
          <w:rFonts w:ascii="Garamond" w:hAnsi="Garamond"/>
          <w:sz w:val="24"/>
          <w:szCs w:val="24"/>
        </w:rPr>
        <w:t xml:space="preserve"> will be </w:t>
      </w:r>
      <w:r w:rsidR="009B3540">
        <w:rPr>
          <w:rFonts w:ascii="Garamond" w:hAnsi="Garamond"/>
          <w:sz w:val="24"/>
          <w:szCs w:val="24"/>
        </w:rPr>
        <w:t xml:space="preserve">used again </w:t>
      </w:r>
      <w:r w:rsidR="00200B06" w:rsidRPr="00DF0307">
        <w:rPr>
          <w:rFonts w:ascii="Garamond" w:hAnsi="Garamond"/>
          <w:sz w:val="24"/>
          <w:szCs w:val="24"/>
        </w:rPr>
        <w:t xml:space="preserve">throughout the </w:t>
      </w:r>
      <w:r w:rsidR="009B3540">
        <w:rPr>
          <w:rFonts w:ascii="Garamond" w:hAnsi="Garamond"/>
          <w:sz w:val="24"/>
          <w:szCs w:val="24"/>
        </w:rPr>
        <w:t xml:space="preserve">main study </w:t>
      </w:r>
      <w:r w:rsidR="00200B06" w:rsidRPr="00DF0307">
        <w:rPr>
          <w:rFonts w:ascii="Garamond" w:hAnsi="Garamond"/>
          <w:sz w:val="24"/>
          <w:szCs w:val="24"/>
        </w:rPr>
        <w:t>assessment cycle to inform schools</w:t>
      </w:r>
      <w:r w:rsidR="002E6230" w:rsidRPr="00DF0307">
        <w:rPr>
          <w:rFonts w:ascii="Garamond" w:hAnsi="Garamond"/>
          <w:sz w:val="24"/>
          <w:szCs w:val="24"/>
        </w:rPr>
        <w:t>, particularly school coordinators,</w:t>
      </w:r>
      <w:r w:rsidR="00200B06" w:rsidRPr="00DF0307">
        <w:rPr>
          <w:rFonts w:ascii="Garamond" w:hAnsi="Garamond"/>
          <w:sz w:val="24"/>
          <w:szCs w:val="24"/>
        </w:rPr>
        <w:t xml:space="preserve"> of their tasks and to provide them with easy access to information tailored for their anticipated needs. We plan to gather student </w:t>
      </w:r>
      <w:r w:rsidR="00324AB3" w:rsidRPr="00DF0307">
        <w:rPr>
          <w:rFonts w:ascii="Garamond" w:hAnsi="Garamond"/>
          <w:sz w:val="24"/>
          <w:szCs w:val="24"/>
        </w:rPr>
        <w:t xml:space="preserve">and teacher lists </w:t>
      </w:r>
      <w:r w:rsidR="00200B06" w:rsidRPr="00DF0307">
        <w:rPr>
          <w:rFonts w:ascii="Garamond" w:hAnsi="Garamond"/>
          <w:sz w:val="24"/>
          <w:szCs w:val="24"/>
        </w:rPr>
        <w:t xml:space="preserve">from participating </w:t>
      </w:r>
      <w:r w:rsidR="00200B06" w:rsidRPr="00873778">
        <w:rPr>
          <w:rFonts w:ascii="Garamond" w:hAnsi="Garamond"/>
          <w:sz w:val="24"/>
          <w:szCs w:val="24"/>
        </w:rPr>
        <w:t xml:space="preserve">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 xml:space="preserve">E-filing has been used successfully in </w:t>
      </w:r>
      <w:r w:rsidR="00533AD3">
        <w:rPr>
          <w:rFonts w:ascii="Garamond" w:hAnsi="Garamond"/>
          <w:sz w:val="24"/>
          <w:szCs w:val="24"/>
        </w:rPr>
        <w:t>the National Assessment of Educational Progress (</w:t>
      </w:r>
      <w:r w:rsidR="00200B06" w:rsidRPr="00873778">
        <w:rPr>
          <w:rFonts w:ascii="Garamond" w:hAnsi="Garamond"/>
          <w:sz w:val="24"/>
          <w:szCs w:val="24"/>
        </w:rPr>
        <w:t>NAEP</w:t>
      </w:r>
      <w:r w:rsidR="00533AD3">
        <w:rPr>
          <w:rFonts w:ascii="Garamond" w:hAnsi="Garamond"/>
          <w:sz w:val="24"/>
          <w:szCs w:val="24"/>
        </w:rPr>
        <w:t>) program</w:t>
      </w:r>
      <w:r w:rsidR="00200B06" w:rsidRPr="00873778">
        <w:rPr>
          <w:rFonts w:ascii="Garamond" w:hAnsi="Garamond"/>
          <w:sz w:val="24"/>
          <w:szCs w:val="24"/>
        </w:rPr>
        <w:t xml:space="preserve"> for more than 10 years, and was used in </w:t>
      </w:r>
      <w:r w:rsidR="00533AD3">
        <w:rPr>
          <w:rFonts w:ascii="Garamond" w:hAnsi="Garamond"/>
          <w:sz w:val="24"/>
          <w:szCs w:val="24"/>
        </w:rPr>
        <w:t xml:space="preserve">the </w:t>
      </w:r>
      <w:r w:rsidR="001E0614">
        <w:rPr>
          <w:rFonts w:ascii="Garamond" w:hAnsi="Garamond"/>
          <w:sz w:val="24"/>
          <w:szCs w:val="24"/>
        </w:rPr>
        <w:t>2015 T</w:t>
      </w:r>
      <w:r w:rsidR="001E0614" w:rsidRPr="001E0614">
        <w:rPr>
          <w:rFonts w:ascii="Garamond" w:hAnsi="Garamond"/>
          <w:sz w:val="24"/>
          <w:szCs w:val="24"/>
        </w:rPr>
        <w:t xml:space="preserve">rends in International Mathematics and Science Study </w:t>
      </w:r>
      <w:r w:rsidR="00533AD3">
        <w:rPr>
          <w:rFonts w:ascii="Garamond" w:hAnsi="Garamond"/>
          <w:sz w:val="24"/>
          <w:szCs w:val="24"/>
        </w:rPr>
        <w:t>(</w:t>
      </w:r>
      <w:r w:rsidR="00200B06" w:rsidRPr="00873778">
        <w:rPr>
          <w:rFonts w:ascii="Garamond" w:hAnsi="Garamond"/>
          <w:sz w:val="24"/>
          <w:szCs w:val="24"/>
        </w:rPr>
        <w:t>TIMSS 2015</w:t>
      </w:r>
      <w:r w:rsidR="00533AD3">
        <w:rPr>
          <w:rFonts w:ascii="Garamond" w:hAnsi="Garamond"/>
          <w:sz w:val="24"/>
          <w:szCs w:val="24"/>
        </w:rPr>
        <w:t>)</w:t>
      </w:r>
      <w:r w:rsidR="00200B06" w:rsidRPr="00873778">
        <w:rPr>
          <w:rFonts w:ascii="Garamond" w:hAnsi="Garamond"/>
          <w:sz w:val="24"/>
          <w:szCs w:val="24"/>
        </w:rPr>
        <w:t xml:space="preserve"> and the PISA 2012 and 2015 assessments. The E-filing system provides advantageous features such as efficiency and data quality checks.</w:t>
      </w:r>
    </w:p>
    <w:p w14:paraId="4430A2B1" w14:textId="13A13EDD" w:rsidR="00124802" w:rsidRDefault="002912F2" w:rsidP="00712A2B">
      <w:pPr>
        <w:pStyle w:val="BodyText1"/>
        <w:widowControl w:val="0"/>
      </w:pPr>
      <w:r>
        <w:t xml:space="preserve">The IELS design and procedures are prescribed internationally. The data collected by direct, one-on-one child assessments will be captured electronically </w:t>
      </w:r>
      <w:r w:rsidR="00310C85">
        <w:t>on tablet. T</w:t>
      </w:r>
      <w:r>
        <w:t>rained assessors</w:t>
      </w:r>
      <w:r w:rsidR="00310C85">
        <w:t xml:space="preserve"> will facilitate the assessment</w:t>
      </w:r>
      <w:r>
        <w:t xml:space="preserve">.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3E684D5" w:rsidR="005611C5" w:rsidRDefault="005611C5" w:rsidP="00D927E0">
      <w:pPr>
        <w:pStyle w:val="Heading1"/>
        <w:tabs>
          <w:tab w:val="clear" w:pos="1152"/>
          <w:tab w:val="left" w:pos="0"/>
        </w:tabs>
        <w:spacing w:before="120" w:line="240" w:lineRule="auto"/>
        <w:ind w:left="720" w:hanging="720"/>
      </w:pPr>
      <w:bookmarkStart w:id="10" w:name="_Toc511986616"/>
      <w:r>
        <w:t>A.</w:t>
      </w:r>
      <w:r w:rsidR="00DF0307">
        <w:t>4</w:t>
      </w:r>
      <w:r>
        <w:tab/>
        <w:t>Efforts to Identify Duplication</w:t>
      </w:r>
      <w:bookmarkEnd w:id="10"/>
    </w:p>
    <w:p w14:paraId="1FC84FFF" w14:textId="6BDC0C78" w:rsidR="00124802" w:rsidRDefault="005611C5" w:rsidP="00F90C4C">
      <w:pPr>
        <w:pStyle w:val="BodyText1"/>
        <w:widowControl w:val="0"/>
      </w:pPr>
      <w:r>
        <w:t xml:space="preserve">A number of international comparative studies exist to measure </w:t>
      </w:r>
      <w:r w:rsidR="00F65B23">
        <w:t xml:space="preserve">student </w:t>
      </w:r>
      <w:r>
        <w:t>achievement, including TIMSS</w:t>
      </w:r>
      <w:r w:rsidR="003C52C4">
        <w:t>,</w:t>
      </w:r>
      <w:r>
        <w:t xml:space="preserve"> the Progress in International</w:t>
      </w:r>
      <w:r w:rsidR="00F65B23">
        <w:t xml:space="preserve"> Reading Literacy Study (PIRLS)</w:t>
      </w:r>
      <w:r w:rsidR="00023578">
        <w:t>,</w:t>
      </w:r>
      <w:r w:rsidR="00F65B23">
        <w:t xml:space="preserve">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NAEP.</w:t>
      </w:r>
      <w:r w:rsidR="00FA3B61">
        <w:t xml:space="preserve"> </w:t>
      </w:r>
      <w:r w:rsidR="002C6330">
        <w:t xml:space="preserve">The </w:t>
      </w:r>
      <w:r w:rsidR="00F65B23">
        <w:t>IELS is different from these comparative studies because it focuses on a younger population</w:t>
      </w:r>
      <w:r w:rsidR="001B2C9C">
        <w:t xml:space="preserve"> </w:t>
      </w:r>
      <w:r w:rsidR="00F34068">
        <w:t>and collects information about early home learning experiences and early childhood education and care</w:t>
      </w:r>
      <w:r w:rsidR="00F65B23">
        <w:t xml:space="preserve">. None of the other studies provide comparative information about </w:t>
      </w:r>
      <w:r w:rsidR="00D85CC9">
        <w:t>5-year</w:t>
      </w:r>
      <w:r w:rsidR="00904762">
        <w:t>-</w:t>
      </w:r>
      <w:r w:rsidR="00D85CC9">
        <w:t xml:space="preserve">old </w:t>
      </w:r>
      <w:r w:rsidR="00F65B23">
        <w:t>children</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25BA8499"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w:t>
      </w:r>
      <w:r w:rsidR="00050E91">
        <w:t xml:space="preserve"> </w:t>
      </w:r>
      <w:r>
        <w:t xml:space="preserve">The NHES surveys </w:t>
      </w:r>
      <w:r w:rsidR="002A091A">
        <w:t xml:space="preserve">have </w:t>
      </w:r>
      <w:r>
        <w:t>cover</w:t>
      </w:r>
      <w:r w:rsidR="002A091A">
        <w:t>ed</w:t>
      </w:r>
      <w:r>
        <w:t xml:space="preserve"> learning at all ages, from early childhood to school age through adulthood. However, </w:t>
      </w:r>
      <w:r w:rsidR="002A091A">
        <w:t xml:space="preserve">to collect data on children, </w:t>
      </w:r>
      <w:r>
        <w:t>NHES surveys adults in households across the U.S., asking parents to report on their children’s competencies</w:t>
      </w:r>
      <w:r w:rsidR="00FD5A75">
        <w:t xml:space="preserve">, </w:t>
      </w:r>
      <w:r w:rsidR="002A091A">
        <w:t>but</w:t>
      </w:r>
      <w:r w:rsidR="00FD5A75">
        <w:t xml:space="preserve"> does not </w:t>
      </w:r>
      <w:r w:rsidR="002A091A">
        <w:t xml:space="preserve">directly </w:t>
      </w:r>
      <w:r w:rsidR="00FD5A75">
        <w:t xml:space="preserve">assess </w:t>
      </w:r>
      <w:r w:rsidR="007720A7">
        <w:t xml:space="preserve">the children </w:t>
      </w:r>
      <w:r w:rsidR="002A091A">
        <w:t>or collect data from their teachers</w:t>
      </w:r>
      <w:r w:rsidR="00D85CC9">
        <w:t>.</w:t>
      </w:r>
    </w:p>
    <w:p w14:paraId="5E0F870E" w14:textId="35127337" w:rsidR="005611C5" w:rsidRDefault="005611C5" w:rsidP="00652124">
      <w:pPr>
        <w:pStyle w:val="BodyText1"/>
        <w:spacing w:line="276" w:lineRule="auto"/>
      </w:pPr>
      <w:r>
        <w:t>Alternat</w:t>
      </w:r>
      <w:r w:rsidR="002A091A">
        <w:t>iv</w:t>
      </w:r>
      <w:r>
        <w:t xml:space="preserve">e sources </w:t>
      </w:r>
      <w:r w:rsidR="002A091A">
        <w:t>of data comparable to</w:t>
      </w:r>
      <w:r>
        <w:t xml:space="preserve"> </w:t>
      </w:r>
      <w:r w:rsidR="002A091A">
        <w:t>IELS</w:t>
      </w:r>
      <w:r>
        <w:t xml:space="preserve"> do not exist</w:t>
      </w:r>
      <w:r w:rsidR="002A091A">
        <w:t xml:space="preserve"> in the U.S</w:t>
      </w:r>
      <w:r>
        <w:t>.</w:t>
      </w:r>
      <w:r w:rsidR="00FA3B61">
        <w:t xml:space="preserve"> </w:t>
      </w:r>
      <w:r w:rsidR="002A091A">
        <w:t>Additionally, IELS</w:t>
      </w:r>
      <w:r>
        <w:t xml:space="preserve"> </w:t>
      </w:r>
      <w:r w:rsidR="002A091A">
        <w:t>involves</w:t>
      </w:r>
      <w:r>
        <w:t xml:space="preserve"> U.S. participation in an international study </w:t>
      </w:r>
      <w:r w:rsidR="002A091A">
        <w:t>that includes</w:t>
      </w:r>
      <w:r w:rsidR="00904762">
        <w:t xml:space="preserve"> other countries. </w:t>
      </w:r>
      <w:r w:rsidR="002A091A">
        <w:t>In IELS, t</w:t>
      </w:r>
      <w:r>
        <w:t xml:space="preserve">he </w:t>
      </w:r>
      <w:r w:rsidR="002A091A">
        <w:t>U.S.</w:t>
      </w:r>
      <w:r>
        <w:t xml:space="preserve"> must collect the same information</w:t>
      </w:r>
      <w:r w:rsidR="0081133C">
        <w:t xml:space="preserve">, using the same </w:t>
      </w:r>
      <w:r w:rsidR="00A36AF8">
        <w:t xml:space="preserve">instruments and </w:t>
      </w:r>
      <w:r w:rsidR="0081133C">
        <w:t>procedures</w:t>
      </w:r>
      <w:r w:rsidR="002A091A">
        <w:t>,</w:t>
      </w:r>
      <w:r>
        <w:t xml:space="preserve"> at the same time as the other </w:t>
      </w:r>
      <w:r w:rsidR="002A091A">
        <w:t xml:space="preserve">participating </w:t>
      </w:r>
      <w:r>
        <w:t xml:space="preserve">nations for purposes of making </w:t>
      </w:r>
      <w:r w:rsidR="00A36AF8">
        <w:t xml:space="preserve">valid and meaningful </w:t>
      </w:r>
      <w:r w:rsidR="002A091A">
        <w:t>international comparisons</w:t>
      </w:r>
      <w:r>
        <w:t>.</w:t>
      </w:r>
    </w:p>
    <w:p w14:paraId="5E0F8710" w14:textId="18C6B07A" w:rsidR="005611C5" w:rsidRDefault="005611C5" w:rsidP="00D927E0">
      <w:pPr>
        <w:pStyle w:val="Heading1"/>
        <w:tabs>
          <w:tab w:val="clear" w:pos="1152"/>
          <w:tab w:val="left" w:pos="0"/>
        </w:tabs>
        <w:spacing w:before="120" w:line="240" w:lineRule="auto"/>
        <w:ind w:left="720" w:hanging="720"/>
      </w:pPr>
      <w:bookmarkStart w:id="11" w:name="_Toc511986617"/>
      <w:r>
        <w:t>A.</w:t>
      </w:r>
      <w:r w:rsidR="00DF0307">
        <w:t>5</w:t>
      </w:r>
      <w:r>
        <w:tab/>
        <w:t>Minimizing Burden for Small Entities</w:t>
      </w:r>
      <w:bookmarkEnd w:id="11"/>
    </w:p>
    <w:p w14:paraId="67E39592" w14:textId="193C63D5"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 xml:space="preserve">In addition, </w:t>
      </w:r>
      <w:r w:rsidR="00997303">
        <w:t xml:space="preserve">Westat </w:t>
      </w:r>
      <w:r w:rsidRPr="002C6330">
        <w:t>staff will conduct all test administration and will assist with parental notification, sampling, and other study tasks as much as possible within each school.</w:t>
      </w:r>
    </w:p>
    <w:p w14:paraId="5E0F8712" w14:textId="04C0EA37" w:rsidR="005611C5" w:rsidRDefault="005611C5" w:rsidP="00D927E0">
      <w:pPr>
        <w:pStyle w:val="Heading1"/>
        <w:tabs>
          <w:tab w:val="clear" w:pos="1152"/>
          <w:tab w:val="left" w:pos="0"/>
        </w:tabs>
        <w:spacing w:before="120" w:line="240" w:lineRule="auto"/>
        <w:ind w:left="720" w:hanging="720"/>
      </w:pPr>
      <w:bookmarkStart w:id="12" w:name="_Toc511986618"/>
      <w:r>
        <w:t>A.</w:t>
      </w:r>
      <w:r w:rsidR="00DF0307">
        <w:t>6</w:t>
      </w:r>
      <w:r>
        <w:tab/>
        <w:t>Frequency of Data Collection</w:t>
      </w:r>
      <w:bookmarkEnd w:id="12"/>
    </w:p>
    <w:p w14:paraId="62AE3AAA" w14:textId="28BF4770" w:rsidR="00124802" w:rsidRDefault="005611C5" w:rsidP="005A2201">
      <w:pPr>
        <w:pStyle w:val="BodyText1"/>
        <w:widowControl w:val="0"/>
      </w:pPr>
      <w:r>
        <w:t xml:space="preserve">This request is </w:t>
      </w:r>
      <w:r w:rsidR="00683E70">
        <w:t>to conduct</w:t>
      </w:r>
      <w:r w:rsidR="00452AA1">
        <w:t xml:space="preserve"> </w:t>
      </w:r>
      <w:r w:rsidR="008F55B2">
        <w:t xml:space="preserve">the </w:t>
      </w:r>
      <w:r w:rsidR="001E0614">
        <w:t xml:space="preserve">first administration of </w:t>
      </w:r>
      <w:r w:rsidR="001B2C9C">
        <w:t>IELS</w:t>
      </w:r>
      <w:r w:rsidR="00D86CF8">
        <w:t xml:space="preserve"> </w:t>
      </w:r>
      <w:r w:rsidR="009B3540">
        <w:t xml:space="preserve">main study </w:t>
      </w:r>
      <w:r w:rsidR="008F55B2">
        <w:t>data collection</w:t>
      </w:r>
      <w:r w:rsidR="00BC0106">
        <w:t xml:space="preserve">. </w:t>
      </w:r>
      <w:r w:rsidR="001B2C9C">
        <w:t>A</w:t>
      </w:r>
      <w:r>
        <w:t xml:space="preserve">dherence to </w:t>
      </w:r>
      <w:r w:rsidR="001E0614">
        <w:t>the proposed study</w:t>
      </w:r>
      <w:r>
        <w:t xml:space="preserve">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494CBD1C" w:rsidR="005611C5" w:rsidRDefault="005611C5" w:rsidP="00D927E0">
      <w:pPr>
        <w:pStyle w:val="Heading1"/>
        <w:tabs>
          <w:tab w:val="clear" w:pos="1152"/>
          <w:tab w:val="left" w:pos="0"/>
        </w:tabs>
        <w:spacing w:before="120" w:line="240" w:lineRule="auto"/>
        <w:ind w:left="720" w:hanging="720"/>
      </w:pPr>
      <w:bookmarkStart w:id="13" w:name="_Toc511986619"/>
      <w:r>
        <w:t>A.</w:t>
      </w:r>
      <w:r w:rsidR="00DF0307">
        <w:t>7</w:t>
      </w:r>
      <w:r>
        <w:tab/>
        <w:t>Special Circumstances</w:t>
      </w:r>
      <w:bookmarkEnd w:id="13"/>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041C5AB4" w:rsidR="00652124" w:rsidRPr="00652124" w:rsidRDefault="005611C5" w:rsidP="00D927E0">
      <w:pPr>
        <w:pStyle w:val="Heading1"/>
        <w:tabs>
          <w:tab w:val="clear" w:pos="1152"/>
          <w:tab w:val="left" w:pos="0"/>
        </w:tabs>
        <w:spacing w:before="120" w:line="240" w:lineRule="auto"/>
        <w:ind w:left="720" w:hanging="720"/>
      </w:pPr>
      <w:bookmarkStart w:id="14" w:name="_Toc511986620"/>
      <w:r>
        <w:t>A.</w:t>
      </w:r>
      <w:r w:rsidR="00DF0307">
        <w:t>8</w:t>
      </w:r>
      <w:r>
        <w:tab/>
        <w:t xml:space="preserve">Consultations </w:t>
      </w:r>
      <w:r w:rsidR="007720A7">
        <w:t>outside</w:t>
      </w:r>
      <w:r>
        <w:t xml:space="preserve"> NCES</w:t>
      </w:r>
      <w:bookmarkEnd w:id="14"/>
    </w:p>
    <w:p w14:paraId="0B9D5DA2" w14:textId="6DD17333"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OECD and the OECD’s international contractor</w:t>
      </w:r>
      <w:r w:rsidR="00997303">
        <w:rPr>
          <w:rFonts w:ascii="Garamond" w:hAnsi="Garamond"/>
          <w:sz w:val="24"/>
        </w:rPr>
        <w:t>, the Australian Council for Educational Research (ACER)</w:t>
      </w:r>
      <w:r w:rsidRPr="008D3376">
        <w:rPr>
          <w:rFonts w:ascii="Garamond" w:hAnsi="Garamond"/>
          <w:sz w:val="24"/>
        </w:rPr>
        <w:t xml:space="preserve">. Key to these ongoing consultations are: </w:t>
      </w:r>
      <w:r>
        <w:rPr>
          <w:rFonts w:ascii="Garamond" w:hAnsi="Garamond"/>
          <w:sz w:val="24"/>
        </w:rPr>
        <w:t>Ms. Rowena Phair (OECD), Drs. Sacha DeVelle and Wolfram Schultz (</w:t>
      </w:r>
      <w:r w:rsidR="00997303">
        <w:rPr>
          <w:rFonts w:ascii="Garamond" w:hAnsi="Garamond"/>
          <w:sz w:val="24"/>
        </w:rPr>
        <w:t>ACER</w:t>
      </w:r>
      <w:r>
        <w:rPr>
          <w:rFonts w:ascii="Garamond" w:hAnsi="Garamond"/>
          <w:sz w:val="24"/>
        </w:rPr>
        <w:t xml:space="preserve">),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5445D087" w:rsidR="005611C5" w:rsidRDefault="005611C5" w:rsidP="00D927E0">
      <w:pPr>
        <w:pStyle w:val="Heading1"/>
        <w:tabs>
          <w:tab w:val="clear" w:pos="1152"/>
          <w:tab w:val="left" w:pos="0"/>
        </w:tabs>
        <w:spacing w:before="120" w:line="240" w:lineRule="auto"/>
        <w:ind w:left="720" w:hanging="720"/>
      </w:pPr>
      <w:bookmarkStart w:id="15" w:name="_Toc511986621"/>
      <w:r>
        <w:t>A.</w:t>
      </w:r>
      <w:r w:rsidR="00DF0307">
        <w:t>9</w:t>
      </w:r>
      <w:r>
        <w:tab/>
      </w:r>
      <w:r w:rsidRPr="00581360">
        <w:t>Payments or Gifts to Respondents</w:t>
      </w:r>
      <w:bookmarkEnd w:id="15"/>
    </w:p>
    <w:p w14:paraId="26D7DCCA" w14:textId="6E07F35E" w:rsidR="00124802" w:rsidRDefault="005611C5" w:rsidP="00A36754">
      <w:pPr>
        <w:pStyle w:val="BodyText1"/>
        <w:widowControl w:val="0"/>
      </w:pPr>
      <w:r>
        <w:t xml:space="preserve">Currently, the minimum response rate targets required by </w:t>
      </w:r>
      <w:r w:rsidR="005F59F6">
        <w:t xml:space="preserve">the </w:t>
      </w:r>
      <w:r>
        <w:t xml:space="preserve">OECD are </w:t>
      </w:r>
      <w:r w:rsidR="008302ED">
        <w:t xml:space="preserve">50 </w:t>
      </w:r>
      <w:r>
        <w:t xml:space="preserve">percent of original schools </w:t>
      </w:r>
      <w:r w:rsidR="008302ED">
        <w:t xml:space="preserve">(75 percent after replacement schools are included) </w:t>
      </w:r>
      <w:r>
        <w:t xml:space="preserve">and </w:t>
      </w:r>
      <w:r w:rsidR="008F55B2">
        <w:t>75</w:t>
      </w:r>
      <w:r>
        <w:t xml:space="preserve">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 xml:space="preserve">Historically, </w:t>
      </w:r>
      <w:r w:rsidR="008F55B2">
        <w:t xml:space="preserve">similarly </w:t>
      </w:r>
      <w:r>
        <w:t xml:space="preserve">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burden on schools than PISA given that the assessments </w:t>
      </w:r>
      <w:r w:rsidR="00A36754">
        <w:t>will be</w:t>
      </w:r>
      <w:r w:rsidR="00BE474E">
        <w:t xml:space="preserve"> conducted one-on-one </w:t>
      </w:r>
      <w:r w:rsidR="00BE302B">
        <w:t xml:space="preserve">and over the course of two days for each child, </w:t>
      </w:r>
      <w:r w:rsidR="00BE474E">
        <w:t xml:space="preserve">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w:t>
      </w:r>
    </w:p>
    <w:p w14:paraId="44F34D89" w14:textId="5A54CB1A" w:rsidR="004D3394" w:rsidRDefault="00AB4529" w:rsidP="004D3394">
      <w:pPr>
        <w:pStyle w:val="BodyText1"/>
      </w:pPr>
      <w:r>
        <w:t>S</w:t>
      </w:r>
      <w:r w:rsidR="005611C5">
        <w:t>taff with experience working on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w:t>
      </w:r>
      <w:r w:rsidR="00503DD0" w:rsidRPr="00503DD0">
        <w:t>Early Childhood Longitudinal Study Kindergarten Class of 1998–99 (ECLS-K</w:t>
      </w:r>
      <w:r w:rsidR="005E5F28">
        <w:t>)</w:t>
      </w:r>
      <w:r w:rsidR="00891273">
        <w:t xml:space="preserve"> and Class of </w:t>
      </w:r>
      <w:r w:rsidR="00891273" w:rsidRPr="00503DD0">
        <w:t>2010–11 (ECLS-K:2011</w:t>
      </w:r>
      <w:r w:rsidR="00891273">
        <w:t>)</w:t>
      </w:r>
      <w:r w:rsidR="00503DD0">
        <w:t>)</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provide</w:t>
      </w:r>
      <w:r w:rsidR="00144DBB">
        <w:t>d</w:t>
      </w:r>
      <w:r w:rsidRPr="0031558C">
        <w:t xml:space="preserve"> input </w:t>
      </w:r>
      <w:r w:rsidR="00144DBB">
        <w:t>to help identify</w:t>
      </w:r>
      <w:r w:rsidRPr="0031558C">
        <w:t xml:space="preserve"> strategies </w:t>
      </w:r>
      <w:r w:rsidR="005611C5" w:rsidRPr="0031558C">
        <w:t xml:space="preserve">for achieving high response rates and </w:t>
      </w:r>
      <w:r w:rsidR="00144DBB">
        <w:t>are serving as</w:t>
      </w:r>
      <w:r w:rsidR="005611C5" w:rsidRPr="0031558C">
        <w:t xml:space="preserve"> an ongoing source of ideas and feedback. </w:t>
      </w:r>
      <w:r w:rsidR="007720A7">
        <w:t>Literature</w:t>
      </w:r>
      <w:r w:rsidR="00DA3D35">
        <w:t xml:space="preserve"> reviews also provide information on methods to improve response rates. In addition, in a </w:t>
      </w:r>
      <w:r w:rsidR="00DA3D35" w:rsidRPr="005879AB">
        <w:t>systematic review</w:t>
      </w:r>
      <w:r w:rsidR="00DA3D35">
        <w:t xml:space="preserve"> of</w:t>
      </w:r>
      <w:r w:rsidR="00DA3D35" w:rsidRPr="005879AB">
        <w:t xml:space="preserve"> articles </w:t>
      </w:r>
      <w:r w:rsidR="00DA3D35">
        <w:t>published</w:t>
      </w:r>
      <w:r w:rsidR="00DA3D35" w:rsidRPr="005879AB">
        <w:t xml:space="preserve"> in major journals since 2002, </w:t>
      </w:r>
      <w:r w:rsidR="004D3394">
        <w:t xml:space="preserve">Singer and Ye </w:t>
      </w:r>
      <w:r w:rsidR="00DA3D35">
        <w:t>(</w:t>
      </w:r>
      <w:r w:rsidR="004D3394">
        <w:t>2013)</w:t>
      </w:r>
      <w:r w:rsidR="00DA3D35">
        <w:t xml:space="preserve"> concluded that </w:t>
      </w:r>
      <w:r w:rsidR="004D3394" w:rsidRPr="005879AB">
        <w:t>“</w:t>
      </w:r>
      <w:r w:rsidR="00DA3D35">
        <w:t>i</w:t>
      </w:r>
      <w:r w:rsidR="004D3394" w:rsidRPr="005879AB">
        <w:t>ncentives increase response rates to surveys in all modes, including the Web, and in cross-sectional and panel studies” and</w:t>
      </w:r>
      <w:r w:rsidR="00DA3D35">
        <w:t xml:space="preserve"> that</w:t>
      </w:r>
      <w:r w:rsidR="004D3394" w:rsidRPr="005879AB">
        <w:t xml:space="preserve"> “</w:t>
      </w:r>
      <w:r w:rsidR="00DA3D35">
        <w:t>m</w:t>
      </w:r>
      <w:r w:rsidR="004D3394" w:rsidRPr="005879AB">
        <w:t xml:space="preserve">onetary incentives increase response rates more than gifts, and prepaid incentives increase them more than promised incentives….” </w:t>
      </w:r>
      <w:r w:rsidR="00DA3D35">
        <w:t xml:space="preserve">More recently, </w:t>
      </w:r>
      <w:r w:rsidR="00DA3D35" w:rsidRPr="005879AB">
        <w:t xml:space="preserve">Mercer et al. </w:t>
      </w:r>
      <w:r w:rsidR="00DA3D35">
        <w:t>(</w:t>
      </w:r>
      <w:r w:rsidR="00DA3D35" w:rsidRPr="005879AB">
        <w:t>2015</w:t>
      </w:r>
      <w:r w:rsidR="00DA3D35">
        <w:t xml:space="preserve">) </w:t>
      </w:r>
      <w:r w:rsidR="004D3394" w:rsidRPr="005879AB">
        <w:t xml:space="preserve">reviewed both published and unpublished research pertaining to incentives from the </w:t>
      </w:r>
      <w:r w:rsidR="00DA3D35">
        <w:t>preceding</w:t>
      </w:r>
      <w:r w:rsidR="004D3394" w:rsidRPr="005879AB">
        <w:t xml:space="preserve"> 21 years </w:t>
      </w:r>
      <w:r w:rsidR="00DA3D35">
        <w:t>and</w:t>
      </w:r>
      <w:r w:rsidR="004D3394" w:rsidRPr="005879AB">
        <w:t xml:space="preserve"> conclu</w:t>
      </w:r>
      <w:r w:rsidR="00DA3D35">
        <w:t>ded that</w:t>
      </w:r>
      <w:r w:rsidR="00DA3D35" w:rsidRPr="00DA3D35">
        <w:t xml:space="preserve"> </w:t>
      </w:r>
      <w:r w:rsidR="00DA3D35">
        <w:t xml:space="preserve">in </w:t>
      </w:r>
      <w:r w:rsidR="00DA3D35" w:rsidRPr="005879AB">
        <w:t>mail and telephone surveys (web surveys were not included in the review)</w:t>
      </w:r>
      <w:r w:rsidR="004D3394" w:rsidRPr="005879AB">
        <w:t>: “</w:t>
      </w:r>
      <w:r w:rsidR="00DA3D35">
        <w:t>c</w:t>
      </w:r>
      <w:r w:rsidR="004D3394" w:rsidRPr="005879AB">
        <w:t>onsistent with prior research, the analysis found that prepaid incentives are more effective than promised incentives</w:t>
      </w:r>
      <w:r w:rsidR="00891273">
        <w:t>.</w:t>
      </w:r>
      <w:r w:rsidR="004D3394" w:rsidRPr="005879AB">
        <w:t>”</w:t>
      </w:r>
    </w:p>
    <w:p w14:paraId="07E0DE86" w14:textId="1269C7C2" w:rsidR="00DC23F1" w:rsidRDefault="00144DBB" w:rsidP="00D329C9">
      <w:pPr>
        <w:pStyle w:val="BodyText1"/>
        <w:widowControl w:val="0"/>
      </w:pPr>
      <w:r>
        <w:t xml:space="preserve">Based on </w:t>
      </w:r>
      <w:r w:rsidR="004D3394">
        <w:t xml:space="preserve">this information, </w:t>
      </w:r>
      <w:r w:rsidR="00873C79">
        <w:t xml:space="preserve">pre-paid monetary incentives were used in the 2017 IELS field test. </w:t>
      </w:r>
      <w:r w:rsidR="00D53486">
        <w:t>T</w:t>
      </w:r>
      <w:r w:rsidR="00F7282C">
        <w:t xml:space="preserve">he </w:t>
      </w:r>
      <w:r w:rsidR="00891273">
        <w:t xml:space="preserve">incentive </w:t>
      </w:r>
      <w:r w:rsidR="004D3394">
        <w:t>amount</w:t>
      </w:r>
      <w:r w:rsidR="00503DD0">
        <w:t>s</w:t>
      </w:r>
      <w:r w:rsidR="004D3394">
        <w:t xml:space="preserve"> </w:t>
      </w:r>
      <w:r w:rsidR="00503DD0">
        <w:t>were</w:t>
      </w:r>
      <w:r w:rsidR="00873C79">
        <w:t xml:space="preserve"> </w:t>
      </w:r>
      <w:r w:rsidR="00D53486">
        <w:t xml:space="preserve">based on </w:t>
      </w:r>
      <w:r w:rsidR="00873C79">
        <w:t>those</w:t>
      </w:r>
      <w:r w:rsidR="00D53486">
        <w:t xml:space="preserve"> used in </w:t>
      </w:r>
      <w:r w:rsidR="00503DD0">
        <w:t xml:space="preserve">the </w:t>
      </w:r>
      <w:r w:rsidR="0024241D">
        <w:t xml:space="preserve">other </w:t>
      </w:r>
      <w:r w:rsidR="00D52AFE">
        <w:t>international</w:t>
      </w:r>
      <w:r w:rsidR="008134F0">
        <w:t xml:space="preserve"> studies</w:t>
      </w:r>
      <w:r w:rsidR="00D52AFE">
        <w:t>,</w:t>
      </w:r>
      <w:r w:rsidR="00652124">
        <w:t xml:space="preserve"> </w:t>
      </w:r>
      <w:r w:rsidR="00503DD0" w:rsidRPr="00503DD0">
        <w:t>ECLS-K:2011</w:t>
      </w:r>
      <w:r w:rsidR="00891273">
        <w:t xml:space="preserve">, </w:t>
      </w:r>
      <w:r w:rsidR="00D52AFE">
        <w:t>and</w:t>
      </w:r>
      <w:r w:rsidR="00D329C9">
        <w:t>/or</w:t>
      </w:r>
      <w:r w:rsidR="00D52AFE">
        <w:t xml:space="preserve"> the </w:t>
      </w:r>
      <w:r w:rsidR="00503DD0">
        <w:t xml:space="preserve">Middle Grades </w:t>
      </w:r>
      <w:r w:rsidR="007720A7">
        <w:t>Longitudinal</w:t>
      </w:r>
      <w:r w:rsidR="00503DD0">
        <w:t xml:space="preserve"> Study </w:t>
      </w:r>
      <w:r w:rsidR="00503DD0" w:rsidRPr="00DC23F1">
        <w:t>of 2017-18 (MGLS:2017</w:t>
      </w:r>
      <w:r w:rsidR="008A7849">
        <w:t>)</w:t>
      </w:r>
      <w:r w:rsidR="00D52AFE">
        <w:t xml:space="preserve">. </w:t>
      </w:r>
      <w:r w:rsidR="00873C79">
        <w:t>Once the field test was concluded,</w:t>
      </w:r>
      <w:r w:rsidR="00DC23F1">
        <w:t xml:space="preserve"> </w:t>
      </w:r>
      <w:r w:rsidR="004D3394">
        <w:t xml:space="preserve">the incentive structure and respondent participation in the IELS field test were analyzed, with the results contributing to slight changes in the proposed </w:t>
      </w:r>
      <w:r w:rsidR="00873C79">
        <w:t xml:space="preserve">2018 </w:t>
      </w:r>
      <w:r w:rsidR="00B15FD0">
        <w:t>main study incentive plan</w:t>
      </w:r>
      <w:r w:rsidR="00D329C9">
        <w:t>, as detailed below</w:t>
      </w:r>
      <w:r w:rsidR="005879AB" w:rsidRPr="005879AB">
        <w:t>.</w:t>
      </w:r>
    </w:p>
    <w:p w14:paraId="19BF19E6" w14:textId="0E9B45BF" w:rsidR="00AA0A47" w:rsidRDefault="00AA0A47" w:rsidP="00D329C9">
      <w:pPr>
        <w:pStyle w:val="BodyText1"/>
        <w:widowControl w:val="0"/>
      </w:pPr>
      <w:r w:rsidRPr="00AA0A47">
        <w:t xml:space="preserve">As the terms of clearance of the IELS field test data collection package (1850-0936 v.4), OMB requested a summary describing the results of using the pre-paid incentive (“At conclusion of data collection, NCES will provide OMB with a report describing the results of using a pre-paid incentive for both teachers and parents. Include, at a minimum, a table showing if incentive checks were cashed by whether or not the response was successfully collected.”). The description of </w:t>
      </w:r>
      <w:r w:rsidR="001B18A7">
        <w:t xml:space="preserve">incentives for </w:t>
      </w:r>
      <w:r w:rsidRPr="00AA0A47">
        <w:t>teacher</w:t>
      </w:r>
      <w:r w:rsidR="001B18A7">
        <w:t>s</w:t>
      </w:r>
      <w:r w:rsidRPr="00AA0A47">
        <w:t xml:space="preserve"> and parent</w:t>
      </w:r>
      <w:r w:rsidR="001B18A7">
        <w:t>s that follows in this section</w:t>
      </w:r>
      <w:r w:rsidRPr="00AA0A47">
        <w:t xml:space="preserve"> provides the information that fulfills these terms of clearance.</w:t>
      </w:r>
    </w:p>
    <w:p w14:paraId="0D58FE8E" w14:textId="1C4B17E8" w:rsidR="004B57AD" w:rsidRDefault="005611C5" w:rsidP="00D329C9">
      <w:pPr>
        <w:pStyle w:val="BodyText1"/>
        <w:widowControl w:val="0"/>
      </w:pPr>
      <w:r>
        <w:rPr>
          <w:b/>
        </w:rPr>
        <w:t>Schools.</w:t>
      </w:r>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002948BE">
        <w:t xml:space="preserve"> of conducting the study</w:t>
      </w:r>
      <w:r w:rsidRPr="002566C4">
        <w:t xml:space="preserve">, </w:t>
      </w:r>
      <w:r w:rsidR="002F607A">
        <w:t xml:space="preserve">schools participating in IELS will receive </w:t>
      </w:r>
      <w:r w:rsidR="002948BE" w:rsidRPr="002948BE">
        <w:t xml:space="preserve">a </w:t>
      </w:r>
      <w:r w:rsidR="002948BE">
        <w:t xml:space="preserve">$200 </w:t>
      </w:r>
      <w:r w:rsidR="002948BE" w:rsidRPr="002948BE">
        <w:t>check</w:t>
      </w:r>
      <w:r w:rsidR="002948BE">
        <w:t>,</w:t>
      </w:r>
      <w:r w:rsidR="002948BE" w:rsidRPr="002948BE">
        <w:t xml:space="preserve"> included in the school administrator’s thank you letter</w:t>
      </w:r>
      <w:r w:rsidR="002948BE">
        <w:t xml:space="preserve"> after the conclusion of the data collection</w:t>
      </w:r>
      <w:r>
        <w:t>.</w:t>
      </w:r>
      <w:r w:rsidR="00873C79">
        <w:t xml:space="preserve"> The same amount was used in the field test and helped contribute to strong support of the study from the sampled schools.</w:t>
      </w:r>
    </w:p>
    <w:p w14:paraId="0F0E42BE" w14:textId="35073AB9" w:rsidR="0062389D" w:rsidRDefault="00D6047B" w:rsidP="00503EC1">
      <w:pPr>
        <w:pStyle w:val="BodyText1"/>
      </w:pPr>
      <w:r>
        <w:t xml:space="preserve">However, </w:t>
      </w:r>
      <w:r w:rsidR="00C24D5A">
        <w:t xml:space="preserve">due to differences in sampling requirements </w:t>
      </w:r>
      <w:r w:rsidR="00EA4954">
        <w:t>between</w:t>
      </w:r>
      <w:r w:rsidR="00C24D5A">
        <w:t xml:space="preserve"> the field test </w:t>
      </w:r>
      <w:r w:rsidR="00EA4954">
        <w:t>and</w:t>
      </w:r>
      <w:r w:rsidR="00C24D5A">
        <w:t xml:space="preserve"> the main study, </w:t>
      </w:r>
      <w:r>
        <w:t xml:space="preserve">we anticipate more difficulty in reaching the required school response rates in the </w:t>
      </w:r>
      <w:r w:rsidR="00C24D5A">
        <w:t>latter</w:t>
      </w:r>
      <w:r>
        <w:t xml:space="preserve">. </w:t>
      </w:r>
      <w:r w:rsidR="00C24D5A">
        <w:t xml:space="preserve">In the field test we </w:t>
      </w:r>
      <w:r w:rsidR="00D43E91">
        <w:t xml:space="preserve">did not need to produce nationally representative statistics and could thus omit schools in states where we have traditionally had difficulty gaining school cooperation. Furthermore, in the field test we </w:t>
      </w:r>
      <w:r w:rsidR="00EA4954">
        <w:t xml:space="preserve">only had to achieve sufficient school participation to obtain the required number of student responses for evaluation of the test items, and </w:t>
      </w:r>
      <w:r w:rsidR="003C58EB">
        <w:t>did</w:t>
      </w:r>
      <w:r w:rsidR="00EA4954">
        <w:t xml:space="preserve"> </w:t>
      </w:r>
      <w:r w:rsidR="00C24D5A">
        <w:t xml:space="preserve">not </w:t>
      </w:r>
      <w:r w:rsidR="003C58EB">
        <w:t>need</w:t>
      </w:r>
      <w:r w:rsidR="00C24D5A">
        <w:t xml:space="preserve"> to achieve a response rate </w:t>
      </w:r>
      <w:r w:rsidR="003C58EB">
        <w:t>threshold among the</w:t>
      </w:r>
      <w:r w:rsidR="00C24D5A">
        <w:t xml:space="preserve"> original</w:t>
      </w:r>
      <w:r w:rsidR="00EA4954">
        <w:t>ly sampled</w:t>
      </w:r>
      <w:r w:rsidR="00C24D5A">
        <w:t xml:space="preserve"> schools. </w:t>
      </w:r>
      <w:r w:rsidR="00D43E91">
        <w:t>Thus after</w:t>
      </w:r>
      <w:r w:rsidR="003C58EB">
        <w:t xml:space="preserve"> first </w:t>
      </w:r>
      <w:r w:rsidR="00C24D5A">
        <w:t>approach</w:t>
      </w:r>
      <w:r w:rsidR="003C58EB">
        <w:t>ing</w:t>
      </w:r>
      <w:r w:rsidR="00C24D5A">
        <w:t xml:space="preserve"> the original schools, </w:t>
      </w:r>
      <w:r w:rsidR="003C58EB">
        <w:t>we were able to</w:t>
      </w:r>
      <w:r w:rsidR="00C24D5A">
        <w:t xml:space="preserve"> move</w:t>
      </w:r>
      <w:r w:rsidR="003C58EB">
        <w:t xml:space="preserve"> quickly</w:t>
      </w:r>
      <w:r w:rsidR="00C24D5A">
        <w:t xml:space="preserve"> to the replacement schools with very little, if any, conversion effort.</w:t>
      </w:r>
      <w:r w:rsidR="003C58EB">
        <w:t xml:space="preserve"> In the main study, however, </w:t>
      </w:r>
      <w:r>
        <w:t xml:space="preserve">we </w:t>
      </w:r>
      <w:r w:rsidR="00D43E91">
        <w:t xml:space="preserve">have to collect nationally representative data and, to be included in the international comparisons, we </w:t>
      </w:r>
      <w:r w:rsidR="003C58EB">
        <w:t>will have to</w:t>
      </w:r>
      <w:r>
        <w:t xml:space="preserve"> pursue the </w:t>
      </w:r>
      <w:r w:rsidR="003C58EB">
        <w:t xml:space="preserve">originally sampled, eligible schools </w:t>
      </w:r>
      <w:r>
        <w:t xml:space="preserve">until we obtain </w:t>
      </w:r>
      <w:r w:rsidR="003C58EB">
        <w:t xml:space="preserve">at least a </w:t>
      </w:r>
      <w:r w:rsidR="008302ED">
        <w:t xml:space="preserve">50 </w:t>
      </w:r>
      <w:r w:rsidR="003C58EB">
        <w:t>percent</w:t>
      </w:r>
      <w:r w:rsidR="003C58EB" w:rsidRPr="003C58EB">
        <w:t xml:space="preserve"> </w:t>
      </w:r>
      <w:r w:rsidR="008302ED">
        <w:t xml:space="preserve">school </w:t>
      </w:r>
      <w:r w:rsidR="003C58EB">
        <w:t>response rate among them</w:t>
      </w:r>
      <w:r w:rsidR="00D43E91">
        <w:t xml:space="preserve"> – the achievement of which has </w:t>
      </w:r>
      <w:r w:rsidR="003C58EB">
        <w:t xml:space="preserve">historically </w:t>
      </w:r>
      <w:r w:rsidR="00D43E91">
        <w:t>required additional efforts in the U.S.</w:t>
      </w:r>
      <w:r w:rsidR="003C58EB">
        <w:t xml:space="preserve"> </w:t>
      </w:r>
      <w:r w:rsidR="00D43E91">
        <w:t xml:space="preserve">Thus to meet </w:t>
      </w:r>
      <w:r w:rsidR="007445A6">
        <w:t>the</w:t>
      </w:r>
      <w:r w:rsidR="00D43E91">
        <w:t xml:space="preserve"> more challenging school recruitment goals in the main study</w:t>
      </w:r>
      <w:r>
        <w:t xml:space="preserve">, </w:t>
      </w:r>
      <w:r w:rsidR="00D43E91">
        <w:t xml:space="preserve">we </w:t>
      </w:r>
      <w:r w:rsidR="007445A6">
        <w:t>will</w:t>
      </w:r>
      <w:r w:rsidR="00D43E91">
        <w:t xml:space="preserve"> </w:t>
      </w:r>
      <w:r w:rsidR="007445A6">
        <w:t>utilize</w:t>
      </w:r>
      <w:r w:rsidR="00D43E91">
        <w:t xml:space="preserve"> </w:t>
      </w:r>
      <w:r w:rsidR="007445A6">
        <w:t xml:space="preserve">the second-tier school incentive </w:t>
      </w:r>
      <w:r w:rsidR="00D43E91">
        <w:t>used in other international K-12 studies (e.g., PISA 2012, 2015, and 2018; ICILS 2018</w:t>
      </w:r>
      <w:r w:rsidR="007445A6">
        <w:t>),</w:t>
      </w:r>
      <w:r>
        <w:t xml:space="preserve"> which allow</w:t>
      </w:r>
      <w:r w:rsidR="007445A6">
        <w:t>s</w:t>
      </w:r>
      <w:r>
        <w:t xml:space="preserve"> us</w:t>
      </w:r>
      <w:r w:rsidR="007445A6">
        <w:t xml:space="preserve">, when necessary, </w:t>
      </w:r>
      <w:r>
        <w:t>to offer schools</w:t>
      </w:r>
      <w:r w:rsidR="007445A6">
        <w:t xml:space="preserve"> </w:t>
      </w:r>
      <w:r>
        <w:t>an $800 participation incentive</w:t>
      </w:r>
      <w:r w:rsidR="007445A6">
        <w:rPr>
          <w:rStyle w:val="FootnoteReference"/>
        </w:rPr>
        <w:footnoteReference w:id="4"/>
      </w:r>
      <w:r w:rsidR="007445A6">
        <w:t xml:space="preserve"> instead of the standard $200</w:t>
      </w:r>
      <w:r w:rsidR="007234D8" w:rsidRPr="007234D8">
        <w:t xml:space="preserve">. </w:t>
      </w:r>
      <w:r>
        <w:t xml:space="preserve">This second tier </w:t>
      </w:r>
      <w:r w:rsidR="007445A6">
        <w:t xml:space="preserve">incentive </w:t>
      </w:r>
      <w:r>
        <w:t xml:space="preserve">will be initiated </w:t>
      </w:r>
      <w:r w:rsidR="007445A6">
        <w:t xml:space="preserve">only </w:t>
      </w:r>
      <w:r w:rsidR="00503EC1">
        <w:t>a</w:t>
      </w:r>
      <w:r w:rsidR="007234D8" w:rsidRPr="007234D8">
        <w:t xml:space="preserve">fter we have approached all original schools and had </w:t>
      </w:r>
      <w:r w:rsidR="007445A6">
        <w:t>tried</w:t>
      </w:r>
      <w:r w:rsidR="007234D8" w:rsidRPr="007234D8">
        <w:t xml:space="preserve"> different conversion efforts, such as addressing the specific concerns of refusing schools</w:t>
      </w:r>
      <w:r w:rsidR="007234D8">
        <w:t>.</w:t>
      </w:r>
      <w:r w:rsidR="007234D8" w:rsidRPr="007234D8">
        <w:t xml:space="preserve"> If, by that time, we have not reached a participation rate of at least </w:t>
      </w:r>
      <w:r w:rsidR="008302ED">
        <w:t>52</w:t>
      </w:r>
      <w:r w:rsidR="008302ED" w:rsidRPr="007234D8">
        <w:t xml:space="preserve"> </w:t>
      </w:r>
      <w:r w:rsidR="007234D8" w:rsidRPr="007234D8">
        <w:t>percent</w:t>
      </w:r>
      <w:r w:rsidR="007445A6">
        <w:rPr>
          <w:rStyle w:val="FootnoteReference"/>
        </w:rPr>
        <w:footnoteReference w:id="5"/>
      </w:r>
      <w:r w:rsidR="007234D8" w:rsidRPr="007234D8">
        <w:t xml:space="preserve"> of the original schools, we will imple</w:t>
      </w:r>
      <w:r w:rsidR="007445A6">
        <w:t>ment the second tier incentive</w:t>
      </w:r>
      <w:r w:rsidR="007234D8" w:rsidRPr="007234D8">
        <w:t xml:space="preserve">. </w:t>
      </w:r>
      <w:r w:rsidR="00503EC1" w:rsidRPr="00503EC1">
        <w:t xml:space="preserve">In addition, if by </w:t>
      </w:r>
      <w:r w:rsidR="007720A7">
        <w:t>October</w:t>
      </w:r>
      <w:r w:rsidR="00503EC1" w:rsidRPr="00503EC1">
        <w:t xml:space="preserve"> 2018, the un-weighted </w:t>
      </w:r>
      <w:r w:rsidR="00390D69">
        <w:t xml:space="preserve">IELS </w:t>
      </w:r>
      <w:r w:rsidR="00503EC1" w:rsidRPr="00503EC1">
        <w:t xml:space="preserve">school response rate with replacement schools is below </w:t>
      </w:r>
      <w:r w:rsidR="008302ED">
        <w:t>75</w:t>
      </w:r>
      <w:r w:rsidR="00503EC1" w:rsidRPr="00503EC1">
        <w:t xml:space="preserve">%, a sufficient number of additional replacement schools will be selected to meet the minimum response rate requirements for U.S. data to be reported (i.e., an un-weighted school response rate with replacement of at least </w:t>
      </w:r>
      <w:r w:rsidR="008302ED">
        <w:t>75</w:t>
      </w:r>
      <w:r w:rsidR="00503EC1" w:rsidRPr="00503EC1">
        <w:t>%, after at least 50% of original schools response rate)</w:t>
      </w:r>
      <w:r w:rsidR="00503EC1">
        <w:t xml:space="preserve">. </w:t>
      </w:r>
      <w:r w:rsidR="00503EC1" w:rsidRPr="00503EC1">
        <w:t xml:space="preserve">Given that these newly selected replacement schools will be approached late in the short data collection window, they will </w:t>
      </w:r>
      <w:r w:rsidR="007720A7">
        <w:t>also</w:t>
      </w:r>
      <w:r w:rsidR="00390D69">
        <w:t xml:space="preserve"> </w:t>
      </w:r>
      <w:r w:rsidR="00503EC1" w:rsidRPr="00503EC1">
        <w:t>be offered the second-tier $800 incentive.</w:t>
      </w:r>
      <w:r w:rsidR="00503EC1">
        <w:t xml:space="preserve"> </w:t>
      </w:r>
      <w:r w:rsidR="007234D8" w:rsidRPr="007234D8">
        <w:t xml:space="preserve">We will approach </w:t>
      </w:r>
      <w:r w:rsidR="00503EC1">
        <w:t xml:space="preserve">both original and replacement </w:t>
      </w:r>
      <w:r w:rsidR="007234D8" w:rsidRPr="007234D8">
        <w:t xml:space="preserve">refusing schools with the second-tier incentive only if necessary and at the point of </w:t>
      </w:r>
      <w:r w:rsidR="00503EC1">
        <w:t>our last chance to convert them</w:t>
      </w:r>
      <w:r w:rsidR="0062389D" w:rsidRPr="0062389D">
        <w:t>.</w:t>
      </w:r>
    </w:p>
    <w:p w14:paraId="2AE03208" w14:textId="01F4BD35" w:rsidR="00DC23F1" w:rsidRDefault="005611C5" w:rsidP="00503EC1">
      <w:pPr>
        <w:pStyle w:val="BodyText1"/>
        <w:widowControl w:val="0"/>
      </w:pPr>
      <w:r>
        <w:rPr>
          <w:b/>
        </w:rPr>
        <w:t>School coordinators.</w:t>
      </w:r>
      <w:r w:rsidR="00FA3B61">
        <w:t xml:space="preserve"> </w:t>
      </w:r>
      <w:r>
        <w:t xml:space="preserve">The role of the </w:t>
      </w:r>
      <w:r w:rsidRPr="00DF0307">
        <w:t>school coordinator is critical for the success of the study.</w:t>
      </w:r>
      <w:r w:rsidR="00FA3B61" w:rsidRPr="00DF0307">
        <w:t xml:space="preserve"> </w:t>
      </w:r>
      <w:r w:rsidRPr="00DF0307">
        <w:t>The coordinator is expected to coordinate logistics with the data collection contractor; supply a list of eligible students</w:t>
      </w:r>
      <w:r w:rsidR="001D622C" w:rsidRPr="00DF0307">
        <w:t xml:space="preserve"> </w:t>
      </w:r>
      <w:r w:rsidR="002B3232" w:rsidRPr="00DF0307">
        <w:t xml:space="preserve">and teachers </w:t>
      </w:r>
      <w:r w:rsidRPr="00DF0307">
        <w:t>for sampling to the data collection contractor; communicate with teachers, students, and parents about the s</w:t>
      </w:r>
      <w:r w:rsidR="00296EAA" w:rsidRPr="00DF0307">
        <w:t>tudy to encourage participation</w:t>
      </w:r>
      <w:r w:rsidR="00DF0307">
        <w:t>,</w:t>
      </w:r>
      <w:r w:rsidR="002B3232" w:rsidRPr="00DF0307">
        <w:t xml:space="preserve"> collect parent consent</w:t>
      </w:r>
      <w:r w:rsidRPr="00DF0307">
        <w:t xml:space="preserve">; and assist the </w:t>
      </w:r>
      <w:r w:rsidR="002B3232" w:rsidRPr="00DF0307">
        <w:t xml:space="preserve">field staff </w:t>
      </w:r>
      <w:r w:rsidRPr="00DF0307">
        <w:t xml:space="preserve">in arranging </w:t>
      </w:r>
      <w:r w:rsidR="00940FE1" w:rsidRPr="00DF0307">
        <w:t>for make-up sessions as needed.</w:t>
      </w:r>
      <w:r w:rsidR="002F607A" w:rsidRPr="00DF0307">
        <w:t xml:space="preserve"> </w:t>
      </w:r>
      <w:r w:rsidR="00390D69">
        <w:t>As was successfully implemented in the field test, t</w:t>
      </w:r>
      <w:r w:rsidR="00BB0485" w:rsidRPr="00DF0307">
        <w:t xml:space="preserve">o encourage their participation </w:t>
      </w:r>
      <w:r w:rsidR="00BB0485">
        <w:t>and extending their best effort for the study, each</w:t>
      </w:r>
      <w:r w:rsidR="002F607A">
        <w:t xml:space="preserve"> school coordinator will be offered $200</w:t>
      </w:r>
      <w:r w:rsidR="002948BE">
        <w:t>, with</w:t>
      </w:r>
      <w:r w:rsidR="002948BE" w:rsidRPr="002948BE">
        <w:t xml:space="preserve"> </w:t>
      </w:r>
      <w:r w:rsidR="002948BE">
        <w:t xml:space="preserve">a </w:t>
      </w:r>
      <w:r w:rsidR="002948BE" w:rsidRPr="002948BE">
        <w:t xml:space="preserve">$100 </w:t>
      </w:r>
      <w:r w:rsidR="002948BE">
        <w:t>check provided</w:t>
      </w:r>
      <w:r w:rsidR="002948BE" w:rsidRPr="002948BE">
        <w:t xml:space="preserve"> after </w:t>
      </w:r>
      <w:r w:rsidR="002948BE">
        <w:t xml:space="preserve">they complete </w:t>
      </w:r>
      <w:r w:rsidR="002948BE" w:rsidRPr="002948BE">
        <w:t>e-filing</w:t>
      </w:r>
      <w:r w:rsidR="002948BE">
        <w:t>, and t</w:t>
      </w:r>
      <w:r w:rsidR="002948BE" w:rsidRPr="002948BE">
        <w:t xml:space="preserve">he remaining $100 </w:t>
      </w:r>
      <w:r w:rsidR="002948BE">
        <w:t>being</w:t>
      </w:r>
      <w:r w:rsidR="002948BE" w:rsidRPr="002948BE">
        <w:t xml:space="preserve"> mailed with </w:t>
      </w:r>
      <w:r w:rsidR="002948BE">
        <w:t>a</w:t>
      </w:r>
      <w:r w:rsidR="002948BE" w:rsidRPr="002948BE">
        <w:t xml:space="preserve"> thank you letter at the end of the </w:t>
      </w:r>
      <w:r w:rsidR="002948BE">
        <w:t>data collectio</w:t>
      </w:r>
      <w:r w:rsidR="00390D69">
        <w:t>n</w:t>
      </w:r>
      <w:r w:rsidR="00873C79">
        <w:t>.</w:t>
      </w:r>
    </w:p>
    <w:p w14:paraId="5E0F872B" w14:textId="3F818248" w:rsidR="002000D2" w:rsidRPr="00652124" w:rsidRDefault="002000D2" w:rsidP="00FF4925">
      <w:pPr>
        <w:pStyle w:val="BodyText1"/>
      </w:pPr>
      <w:r w:rsidRPr="00652124">
        <w:rPr>
          <w:b/>
        </w:rPr>
        <w:t>Teachers:</w:t>
      </w:r>
      <w:r w:rsidR="003B3098" w:rsidRPr="00652124">
        <w:rPr>
          <w:b/>
        </w:rPr>
        <w:t xml:space="preserve"> </w:t>
      </w:r>
      <w:r w:rsidR="004F44E8">
        <w:t xml:space="preserve">We sampled </w:t>
      </w:r>
      <w:r w:rsidR="00B15FD0">
        <w:t xml:space="preserve">111 </w:t>
      </w:r>
      <w:r w:rsidR="00425655" w:rsidRPr="00425655">
        <w:t xml:space="preserve">teachers </w:t>
      </w:r>
      <w:r w:rsidR="004F44E8">
        <w:t>in</w:t>
      </w:r>
      <w:r w:rsidR="00425655" w:rsidRPr="00425655">
        <w:t xml:space="preserve"> the field test</w:t>
      </w:r>
      <w:r w:rsidR="004F44E8">
        <w:t xml:space="preserve">, of which </w:t>
      </w:r>
      <w:r w:rsidR="00425655">
        <w:t xml:space="preserve">91 percent </w:t>
      </w:r>
      <w:r w:rsidR="00B15FD0">
        <w:t>complet</w:t>
      </w:r>
      <w:r w:rsidR="004F44E8">
        <w:t>ed</w:t>
      </w:r>
      <w:r w:rsidR="00B15FD0">
        <w:t xml:space="preserve"> </w:t>
      </w:r>
      <w:r w:rsidR="004F44E8">
        <w:t>p</w:t>
      </w:r>
      <w:r w:rsidR="00B15FD0">
        <w:t xml:space="preserve">art A and </w:t>
      </w:r>
      <w:r w:rsidR="00425655">
        <w:t>part B questionnaires</w:t>
      </w:r>
      <w:r w:rsidR="004F44E8">
        <w:t>.</w:t>
      </w:r>
      <w:r w:rsidR="004F44E8" w:rsidRPr="004F44E8">
        <w:t xml:space="preserve"> Teachers were given a prepaid incentive of $40 to thank them up-front for their time</w:t>
      </w:r>
      <w:r w:rsidR="004F44E8">
        <w:t>, and a</w:t>
      </w:r>
      <w:r w:rsidR="00425655">
        <w:t xml:space="preserve">ll of the teacher checks </w:t>
      </w:r>
      <w:r w:rsidR="004F44E8">
        <w:t>were</w:t>
      </w:r>
      <w:r w:rsidR="00425655">
        <w:t xml:space="preserve"> cashed </w:t>
      </w:r>
      <w:r w:rsidR="00304FE5">
        <w:t>by the respondents</w:t>
      </w:r>
      <w:r w:rsidR="00425655">
        <w:t>.</w:t>
      </w:r>
      <w:r w:rsidR="004F44E8">
        <w:t xml:space="preserve"> P</w:t>
      </w:r>
      <w:r w:rsidR="00873C79" w:rsidRPr="00873C79">
        <w:t>rior to the field test</w:t>
      </w:r>
      <w:r w:rsidR="004F44E8">
        <w:t>,</w:t>
      </w:r>
      <w:r w:rsidR="00873C79" w:rsidRPr="00873C79">
        <w:t xml:space="preserve"> </w:t>
      </w:r>
      <w:r w:rsidR="004F44E8">
        <w:t>we</w:t>
      </w:r>
      <w:r w:rsidR="00873C79" w:rsidRPr="00873C79">
        <w:t xml:space="preserve"> estimated that each teacher would be asked to complete </w:t>
      </w:r>
      <w:r w:rsidR="004F44E8" w:rsidRPr="00873C79">
        <w:t xml:space="preserve">one </w:t>
      </w:r>
      <w:r w:rsidR="004F44E8">
        <w:t xml:space="preserve">part A </w:t>
      </w:r>
      <w:r w:rsidR="00535429">
        <w:t xml:space="preserve">teacher-focused </w:t>
      </w:r>
      <w:r w:rsidR="004F44E8" w:rsidRPr="00873C79">
        <w:t>background questionnaire</w:t>
      </w:r>
      <w:r w:rsidR="004F44E8">
        <w:t xml:space="preserve"> plus </w:t>
      </w:r>
      <w:r w:rsidR="00B15FD0">
        <w:t xml:space="preserve">part B </w:t>
      </w:r>
      <w:r w:rsidR="00535429">
        <w:t xml:space="preserve">student-focused </w:t>
      </w:r>
      <w:r w:rsidR="00873C79" w:rsidRPr="00873C79">
        <w:t xml:space="preserve">questionnaires for </w:t>
      </w:r>
      <w:r w:rsidR="004F44E8">
        <w:t>approximately four sampled students</w:t>
      </w:r>
      <w:r w:rsidR="00873C79" w:rsidRPr="00873C79">
        <w:t>.</w:t>
      </w:r>
      <w:r w:rsidR="00873C79">
        <w:rPr>
          <w:b/>
        </w:rPr>
        <w:t xml:space="preserve"> </w:t>
      </w:r>
      <w:r w:rsidR="00181F66">
        <w:t xml:space="preserve">However, the field test results show that </w:t>
      </w:r>
      <w:r w:rsidR="002D5775">
        <w:t>many</w:t>
      </w:r>
      <w:r w:rsidR="00181F66">
        <w:t xml:space="preserve"> teacher</w:t>
      </w:r>
      <w:r w:rsidR="002D5775">
        <w:t>s were</w:t>
      </w:r>
      <w:r w:rsidR="00181F66">
        <w:t xml:space="preserve"> asked to complete </w:t>
      </w:r>
      <w:r w:rsidR="00181F66" w:rsidRPr="00B15FD0">
        <w:t>six</w:t>
      </w:r>
      <w:r w:rsidR="00181F66">
        <w:t xml:space="preserve"> part B questionnaires, imposing a great</w:t>
      </w:r>
      <w:r w:rsidR="00483475">
        <w:t>e</w:t>
      </w:r>
      <w:r w:rsidR="00181F66">
        <w:t xml:space="preserve">r </w:t>
      </w:r>
      <w:r w:rsidR="002D5775">
        <w:t xml:space="preserve">variation in </w:t>
      </w:r>
      <w:r w:rsidR="00181F66">
        <w:t>per teacher burden tha</w:t>
      </w:r>
      <w:r w:rsidR="002D5775">
        <w:t>n</w:t>
      </w:r>
      <w:r w:rsidR="00181F66">
        <w:t xml:space="preserve"> originally estimated.</w:t>
      </w:r>
      <w:r w:rsidR="00181F66" w:rsidRPr="00181F66">
        <w:t xml:space="preserve"> </w:t>
      </w:r>
      <w:r w:rsidR="00181F66">
        <w:t>Furthermore. because based on other NCES studies we expect that schools and teachers in</w:t>
      </w:r>
      <w:r w:rsidR="00181F66" w:rsidRPr="00181F66">
        <w:t xml:space="preserve"> </w:t>
      </w:r>
      <w:r w:rsidR="00181F66">
        <w:t xml:space="preserve">the main study will be on average less cooperative than those in the field test, </w:t>
      </w:r>
      <w:r w:rsidR="0095561A">
        <w:t xml:space="preserve">in the main study </w:t>
      </w:r>
      <w:r w:rsidR="00181F66">
        <w:t>we will follow</w:t>
      </w:r>
      <w:r w:rsidR="00181F66">
        <w:rPr>
          <w:b/>
        </w:rPr>
        <w:t xml:space="preserve"> </w:t>
      </w:r>
      <w:r w:rsidR="00873C79" w:rsidRPr="00873C79">
        <w:t xml:space="preserve">the </w:t>
      </w:r>
      <w:r w:rsidR="00181F66">
        <w:t>incentive model</w:t>
      </w:r>
      <w:r w:rsidR="00873C79" w:rsidRPr="00873C79">
        <w:t xml:space="preserve"> </w:t>
      </w:r>
      <w:r w:rsidR="0095561A">
        <w:t xml:space="preserve">successfully </w:t>
      </w:r>
      <w:r w:rsidR="00873C79" w:rsidRPr="00873C79">
        <w:t xml:space="preserve">used in </w:t>
      </w:r>
      <w:r w:rsidR="0095561A">
        <w:t xml:space="preserve">ECLS-K and </w:t>
      </w:r>
      <w:r w:rsidR="00873C79" w:rsidRPr="00873C79">
        <w:t>ECLS-K</w:t>
      </w:r>
      <w:r w:rsidR="00425655">
        <w:t>:2011</w:t>
      </w:r>
      <w:r w:rsidR="00873C79" w:rsidRPr="00873C79">
        <w:t xml:space="preserve">, </w:t>
      </w:r>
      <w:r w:rsidR="00181F66">
        <w:t xml:space="preserve">where </w:t>
      </w:r>
      <w:r w:rsidR="00B15FD0">
        <w:t>each sampled</w:t>
      </w:r>
      <w:r w:rsidR="008D3376" w:rsidRPr="00652124">
        <w:t xml:space="preserve"> teacher </w:t>
      </w:r>
      <w:r w:rsidR="00131359">
        <w:t>receive</w:t>
      </w:r>
      <w:r w:rsidR="0095561A">
        <w:t>d</w:t>
      </w:r>
      <w:r w:rsidR="00131359">
        <w:t xml:space="preserve"> </w:t>
      </w:r>
      <w:r w:rsidR="00BC13FF">
        <w:t xml:space="preserve">a </w:t>
      </w:r>
      <w:r w:rsidR="00131359">
        <w:t>check</w:t>
      </w:r>
      <w:r w:rsidR="00B97D02">
        <w:t xml:space="preserve"> totaling </w:t>
      </w:r>
      <w:r w:rsidR="00982675">
        <w:t>$20</w:t>
      </w:r>
      <w:r w:rsidR="008D15B9">
        <w:t xml:space="preserve"> </w:t>
      </w:r>
      <w:r w:rsidR="00DC23F1">
        <w:t xml:space="preserve">for </w:t>
      </w:r>
      <w:r w:rsidR="008D15B9">
        <w:t>completi</w:t>
      </w:r>
      <w:r w:rsidR="00DC23F1">
        <w:t>ng</w:t>
      </w:r>
      <w:r w:rsidR="008D15B9">
        <w:t xml:space="preserve"> </w:t>
      </w:r>
      <w:r w:rsidR="008D15B9" w:rsidRPr="008D15B9">
        <w:t>part A of the teacher questionnaire</w:t>
      </w:r>
      <w:r w:rsidR="00982675">
        <w:t xml:space="preserve"> plus an additional </w:t>
      </w:r>
      <w:r w:rsidR="00113E18">
        <w:t xml:space="preserve">$7 for </w:t>
      </w:r>
      <w:r w:rsidR="008D15B9">
        <w:t xml:space="preserve">each </w:t>
      </w:r>
      <w:r w:rsidR="00B97D02">
        <w:t xml:space="preserve">part B </w:t>
      </w:r>
      <w:r w:rsidR="0099714F">
        <w:t>questionnaire</w:t>
      </w:r>
      <w:r w:rsidR="008D15B9">
        <w:t xml:space="preserve"> </w:t>
      </w:r>
      <w:r w:rsidR="00DC23F1">
        <w:t xml:space="preserve">they </w:t>
      </w:r>
      <w:r w:rsidR="0095561A">
        <w:t>we</w:t>
      </w:r>
      <w:r w:rsidR="00DC23F1">
        <w:t xml:space="preserve">re asked to complete </w:t>
      </w:r>
      <w:r w:rsidR="008D15B9">
        <w:t xml:space="preserve">about </w:t>
      </w:r>
      <w:r w:rsidR="00483475">
        <w:t>individual</w:t>
      </w:r>
      <w:r w:rsidR="008D15B9">
        <w:t xml:space="preserve"> </w:t>
      </w:r>
      <w:r w:rsidR="008D15B9" w:rsidRPr="00873C79">
        <w:t>sampled students</w:t>
      </w:r>
      <w:r w:rsidR="00B97D02">
        <w:t xml:space="preserve">. </w:t>
      </w:r>
      <w:r w:rsidR="00425655">
        <w:t xml:space="preserve">Because </w:t>
      </w:r>
      <w:r w:rsidR="0095561A">
        <w:t xml:space="preserve">in IELS </w:t>
      </w:r>
      <w:r w:rsidR="00425655">
        <w:t xml:space="preserve">we </w:t>
      </w:r>
      <w:r w:rsidR="00483475">
        <w:t xml:space="preserve">will </w:t>
      </w:r>
      <w:r w:rsidR="00425655">
        <w:t>“link” sampled students to teachers through the</w:t>
      </w:r>
      <w:r w:rsidR="00DC23F1">
        <w:t xml:space="preserve"> </w:t>
      </w:r>
      <w:r w:rsidR="00425655">
        <w:t xml:space="preserve">e-filing process, and thus </w:t>
      </w:r>
      <w:r w:rsidR="00483475">
        <w:t xml:space="preserve">will </w:t>
      </w:r>
      <w:r w:rsidR="00425655">
        <w:t>know the number of part B questionnaire</w:t>
      </w:r>
      <w:r w:rsidR="00B15FD0">
        <w:t>s</w:t>
      </w:r>
      <w:r w:rsidR="00483475">
        <w:t xml:space="preserve"> each te</w:t>
      </w:r>
      <w:r w:rsidR="00425655">
        <w:t xml:space="preserve">acher will be asked to complete, we will calculate the incentive check amounts for </w:t>
      </w:r>
      <w:r w:rsidR="0095561A">
        <w:t>each</w:t>
      </w:r>
      <w:r w:rsidR="00425655">
        <w:t xml:space="preserve"> sampled teacher </w:t>
      </w:r>
      <w:r w:rsidR="00104BD6">
        <w:t xml:space="preserve">before recruiting </w:t>
      </w:r>
      <w:r w:rsidR="00483475">
        <w:t>them</w:t>
      </w:r>
      <w:r w:rsidR="00FF4925">
        <w:t xml:space="preserve">. </w:t>
      </w:r>
      <w:r w:rsidR="0095561A">
        <w:t>Thus, f</w:t>
      </w:r>
      <w:r w:rsidR="00B97D02">
        <w:t>or</w:t>
      </w:r>
      <w:r w:rsidR="0095561A">
        <w:t xml:space="preserve"> example, a teacher who completes one part A questionnaire plus: (a) </w:t>
      </w:r>
      <w:r w:rsidR="002D5775">
        <w:t>six</w:t>
      </w:r>
      <w:r w:rsidR="00425655">
        <w:t xml:space="preserve"> </w:t>
      </w:r>
      <w:r w:rsidR="00B97D02">
        <w:t xml:space="preserve">part B questionnaires </w:t>
      </w:r>
      <w:r w:rsidR="00483475">
        <w:t>versus</w:t>
      </w:r>
      <w:r w:rsidR="0095561A">
        <w:t xml:space="preserve"> (b) </w:t>
      </w:r>
      <w:r w:rsidR="002C5F4E">
        <w:t xml:space="preserve">two </w:t>
      </w:r>
      <w:r w:rsidR="00425655">
        <w:t xml:space="preserve">part B </w:t>
      </w:r>
      <w:r w:rsidR="007720A7">
        <w:t>questionnaires</w:t>
      </w:r>
      <w:r w:rsidR="00425655">
        <w:t xml:space="preserve"> will receive a check for </w:t>
      </w:r>
      <w:r w:rsidR="00483475">
        <w:t>$</w:t>
      </w:r>
      <w:r w:rsidR="002D5775">
        <w:t>62</w:t>
      </w:r>
      <w:r w:rsidR="00483475">
        <w:t xml:space="preserve"> versus </w:t>
      </w:r>
      <w:r w:rsidR="00425655">
        <w:t>$</w:t>
      </w:r>
      <w:r w:rsidR="00113E18">
        <w:t>34</w:t>
      </w:r>
      <w:r w:rsidR="00483475">
        <w:t>, respectively</w:t>
      </w:r>
      <w:r w:rsidR="00425655">
        <w:t>.</w:t>
      </w:r>
      <w:r w:rsidR="0095561A">
        <w:t xml:space="preserve"> Given the variation in the number of part B </w:t>
      </w:r>
      <w:r w:rsidR="007720A7">
        <w:t>questionnaires</w:t>
      </w:r>
      <w:r w:rsidR="0095561A">
        <w:t xml:space="preserve"> each teacher is asked to complete, this incentive model </w:t>
      </w:r>
      <w:r w:rsidR="0095561A" w:rsidRPr="0095561A">
        <w:t>more fairly reflects the</w:t>
      </w:r>
      <w:r w:rsidR="0099714F" w:rsidRPr="0095561A">
        <w:t xml:space="preserve"> amount of time and effort </w:t>
      </w:r>
      <w:r w:rsidR="00483475">
        <w:t>each is</w:t>
      </w:r>
      <w:r w:rsidR="0099714F" w:rsidRPr="0095561A">
        <w:t xml:space="preserve"> being asked to spend.</w:t>
      </w:r>
      <w:r w:rsidR="00DC23F1" w:rsidRPr="0095561A">
        <w:t xml:space="preserve"> </w:t>
      </w:r>
      <w:r w:rsidR="00483475">
        <w:t>As in the field test, t</w:t>
      </w:r>
      <w:r w:rsidR="00425655" w:rsidRPr="0095561A">
        <w:t>h</w:t>
      </w:r>
      <w:r w:rsidR="00483475">
        <w:t>e teacher incentive</w:t>
      </w:r>
      <w:r w:rsidR="00425655" w:rsidRPr="0095561A">
        <w:t xml:space="preserve"> check will accompany</w:t>
      </w:r>
      <w:r w:rsidR="00DC23F1" w:rsidRPr="0095561A">
        <w:t xml:space="preserve"> </w:t>
      </w:r>
      <w:r w:rsidR="00425655" w:rsidRPr="0095561A">
        <w:t>the study information materials that contain information on compl</w:t>
      </w:r>
      <w:r w:rsidR="00483475">
        <w:t>et</w:t>
      </w:r>
      <w:r w:rsidR="00425655" w:rsidRPr="0095561A">
        <w:t>ing the questionnaires online. Cases where the actual number of part B questionnaires th</w:t>
      </w:r>
      <w:r w:rsidR="00304FE5" w:rsidRPr="0095561A">
        <w:t xml:space="preserve">e teacher </w:t>
      </w:r>
      <w:r w:rsidR="00483475">
        <w:t xml:space="preserve">is asked to </w:t>
      </w:r>
      <w:r w:rsidR="00304FE5" w:rsidRPr="0095561A">
        <w:t>complete differs than</w:t>
      </w:r>
      <w:r w:rsidR="00425655" w:rsidRPr="0095561A">
        <w:t xml:space="preserve"> the assumption made after sampling will be handled on a case-by-case basis.</w:t>
      </w:r>
    </w:p>
    <w:p w14:paraId="6AF0858D" w14:textId="3B78E1EA" w:rsidR="0099714F" w:rsidRDefault="00926280" w:rsidP="00476F0F">
      <w:pPr>
        <w:widowControl w:val="0"/>
        <w:spacing w:after="120" w:line="300" w:lineRule="atLeast"/>
        <w:jc w:val="left"/>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sidR="001B290C">
        <w:rPr>
          <w:rFonts w:ascii="Garamond" w:hAnsi="Garamond"/>
          <w:sz w:val="24"/>
          <w:szCs w:val="24"/>
        </w:rPr>
        <w:t xml:space="preserve">To incentivize </w:t>
      </w:r>
      <w:r w:rsidR="00476F0F">
        <w:rPr>
          <w:rFonts w:ascii="Garamond" w:hAnsi="Garamond"/>
          <w:sz w:val="24"/>
          <w:szCs w:val="24"/>
        </w:rPr>
        <w:t>parents to participate in the IELS field test</w:t>
      </w:r>
      <w:r w:rsidR="001B290C">
        <w:rPr>
          <w:rFonts w:ascii="Garamond" w:hAnsi="Garamond"/>
          <w:sz w:val="24"/>
          <w:szCs w:val="24"/>
        </w:rPr>
        <w:t xml:space="preserve">, </w:t>
      </w:r>
      <w:r w:rsidR="00E255EC">
        <w:rPr>
          <w:rFonts w:ascii="Garamond" w:hAnsi="Garamond"/>
          <w:sz w:val="24"/>
          <w:szCs w:val="24"/>
        </w:rPr>
        <w:t>the</w:t>
      </w:r>
      <w:r>
        <w:rPr>
          <w:rFonts w:ascii="Garamond" w:hAnsi="Garamond"/>
          <w:sz w:val="24"/>
          <w:szCs w:val="24"/>
        </w:rPr>
        <w:t xml:space="preserve"> parent or guardian of each </w:t>
      </w:r>
      <w:r w:rsidR="00E77404">
        <w:rPr>
          <w:rFonts w:ascii="Garamond" w:hAnsi="Garamond"/>
          <w:sz w:val="24"/>
          <w:szCs w:val="24"/>
        </w:rPr>
        <w:t>sampled</w:t>
      </w:r>
      <w:r>
        <w:rPr>
          <w:rFonts w:ascii="Garamond" w:hAnsi="Garamond"/>
          <w:sz w:val="24"/>
          <w:szCs w:val="24"/>
        </w:rPr>
        <w:t xml:space="preserve"> student </w:t>
      </w:r>
      <w:r w:rsidR="0099714F">
        <w:rPr>
          <w:rFonts w:ascii="Garamond" w:hAnsi="Garamond"/>
          <w:sz w:val="24"/>
          <w:szCs w:val="24"/>
        </w:rPr>
        <w:t xml:space="preserve">received a check for $20. </w:t>
      </w:r>
      <w:r w:rsidR="00D14B4F">
        <w:rPr>
          <w:rFonts w:ascii="Garamond" w:hAnsi="Garamond"/>
          <w:sz w:val="24"/>
          <w:szCs w:val="24"/>
        </w:rPr>
        <w:t>When</w:t>
      </w:r>
      <w:r w:rsidR="0099714F">
        <w:rPr>
          <w:rFonts w:ascii="Garamond" w:hAnsi="Garamond"/>
          <w:sz w:val="24"/>
          <w:szCs w:val="24"/>
        </w:rPr>
        <w:t xml:space="preserve"> possible, this check was distributed at the </w:t>
      </w:r>
      <w:r w:rsidR="007720A7">
        <w:rPr>
          <w:rFonts w:ascii="Garamond" w:hAnsi="Garamond"/>
          <w:sz w:val="24"/>
          <w:szCs w:val="24"/>
        </w:rPr>
        <w:t>beginning</w:t>
      </w:r>
      <w:r w:rsidR="0099714F">
        <w:rPr>
          <w:rFonts w:ascii="Garamond" w:hAnsi="Garamond"/>
          <w:sz w:val="24"/>
          <w:szCs w:val="24"/>
        </w:rPr>
        <w:t xml:space="preserve"> of the field period with the study informational materials and details on how to access the online questionnaire. </w:t>
      </w:r>
      <w:r w:rsidR="00D14B4F">
        <w:rPr>
          <w:rFonts w:ascii="Garamond" w:hAnsi="Garamond"/>
          <w:sz w:val="24"/>
          <w:szCs w:val="24"/>
        </w:rPr>
        <w:t>However, i</w:t>
      </w:r>
      <w:r w:rsidR="0099714F">
        <w:rPr>
          <w:rFonts w:ascii="Garamond" w:hAnsi="Garamond"/>
          <w:sz w:val="24"/>
          <w:szCs w:val="24"/>
        </w:rPr>
        <w:t xml:space="preserve">n </w:t>
      </w:r>
      <w:r w:rsidR="00304FE5">
        <w:rPr>
          <w:rFonts w:ascii="Garamond" w:hAnsi="Garamond"/>
          <w:sz w:val="24"/>
          <w:szCs w:val="24"/>
        </w:rPr>
        <w:t>many</w:t>
      </w:r>
      <w:r w:rsidR="0099714F">
        <w:rPr>
          <w:rFonts w:ascii="Garamond" w:hAnsi="Garamond"/>
          <w:sz w:val="24"/>
          <w:szCs w:val="24"/>
        </w:rPr>
        <w:t xml:space="preserve"> cases the check could not be included because the school was unwilling to share parent names, </w:t>
      </w:r>
      <w:r w:rsidR="00D14B4F">
        <w:rPr>
          <w:rFonts w:ascii="Garamond" w:hAnsi="Garamond"/>
          <w:sz w:val="24"/>
          <w:szCs w:val="24"/>
        </w:rPr>
        <w:t xml:space="preserve">preventing us from writing checks </w:t>
      </w:r>
      <w:r w:rsidR="0099714F">
        <w:rPr>
          <w:rFonts w:ascii="Garamond" w:hAnsi="Garamond"/>
          <w:sz w:val="24"/>
          <w:szCs w:val="24"/>
        </w:rPr>
        <w:t>to the respondent</w:t>
      </w:r>
      <w:r w:rsidR="00D14B4F">
        <w:rPr>
          <w:rFonts w:ascii="Garamond" w:hAnsi="Garamond"/>
          <w:sz w:val="24"/>
          <w:szCs w:val="24"/>
        </w:rPr>
        <w:t>s</w:t>
      </w:r>
      <w:r w:rsidR="0099714F">
        <w:rPr>
          <w:rFonts w:ascii="Garamond" w:hAnsi="Garamond"/>
          <w:sz w:val="24"/>
          <w:szCs w:val="24"/>
        </w:rPr>
        <w:t>. In these cases, parent</w:t>
      </w:r>
      <w:r w:rsidR="00697150">
        <w:rPr>
          <w:rFonts w:ascii="Garamond" w:hAnsi="Garamond"/>
          <w:sz w:val="24"/>
          <w:szCs w:val="24"/>
        </w:rPr>
        <w:t xml:space="preserve">s received their incentive amounts </w:t>
      </w:r>
      <w:r w:rsidR="0099714F">
        <w:rPr>
          <w:rFonts w:ascii="Garamond" w:hAnsi="Garamond"/>
          <w:sz w:val="24"/>
          <w:szCs w:val="24"/>
        </w:rPr>
        <w:t xml:space="preserve">at the conclusion of the study. </w:t>
      </w:r>
      <w:r w:rsidR="00697150">
        <w:rPr>
          <w:rFonts w:ascii="Garamond" w:hAnsi="Garamond"/>
          <w:sz w:val="24"/>
          <w:szCs w:val="24"/>
        </w:rPr>
        <w:t>In a f</w:t>
      </w:r>
      <w:r w:rsidR="00BC13FF">
        <w:rPr>
          <w:rFonts w:ascii="Garamond" w:hAnsi="Garamond"/>
          <w:sz w:val="24"/>
          <w:szCs w:val="24"/>
        </w:rPr>
        <w:t>ew cases</w:t>
      </w:r>
      <w:r w:rsidR="00697150">
        <w:rPr>
          <w:rFonts w:ascii="Garamond" w:hAnsi="Garamond"/>
          <w:sz w:val="24"/>
          <w:szCs w:val="24"/>
        </w:rPr>
        <w:t>,</w:t>
      </w:r>
      <w:r w:rsidR="00BC13FF">
        <w:rPr>
          <w:rFonts w:ascii="Garamond" w:hAnsi="Garamond"/>
          <w:sz w:val="24"/>
          <w:szCs w:val="24"/>
        </w:rPr>
        <w:t xml:space="preserve"> </w:t>
      </w:r>
      <w:r w:rsidR="00211FCE">
        <w:rPr>
          <w:rFonts w:ascii="Garamond" w:hAnsi="Garamond"/>
          <w:sz w:val="24"/>
          <w:szCs w:val="24"/>
        </w:rPr>
        <w:t>schools were unwilling to share</w:t>
      </w:r>
      <w:r w:rsidR="00BC13FF">
        <w:rPr>
          <w:rFonts w:ascii="Garamond" w:hAnsi="Garamond"/>
          <w:sz w:val="24"/>
          <w:szCs w:val="24"/>
        </w:rPr>
        <w:t xml:space="preserve"> the parents</w:t>
      </w:r>
      <w:r w:rsidR="00697150">
        <w:rPr>
          <w:rFonts w:ascii="Garamond" w:hAnsi="Garamond"/>
          <w:sz w:val="24"/>
          <w:szCs w:val="24"/>
        </w:rPr>
        <w:t>’</w:t>
      </w:r>
      <w:r w:rsidR="00BC13FF">
        <w:rPr>
          <w:rFonts w:ascii="Garamond" w:hAnsi="Garamond"/>
          <w:sz w:val="24"/>
          <w:szCs w:val="24"/>
        </w:rPr>
        <w:t xml:space="preserve"> names at all and thus no checks were distributed to these parents.</w:t>
      </w:r>
    </w:p>
    <w:p w14:paraId="499E13B9" w14:textId="660F9AEC" w:rsidR="00506C4A" w:rsidRDefault="00986E81" w:rsidP="003E5B34">
      <w:pPr>
        <w:widowControl w:val="0"/>
        <w:spacing w:after="120" w:line="300" w:lineRule="atLeast"/>
        <w:jc w:val="left"/>
        <w:rPr>
          <w:rFonts w:ascii="Garamond" w:hAnsi="Garamond"/>
          <w:sz w:val="24"/>
          <w:szCs w:val="24"/>
        </w:rPr>
      </w:pPr>
      <w:r>
        <w:rPr>
          <w:rFonts w:ascii="Garamond" w:hAnsi="Garamond"/>
          <w:sz w:val="24"/>
          <w:szCs w:val="24"/>
        </w:rPr>
        <w:t>Table</w:t>
      </w:r>
      <w:r w:rsidR="00C07AC7">
        <w:rPr>
          <w:rFonts w:ascii="Garamond" w:hAnsi="Garamond"/>
          <w:sz w:val="24"/>
          <w:szCs w:val="24"/>
        </w:rPr>
        <w:t xml:space="preserve"> 1 summarize</w:t>
      </w:r>
      <w:r>
        <w:rPr>
          <w:rFonts w:ascii="Garamond" w:hAnsi="Garamond"/>
          <w:sz w:val="24"/>
          <w:szCs w:val="24"/>
        </w:rPr>
        <w:t>s</w:t>
      </w:r>
      <w:r w:rsidR="00C07AC7">
        <w:rPr>
          <w:rFonts w:ascii="Garamond" w:hAnsi="Garamond"/>
          <w:sz w:val="24"/>
          <w:szCs w:val="24"/>
        </w:rPr>
        <w:t xml:space="preserve"> the effect of the incentive payments on </w:t>
      </w:r>
      <w:r w:rsidR="00697150">
        <w:rPr>
          <w:rFonts w:ascii="Garamond" w:hAnsi="Garamond"/>
          <w:sz w:val="24"/>
          <w:szCs w:val="24"/>
        </w:rPr>
        <w:t>response rates</w:t>
      </w:r>
      <w:r w:rsidR="00C07AC7">
        <w:rPr>
          <w:rFonts w:ascii="Garamond" w:hAnsi="Garamond"/>
          <w:sz w:val="24"/>
          <w:szCs w:val="24"/>
        </w:rPr>
        <w:t>. U</w:t>
      </w:r>
      <w:r w:rsidR="0099714F">
        <w:rPr>
          <w:rFonts w:ascii="Garamond" w:hAnsi="Garamond"/>
          <w:sz w:val="24"/>
          <w:szCs w:val="24"/>
        </w:rPr>
        <w:t xml:space="preserve">pon analyzing the field test results, it does not appear that the receipt of </w:t>
      </w:r>
      <w:r w:rsidR="001F1BC9">
        <w:rPr>
          <w:rFonts w:ascii="Garamond" w:hAnsi="Garamond"/>
          <w:sz w:val="24"/>
          <w:szCs w:val="24"/>
        </w:rPr>
        <w:t>a pre-payment</w:t>
      </w:r>
      <w:r w:rsidR="0099714F">
        <w:rPr>
          <w:rFonts w:ascii="Garamond" w:hAnsi="Garamond"/>
          <w:sz w:val="24"/>
          <w:szCs w:val="24"/>
        </w:rPr>
        <w:t xml:space="preserve"> positively influenced the parent response rates</w:t>
      </w:r>
      <w:r w:rsidR="00697150">
        <w:rPr>
          <w:rFonts w:ascii="Garamond" w:hAnsi="Garamond"/>
          <w:sz w:val="24"/>
          <w:szCs w:val="24"/>
        </w:rPr>
        <w:t xml:space="preserve"> – 31</w:t>
      </w:r>
      <w:r w:rsidR="00304FE5">
        <w:rPr>
          <w:rFonts w:ascii="Garamond" w:hAnsi="Garamond"/>
          <w:sz w:val="24"/>
          <w:szCs w:val="24"/>
        </w:rPr>
        <w:t xml:space="preserve"> </w:t>
      </w:r>
      <w:r w:rsidR="001F1BC9">
        <w:rPr>
          <w:rFonts w:ascii="Garamond" w:hAnsi="Garamond"/>
          <w:sz w:val="24"/>
          <w:szCs w:val="24"/>
        </w:rPr>
        <w:t xml:space="preserve">percent of </w:t>
      </w:r>
      <w:r w:rsidR="00697150">
        <w:rPr>
          <w:rFonts w:ascii="Garamond" w:hAnsi="Garamond"/>
          <w:sz w:val="24"/>
          <w:szCs w:val="24"/>
        </w:rPr>
        <w:t>parents</w:t>
      </w:r>
      <w:r w:rsidR="001F1BC9">
        <w:rPr>
          <w:rFonts w:ascii="Garamond" w:hAnsi="Garamond"/>
          <w:sz w:val="24"/>
          <w:szCs w:val="24"/>
        </w:rPr>
        <w:t xml:space="preserve"> who received a pre-payment </w:t>
      </w:r>
      <w:r w:rsidR="00697150">
        <w:rPr>
          <w:rFonts w:ascii="Garamond" w:hAnsi="Garamond"/>
          <w:sz w:val="24"/>
          <w:szCs w:val="24"/>
        </w:rPr>
        <w:t>and</w:t>
      </w:r>
      <w:r w:rsidR="001F1BC9">
        <w:rPr>
          <w:rFonts w:ascii="Garamond" w:hAnsi="Garamond"/>
          <w:sz w:val="24"/>
          <w:szCs w:val="24"/>
        </w:rPr>
        <w:t xml:space="preserve"> </w:t>
      </w:r>
      <w:r w:rsidR="00304FE5">
        <w:rPr>
          <w:rFonts w:ascii="Garamond" w:hAnsi="Garamond"/>
          <w:sz w:val="24"/>
          <w:szCs w:val="24"/>
        </w:rPr>
        <w:t>64</w:t>
      </w:r>
      <w:r w:rsidR="00555820">
        <w:rPr>
          <w:rFonts w:ascii="Garamond" w:hAnsi="Garamond"/>
          <w:sz w:val="24"/>
          <w:szCs w:val="24"/>
        </w:rPr>
        <w:t xml:space="preserve"> </w:t>
      </w:r>
      <w:r w:rsidR="001F1BC9">
        <w:rPr>
          <w:rFonts w:ascii="Garamond" w:hAnsi="Garamond"/>
          <w:sz w:val="24"/>
          <w:szCs w:val="24"/>
        </w:rPr>
        <w:t xml:space="preserve">percent </w:t>
      </w:r>
      <w:r w:rsidR="00697150">
        <w:rPr>
          <w:rFonts w:ascii="Garamond" w:hAnsi="Garamond"/>
          <w:sz w:val="24"/>
          <w:szCs w:val="24"/>
        </w:rPr>
        <w:t xml:space="preserve">of parents </w:t>
      </w:r>
      <w:r w:rsidR="001F1BC9">
        <w:rPr>
          <w:rFonts w:ascii="Garamond" w:hAnsi="Garamond"/>
          <w:sz w:val="24"/>
          <w:szCs w:val="24"/>
        </w:rPr>
        <w:t>who received a post-paym</w:t>
      </w:r>
      <w:r w:rsidR="00C07AC7">
        <w:rPr>
          <w:rFonts w:ascii="Garamond" w:hAnsi="Garamond"/>
          <w:sz w:val="24"/>
          <w:szCs w:val="24"/>
        </w:rPr>
        <w:t>ent completed the</w:t>
      </w:r>
      <w:r w:rsidR="00697150">
        <w:rPr>
          <w:rFonts w:ascii="Garamond" w:hAnsi="Garamond"/>
          <w:sz w:val="24"/>
          <w:szCs w:val="24"/>
        </w:rPr>
        <w:t>ir</w:t>
      </w:r>
      <w:r w:rsidR="00C07AC7">
        <w:rPr>
          <w:rFonts w:ascii="Garamond" w:hAnsi="Garamond"/>
          <w:sz w:val="24"/>
          <w:szCs w:val="24"/>
        </w:rPr>
        <w:t xml:space="preserve"> questionnaire</w:t>
      </w:r>
      <w:r w:rsidR="001F1BC9">
        <w:rPr>
          <w:rFonts w:ascii="Garamond" w:hAnsi="Garamond"/>
          <w:sz w:val="24"/>
          <w:szCs w:val="24"/>
        </w:rPr>
        <w:t>.</w:t>
      </w:r>
      <w:r w:rsidR="00DC23F1">
        <w:rPr>
          <w:rFonts w:ascii="Garamond" w:hAnsi="Garamond"/>
          <w:sz w:val="24"/>
          <w:szCs w:val="24"/>
        </w:rPr>
        <w:t xml:space="preserve"> </w:t>
      </w:r>
      <w:r w:rsidR="00697150">
        <w:rPr>
          <w:rFonts w:ascii="Garamond" w:hAnsi="Garamond"/>
          <w:sz w:val="24"/>
          <w:szCs w:val="24"/>
        </w:rPr>
        <w:t>Furthermore, 7</w:t>
      </w:r>
      <w:r w:rsidR="009937A1">
        <w:rPr>
          <w:rFonts w:ascii="Garamond" w:hAnsi="Garamond"/>
          <w:sz w:val="24"/>
          <w:szCs w:val="24"/>
        </w:rPr>
        <w:t>4</w:t>
      </w:r>
      <w:r w:rsidR="00697150">
        <w:rPr>
          <w:rFonts w:ascii="Garamond" w:hAnsi="Garamond"/>
          <w:sz w:val="24"/>
          <w:szCs w:val="24"/>
        </w:rPr>
        <w:t xml:space="preserve"> percent o</w:t>
      </w:r>
      <w:r w:rsidR="001F1BC9">
        <w:rPr>
          <w:rFonts w:ascii="Garamond" w:hAnsi="Garamond"/>
          <w:sz w:val="24"/>
          <w:szCs w:val="24"/>
        </w:rPr>
        <w:t>f the parents who completed the questionnaire</w:t>
      </w:r>
      <w:r w:rsidR="00697150">
        <w:rPr>
          <w:rFonts w:ascii="Garamond" w:hAnsi="Garamond"/>
          <w:sz w:val="24"/>
          <w:szCs w:val="24"/>
        </w:rPr>
        <w:t xml:space="preserve"> and </w:t>
      </w:r>
      <w:r w:rsidR="009937A1">
        <w:rPr>
          <w:rFonts w:ascii="Garamond" w:hAnsi="Garamond"/>
          <w:sz w:val="24"/>
          <w:szCs w:val="24"/>
        </w:rPr>
        <w:t>57</w:t>
      </w:r>
      <w:r w:rsidR="00697150">
        <w:rPr>
          <w:rFonts w:ascii="Garamond" w:hAnsi="Garamond"/>
          <w:sz w:val="24"/>
          <w:szCs w:val="24"/>
        </w:rPr>
        <w:t xml:space="preserve"> percent</w:t>
      </w:r>
      <w:r w:rsidR="001F1BC9">
        <w:rPr>
          <w:rFonts w:ascii="Garamond" w:hAnsi="Garamond"/>
          <w:sz w:val="24"/>
          <w:szCs w:val="24"/>
        </w:rPr>
        <w:t xml:space="preserve"> of parents who did no</w:t>
      </w:r>
      <w:r w:rsidR="00697150">
        <w:rPr>
          <w:rFonts w:ascii="Garamond" w:hAnsi="Garamond"/>
          <w:sz w:val="24"/>
          <w:szCs w:val="24"/>
        </w:rPr>
        <w:t>t complete the questionnaire</w:t>
      </w:r>
      <w:r w:rsidR="00DC23F1">
        <w:rPr>
          <w:rFonts w:ascii="Garamond" w:hAnsi="Garamond"/>
          <w:sz w:val="24"/>
          <w:szCs w:val="24"/>
        </w:rPr>
        <w:t xml:space="preserve"> cashed their check.</w:t>
      </w:r>
    </w:p>
    <w:p w14:paraId="49F8476F" w14:textId="4B700248" w:rsidR="000F1BB0" w:rsidRDefault="000F1BB0" w:rsidP="007D4D00">
      <w:pPr>
        <w:pStyle w:val="TT-TableTitle"/>
        <w:keepNext/>
        <w:spacing w:before="120" w:after="60" w:line="240" w:lineRule="auto"/>
        <w:ind w:left="0" w:firstLine="0"/>
      </w:pPr>
      <w:r w:rsidRPr="00E31EBD">
        <w:t xml:space="preserve">Table </w:t>
      </w:r>
      <w:r>
        <w:t>1</w:t>
      </w:r>
      <w:r w:rsidRPr="00E31EBD">
        <w:t>.</w:t>
      </w:r>
      <w:r w:rsidRPr="00E31EBD">
        <w:tab/>
      </w:r>
      <w:r>
        <w:t xml:space="preserve">Parent questionnaire completion vs. checks cashed </w:t>
      </w:r>
    </w:p>
    <w:tbl>
      <w:tblPr>
        <w:tblW w:w="5000" w:type="pct"/>
        <w:tblLook w:val="04A0" w:firstRow="1" w:lastRow="0" w:firstColumn="1" w:lastColumn="0" w:noHBand="0" w:noVBand="1"/>
      </w:tblPr>
      <w:tblGrid>
        <w:gridCol w:w="4068"/>
        <w:gridCol w:w="1171"/>
        <w:gridCol w:w="1218"/>
        <w:gridCol w:w="1005"/>
        <w:gridCol w:w="1238"/>
        <w:gridCol w:w="1179"/>
        <w:gridCol w:w="1137"/>
      </w:tblGrid>
      <w:tr w:rsidR="00420F9B" w:rsidRPr="00697150" w14:paraId="0C6CE1CE" w14:textId="77777777" w:rsidTr="00697150">
        <w:trPr>
          <w:trHeight w:val="144"/>
        </w:trPr>
        <w:tc>
          <w:tcPr>
            <w:tcW w:w="1846" w:type="pct"/>
            <w:tcBorders>
              <w:top w:val="single" w:sz="8" w:space="0" w:color="auto"/>
              <w:left w:val="single" w:sz="8" w:space="0" w:color="auto"/>
              <w:bottom w:val="nil"/>
              <w:right w:val="nil"/>
            </w:tcBorders>
            <w:shd w:val="clear" w:color="auto" w:fill="auto"/>
            <w:noWrap/>
            <w:vAlign w:val="bottom"/>
            <w:hideMark/>
          </w:tcPr>
          <w:p w14:paraId="7240442E" w14:textId="3BFFAAF4" w:rsidR="00420F9B" w:rsidRPr="00697150" w:rsidRDefault="00420F9B" w:rsidP="00104BD6">
            <w:pPr>
              <w:keepNext/>
              <w:spacing w:line="240" w:lineRule="auto"/>
              <w:jc w:val="left"/>
              <w:rPr>
                <w:rFonts w:ascii="Calibri" w:hAnsi="Calibri"/>
                <w:color w:val="000000"/>
                <w:sz w:val="20"/>
              </w:rPr>
            </w:pPr>
            <w:r w:rsidRPr="00697150">
              <w:rPr>
                <w:rFonts w:ascii="Calibri" w:hAnsi="Calibri"/>
                <w:color w:val="000000"/>
                <w:sz w:val="20"/>
              </w:rPr>
              <w:t> </w:t>
            </w:r>
          </w:p>
        </w:tc>
        <w:tc>
          <w:tcPr>
            <w:tcW w:w="1084" w:type="pct"/>
            <w:gridSpan w:val="2"/>
            <w:tcBorders>
              <w:top w:val="single" w:sz="8" w:space="0" w:color="auto"/>
              <w:left w:val="nil"/>
              <w:bottom w:val="single" w:sz="4" w:space="0" w:color="auto"/>
              <w:right w:val="nil"/>
            </w:tcBorders>
            <w:shd w:val="clear" w:color="auto" w:fill="auto"/>
            <w:vAlign w:val="bottom"/>
            <w:hideMark/>
          </w:tcPr>
          <w:p w14:paraId="26848715"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Checks mailed with advance package</w:t>
            </w:r>
          </w:p>
        </w:tc>
        <w:tc>
          <w:tcPr>
            <w:tcW w:w="1018" w:type="pct"/>
            <w:gridSpan w:val="2"/>
            <w:tcBorders>
              <w:top w:val="single" w:sz="8" w:space="0" w:color="auto"/>
              <w:left w:val="nil"/>
              <w:bottom w:val="single" w:sz="4" w:space="0" w:color="auto"/>
              <w:right w:val="nil"/>
            </w:tcBorders>
            <w:shd w:val="clear" w:color="auto" w:fill="auto"/>
            <w:vAlign w:val="bottom"/>
            <w:hideMark/>
          </w:tcPr>
          <w:p w14:paraId="453EF989"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Checks mailed after advance package</w:t>
            </w:r>
          </w:p>
        </w:tc>
        <w:tc>
          <w:tcPr>
            <w:tcW w:w="1051" w:type="pct"/>
            <w:gridSpan w:val="2"/>
            <w:tcBorders>
              <w:top w:val="single" w:sz="8" w:space="0" w:color="auto"/>
              <w:left w:val="nil"/>
              <w:bottom w:val="nil"/>
              <w:right w:val="single" w:sz="8" w:space="0" w:color="000000"/>
            </w:tcBorders>
            <w:shd w:val="clear" w:color="auto" w:fill="auto"/>
            <w:noWrap/>
            <w:vAlign w:val="bottom"/>
            <w:hideMark/>
          </w:tcPr>
          <w:p w14:paraId="1BF7CC7F" w14:textId="77777777" w:rsidR="00420F9B" w:rsidRPr="00697150" w:rsidRDefault="00420F9B" w:rsidP="00104BD6">
            <w:pPr>
              <w:keepNext/>
              <w:spacing w:line="240" w:lineRule="auto"/>
              <w:jc w:val="center"/>
              <w:rPr>
                <w:rFonts w:ascii="Calibri" w:hAnsi="Calibri"/>
                <w:b/>
                <w:bCs/>
                <w:color w:val="000000"/>
                <w:sz w:val="20"/>
              </w:rPr>
            </w:pPr>
            <w:r w:rsidRPr="00697150">
              <w:rPr>
                <w:rFonts w:ascii="Calibri" w:hAnsi="Calibri"/>
                <w:b/>
                <w:bCs/>
                <w:color w:val="000000"/>
                <w:sz w:val="20"/>
              </w:rPr>
              <w:t>Total</w:t>
            </w:r>
          </w:p>
        </w:tc>
      </w:tr>
      <w:tr w:rsidR="00420F9B" w:rsidRPr="00697150" w14:paraId="01A63AE0" w14:textId="77777777" w:rsidTr="00697150">
        <w:trPr>
          <w:trHeight w:val="144"/>
        </w:trPr>
        <w:tc>
          <w:tcPr>
            <w:tcW w:w="1846" w:type="pct"/>
            <w:tcBorders>
              <w:top w:val="nil"/>
              <w:left w:val="single" w:sz="8" w:space="0" w:color="auto"/>
              <w:bottom w:val="nil"/>
              <w:right w:val="nil"/>
            </w:tcBorders>
            <w:shd w:val="clear" w:color="auto" w:fill="auto"/>
            <w:noWrap/>
            <w:vAlign w:val="bottom"/>
            <w:hideMark/>
          </w:tcPr>
          <w:p w14:paraId="481F621E" w14:textId="77777777" w:rsidR="00420F9B" w:rsidRPr="00697150" w:rsidRDefault="00420F9B" w:rsidP="00104BD6">
            <w:pPr>
              <w:spacing w:line="240" w:lineRule="auto"/>
              <w:jc w:val="left"/>
              <w:rPr>
                <w:rFonts w:ascii="Calibri" w:hAnsi="Calibri"/>
                <w:color w:val="000000"/>
                <w:sz w:val="20"/>
              </w:rPr>
            </w:pPr>
            <w:r w:rsidRPr="00697150">
              <w:rPr>
                <w:rFonts w:ascii="Calibri" w:hAnsi="Calibri"/>
                <w:color w:val="000000"/>
                <w:sz w:val="20"/>
              </w:rPr>
              <w:t> </w:t>
            </w:r>
          </w:p>
        </w:tc>
        <w:tc>
          <w:tcPr>
            <w:tcW w:w="531" w:type="pct"/>
            <w:tcBorders>
              <w:top w:val="nil"/>
              <w:left w:val="nil"/>
              <w:bottom w:val="single" w:sz="4" w:space="0" w:color="auto"/>
              <w:right w:val="nil"/>
            </w:tcBorders>
            <w:shd w:val="clear" w:color="auto" w:fill="auto"/>
            <w:noWrap/>
            <w:vAlign w:val="bottom"/>
            <w:hideMark/>
          </w:tcPr>
          <w:p w14:paraId="77040145"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53" w:type="pct"/>
            <w:tcBorders>
              <w:top w:val="nil"/>
              <w:left w:val="nil"/>
              <w:bottom w:val="single" w:sz="4" w:space="0" w:color="auto"/>
              <w:right w:val="nil"/>
            </w:tcBorders>
            <w:shd w:val="clear" w:color="auto" w:fill="auto"/>
            <w:vAlign w:val="bottom"/>
            <w:hideMark/>
          </w:tcPr>
          <w:p w14:paraId="6FB1B53D"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 of in-scope</w:t>
            </w:r>
          </w:p>
        </w:tc>
        <w:tc>
          <w:tcPr>
            <w:tcW w:w="456" w:type="pct"/>
            <w:tcBorders>
              <w:top w:val="nil"/>
              <w:left w:val="nil"/>
              <w:bottom w:val="single" w:sz="4" w:space="0" w:color="auto"/>
              <w:right w:val="nil"/>
            </w:tcBorders>
            <w:shd w:val="clear" w:color="auto" w:fill="auto"/>
            <w:noWrap/>
            <w:vAlign w:val="bottom"/>
            <w:hideMark/>
          </w:tcPr>
          <w:p w14:paraId="0F82EB0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62" w:type="pct"/>
            <w:tcBorders>
              <w:top w:val="nil"/>
              <w:left w:val="nil"/>
              <w:bottom w:val="single" w:sz="4" w:space="0" w:color="auto"/>
              <w:right w:val="nil"/>
            </w:tcBorders>
            <w:shd w:val="clear" w:color="auto" w:fill="auto"/>
            <w:vAlign w:val="bottom"/>
            <w:hideMark/>
          </w:tcPr>
          <w:p w14:paraId="2C8068B4"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 of in-scope</w:t>
            </w:r>
          </w:p>
        </w:tc>
        <w:tc>
          <w:tcPr>
            <w:tcW w:w="535" w:type="pct"/>
            <w:tcBorders>
              <w:top w:val="single" w:sz="4" w:space="0" w:color="auto"/>
              <w:left w:val="nil"/>
              <w:bottom w:val="single" w:sz="4" w:space="0" w:color="auto"/>
              <w:right w:val="nil"/>
            </w:tcBorders>
            <w:shd w:val="clear" w:color="auto" w:fill="auto"/>
            <w:noWrap/>
            <w:vAlign w:val="bottom"/>
            <w:hideMark/>
          </w:tcPr>
          <w:p w14:paraId="553D9B74"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N</w:t>
            </w:r>
          </w:p>
        </w:tc>
        <w:tc>
          <w:tcPr>
            <w:tcW w:w="516" w:type="pct"/>
            <w:tcBorders>
              <w:top w:val="single" w:sz="4" w:space="0" w:color="auto"/>
              <w:left w:val="nil"/>
              <w:bottom w:val="single" w:sz="4" w:space="0" w:color="auto"/>
              <w:right w:val="single" w:sz="8" w:space="0" w:color="auto"/>
            </w:tcBorders>
            <w:shd w:val="clear" w:color="auto" w:fill="auto"/>
            <w:noWrap/>
            <w:vAlign w:val="bottom"/>
            <w:hideMark/>
          </w:tcPr>
          <w:p w14:paraId="378197B8"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Percent</w:t>
            </w:r>
          </w:p>
        </w:tc>
      </w:tr>
      <w:tr w:rsidR="00420F9B" w:rsidRPr="00697150" w14:paraId="6000FEBD" w14:textId="77777777" w:rsidTr="00697150">
        <w:trPr>
          <w:trHeight w:val="144"/>
        </w:trPr>
        <w:tc>
          <w:tcPr>
            <w:tcW w:w="1846" w:type="pct"/>
            <w:tcBorders>
              <w:top w:val="single" w:sz="4" w:space="0" w:color="auto"/>
              <w:left w:val="single" w:sz="8" w:space="0" w:color="auto"/>
              <w:bottom w:val="nil"/>
              <w:right w:val="nil"/>
            </w:tcBorders>
            <w:shd w:val="clear" w:color="auto" w:fill="auto"/>
            <w:noWrap/>
            <w:vAlign w:val="bottom"/>
            <w:hideMark/>
          </w:tcPr>
          <w:p w14:paraId="612D4C5C" w14:textId="77777777" w:rsidR="00420F9B" w:rsidRPr="00697150" w:rsidRDefault="00420F9B" w:rsidP="00104BD6">
            <w:pPr>
              <w:spacing w:line="240" w:lineRule="auto"/>
              <w:jc w:val="left"/>
              <w:rPr>
                <w:rFonts w:ascii="Calibri" w:hAnsi="Calibri"/>
                <w:b/>
                <w:bCs/>
                <w:color w:val="000000"/>
                <w:sz w:val="20"/>
              </w:rPr>
            </w:pPr>
            <w:r w:rsidRPr="00697150">
              <w:rPr>
                <w:rFonts w:ascii="Calibri" w:hAnsi="Calibri"/>
                <w:b/>
                <w:bCs/>
                <w:color w:val="000000"/>
                <w:sz w:val="20"/>
              </w:rPr>
              <w:t>Total number of parents of in-scope students</w:t>
            </w:r>
          </w:p>
        </w:tc>
        <w:tc>
          <w:tcPr>
            <w:tcW w:w="531" w:type="pct"/>
            <w:tcBorders>
              <w:top w:val="nil"/>
              <w:left w:val="nil"/>
              <w:bottom w:val="nil"/>
              <w:right w:val="nil"/>
            </w:tcBorders>
            <w:shd w:val="clear" w:color="auto" w:fill="auto"/>
            <w:noWrap/>
            <w:vAlign w:val="bottom"/>
            <w:hideMark/>
          </w:tcPr>
          <w:p w14:paraId="21D74CFA"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53" w:type="pct"/>
            <w:tcBorders>
              <w:top w:val="nil"/>
              <w:left w:val="nil"/>
              <w:bottom w:val="nil"/>
              <w:right w:val="nil"/>
            </w:tcBorders>
            <w:shd w:val="clear" w:color="auto" w:fill="auto"/>
            <w:noWrap/>
            <w:vAlign w:val="bottom"/>
            <w:hideMark/>
          </w:tcPr>
          <w:p w14:paraId="5BB0D2C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456" w:type="pct"/>
            <w:tcBorders>
              <w:top w:val="nil"/>
              <w:left w:val="nil"/>
              <w:bottom w:val="nil"/>
              <w:right w:val="nil"/>
            </w:tcBorders>
            <w:shd w:val="clear" w:color="auto" w:fill="auto"/>
            <w:noWrap/>
            <w:vAlign w:val="bottom"/>
            <w:hideMark/>
          </w:tcPr>
          <w:p w14:paraId="29942DAF"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62" w:type="pct"/>
            <w:tcBorders>
              <w:top w:val="nil"/>
              <w:left w:val="nil"/>
              <w:bottom w:val="nil"/>
              <w:right w:val="nil"/>
            </w:tcBorders>
            <w:shd w:val="clear" w:color="auto" w:fill="auto"/>
            <w:noWrap/>
            <w:vAlign w:val="bottom"/>
            <w:hideMark/>
          </w:tcPr>
          <w:p w14:paraId="34A96E4A"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 </w:t>
            </w:r>
          </w:p>
        </w:tc>
        <w:tc>
          <w:tcPr>
            <w:tcW w:w="535" w:type="pct"/>
            <w:tcBorders>
              <w:top w:val="nil"/>
              <w:left w:val="nil"/>
              <w:bottom w:val="single" w:sz="4" w:space="0" w:color="auto"/>
              <w:right w:val="nil"/>
            </w:tcBorders>
            <w:shd w:val="clear" w:color="auto" w:fill="auto"/>
            <w:noWrap/>
            <w:vAlign w:val="bottom"/>
            <w:hideMark/>
          </w:tcPr>
          <w:p w14:paraId="62F8CCF2"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523</w:t>
            </w:r>
          </w:p>
        </w:tc>
        <w:tc>
          <w:tcPr>
            <w:tcW w:w="516" w:type="pct"/>
            <w:tcBorders>
              <w:top w:val="nil"/>
              <w:left w:val="nil"/>
              <w:bottom w:val="single" w:sz="4" w:space="0" w:color="auto"/>
              <w:right w:val="single" w:sz="8" w:space="0" w:color="auto"/>
            </w:tcBorders>
            <w:shd w:val="clear" w:color="auto" w:fill="auto"/>
            <w:noWrap/>
            <w:vAlign w:val="bottom"/>
            <w:hideMark/>
          </w:tcPr>
          <w:p w14:paraId="7DDB455D" w14:textId="77777777" w:rsidR="00420F9B" w:rsidRPr="00697150" w:rsidRDefault="00420F9B" w:rsidP="00104BD6">
            <w:pPr>
              <w:spacing w:line="240" w:lineRule="auto"/>
              <w:jc w:val="center"/>
              <w:rPr>
                <w:rFonts w:ascii="Calibri" w:hAnsi="Calibri"/>
                <w:b/>
                <w:bCs/>
                <w:color w:val="000000"/>
                <w:sz w:val="20"/>
              </w:rPr>
            </w:pPr>
            <w:r w:rsidRPr="00697150">
              <w:rPr>
                <w:rFonts w:ascii="Calibri" w:hAnsi="Calibri"/>
                <w:b/>
                <w:bCs/>
                <w:color w:val="000000"/>
                <w:sz w:val="20"/>
              </w:rPr>
              <w:t>100%</w:t>
            </w:r>
          </w:p>
        </w:tc>
      </w:tr>
      <w:tr w:rsidR="00420F9B" w:rsidRPr="00697150" w14:paraId="00ECE44B" w14:textId="77777777" w:rsidTr="00697150">
        <w:trPr>
          <w:trHeight w:val="144"/>
        </w:trPr>
        <w:tc>
          <w:tcPr>
            <w:tcW w:w="1846" w:type="pct"/>
            <w:tcBorders>
              <w:top w:val="nil"/>
              <w:left w:val="single" w:sz="8" w:space="0" w:color="auto"/>
              <w:bottom w:val="nil"/>
              <w:right w:val="nil"/>
            </w:tcBorders>
            <w:shd w:val="clear" w:color="auto" w:fill="auto"/>
            <w:vAlign w:val="bottom"/>
            <w:hideMark/>
          </w:tcPr>
          <w:p w14:paraId="21397F8A" w14:textId="77777777" w:rsidR="00420F9B" w:rsidRPr="00697150" w:rsidRDefault="00420F9B" w:rsidP="00104BD6">
            <w:pPr>
              <w:spacing w:line="240" w:lineRule="auto"/>
              <w:jc w:val="left"/>
              <w:rPr>
                <w:rFonts w:ascii="Calibri" w:hAnsi="Calibri"/>
                <w:color w:val="000000"/>
                <w:sz w:val="20"/>
              </w:rPr>
            </w:pPr>
            <w:r w:rsidRPr="00697150">
              <w:rPr>
                <w:rFonts w:ascii="Calibri" w:hAnsi="Calibri"/>
                <w:color w:val="000000"/>
                <w:sz w:val="20"/>
              </w:rPr>
              <w:t>Checks mailed</w:t>
            </w:r>
          </w:p>
        </w:tc>
        <w:tc>
          <w:tcPr>
            <w:tcW w:w="531" w:type="pct"/>
            <w:tcBorders>
              <w:top w:val="nil"/>
              <w:left w:val="nil"/>
              <w:bottom w:val="nil"/>
              <w:right w:val="nil"/>
            </w:tcBorders>
            <w:shd w:val="clear" w:color="auto" w:fill="auto"/>
            <w:noWrap/>
            <w:vAlign w:val="bottom"/>
            <w:hideMark/>
          </w:tcPr>
          <w:p w14:paraId="35DE93AC"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189</w:t>
            </w:r>
          </w:p>
        </w:tc>
        <w:tc>
          <w:tcPr>
            <w:tcW w:w="553" w:type="pct"/>
            <w:tcBorders>
              <w:top w:val="nil"/>
              <w:left w:val="nil"/>
              <w:bottom w:val="nil"/>
              <w:right w:val="nil"/>
            </w:tcBorders>
            <w:shd w:val="clear" w:color="auto" w:fill="auto"/>
            <w:noWrap/>
            <w:vAlign w:val="bottom"/>
            <w:hideMark/>
          </w:tcPr>
          <w:p w14:paraId="36D3EC5A"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36%</w:t>
            </w:r>
          </w:p>
        </w:tc>
        <w:tc>
          <w:tcPr>
            <w:tcW w:w="456" w:type="pct"/>
            <w:tcBorders>
              <w:top w:val="nil"/>
              <w:left w:val="nil"/>
              <w:bottom w:val="nil"/>
              <w:right w:val="nil"/>
            </w:tcBorders>
            <w:shd w:val="clear" w:color="auto" w:fill="auto"/>
            <w:noWrap/>
            <w:vAlign w:val="bottom"/>
            <w:hideMark/>
          </w:tcPr>
          <w:p w14:paraId="7B1EFB61"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266</w:t>
            </w:r>
          </w:p>
        </w:tc>
        <w:tc>
          <w:tcPr>
            <w:tcW w:w="562" w:type="pct"/>
            <w:tcBorders>
              <w:top w:val="nil"/>
              <w:left w:val="nil"/>
              <w:bottom w:val="nil"/>
              <w:right w:val="nil"/>
            </w:tcBorders>
            <w:shd w:val="clear" w:color="auto" w:fill="auto"/>
            <w:noWrap/>
            <w:vAlign w:val="bottom"/>
            <w:hideMark/>
          </w:tcPr>
          <w:p w14:paraId="6E9EAB67"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51%</w:t>
            </w:r>
          </w:p>
        </w:tc>
        <w:tc>
          <w:tcPr>
            <w:tcW w:w="535" w:type="pct"/>
            <w:tcBorders>
              <w:top w:val="nil"/>
              <w:left w:val="nil"/>
              <w:bottom w:val="nil"/>
              <w:right w:val="nil"/>
            </w:tcBorders>
            <w:shd w:val="clear" w:color="auto" w:fill="auto"/>
            <w:noWrap/>
            <w:vAlign w:val="bottom"/>
            <w:hideMark/>
          </w:tcPr>
          <w:p w14:paraId="58226F4D"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455</w:t>
            </w:r>
          </w:p>
        </w:tc>
        <w:tc>
          <w:tcPr>
            <w:tcW w:w="516" w:type="pct"/>
            <w:tcBorders>
              <w:top w:val="nil"/>
              <w:left w:val="nil"/>
              <w:bottom w:val="nil"/>
              <w:right w:val="single" w:sz="8" w:space="0" w:color="auto"/>
            </w:tcBorders>
            <w:shd w:val="clear" w:color="auto" w:fill="auto"/>
            <w:noWrap/>
            <w:vAlign w:val="bottom"/>
            <w:hideMark/>
          </w:tcPr>
          <w:p w14:paraId="3C14B191" w14:textId="77777777" w:rsidR="00420F9B" w:rsidRPr="00697150" w:rsidRDefault="00420F9B" w:rsidP="00104BD6">
            <w:pPr>
              <w:spacing w:line="240" w:lineRule="auto"/>
              <w:jc w:val="center"/>
              <w:rPr>
                <w:rFonts w:ascii="Calibri" w:hAnsi="Calibri"/>
                <w:color w:val="000000"/>
                <w:sz w:val="20"/>
              </w:rPr>
            </w:pPr>
            <w:r w:rsidRPr="00697150">
              <w:rPr>
                <w:rFonts w:ascii="Calibri" w:hAnsi="Calibri"/>
                <w:color w:val="000000"/>
                <w:sz w:val="20"/>
              </w:rPr>
              <w:t>87%</w:t>
            </w:r>
          </w:p>
        </w:tc>
      </w:tr>
      <w:tr w:rsidR="00420F9B" w:rsidRPr="00697150" w14:paraId="248522AD" w14:textId="77777777" w:rsidTr="00697150">
        <w:trPr>
          <w:trHeight w:val="144"/>
        </w:trPr>
        <w:tc>
          <w:tcPr>
            <w:tcW w:w="1846" w:type="pct"/>
            <w:tcBorders>
              <w:top w:val="nil"/>
              <w:left w:val="single" w:sz="8" w:space="0" w:color="auto"/>
              <w:bottom w:val="single" w:sz="8" w:space="0" w:color="auto"/>
              <w:right w:val="nil"/>
            </w:tcBorders>
            <w:shd w:val="clear" w:color="auto" w:fill="auto"/>
            <w:noWrap/>
            <w:vAlign w:val="bottom"/>
            <w:hideMark/>
          </w:tcPr>
          <w:p w14:paraId="1AFEB1D8"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Checks cashed</w:t>
            </w:r>
          </w:p>
        </w:tc>
        <w:tc>
          <w:tcPr>
            <w:tcW w:w="531" w:type="pct"/>
            <w:tcBorders>
              <w:top w:val="nil"/>
              <w:left w:val="nil"/>
              <w:bottom w:val="single" w:sz="8" w:space="0" w:color="auto"/>
              <w:right w:val="nil"/>
            </w:tcBorders>
            <w:shd w:val="clear" w:color="auto" w:fill="auto"/>
            <w:noWrap/>
            <w:vAlign w:val="bottom"/>
            <w:hideMark/>
          </w:tcPr>
          <w:p w14:paraId="37F95F79"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119</w:t>
            </w:r>
          </w:p>
        </w:tc>
        <w:tc>
          <w:tcPr>
            <w:tcW w:w="553" w:type="pct"/>
            <w:tcBorders>
              <w:top w:val="nil"/>
              <w:left w:val="nil"/>
              <w:bottom w:val="single" w:sz="8" w:space="0" w:color="auto"/>
              <w:right w:val="nil"/>
            </w:tcBorders>
            <w:shd w:val="clear" w:color="auto" w:fill="auto"/>
            <w:noWrap/>
            <w:vAlign w:val="bottom"/>
            <w:hideMark/>
          </w:tcPr>
          <w:p w14:paraId="74D0662E"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22%</w:t>
            </w:r>
          </w:p>
        </w:tc>
        <w:tc>
          <w:tcPr>
            <w:tcW w:w="456" w:type="pct"/>
            <w:tcBorders>
              <w:top w:val="nil"/>
              <w:left w:val="nil"/>
              <w:bottom w:val="single" w:sz="8" w:space="0" w:color="auto"/>
              <w:right w:val="nil"/>
            </w:tcBorders>
            <w:shd w:val="clear" w:color="auto" w:fill="auto"/>
            <w:noWrap/>
            <w:vAlign w:val="bottom"/>
            <w:hideMark/>
          </w:tcPr>
          <w:p w14:paraId="79ECE44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180</w:t>
            </w:r>
          </w:p>
        </w:tc>
        <w:tc>
          <w:tcPr>
            <w:tcW w:w="562" w:type="pct"/>
            <w:tcBorders>
              <w:top w:val="nil"/>
              <w:left w:val="nil"/>
              <w:bottom w:val="single" w:sz="8" w:space="0" w:color="auto"/>
              <w:right w:val="nil"/>
            </w:tcBorders>
            <w:shd w:val="clear" w:color="auto" w:fill="auto"/>
            <w:noWrap/>
            <w:vAlign w:val="bottom"/>
            <w:hideMark/>
          </w:tcPr>
          <w:p w14:paraId="0FFF45E7"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34%</w:t>
            </w:r>
          </w:p>
        </w:tc>
        <w:tc>
          <w:tcPr>
            <w:tcW w:w="535" w:type="pct"/>
            <w:tcBorders>
              <w:top w:val="nil"/>
              <w:left w:val="nil"/>
              <w:bottom w:val="single" w:sz="8" w:space="0" w:color="auto"/>
              <w:right w:val="nil"/>
            </w:tcBorders>
            <w:shd w:val="clear" w:color="auto" w:fill="auto"/>
            <w:noWrap/>
            <w:vAlign w:val="bottom"/>
            <w:hideMark/>
          </w:tcPr>
          <w:p w14:paraId="4F295FFF"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299</w:t>
            </w:r>
          </w:p>
        </w:tc>
        <w:tc>
          <w:tcPr>
            <w:tcW w:w="516" w:type="pct"/>
            <w:tcBorders>
              <w:top w:val="nil"/>
              <w:left w:val="nil"/>
              <w:bottom w:val="single" w:sz="8" w:space="0" w:color="auto"/>
              <w:right w:val="single" w:sz="8" w:space="0" w:color="auto"/>
            </w:tcBorders>
            <w:shd w:val="clear" w:color="auto" w:fill="auto"/>
            <w:noWrap/>
            <w:vAlign w:val="bottom"/>
            <w:hideMark/>
          </w:tcPr>
          <w:p w14:paraId="01549281"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57%</w:t>
            </w:r>
          </w:p>
        </w:tc>
      </w:tr>
      <w:tr w:rsidR="00420F9B" w:rsidRPr="00697150" w14:paraId="6B5D67D4" w14:textId="77777777" w:rsidTr="00697150">
        <w:trPr>
          <w:trHeight w:val="144"/>
        </w:trPr>
        <w:tc>
          <w:tcPr>
            <w:tcW w:w="1846" w:type="pct"/>
            <w:tcBorders>
              <w:top w:val="nil"/>
              <w:left w:val="nil"/>
              <w:bottom w:val="nil"/>
              <w:right w:val="nil"/>
            </w:tcBorders>
            <w:shd w:val="clear" w:color="auto" w:fill="auto"/>
            <w:noWrap/>
            <w:vAlign w:val="bottom"/>
            <w:hideMark/>
          </w:tcPr>
          <w:p w14:paraId="22900916" w14:textId="70F5A305" w:rsidR="00420F9B" w:rsidRPr="00697150" w:rsidRDefault="00420F9B" w:rsidP="00104BD6">
            <w:pPr>
              <w:spacing w:line="240" w:lineRule="auto"/>
              <w:jc w:val="center"/>
              <w:rPr>
                <w:rFonts w:ascii="Calibri" w:hAnsi="Calibri"/>
                <w:sz w:val="20"/>
              </w:rPr>
            </w:pPr>
          </w:p>
        </w:tc>
        <w:tc>
          <w:tcPr>
            <w:tcW w:w="531" w:type="pct"/>
            <w:tcBorders>
              <w:top w:val="nil"/>
              <w:left w:val="nil"/>
              <w:bottom w:val="nil"/>
              <w:right w:val="nil"/>
            </w:tcBorders>
            <w:shd w:val="clear" w:color="auto" w:fill="auto"/>
            <w:noWrap/>
            <w:vAlign w:val="bottom"/>
            <w:hideMark/>
          </w:tcPr>
          <w:p w14:paraId="0AB965DA" w14:textId="77777777" w:rsidR="00420F9B" w:rsidRPr="00697150" w:rsidRDefault="00420F9B" w:rsidP="00104BD6">
            <w:pPr>
              <w:spacing w:line="240" w:lineRule="auto"/>
              <w:jc w:val="left"/>
              <w:rPr>
                <w:sz w:val="20"/>
              </w:rPr>
            </w:pPr>
          </w:p>
        </w:tc>
        <w:tc>
          <w:tcPr>
            <w:tcW w:w="553" w:type="pct"/>
            <w:tcBorders>
              <w:top w:val="nil"/>
              <w:left w:val="nil"/>
              <w:bottom w:val="nil"/>
              <w:right w:val="nil"/>
            </w:tcBorders>
            <w:shd w:val="clear" w:color="auto" w:fill="auto"/>
            <w:noWrap/>
            <w:vAlign w:val="bottom"/>
            <w:hideMark/>
          </w:tcPr>
          <w:p w14:paraId="058517A8" w14:textId="77777777" w:rsidR="00420F9B" w:rsidRPr="00697150" w:rsidRDefault="00420F9B" w:rsidP="00104BD6">
            <w:pPr>
              <w:spacing w:line="240" w:lineRule="auto"/>
              <w:jc w:val="center"/>
              <w:rPr>
                <w:sz w:val="20"/>
              </w:rPr>
            </w:pPr>
          </w:p>
        </w:tc>
        <w:tc>
          <w:tcPr>
            <w:tcW w:w="456" w:type="pct"/>
            <w:tcBorders>
              <w:top w:val="nil"/>
              <w:left w:val="nil"/>
              <w:bottom w:val="nil"/>
              <w:right w:val="nil"/>
            </w:tcBorders>
            <w:shd w:val="clear" w:color="auto" w:fill="auto"/>
            <w:noWrap/>
            <w:vAlign w:val="bottom"/>
            <w:hideMark/>
          </w:tcPr>
          <w:p w14:paraId="5DE92D62" w14:textId="77777777" w:rsidR="00420F9B" w:rsidRPr="00697150" w:rsidRDefault="00420F9B" w:rsidP="00104BD6">
            <w:pPr>
              <w:spacing w:line="240" w:lineRule="auto"/>
              <w:jc w:val="center"/>
              <w:rPr>
                <w:sz w:val="20"/>
              </w:rPr>
            </w:pPr>
          </w:p>
        </w:tc>
        <w:tc>
          <w:tcPr>
            <w:tcW w:w="562" w:type="pct"/>
            <w:tcBorders>
              <w:top w:val="nil"/>
              <w:left w:val="nil"/>
              <w:bottom w:val="nil"/>
              <w:right w:val="nil"/>
            </w:tcBorders>
            <w:shd w:val="clear" w:color="auto" w:fill="auto"/>
            <w:noWrap/>
            <w:vAlign w:val="bottom"/>
            <w:hideMark/>
          </w:tcPr>
          <w:p w14:paraId="557EE446" w14:textId="77777777" w:rsidR="00420F9B" w:rsidRPr="00697150" w:rsidRDefault="00420F9B" w:rsidP="00104BD6">
            <w:pPr>
              <w:spacing w:line="240" w:lineRule="auto"/>
              <w:jc w:val="center"/>
              <w:rPr>
                <w:sz w:val="20"/>
              </w:rPr>
            </w:pPr>
          </w:p>
        </w:tc>
        <w:tc>
          <w:tcPr>
            <w:tcW w:w="535" w:type="pct"/>
            <w:tcBorders>
              <w:top w:val="nil"/>
              <w:left w:val="nil"/>
              <w:bottom w:val="nil"/>
              <w:right w:val="nil"/>
            </w:tcBorders>
            <w:shd w:val="clear" w:color="auto" w:fill="auto"/>
            <w:noWrap/>
            <w:vAlign w:val="bottom"/>
            <w:hideMark/>
          </w:tcPr>
          <w:p w14:paraId="00084785" w14:textId="77777777" w:rsidR="00420F9B" w:rsidRPr="00697150" w:rsidRDefault="00420F9B" w:rsidP="00104BD6">
            <w:pPr>
              <w:spacing w:line="240" w:lineRule="auto"/>
              <w:jc w:val="center"/>
              <w:rPr>
                <w:sz w:val="20"/>
              </w:rPr>
            </w:pPr>
          </w:p>
        </w:tc>
        <w:tc>
          <w:tcPr>
            <w:tcW w:w="516" w:type="pct"/>
            <w:tcBorders>
              <w:top w:val="nil"/>
              <w:left w:val="nil"/>
              <w:bottom w:val="nil"/>
              <w:right w:val="nil"/>
            </w:tcBorders>
            <w:shd w:val="clear" w:color="auto" w:fill="auto"/>
            <w:noWrap/>
            <w:vAlign w:val="bottom"/>
            <w:hideMark/>
          </w:tcPr>
          <w:p w14:paraId="58AC76FB" w14:textId="77777777" w:rsidR="00420F9B" w:rsidRPr="00697150" w:rsidRDefault="00420F9B" w:rsidP="00104BD6">
            <w:pPr>
              <w:spacing w:line="240" w:lineRule="auto"/>
              <w:jc w:val="center"/>
              <w:rPr>
                <w:sz w:val="20"/>
              </w:rPr>
            </w:pPr>
          </w:p>
        </w:tc>
      </w:tr>
      <w:tr w:rsidR="00420F9B" w:rsidRPr="00697150" w14:paraId="41778454" w14:textId="77777777" w:rsidTr="00697150">
        <w:trPr>
          <w:trHeight w:val="144"/>
        </w:trPr>
        <w:tc>
          <w:tcPr>
            <w:tcW w:w="1846" w:type="pct"/>
            <w:tcBorders>
              <w:top w:val="single" w:sz="8" w:space="0" w:color="auto"/>
              <w:left w:val="single" w:sz="8" w:space="0" w:color="auto"/>
              <w:bottom w:val="single" w:sz="4" w:space="0" w:color="auto"/>
              <w:right w:val="nil"/>
            </w:tcBorders>
            <w:shd w:val="clear" w:color="auto" w:fill="auto"/>
            <w:noWrap/>
            <w:vAlign w:val="bottom"/>
            <w:hideMark/>
          </w:tcPr>
          <w:p w14:paraId="79652606" w14:textId="77777777" w:rsidR="00420F9B" w:rsidRPr="00697150" w:rsidRDefault="00420F9B" w:rsidP="00104BD6">
            <w:pPr>
              <w:spacing w:line="240" w:lineRule="auto"/>
              <w:jc w:val="left"/>
              <w:rPr>
                <w:rFonts w:ascii="Calibri" w:hAnsi="Calibri"/>
                <w:sz w:val="20"/>
              </w:rPr>
            </w:pPr>
            <w:r w:rsidRPr="00697150">
              <w:rPr>
                <w:rFonts w:ascii="Calibri" w:hAnsi="Calibri"/>
                <w:sz w:val="20"/>
              </w:rPr>
              <w:t> </w:t>
            </w:r>
          </w:p>
        </w:tc>
        <w:tc>
          <w:tcPr>
            <w:tcW w:w="1084" w:type="pct"/>
            <w:gridSpan w:val="2"/>
            <w:tcBorders>
              <w:top w:val="single" w:sz="8" w:space="0" w:color="auto"/>
              <w:left w:val="nil"/>
              <w:bottom w:val="single" w:sz="4" w:space="0" w:color="auto"/>
              <w:right w:val="nil"/>
            </w:tcBorders>
            <w:shd w:val="clear" w:color="auto" w:fill="auto"/>
            <w:vAlign w:val="bottom"/>
            <w:hideMark/>
          </w:tcPr>
          <w:p w14:paraId="3870B7AE"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Completed questionnaire</w:t>
            </w:r>
          </w:p>
        </w:tc>
        <w:tc>
          <w:tcPr>
            <w:tcW w:w="1018" w:type="pct"/>
            <w:gridSpan w:val="2"/>
            <w:tcBorders>
              <w:top w:val="single" w:sz="8" w:space="0" w:color="auto"/>
              <w:left w:val="nil"/>
              <w:bottom w:val="single" w:sz="4" w:space="0" w:color="auto"/>
              <w:right w:val="nil"/>
            </w:tcBorders>
            <w:shd w:val="clear" w:color="auto" w:fill="auto"/>
            <w:vAlign w:val="bottom"/>
            <w:hideMark/>
          </w:tcPr>
          <w:p w14:paraId="57435FA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Did not complete questionnaire</w:t>
            </w:r>
          </w:p>
        </w:tc>
        <w:tc>
          <w:tcPr>
            <w:tcW w:w="1051"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EB99AE1"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Total</w:t>
            </w:r>
          </w:p>
        </w:tc>
      </w:tr>
      <w:tr w:rsidR="00420F9B" w:rsidRPr="00697150" w14:paraId="36555846" w14:textId="77777777" w:rsidTr="00697150">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211C5525" w14:textId="77777777" w:rsidR="00420F9B" w:rsidRPr="00697150" w:rsidRDefault="00420F9B" w:rsidP="00104BD6">
            <w:pPr>
              <w:spacing w:line="240" w:lineRule="auto"/>
              <w:jc w:val="left"/>
              <w:rPr>
                <w:rFonts w:ascii="Calibri" w:hAnsi="Calibri"/>
                <w:sz w:val="20"/>
              </w:rPr>
            </w:pPr>
            <w:r w:rsidRPr="00697150">
              <w:rPr>
                <w:rFonts w:ascii="Calibri" w:hAnsi="Calibri"/>
                <w:sz w:val="20"/>
              </w:rPr>
              <w:t> </w:t>
            </w:r>
          </w:p>
        </w:tc>
        <w:tc>
          <w:tcPr>
            <w:tcW w:w="531" w:type="pct"/>
            <w:tcBorders>
              <w:top w:val="nil"/>
              <w:left w:val="nil"/>
              <w:bottom w:val="single" w:sz="4" w:space="0" w:color="auto"/>
              <w:right w:val="nil"/>
            </w:tcBorders>
            <w:shd w:val="clear" w:color="auto" w:fill="auto"/>
            <w:vAlign w:val="bottom"/>
            <w:hideMark/>
          </w:tcPr>
          <w:p w14:paraId="56FB42FC"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53" w:type="pct"/>
            <w:tcBorders>
              <w:top w:val="nil"/>
              <w:left w:val="nil"/>
              <w:bottom w:val="single" w:sz="4" w:space="0" w:color="auto"/>
              <w:right w:val="nil"/>
            </w:tcBorders>
            <w:shd w:val="clear" w:color="auto" w:fill="auto"/>
            <w:vAlign w:val="bottom"/>
            <w:hideMark/>
          </w:tcPr>
          <w:p w14:paraId="00458F86"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c>
          <w:tcPr>
            <w:tcW w:w="456" w:type="pct"/>
            <w:tcBorders>
              <w:top w:val="nil"/>
              <w:left w:val="nil"/>
              <w:bottom w:val="single" w:sz="4" w:space="0" w:color="auto"/>
              <w:right w:val="nil"/>
            </w:tcBorders>
            <w:shd w:val="clear" w:color="auto" w:fill="auto"/>
            <w:vAlign w:val="bottom"/>
            <w:hideMark/>
          </w:tcPr>
          <w:p w14:paraId="079FB03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62" w:type="pct"/>
            <w:tcBorders>
              <w:top w:val="nil"/>
              <w:left w:val="nil"/>
              <w:bottom w:val="single" w:sz="4" w:space="0" w:color="auto"/>
              <w:right w:val="nil"/>
            </w:tcBorders>
            <w:shd w:val="clear" w:color="auto" w:fill="auto"/>
            <w:vAlign w:val="bottom"/>
            <w:hideMark/>
          </w:tcPr>
          <w:p w14:paraId="14381217"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c>
          <w:tcPr>
            <w:tcW w:w="535" w:type="pct"/>
            <w:tcBorders>
              <w:top w:val="nil"/>
              <w:left w:val="nil"/>
              <w:bottom w:val="single" w:sz="4" w:space="0" w:color="auto"/>
              <w:right w:val="nil"/>
            </w:tcBorders>
            <w:shd w:val="clear" w:color="auto" w:fill="auto"/>
            <w:vAlign w:val="bottom"/>
            <w:hideMark/>
          </w:tcPr>
          <w:p w14:paraId="461AB19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N</w:t>
            </w:r>
          </w:p>
        </w:tc>
        <w:tc>
          <w:tcPr>
            <w:tcW w:w="516" w:type="pct"/>
            <w:tcBorders>
              <w:top w:val="nil"/>
              <w:left w:val="nil"/>
              <w:bottom w:val="single" w:sz="4" w:space="0" w:color="auto"/>
              <w:right w:val="single" w:sz="8" w:space="0" w:color="auto"/>
            </w:tcBorders>
            <w:shd w:val="clear" w:color="auto" w:fill="auto"/>
            <w:vAlign w:val="bottom"/>
            <w:hideMark/>
          </w:tcPr>
          <w:p w14:paraId="091CF0FA"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Percent</w:t>
            </w:r>
          </w:p>
        </w:tc>
      </w:tr>
      <w:tr w:rsidR="00420F9B" w:rsidRPr="00697150" w14:paraId="176AB7F7" w14:textId="77777777" w:rsidTr="00697150">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03284AC7" w14:textId="77777777" w:rsidR="00420F9B" w:rsidRPr="00697150" w:rsidRDefault="00420F9B" w:rsidP="00104BD6">
            <w:pPr>
              <w:spacing w:line="240" w:lineRule="auto"/>
              <w:jc w:val="left"/>
              <w:rPr>
                <w:rFonts w:ascii="Calibri" w:hAnsi="Calibri"/>
                <w:b/>
                <w:bCs/>
                <w:sz w:val="20"/>
              </w:rPr>
            </w:pPr>
            <w:r w:rsidRPr="00697150">
              <w:rPr>
                <w:rFonts w:ascii="Calibri" w:hAnsi="Calibri"/>
                <w:b/>
                <w:bCs/>
                <w:sz w:val="20"/>
              </w:rPr>
              <w:t>Total number of parents of in-scope students</w:t>
            </w:r>
          </w:p>
        </w:tc>
        <w:tc>
          <w:tcPr>
            <w:tcW w:w="531" w:type="pct"/>
            <w:tcBorders>
              <w:top w:val="nil"/>
              <w:left w:val="nil"/>
              <w:bottom w:val="single" w:sz="4" w:space="0" w:color="auto"/>
              <w:right w:val="nil"/>
            </w:tcBorders>
            <w:shd w:val="clear" w:color="auto" w:fill="auto"/>
            <w:vAlign w:val="bottom"/>
            <w:hideMark/>
          </w:tcPr>
          <w:p w14:paraId="3BC96380"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242</w:t>
            </w:r>
          </w:p>
        </w:tc>
        <w:tc>
          <w:tcPr>
            <w:tcW w:w="553" w:type="pct"/>
            <w:tcBorders>
              <w:top w:val="nil"/>
              <w:left w:val="nil"/>
              <w:bottom w:val="single" w:sz="4" w:space="0" w:color="auto"/>
              <w:right w:val="nil"/>
            </w:tcBorders>
            <w:shd w:val="clear" w:color="auto" w:fill="auto"/>
            <w:vAlign w:val="bottom"/>
            <w:hideMark/>
          </w:tcPr>
          <w:p w14:paraId="37FAE99D"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46%</w:t>
            </w:r>
          </w:p>
        </w:tc>
        <w:tc>
          <w:tcPr>
            <w:tcW w:w="456" w:type="pct"/>
            <w:tcBorders>
              <w:top w:val="nil"/>
              <w:left w:val="nil"/>
              <w:bottom w:val="single" w:sz="4" w:space="0" w:color="auto"/>
              <w:right w:val="nil"/>
            </w:tcBorders>
            <w:shd w:val="clear" w:color="auto" w:fill="auto"/>
            <w:vAlign w:val="bottom"/>
            <w:hideMark/>
          </w:tcPr>
          <w:p w14:paraId="2FE0FAC9"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281</w:t>
            </w:r>
          </w:p>
        </w:tc>
        <w:tc>
          <w:tcPr>
            <w:tcW w:w="562" w:type="pct"/>
            <w:tcBorders>
              <w:top w:val="nil"/>
              <w:left w:val="nil"/>
              <w:bottom w:val="single" w:sz="4" w:space="0" w:color="auto"/>
              <w:right w:val="nil"/>
            </w:tcBorders>
            <w:shd w:val="clear" w:color="auto" w:fill="auto"/>
            <w:vAlign w:val="bottom"/>
            <w:hideMark/>
          </w:tcPr>
          <w:p w14:paraId="6501C72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54%</w:t>
            </w:r>
          </w:p>
        </w:tc>
        <w:tc>
          <w:tcPr>
            <w:tcW w:w="535" w:type="pct"/>
            <w:tcBorders>
              <w:top w:val="nil"/>
              <w:left w:val="nil"/>
              <w:bottom w:val="single" w:sz="4" w:space="0" w:color="auto"/>
              <w:right w:val="nil"/>
            </w:tcBorders>
            <w:shd w:val="clear" w:color="auto" w:fill="auto"/>
            <w:noWrap/>
            <w:vAlign w:val="bottom"/>
            <w:hideMark/>
          </w:tcPr>
          <w:p w14:paraId="104351EF"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523</w:t>
            </w:r>
          </w:p>
        </w:tc>
        <w:tc>
          <w:tcPr>
            <w:tcW w:w="516" w:type="pct"/>
            <w:tcBorders>
              <w:top w:val="nil"/>
              <w:left w:val="nil"/>
              <w:bottom w:val="single" w:sz="4" w:space="0" w:color="auto"/>
              <w:right w:val="single" w:sz="8" w:space="0" w:color="auto"/>
            </w:tcBorders>
            <w:shd w:val="clear" w:color="auto" w:fill="auto"/>
            <w:noWrap/>
            <w:vAlign w:val="bottom"/>
            <w:hideMark/>
          </w:tcPr>
          <w:p w14:paraId="01AAFAF8" w14:textId="77777777" w:rsidR="00420F9B" w:rsidRPr="00697150" w:rsidRDefault="00420F9B" w:rsidP="00104BD6">
            <w:pPr>
              <w:spacing w:line="240" w:lineRule="auto"/>
              <w:jc w:val="center"/>
              <w:rPr>
                <w:rFonts w:ascii="Calibri" w:hAnsi="Calibri"/>
                <w:b/>
                <w:bCs/>
                <w:sz w:val="20"/>
              </w:rPr>
            </w:pPr>
            <w:r w:rsidRPr="00697150">
              <w:rPr>
                <w:rFonts w:ascii="Calibri" w:hAnsi="Calibri"/>
                <w:b/>
                <w:bCs/>
                <w:sz w:val="20"/>
              </w:rPr>
              <w:t>100%</w:t>
            </w:r>
          </w:p>
        </w:tc>
      </w:tr>
      <w:tr w:rsidR="00420F9B" w:rsidRPr="00697150" w14:paraId="268F5819" w14:textId="77777777" w:rsidTr="00986E81">
        <w:trPr>
          <w:trHeight w:val="144"/>
        </w:trPr>
        <w:tc>
          <w:tcPr>
            <w:tcW w:w="1846" w:type="pct"/>
            <w:tcBorders>
              <w:top w:val="nil"/>
              <w:left w:val="single" w:sz="8" w:space="0" w:color="auto"/>
              <w:right w:val="nil"/>
            </w:tcBorders>
            <w:shd w:val="clear" w:color="auto" w:fill="auto"/>
            <w:noWrap/>
            <w:vAlign w:val="bottom"/>
            <w:hideMark/>
          </w:tcPr>
          <w:p w14:paraId="7420373A"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Checks mailed in advance package</w:t>
            </w:r>
          </w:p>
        </w:tc>
        <w:tc>
          <w:tcPr>
            <w:tcW w:w="531" w:type="pct"/>
            <w:tcBorders>
              <w:top w:val="nil"/>
              <w:left w:val="nil"/>
              <w:right w:val="nil"/>
            </w:tcBorders>
            <w:shd w:val="clear" w:color="auto" w:fill="auto"/>
            <w:noWrap/>
            <w:vAlign w:val="bottom"/>
            <w:hideMark/>
          </w:tcPr>
          <w:p w14:paraId="12F39B4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76</w:t>
            </w:r>
          </w:p>
        </w:tc>
        <w:tc>
          <w:tcPr>
            <w:tcW w:w="553" w:type="pct"/>
            <w:tcBorders>
              <w:top w:val="nil"/>
              <w:left w:val="nil"/>
              <w:right w:val="nil"/>
            </w:tcBorders>
            <w:shd w:val="clear" w:color="auto" w:fill="auto"/>
            <w:noWrap/>
            <w:vAlign w:val="bottom"/>
            <w:hideMark/>
          </w:tcPr>
          <w:p w14:paraId="26984876"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31%</w:t>
            </w:r>
          </w:p>
        </w:tc>
        <w:tc>
          <w:tcPr>
            <w:tcW w:w="456" w:type="pct"/>
            <w:tcBorders>
              <w:top w:val="nil"/>
              <w:left w:val="nil"/>
              <w:right w:val="nil"/>
            </w:tcBorders>
            <w:shd w:val="clear" w:color="auto" w:fill="auto"/>
            <w:noWrap/>
            <w:vAlign w:val="bottom"/>
            <w:hideMark/>
          </w:tcPr>
          <w:p w14:paraId="3B2098A8"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113</w:t>
            </w:r>
          </w:p>
        </w:tc>
        <w:tc>
          <w:tcPr>
            <w:tcW w:w="562" w:type="pct"/>
            <w:tcBorders>
              <w:top w:val="nil"/>
              <w:left w:val="nil"/>
              <w:right w:val="nil"/>
            </w:tcBorders>
            <w:shd w:val="clear" w:color="auto" w:fill="auto"/>
            <w:noWrap/>
            <w:vAlign w:val="bottom"/>
            <w:hideMark/>
          </w:tcPr>
          <w:p w14:paraId="6C8D2AF0"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40%</w:t>
            </w:r>
          </w:p>
        </w:tc>
        <w:tc>
          <w:tcPr>
            <w:tcW w:w="535" w:type="pct"/>
            <w:tcBorders>
              <w:top w:val="nil"/>
              <w:left w:val="nil"/>
              <w:right w:val="nil"/>
            </w:tcBorders>
            <w:shd w:val="clear" w:color="auto" w:fill="auto"/>
            <w:noWrap/>
            <w:vAlign w:val="bottom"/>
            <w:hideMark/>
          </w:tcPr>
          <w:p w14:paraId="7EB52515"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189</w:t>
            </w:r>
          </w:p>
        </w:tc>
        <w:tc>
          <w:tcPr>
            <w:tcW w:w="516" w:type="pct"/>
            <w:tcBorders>
              <w:top w:val="nil"/>
              <w:left w:val="nil"/>
              <w:right w:val="single" w:sz="8" w:space="0" w:color="auto"/>
            </w:tcBorders>
            <w:shd w:val="clear" w:color="auto" w:fill="auto"/>
            <w:noWrap/>
            <w:vAlign w:val="bottom"/>
            <w:hideMark/>
          </w:tcPr>
          <w:p w14:paraId="065C860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36%</w:t>
            </w:r>
          </w:p>
        </w:tc>
      </w:tr>
      <w:tr w:rsidR="00986E81" w:rsidRPr="00697150" w14:paraId="048815F1" w14:textId="77777777" w:rsidTr="00986E81">
        <w:trPr>
          <w:trHeight w:val="144"/>
        </w:trPr>
        <w:tc>
          <w:tcPr>
            <w:tcW w:w="1846" w:type="pct"/>
            <w:tcBorders>
              <w:top w:val="nil"/>
              <w:left w:val="single" w:sz="8" w:space="0" w:color="auto"/>
              <w:right w:val="nil"/>
            </w:tcBorders>
            <w:shd w:val="clear" w:color="auto" w:fill="auto"/>
            <w:noWrap/>
            <w:vAlign w:val="bottom"/>
            <w:hideMark/>
          </w:tcPr>
          <w:p w14:paraId="35971EBB" w14:textId="77777777" w:rsidR="00986E81" w:rsidRPr="00697150" w:rsidRDefault="00986E81" w:rsidP="0095412E">
            <w:pPr>
              <w:spacing w:line="240" w:lineRule="auto"/>
              <w:jc w:val="left"/>
              <w:rPr>
                <w:rFonts w:ascii="Calibri" w:hAnsi="Calibri"/>
                <w:sz w:val="20"/>
              </w:rPr>
            </w:pPr>
            <w:r w:rsidRPr="00697150">
              <w:rPr>
                <w:rFonts w:ascii="Calibri" w:hAnsi="Calibri"/>
                <w:sz w:val="20"/>
              </w:rPr>
              <w:t>Checks mailed after advance package</w:t>
            </w:r>
          </w:p>
        </w:tc>
        <w:tc>
          <w:tcPr>
            <w:tcW w:w="531" w:type="pct"/>
            <w:tcBorders>
              <w:top w:val="nil"/>
              <w:left w:val="nil"/>
              <w:right w:val="nil"/>
            </w:tcBorders>
            <w:shd w:val="clear" w:color="auto" w:fill="auto"/>
            <w:noWrap/>
            <w:vAlign w:val="bottom"/>
            <w:hideMark/>
          </w:tcPr>
          <w:p w14:paraId="0182B18C"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156</w:t>
            </w:r>
          </w:p>
        </w:tc>
        <w:tc>
          <w:tcPr>
            <w:tcW w:w="553" w:type="pct"/>
            <w:tcBorders>
              <w:top w:val="nil"/>
              <w:left w:val="nil"/>
              <w:right w:val="nil"/>
            </w:tcBorders>
            <w:shd w:val="clear" w:color="auto" w:fill="auto"/>
            <w:noWrap/>
            <w:vAlign w:val="bottom"/>
            <w:hideMark/>
          </w:tcPr>
          <w:p w14:paraId="0DE1F186"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64%</w:t>
            </w:r>
          </w:p>
        </w:tc>
        <w:tc>
          <w:tcPr>
            <w:tcW w:w="456" w:type="pct"/>
            <w:tcBorders>
              <w:top w:val="nil"/>
              <w:left w:val="nil"/>
              <w:right w:val="nil"/>
            </w:tcBorders>
            <w:shd w:val="clear" w:color="auto" w:fill="auto"/>
            <w:noWrap/>
            <w:vAlign w:val="bottom"/>
            <w:hideMark/>
          </w:tcPr>
          <w:p w14:paraId="2FFB54DC"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110</w:t>
            </w:r>
          </w:p>
        </w:tc>
        <w:tc>
          <w:tcPr>
            <w:tcW w:w="562" w:type="pct"/>
            <w:tcBorders>
              <w:top w:val="nil"/>
              <w:left w:val="nil"/>
              <w:right w:val="nil"/>
            </w:tcBorders>
            <w:shd w:val="clear" w:color="auto" w:fill="auto"/>
            <w:noWrap/>
            <w:vAlign w:val="bottom"/>
            <w:hideMark/>
          </w:tcPr>
          <w:p w14:paraId="57F33D39"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39%</w:t>
            </w:r>
          </w:p>
        </w:tc>
        <w:tc>
          <w:tcPr>
            <w:tcW w:w="535" w:type="pct"/>
            <w:tcBorders>
              <w:top w:val="nil"/>
              <w:left w:val="nil"/>
              <w:right w:val="nil"/>
            </w:tcBorders>
            <w:shd w:val="clear" w:color="auto" w:fill="auto"/>
            <w:noWrap/>
            <w:vAlign w:val="bottom"/>
            <w:hideMark/>
          </w:tcPr>
          <w:p w14:paraId="298085DE"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266</w:t>
            </w:r>
          </w:p>
        </w:tc>
        <w:tc>
          <w:tcPr>
            <w:tcW w:w="516" w:type="pct"/>
            <w:tcBorders>
              <w:top w:val="nil"/>
              <w:left w:val="nil"/>
              <w:right w:val="single" w:sz="8" w:space="0" w:color="auto"/>
            </w:tcBorders>
            <w:shd w:val="clear" w:color="auto" w:fill="auto"/>
            <w:noWrap/>
            <w:vAlign w:val="bottom"/>
            <w:hideMark/>
          </w:tcPr>
          <w:p w14:paraId="429C62D3" w14:textId="77777777" w:rsidR="00986E81" w:rsidRPr="00697150" w:rsidRDefault="00986E81" w:rsidP="0095412E">
            <w:pPr>
              <w:spacing w:line="240" w:lineRule="auto"/>
              <w:jc w:val="center"/>
              <w:rPr>
                <w:rFonts w:ascii="Calibri" w:hAnsi="Calibri"/>
                <w:sz w:val="20"/>
              </w:rPr>
            </w:pPr>
            <w:r w:rsidRPr="00697150">
              <w:rPr>
                <w:rFonts w:ascii="Calibri" w:hAnsi="Calibri"/>
                <w:sz w:val="20"/>
              </w:rPr>
              <w:t>51%</w:t>
            </w:r>
          </w:p>
        </w:tc>
      </w:tr>
      <w:tr w:rsidR="00420F9B" w:rsidRPr="00697150" w14:paraId="02D36DFD" w14:textId="77777777" w:rsidTr="00986E81">
        <w:trPr>
          <w:trHeight w:val="144"/>
        </w:trPr>
        <w:tc>
          <w:tcPr>
            <w:tcW w:w="1846" w:type="pct"/>
            <w:tcBorders>
              <w:left w:val="single" w:sz="8" w:space="0" w:color="auto"/>
              <w:bottom w:val="single" w:sz="4" w:space="0" w:color="auto"/>
              <w:right w:val="nil"/>
            </w:tcBorders>
            <w:shd w:val="clear" w:color="auto" w:fill="auto"/>
            <w:noWrap/>
            <w:vAlign w:val="bottom"/>
            <w:hideMark/>
          </w:tcPr>
          <w:p w14:paraId="64337379" w14:textId="0A489FDB" w:rsidR="00420F9B" w:rsidRPr="00697150" w:rsidRDefault="00986E81" w:rsidP="006B32E2">
            <w:pPr>
              <w:spacing w:line="240" w:lineRule="auto"/>
              <w:jc w:val="left"/>
              <w:rPr>
                <w:rFonts w:ascii="Calibri" w:hAnsi="Calibri"/>
                <w:sz w:val="20"/>
              </w:rPr>
            </w:pPr>
            <w:r>
              <w:rPr>
                <w:rFonts w:ascii="Calibri" w:hAnsi="Calibri"/>
                <w:sz w:val="20"/>
              </w:rPr>
              <w:t>No c</w:t>
            </w:r>
            <w:r w:rsidR="00420F9B" w:rsidRPr="00697150">
              <w:rPr>
                <w:rFonts w:ascii="Calibri" w:hAnsi="Calibri"/>
                <w:sz w:val="20"/>
              </w:rPr>
              <w:t xml:space="preserve">hecks mailed </w:t>
            </w:r>
            <w:r w:rsidR="006B32E2">
              <w:rPr>
                <w:rFonts w:ascii="Calibri" w:hAnsi="Calibri"/>
                <w:sz w:val="20"/>
              </w:rPr>
              <w:t>due to lack of parent’s name</w:t>
            </w:r>
          </w:p>
        </w:tc>
        <w:tc>
          <w:tcPr>
            <w:tcW w:w="531" w:type="pct"/>
            <w:tcBorders>
              <w:left w:val="nil"/>
              <w:bottom w:val="single" w:sz="4" w:space="0" w:color="auto"/>
              <w:right w:val="nil"/>
            </w:tcBorders>
            <w:shd w:val="clear" w:color="auto" w:fill="auto"/>
            <w:noWrap/>
            <w:vAlign w:val="bottom"/>
            <w:hideMark/>
          </w:tcPr>
          <w:p w14:paraId="24E1D23C" w14:textId="6F98E390" w:rsidR="00420F9B" w:rsidRPr="00697150" w:rsidRDefault="006B32E2" w:rsidP="00104BD6">
            <w:pPr>
              <w:spacing w:line="240" w:lineRule="auto"/>
              <w:jc w:val="center"/>
              <w:rPr>
                <w:rFonts w:ascii="Calibri" w:hAnsi="Calibri"/>
                <w:sz w:val="20"/>
              </w:rPr>
            </w:pPr>
            <w:r>
              <w:rPr>
                <w:rFonts w:ascii="Calibri" w:hAnsi="Calibri"/>
                <w:sz w:val="20"/>
              </w:rPr>
              <w:t>10</w:t>
            </w:r>
          </w:p>
        </w:tc>
        <w:tc>
          <w:tcPr>
            <w:tcW w:w="553" w:type="pct"/>
            <w:tcBorders>
              <w:left w:val="nil"/>
              <w:bottom w:val="single" w:sz="4" w:space="0" w:color="auto"/>
              <w:right w:val="nil"/>
            </w:tcBorders>
            <w:shd w:val="clear" w:color="auto" w:fill="auto"/>
            <w:noWrap/>
            <w:vAlign w:val="bottom"/>
            <w:hideMark/>
          </w:tcPr>
          <w:p w14:paraId="064B0325" w14:textId="376CBC99" w:rsidR="00420F9B" w:rsidRPr="00697150" w:rsidRDefault="006B32E2" w:rsidP="00104BD6">
            <w:pPr>
              <w:spacing w:line="240" w:lineRule="auto"/>
              <w:jc w:val="center"/>
              <w:rPr>
                <w:rFonts w:ascii="Calibri" w:hAnsi="Calibri"/>
                <w:sz w:val="20"/>
              </w:rPr>
            </w:pPr>
            <w:r>
              <w:rPr>
                <w:rFonts w:ascii="Calibri" w:hAnsi="Calibri"/>
                <w:sz w:val="20"/>
              </w:rPr>
              <w:t>4</w:t>
            </w:r>
            <w:r w:rsidR="00420F9B" w:rsidRPr="00697150">
              <w:rPr>
                <w:rFonts w:ascii="Calibri" w:hAnsi="Calibri"/>
                <w:sz w:val="20"/>
              </w:rPr>
              <w:t>%</w:t>
            </w:r>
          </w:p>
        </w:tc>
        <w:tc>
          <w:tcPr>
            <w:tcW w:w="456" w:type="pct"/>
            <w:tcBorders>
              <w:left w:val="nil"/>
              <w:bottom w:val="single" w:sz="4" w:space="0" w:color="auto"/>
              <w:right w:val="nil"/>
            </w:tcBorders>
            <w:shd w:val="clear" w:color="auto" w:fill="auto"/>
            <w:noWrap/>
            <w:vAlign w:val="bottom"/>
            <w:hideMark/>
          </w:tcPr>
          <w:p w14:paraId="06C45087" w14:textId="5332E280" w:rsidR="00420F9B" w:rsidRPr="00697150" w:rsidRDefault="006B32E2" w:rsidP="00104BD6">
            <w:pPr>
              <w:spacing w:line="240" w:lineRule="auto"/>
              <w:jc w:val="center"/>
              <w:rPr>
                <w:rFonts w:ascii="Calibri" w:hAnsi="Calibri"/>
                <w:sz w:val="20"/>
              </w:rPr>
            </w:pPr>
            <w:r>
              <w:rPr>
                <w:rFonts w:ascii="Calibri" w:hAnsi="Calibri"/>
                <w:sz w:val="20"/>
              </w:rPr>
              <w:t>58</w:t>
            </w:r>
          </w:p>
        </w:tc>
        <w:tc>
          <w:tcPr>
            <w:tcW w:w="562" w:type="pct"/>
            <w:tcBorders>
              <w:left w:val="nil"/>
              <w:bottom w:val="single" w:sz="4" w:space="0" w:color="auto"/>
              <w:right w:val="nil"/>
            </w:tcBorders>
            <w:shd w:val="clear" w:color="auto" w:fill="auto"/>
            <w:noWrap/>
            <w:vAlign w:val="bottom"/>
            <w:hideMark/>
          </w:tcPr>
          <w:p w14:paraId="3451F35B" w14:textId="041FEDEB" w:rsidR="00420F9B" w:rsidRPr="00697150" w:rsidRDefault="006B32E2" w:rsidP="00104BD6">
            <w:pPr>
              <w:spacing w:line="240" w:lineRule="auto"/>
              <w:jc w:val="center"/>
              <w:rPr>
                <w:rFonts w:ascii="Calibri" w:hAnsi="Calibri"/>
                <w:sz w:val="20"/>
              </w:rPr>
            </w:pPr>
            <w:r>
              <w:rPr>
                <w:rFonts w:ascii="Calibri" w:hAnsi="Calibri"/>
                <w:sz w:val="20"/>
              </w:rPr>
              <w:t>21</w:t>
            </w:r>
            <w:r w:rsidR="00420F9B" w:rsidRPr="00697150">
              <w:rPr>
                <w:rFonts w:ascii="Calibri" w:hAnsi="Calibri"/>
                <w:sz w:val="20"/>
              </w:rPr>
              <w:t>%</w:t>
            </w:r>
          </w:p>
        </w:tc>
        <w:tc>
          <w:tcPr>
            <w:tcW w:w="535" w:type="pct"/>
            <w:tcBorders>
              <w:left w:val="nil"/>
              <w:bottom w:val="single" w:sz="4" w:space="0" w:color="auto"/>
              <w:right w:val="nil"/>
            </w:tcBorders>
            <w:shd w:val="clear" w:color="auto" w:fill="auto"/>
            <w:noWrap/>
            <w:vAlign w:val="bottom"/>
            <w:hideMark/>
          </w:tcPr>
          <w:p w14:paraId="46F1B942" w14:textId="785060DF" w:rsidR="00420F9B" w:rsidRPr="00697150" w:rsidRDefault="006B32E2" w:rsidP="00104BD6">
            <w:pPr>
              <w:spacing w:line="240" w:lineRule="auto"/>
              <w:jc w:val="center"/>
              <w:rPr>
                <w:rFonts w:ascii="Calibri" w:hAnsi="Calibri"/>
                <w:sz w:val="20"/>
              </w:rPr>
            </w:pPr>
            <w:r>
              <w:rPr>
                <w:rFonts w:ascii="Calibri" w:hAnsi="Calibri"/>
                <w:sz w:val="20"/>
              </w:rPr>
              <w:t>68</w:t>
            </w:r>
          </w:p>
        </w:tc>
        <w:tc>
          <w:tcPr>
            <w:tcW w:w="516" w:type="pct"/>
            <w:tcBorders>
              <w:left w:val="nil"/>
              <w:bottom w:val="single" w:sz="4" w:space="0" w:color="auto"/>
              <w:right w:val="single" w:sz="8" w:space="0" w:color="auto"/>
            </w:tcBorders>
            <w:shd w:val="clear" w:color="auto" w:fill="auto"/>
            <w:noWrap/>
            <w:vAlign w:val="bottom"/>
            <w:hideMark/>
          </w:tcPr>
          <w:p w14:paraId="425CF297" w14:textId="27FDC2BC" w:rsidR="00420F9B" w:rsidRPr="00697150" w:rsidRDefault="006B32E2" w:rsidP="00104BD6">
            <w:pPr>
              <w:spacing w:line="240" w:lineRule="auto"/>
              <w:jc w:val="center"/>
              <w:rPr>
                <w:rFonts w:ascii="Calibri" w:hAnsi="Calibri"/>
                <w:sz w:val="20"/>
              </w:rPr>
            </w:pPr>
            <w:r>
              <w:rPr>
                <w:rFonts w:ascii="Calibri" w:hAnsi="Calibri"/>
                <w:sz w:val="20"/>
              </w:rPr>
              <w:t>13</w:t>
            </w:r>
            <w:r w:rsidR="00420F9B" w:rsidRPr="00697150">
              <w:rPr>
                <w:rFonts w:ascii="Calibri" w:hAnsi="Calibri"/>
                <w:sz w:val="20"/>
              </w:rPr>
              <w:t>%</w:t>
            </w:r>
          </w:p>
        </w:tc>
      </w:tr>
      <w:tr w:rsidR="009937A1" w:rsidRPr="00697150" w14:paraId="1BD538BB" w14:textId="77777777" w:rsidTr="0095412E">
        <w:trPr>
          <w:trHeight w:val="144"/>
        </w:trPr>
        <w:tc>
          <w:tcPr>
            <w:tcW w:w="1846" w:type="pct"/>
            <w:tcBorders>
              <w:top w:val="nil"/>
              <w:left w:val="single" w:sz="8" w:space="0" w:color="auto"/>
              <w:bottom w:val="single" w:sz="4" w:space="0" w:color="auto"/>
              <w:right w:val="nil"/>
            </w:tcBorders>
            <w:shd w:val="clear" w:color="auto" w:fill="auto"/>
            <w:noWrap/>
            <w:vAlign w:val="bottom"/>
            <w:hideMark/>
          </w:tcPr>
          <w:p w14:paraId="42D117B9" w14:textId="7FB7460B" w:rsidR="009937A1" w:rsidRPr="00697150" w:rsidRDefault="009937A1" w:rsidP="009937A1">
            <w:pPr>
              <w:spacing w:line="240" w:lineRule="auto"/>
              <w:jc w:val="left"/>
              <w:rPr>
                <w:rFonts w:ascii="Calibri" w:hAnsi="Calibri"/>
                <w:b/>
                <w:bCs/>
                <w:sz w:val="20"/>
              </w:rPr>
            </w:pPr>
            <w:r w:rsidRPr="00697150">
              <w:rPr>
                <w:rFonts w:ascii="Calibri" w:hAnsi="Calibri"/>
                <w:b/>
                <w:bCs/>
                <w:sz w:val="20"/>
              </w:rPr>
              <w:t xml:space="preserve">Total </w:t>
            </w:r>
            <w:r>
              <w:rPr>
                <w:rFonts w:ascii="Calibri" w:hAnsi="Calibri"/>
                <w:b/>
                <w:bCs/>
                <w:sz w:val="20"/>
              </w:rPr>
              <w:t>checks written to parents</w:t>
            </w:r>
          </w:p>
        </w:tc>
        <w:tc>
          <w:tcPr>
            <w:tcW w:w="531" w:type="pct"/>
            <w:tcBorders>
              <w:top w:val="nil"/>
              <w:left w:val="nil"/>
              <w:bottom w:val="single" w:sz="4" w:space="0" w:color="auto"/>
              <w:right w:val="nil"/>
            </w:tcBorders>
            <w:shd w:val="clear" w:color="auto" w:fill="auto"/>
            <w:vAlign w:val="bottom"/>
            <w:hideMark/>
          </w:tcPr>
          <w:p w14:paraId="6A87DF0F" w14:textId="1318E5B9" w:rsidR="009937A1" w:rsidRPr="00697150" w:rsidRDefault="009937A1" w:rsidP="009937A1">
            <w:pPr>
              <w:spacing w:line="240" w:lineRule="auto"/>
              <w:jc w:val="center"/>
              <w:rPr>
                <w:rFonts w:ascii="Calibri" w:hAnsi="Calibri"/>
                <w:b/>
                <w:bCs/>
                <w:sz w:val="20"/>
              </w:rPr>
            </w:pPr>
            <w:r w:rsidRPr="00697150">
              <w:rPr>
                <w:rFonts w:ascii="Calibri" w:hAnsi="Calibri"/>
                <w:b/>
                <w:bCs/>
                <w:sz w:val="20"/>
              </w:rPr>
              <w:t>2</w:t>
            </w:r>
            <w:r>
              <w:rPr>
                <w:rFonts w:ascii="Calibri" w:hAnsi="Calibri"/>
                <w:b/>
                <w:bCs/>
                <w:sz w:val="20"/>
              </w:rPr>
              <w:t>3</w:t>
            </w:r>
            <w:r w:rsidRPr="00697150">
              <w:rPr>
                <w:rFonts w:ascii="Calibri" w:hAnsi="Calibri"/>
                <w:b/>
                <w:bCs/>
                <w:sz w:val="20"/>
              </w:rPr>
              <w:t>2</w:t>
            </w:r>
          </w:p>
        </w:tc>
        <w:tc>
          <w:tcPr>
            <w:tcW w:w="553" w:type="pct"/>
            <w:tcBorders>
              <w:top w:val="nil"/>
              <w:left w:val="nil"/>
              <w:bottom w:val="single" w:sz="4" w:space="0" w:color="auto"/>
              <w:right w:val="nil"/>
            </w:tcBorders>
            <w:shd w:val="clear" w:color="auto" w:fill="auto"/>
            <w:vAlign w:val="bottom"/>
            <w:hideMark/>
          </w:tcPr>
          <w:p w14:paraId="79852DE5" w14:textId="70D06E16" w:rsidR="009937A1" w:rsidRPr="00697150" w:rsidRDefault="009937A1" w:rsidP="0095412E">
            <w:pPr>
              <w:spacing w:line="240" w:lineRule="auto"/>
              <w:jc w:val="center"/>
              <w:rPr>
                <w:rFonts w:ascii="Calibri" w:hAnsi="Calibri"/>
                <w:b/>
                <w:bCs/>
                <w:sz w:val="20"/>
              </w:rPr>
            </w:pPr>
            <w:r>
              <w:rPr>
                <w:rFonts w:ascii="Calibri" w:hAnsi="Calibri"/>
                <w:b/>
                <w:bCs/>
                <w:sz w:val="20"/>
              </w:rPr>
              <w:t>51</w:t>
            </w:r>
            <w:r w:rsidRPr="00697150">
              <w:rPr>
                <w:rFonts w:ascii="Calibri" w:hAnsi="Calibri"/>
                <w:b/>
                <w:bCs/>
                <w:sz w:val="20"/>
              </w:rPr>
              <w:t>%</w:t>
            </w:r>
          </w:p>
        </w:tc>
        <w:tc>
          <w:tcPr>
            <w:tcW w:w="456" w:type="pct"/>
            <w:tcBorders>
              <w:top w:val="nil"/>
              <w:left w:val="nil"/>
              <w:bottom w:val="single" w:sz="4" w:space="0" w:color="auto"/>
              <w:right w:val="nil"/>
            </w:tcBorders>
            <w:shd w:val="clear" w:color="auto" w:fill="auto"/>
            <w:vAlign w:val="bottom"/>
            <w:hideMark/>
          </w:tcPr>
          <w:p w14:paraId="053E962B" w14:textId="29C0FA15" w:rsidR="009937A1" w:rsidRPr="00697150" w:rsidRDefault="009937A1" w:rsidP="009937A1">
            <w:pPr>
              <w:spacing w:line="240" w:lineRule="auto"/>
              <w:jc w:val="center"/>
              <w:rPr>
                <w:rFonts w:ascii="Calibri" w:hAnsi="Calibri"/>
                <w:b/>
                <w:bCs/>
                <w:sz w:val="20"/>
              </w:rPr>
            </w:pPr>
            <w:r w:rsidRPr="00697150">
              <w:rPr>
                <w:rFonts w:ascii="Calibri" w:hAnsi="Calibri"/>
                <w:b/>
                <w:bCs/>
                <w:sz w:val="20"/>
              </w:rPr>
              <w:t>2</w:t>
            </w:r>
            <w:r>
              <w:rPr>
                <w:rFonts w:ascii="Calibri" w:hAnsi="Calibri"/>
                <w:b/>
                <w:bCs/>
                <w:sz w:val="20"/>
              </w:rPr>
              <w:t>23</w:t>
            </w:r>
          </w:p>
        </w:tc>
        <w:tc>
          <w:tcPr>
            <w:tcW w:w="562" w:type="pct"/>
            <w:tcBorders>
              <w:top w:val="nil"/>
              <w:left w:val="nil"/>
              <w:bottom w:val="single" w:sz="4" w:space="0" w:color="auto"/>
              <w:right w:val="nil"/>
            </w:tcBorders>
            <w:shd w:val="clear" w:color="auto" w:fill="auto"/>
            <w:vAlign w:val="bottom"/>
            <w:hideMark/>
          </w:tcPr>
          <w:p w14:paraId="4D13995B" w14:textId="68965945" w:rsidR="009937A1" w:rsidRPr="00697150" w:rsidRDefault="009937A1" w:rsidP="0095412E">
            <w:pPr>
              <w:spacing w:line="240" w:lineRule="auto"/>
              <w:jc w:val="center"/>
              <w:rPr>
                <w:rFonts w:ascii="Calibri" w:hAnsi="Calibri"/>
                <w:b/>
                <w:bCs/>
                <w:sz w:val="20"/>
              </w:rPr>
            </w:pPr>
            <w:r>
              <w:rPr>
                <w:rFonts w:ascii="Calibri" w:hAnsi="Calibri"/>
                <w:b/>
                <w:bCs/>
                <w:sz w:val="20"/>
              </w:rPr>
              <w:t>49</w:t>
            </w:r>
            <w:r w:rsidRPr="00697150">
              <w:rPr>
                <w:rFonts w:ascii="Calibri" w:hAnsi="Calibri"/>
                <w:b/>
                <w:bCs/>
                <w:sz w:val="20"/>
              </w:rPr>
              <w:t>%</w:t>
            </w:r>
          </w:p>
        </w:tc>
        <w:tc>
          <w:tcPr>
            <w:tcW w:w="535" w:type="pct"/>
            <w:tcBorders>
              <w:top w:val="nil"/>
              <w:left w:val="nil"/>
              <w:bottom w:val="single" w:sz="4" w:space="0" w:color="auto"/>
              <w:right w:val="nil"/>
            </w:tcBorders>
            <w:shd w:val="clear" w:color="auto" w:fill="auto"/>
            <w:noWrap/>
            <w:vAlign w:val="bottom"/>
            <w:hideMark/>
          </w:tcPr>
          <w:p w14:paraId="03EF1892" w14:textId="2B51EDB0" w:rsidR="009937A1" w:rsidRPr="00697150" w:rsidRDefault="009937A1" w:rsidP="0095412E">
            <w:pPr>
              <w:spacing w:line="240" w:lineRule="auto"/>
              <w:jc w:val="center"/>
              <w:rPr>
                <w:rFonts w:ascii="Calibri" w:hAnsi="Calibri"/>
                <w:b/>
                <w:bCs/>
                <w:sz w:val="20"/>
              </w:rPr>
            </w:pPr>
            <w:r>
              <w:rPr>
                <w:rFonts w:ascii="Calibri" w:hAnsi="Calibri"/>
                <w:b/>
                <w:bCs/>
                <w:sz w:val="20"/>
              </w:rPr>
              <w:t>455</w:t>
            </w:r>
          </w:p>
        </w:tc>
        <w:tc>
          <w:tcPr>
            <w:tcW w:w="516" w:type="pct"/>
            <w:tcBorders>
              <w:top w:val="nil"/>
              <w:left w:val="nil"/>
              <w:bottom w:val="single" w:sz="4" w:space="0" w:color="auto"/>
              <w:right w:val="single" w:sz="8" w:space="0" w:color="auto"/>
            </w:tcBorders>
            <w:shd w:val="clear" w:color="auto" w:fill="auto"/>
            <w:noWrap/>
            <w:vAlign w:val="bottom"/>
            <w:hideMark/>
          </w:tcPr>
          <w:p w14:paraId="068E4AB8" w14:textId="77777777" w:rsidR="009937A1" w:rsidRPr="00697150" w:rsidRDefault="009937A1" w:rsidP="0095412E">
            <w:pPr>
              <w:spacing w:line="240" w:lineRule="auto"/>
              <w:jc w:val="center"/>
              <w:rPr>
                <w:rFonts w:ascii="Calibri" w:hAnsi="Calibri"/>
                <w:b/>
                <w:bCs/>
                <w:sz w:val="20"/>
              </w:rPr>
            </w:pPr>
            <w:r w:rsidRPr="00697150">
              <w:rPr>
                <w:rFonts w:ascii="Calibri" w:hAnsi="Calibri"/>
                <w:b/>
                <w:bCs/>
                <w:sz w:val="20"/>
              </w:rPr>
              <w:t>100%</w:t>
            </w:r>
          </w:p>
        </w:tc>
      </w:tr>
      <w:tr w:rsidR="00420F9B" w:rsidRPr="00697150" w14:paraId="3E309E71" w14:textId="77777777" w:rsidTr="00697150">
        <w:trPr>
          <w:trHeight w:val="144"/>
        </w:trPr>
        <w:tc>
          <w:tcPr>
            <w:tcW w:w="1846" w:type="pct"/>
            <w:tcBorders>
              <w:top w:val="nil"/>
              <w:left w:val="single" w:sz="8" w:space="0" w:color="auto"/>
              <w:bottom w:val="nil"/>
              <w:right w:val="nil"/>
            </w:tcBorders>
            <w:shd w:val="clear" w:color="auto" w:fill="auto"/>
            <w:noWrap/>
            <w:vAlign w:val="bottom"/>
            <w:hideMark/>
          </w:tcPr>
          <w:p w14:paraId="042F424E" w14:textId="77777777" w:rsidR="00420F9B" w:rsidRPr="00697150" w:rsidRDefault="00420F9B" w:rsidP="00104BD6">
            <w:pPr>
              <w:spacing w:line="240" w:lineRule="auto"/>
              <w:jc w:val="left"/>
              <w:rPr>
                <w:rFonts w:ascii="Calibri" w:hAnsi="Calibri"/>
                <w:sz w:val="20"/>
              </w:rPr>
            </w:pPr>
            <w:r w:rsidRPr="00697150">
              <w:rPr>
                <w:rFonts w:ascii="Calibri" w:hAnsi="Calibri"/>
                <w:sz w:val="20"/>
              </w:rPr>
              <w:t>Cashed check</w:t>
            </w:r>
          </w:p>
        </w:tc>
        <w:tc>
          <w:tcPr>
            <w:tcW w:w="531" w:type="pct"/>
            <w:tcBorders>
              <w:top w:val="nil"/>
              <w:left w:val="nil"/>
              <w:bottom w:val="nil"/>
              <w:right w:val="nil"/>
            </w:tcBorders>
            <w:shd w:val="clear" w:color="auto" w:fill="auto"/>
            <w:noWrap/>
            <w:vAlign w:val="bottom"/>
            <w:hideMark/>
          </w:tcPr>
          <w:p w14:paraId="240F511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172</w:t>
            </w:r>
          </w:p>
        </w:tc>
        <w:tc>
          <w:tcPr>
            <w:tcW w:w="553" w:type="pct"/>
            <w:tcBorders>
              <w:top w:val="nil"/>
              <w:left w:val="nil"/>
              <w:bottom w:val="nil"/>
              <w:right w:val="nil"/>
            </w:tcBorders>
            <w:shd w:val="clear" w:color="auto" w:fill="auto"/>
            <w:noWrap/>
            <w:vAlign w:val="bottom"/>
            <w:hideMark/>
          </w:tcPr>
          <w:p w14:paraId="7AA63336" w14:textId="6DC9A9E9" w:rsidR="00420F9B" w:rsidRPr="00697150" w:rsidRDefault="00420F9B" w:rsidP="009937A1">
            <w:pPr>
              <w:spacing w:line="240" w:lineRule="auto"/>
              <w:jc w:val="center"/>
              <w:rPr>
                <w:rFonts w:ascii="Calibri" w:hAnsi="Calibri"/>
                <w:sz w:val="20"/>
              </w:rPr>
            </w:pPr>
            <w:r w:rsidRPr="00697150">
              <w:rPr>
                <w:rFonts w:ascii="Calibri" w:hAnsi="Calibri"/>
                <w:sz w:val="20"/>
              </w:rPr>
              <w:t>7</w:t>
            </w:r>
            <w:r w:rsidR="009937A1">
              <w:rPr>
                <w:rFonts w:ascii="Calibri" w:hAnsi="Calibri"/>
                <w:sz w:val="20"/>
              </w:rPr>
              <w:t>4</w:t>
            </w:r>
            <w:r w:rsidRPr="00697150">
              <w:rPr>
                <w:rFonts w:ascii="Calibri" w:hAnsi="Calibri"/>
                <w:sz w:val="20"/>
              </w:rPr>
              <w:t>%</w:t>
            </w:r>
          </w:p>
        </w:tc>
        <w:tc>
          <w:tcPr>
            <w:tcW w:w="456" w:type="pct"/>
            <w:tcBorders>
              <w:top w:val="nil"/>
              <w:left w:val="nil"/>
              <w:bottom w:val="nil"/>
              <w:right w:val="nil"/>
            </w:tcBorders>
            <w:shd w:val="clear" w:color="auto" w:fill="auto"/>
            <w:noWrap/>
            <w:vAlign w:val="bottom"/>
            <w:hideMark/>
          </w:tcPr>
          <w:p w14:paraId="55079018"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127</w:t>
            </w:r>
          </w:p>
        </w:tc>
        <w:tc>
          <w:tcPr>
            <w:tcW w:w="562" w:type="pct"/>
            <w:tcBorders>
              <w:top w:val="nil"/>
              <w:left w:val="nil"/>
              <w:bottom w:val="nil"/>
              <w:right w:val="nil"/>
            </w:tcBorders>
            <w:shd w:val="clear" w:color="auto" w:fill="auto"/>
            <w:noWrap/>
            <w:vAlign w:val="bottom"/>
            <w:hideMark/>
          </w:tcPr>
          <w:p w14:paraId="1E2FD97D" w14:textId="4AFC9EE6" w:rsidR="00420F9B" w:rsidRPr="00697150" w:rsidRDefault="009937A1" w:rsidP="00104BD6">
            <w:pPr>
              <w:spacing w:line="240" w:lineRule="auto"/>
              <w:jc w:val="center"/>
              <w:rPr>
                <w:rFonts w:ascii="Calibri" w:hAnsi="Calibri"/>
                <w:sz w:val="20"/>
              </w:rPr>
            </w:pPr>
            <w:r>
              <w:rPr>
                <w:rFonts w:ascii="Calibri" w:hAnsi="Calibri"/>
                <w:sz w:val="20"/>
              </w:rPr>
              <w:t>57</w:t>
            </w:r>
            <w:r w:rsidR="00420F9B" w:rsidRPr="00697150">
              <w:rPr>
                <w:rFonts w:ascii="Calibri" w:hAnsi="Calibri"/>
                <w:sz w:val="20"/>
              </w:rPr>
              <w:t>%</w:t>
            </w:r>
          </w:p>
        </w:tc>
        <w:tc>
          <w:tcPr>
            <w:tcW w:w="535" w:type="pct"/>
            <w:tcBorders>
              <w:top w:val="nil"/>
              <w:left w:val="nil"/>
              <w:bottom w:val="nil"/>
              <w:right w:val="nil"/>
            </w:tcBorders>
            <w:shd w:val="clear" w:color="auto" w:fill="auto"/>
            <w:noWrap/>
            <w:vAlign w:val="bottom"/>
            <w:hideMark/>
          </w:tcPr>
          <w:p w14:paraId="2CB7520D"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299</w:t>
            </w:r>
          </w:p>
        </w:tc>
        <w:tc>
          <w:tcPr>
            <w:tcW w:w="516" w:type="pct"/>
            <w:tcBorders>
              <w:top w:val="nil"/>
              <w:left w:val="nil"/>
              <w:bottom w:val="nil"/>
              <w:right w:val="single" w:sz="8" w:space="0" w:color="auto"/>
            </w:tcBorders>
            <w:shd w:val="clear" w:color="auto" w:fill="auto"/>
            <w:noWrap/>
            <w:vAlign w:val="bottom"/>
            <w:hideMark/>
          </w:tcPr>
          <w:p w14:paraId="0FD374B3" w14:textId="7D0157BC" w:rsidR="00420F9B" w:rsidRPr="00697150" w:rsidRDefault="009937A1" w:rsidP="00104BD6">
            <w:pPr>
              <w:spacing w:line="240" w:lineRule="auto"/>
              <w:jc w:val="center"/>
              <w:rPr>
                <w:rFonts w:ascii="Calibri" w:hAnsi="Calibri"/>
                <w:sz w:val="20"/>
              </w:rPr>
            </w:pPr>
            <w:r>
              <w:rPr>
                <w:rFonts w:ascii="Calibri" w:hAnsi="Calibri"/>
                <w:sz w:val="20"/>
              </w:rPr>
              <w:t>66</w:t>
            </w:r>
            <w:r w:rsidR="00420F9B" w:rsidRPr="00697150">
              <w:rPr>
                <w:rFonts w:ascii="Calibri" w:hAnsi="Calibri"/>
                <w:sz w:val="20"/>
              </w:rPr>
              <w:t>%</w:t>
            </w:r>
          </w:p>
        </w:tc>
      </w:tr>
      <w:tr w:rsidR="00420F9B" w:rsidRPr="00697150" w14:paraId="111CFD42" w14:textId="77777777" w:rsidTr="00697150">
        <w:trPr>
          <w:trHeight w:val="144"/>
        </w:trPr>
        <w:tc>
          <w:tcPr>
            <w:tcW w:w="1846" w:type="pct"/>
            <w:tcBorders>
              <w:top w:val="nil"/>
              <w:left w:val="single" w:sz="8" w:space="0" w:color="auto"/>
              <w:bottom w:val="single" w:sz="8" w:space="0" w:color="auto"/>
              <w:right w:val="nil"/>
            </w:tcBorders>
            <w:shd w:val="clear" w:color="auto" w:fill="auto"/>
            <w:noWrap/>
            <w:vAlign w:val="bottom"/>
            <w:hideMark/>
          </w:tcPr>
          <w:p w14:paraId="6A3B1D5B" w14:textId="77777777" w:rsidR="00420F9B" w:rsidRPr="00697150" w:rsidRDefault="00420F9B" w:rsidP="00104BD6">
            <w:pPr>
              <w:spacing w:line="240" w:lineRule="auto"/>
              <w:jc w:val="left"/>
              <w:rPr>
                <w:rFonts w:ascii="Calibri" w:hAnsi="Calibri"/>
                <w:sz w:val="20"/>
              </w:rPr>
            </w:pPr>
            <w:r w:rsidRPr="00697150">
              <w:rPr>
                <w:rFonts w:ascii="Calibri" w:hAnsi="Calibri"/>
                <w:sz w:val="20"/>
              </w:rPr>
              <w:t>Did not cash check</w:t>
            </w:r>
          </w:p>
        </w:tc>
        <w:tc>
          <w:tcPr>
            <w:tcW w:w="531" w:type="pct"/>
            <w:tcBorders>
              <w:top w:val="nil"/>
              <w:left w:val="nil"/>
              <w:bottom w:val="single" w:sz="8" w:space="0" w:color="auto"/>
              <w:right w:val="nil"/>
            </w:tcBorders>
            <w:shd w:val="clear" w:color="auto" w:fill="auto"/>
            <w:noWrap/>
            <w:vAlign w:val="bottom"/>
            <w:hideMark/>
          </w:tcPr>
          <w:p w14:paraId="78E210C2"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60</w:t>
            </w:r>
          </w:p>
        </w:tc>
        <w:tc>
          <w:tcPr>
            <w:tcW w:w="553" w:type="pct"/>
            <w:tcBorders>
              <w:top w:val="nil"/>
              <w:left w:val="nil"/>
              <w:bottom w:val="single" w:sz="8" w:space="0" w:color="auto"/>
              <w:right w:val="nil"/>
            </w:tcBorders>
            <w:shd w:val="clear" w:color="auto" w:fill="auto"/>
            <w:noWrap/>
            <w:vAlign w:val="bottom"/>
            <w:hideMark/>
          </w:tcPr>
          <w:p w14:paraId="13A9E77A" w14:textId="404FF8EA" w:rsidR="00420F9B" w:rsidRPr="00697150" w:rsidRDefault="00420F9B" w:rsidP="009937A1">
            <w:pPr>
              <w:spacing w:line="240" w:lineRule="auto"/>
              <w:jc w:val="center"/>
              <w:rPr>
                <w:rFonts w:ascii="Calibri" w:hAnsi="Calibri"/>
                <w:sz w:val="20"/>
              </w:rPr>
            </w:pPr>
            <w:r w:rsidRPr="00697150">
              <w:rPr>
                <w:rFonts w:ascii="Calibri" w:hAnsi="Calibri"/>
                <w:sz w:val="20"/>
              </w:rPr>
              <w:t>2</w:t>
            </w:r>
            <w:r w:rsidR="009937A1">
              <w:rPr>
                <w:rFonts w:ascii="Calibri" w:hAnsi="Calibri"/>
                <w:sz w:val="20"/>
              </w:rPr>
              <w:t>6</w:t>
            </w:r>
            <w:r w:rsidRPr="00697150">
              <w:rPr>
                <w:rFonts w:ascii="Calibri" w:hAnsi="Calibri"/>
                <w:sz w:val="20"/>
              </w:rPr>
              <w:t>%</w:t>
            </w:r>
          </w:p>
        </w:tc>
        <w:tc>
          <w:tcPr>
            <w:tcW w:w="456" w:type="pct"/>
            <w:tcBorders>
              <w:top w:val="nil"/>
              <w:left w:val="nil"/>
              <w:bottom w:val="single" w:sz="8" w:space="0" w:color="auto"/>
              <w:right w:val="nil"/>
            </w:tcBorders>
            <w:shd w:val="clear" w:color="auto" w:fill="auto"/>
            <w:noWrap/>
            <w:vAlign w:val="bottom"/>
            <w:hideMark/>
          </w:tcPr>
          <w:p w14:paraId="7821F6AE"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96</w:t>
            </w:r>
          </w:p>
        </w:tc>
        <w:tc>
          <w:tcPr>
            <w:tcW w:w="562" w:type="pct"/>
            <w:tcBorders>
              <w:top w:val="nil"/>
              <w:left w:val="nil"/>
              <w:bottom w:val="single" w:sz="8" w:space="0" w:color="auto"/>
              <w:right w:val="nil"/>
            </w:tcBorders>
            <w:shd w:val="clear" w:color="auto" w:fill="auto"/>
            <w:noWrap/>
            <w:vAlign w:val="bottom"/>
            <w:hideMark/>
          </w:tcPr>
          <w:p w14:paraId="4A01565D" w14:textId="72547A69" w:rsidR="00420F9B" w:rsidRPr="00697150" w:rsidRDefault="009937A1" w:rsidP="00104BD6">
            <w:pPr>
              <w:spacing w:line="240" w:lineRule="auto"/>
              <w:jc w:val="center"/>
              <w:rPr>
                <w:rFonts w:ascii="Calibri" w:hAnsi="Calibri"/>
                <w:sz w:val="20"/>
              </w:rPr>
            </w:pPr>
            <w:r>
              <w:rPr>
                <w:rFonts w:ascii="Calibri" w:hAnsi="Calibri"/>
                <w:sz w:val="20"/>
              </w:rPr>
              <w:t>43</w:t>
            </w:r>
            <w:r w:rsidR="00420F9B" w:rsidRPr="00697150">
              <w:rPr>
                <w:rFonts w:ascii="Calibri" w:hAnsi="Calibri"/>
                <w:sz w:val="20"/>
              </w:rPr>
              <w:t>%</w:t>
            </w:r>
          </w:p>
        </w:tc>
        <w:tc>
          <w:tcPr>
            <w:tcW w:w="535" w:type="pct"/>
            <w:tcBorders>
              <w:top w:val="nil"/>
              <w:left w:val="nil"/>
              <w:bottom w:val="single" w:sz="8" w:space="0" w:color="auto"/>
              <w:right w:val="nil"/>
            </w:tcBorders>
            <w:shd w:val="clear" w:color="auto" w:fill="auto"/>
            <w:noWrap/>
            <w:vAlign w:val="bottom"/>
            <w:hideMark/>
          </w:tcPr>
          <w:p w14:paraId="305B1004" w14:textId="77777777" w:rsidR="00420F9B" w:rsidRPr="00697150" w:rsidRDefault="00420F9B" w:rsidP="00104BD6">
            <w:pPr>
              <w:spacing w:line="240" w:lineRule="auto"/>
              <w:jc w:val="center"/>
              <w:rPr>
                <w:rFonts w:ascii="Calibri" w:hAnsi="Calibri"/>
                <w:sz w:val="20"/>
              </w:rPr>
            </w:pPr>
            <w:r w:rsidRPr="00697150">
              <w:rPr>
                <w:rFonts w:ascii="Calibri" w:hAnsi="Calibri"/>
                <w:sz w:val="20"/>
              </w:rPr>
              <w:t>156</w:t>
            </w:r>
          </w:p>
        </w:tc>
        <w:tc>
          <w:tcPr>
            <w:tcW w:w="516" w:type="pct"/>
            <w:tcBorders>
              <w:top w:val="nil"/>
              <w:left w:val="nil"/>
              <w:bottom w:val="single" w:sz="8" w:space="0" w:color="auto"/>
              <w:right w:val="single" w:sz="8" w:space="0" w:color="auto"/>
            </w:tcBorders>
            <w:shd w:val="clear" w:color="auto" w:fill="auto"/>
            <w:noWrap/>
            <w:vAlign w:val="bottom"/>
            <w:hideMark/>
          </w:tcPr>
          <w:p w14:paraId="30824850" w14:textId="2827C5D5" w:rsidR="00420F9B" w:rsidRPr="00697150" w:rsidRDefault="009937A1" w:rsidP="00104BD6">
            <w:pPr>
              <w:spacing w:line="240" w:lineRule="auto"/>
              <w:jc w:val="center"/>
              <w:rPr>
                <w:rFonts w:ascii="Calibri" w:hAnsi="Calibri"/>
                <w:sz w:val="20"/>
              </w:rPr>
            </w:pPr>
            <w:r>
              <w:rPr>
                <w:rFonts w:ascii="Calibri" w:hAnsi="Calibri"/>
                <w:sz w:val="20"/>
              </w:rPr>
              <w:t>34</w:t>
            </w:r>
            <w:r w:rsidR="00420F9B" w:rsidRPr="00697150">
              <w:rPr>
                <w:rFonts w:ascii="Calibri" w:hAnsi="Calibri"/>
                <w:sz w:val="20"/>
              </w:rPr>
              <w:t>%</w:t>
            </w:r>
          </w:p>
        </w:tc>
      </w:tr>
    </w:tbl>
    <w:p w14:paraId="08D36EC3" w14:textId="3F403862" w:rsidR="00FA6D8F" w:rsidRPr="00104BD6" w:rsidRDefault="00FA6D8F" w:rsidP="006076BC">
      <w:pPr>
        <w:widowControl w:val="0"/>
        <w:spacing w:line="240" w:lineRule="auto"/>
        <w:jc w:val="left"/>
        <w:rPr>
          <w:rFonts w:ascii="Garamond" w:hAnsi="Garamond"/>
          <w:sz w:val="20"/>
        </w:rPr>
      </w:pPr>
      <w:r w:rsidRPr="00104BD6">
        <w:rPr>
          <w:rFonts w:ascii="Garamond" w:hAnsi="Garamond"/>
          <w:sz w:val="20"/>
        </w:rPr>
        <w:t xml:space="preserve">Note: parents were paid either a pre-paid or post-paid incentive depending on the school’s policy of sharing parent names with the study. </w:t>
      </w:r>
      <w:r w:rsidR="00C07AC7" w:rsidRPr="00104BD6">
        <w:rPr>
          <w:rFonts w:ascii="Garamond" w:hAnsi="Garamond"/>
          <w:sz w:val="20"/>
        </w:rPr>
        <w:t>These tables are</w:t>
      </w:r>
      <w:r w:rsidRPr="00104BD6">
        <w:rPr>
          <w:rFonts w:ascii="Garamond" w:hAnsi="Garamond"/>
          <w:sz w:val="20"/>
        </w:rPr>
        <w:t xml:space="preserve"> not meant to reflect results from a random incentive </w:t>
      </w:r>
      <w:r w:rsidR="007720A7" w:rsidRPr="00104BD6">
        <w:rPr>
          <w:rFonts w:ascii="Garamond" w:hAnsi="Garamond"/>
          <w:sz w:val="20"/>
        </w:rPr>
        <w:t>experiment</w:t>
      </w:r>
      <w:r w:rsidRPr="00104BD6">
        <w:rPr>
          <w:rFonts w:ascii="Garamond" w:hAnsi="Garamond"/>
          <w:sz w:val="20"/>
        </w:rPr>
        <w:t>; the results should be interpreted based on the understanding that only 29 schools participated in the field test and the differences we see among parents in the pre-and post-pay groups may reflect school characteristics or other unknown factors.</w:t>
      </w:r>
    </w:p>
    <w:p w14:paraId="4EB9BA2D" w14:textId="77777777" w:rsidR="009E6C70" w:rsidRDefault="009E6C70" w:rsidP="009E6C70">
      <w:pPr>
        <w:widowControl w:val="0"/>
        <w:spacing w:line="240" w:lineRule="auto"/>
        <w:jc w:val="left"/>
        <w:rPr>
          <w:rFonts w:ascii="Garamond" w:hAnsi="Garamond"/>
          <w:sz w:val="24"/>
          <w:szCs w:val="24"/>
        </w:rPr>
      </w:pPr>
    </w:p>
    <w:p w14:paraId="6448AD59" w14:textId="6F0566B6" w:rsidR="00DC23F1" w:rsidRDefault="00476F0F" w:rsidP="00BC13FF">
      <w:pPr>
        <w:widowControl w:val="0"/>
        <w:spacing w:after="120" w:line="300" w:lineRule="atLeast"/>
        <w:jc w:val="left"/>
        <w:rPr>
          <w:rFonts w:ascii="Garamond" w:hAnsi="Garamond"/>
          <w:sz w:val="24"/>
          <w:szCs w:val="24"/>
        </w:rPr>
      </w:pPr>
      <w:r>
        <w:rPr>
          <w:rFonts w:ascii="Garamond" w:hAnsi="Garamond"/>
          <w:sz w:val="24"/>
          <w:szCs w:val="24"/>
        </w:rPr>
        <w:t xml:space="preserve">Based on these results and the previous advice of experts, a $20 incentive for parents is again proposed for the main study. It is critical to continue </w:t>
      </w:r>
      <w:r w:rsidR="007720A7">
        <w:rPr>
          <w:rFonts w:ascii="Garamond" w:hAnsi="Garamond"/>
          <w:sz w:val="24"/>
          <w:szCs w:val="24"/>
        </w:rPr>
        <w:t>providing</w:t>
      </w:r>
      <w:r>
        <w:rPr>
          <w:rFonts w:ascii="Garamond" w:hAnsi="Garamond"/>
          <w:sz w:val="24"/>
          <w:szCs w:val="24"/>
        </w:rPr>
        <w:t xml:space="preserve"> an incentive to parents, </w:t>
      </w:r>
      <w:r w:rsidR="005C7B4B">
        <w:rPr>
          <w:rFonts w:ascii="Garamond" w:hAnsi="Garamond"/>
          <w:sz w:val="24"/>
          <w:szCs w:val="24"/>
        </w:rPr>
        <w:t>given that</w:t>
      </w:r>
      <w:r w:rsidRPr="001A6CAE">
        <w:rPr>
          <w:rFonts w:ascii="Garamond" w:hAnsi="Garamond"/>
          <w:sz w:val="24"/>
          <w:szCs w:val="24"/>
        </w:rPr>
        <w:t xml:space="preserve"> parent survey response rates have </w:t>
      </w:r>
      <w:r w:rsidR="00E255EC">
        <w:rPr>
          <w:rFonts w:ascii="Garamond" w:hAnsi="Garamond"/>
          <w:sz w:val="24"/>
          <w:szCs w:val="24"/>
        </w:rPr>
        <w:t>been declining</w:t>
      </w:r>
      <w:r w:rsidRPr="001A6CAE">
        <w:rPr>
          <w:rFonts w:ascii="Garamond" w:hAnsi="Garamond"/>
          <w:sz w:val="24"/>
          <w:szCs w:val="24"/>
        </w:rPr>
        <w:t xml:space="preserve"> over the past decade. The ECLS-K:2011 baseline (fall 2010) parent survey response rate was more than 10 percentage points lower (74 percent) than the parent survey rate in the corresponding 1998 wave of the ECLS-K (85 percent)</w:t>
      </w:r>
      <w:r w:rsidR="005C7B4B">
        <w:rPr>
          <w:rFonts w:ascii="Garamond" w:hAnsi="Garamond"/>
          <w:sz w:val="24"/>
          <w:szCs w:val="24"/>
        </w:rPr>
        <w:t xml:space="preserve">, while </w:t>
      </w:r>
      <w:r>
        <w:rPr>
          <w:rFonts w:ascii="Garamond" w:hAnsi="Garamond"/>
          <w:sz w:val="24"/>
          <w:szCs w:val="24"/>
        </w:rPr>
        <w:t>t</w:t>
      </w:r>
      <w:r w:rsidRPr="001A6CAE">
        <w:rPr>
          <w:rFonts w:ascii="Garamond" w:hAnsi="Garamond"/>
          <w:sz w:val="24"/>
          <w:szCs w:val="24"/>
        </w:rPr>
        <w:t xml:space="preserve">he ninth-grade parent survey response rate for the HSLS:09 baseline was 68 percent. The IELS parent survey is a key component of the data being collected, especially </w:t>
      </w:r>
      <w:r w:rsidR="005C7B4B">
        <w:rPr>
          <w:rFonts w:ascii="Garamond" w:hAnsi="Garamond"/>
          <w:sz w:val="24"/>
          <w:szCs w:val="24"/>
        </w:rPr>
        <w:t>given that</w:t>
      </w:r>
      <w:r w:rsidRPr="001A6CAE">
        <w:rPr>
          <w:rFonts w:ascii="Garamond" w:hAnsi="Garamond"/>
          <w:sz w:val="24"/>
          <w:szCs w:val="24"/>
        </w:rPr>
        <w:t xml:space="preserve"> this is the first time this type of respondent is included in </w:t>
      </w:r>
      <w:r w:rsidR="005C7B4B">
        <w:rPr>
          <w:rFonts w:ascii="Garamond" w:hAnsi="Garamond"/>
          <w:sz w:val="24"/>
          <w:szCs w:val="24"/>
        </w:rPr>
        <w:t xml:space="preserve">an </w:t>
      </w:r>
      <w:r w:rsidRPr="001A6CAE">
        <w:rPr>
          <w:rFonts w:ascii="Garamond" w:hAnsi="Garamond"/>
          <w:sz w:val="24"/>
          <w:szCs w:val="24"/>
        </w:rPr>
        <w:t>international stud</w:t>
      </w:r>
      <w:r w:rsidR="005C7B4B">
        <w:rPr>
          <w:rFonts w:ascii="Garamond" w:hAnsi="Garamond"/>
          <w:sz w:val="24"/>
          <w:szCs w:val="24"/>
        </w:rPr>
        <w:t>y in the U.S.</w:t>
      </w:r>
    </w:p>
    <w:p w14:paraId="1DF3169C" w14:textId="0700E4EE" w:rsidR="005C7B4B" w:rsidRDefault="00476F0F" w:rsidP="00BC13FF">
      <w:pPr>
        <w:widowControl w:val="0"/>
        <w:spacing w:after="120" w:line="300" w:lineRule="atLeast"/>
        <w:jc w:val="left"/>
        <w:rPr>
          <w:rFonts w:ascii="Garamond" w:hAnsi="Garamond"/>
          <w:sz w:val="24"/>
          <w:szCs w:val="24"/>
        </w:rPr>
      </w:pPr>
      <w:r>
        <w:rPr>
          <w:rFonts w:ascii="Garamond" w:hAnsi="Garamond"/>
          <w:sz w:val="24"/>
          <w:szCs w:val="24"/>
        </w:rPr>
        <w:t>In addition, w</w:t>
      </w:r>
      <w:r w:rsidRPr="001A6CAE">
        <w:rPr>
          <w:rFonts w:ascii="Garamond" w:hAnsi="Garamond"/>
          <w:sz w:val="24"/>
          <w:szCs w:val="24"/>
        </w:rPr>
        <w:t xml:space="preserve">e expect a large number of </w:t>
      </w:r>
      <w:r>
        <w:rPr>
          <w:rFonts w:ascii="Garamond" w:hAnsi="Garamond"/>
          <w:sz w:val="24"/>
          <w:szCs w:val="24"/>
        </w:rPr>
        <w:t xml:space="preserve">student </w:t>
      </w:r>
      <w:r w:rsidRPr="001A6CAE">
        <w:rPr>
          <w:rFonts w:ascii="Garamond" w:hAnsi="Garamond"/>
          <w:sz w:val="24"/>
          <w:szCs w:val="24"/>
        </w:rPr>
        <w:t xml:space="preserve">cases </w:t>
      </w:r>
      <w:r>
        <w:rPr>
          <w:rFonts w:ascii="Garamond" w:hAnsi="Garamond"/>
          <w:sz w:val="24"/>
          <w:szCs w:val="24"/>
        </w:rPr>
        <w:t xml:space="preserve">to </w:t>
      </w:r>
      <w:r w:rsidRPr="001A6CAE">
        <w:rPr>
          <w:rFonts w:ascii="Garamond" w:hAnsi="Garamond"/>
          <w:sz w:val="24"/>
          <w:szCs w:val="24"/>
        </w:rPr>
        <w:t>requir</w:t>
      </w:r>
      <w:r>
        <w:rPr>
          <w:rFonts w:ascii="Garamond" w:hAnsi="Garamond"/>
          <w:sz w:val="24"/>
          <w:szCs w:val="24"/>
        </w:rPr>
        <w:t>e</w:t>
      </w:r>
      <w:r w:rsidRPr="001A6CAE">
        <w:rPr>
          <w:rFonts w:ascii="Garamond" w:hAnsi="Garamond"/>
          <w:sz w:val="24"/>
          <w:szCs w:val="24"/>
        </w:rPr>
        <w:t xml:space="preserve"> active consent</w:t>
      </w:r>
      <w:r>
        <w:rPr>
          <w:rFonts w:ascii="Garamond" w:hAnsi="Garamond"/>
          <w:sz w:val="24"/>
          <w:szCs w:val="24"/>
        </w:rPr>
        <w:t>,</w:t>
      </w:r>
      <w:r w:rsidRPr="001A6CAE">
        <w:rPr>
          <w:rFonts w:ascii="Garamond" w:hAnsi="Garamond"/>
          <w:sz w:val="24"/>
          <w:szCs w:val="24"/>
        </w:rPr>
        <w:t xml:space="preserve"> given the age range of the sample. </w:t>
      </w:r>
      <w:r>
        <w:rPr>
          <w:rFonts w:ascii="Garamond" w:hAnsi="Garamond"/>
          <w:sz w:val="24"/>
          <w:szCs w:val="24"/>
        </w:rPr>
        <w:t>In the field test, 40 percent of schools required explicit consent, while 34 percent required implicit consent (</w:t>
      </w:r>
      <w:r w:rsidR="005C7B4B">
        <w:rPr>
          <w:rFonts w:ascii="Garamond" w:hAnsi="Garamond"/>
          <w:sz w:val="24"/>
          <w:szCs w:val="24"/>
        </w:rPr>
        <w:t>t</w:t>
      </w:r>
      <w:r>
        <w:rPr>
          <w:rFonts w:ascii="Garamond" w:hAnsi="Garamond"/>
          <w:sz w:val="24"/>
          <w:szCs w:val="24"/>
        </w:rPr>
        <w:t>he remaining 28 percent of schools required notification only)</w:t>
      </w:r>
      <w:r w:rsidR="005C7B4B">
        <w:rPr>
          <w:rFonts w:ascii="Garamond" w:hAnsi="Garamond"/>
          <w:sz w:val="24"/>
          <w:szCs w:val="24"/>
        </w:rPr>
        <w:t>.</w:t>
      </w:r>
      <w:r>
        <w:rPr>
          <w:rFonts w:ascii="Garamond" w:hAnsi="Garamond"/>
          <w:sz w:val="24"/>
          <w:szCs w:val="24"/>
        </w:rPr>
        <w:t xml:space="preserve"> </w:t>
      </w:r>
      <w:r w:rsidR="005C7B4B">
        <w:rPr>
          <w:rFonts w:ascii="Garamond" w:hAnsi="Garamond"/>
          <w:sz w:val="24"/>
          <w:szCs w:val="24"/>
        </w:rPr>
        <w:t>T</w:t>
      </w:r>
      <w:r w:rsidRPr="001A6CAE">
        <w:rPr>
          <w:rFonts w:ascii="Garamond" w:hAnsi="Garamond"/>
          <w:sz w:val="24"/>
          <w:szCs w:val="24"/>
        </w:rPr>
        <w:t>h</w:t>
      </w:r>
      <w:r w:rsidR="005C7B4B">
        <w:rPr>
          <w:rFonts w:ascii="Garamond" w:hAnsi="Garamond"/>
          <w:sz w:val="24"/>
          <w:szCs w:val="24"/>
        </w:rPr>
        <w:t>us th</w:t>
      </w:r>
      <w:r w:rsidRPr="001A6CAE">
        <w:rPr>
          <w:rFonts w:ascii="Garamond" w:hAnsi="Garamond"/>
          <w:sz w:val="24"/>
          <w:szCs w:val="24"/>
        </w:rPr>
        <w:t xml:space="preserve">e parent incentive is </w:t>
      </w:r>
      <w:r w:rsidR="005C7B4B">
        <w:rPr>
          <w:rFonts w:ascii="Garamond" w:hAnsi="Garamond"/>
          <w:sz w:val="24"/>
          <w:szCs w:val="24"/>
        </w:rPr>
        <w:t>aimed to encourage parents to complete their questionnaire, complete the consent form for their sampled child’s participation in IELS, and minimize the need for costly follow-up.</w:t>
      </w:r>
    </w:p>
    <w:p w14:paraId="35523FED" w14:textId="13FBCB99" w:rsidR="00476F0F" w:rsidRDefault="00476F0F" w:rsidP="00C572AC">
      <w:pPr>
        <w:widowControl w:val="0"/>
        <w:spacing w:after="120" w:line="300" w:lineRule="atLeast"/>
        <w:jc w:val="left"/>
        <w:rPr>
          <w:rFonts w:ascii="Garamond" w:hAnsi="Garamond"/>
          <w:sz w:val="24"/>
          <w:szCs w:val="24"/>
        </w:rPr>
      </w:pPr>
      <w:r>
        <w:rPr>
          <w:rFonts w:ascii="Garamond" w:hAnsi="Garamond"/>
          <w:sz w:val="24"/>
          <w:szCs w:val="24"/>
        </w:rPr>
        <w:t>However, instead of using checks</w:t>
      </w:r>
      <w:r w:rsidR="00E255EC">
        <w:rPr>
          <w:rFonts w:ascii="Garamond" w:hAnsi="Garamond"/>
          <w:sz w:val="24"/>
          <w:szCs w:val="24"/>
        </w:rPr>
        <w:t xml:space="preserve"> as in the field test</w:t>
      </w:r>
      <w:r>
        <w:rPr>
          <w:rFonts w:ascii="Garamond" w:hAnsi="Garamond"/>
          <w:sz w:val="24"/>
          <w:szCs w:val="24"/>
        </w:rPr>
        <w:t xml:space="preserve">, </w:t>
      </w:r>
      <w:r w:rsidR="005C7B4B">
        <w:rPr>
          <w:rFonts w:ascii="Garamond" w:hAnsi="Garamond"/>
          <w:sz w:val="24"/>
          <w:szCs w:val="24"/>
        </w:rPr>
        <w:t xml:space="preserve">we will use </w:t>
      </w:r>
      <w:r>
        <w:rPr>
          <w:rFonts w:ascii="Garamond" w:hAnsi="Garamond"/>
          <w:sz w:val="24"/>
          <w:szCs w:val="24"/>
        </w:rPr>
        <w:t xml:space="preserve">cash cards </w:t>
      </w:r>
      <w:r w:rsidR="005C7B4B">
        <w:rPr>
          <w:rFonts w:ascii="Garamond" w:hAnsi="Garamond"/>
          <w:sz w:val="24"/>
          <w:szCs w:val="24"/>
        </w:rPr>
        <w:t>in</w:t>
      </w:r>
      <w:r w:rsidR="00BC13FF">
        <w:rPr>
          <w:rFonts w:ascii="Garamond" w:hAnsi="Garamond"/>
          <w:sz w:val="24"/>
          <w:szCs w:val="24"/>
        </w:rPr>
        <w:t xml:space="preserve"> the main study</w:t>
      </w:r>
      <w:r>
        <w:rPr>
          <w:rFonts w:ascii="Garamond" w:hAnsi="Garamond"/>
          <w:sz w:val="24"/>
          <w:szCs w:val="24"/>
        </w:rPr>
        <w:t>. Cash cards do not require parent name or other contact information,</w:t>
      </w:r>
      <w:r w:rsidR="005C7B4B">
        <w:rPr>
          <w:rFonts w:ascii="Garamond" w:hAnsi="Garamond"/>
          <w:sz w:val="24"/>
          <w:szCs w:val="24"/>
        </w:rPr>
        <w:t xml:space="preserve"> thereby </w:t>
      </w:r>
      <w:r>
        <w:rPr>
          <w:rFonts w:ascii="Garamond" w:hAnsi="Garamond"/>
          <w:sz w:val="24"/>
          <w:szCs w:val="24"/>
        </w:rPr>
        <w:t>allow</w:t>
      </w:r>
      <w:r w:rsidR="005C7B4B">
        <w:rPr>
          <w:rFonts w:ascii="Garamond" w:hAnsi="Garamond"/>
          <w:sz w:val="24"/>
          <w:szCs w:val="24"/>
        </w:rPr>
        <w:t>ing</w:t>
      </w:r>
      <w:r>
        <w:rPr>
          <w:rFonts w:ascii="Garamond" w:hAnsi="Garamond"/>
          <w:sz w:val="24"/>
          <w:szCs w:val="24"/>
        </w:rPr>
        <w:t xml:space="preserve"> the IELS team to provide incentive cards to 100 percent of parents. </w:t>
      </w:r>
      <w:r w:rsidR="005C7B4B">
        <w:rPr>
          <w:rFonts w:ascii="Garamond" w:hAnsi="Garamond"/>
          <w:sz w:val="24"/>
          <w:szCs w:val="24"/>
        </w:rPr>
        <w:t>Additionally</w:t>
      </w:r>
      <w:r>
        <w:rPr>
          <w:rFonts w:ascii="Garamond" w:hAnsi="Garamond"/>
          <w:sz w:val="24"/>
          <w:szCs w:val="24"/>
        </w:rPr>
        <w:t xml:space="preserve">, </w:t>
      </w:r>
      <w:r w:rsidR="005C7B4B">
        <w:rPr>
          <w:rFonts w:ascii="Garamond" w:hAnsi="Garamond"/>
          <w:sz w:val="24"/>
          <w:szCs w:val="24"/>
        </w:rPr>
        <w:t>instead of offering a pre</w:t>
      </w:r>
      <w:r w:rsidR="00C572AC">
        <w:rPr>
          <w:rFonts w:ascii="Garamond" w:hAnsi="Garamond"/>
          <w:sz w:val="24"/>
          <w:szCs w:val="24"/>
        </w:rPr>
        <w:t>-</w:t>
      </w:r>
      <w:r w:rsidR="005C7B4B">
        <w:rPr>
          <w:rFonts w:ascii="Garamond" w:hAnsi="Garamond"/>
          <w:sz w:val="24"/>
          <w:szCs w:val="24"/>
        </w:rPr>
        <w:t>paid incentive, we will use post-paid parent incentive</w:t>
      </w:r>
      <w:r w:rsidR="00C572AC">
        <w:rPr>
          <w:rFonts w:ascii="Garamond" w:hAnsi="Garamond"/>
          <w:sz w:val="24"/>
          <w:szCs w:val="24"/>
        </w:rPr>
        <w:t>s</w:t>
      </w:r>
      <w:r w:rsidR="005C7B4B">
        <w:rPr>
          <w:rFonts w:ascii="Garamond" w:hAnsi="Garamond"/>
          <w:sz w:val="24"/>
          <w:szCs w:val="24"/>
        </w:rPr>
        <w:t xml:space="preserve"> in the main study.</w:t>
      </w:r>
      <w:r>
        <w:rPr>
          <w:rFonts w:ascii="Garamond" w:hAnsi="Garamond"/>
          <w:sz w:val="24"/>
          <w:szCs w:val="24"/>
        </w:rPr>
        <w:t xml:space="preserve"> Parents will receive an empty cash card </w:t>
      </w:r>
      <w:r w:rsidR="00C572AC">
        <w:rPr>
          <w:rFonts w:ascii="Garamond" w:hAnsi="Garamond"/>
          <w:sz w:val="24"/>
          <w:szCs w:val="24"/>
        </w:rPr>
        <w:t>together</w:t>
      </w:r>
      <w:r w:rsidRPr="001B290C">
        <w:rPr>
          <w:rFonts w:ascii="Garamond" w:hAnsi="Garamond"/>
          <w:sz w:val="24"/>
          <w:szCs w:val="24"/>
        </w:rPr>
        <w:t xml:space="preserve"> with the </w:t>
      </w:r>
      <w:r>
        <w:rPr>
          <w:rFonts w:ascii="Garamond" w:hAnsi="Garamond"/>
          <w:sz w:val="24"/>
          <w:szCs w:val="24"/>
        </w:rPr>
        <w:t xml:space="preserve">study </w:t>
      </w:r>
      <w:r w:rsidRPr="001B290C">
        <w:rPr>
          <w:rFonts w:ascii="Garamond" w:hAnsi="Garamond"/>
          <w:sz w:val="24"/>
          <w:szCs w:val="24"/>
        </w:rPr>
        <w:t>informational materials and MyIELS registration details distributed by the school coordinator or Westat, depending on the preference of the school</w:t>
      </w:r>
      <w:r>
        <w:rPr>
          <w:rFonts w:ascii="Garamond" w:hAnsi="Garamond"/>
          <w:sz w:val="24"/>
          <w:szCs w:val="24"/>
        </w:rPr>
        <w:t xml:space="preserve">. </w:t>
      </w:r>
      <w:r w:rsidR="00C572AC">
        <w:rPr>
          <w:rFonts w:ascii="Garamond" w:hAnsi="Garamond"/>
          <w:sz w:val="24"/>
          <w:szCs w:val="24"/>
        </w:rPr>
        <w:t>The cash card will be loaded with $20 upon completion of the parent questionnaire</w:t>
      </w:r>
      <w:r>
        <w:rPr>
          <w:rFonts w:ascii="Garamond" w:hAnsi="Garamond"/>
          <w:sz w:val="24"/>
          <w:szCs w:val="24"/>
        </w:rPr>
        <w:t>.</w:t>
      </w:r>
    </w:p>
    <w:p w14:paraId="1AB9FD85" w14:textId="4C4F0170" w:rsidR="00C572AC" w:rsidRDefault="005611C5" w:rsidP="00C572AC">
      <w:pPr>
        <w:widowControl w:val="0"/>
        <w:spacing w:after="120"/>
        <w:jc w:val="left"/>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C572AC">
        <w:rPr>
          <w:rFonts w:ascii="Garamond" w:hAnsi="Garamond"/>
          <w:sz w:val="24"/>
          <w:szCs w:val="24"/>
        </w:rPr>
        <w:t>IELS will not offer a</w:t>
      </w:r>
      <w:r w:rsidR="003E3252" w:rsidRPr="00652124">
        <w:rPr>
          <w:rFonts w:ascii="Garamond" w:hAnsi="Garamond"/>
          <w:sz w:val="24"/>
          <w:szCs w:val="24"/>
        </w:rPr>
        <w:t xml:space="preserve"> monetary incentive </w:t>
      </w:r>
      <w:r w:rsidR="00C572AC">
        <w:rPr>
          <w:rFonts w:ascii="Garamond" w:hAnsi="Garamond"/>
          <w:sz w:val="24"/>
          <w:szCs w:val="24"/>
        </w:rPr>
        <w:t>to</w:t>
      </w:r>
      <w:r w:rsidR="003E3252" w:rsidRPr="00652124">
        <w:rPr>
          <w:rFonts w:ascii="Garamond" w:hAnsi="Garamond"/>
          <w:sz w:val="24"/>
          <w:szCs w:val="24"/>
        </w:rPr>
        <w:t xml:space="preserve"> students</w:t>
      </w:r>
      <w:r w:rsidR="00C572AC">
        <w:rPr>
          <w:rFonts w:ascii="Garamond" w:hAnsi="Garamond"/>
          <w:sz w:val="24"/>
          <w:szCs w:val="24"/>
        </w:rPr>
        <w:t xml:space="preserve">. As has been done in other </w:t>
      </w:r>
      <w:r w:rsidR="00C572AC" w:rsidRPr="00652124">
        <w:rPr>
          <w:rFonts w:ascii="Garamond" w:hAnsi="Garamond"/>
          <w:sz w:val="24"/>
          <w:szCs w:val="24"/>
        </w:rPr>
        <w:t>NCES studies</w:t>
      </w:r>
      <w:r w:rsidR="00C572AC">
        <w:rPr>
          <w:rFonts w:ascii="Garamond" w:hAnsi="Garamond"/>
          <w:sz w:val="24"/>
          <w:szCs w:val="24"/>
        </w:rPr>
        <w:t>,</w:t>
      </w:r>
      <w:r w:rsidR="00C572AC" w:rsidRPr="00652124">
        <w:rPr>
          <w:rFonts w:ascii="Garamond" w:hAnsi="Garamond"/>
          <w:sz w:val="24"/>
          <w:szCs w:val="24"/>
        </w:rPr>
        <w:t xml:space="preserve"> such as </w:t>
      </w:r>
      <w:r w:rsidR="00C572AC" w:rsidRPr="001A6CAE">
        <w:rPr>
          <w:rFonts w:ascii="Garamond" w:hAnsi="Garamond"/>
          <w:sz w:val="24"/>
          <w:szCs w:val="24"/>
        </w:rPr>
        <w:t>ECLS-K:2011</w:t>
      </w:r>
      <w:r w:rsidR="00C572AC">
        <w:rPr>
          <w:rFonts w:ascii="Garamond" w:hAnsi="Garamond"/>
          <w:sz w:val="24"/>
          <w:szCs w:val="24"/>
        </w:rPr>
        <w:t>, IELS will provide a nonmonetary incentive to all participating students, such as a sticker or a pencil.</w:t>
      </w:r>
    </w:p>
    <w:p w14:paraId="5E0F872F" w14:textId="4834599D" w:rsidR="005611C5" w:rsidRDefault="005611C5" w:rsidP="002E595A">
      <w:pPr>
        <w:pStyle w:val="Heading1"/>
        <w:spacing w:before="0"/>
        <w:ind w:left="720" w:hanging="720"/>
      </w:pPr>
      <w:bookmarkStart w:id="16" w:name="_Toc511986622"/>
      <w:r>
        <w:t>A.1</w:t>
      </w:r>
      <w:r w:rsidR="00DF0307">
        <w:t>0</w:t>
      </w:r>
      <w:r>
        <w:tab/>
        <w:t>Assurance of Confidentiality</w:t>
      </w:r>
      <w:bookmarkEnd w:id="16"/>
    </w:p>
    <w:p w14:paraId="4F6310DC" w14:textId="6FE47DAE" w:rsidR="00B9233D" w:rsidRPr="002E595A" w:rsidRDefault="00B9233D" w:rsidP="00712A2B">
      <w:pPr>
        <w:pStyle w:val="L1-FlLSp12"/>
        <w:widowControl w:val="0"/>
        <w:tabs>
          <w:tab w:val="clear" w:pos="1152"/>
        </w:tabs>
        <w:spacing w:after="120" w:line="23" w:lineRule="atLeast"/>
        <w:jc w:val="left"/>
        <w:rPr>
          <w:rFonts w:ascii="Garamond" w:hAnsi="Garamond"/>
          <w:sz w:val="24"/>
        </w:rPr>
      </w:pPr>
      <w:r w:rsidRPr="002E595A">
        <w:rPr>
          <w:rFonts w:ascii="Garamond" w:hAnsi="Garamond"/>
          <w:sz w:val="24"/>
        </w:rPr>
        <w:t>Data security and confidentiality protection procedures have been put in place for IELS to ensure</w:t>
      </w:r>
      <w:r w:rsidR="00091391" w:rsidRPr="002E595A">
        <w:rPr>
          <w:rFonts w:ascii="Garamond" w:hAnsi="Garamond"/>
          <w:sz w:val="24"/>
        </w:rPr>
        <w:t xml:space="preserve"> </w:t>
      </w:r>
      <w:r w:rsidR="00712A2B">
        <w:rPr>
          <w:rFonts w:ascii="Garamond" w:hAnsi="Garamond"/>
          <w:sz w:val="24"/>
        </w:rPr>
        <w:t xml:space="preserve">that </w:t>
      </w:r>
      <w:r w:rsidR="00091391" w:rsidRPr="00904762">
        <w:rPr>
          <w:rFonts w:ascii="Garamond" w:hAnsi="Garamond"/>
          <w:sz w:val="24"/>
          <w:szCs w:val="24"/>
        </w:rPr>
        <w:t>Westat</w:t>
      </w:r>
      <w:r w:rsidRPr="002E595A">
        <w:rPr>
          <w:rFonts w:ascii="Garamond" w:hAnsi="Garamond"/>
          <w:sz w:val="24"/>
        </w:rPr>
        <w:t xml:space="preserve"> and its subcontractors comply with all privacy requirements, including:</w:t>
      </w:r>
    </w:p>
    <w:p w14:paraId="268AA52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statement of work of this contract;</w:t>
      </w:r>
    </w:p>
    <w:p w14:paraId="2FEDE1B1"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of 1974</w:t>
      </w:r>
      <w:r w:rsidRPr="002E595A">
        <w:rPr>
          <w:rFonts w:ascii="Garamond" w:hAnsi="Garamond"/>
          <w:sz w:val="24"/>
        </w:rPr>
        <w:t xml:space="preserve"> (5 U.S.C. §552a);</w:t>
      </w:r>
    </w:p>
    <w:p w14:paraId="53F8230F"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Family Educational and Privacy Act (FERPA) of 1974</w:t>
      </w:r>
      <w:r w:rsidRPr="002E595A">
        <w:rPr>
          <w:rFonts w:ascii="Garamond" w:hAnsi="Garamond"/>
          <w:sz w:val="24"/>
        </w:rPr>
        <w:t xml:space="preserve"> (20 U.S.C. §1232(g));</w:t>
      </w:r>
    </w:p>
    <w:p w14:paraId="7165D588"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Regulations</w:t>
      </w:r>
      <w:r w:rsidRPr="002E595A">
        <w:rPr>
          <w:rFonts w:ascii="Garamond" w:hAnsi="Garamond"/>
          <w:sz w:val="24"/>
        </w:rPr>
        <w:t xml:space="preserve"> (34 CFR Part 5b);</w:t>
      </w:r>
    </w:p>
    <w:p w14:paraId="6ABDAF8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Computer Security Act of 1987</w:t>
      </w:r>
      <w:r w:rsidRPr="002E595A">
        <w:rPr>
          <w:rFonts w:ascii="Garamond" w:hAnsi="Garamond"/>
          <w:sz w:val="24"/>
        </w:rPr>
        <w:t>;</w:t>
      </w:r>
    </w:p>
    <w:p w14:paraId="0A02AD53"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U.S.A. Patriot Act of 2001</w:t>
      </w:r>
      <w:r w:rsidRPr="002E595A">
        <w:rPr>
          <w:rFonts w:ascii="Garamond" w:hAnsi="Garamond"/>
          <w:sz w:val="24"/>
        </w:rPr>
        <w:t xml:space="preserve"> (P.L. 107-56);</w:t>
      </w:r>
    </w:p>
    <w:p w14:paraId="23C00B3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Education Sciences Reform Act of 2002</w:t>
      </w:r>
      <w:r w:rsidRPr="002E595A">
        <w:rPr>
          <w:rFonts w:ascii="Garamond" w:hAnsi="Garamond"/>
          <w:sz w:val="24"/>
        </w:rPr>
        <w:t xml:space="preserve"> (ESRA 2002, 20 U.S.C. §9573);</w:t>
      </w:r>
    </w:p>
    <w:p w14:paraId="197C04F2" w14:textId="58C1F411"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Confidential Information Protect</w:t>
      </w:r>
      <w:r w:rsidR="00FA0F65">
        <w:rPr>
          <w:rFonts w:ascii="Garamond" w:hAnsi="Garamond"/>
          <w:i/>
          <w:sz w:val="24"/>
        </w:rPr>
        <w:t>ion</w:t>
      </w:r>
      <w:r w:rsidRPr="002E595A">
        <w:rPr>
          <w:rFonts w:ascii="Garamond" w:hAnsi="Garamond"/>
          <w:i/>
          <w:sz w:val="24"/>
        </w:rPr>
        <w:t xml:space="preserve"> and Statistical Efficiency Act of 2002</w:t>
      </w:r>
      <w:r w:rsidRPr="002E595A">
        <w:rPr>
          <w:rFonts w:ascii="Garamond" w:hAnsi="Garamond"/>
          <w:sz w:val="24"/>
        </w:rPr>
        <w:t>;</w:t>
      </w:r>
    </w:p>
    <w:p w14:paraId="45D66CF7"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E-Government Act of 2002</w:t>
      </w:r>
      <w:r w:rsidRPr="002E595A">
        <w:rPr>
          <w:rFonts w:ascii="Garamond" w:hAnsi="Garamond"/>
          <w:sz w:val="24"/>
        </w:rPr>
        <w:t>, Title V, Subtitle A;</w:t>
      </w:r>
    </w:p>
    <w:p w14:paraId="4E1F0A4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Cybersecurity Enhancement Act of 2015</w:t>
      </w:r>
      <w:r w:rsidRPr="002E595A">
        <w:rPr>
          <w:rFonts w:ascii="Garamond" w:hAnsi="Garamond"/>
          <w:sz w:val="24"/>
        </w:rPr>
        <w:t xml:space="preserve"> (6 U.S.C. §151);</w:t>
      </w:r>
    </w:p>
    <w:p w14:paraId="17DA621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General Handbook for Information Technology Security General Support Systems and Major Applications Inventory Procedures (March 2005);</w:t>
      </w:r>
    </w:p>
    <w:p w14:paraId="2FF208D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Incident Handling Procedures (February 2009);</w:t>
      </w:r>
    </w:p>
    <w:p w14:paraId="7348E216"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ACS Directive OM: 5-101, Contractor Employee Personnel Security Screenings;</w:t>
      </w:r>
    </w:p>
    <w:p w14:paraId="4E164D9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NCES Statistical Standards; and</w:t>
      </w:r>
    </w:p>
    <w:p w14:paraId="48AC8854" w14:textId="77777777" w:rsidR="00B9233D" w:rsidRPr="002E595A" w:rsidRDefault="00B9233D" w:rsidP="00B9233D">
      <w:pPr>
        <w:pStyle w:val="P1-StandPara"/>
        <w:numPr>
          <w:ilvl w:val="0"/>
          <w:numId w:val="20"/>
        </w:numPr>
        <w:spacing w:after="120" w:line="276" w:lineRule="auto"/>
        <w:ind w:left="630"/>
        <w:jc w:val="left"/>
        <w:rPr>
          <w:rFonts w:ascii="Garamond" w:hAnsi="Garamond"/>
          <w:sz w:val="24"/>
        </w:rPr>
      </w:pPr>
      <w:r w:rsidRPr="002E595A">
        <w:rPr>
          <w:rFonts w:ascii="Garamond" w:hAnsi="Garamond"/>
          <w:sz w:val="24"/>
        </w:rPr>
        <w:t>All new legislation that impacts the data collected through the inter-agency agreement for this study.</w:t>
      </w:r>
    </w:p>
    <w:p w14:paraId="1DF6E7DE" w14:textId="1F7F83F1" w:rsidR="00B9233D" w:rsidRDefault="00B9233D" w:rsidP="00B9233D">
      <w:pPr>
        <w:pStyle w:val="BodyText1"/>
        <w:widowControl w:val="0"/>
        <w:rPr>
          <w:szCs w:val="22"/>
        </w:rPr>
      </w:pPr>
      <w:r w:rsidRPr="003B165F">
        <w:rPr>
          <w:szCs w:val="22"/>
        </w:rPr>
        <w:t xml:space="preserve">Furthermore, </w:t>
      </w:r>
      <w:r w:rsidR="00633B4E">
        <w:rPr>
          <w:szCs w:val="22"/>
        </w:rPr>
        <w:t>Westat</w:t>
      </w:r>
      <w:r w:rsidR="00050E91">
        <w:rPr>
          <w:szCs w:val="22"/>
        </w:rPr>
        <w:t xml:space="preserve"> </w:t>
      </w:r>
      <w:r w:rsidRPr="003B165F">
        <w:rPr>
          <w:szCs w:val="22"/>
        </w:rPr>
        <w:t xml:space="preserve">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AA42CF">
          <w:rPr>
            <w:rStyle w:val="Hyperlink"/>
            <w:szCs w:val="22"/>
          </w:rPr>
          <w:t>http://nces.ed.gov/statprog/2012/</w:t>
        </w:r>
      </w:hyperlink>
      <w:r w:rsidRPr="003B165F">
        <w:rPr>
          <w:szCs w:val="22"/>
        </w:rPr>
        <w:t>.</w:t>
      </w:r>
    </w:p>
    <w:p w14:paraId="2429F1F6" w14:textId="77777777" w:rsidR="00B9233D" w:rsidRDefault="00B9233D" w:rsidP="00B9233D">
      <w:pPr>
        <w:pStyle w:val="BodyText1"/>
        <w:widowControl w:val="0"/>
      </w:pPr>
      <w:r w:rsidRPr="003E233A">
        <w:rPr>
          <w:rFonts w:cs="Arial"/>
        </w:rPr>
        <w:t xml:space="preserve">Procedures for handling confidential aspects of the </w:t>
      </w:r>
      <w:r>
        <w:rPr>
          <w:rFonts w:cs="Arial"/>
        </w:rPr>
        <w:t>IELS</w:t>
      </w:r>
      <w:r w:rsidRPr="003E233A">
        <w:rPr>
          <w:rFonts w:cs="Arial"/>
        </w:rPr>
        <w:t xml:space="preserve"> study will mirror those used in </w:t>
      </w:r>
      <w:r>
        <w:rPr>
          <w:rFonts w:cs="Arial"/>
        </w:rPr>
        <w:t>other studies conducted by NCES, including</w:t>
      </w:r>
      <w:r>
        <w:t xml:space="preserve"> signed confidentiality agreements and notarized nondisclosure affidavits obtained from all personnel who will have access to individual identifiers; 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78343AB0" w14:textId="77777777" w:rsidR="00B9233D" w:rsidRDefault="00B9233D" w:rsidP="00B9233D">
      <w:pPr>
        <w:pStyle w:val="BodyText1"/>
      </w:pPr>
      <w:r>
        <w:t>Letters and other materials will be sent to parents and school administrators describing the voluntary nature of this survey. The materials sent will include a brochure that describes the study and conveys the extent to which respondents and their responses will be kept confidential (Appendices A and B):</w:t>
      </w:r>
    </w:p>
    <w:p w14:paraId="06BC675B" w14:textId="77777777" w:rsidR="00B9233D" w:rsidRPr="00F23036" w:rsidRDefault="00B9233D" w:rsidP="00B9233D">
      <w:pPr>
        <w:pStyle w:val="P1-StandPara"/>
        <w:spacing w:after="120" w:line="240" w:lineRule="auto"/>
        <w:ind w:left="274" w:firstLine="0"/>
        <w:jc w:val="left"/>
        <w:rPr>
          <w:i/>
          <w:sz w:val="20"/>
        </w:rPr>
      </w:pPr>
      <w:r w:rsidRPr="00F23036">
        <w:rPr>
          <w:i/>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Pr>
          <w:i/>
          <w:sz w:val="20"/>
        </w:rPr>
        <w:t>.</w:t>
      </w:r>
    </w:p>
    <w:p w14:paraId="04D5B374" w14:textId="77777777" w:rsidR="00B9233D" w:rsidRPr="009F6750" w:rsidRDefault="00B9233D" w:rsidP="00B9233D">
      <w:pPr>
        <w:pStyle w:val="BodyText1"/>
      </w:pPr>
      <w:r>
        <w:t xml:space="preserve">The following statement will </w:t>
      </w:r>
      <w:r w:rsidRPr="009F6750">
        <w:t>appear on the front cover and login page of the questionnaires:</w:t>
      </w:r>
    </w:p>
    <w:p w14:paraId="15520EC2" w14:textId="52B8B611" w:rsidR="00B9233D" w:rsidRDefault="00B9233D" w:rsidP="00064C51">
      <w:pPr>
        <w:pStyle w:val="BodyText1"/>
        <w:spacing w:before="0" w:line="240" w:lineRule="auto"/>
        <w:ind w:left="274"/>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42818918" w14:textId="77777777" w:rsidR="00670E21" w:rsidRDefault="00B9233D" w:rsidP="00B9233D">
      <w:pPr>
        <w:pStyle w:val="BodyText1"/>
        <w:spacing w:before="0" w:line="240" w:lineRule="auto"/>
        <w:ind w:left="270"/>
        <w:rPr>
          <w:sz w:val="22"/>
          <w:szCs w:val="20"/>
          <w:lang w:val="en-GB"/>
        </w:rPr>
      </w:pPr>
      <w:r w:rsidRPr="006F16FB">
        <w:rPr>
          <w:sz w:val="22"/>
          <w:szCs w:val="20"/>
          <w:lang w:val="en-GB"/>
        </w:rPr>
        <w:t xml:space="preserve">According to the Paperwork Reduction Act of 1995, no persons are required to respond to a collection of information unless such collection displays a valid OMB control number. The valid OMB control number for this voluntary survey is </w:t>
      </w:r>
      <w:r w:rsidR="009E0766" w:rsidRPr="009E0766">
        <w:rPr>
          <w:sz w:val="22"/>
          <w:szCs w:val="20"/>
          <w:lang w:val="en-GB"/>
        </w:rPr>
        <w:t>1850-0936</w:t>
      </w:r>
      <w:r w:rsidRPr="006F16FB">
        <w:rPr>
          <w:sz w:val="22"/>
          <w:szCs w:val="20"/>
          <w:lang w:val="en-GB"/>
        </w:rPr>
        <w:t>. The time required to complete this survey is estimated to average XX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E81FDA">
        <w:rPr>
          <w:sz w:val="22"/>
          <w:szCs w:val="20"/>
          <w:vertAlign w:val="superscript"/>
          <w:lang w:val="en-GB"/>
        </w:rPr>
        <w:t>th</w:t>
      </w:r>
      <w:r>
        <w:rPr>
          <w:sz w:val="22"/>
          <w:szCs w:val="20"/>
          <w:lang w:val="en-GB"/>
        </w:rPr>
        <w:t xml:space="preserve"> </w:t>
      </w:r>
      <w:r w:rsidRPr="006F16FB">
        <w:rPr>
          <w:sz w:val="22"/>
          <w:szCs w:val="20"/>
          <w:lang w:val="en-GB"/>
        </w:rPr>
        <w:t>Street, SW, Washington, DC 20202.</w:t>
      </w:r>
    </w:p>
    <w:p w14:paraId="716D2527" w14:textId="38196D44" w:rsidR="00B9233D" w:rsidRDefault="00B9233D" w:rsidP="00157A22">
      <w:pPr>
        <w:pStyle w:val="BodyText1"/>
        <w:spacing w:line="240" w:lineRule="auto"/>
        <w:ind w:left="634"/>
        <w:jc w:val="center"/>
        <w:rPr>
          <w:sz w:val="22"/>
          <w:szCs w:val="20"/>
          <w:lang w:val="en-GB"/>
        </w:rPr>
      </w:pPr>
      <w:r w:rsidRPr="006F16FB">
        <w:rPr>
          <w:sz w:val="22"/>
          <w:szCs w:val="20"/>
          <w:lang w:val="en-GB"/>
        </w:rPr>
        <w:t xml:space="preserve">OMB No. </w:t>
      </w:r>
      <w:r>
        <w:rPr>
          <w:color w:val="000000"/>
        </w:rPr>
        <w:t>1850-0936</w:t>
      </w:r>
      <w:r>
        <w:rPr>
          <w:sz w:val="22"/>
          <w:szCs w:val="20"/>
          <w:lang w:val="en-GB"/>
        </w:rPr>
        <w:t>, Approval Expires 04/30</w:t>
      </w:r>
      <w:r w:rsidRPr="006F16FB">
        <w:rPr>
          <w:sz w:val="22"/>
          <w:szCs w:val="20"/>
          <w:lang w:val="en-GB"/>
        </w:rPr>
        <w:t>/20</w:t>
      </w:r>
      <w:r>
        <w:rPr>
          <w:sz w:val="22"/>
          <w:szCs w:val="20"/>
          <w:lang w:val="en-GB"/>
        </w:rPr>
        <w:t>20</w:t>
      </w:r>
      <w:r w:rsidRPr="006F16FB">
        <w:rPr>
          <w:sz w:val="22"/>
          <w:szCs w:val="20"/>
          <w:lang w:val="en-GB"/>
        </w:rPr>
        <w:t>.</w:t>
      </w:r>
    </w:p>
    <w:p w14:paraId="56D22576" w14:textId="77777777" w:rsidR="00B94800" w:rsidRPr="00B94800" w:rsidRDefault="00B94800" w:rsidP="00B94800">
      <w:pPr>
        <w:pStyle w:val="NoSpacing"/>
        <w:widowControl w:val="0"/>
        <w:spacing w:after="120" w:line="23" w:lineRule="atLeast"/>
        <w:rPr>
          <w:rFonts w:ascii="Garamond" w:hAnsi="Garamond"/>
        </w:rPr>
      </w:pPr>
      <w:r w:rsidRPr="00B94800">
        <w:rPr>
          <w:rFonts w:ascii="Garamond" w:hAnsi="Garamond"/>
        </w:rPr>
        <w:t>In addition, the following text appears on the MyNAEP log-in screen:</w:t>
      </w:r>
    </w:p>
    <w:p w14:paraId="56F3F50F" w14:textId="77777777" w:rsidR="00B94800" w:rsidRPr="00B94800" w:rsidRDefault="00B94800" w:rsidP="00B94800">
      <w:pPr>
        <w:spacing w:line="240" w:lineRule="auto"/>
        <w:rPr>
          <w:rFonts w:ascii="Garamond" w:hAnsi="Garamond" w:cstheme="minorHAnsi"/>
          <w:b/>
          <w:sz w:val="20"/>
        </w:rPr>
      </w:pPr>
      <w:r w:rsidRPr="00B94800">
        <w:rPr>
          <w:rFonts w:ascii="Garamond" w:hAnsi="Garamond" w:cstheme="minorHAnsi"/>
          <w:b/>
          <w:sz w:val="20"/>
        </w:rPr>
        <w:t>Notice: You are accessing a U.S. Government information system.</w:t>
      </w:r>
    </w:p>
    <w:p w14:paraId="680D2E71" w14:textId="77777777" w:rsidR="00B94800" w:rsidRPr="00B94800" w:rsidRDefault="00B94800" w:rsidP="00157A22">
      <w:pPr>
        <w:widowControl w:val="0"/>
        <w:spacing w:after="120" w:line="240" w:lineRule="auto"/>
        <w:ind w:left="274"/>
        <w:rPr>
          <w:rFonts w:ascii="Garamond" w:hAnsi="Garamond"/>
          <w:szCs w:val="22"/>
        </w:rPr>
      </w:pPr>
      <w:r w:rsidRPr="00B94800">
        <w:rPr>
          <w:rFonts w:ascii="Garamond" w:hAnsi="Garamond"/>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p>
    <w:p w14:paraId="0337452E" w14:textId="5AFACB10" w:rsidR="00B9233D" w:rsidRDefault="00B9233D" w:rsidP="00B9233D">
      <w:pPr>
        <w:pStyle w:val="BodyText1"/>
      </w:pPr>
      <w:r>
        <w:t>Data files, accompanying software, and documentation will be delivered to NCES at the end of the project. No school or individual names or addresses will be included on these files or documentation.</w:t>
      </w:r>
    </w:p>
    <w:p w14:paraId="7A659A7F" w14:textId="3385329B" w:rsidR="00B9233D" w:rsidRPr="008D7A29" w:rsidRDefault="00B9233D" w:rsidP="00B9233D">
      <w:pPr>
        <w:pStyle w:val="BodyText1"/>
      </w:pPr>
      <w:r>
        <w:t>NCES understands the legal and ethical need to protect the privacy of the IELS respondents and has extensive experience in developing data files for release that meet the government’s requirements to protect individually identifiable data from disclosure. T</w:t>
      </w:r>
      <w:r w:rsidRPr="008F437F">
        <w:t xml:space="preserve">he contractor will conduct a thorough disclosure </w:t>
      </w:r>
      <w:r>
        <w:t xml:space="preserve">risk </w:t>
      </w:r>
      <w:r w:rsidRPr="008F437F">
        <w:t xml:space="preserve">analysis of the </w:t>
      </w:r>
      <w:r>
        <w:t>IELS</w:t>
      </w:r>
      <w:r w:rsidRPr="008F437F">
        <w:t xml:space="preserve"> data when preparing the </w:t>
      </w:r>
      <w:r>
        <w:t xml:space="preserve">data </w:t>
      </w:r>
      <w:r w:rsidRPr="008F437F">
        <w:t>files</w:t>
      </w:r>
      <w:r>
        <w:t xml:space="preserve"> for use by researchers, in compliance with </w:t>
      </w:r>
      <w:r w:rsidR="00064C51">
        <w:t>20 U.S.C. §</w:t>
      </w:r>
      <w:r w:rsidRPr="00616D22">
        <w:t>9573</w:t>
      </w:r>
      <w:r w:rsidRPr="008F437F">
        <w:t xml:space="preserve">. </w:t>
      </w:r>
      <w:r>
        <w:t>Schools</w:t>
      </w:r>
      <w:r w:rsidRPr="008F437F">
        <w:t xml:space="preserve"> with high disclosure risk will be identified and</w:t>
      </w:r>
      <w:r>
        <w:t>, to ensure that individuals may not be identified from the data files,</w:t>
      </w:r>
      <w:r w:rsidRPr="008F437F">
        <w:t xml:space="preserve"> </w:t>
      </w:r>
      <w:r>
        <w:t>a variety of masking strategies will be used, including: swapping data and omitting key identification variables (e.g.,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 IES’s Disclosure Review Board (DRB) carefully reviews all datasets prior to release to ensure that disclosure risks have been properly addressed. The IELS data will be reviewed and approved by the DRB prior to any public release.</w:t>
      </w:r>
    </w:p>
    <w:p w14:paraId="5E0F873A" w14:textId="77777777" w:rsidR="005611C5" w:rsidRPr="003317EB" w:rsidRDefault="005611C5" w:rsidP="003317EB">
      <w:pPr>
        <w:spacing w:line="240" w:lineRule="auto"/>
        <w:jc w:val="left"/>
        <w:rPr>
          <w:rFonts w:ascii="Calibri" w:hAnsi="Calibri"/>
          <w:sz w:val="4"/>
          <w:szCs w:val="4"/>
        </w:rPr>
      </w:pPr>
    </w:p>
    <w:p w14:paraId="5E0F873B" w14:textId="1B46261E" w:rsidR="005611C5" w:rsidRDefault="002B3232" w:rsidP="005A2201">
      <w:pPr>
        <w:pStyle w:val="Heading1"/>
        <w:spacing w:before="120" w:after="0" w:line="240" w:lineRule="auto"/>
        <w:ind w:left="720" w:hanging="720"/>
      </w:pPr>
      <w:bookmarkStart w:id="17" w:name="_Toc511986623"/>
      <w:r>
        <w:t>A. 1</w:t>
      </w:r>
      <w:r w:rsidR="00DF0307">
        <w:t>1</w:t>
      </w:r>
      <w:r w:rsidR="005611C5">
        <w:tab/>
        <w:t>Sensitive Questions</w:t>
      </w:r>
      <w:bookmarkEnd w:id="17"/>
    </w:p>
    <w:p w14:paraId="5E0F873D" w14:textId="41E95ABE" w:rsidR="005611C5" w:rsidRPr="00791D7F" w:rsidRDefault="00282FC2" w:rsidP="007D4D00">
      <w:pPr>
        <w:pStyle w:val="BodyText1"/>
        <w:widowControl w:val="0"/>
      </w:pPr>
      <w:r>
        <w:t xml:space="preserve">The </w:t>
      </w:r>
      <w:r w:rsidR="00296EAA">
        <w:t>IELS</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p</w:t>
      </w:r>
      <w:r w:rsidR="00296EAA">
        <w:t>arents’ education and occupation and</w:t>
      </w:r>
      <w:r w:rsidR="005611C5">
        <w:t xml:space="preserve"> family possessions.</w:t>
      </w:r>
      <w:r w:rsidR="00FA3B61">
        <w:t xml:space="preserve"> </w:t>
      </w:r>
      <w:r w:rsidR="005611C5">
        <w:t xml:space="preserve">Research indicates that the constructs these items represent are strongly correlated to academic achievement, and they have been used in </w:t>
      </w:r>
      <w:r w:rsidR="007366B1">
        <w:t>number of national and international studies</w:t>
      </w:r>
      <w:r w:rsidR="007603AF">
        <w:t xml:space="preserve">, including ECLS, </w:t>
      </w:r>
      <w:r w:rsidR="00296EAA">
        <w:t>PISA</w:t>
      </w:r>
      <w:r w:rsidR="007603AF">
        <w:t xml:space="preserve">, and </w:t>
      </w:r>
      <w:r w:rsidR="00296EAA">
        <w:t>TIMSS</w:t>
      </w:r>
      <w:r w:rsidR="007366B1">
        <w:t xml:space="preserve">.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0FF8C5BC" w:rsidR="004B57AD" w:rsidRDefault="002B3232" w:rsidP="005A2201">
      <w:pPr>
        <w:pStyle w:val="Heading1"/>
        <w:spacing w:before="120" w:after="0" w:line="240" w:lineRule="auto"/>
        <w:ind w:left="720" w:hanging="720"/>
      </w:pPr>
      <w:bookmarkStart w:id="18" w:name="_Toc511986624"/>
      <w:r w:rsidRPr="00AD02D6">
        <w:t>A. 1</w:t>
      </w:r>
      <w:r w:rsidR="00DF0307" w:rsidRPr="00AD02D6">
        <w:t>2</w:t>
      </w:r>
      <w:r w:rsidR="005611C5" w:rsidRPr="00AD02D6">
        <w:tab/>
        <w:t>Estimates of Burden</w:t>
      </w:r>
      <w:bookmarkEnd w:id="18"/>
    </w:p>
    <w:p w14:paraId="3045F321" w14:textId="7E52892E" w:rsidR="00E34D5F" w:rsidRDefault="00CF08A7" w:rsidP="00FF340A">
      <w:pPr>
        <w:pStyle w:val="BodyText1"/>
      </w:pPr>
      <w:bookmarkStart w:id="19" w:name="RANGE!H1:O36"/>
      <w:bookmarkEnd w:id="19"/>
      <w:r>
        <w:t>This request</w:t>
      </w:r>
      <w:r w:rsidR="007603AF">
        <w:t xml:space="preserve"> i</w:t>
      </w:r>
      <w:r>
        <w:t>s for</w:t>
      </w:r>
      <w:r w:rsidR="00F543D4">
        <w:t xml:space="preserve"> </w:t>
      </w:r>
      <w:r w:rsidR="00D33576">
        <w:t>main study</w:t>
      </w:r>
      <w:r w:rsidR="00310C85">
        <w:t xml:space="preserve"> </w:t>
      </w:r>
      <w:r w:rsidR="004F452D">
        <w:t>data collection</w:t>
      </w:r>
      <w:r w:rsidR="00F543D4">
        <w:t xml:space="preserve">. </w:t>
      </w:r>
      <w:r w:rsidR="00205447">
        <w:t xml:space="preserve">Due to time overlap in activities, the approved </w:t>
      </w:r>
      <w:r w:rsidR="00D33576">
        <w:t>main study</w:t>
      </w:r>
      <w:r w:rsidR="00205447">
        <w:t xml:space="preserve"> recruitment activities are being carried over. </w:t>
      </w:r>
      <w:r w:rsidR="00AB7ACC">
        <w:t xml:space="preserve">Burden estimates are shown in </w:t>
      </w:r>
      <w:r w:rsidR="008B4643">
        <w:t>t</w:t>
      </w:r>
      <w:r w:rsidR="00AB7ACC">
        <w:t xml:space="preserve">able </w:t>
      </w:r>
      <w:r w:rsidR="00E255EC">
        <w:t>2</w:t>
      </w:r>
      <w:r w:rsidR="00AB7ACC">
        <w:t>.</w:t>
      </w:r>
    </w:p>
    <w:p w14:paraId="17A223D8" w14:textId="6EBE326C" w:rsidR="00050E91" w:rsidRDefault="002B673B" w:rsidP="00FF340A">
      <w:pPr>
        <w:pStyle w:val="BodyText1"/>
        <w:widowControl w:val="0"/>
      </w:pPr>
      <w:r>
        <w:t xml:space="preserve">Recruitment </w:t>
      </w:r>
      <w:r w:rsidR="00AB0D06">
        <w:t>activities include the time involved in a school deciding to participate</w:t>
      </w:r>
      <w:r w:rsidR="006F16FB">
        <w:t xml:space="preserve">, </w:t>
      </w:r>
      <w:r w:rsidR="004B49A5">
        <w:t xml:space="preserve">providing </w:t>
      </w:r>
      <w:r w:rsidR="006F16FB">
        <w:t xml:space="preserve">student listing forms, and </w:t>
      </w:r>
      <w:r w:rsidR="004B49A5">
        <w:t xml:space="preserve">arranging </w:t>
      </w:r>
      <w:r w:rsidR="006F16FB">
        <w:t>for assessment space</w:t>
      </w:r>
      <w:r w:rsidR="00AC2223">
        <w:t>.</w:t>
      </w:r>
      <w:r w:rsidR="00B94AAC">
        <w:t xml:space="preserve"> </w:t>
      </w:r>
      <w:r w:rsidR="00E34D5F" w:rsidRPr="00712A2B">
        <w:t xml:space="preserve">As shown in Part B, </w:t>
      </w:r>
      <w:r w:rsidR="00AD02D6">
        <w:t xml:space="preserve">during the IELS main study, </w:t>
      </w:r>
      <w:r w:rsidR="004B44FF">
        <w:t>NCES</w:t>
      </w:r>
      <w:r w:rsidR="004B44FF" w:rsidRPr="007A453E">
        <w:t xml:space="preserve"> </w:t>
      </w:r>
      <w:r w:rsidR="00E34D5F" w:rsidRPr="007A453E">
        <w:t xml:space="preserve">will </w:t>
      </w:r>
      <w:r w:rsidR="000E7747">
        <w:t>assess</w:t>
      </w:r>
      <w:r w:rsidR="000E7747" w:rsidRPr="007A453E">
        <w:t xml:space="preserve"> </w:t>
      </w:r>
      <w:r w:rsidR="007A453E" w:rsidRPr="00D75D80">
        <w:t>3</w:t>
      </w:r>
      <w:r w:rsidR="000E7747">
        <w:t>,</w:t>
      </w:r>
      <w:r w:rsidR="007A453E" w:rsidRPr="00D75D80">
        <w:t>000</w:t>
      </w:r>
      <w:r w:rsidR="007A453E" w:rsidRPr="007A453E">
        <w:t xml:space="preserve"> </w:t>
      </w:r>
      <w:r w:rsidR="00E34D5F" w:rsidRPr="00D75D80">
        <w:t>students from</w:t>
      </w:r>
      <w:r w:rsidR="007A453E" w:rsidRPr="00D75D80">
        <w:t xml:space="preserve"> 200</w:t>
      </w:r>
      <w:r w:rsidR="00E34D5F" w:rsidRPr="007A453E">
        <w:t xml:space="preserve"> schools, with an expected 16 student</w:t>
      </w:r>
      <w:r w:rsidR="000E7747">
        <w:t>s</w:t>
      </w:r>
      <w:r w:rsidR="00E34D5F" w:rsidRPr="007A453E">
        <w:t xml:space="preserve"> per school (19 sampled per school</w:t>
      </w:r>
      <w:r w:rsidR="00E34D5F" w:rsidRPr="00D75D80">
        <w:t>).</w:t>
      </w:r>
    </w:p>
    <w:p w14:paraId="35B83CE9" w14:textId="181DF91C" w:rsidR="00175392" w:rsidRPr="00712A2B" w:rsidRDefault="00175392" w:rsidP="00FF340A">
      <w:pPr>
        <w:pStyle w:val="BodyText1"/>
      </w:pPr>
      <w:r w:rsidRPr="00712A2B">
        <w:t xml:space="preserve">Some districts are known as “special handling districts” which require completion of a research application before they will allow schools under their jurisdiction to participate in a study. </w:t>
      </w:r>
      <w:r w:rsidR="00AD02D6">
        <w:t>T</w:t>
      </w:r>
      <w:r w:rsidR="00634A96">
        <w:t>he main study sample</w:t>
      </w:r>
      <w:r w:rsidR="00AD02D6">
        <w:t xml:space="preserve"> has</w:t>
      </w:r>
      <w:r w:rsidR="00634A96">
        <w:t xml:space="preserve"> 28 known special handling districts</w:t>
      </w:r>
      <w:r w:rsidRPr="00712A2B">
        <w:t xml:space="preserve"> (shown in table </w:t>
      </w:r>
      <w:r w:rsidR="00BC13FF">
        <w:t>2</w:t>
      </w:r>
      <w:r w:rsidRPr="00712A2B">
        <w:t>)</w:t>
      </w:r>
      <w:r w:rsidR="00AD02D6">
        <w:t>, which we began to contact in fall 2017</w:t>
      </w:r>
      <w:r w:rsidRPr="00712A2B">
        <w:t>.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w:t>
      </w:r>
      <w:r w:rsidR="00AD02D6">
        <w:t xml:space="preserve"> lengthy processes for approval</w:t>
      </w:r>
      <w:r w:rsidR="00634A96">
        <w:t>.</w:t>
      </w:r>
    </w:p>
    <w:p w14:paraId="58708837" w14:textId="5BF533FB" w:rsidR="00770D1D" w:rsidRPr="002E0DBB" w:rsidRDefault="00770D1D" w:rsidP="00770D1D">
      <w:pPr>
        <w:pStyle w:val="BodyText1"/>
      </w:pPr>
      <w:r w:rsidRPr="002E0DBB">
        <w:t xml:space="preserve">The total response burden for districts and schools in the </w:t>
      </w:r>
      <w:r w:rsidR="005B0D3A" w:rsidRPr="00BC13FF">
        <w:rPr>
          <w:b/>
          <w:u w:val="single"/>
        </w:rPr>
        <w:t xml:space="preserve">main study </w:t>
      </w:r>
      <w:r w:rsidR="00BC13FF" w:rsidRPr="00BC13FF">
        <w:t xml:space="preserve">recruitment (approved </w:t>
      </w:r>
      <w:r w:rsidR="00AD02D6">
        <w:t>in September 2017; OMB# 1850-0936 v.3-4</w:t>
      </w:r>
      <w:r w:rsidR="00BC13FF" w:rsidRPr="00BC13FF">
        <w:t>)</w:t>
      </w:r>
      <w:r w:rsidR="005B0D3A">
        <w:t xml:space="preserve"> </w:t>
      </w:r>
      <w:r w:rsidRPr="002E0DBB">
        <w:t>is based on the following:</w:t>
      </w:r>
    </w:p>
    <w:p w14:paraId="359F0B27" w14:textId="7A90301F" w:rsidR="00124802" w:rsidRDefault="00DB77E5" w:rsidP="00AD02D6">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 xml:space="preserve">There are 28 </w:t>
      </w:r>
      <w:r w:rsidR="0006109A" w:rsidRPr="002E0DBB">
        <w:rPr>
          <w:rFonts w:ascii="Garamond" w:hAnsi="Garamond"/>
          <w:sz w:val="24"/>
          <w:szCs w:val="24"/>
        </w:rPr>
        <w:t xml:space="preserve">special handling districts in the </w:t>
      </w:r>
      <w:r w:rsidR="005B0D3A">
        <w:rPr>
          <w:rFonts w:ascii="Garamond" w:hAnsi="Garamond"/>
          <w:sz w:val="24"/>
          <w:szCs w:val="24"/>
        </w:rPr>
        <w:t>main study</w:t>
      </w:r>
      <w:r w:rsidR="0006109A"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sidR="0006109A">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sidR="0006109A">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sidR="0006109A">
        <w:rPr>
          <w:rFonts w:ascii="Garamond" w:hAnsi="Garamond"/>
          <w:sz w:val="24"/>
          <w:szCs w:val="24"/>
        </w:rPr>
        <w:t>.</w:t>
      </w:r>
    </w:p>
    <w:p w14:paraId="7225812E" w14:textId="3565925D" w:rsidR="00124802" w:rsidRDefault="00350F35" w:rsidP="00AD02D6">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 xml:space="preserve">an additional 4 hours will be needed for the provision of student rosters (including information about students for sampling, contact information for the sample students’ parents, and sample students' teachers; see Appendix </w:t>
      </w:r>
      <w:r w:rsidR="00E64F4B">
        <w:rPr>
          <w:rFonts w:ascii="Garamond" w:hAnsi="Garamond"/>
          <w:sz w:val="24"/>
          <w:szCs w:val="24"/>
        </w:rPr>
        <w:t>A</w:t>
      </w:r>
      <w:r w:rsidRPr="005F1502">
        <w:rPr>
          <w:rFonts w:ascii="Garamond" w:hAnsi="Garamond"/>
          <w:sz w:val="24"/>
          <w:szCs w:val="24"/>
        </w:rPr>
        <w:t>).</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D0782DB" w:rsidR="00124802" w:rsidRDefault="00350F35" w:rsidP="00DF0307">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w:t>
      </w:r>
      <w:r w:rsidR="00BC7677">
        <w:rPr>
          <w:rFonts w:ascii="Garamond" w:hAnsi="Garamond"/>
          <w:sz w:val="24"/>
          <w:szCs w:val="24"/>
        </w:rPr>
        <w:t>; see Appendix B</w:t>
      </w:r>
      <w:r w:rsidRPr="00350F35">
        <w:rPr>
          <w:rFonts w:ascii="Garamond" w:hAnsi="Garamond"/>
          <w:sz w:val="24"/>
          <w:szCs w:val="24"/>
        </w:rPr>
        <w:t>).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5A1D9F69" w14:textId="08931013" w:rsidR="001D16D1" w:rsidRPr="002E595A" w:rsidRDefault="00E34D5F" w:rsidP="002E595A">
      <w:pPr>
        <w:spacing w:after="120"/>
        <w:jc w:val="left"/>
        <w:rPr>
          <w:sz w:val="24"/>
        </w:rPr>
      </w:pPr>
      <w:r w:rsidRPr="001D16D1">
        <w:rPr>
          <w:rFonts w:ascii="Garamond" w:hAnsi="Garamond"/>
          <w:sz w:val="24"/>
        </w:rPr>
        <w:t xml:space="preserve">The total response burden for the </w:t>
      </w:r>
      <w:r w:rsidR="00F85007">
        <w:rPr>
          <w:rFonts w:ascii="Garamond" w:hAnsi="Garamond"/>
          <w:b/>
          <w:sz w:val="24"/>
          <w:u w:val="single"/>
        </w:rPr>
        <w:t>main study</w:t>
      </w:r>
      <w:r w:rsidRPr="002E595A">
        <w:rPr>
          <w:rFonts w:ascii="Garamond" w:hAnsi="Garamond"/>
          <w:b/>
          <w:sz w:val="24"/>
          <w:u w:val="single"/>
        </w:rPr>
        <w:t xml:space="preserve"> data collection</w:t>
      </w:r>
      <w:r w:rsidRPr="001D16D1">
        <w:rPr>
          <w:rFonts w:ascii="Garamond" w:hAnsi="Garamond"/>
          <w:sz w:val="24"/>
        </w:rPr>
        <w:t>, including pre-assessment activities, is based on the following:</w:t>
      </w:r>
    </w:p>
    <w:p w14:paraId="756E3529" w14:textId="1526E7D8" w:rsidR="003D3521" w:rsidRDefault="008A0C80" w:rsidP="00AD02D6">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 xml:space="preserve">We estimate that </w:t>
      </w:r>
      <w:r w:rsidR="007E7734">
        <w:rPr>
          <w:rFonts w:ascii="Garamond" w:hAnsi="Garamond"/>
          <w:sz w:val="24"/>
          <w:szCs w:val="24"/>
        </w:rPr>
        <w:t xml:space="preserve">approximately </w:t>
      </w:r>
      <w:r>
        <w:rPr>
          <w:rFonts w:ascii="Garamond" w:hAnsi="Garamond"/>
          <w:sz w:val="24"/>
          <w:szCs w:val="24"/>
        </w:rPr>
        <w:t>8</w:t>
      </w:r>
      <w:r w:rsidRPr="005F1502">
        <w:rPr>
          <w:rFonts w:ascii="Garamond" w:hAnsi="Garamond"/>
          <w:sz w:val="24"/>
          <w:szCs w:val="24"/>
        </w:rPr>
        <w:t xml:space="preserve"> hours will be needed</w:t>
      </w:r>
      <w:r>
        <w:rPr>
          <w:rFonts w:ascii="Garamond" w:hAnsi="Garamond"/>
          <w:sz w:val="24"/>
          <w:szCs w:val="24"/>
        </w:rPr>
        <w:t xml:space="preserve"> by school coordinators</w:t>
      </w:r>
      <w:r w:rsidRPr="005F1502">
        <w:rPr>
          <w:rFonts w:ascii="Garamond" w:hAnsi="Garamond"/>
          <w:sz w:val="24"/>
          <w:szCs w:val="24"/>
        </w:rPr>
        <w:t xml:space="preserve"> for the </w:t>
      </w:r>
      <w:r>
        <w:rPr>
          <w:rFonts w:ascii="Garamond" w:hAnsi="Garamond"/>
          <w:sz w:val="24"/>
          <w:szCs w:val="24"/>
        </w:rPr>
        <w:t>oversight</w:t>
      </w:r>
      <w:r w:rsidRPr="005F1502">
        <w:rPr>
          <w:rFonts w:ascii="Garamond" w:hAnsi="Garamond"/>
          <w:sz w:val="24"/>
          <w:szCs w:val="24"/>
        </w:rPr>
        <w:t xml:space="preserve"> of student rosters (</w:t>
      </w:r>
      <w:r>
        <w:rPr>
          <w:rFonts w:ascii="Garamond" w:hAnsi="Garamond"/>
          <w:sz w:val="24"/>
          <w:szCs w:val="24"/>
        </w:rPr>
        <w:t>including</w:t>
      </w:r>
      <w:r w:rsidRPr="005F1502">
        <w:rPr>
          <w:rFonts w:ascii="Garamond" w:hAnsi="Garamond"/>
          <w:sz w:val="24"/>
          <w:szCs w:val="24"/>
        </w:rPr>
        <w:t xml:space="preserve"> contact information for the sample students’ parents and </w:t>
      </w:r>
      <w:r>
        <w:rPr>
          <w:rFonts w:ascii="Garamond" w:hAnsi="Garamond"/>
          <w:sz w:val="24"/>
          <w:szCs w:val="24"/>
        </w:rPr>
        <w:t xml:space="preserve">teachers; see Appendix </w:t>
      </w:r>
      <w:r w:rsidR="00BC7677">
        <w:rPr>
          <w:rFonts w:ascii="Garamond" w:hAnsi="Garamond"/>
          <w:sz w:val="24"/>
          <w:szCs w:val="24"/>
        </w:rPr>
        <w:t>A-B</w:t>
      </w:r>
      <w:r>
        <w:rPr>
          <w:rFonts w:ascii="Garamond" w:hAnsi="Garamond"/>
          <w:sz w:val="24"/>
          <w:szCs w:val="24"/>
        </w:rPr>
        <w:t>)</w:t>
      </w:r>
      <w:r w:rsidR="007E7734">
        <w:rPr>
          <w:rFonts w:ascii="Garamond" w:hAnsi="Garamond"/>
          <w:sz w:val="24"/>
          <w:szCs w:val="24"/>
        </w:rPr>
        <w:t>;</w:t>
      </w:r>
      <w:r>
        <w:rPr>
          <w:rFonts w:ascii="Garamond" w:hAnsi="Garamond"/>
          <w:sz w:val="24"/>
          <w:szCs w:val="24"/>
        </w:rPr>
        <w:t xml:space="preserve"> the collection and delivery of teacher and parent data</w:t>
      </w:r>
      <w:r w:rsidR="007E7734">
        <w:rPr>
          <w:rFonts w:ascii="Garamond" w:hAnsi="Garamond"/>
          <w:sz w:val="24"/>
          <w:szCs w:val="24"/>
        </w:rPr>
        <w:t>;</w:t>
      </w:r>
      <w:r>
        <w:rPr>
          <w:rFonts w:ascii="Garamond" w:hAnsi="Garamond"/>
          <w:sz w:val="24"/>
          <w:szCs w:val="24"/>
        </w:rPr>
        <w:t xml:space="preserve"> and the coordination of </w:t>
      </w:r>
      <w:r w:rsidR="00DA0161">
        <w:rPr>
          <w:rFonts w:ascii="Garamond" w:hAnsi="Garamond"/>
          <w:sz w:val="24"/>
          <w:szCs w:val="24"/>
        </w:rPr>
        <w:t xml:space="preserve">the </w:t>
      </w:r>
      <w:r>
        <w:rPr>
          <w:rFonts w:ascii="Garamond" w:hAnsi="Garamond"/>
          <w:sz w:val="24"/>
          <w:szCs w:val="24"/>
        </w:rPr>
        <w:t>student assessment.</w:t>
      </w:r>
    </w:p>
    <w:p w14:paraId="64371E4F" w14:textId="77777777" w:rsidR="003D3521" w:rsidRDefault="008A0C80" w:rsidP="00157A22">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It i</w:t>
      </w:r>
      <w:r>
        <w:rPr>
          <w:rFonts w:ascii="Garamond" w:hAnsi="Garamond"/>
          <w:sz w:val="24"/>
          <w:szCs w:val="24"/>
        </w:rPr>
        <w:t>s estimated that it will take 30</w:t>
      </w:r>
      <w:r w:rsidRPr="00350F35">
        <w:rPr>
          <w:rFonts w:ascii="Garamond" w:hAnsi="Garamond"/>
          <w:sz w:val="24"/>
          <w:szCs w:val="24"/>
        </w:rPr>
        <w:t xml:space="preserve"> minutes on average for </w:t>
      </w:r>
      <w:r>
        <w:rPr>
          <w:rFonts w:ascii="Garamond" w:hAnsi="Garamond"/>
          <w:sz w:val="24"/>
          <w:szCs w:val="24"/>
        </w:rPr>
        <w:t>parents to respond to the parent/guardian survey</w:t>
      </w:r>
      <w:r w:rsidR="007C01AB">
        <w:rPr>
          <w:rFonts w:ascii="Garamond" w:hAnsi="Garamond"/>
          <w:sz w:val="24"/>
          <w:szCs w:val="24"/>
        </w:rPr>
        <w:t>, including instructions</w:t>
      </w:r>
      <w:r>
        <w:rPr>
          <w:rFonts w:ascii="Garamond" w:hAnsi="Garamond"/>
          <w:sz w:val="24"/>
          <w:szCs w:val="24"/>
        </w:rPr>
        <w:t>.</w:t>
      </w:r>
    </w:p>
    <w:p w14:paraId="0AF5952F" w14:textId="5C9BB4A0" w:rsidR="00050E91" w:rsidRDefault="008A0C80" w:rsidP="00157A22">
      <w:pPr>
        <w:pStyle w:val="ListParagraph"/>
        <w:widowControl w:val="0"/>
        <w:numPr>
          <w:ilvl w:val="0"/>
          <w:numId w:val="12"/>
        </w:numPr>
        <w:spacing w:after="120" w:line="240" w:lineRule="auto"/>
        <w:ind w:left="540" w:hanging="274"/>
        <w:contextualSpacing w:val="0"/>
        <w:jc w:val="left"/>
        <w:rPr>
          <w:rFonts w:ascii="Garamond" w:hAnsi="Garamond"/>
          <w:sz w:val="24"/>
          <w:szCs w:val="24"/>
        </w:rPr>
      </w:pPr>
      <w:r w:rsidRPr="00350F35">
        <w:rPr>
          <w:rFonts w:ascii="Garamond" w:hAnsi="Garamond"/>
          <w:sz w:val="24"/>
          <w:szCs w:val="24"/>
        </w:rPr>
        <w:t xml:space="preserve">For </w:t>
      </w:r>
      <w:r>
        <w:rPr>
          <w:rFonts w:ascii="Garamond" w:hAnsi="Garamond"/>
          <w:sz w:val="24"/>
          <w:szCs w:val="24"/>
        </w:rPr>
        <w:t>teachers</w:t>
      </w:r>
      <w:r w:rsidRPr="00350F35">
        <w:rPr>
          <w:rFonts w:ascii="Garamond" w:hAnsi="Garamond"/>
          <w:sz w:val="24"/>
          <w:szCs w:val="24"/>
        </w:rPr>
        <w:t>, we est</w:t>
      </w:r>
      <w:r>
        <w:rPr>
          <w:rFonts w:ascii="Garamond" w:hAnsi="Garamond"/>
          <w:sz w:val="24"/>
          <w:szCs w:val="24"/>
        </w:rPr>
        <w:t xml:space="preserve">imate that it will take </w:t>
      </w:r>
      <w:r w:rsidR="00310C85">
        <w:rPr>
          <w:rFonts w:ascii="Garamond" w:hAnsi="Garamond"/>
          <w:sz w:val="24"/>
          <w:szCs w:val="24"/>
        </w:rPr>
        <w:t xml:space="preserve">on average </w:t>
      </w:r>
      <w:r w:rsidR="006D6B42">
        <w:rPr>
          <w:rFonts w:ascii="Garamond" w:hAnsi="Garamond"/>
          <w:sz w:val="24"/>
          <w:szCs w:val="24"/>
        </w:rPr>
        <w:t>33</w:t>
      </w:r>
      <w:r w:rsidR="006D6B42" w:rsidRPr="00350F35">
        <w:rPr>
          <w:rFonts w:ascii="Garamond" w:hAnsi="Garamond"/>
          <w:sz w:val="24"/>
          <w:szCs w:val="24"/>
        </w:rPr>
        <w:t xml:space="preserve"> </w:t>
      </w:r>
      <w:r w:rsidRPr="00350F35">
        <w:rPr>
          <w:rFonts w:ascii="Garamond" w:hAnsi="Garamond"/>
          <w:sz w:val="24"/>
          <w:szCs w:val="24"/>
        </w:rPr>
        <w:t xml:space="preserve">minutes </w:t>
      </w:r>
      <w:r>
        <w:rPr>
          <w:rFonts w:ascii="Garamond" w:hAnsi="Garamond"/>
          <w:sz w:val="24"/>
          <w:szCs w:val="24"/>
        </w:rPr>
        <w:t xml:space="preserve">to complete </w:t>
      </w:r>
      <w:r w:rsidR="00DA492C">
        <w:rPr>
          <w:rFonts w:ascii="Garamond" w:hAnsi="Garamond"/>
          <w:sz w:val="24"/>
          <w:szCs w:val="24"/>
        </w:rPr>
        <w:t xml:space="preserve">all aspects of </w:t>
      </w:r>
      <w:r>
        <w:rPr>
          <w:rFonts w:ascii="Garamond" w:hAnsi="Garamond"/>
          <w:sz w:val="24"/>
          <w:szCs w:val="24"/>
        </w:rPr>
        <w:t>the teacher survey</w:t>
      </w:r>
      <w:r w:rsidR="00BC36EC">
        <w:rPr>
          <w:rFonts w:ascii="Garamond" w:hAnsi="Garamond"/>
          <w:sz w:val="24"/>
          <w:szCs w:val="24"/>
        </w:rPr>
        <w:t xml:space="preserve"> (</w:t>
      </w:r>
      <w:r w:rsidR="00BC36EC" w:rsidRPr="00BC36EC">
        <w:rPr>
          <w:rFonts w:ascii="Garamond" w:hAnsi="Garamond"/>
          <w:sz w:val="24"/>
          <w:szCs w:val="24"/>
        </w:rPr>
        <w:t xml:space="preserve">on average </w:t>
      </w:r>
      <w:r w:rsidR="006266C6">
        <w:rPr>
          <w:rFonts w:ascii="Garamond" w:hAnsi="Garamond"/>
          <w:sz w:val="24"/>
          <w:szCs w:val="24"/>
        </w:rPr>
        <w:t>33</w:t>
      </w:r>
      <w:r w:rsidR="006266C6" w:rsidRPr="00BC36EC">
        <w:rPr>
          <w:rFonts w:ascii="Garamond" w:hAnsi="Garamond"/>
          <w:sz w:val="24"/>
          <w:szCs w:val="24"/>
        </w:rPr>
        <w:t xml:space="preserve"> </w:t>
      </w:r>
      <w:r w:rsidR="00BC36EC" w:rsidRPr="00BC36EC">
        <w:rPr>
          <w:rFonts w:ascii="Garamond" w:hAnsi="Garamond"/>
          <w:sz w:val="24"/>
          <w:szCs w:val="24"/>
        </w:rPr>
        <w:t xml:space="preserve">minutes total per teacher: approximately 3 minutes for the core portion and 5 minutes per </w:t>
      </w:r>
      <w:r w:rsidR="00957CB1" w:rsidRPr="00957CB1">
        <w:rPr>
          <w:rFonts w:ascii="Garamond" w:hAnsi="Garamond"/>
          <w:sz w:val="24"/>
          <w:szCs w:val="24"/>
        </w:rPr>
        <w:t xml:space="preserve">sampled </w:t>
      </w:r>
      <w:r w:rsidR="00BC36EC" w:rsidRPr="00BC36EC">
        <w:rPr>
          <w:rFonts w:ascii="Garamond" w:hAnsi="Garamond"/>
          <w:sz w:val="24"/>
          <w:szCs w:val="24"/>
        </w:rPr>
        <w:t xml:space="preserve">child, with an average of </w:t>
      </w:r>
      <w:r w:rsidR="002D5775">
        <w:rPr>
          <w:rFonts w:ascii="Garamond" w:hAnsi="Garamond"/>
          <w:sz w:val="24"/>
          <w:szCs w:val="24"/>
        </w:rPr>
        <w:t xml:space="preserve">up to </w:t>
      </w:r>
      <w:r w:rsidR="006D6B42">
        <w:rPr>
          <w:rFonts w:ascii="Garamond" w:hAnsi="Garamond"/>
          <w:sz w:val="24"/>
          <w:szCs w:val="24"/>
        </w:rPr>
        <w:t>6</w:t>
      </w:r>
      <w:r w:rsidR="006D6B42" w:rsidRPr="00BC36EC">
        <w:rPr>
          <w:rFonts w:ascii="Garamond" w:hAnsi="Garamond"/>
          <w:sz w:val="24"/>
          <w:szCs w:val="24"/>
        </w:rPr>
        <w:t xml:space="preserve"> </w:t>
      </w:r>
      <w:r w:rsidR="00957CB1" w:rsidRPr="00957CB1">
        <w:rPr>
          <w:rFonts w:ascii="Garamond" w:hAnsi="Garamond"/>
          <w:sz w:val="24"/>
          <w:szCs w:val="24"/>
        </w:rPr>
        <w:t xml:space="preserve">sampled </w:t>
      </w:r>
      <w:r w:rsidR="00BC36EC" w:rsidRPr="00BC36EC">
        <w:rPr>
          <w:rFonts w:ascii="Garamond" w:hAnsi="Garamond"/>
          <w:sz w:val="24"/>
          <w:szCs w:val="24"/>
        </w:rPr>
        <w:t>children per teacher</w:t>
      </w:r>
      <w:r w:rsidR="00BC36EC">
        <w:rPr>
          <w:rFonts w:ascii="Garamond" w:hAnsi="Garamond"/>
          <w:sz w:val="24"/>
          <w:szCs w:val="24"/>
        </w:rPr>
        <w:t>)</w:t>
      </w:r>
      <w:r>
        <w:rPr>
          <w:rFonts w:ascii="Garamond" w:hAnsi="Garamond"/>
          <w:sz w:val="24"/>
          <w:szCs w:val="24"/>
        </w:rPr>
        <w:t>.</w:t>
      </w:r>
    </w:p>
    <w:p w14:paraId="404565C9" w14:textId="4245CDD1" w:rsidR="003D3521" w:rsidRDefault="00D75D80" w:rsidP="007D4D00">
      <w:pPr>
        <w:pStyle w:val="ListParagraph"/>
        <w:widowControl w:val="0"/>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For studen</w:t>
      </w:r>
      <w:r w:rsidR="007C01AB">
        <w:rPr>
          <w:rFonts w:ascii="Garamond" w:hAnsi="Garamond"/>
          <w:sz w:val="24"/>
          <w:szCs w:val="24"/>
        </w:rPr>
        <w:t>ts, we expect it will take 60 minutes, including instructions, to complete all sections of a tablet-based assessment.</w:t>
      </w:r>
    </w:p>
    <w:p w14:paraId="46F852EE" w14:textId="58D34736" w:rsidR="00B9233D" w:rsidRPr="002E595A" w:rsidRDefault="00E31EBD" w:rsidP="001B57A5">
      <w:pPr>
        <w:widowControl w:val="0"/>
        <w:spacing w:line="240" w:lineRule="auto"/>
        <w:jc w:val="left"/>
        <w:rPr>
          <w:rFonts w:ascii="Garamond" w:hAnsi="Garamond"/>
          <w:sz w:val="24"/>
        </w:rPr>
      </w:pPr>
      <w:r w:rsidRPr="000B7F15">
        <w:rPr>
          <w:rFonts w:ascii="Garamond" w:hAnsi="Garamond"/>
          <w:sz w:val="24"/>
        </w:rPr>
        <w:t>Based on the estimated hourly rates for principals/administrators</w:t>
      </w:r>
      <w:r w:rsidR="005B2867">
        <w:rPr>
          <w:rFonts w:ascii="Garamond" w:hAnsi="Garamond"/>
          <w:sz w:val="24"/>
        </w:rPr>
        <w:t>/school coordinators</w:t>
      </w:r>
      <w:r w:rsidRPr="000B7F15">
        <w:rPr>
          <w:rFonts w:ascii="Garamond" w:hAnsi="Garamond"/>
          <w:sz w:val="24"/>
        </w:rPr>
        <w:t xml:space="preserve"> of $</w:t>
      </w:r>
      <w:r w:rsidR="005B2867" w:rsidRPr="005B2867">
        <w:rPr>
          <w:rFonts w:ascii="Garamond" w:hAnsi="Garamond"/>
          <w:sz w:val="24"/>
        </w:rPr>
        <w:t>46.85</w:t>
      </w:r>
      <w:r w:rsidR="007A453E">
        <w:rPr>
          <w:rFonts w:ascii="Garamond" w:hAnsi="Garamond"/>
          <w:sz w:val="24"/>
        </w:rPr>
        <w:t>,</w:t>
      </w:r>
      <w:r w:rsidR="007A453E" w:rsidRPr="007A453E">
        <w:rPr>
          <w:rFonts w:ascii="Garamond" w:hAnsi="Garamond"/>
          <w:sz w:val="24"/>
        </w:rPr>
        <w:t xml:space="preserve"> </w:t>
      </w:r>
      <w:r w:rsidR="007A453E">
        <w:rPr>
          <w:rFonts w:ascii="Garamond" w:hAnsi="Garamond"/>
          <w:sz w:val="24"/>
        </w:rPr>
        <w:t>kindergarten teachers</w:t>
      </w:r>
      <w:r w:rsidR="005B2867">
        <w:rPr>
          <w:rFonts w:ascii="Garamond" w:hAnsi="Garamond"/>
          <w:sz w:val="24"/>
        </w:rPr>
        <w:t xml:space="preserve"> (</w:t>
      </w:r>
      <w:r w:rsidR="005B2867" w:rsidRPr="005B2867">
        <w:rPr>
          <w:rFonts w:ascii="Garamond" w:hAnsi="Garamond"/>
          <w:sz w:val="24"/>
        </w:rPr>
        <w:t>including special education teachers</w:t>
      </w:r>
      <w:r w:rsidR="005B2867">
        <w:rPr>
          <w:rFonts w:ascii="Garamond" w:hAnsi="Garamond"/>
          <w:sz w:val="24"/>
        </w:rPr>
        <w:t>)</w:t>
      </w:r>
      <w:r w:rsidR="007A453E">
        <w:rPr>
          <w:rFonts w:ascii="Garamond" w:hAnsi="Garamond"/>
          <w:sz w:val="24"/>
        </w:rPr>
        <w:t xml:space="preserve"> of $</w:t>
      </w:r>
      <w:r w:rsidR="005B2867" w:rsidRPr="005B2867">
        <w:rPr>
          <w:rFonts w:ascii="Garamond" w:hAnsi="Garamond"/>
          <w:sz w:val="24"/>
        </w:rPr>
        <w:t>28.62</w:t>
      </w:r>
      <w:r w:rsidR="007A453E">
        <w:rPr>
          <w:rFonts w:ascii="Garamond" w:hAnsi="Garamond"/>
          <w:sz w:val="24"/>
        </w:rPr>
        <w:t>,</w:t>
      </w:r>
      <w:r w:rsidR="007A453E" w:rsidRPr="008A0C80">
        <w:rPr>
          <w:rFonts w:ascii="Garamond" w:hAnsi="Garamond"/>
          <w:sz w:val="24"/>
        </w:rPr>
        <w:t xml:space="preserve"> </w:t>
      </w:r>
      <w:r w:rsidR="00E34D5F" w:rsidRPr="008A0C80">
        <w:rPr>
          <w:rFonts w:ascii="Garamond" w:hAnsi="Garamond"/>
          <w:sz w:val="24"/>
        </w:rPr>
        <w:t>and parents</w:t>
      </w:r>
      <w:r w:rsidR="007A453E">
        <w:rPr>
          <w:rFonts w:ascii="Garamond" w:hAnsi="Garamond"/>
          <w:sz w:val="24"/>
        </w:rPr>
        <w:t xml:space="preserve"> of</w:t>
      </w:r>
      <w:r w:rsidR="00E34D5F" w:rsidRPr="008A0C80">
        <w:rPr>
          <w:rFonts w:ascii="Garamond" w:hAnsi="Garamond"/>
          <w:sz w:val="24"/>
        </w:rPr>
        <w:t xml:space="preserve"> </w:t>
      </w:r>
      <w:r w:rsidRPr="000B7F15">
        <w:rPr>
          <w:rFonts w:ascii="Garamond" w:hAnsi="Garamond"/>
          <w:sz w:val="24"/>
        </w:rPr>
        <w:t>$</w:t>
      </w:r>
      <w:r w:rsidR="005B2867" w:rsidRPr="005B2867">
        <w:rPr>
          <w:rFonts w:ascii="Garamond" w:hAnsi="Garamond"/>
          <w:sz w:val="24"/>
        </w:rPr>
        <w:t>24.34</w:t>
      </w:r>
      <w:r w:rsidRPr="000B7F15">
        <w:rPr>
          <w:rStyle w:val="FootnoteReference"/>
          <w:rFonts w:ascii="Garamond" w:hAnsi="Garamond"/>
          <w:sz w:val="24"/>
        </w:rPr>
        <w:footnoteReference w:id="6"/>
      </w:r>
      <w:r w:rsidRPr="000B7F15">
        <w:rPr>
          <w:rFonts w:ascii="Garamond" w:hAnsi="Garamond"/>
          <w:sz w:val="24"/>
        </w:rPr>
        <w:t xml:space="preserve">, and based </w:t>
      </w:r>
      <w:r w:rsidRPr="001D16D1">
        <w:rPr>
          <w:rFonts w:ascii="Garamond" w:hAnsi="Garamond"/>
          <w:sz w:val="24"/>
        </w:rPr>
        <w:t xml:space="preserve">on </w:t>
      </w:r>
      <w:r w:rsidR="008C3A4D">
        <w:rPr>
          <w:rFonts w:ascii="Garamond" w:hAnsi="Garamond"/>
          <w:sz w:val="24"/>
        </w:rPr>
        <w:t xml:space="preserve">4,461 </w:t>
      </w:r>
      <w:r w:rsidR="00734CB7" w:rsidRPr="001D16D1">
        <w:rPr>
          <w:rFonts w:ascii="Garamond" w:hAnsi="Garamond"/>
          <w:sz w:val="24"/>
        </w:rPr>
        <w:t>total</w:t>
      </w:r>
      <w:r w:rsidRPr="001D16D1">
        <w:rPr>
          <w:rFonts w:ascii="Garamond" w:hAnsi="Garamond"/>
          <w:sz w:val="24"/>
        </w:rPr>
        <w:t xml:space="preserve"> burden hours for IELS </w:t>
      </w:r>
      <w:r w:rsidR="00C8278B">
        <w:rPr>
          <w:rFonts w:ascii="Garamond" w:hAnsi="Garamond"/>
          <w:sz w:val="24"/>
        </w:rPr>
        <w:t xml:space="preserve">main study </w:t>
      </w:r>
      <w:r w:rsidRPr="001D16D1">
        <w:rPr>
          <w:rFonts w:ascii="Garamond" w:hAnsi="Garamond"/>
          <w:sz w:val="24"/>
        </w:rPr>
        <w:t>recruitment</w:t>
      </w:r>
      <w:r w:rsidR="00C8278B">
        <w:rPr>
          <w:rFonts w:ascii="Garamond" w:hAnsi="Garamond"/>
          <w:sz w:val="24"/>
        </w:rPr>
        <w:t xml:space="preserve"> and </w:t>
      </w:r>
      <w:r w:rsidR="00E34D5F" w:rsidRPr="008A0C80">
        <w:rPr>
          <w:rFonts w:ascii="Garamond" w:hAnsi="Garamond"/>
          <w:sz w:val="24"/>
        </w:rPr>
        <w:t>data collection</w:t>
      </w:r>
      <w:r w:rsidRPr="001D16D1">
        <w:rPr>
          <w:rFonts w:ascii="Garamond" w:hAnsi="Garamond"/>
          <w:sz w:val="24"/>
        </w:rPr>
        <w:t xml:space="preserve">, the estimated </w:t>
      </w:r>
      <w:r w:rsidR="00734CB7" w:rsidRPr="001D16D1">
        <w:rPr>
          <w:rFonts w:ascii="Garamond" w:hAnsi="Garamond"/>
          <w:sz w:val="24"/>
        </w:rPr>
        <w:t xml:space="preserve">total </w:t>
      </w:r>
      <w:r w:rsidR="00C8278B">
        <w:rPr>
          <w:rFonts w:ascii="Garamond" w:hAnsi="Garamond"/>
          <w:sz w:val="24"/>
        </w:rPr>
        <w:t xml:space="preserve">respondent </w:t>
      </w:r>
      <w:r w:rsidRPr="001D16D1">
        <w:rPr>
          <w:rFonts w:ascii="Garamond" w:hAnsi="Garamond"/>
          <w:sz w:val="24"/>
        </w:rPr>
        <w:t>burden time cost is $</w:t>
      </w:r>
      <w:r w:rsidR="005B2867">
        <w:rPr>
          <w:rFonts w:ascii="Garamond" w:hAnsi="Garamond" w:cs="Calibri"/>
          <w:bCs/>
          <w:iCs/>
          <w:color w:val="000000"/>
          <w:sz w:val="24"/>
          <w:szCs w:val="24"/>
        </w:rPr>
        <w:t xml:space="preserve"> 166,537</w:t>
      </w:r>
      <w:r w:rsidR="00E34D5F" w:rsidRPr="008A0C80">
        <w:rPr>
          <w:rFonts w:ascii="Garamond" w:hAnsi="Garamond"/>
          <w:sz w:val="24"/>
        </w:rPr>
        <w:t>.</w:t>
      </w:r>
    </w:p>
    <w:p w14:paraId="7C46B70C" w14:textId="07A3C5F6" w:rsidR="00FE7B8A" w:rsidRDefault="005611C5" w:rsidP="007D4D00">
      <w:pPr>
        <w:pStyle w:val="TT-TableTitle"/>
        <w:keepNext/>
        <w:spacing w:before="120" w:after="60" w:line="240" w:lineRule="auto"/>
      </w:pPr>
      <w:r w:rsidRPr="00E31EBD">
        <w:t xml:space="preserve">Table </w:t>
      </w:r>
      <w:r w:rsidR="00CC4E7D">
        <w:t>2</w:t>
      </w:r>
      <w:r w:rsidRPr="00E31EBD">
        <w:t>.</w:t>
      </w:r>
      <w:r w:rsidRPr="00E31EBD">
        <w:tab/>
        <w:t>Burde</w:t>
      </w:r>
      <w:r w:rsidR="0028372D" w:rsidRPr="00E31EBD">
        <w:t>n</w:t>
      </w:r>
      <w:r w:rsidRPr="00E31EBD">
        <w:t xml:space="preserve"> estimates for </w:t>
      </w:r>
      <w:r w:rsidR="004C1ABA" w:rsidRPr="00E31EBD">
        <w:t xml:space="preserve">IELS </w:t>
      </w:r>
      <w:r w:rsidR="004F452D">
        <w:t>study</w:t>
      </w:r>
      <w:r w:rsidR="000B6566">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348"/>
        <w:gridCol w:w="810"/>
        <w:gridCol w:w="1260"/>
        <w:gridCol w:w="1170"/>
        <w:gridCol w:w="1080"/>
        <w:gridCol w:w="1800"/>
        <w:gridCol w:w="1260"/>
      </w:tblGrid>
      <w:tr w:rsidR="00DD4B26" w:rsidRPr="00021009" w14:paraId="25157ED4" w14:textId="77777777" w:rsidTr="007B14DB">
        <w:trPr>
          <w:trHeight w:val="144"/>
        </w:trPr>
        <w:tc>
          <w:tcPr>
            <w:tcW w:w="3348" w:type="dxa"/>
            <w:shd w:val="clear" w:color="auto" w:fill="auto"/>
            <w:vAlign w:val="center"/>
            <w:hideMark/>
          </w:tcPr>
          <w:p w14:paraId="7DE684B5" w14:textId="77777777" w:rsidR="00DD4B26" w:rsidRPr="00816A73" w:rsidRDefault="00DD4B26" w:rsidP="00050E91">
            <w:pPr>
              <w:keepNext/>
              <w:spacing w:line="240" w:lineRule="auto"/>
              <w:jc w:val="center"/>
              <w:rPr>
                <w:b/>
                <w:bCs/>
                <w:color w:val="000000"/>
                <w:sz w:val="18"/>
                <w:szCs w:val="18"/>
              </w:rPr>
            </w:pPr>
            <w:r w:rsidRPr="00816A73">
              <w:rPr>
                <w:b/>
                <w:bCs/>
                <w:color w:val="000000"/>
                <w:sz w:val="18"/>
                <w:szCs w:val="18"/>
              </w:rPr>
              <w:t> </w:t>
            </w:r>
          </w:p>
        </w:tc>
        <w:tc>
          <w:tcPr>
            <w:tcW w:w="810" w:type="dxa"/>
            <w:shd w:val="clear" w:color="auto" w:fill="auto"/>
            <w:vAlign w:val="center"/>
            <w:hideMark/>
          </w:tcPr>
          <w:p w14:paraId="0F7E1A7A"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Sample</w:t>
            </w:r>
          </w:p>
        </w:tc>
        <w:tc>
          <w:tcPr>
            <w:tcW w:w="1260" w:type="dxa"/>
            <w:shd w:val="clear" w:color="auto" w:fill="auto"/>
            <w:vAlign w:val="center"/>
            <w:hideMark/>
          </w:tcPr>
          <w:p w14:paraId="73CA8492"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Expected response rate</w:t>
            </w:r>
          </w:p>
        </w:tc>
        <w:tc>
          <w:tcPr>
            <w:tcW w:w="1170" w:type="dxa"/>
            <w:shd w:val="clear" w:color="auto" w:fill="auto"/>
            <w:vAlign w:val="center"/>
            <w:hideMark/>
          </w:tcPr>
          <w:p w14:paraId="3B4CD577"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respondents</w:t>
            </w:r>
          </w:p>
        </w:tc>
        <w:tc>
          <w:tcPr>
            <w:tcW w:w="1080" w:type="dxa"/>
            <w:shd w:val="clear" w:color="auto" w:fill="auto"/>
            <w:vAlign w:val="center"/>
            <w:hideMark/>
          </w:tcPr>
          <w:p w14:paraId="0DA61CF6"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responses</w:t>
            </w:r>
          </w:p>
        </w:tc>
        <w:tc>
          <w:tcPr>
            <w:tcW w:w="1800" w:type="dxa"/>
            <w:shd w:val="clear" w:color="auto" w:fill="auto"/>
            <w:vAlign w:val="center"/>
            <w:hideMark/>
          </w:tcPr>
          <w:p w14:paraId="38B1BDF8" w14:textId="77777777" w:rsidR="00DD4B26" w:rsidRPr="00816A73" w:rsidRDefault="00DD4B26" w:rsidP="00050E91">
            <w:pPr>
              <w:keepNext/>
              <w:spacing w:line="240" w:lineRule="auto"/>
              <w:ind w:left="-108" w:right="-18"/>
              <w:jc w:val="right"/>
              <w:rPr>
                <w:b/>
                <w:bCs/>
                <w:color w:val="000000"/>
                <w:sz w:val="18"/>
                <w:szCs w:val="18"/>
              </w:rPr>
            </w:pPr>
            <w:r w:rsidRPr="00816A73">
              <w:rPr>
                <w:b/>
                <w:bCs/>
                <w:color w:val="000000"/>
                <w:sz w:val="18"/>
                <w:szCs w:val="18"/>
              </w:rPr>
              <w:t>Burden per respondent (minutes)</w:t>
            </w:r>
          </w:p>
        </w:tc>
        <w:tc>
          <w:tcPr>
            <w:tcW w:w="1260" w:type="dxa"/>
            <w:shd w:val="clear" w:color="auto" w:fill="auto"/>
            <w:vAlign w:val="center"/>
            <w:hideMark/>
          </w:tcPr>
          <w:p w14:paraId="15D19A34" w14:textId="77777777" w:rsidR="00DD4B26" w:rsidRPr="00816A73" w:rsidRDefault="00DD4B26" w:rsidP="00050E91">
            <w:pPr>
              <w:keepNext/>
              <w:spacing w:line="240" w:lineRule="auto"/>
              <w:ind w:left="-18" w:right="-18"/>
              <w:jc w:val="right"/>
              <w:rPr>
                <w:b/>
                <w:bCs/>
                <w:color w:val="000000"/>
                <w:sz w:val="18"/>
                <w:szCs w:val="18"/>
              </w:rPr>
            </w:pPr>
            <w:r w:rsidRPr="00816A73">
              <w:rPr>
                <w:b/>
                <w:bCs/>
                <w:color w:val="000000"/>
                <w:sz w:val="18"/>
                <w:szCs w:val="18"/>
              </w:rPr>
              <w:t>Total burden (hours)</w:t>
            </w:r>
          </w:p>
        </w:tc>
      </w:tr>
      <w:tr w:rsidR="00DD4B26" w:rsidRPr="009140BE" w14:paraId="468DE1D6" w14:textId="77777777" w:rsidTr="007B14DB">
        <w:trPr>
          <w:trHeight w:val="144"/>
        </w:trPr>
        <w:tc>
          <w:tcPr>
            <w:tcW w:w="10728" w:type="dxa"/>
            <w:gridSpan w:val="7"/>
            <w:tcBorders>
              <w:bottom w:val="single" w:sz="4" w:space="0" w:color="auto"/>
            </w:tcBorders>
            <w:shd w:val="clear" w:color="auto" w:fill="auto"/>
            <w:vAlign w:val="center"/>
            <w:hideMark/>
          </w:tcPr>
          <w:p w14:paraId="38E1B948" w14:textId="77777777" w:rsidR="00DD4B26" w:rsidRPr="009140BE" w:rsidRDefault="00DD4B26" w:rsidP="00050E91">
            <w:pPr>
              <w:keepNext/>
              <w:spacing w:line="240" w:lineRule="auto"/>
              <w:jc w:val="center"/>
              <w:rPr>
                <w:b/>
                <w:bCs/>
                <w:sz w:val="20"/>
              </w:rPr>
            </w:pPr>
            <w:r w:rsidRPr="009140BE">
              <w:rPr>
                <w:b/>
                <w:bCs/>
                <w:sz w:val="20"/>
              </w:rPr>
              <w:t>Main Study</w:t>
            </w:r>
          </w:p>
        </w:tc>
      </w:tr>
      <w:tr w:rsidR="00DD4B26" w:rsidRPr="00021009" w14:paraId="08D330E3" w14:textId="77777777" w:rsidTr="007B14DB">
        <w:trPr>
          <w:trHeight w:val="144"/>
        </w:trPr>
        <w:tc>
          <w:tcPr>
            <w:tcW w:w="3348" w:type="dxa"/>
            <w:tcBorders>
              <w:bottom w:val="nil"/>
            </w:tcBorders>
            <w:shd w:val="clear" w:color="auto" w:fill="auto"/>
            <w:vAlign w:val="center"/>
            <w:hideMark/>
          </w:tcPr>
          <w:p w14:paraId="4C1DB10C" w14:textId="77777777" w:rsidR="00DD4B26" w:rsidRPr="006D6B42" w:rsidRDefault="00DD4B26" w:rsidP="00050E91">
            <w:pPr>
              <w:keepNext/>
              <w:spacing w:line="240" w:lineRule="auto"/>
              <w:jc w:val="left"/>
              <w:rPr>
                <w:b/>
                <w:bCs/>
                <w:sz w:val="20"/>
              </w:rPr>
            </w:pPr>
            <w:r w:rsidRPr="006D6B42">
              <w:rPr>
                <w:b/>
                <w:bCs/>
                <w:sz w:val="20"/>
              </w:rPr>
              <w:t>Recruitment</w:t>
            </w:r>
          </w:p>
        </w:tc>
        <w:tc>
          <w:tcPr>
            <w:tcW w:w="810" w:type="dxa"/>
            <w:tcBorders>
              <w:bottom w:val="nil"/>
            </w:tcBorders>
            <w:shd w:val="clear" w:color="auto" w:fill="auto"/>
            <w:vAlign w:val="center"/>
            <w:hideMark/>
          </w:tcPr>
          <w:p w14:paraId="2A1DFF30" w14:textId="77777777" w:rsidR="00DD4B26" w:rsidRPr="006D6B42"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BD3A881" w14:textId="77777777" w:rsidR="00DD4B26" w:rsidRPr="00AC48D2" w:rsidRDefault="00DD4B26" w:rsidP="00050E91">
            <w:pPr>
              <w:keepNext/>
              <w:spacing w:line="240" w:lineRule="auto"/>
              <w:jc w:val="left"/>
              <w:rPr>
                <w:sz w:val="20"/>
              </w:rPr>
            </w:pPr>
          </w:p>
        </w:tc>
        <w:tc>
          <w:tcPr>
            <w:tcW w:w="1170" w:type="dxa"/>
            <w:tcBorders>
              <w:bottom w:val="nil"/>
            </w:tcBorders>
            <w:shd w:val="clear" w:color="auto" w:fill="auto"/>
            <w:vAlign w:val="center"/>
            <w:hideMark/>
          </w:tcPr>
          <w:p w14:paraId="61F4556C" w14:textId="77777777" w:rsidR="00DD4B26" w:rsidRPr="00DB77E5" w:rsidRDefault="00DD4B26" w:rsidP="00050E91">
            <w:pPr>
              <w:keepNext/>
              <w:spacing w:line="240" w:lineRule="auto"/>
              <w:jc w:val="left"/>
              <w:rPr>
                <w:sz w:val="20"/>
              </w:rPr>
            </w:pPr>
          </w:p>
        </w:tc>
        <w:tc>
          <w:tcPr>
            <w:tcW w:w="1080" w:type="dxa"/>
            <w:tcBorders>
              <w:bottom w:val="nil"/>
            </w:tcBorders>
            <w:shd w:val="clear" w:color="auto" w:fill="auto"/>
            <w:vAlign w:val="center"/>
            <w:hideMark/>
          </w:tcPr>
          <w:p w14:paraId="757DF409" w14:textId="77777777" w:rsidR="00DD4B26" w:rsidRPr="00634A96" w:rsidRDefault="00DD4B26" w:rsidP="00050E91">
            <w:pPr>
              <w:keepNext/>
              <w:spacing w:line="240" w:lineRule="auto"/>
              <w:jc w:val="left"/>
              <w:rPr>
                <w:sz w:val="20"/>
              </w:rPr>
            </w:pPr>
          </w:p>
        </w:tc>
        <w:tc>
          <w:tcPr>
            <w:tcW w:w="1800" w:type="dxa"/>
            <w:tcBorders>
              <w:bottom w:val="nil"/>
            </w:tcBorders>
            <w:shd w:val="clear" w:color="auto" w:fill="auto"/>
            <w:vAlign w:val="center"/>
            <w:hideMark/>
          </w:tcPr>
          <w:p w14:paraId="7C07FB5F" w14:textId="77777777" w:rsidR="00DD4B26" w:rsidRPr="000F1BB0"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9436053" w14:textId="77777777" w:rsidR="00DD4B26" w:rsidRPr="008748A2" w:rsidRDefault="00DD4B26" w:rsidP="00050E91">
            <w:pPr>
              <w:keepNext/>
              <w:spacing w:line="240" w:lineRule="auto"/>
              <w:jc w:val="left"/>
              <w:rPr>
                <w:sz w:val="20"/>
              </w:rPr>
            </w:pPr>
            <w:r w:rsidRPr="008748A2">
              <w:rPr>
                <w:sz w:val="20"/>
              </w:rPr>
              <w:t> </w:t>
            </w:r>
          </w:p>
        </w:tc>
      </w:tr>
      <w:tr w:rsidR="00DD4B26" w:rsidRPr="00021009" w14:paraId="42F71291" w14:textId="77777777" w:rsidTr="007B14DB">
        <w:trPr>
          <w:trHeight w:val="144"/>
        </w:trPr>
        <w:tc>
          <w:tcPr>
            <w:tcW w:w="3348" w:type="dxa"/>
            <w:tcBorders>
              <w:top w:val="nil"/>
              <w:bottom w:val="nil"/>
            </w:tcBorders>
            <w:shd w:val="clear" w:color="auto" w:fill="auto"/>
            <w:vAlign w:val="center"/>
            <w:hideMark/>
          </w:tcPr>
          <w:p w14:paraId="29073B0D" w14:textId="77777777" w:rsidR="00DD4B26" w:rsidRPr="006D6B42" w:rsidRDefault="00DD4B26" w:rsidP="00050E91">
            <w:pPr>
              <w:keepNext/>
              <w:spacing w:line="240" w:lineRule="auto"/>
              <w:jc w:val="left"/>
              <w:rPr>
                <w:sz w:val="20"/>
              </w:rPr>
            </w:pPr>
            <w:r w:rsidRPr="006D6B42">
              <w:rPr>
                <w:sz w:val="20"/>
              </w:rPr>
              <w:t>Special Handling Districts IRB staff</w:t>
            </w:r>
          </w:p>
        </w:tc>
        <w:tc>
          <w:tcPr>
            <w:tcW w:w="810" w:type="dxa"/>
            <w:tcBorders>
              <w:top w:val="nil"/>
              <w:bottom w:val="nil"/>
            </w:tcBorders>
            <w:shd w:val="clear" w:color="auto" w:fill="auto"/>
            <w:vAlign w:val="center"/>
            <w:hideMark/>
          </w:tcPr>
          <w:p w14:paraId="1571193F" w14:textId="0B324624" w:rsidR="00DD4B26" w:rsidRPr="006D6B42" w:rsidRDefault="00313BAA" w:rsidP="00050E91">
            <w:pPr>
              <w:keepNext/>
              <w:spacing w:line="240" w:lineRule="auto"/>
              <w:jc w:val="right"/>
              <w:rPr>
                <w:sz w:val="20"/>
              </w:rPr>
            </w:pPr>
            <w:r>
              <w:rPr>
                <w:sz w:val="20"/>
              </w:rPr>
              <w:t>28</w:t>
            </w:r>
          </w:p>
        </w:tc>
        <w:tc>
          <w:tcPr>
            <w:tcW w:w="1260" w:type="dxa"/>
            <w:tcBorders>
              <w:top w:val="nil"/>
              <w:bottom w:val="nil"/>
            </w:tcBorders>
            <w:shd w:val="clear" w:color="auto" w:fill="auto"/>
            <w:vAlign w:val="center"/>
            <w:hideMark/>
          </w:tcPr>
          <w:p w14:paraId="2EE25038" w14:textId="77777777" w:rsidR="00DD4B26" w:rsidRPr="00AC48D2" w:rsidRDefault="00DD4B26" w:rsidP="00050E91">
            <w:pPr>
              <w:keepNext/>
              <w:spacing w:line="240" w:lineRule="auto"/>
              <w:jc w:val="right"/>
              <w:rPr>
                <w:sz w:val="20"/>
              </w:rPr>
            </w:pPr>
            <w:r w:rsidRPr="00AC48D2">
              <w:rPr>
                <w:sz w:val="20"/>
              </w:rPr>
              <w:t>1.00</w:t>
            </w:r>
          </w:p>
        </w:tc>
        <w:tc>
          <w:tcPr>
            <w:tcW w:w="1170" w:type="dxa"/>
            <w:tcBorders>
              <w:top w:val="nil"/>
              <w:bottom w:val="nil"/>
            </w:tcBorders>
            <w:shd w:val="clear" w:color="auto" w:fill="auto"/>
            <w:vAlign w:val="center"/>
            <w:hideMark/>
          </w:tcPr>
          <w:p w14:paraId="3B2C2F03" w14:textId="22B98BA7" w:rsidR="00DD4B26" w:rsidRPr="00DB77E5" w:rsidRDefault="00313BAA" w:rsidP="00050E91">
            <w:pPr>
              <w:keepNext/>
              <w:spacing w:line="240" w:lineRule="auto"/>
              <w:jc w:val="right"/>
              <w:rPr>
                <w:sz w:val="20"/>
              </w:rPr>
            </w:pPr>
            <w:r>
              <w:rPr>
                <w:sz w:val="20"/>
              </w:rPr>
              <w:t>28</w:t>
            </w:r>
          </w:p>
        </w:tc>
        <w:tc>
          <w:tcPr>
            <w:tcW w:w="1080" w:type="dxa"/>
            <w:tcBorders>
              <w:top w:val="nil"/>
              <w:bottom w:val="nil"/>
            </w:tcBorders>
            <w:shd w:val="clear" w:color="auto" w:fill="auto"/>
            <w:vAlign w:val="center"/>
            <w:hideMark/>
          </w:tcPr>
          <w:p w14:paraId="2914688C" w14:textId="432F3E77" w:rsidR="00DD4B26" w:rsidRPr="00313BAA" w:rsidRDefault="00313BAA" w:rsidP="00050E91">
            <w:pPr>
              <w:keepNext/>
              <w:spacing w:line="240" w:lineRule="auto"/>
              <w:jc w:val="right"/>
              <w:rPr>
                <w:sz w:val="20"/>
              </w:rPr>
            </w:pPr>
            <w:r>
              <w:rPr>
                <w:sz w:val="20"/>
              </w:rPr>
              <w:t>28</w:t>
            </w:r>
          </w:p>
        </w:tc>
        <w:tc>
          <w:tcPr>
            <w:tcW w:w="1800" w:type="dxa"/>
            <w:tcBorders>
              <w:top w:val="nil"/>
              <w:bottom w:val="nil"/>
            </w:tcBorders>
            <w:shd w:val="clear" w:color="auto" w:fill="auto"/>
            <w:vAlign w:val="center"/>
            <w:hideMark/>
          </w:tcPr>
          <w:p w14:paraId="0EFB9043" w14:textId="77777777" w:rsidR="00DD4B26" w:rsidRPr="00313BAA" w:rsidRDefault="00DD4B26" w:rsidP="00050E91">
            <w:pPr>
              <w:keepNext/>
              <w:spacing w:line="240" w:lineRule="auto"/>
              <w:jc w:val="right"/>
              <w:rPr>
                <w:sz w:val="20"/>
              </w:rPr>
            </w:pPr>
            <w:r w:rsidRPr="00313BAA">
              <w:rPr>
                <w:sz w:val="20"/>
              </w:rPr>
              <w:t>60</w:t>
            </w:r>
          </w:p>
        </w:tc>
        <w:tc>
          <w:tcPr>
            <w:tcW w:w="1260" w:type="dxa"/>
            <w:tcBorders>
              <w:top w:val="nil"/>
              <w:bottom w:val="nil"/>
            </w:tcBorders>
            <w:shd w:val="clear" w:color="auto" w:fill="auto"/>
            <w:vAlign w:val="center"/>
            <w:hideMark/>
          </w:tcPr>
          <w:p w14:paraId="63DA262A" w14:textId="067C28EF" w:rsidR="00DD4B26" w:rsidRPr="00313BAA" w:rsidRDefault="00313BAA" w:rsidP="00050E91">
            <w:pPr>
              <w:keepNext/>
              <w:spacing w:line="240" w:lineRule="auto"/>
              <w:jc w:val="right"/>
              <w:rPr>
                <w:sz w:val="20"/>
              </w:rPr>
            </w:pPr>
            <w:r>
              <w:rPr>
                <w:sz w:val="20"/>
              </w:rPr>
              <w:t>28</w:t>
            </w:r>
          </w:p>
        </w:tc>
      </w:tr>
      <w:tr w:rsidR="00DD4B26" w:rsidRPr="00021009" w14:paraId="6B90C23C" w14:textId="77777777" w:rsidTr="007B14DB">
        <w:trPr>
          <w:trHeight w:val="144"/>
        </w:trPr>
        <w:tc>
          <w:tcPr>
            <w:tcW w:w="3348" w:type="dxa"/>
            <w:tcBorders>
              <w:top w:val="nil"/>
              <w:bottom w:val="nil"/>
            </w:tcBorders>
            <w:shd w:val="clear" w:color="auto" w:fill="auto"/>
            <w:vAlign w:val="center"/>
            <w:hideMark/>
          </w:tcPr>
          <w:p w14:paraId="1B902171" w14:textId="77777777" w:rsidR="00DD4B26" w:rsidRPr="006D6B42" w:rsidRDefault="00DD4B26" w:rsidP="00050E91">
            <w:pPr>
              <w:keepNext/>
              <w:spacing w:line="240" w:lineRule="auto"/>
              <w:jc w:val="left"/>
              <w:rPr>
                <w:sz w:val="20"/>
              </w:rPr>
            </w:pPr>
            <w:r w:rsidRPr="006D6B42">
              <w:rPr>
                <w:sz w:val="20"/>
              </w:rPr>
              <w:t>Special Handling Districts IRB Panel</w:t>
            </w:r>
          </w:p>
        </w:tc>
        <w:tc>
          <w:tcPr>
            <w:tcW w:w="810" w:type="dxa"/>
            <w:tcBorders>
              <w:top w:val="nil"/>
              <w:bottom w:val="nil"/>
            </w:tcBorders>
            <w:shd w:val="clear" w:color="auto" w:fill="auto"/>
            <w:vAlign w:val="center"/>
            <w:hideMark/>
          </w:tcPr>
          <w:p w14:paraId="035F9A96" w14:textId="643B1A29" w:rsidR="00DD4B26" w:rsidRPr="006D6B42" w:rsidRDefault="00313BAA" w:rsidP="00050E91">
            <w:pPr>
              <w:keepNext/>
              <w:spacing w:line="240" w:lineRule="auto"/>
              <w:jc w:val="right"/>
              <w:rPr>
                <w:sz w:val="20"/>
              </w:rPr>
            </w:pPr>
            <w:r>
              <w:rPr>
                <w:sz w:val="20"/>
              </w:rPr>
              <w:t>168</w:t>
            </w:r>
          </w:p>
        </w:tc>
        <w:tc>
          <w:tcPr>
            <w:tcW w:w="1260" w:type="dxa"/>
            <w:tcBorders>
              <w:top w:val="nil"/>
              <w:bottom w:val="nil"/>
            </w:tcBorders>
            <w:shd w:val="clear" w:color="auto" w:fill="auto"/>
            <w:vAlign w:val="center"/>
            <w:hideMark/>
          </w:tcPr>
          <w:p w14:paraId="05BA1841" w14:textId="77777777" w:rsidR="00DD4B26" w:rsidRPr="00AC48D2" w:rsidRDefault="00DD4B26" w:rsidP="00050E91">
            <w:pPr>
              <w:keepNext/>
              <w:spacing w:line="240" w:lineRule="auto"/>
              <w:jc w:val="right"/>
              <w:rPr>
                <w:sz w:val="20"/>
              </w:rPr>
            </w:pPr>
            <w:r w:rsidRPr="00AC48D2">
              <w:rPr>
                <w:sz w:val="20"/>
              </w:rPr>
              <w:t>1.00</w:t>
            </w:r>
          </w:p>
        </w:tc>
        <w:tc>
          <w:tcPr>
            <w:tcW w:w="1170" w:type="dxa"/>
            <w:tcBorders>
              <w:top w:val="nil"/>
              <w:bottom w:val="nil"/>
            </w:tcBorders>
            <w:shd w:val="clear" w:color="auto" w:fill="auto"/>
            <w:vAlign w:val="center"/>
            <w:hideMark/>
          </w:tcPr>
          <w:p w14:paraId="4F412C16" w14:textId="4A677FB8" w:rsidR="00DD4B26" w:rsidRPr="00DB77E5" w:rsidRDefault="00313BAA" w:rsidP="00050E91">
            <w:pPr>
              <w:keepNext/>
              <w:spacing w:line="240" w:lineRule="auto"/>
              <w:jc w:val="right"/>
              <w:rPr>
                <w:sz w:val="20"/>
              </w:rPr>
            </w:pPr>
            <w:r>
              <w:rPr>
                <w:sz w:val="20"/>
              </w:rPr>
              <w:t>168</w:t>
            </w:r>
          </w:p>
        </w:tc>
        <w:tc>
          <w:tcPr>
            <w:tcW w:w="1080" w:type="dxa"/>
            <w:tcBorders>
              <w:top w:val="nil"/>
              <w:bottom w:val="nil"/>
            </w:tcBorders>
            <w:shd w:val="clear" w:color="auto" w:fill="auto"/>
            <w:vAlign w:val="center"/>
            <w:hideMark/>
          </w:tcPr>
          <w:p w14:paraId="124523DB" w14:textId="7F9B941A" w:rsidR="00DD4B26" w:rsidRPr="00313BAA" w:rsidRDefault="00313BAA" w:rsidP="00050E91">
            <w:pPr>
              <w:keepNext/>
              <w:spacing w:line="240" w:lineRule="auto"/>
              <w:jc w:val="right"/>
              <w:rPr>
                <w:sz w:val="20"/>
              </w:rPr>
            </w:pPr>
            <w:r>
              <w:rPr>
                <w:sz w:val="20"/>
              </w:rPr>
              <w:t>168</w:t>
            </w:r>
          </w:p>
        </w:tc>
        <w:tc>
          <w:tcPr>
            <w:tcW w:w="1800" w:type="dxa"/>
            <w:tcBorders>
              <w:top w:val="nil"/>
              <w:bottom w:val="nil"/>
            </w:tcBorders>
            <w:shd w:val="clear" w:color="auto" w:fill="auto"/>
            <w:vAlign w:val="center"/>
            <w:hideMark/>
          </w:tcPr>
          <w:p w14:paraId="017D5690" w14:textId="77777777" w:rsidR="00DD4B26" w:rsidRPr="00313BAA" w:rsidRDefault="00DD4B26" w:rsidP="00050E91">
            <w:pPr>
              <w:keepNext/>
              <w:spacing w:line="240" w:lineRule="auto"/>
              <w:jc w:val="right"/>
              <w:rPr>
                <w:sz w:val="20"/>
              </w:rPr>
            </w:pPr>
            <w:r w:rsidRPr="00313BAA">
              <w:rPr>
                <w:sz w:val="20"/>
              </w:rPr>
              <w:t>30</w:t>
            </w:r>
          </w:p>
        </w:tc>
        <w:tc>
          <w:tcPr>
            <w:tcW w:w="1260" w:type="dxa"/>
            <w:tcBorders>
              <w:top w:val="nil"/>
              <w:bottom w:val="nil"/>
            </w:tcBorders>
            <w:shd w:val="clear" w:color="auto" w:fill="auto"/>
            <w:vAlign w:val="center"/>
            <w:hideMark/>
          </w:tcPr>
          <w:p w14:paraId="406E8929" w14:textId="0E8D969F" w:rsidR="00DD4B26" w:rsidRPr="00313BAA" w:rsidRDefault="00313BAA" w:rsidP="00050E91">
            <w:pPr>
              <w:keepNext/>
              <w:spacing w:line="240" w:lineRule="auto"/>
              <w:jc w:val="right"/>
              <w:rPr>
                <w:sz w:val="20"/>
              </w:rPr>
            </w:pPr>
            <w:r>
              <w:rPr>
                <w:sz w:val="20"/>
              </w:rPr>
              <w:t>84</w:t>
            </w:r>
          </w:p>
        </w:tc>
      </w:tr>
      <w:tr w:rsidR="00DD4B26" w:rsidRPr="00021009" w14:paraId="79C9A33D" w14:textId="77777777" w:rsidTr="007B14DB">
        <w:trPr>
          <w:trHeight w:val="144"/>
        </w:trPr>
        <w:tc>
          <w:tcPr>
            <w:tcW w:w="3348" w:type="dxa"/>
            <w:tcBorders>
              <w:top w:val="nil"/>
              <w:bottom w:val="nil"/>
            </w:tcBorders>
            <w:shd w:val="clear" w:color="auto" w:fill="auto"/>
            <w:vAlign w:val="center"/>
            <w:hideMark/>
          </w:tcPr>
          <w:p w14:paraId="2B786305" w14:textId="77777777" w:rsidR="00DD4B26" w:rsidRPr="006D6B42" w:rsidRDefault="00DD4B26" w:rsidP="00050E91">
            <w:pPr>
              <w:keepNext/>
              <w:spacing w:line="240" w:lineRule="auto"/>
              <w:jc w:val="left"/>
              <w:rPr>
                <w:sz w:val="20"/>
              </w:rPr>
            </w:pPr>
            <w:r w:rsidRPr="006D6B42">
              <w:rPr>
                <w:sz w:val="20"/>
              </w:rPr>
              <w:t>Schools</w:t>
            </w:r>
          </w:p>
        </w:tc>
        <w:tc>
          <w:tcPr>
            <w:tcW w:w="810" w:type="dxa"/>
            <w:tcBorders>
              <w:top w:val="nil"/>
              <w:bottom w:val="nil"/>
            </w:tcBorders>
            <w:shd w:val="clear" w:color="auto" w:fill="auto"/>
            <w:vAlign w:val="center"/>
            <w:hideMark/>
          </w:tcPr>
          <w:p w14:paraId="447B8DF5" w14:textId="77777777" w:rsidR="00DD4B26" w:rsidRPr="00AC48D2" w:rsidRDefault="00DD4B26" w:rsidP="00050E91">
            <w:pPr>
              <w:keepNext/>
              <w:spacing w:line="240" w:lineRule="auto"/>
              <w:jc w:val="right"/>
              <w:rPr>
                <w:sz w:val="20"/>
              </w:rPr>
            </w:pPr>
            <w:r w:rsidRPr="006D6B42">
              <w:rPr>
                <w:sz w:val="20"/>
              </w:rPr>
              <w:t>235</w:t>
            </w:r>
          </w:p>
        </w:tc>
        <w:tc>
          <w:tcPr>
            <w:tcW w:w="1260" w:type="dxa"/>
            <w:tcBorders>
              <w:top w:val="nil"/>
              <w:bottom w:val="nil"/>
            </w:tcBorders>
            <w:shd w:val="clear" w:color="auto" w:fill="auto"/>
            <w:vAlign w:val="center"/>
            <w:hideMark/>
          </w:tcPr>
          <w:p w14:paraId="5301D35C" w14:textId="77777777" w:rsidR="00DD4B26" w:rsidRPr="00DB77E5" w:rsidRDefault="00DD4B26" w:rsidP="00050E91">
            <w:pPr>
              <w:keepNext/>
              <w:spacing w:line="240" w:lineRule="auto"/>
              <w:jc w:val="right"/>
              <w:rPr>
                <w:sz w:val="20"/>
              </w:rPr>
            </w:pPr>
            <w:r w:rsidRPr="00DB77E5">
              <w:rPr>
                <w:sz w:val="20"/>
              </w:rPr>
              <w:t>1.00</w:t>
            </w:r>
          </w:p>
        </w:tc>
        <w:tc>
          <w:tcPr>
            <w:tcW w:w="1170" w:type="dxa"/>
            <w:tcBorders>
              <w:top w:val="nil"/>
              <w:bottom w:val="nil"/>
            </w:tcBorders>
            <w:shd w:val="clear" w:color="auto" w:fill="auto"/>
            <w:vAlign w:val="center"/>
            <w:hideMark/>
          </w:tcPr>
          <w:p w14:paraId="081644B8" w14:textId="77777777" w:rsidR="00DD4B26" w:rsidRPr="00634A96" w:rsidRDefault="00DD4B26" w:rsidP="00050E91">
            <w:pPr>
              <w:keepNext/>
              <w:spacing w:line="240" w:lineRule="auto"/>
              <w:jc w:val="right"/>
              <w:rPr>
                <w:sz w:val="20"/>
              </w:rPr>
            </w:pPr>
            <w:r w:rsidRPr="00634A96">
              <w:rPr>
                <w:sz w:val="20"/>
              </w:rPr>
              <w:t>235</w:t>
            </w:r>
          </w:p>
        </w:tc>
        <w:tc>
          <w:tcPr>
            <w:tcW w:w="1080" w:type="dxa"/>
            <w:tcBorders>
              <w:top w:val="nil"/>
              <w:bottom w:val="nil"/>
            </w:tcBorders>
            <w:shd w:val="clear" w:color="auto" w:fill="auto"/>
            <w:vAlign w:val="center"/>
            <w:hideMark/>
          </w:tcPr>
          <w:p w14:paraId="59570795" w14:textId="77777777" w:rsidR="00DD4B26" w:rsidRPr="008748A2" w:rsidRDefault="00DD4B26" w:rsidP="00050E91">
            <w:pPr>
              <w:keepNext/>
              <w:spacing w:line="240" w:lineRule="auto"/>
              <w:jc w:val="right"/>
              <w:rPr>
                <w:sz w:val="20"/>
              </w:rPr>
            </w:pPr>
            <w:r w:rsidRPr="000F1BB0">
              <w:rPr>
                <w:sz w:val="20"/>
              </w:rPr>
              <w:t>235</w:t>
            </w:r>
          </w:p>
        </w:tc>
        <w:tc>
          <w:tcPr>
            <w:tcW w:w="1800" w:type="dxa"/>
            <w:tcBorders>
              <w:top w:val="nil"/>
              <w:bottom w:val="nil"/>
            </w:tcBorders>
            <w:shd w:val="clear" w:color="auto" w:fill="auto"/>
            <w:vAlign w:val="center"/>
            <w:hideMark/>
          </w:tcPr>
          <w:p w14:paraId="7ACAB691" w14:textId="77777777" w:rsidR="00DD4B26" w:rsidRPr="008748A2" w:rsidRDefault="00DD4B26" w:rsidP="00050E91">
            <w:pPr>
              <w:keepNext/>
              <w:spacing w:line="240" w:lineRule="auto"/>
              <w:jc w:val="right"/>
              <w:rPr>
                <w:sz w:val="20"/>
              </w:rPr>
            </w:pPr>
            <w:r w:rsidRPr="008748A2">
              <w:rPr>
                <w:sz w:val="20"/>
              </w:rPr>
              <w:t>250</w:t>
            </w:r>
          </w:p>
        </w:tc>
        <w:tc>
          <w:tcPr>
            <w:tcW w:w="1260" w:type="dxa"/>
            <w:tcBorders>
              <w:top w:val="nil"/>
              <w:bottom w:val="nil"/>
            </w:tcBorders>
            <w:shd w:val="clear" w:color="auto" w:fill="auto"/>
            <w:vAlign w:val="center"/>
            <w:hideMark/>
          </w:tcPr>
          <w:p w14:paraId="4DCAD7E7" w14:textId="77777777" w:rsidR="00DD4B26" w:rsidRPr="008748A2" w:rsidRDefault="00DD4B26" w:rsidP="00050E91">
            <w:pPr>
              <w:keepNext/>
              <w:spacing w:line="240" w:lineRule="auto"/>
              <w:jc w:val="right"/>
              <w:rPr>
                <w:sz w:val="20"/>
              </w:rPr>
            </w:pPr>
            <w:r w:rsidRPr="008748A2">
              <w:rPr>
                <w:sz w:val="20"/>
              </w:rPr>
              <w:t>979</w:t>
            </w:r>
          </w:p>
        </w:tc>
      </w:tr>
      <w:tr w:rsidR="00DD4B26" w:rsidRPr="00021009" w14:paraId="0314BC45" w14:textId="77777777" w:rsidTr="007B14DB">
        <w:trPr>
          <w:trHeight w:val="144"/>
        </w:trPr>
        <w:tc>
          <w:tcPr>
            <w:tcW w:w="3348" w:type="dxa"/>
            <w:tcBorders>
              <w:top w:val="nil"/>
              <w:bottom w:val="nil"/>
            </w:tcBorders>
            <w:shd w:val="clear" w:color="auto" w:fill="auto"/>
            <w:vAlign w:val="center"/>
            <w:hideMark/>
          </w:tcPr>
          <w:p w14:paraId="478851B2" w14:textId="77777777" w:rsidR="00DD4B26" w:rsidRPr="006D6B42" w:rsidRDefault="00DD4B26" w:rsidP="00050E91">
            <w:pPr>
              <w:keepNext/>
              <w:spacing w:line="240" w:lineRule="auto"/>
              <w:jc w:val="left"/>
              <w:rPr>
                <w:sz w:val="20"/>
              </w:rPr>
            </w:pPr>
            <w:r w:rsidRPr="006D6B42">
              <w:rPr>
                <w:sz w:val="20"/>
              </w:rPr>
              <w:t>Parent notification</w:t>
            </w:r>
          </w:p>
        </w:tc>
        <w:tc>
          <w:tcPr>
            <w:tcW w:w="810" w:type="dxa"/>
            <w:tcBorders>
              <w:top w:val="nil"/>
              <w:bottom w:val="nil"/>
            </w:tcBorders>
            <w:shd w:val="clear" w:color="auto" w:fill="auto"/>
            <w:vAlign w:val="center"/>
            <w:hideMark/>
          </w:tcPr>
          <w:p w14:paraId="53B3014A" w14:textId="77777777" w:rsidR="00DD4B26" w:rsidRPr="00AC48D2" w:rsidRDefault="00DD4B26" w:rsidP="00050E91">
            <w:pPr>
              <w:keepNext/>
              <w:spacing w:line="240" w:lineRule="auto"/>
              <w:jc w:val="right"/>
              <w:rPr>
                <w:sz w:val="20"/>
              </w:rPr>
            </w:pPr>
            <w:r w:rsidRPr="006D6B42">
              <w:rPr>
                <w:sz w:val="20"/>
              </w:rPr>
              <w:t>3,</w:t>
            </w:r>
            <w:r w:rsidRPr="00AC48D2">
              <w:rPr>
                <w:sz w:val="20"/>
              </w:rPr>
              <w:t>600</w:t>
            </w:r>
          </w:p>
        </w:tc>
        <w:tc>
          <w:tcPr>
            <w:tcW w:w="1260" w:type="dxa"/>
            <w:tcBorders>
              <w:top w:val="nil"/>
              <w:bottom w:val="nil"/>
            </w:tcBorders>
            <w:shd w:val="clear" w:color="auto" w:fill="auto"/>
            <w:vAlign w:val="center"/>
            <w:hideMark/>
          </w:tcPr>
          <w:p w14:paraId="154555BE" w14:textId="77777777" w:rsidR="00DD4B26" w:rsidRPr="00DB77E5" w:rsidRDefault="00DD4B26" w:rsidP="00050E91">
            <w:pPr>
              <w:keepNext/>
              <w:spacing w:line="240" w:lineRule="auto"/>
              <w:jc w:val="right"/>
              <w:rPr>
                <w:sz w:val="20"/>
              </w:rPr>
            </w:pPr>
            <w:r w:rsidRPr="00DB77E5">
              <w:rPr>
                <w:sz w:val="20"/>
              </w:rPr>
              <w:t>1.00</w:t>
            </w:r>
          </w:p>
        </w:tc>
        <w:tc>
          <w:tcPr>
            <w:tcW w:w="1170" w:type="dxa"/>
            <w:tcBorders>
              <w:top w:val="nil"/>
              <w:bottom w:val="nil"/>
            </w:tcBorders>
            <w:shd w:val="clear" w:color="auto" w:fill="auto"/>
            <w:vAlign w:val="center"/>
            <w:hideMark/>
          </w:tcPr>
          <w:p w14:paraId="1FF7160B" w14:textId="77777777" w:rsidR="00DD4B26" w:rsidRPr="00641B81" w:rsidRDefault="00DD4B26" w:rsidP="00050E91">
            <w:pPr>
              <w:keepNext/>
              <w:spacing w:line="240" w:lineRule="auto"/>
              <w:jc w:val="right"/>
              <w:rPr>
                <w:sz w:val="20"/>
              </w:rPr>
            </w:pPr>
            <w:r w:rsidRPr="00641B81">
              <w:rPr>
                <w:sz w:val="20"/>
              </w:rPr>
              <w:t>3,600</w:t>
            </w:r>
          </w:p>
        </w:tc>
        <w:tc>
          <w:tcPr>
            <w:tcW w:w="1080" w:type="dxa"/>
            <w:tcBorders>
              <w:top w:val="nil"/>
              <w:bottom w:val="nil"/>
            </w:tcBorders>
            <w:shd w:val="clear" w:color="auto" w:fill="auto"/>
            <w:vAlign w:val="center"/>
            <w:hideMark/>
          </w:tcPr>
          <w:p w14:paraId="65156A6D" w14:textId="77777777" w:rsidR="00DD4B26" w:rsidRPr="00641B81" w:rsidRDefault="00DD4B26" w:rsidP="00050E91">
            <w:pPr>
              <w:keepNext/>
              <w:spacing w:line="240" w:lineRule="auto"/>
              <w:jc w:val="right"/>
              <w:rPr>
                <w:sz w:val="20"/>
              </w:rPr>
            </w:pPr>
            <w:r w:rsidRPr="00641B81">
              <w:rPr>
                <w:sz w:val="20"/>
              </w:rPr>
              <w:t>3,600</w:t>
            </w:r>
          </w:p>
        </w:tc>
        <w:tc>
          <w:tcPr>
            <w:tcW w:w="1800" w:type="dxa"/>
            <w:tcBorders>
              <w:top w:val="nil"/>
              <w:bottom w:val="nil"/>
            </w:tcBorders>
            <w:shd w:val="clear" w:color="auto" w:fill="auto"/>
            <w:vAlign w:val="center"/>
            <w:hideMark/>
          </w:tcPr>
          <w:p w14:paraId="01A0CDEA" w14:textId="77777777" w:rsidR="00DD4B26" w:rsidRPr="00641B81" w:rsidRDefault="00DD4B26" w:rsidP="00050E91">
            <w:pPr>
              <w:keepNext/>
              <w:spacing w:line="240" w:lineRule="auto"/>
              <w:jc w:val="right"/>
              <w:rPr>
                <w:sz w:val="20"/>
              </w:rPr>
            </w:pPr>
            <w:r w:rsidRPr="00641B81">
              <w:rPr>
                <w:sz w:val="20"/>
              </w:rPr>
              <w:t>10</w:t>
            </w:r>
          </w:p>
        </w:tc>
        <w:tc>
          <w:tcPr>
            <w:tcW w:w="1260" w:type="dxa"/>
            <w:tcBorders>
              <w:top w:val="nil"/>
              <w:bottom w:val="nil"/>
            </w:tcBorders>
            <w:shd w:val="clear" w:color="auto" w:fill="auto"/>
            <w:vAlign w:val="center"/>
            <w:hideMark/>
          </w:tcPr>
          <w:p w14:paraId="11083638" w14:textId="77777777" w:rsidR="00DD4B26" w:rsidRPr="00641B81" w:rsidRDefault="00DD4B26" w:rsidP="00050E91">
            <w:pPr>
              <w:keepNext/>
              <w:spacing w:line="240" w:lineRule="auto"/>
              <w:jc w:val="right"/>
              <w:rPr>
                <w:sz w:val="20"/>
              </w:rPr>
            </w:pPr>
            <w:r w:rsidRPr="00641B81">
              <w:rPr>
                <w:sz w:val="20"/>
              </w:rPr>
              <w:t>600</w:t>
            </w:r>
          </w:p>
        </w:tc>
      </w:tr>
      <w:tr w:rsidR="00DD4B26" w:rsidRPr="006962C9" w14:paraId="7A5E3417" w14:textId="77777777" w:rsidTr="007B14DB">
        <w:trPr>
          <w:trHeight w:val="144"/>
        </w:trPr>
        <w:tc>
          <w:tcPr>
            <w:tcW w:w="3348" w:type="dxa"/>
            <w:tcBorders>
              <w:bottom w:val="single" w:sz="4" w:space="0" w:color="auto"/>
            </w:tcBorders>
            <w:shd w:val="clear" w:color="auto" w:fill="auto"/>
            <w:vAlign w:val="center"/>
          </w:tcPr>
          <w:p w14:paraId="631C84A8" w14:textId="77777777" w:rsidR="00DD4B26" w:rsidRPr="006D6B42" w:rsidRDefault="00DD4B26" w:rsidP="00050E91">
            <w:pPr>
              <w:keepNext/>
              <w:spacing w:line="240" w:lineRule="auto"/>
              <w:jc w:val="left"/>
              <w:rPr>
                <w:b/>
                <w:sz w:val="20"/>
              </w:rPr>
            </w:pPr>
            <w:r w:rsidRPr="006D6B42">
              <w:rPr>
                <w:b/>
                <w:sz w:val="20"/>
              </w:rPr>
              <w:t>Main Study Recruitment Burden</w:t>
            </w:r>
          </w:p>
        </w:tc>
        <w:tc>
          <w:tcPr>
            <w:tcW w:w="810" w:type="dxa"/>
            <w:tcBorders>
              <w:bottom w:val="single" w:sz="4" w:space="0" w:color="auto"/>
            </w:tcBorders>
            <w:shd w:val="clear" w:color="auto" w:fill="auto"/>
            <w:vAlign w:val="center"/>
          </w:tcPr>
          <w:p w14:paraId="581A1026" w14:textId="77777777" w:rsidR="00DD4B26" w:rsidRPr="006D6B42"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7AEA69F4" w14:textId="77777777" w:rsidR="00DD4B26" w:rsidRPr="00AC48D2" w:rsidRDefault="00DD4B26" w:rsidP="00050E91">
            <w:pPr>
              <w:keepNext/>
              <w:spacing w:line="240" w:lineRule="auto"/>
              <w:jc w:val="right"/>
              <w:rPr>
                <w:b/>
                <w:sz w:val="20"/>
              </w:rPr>
            </w:pPr>
          </w:p>
        </w:tc>
        <w:tc>
          <w:tcPr>
            <w:tcW w:w="1170" w:type="dxa"/>
            <w:tcBorders>
              <w:bottom w:val="single" w:sz="4" w:space="0" w:color="auto"/>
            </w:tcBorders>
            <w:shd w:val="clear" w:color="auto" w:fill="auto"/>
            <w:vAlign w:val="center"/>
          </w:tcPr>
          <w:p w14:paraId="0DEFA1EA" w14:textId="5AD5B9F6" w:rsidR="00DD4B26" w:rsidRPr="00641B81" w:rsidRDefault="00313BAA" w:rsidP="007B14DB">
            <w:pPr>
              <w:keepNext/>
              <w:spacing w:line="240" w:lineRule="auto"/>
              <w:jc w:val="right"/>
              <w:rPr>
                <w:b/>
                <w:sz w:val="20"/>
              </w:rPr>
            </w:pPr>
            <w:r w:rsidRPr="00641B81">
              <w:rPr>
                <w:b/>
                <w:sz w:val="20"/>
              </w:rPr>
              <w:t>4,</w:t>
            </w:r>
            <w:r w:rsidR="007B14DB" w:rsidRPr="00641B81">
              <w:rPr>
                <w:b/>
                <w:sz w:val="20"/>
              </w:rPr>
              <w:t>031</w:t>
            </w:r>
          </w:p>
        </w:tc>
        <w:tc>
          <w:tcPr>
            <w:tcW w:w="1080" w:type="dxa"/>
            <w:tcBorders>
              <w:bottom w:val="single" w:sz="4" w:space="0" w:color="auto"/>
            </w:tcBorders>
            <w:shd w:val="clear" w:color="auto" w:fill="auto"/>
            <w:vAlign w:val="center"/>
          </w:tcPr>
          <w:p w14:paraId="3D23539E" w14:textId="13F4A0BD" w:rsidR="00DD4B26" w:rsidRPr="00641B81" w:rsidRDefault="007B14DB" w:rsidP="00050E91">
            <w:pPr>
              <w:keepNext/>
              <w:spacing w:line="240" w:lineRule="auto"/>
              <w:jc w:val="right"/>
              <w:rPr>
                <w:b/>
                <w:sz w:val="20"/>
              </w:rPr>
            </w:pPr>
            <w:r w:rsidRPr="00641B81">
              <w:rPr>
                <w:b/>
                <w:sz w:val="20"/>
              </w:rPr>
              <w:t>4,031</w:t>
            </w:r>
          </w:p>
        </w:tc>
        <w:tc>
          <w:tcPr>
            <w:tcW w:w="1800" w:type="dxa"/>
            <w:tcBorders>
              <w:bottom w:val="single" w:sz="4" w:space="0" w:color="auto"/>
            </w:tcBorders>
            <w:shd w:val="clear" w:color="auto" w:fill="auto"/>
            <w:vAlign w:val="center"/>
          </w:tcPr>
          <w:p w14:paraId="0F4BA46D" w14:textId="77777777" w:rsidR="00DD4B26" w:rsidRPr="00641B81"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63EF9CC6" w14:textId="0960C262" w:rsidR="00DD4B26" w:rsidRPr="00641B81" w:rsidRDefault="00313BAA" w:rsidP="007B14DB">
            <w:pPr>
              <w:keepNext/>
              <w:spacing w:line="240" w:lineRule="auto"/>
              <w:jc w:val="right"/>
              <w:rPr>
                <w:b/>
                <w:sz w:val="20"/>
              </w:rPr>
            </w:pPr>
            <w:r w:rsidRPr="00641B81">
              <w:rPr>
                <w:b/>
                <w:sz w:val="20"/>
              </w:rPr>
              <w:t>1,</w:t>
            </w:r>
            <w:r w:rsidR="007B14DB" w:rsidRPr="00641B81">
              <w:rPr>
                <w:b/>
                <w:sz w:val="20"/>
              </w:rPr>
              <w:t>691</w:t>
            </w:r>
          </w:p>
        </w:tc>
      </w:tr>
      <w:tr w:rsidR="00DD4B26" w:rsidRPr="00021009" w14:paraId="7769ED39" w14:textId="77777777" w:rsidTr="007B14DB">
        <w:trPr>
          <w:trHeight w:val="144"/>
        </w:trPr>
        <w:tc>
          <w:tcPr>
            <w:tcW w:w="3348" w:type="dxa"/>
            <w:tcBorders>
              <w:bottom w:val="nil"/>
            </w:tcBorders>
            <w:shd w:val="clear" w:color="auto" w:fill="auto"/>
            <w:vAlign w:val="center"/>
            <w:hideMark/>
          </w:tcPr>
          <w:p w14:paraId="0B01403C" w14:textId="77777777" w:rsidR="00DD4B26" w:rsidRPr="00BC13FF" w:rsidRDefault="00DD4B26" w:rsidP="00050E91">
            <w:pPr>
              <w:keepNext/>
              <w:spacing w:line="240" w:lineRule="auto"/>
              <w:jc w:val="left"/>
              <w:rPr>
                <w:b/>
                <w:bCs/>
                <w:sz w:val="20"/>
              </w:rPr>
            </w:pPr>
            <w:r w:rsidRPr="00BC13FF">
              <w:rPr>
                <w:b/>
                <w:bCs/>
                <w:sz w:val="20"/>
              </w:rPr>
              <w:t>Pre-Assessment Activity</w:t>
            </w:r>
          </w:p>
        </w:tc>
        <w:tc>
          <w:tcPr>
            <w:tcW w:w="810" w:type="dxa"/>
            <w:tcBorders>
              <w:bottom w:val="nil"/>
            </w:tcBorders>
            <w:shd w:val="clear" w:color="auto" w:fill="auto"/>
            <w:vAlign w:val="center"/>
            <w:hideMark/>
          </w:tcPr>
          <w:p w14:paraId="4A09E43C" w14:textId="77777777" w:rsidR="00DD4B26" w:rsidRPr="00BC13FF" w:rsidRDefault="00DD4B26" w:rsidP="00050E91">
            <w:pPr>
              <w:keepNext/>
              <w:spacing w:line="240" w:lineRule="auto"/>
              <w:jc w:val="right"/>
              <w:rPr>
                <w:sz w:val="20"/>
              </w:rPr>
            </w:pPr>
          </w:p>
        </w:tc>
        <w:tc>
          <w:tcPr>
            <w:tcW w:w="1260" w:type="dxa"/>
            <w:tcBorders>
              <w:bottom w:val="nil"/>
            </w:tcBorders>
            <w:shd w:val="clear" w:color="auto" w:fill="auto"/>
            <w:vAlign w:val="center"/>
            <w:hideMark/>
          </w:tcPr>
          <w:p w14:paraId="7885B29A" w14:textId="77777777" w:rsidR="00DD4B26" w:rsidRPr="00BC13FF" w:rsidRDefault="00DD4B26" w:rsidP="00050E91">
            <w:pPr>
              <w:keepNext/>
              <w:spacing w:line="240" w:lineRule="auto"/>
              <w:jc w:val="right"/>
              <w:rPr>
                <w:sz w:val="20"/>
              </w:rPr>
            </w:pPr>
          </w:p>
        </w:tc>
        <w:tc>
          <w:tcPr>
            <w:tcW w:w="1170" w:type="dxa"/>
            <w:tcBorders>
              <w:bottom w:val="nil"/>
            </w:tcBorders>
            <w:shd w:val="clear" w:color="auto" w:fill="auto"/>
            <w:vAlign w:val="center"/>
            <w:hideMark/>
          </w:tcPr>
          <w:p w14:paraId="3C21B1DC" w14:textId="77777777" w:rsidR="00DD4B26" w:rsidRPr="00641B81" w:rsidRDefault="00DD4B26" w:rsidP="00050E91">
            <w:pPr>
              <w:keepNext/>
              <w:spacing w:line="240" w:lineRule="auto"/>
              <w:jc w:val="right"/>
              <w:rPr>
                <w:sz w:val="20"/>
              </w:rPr>
            </w:pPr>
          </w:p>
        </w:tc>
        <w:tc>
          <w:tcPr>
            <w:tcW w:w="1080" w:type="dxa"/>
            <w:tcBorders>
              <w:bottom w:val="nil"/>
            </w:tcBorders>
            <w:shd w:val="clear" w:color="auto" w:fill="auto"/>
            <w:vAlign w:val="center"/>
            <w:hideMark/>
          </w:tcPr>
          <w:p w14:paraId="73B11EC2" w14:textId="77777777" w:rsidR="00DD4B26" w:rsidRPr="00641B81" w:rsidRDefault="00DD4B26" w:rsidP="00050E91">
            <w:pPr>
              <w:keepNext/>
              <w:spacing w:line="240" w:lineRule="auto"/>
              <w:jc w:val="right"/>
              <w:rPr>
                <w:sz w:val="20"/>
              </w:rPr>
            </w:pPr>
          </w:p>
        </w:tc>
        <w:tc>
          <w:tcPr>
            <w:tcW w:w="1800" w:type="dxa"/>
            <w:tcBorders>
              <w:bottom w:val="nil"/>
            </w:tcBorders>
            <w:shd w:val="clear" w:color="auto" w:fill="auto"/>
            <w:vAlign w:val="center"/>
            <w:hideMark/>
          </w:tcPr>
          <w:p w14:paraId="6CF5F082" w14:textId="77777777" w:rsidR="00DD4B26" w:rsidRPr="00641B81" w:rsidRDefault="00DD4B26" w:rsidP="00050E91">
            <w:pPr>
              <w:keepNext/>
              <w:spacing w:line="240" w:lineRule="auto"/>
              <w:jc w:val="right"/>
              <w:rPr>
                <w:sz w:val="20"/>
              </w:rPr>
            </w:pPr>
          </w:p>
        </w:tc>
        <w:tc>
          <w:tcPr>
            <w:tcW w:w="1260" w:type="dxa"/>
            <w:tcBorders>
              <w:bottom w:val="nil"/>
            </w:tcBorders>
            <w:shd w:val="clear" w:color="auto" w:fill="auto"/>
            <w:vAlign w:val="center"/>
            <w:hideMark/>
          </w:tcPr>
          <w:p w14:paraId="3218AB21" w14:textId="77777777" w:rsidR="00DD4B26" w:rsidRPr="00641B81" w:rsidRDefault="00DD4B26" w:rsidP="00050E91">
            <w:pPr>
              <w:keepNext/>
              <w:spacing w:line="240" w:lineRule="auto"/>
              <w:jc w:val="right"/>
              <w:rPr>
                <w:sz w:val="20"/>
              </w:rPr>
            </w:pPr>
            <w:r w:rsidRPr="00641B81">
              <w:rPr>
                <w:sz w:val="20"/>
              </w:rPr>
              <w:t> </w:t>
            </w:r>
          </w:p>
        </w:tc>
      </w:tr>
      <w:tr w:rsidR="00DD4B26" w:rsidRPr="00021009" w14:paraId="44863C54" w14:textId="77777777" w:rsidTr="007B14DB">
        <w:trPr>
          <w:trHeight w:val="144"/>
        </w:trPr>
        <w:tc>
          <w:tcPr>
            <w:tcW w:w="3348" w:type="dxa"/>
            <w:tcBorders>
              <w:top w:val="nil"/>
              <w:bottom w:val="single" w:sz="4" w:space="0" w:color="auto"/>
            </w:tcBorders>
            <w:shd w:val="clear" w:color="auto" w:fill="auto"/>
            <w:vAlign w:val="center"/>
            <w:hideMark/>
          </w:tcPr>
          <w:p w14:paraId="35BE948D" w14:textId="77777777" w:rsidR="00DD4B26" w:rsidRPr="00BC13FF" w:rsidRDefault="00DD4B26" w:rsidP="00050E91">
            <w:pPr>
              <w:keepNext/>
              <w:spacing w:line="240" w:lineRule="auto"/>
              <w:jc w:val="left"/>
              <w:rPr>
                <w:sz w:val="20"/>
              </w:rPr>
            </w:pPr>
            <w:r w:rsidRPr="00BC13FF">
              <w:rPr>
                <w:sz w:val="20"/>
              </w:rPr>
              <w:t>School Coordinator</w:t>
            </w:r>
          </w:p>
        </w:tc>
        <w:tc>
          <w:tcPr>
            <w:tcW w:w="810" w:type="dxa"/>
            <w:tcBorders>
              <w:top w:val="nil"/>
              <w:bottom w:val="single" w:sz="4" w:space="0" w:color="auto"/>
            </w:tcBorders>
            <w:shd w:val="clear" w:color="auto" w:fill="auto"/>
            <w:vAlign w:val="center"/>
            <w:hideMark/>
          </w:tcPr>
          <w:p w14:paraId="6B55ADFA" w14:textId="77777777" w:rsidR="00DD4B26" w:rsidRPr="00BC13FF" w:rsidRDefault="00DD4B26" w:rsidP="00050E91">
            <w:pPr>
              <w:keepNext/>
              <w:spacing w:line="240" w:lineRule="auto"/>
              <w:jc w:val="right"/>
              <w:rPr>
                <w:sz w:val="20"/>
              </w:rPr>
            </w:pPr>
            <w:r w:rsidRPr="00BC13FF">
              <w:rPr>
                <w:sz w:val="20"/>
              </w:rPr>
              <w:t>235</w:t>
            </w:r>
          </w:p>
        </w:tc>
        <w:tc>
          <w:tcPr>
            <w:tcW w:w="1260" w:type="dxa"/>
            <w:tcBorders>
              <w:top w:val="nil"/>
              <w:bottom w:val="single" w:sz="4" w:space="0" w:color="auto"/>
            </w:tcBorders>
            <w:shd w:val="clear" w:color="auto" w:fill="auto"/>
            <w:vAlign w:val="center"/>
            <w:hideMark/>
          </w:tcPr>
          <w:p w14:paraId="510037F8"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single" w:sz="4" w:space="0" w:color="auto"/>
            </w:tcBorders>
            <w:shd w:val="clear" w:color="auto" w:fill="auto"/>
            <w:vAlign w:val="center"/>
            <w:hideMark/>
          </w:tcPr>
          <w:p w14:paraId="10701185" w14:textId="77777777" w:rsidR="00DD4B26" w:rsidRPr="00641B81" w:rsidRDefault="00DD4B26" w:rsidP="00050E91">
            <w:pPr>
              <w:keepNext/>
              <w:spacing w:line="240" w:lineRule="auto"/>
              <w:jc w:val="right"/>
              <w:rPr>
                <w:sz w:val="20"/>
              </w:rPr>
            </w:pPr>
            <w:r w:rsidRPr="00641B81">
              <w:rPr>
                <w:sz w:val="20"/>
              </w:rPr>
              <w:t>200</w:t>
            </w:r>
          </w:p>
        </w:tc>
        <w:tc>
          <w:tcPr>
            <w:tcW w:w="1080" w:type="dxa"/>
            <w:tcBorders>
              <w:top w:val="nil"/>
              <w:bottom w:val="single" w:sz="4" w:space="0" w:color="auto"/>
            </w:tcBorders>
            <w:shd w:val="clear" w:color="auto" w:fill="auto"/>
            <w:vAlign w:val="center"/>
            <w:hideMark/>
          </w:tcPr>
          <w:p w14:paraId="365CC86D" w14:textId="77777777" w:rsidR="00DD4B26" w:rsidRPr="00641B81" w:rsidRDefault="00DD4B26" w:rsidP="00050E91">
            <w:pPr>
              <w:keepNext/>
              <w:spacing w:line="240" w:lineRule="auto"/>
              <w:jc w:val="right"/>
              <w:rPr>
                <w:sz w:val="20"/>
              </w:rPr>
            </w:pPr>
            <w:r w:rsidRPr="00641B81">
              <w:rPr>
                <w:sz w:val="20"/>
              </w:rPr>
              <w:t>200</w:t>
            </w:r>
          </w:p>
        </w:tc>
        <w:tc>
          <w:tcPr>
            <w:tcW w:w="1800" w:type="dxa"/>
            <w:tcBorders>
              <w:top w:val="nil"/>
              <w:bottom w:val="single" w:sz="4" w:space="0" w:color="auto"/>
            </w:tcBorders>
            <w:shd w:val="clear" w:color="auto" w:fill="auto"/>
            <w:vAlign w:val="center"/>
            <w:hideMark/>
          </w:tcPr>
          <w:p w14:paraId="2081BE6A" w14:textId="77777777" w:rsidR="00DD4B26" w:rsidRPr="00641B81" w:rsidRDefault="00DD4B26" w:rsidP="00050E91">
            <w:pPr>
              <w:keepNext/>
              <w:spacing w:line="240" w:lineRule="auto"/>
              <w:jc w:val="right"/>
              <w:rPr>
                <w:sz w:val="20"/>
              </w:rPr>
            </w:pPr>
            <w:r w:rsidRPr="00641B81">
              <w:rPr>
                <w:sz w:val="20"/>
              </w:rPr>
              <w:t>240</w:t>
            </w:r>
          </w:p>
        </w:tc>
        <w:tc>
          <w:tcPr>
            <w:tcW w:w="1260" w:type="dxa"/>
            <w:tcBorders>
              <w:top w:val="nil"/>
              <w:bottom w:val="single" w:sz="4" w:space="0" w:color="auto"/>
            </w:tcBorders>
            <w:shd w:val="clear" w:color="auto" w:fill="auto"/>
            <w:vAlign w:val="center"/>
            <w:hideMark/>
          </w:tcPr>
          <w:p w14:paraId="2C72A08E" w14:textId="77777777" w:rsidR="00DD4B26" w:rsidRPr="00641B81" w:rsidRDefault="00DD4B26" w:rsidP="00050E91">
            <w:pPr>
              <w:keepNext/>
              <w:spacing w:line="240" w:lineRule="auto"/>
              <w:jc w:val="right"/>
              <w:rPr>
                <w:sz w:val="20"/>
              </w:rPr>
            </w:pPr>
            <w:r w:rsidRPr="00641B81">
              <w:rPr>
                <w:sz w:val="20"/>
              </w:rPr>
              <w:t>800</w:t>
            </w:r>
          </w:p>
        </w:tc>
      </w:tr>
      <w:tr w:rsidR="00DD4B26" w:rsidRPr="00021009" w14:paraId="7D928484" w14:textId="77777777" w:rsidTr="007B14DB">
        <w:trPr>
          <w:trHeight w:val="144"/>
        </w:trPr>
        <w:tc>
          <w:tcPr>
            <w:tcW w:w="3348" w:type="dxa"/>
            <w:tcBorders>
              <w:top w:val="single" w:sz="4" w:space="0" w:color="auto"/>
              <w:bottom w:val="nil"/>
            </w:tcBorders>
            <w:shd w:val="clear" w:color="auto" w:fill="auto"/>
            <w:vAlign w:val="center"/>
            <w:hideMark/>
          </w:tcPr>
          <w:p w14:paraId="6CC54D10" w14:textId="77777777" w:rsidR="00DD4B26" w:rsidRPr="00BC13FF" w:rsidRDefault="00DD4B26" w:rsidP="00050E91">
            <w:pPr>
              <w:keepNext/>
              <w:spacing w:line="240" w:lineRule="auto"/>
              <w:jc w:val="left"/>
              <w:rPr>
                <w:b/>
                <w:bCs/>
                <w:sz w:val="20"/>
              </w:rPr>
            </w:pPr>
            <w:r w:rsidRPr="00BC13FF">
              <w:rPr>
                <w:b/>
                <w:bCs/>
                <w:sz w:val="20"/>
              </w:rPr>
              <w:t>Data Collection</w:t>
            </w:r>
          </w:p>
        </w:tc>
        <w:tc>
          <w:tcPr>
            <w:tcW w:w="810" w:type="dxa"/>
            <w:tcBorders>
              <w:top w:val="single" w:sz="4" w:space="0" w:color="auto"/>
              <w:bottom w:val="nil"/>
            </w:tcBorders>
            <w:shd w:val="clear" w:color="auto" w:fill="auto"/>
            <w:vAlign w:val="center"/>
            <w:hideMark/>
          </w:tcPr>
          <w:p w14:paraId="682A43E3" w14:textId="77777777" w:rsidR="00DD4B26" w:rsidRPr="00BC13FF" w:rsidRDefault="00DD4B26" w:rsidP="00050E91">
            <w:pPr>
              <w:keepNext/>
              <w:spacing w:line="240" w:lineRule="auto"/>
              <w:jc w:val="right"/>
              <w:rPr>
                <w:sz w:val="20"/>
              </w:rPr>
            </w:pPr>
          </w:p>
        </w:tc>
        <w:tc>
          <w:tcPr>
            <w:tcW w:w="1260" w:type="dxa"/>
            <w:tcBorders>
              <w:top w:val="single" w:sz="4" w:space="0" w:color="auto"/>
              <w:bottom w:val="nil"/>
            </w:tcBorders>
            <w:shd w:val="clear" w:color="auto" w:fill="auto"/>
            <w:vAlign w:val="center"/>
            <w:hideMark/>
          </w:tcPr>
          <w:p w14:paraId="387B5D04" w14:textId="77777777" w:rsidR="00DD4B26" w:rsidRPr="00BC13FF" w:rsidRDefault="00DD4B26" w:rsidP="00050E91">
            <w:pPr>
              <w:keepNext/>
              <w:spacing w:line="240" w:lineRule="auto"/>
              <w:jc w:val="right"/>
              <w:rPr>
                <w:sz w:val="20"/>
              </w:rPr>
            </w:pPr>
          </w:p>
        </w:tc>
        <w:tc>
          <w:tcPr>
            <w:tcW w:w="1170" w:type="dxa"/>
            <w:tcBorders>
              <w:top w:val="single" w:sz="4" w:space="0" w:color="auto"/>
              <w:bottom w:val="nil"/>
            </w:tcBorders>
            <w:shd w:val="clear" w:color="auto" w:fill="auto"/>
            <w:vAlign w:val="center"/>
            <w:hideMark/>
          </w:tcPr>
          <w:p w14:paraId="6FAC3E76" w14:textId="77777777" w:rsidR="00DD4B26" w:rsidRPr="00641B81" w:rsidRDefault="00DD4B26" w:rsidP="00050E91">
            <w:pPr>
              <w:keepNext/>
              <w:spacing w:line="240" w:lineRule="auto"/>
              <w:jc w:val="right"/>
              <w:rPr>
                <w:sz w:val="20"/>
              </w:rPr>
            </w:pPr>
          </w:p>
        </w:tc>
        <w:tc>
          <w:tcPr>
            <w:tcW w:w="1080" w:type="dxa"/>
            <w:tcBorders>
              <w:top w:val="single" w:sz="4" w:space="0" w:color="auto"/>
              <w:bottom w:val="nil"/>
            </w:tcBorders>
            <w:shd w:val="clear" w:color="auto" w:fill="auto"/>
            <w:vAlign w:val="center"/>
            <w:hideMark/>
          </w:tcPr>
          <w:p w14:paraId="3DE5372B" w14:textId="77777777" w:rsidR="00DD4B26" w:rsidRPr="00641B81" w:rsidRDefault="00DD4B26" w:rsidP="00050E91">
            <w:pPr>
              <w:keepNext/>
              <w:spacing w:line="240" w:lineRule="auto"/>
              <w:jc w:val="right"/>
              <w:rPr>
                <w:sz w:val="20"/>
              </w:rPr>
            </w:pPr>
          </w:p>
        </w:tc>
        <w:tc>
          <w:tcPr>
            <w:tcW w:w="1800" w:type="dxa"/>
            <w:tcBorders>
              <w:top w:val="single" w:sz="4" w:space="0" w:color="auto"/>
              <w:bottom w:val="nil"/>
            </w:tcBorders>
            <w:shd w:val="clear" w:color="auto" w:fill="auto"/>
            <w:vAlign w:val="center"/>
            <w:hideMark/>
          </w:tcPr>
          <w:p w14:paraId="1D8241AB" w14:textId="77777777" w:rsidR="00DD4B26" w:rsidRPr="00641B81" w:rsidRDefault="00DD4B26" w:rsidP="00050E91">
            <w:pPr>
              <w:keepNext/>
              <w:spacing w:line="240" w:lineRule="auto"/>
              <w:jc w:val="right"/>
              <w:rPr>
                <w:sz w:val="20"/>
              </w:rPr>
            </w:pPr>
          </w:p>
        </w:tc>
        <w:tc>
          <w:tcPr>
            <w:tcW w:w="1260" w:type="dxa"/>
            <w:tcBorders>
              <w:top w:val="single" w:sz="4" w:space="0" w:color="auto"/>
              <w:bottom w:val="nil"/>
            </w:tcBorders>
            <w:shd w:val="clear" w:color="auto" w:fill="auto"/>
            <w:vAlign w:val="center"/>
            <w:hideMark/>
          </w:tcPr>
          <w:p w14:paraId="291DF6D1" w14:textId="77777777" w:rsidR="00DD4B26" w:rsidRPr="00641B81" w:rsidRDefault="00DD4B26" w:rsidP="00050E91">
            <w:pPr>
              <w:keepNext/>
              <w:spacing w:line="240" w:lineRule="auto"/>
              <w:jc w:val="right"/>
              <w:rPr>
                <w:sz w:val="20"/>
              </w:rPr>
            </w:pPr>
            <w:r w:rsidRPr="00641B81">
              <w:rPr>
                <w:sz w:val="20"/>
              </w:rPr>
              <w:t> </w:t>
            </w:r>
          </w:p>
        </w:tc>
      </w:tr>
      <w:tr w:rsidR="00DD4B26" w:rsidRPr="00021009" w14:paraId="4B9435BF" w14:textId="77777777" w:rsidTr="007B14DB">
        <w:trPr>
          <w:trHeight w:val="144"/>
        </w:trPr>
        <w:tc>
          <w:tcPr>
            <w:tcW w:w="3348" w:type="dxa"/>
            <w:tcBorders>
              <w:top w:val="nil"/>
              <w:bottom w:val="nil"/>
            </w:tcBorders>
            <w:shd w:val="clear" w:color="auto" w:fill="auto"/>
            <w:vAlign w:val="center"/>
            <w:hideMark/>
          </w:tcPr>
          <w:p w14:paraId="78F2BEED" w14:textId="77777777" w:rsidR="00DD4B26" w:rsidRPr="00BC13FF" w:rsidRDefault="00DD4B26" w:rsidP="00050E91">
            <w:pPr>
              <w:keepNext/>
              <w:spacing w:line="240" w:lineRule="auto"/>
              <w:jc w:val="left"/>
              <w:rPr>
                <w:sz w:val="20"/>
              </w:rPr>
            </w:pPr>
            <w:r w:rsidRPr="00BC13FF">
              <w:rPr>
                <w:sz w:val="20"/>
              </w:rPr>
              <w:t>Parent Questionnaire*</w:t>
            </w:r>
          </w:p>
        </w:tc>
        <w:tc>
          <w:tcPr>
            <w:tcW w:w="810" w:type="dxa"/>
            <w:tcBorders>
              <w:top w:val="nil"/>
              <w:bottom w:val="nil"/>
            </w:tcBorders>
            <w:shd w:val="clear" w:color="auto" w:fill="auto"/>
            <w:vAlign w:val="center"/>
            <w:hideMark/>
          </w:tcPr>
          <w:p w14:paraId="1393776C" w14:textId="77777777" w:rsidR="00DD4B26" w:rsidRPr="00BC13FF" w:rsidRDefault="00DD4B26" w:rsidP="00050E91">
            <w:pPr>
              <w:keepNext/>
              <w:spacing w:line="240" w:lineRule="auto"/>
              <w:jc w:val="right"/>
              <w:rPr>
                <w:sz w:val="20"/>
              </w:rPr>
            </w:pPr>
            <w:r w:rsidRPr="00BC13FF">
              <w:rPr>
                <w:sz w:val="20"/>
              </w:rPr>
              <w:t>3,600</w:t>
            </w:r>
          </w:p>
        </w:tc>
        <w:tc>
          <w:tcPr>
            <w:tcW w:w="1260" w:type="dxa"/>
            <w:tcBorders>
              <w:top w:val="nil"/>
              <w:bottom w:val="nil"/>
            </w:tcBorders>
            <w:shd w:val="clear" w:color="auto" w:fill="auto"/>
            <w:vAlign w:val="center"/>
            <w:hideMark/>
          </w:tcPr>
          <w:p w14:paraId="1B591E50"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nil"/>
            </w:tcBorders>
            <w:shd w:val="clear" w:color="auto" w:fill="auto"/>
            <w:vAlign w:val="center"/>
            <w:hideMark/>
          </w:tcPr>
          <w:p w14:paraId="44EC9FC1" w14:textId="77777777" w:rsidR="00DD4B26" w:rsidRPr="00641B81" w:rsidRDefault="00DD4B26" w:rsidP="00050E91">
            <w:pPr>
              <w:keepNext/>
              <w:spacing w:line="240" w:lineRule="auto"/>
              <w:jc w:val="right"/>
              <w:rPr>
                <w:sz w:val="20"/>
              </w:rPr>
            </w:pPr>
            <w:r w:rsidRPr="00641B81">
              <w:rPr>
                <w:sz w:val="20"/>
              </w:rPr>
              <w:t>3,060*</w:t>
            </w:r>
          </w:p>
        </w:tc>
        <w:tc>
          <w:tcPr>
            <w:tcW w:w="1080" w:type="dxa"/>
            <w:tcBorders>
              <w:top w:val="nil"/>
              <w:bottom w:val="nil"/>
            </w:tcBorders>
            <w:shd w:val="clear" w:color="auto" w:fill="auto"/>
            <w:vAlign w:val="center"/>
            <w:hideMark/>
          </w:tcPr>
          <w:p w14:paraId="44B98DE6" w14:textId="77777777" w:rsidR="00DD4B26" w:rsidRPr="00641B81" w:rsidRDefault="00DD4B26" w:rsidP="00050E91">
            <w:pPr>
              <w:keepNext/>
              <w:spacing w:line="240" w:lineRule="auto"/>
              <w:jc w:val="right"/>
              <w:rPr>
                <w:sz w:val="20"/>
              </w:rPr>
            </w:pPr>
            <w:r w:rsidRPr="00641B81">
              <w:rPr>
                <w:sz w:val="20"/>
              </w:rPr>
              <w:t>3,060</w:t>
            </w:r>
          </w:p>
        </w:tc>
        <w:tc>
          <w:tcPr>
            <w:tcW w:w="1800" w:type="dxa"/>
            <w:tcBorders>
              <w:top w:val="nil"/>
              <w:bottom w:val="nil"/>
            </w:tcBorders>
            <w:shd w:val="clear" w:color="auto" w:fill="auto"/>
            <w:vAlign w:val="center"/>
            <w:hideMark/>
          </w:tcPr>
          <w:p w14:paraId="1D8581C8" w14:textId="77777777" w:rsidR="00DD4B26" w:rsidRPr="00641B81" w:rsidRDefault="00DD4B26" w:rsidP="00050E91">
            <w:pPr>
              <w:keepNext/>
              <w:spacing w:line="240" w:lineRule="auto"/>
              <w:jc w:val="right"/>
              <w:rPr>
                <w:sz w:val="20"/>
              </w:rPr>
            </w:pPr>
            <w:r w:rsidRPr="00641B81">
              <w:rPr>
                <w:sz w:val="20"/>
              </w:rPr>
              <w:t>30</w:t>
            </w:r>
          </w:p>
        </w:tc>
        <w:tc>
          <w:tcPr>
            <w:tcW w:w="1260" w:type="dxa"/>
            <w:tcBorders>
              <w:top w:val="nil"/>
              <w:bottom w:val="nil"/>
            </w:tcBorders>
            <w:shd w:val="clear" w:color="auto" w:fill="auto"/>
            <w:vAlign w:val="center"/>
            <w:hideMark/>
          </w:tcPr>
          <w:p w14:paraId="25D0853D" w14:textId="77777777" w:rsidR="00DD4B26" w:rsidRPr="00641B81" w:rsidRDefault="00DD4B26" w:rsidP="00050E91">
            <w:pPr>
              <w:keepNext/>
              <w:spacing w:line="240" w:lineRule="auto"/>
              <w:jc w:val="right"/>
              <w:rPr>
                <w:sz w:val="20"/>
              </w:rPr>
            </w:pPr>
            <w:r w:rsidRPr="00641B81">
              <w:rPr>
                <w:sz w:val="20"/>
              </w:rPr>
              <w:t>1,530</w:t>
            </w:r>
          </w:p>
        </w:tc>
      </w:tr>
      <w:tr w:rsidR="00DD4B26" w:rsidRPr="00021009" w14:paraId="079B1922" w14:textId="77777777" w:rsidTr="007B14DB">
        <w:trPr>
          <w:trHeight w:val="144"/>
        </w:trPr>
        <w:tc>
          <w:tcPr>
            <w:tcW w:w="3348" w:type="dxa"/>
            <w:tcBorders>
              <w:top w:val="nil"/>
              <w:bottom w:val="nil"/>
            </w:tcBorders>
            <w:shd w:val="clear" w:color="auto" w:fill="auto"/>
            <w:vAlign w:val="center"/>
            <w:hideMark/>
          </w:tcPr>
          <w:p w14:paraId="0FDED042" w14:textId="77777777" w:rsidR="00DD4B26" w:rsidRPr="00BC13FF" w:rsidRDefault="00DD4B26" w:rsidP="00050E91">
            <w:pPr>
              <w:keepNext/>
              <w:spacing w:line="240" w:lineRule="auto"/>
              <w:jc w:val="left"/>
              <w:rPr>
                <w:sz w:val="20"/>
              </w:rPr>
            </w:pPr>
            <w:r w:rsidRPr="00BC13FF">
              <w:rPr>
                <w:sz w:val="20"/>
              </w:rPr>
              <w:t>Teacher Questionnaire</w:t>
            </w:r>
          </w:p>
        </w:tc>
        <w:tc>
          <w:tcPr>
            <w:tcW w:w="810" w:type="dxa"/>
            <w:tcBorders>
              <w:top w:val="nil"/>
              <w:bottom w:val="nil"/>
            </w:tcBorders>
            <w:shd w:val="clear" w:color="auto" w:fill="auto"/>
            <w:vAlign w:val="center"/>
            <w:hideMark/>
          </w:tcPr>
          <w:p w14:paraId="71E82EB8" w14:textId="0D014FB3" w:rsidR="00DD4B26" w:rsidRPr="00BC13FF" w:rsidRDefault="00BC36EC" w:rsidP="00050E91">
            <w:pPr>
              <w:keepNext/>
              <w:spacing w:line="240" w:lineRule="auto"/>
              <w:jc w:val="right"/>
              <w:rPr>
                <w:sz w:val="20"/>
              </w:rPr>
            </w:pPr>
            <w:r w:rsidRPr="00BC13FF">
              <w:rPr>
                <w:sz w:val="20"/>
              </w:rPr>
              <w:t>941</w:t>
            </w:r>
          </w:p>
        </w:tc>
        <w:tc>
          <w:tcPr>
            <w:tcW w:w="1260" w:type="dxa"/>
            <w:tcBorders>
              <w:top w:val="nil"/>
              <w:bottom w:val="nil"/>
            </w:tcBorders>
            <w:shd w:val="clear" w:color="auto" w:fill="auto"/>
            <w:vAlign w:val="center"/>
            <w:hideMark/>
          </w:tcPr>
          <w:p w14:paraId="73553244" w14:textId="77777777" w:rsidR="00DD4B26" w:rsidRPr="00BC13FF" w:rsidRDefault="00DD4B26" w:rsidP="00050E91">
            <w:pPr>
              <w:keepNext/>
              <w:spacing w:line="240" w:lineRule="auto"/>
              <w:jc w:val="right"/>
              <w:rPr>
                <w:sz w:val="20"/>
              </w:rPr>
            </w:pPr>
            <w:r w:rsidRPr="00BC13FF">
              <w:rPr>
                <w:sz w:val="20"/>
              </w:rPr>
              <w:t>0.85</w:t>
            </w:r>
          </w:p>
        </w:tc>
        <w:tc>
          <w:tcPr>
            <w:tcW w:w="1170" w:type="dxa"/>
            <w:tcBorders>
              <w:top w:val="nil"/>
              <w:bottom w:val="nil"/>
            </w:tcBorders>
            <w:shd w:val="clear" w:color="auto" w:fill="auto"/>
            <w:vAlign w:val="center"/>
            <w:hideMark/>
          </w:tcPr>
          <w:p w14:paraId="26764A6C" w14:textId="59FC4515" w:rsidR="00DD4B26" w:rsidRPr="00641B81" w:rsidRDefault="00BC36EC" w:rsidP="00050E91">
            <w:pPr>
              <w:keepNext/>
              <w:spacing w:line="240" w:lineRule="auto"/>
              <w:jc w:val="right"/>
              <w:rPr>
                <w:sz w:val="20"/>
              </w:rPr>
            </w:pPr>
            <w:r w:rsidRPr="00641B81">
              <w:rPr>
                <w:sz w:val="20"/>
              </w:rPr>
              <w:t>800</w:t>
            </w:r>
          </w:p>
        </w:tc>
        <w:tc>
          <w:tcPr>
            <w:tcW w:w="1080" w:type="dxa"/>
            <w:tcBorders>
              <w:top w:val="nil"/>
              <w:bottom w:val="nil"/>
            </w:tcBorders>
            <w:shd w:val="clear" w:color="auto" w:fill="auto"/>
            <w:vAlign w:val="center"/>
            <w:hideMark/>
          </w:tcPr>
          <w:p w14:paraId="2311E47B" w14:textId="0DE09EAB" w:rsidR="00DD4B26" w:rsidRPr="00641B81" w:rsidRDefault="00BC36EC" w:rsidP="00050E91">
            <w:pPr>
              <w:keepNext/>
              <w:spacing w:line="240" w:lineRule="auto"/>
              <w:jc w:val="right"/>
              <w:rPr>
                <w:sz w:val="20"/>
              </w:rPr>
            </w:pPr>
            <w:r w:rsidRPr="00641B81">
              <w:rPr>
                <w:sz w:val="20"/>
              </w:rPr>
              <w:t>800</w:t>
            </w:r>
          </w:p>
        </w:tc>
        <w:tc>
          <w:tcPr>
            <w:tcW w:w="1800" w:type="dxa"/>
            <w:tcBorders>
              <w:top w:val="nil"/>
              <w:bottom w:val="nil"/>
            </w:tcBorders>
            <w:shd w:val="clear" w:color="auto" w:fill="auto"/>
            <w:vAlign w:val="center"/>
            <w:hideMark/>
          </w:tcPr>
          <w:p w14:paraId="007714F6" w14:textId="08B439B4" w:rsidR="00DD4B26" w:rsidRPr="00641B81" w:rsidRDefault="006D6B42" w:rsidP="00050E91">
            <w:pPr>
              <w:keepNext/>
              <w:spacing w:line="240" w:lineRule="auto"/>
              <w:jc w:val="right"/>
              <w:rPr>
                <w:sz w:val="20"/>
              </w:rPr>
            </w:pPr>
            <w:r w:rsidRPr="00641B81">
              <w:rPr>
                <w:sz w:val="20"/>
              </w:rPr>
              <w:t>33</w:t>
            </w:r>
          </w:p>
        </w:tc>
        <w:tc>
          <w:tcPr>
            <w:tcW w:w="1260" w:type="dxa"/>
            <w:tcBorders>
              <w:top w:val="nil"/>
              <w:bottom w:val="nil"/>
            </w:tcBorders>
            <w:shd w:val="clear" w:color="auto" w:fill="auto"/>
            <w:vAlign w:val="center"/>
            <w:hideMark/>
          </w:tcPr>
          <w:p w14:paraId="736BBF69" w14:textId="468D1521" w:rsidR="00DD4B26" w:rsidRPr="00641B81" w:rsidRDefault="006D6B42" w:rsidP="00050E91">
            <w:pPr>
              <w:keepNext/>
              <w:spacing w:line="240" w:lineRule="auto"/>
              <w:jc w:val="right"/>
              <w:rPr>
                <w:sz w:val="20"/>
              </w:rPr>
            </w:pPr>
            <w:r w:rsidRPr="00641B81">
              <w:rPr>
                <w:sz w:val="20"/>
              </w:rPr>
              <w:t>440</w:t>
            </w:r>
          </w:p>
        </w:tc>
      </w:tr>
      <w:tr w:rsidR="00DD4B26" w:rsidRPr="005B2867" w14:paraId="0DE5B8BE" w14:textId="77777777" w:rsidTr="007B14DB">
        <w:trPr>
          <w:trHeight w:val="144"/>
        </w:trPr>
        <w:tc>
          <w:tcPr>
            <w:tcW w:w="3348" w:type="dxa"/>
            <w:tcBorders>
              <w:top w:val="nil"/>
              <w:bottom w:val="single" w:sz="4" w:space="0" w:color="auto"/>
            </w:tcBorders>
            <w:shd w:val="clear" w:color="auto" w:fill="auto"/>
            <w:vAlign w:val="center"/>
            <w:hideMark/>
          </w:tcPr>
          <w:p w14:paraId="641FE146" w14:textId="77777777" w:rsidR="00DD4B26" w:rsidRPr="005B2867" w:rsidRDefault="00DD4B26" w:rsidP="00050E91">
            <w:pPr>
              <w:keepNext/>
              <w:spacing w:line="240" w:lineRule="auto"/>
              <w:jc w:val="left"/>
              <w:rPr>
                <w:color w:val="808080" w:themeColor="background1" w:themeShade="80"/>
                <w:sz w:val="20"/>
              </w:rPr>
            </w:pPr>
            <w:r w:rsidRPr="005B2867">
              <w:rPr>
                <w:color w:val="808080" w:themeColor="background1" w:themeShade="80"/>
                <w:sz w:val="20"/>
              </w:rPr>
              <w:t>Students (direct assessment)</w:t>
            </w:r>
          </w:p>
        </w:tc>
        <w:tc>
          <w:tcPr>
            <w:tcW w:w="810" w:type="dxa"/>
            <w:tcBorders>
              <w:top w:val="nil"/>
              <w:bottom w:val="single" w:sz="4" w:space="0" w:color="auto"/>
            </w:tcBorders>
            <w:shd w:val="clear" w:color="auto" w:fill="auto"/>
            <w:vAlign w:val="center"/>
            <w:hideMark/>
          </w:tcPr>
          <w:p w14:paraId="361235EA"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3,600</w:t>
            </w:r>
          </w:p>
        </w:tc>
        <w:tc>
          <w:tcPr>
            <w:tcW w:w="1260" w:type="dxa"/>
            <w:tcBorders>
              <w:top w:val="nil"/>
              <w:bottom w:val="single" w:sz="4" w:space="0" w:color="auto"/>
            </w:tcBorders>
            <w:shd w:val="clear" w:color="auto" w:fill="auto"/>
            <w:vAlign w:val="center"/>
            <w:hideMark/>
          </w:tcPr>
          <w:p w14:paraId="73AB12AB"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0.85</w:t>
            </w:r>
          </w:p>
        </w:tc>
        <w:tc>
          <w:tcPr>
            <w:tcW w:w="1170" w:type="dxa"/>
            <w:tcBorders>
              <w:top w:val="nil"/>
              <w:bottom w:val="single" w:sz="4" w:space="0" w:color="auto"/>
            </w:tcBorders>
            <w:shd w:val="clear" w:color="auto" w:fill="auto"/>
            <w:vAlign w:val="center"/>
            <w:hideMark/>
          </w:tcPr>
          <w:p w14:paraId="04F820F6"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c>
          <w:tcPr>
            <w:tcW w:w="1080" w:type="dxa"/>
            <w:tcBorders>
              <w:top w:val="nil"/>
              <w:bottom w:val="single" w:sz="4" w:space="0" w:color="auto"/>
            </w:tcBorders>
            <w:shd w:val="clear" w:color="auto" w:fill="auto"/>
            <w:vAlign w:val="center"/>
            <w:hideMark/>
          </w:tcPr>
          <w:p w14:paraId="3E153424"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c>
          <w:tcPr>
            <w:tcW w:w="1800" w:type="dxa"/>
            <w:tcBorders>
              <w:top w:val="nil"/>
              <w:bottom w:val="single" w:sz="4" w:space="0" w:color="auto"/>
            </w:tcBorders>
            <w:shd w:val="clear" w:color="auto" w:fill="auto"/>
            <w:vAlign w:val="center"/>
            <w:hideMark/>
          </w:tcPr>
          <w:p w14:paraId="4E7E1A73"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60</w:t>
            </w:r>
          </w:p>
        </w:tc>
        <w:tc>
          <w:tcPr>
            <w:tcW w:w="1260" w:type="dxa"/>
            <w:tcBorders>
              <w:top w:val="nil"/>
              <w:bottom w:val="single" w:sz="4" w:space="0" w:color="auto"/>
            </w:tcBorders>
            <w:shd w:val="clear" w:color="auto" w:fill="auto"/>
            <w:vAlign w:val="center"/>
            <w:hideMark/>
          </w:tcPr>
          <w:p w14:paraId="56C991A8" w14:textId="77777777" w:rsidR="00DD4B26" w:rsidRPr="005B2867" w:rsidRDefault="00DD4B26" w:rsidP="00050E91">
            <w:pPr>
              <w:keepNext/>
              <w:spacing w:line="240" w:lineRule="auto"/>
              <w:jc w:val="right"/>
              <w:rPr>
                <w:color w:val="808080" w:themeColor="background1" w:themeShade="80"/>
                <w:sz w:val="20"/>
              </w:rPr>
            </w:pPr>
            <w:r w:rsidRPr="005B2867">
              <w:rPr>
                <w:color w:val="808080" w:themeColor="background1" w:themeShade="80"/>
                <w:sz w:val="20"/>
              </w:rPr>
              <w:t>3,060</w:t>
            </w:r>
          </w:p>
        </w:tc>
      </w:tr>
      <w:tr w:rsidR="00DD4B26" w:rsidRPr="006962C9" w14:paraId="6524408E" w14:textId="77777777" w:rsidTr="007B14DB">
        <w:trPr>
          <w:trHeight w:val="144"/>
        </w:trPr>
        <w:tc>
          <w:tcPr>
            <w:tcW w:w="5418" w:type="dxa"/>
            <w:gridSpan w:val="3"/>
            <w:shd w:val="clear" w:color="000000" w:fill="E5B8B7"/>
            <w:vAlign w:val="center"/>
            <w:hideMark/>
          </w:tcPr>
          <w:p w14:paraId="18055BC9" w14:textId="77777777" w:rsidR="00DD4B26" w:rsidRPr="006962C9" w:rsidRDefault="00DD4B26" w:rsidP="00050E91">
            <w:pPr>
              <w:spacing w:line="240" w:lineRule="auto"/>
              <w:jc w:val="left"/>
              <w:rPr>
                <w:b/>
                <w:iCs/>
                <w:color w:val="000000"/>
                <w:sz w:val="20"/>
              </w:rPr>
            </w:pPr>
            <w:r w:rsidRPr="006962C9">
              <w:rPr>
                <w:b/>
                <w:iCs/>
                <w:color w:val="000000"/>
                <w:sz w:val="20"/>
              </w:rPr>
              <w:t>Total Burden Requested in this Submission</w:t>
            </w:r>
          </w:p>
        </w:tc>
        <w:tc>
          <w:tcPr>
            <w:tcW w:w="1170" w:type="dxa"/>
            <w:shd w:val="clear" w:color="000000" w:fill="E5B8B7"/>
            <w:vAlign w:val="center"/>
            <w:hideMark/>
          </w:tcPr>
          <w:p w14:paraId="209EF847" w14:textId="486FCB51" w:rsidR="00DD4B26" w:rsidRPr="006962C9" w:rsidRDefault="007B14DB" w:rsidP="00FD78D0">
            <w:pPr>
              <w:spacing w:line="240" w:lineRule="auto"/>
              <w:jc w:val="right"/>
              <w:rPr>
                <w:b/>
                <w:color w:val="000000"/>
                <w:sz w:val="20"/>
              </w:rPr>
            </w:pPr>
            <w:r>
              <w:rPr>
                <w:b/>
                <w:color w:val="000000"/>
                <w:sz w:val="20"/>
              </w:rPr>
              <w:t>5,031</w:t>
            </w:r>
          </w:p>
        </w:tc>
        <w:tc>
          <w:tcPr>
            <w:tcW w:w="1080" w:type="dxa"/>
            <w:shd w:val="clear" w:color="000000" w:fill="E5B8B7"/>
            <w:vAlign w:val="center"/>
            <w:hideMark/>
          </w:tcPr>
          <w:p w14:paraId="0DA76F7F" w14:textId="56DBB08C" w:rsidR="00DD4B26" w:rsidRPr="006962C9" w:rsidRDefault="006266C6" w:rsidP="00FD78D0">
            <w:pPr>
              <w:spacing w:line="240" w:lineRule="auto"/>
              <w:jc w:val="right"/>
              <w:rPr>
                <w:b/>
                <w:color w:val="000000"/>
                <w:sz w:val="20"/>
              </w:rPr>
            </w:pPr>
            <w:r>
              <w:rPr>
                <w:b/>
                <w:color w:val="000000"/>
                <w:sz w:val="20"/>
              </w:rPr>
              <w:t>8,091</w:t>
            </w:r>
          </w:p>
        </w:tc>
        <w:tc>
          <w:tcPr>
            <w:tcW w:w="1800" w:type="dxa"/>
            <w:shd w:val="clear" w:color="000000" w:fill="E5B8B7"/>
            <w:vAlign w:val="center"/>
            <w:hideMark/>
          </w:tcPr>
          <w:p w14:paraId="6B6D1B59" w14:textId="77777777" w:rsidR="00DD4B26" w:rsidRPr="006962C9" w:rsidRDefault="00DD4B26" w:rsidP="00050E91">
            <w:pPr>
              <w:spacing w:line="240" w:lineRule="auto"/>
              <w:jc w:val="right"/>
              <w:rPr>
                <w:b/>
                <w:color w:val="000000"/>
                <w:sz w:val="20"/>
              </w:rPr>
            </w:pPr>
          </w:p>
        </w:tc>
        <w:tc>
          <w:tcPr>
            <w:tcW w:w="1260" w:type="dxa"/>
            <w:shd w:val="clear" w:color="000000" w:fill="E5B8B7"/>
            <w:vAlign w:val="center"/>
            <w:hideMark/>
          </w:tcPr>
          <w:p w14:paraId="53BF18B9" w14:textId="41799E4D" w:rsidR="00DD4B26" w:rsidRPr="006962C9" w:rsidRDefault="007B14DB" w:rsidP="00FD78D0">
            <w:pPr>
              <w:spacing w:line="240" w:lineRule="auto"/>
              <w:jc w:val="right"/>
              <w:rPr>
                <w:b/>
                <w:color w:val="000000"/>
                <w:sz w:val="20"/>
              </w:rPr>
            </w:pPr>
            <w:r>
              <w:rPr>
                <w:b/>
                <w:color w:val="000000"/>
                <w:sz w:val="20"/>
              </w:rPr>
              <w:t>4,461</w:t>
            </w:r>
          </w:p>
        </w:tc>
      </w:tr>
    </w:tbl>
    <w:p w14:paraId="2D417F70" w14:textId="7CDC07F6" w:rsidR="00FA4F61" w:rsidRPr="00DF0307" w:rsidRDefault="00652124" w:rsidP="00DF0307">
      <w:pPr>
        <w:spacing w:after="40" w:line="240" w:lineRule="auto"/>
        <w:jc w:val="left"/>
        <w:rPr>
          <w:sz w:val="18"/>
          <w:szCs w:val="18"/>
        </w:rPr>
      </w:pPr>
      <w:bookmarkStart w:id="20" w:name="_Toc488670100"/>
      <w:r w:rsidRPr="00DF0307">
        <w:rPr>
          <w:i/>
          <w:sz w:val="18"/>
          <w:szCs w:val="18"/>
        </w:rPr>
        <w:t>Note</w:t>
      </w:r>
      <w:r w:rsidRPr="00DF0307">
        <w:rPr>
          <w:sz w:val="18"/>
          <w:szCs w:val="18"/>
        </w:rPr>
        <w:t xml:space="preserve">: Total </w:t>
      </w:r>
      <w:r w:rsidR="00AD5FC6" w:rsidRPr="00DF0307">
        <w:rPr>
          <w:sz w:val="18"/>
          <w:szCs w:val="18"/>
        </w:rPr>
        <w:t>respondent</w:t>
      </w:r>
      <w:r w:rsidRPr="00DF0307">
        <w:rPr>
          <w:sz w:val="18"/>
          <w:szCs w:val="18"/>
        </w:rPr>
        <w:t xml:space="preserve"> burden requested in this submission includes burden associated with </w:t>
      </w:r>
      <w:r w:rsidR="005B2867">
        <w:rPr>
          <w:sz w:val="18"/>
          <w:szCs w:val="18"/>
        </w:rPr>
        <w:t xml:space="preserve">the </w:t>
      </w:r>
      <w:r w:rsidR="005B2867" w:rsidRPr="00DF0307">
        <w:rPr>
          <w:sz w:val="18"/>
          <w:szCs w:val="18"/>
        </w:rPr>
        <w:t>main study</w:t>
      </w:r>
      <w:r w:rsidR="005B2867">
        <w:rPr>
          <w:sz w:val="18"/>
          <w:szCs w:val="18"/>
        </w:rPr>
        <w:t xml:space="preserve"> data collection</w:t>
      </w:r>
      <w:r w:rsidR="005B2867" w:rsidRPr="00DF0307">
        <w:rPr>
          <w:sz w:val="18"/>
          <w:szCs w:val="18"/>
        </w:rPr>
        <w:t xml:space="preserve"> </w:t>
      </w:r>
      <w:r w:rsidR="005B2867">
        <w:rPr>
          <w:sz w:val="18"/>
          <w:szCs w:val="18"/>
        </w:rPr>
        <w:t xml:space="preserve">and with </w:t>
      </w:r>
      <w:r w:rsidR="006D6B42" w:rsidRPr="00DF0307">
        <w:rPr>
          <w:sz w:val="18"/>
          <w:szCs w:val="18"/>
        </w:rPr>
        <w:t xml:space="preserve">the carried over approved burden for </w:t>
      </w:r>
      <w:r w:rsidR="007B14DB">
        <w:rPr>
          <w:sz w:val="18"/>
          <w:szCs w:val="18"/>
        </w:rPr>
        <w:t>main study</w:t>
      </w:r>
      <w:r w:rsidR="006D6B42" w:rsidRPr="00DF0307">
        <w:rPr>
          <w:sz w:val="18"/>
          <w:szCs w:val="18"/>
        </w:rPr>
        <w:t xml:space="preserve"> recruitment</w:t>
      </w:r>
      <w:r w:rsidRPr="00DF0307">
        <w:rPr>
          <w:sz w:val="18"/>
          <w:szCs w:val="18"/>
        </w:rPr>
        <w:t xml:space="preserve">. </w:t>
      </w:r>
      <w:r w:rsidR="00FA4F61" w:rsidRPr="00DF0307">
        <w:rPr>
          <w:sz w:val="18"/>
          <w:szCs w:val="18"/>
        </w:rPr>
        <w:t>Burden estimated for student cognitive assessment, which is not subject to PRA, is reflected in gray font</w:t>
      </w:r>
      <w:r w:rsidR="005B2867">
        <w:rPr>
          <w:sz w:val="18"/>
          <w:szCs w:val="18"/>
        </w:rPr>
        <w:t xml:space="preserve">, </w:t>
      </w:r>
      <w:r w:rsidR="00FA4F61" w:rsidRPr="00DF0307">
        <w:rPr>
          <w:sz w:val="18"/>
          <w:szCs w:val="18"/>
        </w:rPr>
        <w:t>and is not included in the requested burden totals.</w:t>
      </w:r>
      <w:bookmarkEnd w:id="20"/>
    </w:p>
    <w:p w14:paraId="728AFB25" w14:textId="73D76DD7" w:rsidR="00FE7B8A" w:rsidRPr="004C03CE" w:rsidRDefault="00FA4F61" w:rsidP="00DF0307">
      <w:pPr>
        <w:spacing w:after="120" w:line="240" w:lineRule="auto"/>
        <w:jc w:val="left"/>
        <w:rPr>
          <w:b/>
          <w:color w:val="000000"/>
          <w:sz w:val="18"/>
          <w:szCs w:val="18"/>
        </w:rPr>
      </w:pPr>
      <w:bookmarkStart w:id="21" w:name="_Toc488670101"/>
      <w:r w:rsidRPr="00DF0307">
        <w:rPr>
          <w:sz w:val="18"/>
          <w:szCs w:val="18"/>
        </w:rPr>
        <w:t xml:space="preserve">* </w:t>
      </w:r>
      <w:r w:rsidR="00C8278B" w:rsidRPr="00DF0307">
        <w:rPr>
          <w:sz w:val="18"/>
          <w:szCs w:val="18"/>
        </w:rPr>
        <w:t>A subset of the</w:t>
      </w:r>
      <w:r w:rsidRPr="00DF0307">
        <w:rPr>
          <w:sz w:val="18"/>
          <w:szCs w:val="18"/>
        </w:rPr>
        <w:t xml:space="preserve"> respondent group shown </w:t>
      </w:r>
      <w:r w:rsidR="0055276E" w:rsidRPr="00DF0307">
        <w:rPr>
          <w:sz w:val="18"/>
          <w:szCs w:val="18"/>
        </w:rPr>
        <w:t>under recruitment</w:t>
      </w:r>
      <w:r w:rsidRPr="00DF0307">
        <w:rPr>
          <w:sz w:val="18"/>
          <w:szCs w:val="18"/>
        </w:rPr>
        <w:t>, not double counted in the total number of respondents.</w:t>
      </w:r>
      <w:bookmarkEnd w:id="21"/>
      <w:r w:rsidR="004C03CE" w:rsidRPr="00DF0307">
        <w:rPr>
          <w:sz w:val="18"/>
          <w:szCs w:val="18"/>
        </w:rPr>
        <w:br/>
      </w:r>
    </w:p>
    <w:p w14:paraId="5E0F8751" w14:textId="3976A6E1" w:rsidR="005611C5" w:rsidRDefault="005611C5" w:rsidP="00DF0307">
      <w:pPr>
        <w:pStyle w:val="Heading1"/>
        <w:tabs>
          <w:tab w:val="clear" w:pos="1152"/>
          <w:tab w:val="left" w:pos="720"/>
        </w:tabs>
        <w:spacing w:before="120" w:after="0" w:line="240" w:lineRule="auto"/>
        <w:ind w:left="720" w:hanging="720"/>
        <w:jc w:val="left"/>
      </w:pPr>
      <w:bookmarkStart w:id="22" w:name="_Toc511986625"/>
      <w:bookmarkStart w:id="23" w:name="_Toc260738623"/>
      <w:r>
        <w:t>A.1</w:t>
      </w:r>
      <w:r w:rsidR="00DF0307">
        <w:t>3</w:t>
      </w:r>
      <w:r>
        <w:tab/>
        <w:t>Total Annual Cost Burden</w:t>
      </w:r>
      <w:bookmarkEnd w:id="22"/>
    </w:p>
    <w:p w14:paraId="0A425719" w14:textId="77777777" w:rsidR="000B7F15" w:rsidRPr="000B7F15" w:rsidRDefault="000B7F15" w:rsidP="00DF0307">
      <w:pPr>
        <w:spacing w:after="120" w:line="23" w:lineRule="atLeast"/>
        <w:jc w:val="left"/>
        <w:rPr>
          <w:rFonts w:ascii="Garamond" w:hAnsi="Garamond"/>
          <w:sz w:val="24"/>
        </w:rPr>
      </w:pPr>
      <w:r w:rsidRPr="000B7F15">
        <w:rPr>
          <w:rFonts w:ascii="Garamond" w:hAnsi="Garamond"/>
          <w:sz w:val="24"/>
        </w:rPr>
        <w:t>There are no additional costs to respond beyond the time to respond.</w:t>
      </w:r>
    </w:p>
    <w:p w14:paraId="5E0F8753" w14:textId="71DA6A02" w:rsidR="005611C5" w:rsidRDefault="005611C5" w:rsidP="00DF0307">
      <w:pPr>
        <w:pStyle w:val="Heading1"/>
        <w:tabs>
          <w:tab w:val="clear" w:pos="1152"/>
          <w:tab w:val="left" w:pos="0"/>
        </w:tabs>
        <w:spacing w:before="120" w:after="0" w:line="240" w:lineRule="auto"/>
        <w:ind w:left="720" w:hanging="720"/>
        <w:jc w:val="left"/>
      </w:pPr>
      <w:bookmarkStart w:id="24" w:name="_Toc511986626"/>
      <w:r>
        <w:t>A.1</w:t>
      </w:r>
      <w:r w:rsidR="00DF0307">
        <w:t>4</w:t>
      </w:r>
      <w:r>
        <w:tab/>
        <w:t>Annualized Cost to Federal Government</w:t>
      </w:r>
      <w:bookmarkEnd w:id="24"/>
    </w:p>
    <w:p w14:paraId="35DA37C5" w14:textId="4A5A4B0D" w:rsidR="004D5C04" w:rsidRPr="00904762" w:rsidRDefault="004D5C04" w:rsidP="00DF0307">
      <w:pPr>
        <w:spacing w:line="240" w:lineRule="auto"/>
        <w:jc w:val="left"/>
        <w:rPr>
          <w:rFonts w:ascii="Garamond" w:eastAsiaTheme="minorHAnsi" w:hAnsi="Garamond"/>
          <w:sz w:val="24"/>
          <w:szCs w:val="24"/>
        </w:rPr>
      </w:pPr>
      <w:r w:rsidRPr="00904762">
        <w:rPr>
          <w:rFonts w:ascii="Garamond" w:eastAsiaTheme="minorHAnsi" w:hAnsi="Garamond"/>
          <w:sz w:val="24"/>
          <w:szCs w:val="24"/>
        </w:rPr>
        <w:t xml:space="preserve">The cost to the federal government for conducting </w:t>
      </w:r>
      <w:r w:rsidR="00314239">
        <w:rPr>
          <w:rFonts w:ascii="Garamond" w:eastAsiaTheme="minorHAnsi" w:hAnsi="Garamond"/>
          <w:sz w:val="24"/>
          <w:szCs w:val="24"/>
        </w:rPr>
        <w:t xml:space="preserve">the </w:t>
      </w:r>
      <w:r w:rsidR="007720A7">
        <w:rPr>
          <w:rFonts w:ascii="Garamond" w:eastAsiaTheme="minorHAnsi" w:hAnsi="Garamond"/>
          <w:sz w:val="24"/>
          <w:szCs w:val="24"/>
        </w:rPr>
        <w:t>upcoming</w:t>
      </w:r>
      <w:r w:rsidR="00314239" w:rsidRPr="00904762">
        <w:rPr>
          <w:rFonts w:ascii="Garamond" w:eastAsiaTheme="minorHAnsi" w:hAnsi="Garamond"/>
          <w:sz w:val="24"/>
          <w:szCs w:val="24"/>
        </w:rPr>
        <w:t xml:space="preserve"> </w:t>
      </w:r>
      <w:r w:rsidRPr="00904762">
        <w:rPr>
          <w:rFonts w:ascii="Garamond" w:eastAsiaTheme="minorHAnsi" w:hAnsi="Garamond"/>
          <w:sz w:val="24"/>
          <w:szCs w:val="24"/>
        </w:rPr>
        <w:t xml:space="preserve">phases of IELS, including </w:t>
      </w:r>
      <w:r w:rsidR="00314239">
        <w:rPr>
          <w:rFonts w:ascii="Garamond" w:eastAsiaTheme="minorHAnsi" w:hAnsi="Garamond"/>
          <w:sz w:val="24"/>
          <w:szCs w:val="24"/>
        </w:rPr>
        <w:t>remaining</w:t>
      </w:r>
      <w:r w:rsidRPr="00904762">
        <w:rPr>
          <w:rFonts w:ascii="Garamond" w:eastAsiaTheme="minorHAnsi" w:hAnsi="Garamond"/>
          <w:sz w:val="24"/>
          <w:szCs w:val="24"/>
        </w:rPr>
        <w:t xml:space="preserve"> recruitment </w:t>
      </w:r>
      <w:r w:rsidR="00314239">
        <w:rPr>
          <w:rFonts w:ascii="Garamond" w:eastAsiaTheme="minorHAnsi" w:hAnsi="Garamond"/>
          <w:sz w:val="24"/>
          <w:szCs w:val="24"/>
        </w:rPr>
        <w:t xml:space="preserve">and data collection </w:t>
      </w:r>
      <w:r w:rsidRPr="00904762">
        <w:rPr>
          <w:rFonts w:ascii="Garamond" w:eastAsiaTheme="minorHAnsi" w:hAnsi="Garamond"/>
          <w:sz w:val="24"/>
          <w:szCs w:val="24"/>
        </w:rPr>
        <w:t xml:space="preserve">for the 2018 main study is estimated to be </w:t>
      </w:r>
      <w:r w:rsidR="002317BB">
        <w:rPr>
          <w:rFonts w:ascii="Garamond" w:eastAsiaTheme="minorHAnsi" w:hAnsi="Garamond"/>
          <w:sz w:val="24"/>
          <w:szCs w:val="24"/>
        </w:rPr>
        <w:t>$</w:t>
      </w:r>
      <w:r w:rsidR="002317BB" w:rsidRPr="002317BB">
        <w:rPr>
          <w:rFonts w:ascii="Garamond" w:eastAsiaTheme="minorHAnsi" w:hAnsi="Garamond"/>
          <w:sz w:val="24"/>
          <w:szCs w:val="24"/>
        </w:rPr>
        <w:t>4,587,968</w:t>
      </w:r>
      <w:r w:rsidRPr="00904762">
        <w:rPr>
          <w:rFonts w:ascii="Garamond" w:eastAsiaTheme="minorHAnsi" w:hAnsi="Garamond"/>
          <w:sz w:val="24"/>
          <w:szCs w:val="24"/>
        </w:rPr>
        <w:t xml:space="preserve"> (see table breakdown below). These figures include all direct and indirect costs</w:t>
      </w:r>
      <w:r w:rsidR="00050E91">
        <w:rPr>
          <w:rFonts w:ascii="Garamond" w:eastAsiaTheme="minorHAnsi" w:hAnsi="Garamond"/>
          <w:sz w:val="24"/>
          <w:szCs w:val="24"/>
        </w:rPr>
        <w:t xml:space="preserve"> </w:t>
      </w:r>
      <w:r w:rsidRPr="00904762">
        <w:rPr>
          <w:rFonts w:ascii="Garamond" w:eastAsiaTheme="minorHAnsi" w:hAnsi="Garamond"/>
          <w:sz w:val="24"/>
          <w:szCs w:val="24"/>
        </w:rPr>
        <w:t>(</w:t>
      </w:r>
      <w:r w:rsidR="00712A2B">
        <w:rPr>
          <w:rFonts w:ascii="Garamond" w:eastAsiaTheme="minorHAnsi" w:hAnsi="Garamond"/>
          <w:sz w:val="24"/>
          <w:szCs w:val="24"/>
        </w:rPr>
        <w:t>t</w:t>
      </w:r>
      <w:r w:rsidRPr="00904762">
        <w:rPr>
          <w:rFonts w:ascii="Garamond" w:eastAsiaTheme="minorHAnsi" w:hAnsi="Garamond"/>
          <w:sz w:val="24"/>
          <w:szCs w:val="24"/>
        </w:rPr>
        <w:t>he grand total is the total value to the Government including other phases of the contract</w:t>
      </w:r>
      <w:r w:rsidR="007720A7">
        <w:rPr>
          <w:rFonts w:ascii="Garamond" w:eastAsiaTheme="minorHAnsi" w:hAnsi="Garamond"/>
          <w:sz w:val="24"/>
          <w:szCs w:val="24"/>
        </w:rPr>
        <w:t xml:space="preserve"> and </w:t>
      </w:r>
      <w:r w:rsidR="00712A2B">
        <w:rPr>
          <w:rFonts w:ascii="Garamond" w:eastAsiaTheme="minorHAnsi" w:hAnsi="Garamond"/>
          <w:sz w:val="24"/>
          <w:szCs w:val="24"/>
        </w:rPr>
        <w:t xml:space="preserve">including </w:t>
      </w:r>
      <w:r w:rsidRPr="00904762">
        <w:rPr>
          <w:rFonts w:ascii="Garamond" w:eastAsiaTheme="minorHAnsi" w:hAnsi="Garamond"/>
          <w:sz w:val="24"/>
          <w:szCs w:val="24"/>
        </w:rPr>
        <w:t>all optional tasks)</w:t>
      </w:r>
      <w:r w:rsidR="00712A2B">
        <w:rPr>
          <w:rFonts w:ascii="Garamond" w:eastAsiaTheme="minorHAnsi" w:hAnsi="Garamond"/>
          <w:sz w:val="24"/>
          <w:szCs w:val="24"/>
        </w:rPr>
        <w:t>.</w:t>
      </w:r>
    </w:p>
    <w:p w14:paraId="0F9A4760" w14:textId="77777777" w:rsidR="004D5C04" w:rsidRPr="004D5C04" w:rsidRDefault="004D5C04" w:rsidP="004D5C04">
      <w:pPr>
        <w:spacing w:line="240" w:lineRule="auto"/>
        <w:jc w:val="left"/>
        <w:rPr>
          <w:rFonts w:ascii="Calibri" w:eastAsiaTheme="minorHAnsi" w:hAnsi="Calibri"/>
          <w:szCs w:val="22"/>
        </w:rPr>
      </w:pPr>
    </w:p>
    <w:tbl>
      <w:tblPr>
        <w:tblW w:w="5000" w:type="pct"/>
        <w:tblCellMar>
          <w:left w:w="0" w:type="dxa"/>
          <w:right w:w="0" w:type="dxa"/>
        </w:tblCellMar>
        <w:tblLook w:val="04A0" w:firstRow="1" w:lastRow="0" w:firstColumn="1" w:lastColumn="0" w:noHBand="0" w:noVBand="1"/>
      </w:tblPr>
      <w:tblGrid>
        <w:gridCol w:w="7597"/>
        <w:gridCol w:w="3419"/>
      </w:tblGrid>
      <w:tr w:rsidR="004D5C04" w:rsidRPr="004D5C04" w14:paraId="58D2AC21" w14:textId="77777777" w:rsidTr="007348F7">
        <w:trPr>
          <w:tblHeader/>
        </w:trPr>
        <w:tc>
          <w:tcPr>
            <w:tcW w:w="3448"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hideMark/>
          </w:tcPr>
          <w:p w14:paraId="2CB0FA4E" w14:textId="77777777" w:rsidR="004D5C04" w:rsidRPr="00712A2B" w:rsidRDefault="004D5C04" w:rsidP="004D5C04">
            <w:pPr>
              <w:keepNext/>
              <w:jc w:val="center"/>
              <w:rPr>
                <w:b/>
                <w:sz w:val="20"/>
              </w:rPr>
            </w:pPr>
            <w:r w:rsidRPr="00712A2B">
              <w:rPr>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hideMark/>
          </w:tcPr>
          <w:p w14:paraId="1C7F404E" w14:textId="77777777" w:rsidR="004D5C04" w:rsidRPr="00712A2B" w:rsidRDefault="004D5C04" w:rsidP="004D5C04">
            <w:pPr>
              <w:keepNext/>
              <w:jc w:val="center"/>
              <w:rPr>
                <w:b/>
                <w:sz w:val="20"/>
              </w:rPr>
            </w:pPr>
            <w:r w:rsidRPr="00712A2B">
              <w:rPr>
                <w:b/>
                <w:sz w:val="20"/>
              </w:rPr>
              <w:t>Estimated costs</w:t>
            </w:r>
          </w:p>
        </w:tc>
      </w:tr>
      <w:tr w:rsidR="004D5C04" w:rsidRPr="004D5C04" w14:paraId="54CBB5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252245E2" w14:textId="77777777" w:rsidR="004D5C04" w:rsidRPr="00BC13FF" w:rsidRDefault="004D5C04" w:rsidP="004D5C04">
            <w:pPr>
              <w:tabs>
                <w:tab w:val="left" w:pos="270"/>
              </w:tabs>
              <w:spacing w:line="240" w:lineRule="auto"/>
              <w:jc w:val="left"/>
              <w:rPr>
                <w:rFonts w:eastAsiaTheme="minorHAnsi"/>
                <w:b/>
                <w:color w:val="808080" w:themeColor="background1" w:themeShade="80"/>
                <w:sz w:val="20"/>
              </w:rPr>
            </w:pPr>
            <w:r w:rsidRPr="00BC13FF">
              <w:rPr>
                <w:rFonts w:eastAsiaTheme="minorHAnsi"/>
                <w:b/>
                <w:color w:val="808080" w:themeColor="background1" w:themeShade="80"/>
                <w:sz w:val="20"/>
              </w:rPr>
              <w:t>FIELD TEST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2EDFA50D" w14:textId="77777777" w:rsidR="004D5C04" w:rsidRPr="00BC13FF" w:rsidRDefault="004D5C04" w:rsidP="004D5C04">
            <w:pPr>
              <w:spacing w:line="240" w:lineRule="auto"/>
              <w:jc w:val="left"/>
              <w:rPr>
                <w:rFonts w:eastAsiaTheme="minorHAnsi"/>
                <w:color w:val="808080" w:themeColor="background1" w:themeShade="80"/>
                <w:sz w:val="20"/>
              </w:rPr>
            </w:pPr>
          </w:p>
        </w:tc>
      </w:tr>
      <w:tr w:rsidR="004D5C04" w:rsidRPr="004D5C04" w14:paraId="368D58B4"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5F21D79"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4615F2E"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736,675</w:t>
            </w:r>
          </w:p>
        </w:tc>
      </w:tr>
      <w:tr w:rsidR="004D5C04" w:rsidRPr="004D5C04" w14:paraId="60797A02"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790C7EE"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852EDCC"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272,964</w:t>
            </w:r>
          </w:p>
        </w:tc>
      </w:tr>
      <w:tr w:rsidR="004D5C04" w:rsidRPr="004D5C04" w14:paraId="3F2DEEBE"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F4A82D5"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Data collection, scoring, and coding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889F2A1"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663,598</w:t>
            </w:r>
          </w:p>
        </w:tc>
      </w:tr>
      <w:tr w:rsidR="004D5C04" w:rsidRPr="004D5C04" w14:paraId="581FDD6D"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602CCA36" w14:textId="77777777" w:rsidR="004D5C04" w:rsidRPr="00BC13FF" w:rsidRDefault="004D5C04" w:rsidP="004D5C04">
            <w:pPr>
              <w:tabs>
                <w:tab w:val="left" w:pos="270"/>
              </w:tabs>
              <w:spacing w:line="240" w:lineRule="auto"/>
              <w:jc w:val="left"/>
              <w:rPr>
                <w:rFonts w:eastAsiaTheme="minorHAnsi"/>
                <w:b/>
                <w:color w:val="808080" w:themeColor="background1" w:themeShade="80"/>
                <w:sz w:val="20"/>
              </w:rPr>
            </w:pPr>
            <w:r w:rsidRPr="00BC13FF">
              <w:rPr>
                <w:rFonts w:eastAsiaTheme="minorHAnsi"/>
                <w:b/>
                <w:color w:val="808080" w:themeColor="background1" w:themeShade="80"/>
                <w:sz w:val="20"/>
              </w:rPr>
              <w:t>MAIN STUDY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315655A1"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p>
        </w:tc>
      </w:tr>
      <w:tr w:rsidR="004D5C04" w:rsidRPr="004D5C04" w14:paraId="04BAE9EC"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97E7391"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3245AC4"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725,266</w:t>
            </w:r>
          </w:p>
        </w:tc>
      </w:tr>
      <w:tr w:rsidR="004D5C04" w:rsidRPr="004D5C04" w14:paraId="020CB7C7" w14:textId="77777777" w:rsidTr="000C0CCF">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1ACB89C" w14:textId="77777777" w:rsidR="004D5C04" w:rsidRPr="00BC13FF" w:rsidRDefault="004D5C04" w:rsidP="004D5C04">
            <w:pPr>
              <w:tabs>
                <w:tab w:val="left" w:pos="270"/>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A330327" w14:textId="77777777" w:rsidR="004D5C04" w:rsidRPr="00BC13FF" w:rsidRDefault="004D5C04" w:rsidP="007720A7">
            <w:pPr>
              <w:tabs>
                <w:tab w:val="decimal" w:pos="2123"/>
              </w:tabs>
              <w:spacing w:line="240" w:lineRule="auto"/>
              <w:jc w:val="left"/>
              <w:rPr>
                <w:rFonts w:eastAsiaTheme="minorHAnsi"/>
                <w:color w:val="808080" w:themeColor="background1" w:themeShade="80"/>
                <w:sz w:val="20"/>
              </w:rPr>
            </w:pPr>
            <w:r w:rsidRPr="00BC13FF">
              <w:rPr>
                <w:rFonts w:eastAsiaTheme="minorHAnsi"/>
                <w:color w:val="808080" w:themeColor="background1" w:themeShade="80"/>
                <w:sz w:val="20"/>
              </w:rPr>
              <w:t>61,993</w:t>
            </w:r>
          </w:p>
        </w:tc>
      </w:tr>
      <w:tr w:rsidR="004D5C04" w:rsidRPr="004D5C04" w14:paraId="284DD4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51D530C2" w14:textId="77777777" w:rsidR="004D5C04" w:rsidRPr="00712A2B" w:rsidRDefault="004D5C04" w:rsidP="007348F7">
            <w:pPr>
              <w:keepNext/>
              <w:tabs>
                <w:tab w:val="left" w:pos="270"/>
              </w:tabs>
              <w:spacing w:line="240" w:lineRule="auto"/>
              <w:jc w:val="left"/>
              <w:rPr>
                <w:rFonts w:eastAsiaTheme="minorHAnsi"/>
                <w:b/>
                <w:sz w:val="20"/>
              </w:rPr>
            </w:pPr>
            <w:r w:rsidRPr="00712A2B">
              <w:rPr>
                <w:rFonts w:eastAsiaTheme="minorHAnsi"/>
                <w:b/>
                <w:sz w:val="20"/>
              </w:rPr>
              <w:t>MAIN STUDY (2018)</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7ABC63CE" w14:textId="77777777" w:rsidR="004D5C04" w:rsidRPr="00712A2B" w:rsidRDefault="004D5C04" w:rsidP="007720A7">
            <w:pPr>
              <w:keepNext/>
              <w:tabs>
                <w:tab w:val="decimal" w:pos="2123"/>
              </w:tabs>
              <w:spacing w:line="240" w:lineRule="auto"/>
              <w:jc w:val="left"/>
              <w:rPr>
                <w:rFonts w:eastAsiaTheme="minorHAnsi"/>
                <w:b/>
                <w:bCs/>
                <w:sz w:val="20"/>
              </w:rPr>
            </w:pPr>
          </w:p>
        </w:tc>
      </w:tr>
      <w:tr w:rsidR="004D5C04" w:rsidRPr="004D5C04" w14:paraId="5B41388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D132B0"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926534" w14:textId="7777777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 xml:space="preserve">591,605 </w:t>
            </w:r>
          </w:p>
        </w:tc>
      </w:tr>
      <w:tr w:rsidR="004D5C04" w:rsidRPr="004D5C04" w14:paraId="104CD140"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21AB0A"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AB9A57" w14:textId="7777777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365,057</w:t>
            </w:r>
          </w:p>
        </w:tc>
      </w:tr>
      <w:tr w:rsidR="004D5C04" w:rsidRPr="004D5C04" w14:paraId="3AB2EB8C"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44F53"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642381" w14:textId="3CEA56A7" w:rsidR="004D5C04" w:rsidRPr="00712A2B" w:rsidRDefault="004D5C04" w:rsidP="007720A7">
            <w:pPr>
              <w:keepNext/>
              <w:tabs>
                <w:tab w:val="decimal" w:pos="2123"/>
              </w:tabs>
              <w:spacing w:line="240" w:lineRule="auto"/>
              <w:jc w:val="left"/>
              <w:rPr>
                <w:rFonts w:eastAsiaTheme="minorHAnsi"/>
                <w:sz w:val="20"/>
              </w:rPr>
            </w:pPr>
            <w:r w:rsidRPr="00712A2B">
              <w:rPr>
                <w:rFonts w:eastAsiaTheme="minorHAnsi"/>
                <w:sz w:val="20"/>
              </w:rPr>
              <w:t>3,</w:t>
            </w:r>
            <w:r w:rsidR="00FC6622">
              <w:rPr>
                <w:rFonts w:eastAsiaTheme="minorHAnsi"/>
                <w:sz w:val="20"/>
              </w:rPr>
              <w:t>631</w:t>
            </w:r>
            <w:r w:rsidR="007720A7">
              <w:rPr>
                <w:rFonts w:eastAsiaTheme="minorHAnsi"/>
                <w:sz w:val="20"/>
              </w:rPr>
              <w:t>,</w:t>
            </w:r>
            <w:r w:rsidR="00FC6622">
              <w:rPr>
                <w:rFonts w:eastAsiaTheme="minorHAnsi"/>
                <w:sz w:val="20"/>
              </w:rPr>
              <w:t>306</w:t>
            </w:r>
          </w:p>
        </w:tc>
      </w:tr>
      <w:tr w:rsidR="004D5C04" w:rsidRPr="004D5C04" w14:paraId="03BCC803"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0331F9" w14:textId="77777777" w:rsidR="004D5C04" w:rsidRPr="00712A2B" w:rsidRDefault="004D5C04" w:rsidP="007348F7">
            <w:pPr>
              <w:keepNext/>
              <w:tabs>
                <w:tab w:val="left" w:pos="270"/>
              </w:tabs>
              <w:spacing w:line="240" w:lineRule="auto"/>
              <w:jc w:val="left"/>
              <w:rPr>
                <w:rFonts w:eastAsiaTheme="minorHAnsi"/>
                <w:b/>
                <w:bCs/>
                <w:sz w:val="20"/>
              </w:rPr>
            </w:pPr>
            <w:r w:rsidRPr="00712A2B">
              <w:rPr>
                <w:rFonts w:eastAsiaTheme="minorHAnsi"/>
                <w:b/>
                <w:bCs/>
                <w:sz w:val="20"/>
              </w:rPr>
              <w:t>Current package components</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A10EAC" w14:textId="2E0CA4B0" w:rsidR="004D5C04" w:rsidRPr="00712A2B" w:rsidRDefault="00FC6622" w:rsidP="007720A7">
            <w:pPr>
              <w:keepNext/>
              <w:tabs>
                <w:tab w:val="decimal" w:pos="2123"/>
              </w:tabs>
              <w:spacing w:line="240" w:lineRule="auto"/>
              <w:jc w:val="left"/>
              <w:rPr>
                <w:rFonts w:eastAsiaTheme="minorHAnsi"/>
                <w:b/>
                <w:bCs/>
                <w:sz w:val="20"/>
              </w:rPr>
            </w:pPr>
            <w:r>
              <w:rPr>
                <w:rFonts w:eastAsiaTheme="minorHAnsi"/>
                <w:b/>
                <w:bCs/>
                <w:sz w:val="20"/>
              </w:rPr>
              <w:t>4,587,968</w:t>
            </w:r>
          </w:p>
        </w:tc>
      </w:tr>
      <w:tr w:rsidR="004D5C04" w:rsidRPr="004D5C04" w14:paraId="7A56FD1D" w14:textId="77777777" w:rsidTr="000C0CCF">
        <w:tc>
          <w:tcPr>
            <w:tcW w:w="3448" w:type="pct"/>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bottom"/>
            <w:hideMark/>
          </w:tcPr>
          <w:p w14:paraId="7C51C160" w14:textId="77777777" w:rsidR="004D5C04" w:rsidRPr="00712A2B" w:rsidRDefault="004D5C04" w:rsidP="004D5C04">
            <w:pPr>
              <w:tabs>
                <w:tab w:val="left" w:pos="270"/>
              </w:tabs>
              <w:spacing w:line="240" w:lineRule="auto"/>
              <w:jc w:val="left"/>
              <w:rPr>
                <w:rFonts w:eastAsiaTheme="minorHAnsi"/>
                <w:b/>
                <w:bCs/>
                <w:sz w:val="20"/>
              </w:rPr>
            </w:pPr>
            <w:r w:rsidRPr="00712A2B">
              <w:rPr>
                <w:rFonts w:eastAsiaTheme="minorHAnsi"/>
                <w:b/>
                <w:bCs/>
                <w:sz w:val="20"/>
              </w:rPr>
              <w:t>Grand total</w:t>
            </w:r>
          </w:p>
        </w:tc>
        <w:tc>
          <w:tcPr>
            <w:tcW w:w="1552" w:type="pct"/>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bottom"/>
            <w:hideMark/>
          </w:tcPr>
          <w:p w14:paraId="6774791B" w14:textId="77777777" w:rsidR="004D5C04" w:rsidRPr="00712A2B" w:rsidRDefault="004D5C04" w:rsidP="007720A7">
            <w:pPr>
              <w:tabs>
                <w:tab w:val="decimal" w:pos="2123"/>
              </w:tabs>
              <w:spacing w:line="240" w:lineRule="auto"/>
              <w:jc w:val="left"/>
              <w:rPr>
                <w:rFonts w:eastAsiaTheme="minorHAnsi"/>
                <w:b/>
                <w:bCs/>
                <w:sz w:val="20"/>
              </w:rPr>
            </w:pPr>
            <w:r w:rsidRPr="00712A2B">
              <w:rPr>
                <w:rFonts w:eastAsiaTheme="minorHAnsi"/>
                <w:b/>
                <w:bCs/>
                <w:sz w:val="20"/>
              </w:rPr>
              <w:t>$7,048,464</w:t>
            </w:r>
          </w:p>
        </w:tc>
      </w:tr>
    </w:tbl>
    <w:p w14:paraId="7639287C" w14:textId="77777777" w:rsidR="004D5C04" w:rsidRPr="004D5C04" w:rsidRDefault="004D5C04" w:rsidP="004D5C04">
      <w:pPr>
        <w:spacing w:line="240" w:lineRule="auto"/>
        <w:jc w:val="left"/>
        <w:rPr>
          <w:rFonts w:ascii="Calibri" w:eastAsiaTheme="minorHAnsi" w:hAnsi="Calibri"/>
          <w:szCs w:val="22"/>
        </w:rPr>
      </w:pPr>
    </w:p>
    <w:p w14:paraId="5E0F8755" w14:textId="223D5B85" w:rsidR="005611C5" w:rsidRDefault="005611C5" w:rsidP="005A2201">
      <w:pPr>
        <w:pStyle w:val="Heading1"/>
        <w:tabs>
          <w:tab w:val="clear" w:pos="1152"/>
          <w:tab w:val="left" w:pos="0"/>
        </w:tabs>
        <w:spacing w:before="120" w:after="0" w:line="240" w:lineRule="auto"/>
        <w:ind w:left="720" w:hanging="720"/>
      </w:pPr>
      <w:bookmarkStart w:id="25" w:name="_Toc511986627"/>
      <w:r>
        <w:t>A.1</w:t>
      </w:r>
      <w:r w:rsidR="00DF0307">
        <w:t>5</w:t>
      </w:r>
      <w:r>
        <w:tab/>
        <w:t>Program Changes or Adjustments</w:t>
      </w:r>
      <w:bookmarkEnd w:id="25"/>
    </w:p>
    <w:p w14:paraId="72D02196" w14:textId="5EDBB219" w:rsidR="005611C5" w:rsidRDefault="002317BB" w:rsidP="007720A7">
      <w:pPr>
        <w:pStyle w:val="BodyText1"/>
        <w:widowControl w:val="0"/>
      </w:pPr>
      <w:r w:rsidRPr="002317BB">
        <w:t>The apparent increase in respondent burden is due to the fact that the last approval was for field test data collection and main study recruitment, while this request includes burden associated with the IELS 2018 main study recruitment and data collection</w:t>
      </w:r>
      <w:r w:rsidR="006266C6">
        <w:t>.</w:t>
      </w:r>
    </w:p>
    <w:p w14:paraId="5E0F8758" w14:textId="4CE1DDD5" w:rsidR="005611C5" w:rsidRDefault="005611C5" w:rsidP="005A2201">
      <w:pPr>
        <w:pStyle w:val="Heading1"/>
        <w:tabs>
          <w:tab w:val="clear" w:pos="1152"/>
          <w:tab w:val="left" w:pos="0"/>
        </w:tabs>
        <w:spacing w:before="120" w:after="0" w:line="240" w:lineRule="auto"/>
        <w:ind w:left="720" w:hanging="720"/>
      </w:pPr>
      <w:bookmarkStart w:id="26" w:name="_Toc511986628"/>
      <w:bookmarkEnd w:id="23"/>
      <w:r>
        <w:t>A.</w:t>
      </w:r>
      <w:r w:rsidR="007E1518">
        <w:t>16</w:t>
      </w:r>
      <w:r>
        <w:tab/>
        <w:t>Plans for Tabulation and Publication</w:t>
      </w:r>
      <w:bookmarkEnd w:id="26"/>
    </w:p>
    <w:p w14:paraId="5E0F8759" w14:textId="7B9B64E7" w:rsidR="005611C5" w:rsidRDefault="005611C5" w:rsidP="00FB052E">
      <w:pPr>
        <w:pStyle w:val="BodyText1"/>
      </w:pPr>
      <w:r>
        <w:t xml:space="preserve">The </w:t>
      </w:r>
      <w:r w:rsidR="002B673B">
        <w:t>IELS</w:t>
      </w:r>
      <w:r>
        <w:t xml:space="preserve"> </w:t>
      </w:r>
      <w:r w:rsidR="00CA2440">
        <w:t>field test</w:t>
      </w:r>
      <w:r w:rsidR="00602DD8">
        <w:t xml:space="preserve"> was</w:t>
      </w:r>
      <w:r>
        <w:t xml:space="preserve"> designed to provide a statistical review of the performance of items on the assessments and questionnaires in preparation for the main data collection</w:t>
      </w:r>
      <w:r w:rsidR="002B673B">
        <w:t xml:space="preserve">. The international contractor </w:t>
      </w:r>
      <w:r w:rsidR="00602DD8">
        <w:t>provided</w:t>
      </w:r>
      <w:r>
        <w:t xml:space="preserve"> the international instruments to be used in the </w:t>
      </w:r>
      <w:r w:rsidR="00CA2440">
        <w:t>field test</w:t>
      </w:r>
      <w:r w:rsidR="007720A7">
        <w:t xml:space="preserve">, </w:t>
      </w:r>
      <w:r>
        <w:t>report</w:t>
      </w:r>
      <w:r w:rsidR="007720A7">
        <w:t>ed</w:t>
      </w:r>
      <w:r>
        <w:t xml:space="preserve"> to the participating countries on the results of the </w:t>
      </w:r>
      <w:r w:rsidR="00CA2440">
        <w:t>field test</w:t>
      </w:r>
      <w:r w:rsidR="007720A7">
        <w:t xml:space="preserve"> and, b</w:t>
      </w:r>
      <w:r>
        <w:t xml:space="preserve">ased on the </w:t>
      </w:r>
      <w:r w:rsidR="00CA2440">
        <w:t>field test</w:t>
      </w:r>
      <w:r>
        <w:t xml:space="preserve"> results, with input and agreement from the participating countries, </w:t>
      </w:r>
      <w:r w:rsidR="007720A7">
        <w:t>made</w:t>
      </w:r>
      <w:r>
        <w:t xml:space="preserv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532"/>
        <w:gridCol w:w="7484"/>
      </w:tblGrid>
      <w:tr w:rsidR="004B626E" w:rsidRPr="00FB052E" w14:paraId="55DBBC9C" w14:textId="77777777" w:rsidTr="00A214D5">
        <w:trPr>
          <w:trHeight w:val="20"/>
        </w:trPr>
        <w:tc>
          <w:tcPr>
            <w:tcW w:w="1603" w:type="pct"/>
          </w:tcPr>
          <w:p w14:paraId="22D355A6" w14:textId="055ABB57" w:rsidR="004B626E" w:rsidRPr="00BC13FF" w:rsidRDefault="004B626E" w:rsidP="004B626E">
            <w:pPr>
              <w:pStyle w:val="P1-StandPara"/>
              <w:spacing w:line="240" w:lineRule="auto"/>
              <w:ind w:firstLine="0"/>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August-November 2017</w:t>
            </w:r>
          </w:p>
        </w:tc>
        <w:tc>
          <w:tcPr>
            <w:tcW w:w="3397" w:type="pct"/>
          </w:tcPr>
          <w:p w14:paraId="20897F0C" w14:textId="479C5F88" w:rsidR="004B626E" w:rsidRPr="00BC13FF" w:rsidRDefault="004B626E" w:rsidP="004B626E">
            <w:pPr>
              <w:pStyle w:val="P1-StandPara"/>
              <w:spacing w:line="240" w:lineRule="auto"/>
              <w:ind w:firstLine="0"/>
              <w:jc w:val="left"/>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Recruitment for the field test</w:t>
            </w:r>
          </w:p>
        </w:tc>
      </w:tr>
      <w:tr w:rsidR="005611C5" w:rsidRPr="00FB052E" w14:paraId="5E0F8768" w14:textId="77777777" w:rsidTr="00C80603">
        <w:trPr>
          <w:trHeight w:val="20"/>
        </w:trPr>
        <w:tc>
          <w:tcPr>
            <w:tcW w:w="1603" w:type="pct"/>
          </w:tcPr>
          <w:p w14:paraId="5E0F8766" w14:textId="4B067102" w:rsidR="00A56875" w:rsidRPr="00BC13FF" w:rsidRDefault="008F55B2" w:rsidP="00574643">
            <w:pPr>
              <w:pStyle w:val="P1-StandPara"/>
              <w:spacing w:line="240" w:lineRule="auto"/>
              <w:ind w:firstLine="0"/>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November-December</w:t>
            </w:r>
            <w:r w:rsidR="00DC10BF" w:rsidRPr="00BC13FF">
              <w:rPr>
                <w:rFonts w:ascii="Garamond" w:hAnsi="Garamond"/>
                <w:color w:val="808080" w:themeColor="background1" w:themeShade="80"/>
                <w:sz w:val="24"/>
                <w:szCs w:val="24"/>
              </w:rPr>
              <w:t xml:space="preserve"> </w:t>
            </w:r>
            <w:r w:rsidR="005611C5" w:rsidRPr="00BC13FF">
              <w:rPr>
                <w:rFonts w:ascii="Garamond" w:hAnsi="Garamond"/>
                <w:color w:val="808080" w:themeColor="background1" w:themeShade="80"/>
                <w:sz w:val="24"/>
                <w:szCs w:val="24"/>
              </w:rPr>
              <w:t>201</w:t>
            </w:r>
            <w:r w:rsidR="006C7A15" w:rsidRPr="00BC13FF">
              <w:rPr>
                <w:rFonts w:ascii="Garamond" w:hAnsi="Garamond"/>
                <w:color w:val="808080" w:themeColor="background1" w:themeShade="80"/>
                <w:sz w:val="24"/>
                <w:szCs w:val="24"/>
              </w:rPr>
              <w:t>7</w:t>
            </w:r>
          </w:p>
        </w:tc>
        <w:tc>
          <w:tcPr>
            <w:tcW w:w="3397" w:type="pct"/>
          </w:tcPr>
          <w:p w14:paraId="5E0F8767" w14:textId="60938DD1" w:rsidR="005611C5" w:rsidRPr="00BC13FF" w:rsidRDefault="00DC10BF" w:rsidP="00574643">
            <w:pPr>
              <w:pStyle w:val="P1-StandPara"/>
              <w:spacing w:line="240" w:lineRule="auto"/>
              <w:ind w:firstLine="0"/>
              <w:jc w:val="left"/>
              <w:rPr>
                <w:rFonts w:ascii="Garamond" w:hAnsi="Garamond"/>
                <w:color w:val="808080" w:themeColor="background1" w:themeShade="80"/>
                <w:sz w:val="24"/>
                <w:szCs w:val="24"/>
              </w:rPr>
            </w:pPr>
            <w:r w:rsidRPr="00BC13FF">
              <w:rPr>
                <w:rFonts w:ascii="Garamond" w:hAnsi="Garamond"/>
                <w:color w:val="808080" w:themeColor="background1" w:themeShade="80"/>
                <w:sz w:val="24"/>
                <w:szCs w:val="24"/>
              </w:rPr>
              <w:t>Collect</w:t>
            </w:r>
            <w:r w:rsidR="005611C5" w:rsidRPr="00BC13FF">
              <w:rPr>
                <w:rFonts w:ascii="Garamond" w:hAnsi="Garamond"/>
                <w:color w:val="808080" w:themeColor="background1" w:themeShade="80"/>
                <w:sz w:val="24"/>
                <w:szCs w:val="24"/>
              </w:rPr>
              <w:t xml:space="preserve"> </w:t>
            </w:r>
            <w:r w:rsidR="00CA2440" w:rsidRPr="00BC13FF">
              <w:rPr>
                <w:rFonts w:ascii="Garamond" w:hAnsi="Garamond"/>
                <w:color w:val="808080" w:themeColor="background1" w:themeShade="80"/>
                <w:sz w:val="24"/>
                <w:szCs w:val="24"/>
              </w:rPr>
              <w:t>field test</w:t>
            </w:r>
            <w:r w:rsidR="005611C5" w:rsidRPr="00BC13FF">
              <w:rPr>
                <w:rFonts w:ascii="Garamond" w:hAnsi="Garamond"/>
                <w:color w:val="808080" w:themeColor="background1" w:themeShade="80"/>
                <w:sz w:val="24"/>
                <w:szCs w:val="24"/>
              </w:rPr>
              <w:t xml:space="preserve"> data</w:t>
            </w:r>
          </w:p>
        </w:tc>
      </w:tr>
      <w:tr w:rsidR="004B626E" w:rsidRPr="00FB052E" w14:paraId="5E0E490E" w14:textId="77777777" w:rsidTr="00C80603">
        <w:trPr>
          <w:trHeight w:val="20"/>
        </w:trPr>
        <w:tc>
          <w:tcPr>
            <w:tcW w:w="1603" w:type="pct"/>
          </w:tcPr>
          <w:p w14:paraId="6536A75E" w14:textId="62319699" w:rsidR="004B626E" w:rsidRDefault="00632DB1" w:rsidP="00574643">
            <w:pPr>
              <w:pStyle w:val="P1-StandPara"/>
              <w:spacing w:line="240" w:lineRule="auto"/>
              <w:ind w:firstLine="0"/>
              <w:rPr>
                <w:rFonts w:ascii="Garamond" w:hAnsi="Garamond"/>
                <w:sz w:val="24"/>
                <w:szCs w:val="24"/>
              </w:rPr>
            </w:pPr>
            <w:r>
              <w:rPr>
                <w:rFonts w:ascii="Garamond" w:hAnsi="Garamond"/>
                <w:sz w:val="24"/>
                <w:szCs w:val="24"/>
              </w:rPr>
              <w:t>September 2017</w:t>
            </w:r>
            <w:r w:rsidR="004B626E">
              <w:rPr>
                <w:rFonts w:ascii="Garamond" w:hAnsi="Garamond"/>
                <w:sz w:val="24"/>
                <w:szCs w:val="24"/>
              </w:rPr>
              <w:t>-October 2018</w:t>
            </w:r>
          </w:p>
        </w:tc>
        <w:tc>
          <w:tcPr>
            <w:tcW w:w="3397" w:type="pct"/>
          </w:tcPr>
          <w:p w14:paraId="7CBF9D9B" w14:textId="5509C058" w:rsidR="004B626E" w:rsidRPr="00574643" w:rsidRDefault="004B626E" w:rsidP="00574643">
            <w:pPr>
              <w:pStyle w:val="P1-StandPara"/>
              <w:spacing w:line="240" w:lineRule="auto"/>
              <w:ind w:firstLine="0"/>
              <w:jc w:val="left"/>
              <w:rPr>
                <w:rFonts w:ascii="Garamond" w:hAnsi="Garamond"/>
                <w:sz w:val="24"/>
                <w:szCs w:val="24"/>
              </w:rPr>
            </w:pPr>
            <w:r>
              <w:rPr>
                <w:rFonts w:ascii="Garamond" w:hAnsi="Garamond"/>
                <w:sz w:val="24"/>
                <w:szCs w:val="24"/>
              </w:rPr>
              <w:t xml:space="preserve">Recruitment for the </w:t>
            </w:r>
            <w:r w:rsidRPr="00574643">
              <w:rPr>
                <w:rFonts w:ascii="Garamond" w:hAnsi="Garamond"/>
                <w:sz w:val="24"/>
                <w:szCs w:val="24"/>
              </w:rPr>
              <w:t>main study</w:t>
            </w:r>
          </w:p>
        </w:tc>
      </w:tr>
      <w:tr w:rsidR="005611C5" w:rsidRPr="00FB052E" w14:paraId="5E0F8779" w14:textId="77777777" w:rsidTr="00C80603">
        <w:trPr>
          <w:trHeight w:val="20"/>
        </w:trPr>
        <w:tc>
          <w:tcPr>
            <w:tcW w:w="1603" w:type="pct"/>
          </w:tcPr>
          <w:p w14:paraId="5E0F8777" w14:textId="5D0C624B" w:rsidR="005611C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October</w:t>
            </w:r>
            <w:r w:rsidR="00765E62" w:rsidRPr="00574643">
              <w:rPr>
                <w:rFonts w:ascii="Garamond" w:hAnsi="Garamond"/>
                <w:sz w:val="24"/>
                <w:szCs w:val="24"/>
              </w:rPr>
              <w:t>-</w:t>
            </w:r>
            <w:r w:rsidR="00C51496">
              <w:rPr>
                <w:rFonts w:ascii="Garamond" w:hAnsi="Garamond"/>
                <w:sz w:val="24"/>
                <w:szCs w:val="24"/>
              </w:rPr>
              <w:t>December</w:t>
            </w:r>
            <w:r w:rsidR="00C51496"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35415572" w:rsidR="005611C5" w:rsidRDefault="005611C5" w:rsidP="00BE7003">
      <w:pPr>
        <w:pStyle w:val="Heading1"/>
        <w:spacing w:before="120" w:after="0" w:line="240" w:lineRule="auto"/>
        <w:ind w:left="720" w:hanging="720"/>
      </w:pPr>
      <w:bookmarkStart w:id="27" w:name="_Toc511986629"/>
      <w:r>
        <w:t>A.1</w:t>
      </w:r>
      <w:r w:rsidR="00DF0307">
        <w:t>7</w:t>
      </w:r>
      <w:r>
        <w:tab/>
        <w:t>Display OMB Expiration Date</w:t>
      </w:r>
      <w:bookmarkEnd w:id="27"/>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5E40967D" w:rsidR="005611C5" w:rsidRDefault="005611C5" w:rsidP="00BE7003">
      <w:pPr>
        <w:pStyle w:val="Heading1"/>
        <w:spacing w:before="240" w:after="0" w:line="240" w:lineRule="auto"/>
        <w:ind w:left="720" w:hanging="720"/>
      </w:pPr>
      <w:bookmarkStart w:id="28" w:name="_Toc511986630"/>
      <w:r>
        <w:t>A.1</w:t>
      </w:r>
      <w:r w:rsidR="00DF0307">
        <w:t>8</w:t>
      </w:r>
      <w:r>
        <w:tab/>
        <w:t>Exceptions to Certification Statement</w:t>
      </w:r>
      <w:bookmarkEnd w:id="28"/>
    </w:p>
    <w:p w14:paraId="5E0F8783" w14:textId="4E28CEF6" w:rsidR="00127A0F" w:rsidRDefault="005611C5" w:rsidP="00BE7003">
      <w:pPr>
        <w:pStyle w:val="BodyText1"/>
        <w:spacing w:after="0" w:line="240" w:lineRule="auto"/>
      </w:pPr>
      <w:r>
        <w:t>No e</w:t>
      </w:r>
      <w:r w:rsidR="00712A2B">
        <w:t xml:space="preserve">xceptions are requested to the </w:t>
      </w:r>
      <w:r w:rsidRPr="00712A2B">
        <w:rPr>
          <w:i/>
        </w:rPr>
        <w:t>Certification for Paperwork Reduction Act Submissions</w:t>
      </w:r>
      <w:r>
        <w:t xml:space="preserve"> of OMB Form 83-I.</w:t>
      </w:r>
    </w:p>
    <w:p w14:paraId="1998F062" w14:textId="77777777" w:rsidR="000A7292" w:rsidRDefault="000A7292">
      <w:pPr>
        <w:spacing w:line="240" w:lineRule="auto"/>
        <w:jc w:val="left"/>
      </w:pPr>
    </w:p>
    <w:p w14:paraId="6DB8884C" w14:textId="77777777" w:rsidR="000A7292" w:rsidRDefault="000A7292">
      <w:pPr>
        <w:spacing w:line="240" w:lineRule="auto"/>
        <w:jc w:val="left"/>
      </w:pPr>
    </w:p>
    <w:p w14:paraId="1FC11AAB" w14:textId="1F6A5F0B" w:rsidR="005611C5" w:rsidRPr="00127A0F" w:rsidRDefault="00127A0F" w:rsidP="000A7292">
      <w:pPr>
        <w:pStyle w:val="BodyText1"/>
        <w:spacing w:before="0" w:line="240" w:lineRule="auto"/>
        <w:jc w:val="center"/>
        <w:rPr>
          <w:b/>
        </w:rPr>
      </w:pPr>
      <w:r w:rsidRPr="00127A0F">
        <w:rPr>
          <w:b/>
        </w:rPr>
        <w:t>References</w:t>
      </w:r>
    </w:p>
    <w:p w14:paraId="47FFA935" w14:textId="77777777" w:rsidR="00127A0F" w:rsidRPr="00127A0F" w:rsidRDefault="00127A0F" w:rsidP="000A7292">
      <w:pPr>
        <w:pStyle w:val="NoSpacing"/>
        <w:spacing w:after="120"/>
        <w:rPr>
          <w:rFonts w:ascii="Garamond" w:hAnsi="Garamond"/>
          <w:sz w:val="24"/>
          <w:szCs w:val="24"/>
        </w:rPr>
      </w:pPr>
      <w:r w:rsidRPr="00127A0F">
        <w:rPr>
          <w:rFonts w:ascii="Garamond" w:hAnsi="Garamond"/>
          <w:sz w:val="24"/>
          <w:szCs w:val="24"/>
        </w:rPr>
        <w:t>Mercer, Andrew et al. 2015. “How Much Gets You How Much? Monetary Incentives and Response Rates in Household Surveys.” Public Opinion Quarterly 79:105-129.</w:t>
      </w:r>
    </w:p>
    <w:p w14:paraId="03939C1B" w14:textId="69C0166E" w:rsidR="00127A0F" w:rsidRPr="006F3004" w:rsidRDefault="00127A0F" w:rsidP="000A7292">
      <w:pPr>
        <w:pStyle w:val="NoSpacing"/>
        <w:spacing w:after="120"/>
      </w:pPr>
      <w:r w:rsidRPr="00127A0F">
        <w:rPr>
          <w:rFonts w:ascii="Garamond" w:hAnsi="Garamond"/>
          <w:sz w:val="24"/>
          <w:szCs w:val="24"/>
        </w:rPr>
        <w:t>Singer, Eleanor, and Cong Ye. 2013. “The Use and Effects of Incentives in Surveys.” ANNALS of</w:t>
      </w:r>
      <w:r w:rsidR="000A7292">
        <w:rPr>
          <w:rFonts w:ascii="Garamond" w:hAnsi="Garamond"/>
          <w:sz w:val="24"/>
          <w:szCs w:val="24"/>
        </w:rPr>
        <w:t xml:space="preserve"> </w:t>
      </w:r>
      <w:r w:rsidRPr="00127A0F">
        <w:rPr>
          <w:rFonts w:ascii="Garamond" w:hAnsi="Garamond"/>
          <w:sz w:val="24"/>
          <w:szCs w:val="24"/>
        </w:rPr>
        <w:t>the American Academy of Political and Social Science 645:112–41.</w:t>
      </w:r>
    </w:p>
    <w:sectPr w:rsidR="00127A0F" w:rsidRPr="006F3004" w:rsidSect="00FA6D8F">
      <w:headerReference w:type="first" r:id="rId14"/>
      <w:pgSz w:w="12240" w:h="15840" w:code="1"/>
      <w:pgMar w:top="720" w:right="720" w:bottom="720" w:left="720"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AECCF" w16cid:durableId="1E5A157A"/>
  <w16cid:commentId w16cid:paraId="70CD1E51" w16cid:durableId="1E5A05D6"/>
  <w16cid:commentId w16cid:paraId="784B5C20" w16cid:durableId="1E5A1EE6"/>
  <w16cid:commentId w16cid:paraId="1A034152" w16cid:durableId="1E5A1E6E"/>
  <w16cid:commentId w16cid:paraId="0E80C658" w16cid:durableId="1E5A1E7D"/>
  <w16cid:commentId w16cid:paraId="686DC1DF" w16cid:durableId="1E5A1F00"/>
  <w16cid:commentId w16cid:paraId="5A945A9B" w16cid:durableId="1E5A072C"/>
  <w16cid:commentId w16cid:paraId="28622212" w16cid:durableId="1E5A0D07"/>
  <w16cid:commentId w16cid:paraId="735182D6" w16cid:durableId="1E5A0EE8"/>
  <w16cid:commentId w16cid:paraId="49C7261C" w16cid:durableId="1E5A03A3"/>
  <w16cid:commentId w16cid:paraId="02771763" w16cid:durableId="1E5A00AB"/>
  <w16cid:commentId w16cid:paraId="03F28CA8" w16cid:durableId="1E5A11B9"/>
  <w16cid:commentId w16cid:paraId="05772635" w16cid:durableId="1E5A126C"/>
  <w16cid:commentId w16cid:paraId="0D8852C7" w16cid:durableId="1E5A13D0"/>
  <w16cid:commentId w16cid:paraId="4DC3E9DF" w16cid:durableId="1E5A14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78612" w14:textId="77777777" w:rsidR="0050105D" w:rsidRDefault="0050105D">
      <w:r>
        <w:separator/>
      </w:r>
    </w:p>
  </w:endnote>
  <w:endnote w:type="continuationSeparator" w:id="0">
    <w:p w14:paraId="55F85D64" w14:textId="77777777" w:rsidR="0050105D" w:rsidRDefault="0050105D">
      <w:r>
        <w:continuationSeparator/>
      </w:r>
    </w:p>
  </w:endnote>
  <w:endnote w:type="continuationNotice" w:id="1">
    <w:p w14:paraId="562DBFD3" w14:textId="77777777" w:rsidR="0050105D" w:rsidRDefault="005010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392C80D0" w:rsidR="00535429" w:rsidRDefault="00535429"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547611">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98D14" w14:textId="77777777" w:rsidR="0050105D" w:rsidRDefault="0050105D">
      <w:r>
        <w:separator/>
      </w:r>
    </w:p>
  </w:footnote>
  <w:footnote w:type="continuationSeparator" w:id="0">
    <w:p w14:paraId="224A220D" w14:textId="77777777" w:rsidR="0050105D" w:rsidRDefault="0050105D">
      <w:r>
        <w:continuationSeparator/>
      </w:r>
    </w:p>
  </w:footnote>
  <w:footnote w:type="continuationNotice" w:id="1">
    <w:p w14:paraId="2416D6A5" w14:textId="77777777" w:rsidR="0050105D" w:rsidRDefault="0050105D">
      <w:pPr>
        <w:spacing w:line="240" w:lineRule="auto"/>
      </w:pPr>
    </w:p>
  </w:footnote>
  <w:footnote w:id="2">
    <w:p w14:paraId="11E48D6B" w14:textId="46DFA666" w:rsidR="00535429" w:rsidRPr="00B02695" w:rsidRDefault="00535429" w:rsidP="00B02695">
      <w:pPr>
        <w:pStyle w:val="FootnoteText"/>
        <w:spacing w:before="0" w:line="240" w:lineRule="auto"/>
        <w:rPr>
          <w:rFonts w:ascii="Garamond" w:hAnsi="Garamond"/>
          <w:sz w:val="18"/>
          <w:szCs w:val="18"/>
        </w:rPr>
      </w:pPr>
      <w:r w:rsidRPr="00B02695">
        <w:rPr>
          <w:rStyle w:val="FootnoteReference"/>
          <w:sz w:val="18"/>
          <w:szCs w:val="18"/>
        </w:rPr>
        <w:footnoteRef/>
      </w:r>
      <w:r w:rsidRPr="00B02695">
        <w:rPr>
          <w:sz w:val="18"/>
          <w:szCs w:val="18"/>
        </w:rPr>
        <w:t xml:space="preserve"> </w:t>
      </w:r>
      <w:r w:rsidRPr="00B02695">
        <w:rPr>
          <w:rFonts w:ascii="Garamond" w:hAnsi="Garamond"/>
          <w:sz w:val="18"/>
          <w:szCs w:val="18"/>
        </w:rPr>
        <w:t>Although we expect that most children in this age range will attend kindergarten, a small percentage of children may be in pre-kindergarten or first grade. Because this is an age-based sample rather than a grade-sample, these off-grade students will be included in the study.</w:t>
      </w:r>
    </w:p>
  </w:footnote>
  <w:footnote w:id="3">
    <w:p w14:paraId="5A909EC8" w14:textId="16559FC0" w:rsidR="00535429" w:rsidRPr="0041175C" w:rsidRDefault="00535429" w:rsidP="00DF0307">
      <w:pPr>
        <w:pStyle w:val="FootnoteText"/>
        <w:spacing w:before="0" w:line="240" w:lineRule="auto"/>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According to the IELS international technical standards, five-year-old children are defined as those who are five years old on the day in the middle of the administration period. Therefore, if the administration period for the main study is, for example, </w:t>
      </w:r>
      <w:r>
        <w:rPr>
          <w:rFonts w:ascii="Garamond" w:hAnsi="Garamond"/>
          <w:sz w:val="18"/>
          <w:szCs w:val="18"/>
        </w:rPr>
        <w:t>15</w:t>
      </w:r>
      <w:r w:rsidRPr="0041175C">
        <w:rPr>
          <w:rFonts w:ascii="Garamond" w:hAnsi="Garamond"/>
          <w:sz w:val="18"/>
          <w:szCs w:val="18"/>
        </w:rPr>
        <w:t xml:space="preserve"> October 2018 to </w:t>
      </w:r>
      <w:r>
        <w:rPr>
          <w:rFonts w:ascii="Garamond" w:hAnsi="Garamond"/>
          <w:sz w:val="18"/>
          <w:szCs w:val="18"/>
        </w:rPr>
        <w:t>12 December</w:t>
      </w:r>
      <w:r w:rsidRPr="0041175C">
        <w:rPr>
          <w:rFonts w:ascii="Garamond" w:hAnsi="Garamond"/>
          <w:sz w:val="18"/>
          <w:szCs w:val="18"/>
        </w:rPr>
        <w:t xml:space="preserve"> 2018, then any child who was born between </w:t>
      </w:r>
      <w:r w:rsidRPr="006F28FF">
        <w:rPr>
          <w:rFonts w:ascii="Garamond" w:hAnsi="Garamond"/>
          <w:sz w:val="18"/>
          <w:szCs w:val="18"/>
        </w:rPr>
        <w:t xml:space="preserve">1 November 2012 </w:t>
      </w:r>
      <w:r>
        <w:rPr>
          <w:rFonts w:ascii="Garamond" w:hAnsi="Garamond"/>
          <w:sz w:val="18"/>
          <w:szCs w:val="18"/>
        </w:rPr>
        <w:t>and</w:t>
      </w:r>
      <w:r w:rsidRPr="006F28FF">
        <w:rPr>
          <w:rFonts w:ascii="Garamond" w:hAnsi="Garamond"/>
          <w:sz w:val="18"/>
          <w:szCs w:val="18"/>
        </w:rPr>
        <w:t xml:space="preserve"> 31 October 2013</w:t>
      </w:r>
      <w:r>
        <w:rPr>
          <w:rFonts w:ascii="Garamond" w:hAnsi="Garamond"/>
          <w:sz w:val="18"/>
          <w:szCs w:val="18"/>
        </w:rPr>
        <w:t xml:space="preserve"> </w:t>
      </w:r>
      <w:r w:rsidRPr="0041175C">
        <w:rPr>
          <w:rFonts w:ascii="Garamond" w:hAnsi="Garamond"/>
          <w:sz w:val="18"/>
          <w:szCs w:val="18"/>
        </w:rPr>
        <w:t>are eligible for the study. The majority of these children will be in kindergarten, and a small number will be in first grade.</w:t>
      </w:r>
    </w:p>
  </w:footnote>
  <w:footnote w:id="4">
    <w:p w14:paraId="79AFABF5" w14:textId="761B21D4" w:rsidR="00535429" w:rsidRDefault="00535429" w:rsidP="007445A6">
      <w:pPr>
        <w:pStyle w:val="FootnoteText"/>
        <w:spacing w:before="0" w:after="40" w:line="240" w:lineRule="auto"/>
      </w:pPr>
      <w:r>
        <w:rPr>
          <w:rStyle w:val="FootnoteReference"/>
        </w:rPr>
        <w:footnoteRef/>
      </w:r>
      <w:r>
        <w:t xml:space="preserve"> T</w:t>
      </w:r>
      <w:r w:rsidRPr="007234D8">
        <w:t xml:space="preserve">his amount was tested in the incentive experiment conducted as part of the PISA 2012 field test and then </w:t>
      </w:r>
      <w:r>
        <w:t xml:space="preserve">was first </w:t>
      </w:r>
      <w:r w:rsidRPr="007234D8">
        <w:t>used in the PISA 2012 main stud</w:t>
      </w:r>
      <w:r>
        <w:t>y.</w:t>
      </w:r>
    </w:p>
  </w:footnote>
  <w:footnote w:id="5">
    <w:p w14:paraId="4A173A69" w14:textId="6574173B" w:rsidR="00535429" w:rsidRDefault="00535429" w:rsidP="007445A6">
      <w:pPr>
        <w:pStyle w:val="FootnoteText"/>
        <w:spacing w:before="0" w:line="240" w:lineRule="auto"/>
      </w:pPr>
      <w:r>
        <w:rPr>
          <w:rStyle w:val="FootnoteReference"/>
        </w:rPr>
        <w:footnoteRef/>
      </w:r>
      <w:r>
        <w:t xml:space="preserve"> T</w:t>
      </w:r>
      <w:r w:rsidRPr="007234D8">
        <w:t xml:space="preserve">o meet the </w:t>
      </w:r>
      <w:r>
        <w:t>50</w:t>
      </w:r>
      <w:r w:rsidRPr="007234D8">
        <w:t xml:space="preserve"> percent of original schools minimum requirement</w:t>
      </w:r>
      <w:r>
        <w:t>,</w:t>
      </w:r>
      <w:r w:rsidRPr="007234D8">
        <w:t xml:space="preserve"> we need to recruit at least </w:t>
      </w:r>
      <w:r>
        <w:t>52</w:t>
      </w:r>
      <w:r w:rsidRPr="007234D8">
        <w:t xml:space="preserve"> percent of original schools factoring in a 3 percent attrition of schools before data collection begins in </w:t>
      </w:r>
      <w:r>
        <w:t>October</w:t>
      </w:r>
      <w:r w:rsidRPr="007234D8">
        <w:t xml:space="preserve"> 2018</w:t>
      </w:r>
      <w:r>
        <w:t>.</w:t>
      </w:r>
    </w:p>
  </w:footnote>
  <w:footnote w:id="6">
    <w:p w14:paraId="3C1D47CA" w14:textId="1924DA79" w:rsidR="00535429" w:rsidRPr="0095412E" w:rsidRDefault="00535429" w:rsidP="00A936C4">
      <w:pPr>
        <w:pStyle w:val="FootnoteText"/>
        <w:spacing w:before="0" w:line="240" w:lineRule="auto"/>
        <w:jc w:val="left"/>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w:t>
      </w:r>
      <w:r w:rsidRPr="0095412E">
        <w:rPr>
          <w:rFonts w:ascii="Garamond" w:hAnsi="Garamond"/>
          <w:sz w:val="18"/>
          <w:szCs w:val="18"/>
        </w:rPr>
        <w:t xml:space="preserve">The average hourly </w:t>
      </w:r>
      <w:r>
        <w:rPr>
          <w:rFonts w:ascii="Garamond" w:hAnsi="Garamond"/>
          <w:sz w:val="18"/>
          <w:szCs w:val="18"/>
        </w:rPr>
        <w:t>wage</w:t>
      </w:r>
      <w:r w:rsidRPr="0095412E">
        <w:rPr>
          <w:rFonts w:ascii="Garamond" w:hAnsi="Garamond"/>
          <w:sz w:val="18"/>
          <w:szCs w:val="18"/>
        </w:rPr>
        <w:t xml:space="preserve"> of principals/education administrators</w:t>
      </w:r>
      <w:r>
        <w:rPr>
          <w:rFonts w:ascii="Garamond" w:hAnsi="Garamond"/>
          <w:sz w:val="18"/>
          <w:szCs w:val="18"/>
        </w:rPr>
        <w:t>/school coordinators</w:t>
      </w:r>
      <w:r w:rsidRPr="0095412E">
        <w:rPr>
          <w:rFonts w:ascii="Garamond" w:hAnsi="Garamond"/>
          <w:sz w:val="18"/>
          <w:szCs w:val="18"/>
        </w:rPr>
        <w:t xml:space="preserve"> derived from May 2017 Bureau of Labor Statistics (BLS) Occupation Employment Statistics is $46.85, of kindergarten teachers (including special education teachers) it is $28.62, and of parents it is $24.34. If mean hourly wage was not provided, it was computed assuming 2,080 hours per year. Source: BLS Occupation Employment Statistics, </w:t>
      </w:r>
      <w:hyperlink r:id="rId1" w:history="1">
        <w:r w:rsidRPr="002D3900">
          <w:rPr>
            <w:rStyle w:val="Hyperlink"/>
            <w:rFonts w:ascii="Garamond" w:hAnsi="Garamond"/>
            <w:sz w:val="18"/>
            <w:szCs w:val="18"/>
          </w:rPr>
          <w:t>http://data.bls.gov/oes/</w:t>
        </w:r>
      </w:hyperlink>
      <w:r>
        <w:rPr>
          <w:rFonts w:ascii="Garamond" w:hAnsi="Garamond"/>
          <w:sz w:val="18"/>
          <w:szCs w:val="18"/>
        </w:rPr>
        <w:t xml:space="preserve"> </w:t>
      </w:r>
      <w:r w:rsidRPr="0095412E">
        <w:rPr>
          <w:rFonts w:ascii="Garamond" w:hAnsi="Garamond"/>
          <w:sz w:val="18"/>
          <w:szCs w:val="18"/>
        </w:rPr>
        <w:t xml:space="preserve">data type: Occupation codes: Education Administrators, Elementary and Secondary Schools (11-9032), </w:t>
      </w:r>
      <w:r w:rsidRPr="00D45306">
        <w:rPr>
          <w:rFonts w:ascii="Garamond" w:hAnsi="Garamond"/>
          <w:sz w:val="18"/>
          <w:szCs w:val="18"/>
        </w:rPr>
        <w:t>Kindergarten Teachers, Except Special Education</w:t>
      </w:r>
      <w:r>
        <w:rPr>
          <w:rFonts w:ascii="Garamond" w:hAnsi="Garamond"/>
          <w:sz w:val="18"/>
          <w:szCs w:val="18"/>
        </w:rPr>
        <w:t xml:space="preserve"> </w:t>
      </w:r>
      <w:r w:rsidRPr="00D45306">
        <w:rPr>
          <w:rFonts w:ascii="Garamond" w:hAnsi="Garamond"/>
          <w:sz w:val="18"/>
          <w:szCs w:val="18"/>
        </w:rPr>
        <w:t>(25</w:t>
      </w:r>
      <w:r>
        <w:rPr>
          <w:rFonts w:ascii="Garamond" w:hAnsi="Garamond"/>
          <w:sz w:val="18"/>
          <w:szCs w:val="18"/>
        </w:rPr>
        <w:t>-</w:t>
      </w:r>
      <w:r w:rsidRPr="00D45306">
        <w:rPr>
          <w:rFonts w:ascii="Garamond" w:hAnsi="Garamond"/>
          <w:sz w:val="18"/>
          <w:szCs w:val="18"/>
        </w:rPr>
        <w:t>2012)</w:t>
      </w:r>
      <w:r>
        <w:rPr>
          <w:rFonts w:ascii="Garamond" w:hAnsi="Garamond"/>
          <w:sz w:val="18"/>
          <w:szCs w:val="18"/>
        </w:rPr>
        <w:t>,</w:t>
      </w:r>
      <w:r w:rsidRPr="0095412E">
        <w:rPr>
          <w:rFonts w:ascii="Garamond" w:hAnsi="Garamond"/>
          <w:sz w:val="18"/>
          <w:szCs w:val="18"/>
        </w:rPr>
        <w:t xml:space="preserve"> </w:t>
      </w:r>
      <w:r w:rsidRPr="00D45306">
        <w:rPr>
          <w:rFonts w:ascii="Garamond" w:hAnsi="Garamond"/>
          <w:sz w:val="18"/>
          <w:szCs w:val="18"/>
        </w:rPr>
        <w:t>Special Education Teachers, Kindergarten and Elementary School</w:t>
      </w:r>
      <w:r>
        <w:rPr>
          <w:rFonts w:ascii="Garamond" w:hAnsi="Garamond"/>
          <w:sz w:val="18"/>
          <w:szCs w:val="18"/>
        </w:rPr>
        <w:t xml:space="preserve"> </w:t>
      </w:r>
      <w:r w:rsidRPr="00D45306">
        <w:rPr>
          <w:rFonts w:ascii="Garamond" w:hAnsi="Garamond"/>
          <w:sz w:val="18"/>
          <w:szCs w:val="18"/>
        </w:rPr>
        <w:t>(25</w:t>
      </w:r>
      <w:r>
        <w:rPr>
          <w:rFonts w:ascii="Garamond" w:hAnsi="Garamond"/>
          <w:sz w:val="18"/>
          <w:szCs w:val="18"/>
        </w:rPr>
        <w:t>-</w:t>
      </w:r>
      <w:r w:rsidRPr="00D45306">
        <w:rPr>
          <w:rFonts w:ascii="Garamond" w:hAnsi="Garamond"/>
          <w:sz w:val="18"/>
          <w:szCs w:val="18"/>
        </w:rPr>
        <w:t>2052)</w:t>
      </w:r>
      <w:r>
        <w:rPr>
          <w:rFonts w:ascii="Garamond" w:hAnsi="Garamond"/>
          <w:sz w:val="18"/>
          <w:szCs w:val="18"/>
        </w:rPr>
        <w:t xml:space="preserve">, </w:t>
      </w:r>
      <w:r w:rsidRPr="0095412E">
        <w:rPr>
          <w:rFonts w:ascii="Garamond" w:hAnsi="Garamond"/>
          <w:sz w:val="18"/>
          <w:szCs w:val="18"/>
        </w:rPr>
        <w:t xml:space="preserve">and </w:t>
      </w:r>
      <w:r>
        <w:rPr>
          <w:rFonts w:ascii="Garamond" w:hAnsi="Garamond"/>
          <w:sz w:val="18"/>
          <w:szCs w:val="18"/>
        </w:rPr>
        <w:t>(for the parent estimate) A</w:t>
      </w:r>
      <w:r w:rsidRPr="0095412E">
        <w:rPr>
          <w:rFonts w:ascii="Garamond" w:hAnsi="Garamond"/>
          <w:sz w:val="18"/>
          <w:szCs w:val="18"/>
        </w:rPr>
        <w:t xml:space="preserve">ll </w:t>
      </w:r>
      <w:r w:rsidRPr="00D45306">
        <w:rPr>
          <w:rFonts w:ascii="Garamond" w:hAnsi="Garamond"/>
          <w:sz w:val="18"/>
          <w:szCs w:val="18"/>
        </w:rPr>
        <w:t xml:space="preserve">Occupations </w:t>
      </w:r>
      <w:r w:rsidRPr="0095412E">
        <w:rPr>
          <w:rFonts w:ascii="Garamond" w:hAnsi="Garamond"/>
          <w:sz w:val="18"/>
          <w:szCs w:val="18"/>
        </w:rPr>
        <w:t xml:space="preserve">(00-0000); accessed on </w:t>
      </w:r>
      <w:r>
        <w:rPr>
          <w:rFonts w:ascii="Garamond" w:hAnsi="Garamond"/>
          <w:sz w:val="18"/>
          <w:szCs w:val="18"/>
        </w:rPr>
        <w:t>June</w:t>
      </w:r>
      <w:r w:rsidRPr="0095412E">
        <w:rPr>
          <w:rFonts w:ascii="Garamond" w:hAnsi="Garamond"/>
          <w:sz w:val="18"/>
          <w:szCs w:val="18"/>
        </w:rPr>
        <w:t xml:space="preserve"> </w:t>
      </w:r>
      <w:r>
        <w:rPr>
          <w:rFonts w:ascii="Garamond" w:hAnsi="Garamond"/>
          <w:sz w:val="18"/>
          <w:szCs w:val="18"/>
        </w:rPr>
        <w:t>20</w:t>
      </w:r>
      <w:r w:rsidRPr="0095412E">
        <w:rPr>
          <w:rFonts w:ascii="Garamond" w:hAnsi="Garamond"/>
          <w:sz w:val="18"/>
          <w:szCs w:val="18"/>
        </w:rPr>
        <w:t>, 201</w:t>
      </w:r>
      <w:r>
        <w:rPr>
          <w:rFonts w:ascii="Garamond" w:hAnsi="Garamond"/>
          <w:sz w:val="18"/>
          <w:szCs w:val="18"/>
        </w:rPr>
        <w:t>8</w:t>
      </w:r>
      <w:r w:rsidRPr="0041175C">
        <w:rPr>
          <w:rFonts w:ascii="Garamond" w:hAnsi="Garamond"/>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535429" w:rsidRDefault="005354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32E31"/>
    <w:multiLevelType w:val="hybridMultilevel"/>
    <w:tmpl w:val="9E7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E7B95"/>
    <w:multiLevelType w:val="hybridMultilevel"/>
    <w:tmpl w:val="706C6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00183"/>
    <w:multiLevelType w:val="hybridMultilevel"/>
    <w:tmpl w:val="55A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3">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9"/>
  </w:num>
  <w:num w:numId="4">
    <w:abstractNumId w:val="13"/>
  </w:num>
  <w:num w:numId="5">
    <w:abstractNumId w:val="8"/>
  </w:num>
  <w:num w:numId="6">
    <w:abstractNumId w:val="12"/>
    <w:lvlOverride w:ilvl="0">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8"/>
  </w:num>
  <w:num w:numId="11">
    <w:abstractNumId w:val="10"/>
  </w:num>
  <w:num w:numId="12">
    <w:abstractNumId w:val="5"/>
  </w:num>
  <w:num w:numId="13">
    <w:abstractNumId w:val="7"/>
  </w:num>
  <w:num w:numId="14">
    <w:abstractNumId w:val="11"/>
  </w:num>
  <w:num w:numId="15">
    <w:abstractNumId w:val="6"/>
  </w:num>
  <w:num w:numId="16">
    <w:abstractNumId w:val="16"/>
  </w:num>
  <w:num w:numId="17">
    <w:abstractNumId w:val="17"/>
  </w:num>
  <w:num w:numId="18">
    <w:abstractNumId w:val="15"/>
  </w:num>
  <w:num w:numId="19">
    <w:abstractNumId w:val="9"/>
  </w:num>
  <w:num w:numId="20">
    <w:abstractNumId w:val="14"/>
  </w:num>
  <w:num w:numId="21">
    <w:abstractNumId w:val="3"/>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hideGrammaticalErrors/>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1009"/>
    <w:rsid w:val="00022999"/>
    <w:rsid w:val="00022A19"/>
    <w:rsid w:val="00022B39"/>
    <w:rsid w:val="00023578"/>
    <w:rsid w:val="00024066"/>
    <w:rsid w:val="000244EC"/>
    <w:rsid w:val="00024538"/>
    <w:rsid w:val="000247B2"/>
    <w:rsid w:val="00024BA5"/>
    <w:rsid w:val="00025D2F"/>
    <w:rsid w:val="00025D9B"/>
    <w:rsid w:val="000276BA"/>
    <w:rsid w:val="000304CE"/>
    <w:rsid w:val="000307BF"/>
    <w:rsid w:val="0003133C"/>
    <w:rsid w:val="000313B7"/>
    <w:rsid w:val="00031420"/>
    <w:rsid w:val="000323B1"/>
    <w:rsid w:val="00033085"/>
    <w:rsid w:val="00033C2C"/>
    <w:rsid w:val="00035753"/>
    <w:rsid w:val="000359A7"/>
    <w:rsid w:val="00035CF6"/>
    <w:rsid w:val="00040971"/>
    <w:rsid w:val="0004226A"/>
    <w:rsid w:val="000437A2"/>
    <w:rsid w:val="00043B87"/>
    <w:rsid w:val="000457BC"/>
    <w:rsid w:val="00045DD2"/>
    <w:rsid w:val="0004623A"/>
    <w:rsid w:val="000464F6"/>
    <w:rsid w:val="00046B09"/>
    <w:rsid w:val="0004794E"/>
    <w:rsid w:val="00050E91"/>
    <w:rsid w:val="000531A3"/>
    <w:rsid w:val="00053B34"/>
    <w:rsid w:val="000543DC"/>
    <w:rsid w:val="00054416"/>
    <w:rsid w:val="00055C0E"/>
    <w:rsid w:val="00060316"/>
    <w:rsid w:val="00060B10"/>
    <w:rsid w:val="00060B43"/>
    <w:rsid w:val="00060C5E"/>
    <w:rsid w:val="00060F5F"/>
    <w:rsid w:val="0006109A"/>
    <w:rsid w:val="0006281B"/>
    <w:rsid w:val="00062C14"/>
    <w:rsid w:val="00062CA3"/>
    <w:rsid w:val="000634AC"/>
    <w:rsid w:val="00063E7F"/>
    <w:rsid w:val="00064C51"/>
    <w:rsid w:val="00066D93"/>
    <w:rsid w:val="00067B6B"/>
    <w:rsid w:val="000701FD"/>
    <w:rsid w:val="00070B92"/>
    <w:rsid w:val="0007313A"/>
    <w:rsid w:val="00073F75"/>
    <w:rsid w:val="0007555C"/>
    <w:rsid w:val="00075A2E"/>
    <w:rsid w:val="00075F30"/>
    <w:rsid w:val="00076F6D"/>
    <w:rsid w:val="000808D8"/>
    <w:rsid w:val="00081F23"/>
    <w:rsid w:val="00084322"/>
    <w:rsid w:val="00084B9F"/>
    <w:rsid w:val="00085D2B"/>
    <w:rsid w:val="000876FE"/>
    <w:rsid w:val="000911D0"/>
    <w:rsid w:val="00091391"/>
    <w:rsid w:val="00091F22"/>
    <w:rsid w:val="00092315"/>
    <w:rsid w:val="0009259D"/>
    <w:rsid w:val="0009579D"/>
    <w:rsid w:val="00095DB6"/>
    <w:rsid w:val="000965C8"/>
    <w:rsid w:val="000966EB"/>
    <w:rsid w:val="00096A04"/>
    <w:rsid w:val="00097392"/>
    <w:rsid w:val="000A0865"/>
    <w:rsid w:val="000A0C65"/>
    <w:rsid w:val="000A0E37"/>
    <w:rsid w:val="000A2847"/>
    <w:rsid w:val="000A2C84"/>
    <w:rsid w:val="000A3C71"/>
    <w:rsid w:val="000A3F54"/>
    <w:rsid w:val="000A6523"/>
    <w:rsid w:val="000A653E"/>
    <w:rsid w:val="000A7292"/>
    <w:rsid w:val="000A72A5"/>
    <w:rsid w:val="000A7E88"/>
    <w:rsid w:val="000B02D3"/>
    <w:rsid w:val="000B0F19"/>
    <w:rsid w:val="000B1B77"/>
    <w:rsid w:val="000B2391"/>
    <w:rsid w:val="000B4B53"/>
    <w:rsid w:val="000B6351"/>
    <w:rsid w:val="000B6566"/>
    <w:rsid w:val="000B743B"/>
    <w:rsid w:val="000B7CDF"/>
    <w:rsid w:val="000B7F15"/>
    <w:rsid w:val="000C00D1"/>
    <w:rsid w:val="000C015A"/>
    <w:rsid w:val="000C0898"/>
    <w:rsid w:val="000C089E"/>
    <w:rsid w:val="000C0CCF"/>
    <w:rsid w:val="000C1BCF"/>
    <w:rsid w:val="000C2EFF"/>
    <w:rsid w:val="000C4B48"/>
    <w:rsid w:val="000C503A"/>
    <w:rsid w:val="000C5454"/>
    <w:rsid w:val="000C5D5E"/>
    <w:rsid w:val="000C623E"/>
    <w:rsid w:val="000D07EB"/>
    <w:rsid w:val="000D105B"/>
    <w:rsid w:val="000D1198"/>
    <w:rsid w:val="000D1450"/>
    <w:rsid w:val="000D1C54"/>
    <w:rsid w:val="000D2EEE"/>
    <w:rsid w:val="000D3317"/>
    <w:rsid w:val="000D4059"/>
    <w:rsid w:val="000D7A4E"/>
    <w:rsid w:val="000E0EA0"/>
    <w:rsid w:val="000E2B00"/>
    <w:rsid w:val="000E33E2"/>
    <w:rsid w:val="000E43A7"/>
    <w:rsid w:val="000E640A"/>
    <w:rsid w:val="000E7643"/>
    <w:rsid w:val="000E7747"/>
    <w:rsid w:val="000E7D4C"/>
    <w:rsid w:val="000F1BB0"/>
    <w:rsid w:val="000F2591"/>
    <w:rsid w:val="000F27D6"/>
    <w:rsid w:val="000F3308"/>
    <w:rsid w:val="000F33A2"/>
    <w:rsid w:val="000F3B16"/>
    <w:rsid w:val="000F41E3"/>
    <w:rsid w:val="000F45AD"/>
    <w:rsid w:val="000F45D6"/>
    <w:rsid w:val="000F4C26"/>
    <w:rsid w:val="000F5F1A"/>
    <w:rsid w:val="000F696E"/>
    <w:rsid w:val="00104BD6"/>
    <w:rsid w:val="00105E76"/>
    <w:rsid w:val="001064BA"/>
    <w:rsid w:val="001068E6"/>
    <w:rsid w:val="0010711A"/>
    <w:rsid w:val="00112DE4"/>
    <w:rsid w:val="00113E18"/>
    <w:rsid w:val="00115047"/>
    <w:rsid w:val="00116316"/>
    <w:rsid w:val="001164A6"/>
    <w:rsid w:val="00116A74"/>
    <w:rsid w:val="00116E0A"/>
    <w:rsid w:val="00121970"/>
    <w:rsid w:val="0012199D"/>
    <w:rsid w:val="0012218A"/>
    <w:rsid w:val="001227AC"/>
    <w:rsid w:val="001228D3"/>
    <w:rsid w:val="00123068"/>
    <w:rsid w:val="00124802"/>
    <w:rsid w:val="00124C41"/>
    <w:rsid w:val="001259A4"/>
    <w:rsid w:val="00125AB9"/>
    <w:rsid w:val="00125E38"/>
    <w:rsid w:val="00126B3A"/>
    <w:rsid w:val="001271BE"/>
    <w:rsid w:val="00127A0F"/>
    <w:rsid w:val="00130963"/>
    <w:rsid w:val="00131359"/>
    <w:rsid w:val="00131757"/>
    <w:rsid w:val="00131C42"/>
    <w:rsid w:val="00134176"/>
    <w:rsid w:val="00134703"/>
    <w:rsid w:val="00135D39"/>
    <w:rsid w:val="001360B0"/>
    <w:rsid w:val="00142481"/>
    <w:rsid w:val="00142727"/>
    <w:rsid w:val="0014296C"/>
    <w:rsid w:val="00144C26"/>
    <w:rsid w:val="00144DBB"/>
    <w:rsid w:val="00144F67"/>
    <w:rsid w:val="0014743B"/>
    <w:rsid w:val="001518BC"/>
    <w:rsid w:val="00151CB3"/>
    <w:rsid w:val="00152586"/>
    <w:rsid w:val="001528B3"/>
    <w:rsid w:val="00155C58"/>
    <w:rsid w:val="00157484"/>
    <w:rsid w:val="00157A22"/>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1F66"/>
    <w:rsid w:val="00182F5D"/>
    <w:rsid w:val="00184069"/>
    <w:rsid w:val="0018499E"/>
    <w:rsid w:val="001855C3"/>
    <w:rsid w:val="001856A3"/>
    <w:rsid w:val="00186BFE"/>
    <w:rsid w:val="00187D8F"/>
    <w:rsid w:val="00190868"/>
    <w:rsid w:val="0019192F"/>
    <w:rsid w:val="00193054"/>
    <w:rsid w:val="001933AF"/>
    <w:rsid w:val="00193401"/>
    <w:rsid w:val="00194B50"/>
    <w:rsid w:val="0019513B"/>
    <w:rsid w:val="00195588"/>
    <w:rsid w:val="00196657"/>
    <w:rsid w:val="001A1F8F"/>
    <w:rsid w:val="001A25B3"/>
    <w:rsid w:val="001A3E5D"/>
    <w:rsid w:val="001A6CAE"/>
    <w:rsid w:val="001A7ABE"/>
    <w:rsid w:val="001A7B52"/>
    <w:rsid w:val="001B038B"/>
    <w:rsid w:val="001B18A7"/>
    <w:rsid w:val="001B290C"/>
    <w:rsid w:val="001B2C9C"/>
    <w:rsid w:val="001B31DE"/>
    <w:rsid w:val="001B57A5"/>
    <w:rsid w:val="001C040B"/>
    <w:rsid w:val="001C0CBB"/>
    <w:rsid w:val="001C3E8F"/>
    <w:rsid w:val="001C50FD"/>
    <w:rsid w:val="001C6DEF"/>
    <w:rsid w:val="001D0F4C"/>
    <w:rsid w:val="001D16D1"/>
    <w:rsid w:val="001D2341"/>
    <w:rsid w:val="001D2D91"/>
    <w:rsid w:val="001D3289"/>
    <w:rsid w:val="001D3A9B"/>
    <w:rsid w:val="001D48F7"/>
    <w:rsid w:val="001D5D40"/>
    <w:rsid w:val="001D622C"/>
    <w:rsid w:val="001E021E"/>
    <w:rsid w:val="001E031B"/>
    <w:rsid w:val="001E0614"/>
    <w:rsid w:val="001E1035"/>
    <w:rsid w:val="001E2DB6"/>
    <w:rsid w:val="001E3AC8"/>
    <w:rsid w:val="001E4643"/>
    <w:rsid w:val="001E4C29"/>
    <w:rsid w:val="001E56E9"/>
    <w:rsid w:val="001E6475"/>
    <w:rsid w:val="001E745C"/>
    <w:rsid w:val="001E74DB"/>
    <w:rsid w:val="001F1BC9"/>
    <w:rsid w:val="001F2341"/>
    <w:rsid w:val="001F2B38"/>
    <w:rsid w:val="001F4798"/>
    <w:rsid w:val="001F593D"/>
    <w:rsid w:val="001F5C2B"/>
    <w:rsid w:val="001F64FC"/>
    <w:rsid w:val="001F6D48"/>
    <w:rsid w:val="001F7507"/>
    <w:rsid w:val="002000D2"/>
    <w:rsid w:val="00200693"/>
    <w:rsid w:val="00200B06"/>
    <w:rsid w:val="00201C30"/>
    <w:rsid w:val="00203423"/>
    <w:rsid w:val="002036B2"/>
    <w:rsid w:val="00205447"/>
    <w:rsid w:val="002063C6"/>
    <w:rsid w:val="00206CD7"/>
    <w:rsid w:val="00210851"/>
    <w:rsid w:val="00210E41"/>
    <w:rsid w:val="0021107A"/>
    <w:rsid w:val="00211FCE"/>
    <w:rsid w:val="002200BF"/>
    <w:rsid w:val="00222B29"/>
    <w:rsid w:val="002230AC"/>
    <w:rsid w:val="002230B5"/>
    <w:rsid w:val="00223BA0"/>
    <w:rsid w:val="00224012"/>
    <w:rsid w:val="002252A6"/>
    <w:rsid w:val="00225FFB"/>
    <w:rsid w:val="00227B2C"/>
    <w:rsid w:val="00230A42"/>
    <w:rsid w:val="002317BB"/>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05C3"/>
    <w:rsid w:val="002705EA"/>
    <w:rsid w:val="002714BA"/>
    <w:rsid w:val="00275240"/>
    <w:rsid w:val="00275C1E"/>
    <w:rsid w:val="002763A2"/>
    <w:rsid w:val="00281E55"/>
    <w:rsid w:val="00282FC2"/>
    <w:rsid w:val="0028372D"/>
    <w:rsid w:val="00286789"/>
    <w:rsid w:val="00287008"/>
    <w:rsid w:val="0028726A"/>
    <w:rsid w:val="002876BF"/>
    <w:rsid w:val="00290D7B"/>
    <w:rsid w:val="002912F2"/>
    <w:rsid w:val="00292173"/>
    <w:rsid w:val="00292AEE"/>
    <w:rsid w:val="00292CBC"/>
    <w:rsid w:val="002948BE"/>
    <w:rsid w:val="00296A43"/>
    <w:rsid w:val="00296EAA"/>
    <w:rsid w:val="002A091A"/>
    <w:rsid w:val="002A0DCC"/>
    <w:rsid w:val="002A1313"/>
    <w:rsid w:val="002A3035"/>
    <w:rsid w:val="002A49FD"/>
    <w:rsid w:val="002A4D6F"/>
    <w:rsid w:val="002A61EC"/>
    <w:rsid w:val="002A706B"/>
    <w:rsid w:val="002B3232"/>
    <w:rsid w:val="002B3A05"/>
    <w:rsid w:val="002B3A2C"/>
    <w:rsid w:val="002B491E"/>
    <w:rsid w:val="002B5DE2"/>
    <w:rsid w:val="002B61CC"/>
    <w:rsid w:val="002B6220"/>
    <w:rsid w:val="002B673B"/>
    <w:rsid w:val="002B6B31"/>
    <w:rsid w:val="002B78F7"/>
    <w:rsid w:val="002C00E6"/>
    <w:rsid w:val="002C1BDA"/>
    <w:rsid w:val="002C1CCE"/>
    <w:rsid w:val="002C2143"/>
    <w:rsid w:val="002C2BF2"/>
    <w:rsid w:val="002C2CB0"/>
    <w:rsid w:val="002C3889"/>
    <w:rsid w:val="002C567A"/>
    <w:rsid w:val="002C5890"/>
    <w:rsid w:val="002C5A9D"/>
    <w:rsid w:val="002C5AF9"/>
    <w:rsid w:val="002C5F4E"/>
    <w:rsid w:val="002C6330"/>
    <w:rsid w:val="002C7209"/>
    <w:rsid w:val="002D1AB1"/>
    <w:rsid w:val="002D2238"/>
    <w:rsid w:val="002D264E"/>
    <w:rsid w:val="002D2E11"/>
    <w:rsid w:val="002D5754"/>
    <w:rsid w:val="002D5775"/>
    <w:rsid w:val="002D6263"/>
    <w:rsid w:val="002E0C55"/>
    <w:rsid w:val="002E0DBB"/>
    <w:rsid w:val="002E102F"/>
    <w:rsid w:val="002E2838"/>
    <w:rsid w:val="002E2C20"/>
    <w:rsid w:val="002E3AED"/>
    <w:rsid w:val="002E4115"/>
    <w:rsid w:val="002E48CF"/>
    <w:rsid w:val="002E4948"/>
    <w:rsid w:val="002E595A"/>
    <w:rsid w:val="002E6230"/>
    <w:rsid w:val="002E7A54"/>
    <w:rsid w:val="002E7EA9"/>
    <w:rsid w:val="002E7FCC"/>
    <w:rsid w:val="002F0DB1"/>
    <w:rsid w:val="002F1AAC"/>
    <w:rsid w:val="002F5E27"/>
    <w:rsid w:val="002F607A"/>
    <w:rsid w:val="002F6CAA"/>
    <w:rsid w:val="00300613"/>
    <w:rsid w:val="00301A3C"/>
    <w:rsid w:val="00303CF9"/>
    <w:rsid w:val="00304FE5"/>
    <w:rsid w:val="00305144"/>
    <w:rsid w:val="003061E4"/>
    <w:rsid w:val="00306C5E"/>
    <w:rsid w:val="00310C85"/>
    <w:rsid w:val="0031149B"/>
    <w:rsid w:val="00311F79"/>
    <w:rsid w:val="003126DA"/>
    <w:rsid w:val="00313BAA"/>
    <w:rsid w:val="00314239"/>
    <w:rsid w:val="0031470E"/>
    <w:rsid w:val="0031558C"/>
    <w:rsid w:val="00315B40"/>
    <w:rsid w:val="00315F3E"/>
    <w:rsid w:val="0031669E"/>
    <w:rsid w:val="00317BF9"/>
    <w:rsid w:val="003231BB"/>
    <w:rsid w:val="0032398C"/>
    <w:rsid w:val="00324406"/>
    <w:rsid w:val="00324AB3"/>
    <w:rsid w:val="00325C46"/>
    <w:rsid w:val="003317EB"/>
    <w:rsid w:val="00333805"/>
    <w:rsid w:val="00334C01"/>
    <w:rsid w:val="00334CDF"/>
    <w:rsid w:val="0033525A"/>
    <w:rsid w:val="00335332"/>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223"/>
    <w:rsid w:val="00352A66"/>
    <w:rsid w:val="00352F2D"/>
    <w:rsid w:val="003533DD"/>
    <w:rsid w:val="00354919"/>
    <w:rsid w:val="00355C96"/>
    <w:rsid w:val="00355E1E"/>
    <w:rsid w:val="00356B14"/>
    <w:rsid w:val="00357DC9"/>
    <w:rsid w:val="00361AE2"/>
    <w:rsid w:val="00364E39"/>
    <w:rsid w:val="003653D8"/>
    <w:rsid w:val="003655C7"/>
    <w:rsid w:val="00365D31"/>
    <w:rsid w:val="0036717E"/>
    <w:rsid w:val="00367F90"/>
    <w:rsid w:val="00370F31"/>
    <w:rsid w:val="00373432"/>
    <w:rsid w:val="003746F6"/>
    <w:rsid w:val="003773ED"/>
    <w:rsid w:val="003777DC"/>
    <w:rsid w:val="00380228"/>
    <w:rsid w:val="0038193C"/>
    <w:rsid w:val="00384CF9"/>
    <w:rsid w:val="00387E87"/>
    <w:rsid w:val="00390D69"/>
    <w:rsid w:val="003913C2"/>
    <w:rsid w:val="003917E1"/>
    <w:rsid w:val="00391A67"/>
    <w:rsid w:val="00391B44"/>
    <w:rsid w:val="00393E36"/>
    <w:rsid w:val="003942D7"/>
    <w:rsid w:val="00395257"/>
    <w:rsid w:val="00396840"/>
    <w:rsid w:val="00397338"/>
    <w:rsid w:val="00397BA3"/>
    <w:rsid w:val="00397F81"/>
    <w:rsid w:val="003A07FF"/>
    <w:rsid w:val="003A1C10"/>
    <w:rsid w:val="003A3101"/>
    <w:rsid w:val="003A4583"/>
    <w:rsid w:val="003A5E14"/>
    <w:rsid w:val="003A691C"/>
    <w:rsid w:val="003B0479"/>
    <w:rsid w:val="003B0B5B"/>
    <w:rsid w:val="003B1E1C"/>
    <w:rsid w:val="003B1F06"/>
    <w:rsid w:val="003B2733"/>
    <w:rsid w:val="003B3098"/>
    <w:rsid w:val="003B493D"/>
    <w:rsid w:val="003B4DEC"/>
    <w:rsid w:val="003B5161"/>
    <w:rsid w:val="003B52AB"/>
    <w:rsid w:val="003B7DA6"/>
    <w:rsid w:val="003C1E98"/>
    <w:rsid w:val="003C2A3B"/>
    <w:rsid w:val="003C52C4"/>
    <w:rsid w:val="003C58EB"/>
    <w:rsid w:val="003C5A4F"/>
    <w:rsid w:val="003C6146"/>
    <w:rsid w:val="003C6767"/>
    <w:rsid w:val="003C690E"/>
    <w:rsid w:val="003D0221"/>
    <w:rsid w:val="003D08F3"/>
    <w:rsid w:val="003D0B8C"/>
    <w:rsid w:val="003D0CD9"/>
    <w:rsid w:val="003D131E"/>
    <w:rsid w:val="003D2070"/>
    <w:rsid w:val="003D2B5D"/>
    <w:rsid w:val="003D3521"/>
    <w:rsid w:val="003D3AA7"/>
    <w:rsid w:val="003D4DB8"/>
    <w:rsid w:val="003D5063"/>
    <w:rsid w:val="003D6114"/>
    <w:rsid w:val="003D6F3D"/>
    <w:rsid w:val="003D70B7"/>
    <w:rsid w:val="003D7F8C"/>
    <w:rsid w:val="003E01F5"/>
    <w:rsid w:val="003E0BB8"/>
    <w:rsid w:val="003E103E"/>
    <w:rsid w:val="003E233A"/>
    <w:rsid w:val="003E26E0"/>
    <w:rsid w:val="003E3252"/>
    <w:rsid w:val="003E3C4E"/>
    <w:rsid w:val="003E3D50"/>
    <w:rsid w:val="003E429B"/>
    <w:rsid w:val="003E5B34"/>
    <w:rsid w:val="003E76A6"/>
    <w:rsid w:val="003E7C8E"/>
    <w:rsid w:val="003E7CF1"/>
    <w:rsid w:val="003E7F02"/>
    <w:rsid w:val="003F176E"/>
    <w:rsid w:val="003F486C"/>
    <w:rsid w:val="003F4983"/>
    <w:rsid w:val="003F49AE"/>
    <w:rsid w:val="003F6746"/>
    <w:rsid w:val="003F6784"/>
    <w:rsid w:val="003F681D"/>
    <w:rsid w:val="003F6DFD"/>
    <w:rsid w:val="003F79A7"/>
    <w:rsid w:val="00400E81"/>
    <w:rsid w:val="004019B6"/>
    <w:rsid w:val="004045B0"/>
    <w:rsid w:val="00404701"/>
    <w:rsid w:val="00404D65"/>
    <w:rsid w:val="0040549C"/>
    <w:rsid w:val="004067E9"/>
    <w:rsid w:val="00406E3C"/>
    <w:rsid w:val="00406E71"/>
    <w:rsid w:val="00406EBD"/>
    <w:rsid w:val="00410AF9"/>
    <w:rsid w:val="0041175C"/>
    <w:rsid w:val="004124A2"/>
    <w:rsid w:val="00413430"/>
    <w:rsid w:val="004144BE"/>
    <w:rsid w:val="00414C74"/>
    <w:rsid w:val="004156CA"/>
    <w:rsid w:val="00415AE1"/>
    <w:rsid w:val="00417F22"/>
    <w:rsid w:val="00420F9B"/>
    <w:rsid w:val="004214E3"/>
    <w:rsid w:val="00422177"/>
    <w:rsid w:val="00422634"/>
    <w:rsid w:val="004235C7"/>
    <w:rsid w:val="00423E00"/>
    <w:rsid w:val="00425655"/>
    <w:rsid w:val="00425C92"/>
    <w:rsid w:val="00425EBA"/>
    <w:rsid w:val="004261FA"/>
    <w:rsid w:val="00426383"/>
    <w:rsid w:val="00427C07"/>
    <w:rsid w:val="00431BB3"/>
    <w:rsid w:val="004334D9"/>
    <w:rsid w:val="00433E26"/>
    <w:rsid w:val="00434892"/>
    <w:rsid w:val="00435B2F"/>
    <w:rsid w:val="00435D75"/>
    <w:rsid w:val="00440723"/>
    <w:rsid w:val="0044152A"/>
    <w:rsid w:val="004417BC"/>
    <w:rsid w:val="00442AC1"/>
    <w:rsid w:val="00442C69"/>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51C"/>
    <w:rsid w:val="00470B37"/>
    <w:rsid w:val="0047239C"/>
    <w:rsid w:val="004724F1"/>
    <w:rsid w:val="00472915"/>
    <w:rsid w:val="00472DCE"/>
    <w:rsid w:val="0047338D"/>
    <w:rsid w:val="00473C3F"/>
    <w:rsid w:val="00473CDE"/>
    <w:rsid w:val="0047472E"/>
    <w:rsid w:val="00474863"/>
    <w:rsid w:val="00475AF1"/>
    <w:rsid w:val="00476F0F"/>
    <w:rsid w:val="00480C46"/>
    <w:rsid w:val="004821F6"/>
    <w:rsid w:val="00482471"/>
    <w:rsid w:val="00482DDC"/>
    <w:rsid w:val="00483316"/>
    <w:rsid w:val="00483475"/>
    <w:rsid w:val="004835CD"/>
    <w:rsid w:val="00483BC6"/>
    <w:rsid w:val="00484147"/>
    <w:rsid w:val="00484B22"/>
    <w:rsid w:val="004859B4"/>
    <w:rsid w:val="004909C1"/>
    <w:rsid w:val="0049246E"/>
    <w:rsid w:val="00492E8B"/>
    <w:rsid w:val="00493CED"/>
    <w:rsid w:val="004944C0"/>
    <w:rsid w:val="004971D4"/>
    <w:rsid w:val="004A0772"/>
    <w:rsid w:val="004A1EAF"/>
    <w:rsid w:val="004A2B6B"/>
    <w:rsid w:val="004A39E2"/>
    <w:rsid w:val="004A4B86"/>
    <w:rsid w:val="004A6C14"/>
    <w:rsid w:val="004A761B"/>
    <w:rsid w:val="004A762B"/>
    <w:rsid w:val="004B0D06"/>
    <w:rsid w:val="004B1141"/>
    <w:rsid w:val="004B3325"/>
    <w:rsid w:val="004B412F"/>
    <w:rsid w:val="004B44FF"/>
    <w:rsid w:val="004B49A5"/>
    <w:rsid w:val="004B57AD"/>
    <w:rsid w:val="004B5B6C"/>
    <w:rsid w:val="004B626E"/>
    <w:rsid w:val="004B76C5"/>
    <w:rsid w:val="004B79FA"/>
    <w:rsid w:val="004C03CE"/>
    <w:rsid w:val="004C1ABA"/>
    <w:rsid w:val="004C1DF9"/>
    <w:rsid w:val="004C3D73"/>
    <w:rsid w:val="004C4498"/>
    <w:rsid w:val="004C586F"/>
    <w:rsid w:val="004C7281"/>
    <w:rsid w:val="004D1B94"/>
    <w:rsid w:val="004D1DD8"/>
    <w:rsid w:val="004D280A"/>
    <w:rsid w:val="004D3394"/>
    <w:rsid w:val="004D38C1"/>
    <w:rsid w:val="004D3BFE"/>
    <w:rsid w:val="004D4D94"/>
    <w:rsid w:val="004D5099"/>
    <w:rsid w:val="004D566D"/>
    <w:rsid w:val="004D5C04"/>
    <w:rsid w:val="004D61D3"/>
    <w:rsid w:val="004D6443"/>
    <w:rsid w:val="004D7146"/>
    <w:rsid w:val="004D7C8C"/>
    <w:rsid w:val="004E09F3"/>
    <w:rsid w:val="004E2989"/>
    <w:rsid w:val="004E2BB9"/>
    <w:rsid w:val="004E3F8E"/>
    <w:rsid w:val="004E51EE"/>
    <w:rsid w:val="004E5C31"/>
    <w:rsid w:val="004E5D5F"/>
    <w:rsid w:val="004E6178"/>
    <w:rsid w:val="004F0EBE"/>
    <w:rsid w:val="004F1A37"/>
    <w:rsid w:val="004F1F0D"/>
    <w:rsid w:val="004F445F"/>
    <w:rsid w:val="004F44E8"/>
    <w:rsid w:val="004F452D"/>
    <w:rsid w:val="0050105D"/>
    <w:rsid w:val="00501607"/>
    <w:rsid w:val="00502C0A"/>
    <w:rsid w:val="00503267"/>
    <w:rsid w:val="00503DD0"/>
    <w:rsid w:val="00503EC1"/>
    <w:rsid w:val="00504106"/>
    <w:rsid w:val="005047FF"/>
    <w:rsid w:val="00504846"/>
    <w:rsid w:val="00504C7E"/>
    <w:rsid w:val="00505EA6"/>
    <w:rsid w:val="00506C4A"/>
    <w:rsid w:val="00506D4F"/>
    <w:rsid w:val="005117BF"/>
    <w:rsid w:val="00512347"/>
    <w:rsid w:val="005126D8"/>
    <w:rsid w:val="00513687"/>
    <w:rsid w:val="00513CB7"/>
    <w:rsid w:val="00514CAD"/>
    <w:rsid w:val="00514E07"/>
    <w:rsid w:val="00515C0B"/>
    <w:rsid w:val="00516B8A"/>
    <w:rsid w:val="00517EEA"/>
    <w:rsid w:val="00520F6C"/>
    <w:rsid w:val="00521735"/>
    <w:rsid w:val="00522F19"/>
    <w:rsid w:val="0052428E"/>
    <w:rsid w:val="005256F6"/>
    <w:rsid w:val="00526301"/>
    <w:rsid w:val="00527593"/>
    <w:rsid w:val="00530503"/>
    <w:rsid w:val="0053060D"/>
    <w:rsid w:val="00530CA0"/>
    <w:rsid w:val="0053104C"/>
    <w:rsid w:val="00531080"/>
    <w:rsid w:val="00533818"/>
    <w:rsid w:val="00533AD3"/>
    <w:rsid w:val="005343C3"/>
    <w:rsid w:val="005344B3"/>
    <w:rsid w:val="005353F5"/>
    <w:rsid w:val="00535429"/>
    <w:rsid w:val="00535B4E"/>
    <w:rsid w:val="005378FB"/>
    <w:rsid w:val="00541922"/>
    <w:rsid w:val="0054193F"/>
    <w:rsid w:val="00542468"/>
    <w:rsid w:val="0054275C"/>
    <w:rsid w:val="00543111"/>
    <w:rsid w:val="00543361"/>
    <w:rsid w:val="005437A8"/>
    <w:rsid w:val="00544CB3"/>
    <w:rsid w:val="00544E8C"/>
    <w:rsid w:val="0054524C"/>
    <w:rsid w:val="005455D3"/>
    <w:rsid w:val="0054757C"/>
    <w:rsid w:val="00547611"/>
    <w:rsid w:val="005507CD"/>
    <w:rsid w:val="0055276E"/>
    <w:rsid w:val="005538DE"/>
    <w:rsid w:val="00555820"/>
    <w:rsid w:val="00556465"/>
    <w:rsid w:val="00560B08"/>
    <w:rsid w:val="00560EC5"/>
    <w:rsid w:val="005611C5"/>
    <w:rsid w:val="005615BD"/>
    <w:rsid w:val="00561AAF"/>
    <w:rsid w:val="00561E47"/>
    <w:rsid w:val="00562399"/>
    <w:rsid w:val="0056379E"/>
    <w:rsid w:val="00564342"/>
    <w:rsid w:val="00565DA3"/>
    <w:rsid w:val="00567A03"/>
    <w:rsid w:val="00570480"/>
    <w:rsid w:val="00570B90"/>
    <w:rsid w:val="0057122E"/>
    <w:rsid w:val="00571CD2"/>
    <w:rsid w:val="0057205D"/>
    <w:rsid w:val="00572D96"/>
    <w:rsid w:val="00573878"/>
    <w:rsid w:val="00573AE3"/>
    <w:rsid w:val="005744FD"/>
    <w:rsid w:val="00574643"/>
    <w:rsid w:val="00575AD1"/>
    <w:rsid w:val="005775E4"/>
    <w:rsid w:val="00580B64"/>
    <w:rsid w:val="00581360"/>
    <w:rsid w:val="00581848"/>
    <w:rsid w:val="005822E7"/>
    <w:rsid w:val="005827C9"/>
    <w:rsid w:val="005836C0"/>
    <w:rsid w:val="005840FC"/>
    <w:rsid w:val="0058485A"/>
    <w:rsid w:val="00584D8E"/>
    <w:rsid w:val="00585E8E"/>
    <w:rsid w:val="00586ECD"/>
    <w:rsid w:val="005870D7"/>
    <w:rsid w:val="005879AB"/>
    <w:rsid w:val="00587B5C"/>
    <w:rsid w:val="00590935"/>
    <w:rsid w:val="00590A3C"/>
    <w:rsid w:val="0059149A"/>
    <w:rsid w:val="0059150C"/>
    <w:rsid w:val="005924D7"/>
    <w:rsid w:val="005927D6"/>
    <w:rsid w:val="005938A9"/>
    <w:rsid w:val="005946E2"/>
    <w:rsid w:val="00594AC2"/>
    <w:rsid w:val="00596F3C"/>
    <w:rsid w:val="005A1F90"/>
    <w:rsid w:val="005A2201"/>
    <w:rsid w:val="005A26BB"/>
    <w:rsid w:val="005A343B"/>
    <w:rsid w:val="005A40A1"/>
    <w:rsid w:val="005A4B0C"/>
    <w:rsid w:val="005A5CC5"/>
    <w:rsid w:val="005A76AE"/>
    <w:rsid w:val="005B0D3A"/>
    <w:rsid w:val="005B24A8"/>
    <w:rsid w:val="005B2602"/>
    <w:rsid w:val="005B2867"/>
    <w:rsid w:val="005B48D0"/>
    <w:rsid w:val="005B6D96"/>
    <w:rsid w:val="005B6F23"/>
    <w:rsid w:val="005C24B7"/>
    <w:rsid w:val="005C296C"/>
    <w:rsid w:val="005C306F"/>
    <w:rsid w:val="005C3304"/>
    <w:rsid w:val="005C389A"/>
    <w:rsid w:val="005C39E6"/>
    <w:rsid w:val="005C607F"/>
    <w:rsid w:val="005C63C6"/>
    <w:rsid w:val="005C78CC"/>
    <w:rsid w:val="005C7B4B"/>
    <w:rsid w:val="005D14EE"/>
    <w:rsid w:val="005D233E"/>
    <w:rsid w:val="005D6A27"/>
    <w:rsid w:val="005D6C9A"/>
    <w:rsid w:val="005D74AE"/>
    <w:rsid w:val="005E0182"/>
    <w:rsid w:val="005E061A"/>
    <w:rsid w:val="005E1062"/>
    <w:rsid w:val="005E3D75"/>
    <w:rsid w:val="005E508C"/>
    <w:rsid w:val="005E58E3"/>
    <w:rsid w:val="005E5F28"/>
    <w:rsid w:val="005F1502"/>
    <w:rsid w:val="005F28FD"/>
    <w:rsid w:val="005F3B8C"/>
    <w:rsid w:val="005F3ED5"/>
    <w:rsid w:val="005F48B9"/>
    <w:rsid w:val="005F4E29"/>
    <w:rsid w:val="005F4F9F"/>
    <w:rsid w:val="005F50CC"/>
    <w:rsid w:val="005F59F6"/>
    <w:rsid w:val="005F6F10"/>
    <w:rsid w:val="00602DD8"/>
    <w:rsid w:val="00603970"/>
    <w:rsid w:val="00603F9B"/>
    <w:rsid w:val="006054CB"/>
    <w:rsid w:val="00605CAD"/>
    <w:rsid w:val="006076BC"/>
    <w:rsid w:val="0061113A"/>
    <w:rsid w:val="00612758"/>
    <w:rsid w:val="0061278D"/>
    <w:rsid w:val="00612FC4"/>
    <w:rsid w:val="006133D9"/>
    <w:rsid w:val="0061405E"/>
    <w:rsid w:val="00614CEE"/>
    <w:rsid w:val="00616D22"/>
    <w:rsid w:val="0061701B"/>
    <w:rsid w:val="00620010"/>
    <w:rsid w:val="00620117"/>
    <w:rsid w:val="00620796"/>
    <w:rsid w:val="00620A6C"/>
    <w:rsid w:val="00621905"/>
    <w:rsid w:val="00622C01"/>
    <w:rsid w:val="0062389D"/>
    <w:rsid w:val="00623DCA"/>
    <w:rsid w:val="006266C6"/>
    <w:rsid w:val="006269E0"/>
    <w:rsid w:val="00627359"/>
    <w:rsid w:val="006304D6"/>
    <w:rsid w:val="006316C7"/>
    <w:rsid w:val="00632DB1"/>
    <w:rsid w:val="00632E76"/>
    <w:rsid w:val="006331A8"/>
    <w:rsid w:val="00633B4E"/>
    <w:rsid w:val="00634326"/>
    <w:rsid w:val="0063479B"/>
    <w:rsid w:val="00634A96"/>
    <w:rsid w:val="006351AA"/>
    <w:rsid w:val="00635A5A"/>
    <w:rsid w:val="00636CEE"/>
    <w:rsid w:val="0064048E"/>
    <w:rsid w:val="00641B81"/>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0E21"/>
    <w:rsid w:val="00671541"/>
    <w:rsid w:val="006726D9"/>
    <w:rsid w:val="006729EE"/>
    <w:rsid w:val="006743F3"/>
    <w:rsid w:val="00674920"/>
    <w:rsid w:val="00674B5C"/>
    <w:rsid w:val="00676442"/>
    <w:rsid w:val="0067746F"/>
    <w:rsid w:val="006775F0"/>
    <w:rsid w:val="0067762A"/>
    <w:rsid w:val="0068111A"/>
    <w:rsid w:val="00681879"/>
    <w:rsid w:val="00682DA0"/>
    <w:rsid w:val="006839CC"/>
    <w:rsid w:val="00683C19"/>
    <w:rsid w:val="00683E70"/>
    <w:rsid w:val="006841FB"/>
    <w:rsid w:val="006857F6"/>
    <w:rsid w:val="00685F7F"/>
    <w:rsid w:val="0068671B"/>
    <w:rsid w:val="0068707C"/>
    <w:rsid w:val="00687D45"/>
    <w:rsid w:val="00687F7A"/>
    <w:rsid w:val="00690BA3"/>
    <w:rsid w:val="00690E3A"/>
    <w:rsid w:val="00693A6C"/>
    <w:rsid w:val="00695749"/>
    <w:rsid w:val="006962C9"/>
    <w:rsid w:val="00697150"/>
    <w:rsid w:val="006A05B6"/>
    <w:rsid w:val="006A1CA2"/>
    <w:rsid w:val="006A31EA"/>
    <w:rsid w:val="006A43ED"/>
    <w:rsid w:val="006A55AB"/>
    <w:rsid w:val="006A59F3"/>
    <w:rsid w:val="006A6C0E"/>
    <w:rsid w:val="006B07E6"/>
    <w:rsid w:val="006B0868"/>
    <w:rsid w:val="006B1586"/>
    <w:rsid w:val="006B1CCF"/>
    <w:rsid w:val="006B32E2"/>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62F"/>
    <w:rsid w:val="006C7A15"/>
    <w:rsid w:val="006D6B42"/>
    <w:rsid w:val="006D70B7"/>
    <w:rsid w:val="006D733E"/>
    <w:rsid w:val="006D7CAA"/>
    <w:rsid w:val="006E07BF"/>
    <w:rsid w:val="006E1364"/>
    <w:rsid w:val="006E138F"/>
    <w:rsid w:val="006E5A96"/>
    <w:rsid w:val="006E5E98"/>
    <w:rsid w:val="006E648A"/>
    <w:rsid w:val="006E655B"/>
    <w:rsid w:val="006E71CE"/>
    <w:rsid w:val="006E7514"/>
    <w:rsid w:val="006E7882"/>
    <w:rsid w:val="006F16FB"/>
    <w:rsid w:val="006F2107"/>
    <w:rsid w:val="006F28FF"/>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A2B"/>
    <w:rsid w:val="00712B5B"/>
    <w:rsid w:val="00713B5D"/>
    <w:rsid w:val="00715D4F"/>
    <w:rsid w:val="00717E88"/>
    <w:rsid w:val="00721493"/>
    <w:rsid w:val="00721C0F"/>
    <w:rsid w:val="00721E37"/>
    <w:rsid w:val="00722545"/>
    <w:rsid w:val="00723455"/>
    <w:rsid w:val="007234D8"/>
    <w:rsid w:val="00724C55"/>
    <w:rsid w:val="00725173"/>
    <w:rsid w:val="00726694"/>
    <w:rsid w:val="00726B35"/>
    <w:rsid w:val="0073449E"/>
    <w:rsid w:val="00734567"/>
    <w:rsid w:val="007348F7"/>
    <w:rsid w:val="00734CB7"/>
    <w:rsid w:val="00734E77"/>
    <w:rsid w:val="007366B1"/>
    <w:rsid w:val="00736D68"/>
    <w:rsid w:val="00737168"/>
    <w:rsid w:val="00740504"/>
    <w:rsid w:val="00741340"/>
    <w:rsid w:val="00741915"/>
    <w:rsid w:val="00743560"/>
    <w:rsid w:val="007445A6"/>
    <w:rsid w:val="00744FC9"/>
    <w:rsid w:val="00746455"/>
    <w:rsid w:val="00746D7D"/>
    <w:rsid w:val="00747BA8"/>
    <w:rsid w:val="00747C27"/>
    <w:rsid w:val="00750A16"/>
    <w:rsid w:val="00750E48"/>
    <w:rsid w:val="00751796"/>
    <w:rsid w:val="00751C93"/>
    <w:rsid w:val="00753D7E"/>
    <w:rsid w:val="00754240"/>
    <w:rsid w:val="00755E87"/>
    <w:rsid w:val="007563BD"/>
    <w:rsid w:val="007573FD"/>
    <w:rsid w:val="00757405"/>
    <w:rsid w:val="00760092"/>
    <w:rsid w:val="007603AF"/>
    <w:rsid w:val="00761472"/>
    <w:rsid w:val="00761625"/>
    <w:rsid w:val="00763EE8"/>
    <w:rsid w:val="0076529D"/>
    <w:rsid w:val="00765C25"/>
    <w:rsid w:val="00765E62"/>
    <w:rsid w:val="0076665E"/>
    <w:rsid w:val="00767BE7"/>
    <w:rsid w:val="00767D20"/>
    <w:rsid w:val="00767F82"/>
    <w:rsid w:val="00770B10"/>
    <w:rsid w:val="00770D1D"/>
    <w:rsid w:val="00771204"/>
    <w:rsid w:val="007718CF"/>
    <w:rsid w:val="007720A7"/>
    <w:rsid w:val="007723F2"/>
    <w:rsid w:val="00772B8C"/>
    <w:rsid w:val="007738A7"/>
    <w:rsid w:val="00774B46"/>
    <w:rsid w:val="0077564C"/>
    <w:rsid w:val="0077620A"/>
    <w:rsid w:val="007814D9"/>
    <w:rsid w:val="0078161A"/>
    <w:rsid w:val="00781F05"/>
    <w:rsid w:val="007824FA"/>
    <w:rsid w:val="00782AEB"/>
    <w:rsid w:val="0078511F"/>
    <w:rsid w:val="007852F6"/>
    <w:rsid w:val="00787485"/>
    <w:rsid w:val="00791A89"/>
    <w:rsid w:val="00791D7F"/>
    <w:rsid w:val="00792B1B"/>
    <w:rsid w:val="00793D84"/>
    <w:rsid w:val="00796047"/>
    <w:rsid w:val="007A0005"/>
    <w:rsid w:val="007A0055"/>
    <w:rsid w:val="007A1710"/>
    <w:rsid w:val="007A2A0E"/>
    <w:rsid w:val="007A3BAB"/>
    <w:rsid w:val="007A3C72"/>
    <w:rsid w:val="007A453E"/>
    <w:rsid w:val="007A4EAD"/>
    <w:rsid w:val="007A61B0"/>
    <w:rsid w:val="007A671E"/>
    <w:rsid w:val="007B14DB"/>
    <w:rsid w:val="007B2347"/>
    <w:rsid w:val="007B270E"/>
    <w:rsid w:val="007B3C27"/>
    <w:rsid w:val="007B3D09"/>
    <w:rsid w:val="007B3D0B"/>
    <w:rsid w:val="007B47B9"/>
    <w:rsid w:val="007B7760"/>
    <w:rsid w:val="007C01AB"/>
    <w:rsid w:val="007C20C7"/>
    <w:rsid w:val="007C28F4"/>
    <w:rsid w:val="007C4197"/>
    <w:rsid w:val="007C4B92"/>
    <w:rsid w:val="007C4E46"/>
    <w:rsid w:val="007C5C4E"/>
    <w:rsid w:val="007C69AF"/>
    <w:rsid w:val="007C6B9B"/>
    <w:rsid w:val="007C71E8"/>
    <w:rsid w:val="007D15D6"/>
    <w:rsid w:val="007D2334"/>
    <w:rsid w:val="007D265A"/>
    <w:rsid w:val="007D3DCC"/>
    <w:rsid w:val="007D3EED"/>
    <w:rsid w:val="007D47E6"/>
    <w:rsid w:val="007D4D00"/>
    <w:rsid w:val="007E0004"/>
    <w:rsid w:val="007E0B01"/>
    <w:rsid w:val="007E0E41"/>
    <w:rsid w:val="007E1518"/>
    <w:rsid w:val="007E2E0A"/>
    <w:rsid w:val="007E3FE8"/>
    <w:rsid w:val="007E463C"/>
    <w:rsid w:val="007E5223"/>
    <w:rsid w:val="007E6D26"/>
    <w:rsid w:val="007E7734"/>
    <w:rsid w:val="007F008C"/>
    <w:rsid w:val="007F0B16"/>
    <w:rsid w:val="007F4D32"/>
    <w:rsid w:val="007F4F17"/>
    <w:rsid w:val="007F650F"/>
    <w:rsid w:val="007F79F1"/>
    <w:rsid w:val="00800820"/>
    <w:rsid w:val="0080135B"/>
    <w:rsid w:val="00802200"/>
    <w:rsid w:val="00803077"/>
    <w:rsid w:val="00803DFE"/>
    <w:rsid w:val="008057A0"/>
    <w:rsid w:val="00805DCC"/>
    <w:rsid w:val="00806C73"/>
    <w:rsid w:val="00807183"/>
    <w:rsid w:val="0080742A"/>
    <w:rsid w:val="0080743B"/>
    <w:rsid w:val="00807B0F"/>
    <w:rsid w:val="0081133C"/>
    <w:rsid w:val="00811D8A"/>
    <w:rsid w:val="008129FE"/>
    <w:rsid w:val="00812E36"/>
    <w:rsid w:val="008134F0"/>
    <w:rsid w:val="00813AE3"/>
    <w:rsid w:val="008154BD"/>
    <w:rsid w:val="00816A73"/>
    <w:rsid w:val="008177C1"/>
    <w:rsid w:val="008216B4"/>
    <w:rsid w:val="00822761"/>
    <w:rsid w:val="008227A0"/>
    <w:rsid w:val="00823EF8"/>
    <w:rsid w:val="0082690A"/>
    <w:rsid w:val="008302ED"/>
    <w:rsid w:val="0083044C"/>
    <w:rsid w:val="00830468"/>
    <w:rsid w:val="008310B5"/>
    <w:rsid w:val="00831C40"/>
    <w:rsid w:val="0083310C"/>
    <w:rsid w:val="008344B2"/>
    <w:rsid w:val="008344DB"/>
    <w:rsid w:val="00836409"/>
    <w:rsid w:val="00836683"/>
    <w:rsid w:val="00836E2D"/>
    <w:rsid w:val="00837826"/>
    <w:rsid w:val="008409CC"/>
    <w:rsid w:val="0084179D"/>
    <w:rsid w:val="00841EFA"/>
    <w:rsid w:val="00843A43"/>
    <w:rsid w:val="008445EC"/>
    <w:rsid w:val="00844A0A"/>
    <w:rsid w:val="00844A3A"/>
    <w:rsid w:val="00845690"/>
    <w:rsid w:val="008458A9"/>
    <w:rsid w:val="008504C8"/>
    <w:rsid w:val="0085074C"/>
    <w:rsid w:val="008509C7"/>
    <w:rsid w:val="00850C17"/>
    <w:rsid w:val="008511FB"/>
    <w:rsid w:val="00851DF7"/>
    <w:rsid w:val="0085251D"/>
    <w:rsid w:val="0085330C"/>
    <w:rsid w:val="0085463C"/>
    <w:rsid w:val="00860412"/>
    <w:rsid w:val="00860C8D"/>
    <w:rsid w:val="00861052"/>
    <w:rsid w:val="00864119"/>
    <w:rsid w:val="008645D8"/>
    <w:rsid w:val="008647EF"/>
    <w:rsid w:val="00864F36"/>
    <w:rsid w:val="0086533B"/>
    <w:rsid w:val="00866674"/>
    <w:rsid w:val="00870CF3"/>
    <w:rsid w:val="00873778"/>
    <w:rsid w:val="008737D7"/>
    <w:rsid w:val="00873C79"/>
    <w:rsid w:val="00873E0B"/>
    <w:rsid w:val="008746EB"/>
    <w:rsid w:val="008748A2"/>
    <w:rsid w:val="00874A09"/>
    <w:rsid w:val="00874E05"/>
    <w:rsid w:val="008750E5"/>
    <w:rsid w:val="00883610"/>
    <w:rsid w:val="00884040"/>
    <w:rsid w:val="008848BE"/>
    <w:rsid w:val="0088517D"/>
    <w:rsid w:val="00887232"/>
    <w:rsid w:val="008879BD"/>
    <w:rsid w:val="00887A94"/>
    <w:rsid w:val="00890768"/>
    <w:rsid w:val="00890DE7"/>
    <w:rsid w:val="00891273"/>
    <w:rsid w:val="0089189D"/>
    <w:rsid w:val="0089200F"/>
    <w:rsid w:val="00892928"/>
    <w:rsid w:val="0089426C"/>
    <w:rsid w:val="00895676"/>
    <w:rsid w:val="00895706"/>
    <w:rsid w:val="00897159"/>
    <w:rsid w:val="00897599"/>
    <w:rsid w:val="008975A9"/>
    <w:rsid w:val="008A0956"/>
    <w:rsid w:val="008A0C80"/>
    <w:rsid w:val="008A29B7"/>
    <w:rsid w:val="008A2D42"/>
    <w:rsid w:val="008A3049"/>
    <w:rsid w:val="008A408D"/>
    <w:rsid w:val="008A41C9"/>
    <w:rsid w:val="008A4BB8"/>
    <w:rsid w:val="008A7445"/>
    <w:rsid w:val="008A7768"/>
    <w:rsid w:val="008A7849"/>
    <w:rsid w:val="008A7A4E"/>
    <w:rsid w:val="008B290B"/>
    <w:rsid w:val="008B29F3"/>
    <w:rsid w:val="008B3EC9"/>
    <w:rsid w:val="008B4643"/>
    <w:rsid w:val="008B52E6"/>
    <w:rsid w:val="008C1348"/>
    <w:rsid w:val="008C29C6"/>
    <w:rsid w:val="008C31CD"/>
    <w:rsid w:val="008C3A4D"/>
    <w:rsid w:val="008C468F"/>
    <w:rsid w:val="008C47C5"/>
    <w:rsid w:val="008C4EC7"/>
    <w:rsid w:val="008C6648"/>
    <w:rsid w:val="008C7645"/>
    <w:rsid w:val="008D0F64"/>
    <w:rsid w:val="008D15B9"/>
    <w:rsid w:val="008D1D1C"/>
    <w:rsid w:val="008D3376"/>
    <w:rsid w:val="008D33E6"/>
    <w:rsid w:val="008D42C3"/>
    <w:rsid w:val="008D4F1D"/>
    <w:rsid w:val="008D7276"/>
    <w:rsid w:val="008D784C"/>
    <w:rsid w:val="008E3272"/>
    <w:rsid w:val="008E3C5F"/>
    <w:rsid w:val="008E40FC"/>
    <w:rsid w:val="008E4DD5"/>
    <w:rsid w:val="008E4EEA"/>
    <w:rsid w:val="008E6FA6"/>
    <w:rsid w:val="008E73B6"/>
    <w:rsid w:val="008F03AA"/>
    <w:rsid w:val="008F0A18"/>
    <w:rsid w:val="008F0EED"/>
    <w:rsid w:val="008F10A1"/>
    <w:rsid w:val="008F18C5"/>
    <w:rsid w:val="008F376F"/>
    <w:rsid w:val="008F3F90"/>
    <w:rsid w:val="008F437F"/>
    <w:rsid w:val="008F4559"/>
    <w:rsid w:val="008F55B2"/>
    <w:rsid w:val="008F7788"/>
    <w:rsid w:val="00900065"/>
    <w:rsid w:val="009002BF"/>
    <w:rsid w:val="00900C05"/>
    <w:rsid w:val="00902161"/>
    <w:rsid w:val="009021EB"/>
    <w:rsid w:val="009027C5"/>
    <w:rsid w:val="00902921"/>
    <w:rsid w:val="00904762"/>
    <w:rsid w:val="00904C05"/>
    <w:rsid w:val="00907FFA"/>
    <w:rsid w:val="009121FB"/>
    <w:rsid w:val="0091279D"/>
    <w:rsid w:val="009128DC"/>
    <w:rsid w:val="00913EA7"/>
    <w:rsid w:val="009140BE"/>
    <w:rsid w:val="00914523"/>
    <w:rsid w:val="009149BA"/>
    <w:rsid w:val="00914E13"/>
    <w:rsid w:val="009164E7"/>
    <w:rsid w:val="009166EA"/>
    <w:rsid w:val="00916C32"/>
    <w:rsid w:val="00917007"/>
    <w:rsid w:val="009172C0"/>
    <w:rsid w:val="0092005D"/>
    <w:rsid w:val="00920652"/>
    <w:rsid w:val="00920715"/>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5DFF"/>
    <w:rsid w:val="0094735B"/>
    <w:rsid w:val="00951111"/>
    <w:rsid w:val="009511BC"/>
    <w:rsid w:val="009523CB"/>
    <w:rsid w:val="0095319F"/>
    <w:rsid w:val="0095412E"/>
    <w:rsid w:val="009555D2"/>
    <w:rsid w:val="0095561A"/>
    <w:rsid w:val="00956EC9"/>
    <w:rsid w:val="00957CB1"/>
    <w:rsid w:val="0096118D"/>
    <w:rsid w:val="0096341B"/>
    <w:rsid w:val="00963738"/>
    <w:rsid w:val="009650F5"/>
    <w:rsid w:val="009655FF"/>
    <w:rsid w:val="00966398"/>
    <w:rsid w:val="00966829"/>
    <w:rsid w:val="00966D50"/>
    <w:rsid w:val="00970A39"/>
    <w:rsid w:val="00971DD6"/>
    <w:rsid w:val="009727A8"/>
    <w:rsid w:val="0097327E"/>
    <w:rsid w:val="00973563"/>
    <w:rsid w:val="00973A0D"/>
    <w:rsid w:val="00973DD9"/>
    <w:rsid w:val="009745EB"/>
    <w:rsid w:val="00975C12"/>
    <w:rsid w:val="00975F00"/>
    <w:rsid w:val="00980375"/>
    <w:rsid w:val="009824E9"/>
    <w:rsid w:val="00982622"/>
    <w:rsid w:val="00982675"/>
    <w:rsid w:val="00982B0A"/>
    <w:rsid w:val="00983BFC"/>
    <w:rsid w:val="00983E12"/>
    <w:rsid w:val="00986E81"/>
    <w:rsid w:val="009871C8"/>
    <w:rsid w:val="00991BCF"/>
    <w:rsid w:val="0099342A"/>
    <w:rsid w:val="009937A1"/>
    <w:rsid w:val="0099504D"/>
    <w:rsid w:val="009963C8"/>
    <w:rsid w:val="0099714F"/>
    <w:rsid w:val="00997303"/>
    <w:rsid w:val="0099786B"/>
    <w:rsid w:val="009A0A9B"/>
    <w:rsid w:val="009A1E7B"/>
    <w:rsid w:val="009A2C03"/>
    <w:rsid w:val="009A2E89"/>
    <w:rsid w:val="009A4225"/>
    <w:rsid w:val="009A4286"/>
    <w:rsid w:val="009A4CA3"/>
    <w:rsid w:val="009A5205"/>
    <w:rsid w:val="009A5CA4"/>
    <w:rsid w:val="009A5D0D"/>
    <w:rsid w:val="009A614A"/>
    <w:rsid w:val="009A7649"/>
    <w:rsid w:val="009B0358"/>
    <w:rsid w:val="009B313C"/>
    <w:rsid w:val="009B3540"/>
    <w:rsid w:val="009B466F"/>
    <w:rsid w:val="009B4E80"/>
    <w:rsid w:val="009B5302"/>
    <w:rsid w:val="009B5B27"/>
    <w:rsid w:val="009B6933"/>
    <w:rsid w:val="009B693A"/>
    <w:rsid w:val="009C07E4"/>
    <w:rsid w:val="009C6435"/>
    <w:rsid w:val="009C6B5F"/>
    <w:rsid w:val="009C7AE0"/>
    <w:rsid w:val="009C7EAC"/>
    <w:rsid w:val="009D3893"/>
    <w:rsid w:val="009D4358"/>
    <w:rsid w:val="009D6820"/>
    <w:rsid w:val="009D68E6"/>
    <w:rsid w:val="009D772E"/>
    <w:rsid w:val="009E0766"/>
    <w:rsid w:val="009E13DD"/>
    <w:rsid w:val="009E14F6"/>
    <w:rsid w:val="009E4385"/>
    <w:rsid w:val="009E50DC"/>
    <w:rsid w:val="009E58C9"/>
    <w:rsid w:val="009E6C70"/>
    <w:rsid w:val="009E6C86"/>
    <w:rsid w:val="009E7105"/>
    <w:rsid w:val="009E7740"/>
    <w:rsid w:val="009F09AB"/>
    <w:rsid w:val="009F0D05"/>
    <w:rsid w:val="009F1137"/>
    <w:rsid w:val="009F1F41"/>
    <w:rsid w:val="009F226D"/>
    <w:rsid w:val="009F2521"/>
    <w:rsid w:val="009F2FA2"/>
    <w:rsid w:val="009F42C6"/>
    <w:rsid w:val="009F53F9"/>
    <w:rsid w:val="009F5564"/>
    <w:rsid w:val="009F6F7E"/>
    <w:rsid w:val="009F7AD8"/>
    <w:rsid w:val="00A008CF"/>
    <w:rsid w:val="00A04A4D"/>
    <w:rsid w:val="00A0512F"/>
    <w:rsid w:val="00A05B68"/>
    <w:rsid w:val="00A0617D"/>
    <w:rsid w:val="00A06531"/>
    <w:rsid w:val="00A07ECA"/>
    <w:rsid w:val="00A10E27"/>
    <w:rsid w:val="00A11D98"/>
    <w:rsid w:val="00A12433"/>
    <w:rsid w:val="00A124F7"/>
    <w:rsid w:val="00A1594D"/>
    <w:rsid w:val="00A161E2"/>
    <w:rsid w:val="00A1695D"/>
    <w:rsid w:val="00A177DD"/>
    <w:rsid w:val="00A20ABB"/>
    <w:rsid w:val="00A214D5"/>
    <w:rsid w:val="00A21640"/>
    <w:rsid w:val="00A21823"/>
    <w:rsid w:val="00A21926"/>
    <w:rsid w:val="00A21F2E"/>
    <w:rsid w:val="00A22C23"/>
    <w:rsid w:val="00A253F7"/>
    <w:rsid w:val="00A25AEC"/>
    <w:rsid w:val="00A26132"/>
    <w:rsid w:val="00A263DF"/>
    <w:rsid w:val="00A26521"/>
    <w:rsid w:val="00A27104"/>
    <w:rsid w:val="00A27302"/>
    <w:rsid w:val="00A30E17"/>
    <w:rsid w:val="00A3143F"/>
    <w:rsid w:val="00A31BCA"/>
    <w:rsid w:val="00A32506"/>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BFF"/>
    <w:rsid w:val="00A66CE8"/>
    <w:rsid w:val="00A70230"/>
    <w:rsid w:val="00A70284"/>
    <w:rsid w:val="00A7046C"/>
    <w:rsid w:val="00A73FA6"/>
    <w:rsid w:val="00A74E0B"/>
    <w:rsid w:val="00A7528F"/>
    <w:rsid w:val="00A7599E"/>
    <w:rsid w:val="00A77D76"/>
    <w:rsid w:val="00A833DE"/>
    <w:rsid w:val="00A856EA"/>
    <w:rsid w:val="00A86875"/>
    <w:rsid w:val="00A873DD"/>
    <w:rsid w:val="00A91E47"/>
    <w:rsid w:val="00A92650"/>
    <w:rsid w:val="00A936C4"/>
    <w:rsid w:val="00A95477"/>
    <w:rsid w:val="00A95CA9"/>
    <w:rsid w:val="00A9747D"/>
    <w:rsid w:val="00AA008B"/>
    <w:rsid w:val="00AA0A47"/>
    <w:rsid w:val="00AA2C3F"/>
    <w:rsid w:val="00AA3B36"/>
    <w:rsid w:val="00AA43F1"/>
    <w:rsid w:val="00AA4A93"/>
    <w:rsid w:val="00AA50CE"/>
    <w:rsid w:val="00AA68F9"/>
    <w:rsid w:val="00AB0D06"/>
    <w:rsid w:val="00AB1316"/>
    <w:rsid w:val="00AB348C"/>
    <w:rsid w:val="00AB34B1"/>
    <w:rsid w:val="00AB4529"/>
    <w:rsid w:val="00AB5F3C"/>
    <w:rsid w:val="00AB6051"/>
    <w:rsid w:val="00AB6291"/>
    <w:rsid w:val="00AB7ACC"/>
    <w:rsid w:val="00AC09C4"/>
    <w:rsid w:val="00AC161B"/>
    <w:rsid w:val="00AC20DD"/>
    <w:rsid w:val="00AC2223"/>
    <w:rsid w:val="00AC468B"/>
    <w:rsid w:val="00AC46D1"/>
    <w:rsid w:val="00AC48D2"/>
    <w:rsid w:val="00AC7060"/>
    <w:rsid w:val="00AC7386"/>
    <w:rsid w:val="00AC7FCF"/>
    <w:rsid w:val="00AD02D6"/>
    <w:rsid w:val="00AD1D16"/>
    <w:rsid w:val="00AD229A"/>
    <w:rsid w:val="00AD31F7"/>
    <w:rsid w:val="00AD5BF7"/>
    <w:rsid w:val="00AD5FC6"/>
    <w:rsid w:val="00AD6404"/>
    <w:rsid w:val="00AD6FC1"/>
    <w:rsid w:val="00AD712A"/>
    <w:rsid w:val="00AD7737"/>
    <w:rsid w:val="00AD7B99"/>
    <w:rsid w:val="00AE0296"/>
    <w:rsid w:val="00AE0592"/>
    <w:rsid w:val="00AE188B"/>
    <w:rsid w:val="00AE2D49"/>
    <w:rsid w:val="00AE465B"/>
    <w:rsid w:val="00AE4E97"/>
    <w:rsid w:val="00AE7372"/>
    <w:rsid w:val="00AE73A2"/>
    <w:rsid w:val="00AE7DCC"/>
    <w:rsid w:val="00AF0408"/>
    <w:rsid w:val="00AF0C1A"/>
    <w:rsid w:val="00AF4762"/>
    <w:rsid w:val="00AF4D16"/>
    <w:rsid w:val="00AF5393"/>
    <w:rsid w:val="00B0070D"/>
    <w:rsid w:val="00B01AF7"/>
    <w:rsid w:val="00B020AD"/>
    <w:rsid w:val="00B02695"/>
    <w:rsid w:val="00B03412"/>
    <w:rsid w:val="00B04131"/>
    <w:rsid w:val="00B05CA1"/>
    <w:rsid w:val="00B067B3"/>
    <w:rsid w:val="00B10CE9"/>
    <w:rsid w:val="00B11095"/>
    <w:rsid w:val="00B130CE"/>
    <w:rsid w:val="00B15FD0"/>
    <w:rsid w:val="00B174FC"/>
    <w:rsid w:val="00B1778D"/>
    <w:rsid w:val="00B17E77"/>
    <w:rsid w:val="00B2020F"/>
    <w:rsid w:val="00B210DB"/>
    <w:rsid w:val="00B21299"/>
    <w:rsid w:val="00B233B0"/>
    <w:rsid w:val="00B24116"/>
    <w:rsid w:val="00B24553"/>
    <w:rsid w:val="00B25058"/>
    <w:rsid w:val="00B252B4"/>
    <w:rsid w:val="00B259AC"/>
    <w:rsid w:val="00B26A70"/>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1775"/>
    <w:rsid w:val="00B42666"/>
    <w:rsid w:val="00B431C1"/>
    <w:rsid w:val="00B454C7"/>
    <w:rsid w:val="00B46B86"/>
    <w:rsid w:val="00B50070"/>
    <w:rsid w:val="00B53F22"/>
    <w:rsid w:val="00B54F28"/>
    <w:rsid w:val="00B55924"/>
    <w:rsid w:val="00B572B7"/>
    <w:rsid w:val="00B573E0"/>
    <w:rsid w:val="00B57708"/>
    <w:rsid w:val="00B57778"/>
    <w:rsid w:val="00B5788C"/>
    <w:rsid w:val="00B60A54"/>
    <w:rsid w:val="00B61F53"/>
    <w:rsid w:val="00B63791"/>
    <w:rsid w:val="00B63C45"/>
    <w:rsid w:val="00B64580"/>
    <w:rsid w:val="00B647CA"/>
    <w:rsid w:val="00B66397"/>
    <w:rsid w:val="00B675F4"/>
    <w:rsid w:val="00B67678"/>
    <w:rsid w:val="00B711F2"/>
    <w:rsid w:val="00B712C3"/>
    <w:rsid w:val="00B71A3F"/>
    <w:rsid w:val="00B72989"/>
    <w:rsid w:val="00B72C4C"/>
    <w:rsid w:val="00B759D8"/>
    <w:rsid w:val="00B75D8D"/>
    <w:rsid w:val="00B76295"/>
    <w:rsid w:val="00B76839"/>
    <w:rsid w:val="00B80647"/>
    <w:rsid w:val="00B80DBD"/>
    <w:rsid w:val="00B81084"/>
    <w:rsid w:val="00B812B5"/>
    <w:rsid w:val="00B818F6"/>
    <w:rsid w:val="00B81E86"/>
    <w:rsid w:val="00B81FF1"/>
    <w:rsid w:val="00B82C6A"/>
    <w:rsid w:val="00B83018"/>
    <w:rsid w:val="00B861E2"/>
    <w:rsid w:val="00B86B84"/>
    <w:rsid w:val="00B87D3F"/>
    <w:rsid w:val="00B90D4C"/>
    <w:rsid w:val="00B90F91"/>
    <w:rsid w:val="00B92198"/>
    <w:rsid w:val="00B9233D"/>
    <w:rsid w:val="00B93300"/>
    <w:rsid w:val="00B93C85"/>
    <w:rsid w:val="00B93FC2"/>
    <w:rsid w:val="00B94800"/>
    <w:rsid w:val="00B94AAC"/>
    <w:rsid w:val="00B95488"/>
    <w:rsid w:val="00B956F7"/>
    <w:rsid w:val="00B960BC"/>
    <w:rsid w:val="00B97D02"/>
    <w:rsid w:val="00BA0E71"/>
    <w:rsid w:val="00BA2E8E"/>
    <w:rsid w:val="00BA3FB2"/>
    <w:rsid w:val="00BA7AD7"/>
    <w:rsid w:val="00BB0485"/>
    <w:rsid w:val="00BB3E07"/>
    <w:rsid w:val="00BB58B4"/>
    <w:rsid w:val="00BC0106"/>
    <w:rsid w:val="00BC05AE"/>
    <w:rsid w:val="00BC121F"/>
    <w:rsid w:val="00BC12BA"/>
    <w:rsid w:val="00BC13FF"/>
    <w:rsid w:val="00BC237D"/>
    <w:rsid w:val="00BC2871"/>
    <w:rsid w:val="00BC35E6"/>
    <w:rsid w:val="00BC36EC"/>
    <w:rsid w:val="00BC3A38"/>
    <w:rsid w:val="00BC5488"/>
    <w:rsid w:val="00BC59F9"/>
    <w:rsid w:val="00BC692C"/>
    <w:rsid w:val="00BC6B60"/>
    <w:rsid w:val="00BC7677"/>
    <w:rsid w:val="00BC7914"/>
    <w:rsid w:val="00BC7BF1"/>
    <w:rsid w:val="00BC7D0E"/>
    <w:rsid w:val="00BD058B"/>
    <w:rsid w:val="00BD31FA"/>
    <w:rsid w:val="00BD3C87"/>
    <w:rsid w:val="00BD5269"/>
    <w:rsid w:val="00BD613C"/>
    <w:rsid w:val="00BD6FCC"/>
    <w:rsid w:val="00BD7BA6"/>
    <w:rsid w:val="00BE0E7C"/>
    <w:rsid w:val="00BE21B0"/>
    <w:rsid w:val="00BE2207"/>
    <w:rsid w:val="00BE302B"/>
    <w:rsid w:val="00BE434E"/>
    <w:rsid w:val="00BE474E"/>
    <w:rsid w:val="00BE47B0"/>
    <w:rsid w:val="00BE5917"/>
    <w:rsid w:val="00BE7003"/>
    <w:rsid w:val="00BE77D7"/>
    <w:rsid w:val="00BF1303"/>
    <w:rsid w:val="00BF133F"/>
    <w:rsid w:val="00BF1ED4"/>
    <w:rsid w:val="00BF2627"/>
    <w:rsid w:val="00BF32BF"/>
    <w:rsid w:val="00BF369A"/>
    <w:rsid w:val="00BF41CF"/>
    <w:rsid w:val="00BF53F7"/>
    <w:rsid w:val="00C00F38"/>
    <w:rsid w:val="00C0146A"/>
    <w:rsid w:val="00C02896"/>
    <w:rsid w:val="00C03FC0"/>
    <w:rsid w:val="00C040ED"/>
    <w:rsid w:val="00C04749"/>
    <w:rsid w:val="00C04C13"/>
    <w:rsid w:val="00C0584A"/>
    <w:rsid w:val="00C059CA"/>
    <w:rsid w:val="00C07AC7"/>
    <w:rsid w:val="00C103DF"/>
    <w:rsid w:val="00C10CB9"/>
    <w:rsid w:val="00C114FB"/>
    <w:rsid w:val="00C1200A"/>
    <w:rsid w:val="00C12BDD"/>
    <w:rsid w:val="00C12CE7"/>
    <w:rsid w:val="00C13083"/>
    <w:rsid w:val="00C13B84"/>
    <w:rsid w:val="00C13D4B"/>
    <w:rsid w:val="00C146B0"/>
    <w:rsid w:val="00C153B3"/>
    <w:rsid w:val="00C176B6"/>
    <w:rsid w:val="00C17EE1"/>
    <w:rsid w:val="00C20DDE"/>
    <w:rsid w:val="00C21770"/>
    <w:rsid w:val="00C22214"/>
    <w:rsid w:val="00C22650"/>
    <w:rsid w:val="00C22882"/>
    <w:rsid w:val="00C22D77"/>
    <w:rsid w:val="00C22F4E"/>
    <w:rsid w:val="00C24D5A"/>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1496"/>
    <w:rsid w:val="00C52A8B"/>
    <w:rsid w:val="00C53C32"/>
    <w:rsid w:val="00C53C97"/>
    <w:rsid w:val="00C5709C"/>
    <w:rsid w:val="00C57223"/>
    <w:rsid w:val="00C5723F"/>
    <w:rsid w:val="00C572AC"/>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567F"/>
    <w:rsid w:val="00C75F29"/>
    <w:rsid w:val="00C761B6"/>
    <w:rsid w:val="00C7683B"/>
    <w:rsid w:val="00C805AC"/>
    <w:rsid w:val="00C80603"/>
    <w:rsid w:val="00C81F96"/>
    <w:rsid w:val="00C8278B"/>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2151"/>
    <w:rsid w:val="00CB5BC6"/>
    <w:rsid w:val="00CB69A5"/>
    <w:rsid w:val="00CB73CC"/>
    <w:rsid w:val="00CB783C"/>
    <w:rsid w:val="00CB7990"/>
    <w:rsid w:val="00CB7AB1"/>
    <w:rsid w:val="00CC385E"/>
    <w:rsid w:val="00CC4E7D"/>
    <w:rsid w:val="00CC73DB"/>
    <w:rsid w:val="00CD0617"/>
    <w:rsid w:val="00CD0628"/>
    <w:rsid w:val="00CD3048"/>
    <w:rsid w:val="00CD3657"/>
    <w:rsid w:val="00CD4F18"/>
    <w:rsid w:val="00CD6D7E"/>
    <w:rsid w:val="00CE00B5"/>
    <w:rsid w:val="00CE0B7A"/>
    <w:rsid w:val="00CE1978"/>
    <w:rsid w:val="00CE290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730"/>
    <w:rsid w:val="00D04D4A"/>
    <w:rsid w:val="00D05BBB"/>
    <w:rsid w:val="00D06236"/>
    <w:rsid w:val="00D062D0"/>
    <w:rsid w:val="00D073A4"/>
    <w:rsid w:val="00D07541"/>
    <w:rsid w:val="00D129D7"/>
    <w:rsid w:val="00D1330D"/>
    <w:rsid w:val="00D13F14"/>
    <w:rsid w:val="00D14043"/>
    <w:rsid w:val="00D142FB"/>
    <w:rsid w:val="00D14B4F"/>
    <w:rsid w:val="00D15229"/>
    <w:rsid w:val="00D15C35"/>
    <w:rsid w:val="00D15F1D"/>
    <w:rsid w:val="00D21C95"/>
    <w:rsid w:val="00D236C7"/>
    <w:rsid w:val="00D26E20"/>
    <w:rsid w:val="00D30C60"/>
    <w:rsid w:val="00D32250"/>
    <w:rsid w:val="00D32329"/>
    <w:rsid w:val="00D323C3"/>
    <w:rsid w:val="00D329C9"/>
    <w:rsid w:val="00D33576"/>
    <w:rsid w:val="00D34F1F"/>
    <w:rsid w:val="00D34F75"/>
    <w:rsid w:val="00D361A0"/>
    <w:rsid w:val="00D36994"/>
    <w:rsid w:val="00D41CB1"/>
    <w:rsid w:val="00D42E37"/>
    <w:rsid w:val="00D43E91"/>
    <w:rsid w:val="00D43F71"/>
    <w:rsid w:val="00D44A5B"/>
    <w:rsid w:val="00D45306"/>
    <w:rsid w:val="00D47B7C"/>
    <w:rsid w:val="00D52AFE"/>
    <w:rsid w:val="00D53344"/>
    <w:rsid w:val="00D53486"/>
    <w:rsid w:val="00D53DCE"/>
    <w:rsid w:val="00D56965"/>
    <w:rsid w:val="00D602E1"/>
    <w:rsid w:val="00D6047B"/>
    <w:rsid w:val="00D61219"/>
    <w:rsid w:val="00D62674"/>
    <w:rsid w:val="00D639F9"/>
    <w:rsid w:val="00D64663"/>
    <w:rsid w:val="00D647C0"/>
    <w:rsid w:val="00D65180"/>
    <w:rsid w:val="00D67469"/>
    <w:rsid w:val="00D67D14"/>
    <w:rsid w:val="00D71B26"/>
    <w:rsid w:val="00D733ED"/>
    <w:rsid w:val="00D73E91"/>
    <w:rsid w:val="00D743DD"/>
    <w:rsid w:val="00D75D80"/>
    <w:rsid w:val="00D76511"/>
    <w:rsid w:val="00D76541"/>
    <w:rsid w:val="00D76774"/>
    <w:rsid w:val="00D80E58"/>
    <w:rsid w:val="00D81502"/>
    <w:rsid w:val="00D81962"/>
    <w:rsid w:val="00D81BA7"/>
    <w:rsid w:val="00D822E3"/>
    <w:rsid w:val="00D83CAC"/>
    <w:rsid w:val="00D8493A"/>
    <w:rsid w:val="00D85CC9"/>
    <w:rsid w:val="00D86CF8"/>
    <w:rsid w:val="00D87421"/>
    <w:rsid w:val="00D8760A"/>
    <w:rsid w:val="00D9056C"/>
    <w:rsid w:val="00D908AA"/>
    <w:rsid w:val="00D91AAC"/>
    <w:rsid w:val="00D91AF9"/>
    <w:rsid w:val="00D91F92"/>
    <w:rsid w:val="00D927E0"/>
    <w:rsid w:val="00D92A34"/>
    <w:rsid w:val="00D935FE"/>
    <w:rsid w:val="00D9382E"/>
    <w:rsid w:val="00D95173"/>
    <w:rsid w:val="00D95563"/>
    <w:rsid w:val="00D973C8"/>
    <w:rsid w:val="00D97793"/>
    <w:rsid w:val="00DA0161"/>
    <w:rsid w:val="00DA0CCA"/>
    <w:rsid w:val="00DA165F"/>
    <w:rsid w:val="00DA26A6"/>
    <w:rsid w:val="00DA2E38"/>
    <w:rsid w:val="00DA3D35"/>
    <w:rsid w:val="00DA425E"/>
    <w:rsid w:val="00DA492C"/>
    <w:rsid w:val="00DA64D5"/>
    <w:rsid w:val="00DA7A10"/>
    <w:rsid w:val="00DB0EF8"/>
    <w:rsid w:val="00DB1EC0"/>
    <w:rsid w:val="00DB3B65"/>
    <w:rsid w:val="00DB3EE4"/>
    <w:rsid w:val="00DB59E5"/>
    <w:rsid w:val="00DB6F69"/>
    <w:rsid w:val="00DB730E"/>
    <w:rsid w:val="00DB77E5"/>
    <w:rsid w:val="00DC010B"/>
    <w:rsid w:val="00DC10BF"/>
    <w:rsid w:val="00DC1197"/>
    <w:rsid w:val="00DC23F1"/>
    <w:rsid w:val="00DC5DF0"/>
    <w:rsid w:val="00DD007A"/>
    <w:rsid w:val="00DD0D3D"/>
    <w:rsid w:val="00DD348D"/>
    <w:rsid w:val="00DD3A70"/>
    <w:rsid w:val="00DD4B26"/>
    <w:rsid w:val="00DD4DCC"/>
    <w:rsid w:val="00DD55CF"/>
    <w:rsid w:val="00DD682E"/>
    <w:rsid w:val="00DD77B4"/>
    <w:rsid w:val="00DE0069"/>
    <w:rsid w:val="00DE1226"/>
    <w:rsid w:val="00DE13CF"/>
    <w:rsid w:val="00DE1E2E"/>
    <w:rsid w:val="00DE3058"/>
    <w:rsid w:val="00DE384E"/>
    <w:rsid w:val="00DE464B"/>
    <w:rsid w:val="00DE7AD0"/>
    <w:rsid w:val="00DF0307"/>
    <w:rsid w:val="00DF29CB"/>
    <w:rsid w:val="00DF30FB"/>
    <w:rsid w:val="00DF33BC"/>
    <w:rsid w:val="00DF3E88"/>
    <w:rsid w:val="00DF4059"/>
    <w:rsid w:val="00DF4CB1"/>
    <w:rsid w:val="00DF55B1"/>
    <w:rsid w:val="00DF5ECE"/>
    <w:rsid w:val="00DF6AA5"/>
    <w:rsid w:val="00E0021B"/>
    <w:rsid w:val="00E00BBE"/>
    <w:rsid w:val="00E01A44"/>
    <w:rsid w:val="00E05889"/>
    <w:rsid w:val="00E07649"/>
    <w:rsid w:val="00E14480"/>
    <w:rsid w:val="00E15168"/>
    <w:rsid w:val="00E15422"/>
    <w:rsid w:val="00E16F83"/>
    <w:rsid w:val="00E20336"/>
    <w:rsid w:val="00E20B20"/>
    <w:rsid w:val="00E21AF2"/>
    <w:rsid w:val="00E230BE"/>
    <w:rsid w:val="00E239A4"/>
    <w:rsid w:val="00E24C9F"/>
    <w:rsid w:val="00E255EC"/>
    <w:rsid w:val="00E25951"/>
    <w:rsid w:val="00E259A6"/>
    <w:rsid w:val="00E27AC8"/>
    <w:rsid w:val="00E27FF7"/>
    <w:rsid w:val="00E300BA"/>
    <w:rsid w:val="00E3010F"/>
    <w:rsid w:val="00E3076E"/>
    <w:rsid w:val="00E31C03"/>
    <w:rsid w:val="00E31EBD"/>
    <w:rsid w:val="00E324B8"/>
    <w:rsid w:val="00E32627"/>
    <w:rsid w:val="00E33FA9"/>
    <w:rsid w:val="00E34D5F"/>
    <w:rsid w:val="00E3563D"/>
    <w:rsid w:val="00E366CB"/>
    <w:rsid w:val="00E41184"/>
    <w:rsid w:val="00E42DD2"/>
    <w:rsid w:val="00E4333B"/>
    <w:rsid w:val="00E43741"/>
    <w:rsid w:val="00E44479"/>
    <w:rsid w:val="00E45ED3"/>
    <w:rsid w:val="00E46AAF"/>
    <w:rsid w:val="00E46D30"/>
    <w:rsid w:val="00E473C9"/>
    <w:rsid w:val="00E47587"/>
    <w:rsid w:val="00E53554"/>
    <w:rsid w:val="00E53678"/>
    <w:rsid w:val="00E53E97"/>
    <w:rsid w:val="00E54C44"/>
    <w:rsid w:val="00E552A9"/>
    <w:rsid w:val="00E57C4E"/>
    <w:rsid w:val="00E61481"/>
    <w:rsid w:val="00E6228B"/>
    <w:rsid w:val="00E6313C"/>
    <w:rsid w:val="00E63177"/>
    <w:rsid w:val="00E63840"/>
    <w:rsid w:val="00E64F4B"/>
    <w:rsid w:val="00E65162"/>
    <w:rsid w:val="00E656A6"/>
    <w:rsid w:val="00E67AAB"/>
    <w:rsid w:val="00E67B68"/>
    <w:rsid w:val="00E67E76"/>
    <w:rsid w:val="00E70033"/>
    <w:rsid w:val="00E71ED5"/>
    <w:rsid w:val="00E72EEA"/>
    <w:rsid w:val="00E75B50"/>
    <w:rsid w:val="00E76D1B"/>
    <w:rsid w:val="00E77404"/>
    <w:rsid w:val="00E8084B"/>
    <w:rsid w:val="00E80E38"/>
    <w:rsid w:val="00E80EAC"/>
    <w:rsid w:val="00E81A69"/>
    <w:rsid w:val="00E81D46"/>
    <w:rsid w:val="00E81FDA"/>
    <w:rsid w:val="00E83163"/>
    <w:rsid w:val="00E834E6"/>
    <w:rsid w:val="00E83A7B"/>
    <w:rsid w:val="00E844C5"/>
    <w:rsid w:val="00E8535E"/>
    <w:rsid w:val="00E8561F"/>
    <w:rsid w:val="00E87901"/>
    <w:rsid w:val="00E90B2C"/>
    <w:rsid w:val="00E91266"/>
    <w:rsid w:val="00E92A55"/>
    <w:rsid w:val="00E93CA9"/>
    <w:rsid w:val="00E94363"/>
    <w:rsid w:val="00E96B0F"/>
    <w:rsid w:val="00E97A43"/>
    <w:rsid w:val="00E97E12"/>
    <w:rsid w:val="00E97FA2"/>
    <w:rsid w:val="00EA0CCB"/>
    <w:rsid w:val="00EA1B1D"/>
    <w:rsid w:val="00EA2E20"/>
    <w:rsid w:val="00EA4954"/>
    <w:rsid w:val="00EA52A6"/>
    <w:rsid w:val="00EA5889"/>
    <w:rsid w:val="00EA5A82"/>
    <w:rsid w:val="00EA7604"/>
    <w:rsid w:val="00EA774D"/>
    <w:rsid w:val="00EA78E1"/>
    <w:rsid w:val="00EA7B8C"/>
    <w:rsid w:val="00EB01B9"/>
    <w:rsid w:val="00EB3AFE"/>
    <w:rsid w:val="00EB3EBC"/>
    <w:rsid w:val="00EB45E3"/>
    <w:rsid w:val="00EB5AB6"/>
    <w:rsid w:val="00EB676A"/>
    <w:rsid w:val="00EB72F9"/>
    <w:rsid w:val="00EB7568"/>
    <w:rsid w:val="00EB7E31"/>
    <w:rsid w:val="00EC0090"/>
    <w:rsid w:val="00EC035D"/>
    <w:rsid w:val="00EC036A"/>
    <w:rsid w:val="00EC079F"/>
    <w:rsid w:val="00EC101A"/>
    <w:rsid w:val="00EC17A7"/>
    <w:rsid w:val="00EC1D0D"/>
    <w:rsid w:val="00EC5E33"/>
    <w:rsid w:val="00EC6907"/>
    <w:rsid w:val="00EC70E3"/>
    <w:rsid w:val="00ED215F"/>
    <w:rsid w:val="00ED266D"/>
    <w:rsid w:val="00ED3009"/>
    <w:rsid w:val="00ED4441"/>
    <w:rsid w:val="00ED7133"/>
    <w:rsid w:val="00ED7F2B"/>
    <w:rsid w:val="00EE20AD"/>
    <w:rsid w:val="00EE3B58"/>
    <w:rsid w:val="00EE58E9"/>
    <w:rsid w:val="00EE6A29"/>
    <w:rsid w:val="00EF0CED"/>
    <w:rsid w:val="00EF17A4"/>
    <w:rsid w:val="00EF1877"/>
    <w:rsid w:val="00EF1891"/>
    <w:rsid w:val="00EF23D1"/>
    <w:rsid w:val="00EF26ED"/>
    <w:rsid w:val="00EF2928"/>
    <w:rsid w:val="00EF3CAD"/>
    <w:rsid w:val="00EF6E66"/>
    <w:rsid w:val="00F004B7"/>
    <w:rsid w:val="00F009FB"/>
    <w:rsid w:val="00F012EE"/>
    <w:rsid w:val="00F0627F"/>
    <w:rsid w:val="00F07B85"/>
    <w:rsid w:val="00F07C1B"/>
    <w:rsid w:val="00F104E2"/>
    <w:rsid w:val="00F10D4E"/>
    <w:rsid w:val="00F10E35"/>
    <w:rsid w:val="00F1226C"/>
    <w:rsid w:val="00F126C1"/>
    <w:rsid w:val="00F1316A"/>
    <w:rsid w:val="00F16B80"/>
    <w:rsid w:val="00F17CF1"/>
    <w:rsid w:val="00F20A0D"/>
    <w:rsid w:val="00F213B5"/>
    <w:rsid w:val="00F23E75"/>
    <w:rsid w:val="00F24536"/>
    <w:rsid w:val="00F24A72"/>
    <w:rsid w:val="00F30198"/>
    <w:rsid w:val="00F3022C"/>
    <w:rsid w:val="00F302AB"/>
    <w:rsid w:val="00F3055C"/>
    <w:rsid w:val="00F32B71"/>
    <w:rsid w:val="00F32C87"/>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46169"/>
    <w:rsid w:val="00F466CA"/>
    <w:rsid w:val="00F52A3D"/>
    <w:rsid w:val="00F53A6E"/>
    <w:rsid w:val="00F543D4"/>
    <w:rsid w:val="00F54BA9"/>
    <w:rsid w:val="00F6065E"/>
    <w:rsid w:val="00F61DE4"/>
    <w:rsid w:val="00F653B0"/>
    <w:rsid w:val="00F65B23"/>
    <w:rsid w:val="00F6677E"/>
    <w:rsid w:val="00F671EE"/>
    <w:rsid w:val="00F6783D"/>
    <w:rsid w:val="00F710A9"/>
    <w:rsid w:val="00F7246C"/>
    <w:rsid w:val="00F7282C"/>
    <w:rsid w:val="00F733E9"/>
    <w:rsid w:val="00F7361F"/>
    <w:rsid w:val="00F73C23"/>
    <w:rsid w:val="00F73EF4"/>
    <w:rsid w:val="00F743DE"/>
    <w:rsid w:val="00F74DBC"/>
    <w:rsid w:val="00F754A9"/>
    <w:rsid w:val="00F755DF"/>
    <w:rsid w:val="00F75944"/>
    <w:rsid w:val="00F76B39"/>
    <w:rsid w:val="00F77D3A"/>
    <w:rsid w:val="00F803F8"/>
    <w:rsid w:val="00F810CA"/>
    <w:rsid w:val="00F82023"/>
    <w:rsid w:val="00F82238"/>
    <w:rsid w:val="00F82254"/>
    <w:rsid w:val="00F8256A"/>
    <w:rsid w:val="00F85007"/>
    <w:rsid w:val="00F85527"/>
    <w:rsid w:val="00F904C1"/>
    <w:rsid w:val="00F90906"/>
    <w:rsid w:val="00F90A30"/>
    <w:rsid w:val="00F90C4C"/>
    <w:rsid w:val="00F94790"/>
    <w:rsid w:val="00FA0269"/>
    <w:rsid w:val="00FA0566"/>
    <w:rsid w:val="00FA0F65"/>
    <w:rsid w:val="00FA2662"/>
    <w:rsid w:val="00FA28B2"/>
    <w:rsid w:val="00FA34FA"/>
    <w:rsid w:val="00FA3B61"/>
    <w:rsid w:val="00FA4333"/>
    <w:rsid w:val="00FA46AA"/>
    <w:rsid w:val="00FA4F61"/>
    <w:rsid w:val="00FA5624"/>
    <w:rsid w:val="00FA5D25"/>
    <w:rsid w:val="00FA5D7D"/>
    <w:rsid w:val="00FA6972"/>
    <w:rsid w:val="00FA6AFB"/>
    <w:rsid w:val="00FA6D8F"/>
    <w:rsid w:val="00FA7610"/>
    <w:rsid w:val="00FA7DA6"/>
    <w:rsid w:val="00FB052E"/>
    <w:rsid w:val="00FB234A"/>
    <w:rsid w:val="00FB3275"/>
    <w:rsid w:val="00FB38ED"/>
    <w:rsid w:val="00FB3F2A"/>
    <w:rsid w:val="00FB54A0"/>
    <w:rsid w:val="00FB7C60"/>
    <w:rsid w:val="00FB7CA4"/>
    <w:rsid w:val="00FB7DC4"/>
    <w:rsid w:val="00FC1781"/>
    <w:rsid w:val="00FC3208"/>
    <w:rsid w:val="00FC34D9"/>
    <w:rsid w:val="00FC4770"/>
    <w:rsid w:val="00FC63EE"/>
    <w:rsid w:val="00FC6622"/>
    <w:rsid w:val="00FC713E"/>
    <w:rsid w:val="00FC71C6"/>
    <w:rsid w:val="00FC740A"/>
    <w:rsid w:val="00FC7CD7"/>
    <w:rsid w:val="00FD041A"/>
    <w:rsid w:val="00FD05C2"/>
    <w:rsid w:val="00FD131F"/>
    <w:rsid w:val="00FD27E5"/>
    <w:rsid w:val="00FD2892"/>
    <w:rsid w:val="00FD2A4A"/>
    <w:rsid w:val="00FD2D96"/>
    <w:rsid w:val="00FD4136"/>
    <w:rsid w:val="00FD4A02"/>
    <w:rsid w:val="00FD5565"/>
    <w:rsid w:val="00FD5A75"/>
    <w:rsid w:val="00FD6675"/>
    <w:rsid w:val="00FD677D"/>
    <w:rsid w:val="00FD78D0"/>
    <w:rsid w:val="00FE05BF"/>
    <w:rsid w:val="00FE12B8"/>
    <w:rsid w:val="00FE1797"/>
    <w:rsid w:val="00FE3439"/>
    <w:rsid w:val="00FE4889"/>
    <w:rsid w:val="00FE4A44"/>
    <w:rsid w:val="00FE4AAF"/>
    <w:rsid w:val="00FE75F8"/>
    <w:rsid w:val="00FE7B8A"/>
    <w:rsid w:val="00FF037F"/>
    <w:rsid w:val="00FF276B"/>
    <w:rsid w:val="00FF340A"/>
    <w:rsid w:val="00FF4925"/>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3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 w:type="table" w:customStyle="1" w:styleId="PlainTable11">
    <w:name w:val="Plain Table 11"/>
    <w:basedOn w:val="TableNormal"/>
    <w:uiPriority w:val="41"/>
    <w:rsid w:val="00E255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3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 w:type="table" w:customStyle="1" w:styleId="PlainTable11">
    <w:name w:val="Plain Table 11"/>
    <w:basedOn w:val="TableNormal"/>
    <w:uiPriority w:val="41"/>
    <w:rsid w:val="00E255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263608917">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33280877">
      <w:bodyDiv w:val="1"/>
      <w:marLeft w:val="0"/>
      <w:marRight w:val="0"/>
      <w:marTop w:val="0"/>
      <w:marBottom w:val="0"/>
      <w:divBdr>
        <w:top w:val="none" w:sz="0" w:space="0" w:color="auto"/>
        <w:left w:val="none" w:sz="0" w:space="0" w:color="auto"/>
        <w:bottom w:val="none" w:sz="0" w:space="0" w:color="auto"/>
        <w:right w:val="none" w:sz="0" w:space="0" w:color="auto"/>
      </w:divBdr>
    </w:div>
    <w:div w:id="512453264">
      <w:bodyDiv w:val="1"/>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717707651">
      <w:bodyDiv w:val="1"/>
      <w:marLeft w:val="0"/>
      <w:marRight w:val="0"/>
      <w:marTop w:val="0"/>
      <w:marBottom w:val="0"/>
      <w:divBdr>
        <w:top w:val="none" w:sz="0" w:space="0" w:color="auto"/>
        <w:left w:val="none" w:sz="0" w:space="0" w:color="auto"/>
        <w:bottom w:val="none" w:sz="0" w:space="0" w:color="auto"/>
        <w:right w:val="none" w:sz="0" w:space="0" w:color="auto"/>
      </w:divBdr>
    </w:div>
    <w:div w:id="770395044">
      <w:bodyDiv w:val="1"/>
      <w:marLeft w:val="0"/>
      <w:marRight w:val="0"/>
      <w:marTop w:val="0"/>
      <w:marBottom w:val="0"/>
      <w:divBdr>
        <w:top w:val="none" w:sz="0" w:space="0" w:color="auto"/>
        <w:left w:val="none" w:sz="0" w:space="0" w:color="auto"/>
        <w:bottom w:val="none" w:sz="0" w:space="0" w:color="auto"/>
        <w:right w:val="none" w:sz="0" w:space="0" w:color="auto"/>
      </w:divBdr>
    </w:div>
    <w:div w:id="846214569">
      <w:bodyDiv w:val="1"/>
      <w:marLeft w:val="0"/>
      <w:marRight w:val="0"/>
      <w:marTop w:val="0"/>
      <w:marBottom w:val="0"/>
      <w:divBdr>
        <w:top w:val="none" w:sz="0" w:space="0" w:color="auto"/>
        <w:left w:val="none" w:sz="0" w:space="0" w:color="auto"/>
        <w:bottom w:val="none" w:sz="0" w:space="0" w:color="auto"/>
        <w:right w:val="none" w:sz="0" w:space="0" w:color="auto"/>
      </w:divBdr>
    </w:div>
    <w:div w:id="888103707">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671444305">
      <w:bodyDiv w:val="1"/>
      <w:marLeft w:val="0"/>
      <w:marRight w:val="0"/>
      <w:marTop w:val="0"/>
      <w:marBottom w:val="0"/>
      <w:divBdr>
        <w:top w:val="none" w:sz="0" w:space="0" w:color="auto"/>
        <w:left w:val="none" w:sz="0" w:space="0" w:color="auto"/>
        <w:bottom w:val="none" w:sz="0" w:space="0" w:color="auto"/>
        <w:right w:val="none" w:sz="0" w:space="0" w:color="auto"/>
      </w:divBdr>
    </w:div>
    <w:div w:id="17174618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CE0E-B085-46AC-A5B2-B953C25189B3}">
  <ds:schemaRefs>
    <ds:schemaRef ds:uri="http://schemas.microsoft.com/sharepoint/v3/contenttype/forms"/>
  </ds:schemaRefs>
</ds:datastoreItem>
</file>

<file path=customXml/itemProps2.xml><?xml version="1.0" encoding="utf-8"?>
<ds:datastoreItem xmlns:ds="http://schemas.openxmlformats.org/officeDocument/2006/customXml" ds:itemID="{3820056B-4641-4EC1-A5A4-72567A9B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C10329-692D-4365-98F4-2D6D5281B3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FC473E-9C93-45F8-8C80-9A772F54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7974</Words>
  <Characters>45458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2018-08-16T19:04:00Z</dcterms:created>
  <dcterms:modified xsi:type="dcterms:W3CDTF">2018-08-16T19:04:00Z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y fmtid="{D5CDD505-2E9C-101B-9397-08002B2CF9AE}" pid="3" name="_NewReviewCycle">
    <vt:lpwstr/>
  </property>
  <property fmtid="{D5CDD505-2E9C-101B-9397-08002B2CF9AE}" pid="4" name="_AdHocReviewCycleID">
    <vt:i4>1883546123</vt:i4>
  </property>
  <property fmtid="{D5CDD505-2E9C-101B-9397-08002B2CF9AE}" pid="5" name="_ReviewingToolsShownOnce">
    <vt:lpwstr/>
  </property>
</Properties>
</file>