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F0" w:rsidRDefault="00B563F0" w:rsidP="00B563F0">
      <w:pPr>
        <w:pStyle w:val="BodyText"/>
        <w:kinsoku w:val="0"/>
        <w:overflowPunct w:val="0"/>
        <w:spacing w:before="71"/>
        <w:ind w:left="2875" w:right="2828"/>
        <w:jc w:val="center"/>
      </w:pPr>
      <w:bookmarkStart w:id="0" w:name="_GoBack"/>
      <w:bookmarkEnd w:id="0"/>
      <w:r>
        <w:t xml:space="preserve">   FINAL </w:t>
      </w:r>
      <w:r>
        <w:rPr>
          <w:spacing w:val="-13"/>
        </w:rPr>
        <w:t xml:space="preserve">SUPPORTING </w:t>
      </w:r>
      <w:r>
        <w:t>STATEMENT</w:t>
      </w:r>
      <w:r>
        <w:rPr>
          <w:spacing w:val="22"/>
          <w:w w:val="99"/>
        </w:rPr>
        <w:t xml:space="preserve"> </w:t>
      </w:r>
      <w:r>
        <w:t>FOR</w:t>
      </w:r>
    </w:p>
    <w:p w:rsidR="00B563F0" w:rsidRDefault="00B563F0" w:rsidP="00B563F0">
      <w:pPr>
        <w:pStyle w:val="BodyText"/>
        <w:kinsoku w:val="0"/>
        <w:overflowPunct w:val="0"/>
        <w:spacing w:line="252" w:lineRule="exact"/>
        <w:ind w:left="2922" w:right="2878"/>
        <w:jc w:val="center"/>
      </w:pPr>
      <w:r>
        <w:t>10</w:t>
      </w:r>
      <w:r>
        <w:rPr>
          <w:spacing w:val="-6"/>
        </w:rPr>
        <w:t xml:space="preserve"> </w:t>
      </w:r>
      <w:r>
        <w:t>CFR</w:t>
      </w:r>
      <w:r>
        <w:rPr>
          <w:spacing w:val="-5"/>
        </w:rPr>
        <w:t xml:space="preserve"> </w:t>
      </w:r>
      <w:r>
        <w:t>PART</w:t>
      </w:r>
      <w:r>
        <w:rPr>
          <w:spacing w:val="-5"/>
        </w:rPr>
        <w:t xml:space="preserve"> </w:t>
      </w:r>
      <w:r>
        <w:t>31</w:t>
      </w:r>
    </w:p>
    <w:p w:rsidR="00B563F0" w:rsidRDefault="00B563F0" w:rsidP="00B563F0">
      <w:pPr>
        <w:pStyle w:val="BodyText"/>
        <w:kinsoku w:val="0"/>
        <w:overflowPunct w:val="0"/>
        <w:ind w:right="1600"/>
        <w:rPr>
          <w:spacing w:val="25"/>
          <w:w w:val="99"/>
        </w:rPr>
      </w:pPr>
      <w:r>
        <w:rPr>
          <w:spacing w:val="-1"/>
        </w:rPr>
        <w:t xml:space="preserve">                       GENERAL</w:t>
      </w:r>
      <w:r>
        <w:rPr>
          <w:spacing w:val="-12"/>
        </w:rPr>
        <w:t xml:space="preserve"> </w:t>
      </w:r>
      <w:r>
        <w:rPr>
          <w:spacing w:val="-1"/>
        </w:rPr>
        <w:t>DOMESTIC</w:t>
      </w:r>
      <w:r>
        <w:rPr>
          <w:spacing w:val="-13"/>
        </w:rPr>
        <w:t xml:space="preserve"> </w:t>
      </w:r>
      <w:r>
        <w:rPr>
          <w:spacing w:val="-1"/>
        </w:rPr>
        <w:t>LICENSES</w:t>
      </w:r>
      <w:r>
        <w:rPr>
          <w:spacing w:val="-12"/>
        </w:rPr>
        <w:t xml:space="preserve"> </w:t>
      </w:r>
      <w:r>
        <w:t>FOR</w:t>
      </w:r>
      <w:r>
        <w:rPr>
          <w:spacing w:val="-12"/>
        </w:rPr>
        <w:t xml:space="preserve"> </w:t>
      </w:r>
      <w:r>
        <w:t>BYPRODUCT</w:t>
      </w:r>
      <w:r>
        <w:rPr>
          <w:spacing w:val="-13"/>
        </w:rPr>
        <w:t xml:space="preserve"> MATERIAL</w:t>
      </w:r>
      <w:r>
        <w:rPr>
          <w:spacing w:val="25"/>
          <w:w w:val="99"/>
        </w:rPr>
        <w:t xml:space="preserve"> </w:t>
      </w:r>
    </w:p>
    <w:p w:rsidR="00B563F0" w:rsidRDefault="00B563F0" w:rsidP="00B563F0">
      <w:pPr>
        <w:pStyle w:val="BodyText"/>
        <w:kinsoku w:val="0"/>
        <w:overflowPunct w:val="0"/>
        <w:ind w:left="1646" w:right="1600"/>
        <w:jc w:val="center"/>
      </w:pPr>
      <w:r>
        <w:t>(3150-0016)</w:t>
      </w:r>
    </w:p>
    <w:p w:rsidR="00B563F0" w:rsidRDefault="00B563F0" w:rsidP="00B563F0">
      <w:pPr>
        <w:pStyle w:val="BodyText"/>
        <w:kinsoku w:val="0"/>
        <w:overflowPunct w:val="0"/>
        <w:ind w:left="2922" w:right="2879"/>
        <w:jc w:val="center"/>
      </w:pPr>
      <w:r>
        <w:t>---</w:t>
      </w:r>
    </w:p>
    <w:p w:rsidR="00B563F0" w:rsidRDefault="00E15BB0" w:rsidP="00E15BB0">
      <w:pPr>
        <w:pStyle w:val="BodyText"/>
        <w:kinsoku w:val="0"/>
        <w:overflowPunct w:val="0"/>
        <w:ind w:left="2922" w:right="2879"/>
      </w:pPr>
      <w:r>
        <w:t xml:space="preserve">                    </w:t>
      </w:r>
      <w:r w:rsidR="00B563F0">
        <w:t>REVISION</w:t>
      </w:r>
      <w:r w:rsidR="00B563F0">
        <w:rPr>
          <w:spacing w:val="-13"/>
        </w:rPr>
        <w:t xml:space="preserve"> </w:t>
      </w:r>
    </w:p>
    <w:p w:rsidR="00B563F0" w:rsidRDefault="00B563F0">
      <w:pPr>
        <w:pStyle w:val="BodyText"/>
        <w:ind w:left="119"/>
        <w:rPr>
          <w:u w:val="single"/>
        </w:rPr>
      </w:pPr>
    </w:p>
    <w:p w:rsidR="00B563F0" w:rsidRDefault="00B563F0">
      <w:pPr>
        <w:pStyle w:val="BodyText"/>
        <w:ind w:left="119"/>
        <w:rPr>
          <w:u w:val="single"/>
        </w:rPr>
      </w:pPr>
    </w:p>
    <w:p w:rsidR="006C7206" w:rsidRDefault="00E90B9F">
      <w:pPr>
        <w:pStyle w:val="BodyText"/>
        <w:ind w:left="119"/>
      </w:pPr>
      <w:r>
        <w:rPr>
          <w:u w:val="single"/>
        </w:rPr>
        <w:t>Description of the Information Collection</w:t>
      </w:r>
    </w:p>
    <w:p w:rsidR="006C7206" w:rsidRDefault="006C7206">
      <w:pPr>
        <w:pStyle w:val="BodyText"/>
        <w:spacing w:before="11"/>
        <w:rPr>
          <w:sz w:val="13"/>
        </w:rPr>
      </w:pPr>
    </w:p>
    <w:p w:rsidR="006C7206" w:rsidRDefault="00E90B9F">
      <w:pPr>
        <w:pStyle w:val="BodyText"/>
        <w:spacing w:before="92"/>
        <w:ind w:left="120" w:right="252" w:hanging="2"/>
      </w:pPr>
      <w:r>
        <w:t xml:space="preserve">Part 31 of Title 10 of the </w:t>
      </w:r>
      <w:r>
        <w:rPr>
          <w:i/>
        </w:rPr>
        <w:t xml:space="preserve">Code of Federal Regulations </w:t>
      </w:r>
      <w:r>
        <w:rPr>
          <w:spacing w:val="-5"/>
        </w:rPr>
        <w:t>(</w:t>
      </w:r>
      <w:r w:rsidR="003A1713">
        <w:rPr>
          <w:spacing w:val="-5"/>
        </w:rPr>
        <w:t xml:space="preserve">10 </w:t>
      </w:r>
      <w:r>
        <w:rPr>
          <w:spacing w:val="-5"/>
        </w:rPr>
        <w:t xml:space="preserve">CFR) </w:t>
      </w:r>
      <w:r>
        <w:t xml:space="preserve">establishes general licenses for possession, use, and ownership of byproduct materials. </w:t>
      </w:r>
      <w:r w:rsidR="002E54C9">
        <w:t xml:space="preserve"> </w:t>
      </w:r>
      <w:r>
        <w:t>The regulations governing the general licenses</w:t>
      </w:r>
      <w:r>
        <w:rPr>
          <w:spacing w:val="-8"/>
        </w:rPr>
        <w:t xml:space="preserve"> </w:t>
      </w:r>
      <w:r>
        <w:t>require</w:t>
      </w:r>
      <w:r>
        <w:rPr>
          <w:spacing w:val="18"/>
        </w:rPr>
        <w:t xml:space="preserve"> </w:t>
      </w:r>
      <w:r>
        <w:t>that</w:t>
      </w:r>
      <w:r>
        <w:rPr>
          <w:spacing w:val="-10"/>
        </w:rPr>
        <w:t xml:space="preserve"> </w:t>
      </w:r>
      <w:r>
        <w:t>general</w:t>
      </w:r>
      <w:r>
        <w:rPr>
          <w:spacing w:val="-8"/>
        </w:rPr>
        <w:t xml:space="preserve"> </w:t>
      </w:r>
      <w:r>
        <w:t>licensees</w:t>
      </w:r>
      <w:r>
        <w:rPr>
          <w:spacing w:val="-7"/>
        </w:rPr>
        <w:t xml:space="preserve"> </w:t>
      </w:r>
      <w:r>
        <w:t>must</w:t>
      </w:r>
      <w:r>
        <w:rPr>
          <w:spacing w:val="-8"/>
        </w:rPr>
        <w:t xml:space="preserve"> </w:t>
      </w:r>
      <w:r>
        <w:t>maintain</w:t>
      </w:r>
      <w:r>
        <w:rPr>
          <w:spacing w:val="-7"/>
        </w:rPr>
        <w:t xml:space="preserve"> </w:t>
      </w:r>
      <w:r>
        <w:t>records</w:t>
      </w:r>
      <w:r>
        <w:rPr>
          <w:spacing w:val="-7"/>
        </w:rPr>
        <w:t xml:space="preserve"> </w:t>
      </w:r>
      <w:r>
        <w:t>and</w:t>
      </w:r>
      <w:r>
        <w:rPr>
          <w:spacing w:val="-8"/>
        </w:rPr>
        <w:t xml:space="preserve"> </w:t>
      </w:r>
      <w:r>
        <w:t>submit</w:t>
      </w:r>
      <w:r>
        <w:rPr>
          <w:spacing w:val="-7"/>
        </w:rPr>
        <w:t xml:space="preserve"> </w:t>
      </w:r>
      <w:r>
        <w:t>information</w:t>
      </w:r>
      <w:r>
        <w:rPr>
          <w:spacing w:val="-7"/>
        </w:rPr>
        <w:t xml:space="preserve"> </w:t>
      </w:r>
      <w:r>
        <w:t>to</w:t>
      </w:r>
      <w:r>
        <w:rPr>
          <w:spacing w:val="-7"/>
        </w:rPr>
        <w:t xml:space="preserve"> </w:t>
      </w:r>
      <w:r>
        <w:t>the</w:t>
      </w:r>
      <w:r>
        <w:rPr>
          <w:spacing w:val="-7"/>
        </w:rPr>
        <w:t xml:space="preserve"> </w:t>
      </w:r>
      <w:r w:rsidR="002E54C9">
        <w:rPr>
          <w:spacing w:val="-7"/>
        </w:rPr>
        <w:t>U.S. Nuclear Regulatory Commission (</w:t>
      </w:r>
      <w:r>
        <w:t>NRC</w:t>
      </w:r>
      <w:r w:rsidR="002E54C9">
        <w:t>)</w:t>
      </w:r>
      <w:r>
        <w:t xml:space="preserve"> or an Agreement State. </w:t>
      </w:r>
      <w:r w:rsidR="002E54C9">
        <w:t xml:space="preserve"> </w:t>
      </w:r>
      <w:r>
        <w:t>The vast majority of general licensees are regulated under 10 CFR 31.5 and depending on the type and quantity of radioactive material in each device, may be subject</w:t>
      </w:r>
      <w:r>
        <w:rPr>
          <w:spacing w:val="-17"/>
        </w:rPr>
        <w:t xml:space="preserve"> </w:t>
      </w:r>
      <w:r>
        <w:t xml:space="preserve">to the requirement to annually register generally licensed devices with the NRC or an Agreement State. </w:t>
      </w:r>
      <w:r w:rsidR="002E54C9">
        <w:t xml:space="preserve"> </w:t>
      </w:r>
      <w:r>
        <w:t xml:space="preserve">All general licensees under 10 CFR 31.5 are subject to the following requirements: </w:t>
      </w:r>
      <w:r w:rsidR="002E54C9">
        <w:t xml:space="preserve"> </w:t>
      </w:r>
      <w:r>
        <w:t>(1) maintain</w:t>
      </w:r>
      <w:r>
        <w:rPr>
          <w:spacing w:val="-8"/>
        </w:rPr>
        <w:t xml:space="preserve"> </w:t>
      </w:r>
      <w:r>
        <w:t>records</w:t>
      </w:r>
      <w:r>
        <w:rPr>
          <w:spacing w:val="-8"/>
        </w:rPr>
        <w:t xml:space="preserve"> </w:t>
      </w:r>
      <w:r>
        <w:t>as</w:t>
      </w:r>
      <w:r>
        <w:rPr>
          <w:spacing w:val="-8"/>
        </w:rPr>
        <w:t xml:space="preserve"> </w:t>
      </w:r>
      <w:r>
        <w:t>applicable,</w:t>
      </w:r>
      <w:r>
        <w:rPr>
          <w:spacing w:val="-11"/>
        </w:rPr>
        <w:t xml:space="preserve"> </w:t>
      </w:r>
      <w:r>
        <w:t>for</w:t>
      </w:r>
      <w:r>
        <w:rPr>
          <w:spacing w:val="-9"/>
        </w:rPr>
        <w:t xml:space="preserve"> </w:t>
      </w:r>
      <w:r>
        <w:t>3</w:t>
      </w:r>
      <w:r>
        <w:rPr>
          <w:spacing w:val="-8"/>
        </w:rPr>
        <w:t xml:space="preserve"> </w:t>
      </w:r>
      <w:r>
        <w:t>years</w:t>
      </w:r>
      <w:r>
        <w:rPr>
          <w:spacing w:val="-8"/>
        </w:rPr>
        <w:t xml:space="preserve"> </w:t>
      </w:r>
      <w:r>
        <w:t>(or</w:t>
      </w:r>
      <w:r>
        <w:rPr>
          <w:spacing w:val="-11"/>
        </w:rPr>
        <w:t xml:space="preserve"> </w:t>
      </w:r>
      <w:r>
        <w:t>until</w:t>
      </w:r>
      <w:r>
        <w:rPr>
          <w:spacing w:val="-8"/>
        </w:rPr>
        <w:t xml:space="preserve"> </w:t>
      </w:r>
      <w:r>
        <w:t>the</w:t>
      </w:r>
      <w:r>
        <w:rPr>
          <w:spacing w:val="-9"/>
        </w:rPr>
        <w:t xml:space="preserve"> </w:t>
      </w:r>
      <w:r>
        <w:t>device</w:t>
      </w:r>
      <w:r>
        <w:rPr>
          <w:spacing w:val="-3"/>
        </w:rPr>
        <w:t xml:space="preserve"> </w:t>
      </w:r>
      <w:r>
        <w:t>is</w:t>
      </w:r>
      <w:r>
        <w:rPr>
          <w:spacing w:val="-9"/>
        </w:rPr>
        <w:t xml:space="preserve"> </w:t>
      </w:r>
      <w:r>
        <w:t>transferred</w:t>
      </w:r>
      <w:r>
        <w:rPr>
          <w:spacing w:val="-10"/>
        </w:rPr>
        <w:t xml:space="preserve"> </w:t>
      </w:r>
      <w:r>
        <w:t>or</w:t>
      </w:r>
      <w:r>
        <w:rPr>
          <w:spacing w:val="-10"/>
        </w:rPr>
        <w:t xml:space="preserve"> </w:t>
      </w:r>
      <w:r>
        <w:t>disposed)</w:t>
      </w:r>
      <w:r>
        <w:rPr>
          <w:spacing w:val="-10"/>
        </w:rPr>
        <w:t xml:space="preserve"> </w:t>
      </w:r>
      <w:r>
        <w:t xml:space="preserve">showing results of tests on the devices, who tested or leak tested the device, and when it occurred; (2) report to the NRC if a transfer, loss, failure, or damage to, the radioactive material device, on-off mechanism, </w:t>
      </w:r>
      <w:r>
        <w:rPr>
          <w:spacing w:val="-3"/>
        </w:rPr>
        <w:t xml:space="preserve">or </w:t>
      </w:r>
      <w:r>
        <w:t xml:space="preserve">indicator on the device occurs, or if 0.005 microcurie or more of removable radioactive activity is detected; (3) provide regulatory and </w:t>
      </w:r>
      <w:r w:rsidR="00DB3C35">
        <w:t xml:space="preserve">                      </w:t>
      </w:r>
      <w:r>
        <w:t xml:space="preserve">safety-related documents to the licensee receiving the device; (4) respond within 30 days to written requests from the NRC for information related to their licenses; </w:t>
      </w:r>
      <w:r>
        <w:rPr>
          <w:spacing w:val="-4"/>
        </w:rPr>
        <w:t xml:space="preserve">and </w:t>
      </w:r>
      <w:r w:rsidR="005D2FBA">
        <w:t>(5</w:t>
      </w:r>
      <w:r>
        <w:t>) report to the NRC on changes in the licensees name or location of use of generally licensed devices containing byproduct</w:t>
      </w:r>
      <w:r>
        <w:rPr>
          <w:spacing w:val="24"/>
        </w:rPr>
        <w:t xml:space="preserve"> </w:t>
      </w:r>
      <w:r>
        <w:t>material.</w:t>
      </w:r>
    </w:p>
    <w:p w:rsidR="006C7206" w:rsidRDefault="006C7206">
      <w:pPr>
        <w:pStyle w:val="BodyText"/>
        <w:spacing w:before="11"/>
        <w:rPr>
          <w:sz w:val="21"/>
        </w:rPr>
      </w:pPr>
    </w:p>
    <w:p w:rsidR="006C7206" w:rsidRDefault="00E90B9F">
      <w:pPr>
        <w:pStyle w:val="ListParagraph"/>
        <w:numPr>
          <w:ilvl w:val="0"/>
          <w:numId w:val="1"/>
        </w:numPr>
        <w:tabs>
          <w:tab w:val="left" w:pos="451"/>
        </w:tabs>
      </w:pPr>
      <w:r>
        <w:rPr>
          <w:u w:val="single"/>
        </w:rPr>
        <w:t>JUSTIFICATION</w:t>
      </w:r>
    </w:p>
    <w:p w:rsidR="006C7206" w:rsidRDefault="006C7206">
      <w:pPr>
        <w:pStyle w:val="BodyText"/>
        <w:spacing w:before="8"/>
        <w:rPr>
          <w:sz w:val="13"/>
        </w:rPr>
      </w:pPr>
    </w:p>
    <w:p w:rsidR="006C7206" w:rsidRDefault="00E90B9F">
      <w:pPr>
        <w:pStyle w:val="ListParagraph"/>
        <w:numPr>
          <w:ilvl w:val="1"/>
          <w:numId w:val="1"/>
        </w:numPr>
        <w:tabs>
          <w:tab w:val="left" w:pos="451"/>
        </w:tabs>
        <w:spacing w:before="93"/>
        <w:ind w:hanging="361"/>
      </w:pPr>
      <w:r>
        <w:rPr>
          <w:u w:val="single"/>
        </w:rPr>
        <w:t>Need</w:t>
      </w:r>
      <w:r>
        <w:rPr>
          <w:spacing w:val="-9"/>
          <w:u w:val="single"/>
        </w:rPr>
        <w:t xml:space="preserve"> </w:t>
      </w:r>
      <w:r>
        <w:rPr>
          <w:u w:val="single"/>
        </w:rPr>
        <w:t>for</w:t>
      </w:r>
      <w:r>
        <w:rPr>
          <w:spacing w:val="-9"/>
          <w:u w:val="single"/>
        </w:rPr>
        <w:t xml:space="preserve"> </w:t>
      </w:r>
      <w:r>
        <w:rPr>
          <w:u w:val="single"/>
        </w:rPr>
        <w:t>and</w:t>
      </w:r>
      <w:r>
        <w:rPr>
          <w:spacing w:val="-8"/>
          <w:u w:val="single"/>
        </w:rPr>
        <w:t xml:space="preserve"> </w:t>
      </w:r>
      <w:r>
        <w:rPr>
          <w:u w:val="single"/>
        </w:rPr>
        <w:t>Practical</w:t>
      </w:r>
      <w:r>
        <w:rPr>
          <w:spacing w:val="-12"/>
          <w:u w:val="single"/>
        </w:rPr>
        <w:t xml:space="preserve"> </w:t>
      </w:r>
      <w:r>
        <w:rPr>
          <w:u w:val="single"/>
        </w:rPr>
        <w:t>Utility</w:t>
      </w:r>
      <w:r>
        <w:rPr>
          <w:spacing w:val="-9"/>
          <w:u w:val="single"/>
        </w:rPr>
        <w:t xml:space="preserve"> </w:t>
      </w:r>
      <w:r>
        <w:rPr>
          <w:u w:val="single"/>
        </w:rPr>
        <w:t>of</w:t>
      </w:r>
      <w:r>
        <w:rPr>
          <w:spacing w:val="-8"/>
          <w:u w:val="single"/>
        </w:rPr>
        <w:t xml:space="preserve"> </w:t>
      </w:r>
      <w:r>
        <w:rPr>
          <w:u w:val="single"/>
        </w:rPr>
        <w:t>the</w:t>
      </w:r>
      <w:r>
        <w:rPr>
          <w:spacing w:val="-12"/>
          <w:u w:val="single"/>
        </w:rPr>
        <w:t xml:space="preserve"> </w:t>
      </w:r>
      <w:r>
        <w:rPr>
          <w:u w:val="single"/>
        </w:rPr>
        <w:t>Collection</w:t>
      </w:r>
      <w:r>
        <w:rPr>
          <w:spacing w:val="-8"/>
          <w:u w:val="single"/>
        </w:rPr>
        <w:t xml:space="preserve"> </w:t>
      </w:r>
      <w:r>
        <w:rPr>
          <w:u w:val="single"/>
        </w:rPr>
        <w:t>of</w:t>
      </w:r>
      <w:r>
        <w:rPr>
          <w:spacing w:val="-12"/>
          <w:u w:val="single"/>
        </w:rPr>
        <w:t xml:space="preserve"> </w:t>
      </w:r>
      <w:r>
        <w:rPr>
          <w:u w:val="single"/>
        </w:rPr>
        <w:t>Information</w:t>
      </w:r>
    </w:p>
    <w:p w:rsidR="006C7206" w:rsidRDefault="006C7206">
      <w:pPr>
        <w:pStyle w:val="BodyText"/>
        <w:spacing w:before="3"/>
        <w:rPr>
          <w:sz w:val="26"/>
        </w:rPr>
      </w:pPr>
    </w:p>
    <w:p w:rsidR="006C7206" w:rsidRDefault="00E90B9F">
      <w:pPr>
        <w:pStyle w:val="BodyText"/>
        <w:spacing w:before="93"/>
        <w:ind w:left="480" w:right="83"/>
      </w:pPr>
      <w:r>
        <w:t xml:space="preserve">Reporting requirements for 10 CFR Part 31 are generally required to ensure that the NRC or Agreement State is notified in a timely manner of any abnormal occurrences or potential problems with generally licensed devices or to assist the NRC or Agreement State in tracking the location of generally licensed devices.  Recordkeeping requirements for </w:t>
      </w:r>
      <w:r w:rsidR="00DB3C35">
        <w:t>1</w:t>
      </w:r>
      <w:r>
        <w:t>0 CFR Part 31 are generally required to ensure that the records may be reviewed by the NRC and Agreement States inspectors to determine that the devices are in compliance with the regulatory requirements.</w:t>
      </w:r>
    </w:p>
    <w:p w:rsidR="006C7206" w:rsidRDefault="006C7206" w:rsidP="00DB3C35">
      <w:pPr>
        <w:pStyle w:val="BodyText"/>
        <w:rPr>
          <w:sz w:val="34"/>
        </w:rPr>
      </w:pPr>
    </w:p>
    <w:p w:rsidR="006C7206" w:rsidRDefault="00E90B9F">
      <w:pPr>
        <w:pStyle w:val="BodyText"/>
        <w:ind w:left="480" w:right="879"/>
      </w:pPr>
      <w:r>
        <w:t>For more specific information regarding why each information collection requirement is needed, see Appendix A of this document.</w:t>
      </w:r>
    </w:p>
    <w:p w:rsidR="006C7206" w:rsidRDefault="006C7206">
      <w:pPr>
        <w:pStyle w:val="BodyText"/>
      </w:pPr>
    </w:p>
    <w:p w:rsidR="006C7206" w:rsidRDefault="00E90B9F">
      <w:pPr>
        <w:pStyle w:val="ListParagraph"/>
        <w:numPr>
          <w:ilvl w:val="1"/>
          <w:numId w:val="1"/>
        </w:numPr>
        <w:tabs>
          <w:tab w:val="left" w:pos="460"/>
        </w:tabs>
        <w:ind w:left="460" w:hanging="360"/>
      </w:pPr>
      <w:r>
        <w:rPr>
          <w:u w:val="single"/>
        </w:rPr>
        <w:t>Agency Use of</w:t>
      </w:r>
      <w:r>
        <w:rPr>
          <w:spacing w:val="-33"/>
          <w:u w:val="single"/>
        </w:rPr>
        <w:t xml:space="preserve"> </w:t>
      </w:r>
      <w:r>
        <w:rPr>
          <w:u w:val="single"/>
        </w:rPr>
        <w:t>Information</w:t>
      </w:r>
    </w:p>
    <w:p w:rsidR="006C7206" w:rsidRDefault="006C7206">
      <w:pPr>
        <w:pStyle w:val="BodyText"/>
        <w:spacing w:before="8"/>
        <w:rPr>
          <w:sz w:val="13"/>
        </w:rPr>
      </w:pPr>
    </w:p>
    <w:p w:rsidR="006C7206" w:rsidRDefault="00E90B9F" w:rsidP="00866C0C">
      <w:pPr>
        <w:pStyle w:val="BodyText"/>
        <w:spacing w:before="93"/>
        <w:ind w:left="458" w:right="252"/>
      </w:pPr>
      <w:r>
        <w:t xml:space="preserve">The records required by Section 31.5(c)(4) are used by NRC inspectors to establish compliance with the requirements of the general license regulations. </w:t>
      </w:r>
      <w:r w:rsidR="002E54C9">
        <w:t xml:space="preserve"> </w:t>
      </w:r>
      <w:r>
        <w:t xml:space="preserve">It is important that NRC receive reports required by Section 31.5(c)(5) so that NRC may determine if </w:t>
      </w:r>
      <w:r>
        <w:lastRenderedPageBreak/>
        <w:t>damage or</w:t>
      </w:r>
      <w:r w:rsidR="00866C0C">
        <w:t xml:space="preserve"> </w:t>
      </w:r>
      <w:r>
        <w:t xml:space="preserve">failure of a device could or did constitute a radiation safety hazard and to determine if remedial action taken was appropriate. </w:t>
      </w:r>
      <w:r w:rsidR="002E54C9">
        <w:t xml:space="preserve"> </w:t>
      </w:r>
      <w:r>
        <w:t>Other reports and records required by the regulation are important so that NRC can determine that the transfer of a device for disposal is to a person specifically licensed to receive the device, to assist in determining when a device is removed from a particular location, and for determining when a general licensee is no longer responsible for the device.</w:t>
      </w:r>
    </w:p>
    <w:p w:rsidR="006C7206" w:rsidRDefault="006C7206">
      <w:pPr>
        <w:pStyle w:val="BodyText"/>
        <w:spacing w:before="11"/>
        <w:rPr>
          <w:sz w:val="21"/>
        </w:rPr>
      </w:pPr>
    </w:p>
    <w:p w:rsidR="006C7206" w:rsidRDefault="00E90B9F">
      <w:pPr>
        <w:pStyle w:val="BodyText"/>
        <w:ind w:left="458" w:right="196"/>
      </w:pPr>
      <w:r>
        <w:t>The</w:t>
      </w:r>
      <w:r>
        <w:rPr>
          <w:spacing w:val="-12"/>
        </w:rPr>
        <w:t xml:space="preserve"> </w:t>
      </w:r>
      <w:r>
        <w:t>requirements</w:t>
      </w:r>
      <w:r>
        <w:rPr>
          <w:spacing w:val="-10"/>
        </w:rPr>
        <w:t xml:space="preserve"> </w:t>
      </w:r>
      <w:r>
        <w:t>in</w:t>
      </w:r>
      <w:r>
        <w:rPr>
          <w:spacing w:val="-11"/>
        </w:rPr>
        <w:t xml:space="preserve"> </w:t>
      </w:r>
      <w:r>
        <w:t>Section</w:t>
      </w:r>
      <w:r>
        <w:rPr>
          <w:spacing w:val="-12"/>
        </w:rPr>
        <w:t xml:space="preserve"> </w:t>
      </w:r>
      <w:r>
        <w:t>31.8(c)(2)</w:t>
      </w:r>
      <w:r>
        <w:rPr>
          <w:spacing w:val="-10"/>
        </w:rPr>
        <w:t xml:space="preserve"> </w:t>
      </w:r>
      <w:r>
        <w:t>are</w:t>
      </w:r>
      <w:r>
        <w:rPr>
          <w:spacing w:val="-11"/>
        </w:rPr>
        <w:t xml:space="preserve"> </w:t>
      </w:r>
      <w:r>
        <w:t>necessary</w:t>
      </w:r>
      <w:r>
        <w:rPr>
          <w:spacing w:val="-12"/>
        </w:rPr>
        <w:t xml:space="preserve"> </w:t>
      </w:r>
      <w:r>
        <w:t>so</w:t>
      </w:r>
      <w:r>
        <w:rPr>
          <w:spacing w:val="-13"/>
        </w:rPr>
        <w:t xml:space="preserve"> </w:t>
      </w:r>
      <w:r>
        <w:t>that,</w:t>
      </w:r>
      <w:r>
        <w:rPr>
          <w:spacing w:val="-11"/>
        </w:rPr>
        <w:t xml:space="preserve"> </w:t>
      </w:r>
      <w:r>
        <w:t>in</w:t>
      </w:r>
      <w:r>
        <w:rPr>
          <w:spacing w:val="-10"/>
        </w:rPr>
        <w:t xml:space="preserve"> </w:t>
      </w:r>
      <w:r>
        <w:t>the</w:t>
      </w:r>
      <w:r>
        <w:rPr>
          <w:spacing w:val="-10"/>
        </w:rPr>
        <w:t xml:space="preserve"> </w:t>
      </w:r>
      <w:r>
        <w:t>event</w:t>
      </w:r>
      <w:r>
        <w:rPr>
          <w:spacing w:val="-11"/>
        </w:rPr>
        <w:t xml:space="preserve"> </w:t>
      </w:r>
      <w:r>
        <w:t>of</w:t>
      </w:r>
      <w:r>
        <w:rPr>
          <w:spacing w:val="-10"/>
        </w:rPr>
        <w:t xml:space="preserve"> </w:t>
      </w:r>
      <w:r>
        <w:t>a</w:t>
      </w:r>
      <w:r>
        <w:rPr>
          <w:spacing w:val="-10"/>
        </w:rPr>
        <w:t xml:space="preserve"> </w:t>
      </w:r>
      <w:r>
        <w:t>lost</w:t>
      </w:r>
      <w:r>
        <w:rPr>
          <w:spacing w:val="-12"/>
        </w:rPr>
        <w:t xml:space="preserve"> </w:t>
      </w:r>
      <w:r>
        <w:t>source, the NRC may provide, on request, information about the source/device to anyone who is exposed</w:t>
      </w:r>
      <w:r>
        <w:rPr>
          <w:spacing w:val="-10"/>
        </w:rPr>
        <w:t xml:space="preserve"> </w:t>
      </w:r>
      <w:r>
        <w:t>to</w:t>
      </w:r>
      <w:r>
        <w:rPr>
          <w:spacing w:val="-9"/>
        </w:rPr>
        <w:t xml:space="preserve"> </w:t>
      </w:r>
      <w:r>
        <w:t>the</w:t>
      </w:r>
      <w:r>
        <w:rPr>
          <w:spacing w:val="-10"/>
        </w:rPr>
        <w:t xml:space="preserve"> </w:t>
      </w:r>
      <w:r>
        <w:t>device</w:t>
      </w:r>
      <w:r>
        <w:rPr>
          <w:spacing w:val="-10"/>
        </w:rPr>
        <w:t xml:space="preserve"> </w:t>
      </w:r>
      <w:r>
        <w:t>source</w:t>
      </w:r>
      <w:r>
        <w:rPr>
          <w:spacing w:val="-9"/>
        </w:rPr>
        <w:t xml:space="preserve"> </w:t>
      </w:r>
      <w:r>
        <w:t>or</w:t>
      </w:r>
      <w:r>
        <w:rPr>
          <w:spacing w:val="-9"/>
        </w:rPr>
        <w:t xml:space="preserve"> </w:t>
      </w:r>
      <w:r>
        <w:t>sources.</w:t>
      </w:r>
    </w:p>
    <w:p w:rsidR="006C7206" w:rsidRDefault="006C7206">
      <w:pPr>
        <w:pStyle w:val="BodyText"/>
      </w:pPr>
    </w:p>
    <w:p w:rsidR="006C7206" w:rsidRDefault="00E90B9F">
      <w:pPr>
        <w:pStyle w:val="ListParagraph"/>
        <w:numPr>
          <w:ilvl w:val="1"/>
          <w:numId w:val="1"/>
        </w:numPr>
        <w:tabs>
          <w:tab w:val="left" w:pos="460"/>
        </w:tabs>
        <w:ind w:left="460" w:hanging="360"/>
      </w:pPr>
      <w:r>
        <w:rPr>
          <w:u w:val="single"/>
        </w:rPr>
        <w:t>Reduction</w:t>
      </w:r>
      <w:r>
        <w:rPr>
          <w:spacing w:val="-17"/>
          <w:u w:val="single"/>
        </w:rPr>
        <w:t xml:space="preserve"> </w:t>
      </w:r>
      <w:r>
        <w:rPr>
          <w:u w:val="single"/>
        </w:rPr>
        <w:t>of</w:t>
      </w:r>
      <w:r>
        <w:rPr>
          <w:spacing w:val="-18"/>
          <w:u w:val="single"/>
        </w:rPr>
        <w:t xml:space="preserve"> </w:t>
      </w:r>
      <w:r>
        <w:rPr>
          <w:u w:val="single"/>
        </w:rPr>
        <w:t>Burden</w:t>
      </w:r>
      <w:r>
        <w:rPr>
          <w:spacing w:val="-16"/>
          <w:u w:val="single"/>
        </w:rPr>
        <w:t xml:space="preserve"> </w:t>
      </w:r>
      <w:r>
        <w:rPr>
          <w:u w:val="single"/>
        </w:rPr>
        <w:t>Through</w:t>
      </w:r>
      <w:r>
        <w:rPr>
          <w:spacing w:val="-18"/>
          <w:u w:val="single"/>
        </w:rPr>
        <w:t xml:space="preserve"> </w:t>
      </w:r>
      <w:r>
        <w:rPr>
          <w:u w:val="single"/>
        </w:rPr>
        <w:t>Information</w:t>
      </w:r>
      <w:r>
        <w:rPr>
          <w:spacing w:val="-17"/>
          <w:u w:val="single"/>
        </w:rPr>
        <w:t xml:space="preserve"> </w:t>
      </w:r>
      <w:r>
        <w:rPr>
          <w:u w:val="single"/>
        </w:rPr>
        <w:t>Technology</w:t>
      </w:r>
    </w:p>
    <w:p w:rsidR="006C7206" w:rsidRDefault="006C7206">
      <w:pPr>
        <w:pStyle w:val="BodyText"/>
        <w:spacing w:before="9"/>
        <w:rPr>
          <w:sz w:val="19"/>
        </w:rPr>
      </w:pPr>
    </w:p>
    <w:p w:rsidR="006C7206" w:rsidRDefault="00E90B9F">
      <w:pPr>
        <w:pStyle w:val="BodyText"/>
        <w:ind w:left="458" w:right="196"/>
      </w:pPr>
      <w:r>
        <w:t xml:space="preserve">The NRC has issued </w:t>
      </w:r>
      <w:r>
        <w:rPr>
          <w:i/>
          <w:u w:val="single"/>
        </w:rPr>
        <w:t xml:space="preserve">Guidance for Electronic Submissions to the NRC </w:t>
      </w:r>
      <w:r>
        <w:t xml:space="preserve">which provides direction for the electronic transmission and submittal of documents to the NRC. </w:t>
      </w:r>
      <w:r w:rsidR="002E54C9">
        <w:t xml:space="preserve"> </w:t>
      </w:r>
      <w:r>
        <w:t xml:space="preserve">Electronic transmission and submittal of documents can be accomplished via the following avenues: the Electronic Information Exchange process, which is available from the NRC's “Electronic Submittals” Web page, by Optical Storage Media (e.g. CD-ROM, DVD), by facsimile or by e-mail. </w:t>
      </w:r>
      <w:r w:rsidR="002E54C9">
        <w:t xml:space="preserve"> </w:t>
      </w:r>
      <w:r>
        <w:t>It is estimated that approximately 5</w:t>
      </w:r>
      <w:r w:rsidR="002E54C9">
        <w:t xml:space="preserve"> percent</w:t>
      </w:r>
      <w:r>
        <w:t xml:space="preserve"> of the responses are filed electronically.</w:t>
      </w:r>
    </w:p>
    <w:p w:rsidR="006C7206" w:rsidRDefault="006C7206">
      <w:pPr>
        <w:pStyle w:val="BodyText"/>
        <w:spacing w:before="11"/>
        <w:rPr>
          <w:sz w:val="21"/>
        </w:rPr>
      </w:pPr>
    </w:p>
    <w:p w:rsidR="006C7206" w:rsidRDefault="00E90B9F">
      <w:pPr>
        <w:pStyle w:val="ListParagraph"/>
        <w:numPr>
          <w:ilvl w:val="1"/>
          <w:numId w:val="1"/>
        </w:numPr>
        <w:tabs>
          <w:tab w:val="left" w:pos="459"/>
        </w:tabs>
        <w:ind w:left="458" w:hanging="358"/>
      </w:pPr>
      <w:r>
        <w:rPr>
          <w:u w:val="single"/>
        </w:rPr>
        <w:t>Effort</w:t>
      </w:r>
      <w:r>
        <w:rPr>
          <w:spacing w:val="-12"/>
          <w:u w:val="single"/>
        </w:rPr>
        <w:t xml:space="preserve"> </w:t>
      </w:r>
      <w:r>
        <w:rPr>
          <w:u w:val="single"/>
        </w:rPr>
        <w:t>to</w:t>
      </w:r>
      <w:r>
        <w:rPr>
          <w:spacing w:val="-12"/>
          <w:u w:val="single"/>
        </w:rPr>
        <w:t xml:space="preserve"> </w:t>
      </w:r>
      <w:r>
        <w:rPr>
          <w:u w:val="single"/>
        </w:rPr>
        <w:t>Identify</w:t>
      </w:r>
      <w:r>
        <w:rPr>
          <w:spacing w:val="-13"/>
          <w:u w:val="single"/>
        </w:rPr>
        <w:t xml:space="preserve"> </w:t>
      </w:r>
      <w:r>
        <w:rPr>
          <w:u w:val="single"/>
        </w:rPr>
        <w:t>Duplication</w:t>
      </w:r>
      <w:r>
        <w:rPr>
          <w:spacing w:val="-13"/>
          <w:u w:val="single"/>
        </w:rPr>
        <w:t xml:space="preserve"> </w:t>
      </w:r>
      <w:r>
        <w:rPr>
          <w:u w:val="single"/>
        </w:rPr>
        <w:t>and</w:t>
      </w:r>
      <w:r>
        <w:rPr>
          <w:spacing w:val="-10"/>
          <w:u w:val="single"/>
        </w:rPr>
        <w:t xml:space="preserve"> </w:t>
      </w:r>
      <w:r>
        <w:rPr>
          <w:u w:val="single"/>
        </w:rPr>
        <w:t>Use</w:t>
      </w:r>
      <w:r>
        <w:rPr>
          <w:spacing w:val="-12"/>
          <w:u w:val="single"/>
        </w:rPr>
        <w:t xml:space="preserve"> </w:t>
      </w:r>
      <w:r>
        <w:rPr>
          <w:u w:val="single"/>
        </w:rPr>
        <w:t>Similar</w:t>
      </w:r>
      <w:r>
        <w:rPr>
          <w:spacing w:val="-12"/>
          <w:u w:val="single"/>
        </w:rPr>
        <w:t xml:space="preserve"> </w:t>
      </w:r>
      <w:r>
        <w:rPr>
          <w:u w:val="single"/>
        </w:rPr>
        <w:t>Information</w:t>
      </w:r>
    </w:p>
    <w:p w:rsidR="006C7206" w:rsidRDefault="006C7206">
      <w:pPr>
        <w:pStyle w:val="BodyText"/>
        <w:spacing w:before="9"/>
        <w:rPr>
          <w:sz w:val="13"/>
        </w:rPr>
      </w:pPr>
    </w:p>
    <w:p w:rsidR="006C7206" w:rsidRDefault="00E90B9F">
      <w:pPr>
        <w:pStyle w:val="BodyText"/>
        <w:spacing w:before="93"/>
        <w:ind w:left="460"/>
      </w:pPr>
      <w:r>
        <w:t xml:space="preserve">No sources of similar information are available. </w:t>
      </w:r>
      <w:r w:rsidR="002E54C9">
        <w:t xml:space="preserve"> </w:t>
      </w:r>
      <w:r>
        <w:t>There is no duplication of requirements.</w:t>
      </w:r>
    </w:p>
    <w:p w:rsidR="006C7206" w:rsidRDefault="006C7206">
      <w:pPr>
        <w:pStyle w:val="BodyText"/>
        <w:spacing w:before="3"/>
      </w:pPr>
    </w:p>
    <w:p w:rsidR="006C7206" w:rsidRDefault="00E90B9F">
      <w:pPr>
        <w:pStyle w:val="ListParagraph"/>
        <w:numPr>
          <w:ilvl w:val="1"/>
          <w:numId w:val="1"/>
        </w:numPr>
        <w:tabs>
          <w:tab w:val="left" w:pos="481"/>
        </w:tabs>
        <w:ind w:hanging="360"/>
      </w:pPr>
      <w:r>
        <w:rPr>
          <w:u w:val="single"/>
        </w:rPr>
        <w:t>Effort</w:t>
      </w:r>
      <w:r>
        <w:rPr>
          <w:spacing w:val="-3"/>
          <w:u w:val="single"/>
        </w:rPr>
        <w:t xml:space="preserve"> </w:t>
      </w:r>
      <w:r>
        <w:rPr>
          <w:u w:val="single"/>
        </w:rPr>
        <w:t>to</w:t>
      </w:r>
      <w:r>
        <w:rPr>
          <w:spacing w:val="-12"/>
          <w:u w:val="single"/>
        </w:rPr>
        <w:t xml:space="preserve"> </w:t>
      </w:r>
      <w:r>
        <w:rPr>
          <w:u w:val="single"/>
        </w:rPr>
        <w:t>Reduce</w:t>
      </w:r>
      <w:r>
        <w:rPr>
          <w:spacing w:val="-12"/>
          <w:u w:val="single"/>
        </w:rPr>
        <w:t xml:space="preserve"> </w:t>
      </w:r>
      <w:r>
        <w:rPr>
          <w:u w:val="single"/>
        </w:rPr>
        <w:t>Small</w:t>
      </w:r>
      <w:r>
        <w:rPr>
          <w:spacing w:val="-12"/>
          <w:u w:val="single"/>
        </w:rPr>
        <w:t xml:space="preserve"> </w:t>
      </w:r>
      <w:r>
        <w:rPr>
          <w:u w:val="single"/>
        </w:rPr>
        <w:t>Business</w:t>
      </w:r>
      <w:r>
        <w:rPr>
          <w:spacing w:val="-12"/>
          <w:u w:val="single"/>
        </w:rPr>
        <w:t xml:space="preserve"> </w:t>
      </w:r>
      <w:r>
        <w:rPr>
          <w:u w:val="single"/>
        </w:rPr>
        <w:t>Burden</w:t>
      </w:r>
    </w:p>
    <w:p w:rsidR="006C7206" w:rsidRDefault="006C7206">
      <w:pPr>
        <w:pStyle w:val="BodyText"/>
        <w:spacing w:before="8"/>
        <w:rPr>
          <w:sz w:val="13"/>
        </w:rPr>
      </w:pPr>
    </w:p>
    <w:p w:rsidR="006C7206" w:rsidRDefault="00E90B9F">
      <w:pPr>
        <w:pStyle w:val="BodyText"/>
        <w:spacing w:before="93"/>
        <w:ind w:left="480" w:right="642"/>
      </w:pPr>
      <w:r>
        <w:t>While</w:t>
      </w:r>
      <w:r>
        <w:rPr>
          <w:spacing w:val="-10"/>
        </w:rPr>
        <w:t xml:space="preserve"> </w:t>
      </w:r>
      <w:r>
        <w:t>a</w:t>
      </w:r>
      <w:r>
        <w:rPr>
          <w:spacing w:val="-10"/>
        </w:rPr>
        <w:t xml:space="preserve"> </w:t>
      </w:r>
      <w:r>
        <w:t>number</w:t>
      </w:r>
      <w:r>
        <w:rPr>
          <w:spacing w:val="-10"/>
        </w:rPr>
        <w:t xml:space="preserve"> </w:t>
      </w:r>
      <w:r>
        <w:t>of</w:t>
      </w:r>
      <w:r>
        <w:rPr>
          <w:spacing w:val="-10"/>
        </w:rPr>
        <w:t xml:space="preserve"> </w:t>
      </w:r>
      <w:r>
        <w:t>the</w:t>
      </w:r>
      <w:r>
        <w:rPr>
          <w:spacing w:val="-10"/>
        </w:rPr>
        <w:t xml:space="preserve"> </w:t>
      </w:r>
      <w:r>
        <w:t>licensees</w:t>
      </w:r>
      <w:r>
        <w:rPr>
          <w:spacing w:val="-10"/>
        </w:rPr>
        <w:t xml:space="preserve"> </w:t>
      </w:r>
      <w:r>
        <w:t>are</w:t>
      </w:r>
      <w:r>
        <w:rPr>
          <w:spacing w:val="-12"/>
        </w:rPr>
        <w:t xml:space="preserve"> </w:t>
      </w:r>
      <w:r>
        <w:t>considered</w:t>
      </w:r>
      <w:r>
        <w:rPr>
          <w:spacing w:val="-14"/>
        </w:rPr>
        <w:t xml:space="preserve"> </w:t>
      </w:r>
      <w:r>
        <w:t>small</w:t>
      </w:r>
      <w:r>
        <w:rPr>
          <w:spacing w:val="-11"/>
        </w:rPr>
        <w:t xml:space="preserve"> </w:t>
      </w:r>
      <w:r>
        <w:t>businesses,</w:t>
      </w:r>
      <w:r>
        <w:rPr>
          <w:spacing w:val="-12"/>
        </w:rPr>
        <w:t xml:space="preserve"> </w:t>
      </w:r>
      <w:r>
        <w:t>the</w:t>
      </w:r>
      <w:r>
        <w:rPr>
          <w:spacing w:val="-11"/>
        </w:rPr>
        <w:t xml:space="preserve"> </w:t>
      </w:r>
      <w:r>
        <w:t>health</w:t>
      </w:r>
      <w:r>
        <w:rPr>
          <w:spacing w:val="-11"/>
        </w:rPr>
        <w:t xml:space="preserve"> </w:t>
      </w:r>
      <w:r>
        <w:t>and</w:t>
      </w:r>
      <w:r>
        <w:rPr>
          <w:spacing w:val="-11"/>
        </w:rPr>
        <w:t xml:space="preserve"> </w:t>
      </w:r>
      <w:r>
        <w:t xml:space="preserve">safety consequences of improper use of radioactive material are the same for large and small entities. </w:t>
      </w:r>
      <w:r w:rsidR="002E54C9">
        <w:t xml:space="preserve"> </w:t>
      </w:r>
      <w:r>
        <w:t>Therefore, it is not possible to reduce the burden on small businesses by less frequent</w:t>
      </w:r>
      <w:r>
        <w:rPr>
          <w:spacing w:val="-21"/>
        </w:rPr>
        <w:t xml:space="preserve"> </w:t>
      </w:r>
      <w:r>
        <w:t>submission</w:t>
      </w:r>
      <w:r>
        <w:rPr>
          <w:spacing w:val="-20"/>
        </w:rPr>
        <w:t xml:space="preserve"> </w:t>
      </w:r>
      <w:r>
        <w:t>or</w:t>
      </w:r>
      <w:r>
        <w:rPr>
          <w:spacing w:val="-20"/>
        </w:rPr>
        <w:t xml:space="preserve"> </w:t>
      </w:r>
      <w:r>
        <w:t>less</w:t>
      </w:r>
      <w:r>
        <w:rPr>
          <w:spacing w:val="-20"/>
        </w:rPr>
        <w:t xml:space="preserve"> </w:t>
      </w:r>
      <w:r>
        <w:t>complete</w:t>
      </w:r>
      <w:r>
        <w:rPr>
          <w:spacing w:val="-20"/>
        </w:rPr>
        <w:t xml:space="preserve"> </w:t>
      </w:r>
      <w:r>
        <w:t>summary</w:t>
      </w:r>
      <w:r>
        <w:rPr>
          <w:spacing w:val="-20"/>
        </w:rPr>
        <w:t xml:space="preserve"> </w:t>
      </w:r>
      <w:r>
        <w:t>applications.</w:t>
      </w:r>
    </w:p>
    <w:p w:rsidR="006C7206" w:rsidRDefault="006C7206">
      <w:pPr>
        <w:pStyle w:val="BodyText"/>
        <w:spacing w:before="10"/>
        <w:rPr>
          <w:sz w:val="21"/>
        </w:rPr>
      </w:pPr>
    </w:p>
    <w:p w:rsidR="006C7206" w:rsidRDefault="00E90B9F">
      <w:pPr>
        <w:pStyle w:val="ListParagraph"/>
        <w:numPr>
          <w:ilvl w:val="1"/>
          <w:numId w:val="1"/>
        </w:numPr>
        <w:tabs>
          <w:tab w:val="left" w:pos="481"/>
        </w:tabs>
        <w:spacing w:before="1"/>
        <w:ind w:right="130" w:hanging="360"/>
      </w:pPr>
      <w:r>
        <w:rPr>
          <w:u w:val="single"/>
        </w:rPr>
        <w:t>Consequences</w:t>
      </w:r>
      <w:r>
        <w:rPr>
          <w:spacing w:val="-11"/>
          <w:u w:val="single"/>
        </w:rPr>
        <w:t xml:space="preserve"> </w:t>
      </w:r>
      <w:r>
        <w:rPr>
          <w:u w:val="single"/>
        </w:rPr>
        <w:t>to</w:t>
      </w:r>
      <w:r>
        <w:rPr>
          <w:spacing w:val="-12"/>
          <w:u w:val="single"/>
        </w:rPr>
        <w:t xml:space="preserve"> </w:t>
      </w:r>
      <w:r>
        <w:rPr>
          <w:u w:val="single"/>
        </w:rPr>
        <w:t>Federal</w:t>
      </w:r>
      <w:r>
        <w:rPr>
          <w:spacing w:val="-12"/>
          <w:u w:val="single"/>
        </w:rPr>
        <w:t xml:space="preserve"> </w:t>
      </w:r>
      <w:r>
        <w:rPr>
          <w:u w:val="single"/>
        </w:rPr>
        <w:t>Program</w:t>
      </w:r>
      <w:r>
        <w:rPr>
          <w:spacing w:val="-9"/>
          <w:u w:val="single"/>
        </w:rPr>
        <w:t xml:space="preserve"> </w:t>
      </w:r>
      <w:r>
        <w:rPr>
          <w:u w:val="single"/>
        </w:rPr>
        <w:t>or</w:t>
      </w:r>
      <w:r>
        <w:rPr>
          <w:spacing w:val="-12"/>
          <w:u w:val="single"/>
        </w:rPr>
        <w:t xml:space="preserve"> </w:t>
      </w:r>
      <w:r>
        <w:rPr>
          <w:u w:val="single"/>
        </w:rPr>
        <w:t>Policy</w:t>
      </w:r>
      <w:r>
        <w:rPr>
          <w:spacing w:val="-11"/>
          <w:u w:val="single"/>
        </w:rPr>
        <w:t xml:space="preserve"> </w:t>
      </w:r>
      <w:r>
        <w:rPr>
          <w:u w:val="single"/>
        </w:rPr>
        <w:t>Activities</w:t>
      </w:r>
      <w:r>
        <w:rPr>
          <w:spacing w:val="-12"/>
          <w:u w:val="single"/>
        </w:rPr>
        <w:t xml:space="preserve"> </w:t>
      </w:r>
      <w:r>
        <w:rPr>
          <w:u w:val="single"/>
        </w:rPr>
        <w:t>if</w:t>
      </w:r>
      <w:r>
        <w:rPr>
          <w:spacing w:val="-11"/>
          <w:u w:val="single"/>
        </w:rPr>
        <w:t xml:space="preserve"> </w:t>
      </w:r>
      <w:r>
        <w:rPr>
          <w:u w:val="single"/>
        </w:rPr>
        <w:t>the</w:t>
      </w:r>
      <w:r>
        <w:rPr>
          <w:spacing w:val="-13"/>
          <w:u w:val="single"/>
        </w:rPr>
        <w:t xml:space="preserve"> </w:t>
      </w:r>
      <w:r>
        <w:rPr>
          <w:u w:val="single"/>
        </w:rPr>
        <w:t>Collection</w:t>
      </w:r>
      <w:r>
        <w:rPr>
          <w:spacing w:val="-10"/>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Conducted</w:t>
      </w:r>
      <w:r>
        <w:rPr>
          <w:spacing w:val="-11"/>
          <w:u w:val="single"/>
        </w:rPr>
        <w:t xml:space="preserve"> </w:t>
      </w:r>
      <w:r>
        <w:rPr>
          <w:u w:val="single"/>
        </w:rPr>
        <w:t>or</w:t>
      </w:r>
      <w:r>
        <w:rPr>
          <w:spacing w:val="20"/>
          <w:u w:val="single"/>
        </w:rPr>
        <w:t xml:space="preserve"> </w:t>
      </w:r>
      <w:r>
        <w:rPr>
          <w:u w:val="single"/>
        </w:rPr>
        <w:t>is Conducted Less</w:t>
      </w:r>
      <w:r>
        <w:rPr>
          <w:spacing w:val="-42"/>
          <w:u w:val="single"/>
        </w:rPr>
        <w:t xml:space="preserve"> </w:t>
      </w:r>
      <w:r>
        <w:rPr>
          <w:u w:val="single"/>
        </w:rPr>
        <w:t>Frequently</w:t>
      </w:r>
    </w:p>
    <w:p w:rsidR="006C7206" w:rsidRDefault="006C7206">
      <w:pPr>
        <w:pStyle w:val="BodyText"/>
        <w:spacing w:before="10"/>
        <w:rPr>
          <w:sz w:val="13"/>
        </w:rPr>
      </w:pPr>
    </w:p>
    <w:p w:rsidR="006C7206" w:rsidRDefault="00E90B9F">
      <w:pPr>
        <w:pStyle w:val="BodyText"/>
        <w:spacing w:before="93"/>
        <w:ind w:left="479" w:right="8"/>
      </w:pPr>
      <w:r>
        <w:t xml:space="preserve">Required reports are collected and evaluated on a continuing basis as events occur. </w:t>
      </w:r>
      <w:r w:rsidR="002E54C9">
        <w:t xml:space="preserve"> </w:t>
      </w:r>
      <w:r>
        <w:t>The schedule for collecting the information is the minimum frequency which will permit the NRC to assure that the public health and safety and environment is adequately protected.</w:t>
      </w:r>
    </w:p>
    <w:p w:rsidR="006C7206" w:rsidRDefault="006C7206">
      <w:pPr>
        <w:pStyle w:val="BodyText"/>
        <w:spacing w:before="10"/>
        <w:rPr>
          <w:sz w:val="21"/>
        </w:rPr>
      </w:pPr>
    </w:p>
    <w:p w:rsidR="006C7206" w:rsidRDefault="00E90B9F">
      <w:pPr>
        <w:pStyle w:val="ListParagraph"/>
        <w:numPr>
          <w:ilvl w:val="1"/>
          <w:numId w:val="1"/>
        </w:numPr>
        <w:tabs>
          <w:tab w:val="left" w:pos="481"/>
        </w:tabs>
        <w:spacing w:before="1"/>
        <w:ind w:hanging="360"/>
      </w:pPr>
      <w:r>
        <w:rPr>
          <w:u w:val="single"/>
        </w:rPr>
        <w:t>Circumstances</w:t>
      </w:r>
      <w:r>
        <w:rPr>
          <w:spacing w:val="-15"/>
          <w:u w:val="single"/>
        </w:rPr>
        <w:t xml:space="preserve"> </w:t>
      </w:r>
      <w:r>
        <w:rPr>
          <w:u w:val="single"/>
        </w:rPr>
        <w:t>Which</w:t>
      </w:r>
      <w:r>
        <w:rPr>
          <w:spacing w:val="-18"/>
          <w:u w:val="single"/>
        </w:rPr>
        <w:t xml:space="preserve"> </w:t>
      </w:r>
      <w:r>
        <w:rPr>
          <w:u w:val="single"/>
        </w:rPr>
        <w:t>Justify</w:t>
      </w:r>
      <w:r>
        <w:rPr>
          <w:spacing w:val="-18"/>
          <w:u w:val="single"/>
        </w:rPr>
        <w:t xml:space="preserve"> </w:t>
      </w:r>
      <w:r>
        <w:rPr>
          <w:u w:val="single"/>
        </w:rPr>
        <w:t>Variation</w:t>
      </w:r>
      <w:r>
        <w:rPr>
          <w:spacing w:val="-17"/>
          <w:u w:val="single"/>
        </w:rPr>
        <w:t xml:space="preserve"> </w:t>
      </w:r>
      <w:r>
        <w:rPr>
          <w:u w:val="single"/>
        </w:rPr>
        <w:t>from</w:t>
      </w:r>
      <w:r>
        <w:rPr>
          <w:spacing w:val="-17"/>
          <w:u w:val="single"/>
        </w:rPr>
        <w:t xml:space="preserve"> </w:t>
      </w:r>
      <w:r>
        <w:rPr>
          <w:u w:val="single"/>
        </w:rPr>
        <w:t>OMB</w:t>
      </w:r>
      <w:r>
        <w:rPr>
          <w:spacing w:val="-16"/>
          <w:u w:val="single"/>
        </w:rPr>
        <w:t xml:space="preserve"> </w:t>
      </w:r>
      <w:r>
        <w:rPr>
          <w:u w:val="single"/>
        </w:rPr>
        <w:t>Guidelines</w:t>
      </w:r>
    </w:p>
    <w:p w:rsidR="006C7206" w:rsidRDefault="006C7206">
      <w:pPr>
        <w:pStyle w:val="BodyText"/>
        <w:spacing w:before="10"/>
        <w:rPr>
          <w:sz w:val="13"/>
        </w:rPr>
      </w:pPr>
    </w:p>
    <w:p w:rsidR="006C7206" w:rsidRPr="00866C0C" w:rsidRDefault="00E90B9F" w:rsidP="002E54C9">
      <w:pPr>
        <w:pStyle w:val="BodyText"/>
        <w:spacing w:before="93"/>
        <w:ind w:left="480"/>
      </w:pPr>
      <w:r>
        <w:t>Contrary to the OMB Guidelines in 5 CFR 1320.6(b), Sections 31.5(c)(5), 31.5(c)(8), 31.5(c)(9),</w:t>
      </w:r>
      <w:r>
        <w:rPr>
          <w:spacing w:val="-15"/>
        </w:rPr>
        <w:t xml:space="preserve"> </w:t>
      </w:r>
      <w:r>
        <w:t>31.5(c)(11),</w:t>
      </w:r>
      <w:r>
        <w:rPr>
          <w:spacing w:val="-16"/>
        </w:rPr>
        <w:t xml:space="preserve"> </w:t>
      </w:r>
      <w:r>
        <w:t>31.5(c)(13),</w:t>
      </w:r>
      <w:r>
        <w:rPr>
          <w:spacing w:val="-17"/>
        </w:rPr>
        <w:t xml:space="preserve"> </w:t>
      </w:r>
      <w:r>
        <w:t>31.5(c)(14),</w:t>
      </w:r>
      <w:r>
        <w:rPr>
          <w:spacing w:val="-16"/>
        </w:rPr>
        <w:t xml:space="preserve"> </w:t>
      </w:r>
      <w:r>
        <w:t>and</w:t>
      </w:r>
      <w:r>
        <w:rPr>
          <w:spacing w:val="-17"/>
        </w:rPr>
        <w:t xml:space="preserve"> </w:t>
      </w:r>
      <w:r>
        <w:t>31.11(e),</w:t>
      </w:r>
      <w:r>
        <w:rPr>
          <w:spacing w:val="-14"/>
        </w:rPr>
        <w:t xml:space="preserve"> </w:t>
      </w:r>
      <w:r>
        <w:t>31.12(c)(1),</w:t>
      </w:r>
      <w:r>
        <w:rPr>
          <w:spacing w:val="-8"/>
        </w:rPr>
        <w:t xml:space="preserve"> </w:t>
      </w:r>
      <w:r>
        <w:t>31.12.(c)(5)</w:t>
      </w:r>
      <w:r>
        <w:rPr>
          <w:spacing w:val="-17"/>
        </w:rPr>
        <w:t xml:space="preserve"> </w:t>
      </w:r>
      <w:r>
        <w:t>and</w:t>
      </w:r>
      <w:r>
        <w:rPr>
          <w:spacing w:val="-14"/>
        </w:rPr>
        <w:t xml:space="preserve"> </w:t>
      </w:r>
      <w:r w:rsidR="002E54C9">
        <w:rPr>
          <w:spacing w:val="-14"/>
        </w:rPr>
        <w:t xml:space="preserve">            </w:t>
      </w:r>
      <w:r>
        <w:rPr>
          <w:spacing w:val="-4"/>
        </w:rPr>
        <w:t>10</w:t>
      </w:r>
      <w:r w:rsidR="002E54C9">
        <w:rPr>
          <w:spacing w:val="-4"/>
        </w:rPr>
        <w:t xml:space="preserve"> </w:t>
      </w:r>
      <w:r>
        <w:t xml:space="preserve">CFR 20.2201 and 20.2202 require that licensees shall report immediately for the loss of certain devices and submit a report or notification to the NRC in less than 30 days from the date of the actions required by the respective sections. </w:t>
      </w:r>
      <w:r w:rsidR="002E54C9">
        <w:t xml:space="preserve"> </w:t>
      </w:r>
      <w:r>
        <w:t xml:space="preserve">The requirement to provide a report or notification within 30 days is necessary to ensure that the NRC is made aware of any significant safety information associated with events or transfers so as to take prompt action </w:t>
      </w:r>
      <w:r w:rsidRPr="00866C0C">
        <w:t>to protect the public health and safety.</w:t>
      </w:r>
    </w:p>
    <w:p w:rsidR="006C7206" w:rsidRPr="00866C0C" w:rsidRDefault="006C7206">
      <w:pPr>
        <w:sectPr w:rsidR="006C7206" w:rsidRPr="00866C0C" w:rsidSect="00DB3C35">
          <w:footerReference w:type="default" r:id="rId9"/>
          <w:pgSz w:w="12240" w:h="15840"/>
          <w:pgMar w:top="1440" w:right="1440" w:bottom="1440" w:left="1440" w:header="720" w:footer="720" w:gutter="0"/>
          <w:pgNumType w:start="1"/>
          <w:cols w:space="720"/>
          <w:titlePg/>
          <w:docGrid w:linePitch="299"/>
        </w:sectPr>
      </w:pPr>
    </w:p>
    <w:p w:rsidR="006C7206" w:rsidRPr="00866C0C" w:rsidRDefault="00E90B9F">
      <w:pPr>
        <w:pStyle w:val="ListParagraph"/>
        <w:numPr>
          <w:ilvl w:val="1"/>
          <w:numId w:val="1"/>
        </w:numPr>
        <w:tabs>
          <w:tab w:val="left" w:pos="461"/>
        </w:tabs>
        <w:spacing w:before="93"/>
        <w:ind w:left="460" w:hanging="360"/>
      </w:pPr>
      <w:r w:rsidRPr="00866C0C">
        <w:rPr>
          <w:u w:val="single"/>
        </w:rPr>
        <w:lastRenderedPageBreak/>
        <w:t>Consultations Outside</w:t>
      </w:r>
      <w:r w:rsidRPr="00866C0C">
        <w:rPr>
          <w:spacing w:val="-49"/>
          <w:u w:val="single"/>
        </w:rPr>
        <w:t xml:space="preserve"> </w:t>
      </w:r>
      <w:r w:rsidRPr="00866C0C">
        <w:rPr>
          <w:u w:val="single"/>
        </w:rPr>
        <w:t>NRC</w:t>
      </w:r>
    </w:p>
    <w:p w:rsidR="006C7206" w:rsidRDefault="006C7206">
      <w:pPr>
        <w:pStyle w:val="BodyText"/>
        <w:spacing w:before="10"/>
        <w:rPr>
          <w:sz w:val="13"/>
        </w:rPr>
      </w:pPr>
    </w:p>
    <w:p w:rsidR="00E73954" w:rsidRDefault="009F630F" w:rsidP="00E73954">
      <w:pPr>
        <w:pStyle w:val="BodyText"/>
        <w:ind w:left="459"/>
      </w:pPr>
      <w:r>
        <w:rPr>
          <w:rFonts w:eastAsia="Times New Roman"/>
        </w:rPr>
        <w:t xml:space="preserve">Opportunity for public comment on the information collection requirements for this clearance package was published in the </w:t>
      </w:r>
      <w:r>
        <w:rPr>
          <w:rFonts w:eastAsia="Times New Roman"/>
          <w:i/>
          <w:iCs/>
        </w:rPr>
        <w:t>Federal Register</w:t>
      </w:r>
      <w:r>
        <w:rPr>
          <w:rFonts w:eastAsia="Times New Roman"/>
        </w:rPr>
        <w:t xml:space="preserve"> on April 10, 2018</w:t>
      </w:r>
      <w:r w:rsidRPr="009F630F">
        <w:rPr>
          <w:rFonts w:eastAsia="Times New Roman"/>
        </w:rPr>
        <w:t xml:space="preserve"> (83 FR 15421).</w:t>
      </w:r>
      <w:r>
        <w:rPr>
          <w:rFonts w:eastAsia="Times New Roman"/>
        </w:rPr>
        <w:t xml:space="preserve">  </w:t>
      </w:r>
      <w:r w:rsidR="00233700" w:rsidRPr="00A45C55">
        <w:rPr>
          <w:rFonts w:eastAsia="Times New Roman"/>
        </w:rPr>
        <w:t xml:space="preserve">Nine companies or institutions that use byproduct material under a general license were contacted by e-mail as part of the public consultation process to request comments on this clearance package.  The companies and institutions contacted are:  </w:t>
      </w:r>
      <w:r w:rsidR="00233700" w:rsidRPr="00A45C55">
        <w:t>Henkel US Operations Co., Agilent Technologies, Inc., Tennessee Valley Authority, VA - St. Louis Health Care System, United States Geological Survey, Liberty Oilfield Services, Solvay Specialty Polymers, NIST, and Noble Energy, Inc.</w:t>
      </w:r>
      <w:r>
        <w:rPr>
          <w:rFonts w:eastAsia="Times New Roman"/>
        </w:rPr>
        <w:t>  No comments were received.</w:t>
      </w:r>
    </w:p>
    <w:p w:rsidR="00E73954" w:rsidRPr="00E73954" w:rsidRDefault="00E73954" w:rsidP="009F630F">
      <w:pPr>
        <w:pStyle w:val="BodyText"/>
        <w:ind w:left="459"/>
      </w:pPr>
    </w:p>
    <w:p w:rsidR="006C7206" w:rsidRDefault="00E90B9F">
      <w:pPr>
        <w:pStyle w:val="ListParagraph"/>
        <w:numPr>
          <w:ilvl w:val="1"/>
          <w:numId w:val="1"/>
        </w:numPr>
        <w:tabs>
          <w:tab w:val="left" w:pos="460"/>
        </w:tabs>
        <w:ind w:left="459" w:hanging="359"/>
      </w:pPr>
      <w:r>
        <w:rPr>
          <w:u w:val="single"/>
        </w:rPr>
        <w:t>Payment or Gifts to</w:t>
      </w:r>
      <w:r>
        <w:rPr>
          <w:spacing w:val="-42"/>
          <w:u w:val="single"/>
        </w:rPr>
        <w:t xml:space="preserve"> </w:t>
      </w:r>
      <w:r>
        <w:rPr>
          <w:u w:val="single"/>
        </w:rPr>
        <w:t>Respondents</w:t>
      </w:r>
    </w:p>
    <w:p w:rsidR="006C7206" w:rsidRDefault="006C7206">
      <w:pPr>
        <w:pStyle w:val="BodyText"/>
        <w:spacing w:before="9"/>
        <w:rPr>
          <w:sz w:val="13"/>
        </w:rPr>
      </w:pPr>
    </w:p>
    <w:p w:rsidR="006C7206" w:rsidRDefault="00E90B9F">
      <w:pPr>
        <w:pStyle w:val="BodyText"/>
        <w:spacing w:before="93"/>
        <w:ind w:left="459"/>
        <w:jc w:val="both"/>
      </w:pPr>
      <w:r>
        <w:t>Not applicable.</w:t>
      </w:r>
    </w:p>
    <w:p w:rsidR="006C7206" w:rsidRDefault="006C7206">
      <w:pPr>
        <w:pStyle w:val="BodyText"/>
        <w:spacing w:before="10"/>
        <w:rPr>
          <w:sz w:val="21"/>
        </w:rPr>
      </w:pPr>
    </w:p>
    <w:p w:rsidR="006C7206" w:rsidRPr="002E54C9" w:rsidRDefault="00E90B9F">
      <w:pPr>
        <w:pStyle w:val="ListParagraph"/>
        <w:numPr>
          <w:ilvl w:val="1"/>
          <w:numId w:val="1"/>
        </w:numPr>
        <w:tabs>
          <w:tab w:val="left" w:pos="460"/>
        </w:tabs>
        <w:ind w:left="459" w:hanging="359"/>
      </w:pPr>
      <w:r>
        <w:rPr>
          <w:u w:val="single"/>
        </w:rPr>
        <w:t>Confidentiality of</w:t>
      </w:r>
      <w:r>
        <w:rPr>
          <w:spacing w:val="-32"/>
          <w:u w:val="single"/>
        </w:rPr>
        <w:t xml:space="preserve"> </w:t>
      </w:r>
      <w:r>
        <w:rPr>
          <w:u w:val="single"/>
        </w:rPr>
        <w:t>Information</w:t>
      </w:r>
    </w:p>
    <w:p w:rsidR="002E54C9" w:rsidRDefault="002E54C9" w:rsidP="002E54C9">
      <w:pPr>
        <w:pStyle w:val="ListParagraph"/>
        <w:tabs>
          <w:tab w:val="left" w:pos="460"/>
        </w:tabs>
        <w:ind w:left="459" w:firstLine="0"/>
      </w:pPr>
    </w:p>
    <w:p w:rsidR="006C7206" w:rsidRDefault="00E90B9F" w:rsidP="002E54C9">
      <w:pPr>
        <w:pStyle w:val="BodyText"/>
        <w:ind w:left="461" w:right="144"/>
        <w:jc w:val="both"/>
      </w:pPr>
      <w:r>
        <w:t>Confidential</w:t>
      </w:r>
      <w:r>
        <w:rPr>
          <w:spacing w:val="-11"/>
        </w:rPr>
        <w:t xml:space="preserve"> </w:t>
      </w:r>
      <w:r>
        <w:t>and</w:t>
      </w:r>
      <w:r>
        <w:rPr>
          <w:spacing w:val="-9"/>
        </w:rPr>
        <w:t xml:space="preserve"> </w:t>
      </w:r>
      <w:r>
        <w:t>proprietary</w:t>
      </w:r>
      <w:r>
        <w:rPr>
          <w:spacing w:val="-10"/>
        </w:rPr>
        <w:t xml:space="preserve"> </w:t>
      </w:r>
      <w:r>
        <w:t>information</w:t>
      </w:r>
      <w:r>
        <w:rPr>
          <w:spacing w:val="-9"/>
        </w:rPr>
        <w:t xml:space="preserve"> </w:t>
      </w:r>
      <w:r>
        <w:t>is</w:t>
      </w:r>
      <w:r>
        <w:rPr>
          <w:spacing w:val="-11"/>
        </w:rPr>
        <w:t xml:space="preserve"> </w:t>
      </w:r>
      <w:r>
        <w:t>protected</w:t>
      </w:r>
      <w:r>
        <w:rPr>
          <w:spacing w:val="-9"/>
        </w:rPr>
        <w:t xml:space="preserve"> </w:t>
      </w:r>
      <w:r>
        <w:t>in</w:t>
      </w:r>
      <w:r>
        <w:rPr>
          <w:spacing w:val="-9"/>
        </w:rPr>
        <w:t xml:space="preserve"> </w:t>
      </w:r>
      <w:r>
        <w:t>accordance</w:t>
      </w:r>
      <w:r>
        <w:rPr>
          <w:spacing w:val="-10"/>
        </w:rPr>
        <w:t xml:space="preserve"> </w:t>
      </w:r>
      <w:r>
        <w:t>with</w:t>
      </w:r>
      <w:r>
        <w:rPr>
          <w:spacing w:val="-9"/>
        </w:rPr>
        <w:t xml:space="preserve"> </w:t>
      </w:r>
      <w:r>
        <w:t>NRC</w:t>
      </w:r>
      <w:r>
        <w:rPr>
          <w:spacing w:val="-11"/>
        </w:rPr>
        <w:t xml:space="preserve"> </w:t>
      </w:r>
      <w:r>
        <w:t>regulations</w:t>
      </w:r>
      <w:r>
        <w:rPr>
          <w:spacing w:val="-10"/>
        </w:rPr>
        <w:t xml:space="preserve"> </w:t>
      </w:r>
      <w:r>
        <w:t>at</w:t>
      </w:r>
      <w:r>
        <w:rPr>
          <w:spacing w:val="-3"/>
        </w:rPr>
        <w:t xml:space="preserve"> </w:t>
      </w:r>
      <w:r>
        <w:t>10 C</w:t>
      </w:r>
      <w:r w:rsidR="002E54C9">
        <w:t xml:space="preserve">FR 9.17(a) and 10 CFR 2.390(b). </w:t>
      </w:r>
      <w:r>
        <w:t>However, general licensees are advised and discouraged from</w:t>
      </w:r>
      <w:r>
        <w:rPr>
          <w:spacing w:val="-13"/>
        </w:rPr>
        <w:t xml:space="preserve"> </w:t>
      </w:r>
      <w:r>
        <w:t>submitting</w:t>
      </w:r>
      <w:r>
        <w:rPr>
          <w:spacing w:val="-13"/>
        </w:rPr>
        <w:t xml:space="preserve"> </w:t>
      </w:r>
      <w:r>
        <w:t>information</w:t>
      </w:r>
      <w:r>
        <w:rPr>
          <w:spacing w:val="-14"/>
        </w:rPr>
        <w:t xml:space="preserve"> </w:t>
      </w:r>
      <w:r>
        <w:t>that</w:t>
      </w:r>
      <w:r>
        <w:rPr>
          <w:spacing w:val="-13"/>
        </w:rPr>
        <w:t xml:space="preserve"> </w:t>
      </w:r>
      <w:r>
        <w:t>is</w:t>
      </w:r>
      <w:r>
        <w:rPr>
          <w:spacing w:val="-11"/>
        </w:rPr>
        <w:t xml:space="preserve"> </w:t>
      </w:r>
      <w:r>
        <w:t>proprietary,</w:t>
      </w:r>
      <w:r>
        <w:rPr>
          <w:spacing w:val="-13"/>
        </w:rPr>
        <w:t xml:space="preserve"> </w:t>
      </w:r>
      <w:r>
        <w:t>confidential</w:t>
      </w:r>
      <w:r>
        <w:rPr>
          <w:spacing w:val="-13"/>
        </w:rPr>
        <w:t xml:space="preserve"> </w:t>
      </w:r>
      <w:r>
        <w:t>or</w:t>
      </w:r>
      <w:r>
        <w:rPr>
          <w:spacing w:val="-14"/>
        </w:rPr>
        <w:t xml:space="preserve"> </w:t>
      </w:r>
      <w:r>
        <w:t>involving</w:t>
      </w:r>
      <w:r>
        <w:rPr>
          <w:spacing w:val="-13"/>
        </w:rPr>
        <w:t xml:space="preserve"> </w:t>
      </w:r>
      <w:r>
        <w:t>trade</w:t>
      </w:r>
      <w:r>
        <w:rPr>
          <w:spacing w:val="41"/>
        </w:rPr>
        <w:t xml:space="preserve"> </w:t>
      </w:r>
      <w:r>
        <w:t>secrets.</w:t>
      </w:r>
    </w:p>
    <w:p w:rsidR="006C7206" w:rsidRDefault="006C7206">
      <w:pPr>
        <w:pStyle w:val="BodyText"/>
      </w:pPr>
    </w:p>
    <w:p w:rsidR="006C7206" w:rsidRDefault="00E90B9F">
      <w:pPr>
        <w:pStyle w:val="ListParagraph"/>
        <w:numPr>
          <w:ilvl w:val="1"/>
          <w:numId w:val="1"/>
        </w:numPr>
        <w:tabs>
          <w:tab w:val="left" w:pos="461"/>
        </w:tabs>
        <w:ind w:left="460" w:hanging="360"/>
      </w:pPr>
      <w:r>
        <w:rPr>
          <w:u w:val="single"/>
        </w:rPr>
        <w:t>Justification</w:t>
      </w:r>
      <w:r>
        <w:rPr>
          <w:spacing w:val="-18"/>
          <w:u w:val="single"/>
        </w:rPr>
        <w:t xml:space="preserve"> </w:t>
      </w:r>
      <w:r>
        <w:rPr>
          <w:u w:val="single"/>
        </w:rPr>
        <w:t>for</w:t>
      </w:r>
      <w:r>
        <w:rPr>
          <w:spacing w:val="-15"/>
          <w:u w:val="single"/>
        </w:rPr>
        <w:t xml:space="preserve"> </w:t>
      </w:r>
      <w:r>
        <w:rPr>
          <w:u w:val="single"/>
        </w:rPr>
        <w:t>Sensitive</w:t>
      </w:r>
      <w:r>
        <w:rPr>
          <w:spacing w:val="-15"/>
          <w:u w:val="single"/>
        </w:rPr>
        <w:t xml:space="preserve"> </w:t>
      </w:r>
      <w:r>
        <w:rPr>
          <w:u w:val="single"/>
        </w:rPr>
        <w:t>Questions</w:t>
      </w:r>
    </w:p>
    <w:p w:rsidR="006C7206" w:rsidRDefault="006C7206">
      <w:pPr>
        <w:pStyle w:val="BodyText"/>
        <w:spacing w:before="8"/>
        <w:rPr>
          <w:sz w:val="13"/>
        </w:rPr>
      </w:pPr>
    </w:p>
    <w:p w:rsidR="006C7206" w:rsidRDefault="00E90B9F">
      <w:pPr>
        <w:pStyle w:val="BodyText"/>
        <w:spacing w:before="93"/>
        <w:ind w:left="460"/>
      </w:pPr>
      <w:r>
        <w:t>No sensitive information is requested under these regulations.</w:t>
      </w:r>
    </w:p>
    <w:p w:rsidR="006C7206" w:rsidRDefault="006C7206">
      <w:pPr>
        <w:pStyle w:val="BodyText"/>
      </w:pPr>
    </w:p>
    <w:p w:rsidR="006C7206" w:rsidRDefault="00E90B9F">
      <w:pPr>
        <w:pStyle w:val="ListParagraph"/>
        <w:numPr>
          <w:ilvl w:val="1"/>
          <w:numId w:val="1"/>
        </w:numPr>
        <w:tabs>
          <w:tab w:val="left" w:pos="460"/>
        </w:tabs>
        <w:ind w:left="459" w:hanging="359"/>
      </w:pPr>
      <w:r>
        <w:rPr>
          <w:u w:val="single"/>
        </w:rPr>
        <w:t>Estimated</w:t>
      </w:r>
      <w:r>
        <w:rPr>
          <w:spacing w:val="-11"/>
          <w:u w:val="single"/>
        </w:rPr>
        <w:t xml:space="preserve"> </w:t>
      </w:r>
      <w:r>
        <w:rPr>
          <w:u w:val="single"/>
        </w:rPr>
        <w:t>Burden</w:t>
      </w:r>
      <w:r>
        <w:rPr>
          <w:spacing w:val="-11"/>
          <w:u w:val="single"/>
        </w:rPr>
        <w:t xml:space="preserve"> </w:t>
      </w:r>
      <w:r>
        <w:rPr>
          <w:u w:val="single"/>
        </w:rPr>
        <w:t>and</w:t>
      </w:r>
      <w:r>
        <w:rPr>
          <w:spacing w:val="-10"/>
          <w:u w:val="single"/>
        </w:rPr>
        <w:t xml:space="preserve"> </w:t>
      </w:r>
      <w:r>
        <w:rPr>
          <w:u w:val="single"/>
        </w:rPr>
        <w:t>Burden</w:t>
      </w:r>
      <w:r>
        <w:rPr>
          <w:spacing w:val="-11"/>
          <w:u w:val="single"/>
        </w:rPr>
        <w:t xml:space="preserve"> </w:t>
      </w:r>
      <w:r>
        <w:rPr>
          <w:u w:val="single"/>
        </w:rPr>
        <w:t>Hour</w:t>
      </w:r>
      <w:r>
        <w:rPr>
          <w:spacing w:val="-9"/>
          <w:u w:val="single"/>
        </w:rPr>
        <w:t xml:space="preserve"> </w:t>
      </w:r>
      <w:r>
        <w:rPr>
          <w:u w:val="single"/>
        </w:rPr>
        <w:t>Cost</w:t>
      </w:r>
    </w:p>
    <w:p w:rsidR="006C7206" w:rsidRDefault="006C7206">
      <w:pPr>
        <w:pStyle w:val="BodyText"/>
        <w:rPr>
          <w:sz w:val="18"/>
        </w:rPr>
      </w:pPr>
    </w:p>
    <w:p w:rsidR="006C7206" w:rsidRDefault="00E90B9F">
      <w:pPr>
        <w:pStyle w:val="BodyText"/>
        <w:spacing w:before="92"/>
        <w:ind w:left="460"/>
      </w:pPr>
      <w:r>
        <w:rPr>
          <w:u w:val="single"/>
        </w:rPr>
        <w:t>NRC Licensees:</w:t>
      </w:r>
    </w:p>
    <w:p w:rsidR="006C7206" w:rsidRDefault="00E90B9F">
      <w:pPr>
        <w:pStyle w:val="BodyText"/>
        <w:ind w:left="460" w:right="118"/>
      </w:pPr>
      <w:r>
        <w:t xml:space="preserve">See Tables 1, 2, and 3 for the estimated reporting, recordkeeping, and third-party disclosure burden for a total of approximately 18,000 NRC general licensees that will respond to and/or maintain records in accordance with </w:t>
      </w:r>
      <w:r>
        <w:rPr>
          <w:spacing w:val="-4"/>
        </w:rPr>
        <w:t xml:space="preserve">10 </w:t>
      </w:r>
      <w:r>
        <w:rPr>
          <w:spacing w:val="-5"/>
        </w:rPr>
        <w:t xml:space="preserve">CFR </w:t>
      </w:r>
      <w:r>
        <w:t xml:space="preserve">Part 31 information collection requirements. </w:t>
      </w:r>
      <w:r w:rsidR="002E54C9">
        <w:t xml:space="preserve"> </w:t>
      </w:r>
      <w:r>
        <w:t xml:space="preserve">The estimated total number of responses for each requirement listed in </w:t>
      </w:r>
      <w:r>
        <w:rPr>
          <w:spacing w:val="-3"/>
        </w:rPr>
        <w:t xml:space="preserve">10 </w:t>
      </w:r>
      <w:r>
        <w:rPr>
          <w:spacing w:val="-5"/>
        </w:rPr>
        <w:t xml:space="preserve">CFR </w:t>
      </w:r>
      <w:r>
        <w:t xml:space="preserve">Part 31 was </w:t>
      </w:r>
      <w:r>
        <w:rPr>
          <w:spacing w:val="-6"/>
        </w:rPr>
        <w:t xml:space="preserve">approximated </w:t>
      </w:r>
      <w:r>
        <w:rPr>
          <w:spacing w:val="-5"/>
        </w:rPr>
        <w:t xml:space="preserve">based </w:t>
      </w:r>
      <w:r>
        <w:rPr>
          <w:spacing w:val="-3"/>
        </w:rPr>
        <w:t xml:space="preserve">on </w:t>
      </w:r>
      <w:r>
        <w:rPr>
          <w:spacing w:val="-5"/>
        </w:rPr>
        <w:t xml:space="preserve">past </w:t>
      </w:r>
      <w:r>
        <w:rPr>
          <w:spacing w:val="-6"/>
        </w:rPr>
        <w:t xml:space="preserve">experience </w:t>
      </w:r>
      <w:r>
        <w:rPr>
          <w:spacing w:val="-4"/>
        </w:rPr>
        <w:t xml:space="preserve">and </w:t>
      </w:r>
      <w:r>
        <w:t xml:space="preserve">staff expectations for the period of this clearance. </w:t>
      </w:r>
      <w:r w:rsidR="002E54C9">
        <w:t xml:space="preserve"> </w:t>
      </w:r>
      <w:r>
        <w:t xml:space="preserve">The total annual burden for NRC licensees is estimated to be </w:t>
      </w:r>
      <w:r>
        <w:rPr>
          <w:spacing w:val="-4"/>
        </w:rPr>
        <w:t xml:space="preserve">4,926 </w:t>
      </w:r>
      <w:r>
        <w:t xml:space="preserve">hours (420 reporting + </w:t>
      </w:r>
      <w:r>
        <w:rPr>
          <w:spacing w:val="-4"/>
        </w:rPr>
        <w:t xml:space="preserve">4,500 </w:t>
      </w:r>
      <w:r>
        <w:t xml:space="preserve">recordkeeping + 6 third-party disclosure). </w:t>
      </w:r>
      <w:r w:rsidR="002E54C9">
        <w:t xml:space="preserve"> </w:t>
      </w:r>
      <w:r>
        <w:t xml:space="preserve">The total cost for NRC licensees is estimated to be $1,295,538 </w:t>
      </w:r>
      <w:r>
        <w:rPr>
          <w:spacing w:val="-4"/>
        </w:rPr>
        <w:t xml:space="preserve">(4,926 </w:t>
      </w:r>
      <w:r>
        <w:t>hours x $263/hour).</w:t>
      </w:r>
    </w:p>
    <w:p w:rsidR="006C7206" w:rsidRDefault="006C7206">
      <w:pPr>
        <w:pStyle w:val="BodyText"/>
        <w:spacing w:before="8"/>
        <w:rPr>
          <w:sz w:val="21"/>
        </w:rPr>
      </w:pPr>
    </w:p>
    <w:p w:rsidR="006C7206" w:rsidRDefault="00E90B9F">
      <w:pPr>
        <w:pStyle w:val="BodyText"/>
        <w:spacing w:before="1"/>
        <w:ind w:left="460"/>
      </w:pPr>
      <w:r>
        <w:rPr>
          <w:u w:val="single"/>
        </w:rPr>
        <w:t>Agreement State Licensees:</w:t>
      </w:r>
    </w:p>
    <w:p w:rsidR="006C7206" w:rsidRDefault="00E90B9F" w:rsidP="002E54C9">
      <w:pPr>
        <w:pStyle w:val="BodyText"/>
        <w:spacing w:before="1"/>
        <w:ind w:left="459" w:right="118"/>
      </w:pPr>
      <w:r>
        <w:t xml:space="preserve">See Tables 4, 5, and 6 for the estimated reporting, recordkeeping, and third-party disclosure burden for an estimated 111,600 Agreement State general licensees that will respond to and/or maintain records in accordance with Part 31 information collection requirements. </w:t>
      </w:r>
      <w:r w:rsidR="002E54C9">
        <w:t xml:space="preserve"> </w:t>
      </w:r>
      <w:r>
        <w:t xml:space="preserve">The NRC estimated the number of Agreement State licensees based on the current status and knowledge of Agreement State programs. </w:t>
      </w:r>
      <w:r w:rsidR="002E54C9">
        <w:t xml:space="preserve"> </w:t>
      </w:r>
      <w:r>
        <w:t>The NRC estimates that there are approximately</w:t>
      </w:r>
      <w:r w:rsidR="002E54C9">
        <w:t xml:space="preserve"> </w:t>
      </w:r>
      <w:r>
        <w:t xml:space="preserve">6.2 times the number of Agreement State licensees as there are NRC licensees. </w:t>
      </w:r>
      <w:r w:rsidR="002E54C9">
        <w:t xml:space="preserve"> </w:t>
      </w:r>
      <w:r>
        <w:t xml:space="preserve">This estimate based on the estimate of 2,900 NRC specific materials licensees and 18,000 Agreement State licenses. </w:t>
      </w:r>
      <w:r w:rsidR="002E54C9">
        <w:t xml:space="preserve"> </w:t>
      </w:r>
      <w:r>
        <w:t>Taking into account this ratio, the total annual burden for Agreement</w:t>
      </w:r>
      <w:r>
        <w:rPr>
          <w:spacing w:val="-8"/>
        </w:rPr>
        <w:t xml:space="preserve"> </w:t>
      </w:r>
      <w:r>
        <w:t>State</w:t>
      </w:r>
      <w:r>
        <w:rPr>
          <w:spacing w:val="55"/>
        </w:rPr>
        <w:t xml:space="preserve"> </w:t>
      </w:r>
      <w:r>
        <w:t>general</w:t>
      </w:r>
      <w:r>
        <w:rPr>
          <w:spacing w:val="-10"/>
        </w:rPr>
        <w:t xml:space="preserve"> </w:t>
      </w:r>
      <w:r>
        <w:t>licensees</w:t>
      </w:r>
      <w:r>
        <w:rPr>
          <w:spacing w:val="-11"/>
        </w:rPr>
        <w:t xml:space="preserve"> </w:t>
      </w:r>
      <w:r>
        <w:t>is</w:t>
      </w:r>
      <w:r>
        <w:rPr>
          <w:spacing w:val="-10"/>
        </w:rPr>
        <w:t xml:space="preserve"> </w:t>
      </w:r>
      <w:r>
        <w:t>estimated</w:t>
      </w:r>
      <w:r>
        <w:rPr>
          <w:spacing w:val="-11"/>
        </w:rPr>
        <w:t xml:space="preserve"> </w:t>
      </w:r>
      <w:r>
        <w:t>to</w:t>
      </w:r>
      <w:r>
        <w:rPr>
          <w:spacing w:val="-10"/>
        </w:rPr>
        <w:t xml:space="preserve"> </w:t>
      </w:r>
      <w:r>
        <w:t>be</w:t>
      </w:r>
      <w:r>
        <w:rPr>
          <w:spacing w:val="-9"/>
        </w:rPr>
        <w:t xml:space="preserve"> </w:t>
      </w:r>
      <w:r>
        <w:rPr>
          <w:spacing w:val="-5"/>
        </w:rPr>
        <w:t>31,712</w:t>
      </w:r>
      <w:r>
        <w:rPr>
          <w:spacing w:val="-15"/>
        </w:rPr>
        <w:t xml:space="preserve"> </w:t>
      </w:r>
      <w:r>
        <w:t>hours</w:t>
      </w:r>
      <w:r>
        <w:rPr>
          <w:spacing w:val="-11"/>
        </w:rPr>
        <w:t xml:space="preserve"> </w:t>
      </w:r>
      <w:r>
        <w:t>(3,779</w:t>
      </w:r>
      <w:r>
        <w:rPr>
          <w:spacing w:val="-11"/>
        </w:rPr>
        <w:t xml:space="preserve"> </w:t>
      </w:r>
      <w:r>
        <w:t>reporting</w:t>
      </w:r>
      <w:r>
        <w:rPr>
          <w:spacing w:val="-11"/>
        </w:rPr>
        <w:t xml:space="preserve"> </w:t>
      </w:r>
      <w:r>
        <w:t>+</w:t>
      </w:r>
      <w:r>
        <w:rPr>
          <w:spacing w:val="-8"/>
        </w:rPr>
        <w:t xml:space="preserve"> </w:t>
      </w:r>
      <w:r>
        <w:rPr>
          <w:spacing w:val="-7"/>
        </w:rPr>
        <w:t xml:space="preserve">27,900 </w:t>
      </w:r>
      <w:r>
        <w:t xml:space="preserve">recordkeeping + 33 third-party disclosure) per year. </w:t>
      </w:r>
      <w:r w:rsidR="002E54C9">
        <w:t xml:space="preserve"> </w:t>
      </w:r>
      <w:r>
        <w:t>The total cost for the Agreement State licensees</w:t>
      </w:r>
      <w:r>
        <w:rPr>
          <w:spacing w:val="-9"/>
        </w:rPr>
        <w:t xml:space="preserve"> </w:t>
      </w:r>
      <w:r>
        <w:t>is</w:t>
      </w:r>
      <w:r>
        <w:rPr>
          <w:spacing w:val="-10"/>
        </w:rPr>
        <w:t xml:space="preserve"> </w:t>
      </w:r>
      <w:r>
        <w:t>estimated</w:t>
      </w:r>
      <w:r>
        <w:rPr>
          <w:spacing w:val="-9"/>
        </w:rPr>
        <w:t xml:space="preserve"> </w:t>
      </w:r>
      <w:r>
        <w:t>to</w:t>
      </w:r>
      <w:r>
        <w:rPr>
          <w:spacing w:val="-10"/>
        </w:rPr>
        <w:t xml:space="preserve"> </w:t>
      </w:r>
      <w:r>
        <w:t>be</w:t>
      </w:r>
      <w:r>
        <w:rPr>
          <w:spacing w:val="-4"/>
        </w:rPr>
        <w:t xml:space="preserve"> </w:t>
      </w:r>
      <w:r>
        <w:t>$8,340,256</w:t>
      </w:r>
      <w:r>
        <w:rPr>
          <w:spacing w:val="-13"/>
        </w:rPr>
        <w:t xml:space="preserve"> </w:t>
      </w:r>
      <w:r>
        <w:rPr>
          <w:spacing w:val="-5"/>
        </w:rPr>
        <w:t>(31,712</w:t>
      </w:r>
      <w:r>
        <w:rPr>
          <w:spacing w:val="-19"/>
        </w:rPr>
        <w:t xml:space="preserve"> </w:t>
      </w:r>
      <w:r>
        <w:t>hours</w:t>
      </w:r>
      <w:r>
        <w:rPr>
          <w:spacing w:val="-13"/>
        </w:rPr>
        <w:t xml:space="preserve"> </w:t>
      </w:r>
      <w:r>
        <w:t>x</w:t>
      </w:r>
      <w:r>
        <w:rPr>
          <w:spacing w:val="-13"/>
        </w:rPr>
        <w:t xml:space="preserve"> </w:t>
      </w:r>
      <w:r>
        <w:t>$263/hour).</w:t>
      </w:r>
    </w:p>
    <w:p w:rsidR="006C7206" w:rsidRDefault="00E90B9F">
      <w:pPr>
        <w:pStyle w:val="BodyText"/>
        <w:ind w:left="459"/>
      </w:pPr>
      <w:r>
        <w:rPr>
          <w:u w:val="single"/>
        </w:rPr>
        <w:t>Total:</w:t>
      </w:r>
    </w:p>
    <w:p w:rsidR="003A1713" w:rsidRDefault="003A1713">
      <w:pPr>
        <w:pStyle w:val="BodyText"/>
        <w:ind w:left="460" w:right="100"/>
        <w:jc w:val="both"/>
      </w:pPr>
    </w:p>
    <w:p w:rsidR="006C7206" w:rsidRDefault="00E90B9F">
      <w:pPr>
        <w:pStyle w:val="BodyText"/>
        <w:ind w:left="460" w:right="100"/>
        <w:jc w:val="both"/>
      </w:pPr>
      <w:r>
        <w:t>The</w:t>
      </w:r>
      <w:r>
        <w:rPr>
          <w:spacing w:val="-8"/>
        </w:rPr>
        <w:t xml:space="preserve"> </w:t>
      </w:r>
      <w:r>
        <w:t>total</w:t>
      </w:r>
      <w:r>
        <w:rPr>
          <w:spacing w:val="-8"/>
        </w:rPr>
        <w:t xml:space="preserve"> </w:t>
      </w:r>
      <w:r>
        <w:t>burden</w:t>
      </w:r>
      <w:r>
        <w:rPr>
          <w:spacing w:val="-8"/>
        </w:rPr>
        <w:t xml:space="preserve"> </w:t>
      </w:r>
      <w:r>
        <w:t>for</w:t>
      </w:r>
      <w:r>
        <w:rPr>
          <w:spacing w:val="-7"/>
        </w:rPr>
        <w:t xml:space="preserve"> </w:t>
      </w:r>
      <w:r>
        <w:t>both</w:t>
      </w:r>
      <w:r>
        <w:rPr>
          <w:spacing w:val="-8"/>
        </w:rPr>
        <w:t xml:space="preserve"> </w:t>
      </w:r>
      <w:r>
        <w:t>NRC</w:t>
      </w:r>
      <w:r>
        <w:rPr>
          <w:spacing w:val="-7"/>
        </w:rPr>
        <w:t xml:space="preserve"> </w:t>
      </w:r>
      <w:r>
        <w:t>and</w:t>
      </w:r>
      <w:r>
        <w:rPr>
          <w:spacing w:val="-7"/>
        </w:rPr>
        <w:t xml:space="preserve"> </w:t>
      </w:r>
      <w:r>
        <w:t>Agreement</w:t>
      </w:r>
      <w:r>
        <w:rPr>
          <w:spacing w:val="-7"/>
        </w:rPr>
        <w:t xml:space="preserve"> </w:t>
      </w:r>
      <w:r>
        <w:t>State</w:t>
      </w:r>
      <w:r>
        <w:rPr>
          <w:spacing w:val="-7"/>
        </w:rPr>
        <w:t xml:space="preserve"> </w:t>
      </w:r>
      <w:r>
        <w:t>licensees</w:t>
      </w:r>
      <w:r>
        <w:rPr>
          <w:spacing w:val="-8"/>
        </w:rPr>
        <w:t xml:space="preserve"> </w:t>
      </w:r>
      <w:r>
        <w:t>is</w:t>
      </w:r>
      <w:r>
        <w:rPr>
          <w:spacing w:val="-7"/>
        </w:rPr>
        <w:t xml:space="preserve"> </w:t>
      </w:r>
      <w:r>
        <w:t>estimated</w:t>
      </w:r>
      <w:r>
        <w:rPr>
          <w:spacing w:val="-8"/>
        </w:rPr>
        <w:t xml:space="preserve"> </w:t>
      </w:r>
      <w:r>
        <w:t>to</w:t>
      </w:r>
      <w:r>
        <w:rPr>
          <w:spacing w:val="-7"/>
        </w:rPr>
        <w:t xml:space="preserve"> </w:t>
      </w:r>
      <w:r>
        <w:t>be</w:t>
      </w:r>
      <w:r>
        <w:rPr>
          <w:spacing w:val="-8"/>
        </w:rPr>
        <w:t xml:space="preserve"> </w:t>
      </w:r>
      <w:r>
        <w:t>36,638</w:t>
      </w:r>
      <w:r>
        <w:rPr>
          <w:spacing w:val="-4"/>
        </w:rPr>
        <w:t xml:space="preserve"> </w:t>
      </w:r>
      <w:r>
        <w:t xml:space="preserve">hours </w:t>
      </w:r>
      <w:r>
        <w:rPr>
          <w:spacing w:val="-4"/>
        </w:rPr>
        <w:t xml:space="preserve">(4,926 </w:t>
      </w:r>
      <w:r>
        <w:t xml:space="preserve">hours for NRC licensees + </w:t>
      </w:r>
      <w:r>
        <w:rPr>
          <w:spacing w:val="-5"/>
        </w:rPr>
        <w:t xml:space="preserve">31,712 </w:t>
      </w:r>
      <w:r>
        <w:t xml:space="preserve">hours for Agreement State licensees). </w:t>
      </w:r>
      <w:r w:rsidR="002E54C9">
        <w:t xml:space="preserve"> </w:t>
      </w:r>
      <w:r>
        <w:t>The total cost is</w:t>
      </w:r>
      <w:r>
        <w:rPr>
          <w:spacing w:val="-15"/>
        </w:rPr>
        <w:t xml:space="preserve"> </w:t>
      </w:r>
      <w:r>
        <w:rPr>
          <w:spacing w:val="-8"/>
        </w:rPr>
        <w:t>$9,635,794</w:t>
      </w:r>
      <w:r>
        <w:rPr>
          <w:spacing w:val="-21"/>
        </w:rPr>
        <w:t xml:space="preserve"> </w:t>
      </w:r>
      <w:r>
        <w:t>(36,638</w:t>
      </w:r>
      <w:r>
        <w:rPr>
          <w:spacing w:val="-14"/>
        </w:rPr>
        <w:t xml:space="preserve"> </w:t>
      </w:r>
      <w:r>
        <w:t>hours</w:t>
      </w:r>
      <w:r>
        <w:rPr>
          <w:spacing w:val="-14"/>
        </w:rPr>
        <w:t xml:space="preserve"> </w:t>
      </w:r>
      <w:r>
        <w:t>x</w:t>
      </w:r>
      <w:r>
        <w:rPr>
          <w:spacing w:val="-14"/>
        </w:rPr>
        <w:t xml:space="preserve"> </w:t>
      </w:r>
      <w:r>
        <w:t>$263/hour).</w:t>
      </w:r>
    </w:p>
    <w:p w:rsidR="006C7206" w:rsidRDefault="006C7206">
      <w:pPr>
        <w:pStyle w:val="BodyText"/>
        <w:spacing w:before="8"/>
        <w:rPr>
          <w:sz w:val="15"/>
        </w:rPr>
      </w:pPr>
    </w:p>
    <w:p w:rsidR="006C7206" w:rsidRDefault="00E90B9F">
      <w:pPr>
        <w:pStyle w:val="BodyText"/>
        <w:spacing w:before="93"/>
        <w:ind w:left="500" w:right="347"/>
      </w:pPr>
      <w:r>
        <w:t>The $263 hourly rate used in the burden estimates is based on the NRC’s</w:t>
      </w:r>
      <w:r>
        <w:rPr>
          <w:spacing w:val="-8"/>
        </w:rPr>
        <w:t xml:space="preserve"> </w:t>
      </w:r>
      <w:r>
        <w:t>fee</w:t>
      </w:r>
      <w:r>
        <w:rPr>
          <w:spacing w:val="-9"/>
        </w:rPr>
        <w:t xml:space="preserve"> </w:t>
      </w:r>
      <w:r>
        <w:t>for</w:t>
      </w:r>
      <w:r>
        <w:rPr>
          <w:spacing w:val="-9"/>
        </w:rPr>
        <w:t xml:space="preserve"> </w:t>
      </w:r>
      <w:r>
        <w:t>hourly</w:t>
      </w:r>
      <w:r>
        <w:rPr>
          <w:spacing w:val="-8"/>
        </w:rPr>
        <w:t xml:space="preserve"> </w:t>
      </w:r>
      <w:r>
        <w:t>rates</w:t>
      </w:r>
      <w:r>
        <w:rPr>
          <w:spacing w:val="-9"/>
        </w:rPr>
        <w:t xml:space="preserve"> </w:t>
      </w:r>
      <w:r>
        <w:t>as</w:t>
      </w:r>
      <w:r>
        <w:rPr>
          <w:spacing w:val="-7"/>
        </w:rPr>
        <w:t xml:space="preserve"> </w:t>
      </w:r>
      <w:r>
        <w:t>noted</w:t>
      </w:r>
      <w:r>
        <w:rPr>
          <w:spacing w:val="-8"/>
        </w:rPr>
        <w:t xml:space="preserve"> </w:t>
      </w:r>
      <w:r>
        <w:t>in</w:t>
      </w:r>
      <w:r>
        <w:rPr>
          <w:spacing w:val="-9"/>
        </w:rPr>
        <w:t xml:space="preserve"> </w:t>
      </w:r>
      <w:r>
        <w:t>10</w:t>
      </w:r>
      <w:r>
        <w:rPr>
          <w:spacing w:val="-7"/>
        </w:rPr>
        <w:t xml:space="preserve"> </w:t>
      </w:r>
      <w:r>
        <w:t>CFR</w:t>
      </w:r>
      <w:r>
        <w:rPr>
          <w:spacing w:val="-8"/>
        </w:rPr>
        <w:t xml:space="preserve"> </w:t>
      </w:r>
      <w:r>
        <w:t>170.20</w:t>
      </w:r>
      <w:r>
        <w:rPr>
          <w:spacing w:val="-7"/>
        </w:rPr>
        <w:t xml:space="preserve"> </w:t>
      </w:r>
      <w:r>
        <w:t>“Average</w:t>
      </w:r>
      <w:r>
        <w:rPr>
          <w:spacing w:val="-9"/>
        </w:rPr>
        <w:t xml:space="preserve"> </w:t>
      </w:r>
      <w:r>
        <w:t>cost</w:t>
      </w:r>
      <w:r>
        <w:rPr>
          <w:spacing w:val="-8"/>
        </w:rPr>
        <w:t xml:space="preserve"> </w:t>
      </w:r>
      <w:r>
        <w:t>per</w:t>
      </w:r>
      <w:r>
        <w:rPr>
          <w:spacing w:val="-8"/>
        </w:rPr>
        <w:t xml:space="preserve"> </w:t>
      </w:r>
      <w:r>
        <w:t>professional staff-hour.”</w:t>
      </w:r>
      <w:r w:rsidR="002E54C9">
        <w:rPr>
          <w:spacing w:val="50"/>
        </w:rPr>
        <w:t xml:space="preserve"> </w:t>
      </w:r>
      <w:r>
        <w:t>For</w:t>
      </w:r>
      <w:r>
        <w:rPr>
          <w:spacing w:val="-8"/>
        </w:rPr>
        <w:t xml:space="preserve"> </w:t>
      </w:r>
      <w:r>
        <w:t>more</w:t>
      </w:r>
      <w:r>
        <w:rPr>
          <w:spacing w:val="-8"/>
        </w:rPr>
        <w:t xml:space="preserve"> </w:t>
      </w:r>
      <w:r>
        <w:t>information</w:t>
      </w:r>
      <w:r>
        <w:rPr>
          <w:spacing w:val="-8"/>
        </w:rPr>
        <w:t xml:space="preserve"> </w:t>
      </w:r>
      <w:r>
        <w:t>on</w:t>
      </w:r>
      <w:r>
        <w:rPr>
          <w:spacing w:val="-6"/>
        </w:rPr>
        <w:t xml:space="preserve"> </w:t>
      </w:r>
      <w:r>
        <w:t>the</w:t>
      </w:r>
      <w:r>
        <w:rPr>
          <w:spacing w:val="-8"/>
        </w:rPr>
        <w:t xml:space="preserve"> </w:t>
      </w:r>
      <w:r>
        <w:t>basis</w:t>
      </w:r>
      <w:r>
        <w:rPr>
          <w:spacing w:val="-7"/>
        </w:rPr>
        <w:t xml:space="preserve"> </w:t>
      </w:r>
      <w:r>
        <w:t>of</w:t>
      </w:r>
      <w:r>
        <w:rPr>
          <w:spacing w:val="-6"/>
        </w:rPr>
        <w:t xml:space="preserve"> </w:t>
      </w:r>
      <w:r>
        <w:t>this</w:t>
      </w:r>
      <w:r>
        <w:rPr>
          <w:spacing w:val="-8"/>
        </w:rPr>
        <w:t xml:space="preserve"> </w:t>
      </w:r>
      <w:r>
        <w:t>rate,</w:t>
      </w:r>
      <w:r>
        <w:rPr>
          <w:spacing w:val="-7"/>
        </w:rPr>
        <w:t xml:space="preserve"> </w:t>
      </w:r>
      <w:r>
        <w:t>see</w:t>
      </w:r>
      <w:r>
        <w:rPr>
          <w:spacing w:val="-8"/>
        </w:rPr>
        <w:t xml:space="preserve"> </w:t>
      </w:r>
      <w:r>
        <w:t>the</w:t>
      </w:r>
      <w:r>
        <w:rPr>
          <w:spacing w:val="-9"/>
        </w:rPr>
        <w:t xml:space="preserve"> </w:t>
      </w:r>
      <w:r>
        <w:rPr>
          <w:i/>
        </w:rPr>
        <w:t>Federal</w:t>
      </w:r>
      <w:r>
        <w:rPr>
          <w:i/>
          <w:spacing w:val="-8"/>
        </w:rPr>
        <w:t xml:space="preserve"> </w:t>
      </w:r>
      <w:r>
        <w:rPr>
          <w:i/>
        </w:rPr>
        <w:t>Register</w:t>
      </w:r>
      <w:r>
        <w:rPr>
          <w:i/>
          <w:spacing w:val="-7"/>
        </w:rPr>
        <w:t xml:space="preserve"> </w:t>
      </w:r>
      <w:r>
        <w:t>notice</w:t>
      </w:r>
      <w:r>
        <w:rPr>
          <w:spacing w:val="-8"/>
        </w:rPr>
        <w:t xml:space="preserve"> </w:t>
      </w:r>
      <w:r>
        <w:t>at: (82 FR 30682; June 30,</w:t>
      </w:r>
      <w:r>
        <w:rPr>
          <w:spacing w:val="-31"/>
        </w:rPr>
        <w:t xml:space="preserve"> </w:t>
      </w:r>
      <w:r>
        <w:rPr>
          <w:spacing w:val="-2"/>
        </w:rPr>
        <w:t>2017).</w:t>
      </w:r>
    </w:p>
    <w:p w:rsidR="006C7206" w:rsidRDefault="006C7206">
      <w:pPr>
        <w:pStyle w:val="BodyText"/>
      </w:pPr>
    </w:p>
    <w:p w:rsidR="006C7206" w:rsidRDefault="00E90B9F">
      <w:pPr>
        <w:pStyle w:val="ListParagraph"/>
        <w:numPr>
          <w:ilvl w:val="1"/>
          <w:numId w:val="1"/>
        </w:numPr>
        <w:tabs>
          <w:tab w:val="left" w:pos="500"/>
        </w:tabs>
        <w:ind w:left="499" w:hanging="359"/>
      </w:pPr>
      <w:r>
        <w:rPr>
          <w:u w:val="single"/>
        </w:rPr>
        <w:t>Estimate of Other Additional</w:t>
      </w:r>
      <w:r>
        <w:rPr>
          <w:spacing w:val="-43"/>
          <w:u w:val="single"/>
        </w:rPr>
        <w:t xml:space="preserve"> </w:t>
      </w:r>
      <w:r>
        <w:rPr>
          <w:u w:val="single"/>
        </w:rPr>
        <w:t>Costs</w:t>
      </w:r>
    </w:p>
    <w:p w:rsidR="006C7206" w:rsidRDefault="00E90B9F">
      <w:pPr>
        <w:pStyle w:val="BodyText"/>
        <w:spacing w:before="181"/>
        <w:ind w:left="499" w:right="35"/>
      </w:pPr>
      <w:r>
        <w:t xml:space="preserve">The quantity of records to be maintained is roughly proportional to the recordkeeping burden. </w:t>
      </w:r>
      <w:r w:rsidR="002E54C9">
        <w:t xml:space="preserve"> </w:t>
      </w:r>
      <w:r>
        <w:t xml:space="preserve">Based on the number of pages maintained for a typical clearance, the records storage cost has been determined to be equal to 0.0004 times the recordkeeping burden cost. </w:t>
      </w:r>
      <w:r w:rsidR="002E54C9">
        <w:t xml:space="preserve"> </w:t>
      </w:r>
      <w:r>
        <w:t>Therefore, the storage cost for this clearance is $3,408 (32,400 hours recordkeeping [4,500 hours for NRC licensees + 27,900 hours for Agreement State licensees] x .0004 x $263/hour).</w:t>
      </w:r>
    </w:p>
    <w:p w:rsidR="006C7206" w:rsidRDefault="006C7206">
      <w:pPr>
        <w:pStyle w:val="BodyText"/>
      </w:pPr>
    </w:p>
    <w:p w:rsidR="006C7206" w:rsidRDefault="00E90B9F">
      <w:pPr>
        <w:pStyle w:val="ListParagraph"/>
        <w:numPr>
          <w:ilvl w:val="1"/>
          <w:numId w:val="1"/>
        </w:numPr>
        <w:tabs>
          <w:tab w:val="left" w:pos="471"/>
        </w:tabs>
        <w:ind w:left="470" w:hanging="360"/>
      </w:pPr>
      <w:r>
        <w:rPr>
          <w:u w:val="single"/>
        </w:rPr>
        <w:t>Estimated</w:t>
      </w:r>
      <w:r>
        <w:rPr>
          <w:spacing w:val="-14"/>
          <w:u w:val="single"/>
        </w:rPr>
        <w:t xml:space="preserve"> </w:t>
      </w:r>
      <w:r>
        <w:rPr>
          <w:u w:val="single"/>
        </w:rPr>
        <w:t>Annualized</w:t>
      </w:r>
      <w:r>
        <w:rPr>
          <w:spacing w:val="-15"/>
          <w:u w:val="single"/>
        </w:rPr>
        <w:t xml:space="preserve"> </w:t>
      </w:r>
      <w:r>
        <w:rPr>
          <w:u w:val="single"/>
        </w:rPr>
        <w:t>Cost</w:t>
      </w:r>
      <w:r>
        <w:rPr>
          <w:spacing w:val="-15"/>
          <w:u w:val="single"/>
        </w:rPr>
        <w:t xml:space="preserve"> </w:t>
      </w:r>
      <w:r>
        <w:rPr>
          <w:u w:val="single"/>
        </w:rPr>
        <w:t>to</w:t>
      </w:r>
      <w:r>
        <w:rPr>
          <w:spacing w:val="-14"/>
          <w:u w:val="single"/>
        </w:rPr>
        <w:t xml:space="preserve"> </w:t>
      </w:r>
      <w:r>
        <w:rPr>
          <w:u w:val="single"/>
        </w:rPr>
        <w:t>the</w:t>
      </w:r>
      <w:r>
        <w:rPr>
          <w:spacing w:val="-14"/>
          <w:u w:val="single"/>
        </w:rPr>
        <w:t xml:space="preserve"> </w:t>
      </w:r>
      <w:r>
        <w:rPr>
          <w:u w:val="single"/>
        </w:rPr>
        <w:t>Federal</w:t>
      </w:r>
      <w:r>
        <w:rPr>
          <w:spacing w:val="-14"/>
          <w:u w:val="single"/>
        </w:rPr>
        <w:t xml:space="preserve"> </w:t>
      </w:r>
      <w:r>
        <w:rPr>
          <w:u w:val="single"/>
        </w:rPr>
        <w:t>Government</w:t>
      </w:r>
    </w:p>
    <w:p w:rsidR="00A87190" w:rsidRDefault="00A87190" w:rsidP="00A87190">
      <w:pPr>
        <w:pStyle w:val="BodyText"/>
        <w:ind w:left="461" w:right="331"/>
        <w:jc w:val="both"/>
      </w:pPr>
    </w:p>
    <w:p w:rsidR="006C7206" w:rsidRDefault="00E90B9F" w:rsidP="00826760">
      <w:pPr>
        <w:pStyle w:val="BodyText"/>
        <w:ind w:left="461" w:right="331"/>
      </w:pPr>
      <w:r>
        <w:t>The staff has developed estimates of annualized costs to th</w:t>
      </w:r>
      <w:r w:rsidR="00826760">
        <w:t xml:space="preserve">e Federal Government related to </w:t>
      </w:r>
      <w:r>
        <w:t>the conduct of this collection of information. These estimates are based on staff experience and subject matter expertise and include the burden needed to review, analyze, and process the collected information and any relevant operational expenses.</w:t>
      </w:r>
    </w:p>
    <w:p w:rsidR="006C7206" w:rsidRDefault="006C7206" w:rsidP="00826760">
      <w:pPr>
        <w:pStyle w:val="BodyText"/>
        <w:spacing w:before="10"/>
        <w:rPr>
          <w:sz w:val="21"/>
        </w:rPr>
      </w:pPr>
    </w:p>
    <w:p w:rsidR="006C7206" w:rsidRDefault="00E90B9F" w:rsidP="00A87190">
      <w:pPr>
        <w:pStyle w:val="BodyText"/>
        <w:spacing w:before="1"/>
        <w:ind w:left="460" w:right="1310"/>
      </w:pPr>
      <w:r>
        <w:t>The estimated cost of NRC professional review and other efforts attributable to the 10 CFR 31 requirements addressed in this clearance is $1,293,960 (4,920 hours x</w:t>
      </w:r>
      <w:r w:rsidR="00A87190">
        <w:t xml:space="preserve"> </w:t>
      </w:r>
      <w:r>
        <w:t>$263/hour).</w:t>
      </w:r>
    </w:p>
    <w:p w:rsidR="006C7206" w:rsidRDefault="006C7206">
      <w:pPr>
        <w:pStyle w:val="BodyText"/>
      </w:pPr>
    </w:p>
    <w:p w:rsidR="006C7206" w:rsidRDefault="00E90B9F">
      <w:pPr>
        <w:pStyle w:val="ListParagraph"/>
        <w:numPr>
          <w:ilvl w:val="1"/>
          <w:numId w:val="1"/>
        </w:numPr>
        <w:tabs>
          <w:tab w:val="left" w:pos="501"/>
        </w:tabs>
        <w:ind w:left="500" w:hanging="361"/>
      </w:pPr>
      <w:r>
        <w:rPr>
          <w:u w:val="single"/>
        </w:rPr>
        <w:t>Reasons</w:t>
      </w:r>
      <w:r>
        <w:rPr>
          <w:spacing w:val="-9"/>
          <w:u w:val="single"/>
        </w:rPr>
        <w:t xml:space="preserve"> </w:t>
      </w:r>
      <w:r>
        <w:rPr>
          <w:u w:val="single"/>
        </w:rPr>
        <w:t>for</w:t>
      </w:r>
      <w:r>
        <w:rPr>
          <w:spacing w:val="-11"/>
          <w:u w:val="single"/>
        </w:rPr>
        <w:t xml:space="preserve"> </w:t>
      </w:r>
      <w:r>
        <w:rPr>
          <w:u w:val="single"/>
        </w:rPr>
        <w:t>Change</w:t>
      </w:r>
      <w:r>
        <w:rPr>
          <w:spacing w:val="-8"/>
          <w:u w:val="single"/>
        </w:rPr>
        <w:t xml:space="preserve"> </w:t>
      </w:r>
      <w:r>
        <w:rPr>
          <w:u w:val="single"/>
        </w:rPr>
        <w:t>in</w:t>
      </w:r>
      <w:r>
        <w:rPr>
          <w:spacing w:val="-9"/>
          <w:u w:val="single"/>
        </w:rPr>
        <w:t xml:space="preserve"> </w:t>
      </w:r>
      <w:r>
        <w:rPr>
          <w:u w:val="single"/>
        </w:rPr>
        <w:t>Burden</w:t>
      </w:r>
      <w:r>
        <w:rPr>
          <w:spacing w:val="-8"/>
          <w:u w:val="single"/>
        </w:rPr>
        <w:t xml:space="preserve"> </w:t>
      </w:r>
      <w:r>
        <w:rPr>
          <w:u w:val="single"/>
        </w:rPr>
        <w:t>or</w:t>
      </w:r>
      <w:r>
        <w:rPr>
          <w:spacing w:val="-8"/>
          <w:u w:val="single"/>
        </w:rPr>
        <w:t xml:space="preserve"> </w:t>
      </w:r>
      <w:r>
        <w:rPr>
          <w:u w:val="single"/>
        </w:rPr>
        <w:t>Cost</w:t>
      </w:r>
    </w:p>
    <w:p w:rsidR="006C7206" w:rsidRDefault="006C7206">
      <w:pPr>
        <w:pStyle w:val="BodyText"/>
        <w:spacing w:before="10"/>
        <w:rPr>
          <w:sz w:val="13"/>
        </w:rPr>
      </w:pPr>
    </w:p>
    <w:p w:rsidR="006C7206" w:rsidRDefault="00E90B9F">
      <w:pPr>
        <w:pStyle w:val="BodyText"/>
        <w:spacing w:before="92"/>
        <w:ind w:left="460" w:right="148"/>
      </w:pPr>
      <w:r>
        <w:t>The estimated</w:t>
      </w:r>
      <w:r w:rsidR="00C61BB2">
        <w:t xml:space="preserve"> overall burden increased by 452</w:t>
      </w:r>
      <w:r>
        <w:t xml:space="preserve"> hours from 36,186 hours to 36,638 hours. This is primarily due to the fact that the new estimate incorporates an updated estimate of the total number of general licenses in NRC jurisdiction and in Agreement States, which led to a slight increase in the estimated number of burden hours attributable to recordkeeping. </w:t>
      </w:r>
      <w:r w:rsidR="00A87190">
        <w:t xml:space="preserve"> </w:t>
      </w:r>
      <w:r>
        <w:t>Also, burden in this supporting statement more accurately accounts for burden due to third-party disclosures.</w:t>
      </w:r>
    </w:p>
    <w:p w:rsidR="006C7206" w:rsidRDefault="006C7206">
      <w:pPr>
        <w:pStyle w:val="BodyText"/>
        <w:spacing w:before="10"/>
        <w:rPr>
          <w:sz w:val="21"/>
        </w:rPr>
      </w:pPr>
    </w:p>
    <w:p w:rsidR="006C7206" w:rsidRDefault="00E90B9F">
      <w:pPr>
        <w:pStyle w:val="BodyText"/>
        <w:ind w:left="460"/>
      </w:pPr>
      <w:r>
        <w:t>In addition, the fee rate decreased from $279 to $263 per hour.</w:t>
      </w:r>
    </w:p>
    <w:p w:rsidR="006C7206" w:rsidRDefault="006C7206">
      <w:pPr>
        <w:pStyle w:val="BodyText"/>
      </w:pPr>
    </w:p>
    <w:p w:rsidR="006C7206" w:rsidRDefault="00E90B9F">
      <w:pPr>
        <w:pStyle w:val="ListParagraph"/>
        <w:numPr>
          <w:ilvl w:val="1"/>
          <w:numId w:val="1"/>
        </w:numPr>
        <w:tabs>
          <w:tab w:val="left" w:pos="471"/>
        </w:tabs>
        <w:ind w:left="470" w:hanging="360"/>
      </w:pPr>
      <w:r>
        <w:rPr>
          <w:u w:val="single"/>
        </w:rPr>
        <w:t>Publication</w:t>
      </w:r>
      <w:r>
        <w:rPr>
          <w:spacing w:val="-18"/>
          <w:u w:val="single"/>
        </w:rPr>
        <w:t xml:space="preserve"> </w:t>
      </w:r>
      <w:r>
        <w:rPr>
          <w:u w:val="single"/>
        </w:rPr>
        <w:t>for</w:t>
      </w:r>
      <w:r>
        <w:rPr>
          <w:spacing w:val="-18"/>
          <w:u w:val="single"/>
        </w:rPr>
        <w:t xml:space="preserve"> </w:t>
      </w:r>
      <w:r>
        <w:rPr>
          <w:u w:val="single"/>
        </w:rPr>
        <w:t>Statistical</w:t>
      </w:r>
      <w:r>
        <w:rPr>
          <w:spacing w:val="-17"/>
          <w:u w:val="single"/>
        </w:rPr>
        <w:t xml:space="preserve"> </w:t>
      </w:r>
      <w:r>
        <w:rPr>
          <w:u w:val="single"/>
        </w:rPr>
        <w:t>Use</w:t>
      </w:r>
    </w:p>
    <w:p w:rsidR="006C7206" w:rsidRDefault="006C7206">
      <w:pPr>
        <w:pStyle w:val="BodyText"/>
        <w:spacing w:before="11"/>
        <w:rPr>
          <w:sz w:val="13"/>
        </w:rPr>
      </w:pPr>
    </w:p>
    <w:p w:rsidR="006C7206" w:rsidRDefault="00E90B9F">
      <w:pPr>
        <w:pStyle w:val="BodyText"/>
        <w:spacing w:before="92"/>
        <w:ind w:left="460"/>
      </w:pPr>
      <w:r>
        <w:t>This information will not be published for statistical use.</w:t>
      </w:r>
    </w:p>
    <w:p w:rsidR="003A1713" w:rsidRDefault="003A1713">
      <w:pPr>
        <w:pStyle w:val="BodyText"/>
        <w:spacing w:before="10"/>
        <w:rPr>
          <w:sz w:val="21"/>
        </w:rPr>
      </w:pPr>
    </w:p>
    <w:p w:rsidR="006C7206" w:rsidRDefault="00E90B9F">
      <w:pPr>
        <w:pStyle w:val="ListParagraph"/>
        <w:numPr>
          <w:ilvl w:val="1"/>
          <w:numId w:val="1"/>
        </w:numPr>
        <w:tabs>
          <w:tab w:val="left" w:pos="511"/>
        </w:tabs>
        <w:ind w:left="510" w:hanging="368"/>
      </w:pPr>
      <w:r>
        <w:rPr>
          <w:u w:val="single"/>
        </w:rPr>
        <w:t>Reason</w:t>
      </w:r>
      <w:r>
        <w:rPr>
          <w:spacing w:val="-11"/>
          <w:u w:val="single"/>
        </w:rPr>
        <w:t xml:space="preserve"> </w:t>
      </w:r>
      <w:r>
        <w:rPr>
          <w:u w:val="single"/>
        </w:rPr>
        <w:t>for</w:t>
      </w:r>
      <w:r>
        <w:rPr>
          <w:spacing w:val="-10"/>
          <w:u w:val="single"/>
        </w:rPr>
        <w:t xml:space="preserve"> </w:t>
      </w:r>
      <w:r>
        <w:rPr>
          <w:u w:val="single"/>
        </w:rPr>
        <w:t>Not</w:t>
      </w:r>
      <w:r>
        <w:rPr>
          <w:spacing w:val="-11"/>
          <w:u w:val="single"/>
        </w:rPr>
        <w:t xml:space="preserve"> </w:t>
      </w:r>
      <w:r>
        <w:rPr>
          <w:u w:val="single"/>
        </w:rPr>
        <w:t>Displaying</w:t>
      </w:r>
      <w:r>
        <w:rPr>
          <w:spacing w:val="-10"/>
          <w:u w:val="single"/>
        </w:rPr>
        <w:t xml:space="preserve"> </w:t>
      </w:r>
      <w:r>
        <w:rPr>
          <w:u w:val="single"/>
        </w:rPr>
        <w:t>the</w:t>
      </w:r>
      <w:r>
        <w:rPr>
          <w:spacing w:val="-12"/>
          <w:u w:val="single"/>
        </w:rPr>
        <w:t xml:space="preserve"> </w:t>
      </w:r>
      <w:r>
        <w:rPr>
          <w:u w:val="single"/>
        </w:rPr>
        <w:t>Expiration</w:t>
      </w:r>
      <w:r>
        <w:rPr>
          <w:spacing w:val="-12"/>
          <w:u w:val="single"/>
        </w:rPr>
        <w:t xml:space="preserve"> </w:t>
      </w:r>
      <w:r>
        <w:rPr>
          <w:u w:val="single"/>
        </w:rPr>
        <w:t>Date</w:t>
      </w:r>
    </w:p>
    <w:p w:rsidR="00A87190" w:rsidRDefault="00A87190" w:rsidP="00A87190">
      <w:pPr>
        <w:pStyle w:val="BodyText"/>
        <w:ind w:left="504" w:right="346" w:hanging="43"/>
      </w:pPr>
    </w:p>
    <w:p w:rsidR="006C7206" w:rsidRDefault="00E90B9F" w:rsidP="00A87190">
      <w:pPr>
        <w:pStyle w:val="BodyText"/>
        <w:tabs>
          <w:tab w:val="left" w:pos="9000"/>
        </w:tabs>
        <w:ind w:left="504" w:right="346" w:hanging="43"/>
        <w:rPr>
          <w:rFonts w:ascii="Times New Roman"/>
        </w:rPr>
      </w:pPr>
      <w:r>
        <w:t xml:space="preserve">The requirement is contained in a regulation. </w:t>
      </w:r>
      <w:r w:rsidR="003A1713">
        <w:t xml:space="preserve"> </w:t>
      </w:r>
      <w:r>
        <w:t>Amending the Code of Federal</w:t>
      </w:r>
      <w:r w:rsidR="00A87190">
        <w:t xml:space="preserve"> </w:t>
      </w:r>
      <w:r>
        <w:t>Regulations to display information that, in an annual publication, could become obsolete would be unduly burdensome and too difficult to keep current</w:t>
      </w:r>
      <w:r>
        <w:rPr>
          <w:rFonts w:ascii="Times New Roman"/>
        </w:rPr>
        <w:t>.</w:t>
      </w:r>
    </w:p>
    <w:p w:rsidR="006C7206" w:rsidRDefault="00E90B9F">
      <w:pPr>
        <w:pStyle w:val="ListParagraph"/>
        <w:numPr>
          <w:ilvl w:val="1"/>
          <w:numId w:val="1"/>
        </w:numPr>
        <w:tabs>
          <w:tab w:val="left" w:pos="507"/>
        </w:tabs>
        <w:ind w:left="506" w:hanging="367"/>
      </w:pPr>
      <w:r>
        <w:rPr>
          <w:u w:val="single"/>
        </w:rPr>
        <w:t>Exceptions</w:t>
      </w:r>
      <w:r>
        <w:rPr>
          <w:spacing w:val="-15"/>
          <w:u w:val="single"/>
        </w:rPr>
        <w:t xml:space="preserve"> </w:t>
      </w:r>
      <w:r>
        <w:rPr>
          <w:u w:val="single"/>
        </w:rPr>
        <w:t>to</w:t>
      </w:r>
      <w:r>
        <w:rPr>
          <w:spacing w:val="-16"/>
          <w:u w:val="single"/>
        </w:rPr>
        <w:t xml:space="preserve"> </w:t>
      </w:r>
      <w:r>
        <w:rPr>
          <w:u w:val="single"/>
        </w:rPr>
        <w:t>the</w:t>
      </w:r>
      <w:r>
        <w:rPr>
          <w:spacing w:val="-16"/>
          <w:u w:val="single"/>
        </w:rPr>
        <w:t xml:space="preserve"> </w:t>
      </w:r>
      <w:r>
        <w:rPr>
          <w:u w:val="single"/>
        </w:rPr>
        <w:t>Certification</w:t>
      </w:r>
      <w:r>
        <w:rPr>
          <w:spacing w:val="-14"/>
          <w:u w:val="single"/>
        </w:rPr>
        <w:t xml:space="preserve"> </w:t>
      </w:r>
      <w:r>
        <w:rPr>
          <w:u w:val="single"/>
        </w:rPr>
        <w:t>Statement</w:t>
      </w:r>
    </w:p>
    <w:p w:rsidR="006C7206" w:rsidRDefault="006C7206">
      <w:pPr>
        <w:pStyle w:val="BodyText"/>
        <w:spacing w:before="9"/>
        <w:rPr>
          <w:sz w:val="13"/>
        </w:rPr>
      </w:pPr>
    </w:p>
    <w:p w:rsidR="006C7206" w:rsidRDefault="00E90B9F">
      <w:pPr>
        <w:pStyle w:val="BodyText"/>
        <w:spacing w:before="92"/>
        <w:ind w:left="460"/>
      </w:pPr>
      <w:r>
        <w:t>There are no exceptions.</w:t>
      </w:r>
    </w:p>
    <w:p w:rsidR="003A1713" w:rsidRDefault="003A1713">
      <w:pPr>
        <w:pStyle w:val="BodyText"/>
        <w:spacing w:before="92"/>
        <w:ind w:left="460"/>
      </w:pPr>
    </w:p>
    <w:p w:rsidR="006C7206" w:rsidRDefault="00E90B9F">
      <w:pPr>
        <w:pStyle w:val="ListParagraph"/>
        <w:numPr>
          <w:ilvl w:val="0"/>
          <w:numId w:val="1"/>
        </w:numPr>
        <w:tabs>
          <w:tab w:val="left" w:pos="733"/>
          <w:tab w:val="left" w:pos="734"/>
        </w:tabs>
        <w:spacing w:before="93"/>
        <w:ind w:left="734" w:hanging="634"/>
      </w:pPr>
      <w:r>
        <w:rPr>
          <w:u w:val="single"/>
        </w:rPr>
        <w:t>COLLECTIONS</w:t>
      </w:r>
      <w:r>
        <w:rPr>
          <w:spacing w:val="-29"/>
          <w:u w:val="single"/>
        </w:rPr>
        <w:t xml:space="preserve"> </w:t>
      </w:r>
      <w:r>
        <w:rPr>
          <w:u w:val="single"/>
        </w:rPr>
        <w:t>OF</w:t>
      </w:r>
      <w:r>
        <w:rPr>
          <w:spacing w:val="-28"/>
          <w:u w:val="single"/>
        </w:rPr>
        <w:t xml:space="preserve"> </w:t>
      </w:r>
      <w:r>
        <w:rPr>
          <w:u w:val="single"/>
        </w:rPr>
        <w:t>INFORMATION</w:t>
      </w:r>
      <w:r>
        <w:rPr>
          <w:spacing w:val="-29"/>
          <w:u w:val="single"/>
        </w:rPr>
        <w:t xml:space="preserve"> </w:t>
      </w:r>
      <w:r>
        <w:rPr>
          <w:u w:val="single"/>
        </w:rPr>
        <w:t>EMPLOYING</w:t>
      </w:r>
      <w:r>
        <w:rPr>
          <w:spacing w:val="-29"/>
          <w:u w:val="single"/>
        </w:rPr>
        <w:t xml:space="preserve"> </w:t>
      </w:r>
      <w:r>
        <w:rPr>
          <w:u w:val="single"/>
        </w:rPr>
        <w:t>STATISTICAL</w:t>
      </w:r>
      <w:r>
        <w:rPr>
          <w:spacing w:val="-29"/>
          <w:u w:val="single"/>
        </w:rPr>
        <w:t xml:space="preserve"> </w:t>
      </w:r>
      <w:r>
        <w:rPr>
          <w:u w:val="single"/>
        </w:rPr>
        <w:t>METHODS</w:t>
      </w:r>
    </w:p>
    <w:p w:rsidR="006C7206" w:rsidRDefault="006C7206">
      <w:pPr>
        <w:pStyle w:val="BodyText"/>
        <w:spacing w:before="9"/>
        <w:rPr>
          <w:sz w:val="13"/>
        </w:rPr>
      </w:pPr>
    </w:p>
    <w:p w:rsidR="00BC31DA" w:rsidRDefault="00E90B9F">
      <w:pPr>
        <w:pStyle w:val="BodyText"/>
        <w:spacing w:before="93"/>
        <w:ind w:left="920"/>
      </w:pPr>
      <w:r>
        <w:t>Statistical methods are not used in this collection of information.</w:t>
      </w:r>
    </w:p>
    <w:p w:rsidR="006C7206" w:rsidRDefault="00BC31DA">
      <w:pPr>
        <w:pStyle w:val="BodyText"/>
        <w:spacing w:before="93"/>
        <w:ind w:left="920"/>
      </w:pPr>
      <w:r>
        <w:br w:type="column"/>
      </w:r>
    </w:p>
    <w:p w:rsidR="006C7206" w:rsidRDefault="006C7206"/>
    <w:p w:rsidR="006C7206" w:rsidRDefault="00E90B9F">
      <w:pPr>
        <w:pStyle w:val="BodyText"/>
        <w:spacing w:before="187" w:after="2"/>
        <w:ind w:left="1722"/>
      </w:pPr>
      <w:r>
        <w:t>Table 1 - Reporting Requirements for 10 CFR Part 31 NRC Licensees</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00"/>
        <w:gridCol w:w="1502"/>
        <w:gridCol w:w="1308"/>
        <w:gridCol w:w="1308"/>
        <w:gridCol w:w="1199"/>
        <w:gridCol w:w="920"/>
        <w:gridCol w:w="1183"/>
      </w:tblGrid>
      <w:tr w:rsidR="006C7206">
        <w:trPr>
          <w:trHeight w:hRule="exact" w:val="1001"/>
        </w:trPr>
        <w:tc>
          <w:tcPr>
            <w:tcW w:w="1260" w:type="dxa"/>
          </w:tcPr>
          <w:p w:rsidR="006C7206" w:rsidRDefault="00E90B9F">
            <w:pPr>
              <w:pStyle w:val="TableParagraph"/>
              <w:rPr>
                <w:sz w:val="20"/>
              </w:rPr>
            </w:pPr>
            <w:r>
              <w:rPr>
                <w:sz w:val="20"/>
              </w:rPr>
              <w:t>Section</w:t>
            </w:r>
          </w:p>
        </w:tc>
        <w:tc>
          <w:tcPr>
            <w:tcW w:w="1400" w:type="dxa"/>
          </w:tcPr>
          <w:p w:rsidR="006C7206" w:rsidRDefault="00E90B9F">
            <w:pPr>
              <w:pStyle w:val="TableParagraph"/>
              <w:rPr>
                <w:sz w:val="20"/>
              </w:rPr>
            </w:pPr>
            <w:r>
              <w:rPr>
                <w:sz w:val="20"/>
              </w:rPr>
              <w:t>Description</w:t>
            </w:r>
          </w:p>
        </w:tc>
        <w:tc>
          <w:tcPr>
            <w:tcW w:w="1502" w:type="dxa"/>
          </w:tcPr>
          <w:p w:rsidR="006C7206" w:rsidRDefault="00E90B9F">
            <w:pPr>
              <w:pStyle w:val="TableParagraph"/>
              <w:ind w:right="191"/>
              <w:rPr>
                <w:sz w:val="20"/>
              </w:rPr>
            </w:pPr>
            <w:r>
              <w:rPr>
                <w:sz w:val="20"/>
              </w:rPr>
              <w:t>Number of Respondents</w:t>
            </w:r>
          </w:p>
        </w:tc>
        <w:tc>
          <w:tcPr>
            <w:tcW w:w="1308" w:type="dxa"/>
          </w:tcPr>
          <w:p w:rsidR="006C7206" w:rsidRDefault="00E90B9F">
            <w:pPr>
              <w:pStyle w:val="TableParagraph"/>
              <w:ind w:right="174"/>
              <w:rPr>
                <w:sz w:val="20"/>
              </w:rPr>
            </w:pPr>
            <w:r>
              <w:rPr>
                <w:sz w:val="20"/>
              </w:rPr>
              <w:t>Number of Responses</w:t>
            </w:r>
          </w:p>
        </w:tc>
        <w:tc>
          <w:tcPr>
            <w:tcW w:w="1308" w:type="dxa"/>
          </w:tcPr>
          <w:p w:rsidR="006C7206" w:rsidRDefault="00E90B9F">
            <w:pPr>
              <w:pStyle w:val="TableParagraph"/>
              <w:ind w:right="174"/>
              <w:rPr>
                <w:sz w:val="20"/>
              </w:rPr>
            </w:pPr>
            <w:r>
              <w:rPr>
                <w:sz w:val="20"/>
              </w:rPr>
              <w:t>Total Annual Responses</w:t>
            </w:r>
          </w:p>
        </w:tc>
        <w:tc>
          <w:tcPr>
            <w:tcW w:w="1199" w:type="dxa"/>
          </w:tcPr>
          <w:p w:rsidR="006C7206" w:rsidRDefault="00E90B9F">
            <w:pPr>
              <w:pStyle w:val="TableParagraph"/>
              <w:ind w:right="165"/>
              <w:rPr>
                <w:sz w:val="20"/>
              </w:rPr>
            </w:pPr>
            <w:r>
              <w:rPr>
                <w:sz w:val="20"/>
              </w:rPr>
              <w:t>Burden Hours Per Response (hours)</w:t>
            </w:r>
          </w:p>
        </w:tc>
        <w:tc>
          <w:tcPr>
            <w:tcW w:w="920" w:type="dxa"/>
          </w:tcPr>
          <w:p w:rsidR="006C7206" w:rsidRDefault="00E90B9F">
            <w:pPr>
              <w:pStyle w:val="TableParagraph"/>
              <w:ind w:left="104" w:right="141"/>
              <w:rPr>
                <w:sz w:val="20"/>
              </w:rPr>
            </w:pPr>
            <w:r>
              <w:rPr>
                <w:sz w:val="20"/>
              </w:rPr>
              <w:t>Total Annual Burden (hours)</w:t>
            </w:r>
          </w:p>
        </w:tc>
        <w:tc>
          <w:tcPr>
            <w:tcW w:w="1182" w:type="dxa"/>
          </w:tcPr>
          <w:p w:rsidR="006C7206" w:rsidRDefault="00E90B9F">
            <w:pPr>
              <w:pStyle w:val="TableParagraph"/>
              <w:rPr>
                <w:sz w:val="20"/>
              </w:rPr>
            </w:pPr>
            <w:r>
              <w:rPr>
                <w:sz w:val="20"/>
              </w:rPr>
              <w:t>Cost @</w:t>
            </w:r>
          </w:p>
          <w:p w:rsidR="006C7206" w:rsidRDefault="00E90B9F">
            <w:pPr>
              <w:pStyle w:val="TableParagraph"/>
              <w:spacing w:before="0"/>
              <w:rPr>
                <w:sz w:val="20"/>
              </w:rPr>
            </w:pPr>
            <w:r>
              <w:rPr>
                <w:sz w:val="20"/>
              </w:rPr>
              <w:t>$263/hr</w:t>
            </w:r>
          </w:p>
        </w:tc>
      </w:tr>
      <w:tr w:rsidR="006C7206">
        <w:trPr>
          <w:trHeight w:hRule="exact" w:val="541"/>
        </w:trPr>
        <w:tc>
          <w:tcPr>
            <w:tcW w:w="1260" w:type="dxa"/>
          </w:tcPr>
          <w:p w:rsidR="006C7206" w:rsidRDefault="00E90B9F">
            <w:pPr>
              <w:pStyle w:val="TableParagraph"/>
              <w:spacing w:before="69"/>
              <w:rPr>
                <w:sz w:val="20"/>
              </w:rPr>
            </w:pPr>
            <w:r>
              <w:rPr>
                <w:sz w:val="20"/>
              </w:rPr>
              <w:t>31.5(c)(5)</w:t>
            </w:r>
          </w:p>
        </w:tc>
        <w:tc>
          <w:tcPr>
            <w:tcW w:w="1400" w:type="dxa"/>
          </w:tcPr>
          <w:p w:rsidR="006C7206" w:rsidRDefault="00E90B9F">
            <w:pPr>
              <w:pStyle w:val="TableParagraph"/>
              <w:spacing w:before="69"/>
              <w:ind w:right="645" w:hanging="1"/>
              <w:rPr>
                <w:sz w:val="20"/>
              </w:rPr>
            </w:pPr>
            <w:r>
              <w:rPr>
                <w:sz w:val="20"/>
              </w:rPr>
              <w:t>Event reports</w:t>
            </w:r>
          </w:p>
        </w:tc>
        <w:tc>
          <w:tcPr>
            <w:tcW w:w="1502" w:type="dxa"/>
          </w:tcPr>
          <w:p w:rsidR="006C7206" w:rsidRDefault="00E90B9F">
            <w:pPr>
              <w:pStyle w:val="TableParagraph"/>
              <w:spacing w:before="69"/>
            </w:pPr>
            <w:r>
              <w:rPr>
                <w:w w:val="99"/>
              </w:rPr>
              <w:t>2</w:t>
            </w:r>
          </w:p>
        </w:tc>
        <w:tc>
          <w:tcPr>
            <w:tcW w:w="1308" w:type="dxa"/>
          </w:tcPr>
          <w:p w:rsidR="006C7206" w:rsidRDefault="00E90B9F">
            <w:pPr>
              <w:pStyle w:val="TableParagraph"/>
              <w:spacing w:before="69"/>
            </w:pPr>
            <w:r>
              <w:rPr>
                <w:w w:val="99"/>
              </w:rPr>
              <w:t>1</w:t>
            </w:r>
          </w:p>
        </w:tc>
        <w:tc>
          <w:tcPr>
            <w:tcW w:w="1308" w:type="dxa"/>
          </w:tcPr>
          <w:p w:rsidR="006C7206" w:rsidRDefault="00E90B9F">
            <w:pPr>
              <w:pStyle w:val="TableParagraph"/>
              <w:spacing w:before="69"/>
            </w:pPr>
            <w:r>
              <w:rPr>
                <w:w w:val="99"/>
              </w:rPr>
              <w:t>2</w:t>
            </w:r>
          </w:p>
        </w:tc>
        <w:tc>
          <w:tcPr>
            <w:tcW w:w="1199" w:type="dxa"/>
          </w:tcPr>
          <w:p w:rsidR="006C7206" w:rsidRDefault="00E90B9F">
            <w:pPr>
              <w:pStyle w:val="TableParagraph"/>
              <w:spacing w:before="69"/>
            </w:pPr>
            <w:r>
              <w:t>2.8</w:t>
            </w:r>
          </w:p>
        </w:tc>
        <w:tc>
          <w:tcPr>
            <w:tcW w:w="920" w:type="dxa"/>
          </w:tcPr>
          <w:p w:rsidR="006C7206" w:rsidRDefault="00E90B9F">
            <w:pPr>
              <w:pStyle w:val="TableParagraph"/>
              <w:spacing w:before="69"/>
              <w:ind w:left="104"/>
            </w:pPr>
            <w:r>
              <w:rPr>
                <w:w w:val="99"/>
              </w:rPr>
              <w:t>6</w:t>
            </w:r>
          </w:p>
        </w:tc>
        <w:tc>
          <w:tcPr>
            <w:tcW w:w="1182" w:type="dxa"/>
          </w:tcPr>
          <w:p w:rsidR="006C7206" w:rsidRDefault="00E90B9F">
            <w:pPr>
              <w:pStyle w:val="TableParagraph"/>
              <w:spacing w:before="69"/>
            </w:pPr>
            <w:r>
              <w:t>1,578</w:t>
            </w:r>
          </w:p>
        </w:tc>
      </w:tr>
      <w:tr w:rsidR="006C7206">
        <w:trPr>
          <w:trHeight w:hRule="exact" w:val="541"/>
        </w:trPr>
        <w:tc>
          <w:tcPr>
            <w:tcW w:w="1260" w:type="dxa"/>
          </w:tcPr>
          <w:p w:rsidR="006C7206" w:rsidRDefault="00E90B9F">
            <w:pPr>
              <w:pStyle w:val="TableParagraph"/>
              <w:rPr>
                <w:sz w:val="20"/>
              </w:rPr>
            </w:pPr>
            <w:r>
              <w:rPr>
                <w:sz w:val="20"/>
              </w:rPr>
              <w:t>31.5(c)(8)</w:t>
            </w:r>
          </w:p>
        </w:tc>
        <w:tc>
          <w:tcPr>
            <w:tcW w:w="1400" w:type="dxa"/>
          </w:tcPr>
          <w:p w:rsidR="006C7206" w:rsidRDefault="00E90B9F">
            <w:pPr>
              <w:pStyle w:val="TableParagraph"/>
              <w:ind w:right="523"/>
              <w:rPr>
                <w:sz w:val="20"/>
              </w:rPr>
            </w:pPr>
            <w:r>
              <w:rPr>
                <w:sz w:val="20"/>
              </w:rPr>
              <w:t>Transfer reports</w:t>
            </w:r>
          </w:p>
        </w:tc>
        <w:tc>
          <w:tcPr>
            <w:tcW w:w="1502" w:type="dxa"/>
          </w:tcPr>
          <w:p w:rsidR="006C7206" w:rsidRDefault="00E90B9F">
            <w:pPr>
              <w:pStyle w:val="TableParagraph"/>
            </w:pPr>
            <w:r>
              <w:t>310</w:t>
            </w:r>
          </w:p>
        </w:tc>
        <w:tc>
          <w:tcPr>
            <w:tcW w:w="1308" w:type="dxa"/>
          </w:tcPr>
          <w:p w:rsidR="006C7206" w:rsidRDefault="00E90B9F">
            <w:pPr>
              <w:pStyle w:val="TableParagraph"/>
            </w:pPr>
            <w:r>
              <w:rPr>
                <w:w w:val="99"/>
              </w:rPr>
              <w:t>1</w:t>
            </w:r>
          </w:p>
        </w:tc>
        <w:tc>
          <w:tcPr>
            <w:tcW w:w="1308" w:type="dxa"/>
          </w:tcPr>
          <w:p w:rsidR="006C7206" w:rsidRDefault="00E90B9F">
            <w:pPr>
              <w:pStyle w:val="TableParagraph"/>
            </w:pPr>
            <w:r>
              <w:t>310</w:t>
            </w:r>
          </w:p>
        </w:tc>
        <w:tc>
          <w:tcPr>
            <w:tcW w:w="1199" w:type="dxa"/>
          </w:tcPr>
          <w:p w:rsidR="006C7206" w:rsidRDefault="00E90B9F">
            <w:pPr>
              <w:pStyle w:val="TableParagraph"/>
            </w:pPr>
            <w:r>
              <w:t>0.6</w:t>
            </w:r>
          </w:p>
        </w:tc>
        <w:tc>
          <w:tcPr>
            <w:tcW w:w="920" w:type="dxa"/>
          </w:tcPr>
          <w:p w:rsidR="006C7206" w:rsidRDefault="00E90B9F">
            <w:pPr>
              <w:pStyle w:val="TableParagraph"/>
              <w:ind w:left="104"/>
            </w:pPr>
            <w:r>
              <w:t>186</w:t>
            </w:r>
          </w:p>
        </w:tc>
        <w:tc>
          <w:tcPr>
            <w:tcW w:w="1182" w:type="dxa"/>
          </w:tcPr>
          <w:p w:rsidR="006C7206" w:rsidRDefault="00E90B9F">
            <w:pPr>
              <w:pStyle w:val="TableParagraph"/>
            </w:pPr>
            <w:r>
              <w:t>48.918</w:t>
            </w:r>
          </w:p>
        </w:tc>
      </w:tr>
      <w:tr w:rsidR="006C7206">
        <w:trPr>
          <w:trHeight w:hRule="exact" w:val="1001"/>
        </w:trPr>
        <w:tc>
          <w:tcPr>
            <w:tcW w:w="1260" w:type="dxa"/>
          </w:tcPr>
          <w:p w:rsidR="006C7206" w:rsidRDefault="00E90B9F">
            <w:pPr>
              <w:pStyle w:val="TableParagraph"/>
              <w:rPr>
                <w:sz w:val="20"/>
              </w:rPr>
            </w:pPr>
            <w:r>
              <w:rPr>
                <w:sz w:val="20"/>
              </w:rPr>
              <w:t>31.5(c)(9)</w:t>
            </w:r>
          </w:p>
        </w:tc>
        <w:tc>
          <w:tcPr>
            <w:tcW w:w="1400" w:type="dxa"/>
          </w:tcPr>
          <w:p w:rsidR="006C7206" w:rsidRDefault="00E90B9F">
            <w:pPr>
              <w:pStyle w:val="TableParagraph"/>
              <w:ind w:right="511"/>
              <w:rPr>
                <w:sz w:val="20"/>
              </w:rPr>
            </w:pPr>
            <w:r>
              <w:rPr>
                <w:sz w:val="20"/>
              </w:rPr>
              <w:t>Transfer reports (same location)</w:t>
            </w:r>
          </w:p>
        </w:tc>
        <w:tc>
          <w:tcPr>
            <w:tcW w:w="1502" w:type="dxa"/>
          </w:tcPr>
          <w:p w:rsidR="006C7206" w:rsidRDefault="00E90B9F">
            <w:pPr>
              <w:pStyle w:val="TableParagraph"/>
            </w:pPr>
            <w:r>
              <w:t>20</w:t>
            </w:r>
          </w:p>
        </w:tc>
        <w:tc>
          <w:tcPr>
            <w:tcW w:w="1308" w:type="dxa"/>
          </w:tcPr>
          <w:p w:rsidR="006C7206" w:rsidRDefault="00E90B9F">
            <w:pPr>
              <w:pStyle w:val="TableParagraph"/>
            </w:pPr>
            <w:r>
              <w:rPr>
                <w:w w:val="99"/>
              </w:rPr>
              <w:t>1</w:t>
            </w:r>
          </w:p>
        </w:tc>
        <w:tc>
          <w:tcPr>
            <w:tcW w:w="1308" w:type="dxa"/>
          </w:tcPr>
          <w:p w:rsidR="006C7206" w:rsidRDefault="00E90B9F">
            <w:pPr>
              <w:pStyle w:val="TableParagraph"/>
            </w:pPr>
            <w:r>
              <w:t>20</w:t>
            </w:r>
          </w:p>
        </w:tc>
        <w:tc>
          <w:tcPr>
            <w:tcW w:w="1199" w:type="dxa"/>
          </w:tcPr>
          <w:p w:rsidR="006C7206" w:rsidRDefault="00E90B9F">
            <w:pPr>
              <w:pStyle w:val="TableParagraph"/>
            </w:pPr>
            <w:r>
              <w:rPr>
                <w:w w:val="99"/>
              </w:rPr>
              <w:t>1</w:t>
            </w:r>
          </w:p>
        </w:tc>
        <w:tc>
          <w:tcPr>
            <w:tcW w:w="920" w:type="dxa"/>
          </w:tcPr>
          <w:p w:rsidR="006C7206" w:rsidRDefault="00E90B9F">
            <w:pPr>
              <w:pStyle w:val="TableParagraph"/>
              <w:ind w:left="104"/>
            </w:pPr>
            <w:r>
              <w:t>20</w:t>
            </w:r>
          </w:p>
        </w:tc>
        <w:tc>
          <w:tcPr>
            <w:tcW w:w="1182" w:type="dxa"/>
          </w:tcPr>
          <w:p w:rsidR="006C7206" w:rsidRDefault="00E90B9F">
            <w:pPr>
              <w:pStyle w:val="TableParagraph"/>
            </w:pPr>
            <w:r>
              <w:t>5.260</w:t>
            </w:r>
          </w:p>
        </w:tc>
      </w:tr>
      <w:tr w:rsidR="006C7206">
        <w:trPr>
          <w:trHeight w:hRule="exact" w:val="1001"/>
        </w:trPr>
        <w:tc>
          <w:tcPr>
            <w:tcW w:w="1260" w:type="dxa"/>
          </w:tcPr>
          <w:p w:rsidR="006C7206" w:rsidRDefault="00E90B9F">
            <w:pPr>
              <w:pStyle w:val="TableParagraph"/>
              <w:rPr>
                <w:sz w:val="20"/>
              </w:rPr>
            </w:pPr>
            <w:r>
              <w:rPr>
                <w:sz w:val="20"/>
              </w:rPr>
              <w:t>31.5(c)(11)</w:t>
            </w:r>
          </w:p>
        </w:tc>
        <w:tc>
          <w:tcPr>
            <w:tcW w:w="1400" w:type="dxa"/>
          </w:tcPr>
          <w:p w:rsidR="006C7206" w:rsidRDefault="00E90B9F">
            <w:pPr>
              <w:pStyle w:val="TableParagraph"/>
              <w:ind w:right="267"/>
              <w:rPr>
                <w:sz w:val="20"/>
              </w:rPr>
            </w:pPr>
            <w:r>
              <w:rPr>
                <w:sz w:val="20"/>
              </w:rPr>
              <w:t>Responses to written NRC</w:t>
            </w:r>
          </w:p>
          <w:p w:rsidR="006C7206" w:rsidRDefault="00E90B9F">
            <w:pPr>
              <w:pStyle w:val="TableParagraph"/>
              <w:spacing w:before="0" w:line="229" w:lineRule="exact"/>
              <w:rPr>
                <w:sz w:val="20"/>
              </w:rPr>
            </w:pPr>
            <w:r>
              <w:rPr>
                <w:sz w:val="20"/>
              </w:rPr>
              <w:t>requests</w:t>
            </w:r>
          </w:p>
        </w:tc>
        <w:tc>
          <w:tcPr>
            <w:tcW w:w="1502" w:type="dxa"/>
          </w:tcPr>
          <w:p w:rsidR="006C7206" w:rsidRDefault="00E90B9F">
            <w:pPr>
              <w:pStyle w:val="TableParagraph"/>
            </w:pPr>
            <w:r>
              <w:t>600</w:t>
            </w:r>
          </w:p>
        </w:tc>
        <w:tc>
          <w:tcPr>
            <w:tcW w:w="1308" w:type="dxa"/>
          </w:tcPr>
          <w:p w:rsidR="006C7206" w:rsidRDefault="00E90B9F">
            <w:pPr>
              <w:pStyle w:val="TableParagraph"/>
            </w:pPr>
            <w:r>
              <w:rPr>
                <w:w w:val="99"/>
              </w:rPr>
              <w:t>1</w:t>
            </w:r>
          </w:p>
        </w:tc>
        <w:tc>
          <w:tcPr>
            <w:tcW w:w="1308" w:type="dxa"/>
          </w:tcPr>
          <w:p w:rsidR="006C7206" w:rsidRDefault="00E90B9F">
            <w:pPr>
              <w:pStyle w:val="TableParagraph"/>
            </w:pPr>
            <w:r>
              <w:t>600</w:t>
            </w:r>
          </w:p>
        </w:tc>
        <w:tc>
          <w:tcPr>
            <w:tcW w:w="1199" w:type="dxa"/>
          </w:tcPr>
          <w:p w:rsidR="006C7206" w:rsidRDefault="00E90B9F">
            <w:pPr>
              <w:pStyle w:val="TableParagraph"/>
            </w:pPr>
            <w:r>
              <w:t>0.34</w:t>
            </w:r>
          </w:p>
        </w:tc>
        <w:tc>
          <w:tcPr>
            <w:tcW w:w="920" w:type="dxa"/>
          </w:tcPr>
          <w:p w:rsidR="006C7206" w:rsidRDefault="00E90B9F">
            <w:pPr>
              <w:pStyle w:val="TableParagraph"/>
              <w:ind w:left="104"/>
            </w:pPr>
            <w:r>
              <w:t>204</w:t>
            </w:r>
          </w:p>
        </w:tc>
        <w:tc>
          <w:tcPr>
            <w:tcW w:w="1182" w:type="dxa"/>
          </w:tcPr>
          <w:p w:rsidR="006C7206" w:rsidRDefault="00E90B9F">
            <w:pPr>
              <w:pStyle w:val="TableParagraph"/>
              <w:ind w:left="102"/>
            </w:pPr>
            <w:r>
              <w:t>53,652</w:t>
            </w:r>
          </w:p>
        </w:tc>
      </w:tr>
      <w:tr w:rsidR="006C7206">
        <w:trPr>
          <w:trHeight w:hRule="exact" w:val="541"/>
        </w:trPr>
        <w:tc>
          <w:tcPr>
            <w:tcW w:w="1260" w:type="dxa"/>
          </w:tcPr>
          <w:p w:rsidR="006C7206" w:rsidRDefault="00E90B9F">
            <w:pPr>
              <w:pStyle w:val="TableParagraph"/>
              <w:rPr>
                <w:sz w:val="20"/>
              </w:rPr>
            </w:pPr>
            <w:r>
              <w:rPr>
                <w:sz w:val="20"/>
              </w:rPr>
              <w:t>31.5(c)(13)</w:t>
            </w:r>
          </w:p>
        </w:tc>
        <w:tc>
          <w:tcPr>
            <w:tcW w:w="1400" w:type="dxa"/>
          </w:tcPr>
          <w:p w:rsidR="006C7206" w:rsidRDefault="00E90B9F">
            <w:pPr>
              <w:pStyle w:val="TableParagraph"/>
              <w:ind w:right="278"/>
              <w:rPr>
                <w:sz w:val="20"/>
              </w:rPr>
            </w:pPr>
            <w:r>
              <w:rPr>
                <w:sz w:val="20"/>
              </w:rPr>
              <w:t>Annual registration</w:t>
            </w:r>
          </w:p>
        </w:tc>
        <w:tc>
          <w:tcPr>
            <w:tcW w:w="7420" w:type="dxa"/>
            <w:gridSpan w:val="6"/>
          </w:tcPr>
          <w:p w:rsidR="006C7206" w:rsidRDefault="00E90B9F">
            <w:pPr>
              <w:pStyle w:val="TableParagraph"/>
            </w:pPr>
            <w:r>
              <w:t>See OMB clearance 3150-0198 (NRC Form 664)</w:t>
            </w:r>
          </w:p>
        </w:tc>
      </w:tr>
      <w:tr w:rsidR="006C7206">
        <w:trPr>
          <w:trHeight w:hRule="exact" w:val="1001"/>
        </w:trPr>
        <w:tc>
          <w:tcPr>
            <w:tcW w:w="1260" w:type="dxa"/>
          </w:tcPr>
          <w:p w:rsidR="006C7206" w:rsidRDefault="00E90B9F">
            <w:pPr>
              <w:pStyle w:val="TableParagraph"/>
              <w:rPr>
                <w:sz w:val="20"/>
              </w:rPr>
            </w:pPr>
            <w:r>
              <w:rPr>
                <w:sz w:val="20"/>
              </w:rPr>
              <w:t>31.5(c)(14)</w:t>
            </w:r>
          </w:p>
        </w:tc>
        <w:tc>
          <w:tcPr>
            <w:tcW w:w="1400" w:type="dxa"/>
          </w:tcPr>
          <w:p w:rsidR="006C7206" w:rsidRDefault="00E90B9F">
            <w:pPr>
              <w:pStyle w:val="TableParagraph"/>
              <w:ind w:right="389"/>
              <w:rPr>
                <w:sz w:val="20"/>
              </w:rPr>
            </w:pPr>
            <w:r>
              <w:rPr>
                <w:sz w:val="20"/>
              </w:rPr>
              <w:t>Report change of mailing address</w:t>
            </w:r>
          </w:p>
        </w:tc>
        <w:tc>
          <w:tcPr>
            <w:tcW w:w="1502" w:type="dxa"/>
          </w:tcPr>
          <w:p w:rsidR="006C7206" w:rsidRDefault="00E90B9F">
            <w:pPr>
              <w:pStyle w:val="TableParagraph"/>
            </w:pPr>
            <w:r>
              <w:t>40</w:t>
            </w:r>
          </w:p>
        </w:tc>
        <w:tc>
          <w:tcPr>
            <w:tcW w:w="1308" w:type="dxa"/>
          </w:tcPr>
          <w:p w:rsidR="006C7206" w:rsidRDefault="00E90B9F">
            <w:pPr>
              <w:pStyle w:val="TableParagraph"/>
            </w:pPr>
            <w:r>
              <w:rPr>
                <w:w w:val="99"/>
              </w:rPr>
              <w:t>1</w:t>
            </w:r>
          </w:p>
        </w:tc>
        <w:tc>
          <w:tcPr>
            <w:tcW w:w="1308" w:type="dxa"/>
          </w:tcPr>
          <w:p w:rsidR="006C7206" w:rsidRDefault="00E90B9F">
            <w:pPr>
              <w:pStyle w:val="TableParagraph"/>
            </w:pPr>
            <w:r>
              <w:t>40</w:t>
            </w:r>
          </w:p>
        </w:tc>
        <w:tc>
          <w:tcPr>
            <w:tcW w:w="1199" w:type="dxa"/>
          </w:tcPr>
          <w:p w:rsidR="006C7206" w:rsidRDefault="00E90B9F">
            <w:pPr>
              <w:pStyle w:val="TableParagraph"/>
            </w:pPr>
            <w:r>
              <w:t>0.1</w:t>
            </w:r>
          </w:p>
        </w:tc>
        <w:tc>
          <w:tcPr>
            <w:tcW w:w="920" w:type="dxa"/>
          </w:tcPr>
          <w:p w:rsidR="006C7206" w:rsidRDefault="00E90B9F">
            <w:pPr>
              <w:pStyle w:val="TableParagraph"/>
              <w:ind w:left="104"/>
            </w:pPr>
            <w:r>
              <w:rPr>
                <w:w w:val="99"/>
              </w:rPr>
              <w:t>4</w:t>
            </w:r>
          </w:p>
        </w:tc>
        <w:tc>
          <w:tcPr>
            <w:tcW w:w="1182" w:type="dxa"/>
          </w:tcPr>
          <w:p w:rsidR="006C7206" w:rsidRDefault="00E90B9F">
            <w:pPr>
              <w:pStyle w:val="TableParagraph"/>
            </w:pPr>
            <w:r>
              <w:t>1,052</w:t>
            </w:r>
          </w:p>
        </w:tc>
      </w:tr>
      <w:tr w:rsidR="006C7206">
        <w:trPr>
          <w:trHeight w:hRule="exact" w:val="541"/>
        </w:trPr>
        <w:tc>
          <w:tcPr>
            <w:tcW w:w="1260" w:type="dxa"/>
          </w:tcPr>
          <w:p w:rsidR="006C7206" w:rsidRDefault="00E90B9F">
            <w:pPr>
              <w:pStyle w:val="TableParagraph"/>
              <w:rPr>
                <w:sz w:val="20"/>
              </w:rPr>
            </w:pPr>
            <w:r>
              <w:rPr>
                <w:sz w:val="20"/>
              </w:rPr>
              <w:t>31.11(b) &amp;</w:t>
            </w:r>
          </w:p>
          <w:p w:rsidR="006C7206" w:rsidRDefault="00E90B9F">
            <w:pPr>
              <w:pStyle w:val="TableParagraph"/>
              <w:spacing w:before="0"/>
              <w:rPr>
                <w:sz w:val="20"/>
              </w:rPr>
            </w:pPr>
            <w:r>
              <w:rPr>
                <w:sz w:val="20"/>
              </w:rPr>
              <w:t>(e)</w:t>
            </w:r>
          </w:p>
        </w:tc>
        <w:tc>
          <w:tcPr>
            <w:tcW w:w="1400" w:type="dxa"/>
          </w:tcPr>
          <w:p w:rsidR="006C7206" w:rsidRDefault="00E90B9F">
            <w:pPr>
              <w:pStyle w:val="TableParagraph"/>
              <w:ind w:right="656"/>
              <w:rPr>
                <w:sz w:val="20"/>
              </w:rPr>
            </w:pPr>
            <w:r>
              <w:rPr>
                <w:sz w:val="20"/>
              </w:rPr>
              <w:t>In-vitro testing</w:t>
            </w:r>
          </w:p>
        </w:tc>
        <w:tc>
          <w:tcPr>
            <w:tcW w:w="7420" w:type="dxa"/>
            <w:gridSpan w:val="6"/>
          </w:tcPr>
          <w:p w:rsidR="006C7206" w:rsidRDefault="00E90B9F">
            <w:pPr>
              <w:pStyle w:val="TableParagraph"/>
            </w:pPr>
            <w:r>
              <w:t>See OMB clearance 3150-0038 (NRC Form 483)</w:t>
            </w:r>
          </w:p>
        </w:tc>
      </w:tr>
      <w:tr w:rsidR="006C7206">
        <w:trPr>
          <w:trHeight w:hRule="exact" w:val="770"/>
        </w:trPr>
        <w:tc>
          <w:tcPr>
            <w:tcW w:w="1260" w:type="dxa"/>
          </w:tcPr>
          <w:p w:rsidR="006C7206" w:rsidRDefault="00E90B9F">
            <w:pPr>
              <w:pStyle w:val="TableParagraph"/>
              <w:rPr>
                <w:sz w:val="20"/>
              </w:rPr>
            </w:pPr>
            <w:r>
              <w:rPr>
                <w:sz w:val="20"/>
              </w:rPr>
              <w:t>31.12(c)(1)</w:t>
            </w:r>
          </w:p>
        </w:tc>
        <w:tc>
          <w:tcPr>
            <w:tcW w:w="1400" w:type="dxa"/>
          </w:tcPr>
          <w:p w:rsidR="006C7206" w:rsidRDefault="00E90B9F">
            <w:pPr>
              <w:pStyle w:val="TableParagraph"/>
              <w:ind w:right="478"/>
              <w:rPr>
                <w:sz w:val="20"/>
              </w:rPr>
            </w:pPr>
            <w:r>
              <w:rPr>
                <w:sz w:val="20"/>
              </w:rPr>
              <w:t>Report apparent damage</w:t>
            </w:r>
          </w:p>
        </w:tc>
        <w:tc>
          <w:tcPr>
            <w:tcW w:w="1502" w:type="dxa"/>
          </w:tcPr>
          <w:p w:rsidR="006C7206" w:rsidRDefault="00E90B9F">
            <w:pPr>
              <w:pStyle w:val="TableParagraph"/>
            </w:pPr>
            <w:r>
              <w:rPr>
                <w:w w:val="99"/>
              </w:rPr>
              <w:t>0</w:t>
            </w:r>
          </w:p>
        </w:tc>
        <w:tc>
          <w:tcPr>
            <w:tcW w:w="1308" w:type="dxa"/>
          </w:tcPr>
          <w:p w:rsidR="006C7206" w:rsidRDefault="00E90B9F">
            <w:pPr>
              <w:pStyle w:val="TableParagraph"/>
            </w:pPr>
            <w:r>
              <w:rPr>
                <w:w w:val="99"/>
              </w:rPr>
              <w:t>1</w:t>
            </w:r>
          </w:p>
        </w:tc>
        <w:tc>
          <w:tcPr>
            <w:tcW w:w="1308" w:type="dxa"/>
          </w:tcPr>
          <w:p w:rsidR="006C7206" w:rsidRDefault="00E90B9F">
            <w:pPr>
              <w:pStyle w:val="TableParagraph"/>
            </w:pPr>
            <w:r>
              <w:rPr>
                <w:w w:val="99"/>
              </w:rPr>
              <w:t>0</w:t>
            </w:r>
          </w:p>
        </w:tc>
        <w:tc>
          <w:tcPr>
            <w:tcW w:w="1199" w:type="dxa"/>
          </w:tcPr>
          <w:p w:rsidR="006C7206" w:rsidRDefault="00E90B9F">
            <w:pPr>
              <w:pStyle w:val="TableParagraph"/>
            </w:pPr>
            <w:r>
              <w:rPr>
                <w:w w:val="99"/>
              </w:rPr>
              <w:t>4</w:t>
            </w:r>
          </w:p>
        </w:tc>
        <w:tc>
          <w:tcPr>
            <w:tcW w:w="920" w:type="dxa"/>
          </w:tcPr>
          <w:p w:rsidR="006C7206" w:rsidRDefault="00E90B9F">
            <w:pPr>
              <w:pStyle w:val="TableParagraph"/>
              <w:ind w:left="104"/>
            </w:pPr>
            <w:r>
              <w:rPr>
                <w:w w:val="99"/>
              </w:rPr>
              <w:t>0</w:t>
            </w:r>
          </w:p>
        </w:tc>
        <w:tc>
          <w:tcPr>
            <w:tcW w:w="1182" w:type="dxa"/>
          </w:tcPr>
          <w:p w:rsidR="006C7206" w:rsidRDefault="00E90B9F">
            <w:pPr>
              <w:pStyle w:val="TableParagraph"/>
            </w:pPr>
            <w:r>
              <w:rPr>
                <w:w w:val="99"/>
              </w:rPr>
              <w:t>0</w:t>
            </w:r>
          </w:p>
        </w:tc>
      </w:tr>
      <w:tr w:rsidR="006C7206">
        <w:trPr>
          <w:trHeight w:hRule="exact" w:val="1001"/>
        </w:trPr>
        <w:tc>
          <w:tcPr>
            <w:tcW w:w="1260" w:type="dxa"/>
          </w:tcPr>
          <w:p w:rsidR="006C7206" w:rsidRDefault="00E90B9F">
            <w:pPr>
              <w:pStyle w:val="TableParagraph"/>
              <w:spacing w:before="69"/>
              <w:rPr>
                <w:sz w:val="20"/>
              </w:rPr>
            </w:pPr>
            <w:r>
              <w:rPr>
                <w:sz w:val="20"/>
              </w:rPr>
              <w:t>31.12(c)(4)</w:t>
            </w:r>
          </w:p>
        </w:tc>
        <w:tc>
          <w:tcPr>
            <w:tcW w:w="1400" w:type="dxa"/>
          </w:tcPr>
          <w:p w:rsidR="006C7206" w:rsidRDefault="00E90B9F">
            <w:pPr>
              <w:pStyle w:val="TableParagraph"/>
              <w:spacing w:before="69"/>
              <w:ind w:right="100"/>
              <w:rPr>
                <w:sz w:val="20"/>
              </w:rPr>
            </w:pPr>
            <w:r>
              <w:rPr>
                <w:sz w:val="20"/>
              </w:rPr>
              <w:t>Follow Federal or State requirements</w:t>
            </w:r>
          </w:p>
        </w:tc>
        <w:tc>
          <w:tcPr>
            <w:tcW w:w="1502" w:type="dxa"/>
          </w:tcPr>
          <w:p w:rsidR="006C7206" w:rsidRDefault="00E90B9F">
            <w:pPr>
              <w:pStyle w:val="TableParagraph"/>
              <w:spacing w:before="69"/>
            </w:pPr>
            <w:r>
              <w:rPr>
                <w:w w:val="99"/>
              </w:rPr>
              <w:t>0</w:t>
            </w:r>
          </w:p>
        </w:tc>
        <w:tc>
          <w:tcPr>
            <w:tcW w:w="1308" w:type="dxa"/>
          </w:tcPr>
          <w:p w:rsidR="006C7206" w:rsidRDefault="00E90B9F">
            <w:pPr>
              <w:pStyle w:val="TableParagraph"/>
              <w:spacing w:before="69"/>
            </w:pPr>
            <w:r>
              <w:rPr>
                <w:w w:val="99"/>
              </w:rPr>
              <w:t>1</w:t>
            </w:r>
          </w:p>
        </w:tc>
        <w:tc>
          <w:tcPr>
            <w:tcW w:w="1308" w:type="dxa"/>
          </w:tcPr>
          <w:p w:rsidR="006C7206" w:rsidRDefault="00E90B9F">
            <w:pPr>
              <w:pStyle w:val="TableParagraph"/>
              <w:spacing w:before="69"/>
            </w:pPr>
            <w:r>
              <w:rPr>
                <w:w w:val="99"/>
              </w:rPr>
              <w:t>0</w:t>
            </w:r>
          </w:p>
        </w:tc>
        <w:tc>
          <w:tcPr>
            <w:tcW w:w="1199" w:type="dxa"/>
          </w:tcPr>
          <w:p w:rsidR="006C7206" w:rsidRDefault="00E90B9F">
            <w:pPr>
              <w:pStyle w:val="TableParagraph"/>
              <w:spacing w:before="69"/>
            </w:pPr>
            <w:r>
              <w:rPr>
                <w:w w:val="99"/>
              </w:rPr>
              <w:t>4</w:t>
            </w:r>
          </w:p>
        </w:tc>
        <w:tc>
          <w:tcPr>
            <w:tcW w:w="920" w:type="dxa"/>
          </w:tcPr>
          <w:p w:rsidR="006C7206" w:rsidRDefault="00E90B9F">
            <w:pPr>
              <w:pStyle w:val="TableParagraph"/>
              <w:spacing w:before="69"/>
              <w:ind w:left="104"/>
            </w:pPr>
            <w:r>
              <w:rPr>
                <w:w w:val="99"/>
              </w:rPr>
              <w:t>0</w:t>
            </w:r>
          </w:p>
        </w:tc>
        <w:tc>
          <w:tcPr>
            <w:tcW w:w="1182" w:type="dxa"/>
          </w:tcPr>
          <w:p w:rsidR="006C7206" w:rsidRDefault="00E90B9F">
            <w:pPr>
              <w:pStyle w:val="TableParagraph"/>
              <w:spacing w:before="69"/>
            </w:pPr>
            <w:r>
              <w:rPr>
                <w:w w:val="99"/>
              </w:rPr>
              <w:t>0</w:t>
            </w:r>
          </w:p>
        </w:tc>
      </w:tr>
      <w:tr w:rsidR="006C7206">
        <w:trPr>
          <w:trHeight w:hRule="exact" w:val="1001"/>
        </w:trPr>
        <w:tc>
          <w:tcPr>
            <w:tcW w:w="1260" w:type="dxa"/>
          </w:tcPr>
          <w:p w:rsidR="006C7206" w:rsidRDefault="00E90B9F">
            <w:pPr>
              <w:pStyle w:val="TableParagraph"/>
              <w:spacing w:before="69"/>
              <w:rPr>
                <w:sz w:val="20"/>
              </w:rPr>
            </w:pPr>
            <w:r>
              <w:rPr>
                <w:sz w:val="20"/>
              </w:rPr>
              <w:t>31.12(c)(5)</w:t>
            </w:r>
          </w:p>
        </w:tc>
        <w:tc>
          <w:tcPr>
            <w:tcW w:w="1400" w:type="dxa"/>
          </w:tcPr>
          <w:p w:rsidR="006C7206" w:rsidRDefault="00E90B9F">
            <w:pPr>
              <w:pStyle w:val="TableParagraph"/>
              <w:spacing w:before="69"/>
              <w:ind w:right="266" w:firstLine="1"/>
              <w:rPr>
                <w:sz w:val="20"/>
              </w:rPr>
            </w:pPr>
            <w:r>
              <w:rPr>
                <w:sz w:val="20"/>
              </w:rPr>
              <w:t>Responses to written NRC</w:t>
            </w:r>
          </w:p>
          <w:p w:rsidR="006C7206" w:rsidRDefault="00E90B9F">
            <w:pPr>
              <w:pStyle w:val="TableParagraph"/>
              <w:spacing w:before="0"/>
              <w:rPr>
                <w:sz w:val="20"/>
              </w:rPr>
            </w:pPr>
            <w:r>
              <w:rPr>
                <w:sz w:val="20"/>
              </w:rPr>
              <w:t>requests</w:t>
            </w:r>
          </w:p>
        </w:tc>
        <w:tc>
          <w:tcPr>
            <w:tcW w:w="1502" w:type="dxa"/>
          </w:tcPr>
          <w:p w:rsidR="006C7206" w:rsidRDefault="00E90B9F">
            <w:pPr>
              <w:pStyle w:val="TableParagraph"/>
              <w:spacing w:before="69"/>
            </w:pPr>
            <w:r>
              <w:rPr>
                <w:w w:val="99"/>
              </w:rPr>
              <w:t>0</w:t>
            </w:r>
          </w:p>
        </w:tc>
        <w:tc>
          <w:tcPr>
            <w:tcW w:w="1308" w:type="dxa"/>
          </w:tcPr>
          <w:p w:rsidR="006C7206" w:rsidRDefault="00E90B9F">
            <w:pPr>
              <w:pStyle w:val="TableParagraph"/>
              <w:spacing w:before="69"/>
            </w:pPr>
            <w:r>
              <w:rPr>
                <w:w w:val="99"/>
              </w:rPr>
              <w:t>1</w:t>
            </w:r>
          </w:p>
        </w:tc>
        <w:tc>
          <w:tcPr>
            <w:tcW w:w="1308" w:type="dxa"/>
          </w:tcPr>
          <w:p w:rsidR="006C7206" w:rsidRDefault="00E90B9F">
            <w:pPr>
              <w:pStyle w:val="TableParagraph"/>
              <w:spacing w:before="69"/>
            </w:pPr>
            <w:r>
              <w:rPr>
                <w:w w:val="99"/>
              </w:rPr>
              <w:t>0</w:t>
            </w:r>
          </w:p>
        </w:tc>
        <w:tc>
          <w:tcPr>
            <w:tcW w:w="1199" w:type="dxa"/>
          </w:tcPr>
          <w:p w:rsidR="006C7206" w:rsidRDefault="00E90B9F">
            <w:pPr>
              <w:pStyle w:val="TableParagraph"/>
              <w:spacing w:before="69"/>
            </w:pPr>
            <w:r>
              <w:rPr>
                <w:w w:val="99"/>
              </w:rPr>
              <w:t>4</w:t>
            </w:r>
          </w:p>
        </w:tc>
        <w:tc>
          <w:tcPr>
            <w:tcW w:w="920" w:type="dxa"/>
          </w:tcPr>
          <w:p w:rsidR="006C7206" w:rsidRDefault="00E90B9F">
            <w:pPr>
              <w:pStyle w:val="TableParagraph"/>
              <w:spacing w:before="69"/>
              <w:ind w:left="104"/>
            </w:pPr>
            <w:r>
              <w:rPr>
                <w:w w:val="99"/>
              </w:rPr>
              <w:t>0</w:t>
            </w:r>
          </w:p>
        </w:tc>
        <w:tc>
          <w:tcPr>
            <w:tcW w:w="1182" w:type="dxa"/>
          </w:tcPr>
          <w:p w:rsidR="006C7206" w:rsidRDefault="00E90B9F">
            <w:pPr>
              <w:pStyle w:val="TableParagraph"/>
              <w:spacing w:before="69"/>
            </w:pPr>
            <w:r>
              <w:rPr>
                <w:w w:val="99"/>
              </w:rPr>
              <w:t>0</w:t>
            </w:r>
          </w:p>
        </w:tc>
      </w:tr>
      <w:tr w:rsidR="006C7206">
        <w:trPr>
          <w:trHeight w:hRule="exact" w:val="335"/>
        </w:trPr>
        <w:tc>
          <w:tcPr>
            <w:tcW w:w="1260" w:type="dxa"/>
          </w:tcPr>
          <w:p w:rsidR="006C7206" w:rsidRDefault="00E90B9F">
            <w:pPr>
              <w:pStyle w:val="TableParagraph"/>
              <w:spacing w:before="69"/>
            </w:pPr>
            <w:r>
              <w:t>TOTAL</w:t>
            </w:r>
          </w:p>
        </w:tc>
        <w:tc>
          <w:tcPr>
            <w:tcW w:w="1400" w:type="dxa"/>
          </w:tcPr>
          <w:p w:rsidR="006C7206" w:rsidRDefault="006C7206"/>
        </w:tc>
        <w:tc>
          <w:tcPr>
            <w:tcW w:w="1502" w:type="dxa"/>
          </w:tcPr>
          <w:p w:rsidR="006C7206" w:rsidRDefault="00E90B9F">
            <w:pPr>
              <w:pStyle w:val="TableParagraph"/>
              <w:spacing w:before="69"/>
              <w:ind w:left="104"/>
            </w:pPr>
            <w:r>
              <w:t>972</w:t>
            </w:r>
          </w:p>
        </w:tc>
        <w:tc>
          <w:tcPr>
            <w:tcW w:w="1308" w:type="dxa"/>
          </w:tcPr>
          <w:p w:rsidR="006C7206" w:rsidRDefault="006C7206"/>
        </w:tc>
        <w:tc>
          <w:tcPr>
            <w:tcW w:w="1308" w:type="dxa"/>
          </w:tcPr>
          <w:p w:rsidR="006C7206" w:rsidRDefault="00E90B9F">
            <w:pPr>
              <w:pStyle w:val="TableParagraph"/>
              <w:spacing w:before="69"/>
              <w:ind w:left="104"/>
            </w:pPr>
            <w:r>
              <w:t>972</w:t>
            </w:r>
          </w:p>
        </w:tc>
        <w:tc>
          <w:tcPr>
            <w:tcW w:w="1199" w:type="dxa"/>
          </w:tcPr>
          <w:p w:rsidR="006C7206" w:rsidRDefault="006C7206"/>
        </w:tc>
        <w:tc>
          <w:tcPr>
            <w:tcW w:w="920" w:type="dxa"/>
          </w:tcPr>
          <w:p w:rsidR="006C7206" w:rsidRDefault="00E90B9F">
            <w:pPr>
              <w:pStyle w:val="TableParagraph"/>
              <w:spacing w:before="69"/>
              <w:ind w:left="105"/>
            </w:pPr>
            <w:r>
              <w:t>420</w:t>
            </w:r>
          </w:p>
        </w:tc>
        <w:tc>
          <w:tcPr>
            <w:tcW w:w="1182" w:type="dxa"/>
          </w:tcPr>
          <w:p w:rsidR="006C7206" w:rsidRDefault="00E90B9F">
            <w:pPr>
              <w:pStyle w:val="TableParagraph"/>
              <w:spacing w:before="69"/>
            </w:pPr>
            <w:r>
              <w:t>$110,460</w:t>
            </w:r>
          </w:p>
        </w:tc>
      </w:tr>
    </w:tbl>
    <w:p w:rsidR="006C7206" w:rsidRDefault="006C7206">
      <w:pPr>
        <w:sectPr w:rsidR="006C7206" w:rsidSect="00374D13">
          <w:pgSz w:w="12240" w:h="15840"/>
          <w:pgMar w:top="1440" w:right="1440" w:bottom="1440" w:left="1440" w:header="720" w:footer="720" w:gutter="0"/>
          <w:cols w:space="720"/>
          <w:docGrid w:linePitch="299"/>
        </w:sectPr>
      </w:pPr>
    </w:p>
    <w:p w:rsidR="006C7206" w:rsidRDefault="00E90B9F">
      <w:pPr>
        <w:pStyle w:val="BodyText"/>
        <w:spacing w:before="77"/>
        <w:ind w:left="1899"/>
      </w:pPr>
      <w:r>
        <w:t>Table 2 - Recordkeeping Requirements for 10 CFR Part 31 NRC Licensees</w:t>
      </w:r>
    </w:p>
    <w:p w:rsidR="006C7206" w:rsidRDefault="006C7206">
      <w:pPr>
        <w:pStyle w:val="BodyText"/>
        <w:spacing w:before="3" w:after="1"/>
        <w:rPr>
          <w:sz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620"/>
        <w:gridCol w:w="1710"/>
        <w:gridCol w:w="1890"/>
        <w:gridCol w:w="990"/>
        <w:gridCol w:w="1260"/>
        <w:gridCol w:w="1440"/>
      </w:tblGrid>
      <w:tr w:rsidR="006C7206">
        <w:trPr>
          <w:trHeight w:hRule="exact" w:val="1093"/>
        </w:trPr>
        <w:tc>
          <w:tcPr>
            <w:tcW w:w="1170" w:type="dxa"/>
          </w:tcPr>
          <w:p w:rsidR="006C7206" w:rsidRDefault="00E90B9F">
            <w:pPr>
              <w:pStyle w:val="TableParagraph"/>
              <w:ind w:left="213"/>
            </w:pPr>
            <w:r>
              <w:t>Section</w:t>
            </w:r>
          </w:p>
        </w:tc>
        <w:tc>
          <w:tcPr>
            <w:tcW w:w="1620" w:type="dxa"/>
          </w:tcPr>
          <w:p w:rsidR="006C7206" w:rsidRDefault="00E90B9F">
            <w:pPr>
              <w:pStyle w:val="TableParagraph"/>
              <w:ind w:left="102"/>
            </w:pPr>
            <w:r>
              <w:t>Description</w:t>
            </w:r>
          </w:p>
        </w:tc>
        <w:tc>
          <w:tcPr>
            <w:tcW w:w="1710" w:type="dxa"/>
          </w:tcPr>
          <w:p w:rsidR="006C7206" w:rsidRDefault="00E90B9F">
            <w:pPr>
              <w:pStyle w:val="TableParagraph"/>
              <w:ind w:right="85" w:hanging="2"/>
            </w:pPr>
            <w:r>
              <w:t>Number of Recordkeepers</w:t>
            </w:r>
          </w:p>
        </w:tc>
        <w:tc>
          <w:tcPr>
            <w:tcW w:w="1890" w:type="dxa"/>
          </w:tcPr>
          <w:p w:rsidR="006C7206" w:rsidRDefault="00E90B9F">
            <w:pPr>
              <w:pStyle w:val="TableParagraph"/>
              <w:ind w:right="375"/>
            </w:pPr>
            <w:r>
              <w:t>Hours Per Recordkeeper</w:t>
            </w:r>
          </w:p>
        </w:tc>
        <w:tc>
          <w:tcPr>
            <w:tcW w:w="990" w:type="dxa"/>
          </w:tcPr>
          <w:p w:rsidR="006C7206" w:rsidRDefault="00E90B9F">
            <w:pPr>
              <w:pStyle w:val="TableParagraph"/>
              <w:ind w:right="148"/>
            </w:pPr>
            <w:r>
              <w:t>Total Annual Burden (hours)</w:t>
            </w:r>
          </w:p>
        </w:tc>
        <w:tc>
          <w:tcPr>
            <w:tcW w:w="1260" w:type="dxa"/>
          </w:tcPr>
          <w:p w:rsidR="006C7206" w:rsidRDefault="00E90B9F">
            <w:pPr>
              <w:pStyle w:val="TableParagraph"/>
              <w:ind w:right="185"/>
            </w:pPr>
            <w:r>
              <w:t>Record Retention Period</w:t>
            </w:r>
          </w:p>
        </w:tc>
        <w:tc>
          <w:tcPr>
            <w:tcW w:w="1440" w:type="dxa"/>
          </w:tcPr>
          <w:p w:rsidR="006C7206" w:rsidRDefault="00E90B9F">
            <w:pPr>
              <w:pStyle w:val="TableParagraph"/>
            </w:pPr>
            <w:r>
              <w:t>Cost @</w:t>
            </w:r>
          </w:p>
          <w:p w:rsidR="006C7206" w:rsidRDefault="00E90B9F">
            <w:pPr>
              <w:pStyle w:val="TableParagraph"/>
              <w:spacing w:before="0"/>
            </w:pPr>
            <w:r>
              <w:t>$263/hr</w:t>
            </w:r>
          </w:p>
        </w:tc>
      </w:tr>
      <w:tr w:rsidR="006C7206">
        <w:trPr>
          <w:trHeight w:hRule="exact" w:val="1345"/>
        </w:trPr>
        <w:tc>
          <w:tcPr>
            <w:tcW w:w="1170" w:type="dxa"/>
          </w:tcPr>
          <w:p w:rsidR="006C7206" w:rsidRDefault="00E90B9F">
            <w:pPr>
              <w:pStyle w:val="TableParagraph"/>
            </w:pPr>
            <w:r>
              <w:t>31.5(c)(4)</w:t>
            </w:r>
          </w:p>
        </w:tc>
        <w:tc>
          <w:tcPr>
            <w:tcW w:w="1620" w:type="dxa"/>
          </w:tcPr>
          <w:p w:rsidR="006C7206" w:rsidRDefault="00E90B9F">
            <w:pPr>
              <w:pStyle w:val="TableParagraph"/>
              <w:ind w:right="154" w:hanging="1"/>
            </w:pPr>
            <w:r>
              <w:t>Records related to test results and other requirements</w:t>
            </w:r>
          </w:p>
        </w:tc>
        <w:tc>
          <w:tcPr>
            <w:tcW w:w="1710" w:type="dxa"/>
          </w:tcPr>
          <w:p w:rsidR="006C7206" w:rsidRDefault="00E90B9F">
            <w:pPr>
              <w:pStyle w:val="TableParagraph"/>
            </w:pPr>
            <w:r>
              <w:t>18,000</w:t>
            </w:r>
          </w:p>
        </w:tc>
        <w:tc>
          <w:tcPr>
            <w:tcW w:w="1890" w:type="dxa"/>
          </w:tcPr>
          <w:p w:rsidR="006C7206" w:rsidRDefault="00E90B9F">
            <w:pPr>
              <w:pStyle w:val="TableParagraph"/>
              <w:ind w:left="102"/>
            </w:pPr>
            <w:r>
              <w:t>0.25</w:t>
            </w:r>
          </w:p>
        </w:tc>
        <w:tc>
          <w:tcPr>
            <w:tcW w:w="990" w:type="dxa"/>
          </w:tcPr>
          <w:p w:rsidR="006C7206" w:rsidRDefault="00E90B9F">
            <w:pPr>
              <w:pStyle w:val="TableParagraph"/>
              <w:ind w:left="102"/>
            </w:pPr>
            <w:r>
              <w:t>4,500</w:t>
            </w:r>
          </w:p>
        </w:tc>
        <w:tc>
          <w:tcPr>
            <w:tcW w:w="1260" w:type="dxa"/>
          </w:tcPr>
          <w:p w:rsidR="006C7206" w:rsidRDefault="00E90B9F">
            <w:pPr>
              <w:pStyle w:val="TableParagraph"/>
              <w:ind w:left="102"/>
            </w:pPr>
            <w:r>
              <w:t>3 years</w:t>
            </w:r>
          </w:p>
        </w:tc>
        <w:tc>
          <w:tcPr>
            <w:tcW w:w="1440" w:type="dxa"/>
          </w:tcPr>
          <w:p w:rsidR="006C7206" w:rsidRDefault="00E90B9F">
            <w:pPr>
              <w:pStyle w:val="TableParagraph"/>
              <w:ind w:left="102"/>
            </w:pPr>
            <w:r>
              <w:t>$1,183,500</w:t>
            </w:r>
          </w:p>
        </w:tc>
      </w:tr>
      <w:tr w:rsidR="006C7206">
        <w:trPr>
          <w:trHeight w:hRule="exact" w:val="335"/>
        </w:trPr>
        <w:tc>
          <w:tcPr>
            <w:tcW w:w="1170" w:type="dxa"/>
          </w:tcPr>
          <w:p w:rsidR="006C7206" w:rsidRDefault="00E90B9F">
            <w:pPr>
              <w:pStyle w:val="TableParagraph"/>
            </w:pPr>
            <w:r>
              <w:t>TOTAL</w:t>
            </w:r>
          </w:p>
        </w:tc>
        <w:tc>
          <w:tcPr>
            <w:tcW w:w="1620" w:type="dxa"/>
          </w:tcPr>
          <w:p w:rsidR="006C7206" w:rsidRDefault="006C7206"/>
        </w:tc>
        <w:tc>
          <w:tcPr>
            <w:tcW w:w="1710" w:type="dxa"/>
          </w:tcPr>
          <w:p w:rsidR="006C7206" w:rsidRDefault="00E90B9F">
            <w:pPr>
              <w:pStyle w:val="TableParagraph"/>
              <w:ind w:left="104"/>
            </w:pPr>
            <w:r>
              <w:t>18,000</w:t>
            </w:r>
          </w:p>
        </w:tc>
        <w:tc>
          <w:tcPr>
            <w:tcW w:w="1890" w:type="dxa"/>
          </w:tcPr>
          <w:p w:rsidR="006C7206" w:rsidRDefault="006C7206"/>
        </w:tc>
        <w:tc>
          <w:tcPr>
            <w:tcW w:w="990" w:type="dxa"/>
          </w:tcPr>
          <w:p w:rsidR="006C7206" w:rsidRDefault="00E90B9F">
            <w:pPr>
              <w:pStyle w:val="TableParagraph"/>
            </w:pPr>
            <w:r>
              <w:t>4,500</w:t>
            </w:r>
          </w:p>
        </w:tc>
        <w:tc>
          <w:tcPr>
            <w:tcW w:w="1260" w:type="dxa"/>
          </w:tcPr>
          <w:p w:rsidR="006C7206" w:rsidRDefault="006C7206"/>
        </w:tc>
        <w:tc>
          <w:tcPr>
            <w:tcW w:w="1440" w:type="dxa"/>
          </w:tcPr>
          <w:p w:rsidR="006C7206" w:rsidRDefault="00E90B9F">
            <w:pPr>
              <w:pStyle w:val="TableParagraph"/>
            </w:pPr>
            <w:r>
              <w:t>$1,183,500</w:t>
            </w:r>
          </w:p>
        </w:tc>
      </w:tr>
    </w:tbl>
    <w:p w:rsidR="006C7206" w:rsidRDefault="006C7206">
      <w:pPr>
        <w:pStyle w:val="BodyText"/>
        <w:rPr>
          <w:sz w:val="24"/>
        </w:rPr>
      </w:pPr>
    </w:p>
    <w:p w:rsidR="006C7206" w:rsidRDefault="006C7206">
      <w:pPr>
        <w:pStyle w:val="BodyText"/>
        <w:rPr>
          <w:sz w:val="24"/>
        </w:rPr>
      </w:pPr>
    </w:p>
    <w:p w:rsidR="006C7206" w:rsidRDefault="006C7206">
      <w:pPr>
        <w:pStyle w:val="BodyText"/>
        <w:spacing w:before="9"/>
        <w:rPr>
          <w:sz w:val="23"/>
        </w:rPr>
      </w:pPr>
    </w:p>
    <w:p w:rsidR="006C7206" w:rsidRDefault="00E90B9F">
      <w:pPr>
        <w:pStyle w:val="BodyText"/>
        <w:ind w:left="1899"/>
      </w:pPr>
      <w:r>
        <w:t>Table 3 – Third-party Disclosure Burden for 10 CFR Part 31 NRC Licensees</w:t>
      </w:r>
    </w:p>
    <w:p w:rsidR="006C7206" w:rsidRDefault="006C7206">
      <w:pPr>
        <w:pStyle w:val="BodyText"/>
        <w:spacing w:before="4"/>
        <w:rPr>
          <w:sz w:val="2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345"/>
        <w:gridCol w:w="1530"/>
        <w:gridCol w:w="1440"/>
        <w:gridCol w:w="1350"/>
        <w:gridCol w:w="1440"/>
        <w:gridCol w:w="1080"/>
      </w:tblGrid>
      <w:tr w:rsidR="006C7206">
        <w:trPr>
          <w:trHeight w:hRule="exact" w:val="1093"/>
        </w:trPr>
        <w:tc>
          <w:tcPr>
            <w:tcW w:w="1170" w:type="dxa"/>
          </w:tcPr>
          <w:p w:rsidR="006C7206" w:rsidRDefault="00E90B9F">
            <w:pPr>
              <w:pStyle w:val="TableParagraph"/>
            </w:pPr>
            <w:r>
              <w:t>Section</w:t>
            </w:r>
          </w:p>
        </w:tc>
        <w:tc>
          <w:tcPr>
            <w:tcW w:w="1345" w:type="dxa"/>
          </w:tcPr>
          <w:p w:rsidR="006C7206" w:rsidRDefault="00E90B9F">
            <w:pPr>
              <w:pStyle w:val="TableParagraph"/>
              <w:ind w:left="102"/>
            </w:pPr>
            <w:r>
              <w:t>Description</w:t>
            </w:r>
          </w:p>
        </w:tc>
        <w:tc>
          <w:tcPr>
            <w:tcW w:w="1530" w:type="dxa"/>
          </w:tcPr>
          <w:p w:rsidR="006C7206" w:rsidRDefault="00E90B9F">
            <w:pPr>
              <w:pStyle w:val="TableParagraph"/>
              <w:ind w:right="100" w:hanging="2"/>
            </w:pPr>
            <w:r>
              <w:t>Number of Respondents</w:t>
            </w:r>
          </w:p>
        </w:tc>
        <w:tc>
          <w:tcPr>
            <w:tcW w:w="1440" w:type="dxa"/>
          </w:tcPr>
          <w:p w:rsidR="006C7206" w:rsidRDefault="00E90B9F">
            <w:pPr>
              <w:pStyle w:val="TableParagraph"/>
              <w:ind w:right="120"/>
            </w:pPr>
            <w:r>
              <w:t>Responses per Respondent</w:t>
            </w:r>
          </w:p>
        </w:tc>
        <w:tc>
          <w:tcPr>
            <w:tcW w:w="1350" w:type="dxa"/>
          </w:tcPr>
          <w:p w:rsidR="006C7206" w:rsidRDefault="00E90B9F">
            <w:pPr>
              <w:pStyle w:val="TableParagraph"/>
              <w:ind w:right="116"/>
            </w:pPr>
            <w:r>
              <w:t>Total Responses</w:t>
            </w:r>
          </w:p>
        </w:tc>
        <w:tc>
          <w:tcPr>
            <w:tcW w:w="1440" w:type="dxa"/>
          </w:tcPr>
          <w:p w:rsidR="006C7206" w:rsidRDefault="00E90B9F">
            <w:pPr>
              <w:pStyle w:val="TableParagraph"/>
              <w:ind w:right="120"/>
            </w:pPr>
            <w:r>
              <w:t>Annual Burden per Respondent</w:t>
            </w:r>
            <w:r>
              <w:rPr>
                <w:w w:val="99"/>
              </w:rPr>
              <w:t xml:space="preserve"> </w:t>
            </w:r>
            <w:r>
              <w:t>(hours)</w:t>
            </w:r>
          </w:p>
        </w:tc>
        <w:tc>
          <w:tcPr>
            <w:tcW w:w="1080" w:type="dxa"/>
          </w:tcPr>
          <w:p w:rsidR="006C7206" w:rsidRDefault="00E90B9F">
            <w:pPr>
              <w:pStyle w:val="TableParagraph"/>
              <w:ind w:right="238"/>
            </w:pPr>
            <w:r>
              <w:t>Total Annual Burden (hours)</w:t>
            </w:r>
          </w:p>
        </w:tc>
      </w:tr>
      <w:tr w:rsidR="006C7206">
        <w:trPr>
          <w:trHeight w:hRule="exact" w:val="1092"/>
        </w:trPr>
        <w:tc>
          <w:tcPr>
            <w:tcW w:w="1170" w:type="dxa"/>
          </w:tcPr>
          <w:p w:rsidR="006C7206" w:rsidRDefault="00E90B9F">
            <w:pPr>
              <w:pStyle w:val="TableParagraph"/>
            </w:pPr>
            <w:r>
              <w:t>31.5(c)(9)</w:t>
            </w:r>
          </w:p>
        </w:tc>
        <w:tc>
          <w:tcPr>
            <w:tcW w:w="1345" w:type="dxa"/>
          </w:tcPr>
          <w:p w:rsidR="006C7206" w:rsidRDefault="00E90B9F">
            <w:pPr>
              <w:pStyle w:val="TableParagraph"/>
              <w:ind w:right="136" w:hanging="1"/>
            </w:pPr>
            <w:r>
              <w:t>Copy of regulations and safety documents</w:t>
            </w:r>
          </w:p>
        </w:tc>
        <w:tc>
          <w:tcPr>
            <w:tcW w:w="1530" w:type="dxa"/>
          </w:tcPr>
          <w:p w:rsidR="006C7206" w:rsidRDefault="00E90B9F">
            <w:pPr>
              <w:pStyle w:val="TableParagraph"/>
            </w:pPr>
            <w:r>
              <w:t>20</w:t>
            </w:r>
          </w:p>
        </w:tc>
        <w:tc>
          <w:tcPr>
            <w:tcW w:w="1440" w:type="dxa"/>
          </w:tcPr>
          <w:p w:rsidR="006C7206" w:rsidRDefault="00E90B9F">
            <w:pPr>
              <w:pStyle w:val="TableParagraph"/>
            </w:pPr>
            <w:r>
              <w:rPr>
                <w:w w:val="99"/>
              </w:rPr>
              <w:t>1</w:t>
            </w:r>
          </w:p>
        </w:tc>
        <w:tc>
          <w:tcPr>
            <w:tcW w:w="1350" w:type="dxa"/>
          </w:tcPr>
          <w:p w:rsidR="006C7206" w:rsidRDefault="00E90B9F">
            <w:pPr>
              <w:pStyle w:val="TableParagraph"/>
            </w:pPr>
            <w:r>
              <w:t>20</w:t>
            </w:r>
          </w:p>
        </w:tc>
        <w:tc>
          <w:tcPr>
            <w:tcW w:w="1440" w:type="dxa"/>
          </w:tcPr>
          <w:p w:rsidR="006C7206" w:rsidRDefault="00E90B9F">
            <w:pPr>
              <w:pStyle w:val="TableParagraph"/>
            </w:pPr>
            <w:r>
              <w:t>0.25</w:t>
            </w:r>
          </w:p>
        </w:tc>
        <w:tc>
          <w:tcPr>
            <w:tcW w:w="1080" w:type="dxa"/>
          </w:tcPr>
          <w:p w:rsidR="006C7206" w:rsidRDefault="00E90B9F">
            <w:pPr>
              <w:pStyle w:val="TableParagraph"/>
            </w:pPr>
            <w:r>
              <w:rPr>
                <w:w w:val="99"/>
              </w:rPr>
              <w:t>5</w:t>
            </w:r>
          </w:p>
        </w:tc>
      </w:tr>
      <w:tr w:rsidR="006C7206">
        <w:trPr>
          <w:trHeight w:hRule="exact" w:val="840"/>
        </w:trPr>
        <w:tc>
          <w:tcPr>
            <w:tcW w:w="1170" w:type="dxa"/>
          </w:tcPr>
          <w:p w:rsidR="006C7206" w:rsidRDefault="00E90B9F">
            <w:pPr>
              <w:pStyle w:val="TableParagraph"/>
              <w:spacing w:before="69"/>
            </w:pPr>
            <w:r>
              <w:t>31.8(c)(2)</w:t>
            </w:r>
          </w:p>
        </w:tc>
        <w:tc>
          <w:tcPr>
            <w:tcW w:w="1345" w:type="dxa"/>
          </w:tcPr>
          <w:p w:rsidR="006C7206" w:rsidRDefault="00E90B9F">
            <w:pPr>
              <w:pStyle w:val="TableParagraph"/>
              <w:spacing w:before="69"/>
              <w:ind w:right="136"/>
            </w:pPr>
            <w:r>
              <w:t>Labeling of source or container</w:t>
            </w:r>
          </w:p>
        </w:tc>
        <w:tc>
          <w:tcPr>
            <w:tcW w:w="1530" w:type="dxa"/>
          </w:tcPr>
          <w:p w:rsidR="006C7206" w:rsidRDefault="00E90B9F">
            <w:pPr>
              <w:pStyle w:val="TableParagraph"/>
              <w:spacing w:before="69"/>
            </w:pPr>
            <w:r>
              <w:rPr>
                <w:w w:val="99"/>
              </w:rPr>
              <w:t>1</w:t>
            </w:r>
          </w:p>
        </w:tc>
        <w:tc>
          <w:tcPr>
            <w:tcW w:w="1440" w:type="dxa"/>
          </w:tcPr>
          <w:p w:rsidR="006C7206" w:rsidRDefault="00E90B9F">
            <w:pPr>
              <w:pStyle w:val="TableParagraph"/>
              <w:spacing w:before="69"/>
            </w:pPr>
            <w:r>
              <w:rPr>
                <w:w w:val="99"/>
              </w:rPr>
              <w:t>1</w:t>
            </w:r>
          </w:p>
        </w:tc>
        <w:tc>
          <w:tcPr>
            <w:tcW w:w="1350" w:type="dxa"/>
          </w:tcPr>
          <w:p w:rsidR="006C7206" w:rsidRDefault="00E90B9F">
            <w:pPr>
              <w:pStyle w:val="TableParagraph"/>
              <w:spacing w:before="69"/>
            </w:pPr>
            <w:r>
              <w:rPr>
                <w:w w:val="99"/>
              </w:rPr>
              <w:t>1</w:t>
            </w:r>
          </w:p>
        </w:tc>
        <w:tc>
          <w:tcPr>
            <w:tcW w:w="1440" w:type="dxa"/>
          </w:tcPr>
          <w:p w:rsidR="006C7206" w:rsidRDefault="00E90B9F">
            <w:pPr>
              <w:pStyle w:val="TableParagraph"/>
              <w:spacing w:before="69"/>
            </w:pPr>
            <w:r>
              <w:t>0.5</w:t>
            </w:r>
          </w:p>
        </w:tc>
        <w:tc>
          <w:tcPr>
            <w:tcW w:w="1080" w:type="dxa"/>
          </w:tcPr>
          <w:p w:rsidR="006C7206" w:rsidRDefault="00E90B9F">
            <w:pPr>
              <w:pStyle w:val="TableParagraph"/>
              <w:spacing w:before="69"/>
            </w:pPr>
            <w:r>
              <w:t>0.5</w:t>
            </w:r>
          </w:p>
        </w:tc>
      </w:tr>
      <w:tr w:rsidR="006C7206">
        <w:trPr>
          <w:trHeight w:hRule="exact" w:val="335"/>
        </w:trPr>
        <w:tc>
          <w:tcPr>
            <w:tcW w:w="1170" w:type="dxa"/>
          </w:tcPr>
          <w:p w:rsidR="006C7206" w:rsidRDefault="00E90B9F">
            <w:pPr>
              <w:pStyle w:val="TableParagraph"/>
              <w:spacing w:before="69"/>
            </w:pPr>
            <w:r>
              <w:t>TOTAL</w:t>
            </w:r>
          </w:p>
        </w:tc>
        <w:tc>
          <w:tcPr>
            <w:tcW w:w="1345" w:type="dxa"/>
          </w:tcPr>
          <w:p w:rsidR="006C7206" w:rsidRDefault="006C7206"/>
        </w:tc>
        <w:tc>
          <w:tcPr>
            <w:tcW w:w="1530" w:type="dxa"/>
          </w:tcPr>
          <w:p w:rsidR="006C7206" w:rsidRDefault="00E90B9F">
            <w:pPr>
              <w:pStyle w:val="TableParagraph"/>
              <w:spacing w:before="69"/>
              <w:ind w:left="104"/>
            </w:pPr>
            <w:r>
              <w:t>21</w:t>
            </w:r>
          </w:p>
        </w:tc>
        <w:tc>
          <w:tcPr>
            <w:tcW w:w="1440" w:type="dxa"/>
          </w:tcPr>
          <w:p w:rsidR="006C7206" w:rsidRDefault="006C7206"/>
        </w:tc>
        <w:tc>
          <w:tcPr>
            <w:tcW w:w="1350" w:type="dxa"/>
          </w:tcPr>
          <w:p w:rsidR="006C7206" w:rsidRDefault="00E90B9F">
            <w:pPr>
              <w:pStyle w:val="TableParagraph"/>
              <w:spacing w:before="69"/>
            </w:pPr>
            <w:r>
              <w:t>21</w:t>
            </w:r>
          </w:p>
        </w:tc>
        <w:tc>
          <w:tcPr>
            <w:tcW w:w="1440" w:type="dxa"/>
          </w:tcPr>
          <w:p w:rsidR="006C7206" w:rsidRDefault="006C7206"/>
        </w:tc>
        <w:tc>
          <w:tcPr>
            <w:tcW w:w="1080" w:type="dxa"/>
          </w:tcPr>
          <w:p w:rsidR="006C7206" w:rsidRDefault="00E90B9F">
            <w:pPr>
              <w:pStyle w:val="TableParagraph"/>
              <w:spacing w:before="69"/>
            </w:pPr>
            <w:r>
              <w:rPr>
                <w:w w:val="99"/>
              </w:rPr>
              <w:t>6</w:t>
            </w:r>
          </w:p>
        </w:tc>
      </w:tr>
    </w:tbl>
    <w:p w:rsidR="006C7206" w:rsidRDefault="006C7206">
      <w:pPr>
        <w:pStyle w:val="BodyText"/>
        <w:rPr>
          <w:sz w:val="24"/>
        </w:rPr>
      </w:pPr>
    </w:p>
    <w:p w:rsidR="006C7206" w:rsidRDefault="006C7206">
      <w:pPr>
        <w:pStyle w:val="BodyText"/>
        <w:rPr>
          <w:sz w:val="24"/>
        </w:rPr>
      </w:pPr>
    </w:p>
    <w:p w:rsidR="006C7206" w:rsidRDefault="00E90B9F">
      <w:pPr>
        <w:spacing w:before="164"/>
        <w:ind w:left="479" w:right="405"/>
      </w:pPr>
      <w:r>
        <w:rPr>
          <w:b/>
        </w:rPr>
        <w:t xml:space="preserve">Total Estimated NRC Burden: </w:t>
      </w:r>
      <w:r w:rsidR="00374D13">
        <w:rPr>
          <w:b/>
        </w:rPr>
        <w:t xml:space="preserve"> </w:t>
      </w:r>
      <w:r>
        <w:t>4,926 hours (420 reporting + 4,500 recordkeeping + 6 third-party disclosure)</w:t>
      </w:r>
    </w:p>
    <w:p w:rsidR="006C7206" w:rsidRDefault="006C7206">
      <w:pPr>
        <w:sectPr w:rsidR="006C7206" w:rsidSect="00374D13">
          <w:pgSz w:w="12240" w:h="15840"/>
          <w:pgMar w:top="1440" w:right="1440" w:bottom="1440" w:left="1440" w:header="720" w:footer="720" w:gutter="0"/>
          <w:cols w:space="720"/>
          <w:docGrid w:linePitch="299"/>
        </w:sectPr>
      </w:pPr>
    </w:p>
    <w:p w:rsidR="006C7206" w:rsidRDefault="00E90B9F">
      <w:pPr>
        <w:pStyle w:val="BodyText"/>
        <w:spacing w:before="75"/>
        <w:ind w:left="1460"/>
      </w:pPr>
      <w:r>
        <w:t>Table 4 - Reporting Requirements for 10 CFR Part 31 Agreement State Licensees</w:t>
      </w:r>
    </w:p>
    <w:p w:rsidR="006C7206" w:rsidRDefault="006C7206">
      <w:pPr>
        <w:pStyle w:val="BodyText"/>
        <w:spacing w:before="1"/>
        <w:rPr>
          <w:sz w:val="2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385"/>
        <w:gridCol w:w="1512"/>
        <w:gridCol w:w="1318"/>
        <w:gridCol w:w="1316"/>
        <w:gridCol w:w="1207"/>
        <w:gridCol w:w="926"/>
        <w:gridCol w:w="1135"/>
      </w:tblGrid>
      <w:tr w:rsidR="006C7206">
        <w:trPr>
          <w:trHeight w:hRule="exact" w:val="1092"/>
        </w:trPr>
        <w:tc>
          <w:tcPr>
            <w:tcW w:w="1517" w:type="dxa"/>
          </w:tcPr>
          <w:p w:rsidR="006C7206" w:rsidRDefault="00E90B9F">
            <w:pPr>
              <w:pStyle w:val="TableParagraph"/>
            </w:pPr>
            <w:r>
              <w:t>Section</w:t>
            </w:r>
          </w:p>
        </w:tc>
        <w:tc>
          <w:tcPr>
            <w:tcW w:w="1385" w:type="dxa"/>
          </w:tcPr>
          <w:p w:rsidR="006C7206" w:rsidRDefault="00E90B9F">
            <w:pPr>
              <w:pStyle w:val="TableParagraph"/>
            </w:pPr>
            <w:r>
              <w:t>Description</w:t>
            </w:r>
          </w:p>
        </w:tc>
        <w:tc>
          <w:tcPr>
            <w:tcW w:w="1512" w:type="dxa"/>
          </w:tcPr>
          <w:p w:rsidR="006C7206" w:rsidRDefault="00E90B9F">
            <w:pPr>
              <w:pStyle w:val="TableParagraph"/>
              <w:ind w:right="82" w:hanging="2"/>
            </w:pPr>
            <w:r>
              <w:t>Number of Respondents</w:t>
            </w:r>
          </w:p>
        </w:tc>
        <w:tc>
          <w:tcPr>
            <w:tcW w:w="1318" w:type="dxa"/>
          </w:tcPr>
          <w:p w:rsidR="006C7206" w:rsidRDefault="00E90B9F">
            <w:pPr>
              <w:pStyle w:val="TableParagraph"/>
              <w:ind w:left="104" w:right="83"/>
            </w:pPr>
            <w:r>
              <w:t>Number of Responses</w:t>
            </w:r>
          </w:p>
        </w:tc>
        <w:tc>
          <w:tcPr>
            <w:tcW w:w="1316" w:type="dxa"/>
          </w:tcPr>
          <w:p w:rsidR="006C7206" w:rsidRDefault="00E90B9F">
            <w:pPr>
              <w:pStyle w:val="TableParagraph"/>
              <w:ind w:right="83"/>
            </w:pPr>
            <w:r>
              <w:t>Total Annual Responses</w:t>
            </w:r>
          </w:p>
        </w:tc>
        <w:tc>
          <w:tcPr>
            <w:tcW w:w="1207" w:type="dxa"/>
          </w:tcPr>
          <w:p w:rsidR="006C7206" w:rsidRDefault="00E90B9F">
            <w:pPr>
              <w:pStyle w:val="TableParagraph"/>
              <w:ind w:left="104" w:right="82"/>
            </w:pPr>
            <w:r>
              <w:t>Burden Hours Per Response (hours)</w:t>
            </w:r>
          </w:p>
        </w:tc>
        <w:tc>
          <w:tcPr>
            <w:tcW w:w="926" w:type="dxa"/>
          </w:tcPr>
          <w:p w:rsidR="006C7206" w:rsidRDefault="00E90B9F">
            <w:pPr>
              <w:pStyle w:val="TableParagraph"/>
              <w:ind w:right="84"/>
            </w:pPr>
            <w:r>
              <w:t>Total Annual Burden (hours)</w:t>
            </w:r>
          </w:p>
        </w:tc>
        <w:tc>
          <w:tcPr>
            <w:tcW w:w="1134" w:type="dxa"/>
          </w:tcPr>
          <w:p w:rsidR="006C7206" w:rsidRDefault="00E90B9F">
            <w:pPr>
              <w:pStyle w:val="TableParagraph"/>
              <w:rPr>
                <w:sz w:val="20"/>
              </w:rPr>
            </w:pPr>
            <w:r>
              <w:rPr>
                <w:sz w:val="20"/>
              </w:rPr>
              <w:t>Cost @</w:t>
            </w:r>
          </w:p>
          <w:p w:rsidR="006C7206" w:rsidRDefault="00E90B9F">
            <w:pPr>
              <w:pStyle w:val="TableParagraph"/>
              <w:spacing w:before="0"/>
              <w:rPr>
                <w:sz w:val="20"/>
              </w:rPr>
            </w:pPr>
            <w:r>
              <w:rPr>
                <w:sz w:val="20"/>
              </w:rPr>
              <w:t>$263/hr</w:t>
            </w:r>
          </w:p>
        </w:tc>
      </w:tr>
      <w:tr w:rsidR="006C7206">
        <w:trPr>
          <w:trHeight w:hRule="exact" w:val="541"/>
        </w:trPr>
        <w:tc>
          <w:tcPr>
            <w:tcW w:w="1517" w:type="dxa"/>
          </w:tcPr>
          <w:p w:rsidR="006C7206" w:rsidRDefault="00E90B9F">
            <w:pPr>
              <w:pStyle w:val="TableParagraph"/>
              <w:spacing w:before="69"/>
            </w:pPr>
            <w:r>
              <w:t>31.5(c)(5)</w:t>
            </w:r>
          </w:p>
        </w:tc>
        <w:tc>
          <w:tcPr>
            <w:tcW w:w="1385" w:type="dxa"/>
          </w:tcPr>
          <w:p w:rsidR="006C7206" w:rsidRDefault="00E90B9F">
            <w:pPr>
              <w:pStyle w:val="TableParagraph"/>
              <w:spacing w:before="69"/>
              <w:ind w:left="104" w:right="628"/>
              <w:rPr>
                <w:sz w:val="20"/>
              </w:rPr>
            </w:pPr>
            <w:r>
              <w:rPr>
                <w:sz w:val="20"/>
              </w:rPr>
              <w:t>Event reports</w:t>
            </w:r>
          </w:p>
        </w:tc>
        <w:tc>
          <w:tcPr>
            <w:tcW w:w="1512" w:type="dxa"/>
          </w:tcPr>
          <w:p w:rsidR="006C7206" w:rsidRDefault="00E90B9F">
            <w:pPr>
              <w:pStyle w:val="TableParagraph"/>
              <w:spacing w:before="69"/>
            </w:pPr>
            <w:r>
              <w:t>12</w:t>
            </w:r>
          </w:p>
        </w:tc>
        <w:tc>
          <w:tcPr>
            <w:tcW w:w="1318" w:type="dxa"/>
          </w:tcPr>
          <w:p w:rsidR="006C7206" w:rsidRDefault="00E90B9F">
            <w:pPr>
              <w:pStyle w:val="TableParagraph"/>
              <w:spacing w:before="69"/>
              <w:ind w:left="104"/>
            </w:pPr>
            <w:r>
              <w:rPr>
                <w:w w:val="99"/>
              </w:rPr>
              <w:t>1</w:t>
            </w:r>
          </w:p>
        </w:tc>
        <w:tc>
          <w:tcPr>
            <w:tcW w:w="1316" w:type="dxa"/>
          </w:tcPr>
          <w:p w:rsidR="006C7206" w:rsidRDefault="00E90B9F">
            <w:pPr>
              <w:pStyle w:val="TableParagraph"/>
              <w:spacing w:before="69"/>
            </w:pPr>
            <w:r>
              <w:t>12</w:t>
            </w:r>
          </w:p>
        </w:tc>
        <w:tc>
          <w:tcPr>
            <w:tcW w:w="1207" w:type="dxa"/>
          </w:tcPr>
          <w:p w:rsidR="006C7206" w:rsidRDefault="00E90B9F">
            <w:pPr>
              <w:pStyle w:val="TableParagraph"/>
              <w:spacing w:before="69"/>
              <w:ind w:left="104"/>
            </w:pPr>
            <w:r>
              <w:t>2.8</w:t>
            </w:r>
          </w:p>
        </w:tc>
        <w:tc>
          <w:tcPr>
            <w:tcW w:w="926" w:type="dxa"/>
          </w:tcPr>
          <w:p w:rsidR="006C7206" w:rsidRDefault="00E90B9F">
            <w:pPr>
              <w:pStyle w:val="TableParagraph"/>
              <w:spacing w:before="69"/>
            </w:pPr>
            <w:r>
              <w:t>34</w:t>
            </w:r>
          </w:p>
        </w:tc>
        <w:tc>
          <w:tcPr>
            <w:tcW w:w="1134" w:type="dxa"/>
          </w:tcPr>
          <w:p w:rsidR="006C7206" w:rsidRDefault="00E90B9F">
            <w:pPr>
              <w:pStyle w:val="TableParagraph"/>
              <w:spacing w:before="69"/>
            </w:pPr>
            <w:r>
              <w:t>8,942</w:t>
            </w:r>
          </w:p>
        </w:tc>
      </w:tr>
      <w:tr w:rsidR="006C7206">
        <w:trPr>
          <w:trHeight w:hRule="exact" w:val="541"/>
        </w:trPr>
        <w:tc>
          <w:tcPr>
            <w:tcW w:w="1517" w:type="dxa"/>
          </w:tcPr>
          <w:p w:rsidR="006C7206" w:rsidRDefault="00E90B9F">
            <w:pPr>
              <w:pStyle w:val="TableParagraph"/>
              <w:spacing w:before="69"/>
            </w:pPr>
            <w:r>
              <w:t>31.5(c)(8)</w:t>
            </w:r>
          </w:p>
        </w:tc>
        <w:tc>
          <w:tcPr>
            <w:tcW w:w="1385" w:type="dxa"/>
          </w:tcPr>
          <w:p w:rsidR="006C7206" w:rsidRDefault="00E90B9F">
            <w:pPr>
              <w:pStyle w:val="TableParagraph"/>
              <w:spacing w:before="69"/>
              <w:ind w:left="104" w:right="506"/>
              <w:rPr>
                <w:sz w:val="20"/>
              </w:rPr>
            </w:pPr>
            <w:r>
              <w:rPr>
                <w:sz w:val="20"/>
              </w:rPr>
              <w:t>Transfer reports</w:t>
            </w:r>
          </w:p>
        </w:tc>
        <w:tc>
          <w:tcPr>
            <w:tcW w:w="1512" w:type="dxa"/>
          </w:tcPr>
          <w:p w:rsidR="006C7206" w:rsidRDefault="00E90B9F">
            <w:pPr>
              <w:pStyle w:val="TableParagraph"/>
              <w:spacing w:before="69"/>
            </w:pPr>
            <w:r>
              <w:t>1,950</w:t>
            </w:r>
          </w:p>
        </w:tc>
        <w:tc>
          <w:tcPr>
            <w:tcW w:w="1318" w:type="dxa"/>
          </w:tcPr>
          <w:p w:rsidR="006C7206" w:rsidRDefault="00E90B9F">
            <w:pPr>
              <w:pStyle w:val="TableParagraph"/>
              <w:spacing w:before="69"/>
              <w:ind w:left="104"/>
            </w:pPr>
            <w:r>
              <w:rPr>
                <w:w w:val="99"/>
              </w:rPr>
              <w:t>1</w:t>
            </w:r>
          </w:p>
        </w:tc>
        <w:tc>
          <w:tcPr>
            <w:tcW w:w="1316" w:type="dxa"/>
          </w:tcPr>
          <w:p w:rsidR="006C7206" w:rsidRDefault="00E90B9F">
            <w:pPr>
              <w:pStyle w:val="TableParagraph"/>
              <w:spacing w:before="69"/>
            </w:pPr>
            <w:r>
              <w:t>1,950</w:t>
            </w:r>
          </w:p>
        </w:tc>
        <w:tc>
          <w:tcPr>
            <w:tcW w:w="1207" w:type="dxa"/>
          </w:tcPr>
          <w:p w:rsidR="006C7206" w:rsidRDefault="00E90B9F">
            <w:pPr>
              <w:pStyle w:val="TableParagraph"/>
              <w:spacing w:before="69"/>
              <w:ind w:left="104"/>
            </w:pPr>
            <w:r>
              <w:t>0.6</w:t>
            </w:r>
          </w:p>
        </w:tc>
        <w:tc>
          <w:tcPr>
            <w:tcW w:w="926" w:type="dxa"/>
          </w:tcPr>
          <w:p w:rsidR="006C7206" w:rsidRDefault="00E90B9F">
            <w:pPr>
              <w:pStyle w:val="TableParagraph"/>
              <w:spacing w:before="69"/>
            </w:pPr>
            <w:r>
              <w:t>1,170</w:t>
            </w:r>
          </w:p>
        </w:tc>
        <w:tc>
          <w:tcPr>
            <w:tcW w:w="1134" w:type="dxa"/>
          </w:tcPr>
          <w:p w:rsidR="006C7206" w:rsidRDefault="00E90B9F">
            <w:pPr>
              <w:pStyle w:val="TableParagraph"/>
              <w:spacing w:before="69"/>
            </w:pPr>
            <w:r>
              <w:t>307,710</w:t>
            </w:r>
          </w:p>
        </w:tc>
      </w:tr>
      <w:tr w:rsidR="006C7206">
        <w:trPr>
          <w:trHeight w:hRule="exact" w:val="1001"/>
        </w:trPr>
        <w:tc>
          <w:tcPr>
            <w:tcW w:w="1517" w:type="dxa"/>
          </w:tcPr>
          <w:p w:rsidR="006C7206" w:rsidRDefault="00E90B9F">
            <w:pPr>
              <w:pStyle w:val="TableParagraph"/>
            </w:pPr>
            <w:r>
              <w:t>31.5(c)(9)</w:t>
            </w:r>
          </w:p>
        </w:tc>
        <w:tc>
          <w:tcPr>
            <w:tcW w:w="1385" w:type="dxa"/>
          </w:tcPr>
          <w:p w:rsidR="006C7206" w:rsidRDefault="00E90B9F">
            <w:pPr>
              <w:pStyle w:val="TableParagraph"/>
              <w:ind w:left="104" w:right="495"/>
              <w:rPr>
                <w:sz w:val="20"/>
              </w:rPr>
            </w:pPr>
            <w:r>
              <w:rPr>
                <w:sz w:val="20"/>
              </w:rPr>
              <w:t>Transfer reports (same location)</w:t>
            </w:r>
          </w:p>
        </w:tc>
        <w:tc>
          <w:tcPr>
            <w:tcW w:w="1512" w:type="dxa"/>
          </w:tcPr>
          <w:p w:rsidR="006C7206" w:rsidRDefault="00E90B9F">
            <w:pPr>
              <w:pStyle w:val="TableParagraph"/>
            </w:pPr>
            <w:r>
              <w:t>130</w:t>
            </w:r>
          </w:p>
        </w:tc>
        <w:tc>
          <w:tcPr>
            <w:tcW w:w="1318" w:type="dxa"/>
          </w:tcPr>
          <w:p w:rsidR="006C7206" w:rsidRDefault="00E90B9F">
            <w:pPr>
              <w:pStyle w:val="TableParagraph"/>
              <w:ind w:left="104"/>
            </w:pPr>
            <w:r>
              <w:rPr>
                <w:w w:val="99"/>
              </w:rPr>
              <w:t>1</w:t>
            </w:r>
          </w:p>
        </w:tc>
        <w:tc>
          <w:tcPr>
            <w:tcW w:w="1316" w:type="dxa"/>
          </w:tcPr>
          <w:p w:rsidR="006C7206" w:rsidRDefault="00E90B9F">
            <w:pPr>
              <w:pStyle w:val="TableParagraph"/>
            </w:pPr>
            <w:r>
              <w:t>130</w:t>
            </w:r>
          </w:p>
        </w:tc>
        <w:tc>
          <w:tcPr>
            <w:tcW w:w="1207" w:type="dxa"/>
          </w:tcPr>
          <w:p w:rsidR="006C7206" w:rsidRDefault="00E90B9F">
            <w:pPr>
              <w:pStyle w:val="TableParagraph"/>
              <w:ind w:left="104"/>
            </w:pPr>
            <w:r>
              <w:rPr>
                <w:w w:val="99"/>
              </w:rPr>
              <w:t>1</w:t>
            </w:r>
          </w:p>
        </w:tc>
        <w:tc>
          <w:tcPr>
            <w:tcW w:w="926" w:type="dxa"/>
          </w:tcPr>
          <w:p w:rsidR="006C7206" w:rsidRDefault="00E90B9F">
            <w:pPr>
              <w:pStyle w:val="TableParagraph"/>
            </w:pPr>
            <w:r>
              <w:t>130</w:t>
            </w:r>
          </w:p>
        </w:tc>
        <w:tc>
          <w:tcPr>
            <w:tcW w:w="1134" w:type="dxa"/>
          </w:tcPr>
          <w:p w:rsidR="006C7206" w:rsidRDefault="00E90B9F">
            <w:pPr>
              <w:pStyle w:val="TableParagraph"/>
              <w:ind w:left="102"/>
            </w:pPr>
            <w:r>
              <w:t>34,190</w:t>
            </w:r>
          </w:p>
        </w:tc>
      </w:tr>
      <w:tr w:rsidR="006C7206">
        <w:trPr>
          <w:trHeight w:hRule="exact" w:val="1001"/>
        </w:trPr>
        <w:tc>
          <w:tcPr>
            <w:tcW w:w="1517" w:type="dxa"/>
          </w:tcPr>
          <w:p w:rsidR="006C7206" w:rsidRDefault="00E90B9F">
            <w:pPr>
              <w:pStyle w:val="TableParagraph"/>
            </w:pPr>
            <w:r>
              <w:t>31.5(c)(11)</w:t>
            </w:r>
          </w:p>
        </w:tc>
        <w:tc>
          <w:tcPr>
            <w:tcW w:w="1385" w:type="dxa"/>
          </w:tcPr>
          <w:p w:rsidR="006C7206" w:rsidRDefault="00E90B9F">
            <w:pPr>
              <w:pStyle w:val="TableParagraph"/>
              <w:ind w:left="104" w:right="250"/>
              <w:rPr>
                <w:sz w:val="20"/>
              </w:rPr>
            </w:pPr>
            <w:r>
              <w:rPr>
                <w:sz w:val="20"/>
              </w:rPr>
              <w:t>Responses to written NRC</w:t>
            </w:r>
          </w:p>
          <w:p w:rsidR="006C7206" w:rsidRDefault="00E90B9F">
            <w:pPr>
              <w:pStyle w:val="TableParagraph"/>
              <w:spacing w:before="0"/>
              <w:ind w:left="104"/>
              <w:rPr>
                <w:sz w:val="20"/>
              </w:rPr>
            </w:pPr>
            <w:r>
              <w:rPr>
                <w:sz w:val="20"/>
              </w:rPr>
              <w:t>requests</w:t>
            </w:r>
          </w:p>
        </w:tc>
        <w:tc>
          <w:tcPr>
            <w:tcW w:w="1512" w:type="dxa"/>
          </w:tcPr>
          <w:p w:rsidR="006C7206" w:rsidRDefault="00E90B9F">
            <w:pPr>
              <w:pStyle w:val="TableParagraph"/>
            </w:pPr>
            <w:r>
              <w:t>3,720</w:t>
            </w:r>
          </w:p>
        </w:tc>
        <w:tc>
          <w:tcPr>
            <w:tcW w:w="1318" w:type="dxa"/>
          </w:tcPr>
          <w:p w:rsidR="006C7206" w:rsidRDefault="00E90B9F">
            <w:pPr>
              <w:pStyle w:val="TableParagraph"/>
              <w:ind w:left="104"/>
            </w:pPr>
            <w:r>
              <w:rPr>
                <w:w w:val="99"/>
              </w:rPr>
              <w:t>1</w:t>
            </w:r>
          </w:p>
        </w:tc>
        <w:tc>
          <w:tcPr>
            <w:tcW w:w="1316" w:type="dxa"/>
          </w:tcPr>
          <w:p w:rsidR="006C7206" w:rsidRDefault="00E90B9F">
            <w:pPr>
              <w:pStyle w:val="TableParagraph"/>
            </w:pPr>
            <w:r>
              <w:t>3,720</w:t>
            </w:r>
          </w:p>
        </w:tc>
        <w:tc>
          <w:tcPr>
            <w:tcW w:w="1207" w:type="dxa"/>
          </w:tcPr>
          <w:p w:rsidR="006C7206" w:rsidRDefault="00E90B9F">
            <w:pPr>
              <w:pStyle w:val="TableParagraph"/>
              <w:ind w:left="104"/>
            </w:pPr>
            <w:r>
              <w:t>0.34</w:t>
            </w:r>
          </w:p>
        </w:tc>
        <w:tc>
          <w:tcPr>
            <w:tcW w:w="926" w:type="dxa"/>
          </w:tcPr>
          <w:p w:rsidR="006C7206" w:rsidRDefault="00E90B9F">
            <w:pPr>
              <w:pStyle w:val="TableParagraph"/>
            </w:pPr>
            <w:r>
              <w:t>1,265</w:t>
            </w:r>
          </w:p>
        </w:tc>
        <w:tc>
          <w:tcPr>
            <w:tcW w:w="1134" w:type="dxa"/>
          </w:tcPr>
          <w:p w:rsidR="006C7206" w:rsidRDefault="00E90B9F">
            <w:pPr>
              <w:pStyle w:val="TableParagraph"/>
            </w:pPr>
            <w:r>
              <w:t>332,695</w:t>
            </w:r>
          </w:p>
        </w:tc>
      </w:tr>
      <w:tr w:rsidR="006C7206">
        <w:trPr>
          <w:trHeight w:hRule="exact" w:val="541"/>
        </w:trPr>
        <w:tc>
          <w:tcPr>
            <w:tcW w:w="1517" w:type="dxa"/>
          </w:tcPr>
          <w:p w:rsidR="006C7206" w:rsidRDefault="00E90B9F">
            <w:pPr>
              <w:pStyle w:val="TableParagraph"/>
              <w:spacing w:before="69"/>
            </w:pPr>
            <w:r>
              <w:t>31.5(c)(13)</w:t>
            </w:r>
          </w:p>
        </w:tc>
        <w:tc>
          <w:tcPr>
            <w:tcW w:w="1385" w:type="dxa"/>
          </w:tcPr>
          <w:p w:rsidR="006C7206" w:rsidRDefault="00E90B9F">
            <w:pPr>
              <w:pStyle w:val="TableParagraph"/>
              <w:spacing w:before="69"/>
              <w:ind w:left="104" w:right="261"/>
              <w:rPr>
                <w:sz w:val="20"/>
              </w:rPr>
            </w:pPr>
            <w:r>
              <w:rPr>
                <w:sz w:val="20"/>
              </w:rPr>
              <w:t>Annual registration</w:t>
            </w:r>
          </w:p>
        </w:tc>
        <w:tc>
          <w:tcPr>
            <w:tcW w:w="1512" w:type="dxa"/>
          </w:tcPr>
          <w:p w:rsidR="006C7206" w:rsidRDefault="00E90B9F">
            <w:pPr>
              <w:pStyle w:val="TableParagraph"/>
              <w:spacing w:before="69"/>
            </w:pPr>
            <w:r>
              <w:t>3,500</w:t>
            </w:r>
          </w:p>
        </w:tc>
        <w:tc>
          <w:tcPr>
            <w:tcW w:w="1318" w:type="dxa"/>
          </w:tcPr>
          <w:p w:rsidR="006C7206" w:rsidRDefault="00E90B9F">
            <w:pPr>
              <w:pStyle w:val="TableParagraph"/>
              <w:spacing w:before="69"/>
              <w:ind w:left="104"/>
            </w:pPr>
            <w:r>
              <w:rPr>
                <w:w w:val="99"/>
              </w:rPr>
              <w:t>1</w:t>
            </w:r>
          </w:p>
        </w:tc>
        <w:tc>
          <w:tcPr>
            <w:tcW w:w="1316" w:type="dxa"/>
          </w:tcPr>
          <w:p w:rsidR="006C7206" w:rsidRDefault="00E90B9F">
            <w:pPr>
              <w:pStyle w:val="TableParagraph"/>
              <w:spacing w:before="69"/>
            </w:pPr>
            <w:r>
              <w:t>3,500</w:t>
            </w:r>
          </w:p>
        </w:tc>
        <w:tc>
          <w:tcPr>
            <w:tcW w:w="1207" w:type="dxa"/>
          </w:tcPr>
          <w:p w:rsidR="006C7206" w:rsidRDefault="00E90B9F">
            <w:pPr>
              <w:pStyle w:val="TableParagraph"/>
              <w:spacing w:before="69"/>
              <w:ind w:left="104"/>
            </w:pPr>
            <w:r>
              <w:t>0.33</w:t>
            </w:r>
          </w:p>
        </w:tc>
        <w:tc>
          <w:tcPr>
            <w:tcW w:w="926" w:type="dxa"/>
          </w:tcPr>
          <w:p w:rsidR="006C7206" w:rsidRDefault="00E90B9F">
            <w:pPr>
              <w:pStyle w:val="TableParagraph"/>
              <w:spacing w:before="69"/>
            </w:pPr>
            <w:r>
              <w:t>1,155</w:t>
            </w:r>
          </w:p>
        </w:tc>
        <w:tc>
          <w:tcPr>
            <w:tcW w:w="1134" w:type="dxa"/>
          </w:tcPr>
          <w:p w:rsidR="006C7206" w:rsidRDefault="00E90B9F">
            <w:pPr>
              <w:pStyle w:val="TableParagraph"/>
              <w:spacing w:before="69"/>
            </w:pPr>
            <w:r>
              <w:t>303,765</w:t>
            </w:r>
          </w:p>
        </w:tc>
      </w:tr>
      <w:tr w:rsidR="006C7206">
        <w:trPr>
          <w:trHeight w:hRule="exact" w:val="1001"/>
        </w:trPr>
        <w:tc>
          <w:tcPr>
            <w:tcW w:w="1517" w:type="dxa"/>
          </w:tcPr>
          <w:p w:rsidR="006C7206" w:rsidRDefault="00E90B9F">
            <w:pPr>
              <w:pStyle w:val="TableParagraph"/>
            </w:pPr>
            <w:r>
              <w:t>31.5(c)(14)</w:t>
            </w:r>
          </w:p>
        </w:tc>
        <w:tc>
          <w:tcPr>
            <w:tcW w:w="1385" w:type="dxa"/>
          </w:tcPr>
          <w:p w:rsidR="006C7206" w:rsidRDefault="00E90B9F">
            <w:pPr>
              <w:pStyle w:val="TableParagraph"/>
              <w:ind w:left="104" w:right="372"/>
              <w:rPr>
                <w:sz w:val="20"/>
              </w:rPr>
            </w:pPr>
            <w:r>
              <w:rPr>
                <w:sz w:val="20"/>
              </w:rPr>
              <w:t>Report change of mailing address</w:t>
            </w:r>
          </w:p>
        </w:tc>
        <w:tc>
          <w:tcPr>
            <w:tcW w:w="1512" w:type="dxa"/>
          </w:tcPr>
          <w:p w:rsidR="006C7206" w:rsidRDefault="00E90B9F">
            <w:pPr>
              <w:pStyle w:val="TableParagraph"/>
            </w:pPr>
            <w:r>
              <w:t>250</w:t>
            </w:r>
          </w:p>
        </w:tc>
        <w:tc>
          <w:tcPr>
            <w:tcW w:w="1318" w:type="dxa"/>
          </w:tcPr>
          <w:p w:rsidR="006C7206" w:rsidRDefault="00E90B9F">
            <w:pPr>
              <w:pStyle w:val="TableParagraph"/>
              <w:ind w:left="104"/>
            </w:pPr>
            <w:r>
              <w:rPr>
                <w:w w:val="99"/>
              </w:rPr>
              <w:t>1</w:t>
            </w:r>
          </w:p>
        </w:tc>
        <w:tc>
          <w:tcPr>
            <w:tcW w:w="1316" w:type="dxa"/>
          </w:tcPr>
          <w:p w:rsidR="006C7206" w:rsidRDefault="00E90B9F">
            <w:pPr>
              <w:pStyle w:val="TableParagraph"/>
            </w:pPr>
            <w:r>
              <w:t>250</w:t>
            </w:r>
          </w:p>
        </w:tc>
        <w:tc>
          <w:tcPr>
            <w:tcW w:w="1207" w:type="dxa"/>
          </w:tcPr>
          <w:p w:rsidR="006C7206" w:rsidRDefault="00E90B9F">
            <w:pPr>
              <w:pStyle w:val="TableParagraph"/>
              <w:ind w:left="104"/>
            </w:pPr>
            <w:r>
              <w:t>0.1</w:t>
            </w:r>
          </w:p>
        </w:tc>
        <w:tc>
          <w:tcPr>
            <w:tcW w:w="926" w:type="dxa"/>
          </w:tcPr>
          <w:p w:rsidR="006C7206" w:rsidRDefault="00E90B9F">
            <w:pPr>
              <w:pStyle w:val="TableParagraph"/>
            </w:pPr>
            <w:r>
              <w:t>25</w:t>
            </w:r>
          </w:p>
        </w:tc>
        <w:tc>
          <w:tcPr>
            <w:tcW w:w="1134" w:type="dxa"/>
          </w:tcPr>
          <w:p w:rsidR="006C7206" w:rsidRDefault="00E90B9F">
            <w:pPr>
              <w:pStyle w:val="TableParagraph"/>
            </w:pPr>
            <w:r>
              <w:t>6,575</w:t>
            </w:r>
          </w:p>
        </w:tc>
      </w:tr>
      <w:tr w:rsidR="006C7206">
        <w:trPr>
          <w:trHeight w:hRule="exact" w:val="587"/>
        </w:trPr>
        <w:tc>
          <w:tcPr>
            <w:tcW w:w="1517" w:type="dxa"/>
          </w:tcPr>
          <w:p w:rsidR="006C7206" w:rsidRDefault="00E90B9F">
            <w:pPr>
              <w:pStyle w:val="TableParagraph"/>
            </w:pPr>
            <w:r>
              <w:t>31.11(b) &amp;</w:t>
            </w:r>
          </w:p>
          <w:p w:rsidR="006C7206" w:rsidRDefault="00E90B9F">
            <w:pPr>
              <w:pStyle w:val="TableParagraph"/>
              <w:spacing w:before="0"/>
            </w:pPr>
            <w:r>
              <w:t>(e)</w:t>
            </w:r>
          </w:p>
        </w:tc>
        <w:tc>
          <w:tcPr>
            <w:tcW w:w="1385" w:type="dxa"/>
          </w:tcPr>
          <w:p w:rsidR="006C7206" w:rsidRDefault="00E90B9F">
            <w:pPr>
              <w:pStyle w:val="TableParagraph"/>
              <w:ind w:left="104" w:right="639"/>
              <w:rPr>
                <w:sz w:val="20"/>
              </w:rPr>
            </w:pPr>
            <w:r>
              <w:rPr>
                <w:sz w:val="20"/>
              </w:rPr>
              <w:t>In-vitro testing</w:t>
            </w:r>
          </w:p>
        </w:tc>
        <w:tc>
          <w:tcPr>
            <w:tcW w:w="7414" w:type="dxa"/>
            <w:gridSpan w:val="6"/>
          </w:tcPr>
          <w:p w:rsidR="006C7206" w:rsidRDefault="00E90B9F">
            <w:pPr>
              <w:pStyle w:val="TableParagraph"/>
            </w:pPr>
            <w:r>
              <w:t>See OMB clearance 3150-0038 (NRC Form 483)</w:t>
            </w:r>
          </w:p>
        </w:tc>
      </w:tr>
      <w:tr w:rsidR="006C7206">
        <w:trPr>
          <w:trHeight w:hRule="exact" w:val="772"/>
        </w:trPr>
        <w:tc>
          <w:tcPr>
            <w:tcW w:w="1517" w:type="dxa"/>
          </w:tcPr>
          <w:p w:rsidR="006C7206" w:rsidRDefault="00E90B9F">
            <w:pPr>
              <w:pStyle w:val="TableParagraph"/>
              <w:spacing w:before="69"/>
            </w:pPr>
            <w:r>
              <w:t>31.12(c)(1)</w:t>
            </w:r>
          </w:p>
        </w:tc>
        <w:tc>
          <w:tcPr>
            <w:tcW w:w="1385" w:type="dxa"/>
          </w:tcPr>
          <w:p w:rsidR="006C7206" w:rsidRDefault="00E90B9F">
            <w:pPr>
              <w:pStyle w:val="TableParagraph"/>
              <w:spacing w:before="69"/>
              <w:ind w:left="104" w:right="461"/>
              <w:rPr>
                <w:sz w:val="20"/>
              </w:rPr>
            </w:pPr>
            <w:r>
              <w:rPr>
                <w:sz w:val="20"/>
              </w:rPr>
              <w:t>Report apparent damage</w:t>
            </w:r>
          </w:p>
        </w:tc>
        <w:tc>
          <w:tcPr>
            <w:tcW w:w="1512" w:type="dxa"/>
          </w:tcPr>
          <w:p w:rsidR="006C7206" w:rsidRDefault="00E90B9F">
            <w:pPr>
              <w:pStyle w:val="TableParagraph"/>
              <w:spacing w:before="69"/>
            </w:pPr>
            <w:r>
              <w:rPr>
                <w:w w:val="99"/>
              </w:rPr>
              <w:t>0</w:t>
            </w:r>
          </w:p>
        </w:tc>
        <w:tc>
          <w:tcPr>
            <w:tcW w:w="1318" w:type="dxa"/>
          </w:tcPr>
          <w:p w:rsidR="006C7206" w:rsidRDefault="00E90B9F">
            <w:pPr>
              <w:pStyle w:val="TableParagraph"/>
              <w:spacing w:before="69"/>
              <w:ind w:left="104"/>
            </w:pPr>
            <w:r>
              <w:rPr>
                <w:w w:val="99"/>
              </w:rPr>
              <w:t>1</w:t>
            </w:r>
          </w:p>
        </w:tc>
        <w:tc>
          <w:tcPr>
            <w:tcW w:w="1316" w:type="dxa"/>
          </w:tcPr>
          <w:p w:rsidR="006C7206" w:rsidRDefault="00E90B9F">
            <w:pPr>
              <w:pStyle w:val="TableParagraph"/>
              <w:spacing w:before="69"/>
            </w:pPr>
            <w:r>
              <w:rPr>
                <w:w w:val="99"/>
              </w:rPr>
              <w:t>0</w:t>
            </w:r>
          </w:p>
        </w:tc>
        <w:tc>
          <w:tcPr>
            <w:tcW w:w="1207" w:type="dxa"/>
          </w:tcPr>
          <w:p w:rsidR="006C7206" w:rsidRDefault="00E90B9F">
            <w:pPr>
              <w:pStyle w:val="TableParagraph"/>
              <w:spacing w:before="69"/>
              <w:ind w:left="104"/>
            </w:pPr>
            <w:r>
              <w:rPr>
                <w:w w:val="99"/>
              </w:rPr>
              <w:t>4</w:t>
            </w:r>
          </w:p>
        </w:tc>
        <w:tc>
          <w:tcPr>
            <w:tcW w:w="926" w:type="dxa"/>
          </w:tcPr>
          <w:p w:rsidR="006C7206" w:rsidRDefault="00E90B9F">
            <w:pPr>
              <w:pStyle w:val="TableParagraph"/>
              <w:spacing w:before="69"/>
            </w:pPr>
            <w:r>
              <w:rPr>
                <w:w w:val="99"/>
              </w:rPr>
              <w:t>0</w:t>
            </w:r>
          </w:p>
        </w:tc>
        <w:tc>
          <w:tcPr>
            <w:tcW w:w="1134" w:type="dxa"/>
          </w:tcPr>
          <w:p w:rsidR="006C7206" w:rsidRDefault="00E90B9F">
            <w:pPr>
              <w:pStyle w:val="TableParagraph"/>
              <w:spacing w:before="69"/>
            </w:pPr>
            <w:r>
              <w:rPr>
                <w:w w:val="99"/>
              </w:rPr>
              <w:t>0</w:t>
            </w:r>
          </w:p>
        </w:tc>
      </w:tr>
      <w:tr w:rsidR="006C7206">
        <w:trPr>
          <w:trHeight w:hRule="exact" w:val="1001"/>
        </w:trPr>
        <w:tc>
          <w:tcPr>
            <w:tcW w:w="1517" w:type="dxa"/>
          </w:tcPr>
          <w:p w:rsidR="006C7206" w:rsidRDefault="00E90B9F">
            <w:pPr>
              <w:pStyle w:val="TableParagraph"/>
            </w:pPr>
            <w:r>
              <w:t>31.12(c)(4)</w:t>
            </w:r>
          </w:p>
        </w:tc>
        <w:tc>
          <w:tcPr>
            <w:tcW w:w="1385" w:type="dxa"/>
          </w:tcPr>
          <w:p w:rsidR="006C7206" w:rsidRDefault="00E90B9F">
            <w:pPr>
              <w:pStyle w:val="TableParagraph"/>
              <w:ind w:left="104" w:right="84"/>
              <w:rPr>
                <w:sz w:val="20"/>
              </w:rPr>
            </w:pPr>
            <w:r>
              <w:rPr>
                <w:sz w:val="20"/>
              </w:rPr>
              <w:t>Follow Federal or State requirements</w:t>
            </w:r>
          </w:p>
        </w:tc>
        <w:tc>
          <w:tcPr>
            <w:tcW w:w="1512" w:type="dxa"/>
          </w:tcPr>
          <w:p w:rsidR="006C7206" w:rsidRDefault="00E90B9F">
            <w:pPr>
              <w:pStyle w:val="TableParagraph"/>
            </w:pPr>
            <w:r>
              <w:rPr>
                <w:w w:val="99"/>
              </w:rPr>
              <w:t>0</w:t>
            </w:r>
          </w:p>
        </w:tc>
        <w:tc>
          <w:tcPr>
            <w:tcW w:w="1318" w:type="dxa"/>
          </w:tcPr>
          <w:p w:rsidR="006C7206" w:rsidRDefault="00E90B9F">
            <w:pPr>
              <w:pStyle w:val="TableParagraph"/>
              <w:ind w:left="104"/>
            </w:pPr>
            <w:r>
              <w:rPr>
                <w:w w:val="99"/>
              </w:rPr>
              <w:t>1</w:t>
            </w:r>
          </w:p>
        </w:tc>
        <w:tc>
          <w:tcPr>
            <w:tcW w:w="1316" w:type="dxa"/>
          </w:tcPr>
          <w:p w:rsidR="006C7206" w:rsidRDefault="00E90B9F">
            <w:pPr>
              <w:pStyle w:val="TableParagraph"/>
            </w:pPr>
            <w:r>
              <w:rPr>
                <w:w w:val="99"/>
              </w:rPr>
              <w:t>0</w:t>
            </w:r>
          </w:p>
        </w:tc>
        <w:tc>
          <w:tcPr>
            <w:tcW w:w="1207" w:type="dxa"/>
          </w:tcPr>
          <w:p w:rsidR="006C7206" w:rsidRDefault="00E90B9F">
            <w:pPr>
              <w:pStyle w:val="TableParagraph"/>
              <w:ind w:left="104"/>
            </w:pPr>
            <w:r>
              <w:rPr>
                <w:w w:val="99"/>
              </w:rPr>
              <w:t>4</w:t>
            </w:r>
          </w:p>
        </w:tc>
        <w:tc>
          <w:tcPr>
            <w:tcW w:w="926" w:type="dxa"/>
          </w:tcPr>
          <w:p w:rsidR="006C7206" w:rsidRDefault="00E90B9F">
            <w:pPr>
              <w:pStyle w:val="TableParagraph"/>
            </w:pPr>
            <w:r>
              <w:rPr>
                <w:w w:val="99"/>
              </w:rPr>
              <w:t>0</w:t>
            </w:r>
          </w:p>
        </w:tc>
        <w:tc>
          <w:tcPr>
            <w:tcW w:w="1134" w:type="dxa"/>
          </w:tcPr>
          <w:p w:rsidR="006C7206" w:rsidRDefault="00E90B9F">
            <w:pPr>
              <w:pStyle w:val="TableParagraph"/>
            </w:pPr>
            <w:r>
              <w:rPr>
                <w:w w:val="99"/>
              </w:rPr>
              <w:t>0</w:t>
            </w:r>
          </w:p>
        </w:tc>
      </w:tr>
      <w:tr w:rsidR="006C7206">
        <w:trPr>
          <w:trHeight w:hRule="exact" w:val="1001"/>
        </w:trPr>
        <w:tc>
          <w:tcPr>
            <w:tcW w:w="1517" w:type="dxa"/>
          </w:tcPr>
          <w:p w:rsidR="006C7206" w:rsidRDefault="00E90B9F">
            <w:pPr>
              <w:pStyle w:val="TableParagraph"/>
            </w:pPr>
            <w:r>
              <w:t>31.12(c)(5)</w:t>
            </w:r>
          </w:p>
        </w:tc>
        <w:tc>
          <w:tcPr>
            <w:tcW w:w="1385" w:type="dxa"/>
          </w:tcPr>
          <w:p w:rsidR="006C7206" w:rsidRDefault="00E90B9F">
            <w:pPr>
              <w:pStyle w:val="TableParagraph"/>
              <w:ind w:left="104" w:right="250"/>
              <w:rPr>
                <w:sz w:val="20"/>
              </w:rPr>
            </w:pPr>
            <w:r>
              <w:rPr>
                <w:sz w:val="20"/>
              </w:rPr>
              <w:t>Responses to written NRC</w:t>
            </w:r>
          </w:p>
          <w:p w:rsidR="006C7206" w:rsidRDefault="00E90B9F">
            <w:pPr>
              <w:pStyle w:val="TableParagraph"/>
              <w:spacing w:before="0" w:line="229" w:lineRule="exact"/>
              <w:ind w:left="104"/>
              <w:rPr>
                <w:sz w:val="20"/>
              </w:rPr>
            </w:pPr>
            <w:r>
              <w:rPr>
                <w:sz w:val="20"/>
              </w:rPr>
              <w:t>requests</w:t>
            </w:r>
          </w:p>
        </w:tc>
        <w:tc>
          <w:tcPr>
            <w:tcW w:w="1512" w:type="dxa"/>
          </w:tcPr>
          <w:p w:rsidR="006C7206" w:rsidRDefault="00E90B9F">
            <w:pPr>
              <w:pStyle w:val="TableParagraph"/>
            </w:pPr>
            <w:r>
              <w:rPr>
                <w:w w:val="99"/>
              </w:rPr>
              <w:t>0</w:t>
            </w:r>
          </w:p>
        </w:tc>
        <w:tc>
          <w:tcPr>
            <w:tcW w:w="1318" w:type="dxa"/>
          </w:tcPr>
          <w:p w:rsidR="006C7206" w:rsidRDefault="00E90B9F">
            <w:pPr>
              <w:pStyle w:val="TableParagraph"/>
              <w:ind w:left="104"/>
            </w:pPr>
            <w:r>
              <w:rPr>
                <w:w w:val="99"/>
              </w:rPr>
              <w:t>1</w:t>
            </w:r>
          </w:p>
        </w:tc>
        <w:tc>
          <w:tcPr>
            <w:tcW w:w="1316" w:type="dxa"/>
          </w:tcPr>
          <w:p w:rsidR="006C7206" w:rsidRDefault="00E90B9F">
            <w:pPr>
              <w:pStyle w:val="TableParagraph"/>
            </w:pPr>
            <w:r>
              <w:rPr>
                <w:w w:val="99"/>
              </w:rPr>
              <w:t>0</w:t>
            </w:r>
          </w:p>
        </w:tc>
        <w:tc>
          <w:tcPr>
            <w:tcW w:w="1207" w:type="dxa"/>
          </w:tcPr>
          <w:p w:rsidR="006C7206" w:rsidRDefault="00E90B9F">
            <w:pPr>
              <w:pStyle w:val="TableParagraph"/>
              <w:ind w:left="104"/>
            </w:pPr>
            <w:r>
              <w:rPr>
                <w:w w:val="99"/>
              </w:rPr>
              <w:t>4</w:t>
            </w:r>
          </w:p>
        </w:tc>
        <w:tc>
          <w:tcPr>
            <w:tcW w:w="926" w:type="dxa"/>
          </w:tcPr>
          <w:p w:rsidR="006C7206" w:rsidRDefault="00E90B9F">
            <w:pPr>
              <w:pStyle w:val="TableParagraph"/>
            </w:pPr>
            <w:r>
              <w:rPr>
                <w:w w:val="99"/>
              </w:rPr>
              <w:t>0</w:t>
            </w:r>
          </w:p>
        </w:tc>
        <w:tc>
          <w:tcPr>
            <w:tcW w:w="1134" w:type="dxa"/>
          </w:tcPr>
          <w:p w:rsidR="006C7206" w:rsidRDefault="00E90B9F">
            <w:pPr>
              <w:pStyle w:val="TableParagraph"/>
            </w:pPr>
            <w:r>
              <w:rPr>
                <w:w w:val="99"/>
              </w:rPr>
              <w:t>0</w:t>
            </w:r>
          </w:p>
        </w:tc>
      </w:tr>
      <w:tr w:rsidR="006C7206">
        <w:trPr>
          <w:trHeight w:hRule="exact" w:val="335"/>
        </w:trPr>
        <w:tc>
          <w:tcPr>
            <w:tcW w:w="1517" w:type="dxa"/>
          </w:tcPr>
          <w:p w:rsidR="006C7206" w:rsidRDefault="00E90B9F">
            <w:pPr>
              <w:pStyle w:val="TableParagraph"/>
            </w:pPr>
            <w:r>
              <w:t>TOTAL</w:t>
            </w:r>
          </w:p>
        </w:tc>
        <w:tc>
          <w:tcPr>
            <w:tcW w:w="1385" w:type="dxa"/>
          </w:tcPr>
          <w:p w:rsidR="006C7206" w:rsidRDefault="006C7206"/>
        </w:tc>
        <w:tc>
          <w:tcPr>
            <w:tcW w:w="1512" w:type="dxa"/>
          </w:tcPr>
          <w:p w:rsidR="006C7206" w:rsidRDefault="00E90B9F">
            <w:pPr>
              <w:pStyle w:val="TableParagraph"/>
              <w:ind w:left="104"/>
            </w:pPr>
            <w:r>
              <w:t>9,562</w:t>
            </w:r>
          </w:p>
        </w:tc>
        <w:tc>
          <w:tcPr>
            <w:tcW w:w="1318" w:type="dxa"/>
          </w:tcPr>
          <w:p w:rsidR="006C7206" w:rsidRDefault="006C7206"/>
        </w:tc>
        <w:tc>
          <w:tcPr>
            <w:tcW w:w="1316" w:type="dxa"/>
          </w:tcPr>
          <w:p w:rsidR="006C7206" w:rsidRDefault="00E90B9F">
            <w:pPr>
              <w:pStyle w:val="TableParagraph"/>
            </w:pPr>
            <w:r>
              <w:t>9,562</w:t>
            </w:r>
          </w:p>
        </w:tc>
        <w:tc>
          <w:tcPr>
            <w:tcW w:w="1207" w:type="dxa"/>
          </w:tcPr>
          <w:p w:rsidR="006C7206" w:rsidRDefault="006C7206"/>
        </w:tc>
        <w:tc>
          <w:tcPr>
            <w:tcW w:w="926" w:type="dxa"/>
          </w:tcPr>
          <w:p w:rsidR="006C7206" w:rsidRDefault="00E90B9F">
            <w:pPr>
              <w:pStyle w:val="TableParagraph"/>
            </w:pPr>
            <w:r>
              <w:t>3,779</w:t>
            </w:r>
          </w:p>
        </w:tc>
        <w:tc>
          <w:tcPr>
            <w:tcW w:w="1134" w:type="dxa"/>
          </w:tcPr>
          <w:p w:rsidR="006C7206" w:rsidRDefault="00E90B9F">
            <w:pPr>
              <w:pStyle w:val="TableParagraph"/>
            </w:pPr>
            <w:r>
              <w:t>$993,877</w:t>
            </w:r>
          </w:p>
        </w:tc>
      </w:tr>
    </w:tbl>
    <w:p w:rsidR="006C7206" w:rsidRDefault="006C7206">
      <w:pPr>
        <w:sectPr w:rsidR="006C7206" w:rsidSect="00374D13">
          <w:footerReference w:type="default" r:id="rId10"/>
          <w:pgSz w:w="12240" w:h="15840"/>
          <w:pgMar w:top="1440" w:right="1440" w:bottom="1440" w:left="1440" w:header="720" w:footer="720" w:gutter="0"/>
          <w:pgNumType w:start="7"/>
          <w:cols w:space="720"/>
          <w:docGrid w:linePitch="299"/>
        </w:sectPr>
      </w:pPr>
    </w:p>
    <w:p w:rsidR="006C7206" w:rsidRDefault="00E90B9F">
      <w:pPr>
        <w:pStyle w:val="BodyText"/>
        <w:spacing w:before="77"/>
        <w:ind w:left="560"/>
      </w:pPr>
      <w:r>
        <w:t>Table 5 - Recordkeeping Requirements for 10 CFR Part 31 Agreement State Licensees</w:t>
      </w:r>
    </w:p>
    <w:p w:rsidR="006C7206" w:rsidRDefault="006C7206">
      <w:pPr>
        <w:pStyle w:val="BodyText"/>
        <w:spacing w:before="3" w:after="1"/>
        <w:rPr>
          <w:sz w:val="28"/>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350"/>
        <w:gridCol w:w="1800"/>
        <w:gridCol w:w="1620"/>
        <w:gridCol w:w="985"/>
        <w:gridCol w:w="1170"/>
        <w:gridCol w:w="1350"/>
      </w:tblGrid>
      <w:tr w:rsidR="006C7206">
        <w:trPr>
          <w:trHeight w:hRule="exact" w:val="1093"/>
        </w:trPr>
        <w:tc>
          <w:tcPr>
            <w:tcW w:w="1170" w:type="dxa"/>
          </w:tcPr>
          <w:p w:rsidR="006C7206" w:rsidRDefault="00E90B9F">
            <w:pPr>
              <w:pStyle w:val="TableParagraph"/>
            </w:pPr>
            <w:r>
              <w:t>Section</w:t>
            </w:r>
          </w:p>
        </w:tc>
        <w:tc>
          <w:tcPr>
            <w:tcW w:w="1350" w:type="dxa"/>
          </w:tcPr>
          <w:p w:rsidR="006C7206" w:rsidRDefault="00E90B9F">
            <w:pPr>
              <w:pStyle w:val="TableParagraph"/>
              <w:ind w:left="102"/>
            </w:pPr>
            <w:r>
              <w:t>Description</w:t>
            </w:r>
          </w:p>
        </w:tc>
        <w:tc>
          <w:tcPr>
            <w:tcW w:w="1800" w:type="dxa"/>
          </w:tcPr>
          <w:p w:rsidR="006C7206" w:rsidRDefault="00E90B9F">
            <w:pPr>
              <w:pStyle w:val="TableParagraph"/>
              <w:ind w:right="175" w:hanging="2"/>
            </w:pPr>
            <w:r>
              <w:t>Number of Recordkeepers</w:t>
            </w:r>
          </w:p>
        </w:tc>
        <w:tc>
          <w:tcPr>
            <w:tcW w:w="1620" w:type="dxa"/>
          </w:tcPr>
          <w:p w:rsidR="006C7206" w:rsidRDefault="00E90B9F">
            <w:pPr>
              <w:pStyle w:val="TableParagraph"/>
              <w:ind w:right="105"/>
            </w:pPr>
            <w:r>
              <w:t>Hours Per Recordkeeper</w:t>
            </w:r>
          </w:p>
        </w:tc>
        <w:tc>
          <w:tcPr>
            <w:tcW w:w="985" w:type="dxa"/>
          </w:tcPr>
          <w:p w:rsidR="006C7206" w:rsidRDefault="00E90B9F">
            <w:pPr>
              <w:pStyle w:val="TableParagraph"/>
              <w:ind w:right="143"/>
            </w:pPr>
            <w:r>
              <w:t>Total Annual Burden (hours)</w:t>
            </w:r>
          </w:p>
        </w:tc>
        <w:tc>
          <w:tcPr>
            <w:tcW w:w="1170" w:type="dxa"/>
          </w:tcPr>
          <w:p w:rsidR="006C7206" w:rsidRDefault="00E90B9F">
            <w:pPr>
              <w:pStyle w:val="TableParagraph"/>
              <w:ind w:right="95"/>
            </w:pPr>
            <w:r>
              <w:t>Record Retention Period</w:t>
            </w:r>
          </w:p>
        </w:tc>
        <w:tc>
          <w:tcPr>
            <w:tcW w:w="1350" w:type="dxa"/>
          </w:tcPr>
          <w:p w:rsidR="006C7206" w:rsidRDefault="00E90B9F">
            <w:pPr>
              <w:pStyle w:val="TableParagraph"/>
            </w:pPr>
            <w:r>
              <w:t>Cost @</w:t>
            </w:r>
          </w:p>
          <w:p w:rsidR="006C7206" w:rsidRDefault="00E90B9F">
            <w:pPr>
              <w:pStyle w:val="TableParagraph"/>
              <w:spacing w:before="0"/>
            </w:pPr>
            <w:r>
              <w:t>$263/hr</w:t>
            </w:r>
          </w:p>
        </w:tc>
      </w:tr>
      <w:tr w:rsidR="006C7206">
        <w:trPr>
          <w:trHeight w:hRule="exact" w:val="1598"/>
        </w:trPr>
        <w:tc>
          <w:tcPr>
            <w:tcW w:w="1170" w:type="dxa"/>
          </w:tcPr>
          <w:p w:rsidR="006C7206" w:rsidRDefault="00E90B9F">
            <w:pPr>
              <w:pStyle w:val="TableParagraph"/>
            </w:pPr>
            <w:r>
              <w:t>31.5(c)(4)</w:t>
            </w:r>
          </w:p>
        </w:tc>
        <w:tc>
          <w:tcPr>
            <w:tcW w:w="1350" w:type="dxa"/>
          </w:tcPr>
          <w:p w:rsidR="006C7206" w:rsidRDefault="00E90B9F">
            <w:pPr>
              <w:pStyle w:val="TableParagraph"/>
              <w:ind w:right="104" w:hanging="1"/>
            </w:pPr>
            <w:r>
              <w:t>Records related to test results and other requiremen ts</w:t>
            </w:r>
          </w:p>
        </w:tc>
        <w:tc>
          <w:tcPr>
            <w:tcW w:w="1800" w:type="dxa"/>
          </w:tcPr>
          <w:p w:rsidR="006C7206" w:rsidRDefault="00E90B9F">
            <w:pPr>
              <w:pStyle w:val="TableParagraph"/>
            </w:pPr>
            <w:r>
              <w:t>111,600</w:t>
            </w:r>
          </w:p>
        </w:tc>
        <w:tc>
          <w:tcPr>
            <w:tcW w:w="1620" w:type="dxa"/>
          </w:tcPr>
          <w:p w:rsidR="006C7206" w:rsidRDefault="00E90B9F">
            <w:pPr>
              <w:pStyle w:val="TableParagraph"/>
              <w:ind w:left="102"/>
            </w:pPr>
            <w:r>
              <w:t>0.25</w:t>
            </w:r>
          </w:p>
        </w:tc>
        <w:tc>
          <w:tcPr>
            <w:tcW w:w="985" w:type="dxa"/>
          </w:tcPr>
          <w:p w:rsidR="006C7206" w:rsidRDefault="00E90B9F">
            <w:pPr>
              <w:pStyle w:val="TableParagraph"/>
              <w:ind w:left="102"/>
            </w:pPr>
            <w:r>
              <w:t>27,900</w:t>
            </w:r>
          </w:p>
        </w:tc>
        <w:tc>
          <w:tcPr>
            <w:tcW w:w="1170" w:type="dxa"/>
          </w:tcPr>
          <w:p w:rsidR="006C7206" w:rsidRDefault="00E90B9F">
            <w:pPr>
              <w:pStyle w:val="TableParagraph"/>
              <w:ind w:left="102"/>
            </w:pPr>
            <w:r>
              <w:t>3 years</w:t>
            </w:r>
          </w:p>
        </w:tc>
        <w:tc>
          <w:tcPr>
            <w:tcW w:w="1350" w:type="dxa"/>
          </w:tcPr>
          <w:p w:rsidR="006C7206" w:rsidRDefault="00E90B9F">
            <w:pPr>
              <w:pStyle w:val="TableParagraph"/>
              <w:ind w:left="83" w:right="114"/>
              <w:jc w:val="center"/>
            </w:pPr>
            <w:r>
              <w:t>$7,337,700</w:t>
            </w:r>
          </w:p>
        </w:tc>
      </w:tr>
      <w:tr w:rsidR="006C7206">
        <w:trPr>
          <w:trHeight w:hRule="exact" w:val="335"/>
        </w:trPr>
        <w:tc>
          <w:tcPr>
            <w:tcW w:w="1170" w:type="dxa"/>
          </w:tcPr>
          <w:p w:rsidR="006C7206" w:rsidRDefault="00E90B9F">
            <w:pPr>
              <w:pStyle w:val="TableParagraph"/>
            </w:pPr>
            <w:r>
              <w:t>TOTAL</w:t>
            </w:r>
          </w:p>
        </w:tc>
        <w:tc>
          <w:tcPr>
            <w:tcW w:w="1350" w:type="dxa"/>
          </w:tcPr>
          <w:p w:rsidR="006C7206" w:rsidRDefault="006C7206"/>
        </w:tc>
        <w:tc>
          <w:tcPr>
            <w:tcW w:w="1800" w:type="dxa"/>
          </w:tcPr>
          <w:p w:rsidR="006C7206" w:rsidRDefault="00E90B9F">
            <w:pPr>
              <w:pStyle w:val="TableParagraph"/>
              <w:ind w:left="104"/>
            </w:pPr>
            <w:r>
              <w:t>111,600</w:t>
            </w:r>
          </w:p>
        </w:tc>
        <w:tc>
          <w:tcPr>
            <w:tcW w:w="1620" w:type="dxa"/>
          </w:tcPr>
          <w:p w:rsidR="006C7206" w:rsidRDefault="006C7206"/>
        </w:tc>
        <w:tc>
          <w:tcPr>
            <w:tcW w:w="985" w:type="dxa"/>
          </w:tcPr>
          <w:p w:rsidR="006C7206" w:rsidRDefault="00E90B9F">
            <w:pPr>
              <w:pStyle w:val="TableParagraph"/>
              <w:ind w:left="104"/>
            </w:pPr>
            <w:r>
              <w:t>27,900</w:t>
            </w:r>
          </w:p>
        </w:tc>
        <w:tc>
          <w:tcPr>
            <w:tcW w:w="1170" w:type="dxa"/>
          </w:tcPr>
          <w:p w:rsidR="006C7206" w:rsidRDefault="006C7206"/>
        </w:tc>
        <w:tc>
          <w:tcPr>
            <w:tcW w:w="1350" w:type="dxa"/>
          </w:tcPr>
          <w:p w:rsidR="006C7206" w:rsidRDefault="00E90B9F">
            <w:pPr>
              <w:pStyle w:val="TableParagraph"/>
              <w:ind w:left="84" w:right="113"/>
              <w:jc w:val="center"/>
            </w:pPr>
            <w:r>
              <w:t>$7,337,700</w:t>
            </w:r>
          </w:p>
        </w:tc>
      </w:tr>
    </w:tbl>
    <w:p w:rsidR="006C7206" w:rsidRDefault="006C7206">
      <w:pPr>
        <w:pStyle w:val="BodyText"/>
        <w:rPr>
          <w:sz w:val="24"/>
        </w:rPr>
      </w:pPr>
    </w:p>
    <w:p w:rsidR="006C7206" w:rsidRDefault="006C7206">
      <w:pPr>
        <w:pStyle w:val="BodyText"/>
        <w:rPr>
          <w:sz w:val="30"/>
        </w:rPr>
      </w:pPr>
    </w:p>
    <w:p w:rsidR="006C7206" w:rsidRDefault="00E90B9F">
      <w:pPr>
        <w:pStyle w:val="BodyText"/>
        <w:ind w:left="560"/>
      </w:pPr>
      <w:r>
        <w:t>Table 6 – Third-party Disclosure Burden for 10 CFR Part 31 Agreement State Licensees</w:t>
      </w:r>
    </w:p>
    <w:p w:rsidR="006C7206" w:rsidRDefault="006C7206">
      <w:pPr>
        <w:pStyle w:val="BodyText"/>
        <w:spacing w:before="3" w:after="1"/>
        <w:rPr>
          <w:sz w:val="28"/>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356"/>
        <w:gridCol w:w="1534"/>
        <w:gridCol w:w="1426"/>
        <w:gridCol w:w="1384"/>
        <w:gridCol w:w="1403"/>
        <w:gridCol w:w="946"/>
      </w:tblGrid>
      <w:tr w:rsidR="006C7206">
        <w:trPr>
          <w:trHeight w:hRule="exact" w:val="1093"/>
        </w:trPr>
        <w:tc>
          <w:tcPr>
            <w:tcW w:w="1188" w:type="dxa"/>
          </w:tcPr>
          <w:p w:rsidR="006C7206" w:rsidRDefault="00E90B9F">
            <w:pPr>
              <w:pStyle w:val="TableParagraph"/>
              <w:spacing w:before="69"/>
            </w:pPr>
            <w:r>
              <w:t>Section</w:t>
            </w:r>
          </w:p>
        </w:tc>
        <w:tc>
          <w:tcPr>
            <w:tcW w:w="1356" w:type="dxa"/>
          </w:tcPr>
          <w:p w:rsidR="006C7206" w:rsidRDefault="00E90B9F">
            <w:pPr>
              <w:pStyle w:val="TableParagraph"/>
              <w:spacing w:before="69"/>
              <w:ind w:left="102"/>
            </w:pPr>
            <w:r>
              <w:t>Description</w:t>
            </w:r>
          </w:p>
        </w:tc>
        <w:tc>
          <w:tcPr>
            <w:tcW w:w="1534" w:type="dxa"/>
          </w:tcPr>
          <w:p w:rsidR="006C7206" w:rsidRDefault="00E90B9F">
            <w:pPr>
              <w:pStyle w:val="TableParagraph"/>
              <w:spacing w:before="69"/>
              <w:ind w:right="104" w:hanging="2"/>
            </w:pPr>
            <w:r>
              <w:t>Number of Respondents</w:t>
            </w:r>
          </w:p>
        </w:tc>
        <w:tc>
          <w:tcPr>
            <w:tcW w:w="1426" w:type="dxa"/>
          </w:tcPr>
          <w:p w:rsidR="006C7206" w:rsidRDefault="00E90B9F">
            <w:pPr>
              <w:pStyle w:val="TableParagraph"/>
              <w:spacing w:before="69"/>
              <w:ind w:right="106"/>
            </w:pPr>
            <w:r>
              <w:t>Responses per Respondent</w:t>
            </w:r>
          </w:p>
        </w:tc>
        <w:tc>
          <w:tcPr>
            <w:tcW w:w="1384" w:type="dxa"/>
          </w:tcPr>
          <w:p w:rsidR="006C7206" w:rsidRDefault="00E90B9F">
            <w:pPr>
              <w:pStyle w:val="TableParagraph"/>
              <w:spacing w:before="69"/>
              <w:ind w:right="150"/>
            </w:pPr>
            <w:r>
              <w:t>Total Responses</w:t>
            </w:r>
          </w:p>
        </w:tc>
        <w:tc>
          <w:tcPr>
            <w:tcW w:w="1403" w:type="dxa"/>
          </w:tcPr>
          <w:p w:rsidR="006C7206" w:rsidRDefault="00E90B9F">
            <w:pPr>
              <w:pStyle w:val="TableParagraph"/>
              <w:spacing w:before="69"/>
              <w:ind w:left="104" w:right="82"/>
            </w:pPr>
            <w:r>
              <w:t>Annual Burden per Respondent (hours)</w:t>
            </w:r>
          </w:p>
        </w:tc>
        <w:tc>
          <w:tcPr>
            <w:tcW w:w="946" w:type="dxa"/>
          </w:tcPr>
          <w:p w:rsidR="006C7206" w:rsidRDefault="00E90B9F">
            <w:pPr>
              <w:pStyle w:val="TableParagraph"/>
              <w:spacing w:before="69"/>
              <w:ind w:left="104" w:right="102"/>
            </w:pPr>
            <w:r>
              <w:t>Total Annual Burden (hours)</w:t>
            </w:r>
          </w:p>
        </w:tc>
      </w:tr>
      <w:tr w:rsidR="006C7206">
        <w:trPr>
          <w:trHeight w:hRule="exact" w:val="1093"/>
        </w:trPr>
        <w:tc>
          <w:tcPr>
            <w:tcW w:w="1188" w:type="dxa"/>
          </w:tcPr>
          <w:p w:rsidR="006C7206" w:rsidRDefault="00E90B9F">
            <w:pPr>
              <w:pStyle w:val="TableParagraph"/>
            </w:pPr>
            <w:r>
              <w:t>31.5(c)(9)</w:t>
            </w:r>
          </w:p>
        </w:tc>
        <w:tc>
          <w:tcPr>
            <w:tcW w:w="1356" w:type="dxa"/>
          </w:tcPr>
          <w:p w:rsidR="006C7206" w:rsidRDefault="00E90B9F">
            <w:pPr>
              <w:pStyle w:val="TableParagraph"/>
              <w:ind w:right="147" w:hanging="1"/>
            </w:pPr>
            <w:r>
              <w:t>Copy of regulations and safety documents</w:t>
            </w:r>
          </w:p>
        </w:tc>
        <w:tc>
          <w:tcPr>
            <w:tcW w:w="1534" w:type="dxa"/>
          </w:tcPr>
          <w:p w:rsidR="006C7206" w:rsidRDefault="00E90B9F">
            <w:pPr>
              <w:pStyle w:val="TableParagraph"/>
            </w:pPr>
            <w:r>
              <w:t>120</w:t>
            </w:r>
          </w:p>
        </w:tc>
        <w:tc>
          <w:tcPr>
            <w:tcW w:w="1426" w:type="dxa"/>
          </w:tcPr>
          <w:p w:rsidR="006C7206" w:rsidRDefault="00E90B9F">
            <w:pPr>
              <w:pStyle w:val="TableParagraph"/>
            </w:pPr>
            <w:r>
              <w:rPr>
                <w:w w:val="99"/>
              </w:rPr>
              <w:t>1</w:t>
            </w:r>
          </w:p>
        </w:tc>
        <w:tc>
          <w:tcPr>
            <w:tcW w:w="1384" w:type="dxa"/>
          </w:tcPr>
          <w:p w:rsidR="006C7206" w:rsidRDefault="00E90B9F">
            <w:pPr>
              <w:pStyle w:val="TableParagraph"/>
            </w:pPr>
            <w:r>
              <w:t>120</w:t>
            </w:r>
          </w:p>
        </w:tc>
        <w:tc>
          <w:tcPr>
            <w:tcW w:w="1403" w:type="dxa"/>
          </w:tcPr>
          <w:p w:rsidR="006C7206" w:rsidRDefault="00E90B9F">
            <w:pPr>
              <w:pStyle w:val="TableParagraph"/>
              <w:ind w:left="104"/>
            </w:pPr>
            <w:r>
              <w:t>0.25</w:t>
            </w:r>
          </w:p>
        </w:tc>
        <w:tc>
          <w:tcPr>
            <w:tcW w:w="946" w:type="dxa"/>
          </w:tcPr>
          <w:p w:rsidR="006C7206" w:rsidRDefault="00E90B9F">
            <w:pPr>
              <w:pStyle w:val="TableParagraph"/>
              <w:ind w:left="104"/>
            </w:pPr>
            <w:r>
              <w:t>30</w:t>
            </w:r>
          </w:p>
        </w:tc>
      </w:tr>
      <w:tr w:rsidR="006C7206">
        <w:trPr>
          <w:trHeight w:hRule="exact" w:val="840"/>
        </w:trPr>
        <w:tc>
          <w:tcPr>
            <w:tcW w:w="1188" w:type="dxa"/>
          </w:tcPr>
          <w:p w:rsidR="006C7206" w:rsidRDefault="00E90B9F">
            <w:pPr>
              <w:pStyle w:val="TableParagraph"/>
            </w:pPr>
            <w:r>
              <w:t>31.8(c)(2)</w:t>
            </w:r>
          </w:p>
        </w:tc>
        <w:tc>
          <w:tcPr>
            <w:tcW w:w="1356" w:type="dxa"/>
          </w:tcPr>
          <w:p w:rsidR="006C7206" w:rsidRDefault="00E90B9F">
            <w:pPr>
              <w:pStyle w:val="TableParagraph"/>
              <w:ind w:right="146"/>
            </w:pPr>
            <w:r>
              <w:t>Labeling of source or container</w:t>
            </w:r>
          </w:p>
        </w:tc>
        <w:tc>
          <w:tcPr>
            <w:tcW w:w="1534" w:type="dxa"/>
          </w:tcPr>
          <w:p w:rsidR="006C7206" w:rsidRDefault="00E90B9F">
            <w:pPr>
              <w:pStyle w:val="TableParagraph"/>
            </w:pPr>
            <w:r>
              <w:rPr>
                <w:w w:val="99"/>
              </w:rPr>
              <w:t>6</w:t>
            </w:r>
          </w:p>
        </w:tc>
        <w:tc>
          <w:tcPr>
            <w:tcW w:w="1426" w:type="dxa"/>
          </w:tcPr>
          <w:p w:rsidR="006C7206" w:rsidRDefault="00E90B9F">
            <w:pPr>
              <w:pStyle w:val="TableParagraph"/>
            </w:pPr>
            <w:r>
              <w:rPr>
                <w:w w:val="99"/>
              </w:rPr>
              <w:t>1</w:t>
            </w:r>
          </w:p>
        </w:tc>
        <w:tc>
          <w:tcPr>
            <w:tcW w:w="1384" w:type="dxa"/>
          </w:tcPr>
          <w:p w:rsidR="006C7206" w:rsidRDefault="00E90B9F">
            <w:pPr>
              <w:pStyle w:val="TableParagraph"/>
            </w:pPr>
            <w:r>
              <w:rPr>
                <w:w w:val="99"/>
              </w:rPr>
              <w:t>6</w:t>
            </w:r>
          </w:p>
        </w:tc>
        <w:tc>
          <w:tcPr>
            <w:tcW w:w="1403" w:type="dxa"/>
          </w:tcPr>
          <w:p w:rsidR="006C7206" w:rsidRDefault="00E90B9F">
            <w:pPr>
              <w:pStyle w:val="TableParagraph"/>
              <w:ind w:left="104"/>
            </w:pPr>
            <w:r>
              <w:t>0.5</w:t>
            </w:r>
          </w:p>
        </w:tc>
        <w:tc>
          <w:tcPr>
            <w:tcW w:w="946" w:type="dxa"/>
          </w:tcPr>
          <w:p w:rsidR="006C7206" w:rsidRDefault="00E90B9F">
            <w:pPr>
              <w:pStyle w:val="TableParagraph"/>
              <w:ind w:left="104"/>
            </w:pPr>
            <w:r>
              <w:rPr>
                <w:w w:val="99"/>
              </w:rPr>
              <w:t>3</w:t>
            </w:r>
          </w:p>
        </w:tc>
      </w:tr>
      <w:tr w:rsidR="006C7206">
        <w:trPr>
          <w:trHeight w:hRule="exact" w:val="334"/>
        </w:trPr>
        <w:tc>
          <w:tcPr>
            <w:tcW w:w="1188" w:type="dxa"/>
          </w:tcPr>
          <w:p w:rsidR="006C7206" w:rsidRDefault="00E90B9F">
            <w:pPr>
              <w:pStyle w:val="TableParagraph"/>
            </w:pPr>
            <w:r>
              <w:t>TOTAL</w:t>
            </w:r>
          </w:p>
        </w:tc>
        <w:tc>
          <w:tcPr>
            <w:tcW w:w="1356" w:type="dxa"/>
          </w:tcPr>
          <w:p w:rsidR="006C7206" w:rsidRDefault="006C7206"/>
        </w:tc>
        <w:tc>
          <w:tcPr>
            <w:tcW w:w="1534" w:type="dxa"/>
          </w:tcPr>
          <w:p w:rsidR="006C7206" w:rsidRDefault="00E90B9F">
            <w:pPr>
              <w:pStyle w:val="TableParagraph"/>
              <w:ind w:left="104"/>
            </w:pPr>
            <w:r>
              <w:t>126</w:t>
            </w:r>
          </w:p>
        </w:tc>
        <w:tc>
          <w:tcPr>
            <w:tcW w:w="1426" w:type="dxa"/>
          </w:tcPr>
          <w:p w:rsidR="006C7206" w:rsidRDefault="006C7206"/>
        </w:tc>
        <w:tc>
          <w:tcPr>
            <w:tcW w:w="1384" w:type="dxa"/>
          </w:tcPr>
          <w:p w:rsidR="006C7206" w:rsidRDefault="00E90B9F">
            <w:pPr>
              <w:pStyle w:val="TableParagraph"/>
            </w:pPr>
            <w:r>
              <w:t>126</w:t>
            </w:r>
          </w:p>
        </w:tc>
        <w:tc>
          <w:tcPr>
            <w:tcW w:w="1403" w:type="dxa"/>
          </w:tcPr>
          <w:p w:rsidR="006C7206" w:rsidRDefault="006C7206"/>
        </w:tc>
        <w:tc>
          <w:tcPr>
            <w:tcW w:w="946" w:type="dxa"/>
          </w:tcPr>
          <w:p w:rsidR="006C7206" w:rsidRDefault="00E90B9F">
            <w:pPr>
              <w:pStyle w:val="TableParagraph"/>
              <w:ind w:left="104"/>
            </w:pPr>
            <w:r>
              <w:t>33</w:t>
            </w:r>
          </w:p>
        </w:tc>
      </w:tr>
    </w:tbl>
    <w:p w:rsidR="006C7206" w:rsidRDefault="006C7206">
      <w:pPr>
        <w:pStyle w:val="BodyText"/>
        <w:rPr>
          <w:sz w:val="24"/>
        </w:rPr>
      </w:pPr>
    </w:p>
    <w:p w:rsidR="006C7206" w:rsidRDefault="006C7206">
      <w:pPr>
        <w:pStyle w:val="BodyText"/>
        <w:spacing w:before="7"/>
        <w:rPr>
          <w:sz w:val="27"/>
        </w:rPr>
      </w:pPr>
    </w:p>
    <w:p w:rsidR="006C7206" w:rsidRDefault="00E90B9F" w:rsidP="00A87190">
      <w:pPr>
        <w:ind w:left="180" w:right="1310"/>
      </w:pPr>
      <w:r w:rsidRPr="00374D13">
        <w:rPr>
          <w:b/>
        </w:rPr>
        <w:t>Total Estimated Agreement State Burden</w:t>
      </w:r>
      <w:r w:rsidR="00374D13" w:rsidRPr="00374D13">
        <w:rPr>
          <w:b/>
        </w:rPr>
        <w:t>:</w:t>
      </w:r>
      <w:r w:rsidR="00A87190" w:rsidRPr="00374D13">
        <w:rPr>
          <w:spacing w:val="-11"/>
        </w:rPr>
        <w:t xml:space="preserve"> </w:t>
      </w:r>
      <w:r>
        <w:rPr>
          <w:b/>
        </w:rPr>
        <w:t xml:space="preserve"> </w:t>
      </w:r>
      <w:r>
        <w:t>31,712 hours (3,779 reporting + 27,900 recordkeeping + 33 third-party disclosure)</w:t>
      </w:r>
    </w:p>
    <w:p w:rsidR="006C7206" w:rsidRDefault="006C7206">
      <w:pPr>
        <w:pStyle w:val="BodyText"/>
        <w:spacing w:before="1"/>
        <w:rPr>
          <w:sz w:val="27"/>
        </w:rPr>
      </w:pPr>
    </w:p>
    <w:p w:rsidR="006C7206" w:rsidRDefault="00E90B9F">
      <w:pPr>
        <w:spacing w:before="1"/>
        <w:ind w:left="219" w:right="354"/>
      </w:pPr>
      <w:r w:rsidRPr="00374D13">
        <w:rPr>
          <w:b/>
        </w:rPr>
        <w:t>Total</w:t>
      </w:r>
      <w:r w:rsidRPr="00374D13">
        <w:rPr>
          <w:b/>
          <w:spacing w:val="-13"/>
        </w:rPr>
        <w:t xml:space="preserve"> </w:t>
      </w:r>
      <w:r w:rsidRPr="00374D13">
        <w:rPr>
          <w:b/>
        </w:rPr>
        <w:t>Estimated</w:t>
      </w:r>
      <w:r w:rsidRPr="00374D13">
        <w:rPr>
          <w:b/>
          <w:spacing w:val="-12"/>
        </w:rPr>
        <w:t xml:space="preserve"> </w:t>
      </w:r>
      <w:r w:rsidRPr="00374D13">
        <w:rPr>
          <w:b/>
        </w:rPr>
        <w:t>Overall</w:t>
      </w:r>
      <w:r w:rsidRPr="00374D13">
        <w:rPr>
          <w:b/>
          <w:spacing w:val="-12"/>
        </w:rPr>
        <w:t xml:space="preserve"> </w:t>
      </w:r>
      <w:r w:rsidRPr="00374D13">
        <w:rPr>
          <w:b/>
        </w:rPr>
        <w:t>Burden</w:t>
      </w:r>
      <w:r w:rsidR="00374D13" w:rsidRPr="00374D13">
        <w:rPr>
          <w:b/>
          <w:spacing w:val="-13"/>
        </w:rPr>
        <w:t xml:space="preserve">: </w:t>
      </w:r>
      <w:r w:rsidR="00374D13" w:rsidRPr="00374D13">
        <w:rPr>
          <w:spacing w:val="-13"/>
        </w:rPr>
        <w:t xml:space="preserve"> </w:t>
      </w:r>
      <w:r>
        <w:rPr>
          <w:spacing w:val="-11"/>
        </w:rPr>
        <w:t xml:space="preserve"> </w:t>
      </w:r>
      <w:r>
        <w:rPr>
          <w:spacing w:val="-6"/>
        </w:rPr>
        <w:t>36,638</w:t>
      </w:r>
      <w:r>
        <w:rPr>
          <w:spacing w:val="-19"/>
        </w:rPr>
        <w:t xml:space="preserve"> </w:t>
      </w:r>
      <w:r>
        <w:t>hours</w:t>
      </w:r>
      <w:r>
        <w:rPr>
          <w:spacing w:val="-12"/>
        </w:rPr>
        <w:t xml:space="preserve"> </w:t>
      </w:r>
      <w:r>
        <w:t>(4,199</w:t>
      </w:r>
      <w:r>
        <w:rPr>
          <w:spacing w:val="-12"/>
        </w:rPr>
        <w:t xml:space="preserve"> </w:t>
      </w:r>
      <w:r>
        <w:t>reporting</w:t>
      </w:r>
      <w:r>
        <w:rPr>
          <w:spacing w:val="-12"/>
        </w:rPr>
        <w:t xml:space="preserve"> </w:t>
      </w:r>
      <w:r>
        <w:t>+</w:t>
      </w:r>
      <w:r>
        <w:rPr>
          <w:spacing w:val="-12"/>
        </w:rPr>
        <w:t xml:space="preserve"> </w:t>
      </w:r>
      <w:r>
        <w:rPr>
          <w:spacing w:val="-6"/>
        </w:rPr>
        <w:t>32,400</w:t>
      </w:r>
      <w:r>
        <w:rPr>
          <w:spacing w:val="-18"/>
        </w:rPr>
        <w:t xml:space="preserve"> </w:t>
      </w:r>
      <w:r>
        <w:t>recordkeeping</w:t>
      </w:r>
      <w:r>
        <w:rPr>
          <w:spacing w:val="-6"/>
        </w:rPr>
        <w:t xml:space="preserve"> </w:t>
      </w:r>
      <w:r>
        <w:t>+</w:t>
      </w:r>
      <w:r>
        <w:rPr>
          <w:spacing w:val="-6"/>
        </w:rPr>
        <w:t xml:space="preserve"> </w:t>
      </w:r>
      <w:r>
        <w:t>39 third-party</w:t>
      </w:r>
      <w:r>
        <w:rPr>
          <w:spacing w:val="-27"/>
        </w:rPr>
        <w:t xml:space="preserve"> </w:t>
      </w:r>
      <w:r>
        <w:t>disclosure)</w:t>
      </w:r>
    </w:p>
    <w:p w:rsidR="006C7206" w:rsidRDefault="006C7206">
      <w:pPr>
        <w:pStyle w:val="BodyText"/>
        <w:spacing w:before="9"/>
        <w:rPr>
          <w:sz w:val="19"/>
        </w:rPr>
      </w:pPr>
    </w:p>
    <w:p w:rsidR="006C7206" w:rsidRDefault="00E90B9F">
      <w:pPr>
        <w:spacing w:before="1"/>
        <w:ind w:left="219"/>
      </w:pPr>
      <w:r w:rsidRPr="00374D13">
        <w:rPr>
          <w:b/>
        </w:rPr>
        <w:t>Total Estimated Responses</w:t>
      </w:r>
      <w:r w:rsidR="00374D13" w:rsidRPr="00374D13">
        <w:rPr>
          <w:b/>
        </w:rPr>
        <w:t xml:space="preserve">:  </w:t>
      </w:r>
      <w:r>
        <w:t>140,281 (10,681 responses + 129,600 recordkeepers)</w:t>
      </w:r>
    </w:p>
    <w:p w:rsidR="006C7206" w:rsidRDefault="006C7206">
      <w:pPr>
        <w:sectPr w:rsidR="006C7206" w:rsidSect="00374D13">
          <w:pgSz w:w="12240" w:h="15840"/>
          <w:pgMar w:top="1440" w:right="1440" w:bottom="1440" w:left="1440" w:header="0" w:footer="1044" w:gutter="0"/>
          <w:cols w:space="720"/>
          <w:docGrid w:linePitch="299"/>
        </w:sectPr>
      </w:pPr>
    </w:p>
    <w:p w:rsidR="006C7206" w:rsidRDefault="00E90B9F">
      <w:pPr>
        <w:pStyle w:val="BodyText"/>
        <w:spacing w:before="68"/>
        <w:ind w:left="100"/>
      </w:pPr>
      <w:r>
        <w:rPr>
          <w:u w:val="single"/>
        </w:rPr>
        <w:t>Appendix A:  Information Collection Requirements</w:t>
      </w:r>
    </w:p>
    <w:p w:rsidR="006C7206" w:rsidRDefault="006C7206">
      <w:pPr>
        <w:pStyle w:val="BodyText"/>
        <w:spacing w:before="3"/>
        <w:rPr>
          <w:sz w:val="26"/>
        </w:rPr>
      </w:pPr>
    </w:p>
    <w:p w:rsidR="006C7206" w:rsidRDefault="00E90B9F">
      <w:pPr>
        <w:pStyle w:val="BodyText"/>
        <w:spacing w:before="93"/>
        <w:ind w:left="540" w:right="196"/>
      </w:pPr>
      <w:r>
        <w:rPr>
          <w:u w:val="single"/>
        </w:rPr>
        <w:t xml:space="preserve">Section 31.5 </w:t>
      </w:r>
      <w:r>
        <w:t xml:space="preserve">establishes regulatory requirements for a general license for certain measuring, gauging, or controlling devices. </w:t>
      </w:r>
      <w:r w:rsidR="00A87190">
        <w:t xml:space="preserve"> </w:t>
      </w:r>
      <w:r>
        <w:t xml:space="preserve">The devices contain radioactive byproduct material and are designed and manufactured for the purpose of detecting, measuring, gauging or controlling thickness, density, level, interface location, radiation, leakage, or qualitative or quantitative chemical composition, or for producing light or an ionized atmosphere. </w:t>
      </w:r>
      <w:r w:rsidR="00A87190">
        <w:t xml:space="preserve"> </w:t>
      </w:r>
      <w:r>
        <w:t xml:space="preserve">The devices are initially distributed to the general licensees by persons licensed in accordance with Section 32.51. </w:t>
      </w:r>
      <w:r w:rsidR="00A87190">
        <w:t xml:space="preserve"> </w:t>
      </w:r>
      <w:r>
        <w:t xml:space="preserve">Generally licensed devices are subjected to regulatory requirements and in-depth reviews are performed as these devices are to be used by persons requiring no radiological training. </w:t>
      </w:r>
      <w:r w:rsidR="00A87190">
        <w:t xml:space="preserve"> </w:t>
      </w:r>
      <w:r>
        <w:t>Additionall</w:t>
      </w:r>
      <w:r w:rsidR="00866C0C">
        <w:t xml:space="preserve">y, the devices are required to </w:t>
      </w:r>
      <w:r>
        <w:t>have tamper-proof features.</w:t>
      </w:r>
    </w:p>
    <w:p w:rsidR="006C7206" w:rsidRDefault="006C7206">
      <w:pPr>
        <w:pStyle w:val="BodyText"/>
        <w:spacing w:before="1"/>
        <w:rPr>
          <w:sz w:val="28"/>
        </w:rPr>
      </w:pPr>
    </w:p>
    <w:p w:rsidR="006C7206" w:rsidRDefault="00E90B9F">
      <w:pPr>
        <w:pStyle w:val="BodyText"/>
        <w:ind w:left="540" w:right="196"/>
      </w:pPr>
      <w:r>
        <w:rPr>
          <w:u w:val="single"/>
        </w:rPr>
        <w:t xml:space="preserve">Section 31.5(c)(4) </w:t>
      </w:r>
      <w:r>
        <w:t xml:space="preserve">requires that the general licensee shall </w:t>
      </w:r>
      <w:r>
        <w:rPr>
          <w:spacing w:val="-7"/>
        </w:rPr>
        <w:t xml:space="preserve">maintain records showing compliance </w:t>
      </w:r>
      <w:r>
        <w:rPr>
          <w:spacing w:val="-6"/>
        </w:rPr>
        <w:t xml:space="preserve">with </w:t>
      </w:r>
      <w:r>
        <w:rPr>
          <w:spacing w:val="-7"/>
        </w:rPr>
        <w:t xml:space="preserve">Sections 31.5(c)(2) </w:t>
      </w:r>
      <w:r>
        <w:rPr>
          <w:spacing w:val="-5"/>
        </w:rPr>
        <w:t xml:space="preserve">and </w:t>
      </w:r>
      <w:r>
        <w:rPr>
          <w:spacing w:val="-7"/>
        </w:rPr>
        <w:t xml:space="preserve">31.5(c)(3); </w:t>
      </w:r>
      <w:r>
        <w:rPr>
          <w:spacing w:val="-6"/>
        </w:rPr>
        <w:t xml:space="preserve">which require </w:t>
      </w:r>
      <w:r>
        <w:rPr>
          <w:spacing w:val="-5"/>
        </w:rPr>
        <w:t xml:space="preserve">the </w:t>
      </w:r>
      <w:r>
        <w:rPr>
          <w:spacing w:val="-7"/>
        </w:rPr>
        <w:t xml:space="preserve">licensee </w:t>
      </w:r>
      <w:r>
        <w:rPr>
          <w:spacing w:val="-4"/>
        </w:rPr>
        <w:t xml:space="preserve">to </w:t>
      </w:r>
      <w:r>
        <w:t xml:space="preserve">assure that prescribed periodic leak tests, proper operation of on-off mechanism, and/or other specified tests have been performed.  Section 31.5(c)(4) further specifies that the records must contain the result of the tests, the date the tests were performed, and the names of the individuals performing testing, installing, servicing, and removing radioactive material and its shielding or containment. </w:t>
      </w:r>
      <w:r w:rsidR="00A87190">
        <w:t xml:space="preserve"> </w:t>
      </w:r>
      <w:r>
        <w:t xml:space="preserve">Records must be maintained for 3 years or until the device is transferred or disposed. </w:t>
      </w:r>
      <w:r w:rsidR="00A87190">
        <w:t xml:space="preserve"> </w:t>
      </w:r>
      <w:r>
        <w:t>On an as needed basis, the test records are reviewed by the NRC and Agreement States inspectors to test their accuracy, completeness and determine that the devices are in compliance with the regulatory requirements.</w:t>
      </w:r>
    </w:p>
    <w:p w:rsidR="006C7206" w:rsidRDefault="006C7206">
      <w:pPr>
        <w:pStyle w:val="BodyText"/>
        <w:spacing w:before="10"/>
        <w:rPr>
          <w:sz w:val="21"/>
        </w:rPr>
      </w:pPr>
    </w:p>
    <w:p w:rsidR="006C7206" w:rsidRDefault="00E90B9F">
      <w:pPr>
        <w:pStyle w:val="BodyText"/>
        <w:ind w:left="540" w:right="61"/>
      </w:pPr>
      <w:r>
        <w:rPr>
          <w:u w:val="single"/>
        </w:rPr>
        <w:t xml:space="preserve">Section 31.5(c)(5) </w:t>
      </w:r>
      <w:r>
        <w:t>requires that the general licensee report, within 30 days, to the Director,</w:t>
      </w:r>
      <w:r>
        <w:rPr>
          <w:spacing w:val="54"/>
        </w:rPr>
        <w:t xml:space="preserve"> </w:t>
      </w:r>
      <w:r>
        <w:t xml:space="preserve">Office of Nuclear Material Safety and Safeguards, the occurrence of a failure or damage to the containment boundary or shielding of the radioactive material or the on-off mechanism or indicator on the generally licensed device, or upon the detection of 0.005 microcurie or more of removable radioactive material. </w:t>
      </w:r>
      <w:r w:rsidR="00A87190">
        <w:t xml:space="preserve"> </w:t>
      </w:r>
      <w:r>
        <w:t>The report must contain a brief description of the event and the remedial action take</w:t>
      </w:r>
      <w:r w:rsidR="00A45C55">
        <w:t xml:space="preserve">n. </w:t>
      </w:r>
      <w:r w:rsidR="00A87190">
        <w:t xml:space="preserve"> </w:t>
      </w:r>
      <w:r w:rsidR="00A45C55">
        <w:t xml:space="preserve">In addition, the licensee is </w:t>
      </w:r>
      <w:r>
        <w:t>required to submit a plan for ensuring that the premises and environs are acceptable for unrestricted use in the event that detection of 0.005 microcurie or more of removable radioact</w:t>
      </w:r>
      <w:r w:rsidR="00866C0C">
        <w:t xml:space="preserve">ive material, or failure of or </w:t>
      </w:r>
      <w:r>
        <w:t>damage to a source, is likely to result in contamination of the premises or the environs.</w:t>
      </w:r>
    </w:p>
    <w:p w:rsidR="006C7206" w:rsidRDefault="006C7206">
      <w:pPr>
        <w:pStyle w:val="BodyText"/>
        <w:rPr>
          <w:sz w:val="28"/>
        </w:rPr>
      </w:pPr>
    </w:p>
    <w:p w:rsidR="006C7206" w:rsidRDefault="00E90B9F">
      <w:pPr>
        <w:pStyle w:val="BodyText"/>
        <w:ind w:left="540" w:right="196"/>
      </w:pPr>
      <w:r>
        <w:t xml:space="preserve">This reporting requirement is necessary to ensure that the NRC is notified in a timely manner of any abnormal occurrences or potential problems with generally licensed devices authorized by the NRC. </w:t>
      </w:r>
      <w:r w:rsidR="00A87190">
        <w:t xml:space="preserve"> </w:t>
      </w:r>
      <w:r>
        <w:t xml:space="preserve">It is important that the NRC receive such reports to determine if damage or failure of a device could or did constitute a radiation safety problem and determine that the remedial action taken was appropriate. </w:t>
      </w:r>
      <w:r w:rsidR="00A87190">
        <w:t xml:space="preserve"> </w:t>
      </w:r>
      <w:r>
        <w:t xml:space="preserve">These reports also provide device performance data which could assist in identifying and characterizing a generic problem. </w:t>
      </w:r>
      <w:r w:rsidR="00A87190">
        <w:t xml:space="preserve"> </w:t>
      </w:r>
      <w:r>
        <w:t>The requirement for plans for ensuring that the premises and environs are acceptable for unrestricted use is to require that general licensees, who are not subject to decommissioning requirements, have adequate plans and procedures for cleaning up any contamination.</w:t>
      </w:r>
    </w:p>
    <w:p w:rsidR="006C7206" w:rsidRDefault="006C7206">
      <w:pPr>
        <w:sectPr w:rsidR="006C7206" w:rsidSect="00374D13">
          <w:footerReference w:type="default" r:id="rId11"/>
          <w:pgSz w:w="12240" w:h="15840"/>
          <w:pgMar w:top="1440" w:right="1440" w:bottom="1440" w:left="1440" w:header="720" w:footer="720" w:gutter="0"/>
          <w:cols w:space="720"/>
          <w:docGrid w:linePitch="299"/>
        </w:sectPr>
      </w:pPr>
    </w:p>
    <w:p w:rsidR="006C7206" w:rsidRDefault="00E90B9F">
      <w:pPr>
        <w:pStyle w:val="BodyText"/>
        <w:spacing w:before="77"/>
        <w:ind w:left="100" w:right="123"/>
      </w:pPr>
      <w:r>
        <w:rPr>
          <w:u w:val="single"/>
        </w:rPr>
        <w:t xml:space="preserve">Section 31.5(c)(8) </w:t>
      </w:r>
      <w:r>
        <w:t>requires that general licensees transfer or dispose of general licensed devices containing byproduct material only (1) by export under NRC’s import/export regulations in 10 CFR Part 110, (2) by transfer to a person authorized to receive the device by a specific license issued under 10 CFR Parts 30 and 32 of, this chapter, or equivalent</w:t>
      </w:r>
      <w:r>
        <w:rPr>
          <w:spacing w:val="19"/>
        </w:rPr>
        <w:t xml:space="preserve"> </w:t>
      </w:r>
      <w:r>
        <w:t>regulations</w:t>
      </w:r>
      <w:r>
        <w:rPr>
          <w:spacing w:val="-16"/>
        </w:rPr>
        <w:t xml:space="preserve"> </w:t>
      </w:r>
      <w:r>
        <w:t>of</w:t>
      </w:r>
      <w:r>
        <w:rPr>
          <w:spacing w:val="-15"/>
        </w:rPr>
        <w:t xml:space="preserve"> </w:t>
      </w:r>
      <w:r>
        <w:t>an</w:t>
      </w:r>
      <w:r>
        <w:rPr>
          <w:spacing w:val="-14"/>
        </w:rPr>
        <w:t xml:space="preserve"> </w:t>
      </w:r>
      <w:r>
        <w:t>Agreement</w:t>
      </w:r>
      <w:r>
        <w:rPr>
          <w:spacing w:val="-14"/>
        </w:rPr>
        <w:t xml:space="preserve"> </w:t>
      </w:r>
      <w:r>
        <w:t>State</w:t>
      </w:r>
      <w:r>
        <w:rPr>
          <w:spacing w:val="-14"/>
        </w:rPr>
        <w:t xml:space="preserve"> </w:t>
      </w:r>
      <w:r>
        <w:t>(manufacturer/distributor),</w:t>
      </w:r>
      <w:r>
        <w:rPr>
          <w:spacing w:val="-16"/>
        </w:rPr>
        <w:t xml:space="preserve"> </w:t>
      </w:r>
      <w:r>
        <w:t>(3)</w:t>
      </w:r>
      <w:r>
        <w:rPr>
          <w:spacing w:val="-14"/>
        </w:rPr>
        <w:t xml:space="preserve"> </w:t>
      </w:r>
      <w:r>
        <w:t>by</w:t>
      </w:r>
      <w:r>
        <w:rPr>
          <w:spacing w:val="-14"/>
        </w:rPr>
        <w:t xml:space="preserve"> </w:t>
      </w:r>
      <w:r>
        <w:t>transfer</w:t>
      </w:r>
      <w:r>
        <w:rPr>
          <w:spacing w:val="-15"/>
        </w:rPr>
        <w:t xml:space="preserve"> </w:t>
      </w:r>
      <w:r>
        <w:t>to a specific licensee under Part 30, or equivalent regulations of an Agreement State authorized for waste collection, (4) by transfer to another general licensee as authorized in Section 31.5(c)(9). Upon transfer, the general licensee shall, withi</w:t>
      </w:r>
      <w:r w:rsidR="00A2611E">
        <w:t xml:space="preserve">n 30 days after such transfer, </w:t>
      </w:r>
      <w:r>
        <w:t>furnish to the Director, Office of Nuclear Material Safety and Safeguards, a report containing identification of the device by manufacturers (or initial transferor’s) name, model number, and serial number, the name, address, and license number of the person receiving the device (license number is not required if the device is exported), and the date of</w:t>
      </w:r>
      <w:r>
        <w:rPr>
          <w:spacing w:val="11"/>
        </w:rPr>
        <w:t xml:space="preserve"> </w:t>
      </w:r>
      <w:r>
        <w:t>transfer.</w:t>
      </w:r>
    </w:p>
    <w:p w:rsidR="006C7206" w:rsidRDefault="006C7206">
      <w:pPr>
        <w:pStyle w:val="BodyText"/>
        <w:spacing w:before="10"/>
        <w:rPr>
          <w:sz w:val="21"/>
        </w:rPr>
      </w:pPr>
    </w:p>
    <w:p w:rsidR="006C7206" w:rsidRDefault="00E90B9F">
      <w:pPr>
        <w:pStyle w:val="BodyText"/>
        <w:ind w:left="100" w:right="123"/>
      </w:pPr>
      <w:r>
        <w:t>These reports are necessary so that the NRC and Agreement States can make a determination</w:t>
      </w:r>
      <w:r>
        <w:rPr>
          <w:spacing w:val="-9"/>
        </w:rPr>
        <w:t xml:space="preserve"> </w:t>
      </w:r>
      <w:r>
        <w:t>that</w:t>
      </w:r>
      <w:r>
        <w:rPr>
          <w:spacing w:val="-9"/>
        </w:rPr>
        <w:t xml:space="preserve"> </w:t>
      </w:r>
      <w:r>
        <w:t>the</w:t>
      </w:r>
      <w:r>
        <w:rPr>
          <w:spacing w:val="-8"/>
        </w:rPr>
        <w:t xml:space="preserve"> </w:t>
      </w:r>
      <w:r>
        <w:t>transfer</w:t>
      </w:r>
      <w:r>
        <w:rPr>
          <w:spacing w:val="-11"/>
        </w:rPr>
        <w:t xml:space="preserve"> </w:t>
      </w:r>
      <w:r>
        <w:t>of</w:t>
      </w:r>
      <w:r>
        <w:rPr>
          <w:spacing w:val="-8"/>
        </w:rPr>
        <w:t xml:space="preserve"> </w:t>
      </w:r>
      <w:r>
        <w:t>a</w:t>
      </w:r>
      <w:r>
        <w:rPr>
          <w:spacing w:val="-9"/>
        </w:rPr>
        <w:t xml:space="preserve"> </w:t>
      </w:r>
      <w:r>
        <w:t>general</w:t>
      </w:r>
      <w:r>
        <w:rPr>
          <w:spacing w:val="-9"/>
        </w:rPr>
        <w:t xml:space="preserve"> </w:t>
      </w:r>
      <w:r>
        <w:t>licensed</w:t>
      </w:r>
      <w:r>
        <w:rPr>
          <w:spacing w:val="-10"/>
        </w:rPr>
        <w:t xml:space="preserve"> </w:t>
      </w:r>
      <w:r>
        <w:t>device</w:t>
      </w:r>
      <w:r>
        <w:rPr>
          <w:spacing w:val="-10"/>
        </w:rPr>
        <w:t xml:space="preserve"> </w:t>
      </w:r>
      <w:r>
        <w:t>was</w:t>
      </w:r>
      <w:r>
        <w:rPr>
          <w:spacing w:val="-8"/>
        </w:rPr>
        <w:t xml:space="preserve"> </w:t>
      </w:r>
      <w:r>
        <w:t>to</w:t>
      </w:r>
      <w:r>
        <w:rPr>
          <w:spacing w:val="-9"/>
        </w:rPr>
        <w:t xml:space="preserve"> </w:t>
      </w:r>
      <w:r>
        <w:t>an</w:t>
      </w:r>
      <w:r>
        <w:rPr>
          <w:spacing w:val="-8"/>
        </w:rPr>
        <w:t xml:space="preserve"> </w:t>
      </w:r>
      <w:r>
        <w:t>entity</w:t>
      </w:r>
      <w:r>
        <w:rPr>
          <w:spacing w:val="-10"/>
        </w:rPr>
        <w:t xml:space="preserve"> </w:t>
      </w:r>
      <w:r>
        <w:t>authorized</w:t>
      </w:r>
      <w:r>
        <w:rPr>
          <w:spacing w:val="-8"/>
        </w:rPr>
        <w:t xml:space="preserve"> </w:t>
      </w:r>
      <w:r>
        <w:t>to receive a device.  Such reports also assist in determining when devices are removed from</w:t>
      </w:r>
      <w:r>
        <w:rPr>
          <w:spacing w:val="41"/>
        </w:rPr>
        <w:t xml:space="preserve"> </w:t>
      </w:r>
      <w:r>
        <w:t>service</w:t>
      </w:r>
      <w:r>
        <w:rPr>
          <w:spacing w:val="-14"/>
        </w:rPr>
        <w:t xml:space="preserve"> </w:t>
      </w:r>
      <w:r>
        <w:t>at</w:t>
      </w:r>
      <w:r>
        <w:rPr>
          <w:spacing w:val="-15"/>
        </w:rPr>
        <w:t xml:space="preserve"> </w:t>
      </w:r>
      <w:r>
        <w:t>a</w:t>
      </w:r>
      <w:r>
        <w:rPr>
          <w:spacing w:val="-14"/>
        </w:rPr>
        <w:t xml:space="preserve"> </w:t>
      </w:r>
      <w:r>
        <w:t>particular</w:t>
      </w:r>
      <w:r>
        <w:rPr>
          <w:spacing w:val="-13"/>
        </w:rPr>
        <w:t xml:space="preserve"> </w:t>
      </w:r>
      <w:r>
        <w:t>location</w:t>
      </w:r>
      <w:r>
        <w:rPr>
          <w:spacing w:val="-12"/>
        </w:rPr>
        <w:t xml:space="preserve"> </w:t>
      </w:r>
      <w:r>
        <w:t>and</w:t>
      </w:r>
      <w:r>
        <w:rPr>
          <w:spacing w:val="-14"/>
        </w:rPr>
        <w:t xml:space="preserve"> </w:t>
      </w:r>
      <w:r>
        <w:t>in</w:t>
      </w:r>
      <w:r>
        <w:rPr>
          <w:spacing w:val="-14"/>
        </w:rPr>
        <w:t xml:space="preserve"> </w:t>
      </w:r>
      <w:r>
        <w:t>tracking</w:t>
      </w:r>
      <w:r>
        <w:rPr>
          <w:spacing w:val="-15"/>
        </w:rPr>
        <w:t xml:space="preserve"> </w:t>
      </w:r>
      <w:r>
        <w:t>individual</w:t>
      </w:r>
      <w:r>
        <w:rPr>
          <w:spacing w:val="-14"/>
        </w:rPr>
        <w:t xml:space="preserve"> </w:t>
      </w:r>
      <w:r>
        <w:t>general</w:t>
      </w:r>
      <w:r>
        <w:rPr>
          <w:spacing w:val="-13"/>
        </w:rPr>
        <w:t xml:space="preserve"> </w:t>
      </w:r>
      <w:r>
        <w:t>licensed</w:t>
      </w:r>
      <w:r>
        <w:rPr>
          <w:spacing w:val="-14"/>
        </w:rPr>
        <w:t xml:space="preserve"> </w:t>
      </w:r>
      <w:r>
        <w:t>devices.</w:t>
      </w:r>
    </w:p>
    <w:p w:rsidR="006C7206" w:rsidRDefault="006C7206">
      <w:pPr>
        <w:pStyle w:val="BodyText"/>
        <w:spacing w:before="1"/>
        <w:rPr>
          <w:sz w:val="28"/>
        </w:rPr>
      </w:pPr>
    </w:p>
    <w:p w:rsidR="006C7206" w:rsidRDefault="00E90B9F">
      <w:pPr>
        <w:pStyle w:val="BodyText"/>
        <w:ind w:left="100" w:right="146"/>
      </w:pPr>
      <w:r>
        <w:rPr>
          <w:u w:val="single"/>
        </w:rPr>
        <w:t xml:space="preserve">Section 31.5(c)(9) </w:t>
      </w:r>
      <w:r>
        <w:t xml:space="preserve">requires the general licensee wishing to transfer a generally licensed device pursuant to 10 CFR Part 31.5 to another general licensee to do so only under certain circumstances and the general licensee is required to give the transferee, as a minimum, a copy of Sections 30.51, 31.2, 20.2201, and 20.2202 and any safety documents identified in the label of the device. </w:t>
      </w:r>
      <w:r w:rsidR="00E23B8C">
        <w:t xml:space="preserve"> </w:t>
      </w:r>
      <w:r>
        <w:t>In addition, the general licensee shall report within 30 days to the Director, Office of Nuclear Material Safety and Safeguards, the manufacturer's (or initial transferor’s) name, the model number and serial number of the device, the name of the transferee and the mailing address for the location of use. Additionally, the name of a contact person, and the title and phone number of the responsible individual identified by the transferee as having the knowledge and authority for</w:t>
      </w:r>
      <w:r>
        <w:rPr>
          <w:spacing w:val="-14"/>
        </w:rPr>
        <w:t xml:space="preserve"> </w:t>
      </w:r>
      <w:r>
        <w:t>taking</w:t>
      </w:r>
      <w:r>
        <w:rPr>
          <w:spacing w:val="-14"/>
        </w:rPr>
        <w:t xml:space="preserve"> </w:t>
      </w:r>
      <w:r>
        <w:t>required</w:t>
      </w:r>
      <w:r>
        <w:rPr>
          <w:spacing w:val="-13"/>
        </w:rPr>
        <w:t xml:space="preserve"> </w:t>
      </w:r>
      <w:r>
        <w:t>actions</w:t>
      </w:r>
      <w:r>
        <w:rPr>
          <w:spacing w:val="-12"/>
        </w:rPr>
        <w:t xml:space="preserve"> </w:t>
      </w:r>
      <w:r>
        <w:t>to</w:t>
      </w:r>
      <w:r>
        <w:rPr>
          <w:spacing w:val="-13"/>
        </w:rPr>
        <w:t xml:space="preserve"> </w:t>
      </w:r>
      <w:r>
        <w:t>comply</w:t>
      </w:r>
      <w:r>
        <w:rPr>
          <w:spacing w:val="-13"/>
        </w:rPr>
        <w:t xml:space="preserve"> </w:t>
      </w:r>
      <w:r>
        <w:t>with</w:t>
      </w:r>
      <w:r>
        <w:rPr>
          <w:spacing w:val="-12"/>
        </w:rPr>
        <w:t xml:space="preserve"> </w:t>
      </w:r>
      <w:r>
        <w:t>regulatory</w:t>
      </w:r>
      <w:r>
        <w:rPr>
          <w:spacing w:val="-13"/>
        </w:rPr>
        <w:t xml:space="preserve"> </w:t>
      </w:r>
      <w:r>
        <w:t>requirements</w:t>
      </w:r>
      <w:r>
        <w:rPr>
          <w:spacing w:val="-13"/>
        </w:rPr>
        <w:t xml:space="preserve"> </w:t>
      </w:r>
      <w:r>
        <w:t>must</w:t>
      </w:r>
      <w:r>
        <w:rPr>
          <w:spacing w:val="-13"/>
        </w:rPr>
        <w:t xml:space="preserve"> </w:t>
      </w:r>
      <w:r>
        <w:t>be</w:t>
      </w:r>
      <w:r>
        <w:rPr>
          <w:spacing w:val="-13"/>
        </w:rPr>
        <w:t xml:space="preserve"> </w:t>
      </w:r>
      <w:r>
        <w:t>included</w:t>
      </w:r>
      <w:r>
        <w:rPr>
          <w:spacing w:val="-12"/>
        </w:rPr>
        <w:t xml:space="preserve"> </w:t>
      </w:r>
      <w:r>
        <w:t>in</w:t>
      </w:r>
      <w:r>
        <w:rPr>
          <w:spacing w:val="-13"/>
        </w:rPr>
        <w:t xml:space="preserve"> </w:t>
      </w:r>
      <w:r>
        <w:t>the report.</w:t>
      </w:r>
    </w:p>
    <w:p w:rsidR="006C7206" w:rsidRDefault="006C7206">
      <w:pPr>
        <w:pStyle w:val="BodyText"/>
        <w:rPr>
          <w:sz w:val="28"/>
        </w:rPr>
      </w:pPr>
    </w:p>
    <w:p w:rsidR="006C7206" w:rsidRDefault="00E90B9F">
      <w:pPr>
        <w:pStyle w:val="BodyText"/>
        <w:ind w:left="100" w:right="123"/>
      </w:pPr>
      <w:r>
        <w:t>The</w:t>
      </w:r>
      <w:r>
        <w:rPr>
          <w:spacing w:val="-12"/>
        </w:rPr>
        <w:t xml:space="preserve"> </w:t>
      </w:r>
      <w:r>
        <w:t>transferor</w:t>
      </w:r>
      <w:r>
        <w:rPr>
          <w:spacing w:val="-13"/>
        </w:rPr>
        <w:t xml:space="preserve"> </w:t>
      </w:r>
      <w:r>
        <w:t>must</w:t>
      </w:r>
      <w:r>
        <w:rPr>
          <w:spacing w:val="-12"/>
        </w:rPr>
        <w:t xml:space="preserve"> </w:t>
      </w:r>
      <w:r>
        <w:t>provide</w:t>
      </w:r>
      <w:r>
        <w:rPr>
          <w:spacing w:val="-10"/>
        </w:rPr>
        <w:t xml:space="preserve"> </w:t>
      </w:r>
      <w:r>
        <w:t>copies</w:t>
      </w:r>
      <w:r>
        <w:rPr>
          <w:spacing w:val="-12"/>
        </w:rPr>
        <w:t xml:space="preserve"> </w:t>
      </w:r>
      <w:r>
        <w:t>of</w:t>
      </w:r>
      <w:r>
        <w:rPr>
          <w:spacing w:val="-12"/>
        </w:rPr>
        <w:t xml:space="preserve"> </w:t>
      </w:r>
      <w:r>
        <w:t>applicable</w:t>
      </w:r>
      <w:r>
        <w:rPr>
          <w:spacing w:val="-14"/>
        </w:rPr>
        <w:t xml:space="preserve"> </w:t>
      </w:r>
      <w:r>
        <w:t>NRC</w:t>
      </w:r>
      <w:r>
        <w:rPr>
          <w:spacing w:val="-10"/>
        </w:rPr>
        <w:t xml:space="preserve"> </w:t>
      </w:r>
      <w:r>
        <w:t>regulations</w:t>
      </w:r>
      <w:r>
        <w:rPr>
          <w:spacing w:val="-11"/>
        </w:rPr>
        <w:t xml:space="preserve"> </w:t>
      </w:r>
      <w:r>
        <w:t>and</w:t>
      </w:r>
      <w:r>
        <w:rPr>
          <w:spacing w:val="-11"/>
        </w:rPr>
        <w:t xml:space="preserve"> </w:t>
      </w:r>
      <w:r>
        <w:t>safety</w:t>
      </w:r>
      <w:r>
        <w:rPr>
          <w:spacing w:val="-11"/>
        </w:rPr>
        <w:t xml:space="preserve"> </w:t>
      </w:r>
      <w:r>
        <w:t>documents to</w:t>
      </w:r>
      <w:r>
        <w:rPr>
          <w:spacing w:val="23"/>
        </w:rPr>
        <w:t xml:space="preserve"> </w:t>
      </w:r>
      <w:r>
        <w:t>a</w:t>
      </w:r>
      <w:r>
        <w:rPr>
          <w:spacing w:val="-8"/>
        </w:rPr>
        <w:t xml:space="preserve"> </w:t>
      </w:r>
      <w:r>
        <w:t>transferee</w:t>
      </w:r>
      <w:r>
        <w:rPr>
          <w:spacing w:val="-11"/>
        </w:rPr>
        <w:t xml:space="preserve"> </w:t>
      </w:r>
      <w:r>
        <w:t>to</w:t>
      </w:r>
      <w:r>
        <w:rPr>
          <w:spacing w:val="-7"/>
        </w:rPr>
        <w:t xml:space="preserve"> </w:t>
      </w:r>
      <w:r>
        <w:t>ensure</w:t>
      </w:r>
      <w:r>
        <w:rPr>
          <w:spacing w:val="-9"/>
        </w:rPr>
        <w:t xml:space="preserve"> </w:t>
      </w:r>
      <w:r>
        <w:t>the</w:t>
      </w:r>
      <w:r>
        <w:rPr>
          <w:spacing w:val="-8"/>
        </w:rPr>
        <w:t xml:space="preserve"> </w:t>
      </w:r>
      <w:r>
        <w:t>new</w:t>
      </w:r>
      <w:r>
        <w:rPr>
          <w:spacing w:val="-8"/>
        </w:rPr>
        <w:t xml:space="preserve"> </w:t>
      </w:r>
      <w:r>
        <w:t>licensee</w:t>
      </w:r>
      <w:r>
        <w:rPr>
          <w:spacing w:val="-8"/>
        </w:rPr>
        <w:t xml:space="preserve"> </w:t>
      </w:r>
      <w:r>
        <w:t>has</w:t>
      </w:r>
      <w:r>
        <w:rPr>
          <w:spacing w:val="-7"/>
        </w:rPr>
        <w:t xml:space="preserve"> </w:t>
      </w:r>
      <w:r>
        <w:t>all</w:t>
      </w:r>
      <w:r>
        <w:rPr>
          <w:spacing w:val="-9"/>
        </w:rPr>
        <w:t xml:space="preserve"> </w:t>
      </w:r>
      <w:r>
        <w:t>necessary</w:t>
      </w:r>
      <w:r>
        <w:rPr>
          <w:spacing w:val="-10"/>
        </w:rPr>
        <w:t xml:space="preserve"> </w:t>
      </w:r>
      <w:r>
        <w:t>safety</w:t>
      </w:r>
      <w:r>
        <w:rPr>
          <w:spacing w:val="-10"/>
        </w:rPr>
        <w:t xml:space="preserve"> </w:t>
      </w:r>
      <w:r>
        <w:t>information</w:t>
      </w:r>
      <w:r>
        <w:rPr>
          <w:spacing w:val="-8"/>
        </w:rPr>
        <w:t xml:space="preserve"> </w:t>
      </w:r>
      <w:r>
        <w:t>for</w:t>
      </w:r>
      <w:r>
        <w:rPr>
          <w:spacing w:val="-7"/>
        </w:rPr>
        <w:t xml:space="preserve"> </w:t>
      </w:r>
      <w:r>
        <w:t xml:space="preserve">using the device and enable the new licensee to ensure the day-to-day compliance with regulations and requirements. </w:t>
      </w:r>
      <w:r w:rsidR="00E23B8C">
        <w:t xml:space="preserve"> </w:t>
      </w:r>
      <w:r>
        <w:t>The required reporting to NRC is the only mechanism available</w:t>
      </w:r>
      <w:r>
        <w:rPr>
          <w:spacing w:val="-13"/>
        </w:rPr>
        <w:t xml:space="preserve"> </w:t>
      </w:r>
      <w:r>
        <w:t>for</w:t>
      </w:r>
      <w:r>
        <w:rPr>
          <w:spacing w:val="-7"/>
        </w:rPr>
        <w:t xml:space="preserve"> </w:t>
      </w:r>
      <w:r>
        <w:t>making</w:t>
      </w:r>
      <w:r>
        <w:rPr>
          <w:spacing w:val="-14"/>
        </w:rPr>
        <w:t xml:space="preserve"> </w:t>
      </w:r>
      <w:r>
        <w:t>the</w:t>
      </w:r>
      <w:r>
        <w:rPr>
          <w:spacing w:val="-13"/>
        </w:rPr>
        <w:t xml:space="preserve"> </w:t>
      </w:r>
      <w:r>
        <w:t>regulatory</w:t>
      </w:r>
      <w:r>
        <w:rPr>
          <w:spacing w:val="-13"/>
        </w:rPr>
        <w:t xml:space="preserve"> </w:t>
      </w:r>
      <w:r>
        <w:t>authorities</w:t>
      </w:r>
      <w:r>
        <w:rPr>
          <w:spacing w:val="-14"/>
        </w:rPr>
        <w:t xml:space="preserve"> </w:t>
      </w:r>
      <w:r>
        <w:t>aware</w:t>
      </w:r>
      <w:r>
        <w:rPr>
          <w:spacing w:val="-12"/>
        </w:rPr>
        <w:t xml:space="preserve"> </w:t>
      </w:r>
      <w:r>
        <w:t>that</w:t>
      </w:r>
      <w:r>
        <w:rPr>
          <w:spacing w:val="-13"/>
        </w:rPr>
        <w:t xml:space="preserve"> </w:t>
      </w:r>
      <w:r>
        <w:t>a</w:t>
      </w:r>
      <w:r>
        <w:rPr>
          <w:spacing w:val="-14"/>
        </w:rPr>
        <w:t xml:space="preserve"> </w:t>
      </w:r>
      <w:r>
        <w:t>particular</w:t>
      </w:r>
      <w:r>
        <w:rPr>
          <w:spacing w:val="-13"/>
        </w:rPr>
        <w:t xml:space="preserve"> </w:t>
      </w:r>
      <w:r>
        <w:t>general</w:t>
      </w:r>
      <w:r>
        <w:rPr>
          <w:spacing w:val="-13"/>
        </w:rPr>
        <w:t xml:space="preserve"> </w:t>
      </w:r>
      <w:r>
        <w:t>licensee</w:t>
      </w:r>
      <w:r>
        <w:rPr>
          <w:spacing w:val="-13"/>
        </w:rPr>
        <w:t xml:space="preserve"> </w:t>
      </w:r>
      <w:r>
        <w:t>is no longer responsible for a device at a particular location and that a different person is responsible</w:t>
      </w:r>
      <w:r>
        <w:rPr>
          <w:spacing w:val="-12"/>
        </w:rPr>
        <w:t xml:space="preserve"> </w:t>
      </w:r>
      <w:r>
        <w:t>for</w:t>
      </w:r>
      <w:r>
        <w:rPr>
          <w:spacing w:val="38"/>
        </w:rPr>
        <w:t xml:space="preserve"> </w:t>
      </w:r>
      <w:r>
        <w:t>the</w:t>
      </w:r>
      <w:r>
        <w:rPr>
          <w:spacing w:val="-11"/>
        </w:rPr>
        <w:t xml:space="preserve"> </w:t>
      </w:r>
      <w:r>
        <w:t>device</w:t>
      </w:r>
      <w:r>
        <w:rPr>
          <w:spacing w:val="-11"/>
        </w:rPr>
        <w:t xml:space="preserve"> </w:t>
      </w:r>
      <w:r>
        <w:t>or</w:t>
      </w:r>
      <w:r>
        <w:rPr>
          <w:spacing w:val="-11"/>
        </w:rPr>
        <w:t xml:space="preserve"> </w:t>
      </w:r>
      <w:r>
        <w:t>devices</w:t>
      </w:r>
      <w:r>
        <w:rPr>
          <w:spacing w:val="-11"/>
        </w:rPr>
        <w:t xml:space="preserve"> </w:t>
      </w:r>
      <w:r>
        <w:t>and</w:t>
      </w:r>
      <w:r>
        <w:rPr>
          <w:spacing w:val="-11"/>
        </w:rPr>
        <w:t xml:space="preserve"> </w:t>
      </w:r>
      <w:r>
        <w:t>has</w:t>
      </w:r>
      <w:r>
        <w:rPr>
          <w:spacing w:val="-11"/>
        </w:rPr>
        <w:t xml:space="preserve"> </w:t>
      </w:r>
      <w:r>
        <w:t>the</w:t>
      </w:r>
      <w:r>
        <w:rPr>
          <w:spacing w:val="-12"/>
        </w:rPr>
        <w:t xml:space="preserve"> </w:t>
      </w:r>
      <w:r>
        <w:t>qualifications</w:t>
      </w:r>
      <w:r>
        <w:rPr>
          <w:spacing w:val="-11"/>
        </w:rPr>
        <w:t xml:space="preserve"> </w:t>
      </w:r>
      <w:r>
        <w:t>to</w:t>
      </w:r>
      <w:r>
        <w:rPr>
          <w:spacing w:val="-11"/>
        </w:rPr>
        <w:t xml:space="preserve"> </w:t>
      </w:r>
      <w:r>
        <w:t>act</w:t>
      </w:r>
      <w:r>
        <w:rPr>
          <w:spacing w:val="-12"/>
        </w:rPr>
        <w:t xml:space="preserve"> </w:t>
      </w:r>
      <w:r>
        <w:t>in</w:t>
      </w:r>
      <w:r>
        <w:rPr>
          <w:spacing w:val="-11"/>
        </w:rPr>
        <w:t xml:space="preserve"> </w:t>
      </w:r>
      <w:r>
        <w:t>that</w:t>
      </w:r>
      <w:r>
        <w:rPr>
          <w:spacing w:val="-11"/>
        </w:rPr>
        <w:t xml:space="preserve"> </w:t>
      </w:r>
      <w:r>
        <w:t>regard.</w:t>
      </w:r>
    </w:p>
    <w:p w:rsidR="006C7206" w:rsidRDefault="006C7206">
      <w:pPr>
        <w:pStyle w:val="BodyText"/>
        <w:spacing w:before="10"/>
        <w:rPr>
          <w:sz w:val="21"/>
        </w:rPr>
      </w:pPr>
    </w:p>
    <w:p w:rsidR="006C7206" w:rsidRDefault="00E90B9F">
      <w:pPr>
        <w:pStyle w:val="BodyText"/>
        <w:ind w:left="100" w:right="208"/>
      </w:pPr>
      <w:r>
        <w:rPr>
          <w:u w:val="single"/>
        </w:rPr>
        <w:t xml:space="preserve">Section 31.5(c)(11) </w:t>
      </w:r>
      <w:r>
        <w:t xml:space="preserve">requires general licensees to respond to written requests from NRC to provide information relating to the general license within 30 calendar days of the date of the request, or other time specified in the request. </w:t>
      </w:r>
      <w:r w:rsidR="00E23B8C">
        <w:t xml:space="preserve"> </w:t>
      </w:r>
      <w:r>
        <w:t>If the general licensee cannot provide the requested information within the allotted time, it shall, within that same time period, request a longer period to supply the information by submitting a letter to the Director, Office of Nuclear Material Safety and Safeguards” and provide written justification for the request.</w:t>
      </w:r>
    </w:p>
    <w:p w:rsidR="006C7206" w:rsidRDefault="006C7206">
      <w:pPr>
        <w:pStyle w:val="BodyText"/>
        <w:spacing w:before="11"/>
        <w:rPr>
          <w:sz w:val="21"/>
        </w:rPr>
      </w:pPr>
    </w:p>
    <w:p w:rsidR="006C7206" w:rsidRDefault="00E90B9F">
      <w:pPr>
        <w:pStyle w:val="BodyText"/>
        <w:ind w:left="100" w:right="98"/>
      </w:pPr>
      <w:r>
        <w:t>This requirement is contained in this section to clarify that the NRC may request information from the general licensee during the useful working life of a device, if needed in fulfilling its duties.</w:t>
      </w:r>
    </w:p>
    <w:p w:rsidR="006C7206" w:rsidRDefault="006C7206">
      <w:pPr>
        <w:pStyle w:val="BodyText"/>
        <w:rPr>
          <w:sz w:val="20"/>
        </w:rPr>
      </w:pPr>
    </w:p>
    <w:p w:rsidR="006C7206" w:rsidRDefault="006C7206">
      <w:pPr>
        <w:jc w:val="center"/>
        <w:sectPr w:rsidR="006C7206" w:rsidSect="00374D13">
          <w:footerReference w:type="default" r:id="rId12"/>
          <w:pgSz w:w="12240" w:h="15840"/>
          <w:pgMar w:top="1440" w:right="1440" w:bottom="1440" w:left="1440" w:header="720" w:footer="720" w:gutter="0"/>
          <w:cols w:space="720"/>
          <w:docGrid w:linePitch="299"/>
        </w:sectPr>
      </w:pPr>
    </w:p>
    <w:p w:rsidR="006C7206" w:rsidRDefault="00E90B9F" w:rsidP="00866C0C">
      <w:pPr>
        <w:pStyle w:val="BodyText"/>
        <w:spacing w:before="77"/>
        <w:ind w:left="100" w:right="208"/>
      </w:pPr>
      <w:r>
        <w:rPr>
          <w:u w:val="single"/>
        </w:rPr>
        <w:t>Section</w:t>
      </w:r>
      <w:r>
        <w:rPr>
          <w:spacing w:val="-18"/>
          <w:u w:val="single"/>
        </w:rPr>
        <w:t xml:space="preserve"> </w:t>
      </w:r>
      <w:r>
        <w:rPr>
          <w:u w:val="single"/>
        </w:rPr>
        <w:t>31.5(c)(13)</w:t>
      </w:r>
      <w:r>
        <w:rPr>
          <w:spacing w:val="-16"/>
          <w:u w:val="single"/>
        </w:rPr>
        <w:t xml:space="preserve"> </w:t>
      </w:r>
      <w:r>
        <w:t>requires</w:t>
      </w:r>
      <w:r>
        <w:rPr>
          <w:spacing w:val="-18"/>
        </w:rPr>
        <w:t xml:space="preserve"> </w:t>
      </w:r>
      <w:r>
        <w:t>annual</w:t>
      </w:r>
      <w:r>
        <w:rPr>
          <w:spacing w:val="-17"/>
        </w:rPr>
        <w:t xml:space="preserve"> </w:t>
      </w:r>
      <w:r>
        <w:t>registration</w:t>
      </w:r>
      <w:r>
        <w:rPr>
          <w:spacing w:val="-17"/>
        </w:rPr>
        <w:t xml:space="preserve"> </w:t>
      </w:r>
      <w:r>
        <w:t>of</w:t>
      </w:r>
      <w:r>
        <w:rPr>
          <w:spacing w:val="-17"/>
        </w:rPr>
        <w:t xml:space="preserve"> </w:t>
      </w:r>
      <w:r>
        <w:t>certain</w:t>
      </w:r>
      <w:r>
        <w:rPr>
          <w:spacing w:val="-17"/>
        </w:rPr>
        <w:t xml:space="preserve"> </w:t>
      </w:r>
      <w:r>
        <w:t>general</w:t>
      </w:r>
      <w:r>
        <w:rPr>
          <w:spacing w:val="-17"/>
        </w:rPr>
        <w:t xml:space="preserve"> </w:t>
      </w:r>
      <w:r>
        <w:t>licensed</w:t>
      </w:r>
      <w:r>
        <w:rPr>
          <w:spacing w:val="-17"/>
        </w:rPr>
        <w:t xml:space="preserve"> </w:t>
      </w:r>
      <w:r>
        <w:t>devices</w:t>
      </w:r>
      <w:r>
        <w:rPr>
          <w:spacing w:val="-17"/>
        </w:rPr>
        <w:t xml:space="preserve"> </w:t>
      </w:r>
      <w:r>
        <w:t xml:space="preserve">which were manufactured or initially transferred and labeled in accordance with specifications contained in a specific license issued to 10 CFR 32.51. </w:t>
      </w:r>
      <w:r w:rsidR="00E23B8C">
        <w:t xml:space="preserve"> </w:t>
      </w:r>
      <w:r>
        <w:t>Devices for general licensees whose</w:t>
      </w:r>
      <w:r>
        <w:rPr>
          <w:spacing w:val="-11"/>
        </w:rPr>
        <w:t xml:space="preserve"> </w:t>
      </w:r>
      <w:r>
        <w:t>devices</w:t>
      </w:r>
      <w:r>
        <w:rPr>
          <w:spacing w:val="-10"/>
        </w:rPr>
        <w:t xml:space="preserve"> </w:t>
      </w:r>
      <w:r>
        <w:t>meet</w:t>
      </w:r>
      <w:r>
        <w:rPr>
          <w:spacing w:val="-10"/>
        </w:rPr>
        <w:t xml:space="preserve"> </w:t>
      </w:r>
      <w:r>
        <w:t>the</w:t>
      </w:r>
      <w:r>
        <w:rPr>
          <w:spacing w:val="-11"/>
        </w:rPr>
        <w:t xml:space="preserve"> </w:t>
      </w:r>
      <w:r>
        <w:t>annual</w:t>
      </w:r>
      <w:r>
        <w:rPr>
          <w:spacing w:val="-10"/>
        </w:rPr>
        <w:t xml:space="preserve"> </w:t>
      </w:r>
      <w:r>
        <w:t>registration</w:t>
      </w:r>
      <w:r>
        <w:rPr>
          <w:spacing w:val="-12"/>
        </w:rPr>
        <w:t xml:space="preserve"> </w:t>
      </w:r>
      <w:r>
        <w:t>criteria</w:t>
      </w:r>
      <w:r>
        <w:rPr>
          <w:spacing w:val="-10"/>
        </w:rPr>
        <w:t xml:space="preserve"> </w:t>
      </w:r>
      <w:r>
        <w:t>are</w:t>
      </w:r>
      <w:r>
        <w:rPr>
          <w:spacing w:val="-10"/>
        </w:rPr>
        <w:t xml:space="preserve"> </w:t>
      </w:r>
      <w:r>
        <w:t>contained</w:t>
      </w:r>
      <w:r>
        <w:rPr>
          <w:spacing w:val="-11"/>
        </w:rPr>
        <w:t xml:space="preserve"> </w:t>
      </w:r>
      <w:r>
        <w:t>in</w:t>
      </w:r>
      <w:r>
        <w:rPr>
          <w:spacing w:val="-10"/>
        </w:rPr>
        <w:t xml:space="preserve"> </w:t>
      </w:r>
      <w:r>
        <w:t>Section</w:t>
      </w:r>
      <w:r>
        <w:rPr>
          <w:spacing w:val="-11"/>
        </w:rPr>
        <w:t xml:space="preserve"> </w:t>
      </w:r>
      <w:r>
        <w:t xml:space="preserve">31.5(c)(13). These general licensees are required annually to verify, correct, and/or add to information provided in the request for registration </w:t>
      </w:r>
      <w:r>
        <w:rPr>
          <w:spacing w:val="-4"/>
        </w:rPr>
        <w:t xml:space="preserve">from the </w:t>
      </w:r>
      <w:r>
        <w:rPr>
          <w:spacing w:val="-5"/>
        </w:rPr>
        <w:t xml:space="preserve">NRC </w:t>
      </w:r>
      <w:r>
        <w:t xml:space="preserve">and submit this information to NRC within 30 days of the request. </w:t>
      </w:r>
      <w:r w:rsidR="00E23B8C">
        <w:t xml:space="preserve"> </w:t>
      </w:r>
      <w:r>
        <w:t xml:space="preserve">This information includes: (a) name and mailing address of the general licensee; (b) information about each device: the manufacturer (or initial transferor), model number, serial number, the radioisotope and activity (as indicated on the label); (c) the name, title, and phone number of the responsible person designated as a representative of  the general licensee under Section 31.5(c)(12); (d) the address or location at which the device(s) are used </w:t>
      </w:r>
      <w:r>
        <w:rPr>
          <w:spacing w:val="-2"/>
        </w:rPr>
        <w:t xml:space="preserve">and/or </w:t>
      </w:r>
      <w:r>
        <w:t>stored.  For portable devices, the address of the primary place of storage; (e) certification</w:t>
      </w:r>
      <w:r>
        <w:rPr>
          <w:spacing w:val="-16"/>
        </w:rPr>
        <w:t xml:space="preserve"> </w:t>
      </w:r>
      <w:r>
        <w:t>by</w:t>
      </w:r>
      <w:r>
        <w:rPr>
          <w:spacing w:val="-15"/>
        </w:rPr>
        <w:t xml:space="preserve"> </w:t>
      </w:r>
      <w:r>
        <w:t>the</w:t>
      </w:r>
      <w:r>
        <w:rPr>
          <w:spacing w:val="-15"/>
        </w:rPr>
        <w:t xml:space="preserve"> </w:t>
      </w:r>
      <w:r>
        <w:t>responsible</w:t>
      </w:r>
      <w:r>
        <w:rPr>
          <w:spacing w:val="-14"/>
        </w:rPr>
        <w:t xml:space="preserve"> </w:t>
      </w:r>
      <w:r>
        <w:t>representative</w:t>
      </w:r>
      <w:r>
        <w:rPr>
          <w:spacing w:val="-16"/>
        </w:rPr>
        <w:t xml:space="preserve"> </w:t>
      </w:r>
      <w:r>
        <w:t>of</w:t>
      </w:r>
      <w:r>
        <w:rPr>
          <w:spacing w:val="-15"/>
        </w:rPr>
        <w:t xml:space="preserve"> </w:t>
      </w:r>
      <w:r>
        <w:t>the</w:t>
      </w:r>
      <w:r>
        <w:rPr>
          <w:spacing w:val="-15"/>
        </w:rPr>
        <w:t xml:space="preserve"> </w:t>
      </w:r>
      <w:r>
        <w:t>general</w:t>
      </w:r>
      <w:r>
        <w:rPr>
          <w:spacing w:val="-14"/>
        </w:rPr>
        <w:t xml:space="preserve"> </w:t>
      </w:r>
      <w:r>
        <w:t>licensee</w:t>
      </w:r>
      <w:r>
        <w:rPr>
          <w:spacing w:val="-13"/>
        </w:rPr>
        <w:t xml:space="preserve"> </w:t>
      </w:r>
      <w:r>
        <w:t>that</w:t>
      </w:r>
      <w:r>
        <w:rPr>
          <w:spacing w:val="-18"/>
        </w:rPr>
        <w:t xml:space="preserve"> </w:t>
      </w:r>
      <w:r>
        <w:t>the</w:t>
      </w:r>
      <w:r w:rsidR="00866C0C">
        <w:t xml:space="preserve"> </w:t>
      </w:r>
      <w:r>
        <w:t>information concerning the device(s) has been verified through a physical inventory and checking</w:t>
      </w:r>
      <w:r>
        <w:rPr>
          <w:spacing w:val="-13"/>
        </w:rPr>
        <w:t xml:space="preserve"> </w:t>
      </w:r>
      <w:r>
        <w:t>of</w:t>
      </w:r>
      <w:r>
        <w:rPr>
          <w:spacing w:val="-12"/>
        </w:rPr>
        <w:t xml:space="preserve"> </w:t>
      </w:r>
      <w:r>
        <w:t>label</w:t>
      </w:r>
      <w:r>
        <w:rPr>
          <w:spacing w:val="-11"/>
        </w:rPr>
        <w:t xml:space="preserve"> </w:t>
      </w:r>
      <w:r>
        <w:t>information;</w:t>
      </w:r>
      <w:r>
        <w:rPr>
          <w:spacing w:val="-11"/>
        </w:rPr>
        <w:t xml:space="preserve"> </w:t>
      </w:r>
      <w:r>
        <w:t>and</w:t>
      </w:r>
      <w:r>
        <w:rPr>
          <w:spacing w:val="-12"/>
        </w:rPr>
        <w:t xml:space="preserve"> </w:t>
      </w:r>
      <w:r>
        <w:t>(f)</w:t>
      </w:r>
      <w:r>
        <w:rPr>
          <w:spacing w:val="-12"/>
        </w:rPr>
        <w:t xml:space="preserve"> </w:t>
      </w:r>
      <w:r>
        <w:t>certification</w:t>
      </w:r>
      <w:r>
        <w:rPr>
          <w:spacing w:val="-13"/>
        </w:rPr>
        <w:t xml:space="preserve"> </w:t>
      </w:r>
      <w:r>
        <w:t>by</w:t>
      </w:r>
      <w:r>
        <w:rPr>
          <w:spacing w:val="-12"/>
        </w:rPr>
        <w:t xml:space="preserve"> </w:t>
      </w:r>
      <w:r>
        <w:t>the</w:t>
      </w:r>
      <w:r>
        <w:rPr>
          <w:spacing w:val="-12"/>
        </w:rPr>
        <w:t xml:space="preserve"> </w:t>
      </w:r>
      <w:r>
        <w:t>responsible</w:t>
      </w:r>
      <w:r>
        <w:rPr>
          <w:spacing w:val="-12"/>
        </w:rPr>
        <w:t xml:space="preserve"> </w:t>
      </w:r>
      <w:r>
        <w:t>representative</w:t>
      </w:r>
      <w:r>
        <w:rPr>
          <w:spacing w:val="-13"/>
        </w:rPr>
        <w:t xml:space="preserve"> </w:t>
      </w:r>
      <w:r>
        <w:t>of</w:t>
      </w:r>
      <w:r>
        <w:rPr>
          <w:spacing w:val="-12"/>
        </w:rPr>
        <w:t xml:space="preserve"> </w:t>
      </w:r>
      <w:r>
        <w:t>the general</w:t>
      </w:r>
      <w:r>
        <w:rPr>
          <w:spacing w:val="-10"/>
        </w:rPr>
        <w:t xml:space="preserve"> </w:t>
      </w:r>
      <w:r>
        <w:t>licensee</w:t>
      </w:r>
      <w:r>
        <w:rPr>
          <w:spacing w:val="-10"/>
        </w:rPr>
        <w:t xml:space="preserve"> </w:t>
      </w:r>
      <w:r>
        <w:t>that</w:t>
      </w:r>
      <w:r>
        <w:rPr>
          <w:spacing w:val="-10"/>
        </w:rPr>
        <w:t xml:space="preserve"> </w:t>
      </w:r>
      <w:r>
        <w:t>they</w:t>
      </w:r>
      <w:r>
        <w:rPr>
          <w:spacing w:val="-12"/>
        </w:rPr>
        <w:t xml:space="preserve"> </w:t>
      </w:r>
      <w:r>
        <w:t>are</w:t>
      </w:r>
      <w:r>
        <w:rPr>
          <w:spacing w:val="-9"/>
        </w:rPr>
        <w:t xml:space="preserve"> </w:t>
      </w:r>
      <w:r>
        <w:t>aware</w:t>
      </w:r>
      <w:r>
        <w:rPr>
          <w:spacing w:val="-10"/>
        </w:rPr>
        <w:t xml:space="preserve"> </w:t>
      </w:r>
      <w:r>
        <w:t>of</w:t>
      </w:r>
      <w:r>
        <w:rPr>
          <w:spacing w:val="-10"/>
        </w:rPr>
        <w:t xml:space="preserve"> </w:t>
      </w:r>
      <w:r>
        <w:t>the</w:t>
      </w:r>
      <w:r>
        <w:rPr>
          <w:spacing w:val="-10"/>
        </w:rPr>
        <w:t xml:space="preserve"> </w:t>
      </w:r>
      <w:r>
        <w:t>requirements</w:t>
      </w:r>
      <w:r>
        <w:rPr>
          <w:spacing w:val="-10"/>
        </w:rPr>
        <w:t xml:space="preserve"> </w:t>
      </w:r>
      <w:r>
        <w:t>of</w:t>
      </w:r>
      <w:r>
        <w:rPr>
          <w:spacing w:val="-9"/>
        </w:rPr>
        <w:t xml:space="preserve"> </w:t>
      </w:r>
      <w:r>
        <w:t>the</w:t>
      </w:r>
      <w:r>
        <w:rPr>
          <w:spacing w:val="-11"/>
        </w:rPr>
        <w:t xml:space="preserve"> </w:t>
      </w:r>
      <w:r>
        <w:t>general</w:t>
      </w:r>
      <w:r>
        <w:rPr>
          <w:spacing w:val="-11"/>
        </w:rPr>
        <w:t xml:space="preserve"> </w:t>
      </w:r>
      <w:r>
        <w:t>license.</w:t>
      </w:r>
      <w:r w:rsidR="00E23B8C">
        <w:rPr>
          <w:spacing w:val="41"/>
        </w:rPr>
        <w:t xml:space="preserve"> </w:t>
      </w:r>
      <w:r>
        <w:t>If</w:t>
      </w:r>
      <w:r>
        <w:rPr>
          <w:spacing w:val="-10"/>
        </w:rPr>
        <w:t xml:space="preserve"> </w:t>
      </w:r>
      <w:r>
        <w:t>one</w:t>
      </w:r>
      <w:r>
        <w:rPr>
          <w:spacing w:val="-10"/>
        </w:rPr>
        <w:t xml:space="preserve"> </w:t>
      </w:r>
      <w:r>
        <w:t>or more intermediate persons will temporarily possess the device at the intended place of use before its possession by the user, the report must include the same information for both the intended user and each intermediate person, and clearly designate the intermediate</w:t>
      </w:r>
      <w:r>
        <w:rPr>
          <w:spacing w:val="22"/>
        </w:rPr>
        <w:t xml:space="preserve"> </w:t>
      </w:r>
      <w:r>
        <w:t>person(s).</w:t>
      </w:r>
    </w:p>
    <w:p w:rsidR="006C7206" w:rsidRDefault="006C7206">
      <w:pPr>
        <w:pStyle w:val="BodyText"/>
        <w:spacing w:before="10"/>
        <w:rPr>
          <w:sz w:val="21"/>
        </w:rPr>
      </w:pPr>
    </w:p>
    <w:p w:rsidR="006C7206" w:rsidRDefault="00E90B9F">
      <w:pPr>
        <w:pStyle w:val="BodyText"/>
        <w:ind w:left="100" w:right="318"/>
      </w:pPr>
      <w:r>
        <w:t>NRC Form 664, “General Licensee Registration,” which is used to collect this information, has previously been cleared under OMB Clearance No. 3150-0198, which should be referred to for additional supporting information, burden, and cost data.</w:t>
      </w:r>
    </w:p>
    <w:p w:rsidR="006C7206" w:rsidRDefault="006C7206">
      <w:pPr>
        <w:pStyle w:val="BodyText"/>
        <w:spacing w:before="11"/>
        <w:rPr>
          <w:sz w:val="21"/>
        </w:rPr>
      </w:pPr>
    </w:p>
    <w:p w:rsidR="006C7206" w:rsidRDefault="00E90B9F">
      <w:pPr>
        <w:pStyle w:val="BodyText"/>
        <w:ind w:left="100" w:right="318"/>
      </w:pPr>
      <w:r>
        <w:rPr>
          <w:u w:val="single"/>
        </w:rPr>
        <w:t>Section</w:t>
      </w:r>
      <w:r>
        <w:rPr>
          <w:spacing w:val="-11"/>
          <w:u w:val="single"/>
        </w:rPr>
        <w:t xml:space="preserve"> </w:t>
      </w:r>
      <w:r>
        <w:rPr>
          <w:u w:val="single"/>
        </w:rPr>
        <w:t>31.5(c)(14)</w:t>
      </w:r>
      <w:r>
        <w:rPr>
          <w:spacing w:val="-10"/>
          <w:u w:val="single"/>
        </w:rPr>
        <w:t xml:space="preserve"> </w:t>
      </w:r>
      <w:r>
        <w:t>requires</w:t>
      </w:r>
      <w:r>
        <w:rPr>
          <w:spacing w:val="-9"/>
        </w:rPr>
        <w:t xml:space="preserve"> </w:t>
      </w:r>
      <w:r>
        <w:t>general</w:t>
      </w:r>
      <w:r>
        <w:rPr>
          <w:spacing w:val="-9"/>
        </w:rPr>
        <w:t xml:space="preserve"> </w:t>
      </w:r>
      <w:r>
        <w:t>licensees</w:t>
      </w:r>
      <w:r>
        <w:rPr>
          <w:spacing w:val="-9"/>
        </w:rPr>
        <w:t xml:space="preserve"> </w:t>
      </w:r>
      <w:r>
        <w:t>to</w:t>
      </w:r>
      <w:r>
        <w:rPr>
          <w:spacing w:val="-11"/>
        </w:rPr>
        <w:t xml:space="preserve"> </w:t>
      </w:r>
      <w:r>
        <w:t>notify</w:t>
      </w:r>
      <w:r>
        <w:rPr>
          <w:spacing w:val="-9"/>
        </w:rPr>
        <w:t xml:space="preserve"> </w:t>
      </w:r>
      <w:r>
        <w:t>NRC</w:t>
      </w:r>
      <w:r>
        <w:rPr>
          <w:spacing w:val="-8"/>
        </w:rPr>
        <w:t xml:space="preserve"> </w:t>
      </w:r>
      <w:r>
        <w:t>within</w:t>
      </w:r>
      <w:r>
        <w:rPr>
          <w:spacing w:val="-9"/>
        </w:rPr>
        <w:t xml:space="preserve"> </w:t>
      </w:r>
      <w:r>
        <w:t>30</w:t>
      </w:r>
      <w:r>
        <w:rPr>
          <w:spacing w:val="-9"/>
        </w:rPr>
        <w:t xml:space="preserve"> </w:t>
      </w:r>
      <w:r>
        <w:t>days</w:t>
      </w:r>
      <w:r>
        <w:rPr>
          <w:spacing w:val="-9"/>
        </w:rPr>
        <w:t xml:space="preserve"> </w:t>
      </w:r>
      <w:r>
        <w:t>of</w:t>
      </w:r>
      <w:r>
        <w:rPr>
          <w:spacing w:val="-9"/>
        </w:rPr>
        <w:t xml:space="preserve"> </w:t>
      </w:r>
      <w:r>
        <w:t xml:space="preserve">changes of address for the location of use (including change of name of general licensee) of devices. </w:t>
      </w:r>
      <w:r w:rsidR="00E23B8C">
        <w:t xml:space="preserve"> </w:t>
      </w:r>
      <w:r>
        <w:t>For portable devices, the change of address reporting applies only to the device’s</w:t>
      </w:r>
      <w:r>
        <w:rPr>
          <w:spacing w:val="-14"/>
        </w:rPr>
        <w:t xml:space="preserve"> </w:t>
      </w:r>
      <w:r>
        <w:t>primary</w:t>
      </w:r>
      <w:r>
        <w:rPr>
          <w:spacing w:val="-12"/>
        </w:rPr>
        <w:t xml:space="preserve"> </w:t>
      </w:r>
      <w:r>
        <w:t>place</w:t>
      </w:r>
      <w:r>
        <w:rPr>
          <w:spacing w:val="-11"/>
        </w:rPr>
        <w:t xml:space="preserve"> </w:t>
      </w:r>
      <w:r>
        <w:t>of</w:t>
      </w:r>
      <w:r>
        <w:rPr>
          <w:spacing w:val="-12"/>
        </w:rPr>
        <w:t xml:space="preserve"> </w:t>
      </w:r>
      <w:r>
        <w:t>storage.</w:t>
      </w:r>
    </w:p>
    <w:p w:rsidR="006C7206" w:rsidRDefault="006C7206">
      <w:pPr>
        <w:pStyle w:val="BodyText"/>
        <w:rPr>
          <w:sz w:val="28"/>
        </w:rPr>
      </w:pPr>
    </w:p>
    <w:p w:rsidR="006C7206" w:rsidRDefault="00E90B9F">
      <w:pPr>
        <w:pStyle w:val="BodyText"/>
        <w:spacing w:before="1"/>
        <w:ind w:left="100" w:right="123"/>
      </w:pPr>
      <w:r>
        <w:t xml:space="preserve">This requirement allows the NRC to track general licensees for contact or inspection purposes. </w:t>
      </w:r>
      <w:r w:rsidR="00E23B8C">
        <w:t xml:space="preserve"> </w:t>
      </w:r>
      <w:r>
        <w:t>The quarterly reports required of distributors under Section 32.52(a) and (b) provide NRC and the Agreement State regulatory agencies with the identity of general licensees in their jurisdictions and the location of use of the general licensed devices.</w:t>
      </w:r>
    </w:p>
    <w:p w:rsidR="006C7206" w:rsidRDefault="00E90B9F">
      <w:pPr>
        <w:pStyle w:val="BodyText"/>
        <w:ind w:left="100" w:right="123"/>
      </w:pPr>
      <w:r>
        <w:t>If</w:t>
      </w:r>
      <w:r>
        <w:rPr>
          <w:spacing w:val="-13"/>
        </w:rPr>
        <w:t xml:space="preserve"> </w:t>
      </w:r>
      <w:r>
        <w:t>general</w:t>
      </w:r>
      <w:r>
        <w:rPr>
          <w:spacing w:val="-12"/>
        </w:rPr>
        <w:t xml:space="preserve"> </w:t>
      </w:r>
      <w:r>
        <w:t>licensees</w:t>
      </w:r>
      <w:r>
        <w:rPr>
          <w:spacing w:val="-12"/>
        </w:rPr>
        <w:t xml:space="preserve"> </w:t>
      </w:r>
      <w:r>
        <w:t>move</w:t>
      </w:r>
      <w:r>
        <w:rPr>
          <w:spacing w:val="-11"/>
        </w:rPr>
        <w:t xml:space="preserve"> </w:t>
      </w:r>
      <w:r>
        <w:t>their</w:t>
      </w:r>
      <w:r>
        <w:rPr>
          <w:spacing w:val="-14"/>
        </w:rPr>
        <w:t xml:space="preserve"> </w:t>
      </w:r>
      <w:r>
        <w:t>operations</w:t>
      </w:r>
      <w:r>
        <w:rPr>
          <w:spacing w:val="-12"/>
        </w:rPr>
        <w:t xml:space="preserve"> </w:t>
      </w:r>
      <w:r>
        <w:t>without</w:t>
      </w:r>
      <w:r>
        <w:rPr>
          <w:spacing w:val="-11"/>
        </w:rPr>
        <w:t xml:space="preserve"> </w:t>
      </w:r>
      <w:r>
        <w:t>notifying</w:t>
      </w:r>
      <w:r>
        <w:rPr>
          <w:spacing w:val="-13"/>
        </w:rPr>
        <w:t xml:space="preserve"> </w:t>
      </w:r>
      <w:r>
        <w:t>NRC</w:t>
      </w:r>
      <w:r>
        <w:rPr>
          <w:spacing w:val="-12"/>
        </w:rPr>
        <w:t xml:space="preserve"> </w:t>
      </w:r>
      <w:r>
        <w:t>or</w:t>
      </w:r>
      <w:r>
        <w:rPr>
          <w:spacing w:val="-11"/>
        </w:rPr>
        <w:t xml:space="preserve"> </w:t>
      </w:r>
      <w:r>
        <w:t>the</w:t>
      </w:r>
      <w:r>
        <w:rPr>
          <w:spacing w:val="-12"/>
        </w:rPr>
        <w:t xml:space="preserve"> </w:t>
      </w:r>
      <w:r>
        <w:t>appropriate Agreement</w:t>
      </w:r>
      <w:r>
        <w:rPr>
          <w:spacing w:val="-8"/>
        </w:rPr>
        <w:t xml:space="preserve"> </w:t>
      </w:r>
      <w:r>
        <w:t>State</w:t>
      </w:r>
      <w:r>
        <w:rPr>
          <w:spacing w:val="-9"/>
        </w:rPr>
        <w:t xml:space="preserve"> </w:t>
      </w:r>
      <w:r>
        <w:t>agency,</w:t>
      </w:r>
      <w:r>
        <w:rPr>
          <w:spacing w:val="-9"/>
        </w:rPr>
        <w:t xml:space="preserve"> </w:t>
      </w:r>
      <w:r>
        <w:t>they</w:t>
      </w:r>
      <w:r>
        <w:rPr>
          <w:spacing w:val="-8"/>
        </w:rPr>
        <w:t xml:space="preserve"> </w:t>
      </w:r>
      <w:r>
        <w:t>may</w:t>
      </w:r>
      <w:r>
        <w:rPr>
          <w:spacing w:val="-9"/>
        </w:rPr>
        <w:t xml:space="preserve"> </w:t>
      </w:r>
      <w:r>
        <w:t>be</w:t>
      </w:r>
      <w:r>
        <w:rPr>
          <w:spacing w:val="-11"/>
        </w:rPr>
        <w:t xml:space="preserve"> </w:t>
      </w:r>
      <w:r>
        <w:t>difficult</w:t>
      </w:r>
      <w:r>
        <w:rPr>
          <w:spacing w:val="-10"/>
        </w:rPr>
        <w:t xml:space="preserve"> </w:t>
      </w:r>
      <w:r>
        <w:t>to</w:t>
      </w:r>
      <w:r>
        <w:rPr>
          <w:spacing w:val="-10"/>
        </w:rPr>
        <w:t xml:space="preserve"> </w:t>
      </w:r>
      <w:r>
        <w:t>locate.</w:t>
      </w:r>
    </w:p>
    <w:p w:rsidR="006C7206" w:rsidRDefault="006C7206">
      <w:pPr>
        <w:pStyle w:val="BodyText"/>
      </w:pPr>
    </w:p>
    <w:p w:rsidR="006C7206" w:rsidRDefault="00E90B9F">
      <w:pPr>
        <w:pStyle w:val="BodyText"/>
        <w:ind w:left="100" w:right="134"/>
      </w:pPr>
      <w:r>
        <w:rPr>
          <w:u w:val="single"/>
        </w:rPr>
        <w:t xml:space="preserve">Section 31.8(c)(2) </w:t>
      </w:r>
      <w:r>
        <w:t xml:space="preserve">requires that persons licensed in accordance with Section 31.8 shall not receive, possess, use or transfer a general licensed americium-241 or radium-226 calibration or reference source unless it bears a label which contains sufficient information relative to safe use and storage of the source, such as identification that receipt, possession, use, and transfer of the source are subject to a general license, and contains the source model number and serial number. </w:t>
      </w:r>
      <w:r w:rsidR="00E23B8C">
        <w:t xml:space="preserve"> </w:t>
      </w:r>
      <w:r>
        <w:t>This requirement is necessary because it is the only means that the Commission has to inform anyone who may come in contact with the calibration or reference source, what they are and their model and serial number in the event they are lost or damaged and need to be identified.</w:t>
      </w:r>
    </w:p>
    <w:p w:rsidR="006C7206" w:rsidRDefault="006C7206">
      <w:pPr>
        <w:sectPr w:rsidR="006C7206" w:rsidSect="003A1713">
          <w:footerReference w:type="default" r:id="rId13"/>
          <w:pgSz w:w="12240" w:h="15840"/>
          <w:pgMar w:top="1280" w:right="1720" w:bottom="1260" w:left="1680" w:header="720" w:footer="720" w:gutter="0"/>
          <w:cols w:space="720"/>
          <w:docGrid w:linePitch="299"/>
        </w:sectPr>
      </w:pPr>
    </w:p>
    <w:p w:rsidR="006C7206" w:rsidRDefault="00E90B9F">
      <w:pPr>
        <w:pStyle w:val="BodyText"/>
        <w:spacing w:before="77"/>
        <w:ind w:left="120" w:right="188"/>
      </w:pPr>
      <w:r>
        <w:rPr>
          <w:u w:val="single"/>
        </w:rPr>
        <w:t>Section</w:t>
      </w:r>
      <w:r>
        <w:rPr>
          <w:spacing w:val="-13"/>
          <w:u w:val="single"/>
        </w:rPr>
        <w:t xml:space="preserve"> </w:t>
      </w:r>
      <w:r>
        <w:rPr>
          <w:u w:val="single"/>
        </w:rPr>
        <w:t>31.11(b)</w:t>
      </w:r>
      <w:r>
        <w:rPr>
          <w:spacing w:val="-13"/>
          <w:u w:val="single"/>
        </w:rPr>
        <w:t xml:space="preserve"> </w:t>
      </w:r>
      <w:r>
        <w:t>requires</w:t>
      </w:r>
      <w:r>
        <w:rPr>
          <w:spacing w:val="-13"/>
        </w:rPr>
        <w:t xml:space="preserve"> </w:t>
      </w:r>
      <w:r>
        <w:t>a</w:t>
      </w:r>
      <w:r>
        <w:rPr>
          <w:spacing w:val="-11"/>
        </w:rPr>
        <w:t xml:space="preserve"> </w:t>
      </w:r>
      <w:r>
        <w:t>physician,</w:t>
      </w:r>
      <w:r>
        <w:rPr>
          <w:spacing w:val="-13"/>
        </w:rPr>
        <w:t xml:space="preserve"> </w:t>
      </w:r>
      <w:r>
        <w:t>veterinarian</w:t>
      </w:r>
      <w:r>
        <w:rPr>
          <w:spacing w:val="-12"/>
        </w:rPr>
        <w:t xml:space="preserve"> </w:t>
      </w:r>
      <w:r>
        <w:t>in</w:t>
      </w:r>
      <w:r>
        <w:rPr>
          <w:spacing w:val="-13"/>
        </w:rPr>
        <w:t xml:space="preserve"> </w:t>
      </w:r>
      <w:r>
        <w:t>the</w:t>
      </w:r>
      <w:r>
        <w:rPr>
          <w:spacing w:val="-12"/>
        </w:rPr>
        <w:t xml:space="preserve"> </w:t>
      </w:r>
      <w:r>
        <w:t>practice</w:t>
      </w:r>
      <w:r>
        <w:rPr>
          <w:spacing w:val="-13"/>
        </w:rPr>
        <w:t xml:space="preserve"> </w:t>
      </w:r>
      <w:r>
        <w:t>of</w:t>
      </w:r>
      <w:r>
        <w:rPr>
          <w:spacing w:val="-13"/>
        </w:rPr>
        <w:t xml:space="preserve"> </w:t>
      </w:r>
      <w:r>
        <w:t>veterinary</w:t>
      </w:r>
      <w:r>
        <w:rPr>
          <w:spacing w:val="-12"/>
        </w:rPr>
        <w:t xml:space="preserve"> </w:t>
      </w:r>
      <w:r>
        <w:t xml:space="preserve">medicine, clinical laboratory or hospital receiving, possessing, using or transferring byproduct material in accordance with the general license in Section 31.8 to file NRC Form 483, "Registration Certificate-In Vitro Testing With Byproduct Material Under General License." </w:t>
      </w:r>
      <w:r w:rsidR="00E23B8C">
        <w:t xml:space="preserve"> </w:t>
      </w:r>
      <w:r>
        <w:t xml:space="preserve">The physician will receive a validated copy back from NRC with a registration number assigned. </w:t>
      </w:r>
      <w:r w:rsidR="00E23B8C">
        <w:t xml:space="preserve"> </w:t>
      </w:r>
      <w:r>
        <w:t>This requirement is necessary because suppliers of byproduct material</w:t>
      </w:r>
      <w:r>
        <w:rPr>
          <w:spacing w:val="-10"/>
        </w:rPr>
        <w:t xml:space="preserve"> </w:t>
      </w:r>
      <w:r>
        <w:t>are</w:t>
      </w:r>
      <w:r>
        <w:rPr>
          <w:spacing w:val="29"/>
        </w:rPr>
        <w:t xml:space="preserve"> </w:t>
      </w:r>
      <w:r>
        <w:t>required</w:t>
      </w:r>
      <w:r>
        <w:rPr>
          <w:spacing w:val="-8"/>
        </w:rPr>
        <w:t xml:space="preserve"> </w:t>
      </w:r>
      <w:r>
        <w:t>to</w:t>
      </w:r>
      <w:r>
        <w:rPr>
          <w:spacing w:val="-11"/>
        </w:rPr>
        <w:t xml:space="preserve"> </w:t>
      </w:r>
      <w:r>
        <w:t>determine</w:t>
      </w:r>
      <w:r>
        <w:rPr>
          <w:spacing w:val="-8"/>
        </w:rPr>
        <w:t xml:space="preserve"> </w:t>
      </w:r>
      <w:r>
        <w:t>that</w:t>
      </w:r>
      <w:r>
        <w:rPr>
          <w:spacing w:val="-8"/>
        </w:rPr>
        <w:t xml:space="preserve"> </w:t>
      </w:r>
      <w:r>
        <w:t>the</w:t>
      </w:r>
      <w:r>
        <w:rPr>
          <w:spacing w:val="-8"/>
        </w:rPr>
        <w:t xml:space="preserve"> </w:t>
      </w:r>
      <w:r>
        <w:t>person</w:t>
      </w:r>
      <w:r>
        <w:rPr>
          <w:spacing w:val="-8"/>
        </w:rPr>
        <w:t xml:space="preserve"> </w:t>
      </w:r>
      <w:r>
        <w:t>receiving</w:t>
      </w:r>
      <w:r>
        <w:rPr>
          <w:spacing w:val="-11"/>
        </w:rPr>
        <w:t xml:space="preserve"> </w:t>
      </w:r>
      <w:r>
        <w:t>the</w:t>
      </w:r>
      <w:r>
        <w:rPr>
          <w:spacing w:val="-9"/>
        </w:rPr>
        <w:t xml:space="preserve"> </w:t>
      </w:r>
      <w:r>
        <w:t>material</w:t>
      </w:r>
      <w:r>
        <w:rPr>
          <w:spacing w:val="-8"/>
        </w:rPr>
        <w:t xml:space="preserve"> </w:t>
      </w:r>
      <w:r>
        <w:t>is</w:t>
      </w:r>
      <w:r>
        <w:rPr>
          <w:spacing w:val="-7"/>
        </w:rPr>
        <w:t xml:space="preserve"> </w:t>
      </w:r>
      <w:r>
        <w:t>authorized</w:t>
      </w:r>
      <w:r>
        <w:rPr>
          <w:spacing w:val="-10"/>
        </w:rPr>
        <w:t xml:space="preserve"> </w:t>
      </w:r>
      <w:r>
        <w:t>to receive</w:t>
      </w:r>
      <w:r>
        <w:rPr>
          <w:spacing w:val="-12"/>
        </w:rPr>
        <w:t xml:space="preserve"> </w:t>
      </w:r>
      <w:r>
        <w:t>it.</w:t>
      </w:r>
      <w:r>
        <w:rPr>
          <w:spacing w:val="48"/>
        </w:rPr>
        <w:t xml:space="preserve"> </w:t>
      </w:r>
      <w:r>
        <w:t>The</w:t>
      </w:r>
      <w:r>
        <w:rPr>
          <w:spacing w:val="-12"/>
        </w:rPr>
        <w:t xml:space="preserve"> </w:t>
      </w:r>
      <w:r>
        <w:t>validated</w:t>
      </w:r>
      <w:r>
        <w:rPr>
          <w:spacing w:val="-11"/>
        </w:rPr>
        <w:t xml:space="preserve"> </w:t>
      </w:r>
      <w:r>
        <w:t>registration</w:t>
      </w:r>
      <w:r>
        <w:rPr>
          <w:spacing w:val="-11"/>
        </w:rPr>
        <w:t xml:space="preserve"> </w:t>
      </w:r>
      <w:r>
        <w:t>certificate</w:t>
      </w:r>
      <w:r>
        <w:rPr>
          <w:spacing w:val="-13"/>
        </w:rPr>
        <w:t xml:space="preserve"> </w:t>
      </w:r>
      <w:r>
        <w:t>serves</w:t>
      </w:r>
      <w:r>
        <w:rPr>
          <w:spacing w:val="-11"/>
        </w:rPr>
        <w:t xml:space="preserve"> </w:t>
      </w:r>
      <w:r>
        <w:t>as</w:t>
      </w:r>
      <w:r>
        <w:rPr>
          <w:spacing w:val="-11"/>
        </w:rPr>
        <w:t xml:space="preserve"> </w:t>
      </w:r>
      <w:r>
        <w:t>evidence</w:t>
      </w:r>
      <w:r>
        <w:rPr>
          <w:spacing w:val="-12"/>
        </w:rPr>
        <w:t xml:space="preserve"> </w:t>
      </w:r>
      <w:r>
        <w:t>for</w:t>
      </w:r>
      <w:r>
        <w:rPr>
          <w:spacing w:val="-12"/>
        </w:rPr>
        <w:t xml:space="preserve"> </w:t>
      </w:r>
      <w:r>
        <w:t>the</w:t>
      </w:r>
      <w:r>
        <w:rPr>
          <w:spacing w:val="-12"/>
        </w:rPr>
        <w:t xml:space="preserve"> </w:t>
      </w:r>
      <w:r>
        <w:t>supplier</w:t>
      </w:r>
      <w:r>
        <w:rPr>
          <w:spacing w:val="-12"/>
        </w:rPr>
        <w:t xml:space="preserve"> </w:t>
      </w:r>
      <w:r>
        <w:t>that</w:t>
      </w:r>
      <w:r>
        <w:rPr>
          <w:spacing w:val="-12"/>
        </w:rPr>
        <w:t xml:space="preserve"> </w:t>
      </w:r>
      <w:r>
        <w:t xml:space="preserve">a physician is a general licensee authorized to receive the byproduct material. </w:t>
      </w:r>
      <w:r w:rsidR="00E23B8C">
        <w:t xml:space="preserve"> </w:t>
      </w:r>
      <w:r>
        <w:t>The certificate contains terms and conditions of the general license that assure that the general licensee is aware of terms and conditions prior to receipt of the byproduct material.  NRC Form 483 has previously been cleared under OMB No. 3150-0038, which</w:t>
      </w:r>
      <w:r>
        <w:rPr>
          <w:spacing w:val="-10"/>
        </w:rPr>
        <w:t xml:space="preserve"> </w:t>
      </w:r>
      <w:r>
        <w:t>should</w:t>
      </w:r>
      <w:r>
        <w:rPr>
          <w:spacing w:val="-11"/>
        </w:rPr>
        <w:t xml:space="preserve"> </w:t>
      </w:r>
      <w:r>
        <w:t>be</w:t>
      </w:r>
      <w:r>
        <w:rPr>
          <w:spacing w:val="-10"/>
        </w:rPr>
        <w:t xml:space="preserve"> </w:t>
      </w:r>
      <w:r>
        <w:t>referred</w:t>
      </w:r>
      <w:r>
        <w:rPr>
          <w:spacing w:val="-11"/>
        </w:rPr>
        <w:t xml:space="preserve"> </w:t>
      </w:r>
      <w:r>
        <w:t>to</w:t>
      </w:r>
      <w:r>
        <w:rPr>
          <w:spacing w:val="-10"/>
        </w:rPr>
        <w:t xml:space="preserve"> </w:t>
      </w:r>
      <w:r>
        <w:t>for</w:t>
      </w:r>
      <w:r>
        <w:rPr>
          <w:spacing w:val="24"/>
        </w:rPr>
        <w:t xml:space="preserve"> </w:t>
      </w:r>
      <w:r>
        <w:t>additional</w:t>
      </w:r>
      <w:r>
        <w:rPr>
          <w:spacing w:val="-13"/>
        </w:rPr>
        <w:t xml:space="preserve"> </w:t>
      </w:r>
      <w:r>
        <w:t>supporting</w:t>
      </w:r>
      <w:r>
        <w:rPr>
          <w:spacing w:val="-12"/>
        </w:rPr>
        <w:t xml:space="preserve"> </w:t>
      </w:r>
      <w:r>
        <w:t>information,</w:t>
      </w:r>
      <w:r>
        <w:rPr>
          <w:spacing w:val="-14"/>
        </w:rPr>
        <w:t xml:space="preserve"> </w:t>
      </w:r>
      <w:r>
        <w:t>burden,</w:t>
      </w:r>
      <w:r>
        <w:rPr>
          <w:spacing w:val="-12"/>
        </w:rPr>
        <w:t xml:space="preserve"> </w:t>
      </w:r>
      <w:r>
        <w:t>and</w:t>
      </w:r>
      <w:r>
        <w:rPr>
          <w:spacing w:val="-12"/>
        </w:rPr>
        <w:t xml:space="preserve"> </w:t>
      </w:r>
      <w:r>
        <w:t>cost</w:t>
      </w:r>
      <w:r>
        <w:rPr>
          <w:spacing w:val="-14"/>
        </w:rPr>
        <w:t xml:space="preserve"> </w:t>
      </w:r>
      <w:r>
        <w:t>data.</w:t>
      </w:r>
    </w:p>
    <w:p w:rsidR="006C7206" w:rsidRDefault="006C7206">
      <w:pPr>
        <w:pStyle w:val="BodyText"/>
      </w:pPr>
    </w:p>
    <w:p w:rsidR="006C7206" w:rsidRDefault="00E90B9F">
      <w:pPr>
        <w:pStyle w:val="BodyText"/>
        <w:ind w:left="120" w:right="330"/>
      </w:pPr>
      <w:r>
        <w:rPr>
          <w:u w:val="single"/>
        </w:rPr>
        <w:t xml:space="preserve">Section 31.11(e) </w:t>
      </w:r>
      <w:r>
        <w:t xml:space="preserve">requires a physician receiving, possessing, using or transferring byproduct material in accordance with the general license in Section 31.11(a) to report any changes to the information furnished on NRC Form 483 within 30 days. </w:t>
      </w:r>
      <w:r w:rsidR="00E23B8C">
        <w:t xml:space="preserve"> </w:t>
      </w:r>
      <w:r>
        <w:t xml:space="preserve">The NRC staff uses the information submitted on the registration form to identify each physician using byproduct material under the general license. </w:t>
      </w:r>
      <w:r w:rsidR="00E23B8C">
        <w:t xml:space="preserve"> </w:t>
      </w:r>
      <w:r>
        <w:t xml:space="preserve">The registration information facilitates communication with the general licensee. </w:t>
      </w:r>
      <w:r w:rsidR="00E23B8C">
        <w:t xml:space="preserve"> </w:t>
      </w:r>
      <w:r>
        <w:t>NRC Form 483 has previously been cleared under OMB No. 3150-0038, which should be referred to for additional supporting information, burden, and cost data.</w:t>
      </w:r>
    </w:p>
    <w:p w:rsidR="006C7206" w:rsidRDefault="006C7206">
      <w:pPr>
        <w:pStyle w:val="BodyText"/>
      </w:pPr>
    </w:p>
    <w:p w:rsidR="006C7206" w:rsidRDefault="00E90B9F">
      <w:pPr>
        <w:pStyle w:val="BodyText"/>
        <w:ind w:left="119" w:right="330"/>
      </w:pPr>
      <w:r>
        <w:rPr>
          <w:u w:val="single"/>
        </w:rPr>
        <w:t>Section</w:t>
      </w:r>
      <w:r>
        <w:rPr>
          <w:spacing w:val="-12"/>
          <w:u w:val="single"/>
        </w:rPr>
        <w:t xml:space="preserve"> </w:t>
      </w:r>
      <w:r>
        <w:rPr>
          <w:u w:val="single"/>
        </w:rPr>
        <w:t>31.12</w:t>
      </w:r>
      <w:r>
        <w:rPr>
          <w:spacing w:val="-11"/>
          <w:u w:val="single"/>
        </w:rPr>
        <w:t xml:space="preserve"> </w:t>
      </w:r>
      <w:r>
        <w:t>allows</w:t>
      </w:r>
      <w:r>
        <w:rPr>
          <w:spacing w:val="-10"/>
        </w:rPr>
        <w:t xml:space="preserve"> </w:t>
      </w:r>
      <w:r>
        <w:t>for</w:t>
      </w:r>
      <w:r>
        <w:rPr>
          <w:spacing w:val="-13"/>
        </w:rPr>
        <w:t xml:space="preserve"> </w:t>
      </w:r>
      <w:r>
        <w:t>a</w:t>
      </w:r>
      <w:r>
        <w:rPr>
          <w:spacing w:val="-12"/>
        </w:rPr>
        <w:t xml:space="preserve"> </w:t>
      </w:r>
      <w:r>
        <w:t>general</w:t>
      </w:r>
      <w:r>
        <w:rPr>
          <w:spacing w:val="-10"/>
        </w:rPr>
        <w:t xml:space="preserve"> </w:t>
      </w:r>
      <w:r>
        <w:t>license</w:t>
      </w:r>
      <w:r>
        <w:rPr>
          <w:spacing w:val="-11"/>
        </w:rPr>
        <w:t xml:space="preserve"> </w:t>
      </w:r>
      <w:r>
        <w:t>for</w:t>
      </w:r>
      <w:r>
        <w:rPr>
          <w:spacing w:val="-11"/>
        </w:rPr>
        <w:t xml:space="preserve"> </w:t>
      </w:r>
      <w:r>
        <w:t>certain</w:t>
      </w:r>
      <w:r>
        <w:rPr>
          <w:spacing w:val="-11"/>
        </w:rPr>
        <w:t xml:space="preserve"> </w:t>
      </w:r>
      <w:r>
        <w:t>items</w:t>
      </w:r>
      <w:r>
        <w:rPr>
          <w:spacing w:val="-12"/>
        </w:rPr>
        <w:t xml:space="preserve"> </w:t>
      </w:r>
      <w:r>
        <w:t>and</w:t>
      </w:r>
      <w:r>
        <w:rPr>
          <w:spacing w:val="-11"/>
        </w:rPr>
        <w:t xml:space="preserve"> </w:t>
      </w:r>
      <w:r>
        <w:t>self-luminous</w:t>
      </w:r>
      <w:r>
        <w:rPr>
          <w:spacing w:val="-12"/>
        </w:rPr>
        <w:t xml:space="preserve"> </w:t>
      </w:r>
      <w:r>
        <w:t xml:space="preserve">products containing radium-226. </w:t>
      </w:r>
      <w:r w:rsidR="00E23B8C">
        <w:t xml:space="preserve"> </w:t>
      </w:r>
      <w:r>
        <w:t>Section 31.12(a) states that a general license is issued to any person</w:t>
      </w:r>
      <w:r>
        <w:rPr>
          <w:spacing w:val="-11"/>
        </w:rPr>
        <w:t xml:space="preserve"> </w:t>
      </w:r>
      <w:r>
        <w:t>to</w:t>
      </w:r>
      <w:r>
        <w:rPr>
          <w:spacing w:val="-10"/>
        </w:rPr>
        <w:t xml:space="preserve"> </w:t>
      </w:r>
      <w:r>
        <w:t>acquire,</w:t>
      </w:r>
      <w:r>
        <w:rPr>
          <w:spacing w:val="-10"/>
        </w:rPr>
        <w:t xml:space="preserve"> </w:t>
      </w:r>
      <w:r>
        <w:t>receive,</w:t>
      </w:r>
      <w:r>
        <w:rPr>
          <w:spacing w:val="-10"/>
        </w:rPr>
        <w:t xml:space="preserve"> </w:t>
      </w:r>
      <w:r>
        <w:t>possess,</w:t>
      </w:r>
      <w:r>
        <w:rPr>
          <w:spacing w:val="-13"/>
        </w:rPr>
        <w:t xml:space="preserve"> </w:t>
      </w:r>
      <w:r>
        <w:t>use,</w:t>
      </w:r>
      <w:r>
        <w:rPr>
          <w:spacing w:val="-10"/>
        </w:rPr>
        <w:t xml:space="preserve"> </w:t>
      </w:r>
      <w:r>
        <w:t>or</w:t>
      </w:r>
      <w:r>
        <w:rPr>
          <w:spacing w:val="-10"/>
        </w:rPr>
        <w:t xml:space="preserve"> </w:t>
      </w:r>
      <w:r>
        <w:t>transfer,</w:t>
      </w:r>
      <w:r>
        <w:rPr>
          <w:spacing w:val="-11"/>
        </w:rPr>
        <w:t xml:space="preserve"> </w:t>
      </w:r>
      <w:r>
        <w:t>in</w:t>
      </w:r>
      <w:r>
        <w:rPr>
          <w:spacing w:val="-10"/>
        </w:rPr>
        <w:t xml:space="preserve"> </w:t>
      </w:r>
      <w:r>
        <w:t>accordance</w:t>
      </w:r>
      <w:r>
        <w:rPr>
          <w:spacing w:val="-11"/>
        </w:rPr>
        <w:t xml:space="preserve"> </w:t>
      </w:r>
      <w:r>
        <w:t>with</w:t>
      </w:r>
      <w:r>
        <w:rPr>
          <w:spacing w:val="-10"/>
        </w:rPr>
        <w:t xml:space="preserve"> </w:t>
      </w:r>
      <w:r>
        <w:t>the</w:t>
      </w:r>
      <w:r>
        <w:rPr>
          <w:spacing w:val="-11"/>
        </w:rPr>
        <w:t xml:space="preserve"> </w:t>
      </w:r>
      <w:r>
        <w:t>provisions of paragraphs (b), (c), and (d) of this section, radium-226 contained in the products manufactured</w:t>
      </w:r>
      <w:r>
        <w:rPr>
          <w:spacing w:val="-11"/>
        </w:rPr>
        <w:t xml:space="preserve"> </w:t>
      </w:r>
      <w:r>
        <w:t>prior</w:t>
      </w:r>
      <w:r>
        <w:rPr>
          <w:spacing w:val="-10"/>
        </w:rPr>
        <w:t xml:space="preserve"> </w:t>
      </w:r>
      <w:r>
        <w:t>to</w:t>
      </w:r>
      <w:r>
        <w:rPr>
          <w:spacing w:val="-11"/>
        </w:rPr>
        <w:t xml:space="preserve"> </w:t>
      </w:r>
      <w:r>
        <w:t>November</w:t>
      </w:r>
      <w:r>
        <w:rPr>
          <w:spacing w:val="-10"/>
        </w:rPr>
        <w:t xml:space="preserve"> </w:t>
      </w:r>
      <w:r>
        <w:t>30,</w:t>
      </w:r>
      <w:r>
        <w:rPr>
          <w:spacing w:val="-8"/>
        </w:rPr>
        <w:t xml:space="preserve"> </w:t>
      </w:r>
      <w:r>
        <w:t>2007.</w:t>
      </w:r>
    </w:p>
    <w:p w:rsidR="006C7206" w:rsidRDefault="006C7206">
      <w:pPr>
        <w:pStyle w:val="BodyText"/>
      </w:pPr>
    </w:p>
    <w:p w:rsidR="006C7206" w:rsidRDefault="00E90B9F">
      <w:pPr>
        <w:pStyle w:val="BodyText"/>
        <w:ind w:left="120" w:right="318"/>
      </w:pPr>
      <w:r>
        <w:rPr>
          <w:u w:val="single"/>
        </w:rPr>
        <w:t xml:space="preserve">Section 31.12(c)(1) </w:t>
      </w:r>
      <w:r>
        <w:t xml:space="preserve">states that any person, who acquires, receives, possesses, uses, or transfers byproduct material in accordance with the general license in paragraph (a) of this section, shall notify the NRC should there be any indication of possible damage to the product so that it appears it could result in a loss of the radioactive material. </w:t>
      </w:r>
      <w:r w:rsidR="00E23B8C">
        <w:t xml:space="preserve"> </w:t>
      </w:r>
      <w:r>
        <w:t xml:space="preserve">A report containing a brief description of the event, and the remedial action taken, must be furnished to the Director, Office of Nuclear Material Safety and Safeguards, U.S. Nuclear Regulatory Commission, Washington, DC 20555-0001 within 30 days. </w:t>
      </w:r>
      <w:r w:rsidR="00E23B8C">
        <w:t xml:space="preserve"> </w:t>
      </w:r>
      <w:r>
        <w:t>This reporting requirement is necessary to ensure that the NRC is notified in a timely manner of any potential problems with these generally licensed devices authorized by the NRC.</w:t>
      </w:r>
    </w:p>
    <w:p w:rsidR="006C7206" w:rsidRDefault="006C7206">
      <w:pPr>
        <w:pStyle w:val="BodyText"/>
      </w:pPr>
    </w:p>
    <w:p w:rsidR="006C7206" w:rsidRDefault="00E90B9F" w:rsidP="00866C0C">
      <w:pPr>
        <w:pStyle w:val="BodyText"/>
        <w:ind w:left="120" w:right="383"/>
      </w:pPr>
      <w:r>
        <w:rPr>
          <w:u w:val="single"/>
        </w:rPr>
        <w:t xml:space="preserve">Section 31.12(c)(5) </w:t>
      </w:r>
      <w:r>
        <w:t>states that any person, who acquires, receives, possesses, uses, or</w:t>
      </w:r>
      <w:r>
        <w:rPr>
          <w:spacing w:val="30"/>
        </w:rPr>
        <w:t xml:space="preserve"> </w:t>
      </w:r>
      <w:r>
        <w:t>transfers</w:t>
      </w:r>
      <w:r>
        <w:rPr>
          <w:spacing w:val="-15"/>
        </w:rPr>
        <w:t xml:space="preserve"> </w:t>
      </w:r>
      <w:r>
        <w:t>byproduct</w:t>
      </w:r>
      <w:r>
        <w:rPr>
          <w:spacing w:val="-11"/>
        </w:rPr>
        <w:t xml:space="preserve"> </w:t>
      </w:r>
      <w:r>
        <w:t>material</w:t>
      </w:r>
      <w:r>
        <w:rPr>
          <w:spacing w:val="-12"/>
        </w:rPr>
        <w:t xml:space="preserve"> </w:t>
      </w:r>
      <w:r>
        <w:t>in</w:t>
      </w:r>
      <w:r>
        <w:rPr>
          <w:spacing w:val="-11"/>
        </w:rPr>
        <w:t xml:space="preserve"> </w:t>
      </w:r>
      <w:r>
        <w:t>accordance</w:t>
      </w:r>
      <w:r>
        <w:rPr>
          <w:spacing w:val="-12"/>
        </w:rPr>
        <w:t xml:space="preserve"> </w:t>
      </w:r>
      <w:r>
        <w:t>with</w:t>
      </w:r>
      <w:r>
        <w:rPr>
          <w:spacing w:val="-13"/>
        </w:rPr>
        <w:t xml:space="preserve"> </w:t>
      </w:r>
      <w:r>
        <w:t>the</w:t>
      </w:r>
      <w:r>
        <w:rPr>
          <w:spacing w:val="-12"/>
        </w:rPr>
        <w:t xml:space="preserve"> </w:t>
      </w:r>
      <w:r>
        <w:t>general</w:t>
      </w:r>
      <w:r>
        <w:rPr>
          <w:spacing w:val="-12"/>
        </w:rPr>
        <w:t xml:space="preserve"> </w:t>
      </w:r>
      <w:r>
        <w:t>license</w:t>
      </w:r>
      <w:r>
        <w:rPr>
          <w:spacing w:val="-11"/>
        </w:rPr>
        <w:t xml:space="preserve"> </w:t>
      </w:r>
      <w:r>
        <w:t>in</w:t>
      </w:r>
      <w:r>
        <w:rPr>
          <w:spacing w:val="-12"/>
        </w:rPr>
        <w:t xml:space="preserve"> </w:t>
      </w:r>
      <w:r>
        <w:t>paragraph</w:t>
      </w:r>
      <w:r>
        <w:rPr>
          <w:spacing w:val="-12"/>
        </w:rPr>
        <w:t xml:space="preserve"> </w:t>
      </w:r>
      <w:r>
        <w:t xml:space="preserve">(a) of this section, shall </w:t>
      </w:r>
      <w:r>
        <w:rPr>
          <w:spacing w:val="-6"/>
        </w:rPr>
        <w:t xml:space="preserve">respond </w:t>
      </w:r>
      <w:r>
        <w:rPr>
          <w:spacing w:val="-3"/>
        </w:rPr>
        <w:t xml:space="preserve">to </w:t>
      </w:r>
      <w:r>
        <w:rPr>
          <w:spacing w:val="-6"/>
        </w:rPr>
        <w:t xml:space="preserve">written requests </w:t>
      </w:r>
      <w:r>
        <w:rPr>
          <w:spacing w:val="-5"/>
        </w:rPr>
        <w:t xml:space="preserve">from </w:t>
      </w:r>
      <w:r>
        <w:rPr>
          <w:spacing w:val="-4"/>
        </w:rPr>
        <w:t xml:space="preserve">the NRC </w:t>
      </w:r>
      <w:r>
        <w:rPr>
          <w:spacing w:val="-3"/>
        </w:rPr>
        <w:t xml:space="preserve">to </w:t>
      </w:r>
      <w:r>
        <w:rPr>
          <w:spacing w:val="-6"/>
        </w:rPr>
        <w:t xml:space="preserve">provide information relating </w:t>
      </w:r>
      <w:r>
        <w:rPr>
          <w:spacing w:val="-3"/>
        </w:rPr>
        <w:t xml:space="preserve">to </w:t>
      </w:r>
      <w:r>
        <w:rPr>
          <w:spacing w:val="-5"/>
        </w:rPr>
        <w:t xml:space="preserve">the </w:t>
      </w:r>
      <w:r>
        <w:rPr>
          <w:spacing w:val="-6"/>
        </w:rPr>
        <w:t xml:space="preserve">general license </w:t>
      </w:r>
      <w:r>
        <w:rPr>
          <w:spacing w:val="-5"/>
        </w:rPr>
        <w:t xml:space="preserve">within </w:t>
      </w:r>
      <w:r>
        <w:rPr>
          <w:spacing w:val="-3"/>
        </w:rPr>
        <w:t xml:space="preserve">30 </w:t>
      </w:r>
      <w:r>
        <w:rPr>
          <w:spacing w:val="-6"/>
        </w:rPr>
        <w:t xml:space="preserve">calendar </w:t>
      </w:r>
      <w:r>
        <w:rPr>
          <w:spacing w:val="-5"/>
        </w:rPr>
        <w:t xml:space="preserve">days </w:t>
      </w:r>
      <w:r>
        <w:rPr>
          <w:spacing w:val="-3"/>
        </w:rPr>
        <w:t xml:space="preserve">of </w:t>
      </w:r>
      <w:r>
        <w:rPr>
          <w:spacing w:val="-4"/>
        </w:rPr>
        <w:t xml:space="preserve">the </w:t>
      </w:r>
      <w:r>
        <w:rPr>
          <w:spacing w:val="-5"/>
        </w:rPr>
        <w:t xml:space="preserve">date </w:t>
      </w:r>
      <w:r>
        <w:rPr>
          <w:spacing w:val="-3"/>
        </w:rPr>
        <w:t xml:space="preserve">of </w:t>
      </w:r>
      <w:r>
        <w:rPr>
          <w:spacing w:val="-4"/>
        </w:rPr>
        <w:t xml:space="preserve">the </w:t>
      </w:r>
      <w:r>
        <w:rPr>
          <w:spacing w:val="-6"/>
        </w:rPr>
        <w:t xml:space="preserve">request, </w:t>
      </w:r>
      <w:r>
        <w:rPr>
          <w:spacing w:val="-3"/>
        </w:rPr>
        <w:t xml:space="preserve">or </w:t>
      </w:r>
      <w:r>
        <w:rPr>
          <w:spacing w:val="-6"/>
        </w:rPr>
        <w:t xml:space="preserve">other </w:t>
      </w:r>
      <w:r>
        <w:rPr>
          <w:spacing w:val="-5"/>
        </w:rPr>
        <w:t xml:space="preserve">time </w:t>
      </w:r>
      <w:r>
        <w:rPr>
          <w:spacing w:val="-6"/>
        </w:rPr>
        <w:t xml:space="preserve">specified </w:t>
      </w:r>
      <w:r>
        <w:rPr>
          <w:spacing w:val="-3"/>
        </w:rPr>
        <w:t xml:space="preserve">in </w:t>
      </w:r>
      <w:r>
        <w:rPr>
          <w:spacing w:val="-4"/>
        </w:rPr>
        <w:t xml:space="preserve">the </w:t>
      </w:r>
      <w:r>
        <w:rPr>
          <w:spacing w:val="-6"/>
        </w:rPr>
        <w:t xml:space="preserve">request. </w:t>
      </w:r>
      <w:r w:rsidR="00E23B8C">
        <w:rPr>
          <w:spacing w:val="-6"/>
        </w:rPr>
        <w:t xml:space="preserve"> </w:t>
      </w:r>
      <w:r>
        <w:rPr>
          <w:spacing w:val="-6"/>
        </w:rPr>
        <w:t xml:space="preserve">Furthermore, </w:t>
      </w:r>
      <w:r>
        <w:rPr>
          <w:spacing w:val="-3"/>
        </w:rPr>
        <w:t xml:space="preserve">if </w:t>
      </w:r>
      <w:r>
        <w:rPr>
          <w:spacing w:val="-4"/>
        </w:rPr>
        <w:t xml:space="preserve">the </w:t>
      </w:r>
      <w:r>
        <w:rPr>
          <w:spacing w:val="-6"/>
        </w:rPr>
        <w:t xml:space="preserve">general licensee </w:t>
      </w:r>
      <w:r>
        <w:rPr>
          <w:spacing w:val="-5"/>
        </w:rPr>
        <w:t xml:space="preserve">cannot </w:t>
      </w:r>
      <w:r>
        <w:rPr>
          <w:spacing w:val="-6"/>
        </w:rPr>
        <w:t xml:space="preserve">provide the requested information </w:t>
      </w:r>
      <w:r>
        <w:rPr>
          <w:spacing w:val="-5"/>
        </w:rPr>
        <w:t xml:space="preserve">within </w:t>
      </w:r>
      <w:r>
        <w:rPr>
          <w:spacing w:val="-4"/>
        </w:rPr>
        <w:t xml:space="preserve">the </w:t>
      </w:r>
      <w:r>
        <w:rPr>
          <w:spacing w:val="-6"/>
        </w:rPr>
        <w:t xml:space="preserve">allotted </w:t>
      </w:r>
      <w:r>
        <w:rPr>
          <w:spacing w:val="-5"/>
        </w:rPr>
        <w:t xml:space="preserve">time, </w:t>
      </w:r>
      <w:r>
        <w:rPr>
          <w:spacing w:val="-3"/>
        </w:rPr>
        <w:t xml:space="preserve">it </w:t>
      </w:r>
      <w:r>
        <w:rPr>
          <w:spacing w:val="-5"/>
        </w:rPr>
        <w:t xml:space="preserve">shall, within that same time </w:t>
      </w:r>
      <w:r>
        <w:rPr>
          <w:spacing w:val="-6"/>
        </w:rPr>
        <w:t xml:space="preserve">period, request </w:t>
      </w:r>
      <w:r>
        <w:t>a</w:t>
      </w:r>
      <w:r>
        <w:rPr>
          <w:spacing w:val="-13"/>
        </w:rPr>
        <w:t xml:space="preserve"> </w:t>
      </w:r>
      <w:r>
        <w:rPr>
          <w:spacing w:val="-5"/>
        </w:rPr>
        <w:t>longer</w:t>
      </w:r>
      <w:r>
        <w:rPr>
          <w:spacing w:val="-13"/>
        </w:rPr>
        <w:t xml:space="preserve"> </w:t>
      </w:r>
      <w:r>
        <w:rPr>
          <w:spacing w:val="-5"/>
        </w:rPr>
        <w:t>period</w:t>
      </w:r>
      <w:r>
        <w:rPr>
          <w:spacing w:val="-13"/>
        </w:rPr>
        <w:t xml:space="preserve"> </w:t>
      </w:r>
      <w:r>
        <w:rPr>
          <w:spacing w:val="-3"/>
        </w:rPr>
        <w:t>to</w:t>
      </w:r>
      <w:r>
        <w:rPr>
          <w:spacing w:val="-13"/>
        </w:rPr>
        <w:t xml:space="preserve"> </w:t>
      </w:r>
      <w:r>
        <w:rPr>
          <w:spacing w:val="-5"/>
        </w:rPr>
        <w:t>supply</w:t>
      </w:r>
      <w:r>
        <w:rPr>
          <w:spacing w:val="-13"/>
        </w:rPr>
        <w:t xml:space="preserve"> </w:t>
      </w:r>
      <w:r>
        <w:rPr>
          <w:spacing w:val="-5"/>
        </w:rPr>
        <w:t>the</w:t>
      </w:r>
      <w:r>
        <w:rPr>
          <w:spacing w:val="-13"/>
        </w:rPr>
        <w:t xml:space="preserve"> </w:t>
      </w:r>
      <w:r>
        <w:rPr>
          <w:spacing w:val="-6"/>
        </w:rPr>
        <w:t>information</w:t>
      </w:r>
      <w:r>
        <w:rPr>
          <w:spacing w:val="-13"/>
        </w:rPr>
        <w:t xml:space="preserve"> </w:t>
      </w:r>
      <w:r>
        <w:rPr>
          <w:spacing w:val="-3"/>
        </w:rPr>
        <w:t>by</w:t>
      </w:r>
      <w:r>
        <w:rPr>
          <w:spacing w:val="-13"/>
        </w:rPr>
        <w:t xml:space="preserve"> </w:t>
      </w:r>
      <w:r>
        <w:rPr>
          <w:spacing w:val="-6"/>
        </w:rPr>
        <w:t>providing</w:t>
      </w:r>
      <w:r>
        <w:rPr>
          <w:spacing w:val="-13"/>
        </w:rPr>
        <w:t xml:space="preserve"> </w:t>
      </w:r>
      <w:r>
        <w:rPr>
          <w:spacing w:val="-4"/>
        </w:rPr>
        <w:t>the</w:t>
      </w:r>
      <w:r>
        <w:rPr>
          <w:spacing w:val="-15"/>
        </w:rPr>
        <w:t xml:space="preserve"> </w:t>
      </w:r>
      <w:r>
        <w:t>Director</w:t>
      </w:r>
      <w:r>
        <w:rPr>
          <w:spacing w:val="-1"/>
        </w:rPr>
        <w:t xml:space="preserve"> </w:t>
      </w:r>
      <w:r>
        <w:t>of</w:t>
      </w:r>
      <w:r>
        <w:rPr>
          <w:spacing w:val="-1"/>
        </w:rPr>
        <w:t xml:space="preserve"> </w:t>
      </w:r>
      <w:r>
        <w:t>the</w:t>
      </w:r>
      <w:r>
        <w:rPr>
          <w:spacing w:val="-10"/>
        </w:rPr>
        <w:t xml:space="preserve"> </w:t>
      </w:r>
      <w:r>
        <w:t>Office</w:t>
      </w:r>
      <w:r>
        <w:rPr>
          <w:spacing w:val="-7"/>
        </w:rPr>
        <w:t xml:space="preserve"> </w:t>
      </w:r>
      <w:r>
        <w:t>of</w:t>
      </w:r>
      <w:r>
        <w:rPr>
          <w:spacing w:val="-8"/>
        </w:rPr>
        <w:t xml:space="preserve"> </w:t>
      </w:r>
      <w:r>
        <w:t>Nuclear Material Safety and Safeguards a written justification for the request.  This requirement</w:t>
      </w:r>
      <w:r>
        <w:rPr>
          <w:spacing w:val="-8"/>
        </w:rPr>
        <w:t xml:space="preserve"> </w:t>
      </w:r>
      <w:r>
        <w:t>is</w:t>
      </w:r>
      <w:r>
        <w:rPr>
          <w:spacing w:val="-8"/>
        </w:rPr>
        <w:t xml:space="preserve"> </w:t>
      </w:r>
      <w:r>
        <w:t>contained</w:t>
      </w:r>
      <w:r>
        <w:rPr>
          <w:spacing w:val="-9"/>
        </w:rPr>
        <w:t xml:space="preserve"> </w:t>
      </w:r>
      <w:r>
        <w:t>in</w:t>
      </w:r>
      <w:r>
        <w:rPr>
          <w:spacing w:val="-7"/>
        </w:rPr>
        <w:t xml:space="preserve"> </w:t>
      </w:r>
      <w:r>
        <w:t>this</w:t>
      </w:r>
      <w:r>
        <w:rPr>
          <w:spacing w:val="-10"/>
        </w:rPr>
        <w:t xml:space="preserve"> </w:t>
      </w:r>
      <w:r>
        <w:t>section</w:t>
      </w:r>
      <w:r>
        <w:rPr>
          <w:spacing w:val="-9"/>
        </w:rPr>
        <w:t xml:space="preserve"> </w:t>
      </w:r>
      <w:r>
        <w:t>to</w:t>
      </w:r>
      <w:r>
        <w:rPr>
          <w:spacing w:val="-9"/>
        </w:rPr>
        <w:t xml:space="preserve"> </w:t>
      </w:r>
      <w:r>
        <w:t>clarify</w:t>
      </w:r>
      <w:r>
        <w:rPr>
          <w:spacing w:val="-8"/>
        </w:rPr>
        <w:t xml:space="preserve"> </w:t>
      </w:r>
      <w:r>
        <w:t>that</w:t>
      </w:r>
      <w:r>
        <w:rPr>
          <w:spacing w:val="-8"/>
        </w:rPr>
        <w:t xml:space="preserve"> </w:t>
      </w:r>
      <w:r>
        <w:t>the</w:t>
      </w:r>
      <w:r>
        <w:rPr>
          <w:spacing w:val="-8"/>
        </w:rPr>
        <w:t xml:space="preserve"> </w:t>
      </w:r>
      <w:r>
        <w:t>NRC</w:t>
      </w:r>
      <w:r>
        <w:rPr>
          <w:spacing w:val="-7"/>
        </w:rPr>
        <w:t xml:space="preserve"> </w:t>
      </w:r>
      <w:r>
        <w:t>may</w:t>
      </w:r>
      <w:r>
        <w:rPr>
          <w:spacing w:val="-7"/>
        </w:rPr>
        <w:t xml:space="preserve"> </w:t>
      </w:r>
      <w:r>
        <w:t>request</w:t>
      </w:r>
      <w:r w:rsidR="00866C0C">
        <w:t xml:space="preserve"> </w:t>
      </w:r>
      <w:r>
        <w:t>information from the general licensee during the useful working life of a device, if needed in fulfilling its duties.</w:t>
      </w:r>
    </w:p>
    <w:sectPr w:rsidR="006C7206" w:rsidSect="003A1713">
      <w:footerReference w:type="default" r:id="rId14"/>
      <w:pgSz w:w="12240" w:h="15840"/>
      <w:pgMar w:top="1280" w:right="1720" w:bottom="1260" w:left="16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5E" w:rsidRDefault="009A635E">
      <w:r>
        <w:separator/>
      </w:r>
    </w:p>
  </w:endnote>
  <w:endnote w:type="continuationSeparator" w:id="0">
    <w:p w:rsidR="009A635E" w:rsidRDefault="009A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46495"/>
      <w:docPartObj>
        <w:docPartGallery w:val="Page Numbers (Bottom of Page)"/>
        <w:docPartUnique/>
      </w:docPartObj>
    </w:sdtPr>
    <w:sdtEndPr>
      <w:rPr>
        <w:noProof/>
      </w:rPr>
    </w:sdtEndPr>
    <w:sdtContent>
      <w:p w:rsidR="00E23B8C" w:rsidRDefault="00E23B8C">
        <w:pPr>
          <w:pStyle w:val="Footer"/>
          <w:jc w:val="center"/>
        </w:pPr>
        <w:r>
          <w:fldChar w:fldCharType="begin"/>
        </w:r>
        <w:r>
          <w:instrText xml:space="preserve"> PAGE   \* MERGEFORMAT </w:instrText>
        </w:r>
        <w:r>
          <w:fldChar w:fldCharType="separate"/>
        </w:r>
        <w:r w:rsidR="001B79D1">
          <w:rPr>
            <w:noProof/>
          </w:rPr>
          <w:t>2</w:t>
        </w:r>
        <w:r>
          <w:rPr>
            <w:noProof/>
          </w:rPr>
          <w:fldChar w:fldCharType="end"/>
        </w:r>
      </w:p>
    </w:sdtContent>
  </w:sdt>
  <w:p w:rsidR="002E54C9" w:rsidRPr="00E23B8C" w:rsidRDefault="002E54C9" w:rsidP="00E23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45452"/>
      <w:docPartObj>
        <w:docPartGallery w:val="Page Numbers (Bottom of Page)"/>
        <w:docPartUnique/>
      </w:docPartObj>
    </w:sdtPr>
    <w:sdtEndPr>
      <w:rPr>
        <w:noProof/>
      </w:rPr>
    </w:sdtEndPr>
    <w:sdtContent>
      <w:p w:rsidR="00732FEB" w:rsidRDefault="00732FEB">
        <w:pPr>
          <w:pStyle w:val="Footer"/>
          <w:jc w:val="center"/>
        </w:pPr>
        <w:r>
          <w:fldChar w:fldCharType="begin"/>
        </w:r>
        <w:r>
          <w:instrText xml:space="preserve"> PAGE   \* MERGEFORMAT </w:instrText>
        </w:r>
        <w:r>
          <w:fldChar w:fldCharType="separate"/>
        </w:r>
        <w:r w:rsidR="00826760">
          <w:rPr>
            <w:noProof/>
          </w:rPr>
          <w:t>8</w:t>
        </w:r>
        <w:r>
          <w:rPr>
            <w:noProof/>
          </w:rPr>
          <w:fldChar w:fldCharType="end"/>
        </w:r>
      </w:p>
    </w:sdtContent>
  </w:sdt>
  <w:p w:rsidR="002E54C9" w:rsidRPr="00732FEB" w:rsidRDefault="002E54C9" w:rsidP="00732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17001"/>
      <w:docPartObj>
        <w:docPartGallery w:val="Page Numbers (Bottom of Page)"/>
        <w:docPartUnique/>
      </w:docPartObj>
    </w:sdtPr>
    <w:sdtEndPr>
      <w:rPr>
        <w:noProof/>
      </w:rPr>
    </w:sdtEndPr>
    <w:sdtContent>
      <w:p w:rsidR="00DB3C35" w:rsidRDefault="001B79D1">
        <w:pPr>
          <w:pStyle w:val="Footer"/>
          <w:jc w:val="center"/>
        </w:pPr>
      </w:p>
    </w:sdtContent>
  </w:sdt>
  <w:p w:rsidR="002E54C9" w:rsidRPr="00DB3C35" w:rsidRDefault="002E54C9" w:rsidP="00DB3C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245744"/>
      <w:docPartObj>
        <w:docPartGallery w:val="Page Numbers (Bottom of Page)"/>
        <w:docPartUnique/>
      </w:docPartObj>
    </w:sdtPr>
    <w:sdtEndPr>
      <w:rPr>
        <w:noProof/>
      </w:rPr>
    </w:sdtEndPr>
    <w:sdtContent>
      <w:p w:rsidR="00DB3C35" w:rsidRDefault="00DB3C35">
        <w:pPr>
          <w:pStyle w:val="Footer"/>
          <w:jc w:val="center"/>
        </w:pPr>
        <w:r>
          <w:t>A-2</w:t>
        </w:r>
      </w:p>
    </w:sdtContent>
  </w:sdt>
  <w:p w:rsidR="002E54C9" w:rsidRPr="00DB3C35" w:rsidRDefault="002E54C9" w:rsidP="00DB3C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C9" w:rsidRDefault="002E54C9">
    <w:pPr>
      <w:pStyle w:val="BodyText"/>
      <w:spacing w:line="14" w:lineRule="auto"/>
      <w:rPr>
        <w:sz w:val="20"/>
      </w:rPr>
    </w:pPr>
    <w:r>
      <w:rPr>
        <w:noProof/>
      </w:rPr>
      <mc:AlternateContent>
        <mc:Choice Requires="wps">
          <w:drawing>
            <wp:anchor distT="0" distB="0" distL="114300" distR="114300" simplePos="0" relativeHeight="503288624" behindDoc="1" locked="0" layoutInCell="1" allowOverlap="1" wp14:anchorId="363DC730" wp14:editId="7B0F5FF0">
              <wp:simplePos x="0" y="0"/>
              <wp:positionH relativeFrom="page">
                <wp:posOffset>3634105</wp:posOffset>
              </wp:positionH>
              <wp:positionV relativeFrom="page">
                <wp:posOffset>9242425</wp:posOffset>
              </wp:positionV>
              <wp:extent cx="262255" cy="194310"/>
              <wp:effectExtent l="0" t="317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4C9" w:rsidRDefault="002E54C9">
                          <w:pPr>
                            <w:spacing w:before="10"/>
                            <w:ind w:left="20"/>
                            <w:rPr>
                              <w:rFonts w:ascii="Times New Roman"/>
                              <w:sz w:val="24"/>
                            </w:rPr>
                          </w:pPr>
                          <w:r>
                            <w:rPr>
                              <w:rFonts w:ascii="Times New Roman"/>
                              <w:sz w:val="24"/>
                            </w:rPr>
                            <w:t>A</w:t>
                          </w:r>
                          <w:r w:rsidRPr="008652EC">
                            <w:t>-</w:t>
                          </w:r>
                          <w:r>
                            <w:rPr>
                              <w:rFonts w:ascii="Times New Roman"/>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6.15pt;margin-top:727.75pt;width:20.65pt;height:15.3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Tlrw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" filled="f" stroked="f">
              <v:textbox inset="0,0,0,0">
                <w:txbxContent>
                  <w:p w:rsidR="002E54C9" w:rsidRDefault="002E54C9">
                    <w:pPr>
                      <w:spacing w:before="10"/>
                      <w:ind w:left="20"/>
                      <w:rPr>
                        <w:rFonts w:ascii="Times New Roman"/>
                        <w:sz w:val="24"/>
                      </w:rPr>
                    </w:pPr>
                    <w:r>
                      <w:rPr>
                        <w:rFonts w:ascii="Times New Roman"/>
                        <w:sz w:val="24"/>
                      </w:rPr>
                      <w:t>A</w:t>
                    </w:r>
                    <w:r w:rsidRPr="008652EC">
                      <w:t>-</w:t>
                    </w:r>
                    <w:r>
                      <w:rPr>
                        <w:rFonts w:ascii="Times New Roman"/>
                        <w:sz w:val="24"/>
                      </w:rPr>
                      <w:t>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C9" w:rsidRDefault="002E54C9">
    <w:pPr>
      <w:pStyle w:val="BodyText"/>
      <w:spacing w:line="14" w:lineRule="auto"/>
      <w:rPr>
        <w:sz w:val="20"/>
      </w:rPr>
    </w:pPr>
    <w:r>
      <w:rPr>
        <w:noProof/>
      </w:rPr>
      <mc:AlternateContent>
        <mc:Choice Requires="wps">
          <w:drawing>
            <wp:anchor distT="0" distB="0" distL="114300" distR="114300" simplePos="0" relativeHeight="503288672" behindDoc="1" locked="0" layoutInCell="1" allowOverlap="1" wp14:anchorId="3800FFDF" wp14:editId="1964D07A">
              <wp:simplePos x="0" y="0"/>
              <wp:positionH relativeFrom="page">
                <wp:posOffset>3634105</wp:posOffset>
              </wp:positionH>
              <wp:positionV relativeFrom="page">
                <wp:posOffset>9242425</wp:posOffset>
              </wp:positionV>
              <wp:extent cx="262255" cy="194310"/>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4C9" w:rsidRPr="008652EC" w:rsidRDefault="002E54C9">
                          <w:pPr>
                            <w:spacing w:before="10"/>
                            <w:ind w:left="20"/>
                          </w:pPr>
                          <w:r w:rsidRPr="008652EC">
                            <w:t>A-</w:t>
                          </w:r>
                          <w:r w:rsidR="008652EC" w:rsidRPr="008652EC">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6.15pt;margin-top:727.75pt;width:20.65pt;height:15.3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Mf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" filled="f" stroked="f">
              <v:textbox inset="0,0,0,0">
                <w:txbxContent>
                  <w:p w:rsidR="002E54C9" w:rsidRPr="008652EC" w:rsidRDefault="002E54C9">
                    <w:pPr>
                      <w:spacing w:before="10"/>
                      <w:ind w:left="20"/>
                    </w:pPr>
                    <w:r w:rsidRPr="008652EC">
                      <w:t>A-</w:t>
                    </w:r>
                    <w:r w:rsidR="008652EC" w:rsidRPr="008652EC">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5E" w:rsidRDefault="009A635E">
      <w:r>
        <w:separator/>
      </w:r>
    </w:p>
  </w:footnote>
  <w:footnote w:type="continuationSeparator" w:id="0">
    <w:p w:rsidR="009A635E" w:rsidRDefault="009A6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0D8"/>
    <w:multiLevelType w:val="hybridMultilevel"/>
    <w:tmpl w:val="021405C6"/>
    <w:lvl w:ilvl="0" w:tplc="E8827664">
      <w:start w:val="1"/>
      <w:numFmt w:val="upperLetter"/>
      <w:lvlText w:val="%1."/>
      <w:lvlJc w:val="left"/>
      <w:pPr>
        <w:ind w:left="450" w:hanging="330"/>
        <w:jc w:val="left"/>
      </w:pPr>
      <w:rPr>
        <w:rFonts w:ascii="Arial" w:eastAsia="Arial" w:hAnsi="Arial" w:cs="Arial" w:hint="default"/>
        <w:spacing w:val="-1"/>
        <w:w w:val="98"/>
        <w:sz w:val="22"/>
        <w:szCs w:val="22"/>
      </w:rPr>
    </w:lvl>
    <w:lvl w:ilvl="1" w:tplc="55F87418">
      <w:start w:val="1"/>
      <w:numFmt w:val="decimal"/>
      <w:lvlText w:val="%2."/>
      <w:lvlJc w:val="left"/>
      <w:pPr>
        <w:ind w:left="480" w:hanging="332"/>
        <w:jc w:val="left"/>
      </w:pPr>
      <w:rPr>
        <w:rFonts w:ascii="Arial" w:eastAsia="Arial" w:hAnsi="Arial" w:cs="Arial" w:hint="default"/>
        <w:spacing w:val="-1"/>
        <w:w w:val="98"/>
        <w:sz w:val="22"/>
        <w:szCs w:val="22"/>
      </w:rPr>
    </w:lvl>
    <w:lvl w:ilvl="2" w:tplc="5CF47EC0">
      <w:numFmt w:val="bullet"/>
      <w:lvlText w:val="•"/>
      <w:lvlJc w:val="left"/>
      <w:pPr>
        <w:ind w:left="1513" w:hanging="332"/>
      </w:pPr>
      <w:rPr>
        <w:rFonts w:hint="default"/>
      </w:rPr>
    </w:lvl>
    <w:lvl w:ilvl="3" w:tplc="0F12AB98">
      <w:numFmt w:val="bullet"/>
      <w:lvlText w:val="•"/>
      <w:lvlJc w:val="left"/>
      <w:pPr>
        <w:ind w:left="2546" w:hanging="332"/>
      </w:pPr>
      <w:rPr>
        <w:rFonts w:hint="default"/>
      </w:rPr>
    </w:lvl>
    <w:lvl w:ilvl="4" w:tplc="954295B0">
      <w:numFmt w:val="bullet"/>
      <w:lvlText w:val="•"/>
      <w:lvlJc w:val="left"/>
      <w:pPr>
        <w:ind w:left="3580" w:hanging="332"/>
      </w:pPr>
      <w:rPr>
        <w:rFonts w:hint="default"/>
      </w:rPr>
    </w:lvl>
    <w:lvl w:ilvl="5" w:tplc="23BEAEE8">
      <w:numFmt w:val="bullet"/>
      <w:lvlText w:val="•"/>
      <w:lvlJc w:val="left"/>
      <w:pPr>
        <w:ind w:left="4613" w:hanging="332"/>
      </w:pPr>
      <w:rPr>
        <w:rFonts w:hint="default"/>
      </w:rPr>
    </w:lvl>
    <w:lvl w:ilvl="6" w:tplc="A1AA91E6">
      <w:numFmt w:val="bullet"/>
      <w:lvlText w:val="•"/>
      <w:lvlJc w:val="left"/>
      <w:pPr>
        <w:ind w:left="5646" w:hanging="332"/>
      </w:pPr>
      <w:rPr>
        <w:rFonts w:hint="default"/>
      </w:rPr>
    </w:lvl>
    <w:lvl w:ilvl="7" w:tplc="B378BA88">
      <w:numFmt w:val="bullet"/>
      <w:lvlText w:val="•"/>
      <w:lvlJc w:val="left"/>
      <w:pPr>
        <w:ind w:left="6680" w:hanging="332"/>
      </w:pPr>
      <w:rPr>
        <w:rFonts w:hint="default"/>
      </w:rPr>
    </w:lvl>
    <w:lvl w:ilvl="8" w:tplc="7C286BC8">
      <w:numFmt w:val="bullet"/>
      <w:lvlText w:val="•"/>
      <w:lvlJc w:val="left"/>
      <w:pPr>
        <w:ind w:left="7713" w:hanging="3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06"/>
    <w:rsid w:val="001B79D1"/>
    <w:rsid w:val="001D6912"/>
    <w:rsid w:val="00233700"/>
    <w:rsid w:val="002916B0"/>
    <w:rsid w:val="002B6A8C"/>
    <w:rsid w:val="002E54C9"/>
    <w:rsid w:val="00374D13"/>
    <w:rsid w:val="003A1713"/>
    <w:rsid w:val="003B2393"/>
    <w:rsid w:val="003B27EF"/>
    <w:rsid w:val="005D2FBA"/>
    <w:rsid w:val="005E5591"/>
    <w:rsid w:val="006C7206"/>
    <w:rsid w:val="00732FEB"/>
    <w:rsid w:val="00826760"/>
    <w:rsid w:val="008652EC"/>
    <w:rsid w:val="00866C0C"/>
    <w:rsid w:val="00981409"/>
    <w:rsid w:val="009A635E"/>
    <w:rsid w:val="009F630F"/>
    <w:rsid w:val="00A2611E"/>
    <w:rsid w:val="00A45C55"/>
    <w:rsid w:val="00A87190"/>
    <w:rsid w:val="00AE08C0"/>
    <w:rsid w:val="00B563F0"/>
    <w:rsid w:val="00BC31DA"/>
    <w:rsid w:val="00C61BB2"/>
    <w:rsid w:val="00D935E7"/>
    <w:rsid w:val="00DB3C35"/>
    <w:rsid w:val="00E15BB0"/>
    <w:rsid w:val="00E23B8C"/>
    <w:rsid w:val="00E73954"/>
    <w:rsid w:val="00E90B9F"/>
    <w:rsid w:val="00FB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2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68"/>
      <w:ind w:left="103"/>
    </w:pPr>
  </w:style>
  <w:style w:type="paragraph" w:styleId="Header">
    <w:name w:val="header"/>
    <w:basedOn w:val="Normal"/>
    <w:link w:val="HeaderChar"/>
    <w:uiPriority w:val="99"/>
    <w:unhideWhenUsed/>
    <w:rsid w:val="003A1713"/>
    <w:pPr>
      <w:tabs>
        <w:tab w:val="center" w:pos="4680"/>
        <w:tab w:val="right" w:pos="9360"/>
      </w:tabs>
    </w:pPr>
  </w:style>
  <w:style w:type="character" w:customStyle="1" w:styleId="HeaderChar">
    <w:name w:val="Header Char"/>
    <w:basedOn w:val="DefaultParagraphFont"/>
    <w:link w:val="Header"/>
    <w:uiPriority w:val="99"/>
    <w:rsid w:val="003A1713"/>
    <w:rPr>
      <w:rFonts w:ascii="Arial" w:eastAsia="Arial" w:hAnsi="Arial" w:cs="Arial"/>
    </w:rPr>
  </w:style>
  <w:style w:type="paragraph" w:styleId="Footer">
    <w:name w:val="footer"/>
    <w:basedOn w:val="Normal"/>
    <w:link w:val="FooterChar"/>
    <w:uiPriority w:val="99"/>
    <w:unhideWhenUsed/>
    <w:rsid w:val="003A1713"/>
    <w:pPr>
      <w:tabs>
        <w:tab w:val="center" w:pos="4680"/>
        <w:tab w:val="right" w:pos="9360"/>
      </w:tabs>
    </w:pPr>
  </w:style>
  <w:style w:type="character" w:customStyle="1" w:styleId="FooterChar">
    <w:name w:val="Footer Char"/>
    <w:basedOn w:val="DefaultParagraphFont"/>
    <w:link w:val="Footer"/>
    <w:uiPriority w:val="99"/>
    <w:rsid w:val="003A1713"/>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2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68"/>
      <w:ind w:left="103"/>
    </w:pPr>
  </w:style>
  <w:style w:type="paragraph" w:styleId="Header">
    <w:name w:val="header"/>
    <w:basedOn w:val="Normal"/>
    <w:link w:val="HeaderChar"/>
    <w:uiPriority w:val="99"/>
    <w:unhideWhenUsed/>
    <w:rsid w:val="003A1713"/>
    <w:pPr>
      <w:tabs>
        <w:tab w:val="center" w:pos="4680"/>
        <w:tab w:val="right" w:pos="9360"/>
      </w:tabs>
    </w:pPr>
  </w:style>
  <w:style w:type="character" w:customStyle="1" w:styleId="HeaderChar">
    <w:name w:val="Header Char"/>
    <w:basedOn w:val="DefaultParagraphFont"/>
    <w:link w:val="Header"/>
    <w:uiPriority w:val="99"/>
    <w:rsid w:val="003A1713"/>
    <w:rPr>
      <w:rFonts w:ascii="Arial" w:eastAsia="Arial" w:hAnsi="Arial" w:cs="Arial"/>
    </w:rPr>
  </w:style>
  <w:style w:type="paragraph" w:styleId="Footer">
    <w:name w:val="footer"/>
    <w:basedOn w:val="Normal"/>
    <w:link w:val="FooterChar"/>
    <w:uiPriority w:val="99"/>
    <w:unhideWhenUsed/>
    <w:rsid w:val="003A1713"/>
    <w:pPr>
      <w:tabs>
        <w:tab w:val="center" w:pos="4680"/>
        <w:tab w:val="right" w:pos="9360"/>
      </w:tabs>
    </w:pPr>
  </w:style>
  <w:style w:type="character" w:customStyle="1" w:styleId="FooterChar">
    <w:name w:val="Footer Char"/>
    <w:basedOn w:val="DefaultParagraphFont"/>
    <w:link w:val="Footer"/>
    <w:uiPriority w:val="99"/>
    <w:rsid w:val="003A17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C179-5A94-4FF4-ACF3-0D30AB03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Struckmeyer, Richard</dc:creator>
  <cp:lastModifiedBy>SYSTEM</cp:lastModifiedBy>
  <cp:revision>2</cp:revision>
  <dcterms:created xsi:type="dcterms:W3CDTF">2018-08-29T12:40:00Z</dcterms:created>
  <dcterms:modified xsi:type="dcterms:W3CDTF">2018-08-29T12:40:00Z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PScript5.dll Version 5.2.2</vt:lpwstr>
  </property>
  <property fmtid="{D5CDD505-2E9C-101B-9397-08002B2CF9AE}" pid="4" name="LastSaved">
    <vt:filetime>2018-05-11T00:00:00Z</vt:filetime>
  </property>
</Properties>
</file>